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85DC8" w14:textId="668DE417" w:rsidR="00061C47" w:rsidRPr="00A54A5B" w:rsidRDefault="00A54A5B" w:rsidP="00A54A5B">
      <w:pPr>
        <w:spacing w:line="360" w:lineRule="auto"/>
        <w:jc w:val="center"/>
        <w:rPr>
          <w:rFonts w:ascii="Arial" w:hAnsi="Arial" w:cs="Arial"/>
          <w:b/>
          <w:bCs/>
          <w:lang w:val="en-US"/>
        </w:rPr>
      </w:pPr>
      <w:r>
        <w:rPr>
          <w:rFonts w:ascii="Arial" w:hAnsi="Arial" w:cs="Arial"/>
          <w:b/>
          <w:bCs/>
          <w:lang w:val="en-US"/>
        </w:rPr>
        <w:t>REPUBLIC OF NAMIBIA</w:t>
      </w:r>
    </w:p>
    <w:p w14:paraId="046F61C2" w14:textId="4F51A201" w:rsidR="00FE7F68" w:rsidRDefault="00A54A5B" w:rsidP="00AF7D5F">
      <w:pPr>
        <w:spacing w:line="360" w:lineRule="auto"/>
        <w:jc w:val="center"/>
        <w:rPr>
          <w:rFonts w:ascii="Arial" w:hAnsi="Arial" w:cs="Arial"/>
          <w:lang w:val="en-US"/>
        </w:rPr>
      </w:pPr>
      <w:r w:rsidRPr="00A54A5B">
        <w:rPr>
          <w:rFonts w:ascii="Arial" w:hAnsi="Arial" w:cs="Arial"/>
          <w:b/>
          <w:noProof/>
          <w:lang w:val="en-US"/>
        </w:rPr>
        <w:drawing>
          <wp:inline distT="0" distB="0" distL="0" distR="0" wp14:anchorId="29A032EE" wp14:editId="01CE8ADD">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09"/>
        <w:gridCol w:w="3827"/>
        <w:gridCol w:w="2835"/>
      </w:tblGrid>
      <w:tr w:rsidR="00AF7D5F" w:rsidRPr="00FE7F68" w14:paraId="229DB763" w14:textId="77777777" w:rsidTr="00155B26">
        <w:tc>
          <w:tcPr>
            <w:tcW w:w="8789" w:type="dxa"/>
            <w:gridSpan w:val="4"/>
          </w:tcPr>
          <w:p w14:paraId="0C4BB454" w14:textId="3D2253A4" w:rsidR="00AF7D5F" w:rsidRDefault="00AF7D5F" w:rsidP="00AF7D5F">
            <w:pPr>
              <w:spacing w:line="360" w:lineRule="auto"/>
              <w:jc w:val="center"/>
              <w:rPr>
                <w:rFonts w:ascii="Arial" w:hAnsi="Arial" w:cs="Arial"/>
                <w:b/>
                <w:bCs/>
                <w:lang w:val="en-US"/>
              </w:rPr>
            </w:pPr>
            <w:r>
              <w:rPr>
                <w:rFonts w:ascii="Arial" w:hAnsi="Arial" w:cs="Arial"/>
                <w:b/>
                <w:bCs/>
                <w:lang w:val="en-US"/>
              </w:rPr>
              <w:t>HIGH COURT OF NAMIBIA</w:t>
            </w:r>
            <w:r w:rsidR="00A81C32">
              <w:rPr>
                <w:rFonts w:ascii="Arial" w:hAnsi="Arial" w:cs="Arial"/>
                <w:b/>
                <w:bCs/>
                <w:lang w:val="en-US"/>
              </w:rPr>
              <w:t>,</w:t>
            </w:r>
            <w:r>
              <w:rPr>
                <w:rFonts w:ascii="Arial" w:hAnsi="Arial" w:cs="Arial"/>
                <w:b/>
                <w:bCs/>
                <w:lang w:val="en-US"/>
              </w:rPr>
              <w:t xml:space="preserve"> MAIN DIVISION, WIN</w:t>
            </w:r>
            <w:r w:rsidR="003B6BE9">
              <w:rPr>
                <w:rFonts w:ascii="Arial" w:hAnsi="Arial" w:cs="Arial"/>
                <w:b/>
                <w:bCs/>
                <w:lang w:val="en-US"/>
              </w:rPr>
              <w:t>D</w:t>
            </w:r>
            <w:r>
              <w:rPr>
                <w:rFonts w:ascii="Arial" w:hAnsi="Arial" w:cs="Arial"/>
                <w:b/>
                <w:bCs/>
                <w:lang w:val="en-US"/>
              </w:rPr>
              <w:t>HOEK</w:t>
            </w:r>
          </w:p>
          <w:p w14:paraId="580A6A52" w14:textId="13D8E8E9" w:rsidR="00AF7D5F" w:rsidRPr="00FE7F68" w:rsidRDefault="00AF7D5F" w:rsidP="00AF7D5F">
            <w:pPr>
              <w:spacing w:line="360" w:lineRule="auto"/>
              <w:jc w:val="center"/>
              <w:rPr>
                <w:rFonts w:ascii="Arial" w:hAnsi="Arial" w:cs="Arial"/>
                <w:b/>
                <w:bCs/>
                <w:highlight w:val="yellow"/>
                <w:lang w:val="en-US"/>
              </w:rPr>
            </w:pPr>
          </w:p>
        </w:tc>
      </w:tr>
      <w:tr w:rsidR="00AF7D5F" w:rsidRPr="00FE7F68" w14:paraId="197DA8BE" w14:textId="77777777" w:rsidTr="00155B26">
        <w:tc>
          <w:tcPr>
            <w:tcW w:w="8789" w:type="dxa"/>
            <w:gridSpan w:val="4"/>
          </w:tcPr>
          <w:p w14:paraId="279F5FEF" w14:textId="5A60EBA2" w:rsidR="00AF7D5F" w:rsidRDefault="000A1D68" w:rsidP="00AF7D5F">
            <w:pPr>
              <w:spacing w:line="360" w:lineRule="auto"/>
              <w:jc w:val="center"/>
              <w:rPr>
                <w:rFonts w:ascii="Arial" w:hAnsi="Arial" w:cs="Arial"/>
                <w:b/>
                <w:bCs/>
                <w:lang w:val="en-US"/>
              </w:rPr>
            </w:pPr>
            <w:r>
              <w:rPr>
                <w:rFonts w:ascii="Arial" w:hAnsi="Arial" w:cs="Arial"/>
                <w:b/>
                <w:bCs/>
                <w:lang w:val="en-US"/>
              </w:rPr>
              <w:t>RULING</w:t>
            </w:r>
          </w:p>
          <w:p w14:paraId="730ECA8E" w14:textId="39AF505D" w:rsidR="00AF7D5F" w:rsidRDefault="00AF7D5F" w:rsidP="00AF7D5F">
            <w:pPr>
              <w:spacing w:line="360" w:lineRule="auto"/>
              <w:jc w:val="center"/>
              <w:rPr>
                <w:rFonts w:ascii="Arial" w:hAnsi="Arial" w:cs="Arial"/>
                <w:lang w:val="en-US"/>
              </w:rPr>
            </w:pPr>
          </w:p>
        </w:tc>
      </w:tr>
      <w:tr w:rsidR="00AF7D5F" w:rsidRPr="00FE7F68" w14:paraId="613B65F0" w14:textId="77777777" w:rsidTr="00155B26">
        <w:tc>
          <w:tcPr>
            <w:tcW w:w="8789" w:type="dxa"/>
            <w:gridSpan w:val="4"/>
          </w:tcPr>
          <w:p w14:paraId="11B37741" w14:textId="25C05B9D" w:rsidR="00AF7D5F" w:rsidRDefault="00AF7D5F" w:rsidP="00AF7D5F">
            <w:pPr>
              <w:spacing w:line="360" w:lineRule="auto"/>
              <w:jc w:val="right"/>
              <w:rPr>
                <w:rFonts w:ascii="Arial" w:hAnsi="Arial" w:cs="Arial"/>
                <w:lang w:val="en-US"/>
              </w:rPr>
            </w:pPr>
            <w:r>
              <w:rPr>
                <w:rFonts w:ascii="Arial" w:hAnsi="Arial" w:cs="Arial"/>
                <w:lang w:val="en-US"/>
              </w:rPr>
              <w:t>Case number: HC-MD-</w:t>
            </w:r>
            <w:r w:rsidRPr="000A1D68">
              <w:rPr>
                <w:rFonts w:ascii="Arial" w:hAnsi="Arial" w:cs="Arial"/>
                <w:lang w:val="en-US"/>
              </w:rPr>
              <w:t>CIV-ACT-</w:t>
            </w:r>
            <w:r w:rsidR="000A1D68" w:rsidRPr="000A1D68">
              <w:rPr>
                <w:rFonts w:ascii="Arial" w:hAnsi="Arial" w:cs="Arial"/>
                <w:lang w:val="en-US"/>
              </w:rPr>
              <w:t>CON</w:t>
            </w:r>
            <w:r w:rsidRPr="000A1D68">
              <w:rPr>
                <w:rFonts w:ascii="Arial" w:hAnsi="Arial" w:cs="Arial"/>
                <w:lang w:val="en-US"/>
              </w:rPr>
              <w:t>-202</w:t>
            </w:r>
            <w:r w:rsidR="000A1D68" w:rsidRPr="000A1D68">
              <w:rPr>
                <w:rFonts w:ascii="Arial" w:hAnsi="Arial" w:cs="Arial"/>
                <w:lang w:val="en-US"/>
              </w:rPr>
              <w:t>3</w:t>
            </w:r>
            <w:r w:rsidRPr="000A1D68">
              <w:rPr>
                <w:rFonts w:ascii="Arial" w:hAnsi="Arial" w:cs="Arial"/>
                <w:lang w:val="en-US"/>
              </w:rPr>
              <w:t>/</w:t>
            </w:r>
            <w:r w:rsidR="000A1D68" w:rsidRPr="000A1D68">
              <w:rPr>
                <w:rFonts w:ascii="Arial" w:hAnsi="Arial" w:cs="Arial"/>
                <w:lang w:val="en-US"/>
              </w:rPr>
              <w:t>01976</w:t>
            </w:r>
          </w:p>
          <w:p w14:paraId="29CE0FA8" w14:textId="58560F30" w:rsidR="00AF7D5F" w:rsidRDefault="00AF7D5F" w:rsidP="00AF7D5F">
            <w:pPr>
              <w:spacing w:line="360" w:lineRule="auto"/>
              <w:jc w:val="right"/>
              <w:rPr>
                <w:rFonts w:ascii="Arial" w:hAnsi="Arial" w:cs="Arial"/>
                <w:lang w:val="en-US"/>
              </w:rPr>
            </w:pPr>
          </w:p>
        </w:tc>
      </w:tr>
      <w:tr w:rsidR="00AF7D5F" w:rsidRPr="00FE7F68" w14:paraId="10C4EC0D" w14:textId="77777777" w:rsidTr="00155B26">
        <w:tc>
          <w:tcPr>
            <w:tcW w:w="8789" w:type="dxa"/>
            <w:gridSpan w:val="4"/>
          </w:tcPr>
          <w:p w14:paraId="3B304EC7" w14:textId="77777777" w:rsidR="00AF7D5F" w:rsidRDefault="00AF7D5F" w:rsidP="00AF7D5F">
            <w:pPr>
              <w:spacing w:line="360" w:lineRule="auto"/>
              <w:rPr>
                <w:rFonts w:ascii="Arial" w:hAnsi="Arial" w:cs="Arial"/>
                <w:lang w:val="en-US"/>
              </w:rPr>
            </w:pPr>
            <w:r>
              <w:rPr>
                <w:rFonts w:ascii="Arial" w:hAnsi="Arial" w:cs="Arial"/>
                <w:lang w:val="en-US"/>
              </w:rPr>
              <w:t>In the matter between:</w:t>
            </w:r>
          </w:p>
          <w:p w14:paraId="1BAB2C08" w14:textId="042AE4E0" w:rsidR="00AF7D5F" w:rsidRDefault="00AF7D5F" w:rsidP="00AF7D5F">
            <w:pPr>
              <w:spacing w:line="360" w:lineRule="auto"/>
              <w:rPr>
                <w:rFonts w:ascii="Arial" w:hAnsi="Arial" w:cs="Arial"/>
                <w:b/>
                <w:bCs/>
                <w:highlight w:val="yellow"/>
                <w:lang w:val="en-US"/>
              </w:rPr>
            </w:pPr>
          </w:p>
        </w:tc>
      </w:tr>
      <w:tr w:rsidR="00FE7F68" w:rsidRPr="000A1D68" w14:paraId="34CCEAD3" w14:textId="77777777" w:rsidTr="00155B26">
        <w:tc>
          <w:tcPr>
            <w:tcW w:w="5954" w:type="dxa"/>
            <w:gridSpan w:val="3"/>
          </w:tcPr>
          <w:p w14:paraId="63E62D21" w14:textId="77777777" w:rsidR="00FE7F68" w:rsidRPr="000A1D68" w:rsidRDefault="000A1D68" w:rsidP="00FE7F68">
            <w:pPr>
              <w:spacing w:line="360" w:lineRule="auto"/>
              <w:rPr>
                <w:rFonts w:ascii="Arial" w:hAnsi="Arial" w:cs="Arial"/>
                <w:b/>
                <w:bCs/>
                <w:lang w:val="en-US"/>
              </w:rPr>
            </w:pPr>
            <w:r w:rsidRPr="000A1D68">
              <w:rPr>
                <w:rFonts w:ascii="Arial" w:hAnsi="Arial" w:cs="Arial"/>
                <w:b/>
                <w:bCs/>
                <w:lang w:val="en-US"/>
              </w:rPr>
              <w:t>TRANSNAMIB HOLDINGS LIMITED</w:t>
            </w:r>
          </w:p>
          <w:p w14:paraId="5D832CEA" w14:textId="34ECAE12" w:rsidR="000A1D68" w:rsidRPr="000A1D68" w:rsidRDefault="000A1D68" w:rsidP="00FE7F68">
            <w:pPr>
              <w:spacing w:line="360" w:lineRule="auto"/>
              <w:rPr>
                <w:rFonts w:ascii="Arial" w:hAnsi="Arial" w:cs="Arial"/>
                <w:b/>
                <w:bCs/>
                <w:lang w:val="en-US"/>
              </w:rPr>
            </w:pPr>
          </w:p>
        </w:tc>
        <w:tc>
          <w:tcPr>
            <w:tcW w:w="2835" w:type="dxa"/>
          </w:tcPr>
          <w:p w14:paraId="0C5F0845" w14:textId="367EF09B" w:rsidR="00FE7F68" w:rsidRPr="000A1D68" w:rsidRDefault="00FE7F68" w:rsidP="00FE7F68">
            <w:pPr>
              <w:spacing w:line="360" w:lineRule="auto"/>
              <w:jc w:val="right"/>
              <w:rPr>
                <w:rFonts w:ascii="Arial" w:hAnsi="Arial" w:cs="Arial"/>
                <w:b/>
                <w:bCs/>
                <w:lang w:val="en-US"/>
              </w:rPr>
            </w:pPr>
            <w:r w:rsidRPr="000A1D68">
              <w:rPr>
                <w:rFonts w:ascii="Arial" w:hAnsi="Arial" w:cs="Arial"/>
                <w:b/>
                <w:bCs/>
                <w:lang w:val="en-US"/>
              </w:rPr>
              <w:t>PLAINTIFF</w:t>
            </w:r>
          </w:p>
        </w:tc>
      </w:tr>
      <w:tr w:rsidR="00FE7F68" w:rsidRPr="000A1D68" w14:paraId="0E075A5C" w14:textId="77777777" w:rsidTr="00155B26">
        <w:tc>
          <w:tcPr>
            <w:tcW w:w="8789" w:type="dxa"/>
            <w:gridSpan w:val="4"/>
          </w:tcPr>
          <w:p w14:paraId="08FC5091" w14:textId="77777777" w:rsidR="00FE7F68" w:rsidRPr="000A1D68" w:rsidRDefault="00FE7F68" w:rsidP="00FE7F68">
            <w:pPr>
              <w:spacing w:line="360" w:lineRule="auto"/>
              <w:jc w:val="both"/>
              <w:rPr>
                <w:rFonts w:ascii="Arial" w:hAnsi="Arial" w:cs="Arial"/>
                <w:lang w:val="en-US"/>
              </w:rPr>
            </w:pPr>
            <w:r w:rsidRPr="000A1D68">
              <w:rPr>
                <w:rFonts w:ascii="Arial" w:hAnsi="Arial" w:cs="Arial"/>
                <w:lang w:val="en-US"/>
              </w:rPr>
              <w:t>and</w:t>
            </w:r>
          </w:p>
          <w:p w14:paraId="7105FEA8" w14:textId="5A938592" w:rsidR="000A1D68" w:rsidRPr="000A1D68" w:rsidRDefault="000A1D68" w:rsidP="00FE7F68">
            <w:pPr>
              <w:spacing w:line="360" w:lineRule="auto"/>
              <w:jc w:val="both"/>
              <w:rPr>
                <w:rFonts w:ascii="Arial" w:hAnsi="Arial" w:cs="Arial"/>
                <w:lang w:val="en-US"/>
              </w:rPr>
            </w:pPr>
          </w:p>
        </w:tc>
      </w:tr>
      <w:tr w:rsidR="00FE7F68" w:rsidRPr="00FE7F68" w14:paraId="601BC258" w14:textId="77777777" w:rsidTr="00155B26">
        <w:tc>
          <w:tcPr>
            <w:tcW w:w="5954" w:type="dxa"/>
            <w:gridSpan w:val="3"/>
          </w:tcPr>
          <w:p w14:paraId="44EA80CC" w14:textId="30C06136" w:rsidR="00FE7F68" w:rsidRPr="000A1D68" w:rsidRDefault="000A1D68" w:rsidP="00FE7F68">
            <w:pPr>
              <w:spacing w:line="360" w:lineRule="auto"/>
              <w:rPr>
                <w:rFonts w:ascii="Arial" w:hAnsi="Arial" w:cs="Arial"/>
                <w:b/>
                <w:bCs/>
                <w:lang w:val="en-US"/>
              </w:rPr>
            </w:pPr>
            <w:r w:rsidRPr="000A1D68">
              <w:rPr>
                <w:rFonts w:ascii="Arial" w:hAnsi="Arial" w:cs="Arial"/>
                <w:b/>
                <w:bCs/>
                <w:lang w:val="en-US"/>
              </w:rPr>
              <w:t>ARIS STONE PRODUCTS CC</w:t>
            </w:r>
          </w:p>
          <w:p w14:paraId="4B22417B" w14:textId="64F5D429" w:rsidR="00AF7D5F" w:rsidRPr="000A1D68" w:rsidRDefault="00AF7D5F" w:rsidP="00FE7F68">
            <w:pPr>
              <w:spacing w:line="360" w:lineRule="auto"/>
              <w:rPr>
                <w:rFonts w:ascii="Arial" w:hAnsi="Arial" w:cs="Arial"/>
                <w:b/>
                <w:bCs/>
                <w:lang w:val="en-US"/>
              </w:rPr>
            </w:pPr>
          </w:p>
        </w:tc>
        <w:tc>
          <w:tcPr>
            <w:tcW w:w="2835" w:type="dxa"/>
          </w:tcPr>
          <w:p w14:paraId="7C36DF26" w14:textId="42965A4F" w:rsidR="00FE7F68" w:rsidRPr="00FE7F68" w:rsidRDefault="00FE7F68" w:rsidP="00FE7F68">
            <w:pPr>
              <w:spacing w:line="360" w:lineRule="auto"/>
              <w:jc w:val="right"/>
              <w:rPr>
                <w:rFonts w:ascii="Arial" w:hAnsi="Arial" w:cs="Arial"/>
                <w:b/>
                <w:bCs/>
                <w:lang w:val="en-US"/>
              </w:rPr>
            </w:pPr>
            <w:r w:rsidRPr="000A1D68">
              <w:rPr>
                <w:rFonts w:ascii="Arial" w:hAnsi="Arial" w:cs="Arial"/>
                <w:b/>
                <w:bCs/>
                <w:lang w:val="en-US"/>
              </w:rPr>
              <w:t>DEFENDANT</w:t>
            </w:r>
          </w:p>
        </w:tc>
      </w:tr>
      <w:tr w:rsidR="00AF7D5F" w:rsidRPr="00FE7F68" w14:paraId="41CF2B70" w14:textId="77777777" w:rsidTr="00155B26">
        <w:tc>
          <w:tcPr>
            <w:tcW w:w="2127" w:type="dxa"/>
            <w:gridSpan w:val="2"/>
          </w:tcPr>
          <w:p w14:paraId="487AC033" w14:textId="3EB28DE0" w:rsidR="00AF7D5F" w:rsidRPr="000A1D68" w:rsidRDefault="00AF7D5F" w:rsidP="00AF7D5F">
            <w:pPr>
              <w:spacing w:line="360" w:lineRule="auto"/>
              <w:jc w:val="both"/>
              <w:rPr>
                <w:rFonts w:ascii="Arial" w:hAnsi="Arial" w:cs="Arial"/>
                <w:b/>
                <w:bCs/>
                <w:lang w:val="en-US"/>
              </w:rPr>
            </w:pPr>
            <w:r w:rsidRPr="000A1D68">
              <w:rPr>
                <w:rFonts w:ascii="Arial" w:hAnsi="Arial" w:cs="Arial"/>
                <w:b/>
                <w:bCs/>
                <w:lang w:val="en-US"/>
              </w:rPr>
              <w:t>Neutral citation:</w:t>
            </w:r>
          </w:p>
        </w:tc>
        <w:tc>
          <w:tcPr>
            <w:tcW w:w="6662" w:type="dxa"/>
            <w:gridSpan w:val="2"/>
          </w:tcPr>
          <w:p w14:paraId="251DFA2E" w14:textId="13581534" w:rsidR="00AF7D5F" w:rsidRPr="000A1D68" w:rsidRDefault="000A1D68" w:rsidP="00AF7D5F">
            <w:pPr>
              <w:spacing w:line="360" w:lineRule="auto"/>
              <w:jc w:val="both"/>
              <w:rPr>
                <w:rFonts w:ascii="Arial" w:hAnsi="Arial" w:cs="Arial"/>
                <w:lang w:val="en-US"/>
              </w:rPr>
            </w:pPr>
            <w:proofErr w:type="spellStart"/>
            <w:r w:rsidRPr="000A1D68">
              <w:rPr>
                <w:rFonts w:ascii="Arial" w:hAnsi="Arial" w:cs="Arial"/>
                <w:i/>
                <w:iCs/>
                <w:lang w:val="en-US"/>
              </w:rPr>
              <w:t>TransNamib</w:t>
            </w:r>
            <w:proofErr w:type="spellEnd"/>
            <w:r w:rsidRPr="000A1D68">
              <w:rPr>
                <w:rFonts w:ascii="Arial" w:hAnsi="Arial" w:cs="Arial"/>
                <w:i/>
                <w:iCs/>
                <w:lang w:val="en-US"/>
              </w:rPr>
              <w:t xml:space="preserve"> Holdings Limited</w:t>
            </w:r>
            <w:r w:rsidR="00AF7D5F" w:rsidRPr="000A1D68">
              <w:rPr>
                <w:rFonts w:ascii="Arial" w:hAnsi="Arial" w:cs="Arial"/>
                <w:i/>
                <w:iCs/>
                <w:lang w:val="en-US"/>
              </w:rPr>
              <w:t xml:space="preserve"> v </w:t>
            </w:r>
            <w:r w:rsidRPr="000A1D68">
              <w:rPr>
                <w:rFonts w:ascii="Arial" w:hAnsi="Arial" w:cs="Arial"/>
                <w:i/>
                <w:iCs/>
                <w:lang w:val="en-US"/>
              </w:rPr>
              <w:t>Aris Stone Products CC</w:t>
            </w:r>
            <w:r w:rsidR="00AF7D5F" w:rsidRPr="000A1D68">
              <w:rPr>
                <w:rFonts w:ascii="Arial" w:hAnsi="Arial" w:cs="Arial"/>
                <w:lang w:val="en-US"/>
              </w:rPr>
              <w:t xml:space="preserve"> (HC-MD-CIV-ACT-</w:t>
            </w:r>
            <w:r w:rsidRPr="000A1D68">
              <w:rPr>
                <w:rFonts w:ascii="Arial" w:hAnsi="Arial" w:cs="Arial"/>
                <w:lang w:val="en-US"/>
              </w:rPr>
              <w:t>CON</w:t>
            </w:r>
            <w:r w:rsidR="00AF7D5F" w:rsidRPr="000A1D68">
              <w:rPr>
                <w:rFonts w:ascii="Arial" w:hAnsi="Arial" w:cs="Arial"/>
                <w:lang w:val="en-US"/>
              </w:rPr>
              <w:t>-202</w:t>
            </w:r>
            <w:r w:rsidRPr="000A1D68">
              <w:rPr>
                <w:rFonts w:ascii="Arial" w:hAnsi="Arial" w:cs="Arial"/>
                <w:lang w:val="en-US"/>
              </w:rPr>
              <w:t>3</w:t>
            </w:r>
            <w:r w:rsidR="00AF7D5F" w:rsidRPr="000A1D68">
              <w:rPr>
                <w:rFonts w:ascii="Arial" w:hAnsi="Arial" w:cs="Arial"/>
                <w:lang w:val="en-US"/>
              </w:rPr>
              <w:t>/</w:t>
            </w:r>
            <w:r w:rsidRPr="000A1D68">
              <w:rPr>
                <w:rFonts w:ascii="Arial" w:hAnsi="Arial" w:cs="Arial"/>
                <w:lang w:val="en-US"/>
              </w:rPr>
              <w:t>01976</w:t>
            </w:r>
            <w:r w:rsidR="00AF7D5F" w:rsidRPr="000A1D68">
              <w:rPr>
                <w:rFonts w:ascii="Arial" w:hAnsi="Arial" w:cs="Arial"/>
                <w:lang w:val="en-US"/>
              </w:rPr>
              <w:t>) [2024]</w:t>
            </w:r>
            <w:r w:rsidR="00274E82">
              <w:rPr>
                <w:rFonts w:ascii="Arial" w:hAnsi="Arial" w:cs="Arial"/>
                <w:lang w:val="en-US"/>
              </w:rPr>
              <w:t xml:space="preserve"> NAHCMD</w:t>
            </w:r>
            <w:r w:rsidR="00AF7D5F" w:rsidRPr="000A1D68">
              <w:rPr>
                <w:rFonts w:ascii="Arial" w:hAnsi="Arial" w:cs="Arial"/>
                <w:lang w:val="en-US"/>
              </w:rPr>
              <w:t xml:space="preserve"> </w:t>
            </w:r>
            <w:r w:rsidR="003F7893">
              <w:rPr>
                <w:rFonts w:ascii="Arial" w:hAnsi="Arial" w:cs="Arial"/>
                <w:lang w:val="en-US"/>
              </w:rPr>
              <w:t>65</w:t>
            </w:r>
            <w:r w:rsidR="00AF7D5F" w:rsidRPr="000A1D68">
              <w:rPr>
                <w:rFonts w:ascii="Arial" w:hAnsi="Arial" w:cs="Arial"/>
                <w:lang w:val="en-US"/>
              </w:rPr>
              <w:t xml:space="preserve"> (2</w:t>
            </w:r>
            <w:r w:rsidRPr="000A1D68">
              <w:rPr>
                <w:rFonts w:ascii="Arial" w:hAnsi="Arial" w:cs="Arial"/>
                <w:lang w:val="en-US"/>
              </w:rPr>
              <w:t>1</w:t>
            </w:r>
            <w:r w:rsidR="00AF7D5F" w:rsidRPr="000A1D68">
              <w:rPr>
                <w:rFonts w:ascii="Arial" w:hAnsi="Arial" w:cs="Arial"/>
                <w:lang w:val="en-US"/>
              </w:rPr>
              <w:t xml:space="preserve"> February 2024)</w:t>
            </w:r>
          </w:p>
          <w:p w14:paraId="282C2D36" w14:textId="5C4EF553" w:rsidR="00AF7D5F" w:rsidRPr="000A1D68" w:rsidRDefault="00AF7D5F" w:rsidP="00AF7D5F">
            <w:pPr>
              <w:spacing w:line="360" w:lineRule="auto"/>
              <w:jc w:val="both"/>
              <w:rPr>
                <w:rFonts w:ascii="Arial" w:hAnsi="Arial" w:cs="Arial"/>
                <w:lang w:val="en-US"/>
              </w:rPr>
            </w:pPr>
          </w:p>
        </w:tc>
      </w:tr>
      <w:tr w:rsidR="00AF7D5F" w:rsidRPr="00155B26" w14:paraId="27AE6A1D" w14:textId="77777777" w:rsidTr="00155B26">
        <w:tc>
          <w:tcPr>
            <w:tcW w:w="1418" w:type="dxa"/>
          </w:tcPr>
          <w:p w14:paraId="6BF613A4" w14:textId="39079173" w:rsidR="00AF7D5F" w:rsidRPr="00155B26" w:rsidRDefault="00AF7D5F" w:rsidP="00AF7D5F">
            <w:pPr>
              <w:spacing w:line="360" w:lineRule="auto"/>
              <w:jc w:val="both"/>
              <w:rPr>
                <w:rFonts w:ascii="Arial" w:hAnsi="Arial" w:cs="Arial"/>
                <w:b/>
                <w:bCs/>
                <w:lang w:val="en-US"/>
              </w:rPr>
            </w:pPr>
            <w:r w:rsidRPr="00155B26">
              <w:rPr>
                <w:rFonts w:ascii="Arial" w:hAnsi="Arial" w:cs="Arial"/>
                <w:b/>
                <w:bCs/>
                <w:lang w:val="en-US"/>
              </w:rPr>
              <w:t>Coram:</w:t>
            </w:r>
          </w:p>
        </w:tc>
        <w:tc>
          <w:tcPr>
            <w:tcW w:w="7371" w:type="dxa"/>
            <w:gridSpan w:val="3"/>
          </w:tcPr>
          <w:p w14:paraId="5A5C72D6" w14:textId="21306A88" w:rsidR="00AF7D5F" w:rsidRPr="00155B26" w:rsidRDefault="00155B26" w:rsidP="00AF7D5F">
            <w:pPr>
              <w:spacing w:line="360" w:lineRule="auto"/>
              <w:jc w:val="both"/>
              <w:rPr>
                <w:rFonts w:ascii="Arial" w:hAnsi="Arial" w:cs="Arial"/>
                <w:lang w:val="en-US"/>
              </w:rPr>
            </w:pPr>
            <w:r>
              <w:rPr>
                <w:rFonts w:ascii="Arial" w:hAnsi="Arial" w:cs="Arial"/>
                <w:lang w:val="en-US"/>
              </w:rPr>
              <w:t>DE JAGER AJ</w:t>
            </w:r>
          </w:p>
        </w:tc>
      </w:tr>
      <w:tr w:rsidR="00AF7D5F" w:rsidRPr="000A1D68" w14:paraId="6AA370E6" w14:textId="77777777" w:rsidTr="00155B26">
        <w:tc>
          <w:tcPr>
            <w:tcW w:w="1418" w:type="dxa"/>
          </w:tcPr>
          <w:p w14:paraId="0FD33D8F" w14:textId="392CB1F0" w:rsidR="00AF7D5F" w:rsidRPr="000A1D68" w:rsidRDefault="00AF7D5F" w:rsidP="00AF7D5F">
            <w:pPr>
              <w:spacing w:line="360" w:lineRule="auto"/>
              <w:jc w:val="both"/>
              <w:rPr>
                <w:rFonts w:ascii="Arial" w:hAnsi="Arial" w:cs="Arial"/>
                <w:b/>
                <w:bCs/>
                <w:lang w:val="en-US"/>
              </w:rPr>
            </w:pPr>
            <w:r w:rsidRPr="000A1D68">
              <w:rPr>
                <w:rFonts w:ascii="Arial" w:hAnsi="Arial" w:cs="Arial"/>
                <w:b/>
                <w:bCs/>
                <w:lang w:val="en-US"/>
              </w:rPr>
              <w:t>Heard:</w:t>
            </w:r>
          </w:p>
        </w:tc>
        <w:tc>
          <w:tcPr>
            <w:tcW w:w="7371" w:type="dxa"/>
            <w:gridSpan w:val="3"/>
          </w:tcPr>
          <w:p w14:paraId="35ED4601" w14:textId="28731C59" w:rsidR="00AF7D5F" w:rsidRPr="000A1D68" w:rsidRDefault="000A1D68" w:rsidP="00AF7D5F">
            <w:pPr>
              <w:spacing w:line="360" w:lineRule="auto"/>
              <w:jc w:val="both"/>
              <w:rPr>
                <w:rFonts w:ascii="Arial" w:hAnsi="Arial" w:cs="Arial"/>
                <w:b/>
                <w:bCs/>
                <w:lang w:val="en-US"/>
              </w:rPr>
            </w:pPr>
            <w:r w:rsidRPr="000A1D68">
              <w:rPr>
                <w:rFonts w:ascii="Arial" w:hAnsi="Arial" w:cs="Arial"/>
                <w:b/>
                <w:bCs/>
                <w:lang w:val="en-US"/>
              </w:rPr>
              <w:t>31 January</w:t>
            </w:r>
            <w:r w:rsidR="00155B26" w:rsidRPr="000A1D68">
              <w:rPr>
                <w:rFonts w:ascii="Arial" w:hAnsi="Arial" w:cs="Arial"/>
                <w:b/>
                <w:bCs/>
                <w:lang w:val="en-US"/>
              </w:rPr>
              <w:t xml:space="preserve"> 2024</w:t>
            </w:r>
          </w:p>
        </w:tc>
      </w:tr>
      <w:tr w:rsidR="00AF7D5F" w:rsidRPr="00AF7D5F" w14:paraId="655093C6" w14:textId="77777777" w:rsidTr="00155B26">
        <w:tc>
          <w:tcPr>
            <w:tcW w:w="1418" w:type="dxa"/>
          </w:tcPr>
          <w:p w14:paraId="550E49EA" w14:textId="221779FF" w:rsidR="00AF7D5F" w:rsidRPr="000A1D68" w:rsidRDefault="00AF7D5F" w:rsidP="00AF7D5F">
            <w:pPr>
              <w:spacing w:line="360" w:lineRule="auto"/>
              <w:jc w:val="both"/>
              <w:rPr>
                <w:rFonts w:ascii="Arial" w:hAnsi="Arial" w:cs="Arial"/>
                <w:b/>
                <w:bCs/>
                <w:lang w:val="en-US"/>
              </w:rPr>
            </w:pPr>
            <w:r w:rsidRPr="000A1D68">
              <w:rPr>
                <w:rFonts w:ascii="Arial" w:hAnsi="Arial" w:cs="Arial"/>
                <w:b/>
                <w:bCs/>
                <w:lang w:val="en-US"/>
              </w:rPr>
              <w:t>Delivered:</w:t>
            </w:r>
          </w:p>
        </w:tc>
        <w:tc>
          <w:tcPr>
            <w:tcW w:w="7371" w:type="dxa"/>
            <w:gridSpan w:val="3"/>
          </w:tcPr>
          <w:p w14:paraId="3BB7DE40" w14:textId="3FD375C4" w:rsidR="00AF7D5F" w:rsidRDefault="000A1D68" w:rsidP="00AF7D5F">
            <w:pPr>
              <w:spacing w:line="360" w:lineRule="auto"/>
              <w:jc w:val="both"/>
              <w:rPr>
                <w:rFonts w:ascii="Arial" w:hAnsi="Arial" w:cs="Arial"/>
                <w:b/>
                <w:bCs/>
                <w:lang w:val="en-US"/>
              </w:rPr>
            </w:pPr>
            <w:r w:rsidRPr="000A1D68">
              <w:rPr>
                <w:rFonts w:ascii="Arial" w:hAnsi="Arial" w:cs="Arial"/>
                <w:b/>
                <w:bCs/>
                <w:lang w:val="en-US"/>
              </w:rPr>
              <w:t>21 February</w:t>
            </w:r>
            <w:r w:rsidR="00155B26" w:rsidRPr="000A1D68">
              <w:rPr>
                <w:rFonts w:ascii="Arial" w:hAnsi="Arial" w:cs="Arial"/>
                <w:b/>
                <w:bCs/>
                <w:lang w:val="en-US"/>
              </w:rPr>
              <w:t xml:space="preserve"> 2024</w:t>
            </w:r>
          </w:p>
          <w:p w14:paraId="20367C70" w14:textId="78A3FD94" w:rsidR="00155B26" w:rsidRPr="00155B26" w:rsidRDefault="00155B26" w:rsidP="00AF7D5F">
            <w:pPr>
              <w:spacing w:line="360" w:lineRule="auto"/>
              <w:jc w:val="both"/>
              <w:rPr>
                <w:rFonts w:ascii="Arial" w:hAnsi="Arial" w:cs="Arial"/>
                <w:lang w:val="en-US"/>
              </w:rPr>
            </w:pPr>
          </w:p>
        </w:tc>
      </w:tr>
    </w:tbl>
    <w:p w14:paraId="1A5D37DC" w14:textId="3C3FD099" w:rsidR="00B2520E" w:rsidRDefault="00155B26" w:rsidP="00B2520E">
      <w:pPr>
        <w:pStyle w:val="ListParagraph"/>
        <w:spacing w:line="360" w:lineRule="auto"/>
        <w:ind w:left="0"/>
        <w:jc w:val="both"/>
        <w:rPr>
          <w:rFonts w:ascii="Arial" w:hAnsi="Arial" w:cs="Arial"/>
          <w:lang w:val="en-US"/>
        </w:rPr>
      </w:pPr>
      <w:proofErr w:type="spellStart"/>
      <w:r>
        <w:rPr>
          <w:rFonts w:ascii="Arial" w:hAnsi="Arial" w:cs="Arial"/>
          <w:b/>
          <w:bCs/>
          <w:lang w:val="en-US"/>
        </w:rPr>
        <w:t>Flynote</w:t>
      </w:r>
      <w:proofErr w:type="spellEnd"/>
      <w:r>
        <w:rPr>
          <w:rFonts w:ascii="Arial" w:hAnsi="Arial" w:cs="Arial"/>
          <w:b/>
          <w:bCs/>
          <w:lang w:val="en-US"/>
        </w:rPr>
        <w:t>:</w:t>
      </w:r>
      <w:r>
        <w:rPr>
          <w:rFonts w:ascii="Arial" w:hAnsi="Arial" w:cs="Arial"/>
          <w:b/>
          <w:bCs/>
          <w:lang w:val="en-US"/>
        </w:rPr>
        <w:tab/>
      </w:r>
      <w:r w:rsidR="00B2520E" w:rsidRPr="00B2520E">
        <w:rPr>
          <w:rFonts w:ascii="Arial" w:hAnsi="Arial" w:cs="Arial"/>
          <w:lang w:val="en-US"/>
        </w:rPr>
        <w:t xml:space="preserve">Practice – </w:t>
      </w:r>
      <w:r w:rsidR="00CD4A23">
        <w:rPr>
          <w:rFonts w:ascii="Arial" w:hAnsi="Arial" w:cs="Arial"/>
          <w:lang w:val="en-US"/>
        </w:rPr>
        <w:t>High Court r</w:t>
      </w:r>
      <w:r w:rsidR="00B2520E" w:rsidRPr="00B2520E">
        <w:rPr>
          <w:rFonts w:ascii="Arial" w:hAnsi="Arial" w:cs="Arial"/>
          <w:lang w:val="en-US"/>
        </w:rPr>
        <w:t xml:space="preserve"> 54(3) – Failure to deliver pleading timely, </w:t>
      </w:r>
      <w:r w:rsidR="00EC0433">
        <w:rPr>
          <w:rFonts w:ascii="Arial" w:hAnsi="Arial" w:cs="Arial"/>
          <w:lang w:val="en-US"/>
        </w:rPr>
        <w:t xml:space="preserve">ipso facto </w:t>
      </w:r>
      <w:r w:rsidR="00B2520E" w:rsidRPr="00B2520E">
        <w:rPr>
          <w:rFonts w:ascii="Arial" w:hAnsi="Arial" w:cs="Arial"/>
          <w:lang w:val="en-US"/>
        </w:rPr>
        <w:t xml:space="preserve">barred ex </w:t>
      </w:r>
      <w:proofErr w:type="spellStart"/>
      <w:r w:rsidR="00B2520E" w:rsidRPr="00B2520E">
        <w:rPr>
          <w:rFonts w:ascii="Arial" w:hAnsi="Arial" w:cs="Arial"/>
          <w:lang w:val="en-US"/>
        </w:rPr>
        <w:t>lege</w:t>
      </w:r>
      <w:proofErr w:type="spellEnd"/>
      <w:r w:rsidR="00B2520E" w:rsidRPr="00B2520E">
        <w:rPr>
          <w:rFonts w:ascii="Arial" w:hAnsi="Arial" w:cs="Arial"/>
          <w:lang w:val="en-US"/>
        </w:rPr>
        <w:t xml:space="preserve"> </w:t>
      </w:r>
      <w:r w:rsidR="00B2520E">
        <w:rPr>
          <w:rFonts w:ascii="Arial" w:hAnsi="Arial" w:cs="Arial"/>
          <w:lang w:val="en-US"/>
        </w:rPr>
        <w:t>–</w:t>
      </w:r>
      <w:r w:rsidR="00B2520E" w:rsidRPr="00B2520E">
        <w:rPr>
          <w:rFonts w:ascii="Arial" w:hAnsi="Arial" w:cs="Arial"/>
          <w:lang w:val="en-US"/>
        </w:rPr>
        <w:t xml:space="preserve"> Rule 56 – Court may, on application for relief from adverse consequence of default, supported by evidence, on good cause shown, condone non-compliance – </w:t>
      </w:r>
      <w:r w:rsidR="00B2520E">
        <w:rPr>
          <w:rFonts w:ascii="Arial" w:hAnsi="Arial" w:cs="Arial"/>
          <w:lang w:val="en-US"/>
        </w:rPr>
        <w:t xml:space="preserve">To </w:t>
      </w:r>
      <w:r w:rsidR="00B2520E" w:rsidRPr="00B2520E">
        <w:rPr>
          <w:rFonts w:ascii="Arial" w:hAnsi="Arial" w:cs="Arial"/>
          <w:lang w:val="en-US"/>
        </w:rPr>
        <w:t xml:space="preserve">apply </w:t>
      </w:r>
      <w:r w:rsidR="00B2520E" w:rsidRPr="00B2520E">
        <w:rPr>
          <w:rFonts w:ascii="Arial" w:hAnsi="Arial" w:cs="Arial"/>
        </w:rPr>
        <w:t>for condonation without delay</w:t>
      </w:r>
      <w:r w:rsidR="00B2520E">
        <w:rPr>
          <w:rFonts w:ascii="Arial" w:hAnsi="Arial" w:cs="Arial"/>
        </w:rPr>
        <w:t xml:space="preserve"> </w:t>
      </w:r>
      <w:r w:rsidR="00B2520E" w:rsidRPr="00B2520E">
        <w:rPr>
          <w:rFonts w:ascii="Arial" w:hAnsi="Arial" w:cs="Arial"/>
        </w:rPr>
        <w:t xml:space="preserve">– To </w:t>
      </w:r>
      <w:r w:rsidR="00B2520E" w:rsidRPr="00B2520E">
        <w:rPr>
          <w:rFonts w:ascii="Arial" w:hAnsi="Arial" w:cs="Arial"/>
          <w:lang w:val="en-US"/>
        </w:rPr>
        <w:t xml:space="preserve">succeed with condonation application, required to meet two requirements of good cause </w:t>
      </w:r>
      <w:r w:rsidR="00B2520E" w:rsidRPr="00B2520E">
        <w:rPr>
          <w:rFonts w:ascii="Arial" w:hAnsi="Arial" w:cs="Arial"/>
          <w:lang w:val="en-US"/>
        </w:rPr>
        <w:lastRenderedPageBreak/>
        <w:t xml:space="preserve">– </w:t>
      </w:r>
      <w:r w:rsidR="00B2520E">
        <w:rPr>
          <w:rFonts w:ascii="Arial" w:hAnsi="Arial" w:cs="Arial"/>
          <w:lang w:val="en-US"/>
        </w:rPr>
        <w:t>R</w:t>
      </w:r>
      <w:r w:rsidR="00B2520E" w:rsidRPr="00B2520E">
        <w:rPr>
          <w:rFonts w:ascii="Arial" w:hAnsi="Arial" w:cs="Arial"/>
          <w:lang w:val="en-US"/>
        </w:rPr>
        <w:t xml:space="preserve">easonable and acceptable explanation and satisfying court there is reasonable prospect of success - </w:t>
      </w:r>
      <w:r w:rsidR="00B2520E" w:rsidRPr="00B2520E">
        <w:rPr>
          <w:rFonts w:ascii="Arial" w:hAnsi="Arial" w:cs="Arial"/>
        </w:rPr>
        <w:t>Explanation must be full, detailed and accurate – B</w:t>
      </w:r>
      <w:proofErr w:type="spellStart"/>
      <w:r w:rsidR="00B2520E" w:rsidRPr="00B2520E">
        <w:rPr>
          <w:rFonts w:ascii="Arial" w:hAnsi="Arial" w:cs="Arial"/>
          <w:lang w:val="en-US"/>
        </w:rPr>
        <w:t>alancing</w:t>
      </w:r>
      <w:proofErr w:type="spellEnd"/>
      <w:r w:rsidR="00B2520E" w:rsidRPr="00B2520E">
        <w:rPr>
          <w:rFonts w:ascii="Arial" w:hAnsi="Arial" w:cs="Arial"/>
          <w:lang w:val="en-US"/>
        </w:rPr>
        <w:t xml:space="preserve"> exercise of two requirements</w:t>
      </w:r>
      <w:r w:rsidR="00B2520E">
        <w:rPr>
          <w:rFonts w:ascii="Arial" w:hAnsi="Arial" w:cs="Arial"/>
          <w:lang w:val="en-US"/>
        </w:rPr>
        <w:t xml:space="preserve"> and factors</w:t>
      </w:r>
      <w:r w:rsidR="00B2520E" w:rsidRPr="00B2520E">
        <w:rPr>
          <w:rFonts w:ascii="Arial" w:hAnsi="Arial" w:cs="Arial"/>
          <w:lang w:val="en-US"/>
        </w:rPr>
        <w:t>.</w:t>
      </w:r>
    </w:p>
    <w:p w14:paraId="0534B457" w14:textId="77777777" w:rsidR="00B2520E" w:rsidRPr="00B2520E" w:rsidRDefault="00B2520E" w:rsidP="00B2520E">
      <w:pPr>
        <w:pStyle w:val="ListParagraph"/>
        <w:rPr>
          <w:rFonts w:ascii="Arial" w:hAnsi="Arial" w:cs="Arial"/>
          <w:bCs/>
        </w:rPr>
      </w:pPr>
    </w:p>
    <w:p w14:paraId="421D4D67" w14:textId="565C8E1F" w:rsidR="00B2520E" w:rsidRDefault="00B2520E" w:rsidP="00B2520E">
      <w:pPr>
        <w:pStyle w:val="ListParagraph"/>
        <w:spacing w:line="360" w:lineRule="auto"/>
        <w:ind w:left="0"/>
        <w:jc w:val="both"/>
        <w:rPr>
          <w:rFonts w:ascii="Arial" w:hAnsi="Arial" w:cs="Arial"/>
          <w:lang w:val="en-US"/>
        </w:rPr>
      </w:pPr>
      <w:r w:rsidRPr="00B2520E">
        <w:rPr>
          <w:rFonts w:ascii="Arial" w:hAnsi="Arial" w:cs="Arial"/>
          <w:lang w:val="en-US"/>
        </w:rPr>
        <w:t xml:space="preserve">Statute – Interpretation </w:t>
      </w:r>
      <w:r>
        <w:rPr>
          <w:rFonts w:ascii="Arial" w:hAnsi="Arial" w:cs="Arial"/>
          <w:lang w:val="en-US"/>
        </w:rPr>
        <w:t>–</w:t>
      </w:r>
      <w:r w:rsidRPr="00B2520E">
        <w:rPr>
          <w:rFonts w:ascii="Arial" w:hAnsi="Arial" w:cs="Arial"/>
          <w:lang w:val="en-US"/>
        </w:rPr>
        <w:t xml:space="preserve"> </w:t>
      </w:r>
      <w:r w:rsidR="00CD4A23">
        <w:rPr>
          <w:rFonts w:ascii="Arial" w:hAnsi="Arial" w:cs="Arial"/>
          <w:lang w:val="en-US"/>
        </w:rPr>
        <w:t>High Court r</w:t>
      </w:r>
      <w:r w:rsidRPr="00B2520E">
        <w:rPr>
          <w:rFonts w:ascii="Arial" w:hAnsi="Arial" w:cs="Arial"/>
          <w:lang w:val="en-US"/>
        </w:rPr>
        <w:t xml:space="preserve"> 56(2) – Application must be supported by evidence – Not interpreted to mean applicant must prove its reasonable prospect of success or provide evidence</w:t>
      </w:r>
      <w:r>
        <w:rPr>
          <w:rFonts w:ascii="Arial" w:hAnsi="Arial" w:cs="Arial"/>
          <w:lang w:val="en-US"/>
        </w:rPr>
        <w:t xml:space="preserve"> </w:t>
      </w:r>
      <w:r w:rsidR="00513FF3">
        <w:rPr>
          <w:rFonts w:ascii="Arial" w:hAnsi="Arial" w:cs="Arial"/>
          <w:lang w:val="en-US"/>
        </w:rPr>
        <w:t>for</w:t>
      </w:r>
      <w:r>
        <w:rPr>
          <w:rFonts w:ascii="Arial" w:hAnsi="Arial" w:cs="Arial"/>
          <w:lang w:val="en-US"/>
        </w:rPr>
        <w:t xml:space="preserve"> it</w:t>
      </w:r>
      <w:r w:rsidRPr="00B2520E">
        <w:rPr>
          <w:rFonts w:ascii="Arial" w:hAnsi="Arial" w:cs="Arial"/>
          <w:lang w:val="en-US"/>
        </w:rPr>
        <w:t xml:space="preserve"> – Court has discretion to condone non-compliance – Court exercising its discretion must be satisfied there is reasonable prospect of success.</w:t>
      </w:r>
    </w:p>
    <w:p w14:paraId="792F4CAB" w14:textId="77777777" w:rsidR="00B2520E" w:rsidRPr="00B2520E" w:rsidRDefault="00B2520E" w:rsidP="00B2520E">
      <w:pPr>
        <w:pStyle w:val="ListParagraph"/>
        <w:rPr>
          <w:rFonts w:ascii="Arial" w:hAnsi="Arial" w:cs="Arial"/>
          <w:bCs/>
        </w:rPr>
      </w:pPr>
    </w:p>
    <w:p w14:paraId="604D0101" w14:textId="73CBB839" w:rsidR="00B2520E" w:rsidRDefault="00B2520E" w:rsidP="00B2520E">
      <w:pPr>
        <w:pStyle w:val="ListParagraph"/>
        <w:spacing w:line="360" w:lineRule="auto"/>
        <w:ind w:left="0"/>
        <w:jc w:val="both"/>
        <w:rPr>
          <w:rFonts w:ascii="Arial" w:hAnsi="Arial" w:cs="Arial"/>
          <w:lang w:val="en-US"/>
        </w:rPr>
      </w:pPr>
      <w:r w:rsidRPr="00B2520E">
        <w:rPr>
          <w:rFonts w:ascii="Arial" w:hAnsi="Arial" w:cs="Arial"/>
          <w:bCs/>
        </w:rPr>
        <w:t>Condonation – Effect of mediation referral on</w:t>
      </w:r>
      <w:r>
        <w:rPr>
          <w:rFonts w:ascii="Arial" w:hAnsi="Arial" w:cs="Arial"/>
          <w:bCs/>
        </w:rPr>
        <w:t xml:space="preserve"> </w:t>
      </w:r>
      <w:r w:rsidRPr="00B2520E">
        <w:rPr>
          <w:rFonts w:ascii="Arial" w:hAnsi="Arial" w:cs="Arial"/>
          <w:bCs/>
        </w:rPr>
        <w:t xml:space="preserve">duty to launch condonation application without delay – </w:t>
      </w:r>
      <w:r w:rsidR="00CD4A23">
        <w:rPr>
          <w:rFonts w:ascii="Arial" w:hAnsi="Arial" w:cs="Arial"/>
          <w:lang w:val="en-US"/>
        </w:rPr>
        <w:t>High Court r</w:t>
      </w:r>
      <w:r w:rsidRPr="00B2520E">
        <w:rPr>
          <w:rFonts w:ascii="Arial" w:hAnsi="Arial" w:cs="Arial"/>
          <w:lang w:val="en-US"/>
        </w:rPr>
        <w:t xml:space="preserve"> 38(3) </w:t>
      </w:r>
      <w:r>
        <w:rPr>
          <w:rFonts w:ascii="Arial" w:hAnsi="Arial" w:cs="Arial"/>
          <w:lang w:val="en-US"/>
        </w:rPr>
        <w:t>–</w:t>
      </w:r>
      <w:r w:rsidRPr="00B2520E">
        <w:rPr>
          <w:rFonts w:ascii="Arial" w:hAnsi="Arial" w:cs="Arial"/>
          <w:lang w:val="en-US"/>
        </w:rPr>
        <w:t xml:space="preserve"> </w:t>
      </w:r>
      <w:r w:rsidRPr="00B2520E">
        <w:rPr>
          <w:rFonts w:ascii="Arial" w:hAnsi="Arial" w:cs="Arial"/>
        </w:rPr>
        <w:t xml:space="preserve">No further proceedings must take place until an order based on mediator’s report – </w:t>
      </w:r>
      <w:r w:rsidR="00CD4A23">
        <w:rPr>
          <w:rFonts w:ascii="Arial" w:hAnsi="Arial" w:cs="Arial"/>
          <w:bCs/>
        </w:rPr>
        <w:t>M</w:t>
      </w:r>
      <w:r w:rsidRPr="00B2520E">
        <w:rPr>
          <w:rFonts w:ascii="Arial" w:hAnsi="Arial" w:cs="Arial"/>
          <w:lang w:val="en-US"/>
        </w:rPr>
        <w:t xml:space="preserve">atter is only referred to mediation at the mediation referral proceedings, not </w:t>
      </w:r>
      <w:r w:rsidR="00EC0433">
        <w:rPr>
          <w:rFonts w:ascii="Arial" w:hAnsi="Arial" w:cs="Arial"/>
          <w:lang w:val="en-US"/>
        </w:rPr>
        <w:t xml:space="preserve">at </w:t>
      </w:r>
      <w:r w:rsidRPr="00B2520E">
        <w:rPr>
          <w:rFonts w:ascii="Arial" w:hAnsi="Arial" w:cs="Arial"/>
          <w:lang w:val="en-US"/>
        </w:rPr>
        <w:t xml:space="preserve">the initial mediation referral proceedings – Statute – Interpretation </w:t>
      </w:r>
      <w:r w:rsidR="00CD4A23">
        <w:rPr>
          <w:rFonts w:ascii="Arial" w:hAnsi="Arial" w:cs="Arial"/>
          <w:lang w:val="en-US"/>
        </w:rPr>
        <w:t>–</w:t>
      </w:r>
      <w:r w:rsidRPr="00B2520E">
        <w:rPr>
          <w:rFonts w:ascii="Arial" w:hAnsi="Arial" w:cs="Arial"/>
          <w:lang w:val="en-US"/>
        </w:rPr>
        <w:t xml:space="preserve"> Rule 38(3) – Interpreted to mean as from the mediation referral order, no further proceedings must take place</w:t>
      </w:r>
      <w:r w:rsidRPr="00B2520E">
        <w:rPr>
          <w:rFonts w:ascii="Arial" w:hAnsi="Arial" w:cs="Arial"/>
          <w:bCs/>
        </w:rPr>
        <w:t xml:space="preserve"> – </w:t>
      </w:r>
      <w:r w:rsidRPr="00B2520E">
        <w:rPr>
          <w:rFonts w:ascii="Arial" w:hAnsi="Arial" w:cs="Arial"/>
          <w:lang w:val="en-US"/>
        </w:rPr>
        <w:t xml:space="preserve">In this instance, </w:t>
      </w:r>
      <w:r w:rsidR="008811B2">
        <w:rPr>
          <w:rFonts w:ascii="Arial" w:hAnsi="Arial" w:cs="Arial"/>
          <w:lang w:val="en-US"/>
        </w:rPr>
        <w:t xml:space="preserve">without deciding a condonation application is a proceeding under r 38(3), </w:t>
      </w:r>
      <w:r w:rsidRPr="00B2520E">
        <w:rPr>
          <w:rFonts w:ascii="Arial" w:hAnsi="Arial" w:cs="Arial"/>
          <w:lang w:val="en-US"/>
        </w:rPr>
        <w:t>proceedings suspended from 7 August 2023 to 18 September 2023 – Periods</w:t>
      </w:r>
      <w:r w:rsidR="0047177E">
        <w:rPr>
          <w:rFonts w:ascii="Arial" w:hAnsi="Arial" w:cs="Arial"/>
          <w:lang w:val="en-US"/>
        </w:rPr>
        <w:t xml:space="preserve"> that</w:t>
      </w:r>
      <w:r w:rsidRPr="00B2520E">
        <w:rPr>
          <w:rFonts w:ascii="Arial" w:hAnsi="Arial" w:cs="Arial"/>
          <w:lang w:val="en-US"/>
        </w:rPr>
        <w:t xml:space="preserve"> require explanation together with explanation for default – </w:t>
      </w:r>
      <w:r w:rsidR="0047177E">
        <w:rPr>
          <w:rFonts w:ascii="Arial" w:hAnsi="Arial" w:cs="Arial"/>
          <w:bCs/>
        </w:rPr>
        <w:t xml:space="preserve">Explanations for default and delay in launching application considered and weighed as well as prospect of success and relevant factors </w:t>
      </w:r>
      <w:r w:rsidRPr="00B2520E">
        <w:rPr>
          <w:rFonts w:ascii="Arial" w:hAnsi="Arial" w:cs="Arial"/>
          <w:lang w:val="en-US"/>
        </w:rPr>
        <w:t xml:space="preserve"> – </w:t>
      </w:r>
      <w:r w:rsidR="002506F6">
        <w:rPr>
          <w:rFonts w:ascii="Arial" w:hAnsi="Arial" w:cs="Arial"/>
          <w:lang w:val="en-US"/>
        </w:rPr>
        <w:t>O</w:t>
      </w:r>
      <w:r w:rsidR="00886F35">
        <w:rPr>
          <w:rFonts w:ascii="Arial" w:hAnsi="Arial" w:cs="Arial"/>
          <w:lang w:val="en-US"/>
        </w:rPr>
        <w:t xml:space="preserve">n </w:t>
      </w:r>
      <w:r w:rsidRPr="00B2520E">
        <w:rPr>
          <w:rFonts w:ascii="Arial" w:hAnsi="Arial" w:cs="Arial"/>
          <w:lang w:val="en-US"/>
        </w:rPr>
        <w:t>conjunctive</w:t>
      </w:r>
      <w:r w:rsidR="00886F35">
        <w:rPr>
          <w:rFonts w:ascii="Arial" w:hAnsi="Arial" w:cs="Arial"/>
          <w:lang w:val="en-US"/>
        </w:rPr>
        <w:t xml:space="preserve"> weights </w:t>
      </w:r>
      <w:r w:rsidRPr="00B2520E">
        <w:rPr>
          <w:rFonts w:ascii="Arial" w:hAnsi="Arial" w:cs="Arial"/>
          <w:lang w:val="en-US"/>
        </w:rPr>
        <w:t>case made for relief sought.</w:t>
      </w:r>
    </w:p>
    <w:p w14:paraId="052C5A22" w14:textId="77777777" w:rsidR="00B2520E" w:rsidRPr="00B2520E" w:rsidRDefault="00B2520E" w:rsidP="00B2520E">
      <w:pPr>
        <w:pStyle w:val="ListParagraph"/>
        <w:rPr>
          <w:rFonts w:ascii="Arial" w:hAnsi="Arial" w:cs="Arial"/>
          <w:bCs/>
        </w:rPr>
      </w:pPr>
    </w:p>
    <w:p w14:paraId="516E0865" w14:textId="46A601C6" w:rsidR="00B2520E" w:rsidRPr="00B2520E" w:rsidRDefault="00B2520E" w:rsidP="00B2520E">
      <w:pPr>
        <w:pStyle w:val="ListParagraph"/>
        <w:spacing w:line="360" w:lineRule="auto"/>
        <w:ind w:left="0"/>
        <w:jc w:val="both"/>
        <w:rPr>
          <w:rFonts w:ascii="Arial" w:hAnsi="Arial" w:cs="Arial"/>
          <w:lang w:val="en-US"/>
        </w:rPr>
      </w:pPr>
      <w:r w:rsidRPr="00B2520E">
        <w:rPr>
          <w:rFonts w:ascii="Arial" w:hAnsi="Arial" w:cs="Arial"/>
          <w:lang w:val="en-US"/>
        </w:rPr>
        <w:t xml:space="preserve">Practice – </w:t>
      </w:r>
      <w:r w:rsidR="00CD4A23">
        <w:rPr>
          <w:rFonts w:ascii="Arial" w:hAnsi="Arial" w:cs="Arial"/>
          <w:lang w:val="en-US"/>
        </w:rPr>
        <w:t>High Court r</w:t>
      </w:r>
      <w:r w:rsidRPr="00B2520E">
        <w:rPr>
          <w:rFonts w:ascii="Arial" w:hAnsi="Arial" w:cs="Arial"/>
          <w:lang w:val="en-US"/>
        </w:rPr>
        <w:t xml:space="preserve"> 32(11) applies to condonation application even though r 32(9) and (10) do not – </w:t>
      </w:r>
      <w:r w:rsidRPr="00B2520E">
        <w:rPr>
          <w:rFonts w:ascii="Arial" w:hAnsi="Arial" w:cs="Arial"/>
          <w:lang w:val="en-NA"/>
        </w:rPr>
        <w:t xml:space="preserve">Rationale </w:t>
      </w:r>
      <w:r w:rsidR="00CD4A23">
        <w:rPr>
          <w:rFonts w:ascii="Arial" w:hAnsi="Arial" w:cs="Arial"/>
          <w:lang w:val="en-NA"/>
        </w:rPr>
        <w:t xml:space="preserve">for </w:t>
      </w:r>
      <w:r w:rsidRPr="00B2520E">
        <w:rPr>
          <w:rFonts w:ascii="Arial" w:hAnsi="Arial" w:cs="Arial"/>
          <w:lang w:val="en-NA"/>
        </w:rPr>
        <w:t xml:space="preserve">r 32(11) rings true in condonation application </w:t>
      </w:r>
      <w:r w:rsidR="00CD4A23">
        <w:rPr>
          <w:rFonts w:ascii="Arial" w:hAnsi="Arial" w:cs="Arial"/>
          <w:lang w:val="en-NA"/>
        </w:rPr>
        <w:t>–</w:t>
      </w:r>
      <w:r w:rsidRPr="00B2520E">
        <w:rPr>
          <w:rFonts w:ascii="Arial" w:hAnsi="Arial" w:cs="Arial"/>
          <w:lang w:val="en-NA"/>
        </w:rPr>
        <w:t xml:space="preserve"> To limit opposition to condonation application</w:t>
      </w:r>
      <w:r w:rsidR="00CD4A23">
        <w:rPr>
          <w:rFonts w:ascii="Arial" w:hAnsi="Arial" w:cs="Arial"/>
          <w:lang w:val="en-NA"/>
        </w:rPr>
        <w:t>,</w:t>
      </w:r>
      <w:r w:rsidRPr="00B2520E">
        <w:rPr>
          <w:rFonts w:ascii="Arial" w:hAnsi="Arial" w:cs="Arial"/>
          <w:lang w:val="en-NA"/>
        </w:rPr>
        <w:t xml:space="preserve"> thereby limiting opposed interlocutory proceedings and costs in litigation and facilitating speedy disposal </w:t>
      </w:r>
      <w:r w:rsidR="00CD4A23">
        <w:rPr>
          <w:rFonts w:ascii="Arial" w:hAnsi="Arial" w:cs="Arial"/>
          <w:lang w:val="en-NA"/>
        </w:rPr>
        <w:t xml:space="preserve">thereof – Party succeeding in defence to condonation application considered successful party under r 32(11). </w:t>
      </w:r>
    </w:p>
    <w:p w14:paraId="0544F0D3" w14:textId="77777777" w:rsidR="00B2520E" w:rsidRPr="00B2520E" w:rsidRDefault="00B2520E" w:rsidP="00B2520E">
      <w:pPr>
        <w:pStyle w:val="ListParagraph"/>
        <w:rPr>
          <w:rFonts w:ascii="Arial" w:hAnsi="Arial" w:cs="Arial"/>
          <w:b/>
          <w:bCs/>
          <w:lang w:val="en-US"/>
        </w:rPr>
      </w:pPr>
    </w:p>
    <w:p w14:paraId="77FE3426" w14:textId="63FAFFCE" w:rsidR="00B2520E" w:rsidRDefault="00155B26" w:rsidP="00B2520E">
      <w:pPr>
        <w:pStyle w:val="ListParagraph"/>
        <w:spacing w:line="360" w:lineRule="auto"/>
        <w:ind w:left="0"/>
        <w:jc w:val="both"/>
        <w:rPr>
          <w:rFonts w:ascii="Arial" w:hAnsi="Arial" w:cs="Arial"/>
          <w:lang w:val="en-US"/>
        </w:rPr>
      </w:pPr>
      <w:r w:rsidRPr="00B2520E">
        <w:rPr>
          <w:rFonts w:ascii="Arial" w:hAnsi="Arial" w:cs="Arial"/>
          <w:b/>
          <w:bCs/>
          <w:lang w:val="en-US"/>
        </w:rPr>
        <w:t>Summary:</w:t>
      </w:r>
      <w:r w:rsidRPr="00B2520E">
        <w:rPr>
          <w:rFonts w:ascii="Arial" w:hAnsi="Arial" w:cs="Arial"/>
          <w:b/>
          <w:bCs/>
          <w:lang w:val="en-US"/>
        </w:rPr>
        <w:tab/>
      </w:r>
      <w:r w:rsidR="00B71737" w:rsidRPr="00B2520E">
        <w:rPr>
          <w:rFonts w:ascii="Arial" w:hAnsi="Arial" w:cs="Arial"/>
          <w:bCs/>
        </w:rPr>
        <w:t xml:space="preserve">The plaintiff seeks condonation for its failure to comply with a court order, upliftment of the bar operative against it, an extension of time to file its pleadings and costs. </w:t>
      </w:r>
      <w:r w:rsidR="00B71737" w:rsidRPr="00B2520E">
        <w:rPr>
          <w:rFonts w:ascii="Arial" w:hAnsi="Arial" w:cs="Arial"/>
          <w:lang w:val="en-US"/>
        </w:rPr>
        <w:t xml:space="preserve">The defendant opposed the application </w:t>
      </w:r>
      <w:r w:rsidR="0047552F" w:rsidRPr="00B2520E">
        <w:rPr>
          <w:rFonts w:ascii="Arial" w:hAnsi="Arial" w:cs="Arial"/>
          <w:lang w:val="en-US"/>
        </w:rPr>
        <w:t xml:space="preserve">because </w:t>
      </w:r>
      <w:r w:rsidR="00B71737" w:rsidRPr="00B2520E">
        <w:rPr>
          <w:rFonts w:ascii="Arial" w:hAnsi="Arial" w:cs="Arial"/>
          <w:lang w:val="en-US"/>
        </w:rPr>
        <w:t>the plaintiff failed to show good cause. It said the plaintiff failed to explain why the pleadings were not filed by the due date</w:t>
      </w:r>
      <w:r w:rsidR="0047552F" w:rsidRPr="00B2520E">
        <w:rPr>
          <w:rFonts w:ascii="Arial" w:hAnsi="Arial" w:cs="Arial"/>
          <w:lang w:val="en-US"/>
        </w:rPr>
        <w:t>,</w:t>
      </w:r>
      <w:r w:rsidR="00B71737" w:rsidRPr="00B2520E">
        <w:rPr>
          <w:rFonts w:ascii="Arial" w:hAnsi="Arial" w:cs="Arial"/>
          <w:lang w:val="en-US"/>
        </w:rPr>
        <w:t xml:space="preserve"> and the application was delayed without </w:t>
      </w:r>
      <w:r w:rsidR="0047552F" w:rsidRPr="00B2520E">
        <w:rPr>
          <w:rFonts w:ascii="Arial" w:hAnsi="Arial" w:cs="Arial"/>
          <w:lang w:val="en-US"/>
        </w:rPr>
        <w:t xml:space="preserve">adequate </w:t>
      </w:r>
      <w:r w:rsidR="00B71737" w:rsidRPr="00B2520E">
        <w:rPr>
          <w:rFonts w:ascii="Arial" w:hAnsi="Arial" w:cs="Arial"/>
          <w:lang w:val="en-US"/>
        </w:rPr>
        <w:lastRenderedPageBreak/>
        <w:t>explanati</w:t>
      </w:r>
      <w:r w:rsidR="0047552F" w:rsidRPr="00B2520E">
        <w:rPr>
          <w:rFonts w:ascii="Arial" w:hAnsi="Arial" w:cs="Arial"/>
          <w:lang w:val="en-US"/>
        </w:rPr>
        <w:t>on.</w:t>
      </w:r>
      <w:r w:rsidR="00B71737" w:rsidRPr="00B2520E">
        <w:rPr>
          <w:rFonts w:ascii="Arial" w:hAnsi="Arial" w:cs="Arial"/>
          <w:lang w:val="en-US"/>
        </w:rPr>
        <w:t xml:space="preserve"> The </w:t>
      </w:r>
      <w:r w:rsidR="0047552F" w:rsidRPr="00B2520E">
        <w:rPr>
          <w:rFonts w:ascii="Arial" w:hAnsi="Arial" w:cs="Arial"/>
          <w:lang w:val="en-US"/>
        </w:rPr>
        <w:t>main reas</w:t>
      </w:r>
      <w:r w:rsidR="00B71737" w:rsidRPr="00B2520E">
        <w:rPr>
          <w:rFonts w:ascii="Arial" w:hAnsi="Arial" w:cs="Arial"/>
          <w:lang w:val="en-US"/>
        </w:rPr>
        <w:t>on for the delay in launching the application is that the matter was referred to mediation</w:t>
      </w:r>
      <w:r w:rsidR="00EC0433">
        <w:rPr>
          <w:rFonts w:ascii="Arial" w:hAnsi="Arial" w:cs="Arial"/>
          <w:lang w:val="en-US"/>
        </w:rPr>
        <w:t>. A</w:t>
      </w:r>
      <w:r w:rsidR="0047552F" w:rsidRPr="00B2520E">
        <w:rPr>
          <w:rFonts w:ascii="Arial" w:hAnsi="Arial" w:cs="Arial"/>
          <w:lang w:val="en-US"/>
        </w:rPr>
        <w:t>ccording to t</w:t>
      </w:r>
      <w:r w:rsidR="00B71737" w:rsidRPr="00B2520E">
        <w:rPr>
          <w:rFonts w:ascii="Arial" w:hAnsi="Arial" w:cs="Arial"/>
          <w:lang w:val="en-US"/>
        </w:rPr>
        <w:t>he defendant</w:t>
      </w:r>
      <w:r w:rsidR="0047552F" w:rsidRPr="00B2520E">
        <w:rPr>
          <w:rFonts w:ascii="Arial" w:hAnsi="Arial" w:cs="Arial"/>
          <w:lang w:val="en-US"/>
        </w:rPr>
        <w:t xml:space="preserve">, the mediation referral </w:t>
      </w:r>
      <w:r w:rsidR="00B71737" w:rsidRPr="00B2520E">
        <w:rPr>
          <w:rFonts w:ascii="Arial" w:hAnsi="Arial" w:cs="Arial"/>
          <w:lang w:val="en-US"/>
        </w:rPr>
        <w:t xml:space="preserve">was irrelevant. The defendant further said that the plaintiff does not have a bona fide </w:t>
      </w:r>
      <w:proofErr w:type="spellStart"/>
      <w:r w:rsidR="00B71737" w:rsidRPr="00B2520E">
        <w:rPr>
          <w:rFonts w:ascii="Arial" w:hAnsi="Arial" w:cs="Arial"/>
          <w:lang w:val="en-US"/>
        </w:rPr>
        <w:t>defence</w:t>
      </w:r>
      <w:proofErr w:type="spellEnd"/>
      <w:r w:rsidR="00B71737" w:rsidRPr="00B2520E">
        <w:rPr>
          <w:rFonts w:ascii="Arial" w:hAnsi="Arial" w:cs="Arial"/>
          <w:lang w:val="en-US"/>
        </w:rPr>
        <w:t xml:space="preserve"> in reconvention and contended the plaintiff required an evidential basis for </w:t>
      </w:r>
      <w:r w:rsidR="0047552F" w:rsidRPr="00B2520E">
        <w:rPr>
          <w:rFonts w:ascii="Arial" w:hAnsi="Arial" w:cs="Arial"/>
          <w:lang w:val="en-US"/>
        </w:rPr>
        <w:t>its</w:t>
      </w:r>
      <w:r w:rsidR="00B71737" w:rsidRPr="00B2520E">
        <w:rPr>
          <w:rFonts w:ascii="Arial" w:hAnsi="Arial" w:cs="Arial"/>
          <w:lang w:val="en-US"/>
        </w:rPr>
        <w:t xml:space="preserve"> conclusions on </w:t>
      </w:r>
      <w:r w:rsidR="0047552F" w:rsidRPr="00B2520E">
        <w:rPr>
          <w:rFonts w:ascii="Arial" w:hAnsi="Arial" w:cs="Arial"/>
          <w:lang w:val="en-US"/>
        </w:rPr>
        <w:t xml:space="preserve">its </w:t>
      </w:r>
      <w:r w:rsidR="00B71737" w:rsidRPr="00B2520E">
        <w:rPr>
          <w:rFonts w:ascii="Arial" w:hAnsi="Arial" w:cs="Arial"/>
          <w:lang w:val="en-US"/>
        </w:rPr>
        <w:t xml:space="preserve">prospects of success. The parties were ad idem that High Court r 32 (9) and (10) did not apply to the condonation application, but the defendant said that, as a result, r 32(11) </w:t>
      </w:r>
      <w:r w:rsidR="0047552F" w:rsidRPr="00B2520E">
        <w:rPr>
          <w:rFonts w:ascii="Arial" w:hAnsi="Arial" w:cs="Arial"/>
          <w:lang w:val="en-US"/>
        </w:rPr>
        <w:t>should</w:t>
      </w:r>
      <w:r w:rsidR="00B71737" w:rsidRPr="00B2520E">
        <w:rPr>
          <w:rFonts w:ascii="Arial" w:hAnsi="Arial" w:cs="Arial"/>
          <w:lang w:val="en-US"/>
        </w:rPr>
        <w:t xml:space="preserve"> </w:t>
      </w:r>
      <w:r w:rsidR="0047552F" w:rsidRPr="00B2520E">
        <w:rPr>
          <w:rFonts w:ascii="Arial" w:hAnsi="Arial" w:cs="Arial"/>
          <w:lang w:val="en-US"/>
        </w:rPr>
        <w:t xml:space="preserve">also </w:t>
      </w:r>
      <w:r w:rsidR="00B71737" w:rsidRPr="00B2520E">
        <w:rPr>
          <w:rFonts w:ascii="Arial" w:hAnsi="Arial" w:cs="Arial"/>
          <w:lang w:val="en-US"/>
        </w:rPr>
        <w:t>not apply.</w:t>
      </w:r>
    </w:p>
    <w:p w14:paraId="6E238333" w14:textId="77777777" w:rsidR="00B2520E" w:rsidRPr="00B2520E" w:rsidRDefault="00B2520E" w:rsidP="00B2520E">
      <w:pPr>
        <w:pStyle w:val="ListParagraph"/>
        <w:rPr>
          <w:rFonts w:ascii="Arial" w:hAnsi="Arial" w:cs="Arial"/>
          <w:i/>
          <w:iCs/>
          <w:lang w:val="en-US"/>
        </w:rPr>
      </w:pPr>
    </w:p>
    <w:p w14:paraId="5C427985" w14:textId="203CE5E1" w:rsidR="00CD4A23" w:rsidRDefault="00155B26" w:rsidP="00642B8B">
      <w:pPr>
        <w:pStyle w:val="ListParagraph"/>
        <w:spacing w:line="360" w:lineRule="auto"/>
        <w:ind w:left="0"/>
        <w:jc w:val="both"/>
        <w:rPr>
          <w:rFonts w:ascii="Arial" w:hAnsi="Arial" w:cs="Arial"/>
          <w:lang w:val="en-US"/>
        </w:rPr>
      </w:pPr>
      <w:r w:rsidRPr="00B2520E">
        <w:rPr>
          <w:rFonts w:ascii="Arial" w:hAnsi="Arial" w:cs="Arial"/>
          <w:i/>
          <w:iCs/>
          <w:lang w:val="en-US"/>
        </w:rPr>
        <w:t>Held that</w:t>
      </w:r>
      <w:r w:rsidRPr="00B2520E">
        <w:rPr>
          <w:rFonts w:ascii="Arial" w:hAnsi="Arial" w:cs="Arial"/>
          <w:lang w:val="en-US"/>
        </w:rPr>
        <w:t xml:space="preserve"> </w:t>
      </w:r>
      <w:r w:rsidR="00CD4A23">
        <w:rPr>
          <w:rFonts w:ascii="Arial" w:hAnsi="Arial" w:cs="Arial"/>
          <w:lang w:val="en-US"/>
        </w:rPr>
        <w:t>High Court r</w:t>
      </w:r>
      <w:r w:rsidR="00CD4A23" w:rsidRPr="00CD4A23">
        <w:rPr>
          <w:rFonts w:ascii="Arial" w:hAnsi="Arial" w:cs="Arial"/>
          <w:lang w:val="en-US"/>
        </w:rPr>
        <w:t xml:space="preserve"> 54(3) provides that where a party fails to deliver a pleading </w:t>
      </w:r>
      <w:r w:rsidR="00CD4A23">
        <w:rPr>
          <w:rFonts w:ascii="Arial" w:hAnsi="Arial" w:cs="Arial"/>
          <w:lang w:val="en-US"/>
        </w:rPr>
        <w:t>timely</w:t>
      </w:r>
      <w:r w:rsidR="00CD4A23" w:rsidRPr="00CD4A23">
        <w:rPr>
          <w:rFonts w:ascii="Arial" w:hAnsi="Arial" w:cs="Arial"/>
          <w:lang w:val="en-US"/>
        </w:rPr>
        <w:t xml:space="preserve">, that party is in default and </w:t>
      </w:r>
      <w:r w:rsidR="0047177E">
        <w:rPr>
          <w:rFonts w:ascii="Arial" w:hAnsi="Arial" w:cs="Arial"/>
          <w:lang w:val="en-US"/>
        </w:rPr>
        <w:t xml:space="preserve">barred </w:t>
      </w:r>
      <w:r w:rsidR="00EC0433">
        <w:rPr>
          <w:rFonts w:ascii="Arial" w:hAnsi="Arial" w:cs="Arial"/>
          <w:lang w:val="en-US"/>
        </w:rPr>
        <w:t xml:space="preserve">ex </w:t>
      </w:r>
      <w:proofErr w:type="spellStart"/>
      <w:r w:rsidR="00EC0433">
        <w:rPr>
          <w:rFonts w:ascii="Arial" w:hAnsi="Arial" w:cs="Arial"/>
          <w:lang w:val="en-US"/>
        </w:rPr>
        <w:t>lege</w:t>
      </w:r>
      <w:proofErr w:type="spellEnd"/>
      <w:r w:rsidR="00EC0433">
        <w:rPr>
          <w:rFonts w:ascii="Arial" w:hAnsi="Arial" w:cs="Arial"/>
          <w:lang w:val="en-US"/>
        </w:rPr>
        <w:t xml:space="preserve"> </w:t>
      </w:r>
      <w:r w:rsidR="0047177E">
        <w:rPr>
          <w:rFonts w:ascii="Arial" w:hAnsi="Arial" w:cs="Arial"/>
          <w:lang w:val="en-US"/>
        </w:rPr>
        <w:t>by that very fact</w:t>
      </w:r>
      <w:r w:rsidR="00CD4A23" w:rsidRPr="00CD4A23">
        <w:rPr>
          <w:rFonts w:ascii="Arial" w:hAnsi="Arial" w:cs="Arial"/>
          <w:lang w:val="en-US"/>
        </w:rPr>
        <w:t>.</w:t>
      </w:r>
    </w:p>
    <w:p w14:paraId="7D3CCBFD" w14:textId="77777777" w:rsidR="00CD4A23" w:rsidRPr="00CD4A23" w:rsidRDefault="00CD4A23" w:rsidP="00CD4A23">
      <w:pPr>
        <w:pStyle w:val="ListParagraph"/>
        <w:rPr>
          <w:rFonts w:ascii="Arial" w:hAnsi="Arial" w:cs="Arial"/>
          <w:lang w:val="en-US"/>
        </w:rPr>
      </w:pPr>
    </w:p>
    <w:p w14:paraId="7884E0CE" w14:textId="77777777" w:rsidR="00CD4A23" w:rsidRDefault="00CD4A23" w:rsidP="00642B8B">
      <w:pPr>
        <w:pStyle w:val="ListParagraph"/>
        <w:spacing w:line="360" w:lineRule="auto"/>
        <w:ind w:left="0"/>
        <w:jc w:val="both"/>
        <w:rPr>
          <w:rFonts w:ascii="Arial" w:hAnsi="Arial" w:cs="Arial"/>
          <w:lang w:val="en-US"/>
        </w:rPr>
      </w:pPr>
      <w:r w:rsidRPr="00CD4A23">
        <w:rPr>
          <w:rFonts w:ascii="Arial" w:hAnsi="Arial" w:cs="Arial"/>
          <w:i/>
          <w:iCs/>
          <w:lang w:val="en-US"/>
        </w:rPr>
        <w:t>Held that</w:t>
      </w:r>
      <w:r>
        <w:rPr>
          <w:rFonts w:ascii="Arial" w:hAnsi="Arial" w:cs="Arial"/>
          <w:lang w:val="en-US"/>
        </w:rPr>
        <w:t xml:space="preserve"> under</w:t>
      </w:r>
      <w:r w:rsidRPr="00CD4A23">
        <w:rPr>
          <w:rFonts w:ascii="Arial" w:hAnsi="Arial" w:cs="Arial"/>
          <w:lang w:val="en-US"/>
        </w:rPr>
        <w:t xml:space="preserve"> r 56, the court may, on application for relief from the adverse consequence brought about by r 54(3), supported by evidence, on good cause shown, condone the plaintiff’s non-compliance with the court order of 21 June 2023. </w:t>
      </w:r>
    </w:p>
    <w:p w14:paraId="1CB13813" w14:textId="77777777" w:rsidR="00CD4A23" w:rsidRPr="00CD4A23" w:rsidRDefault="00CD4A23" w:rsidP="00CD4A23">
      <w:pPr>
        <w:pStyle w:val="ListParagraph"/>
        <w:rPr>
          <w:rFonts w:ascii="Arial" w:hAnsi="Arial" w:cs="Arial"/>
          <w:lang w:val="en-US"/>
        </w:rPr>
      </w:pPr>
    </w:p>
    <w:p w14:paraId="08DF3359" w14:textId="19958B73" w:rsidR="00CD4A23" w:rsidRDefault="00CD4A23" w:rsidP="00642B8B">
      <w:pPr>
        <w:pStyle w:val="ListParagraph"/>
        <w:spacing w:line="360" w:lineRule="auto"/>
        <w:ind w:left="0"/>
        <w:jc w:val="both"/>
        <w:rPr>
          <w:rFonts w:ascii="Arial" w:hAnsi="Arial" w:cs="Arial"/>
          <w:lang w:val="en-US"/>
        </w:rPr>
      </w:pPr>
      <w:r w:rsidRPr="00CD4A23">
        <w:rPr>
          <w:rFonts w:ascii="Arial" w:hAnsi="Arial" w:cs="Arial"/>
          <w:i/>
          <w:iCs/>
          <w:lang w:val="en-US"/>
        </w:rPr>
        <w:t>Held that</w:t>
      </w:r>
      <w:r>
        <w:rPr>
          <w:rFonts w:ascii="Arial" w:hAnsi="Arial" w:cs="Arial"/>
          <w:lang w:val="en-US"/>
        </w:rPr>
        <w:t xml:space="preserve"> upon</w:t>
      </w:r>
      <w:r w:rsidRPr="00CD4A23">
        <w:rPr>
          <w:rFonts w:ascii="Arial" w:hAnsi="Arial" w:cs="Arial"/>
          <w:lang w:val="en-US"/>
        </w:rPr>
        <w:t xml:space="preserve"> non-compliance, a</w:t>
      </w:r>
      <w:r>
        <w:rPr>
          <w:rFonts w:ascii="Arial" w:hAnsi="Arial" w:cs="Arial"/>
          <w:lang w:val="en-US"/>
        </w:rPr>
        <w:t xml:space="preserve"> condonation application should be launched without delay, and t</w:t>
      </w:r>
      <w:r w:rsidRPr="00CD4A23">
        <w:rPr>
          <w:rFonts w:ascii="Arial" w:hAnsi="Arial" w:cs="Arial"/>
          <w:lang w:val="en-US"/>
        </w:rPr>
        <w:t>o succeed</w:t>
      </w:r>
      <w:r>
        <w:rPr>
          <w:rFonts w:ascii="Arial" w:hAnsi="Arial" w:cs="Arial"/>
          <w:lang w:val="en-US"/>
        </w:rPr>
        <w:t xml:space="preserve">, </w:t>
      </w:r>
      <w:r w:rsidRPr="00CD4A23">
        <w:rPr>
          <w:rFonts w:ascii="Arial" w:hAnsi="Arial" w:cs="Arial"/>
          <w:lang w:val="en-US"/>
        </w:rPr>
        <w:t>it is required to meet the two requirements of ‘good cause’</w:t>
      </w:r>
      <w:r>
        <w:rPr>
          <w:rFonts w:ascii="Arial" w:hAnsi="Arial" w:cs="Arial"/>
          <w:lang w:val="en-US"/>
        </w:rPr>
        <w:t xml:space="preserve"> by</w:t>
      </w:r>
      <w:r w:rsidRPr="00CD4A23">
        <w:rPr>
          <w:rFonts w:ascii="Arial" w:hAnsi="Arial" w:cs="Arial"/>
          <w:lang w:val="en-US"/>
        </w:rPr>
        <w:t xml:space="preserve"> establishing a reasonable and acceptable explanation and satisfying the court that there </w:t>
      </w:r>
      <w:r>
        <w:rPr>
          <w:rFonts w:ascii="Arial" w:hAnsi="Arial" w:cs="Arial"/>
          <w:lang w:val="en-US"/>
        </w:rPr>
        <w:t>is a</w:t>
      </w:r>
      <w:r w:rsidRPr="00CD4A23">
        <w:rPr>
          <w:rFonts w:ascii="Arial" w:hAnsi="Arial" w:cs="Arial"/>
          <w:lang w:val="en-US"/>
        </w:rPr>
        <w:t xml:space="preserve"> reasonable prospect of success</w:t>
      </w:r>
      <w:r>
        <w:rPr>
          <w:rFonts w:ascii="Arial" w:hAnsi="Arial" w:cs="Arial"/>
          <w:lang w:val="en-US"/>
        </w:rPr>
        <w:t>. T</w:t>
      </w:r>
      <w:r w:rsidRPr="00CD4A23">
        <w:rPr>
          <w:rFonts w:ascii="Arial" w:hAnsi="Arial" w:cs="Arial"/>
          <w:lang w:val="en-US"/>
        </w:rPr>
        <w:t>he explanation must be full, detailed</w:t>
      </w:r>
      <w:r w:rsidR="0047177E">
        <w:rPr>
          <w:rFonts w:ascii="Arial" w:hAnsi="Arial" w:cs="Arial"/>
          <w:lang w:val="en-US"/>
        </w:rPr>
        <w:t>, and accurate for the court to understand the reasons for it clearly</w:t>
      </w:r>
      <w:r>
        <w:rPr>
          <w:rFonts w:ascii="Arial" w:hAnsi="Arial" w:cs="Arial"/>
          <w:lang w:val="en-US"/>
        </w:rPr>
        <w:t xml:space="preserve">, and the </w:t>
      </w:r>
      <w:r w:rsidRPr="00CD4A23">
        <w:rPr>
          <w:rFonts w:ascii="Arial" w:hAnsi="Arial" w:cs="Arial"/>
          <w:lang w:val="en-US"/>
        </w:rPr>
        <w:t>balancing exercise of the two requirements is a question of deciding what weight to attach to each factor and not an equation of the factors</w:t>
      </w:r>
      <w:r>
        <w:rPr>
          <w:rFonts w:ascii="Arial" w:hAnsi="Arial" w:cs="Arial"/>
          <w:lang w:val="en-US"/>
        </w:rPr>
        <w:t>.</w:t>
      </w:r>
    </w:p>
    <w:p w14:paraId="75C182DE" w14:textId="77777777" w:rsidR="00CD4A23" w:rsidRPr="00CD4A23" w:rsidRDefault="00CD4A23" w:rsidP="00CD4A23">
      <w:pPr>
        <w:pStyle w:val="ListParagraph"/>
        <w:rPr>
          <w:rFonts w:ascii="Arial" w:hAnsi="Arial" w:cs="Arial"/>
          <w:lang w:val="en-US"/>
        </w:rPr>
      </w:pPr>
    </w:p>
    <w:p w14:paraId="42F3CB31" w14:textId="19137BF8" w:rsidR="00B2520E" w:rsidRPr="00CD4A23" w:rsidRDefault="00CD4A23" w:rsidP="00642B8B">
      <w:pPr>
        <w:pStyle w:val="ListParagraph"/>
        <w:spacing w:line="360" w:lineRule="auto"/>
        <w:ind w:left="0"/>
        <w:jc w:val="both"/>
        <w:rPr>
          <w:rFonts w:ascii="Arial" w:hAnsi="Arial" w:cs="Arial"/>
          <w:lang w:val="en-US"/>
        </w:rPr>
      </w:pPr>
      <w:r w:rsidRPr="00CD4A23">
        <w:rPr>
          <w:rFonts w:ascii="Arial" w:hAnsi="Arial" w:cs="Arial"/>
          <w:i/>
          <w:iCs/>
          <w:lang w:val="en-US"/>
        </w:rPr>
        <w:t>Held that</w:t>
      </w:r>
      <w:r>
        <w:rPr>
          <w:rFonts w:ascii="Arial" w:hAnsi="Arial" w:cs="Arial"/>
          <w:lang w:val="en-US"/>
        </w:rPr>
        <w:t xml:space="preserve"> </w:t>
      </w:r>
      <w:r w:rsidRPr="00CD4A23">
        <w:rPr>
          <w:rFonts w:ascii="Arial" w:hAnsi="Arial" w:cs="Arial"/>
          <w:lang w:val="en-US"/>
        </w:rPr>
        <w:t>the provision in r 56(2) that an application for relief must be ‘supported by evidence’ should not be interpreted to mean that an applicant must ‘prove’ that it has a reasonable prospect of success</w:t>
      </w:r>
      <w:r w:rsidR="008811B2">
        <w:rPr>
          <w:rFonts w:ascii="Arial" w:hAnsi="Arial" w:cs="Arial"/>
          <w:lang w:val="en-US"/>
        </w:rPr>
        <w:t xml:space="preserve"> or provide evidence for it</w:t>
      </w:r>
      <w:r w:rsidRPr="00CD4A23">
        <w:rPr>
          <w:rFonts w:ascii="Arial" w:hAnsi="Arial" w:cs="Arial"/>
          <w:lang w:val="en-US"/>
        </w:rPr>
        <w:t>.</w:t>
      </w:r>
      <w:r w:rsidR="008811B2">
        <w:rPr>
          <w:rFonts w:ascii="Arial" w:hAnsi="Arial" w:cs="Arial"/>
          <w:lang w:val="en-US"/>
        </w:rPr>
        <w:t xml:space="preserve"> </w:t>
      </w:r>
      <w:r w:rsidRPr="00CD4A23">
        <w:rPr>
          <w:rFonts w:ascii="Arial" w:hAnsi="Arial" w:cs="Arial"/>
          <w:lang w:val="en-US"/>
        </w:rPr>
        <w:t>The court has the discretion to condone the non-compliance</w:t>
      </w:r>
      <w:r w:rsidR="0047177E">
        <w:rPr>
          <w:rFonts w:ascii="Arial" w:hAnsi="Arial" w:cs="Arial"/>
          <w:lang w:val="en-US"/>
        </w:rPr>
        <w:t>,</w:t>
      </w:r>
      <w:r w:rsidRPr="00CD4A23">
        <w:rPr>
          <w:rFonts w:ascii="Arial" w:hAnsi="Arial" w:cs="Arial"/>
          <w:lang w:val="en-US"/>
        </w:rPr>
        <w:t xml:space="preserve"> </w:t>
      </w:r>
      <w:r w:rsidR="008811B2">
        <w:rPr>
          <w:rFonts w:ascii="Arial" w:hAnsi="Arial" w:cs="Arial"/>
          <w:lang w:val="en-US"/>
        </w:rPr>
        <w:t xml:space="preserve">and </w:t>
      </w:r>
      <w:r w:rsidRPr="00CD4A23">
        <w:rPr>
          <w:rFonts w:ascii="Arial" w:hAnsi="Arial" w:cs="Arial"/>
          <w:lang w:val="en-US"/>
        </w:rPr>
        <w:t>the court exercising its discretion must be satisfied that there is a reasonable prospect of success</w:t>
      </w:r>
      <w:r w:rsidR="008811B2">
        <w:rPr>
          <w:rFonts w:ascii="Arial" w:hAnsi="Arial" w:cs="Arial"/>
          <w:lang w:val="en-US"/>
        </w:rPr>
        <w:t>.</w:t>
      </w:r>
    </w:p>
    <w:p w14:paraId="5D1383F5" w14:textId="77777777" w:rsidR="00B2520E" w:rsidRPr="00B2520E" w:rsidRDefault="00B2520E" w:rsidP="00B2520E">
      <w:pPr>
        <w:pStyle w:val="ListParagraph"/>
        <w:rPr>
          <w:rFonts w:ascii="Arial" w:hAnsi="Arial" w:cs="Arial"/>
          <w:lang w:val="en-US"/>
        </w:rPr>
      </w:pPr>
    </w:p>
    <w:p w14:paraId="40181BE0" w14:textId="2914A799" w:rsidR="00886F35" w:rsidRPr="00886F35" w:rsidRDefault="008811B2" w:rsidP="00642B8B">
      <w:pPr>
        <w:pStyle w:val="ListParagraph"/>
        <w:spacing w:line="360" w:lineRule="auto"/>
        <w:ind w:left="0"/>
        <w:jc w:val="both"/>
        <w:rPr>
          <w:rFonts w:ascii="Arial" w:hAnsi="Arial" w:cs="Arial"/>
          <w:i/>
          <w:iCs/>
          <w:lang w:val="en-US"/>
        </w:rPr>
      </w:pPr>
      <w:r w:rsidRPr="008811B2">
        <w:rPr>
          <w:rFonts w:ascii="Arial" w:hAnsi="Arial" w:cs="Arial"/>
          <w:i/>
          <w:iCs/>
          <w:lang w:val="en-US"/>
        </w:rPr>
        <w:t>Held that</w:t>
      </w:r>
      <w:r w:rsidRPr="00886F35">
        <w:rPr>
          <w:rFonts w:ascii="Arial" w:hAnsi="Arial" w:cs="Arial"/>
          <w:lang w:val="en-US"/>
        </w:rPr>
        <w:t xml:space="preserve"> </w:t>
      </w:r>
      <w:r w:rsidR="00886F35">
        <w:rPr>
          <w:rFonts w:ascii="Arial" w:hAnsi="Arial" w:cs="Arial"/>
          <w:lang w:val="en-US"/>
        </w:rPr>
        <w:t xml:space="preserve">a matter is referred to mediation at the mediation referral proceedings, not </w:t>
      </w:r>
      <w:r w:rsidR="00513FF3">
        <w:rPr>
          <w:rFonts w:ascii="Arial" w:hAnsi="Arial" w:cs="Arial"/>
          <w:lang w:val="en-US"/>
        </w:rPr>
        <w:t xml:space="preserve">at </w:t>
      </w:r>
      <w:r w:rsidR="00886F35">
        <w:rPr>
          <w:rFonts w:ascii="Arial" w:hAnsi="Arial" w:cs="Arial"/>
          <w:lang w:val="en-US"/>
        </w:rPr>
        <w:t>the initial mediation referral proceedings</w:t>
      </w:r>
      <w:r w:rsidR="00513FF3">
        <w:rPr>
          <w:rFonts w:ascii="Arial" w:hAnsi="Arial" w:cs="Arial"/>
          <w:lang w:val="en-US"/>
        </w:rPr>
        <w:t>,</w:t>
      </w:r>
      <w:r w:rsidR="00886F35">
        <w:rPr>
          <w:rFonts w:ascii="Arial" w:hAnsi="Arial" w:cs="Arial"/>
          <w:lang w:val="en-US"/>
        </w:rPr>
        <w:t xml:space="preserve"> and r 38(3) </w:t>
      </w:r>
      <w:r w:rsidR="00513FF3">
        <w:rPr>
          <w:rFonts w:ascii="Arial" w:hAnsi="Arial" w:cs="Arial"/>
          <w:lang w:val="en-US"/>
        </w:rPr>
        <w:t>should be</w:t>
      </w:r>
      <w:r w:rsidR="00886F35">
        <w:rPr>
          <w:rFonts w:ascii="Arial" w:hAnsi="Arial" w:cs="Arial"/>
          <w:lang w:val="en-US"/>
        </w:rPr>
        <w:t xml:space="preserve"> interpreted to mean that </w:t>
      </w:r>
      <w:r w:rsidR="0047177E">
        <w:rPr>
          <w:rFonts w:ascii="Arial" w:hAnsi="Arial" w:cs="Arial"/>
          <w:lang w:val="en-US"/>
        </w:rPr>
        <w:t>no further proceedings must take place as from the mediation referral order</w:t>
      </w:r>
      <w:r w:rsidR="00513FF3">
        <w:rPr>
          <w:rFonts w:ascii="Arial" w:hAnsi="Arial" w:cs="Arial"/>
          <w:lang w:val="en-US"/>
        </w:rPr>
        <w:t>, not the initial mediation referral order</w:t>
      </w:r>
      <w:r w:rsidR="00886F35">
        <w:rPr>
          <w:rFonts w:ascii="Arial" w:hAnsi="Arial" w:cs="Arial"/>
          <w:lang w:val="en-US"/>
        </w:rPr>
        <w:t xml:space="preserve">. </w:t>
      </w:r>
    </w:p>
    <w:p w14:paraId="77F23138" w14:textId="77777777" w:rsidR="00886F35" w:rsidRPr="00886F35" w:rsidRDefault="00886F35" w:rsidP="00886F35">
      <w:pPr>
        <w:pStyle w:val="ListParagraph"/>
        <w:rPr>
          <w:rFonts w:ascii="Arial" w:hAnsi="Arial" w:cs="Arial"/>
          <w:lang w:val="en-US"/>
        </w:rPr>
      </w:pPr>
    </w:p>
    <w:p w14:paraId="4E563A9D" w14:textId="364B3862" w:rsidR="00B2520E" w:rsidRPr="008811B2" w:rsidRDefault="00886F35" w:rsidP="00642B8B">
      <w:pPr>
        <w:pStyle w:val="ListParagraph"/>
        <w:spacing w:line="360" w:lineRule="auto"/>
        <w:ind w:left="0"/>
        <w:jc w:val="both"/>
        <w:rPr>
          <w:rFonts w:ascii="Arial" w:hAnsi="Arial" w:cs="Arial"/>
          <w:i/>
          <w:iCs/>
          <w:lang w:val="en-US"/>
        </w:rPr>
      </w:pPr>
      <w:r w:rsidRPr="00886F35">
        <w:rPr>
          <w:rFonts w:ascii="Arial" w:hAnsi="Arial" w:cs="Arial"/>
          <w:i/>
          <w:iCs/>
          <w:lang w:val="en-US"/>
        </w:rPr>
        <w:lastRenderedPageBreak/>
        <w:t>Held that</w:t>
      </w:r>
      <w:r>
        <w:rPr>
          <w:rFonts w:ascii="Arial" w:hAnsi="Arial" w:cs="Arial"/>
          <w:lang w:val="en-US"/>
        </w:rPr>
        <w:t xml:space="preserve"> </w:t>
      </w:r>
      <w:r w:rsidRPr="00886F35">
        <w:rPr>
          <w:rFonts w:ascii="Arial" w:hAnsi="Arial" w:cs="Arial"/>
          <w:lang w:val="en-US"/>
        </w:rPr>
        <w:t>in th</w:t>
      </w:r>
      <w:r>
        <w:rPr>
          <w:rFonts w:ascii="Arial" w:hAnsi="Arial" w:cs="Arial"/>
          <w:lang w:val="en-US"/>
        </w:rPr>
        <w:t>is instance, without deciding that a condonation application is a proceeding under r 38(3), the proceedings were suspended from 7 August 2023 to 18 September 2023</w:t>
      </w:r>
      <w:r w:rsidR="0047177E">
        <w:rPr>
          <w:rFonts w:ascii="Arial" w:hAnsi="Arial" w:cs="Arial"/>
          <w:lang w:val="en-US"/>
        </w:rPr>
        <w:t>,</w:t>
      </w:r>
      <w:r>
        <w:rPr>
          <w:rFonts w:ascii="Arial" w:hAnsi="Arial" w:cs="Arial"/>
          <w:lang w:val="en-US"/>
        </w:rPr>
        <w:t xml:space="preserve"> and the periods from 14 July 2023 to 7 August 2023 and 18 September 2023 to 9 November 2023 require explanation together with explanation for the default. </w:t>
      </w:r>
    </w:p>
    <w:p w14:paraId="06C99106" w14:textId="77777777" w:rsidR="00B2520E" w:rsidRPr="00B2520E" w:rsidRDefault="00B2520E" w:rsidP="00B2520E">
      <w:pPr>
        <w:pStyle w:val="ListParagraph"/>
        <w:rPr>
          <w:rFonts w:ascii="Arial" w:hAnsi="Arial" w:cs="Arial"/>
          <w:lang w:val="en-US"/>
        </w:rPr>
      </w:pPr>
    </w:p>
    <w:p w14:paraId="72BC97D4" w14:textId="5D5DEEC5" w:rsidR="00886F35" w:rsidRDefault="00886F35" w:rsidP="00642B8B">
      <w:pPr>
        <w:pStyle w:val="ListParagraph"/>
        <w:spacing w:line="360" w:lineRule="auto"/>
        <w:ind w:left="0"/>
        <w:jc w:val="both"/>
        <w:rPr>
          <w:rFonts w:ascii="Arial" w:hAnsi="Arial" w:cs="Arial"/>
          <w:lang w:val="en-US"/>
        </w:rPr>
      </w:pPr>
      <w:r w:rsidRPr="00886F35">
        <w:rPr>
          <w:rFonts w:ascii="Arial" w:hAnsi="Arial" w:cs="Arial"/>
          <w:i/>
          <w:iCs/>
          <w:lang w:val="en-US"/>
        </w:rPr>
        <w:t>Held that</w:t>
      </w:r>
      <w:r>
        <w:rPr>
          <w:rFonts w:ascii="Arial" w:hAnsi="Arial" w:cs="Arial"/>
          <w:lang w:val="en-US"/>
        </w:rPr>
        <w:t xml:space="preserve"> </w:t>
      </w:r>
      <w:r>
        <w:rPr>
          <w:rFonts w:ascii="Arial" w:hAnsi="Arial" w:cs="Arial"/>
          <w:bCs/>
        </w:rPr>
        <w:t>the e</w:t>
      </w:r>
      <w:r w:rsidRPr="00886F35">
        <w:rPr>
          <w:rFonts w:ascii="Arial" w:hAnsi="Arial" w:cs="Arial"/>
          <w:bCs/>
        </w:rPr>
        <w:t>x</w:t>
      </w:r>
      <w:r w:rsidRPr="00886F35">
        <w:rPr>
          <w:rFonts w:ascii="Arial" w:hAnsi="Arial" w:cs="Arial"/>
          <w:lang w:val="en-US"/>
        </w:rPr>
        <w:t>planation</w:t>
      </w:r>
      <w:r>
        <w:rPr>
          <w:rFonts w:ascii="Arial" w:hAnsi="Arial" w:cs="Arial"/>
          <w:lang w:val="en-US"/>
        </w:rPr>
        <w:t xml:space="preserve"> </w:t>
      </w:r>
      <w:r w:rsidRPr="00886F35">
        <w:rPr>
          <w:rFonts w:ascii="Arial" w:hAnsi="Arial" w:cs="Arial"/>
          <w:lang w:val="en-US"/>
        </w:rPr>
        <w:t xml:space="preserve">for </w:t>
      </w:r>
      <w:r>
        <w:rPr>
          <w:rFonts w:ascii="Arial" w:hAnsi="Arial" w:cs="Arial"/>
          <w:lang w:val="en-US"/>
        </w:rPr>
        <w:t xml:space="preserve">the </w:t>
      </w:r>
      <w:r w:rsidRPr="00886F35">
        <w:rPr>
          <w:rFonts w:ascii="Arial" w:hAnsi="Arial" w:cs="Arial"/>
          <w:lang w:val="en-US"/>
        </w:rPr>
        <w:t xml:space="preserve">default </w:t>
      </w:r>
      <w:r>
        <w:rPr>
          <w:rFonts w:ascii="Arial" w:hAnsi="Arial" w:cs="Arial"/>
          <w:lang w:val="en-US"/>
        </w:rPr>
        <w:t xml:space="preserve">is </w:t>
      </w:r>
      <w:r w:rsidRPr="00886F35">
        <w:rPr>
          <w:rFonts w:ascii="Arial" w:hAnsi="Arial" w:cs="Arial"/>
          <w:lang w:val="en-US"/>
        </w:rPr>
        <w:t>poor</w:t>
      </w:r>
      <w:r>
        <w:rPr>
          <w:rFonts w:ascii="Arial" w:hAnsi="Arial" w:cs="Arial"/>
          <w:lang w:val="en-US"/>
        </w:rPr>
        <w:t xml:space="preserve"> and </w:t>
      </w:r>
      <w:r w:rsidRPr="00886F35">
        <w:rPr>
          <w:rFonts w:ascii="Arial" w:hAnsi="Arial" w:cs="Arial"/>
          <w:lang w:val="en-US"/>
        </w:rPr>
        <w:t>little weight</w:t>
      </w:r>
      <w:r>
        <w:rPr>
          <w:rFonts w:ascii="Arial" w:hAnsi="Arial" w:cs="Arial"/>
          <w:lang w:val="en-US"/>
        </w:rPr>
        <w:t xml:space="preserve"> is attached, the e</w:t>
      </w:r>
      <w:r w:rsidRPr="00886F35">
        <w:rPr>
          <w:rFonts w:ascii="Arial" w:hAnsi="Arial" w:cs="Arial"/>
          <w:lang w:val="en-US"/>
        </w:rPr>
        <w:t xml:space="preserve">xplanation for 14 July 2023 to 7 August 2023 </w:t>
      </w:r>
      <w:r>
        <w:rPr>
          <w:rFonts w:ascii="Arial" w:hAnsi="Arial" w:cs="Arial"/>
          <w:lang w:val="en-US"/>
        </w:rPr>
        <w:t xml:space="preserve">is </w:t>
      </w:r>
      <w:r w:rsidRPr="00886F35">
        <w:rPr>
          <w:rFonts w:ascii="Arial" w:hAnsi="Arial" w:cs="Arial"/>
          <w:lang w:val="en-US"/>
        </w:rPr>
        <w:t>weak</w:t>
      </w:r>
      <w:r>
        <w:rPr>
          <w:rFonts w:ascii="Arial" w:hAnsi="Arial" w:cs="Arial"/>
          <w:lang w:val="en-US"/>
        </w:rPr>
        <w:t xml:space="preserve"> and </w:t>
      </w:r>
      <w:r w:rsidR="00513FF3">
        <w:rPr>
          <w:rFonts w:ascii="Arial" w:hAnsi="Arial" w:cs="Arial"/>
          <w:lang w:val="en-US"/>
        </w:rPr>
        <w:t xml:space="preserve">due to the relatively short period </w:t>
      </w:r>
      <w:r w:rsidRPr="00886F35">
        <w:rPr>
          <w:rFonts w:ascii="Arial" w:hAnsi="Arial" w:cs="Arial"/>
          <w:lang w:val="en-US"/>
        </w:rPr>
        <w:t xml:space="preserve">little weight not weighing too much against </w:t>
      </w:r>
      <w:r w:rsidR="0047177E">
        <w:rPr>
          <w:rFonts w:ascii="Arial" w:hAnsi="Arial" w:cs="Arial"/>
          <w:lang w:val="en-US"/>
        </w:rPr>
        <w:t xml:space="preserve">the </w:t>
      </w:r>
      <w:r w:rsidRPr="00886F35">
        <w:rPr>
          <w:rFonts w:ascii="Arial" w:hAnsi="Arial" w:cs="Arial"/>
          <w:lang w:val="en-US"/>
        </w:rPr>
        <w:t>plaintiff</w:t>
      </w:r>
      <w:r>
        <w:rPr>
          <w:rFonts w:ascii="Arial" w:hAnsi="Arial" w:cs="Arial"/>
          <w:lang w:val="en-US"/>
        </w:rPr>
        <w:t xml:space="preserve"> is attached, the e</w:t>
      </w:r>
      <w:r w:rsidRPr="00886F35">
        <w:rPr>
          <w:rFonts w:ascii="Arial" w:hAnsi="Arial" w:cs="Arial"/>
          <w:lang w:val="en-US"/>
        </w:rPr>
        <w:t xml:space="preserve">xplanation for 18 September to 9 November 2023 </w:t>
      </w:r>
      <w:r>
        <w:rPr>
          <w:rFonts w:ascii="Arial" w:hAnsi="Arial" w:cs="Arial"/>
          <w:lang w:val="en-US"/>
        </w:rPr>
        <w:t xml:space="preserve">is </w:t>
      </w:r>
      <w:r w:rsidRPr="00886F35">
        <w:rPr>
          <w:rFonts w:ascii="Arial" w:hAnsi="Arial" w:cs="Arial"/>
          <w:lang w:val="en-US"/>
        </w:rPr>
        <w:t>not unreasonable or unacceptable</w:t>
      </w:r>
      <w:r w:rsidR="00513FF3">
        <w:rPr>
          <w:rFonts w:ascii="Arial" w:hAnsi="Arial" w:cs="Arial"/>
          <w:lang w:val="en-US"/>
        </w:rPr>
        <w:t xml:space="preserve"> </w:t>
      </w:r>
      <w:r>
        <w:rPr>
          <w:rFonts w:ascii="Arial" w:hAnsi="Arial" w:cs="Arial"/>
          <w:lang w:val="en-US"/>
        </w:rPr>
        <w:t xml:space="preserve">and a </w:t>
      </w:r>
      <w:r w:rsidR="006A6F34">
        <w:rPr>
          <w:rFonts w:ascii="Arial" w:hAnsi="Arial" w:cs="Arial"/>
          <w:lang w:val="en-US"/>
        </w:rPr>
        <w:t>relative</w:t>
      </w:r>
      <w:r w:rsidRPr="00886F35">
        <w:rPr>
          <w:rFonts w:ascii="Arial" w:hAnsi="Arial" w:cs="Arial"/>
          <w:lang w:val="en-US"/>
        </w:rPr>
        <w:t xml:space="preserve"> amount of weight</w:t>
      </w:r>
      <w:r>
        <w:rPr>
          <w:rFonts w:ascii="Arial" w:hAnsi="Arial" w:cs="Arial"/>
          <w:lang w:val="en-US"/>
        </w:rPr>
        <w:t xml:space="preserve"> is attached.</w:t>
      </w:r>
    </w:p>
    <w:p w14:paraId="48199581" w14:textId="77777777" w:rsidR="00886F35" w:rsidRPr="00886F35" w:rsidRDefault="00886F35" w:rsidP="00886F35">
      <w:pPr>
        <w:pStyle w:val="ListParagraph"/>
        <w:rPr>
          <w:rFonts w:ascii="Arial" w:hAnsi="Arial" w:cs="Arial"/>
          <w:lang w:val="en-US"/>
        </w:rPr>
      </w:pPr>
    </w:p>
    <w:p w14:paraId="15CE7A05" w14:textId="2B8E12E1" w:rsidR="00886F35" w:rsidRDefault="00886F35" w:rsidP="00642B8B">
      <w:pPr>
        <w:pStyle w:val="ListParagraph"/>
        <w:spacing w:line="360" w:lineRule="auto"/>
        <w:ind w:left="0"/>
        <w:jc w:val="both"/>
        <w:rPr>
          <w:rFonts w:ascii="Arial" w:hAnsi="Arial" w:cs="Arial"/>
          <w:lang w:val="en-US"/>
        </w:rPr>
      </w:pPr>
      <w:r w:rsidRPr="00886F35">
        <w:rPr>
          <w:rFonts w:ascii="Arial" w:hAnsi="Arial" w:cs="Arial"/>
          <w:i/>
          <w:iCs/>
          <w:lang w:val="en-US"/>
        </w:rPr>
        <w:t>Held that</w:t>
      </w:r>
      <w:r>
        <w:rPr>
          <w:rFonts w:ascii="Arial" w:hAnsi="Arial" w:cs="Arial"/>
          <w:lang w:val="en-US"/>
        </w:rPr>
        <w:t xml:space="preserve"> </w:t>
      </w:r>
      <w:r w:rsidR="00642B8B">
        <w:rPr>
          <w:rFonts w:ascii="Arial" w:hAnsi="Arial" w:cs="Arial"/>
          <w:lang w:val="en-US"/>
        </w:rPr>
        <w:t xml:space="preserve">whereas </w:t>
      </w:r>
      <w:r>
        <w:rPr>
          <w:rFonts w:ascii="Arial" w:hAnsi="Arial" w:cs="Arial"/>
          <w:lang w:val="en-US"/>
        </w:rPr>
        <w:t>the p</w:t>
      </w:r>
      <w:r w:rsidRPr="00886F35">
        <w:rPr>
          <w:rFonts w:ascii="Arial" w:hAnsi="Arial" w:cs="Arial"/>
          <w:lang w:val="en-US"/>
        </w:rPr>
        <w:t xml:space="preserve">laintiff </w:t>
      </w:r>
      <w:r w:rsidR="00642B8B">
        <w:rPr>
          <w:rFonts w:ascii="Arial" w:hAnsi="Arial" w:cs="Arial"/>
          <w:lang w:val="en-US"/>
        </w:rPr>
        <w:t xml:space="preserve">intends to amend its particulars of claim, and based on the facts before the court, the plaintiff </w:t>
      </w:r>
      <w:r w:rsidRPr="00886F35">
        <w:rPr>
          <w:rFonts w:ascii="Arial" w:hAnsi="Arial" w:cs="Arial"/>
          <w:lang w:val="en-US"/>
        </w:rPr>
        <w:t xml:space="preserve">has </w:t>
      </w:r>
      <w:r>
        <w:rPr>
          <w:rFonts w:ascii="Arial" w:hAnsi="Arial" w:cs="Arial"/>
          <w:lang w:val="en-US"/>
        </w:rPr>
        <w:t xml:space="preserve">a </w:t>
      </w:r>
      <w:r w:rsidRPr="00886F35">
        <w:rPr>
          <w:rFonts w:ascii="Arial" w:hAnsi="Arial" w:cs="Arial"/>
          <w:lang w:val="en-US"/>
        </w:rPr>
        <w:t>reasonable prospect of success</w:t>
      </w:r>
      <w:r w:rsidR="0047177E">
        <w:rPr>
          <w:rFonts w:ascii="Arial" w:hAnsi="Arial" w:cs="Arial"/>
          <w:lang w:val="en-US"/>
        </w:rPr>
        <w:t>,</w:t>
      </w:r>
      <w:r>
        <w:rPr>
          <w:rFonts w:ascii="Arial" w:hAnsi="Arial" w:cs="Arial"/>
          <w:lang w:val="en-US"/>
        </w:rPr>
        <w:t xml:space="preserve"> and a </w:t>
      </w:r>
      <w:r w:rsidRPr="00886F35">
        <w:rPr>
          <w:rFonts w:ascii="Arial" w:hAnsi="Arial" w:cs="Arial"/>
          <w:lang w:val="en-US"/>
        </w:rPr>
        <w:t>considerable amount of weight</w:t>
      </w:r>
      <w:r>
        <w:rPr>
          <w:rFonts w:ascii="Arial" w:hAnsi="Arial" w:cs="Arial"/>
          <w:lang w:val="en-US"/>
        </w:rPr>
        <w:t xml:space="preserve"> is attached.</w:t>
      </w:r>
    </w:p>
    <w:p w14:paraId="2D2BC49F" w14:textId="77777777" w:rsidR="00886F35" w:rsidRPr="00886F35" w:rsidRDefault="00886F35" w:rsidP="00886F35">
      <w:pPr>
        <w:pStyle w:val="ListParagraph"/>
        <w:rPr>
          <w:rFonts w:ascii="Arial" w:hAnsi="Arial" w:cs="Arial"/>
          <w:lang w:val="en-US"/>
        </w:rPr>
      </w:pPr>
    </w:p>
    <w:p w14:paraId="0431B5C7" w14:textId="74D1F876" w:rsidR="00886F35" w:rsidRDefault="00886F35" w:rsidP="00642B8B">
      <w:pPr>
        <w:pStyle w:val="ListParagraph"/>
        <w:spacing w:line="360" w:lineRule="auto"/>
        <w:ind w:left="0"/>
        <w:jc w:val="both"/>
        <w:rPr>
          <w:rFonts w:ascii="Arial" w:hAnsi="Arial" w:cs="Arial"/>
          <w:lang w:val="en-US"/>
        </w:rPr>
      </w:pPr>
      <w:r w:rsidRPr="00886F35">
        <w:rPr>
          <w:rFonts w:ascii="Arial" w:hAnsi="Arial" w:cs="Arial"/>
          <w:i/>
          <w:iCs/>
          <w:lang w:val="en-US"/>
        </w:rPr>
        <w:t>Held that</w:t>
      </w:r>
      <w:r>
        <w:rPr>
          <w:rFonts w:ascii="Arial" w:hAnsi="Arial" w:cs="Arial"/>
          <w:lang w:val="en-US"/>
        </w:rPr>
        <w:t xml:space="preserve"> a t</w:t>
      </w:r>
      <w:r w:rsidRPr="00886F35">
        <w:rPr>
          <w:rFonts w:ascii="Arial" w:hAnsi="Arial" w:cs="Arial"/>
          <w:lang w:val="en-US"/>
        </w:rPr>
        <w:t xml:space="preserve">rial date </w:t>
      </w:r>
      <w:r>
        <w:rPr>
          <w:rFonts w:ascii="Arial" w:hAnsi="Arial" w:cs="Arial"/>
          <w:lang w:val="en-US"/>
        </w:rPr>
        <w:t xml:space="preserve">is </w:t>
      </w:r>
      <w:r w:rsidRPr="00886F35">
        <w:rPr>
          <w:rFonts w:ascii="Arial" w:hAnsi="Arial" w:cs="Arial"/>
          <w:lang w:val="en-US"/>
        </w:rPr>
        <w:t xml:space="preserve">only likely </w:t>
      </w:r>
      <w:r w:rsidR="0047177E">
        <w:rPr>
          <w:rFonts w:ascii="Arial" w:hAnsi="Arial" w:cs="Arial"/>
          <w:lang w:val="en-US"/>
        </w:rPr>
        <w:t xml:space="preserve">to </w:t>
      </w:r>
      <w:r>
        <w:rPr>
          <w:rFonts w:ascii="Arial" w:hAnsi="Arial" w:cs="Arial"/>
          <w:lang w:val="en-US"/>
        </w:rPr>
        <w:t xml:space="preserve">be </w:t>
      </w:r>
      <w:r w:rsidR="0047177E">
        <w:rPr>
          <w:rFonts w:ascii="Arial" w:hAnsi="Arial" w:cs="Arial"/>
          <w:lang w:val="en-US"/>
        </w:rPr>
        <w:t xml:space="preserve">set </w:t>
      </w:r>
      <w:r>
        <w:rPr>
          <w:rFonts w:ascii="Arial" w:hAnsi="Arial" w:cs="Arial"/>
          <w:lang w:val="en-US"/>
        </w:rPr>
        <w:t>for</w:t>
      </w:r>
      <w:r w:rsidRPr="00886F35">
        <w:rPr>
          <w:rFonts w:ascii="Arial" w:hAnsi="Arial" w:cs="Arial"/>
          <w:lang w:val="en-US"/>
        </w:rPr>
        <w:t xml:space="preserve"> </w:t>
      </w:r>
      <w:r>
        <w:rPr>
          <w:rFonts w:ascii="Arial" w:hAnsi="Arial" w:cs="Arial"/>
          <w:lang w:val="en-US"/>
        </w:rPr>
        <w:t xml:space="preserve">the </w:t>
      </w:r>
      <w:r w:rsidRPr="00886F35">
        <w:rPr>
          <w:rFonts w:ascii="Arial" w:hAnsi="Arial" w:cs="Arial"/>
          <w:lang w:val="en-US"/>
        </w:rPr>
        <w:t xml:space="preserve">end of </w:t>
      </w:r>
      <w:r>
        <w:rPr>
          <w:rFonts w:ascii="Arial" w:hAnsi="Arial" w:cs="Arial"/>
          <w:lang w:val="en-US"/>
        </w:rPr>
        <w:t xml:space="preserve">the </w:t>
      </w:r>
      <w:r w:rsidRPr="00886F35">
        <w:rPr>
          <w:rFonts w:ascii="Arial" w:hAnsi="Arial" w:cs="Arial"/>
          <w:lang w:val="en-US"/>
        </w:rPr>
        <w:t>second term</w:t>
      </w:r>
      <w:r w:rsidR="006A6F34">
        <w:rPr>
          <w:rFonts w:ascii="Arial" w:hAnsi="Arial" w:cs="Arial"/>
          <w:lang w:val="en-US"/>
        </w:rPr>
        <w:t>,</w:t>
      </w:r>
      <w:r>
        <w:rPr>
          <w:rFonts w:ascii="Arial" w:hAnsi="Arial" w:cs="Arial"/>
          <w:lang w:val="en-US"/>
        </w:rPr>
        <w:t xml:space="preserve"> and </w:t>
      </w:r>
      <w:r w:rsidRPr="00886F35">
        <w:rPr>
          <w:rFonts w:ascii="Arial" w:hAnsi="Arial" w:cs="Arial"/>
          <w:lang w:val="en-US"/>
        </w:rPr>
        <w:t xml:space="preserve">some weight </w:t>
      </w:r>
      <w:r w:rsidR="006A6F34">
        <w:rPr>
          <w:rFonts w:ascii="Arial" w:hAnsi="Arial" w:cs="Arial"/>
          <w:lang w:val="en-US"/>
        </w:rPr>
        <w:t xml:space="preserve">is </w:t>
      </w:r>
      <w:r w:rsidRPr="00886F35">
        <w:rPr>
          <w:rFonts w:ascii="Arial" w:hAnsi="Arial" w:cs="Arial"/>
          <w:lang w:val="en-US"/>
        </w:rPr>
        <w:t>attached</w:t>
      </w:r>
      <w:r w:rsidR="006A6F34">
        <w:rPr>
          <w:rFonts w:ascii="Arial" w:hAnsi="Arial" w:cs="Arial"/>
          <w:lang w:val="en-US"/>
        </w:rPr>
        <w:t xml:space="preserve"> against the plaintiff</w:t>
      </w:r>
      <w:r>
        <w:rPr>
          <w:rFonts w:ascii="Arial" w:hAnsi="Arial" w:cs="Arial"/>
          <w:lang w:val="en-US"/>
        </w:rPr>
        <w:t xml:space="preserve">, </w:t>
      </w:r>
      <w:r w:rsidR="006A6F34">
        <w:rPr>
          <w:rFonts w:ascii="Arial" w:hAnsi="Arial" w:cs="Arial"/>
          <w:lang w:val="en-US"/>
        </w:rPr>
        <w:t xml:space="preserve">but </w:t>
      </w:r>
      <w:r>
        <w:rPr>
          <w:rFonts w:ascii="Arial" w:hAnsi="Arial" w:cs="Arial"/>
          <w:lang w:val="en-US"/>
        </w:rPr>
        <w:t>the e</w:t>
      </w:r>
      <w:r w:rsidRPr="00886F35">
        <w:rPr>
          <w:rFonts w:ascii="Arial" w:hAnsi="Arial" w:cs="Arial"/>
          <w:lang w:val="en-US"/>
        </w:rPr>
        <w:t xml:space="preserve">ffect of </w:t>
      </w:r>
      <w:r w:rsidR="006A6F34">
        <w:rPr>
          <w:rFonts w:ascii="Arial" w:hAnsi="Arial" w:cs="Arial"/>
          <w:lang w:val="en-US"/>
        </w:rPr>
        <w:t xml:space="preserve">a </w:t>
      </w:r>
      <w:r w:rsidRPr="00886F35">
        <w:rPr>
          <w:rFonts w:ascii="Arial" w:hAnsi="Arial" w:cs="Arial"/>
          <w:lang w:val="en-US"/>
        </w:rPr>
        <w:t>refus</w:t>
      </w:r>
      <w:r w:rsidR="006A6F34">
        <w:rPr>
          <w:rFonts w:ascii="Arial" w:hAnsi="Arial" w:cs="Arial"/>
          <w:lang w:val="en-US"/>
        </w:rPr>
        <w:t>al of</w:t>
      </w:r>
      <w:r w:rsidRPr="00886F35">
        <w:rPr>
          <w:rFonts w:ascii="Arial" w:hAnsi="Arial" w:cs="Arial"/>
          <w:lang w:val="en-US"/>
        </w:rPr>
        <w:t xml:space="preserve"> </w:t>
      </w:r>
      <w:r>
        <w:rPr>
          <w:rFonts w:ascii="Arial" w:hAnsi="Arial" w:cs="Arial"/>
          <w:lang w:val="en-US"/>
        </w:rPr>
        <w:t xml:space="preserve">the </w:t>
      </w:r>
      <w:r w:rsidRPr="00886F35">
        <w:rPr>
          <w:rFonts w:ascii="Arial" w:hAnsi="Arial" w:cs="Arial"/>
          <w:lang w:val="en-US"/>
        </w:rPr>
        <w:t xml:space="preserve">application on </w:t>
      </w:r>
      <w:r>
        <w:rPr>
          <w:rFonts w:ascii="Arial" w:hAnsi="Arial" w:cs="Arial"/>
          <w:lang w:val="en-US"/>
        </w:rPr>
        <w:t xml:space="preserve">the </w:t>
      </w:r>
      <w:r w:rsidRPr="00886F35">
        <w:rPr>
          <w:rFonts w:ascii="Arial" w:hAnsi="Arial" w:cs="Arial"/>
          <w:lang w:val="en-US"/>
        </w:rPr>
        <w:t xml:space="preserve">plaintiff </w:t>
      </w:r>
      <w:r>
        <w:rPr>
          <w:rFonts w:ascii="Arial" w:hAnsi="Arial" w:cs="Arial"/>
          <w:lang w:val="en-US"/>
        </w:rPr>
        <w:t xml:space="preserve">is </w:t>
      </w:r>
      <w:r w:rsidRPr="00886F35">
        <w:rPr>
          <w:rFonts w:ascii="Arial" w:hAnsi="Arial" w:cs="Arial"/>
          <w:lang w:val="en-US"/>
        </w:rPr>
        <w:t xml:space="preserve">much worse than </w:t>
      </w:r>
      <w:r>
        <w:rPr>
          <w:rFonts w:ascii="Arial" w:hAnsi="Arial" w:cs="Arial"/>
          <w:lang w:val="en-US"/>
        </w:rPr>
        <w:t xml:space="preserve">the </w:t>
      </w:r>
      <w:r w:rsidRPr="00886F35">
        <w:rPr>
          <w:rFonts w:ascii="Arial" w:hAnsi="Arial" w:cs="Arial"/>
          <w:lang w:val="en-US"/>
        </w:rPr>
        <w:t xml:space="preserve">effect of </w:t>
      </w:r>
      <w:r>
        <w:rPr>
          <w:rFonts w:ascii="Arial" w:hAnsi="Arial" w:cs="Arial"/>
          <w:lang w:val="en-US"/>
        </w:rPr>
        <w:t xml:space="preserve">the </w:t>
      </w:r>
      <w:r w:rsidRPr="00886F35">
        <w:rPr>
          <w:rFonts w:ascii="Arial" w:hAnsi="Arial" w:cs="Arial"/>
          <w:lang w:val="en-US"/>
        </w:rPr>
        <w:t xml:space="preserve">non-compliance and </w:t>
      </w:r>
      <w:r>
        <w:rPr>
          <w:rFonts w:ascii="Arial" w:hAnsi="Arial" w:cs="Arial"/>
          <w:lang w:val="en-US"/>
        </w:rPr>
        <w:t>the</w:t>
      </w:r>
      <w:r w:rsidR="006A6F34">
        <w:rPr>
          <w:rFonts w:ascii="Arial" w:hAnsi="Arial" w:cs="Arial"/>
          <w:lang w:val="en-US"/>
        </w:rPr>
        <w:t xml:space="preserve"> granting</w:t>
      </w:r>
      <w:r w:rsidRPr="00886F35">
        <w:rPr>
          <w:rFonts w:ascii="Arial" w:hAnsi="Arial" w:cs="Arial"/>
          <w:lang w:val="en-US"/>
        </w:rPr>
        <w:t xml:space="preserve"> of </w:t>
      </w:r>
      <w:r w:rsidR="006A6F34">
        <w:rPr>
          <w:rFonts w:ascii="Arial" w:hAnsi="Arial" w:cs="Arial"/>
          <w:lang w:val="en-US"/>
        </w:rPr>
        <w:t xml:space="preserve">the </w:t>
      </w:r>
      <w:r w:rsidRPr="00886F35">
        <w:rPr>
          <w:rFonts w:ascii="Arial" w:hAnsi="Arial" w:cs="Arial"/>
          <w:lang w:val="en-US"/>
        </w:rPr>
        <w:t xml:space="preserve">application on </w:t>
      </w:r>
      <w:r>
        <w:rPr>
          <w:rFonts w:ascii="Arial" w:hAnsi="Arial" w:cs="Arial"/>
          <w:lang w:val="en-US"/>
        </w:rPr>
        <w:t xml:space="preserve">the </w:t>
      </w:r>
      <w:r w:rsidRPr="00886F35">
        <w:rPr>
          <w:rFonts w:ascii="Arial" w:hAnsi="Arial" w:cs="Arial"/>
          <w:lang w:val="en-US"/>
        </w:rPr>
        <w:t>defendant</w:t>
      </w:r>
      <w:r w:rsidR="006A6F34">
        <w:rPr>
          <w:rFonts w:ascii="Arial" w:hAnsi="Arial" w:cs="Arial"/>
          <w:lang w:val="en-US"/>
        </w:rPr>
        <w:t>,</w:t>
      </w:r>
      <w:r>
        <w:rPr>
          <w:rFonts w:ascii="Arial" w:hAnsi="Arial" w:cs="Arial"/>
          <w:lang w:val="en-US"/>
        </w:rPr>
        <w:t xml:space="preserve"> and a </w:t>
      </w:r>
      <w:r w:rsidRPr="00886F35">
        <w:rPr>
          <w:rFonts w:ascii="Arial" w:hAnsi="Arial" w:cs="Arial"/>
          <w:lang w:val="en-US"/>
        </w:rPr>
        <w:t xml:space="preserve">substantial amount of weight </w:t>
      </w:r>
      <w:r>
        <w:rPr>
          <w:rFonts w:ascii="Arial" w:hAnsi="Arial" w:cs="Arial"/>
          <w:lang w:val="en-US"/>
        </w:rPr>
        <w:t xml:space="preserve">is attached. </w:t>
      </w:r>
    </w:p>
    <w:p w14:paraId="021757B5" w14:textId="77777777" w:rsidR="00886F35" w:rsidRPr="00886F35" w:rsidRDefault="00886F35" w:rsidP="00886F35">
      <w:pPr>
        <w:pStyle w:val="ListParagraph"/>
        <w:rPr>
          <w:rFonts w:ascii="Arial" w:hAnsi="Arial" w:cs="Arial"/>
          <w:lang w:val="en-US"/>
        </w:rPr>
      </w:pPr>
    </w:p>
    <w:p w14:paraId="1AD55FD1" w14:textId="1AE26A35" w:rsidR="00B2520E" w:rsidRDefault="00886F35" w:rsidP="00642B8B">
      <w:pPr>
        <w:pStyle w:val="ListParagraph"/>
        <w:spacing w:line="360" w:lineRule="auto"/>
        <w:ind w:left="0"/>
        <w:jc w:val="both"/>
        <w:rPr>
          <w:rFonts w:ascii="Arial" w:hAnsi="Arial" w:cs="Arial"/>
          <w:lang w:val="en-US"/>
        </w:rPr>
      </w:pPr>
      <w:r w:rsidRPr="00886F35">
        <w:rPr>
          <w:rFonts w:ascii="Arial" w:hAnsi="Arial" w:cs="Arial"/>
          <w:i/>
          <w:iCs/>
          <w:lang w:val="en-US"/>
        </w:rPr>
        <w:t>Held that</w:t>
      </w:r>
      <w:r>
        <w:rPr>
          <w:rFonts w:ascii="Arial" w:hAnsi="Arial" w:cs="Arial"/>
          <w:lang w:val="en-US"/>
        </w:rPr>
        <w:t xml:space="preserve"> on the c</w:t>
      </w:r>
      <w:r w:rsidRPr="00886F35">
        <w:rPr>
          <w:rFonts w:ascii="Arial" w:hAnsi="Arial" w:cs="Arial"/>
          <w:lang w:val="en-US"/>
        </w:rPr>
        <w:t>onjunctive</w:t>
      </w:r>
      <w:r>
        <w:rPr>
          <w:rFonts w:ascii="Arial" w:hAnsi="Arial" w:cs="Arial"/>
          <w:lang w:val="en-US"/>
        </w:rPr>
        <w:t xml:space="preserve"> weights attached to the two requirements and the relevant factors, a </w:t>
      </w:r>
      <w:r w:rsidRPr="00886F35">
        <w:rPr>
          <w:rFonts w:ascii="Arial" w:hAnsi="Arial" w:cs="Arial"/>
          <w:lang w:val="en-US"/>
        </w:rPr>
        <w:t xml:space="preserve">case </w:t>
      </w:r>
      <w:r w:rsidR="0047177E">
        <w:rPr>
          <w:rFonts w:ascii="Arial" w:hAnsi="Arial" w:cs="Arial"/>
          <w:lang w:val="en-US"/>
        </w:rPr>
        <w:t>i</w:t>
      </w:r>
      <w:r>
        <w:rPr>
          <w:rFonts w:ascii="Arial" w:hAnsi="Arial" w:cs="Arial"/>
          <w:lang w:val="en-US"/>
        </w:rPr>
        <w:t xml:space="preserve">s </w:t>
      </w:r>
      <w:r w:rsidRPr="00886F35">
        <w:rPr>
          <w:rFonts w:ascii="Arial" w:hAnsi="Arial" w:cs="Arial"/>
          <w:lang w:val="en-US"/>
        </w:rPr>
        <w:t xml:space="preserve">made for </w:t>
      </w:r>
      <w:r>
        <w:rPr>
          <w:rFonts w:ascii="Arial" w:hAnsi="Arial" w:cs="Arial"/>
          <w:lang w:val="en-US"/>
        </w:rPr>
        <w:t xml:space="preserve">the </w:t>
      </w:r>
      <w:r w:rsidRPr="00886F35">
        <w:rPr>
          <w:rFonts w:ascii="Arial" w:hAnsi="Arial" w:cs="Arial"/>
          <w:lang w:val="en-US"/>
        </w:rPr>
        <w:t>relief sought.</w:t>
      </w:r>
    </w:p>
    <w:p w14:paraId="2BFEFDCA" w14:textId="77777777" w:rsidR="00B2520E" w:rsidRPr="00B2520E" w:rsidRDefault="00B2520E" w:rsidP="00B2520E">
      <w:pPr>
        <w:pStyle w:val="ListParagraph"/>
        <w:rPr>
          <w:rFonts w:ascii="Arial" w:hAnsi="Arial" w:cs="Arial"/>
          <w:lang w:val="en-US"/>
        </w:rPr>
      </w:pPr>
    </w:p>
    <w:p w14:paraId="5BECF1A4" w14:textId="60B92F8C" w:rsidR="00B2520E" w:rsidRDefault="00642B8B" w:rsidP="00642B8B">
      <w:pPr>
        <w:pStyle w:val="ListParagraph"/>
        <w:spacing w:line="360" w:lineRule="auto"/>
        <w:ind w:left="0"/>
        <w:jc w:val="both"/>
        <w:rPr>
          <w:rFonts w:ascii="Arial" w:hAnsi="Arial" w:cs="Arial"/>
          <w:lang w:val="en-US"/>
        </w:rPr>
      </w:pPr>
      <w:r>
        <w:rPr>
          <w:rFonts w:ascii="Arial" w:hAnsi="Arial" w:cs="Arial"/>
          <w:lang w:val="en-US"/>
        </w:rPr>
        <w:t xml:space="preserve">Held that r 32(11) applies to condonation applications even though r 32(9) and (10) do not, </w:t>
      </w:r>
      <w:r>
        <w:rPr>
          <w:rFonts w:ascii="Arial" w:hAnsi="Arial" w:cs="Arial"/>
          <w:lang w:val="en-NA"/>
        </w:rPr>
        <w:t>and the r</w:t>
      </w:r>
      <w:r w:rsidRPr="00642B8B">
        <w:rPr>
          <w:rFonts w:ascii="Arial" w:hAnsi="Arial" w:cs="Arial"/>
          <w:lang w:val="en-NA"/>
        </w:rPr>
        <w:t xml:space="preserve">ationale </w:t>
      </w:r>
      <w:r>
        <w:rPr>
          <w:rFonts w:ascii="Arial" w:hAnsi="Arial" w:cs="Arial"/>
          <w:lang w:val="en-NA"/>
        </w:rPr>
        <w:t xml:space="preserve">of </w:t>
      </w:r>
      <w:r w:rsidRPr="00642B8B">
        <w:rPr>
          <w:rFonts w:ascii="Arial" w:hAnsi="Arial" w:cs="Arial"/>
          <w:lang w:val="en-NA"/>
        </w:rPr>
        <w:t>rule 32(11) rings true in condonation application</w:t>
      </w:r>
      <w:r>
        <w:rPr>
          <w:rFonts w:ascii="Arial" w:hAnsi="Arial" w:cs="Arial"/>
          <w:lang w:val="en-NA"/>
        </w:rPr>
        <w:t>s t</w:t>
      </w:r>
      <w:r w:rsidRPr="00642B8B">
        <w:rPr>
          <w:rFonts w:ascii="Arial" w:hAnsi="Arial" w:cs="Arial"/>
          <w:lang w:val="en-NA"/>
        </w:rPr>
        <w:t>o limit opposition</w:t>
      </w:r>
      <w:r>
        <w:rPr>
          <w:rFonts w:ascii="Arial" w:hAnsi="Arial" w:cs="Arial"/>
          <w:lang w:val="en-NA"/>
        </w:rPr>
        <w:t xml:space="preserve">, </w:t>
      </w:r>
      <w:r w:rsidRPr="00642B8B">
        <w:rPr>
          <w:rFonts w:ascii="Arial" w:hAnsi="Arial" w:cs="Arial"/>
          <w:lang w:val="en-NA"/>
        </w:rPr>
        <w:t xml:space="preserve">thereby limiting opposed interlocutory proceedings and costs in litigation and facilitating </w:t>
      </w:r>
      <w:r>
        <w:rPr>
          <w:rFonts w:ascii="Arial" w:hAnsi="Arial" w:cs="Arial"/>
          <w:lang w:val="en-NA"/>
        </w:rPr>
        <w:t xml:space="preserve">the </w:t>
      </w:r>
      <w:r w:rsidRPr="00642B8B">
        <w:rPr>
          <w:rFonts w:ascii="Arial" w:hAnsi="Arial" w:cs="Arial"/>
          <w:lang w:val="en-NA"/>
        </w:rPr>
        <w:t>speedy disposal of such applications</w:t>
      </w:r>
      <w:r w:rsidR="0047177E">
        <w:rPr>
          <w:rFonts w:ascii="Arial" w:hAnsi="Arial" w:cs="Arial"/>
          <w:lang w:val="en-US"/>
        </w:rPr>
        <w:t>.</w:t>
      </w:r>
    </w:p>
    <w:p w14:paraId="29933992"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101455F5" w14:textId="77777777" w:rsidR="00010077" w:rsidRPr="00AC04D5" w:rsidRDefault="00010077" w:rsidP="00010077">
      <w:pPr>
        <w:spacing w:line="360" w:lineRule="auto"/>
        <w:jc w:val="center"/>
        <w:rPr>
          <w:rFonts w:ascii="Arial" w:hAnsi="Arial" w:cs="Arial"/>
          <w:b/>
          <w:bCs/>
          <w:sz w:val="15"/>
          <w:szCs w:val="15"/>
          <w:lang w:val="en-US"/>
        </w:rPr>
      </w:pPr>
    </w:p>
    <w:p w14:paraId="77324927" w14:textId="77777777" w:rsidR="00010077" w:rsidRDefault="00010077" w:rsidP="00010077">
      <w:pPr>
        <w:spacing w:line="360" w:lineRule="auto"/>
        <w:jc w:val="center"/>
        <w:rPr>
          <w:rFonts w:ascii="Arial" w:hAnsi="Arial" w:cs="Arial"/>
          <w:b/>
          <w:bCs/>
          <w:lang w:val="en-US"/>
        </w:rPr>
      </w:pPr>
      <w:r>
        <w:rPr>
          <w:rFonts w:ascii="Arial" w:hAnsi="Arial" w:cs="Arial"/>
          <w:b/>
          <w:bCs/>
          <w:lang w:val="en-US"/>
        </w:rPr>
        <w:t>ORDER</w:t>
      </w:r>
    </w:p>
    <w:p w14:paraId="6C5002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C8DF337" w14:textId="77777777" w:rsidR="004E5F07" w:rsidRDefault="004E5F07" w:rsidP="00FE7F68">
      <w:pPr>
        <w:spacing w:line="360" w:lineRule="auto"/>
        <w:jc w:val="both"/>
        <w:rPr>
          <w:rFonts w:ascii="Arial" w:hAnsi="Arial" w:cs="Arial"/>
          <w:lang w:val="en-US"/>
        </w:rPr>
      </w:pPr>
    </w:p>
    <w:p w14:paraId="626C0663" w14:textId="77777777" w:rsidR="00250CA5" w:rsidRDefault="00250CA5" w:rsidP="00250CA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plaintiff’s failure to comply with the court order dated 21 June 2023 is condoned.</w:t>
      </w:r>
    </w:p>
    <w:p w14:paraId="653DEBBD" w14:textId="77777777" w:rsidR="00250CA5" w:rsidRPr="00CC077F" w:rsidRDefault="00250CA5" w:rsidP="00250CA5">
      <w:pPr>
        <w:pStyle w:val="ListParagraph"/>
        <w:ind w:left="0"/>
        <w:rPr>
          <w:rFonts w:ascii="Arial" w:hAnsi="Arial" w:cs="Arial"/>
          <w:lang w:val="en-US"/>
        </w:rPr>
      </w:pPr>
    </w:p>
    <w:p w14:paraId="1389A175" w14:textId="1C41D806" w:rsidR="00250CA5" w:rsidRDefault="00250CA5" w:rsidP="00250CA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 xml:space="preserve">The bar operative against the plaintiff regarding its replication in convention and plea in reconvention </w:t>
      </w:r>
      <w:r w:rsidR="0047552F">
        <w:rPr>
          <w:rFonts w:ascii="Arial" w:hAnsi="Arial" w:cs="Arial"/>
          <w:lang w:val="en-US"/>
        </w:rPr>
        <w:t>is</w:t>
      </w:r>
      <w:r>
        <w:rPr>
          <w:rFonts w:ascii="Arial" w:hAnsi="Arial" w:cs="Arial"/>
          <w:lang w:val="en-US"/>
        </w:rPr>
        <w:t xml:space="preserve"> lifted.</w:t>
      </w:r>
    </w:p>
    <w:p w14:paraId="2203B948" w14:textId="77777777" w:rsidR="00250CA5" w:rsidRPr="00CC077F" w:rsidRDefault="00250CA5" w:rsidP="00250CA5">
      <w:pPr>
        <w:pStyle w:val="ListParagraph"/>
        <w:ind w:left="0"/>
        <w:rPr>
          <w:rFonts w:ascii="Arial" w:hAnsi="Arial" w:cs="Arial"/>
          <w:lang w:val="en-US"/>
        </w:rPr>
      </w:pPr>
    </w:p>
    <w:p w14:paraId="03E7C658" w14:textId="768C8A9B" w:rsidR="00250CA5" w:rsidRPr="0047552F" w:rsidRDefault="00250CA5" w:rsidP="0047552F">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plaintiff is granted an extension of time to file its replication in convention and plea in reconvention on a date determined by the court at a further case planning conference</w:t>
      </w:r>
      <w:r w:rsidR="0047552F">
        <w:rPr>
          <w:rFonts w:ascii="Arial" w:hAnsi="Arial" w:cs="Arial"/>
          <w:lang w:val="en-US"/>
        </w:rPr>
        <w:t>.</w:t>
      </w:r>
    </w:p>
    <w:p w14:paraId="6DB0C082" w14:textId="77777777" w:rsidR="00250CA5" w:rsidRPr="001E1F77" w:rsidRDefault="00250CA5" w:rsidP="00250CA5">
      <w:pPr>
        <w:pStyle w:val="ListParagraph"/>
        <w:ind w:left="0"/>
        <w:rPr>
          <w:rFonts w:ascii="Arial" w:hAnsi="Arial" w:cs="Arial"/>
          <w:lang w:val="en-US"/>
        </w:rPr>
      </w:pPr>
    </w:p>
    <w:p w14:paraId="30D63151" w14:textId="68DF4506" w:rsidR="00250CA5" w:rsidRDefault="00250CA5" w:rsidP="00250CA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parties are ordered to file a jo</w:t>
      </w:r>
      <w:r w:rsidR="009C62D1">
        <w:rPr>
          <w:rFonts w:ascii="Arial" w:hAnsi="Arial" w:cs="Arial"/>
          <w:lang w:val="en-US"/>
        </w:rPr>
        <w:t xml:space="preserve">int </w:t>
      </w:r>
      <w:r>
        <w:rPr>
          <w:rFonts w:ascii="Arial" w:hAnsi="Arial" w:cs="Arial"/>
          <w:lang w:val="en-US"/>
        </w:rPr>
        <w:t xml:space="preserve">further case plan on or before 7 March 2024. </w:t>
      </w:r>
    </w:p>
    <w:p w14:paraId="4E269B10" w14:textId="77777777" w:rsidR="0047552F" w:rsidRPr="0047552F" w:rsidRDefault="0047552F" w:rsidP="0047552F">
      <w:pPr>
        <w:pStyle w:val="ListParagraph"/>
        <w:rPr>
          <w:rFonts w:ascii="Arial" w:hAnsi="Arial" w:cs="Arial"/>
          <w:lang w:val="en-US"/>
        </w:rPr>
      </w:pPr>
    </w:p>
    <w:p w14:paraId="25872F19" w14:textId="3D5F8559" w:rsidR="0047552F" w:rsidRDefault="0047552F" w:rsidP="00250CA5">
      <w:pPr>
        <w:pStyle w:val="ListParagraph"/>
        <w:numPr>
          <w:ilvl w:val="0"/>
          <w:numId w:val="1"/>
        </w:numPr>
        <w:spacing w:line="360" w:lineRule="auto"/>
        <w:ind w:left="0" w:firstLine="0"/>
        <w:jc w:val="both"/>
        <w:rPr>
          <w:rFonts w:ascii="Arial" w:hAnsi="Arial" w:cs="Arial"/>
          <w:lang w:val="en-US"/>
        </w:rPr>
      </w:pPr>
      <w:r>
        <w:rPr>
          <w:rFonts w:ascii="Arial" w:hAnsi="Arial" w:cs="Arial"/>
          <w:lang w:val="en-US"/>
        </w:rPr>
        <w:t>The matter is postponed to 13 March 2024 at 08:30 for a further case planning conference.</w:t>
      </w:r>
    </w:p>
    <w:p w14:paraId="242EAE18" w14:textId="77777777" w:rsidR="00250CA5" w:rsidRPr="004E5F07" w:rsidRDefault="00250CA5" w:rsidP="00250CA5">
      <w:pPr>
        <w:pStyle w:val="ListParagraph"/>
        <w:ind w:left="0"/>
        <w:rPr>
          <w:rFonts w:ascii="Arial" w:hAnsi="Arial" w:cs="Arial"/>
          <w:lang w:val="en-US"/>
        </w:rPr>
      </w:pPr>
    </w:p>
    <w:p w14:paraId="7B9E2886" w14:textId="1C58AFFD" w:rsidR="004E5F07" w:rsidRDefault="00250CA5" w:rsidP="00250CA5">
      <w:pPr>
        <w:pStyle w:val="ListParagraph"/>
        <w:numPr>
          <w:ilvl w:val="0"/>
          <w:numId w:val="1"/>
        </w:numPr>
        <w:spacing w:line="360" w:lineRule="auto"/>
        <w:ind w:left="0" w:firstLine="0"/>
        <w:jc w:val="both"/>
        <w:rPr>
          <w:rFonts w:ascii="Arial" w:hAnsi="Arial" w:cs="Arial"/>
          <w:lang w:val="en-US"/>
        </w:rPr>
      </w:pPr>
      <w:r>
        <w:rPr>
          <w:rFonts w:ascii="Arial" w:eastAsia="Calibri" w:hAnsi="Arial" w:cs="Arial"/>
          <w:bCs/>
        </w:rPr>
        <w:t>The plaintiff shall pay the defendant’s costs occasioned by the condonation application</w:t>
      </w:r>
      <w:r w:rsidR="0047552F">
        <w:rPr>
          <w:rFonts w:ascii="Arial" w:eastAsia="Calibri" w:hAnsi="Arial" w:cs="Arial"/>
          <w:bCs/>
        </w:rPr>
        <w:t>,</w:t>
      </w:r>
      <w:r>
        <w:rPr>
          <w:rFonts w:ascii="Arial" w:eastAsia="Calibri" w:hAnsi="Arial" w:cs="Arial"/>
          <w:bCs/>
        </w:rPr>
        <w:t xml:space="preserve"> </w:t>
      </w:r>
      <w:r w:rsidR="0047552F">
        <w:rPr>
          <w:rFonts w:ascii="Arial" w:eastAsia="Calibri" w:hAnsi="Arial" w:cs="Arial"/>
          <w:bCs/>
        </w:rPr>
        <w:t>including</w:t>
      </w:r>
      <w:r>
        <w:rPr>
          <w:rFonts w:ascii="Arial" w:eastAsia="Calibri" w:hAnsi="Arial" w:cs="Arial"/>
          <w:bCs/>
        </w:rPr>
        <w:t xml:space="preserve"> the costs of one instructing and one instructed legal practitioner, limited to r 32(11).</w:t>
      </w:r>
    </w:p>
    <w:p w14:paraId="374EF93F" w14:textId="77777777" w:rsidR="004E5F07" w:rsidRPr="004E5F07" w:rsidRDefault="004E5F07" w:rsidP="004E5F07">
      <w:pPr>
        <w:pStyle w:val="ListParagraph"/>
        <w:rPr>
          <w:rFonts w:ascii="Arial" w:hAnsi="Arial" w:cs="Arial"/>
          <w:lang w:val="en-US"/>
        </w:rPr>
      </w:pPr>
    </w:p>
    <w:p w14:paraId="7FEB3F34" w14:textId="77777777" w:rsidR="00010077" w:rsidRDefault="00010077" w:rsidP="00010077">
      <w:pPr>
        <w:spacing w:line="360" w:lineRule="auto"/>
        <w:jc w:val="both"/>
        <w:rPr>
          <w:rFonts w:ascii="Arial" w:hAnsi="Arial" w:cs="Arial"/>
          <w:lang w:val="en-US"/>
        </w:rPr>
      </w:pPr>
      <w:r>
        <w:rPr>
          <w:rFonts w:ascii="Arial" w:hAnsi="Arial" w:cs="Arial"/>
          <w:lang w:val="en-US"/>
        </w:rPr>
        <w:t>_______________________________________________________________</w:t>
      </w:r>
    </w:p>
    <w:p w14:paraId="7EE4BD00" w14:textId="77777777" w:rsidR="00010077" w:rsidRPr="00AC04D5" w:rsidRDefault="00010077" w:rsidP="00010077">
      <w:pPr>
        <w:spacing w:line="360" w:lineRule="auto"/>
        <w:jc w:val="center"/>
        <w:rPr>
          <w:rFonts w:ascii="Arial" w:hAnsi="Arial" w:cs="Arial"/>
          <w:b/>
          <w:bCs/>
          <w:sz w:val="15"/>
          <w:szCs w:val="15"/>
          <w:lang w:val="en-US"/>
        </w:rPr>
      </w:pPr>
    </w:p>
    <w:p w14:paraId="2833A6CE" w14:textId="5512EAA6" w:rsidR="00010077" w:rsidRDefault="000A1D68" w:rsidP="00010077">
      <w:pPr>
        <w:spacing w:line="360" w:lineRule="auto"/>
        <w:jc w:val="center"/>
        <w:rPr>
          <w:rFonts w:ascii="Arial" w:hAnsi="Arial" w:cs="Arial"/>
          <w:b/>
          <w:bCs/>
          <w:lang w:val="en-US"/>
        </w:rPr>
      </w:pPr>
      <w:r>
        <w:rPr>
          <w:rFonts w:ascii="Arial" w:hAnsi="Arial" w:cs="Arial"/>
          <w:b/>
          <w:bCs/>
          <w:lang w:val="en-US"/>
        </w:rPr>
        <w:t>RULING</w:t>
      </w:r>
    </w:p>
    <w:p w14:paraId="25E33A09" w14:textId="77777777" w:rsidR="00F8468E" w:rsidRDefault="00F8468E" w:rsidP="00F8468E">
      <w:pPr>
        <w:spacing w:line="360" w:lineRule="auto"/>
        <w:jc w:val="both"/>
        <w:rPr>
          <w:rFonts w:ascii="Arial" w:hAnsi="Arial" w:cs="Arial"/>
          <w:lang w:val="en-US"/>
        </w:rPr>
      </w:pPr>
      <w:r>
        <w:rPr>
          <w:rFonts w:ascii="Arial" w:hAnsi="Arial" w:cs="Arial"/>
          <w:lang w:val="en-US"/>
        </w:rPr>
        <w:t>_______________________________________________________________</w:t>
      </w:r>
    </w:p>
    <w:p w14:paraId="5D9D3C12" w14:textId="77777777" w:rsidR="004E5F07" w:rsidRDefault="004E5F07" w:rsidP="004E5F07">
      <w:pPr>
        <w:pStyle w:val="ListParagraph"/>
        <w:spacing w:line="360" w:lineRule="auto"/>
        <w:ind w:left="0"/>
        <w:jc w:val="both"/>
        <w:rPr>
          <w:rFonts w:ascii="Arial" w:hAnsi="Arial" w:cs="Arial"/>
          <w:lang w:val="en-US"/>
        </w:rPr>
      </w:pPr>
    </w:p>
    <w:p w14:paraId="0E0F4CAD" w14:textId="77777777" w:rsidR="002A6DF7" w:rsidRDefault="004E5F07" w:rsidP="002A6DF7">
      <w:pPr>
        <w:pStyle w:val="ListParagraph"/>
        <w:spacing w:line="360" w:lineRule="auto"/>
        <w:ind w:left="0"/>
        <w:jc w:val="both"/>
        <w:rPr>
          <w:rFonts w:ascii="Arial" w:hAnsi="Arial" w:cs="Arial"/>
          <w:lang w:val="en-US"/>
        </w:rPr>
      </w:pPr>
      <w:r>
        <w:rPr>
          <w:rFonts w:ascii="Arial" w:hAnsi="Arial" w:cs="Arial"/>
          <w:lang w:val="en-US"/>
        </w:rPr>
        <w:t>DE JAGER AJ:</w:t>
      </w:r>
    </w:p>
    <w:p w14:paraId="7BFD50DA" w14:textId="77777777" w:rsidR="002A6DF7" w:rsidRPr="002A6DF7" w:rsidRDefault="002A6DF7" w:rsidP="002A6DF7">
      <w:pPr>
        <w:pStyle w:val="ListParagraph"/>
        <w:rPr>
          <w:rFonts w:ascii="Arial" w:eastAsia="Calibri" w:hAnsi="Arial" w:cs="Arial"/>
          <w:bCs/>
        </w:rPr>
      </w:pPr>
    </w:p>
    <w:p w14:paraId="4F6B43EB" w14:textId="4013AA64" w:rsidR="002A6DF7" w:rsidRDefault="00C048A5" w:rsidP="002A6DF7">
      <w:pPr>
        <w:pStyle w:val="ListParagraph"/>
        <w:spacing w:line="360" w:lineRule="auto"/>
        <w:ind w:left="0"/>
        <w:jc w:val="both"/>
        <w:rPr>
          <w:rFonts w:ascii="Arial" w:hAnsi="Arial" w:cs="Arial"/>
          <w:lang w:val="en-US"/>
        </w:rPr>
      </w:pPr>
      <w:r w:rsidRPr="002A6DF7">
        <w:rPr>
          <w:rFonts w:ascii="Arial" w:hAnsi="Arial" w:cs="Arial"/>
          <w:u w:val="single"/>
          <w:lang w:val="en-US"/>
        </w:rPr>
        <w:t>Introduction</w:t>
      </w:r>
    </w:p>
    <w:p w14:paraId="61195C5F" w14:textId="77777777" w:rsidR="002A6DF7" w:rsidRPr="002A6DF7" w:rsidRDefault="002A6DF7" w:rsidP="002A6DF7">
      <w:pPr>
        <w:pStyle w:val="ListParagraph"/>
        <w:rPr>
          <w:rFonts w:ascii="Arial" w:eastAsia="Calibri" w:hAnsi="Arial" w:cs="Arial"/>
          <w:bCs/>
        </w:rPr>
      </w:pPr>
    </w:p>
    <w:p w14:paraId="1C816BF9" w14:textId="77777777" w:rsidR="002A6DF7" w:rsidRDefault="0038158C" w:rsidP="002A6DF7">
      <w:pPr>
        <w:pStyle w:val="ListParagraph"/>
        <w:numPr>
          <w:ilvl w:val="0"/>
          <w:numId w:val="9"/>
        </w:numPr>
        <w:spacing w:line="360" w:lineRule="auto"/>
        <w:ind w:left="0" w:firstLine="0"/>
        <w:jc w:val="both"/>
        <w:rPr>
          <w:rFonts w:ascii="Arial" w:hAnsi="Arial" w:cs="Arial"/>
          <w:lang w:val="en-US"/>
        </w:rPr>
      </w:pPr>
      <w:r w:rsidRPr="002A6DF7">
        <w:rPr>
          <w:rFonts w:ascii="Arial" w:eastAsia="Calibri" w:hAnsi="Arial" w:cs="Arial"/>
          <w:bCs/>
        </w:rPr>
        <w:t xml:space="preserve">The </w:t>
      </w:r>
      <w:r w:rsidR="001758C4" w:rsidRPr="002A6DF7">
        <w:rPr>
          <w:rFonts w:ascii="Arial" w:eastAsia="Calibri" w:hAnsi="Arial" w:cs="Arial"/>
          <w:bCs/>
        </w:rPr>
        <w:t>p</w:t>
      </w:r>
      <w:r w:rsidRPr="002A6DF7">
        <w:rPr>
          <w:rFonts w:ascii="Arial" w:eastAsia="Calibri" w:hAnsi="Arial" w:cs="Arial"/>
          <w:bCs/>
        </w:rPr>
        <w:t xml:space="preserve">laintiff seeks condonation for its failure to </w:t>
      </w:r>
      <w:r w:rsidR="001758C4" w:rsidRPr="002A6DF7">
        <w:rPr>
          <w:rFonts w:ascii="Arial" w:eastAsia="Calibri" w:hAnsi="Arial" w:cs="Arial"/>
          <w:bCs/>
        </w:rPr>
        <w:t>comply</w:t>
      </w:r>
      <w:r w:rsidRPr="002A6DF7">
        <w:rPr>
          <w:rFonts w:ascii="Arial" w:eastAsia="Calibri" w:hAnsi="Arial" w:cs="Arial"/>
          <w:bCs/>
        </w:rPr>
        <w:t xml:space="preserve"> with the court order dated 21 June 2023, upliftment of the bar operative against it, an extension of time to file its plea </w:t>
      </w:r>
      <w:r w:rsidR="003D5AC2" w:rsidRPr="002A6DF7">
        <w:rPr>
          <w:rFonts w:ascii="Arial" w:eastAsia="Calibri" w:hAnsi="Arial" w:cs="Arial"/>
          <w:bCs/>
        </w:rPr>
        <w:t>in reconvention</w:t>
      </w:r>
      <w:r w:rsidRPr="002A6DF7">
        <w:rPr>
          <w:rFonts w:ascii="Arial" w:eastAsia="Calibri" w:hAnsi="Arial" w:cs="Arial"/>
          <w:bCs/>
        </w:rPr>
        <w:t xml:space="preserve"> and costs</w:t>
      </w:r>
      <w:r w:rsidR="004E5F07" w:rsidRPr="002A6DF7">
        <w:rPr>
          <w:rFonts w:ascii="Arial" w:hAnsi="Arial" w:cs="Arial"/>
          <w:lang w:val="en-US"/>
        </w:rPr>
        <w:t>.</w:t>
      </w:r>
    </w:p>
    <w:p w14:paraId="2C17E2B6" w14:textId="77777777" w:rsidR="002A6DF7" w:rsidRPr="002A6DF7" w:rsidRDefault="002A6DF7" w:rsidP="002A6DF7">
      <w:pPr>
        <w:pStyle w:val="ListParagraph"/>
        <w:rPr>
          <w:rFonts w:ascii="Arial" w:hAnsi="Arial" w:cs="Arial"/>
          <w:lang w:val="en-US"/>
        </w:rPr>
      </w:pPr>
    </w:p>
    <w:p w14:paraId="3303F56F" w14:textId="59068A78" w:rsidR="002A6DF7" w:rsidRDefault="00994945" w:rsidP="002A6DF7">
      <w:pPr>
        <w:pStyle w:val="ListParagraph"/>
        <w:numPr>
          <w:ilvl w:val="0"/>
          <w:numId w:val="9"/>
        </w:numPr>
        <w:spacing w:line="360" w:lineRule="auto"/>
        <w:ind w:left="0" w:firstLine="0"/>
        <w:jc w:val="both"/>
        <w:rPr>
          <w:rFonts w:ascii="Arial" w:hAnsi="Arial" w:cs="Arial"/>
          <w:lang w:val="en-US"/>
        </w:rPr>
      </w:pPr>
      <w:r w:rsidRPr="002A6DF7">
        <w:rPr>
          <w:rFonts w:ascii="Arial" w:hAnsi="Arial" w:cs="Arial"/>
          <w:lang w:val="en-US"/>
        </w:rPr>
        <w:t xml:space="preserve">On the hearing date, the plaintiff moved for an amendment </w:t>
      </w:r>
      <w:r w:rsidR="0047552F">
        <w:rPr>
          <w:rFonts w:ascii="Arial" w:hAnsi="Arial" w:cs="Arial"/>
          <w:lang w:val="en-US"/>
        </w:rPr>
        <w:t>to</w:t>
      </w:r>
      <w:r w:rsidRPr="002A6DF7">
        <w:rPr>
          <w:rFonts w:ascii="Arial" w:hAnsi="Arial" w:cs="Arial"/>
          <w:lang w:val="en-US"/>
        </w:rPr>
        <w:t xml:space="preserve"> prayer three of its notice of motion to include an order for an extension of time to file its replication in convention. The defendant had no objection to the amendment sought. The amendment sought is granted.</w:t>
      </w:r>
    </w:p>
    <w:p w14:paraId="39EB772B" w14:textId="77777777" w:rsidR="002A6DF7" w:rsidRPr="002A6DF7" w:rsidRDefault="002A6DF7" w:rsidP="002A6DF7">
      <w:pPr>
        <w:pStyle w:val="ListParagraph"/>
        <w:rPr>
          <w:rFonts w:ascii="Arial" w:hAnsi="Arial" w:cs="Arial"/>
          <w:lang w:val="en-US"/>
        </w:rPr>
      </w:pPr>
    </w:p>
    <w:p w14:paraId="4707A430" w14:textId="21D1CE1C" w:rsidR="0038158C" w:rsidRPr="002A6DF7" w:rsidRDefault="0038158C" w:rsidP="002A6DF7">
      <w:pPr>
        <w:pStyle w:val="ListParagraph"/>
        <w:numPr>
          <w:ilvl w:val="0"/>
          <w:numId w:val="9"/>
        </w:numPr>
        <w:spacing w:line="360" w:lineRule="auto"/>
        <w:ind w:left="0" w:firstLine="0"/>
        <w:jc w:val="both"/>
        <w:rPr>
          <w:rFonts w:ascii="Arial" w:hAnsi="Arial" w:cs="Arial"/>
          <w:lang w:val="en-US"/>
        </w:rPr>
      </w:pPr>
      <w:r w:rsidRPr="002A6DF7">
        <w:rPr>
          <w:rFonts w:ascii="Arial" w:hAnsi="Arial" w:cs="Arial"/>
          <w:lang w:val="en-US"/>
        </w:rPr>
        <w:lastRenderedPageBreak/>
        <w:t xml:space="preserve">The </w:t>
      </w:r>
      <w:r w:rsidR="001758C4" w:rsidRPr="002A6DF7">
        <w:rPr>
          <w:rFonts w:ascii="Arial" w:hAnsi="Arial" w:cs="Arial"/>
          <w:lang w:val="en-US"/>
        </w:rPr>
        <w:t>d</w:t>
      </w:r>
      <w:r w:rsidRPr="002A6DF7">
        <w:rPr>
          <w:rFonts w:ascii="Arial" w:hAnsi="Arial" w:cs="Arial"/>
          <w:lang w:val="en-US"/>
        </w:rPr>
        <w:t xml:space="preserve">efendant opposed the application </w:t>
      </w:r>
      <w:r w:rsidR="00DA2BC6">
        <w:rPr>
          <w:rFonts w:ascii="Arial" w:hAnsi="Arial" w:cs="Arial"/>
          <w:lang w:val="en-US"/>
        </w:rPr>
        <w:t>because</w:t>
      </w:r>
      <w:r w:rsidRPr="002A6DF7">
        <w:rPr>
          <w:rFonts w:ascii="Arial" w:hAnsi="Arial" w:cs="Arial"/>
          <w:lang w:val="en-US"/>
        </w:rPr>
        <w:t xml:space="preserve"> the </w:t>
      </w:r>
      <w:r w:rsidR="001758C4" w:rsidRPr="002A6DF7">
        <w:rPr>
          <w:rFonts w:ascii="Arial" w:hAnsi="Arial" w:cs="Arial"/>
          <w:lang w:val="en-US"/>
        </w:rPr>
        <w:t>p</w:t>
      </w:r>
      <w:r w:rsidRPr="002A6DF7">
        <w:rPr>
          <w:rFonts w:ascii="Arial" w:hAnsi="Arial" w:cs="Arial"/>
          <w:lang w:val="en-US"/>
        </w:rPr>
        <w:t xml:space="preserve">laintiff failed to show good cause. The </w:t>
      </w:r>
      <w:r w:rsidR="001758C4" w:rsidRPr="002A6DF7">
        <w:rPr>
          <w:rFonts w:ascii="Arial" w:hAnsi="Arial" w:cs="Arial"/>
          <w:lang w:val="en-US"/>
        </w:rPr>
        <w:t>d</w:t>
      </w:r>
      <w:r w:rsidRPr="002A6DF7">
        <w:rPr>
          <w:rFonts w:ascii="Arial" w:hAnsi="Arial" w:cs="Arial"/>
          <w:lang w:val="en-US"/>
        </w:rPr>
        <w:t>efendant</w:t>
      </w:r>
      <w:r w:rsidR="003D5AC2" w:rsidRPr="002A6DF7">
        <w:rPr>
          <w:rFonts w:ascii="Arial" w:hAnsi="Arial" w:cs="Arial"/>
          <w:lang w:val="en-US"/>
        </w:rPr>
        <w:t xml:space="preserve"> contended that </w:t>
      </w:r>
      <w:r w:rsidRPr="002A6DF7">
        <w:rPr>
          <w:rFonts w:ascii="Arial" w:hAnsi="Arial" w:cs="Arial"/>
          <w:lang w:val="en-US"/>
        </w:rPr>
        <w:t xml:space="preserve">the application </w:t>
      </w:r>
      <w:r w:rsidR="003D5AC2" w:rsidRPr="002A6DF7">
        <w:rPr>
          <w:rFonts w:ascii="Arial" w:hAnsi="Arial" w:cs="Arial"/>
          <w:lang w:val="en-US"/>
        </w:rPr>
        <w:t>was delayed without explanation</w:t>
      </w:r>
      <w:r w:rsidR="001758C4" w:rsidRPr="002A6DF7">
        <w:rPr>
          <w:rFonts w:ascii="Arial" w:hAnsi="Arial" w:cs="Arial"/>
          <w:lang w:val="en-US"/>
        </w:rPr>
        <w:t xml:space="preserve">. It said </w:t>
      </w:r>
      <w:r w:rsidR="003D5AC2" w:rsidRPr="002A6DF7">
        <w:rPr>
          <w:rFonts w:ascii="Arial" w:hAnsi="Arial" w:cs="Arial"/>
          <w:lang w:val="en-US"/>
        </w:rPr>
        <w:t xml:space="preserve">the </w:t>
      </w:r>
      <w:r w:rsidR="00994945" w:rsidRPr="002A6DF7">
        <w:rPr>
          <w:rFonts w:ascii="Arial" w:hAnsi="Arial" w:cs="Arial"/>
          <w:lang w:val="en-US"/>
        </w:rPr>
        <w:t>p</w:t>
      </w:r>
      <w:r w:rsidR="003D5AC2" w:rsidRPr="002A6DF7">
        <w:rPr>
          <w:rFonts w:ascii="Arial" w:hAnsi="Arial" w:cs="Arial"/>
          <w:lang w:val="en-US"/>
        </w:rPr>
        <w:t xml:space="preserve">laintiff failed to explain why the </w:t>
      </w:r>
      <w:r w:rsidR="00994945" w:rsidRPr="002A6DF7">
        <w:rPr>
          <w:rFonts w:ascii="Arial" w:hAnsi="Arial" w:cs="Arial"/>
          <w:lang w:val="en-US"/>
        </w:rPr>
        <w:t>pleadings</w:t>
      </w:r>
      <w:r w:rsidR="003D5AC2" w:rsidRPr="002A6DF7">
        <w:rPr>
          <w:rFonts w:ascii="Arial" w:hAnsi="Arial" w:cs="Arial"/>
          <w:lang w:val="en-US"/>
        </w:rPr>
        <w:t xml:space="preserve"> were not filed by the due date</w:t>
      </w:r>
      <w:r w:rsidR="00994945" w:rsidRPr="002A6DF7">
        <w:rPr>
          <w:rFonts w:ascii="Arial" w:hAnsi="Arial" w:cs="Arial"/>
          <w:lang w:val="en-US"/>
        </w:rPr>
        <w:t xml:space="preserve">, and </w:t>
      </w:r>
      <w:r w:rsidR="003D5AC2" w:rsidRPr="002A6DF7">
        <w:rPr>
          <w:rFonts w:ascii="Arial" w:hAnsi="Arial" w:cs="Arial"/>
          <w:lang w:val="en-US"/>
        </w:rPr>
        <w:t xml:space="preserve">the </w:t>
      </w:r>
      <w:r w:rsidR="00994945" w:rsidRPr="002A6DF7">
        <w:rPr>
          <w:rFonts w:ascii="Arial" w:hAnsi="Arial" w:cs="Arial"/>
          <w:lang w:val="en-US"/>
        </w:rPr>
        <w:t xml:space="preserve">plaintiff’s explanation that the matter was referred to </w:t>
      </w:r>
      <w:r w:rsidR="003D5AC2" w:rsidRPr="002A6DF7">
        <w:rPr>
          <w:rFonts w:ascii="Arial" w:hAnsi="Arial" w:cs="Arial"/>
          <w:lang w:val="en-US"/>
        </w:rPr>
        <w:t>mediation</w:t>
      </w:r>
      <w:r w:rsidR="00994945" w:rsidRPr="002A6DF7">
        <w:rPr>
          <w:rFonts w:ascii="Arial" w:hAnsi="Arial" w:cs="Arial"/>
          <w:lang w:val="en-US"/>
        </w:rPr>
        <w:t xml:space="preserve"> i</w:t>
      </w:r>
      <w:r w:rsidR="003D5AC2" w:rsidRPr="002A6DF7">
        <w:rPr>
          <w:rFonts w:ascii="Arial" w:hAnsi="Arial" w:cs="Arial"/>
          <w:lang w:val="en-US"/>
        </w:rPr>
        <w:t>s irrelevant</w:t>
      </w:r>
      <w:r w:rsidR="00994945" w:rsidRPr="002A6DF7">
        <w:rPr>
          <w:rFonts w:ascii="Arial" w:hAnsi="Arial" w:cs="Arial"/>
          <w:lang w:val="en-US"/>
        </w:rPr>
        <w:t xml:space="preserve">. According to the defendant, </w:t>
      </w:r>
      <w:r w:rsidR="003D5AC2" w:rsidRPr="002A6DF7">
        <w:rPr>
          <w:rFonts w:ascii="Arial" w:hAnsi="Arial" w:cs="Arial"/>
          <w:lang w:val="en-US"/>
        </w:rPr>
        <w:t xml:space="preserve">the </w:t>
      </w:r>
      <w:r w:rsidR="001758C4" w:rsidRPr="002A6DF7">
        <w:rPr>
          <w:rFonts w:ascii="Arial" w:hAnsi="Arial" w:cs="Arial"/>
          <w:lang w:val="en-US"/>
        </w:rPr>
        <w:t>p</w:t>
      </w:r>
      <w:r w:rsidR="003D5AC2" w:rsidRPr="002A6DF7">
        <w:rPr>
          <w:rFonts w:ascii="Arial" w:hAnsi="Arial" w:cs="Arial"/>
          <w:lang w:val="en-US"/>
        </w:rPr>
        <w:t xml:space="preserve">laintiff </w:t>
      </w:r>
      <w:r w:rsidR="00DA2BC6">
        <w:rPr>
          <w:rFonts w:ascii="Arial" w:hAnsi="Arial" w:cs="Arial"/>
          <w:lang w:val="en-US"/>
        </w:rPr>
        <w:t>has no</w:t>
      </w:r>
      <w:r w:rsidR="003D5AC2" w:rsidRPr="002A6DF7">
        <w:rPr>
          <w:rFonts w:ascii="Arial" w:hAnsi="Arial" w:cs="Arial"/>
          <w:lang w:val="en-US"/>
        </w:rPr>
        <w:t xml:space="preserve"> bona fide </w:t>
      </w:r>
      <w:proofErr w:type="spellStart"/>
      <w:r w:rsidR="003D5AC2" w:rsidRPr="002A6DF7">
        <w:rPr>
          <w:rFonts w:ascii="Arial" w:hAnsi="Arial" w:cs="Arial"/>
          <w:lang w:val="en-US"/>
        </w:rPr>
        <w:t>defence</w:t>
      </w:r>
      <w:proofErr w:type="spellEnd"/>
      <w:r w:rsidR="003D5AC2" w:rsidRPr="002A6DF7">
        <w:rPr>
          <w:rFonts w:ascii="Arial" w:hAnsi="Arial" w:cs="Arial"/>
          <w:lang w:val="en-US"/>
        </w:rPr>
        <w:t xml:space="preserve"> in reconvention.</w:t>
      </w:r>
    </w:p>
    <w:p w14:paraId="387B549D" w14:textId="77777777" w:rsidR="0038158C" w:rsidRPr="0038158C" w:rsidRDefault="0038158C" w:rsidP="0038158C">
      <w:pPr>
        <w:pStyle w:val="ListParagraph"/>
        <w:rPr>
          <w:rFonts w:ascii="Arial" w:hAnsi="Arial" w:cs="Arial"/>
          <w:lang w:val="en-US"/>
        </w:rPr>
      </w:pPr>
    </w:p>
    <w:p w14:paraId="293D85AB" w14:textId="5615A532" w:rsidR="002A6DF7" w:rsidRDefault="002D67A4"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w:t>
      </w:r>
      <w:r w:rsidR="0038158C">
        <w:rPr>
          <w:rFonts w:ascii="Arial" w:hAnsi="Arial" w:cs="Arial"/>
          <w:lang w:val="en-US"/>
        </w:rPr>
        <w:t xml:space="preserve">he </w:t>
      </w:r>
      <w:r w:rsidR="00994945">
        <w:rPr>
          <w:rFonts w:ascii="Arial" w:hAnsi="Arial" w:cs="Arial"/>
          <w:lang w:val="en-US"/>
        </w:rPr>
        <w:t>d</w:t>
      </w:r>
      <w:r w:rsidR="0038158C">
        <w:rPr>
          <w:rFonts w:ascii="Arial" w:hAnsi="Arial" w:cs="Arial"/>
          <w:lang w:val="en-US"/>
        </w:rPr>
        <w:t xml:space="preserve">efendant is not persisting with its contention that the </w:t>
      </w:r>
      <w:r w:rsidR="00994945">
        <w:rPr>
          <w:rFonts w:ascii="Arial" w:hAnsi="Arial" w:cs="Arial"/>
          <w:lang w:val="en-US"/>
        </w:rPr>
        <w:t>p</w:t>
      </w:r>
      <w:r w:rsidR="0038158C">
        <w:rPr>
          <w:rFonts w:ascii="Arial" w:hAnsi="Arial" w:cs="Arial"/>
          <w:lang w:val="en-US"/>
        </w:rPr>
        <w:t xml:space="preserve">laintiff failed to comply with High Court </w:t>
      </w:r>
      <w:r w:rsidR="002A6DF7">
        <w:rPr>
          <w:rFonts w:ascii="Arial" w:hAnsi="Arial" w:cs="Arial"/>
          <w:lang w:val="en-US"/>
        </w:rPr>
        <w:t>r</w:t>
      </w:r>
      <w:r w:rsidR="0038158C">
        <w:rPr>
          <w:rFonts w:ascii="Arial" w:hAnsi="Arial" w:cs="Arial"/>
          <w:lang w:val="en-US"/>
        </w:rPr>
        <w:t xml:space="preserve"> 32</w:t>
      </w:r>
      <w:r w:rsidR="0047552F">
        <w:rPr>
          <w:rFonts w:ascii="Arial" w:hAnsi="Arial" w:cs="Arial"/>
          <w:lang w:val="en-US"/>
        </w:rPr>
        <w:t xml:space="preserve"> (9) and </w:t>
      </w:r>
      <w:r w:rsidR="0038158C">
        <w:rPr>
          <w:rFonts w:ascii="Arial" w:hAnsi="Arial" w:cs="Arial"/>
          <w:lang w:val="en-US"/>
        </w:rPr>
        <w:t>(10)</w:t>
      </w:r>
      <w:r w:rsidR="003D5AC2">
        <w:rPr>
          <w:rFonts w:ascii="Arial" w:hAnsi="Arial" w:cs="Arial"/>
          <w:lang w:val="en-US"/>
        </w:rPr>
        <w:t xml:space="preserve">. It, however, </w:t>
      </w:r>
      <w:r w:rsidR="0038158C">
        <w:rPr>
          <w:rFonts w:ascii="Arial" w:hAnsi="Arial" w:cs="Arial"/>
          <w:lang w:val="en-US"/>
        </w:rPr>
        <w:t>contend</w:t>
      </w:r>
      <w:r w:rsidR="003D5AC2">
        <w:rPr>
          <w:rFonts w:ascii="Arial" w:hAnsi="Arial" w:cs="Arial"/>
          <w:lang w:val="en-US"/>
        </w:rPr>
        <w:t>ed</w:t>
      </w:r>
      <w:r w:rsidR="0038158C">
        <w:rPr>
          <w:rFonts w:ascii="Arial" w:hAnsi="Arial" w:cs="Arial"/>
          <w:lang w:val="en-US"/>
        </w:rPr>
        <w:t xml:space="preserve"> that </w:t>
      </w:r>
      <w:r w:rsidR="003D5AC2">
        <w:rPr>
          <w:rFonts w:ascii="Arial" w:hAnsi="Arial" w:cs="Arial"/>
          <w:lang w:val="en-US"/>
        </w:rPr>
        <w:t>if</w:t>
      </w:r>
      <w:r w:rsidR="0038158C">
        <w:rPr>
          <w:rFonts w:ascii="Arial" w:hAnsi="Arial" w:cs="Arial"/>
          <w:lang w:val="en-US"/>
        </w:rPr>
        <w:t xml:space="preserve"> </w:t>
      </w:r>
      <w:r w:rsidR="003D5AC2">
        <w:rPr>
          <w:rFonts w:ascii="Arial" w:hAnsi="Arial" w:cs="Arial"/>
          <w:lang w:val="en-US"/>
        </w:rPr>
        <w:t>th</w:t>
      </w:r>
      <w:r w:rsidR="0047552F">
        <w:rPr>
          <w:rFonts w:ascii="Arial" w:hAnsi="Arial" w:cs="Arial"/>
          <w:lang w:val="en-US"/>
        </w:rPr>
        <w:t>ose</w:t>
      </w:r>
      <w:r w:rsidR="003D5AC2">
        <w:rPr>
          <w:rFonts w:ascii="Arial" w:hAnsi="Arial" w:cs="Arial"/>
          <w:lang w:val="en-US"/>
        </w:rPr>
        <w:t xml:space="preserve"> </w:t>
      </w:r>
      <w:r w:rsidR="0038158C">
        <w:rPr>
          <w:rFonts w:ascii="Arial" w:hAnsi="Arial" w:cs="Arial"/>
          <w:lang w:val="en-US"/>
        </w:rPr>
        <w:t>rule</w:t>
      </w:r>
      <w:r w:rsidR="0047552F">
        <w:rPr>
          <w:rFonts w:ascii="Arial" w:hAnsi="Arial" w:cs="Arial"/>
          <w:lang w:val="en-US"/>
        </w:rPr>
        <w:t>s</w:t>
      </w:r>
      <w:r w:rsidR="0038158C">
        <w:rPr>
          <w:rFonts w:ascii="Arial" w:hAnsi="Arial" w:cs="Arial"/>
          <w:lang w:val="en-US"/>
        </w:rPr>
        <w:t xml:space="preserve"> do not apply,</w:t>
      </w:r>
      <w:r w:rsidR="00994945">
        <w:rPr>
          <w:rFonts w:ascii="Arial" w:hAnsi="Arial" w:cs="Arial"/>
          <w:lang w:val="en-US"/>
        </w:rPr>
        <w:t xml:space="preserve"> r</w:t>
      </w:r>
      <w:r w:rsidR="0038158C">
        <w:rPr>
          <w:rFonts w:ascii="Arial" w:hAnsi="Arial" w:cs="Arial"/>
          <w:lang w:val="en-US"/>
        </w:rPr>
        <w:t xml:space="preserve"> 32(11) </w:t>
      </w:r>
      <w:r w:rsidR="0047552F">
        <w:rPr>
          <w:rFonts w:ascii="Arial" w:hAnsi="Arial" w:cs="Arial"/>
          <w:lang w:val="en-US"/>
        </w:rPr>
        <w:t xml:space="preserve">should </w:t>
      </w:r>
      <w:r w:rsidR="00DA2BC6">
        <w:rPr>
          <w:rFonts w:ascii="Arial" w:hAnsi="Arial" w:cs="Arial"/>
          <w:lang w:val="en-US"/>
        </w:rPr>
        <w:t>also</w:t>
      </w:r>
      <w:r w:rsidR="0047552F">
        <w:rPr>
          <w:rFonts w:ascii="Arial" w:hAnsi="Arial" w:cs="Arial"/>
          <w:lang w:val="en-US"/>
        </w:rPr>
        <w:t xml:space="preserve"> </w:t>
      </w:r>
      <w:r w:rsidR="00DA2BC6">
        <w:rPr>
          <w:rFonts w:ascii="Arial" w:hAnsi="Arial" w:cs="Arial"/>
          <w:lang w:val="en-US"/>
        </w:rPr>
        <w:t>not apply,</w:t>
      </w:r>
      <w:r w:rsidR="0038158C">
        <w:rPr>
          <w:rFonts w:ascii="Arial" w:hAnsi="Arial" w:cs="Arial"/>
          <w:lang w:val="en-US"/>
        </w:rPr>
        <w:t xml:space="preserve"> and</w:t>
      </w:r>
      <w:r w:rsidR="003D5AC2">
        <w:rPr>
          <w:rFonts w:ascii="Arial" w:hAnsi="Arial" w:cs="Arial"/>
          <w:lang w:val="en-US"/>
        </w:rPr>
        <w:t xml:space="preserve"> </w:t>
      </w:r>
      <w:r w:rsidR="0038158C">
        <w:rPr>
          <w:rFonts w:ascii="Arial" w:hAnsi="Arial" w:cs="Arial"/>
          <w:lang w:val="en-US"/>
        </w:rPr>
        <w:t xml:space="preserve">the application should be dismissed with costs uncapped </w:t>
      </w:r>
      <w:r w:rsidR="003D5AC2">
        <w:rPr>
          <w:rFonts w:ascii="Arial" w:hAnsi="Arial" w:cs="Arial"/>
          <w:lang w:val="en-US"/>
        </w:rPr>
        <w:t>by r 32(11).</w:t>
      </w:r>
      <w:r>
        <w:rPr>
          <w:rFonts w:ascii="Arial" w:hAnsi="Arial" w:cs="Arial"/>
          <w:lang w:val="en-US"/>
        </w:rPr>
        <w:t xml:space="preserve"> The </w:t>
      </w:r>
      <w:r w:rsidR="00994945">
        <w:rPr>
          <w:rFonts w:ascii="Arial" w:hAnsi="Arial" w:cs="Arial"/>
          <w:lang w:val="en-US"/>
        </w:rPr>
        <w:t>d</w:t>
      </w:r>
      <w:r>
        <w:rPr>
          <w:rFonts w:ascii="Arial" w:hAnsi="Arial" w:cs="Arial"/>
          <w:lang w:val="en-US"/>
        </w:rPr>
        <w:t xml:space="preserve">efendant is also not persisting with its contention that the </w:t>
      </w:r>
      <w:r w:rsidR="00994945">
        <w:rPr>
          <w:rFonts w:ascii="Arial" w:hAnsi="Arial" w:cs="Arial"/>
          <w:lang w:val="en-US"/>
        </w:rPr>
        <w:t>p</w:t>
      </w:r>
      <w:r>
        <w:rPr>
          <w:rFonts w:ascii="Arial" w:hAnsi="Arial" w:cs="Arial"/>
          <w:lang w:val="en-US"/>
        </w:rPr>
        <w:t xml:space="preserve">laintiff’s deponent </w:t>
      </w:r>
      <w:r w:rsidR="00994945">
        <w:rPr>
          <w:rFonts w:ascii="Arial" w:hAnsi="Arial" w:cs="Arial"/>
          <w:lang w:val="en-US"/>
        </w:rPr>
        <w:t>lacked</w:t>
      </w:r>
      <w:r>
        <w:rPr>
          <w:rFonts w:ascii="Arial" w:hAnsi="Arial" w:cs="Arial"/>
          <w:lang w:val="en-US"/>
        </w:rPr>
        <w:t xml:space="preserve"> authority to launch the application.</w:t>
      </w:r>
    </w:p>
    <w:p w14:paraId="383DBBD3" w14:textId="77777777" w:rsidR="002A6DF7" w:rsidRPr="002A6DF7" w:rsidRDefault="002A6DF7" w:rsidP="002A6DF7">
      <w:pPr>
        <w:pStyle w:val="ListParagraph"/>
        <w:rPr>
          <w:rFonts w:ascii="Arial" w:eastAsia="Calibri" w:hAnsi="Arial" w:cs="Arial"/>
          <w:bCs/>
          <w:u w:val="single"/>
        </w:rPr>
      </w:pPr>
    </w:p>
    <w:p w14:paraId="31F0A34F" w14:textId="77777777" w:rsidR="002A6DF7" w:rsidRDefault="002D67A4" w:rsidP="002A6DF7">
      <w:pPr>
        <w:pStyle w:val="ListParagraph"/>
        <w:spacing w:line="360" w:lineRule="auto"/>
        <w:ind w:left="0"/>
        <w:jc w:val="both"/>
        <w:rPr>
          <w:rFonts w:ascii="Arial" w:hAnsi="Arial" w:cs="Arial"/>
          <w:lang w:val="en-US"/>
        </w:rPr>
      </w:pPr>
      <w:r w:rsidRPr="002A6DF7">
        <w:rPr>
          <w:rFonts w:ascii="Arial" w:eastAsia="Calibri" w:hAnsi="Arial" w:cs="Arial"/>
          <w:bCs/>
          <w:u w:val="single"/>
        </w:rPr>
        <w:t>The facts</w:t>
      </w:r>
    </w:p>
    <w:p w14:paraId="77B5C930" w14:textId="77777777" w:rsidR="002A6DF7" w:rsidRPr="002A6DF7" w:rsidRDefault="002A6DF7" w:rsidP="002A6DF7">
      <w:pPr>
        <w:pStyle w:val="ListParagraph"/>
        <w:rPr>
          <w:rFonts w:ascii="Arial" w:hAnsi="Arial" w:cs="Arial"/>
          <w:lang w:val="en-US"/>
        </w:rPr>
      </w:pPr>
    </w:p>
    <w:p w14:paraId="1B944880" w14:textId="384D5947" w:rsidR="002A6DF7" w:rsidRDefault="002D67A4" w:rsidP="002A6DF7">
      <w:pPr>
        <w:pStyle w:val="ListParagraph"/>
        <w:numPr>
          <w:ilvl w:val="0"/>
          <w:numId w:val="9"/>
        </w:numPr>
        <w:spacing w:line="360" w:lineRule="auto"/>
        <w:ind w:left="0" w:firstLine="0"/>
        <w:jc w:val="both"/>
        <w:rPr>
          <w:rFonts w:ascii="Arial" w:hAnsi="Arial" w:cs="Arial"/>
          <w:lang w:val="en-US"/>
        </w:rPr>
      </w:pPr>
      <w:r w:rsidRPr="002A6DF7">
        <w:rPr>
          <w:rFonts w:ascii="Arial" w:hAnsi="Arial" w:cs="Arial"/>
          <w:lang w:val="en-US"/>
        </w:rPr>
        <w:t xml:space="preserve">The claim in convention is for an order that the </w:t>
      </w:r>
      <w:r w:rsidR="00286006" w:rsidRPr="002A6DF7">
        <w:rPr>
          <w:rFonts w:ascii="Arial" w:hAnsi="Arial" w:cs="Arial"/>
          <w:lang w:val="en-US"/>
        </w:rPr>
        <w:t xml:space="preserve">written </w:t>
      </w:r>
      <w:r w:rsidRPr="002A6DF7">
        <w:rPr>
          <w:rFonts w:ascii="Arial" w:hAnsi="Arial" w:cs="Arial"/>
          <w:lang w:val="en-US"/>
        </w:rPr>
        <w:t xml:space="preserve">lease agreement </w:t>
      </w:r>
      <w:r w:rsidR="00730FE5" w:rsidRPr="002A6DF7">
        <w:rPr>
          <w:rFonts w:ascii="Arial" w:hAnsi="Arial" w:cs="Arial"/>
          <w:lang w:val="en-US"/>
        </w:rPr>
        <w:t>for</w:t>
      </w:r>
      <w:r w:rsidR="00994945" w:rsidRPr="002A6DF7">
        <w:rPr>
          <w:rFonts w:ascii="Arial" w:hAnsi="Arial" w:cs="Arial"/>
          <w:lang w:val="en-US"/>
        </w:rPr>
        <w:t xml:space="preserve"> immovable property </w:t>
      </w:r>
      <w:r w:rsidRPr="002A6DF7">
        <w:rPr>
          <w:rFonts w:ascii="Arial" w:hAnsi="Arial" w:cs="Arial"/>
          <w:lang w:val="en-US"/>
        </w:rPr>
        <w:t>concluded between the parties on 27 July 2016 be terminated</w:t>
      </w:r>
      <w:r w:rsidR="00730FE5" w:rsidRPr="002A6DF7">
        <w:rPr>
          <w:rFonts w:ascii="Arial" w:hAnsi="Arial" w:cs="Arial"/>
          <w:lang w:val="en-US"/>
        </w:rPr>
        <w:t xml:space="preserve">, </w:t>
      </w:r>
      <w:r w:rsidRPr="002A6DF7">
        <w:rPr>
          <w:rFonts w:ascii="Arial" w:hAnsi="Arial" w:cs="Arial"/>
          <w:lang w:val="en-US"/>
        </w:rPr>
        <w:t xml:space="preserve">that the </w:t>
      </w:r>
      <w:r w:rsidR="00994945" w:rsidRPr="002A6DF7">
        <w:rPr>
          <w:rFonts w:ascii="Arial" w:hAnsi="Arial" w:cs="Arial"/>
          <w:lang w:val="en-US"/>
        </w:rPr>
        <w:t>d</w:t>
      </w:r>
      <w:r w:rsidRPr="002A6DF7">
        <w:rPr>
          <w:rFonts w:ascii="Arial" w:hAnsi="Arial" w:cs="Arial"/>
          <w:lang w:val="en-US"/>
        </w:rPr>
        <w:t xml:space="preserve">efendant be evicted from the property and </w:t>
      </w:r>
      <w:r w:rsidR="00730FE5" w:rsidRPr="002A6DF7">
        <w:rPr>
          <w:rFonts w:ascii="Arial" w:hAnsi="Arial" w:cs="Arial"/>
          <w:lang w:val="en-US"/>
        </w:rPr>
        <w:t xml:space="preserve">that </w:t>
      </w:r>
      <w:r w:rsidR="00F61FD5">
        <w:rPr>
          <w:rFonts w:ascii="Arial" w:hAnsi="Arial" w:cs="Arial"/>
          <w:lang w:val="en-US"/>
        </w:rPr>
        <w:t>the plaintiff</w:t>
      </w:r>
      <w:r w:rsidR="00730FE5" w:rsidRPr="002A6DF7">
        <w:rPr>
          <w:rFonts w:ascii="Arial" w:hAnsi="Arial" w:cs="Arial"/>
          <w:lang w:val="en-US"/>
        </w:rPr>
        <w:t xml:space="preserve"> be paid </w:t>
      </w:r>
      <w:r w:rsidRPr="002A6DF7">
        <w:rPr>
          <w:rFonts w:ascii="Arial" w:hAnsi="Arial" w:cs="Arial"/>
          <w:lang w:val="en-US"/>
        </w:rPr>
        <w:t>arrear rental and utilit</w:t>
      </w:r>
      <w:r w:rsidR="00730FE5" w:rsidRPr="002A6DF7">
        <w:rPr>
          <w:rFonts w:ascii="Arial" w:hAnsi="Arial" w:cs="Arial"/>
          <w:lang w:val="en-US"/>
        </w:rPr>
        <w:t>y charges</w:t>
      </w:r>
      <w:r w:rsidRPr="002A6DF7">
        <w:rPr>
          <w:rFonts w:ascii="Arial" w:hAnsi="Arial" w:cs="Arial"/>
          <w:lang w:val="en-US"/>
        </w:rPr>
        <w:t xml:space="preserve">. </w:t>
      </w:r>
    </w:p>
    <w:p w14:paraId="22AE12AB" w14:textId="77777777" w:rsidR="002A6DF7" w:rsidRPr="002A6DF7" w:rsidRDefault="002A6DF7" w:rsidP="002A6DF7">
      <w:pPr>
        <w:pStyle w:val="ListParagraph"/>
        <w:rPr>
          <w:rFonts w:ascii="Arial" w:hAnsi="Arial" w:cs="Arial"/>
          <w:lang w:val="en-US"/>
        </w:rPr>
      </w:pPr>
    </w:p>
    <w:p w14:paraId="65BFC0E3" w14:textId="55A6239D" w:rsidR="002D67A4" w:rsidRPr="002A6DF7" w:rsidRDefault="002D67A4" w:rsidP="002A6DF7">
      <w:pPr>
        <w:pStyle w:val="ListParagraph"/>
        <w:numPr>
          <w:ilvl w:val="0"/>
          <w:numId w:val="9"/>
        </w:numPr>
        <w:spacing w:line="360" w:lineRule="auto"/>
        <w:ind w:left="0" w:firstLine="0"/>
        <w:jc w:val="both"/>
        <w:rPr>
          <w:rFonts w:ascii="Arial" w:hAnsi="Arial" w:cs="Arial"/>
          <w:lang w:val="en-US"/>
        </w:rPr>
      </w:pPr>
      <w:r w:rsidRPr="002A6DF7">
        <w:rPr>
          <w:rFonts w:ascii="Arial" w:hAnsi="Arial" w:cs="Arial"/>
          <w:lang w:val="en-US"/>
        </w:rPr>
        <w:t xml:space="preserve">The claim in reconvention </w:t>
      </w:r>
      <w:r w:rsidR="00286006" w:rsidRPr="002A6DF7">
        <w:rPr>
          <w:rFonts w:ascii="Arial" w:hAnsi="Arial" w:cs="Arial"/>
          <w:lang w:val="en-US"/>
        </w:rPr>
        <w:t xml:space="preserve">seeks a declarator that the </w:t>
      </w:r>
      <w:r w:rsidR="00730FE5" w:rsidRPr="002A6DF7">
        <w:rPr>
          <w:rFonts w:ascii="Arial" w:hAnsi="Arial" w:cs="Arial"/>
          <w:lang w:val="en-US"/>
        </w:rPr>
        <w:t xml:space="preserve">lease </w:t>
      </w:r>
      <w:r w:rsidR="00286006" w:rsidRPr="002A6DF7">
        <w:rPr>
          <w:rFonts w:ascii="Arial" w:hAnsi="Arial" w:cs="Arial"/>
          <w:lang w:val="en-US"/>
        </w:rPr>
        <w:t>agreement is invalid and unenforceable</w:t>
      </w:r>
      <w:r w:rsidR="009C62D1">
        <w:rPr>
          <w:rFonts w:ascii="Arial" w:hAnsi="Arial" w:cs="Arial"/>
          <w:lang w:val="en-US"/>
        </w:rPr>
        <w:t>; alternatively, if it is valid and enforceable, the clause creating an obligation for the defendant to pay utility charges should</w:t>
      </w:r>
      <w:r w:rsidR="00286006" w:rsidRPr="002A6DF7">
        <w:rPr>
          <w:rFonts w:ascii="Arial" w:hAnsi="Arial" w:cs="Arial"/>
          <w:lang w:val="en-US"/>
        </w:rPr>
        <w:t xml:space="preserve"> be declared void for vagueness and unenforceable</w:t>
      </w:r>
      <w:r w:rsidR="00730FE5" w:rsidRPr="002A6DF7">
        <w:rPr>
          <w:rFonts w:ascii="Arial" w:hAnsi="Arial" w:cs="Arial"/>
          <w:lang w:val="en-US"/>
        </w:rPr>
        <w:t>. The defendant further claims</w:t>
      </w:r>
      <w:r w:rsidR="00286006" w:rsidRPr="002A6DF7">
        <w:rPr>
          <w:rFonts w:ascii="Arial" w:hAnsi="Arial" w:cs="Arial"/>
          <w:lang w:val="en-US"/>
        </w:rPr>
        <w:t xml:space="preserve"> payment of damages arising from </w:t>
      </w:r>
      <w:r w:rsidR="00730FE5" w:rsidRPr="002A6DF7">
        <w:rPr>
          <w:rFonts w:ascii="Arial" w:hAnsi="Arial" w:cs="Arial"/>
          <w:lang w:val="en-US"/>
        </w:rPr>
        <w:t xml:space="preserve">a claim for </w:t>
      </w:r>
      <w:r w:rsidR="00286006" w:rsidRPr="002A6DF7">
        <w:rPr>
          <w:rFonts w:ascii="Arial" w:hAnsi="Arial" w:cs="Arial"/>
          <w:lang w:val="en-US"/>
        </w:rPr>
        <w:t>unjustified enrichment.</w:t>
      </w:r>
    </w:p>
    <w:p w14:paraId="0857C412" w14:textId="77777777" w:rsidR="002D67A4" w:rsidRPr="004E5F07" w:rsidRDefault="002D67A4" w:rsidP="002A6DF7">
      <w:pPr>
        <w:pStyle w:val="ListParagraph"/>
        <w:ind w:left="0"/>
        <w:rPr>
          <w:rFonts w:ascii="Arial" w:hAnsi="Arial" w:cs="Arial"/>
          <w:lang w:val="en-US"/>
        </w:rPr>
      </w:pPr>
    </w:p>
    <w:p w14:paraId="04BF6668" w14:textId="37B346C3" w:rsidR="00730FE5" w:rsidRDefault="00730FE5"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On</w:t>
      </w:r>
      <w:r w:rsidR="00286006">
        <w:rPr>
          <w:rFonts w:ascii="Arial" w:hAnsi="Arial" w:cs="Arial"/>
          <w:lang w:val="en-US"/>
        </w:rPr>
        <w:t xml:space="preserve"> 21 June 2023</w:t>
      </w:r>
      <w:r>
        <w:rPr>
          <w:rFonts w:ascii="Arial" w:hAnsi="Arial" w:cs="Arial"/>
          <w:lang w:val="en-US"/>
        </w:rPr>
        <w:t xml:space="preserve">, </w:t>
      </w:r>
      <w:r w:rsidR="00286006">
        <w:rPr>
          <w:rFonts w:ascii="Arial" w:hAnsi="Arial" w:cs="Arial"/>
          <w:lang w:val="en-US"/>
        </w:rPr>
        <w:t xml:space="preserve">the </w:t>
      </w:r>
      <w:r>
        <w:rPr>
          <w:rFonts w:ascii="Arial" w:hAnsi="Arial" w:cs="Arial"/>
          <w:lang w:val="en-US"/>
        </w:rPr>
        <w:t>p</w:t>
      </w:r>
      <w:r w:rsidR="00286006">
        <w:rPr>
          <w:rFonts w:ascii="Arial" w:hAnsi="Arial" w:cs="Arial"/>
          <w:lang w:val="en-US"/>
        </w:rPr>
        <w:t xml:space="preserve">laintiff </w:t>
      </w:r>
      <w:r>
        <w:rPr>
          <w:rFonts w:ascii="Arial" w:hAnsi="Arial" w:cs="Arial"/>
          <w:lang w:val="en-US"/>
        </w:rPr>
        <w:t xml:space="preserve">was ordered </w:t>
      </w:r>
      <w:r w:rsidR="00286006">
        <w:rPr>
          <w:rFonts w:ascii="Arial" w:hAnsi="Arial" w:cs="Arial"/>
          <w:lang w:val="en-US"/>
        </w:rPr>
        <w:t>to deliver its plea in reconvention and</w:t>
      </w:r>
      <w:r>
        <w:rPr>
          <w:rFonts w:ascii="Arial" w:hAnsi="Arial" w:cs="Arial"/>
          <w:lang w:val="en-US"/>
        </w:rPr>
        <w:t xml:space="preserve"> </w:t>
      </w:r>
      <w:r w:rsidR="00286006">
        <w:rPr>
          <w:rFonts w:ascii="Arial" w:hAnsi="Arial" w:cs="Arial"/>
          <w:lang w:val="en-US"/>
        </w:rPr>
        <w:t>replication in convention by 14 July 2023</w:t>
      </w:r>
      <w:r w:rsidR="00A8299E">
        <w:rPr>
          <w:rFonts w:ascii="Arial" w:hAnsi="Arial" w:cs="Arial"/>
          <w:lang w:val="en-US"/>
        </w:rPr>
        <w:t xml:space="preserve">. The court order </w:t>
      </w:r>
      <w:r w:rsidR="00991D4F">
        <w:rPr>
          <w:rFonts w:ascii="Arial" w:hAnsi="Arial" w:cs="Arial"/>
          <w:lang w:val="en-US"/>
        </w:rPr>
        <w:t>included an initial mediation referral order</w:t>
      </w:r>
      <w:r w:rsidR="00A8299E">
        <w:rPr>
          <w:rFonts w:ascii="Arial" w:hAnsi="Arial" w:cs="Arial"/>
          <w:lang w:val="en-US"/>
        </w:rPr>
        <w:t xml:space="preserve">, and the parties were directed to file a draft mediation referral order on or before 3 August 2023. The </w:t>
      </w:r>
      <w:r w:rsidR="00991D4F">
        <w:rPr>
          <w:rFonts w:ascii="Arial" w:hAnsi="Arial" w:cs="Arial"/>
          <w:lang w:val="en-US"/>
        </w:rPr>
        <w:t>matter was postponed to 9 August 2023 for mediation referral</w:t>
      </w:r>
      <w:r w:rsidR="00286006">
        <w:rPr>
          <w:rFonts w:ascii="Arial" w:hAnsi="Arial" w:cs="Arial"/>
          <w:lang w:val="en-US"/>
        </w:rPr>
        <w:t>.</w:t>
      </w:r>
      <w:r w:rsidR="00991D4F">
        <w:rPr>
          <w:rFonts w:ascii="Arial" w:hAnsi="Arial" w:cs="Arial"/>
          <w:lang w:val="en-US"/>
        </w:rPr>
        <w:t xml:space="preserve"> </w:t>
      </w:r>
    </w:p>
    <w:p w14:paraId="3DC85D67" w14:textId="77777777" w:rsidR="00730FE5" w:rsidRPr="00730FE5" w:rsidRDefault="00730FE5" w:rsidP="002A6DF7">
      <w:pPr>
        <w:pStyle w:val="ListParagraph"/>
        <w:ind w:left="0"/>
        <w:rPr>
          <w:rFonts w:ascii="Arial" w:hAnsi="Arial" w:cs="Arial"/>
          <w:lang w:val="en-US"/>
        </w:rPr>
      </w:pPr>
    </w:p>
    <w:p w14:paraId="117D6886" w14:textId="17E8B886" w:rsidR="00AB6E7B" w:rsidRDefault="00991D4F" w:rsidP="002A6DF7">
      <w:pPr>
        <w:pStyle w:val="ListParagraph"/>
        <w:numPr>
          <w:ilvl w:val="0"/>
          <w:numId w:val="9"/>
        </w:numPr>
        <w:spacing w:line="360" w:lineRule="auto"/>
        <w:ind w:left="0" w:firstLine="0"/>
        <w:jc w:val="both"/>
        <w:rPr>
          <w:rFonts w:ascii="Arial" w:hAnsi="Arial" w:cs="Arial"/>
          <w:lang w:val="en-US"/>
        </w:rPr>
      </w:pPr>
      <w:r w:rsidRPr="00730FE5">
        <w:rPr>
          <w:rFonts w:ascii="Arial" w:hAnsi="Arial" w:cs="Arial"/>
          <w:lang w:val="en-US"/>
        </w:rPr>
        <w:t xml:space="preserve">The plea </w:t>
      </w:r>
      <w:r w:rsidR="00730FE5">
        <w:rPr>
          <w:rFonts w:ascii="Arial" w:hAnsi="Arial" w:cs="Arial"/>
          <w:lang w:val="en-US"/>
        </w:rPr>
        <w:t xml:space="preserve">in convention </w:t>
      </w:r>
      <w:r w:rsidRPr="00730FE5">
        <w:rPr>
          <w:rFonts w:ascii="Arial" w:hAnsi="Arial" w:cs="Arial"/>
          <w:lang w:val="en-US"/>
        </w:rPr>
        <w:t>and claim in reconvention were filed timely, and both parties made discovery, albeit late</w:t>
      </w:r>
      <w:r w:rsidR="00DA2BC6">
        <w:rPr>
          <w:rFonts w:ascii="Arial" w:hAnsi="Arial" w:cs="Arial"/>
          <w:lang w:val="en-US"/>
        </w:rPr>
        <w:t>. T</w:t>
      </w:r>
      <w:r w:rsidR="00C51AE3" w:rsidRPr="00730FE5">
        <w:rPr>
          <w:rFonts w:ascii="Arial" w:hAnsi="Arial" w:cs="Arial"/>
          <w:lang w:val="en-US"/>
        </w:rPr>
        <w:t xml:space="preserve">he plea in reconvention and the </w:t>
      </w:r>
      <w:r w:rsidR="00C51AE3" w:rsidRPr="00730FE5">
        <w:rPr>
          <w:rFonts w:ascii="Arial" w:hAnsi="Arial" w:cs="Arial"/>
          <w:lang w:val="en-US"/>
        </w:rPr>
        <w:lastRenderedPageBreak/>
        <w:t>replication in convention were not filed</w:t>
      </w:r>
      <w:r w:rsidRPr="00730FE5">
        <w:rPr>
          <w:rFonts w:ascii="Arial" w:hAnsi="Arial" w:cs="Arial"/>
          <w:lang w:val="en-US"/>
        </w:rPr>
        <w:t>.</w:t>
      </w:r>
      <w:r w:rsidR="00C51AE3" w:rsidRPr="00730FE5">
        <w:rPr>
          <w:rFonts w:ascii="Arial" w:hAnsi="Arial" w:cs="Arial"/>
          <w:lang w:val="en-US"/>
        </w:rPr>
        <w:t xml:space="preserve"> On 2 August 2023, a joint r 32(10) report was filed.</w:t>
      </w:r>
    </w:p>
    <w:p w14:paraId="131F8EF6" w14:textId="77777777" w:rsidR="00AB6E7B" w:rsidRPr="00AB6E7B" w:rsidRDefault="00AB6E7B" w:rsidP="002A6DF7">
      <w:pPr>
        <w:pStyle w:val="ListParagraph"/>
        <w:ind w:left="0"/>
        <w:rPr>
          <w:rFonts w:ascii="Arial" w:hAnsi="Arial" w:cs="Arial"/>
          <w:lang w:val="en-US"/>
        </w:rPr>
      </w:pPr>
    </w:p>
    <w:p w14:paraId="3A19B7D9" w14:textId="6EFC6DC8" w:rsidR="004E5F07" w:rsidRPr="00AB6E7B" w:rsidRDefault="00C51AE3" w:rsidP="002A6DF7">
      <w:pPr>
        <w:pStyle w:val="ListParagraph"/>
        <w:numPr>
          <w:ilvl w:val="0"/>
          <w:numId w:val="9"/>
        </w:numPr>
        <w:spacing w:line="360" w:lineRule="auto"/>
        <w:ind w:left="0" w:firstLine="0"/>
        <w:jc w:val="both"/>
        <w:rPr>
          <w:rFonts w:ascii="Arial" w:hAnsi="Arial" w:cs="Arial"/>
          <w:lang w:val="en-US"/>
        </w:rPr>
      </w:pPr>
      <w:r w:rsidRPr="00AB6E7B">
        <w:rPr>
          <w:rFonts w:ascii="Arial" w:hAnsi="Arial" w:cs="Arial"/>
          <w:lang w:val="en-US"/>
        </w:rPr>
        <w:t xml:space="preserve">On </w:t>
      </w:r>
      <w:r w:rsidR="00B85363" w:rsidRPr="00AB6E7B">
        <w:rPr>
          <w:rFonts w:ascii="Arial" w:hAnsi="Arial" w:cs="Arial"/>
          <w:lang w:val="en-US"/>
        </w:rPr>
        <w:t xml:space="preserve">1 and </w:t>
      </w:r>
      <w:r w:rsidRPr="00AB6E7B">
        <w:rPr>
          <w:rFonts w:ascii="Arial" w:hAnsi="Arial" w:cs="Arial"/>
          <w:lang w:val="en-US"/>
        </w:rPr>
        <w:t xml:space="preserve">2 August 2023, </w:t>
      </w:r>
      <w:r w:rsidR="00991D4F" w:rsidRPr="00AB6E7B">
        <w:rPr>
          <w:rFonts w:ascii="Arial" w:hAnsi="Arial" w:cs="Arial"/>
          <w:lang w:val="en-US"/>
        </w:rPr>
        <w:t xml:space="preserve">a </w:t>
      </w:r>
      <w:r w:rsidRPr="00AB6E7B">
        <w:rPr>
          <w:rFonts w:ascii="Arial" w:hAnsi="Arial" w:cs="Arial"/>
          <w:lang w:val="en-US"/>
        </w:rPr>
        <w:t xml:space="preserve">mediation reservation </w:t>
      </w:r>
      <w:proofErr w:type="gramStart"/>
      <w:r w:rsidRPr="00AB6E7B">
        <w:rPr>
          <w:rFonts w:ascii="Arial" w:hAnsi="Arial" w:cs="Arial"/>
          <w:lang w:val="en-US"/>
        </w:rPr>
        <w:t>note</w:t>
      </w:r>
      <w:proofErr w:type="gramEnd"/>
      <w:r w:rsidRPr="00AB6E7B">
        <w:rPr>
          <w:rFonts w:ascii="Arial" w:hAnsi="Arial" w:cs="Arial"/>
          <w:lang w:val="en-US"/>
        </w:rPr>
        <w:t xml:space="preserve"> and a </w:t>
      </w:r>
      <w:r w:rsidR="00991D4F" w:rsidRPr="00AB6E7B">
        <w:rPr>
          <w:rFonts w:ascii="Arial" w:hAnsi="Arial" w:cs="Arial"/>
          <w:lang w:val="en-US"/>
        </w:rPr>
        <w:t>draft mediation referral order</w:t>
      </w:r>
      <w:r w:rsidR="00A8299E" w:rsidRPr="00AB6E7B">
        <w:rPr>
          <w:rFonts w:ascii="Arial" w:hAnsi="Arial" w:cs="Arial"/>
          <w:lang w:val="en-US"/>
        </w:rPr>
        <w:t xml:space="preserve"> were filed. O</w:t>
      </w:r>
      <w:r w:rsidR="00991D4F" w:rsidRPr="00AB6E7B">
        <w:rPr>
          <w:rFonts w:ascii="Arial" w:hAnsi="Arial" w:cs="Arial"/>
          <w:lang w:val="en-US"/>
        </w:rPr>
        <w:t>n 7 August 2023, the mediation referral order was made</w:t>
      </w:r>
      <w:r w:rsidRPr="00AB6E7B">
        <w:rPr>
          <w:rFonts w:ascii="Arial" w:hAnsi="Arial" w:cs="Arial"/>
          <w:lang w:val="en-US"/>
        </w:rPr>
        <w:t xml:space="preserve"> in chambers </w:t>
      </w:r>
      <w:r w:rsidR="00AB6E7B">
        <w:rPr>
          <w:rFonts w:ascii="Arial" w:hAnsi="Arial" w:cs="Arial"/>
          <w:lang w:val="en-US"/>
        </w:rPr>
        <w:t>absentia</w:t>
      </w:r>
      <w:r w:rsidRPr="00AB6E7B">
        <w:rPr>
          <w:rFonts w:ascii="Arial" w:hAnsi="Arial" w:cs="Arial"/>
          <w:lang w:val="en-US"/>
        </w:rPr>
        <w:t xml:space="preserve"> the parties</w:t>
      </w:r>
      <w:r w:rsidR="00991D4F" w:rsidRPr="00AB6E7B">
        <w:rPr>
          <w:rFonts w:ascii="Arial" w:hAnsi="Arial" w:cs="Arial"/>
          <w:lang w:val="en-US"/>
        </w:rPr>
        <w:t xml:space="preserve">, and the matter was </w:t>
      </w:r>
      <w:r w:rsidR="00AB6E7B">
        <w:rPr>
          <w:rFonts w:ascii="Arial" w:hAnsi="Arial" w:cs="Arial"/>
          <w:lang w:val="en-US"/>
        </w:rPr>
        <w:t>postponed</w:t>
      </w:r>
      <w:r w:rsidRPr="00AB6E7B">
        <w:rPr>
          <w:rFonts w:ascii="Arial" w:hAnsi="Arial" w:cs="Arial"/>
          <w:lang w:val="en-US"/>
        </w:rPr>
        <w:t xml:space="preserve"> </w:t>
      </w:r>
      <w:r w:rsidR="00991D4F" w:rsidRPr="00AB6E7B">
        <w:rPr>
          <w:rFonts w:ascii="Arial" w:hAnsi="Arial" w:cs="Arial"/>
          <w:lang w:val="en-US"/>
        </w:rPr>
        <w:t xml:space="preserve">to 20 September 2023 for a status hearing. </w:t>
      </w:r>
    </w:p>
    <w:p w14:paraId="410C3A29" w14:textId="77777777" w:rsidR="00B85363" w:rsidRPr="00B85363" w:rsidRDefault="00B85363" w:rsidP="002A6DF7">
      <w:pPr>
        <w:pStyle w:val="ListParagraph"/>
        <w:ind w:left="0"/>
        <w:rPr>
          <w:rFonts w:ascii="Arial" w:hAnsi="Arial" w:cs="Arial"/>
          <w:lang w:val="en-US"/>
        </w:rPr>
      </w:pPr>
    </w:p>
    <w:p w14:paraId="79655F76" w14:textId="01957F14" w:rsidR="00B85363" w:rsidRDefault="00B85363"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mediation conducted on 28 August 2023 failed</w:t>
      </w:r>
      <w:r w:rsidR="00A8299E">
        <w:rPr>
          <w:rFonts w:ascii="Arial" w:hAnsi="Arial" w:cs="Arial"/>
          <w:lang w:val="en-US"/>
        </w:rPr>
        <w:t>,</w:t>
      </w:r>
      <w:r w:rsidR="009016D2">
        <w:rPr>
          <w:rFonts w:ascii="Arial" w:hAnsi="Arial" w:cs="Arial"/>
          <w:lang w:val="en-US"/>
        </w:rPr>
        <w:t xml:space="preserve"> and after the parties failed to file a status report by 14 August 2023, the court, on 18 September 2023</w:t>
      </w:r>
      <w:r w:rsidR="00AB6E7B">
        <w:rPr>
          <w:rFonts w:ascii="Arial" w:hAnsi="Arial" w:cs="Arial"/>
          <w:lang w:val="en-US"/>
        </w:rPr>
        <w:t>,</w:t>
      </w:r>
      <w:r w:rsidR="009016D2">
        <w:rPr>
          <w:rFonts w:ascii="Arial" w:hAnsi="Arial" w:cs="Arial"/>
          <w:lang w:val="en-US"/>
        </w:rPr>
        <w:t xml:space="preserve"> in chambers</w:t>
      </w:r>
      <w:r w:rsidR="00513FF3">
        <w:rPr>
          <w:rFonts w:ascii="Arial" w:hAnsi="Arial" w:cs="Arial"/>
          <w:lang w:val="en-US"/>
        </w:rPr>
        <w:t xml:space="preserve"> </w:t>
      </w:r>
      <w:r w:rsidR="00AB6E7B">
        <w:rPr>
          <w:rFonts w:ascii="Arial" w:hAnsi="Arial" w:cs="Arial"/>
          <w:lang w:val="en-US"/>
        </w:rPr>
        <w:t>absentia</w:t>
      </w:r>
      <w:r w:rsidR="009016D2">
        <w:rPr>
          <w:rFonts w:ascii="Arial" w:hAnsi="Arial" w:cs="Arial"/>
          <w:lang w:val="en-US"/>
        </w:rPr>
        <w:t xml:space="preserve"> the parties, made an order for </w:t>
      </w:r>
      <w:r w:rsidR="002A6DF7">
        <w:rPr>
          <w:rFonts w:ascii="Arial" w:hAnsi="Arial" w:cs="Arial"/>
          <w:lang w:val="en-US"/>
        </w:rPr>
        <w:t>the filing</w:t>
      </w:r>
      <w:r w:rsidR="009016D2">
        <w:rPr>
          <w:rFonts w:ascii="Arial" w:hAnsi="Arial" w:cs="Arial"/>
          <w:lang w:val="en-US"/>
        </w:rPr>
        <w:t xml:space="preserve"> of witness statements (28 September 2023 for the </w:t>
      </w:r>
      <w:r w:rsidR="00AB6E7B">
        <w:rPr>
          <w:rFonts w:ascii="Arial" w:hAnsi="Arial" w:cs="Arial"/>
          <w:lang w:val="en-US"/>
        </w:rPr>
        <w:t>p</w:t>
      </w:r>
      <w:r w:rsidR="009016D2">
        <w:rPr>
          <w:rFonts w:ascii="Arial" w:hAnsi="Arial" w:cs="Arial"/>
          <w:lang w:val="en-US"/>
        </w:rPr>
        <w:t xml:space="preserve">laintiff and 10 October 2023 for the </w:t>
      </w:r>
      <w:r w:rsidR="00AB6E7B">
        <w:rPr>
          <w:rFonts w:ascii="Arial" w:hAnsi="Arial" w:cs="Arial"/>
          <w:lang w:val="en-US"/>
        </w:rPr>
        <w:t>d</w:t>
      </w:r>
      <w:r w:rsidR="009016D2">
        <w:rPr>
          <w:rFonts w:ascii="Arial" w:hAnsi="Arial" w:cs="Arial"/>
          <w:lang w:val="en-US"/>
        </w:rPr>
        <w:t>efendant) and expert witness ‘statements’ and reports (17 October 2023),</w:t>
      </w:r>
      <w:r w:rsidR="00AB6E7B">
        <w:rPr>
          <w:rFonts w:ascii="Arial" w:hAnsi="Arial" w:cs="Arial"/>
          <w:lang w:val="en-US"/>
        </w:rPr>
        <w:t xml:space="preserve"> and </w:t>
      </w:r>
      <w:r w:rsidR="009016D2">
        <w:rPr>
          <w:rFonts w:ascii="Arial" w:hAnsi="Arial" w:cs="Arial"/>
          <w:lang w:val="en-US"/>
        </w:rPr>
        <w:t xml:space="preserve">for </w:t>
      </w:r>
      <w:r w:rsidR="00AB6E7B">
        <w:rPr>
          <w:rFonts w:ascii="Arial" w:hAnsi="Arial" w:cs="Arial"/>
          <w:lang w:val="en-US"/>
        </w:rPr>
        <w:t xml:space="preserve">the </w:t>
      </w:r>
      <w:r w:rsidR="009016D2">
        <w:rPr>
          <w:rFonts w:ascii="Arial" w:hAnsi="Arial" w:cs="Arial"/>
          <w:lang w:val="en-US"/>
        </w:rPr>
        <w:t>filing of a proposed pre-trial order (20 October 2023)</w:t>
      </w:r>
      <w:r w:rsidR="00AB6E7B">
        <w:rPr>
          <w:rFonts w:ascii="Arial" w:hAnsi="Arial" w:cs="Arial"/>
          <w:lang w:val="en-US"/>
        </w:rPr>
        <w:t xml:space="preserve">. The matter was </w:t>
      </w:r>
      <w:r w:rsidR="009016D2">
        <w:rPr>
          <w:rFonts w:ascii="Arial" w:hAnsi="Arial" w:cs="Arial"/>
          <w:lang w:val="en-US"/>
        </w:rPr>
        <w:t xml:space="preserve">postponed to 25 October 2023 for a pre-trial conference. </w:t>
      </w:r>
    </w:p>
    <w:p w14:paraId="4A0ED4F6" w14:textId="77777777" w:rsidR="009016D2" w:rsidRPr="009016D2" w:rsidRDefault="009016D2" w:rsidP="002A6DF7">
      <w:pPr>
        <w:pStyle w:val="ListParagraph"/>
        <w:ind w:left="0"/>
        <w:rPr>
          <w:rFonts w:ascii="Arial" w:hAnsi="Arial" w:cs="Arial"/>
          <w:lang w:val="en-US"/>
        </w:rPr>
      </w:pPr>
    </w:p>
    <w:p w14:paraId="095CD973" w14:textId="72B0C8AF" w:rsidR="009016D2" w:rsidRDefault="004E239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In a status report dated 25</w:t>
      </w:r>
      <w:r w:rsidR="009016D2">
        <w:rPr>
          <w:rFonts w:ascii="Arial" w:hAnsi="Arial" w:cs="Arial"/>
          <w:lang w:val="en-US"/>
        </w:rPr>
        <w:t xml:space="preserve"> September 2023,</w:t>
      </w:r>
      <w:r>
        <w:rPr>
          <w:rFonts w:ascii="Arial" w:hAnsi="Arial" w:cs="Arial"/>
          <w:lang w:val="en-US"/>
        </w:rPr>
        <w:t xml:space="preserve"> the </w:t>
      </w:r>
      <w:r w:rsidR="00AB6E7B">
        <w:rPr>
          <w:rFonts w:ascii="Arial" w:hAnsi="Arial" w:cs="Arial"/>
          <w:lang w:val="en-US"/>
        </w:rPr>
        <w:t>p</w:t>
      </w:r>
      <w:r>
        <w:rPr>
          <w:rFonts w:ascii="Arial" w:hAnsi="Arial" w:cs="Arial"/>
          <w:lang w:val="en-US"/>
        </w:rPr>
        <w:t xml:space="preserve">laintiff reported its view that the court perhaps ordered the parties to deliver witness statements without being apprised by the </w:t>
      </w:r>
      <w:r w:rsidR="00AB6E7B">
        <w:rPr>
          <w:rFonts w:ascii="Arial" w:hAnsi="Arial" w:cs="Arial"/>
          <w:lang w:val="en-US"/>
        </w:rPr>
        <w:t>p</w:t>
      </w:r>
      <w:r>
        <w:rPr>
          <w:rFonts w:ascii="Arial" w:hAnsi="Arial" w:cs="Arial"/>
          <w:lang w:val="en-US"/>
        </w:rPr>
        <w:t xml:space="preserve">laintiff’s intended interlocutory applications and prayed that the 14 September 2023 court order be varied and that the matter be postponed for three weeks for a status hearing. The </w:t>
      </w:r>
      <w:r w:rsidR="00AB6E7B">
        <w:rPr>
          <w:rFonts w:ascii="Arial" w:hAnsi="Arial" w:cs="Arial"/>
          <w:lang w:val="en-US"/>
        </w:rPr>
        <w:t>d</w:t>
      </w:r>
      <w:r>
        <w:rPr>
          <w:rFonts w:ascii="Arial" w:hAnsi="Arial" w:cs="Arial"/>
          <w:lang w:val="en-US"/>
        </w:rPr>
        <w:t xml:space="preserve">efendant disagreed. Its position was that the </w:t>
      </w:r>
      <w:r w:rsidR="00AB6E7B">
        <w:rPr>
          <w:rFonts w:ascii="Arial" w:hAnsi="Arial" w:cs="Arial"/>
          <w:lang w:val="en-US"/>
        </w:rPr>
        <w:t>p</w:t>
      </w:r>
      <w:r>
        <w:rPr>
          <w:rFonts w:ascii="Arial" w:hAnsi="Arial" w:cs="Arial"/>
          <w:lang w:val="en-US"/>
        </w:rPr>
        <w:t xml:space="preserve">laintiff was ipso facto barred </w:t>
      </w:r>
      <w:r w:rsidR="00A8299E">
        <w:rPr>
          <w:rFonts w:ascii="Arial" w:hAnsi="Arial" w:cs="Arial"/>
          <w:lang w:val="en-US"/>
        </w:rPr>
        <w:t>regarding</w:t>
      </w:r>
      <w:r>
        <w:rPr>
          <w:rFonts w:ascii="Arial" w:hAnsi="Arial" w:cs="Arial"/>
          <w:lang w:val="en-US"/>
        </w:rPr>
        <w:t xml:space="preserve"> the plea in reconvention and replication in convention. </w:t>
      </w:r>
      <w:r w:rsidR="00DA2BC6">
        <w:rPr>
          <w:rFonts w:ascii="Arial" w:hAnsi="Arial" w:cs="Arial"/>
          <w:lang w:val="en-US"/>
        </w:rPr>
        <w:t xml:space="preserve">A varied </w:t>
      </w:r>
      <w:r>
        <w:rPr>
          <w:rFonts w:ascii="Arial" w:hAnsi="Arial" w:cs="Arial"/>
          <w:lang w:val="en-US"/>
        </w:rPr>
        <w:t xml:space="preserve">court </w:t>
      </w:r>
      <w:r w:rsidR="00DA2BC6">
        <w:rPr>
          <w:rFonts w:ascii="Arial" w:hAnsi="Arial" w:cs="Arial"/>
          <w:lang w:val="en-US"/>
        </w:rPr>
        <w:t>order was issued</w:t>
      </w:r>
      <w:r w:rsidR="00A8299E">
        <w:rPr>
          <w:rFonts w:ascii="Arial" w:hAnsi="Arial" w:cs="Arial"/>
          <w:lang w:val="en-US"/>
        </w:rPr>
        <w:t>. It</w:t>
      </w:r>
      <w:r>
        <w:rPr>
          <w:rFonts w:ascii="Arial" w:hAnsi="Arial" w:cs="Arial"/>
          <w:lang w:val="en-US"/>
        </w:rPr>
        <w:t xml:space="preserve"> postponed the matter to 25 October 2023 for a status hearing on the </w:t>
      </w:r>
      <w:r w:rsidR="00AB6E7B">
        <w:rPr>
          <w:rFonts w:ascii="Arial" w:hAnsi="Arial" w:cs="Arial"/>
          <w:lang w:val="en-US"/>
        </w:rPr>
        <w:t>p</w:t>
      </w:r>
      <w:r>
        <w:rPr>
          <w:rFonts w:ascii="Arial" w:hAnsi="Arial" w:cs="Arial"/>
          <w:lang w:val="en-US"/>
        </w:rPr>
        <w:t xml:space="preserve">laintiff’s intended interlocutory applications and ordered the parties to file a status report on or before 18 October 2023. </w:t>
      </w:r>
    </w:p>
    <w:p w14:paraId="67889DDD" w14:textId="77777777" w:rsidR="004E239C" w:rsidRPr="004E239C" w:rsidRDefault="004E239C" w:rsidP="002A6DF7">
      <w:pPr>
        <w:pStyle w:val="ListParagraph"/>
        <w:ind w:left="0"/>
        <w:rPr>
          <w:rFonts w:ascii="Arial" w:hAnsi="Arial" w:cs="Arial"/>
          <w:lang w:val="en-US"/>
        </w:rPr>
      </w:pPr>
    </w:p>
    <w:p w14:paraId="06362DD3" w14:textId="0F55A385" w:rsidR="004E239C" w:rsidRDefault="004E239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A status report was filed on 19 October 2023. The </w:t>
      </w:r>
      <w:r w:rsidR="00AB6E7B">
        <w:rPr>
          <w:rFonts w:ascii="Arial" w:hAnsi="Arial" w:cs="Arial"/>
          <w:lang w:val="en-US"/>
        </w:rPr>
        <w:t>p</w:t>
      </w:r>
      <w:r>
        <w:rPr>
          <w:rFonts w:ascii="Arial" w:hAnsi="Arial" w:cs="Arial"/>
          <w:lang w:val="en-US"/>
        </w:rPr>
        <w:t>laintiff sought a two-week postponement to enable it to inform the court o</w:t>
      </w:r>
      <w:r w:rsidR="00A8299E">
        <w:rPr>
          <w:rFonts w:ascii="Arial" w:hAnsi="Arial" w:cs="Arial"/>
          <w:lang w:val="en-US"/>
        </w:rPr>
        <w:t>f</w:t>
      </w:r>
      <w:r>
        <w:rPr>
          <w:rFonts w:ascii="Arial" w:hAnsi="Arial" w:cs="Arial"/>
          <w:lang w:val="en-US"/>
        </w:rPr>
        <w:t xml:space="preserve"> the further conduct of its intended interlocutory </w:t>
      </w:r>
      <w:r w:rsidR="00B2156E">
        <w:rPr>
          <w:rFonts w:ascii="Arial" w:hAnsi="Arial" w:cs="Arial"/>
          <w:lang w:val="en-US"/>
        </w:rPr>
        <w:t xml:space="preserve">applications as its instructed counsel was out of the country. The </w:t>
      </w:r>
      <w:r w:rsidR="00AB6E7B">
        <w:rPr>
          <w:rFonts w:ascii="Arial" w:hAnsi="Arial" w:cs="Arial"/>
          <w:lang w:val="en-US"/>
        </w:rPr>
        <w:t>d</w:t>
      </w:r>
      <w:r w:rsidR="00B2156E">
        <w:rPr>
          <w:rFonts w:ascii="Arial" w:hAnsi="Arial" w:cs="Arial"/>
          <w:lang w:val="en-US"/>
        </w:rPr>
        <w:t xml:space="preserve">efendant was opposed to any further postponements and was of the view that the matter </w:t>
      </w:r>
      <w:r w:rsidR="00F61FD5">
        <w:rPr>
          <w:rFonts w:ascii="Arial" w:hAnsi="Arial" w:cs="Arial"/>
          <w:lang w:val="en-US"/>
        </w:rPr>
        <w:t xml:space="preserve">should </w:t>
      </w:r>
      <w:r w:rsidR="00B2156E">
        <w:rPr>
          <w:rFonts w:ascii="Arial" w:hAnsi="Arial" w:cs="Arial"/>
          <w:lang w:val="en-US"/>
        </w:rPr>
        <w:t xml:space="preserve">be struck for lack of prosecution. </w:t>
      </w:r>
    </w:p>
    <w:p w14:paraId="062F1600" w14:textId="77777777" w:rsidR="00B2156E" w:rsidRPr="00B2156E" w:rsidRDefault="00B2156E" w:rsidP="002A6DF7">
      <w:pPr>
        <w:pStyle w:val="ListParagraph"/>
        <w:ind w:left="0"/>
        <w:rPr>
          <w:rFonts w:ascii="Arial" w:hAnsi="Arial" w:cs="Arial"/>
          <w:lang w:val="en-US"/>
        </w:rPr>
      </w:pPr>
    </w:p>
    <w:p w14:paraId="66E1F98A" w14:textId="0766BDC4" w:rsidR="00B2156E" w:rsidRDefault="00B2156E"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On 25 October 2023, the </w:t>
      </w:r>
      <w:r w:rsidR="00AB6E7B">
        <w:rPr>
          <w:rFonts w:ascii="Arial" w:hAnsi="Arial" w:cs="Arial"/>
          <w:lang w:val="en-US"/>
        </w:rPr>
        <w:t>p</w:t>
      </w:r>
      <w:r>
        <w:rPr>
          <w:rFonts w:ascii="Arial" w:hAnsi="Arial" w:cs="Arial"/>
          <w:lang w:val="en-US"/>
        </w:rPr>
        <w:t xml:space="preserve">laintiff was ordered to pay the </w:t>
      </w:r>
      <w:r w:rsidR="00AB6E7B">
        <w:rPr>
          <w:rFonts w:ascii="Arial" w:hAnsi="Arial" w:cs="Arial"/>
          <w:lang w:val="en-US"/>
        </w:rPr>
        <w:t>d</w:t>
      </w:r>
      <w:r>
        <w:rPr>
          <w:rFonts w:ascii="Arial" w:hAnsi="Arial" w:cs="Arial"/>
          <w:lang w:val="en-US"/>
        </w:rPr>
        <w:t>efendant’s wasted cost</w:t>
      </w:r>
      <w:r w:rsidR="00DA2BC6">
        <w:rPr>
          <w:rFonts w:ascii="Arial" w:hAnsi="Arial" w:cs="Arial"/>
          <w:lang w:val="en-US"/>
        </w:rPr>
        <w:t>s</w:t>
      </w:r>
      <w:r>
        <w:rPr>
          <w:rFonts w:ascii="Arial" w:hAnsi="Arial" w:cs="Arial"/>
          <w:lang w:val="en-US"/>
        </w:rPr>
        <w:t xml:space="preserve"> of the day and to file its r 32(10) report regarding its condonation </w:t>
      </w:r>
      <w:r>
        <w:rPr>
          <w:rFonts w:ascii="Arial" w:hAnsi="Arial" w:cs="Arial"/>
          <w:lang w:val="en-US"/>
        </w:rPr>
        <w:lastRenderedPageBreak/>
        <w:t xml:space="preserve">application and the application </w:t>
      </w:r>
      <w:r w:rsidR="00AB6E7B">
        <w:rPr>
          <w:rFonts w:ascii="Arial" w:hAnsi="Arial" w:cs="Arial"/>
          <w:lang w:val="en-US"/>
        </w:rPr>
        <w:t xml:space="preserve">itself </w:t>
      </w:r>
      <w:r>
        <w:rPr>
          <w:rFonts w:ascii="Arial" w:hAnsi="Arial" w:cs="Arial"/>
          <w:lang w:val="en-US"/>
        </w:rPr>
        <w:t xml:space="preserve">on or before 9 November 2023. The order included further directions for </w:t>
      </w:r>
      <w:r w:rsidR="00DA2BC6">
        <w:rPr>
          <w:rFonts w:ascii="Arial" w:hAnsi="Arial" w:cs="Arial"/>
          <w:lang w:val="en-US"/>
        </w:rPr>
        <w:t xml:space="preserve">filing </w:t>
      </w:r>
      <w:r>
        <w:rPr>
          <w:rFonts w:ascii="Arial" w:hAnsi="Arial" w:cs="Arial"/>
          <w:lang w:val="en-US"/>
        </w:rPr>
        <w:t>affidavits and a status report</w:t>
      </w:r>
      <w:r w:rsidR="00AB6E7B">
        <w:rPr>
          <w:rFonts w:ascii="Arial" w:hAnsi="Arial" w:cs="Arial"/>
          <w:lang w:val="en-US"/>
        </w:rPr>
        <w:t>,</w:t>
      </w:r>
      <w:r>
        <w:rPr>
          <w:rFonts w:ascii="Arial" w:hAnsi="Arial" w:cs="Arial"/>
          <w:lang w:val="en-US"/>
        </w:rPr>
        <w:t xml:space="preserve"> and </w:t>
      </w:r>
      <w:r w:rsidR="00AB6E7B">
        <w:rPr>
          <w:rFonts w:ascii="Arial" w:hAnsi="Arial" w:cs="Arial"/>
          <w:lang w:val="en-US"/>
        </w:rPr>
        <w:t xml:space="preserve">the matter was </w:t>
      </w:r>
      <w:r>
        <w:rPr>
          <w:rFonts w:ascii="Arial" w:hAnsi="Arial" w:cs="Arial"/>
          <w:lang w:val="en-US"/>
        </w:rPr>
        <w:t>postponed to 29 November 2023.</w:t>
      </w:r>
    </w:p>
    <w:p w14:paraId="1C4DB23E" w14:textId="77777777" w:rsidR="00B2156E" w:rsidRPr="00B2156E" w:rsidRDefault="00B2156E" w:rsidP="002A6DF7">
      <w:pPr>
        <w:pStyle w:val="ListParagraph"/>
        <w:ind w:left="0"/>
        <w:rPr>
          <w:rFonts w:ascii="Arial" w:hAnsi="Arial" w:cs="Arial"/>
          <w:lang w:val="en-US"/>
        </w:rPr>
      </w:pPr>
    </w:p>
    <w:p w14:paraId="4FE83D31" w14:textId="2CFD2C0F" w:rsidR="00DA2BC6" w:rsidRDefault="00B2156E"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application was filed on 9 November 2023</w:t>
      </w:r>
      <w:r w:rsidR="00226833">
        <w:rPr>
          <w:rFonts w:ascii="Arial" w:hAnsi="Arial" w:cs="Arial"/>
          <w:lang w:val="en-US"/>
        </w:rPr>
        <w:t>. O</w:t>
      </w:r>
      <w:r w:rsidR="00A8299E">
        <w:rPr>
          <w:rFonts w:ascii="Arial" w:hAnsi="Arial" w:cs="Arial"/>
          <w:lang w:val="en-US"/>
        </w:rPr>
        <w:t>n 28 November 2023,</w:t>
      </w:r>
      <w:r>
        <w:rPr>
          <w:rFonts w:ascii="Arial" w:hAnsi="Arial" w:cs="Arial"/>
          <w:lang w:val="en-US"/>
        </w:rPr>
        <w:t xml:space="preserve"> the matter was postponed to 31 January 2024 </w:t>
      </w:r>
      <w:r w:rsidR="00DA2BC6">
        <w:rPr>
          <w:rFonts w:ascii="Arial" w:hAnsi="Arial" w:cs="Arial"/>
          <w:lang w:val="en-US"/>
        </w:rPr>
        <w:t xml:space="preserve">to hear </w:t>
      </w:r>
      <w:r w:rsidR="00AB6E7B">
        <w:rPr>
          <w:rFonts w:ascii="Arial" w:hAnsi="Arial" w:cs="Arial"/>
          <w:lang w:val="en-US"/>
        </w:rPr>
        <w:t>the condonation application</w:t>
      </w:r>
      <w:r>
        <w:rPr>
          <w:rFonts w:ascii="Arial" w:hAnsi="Arial" w:cs="Arial"/>
          <w:lang w:val="en-US"/>
        </w:rPr>
        <w:t>.</w:t>
      </w:r>
    </w:p>
    <w:p w14:paraId="1B8071A5" w14:textId="77777777" w:rsidR="00DA2BC6" w:rsidRPr="00DA2BC6" w:rsidRDefault="00DA2BC6" w:rsidP="00DA2BC6">
      <w:pPr>
        <w:pStyle w:val="ListParagraph"/>
        <w:rPr>
          <w:rFonts w:ascii="Arial" w:hAnsi="Arial" w:cs="Arial"/>
          <w:u w:val="single"/>
          <w:lang w:val="en-US"/>
        </w:rPr>
      </w:pPr>
    </w:p>
    <w:p w14:paraId="1C577AA6" w14:textId="77777777" w:rsidR="00DA2BC6" w:rsidRDefault="00A8299E" w:rsidP="00DA2BC6">
      <w:pPr>
        <w:pStyle w:val="ListParagraph"/>
        <w:spacing w:line="360" w:lineRule="auto"/>
        <w:ind w:left="0"/>
        <w:jc w:val="both"/>
        <w:rPr>
          <w:rFonts w:ascii="Arial" w:hAnsi="Arial" w:cs="Arial"/>
          <w:lang w:val="en-US"/>
        </w:rPr>
      </w:pPr>
      <w:r w:rsidRPr="00DA2BC6">
        <w:rPr>
          <w:rFonts w:ascii="Arial" w:hAnsi="Arial" w:cs="Arial"/>
          <w:u w:val="single"/>
          <w:lang w:val="en-US"/>
        </w:rPr>
        <w:t xml:space="preserve">The </w:t>
      </w:r>
      <w:r w:rsidR="00E35B1E" w:rsidRPr="00DA2BC6">
        <w:rPr>
          <w:rFonts w:ascii="Arial" w:hAnsi="Arial" w:cs="Arial"/>
          <w:u w:val="single"/>
          <w:lang w:val="en-US"/>
        </w:rPr>
        <w:t>rele</w:t>
      </w:r>
      <w:r w:rsidR="009C4E3D" w:rsidRPr="00DA2BC6">
        <w:rPr>
          <w:rFonts w:ascii="Arial" w:hAnsi="Arial" w:cs="Arial"/>
          <w:u w:val="single"/>
          <w:lang w:val="en-US"/>
        </w:rPr>
        <w:t xml:space="preserve">vant </w:t>
      </w:r>
      <w:r w:rsidRPr="00DA2BC6">
        <w:rPr>
          <w:rFonts w:ascii="Arial" w:hAnsi="Arial" w:cs="Arial"/>
          <w:u w:val="single"/>
          <w:lang w:val="en-US"/>
        </w:rPr>
        <w:t>law</w:t>
      </w:r>
    </w:p>
    <w:p w14:paraId="6308F00B" w14:textId="77777777" w:rsidR="00DA2BC6" w:rsidRPr="00DA2BC6" w:rsidRDefault="00DA2BC6" w:rsidP="00DA2BC6">
      <w:pPr>
        <w:pStyle w:val="ListParagraph"/>
        <w:rPr>
          <w:rFonts w:ascii="Arial" w:hAnsi="Arial" w:cs="Arial"/>
          <w:lang w:val="en-US"/>
        </w:rPr>
      </w:pPr>
    </w:p>
    <w:p w14:paraId="296D659E" w14:textId="6D598AB9" w:rsidR="00E35B1E" w:rsidRPr="00DA2BC6" w:rsidRDefault="00AB6E7B" w:rsidP="00DA2BC6">
      <w:pPr>
        <w:pStyle w:val="ListParagraph"/>
        <w:numPr>
          <w:ilvl w:val="0"/>
          <w:numId w:val="9"/>
        </w:numPr>
        <w:spacing w:line="360" w:lineRule="auto"/>
        <w:ind w:left="0" w:firstLine="0"/>
        <w:jc w:val="both"/>
        <w:rPr>
          <w:rFonts w:ascii="Arial" w:hAnsi="Arial" w:cs="Arial"/>
          <w:lang w:val="en-US"/>
        </w:rPr>
      </w:pPr>
      <w:r w:rsidRPr="00DA2BC6">
        <w:rPr>
          <w:rFonts w:ascii="Arial" w:hAnsi="Arial" w:cs="Arial"/>
          <w:lang w:val="en-US"/>
        </w:rPr>
        <w:t>Rule</w:t>
      </w:r>
      <w:r w:rsidR="00E35B1E" w:rsidRPr="00DA2BC6">
        <w:rPr>
          <w:rFonts w:ascii="Arial" w:hAnsi="Arial" w:cs="Arial"/>
          <w:lang w:val="en-US"/>
        </w:rPr>
        <w:t xml:space="preserve"> 54(3) provides that where a party fails to deliver a pleading within the time stated in the case pla</w:t>
      </w:r>
      <w:r w:rsidR="003C0E66" w:rsidRPr="00DA2BC6">
        <w:rPr>
          <w:rFonts w:ascii="Arial" w:hAnsi="Arial" w:cs="Arial"/>
          <w:lang w:val="en-US"/>
        </w:rPr>
        <w:t>n</w:t>
      </w:r>
      <w:r w:rsidR="00E35B1E" w:rsidRPr="00DA2BC6">
        <w:rPr>
          <w:rFonts w:ascii="Arial" w:hAnsi="Arial" w:cs="Arial"/>
          <w:lang w:val="en-US"/>
        </w:rPr>
        <w:t xml:space="preserve"> order, as in the matter before the court, that party is in default of filing such pleading and is, by that very fact,</w:t>
      </w:r>
      <w:r w:rsidR="00C05DAA">
        <w:rPr>
          <w:rFonts w:ascii="Arial" w:hAnsi="Arial" w:cs="Arial"/>
          <w:lang w:val="en-US"/>
        </w:rPr>
        <w:t xml:space="preserve"> </w:t>
      </w:r>
      <w:r w:rsidR="00E35B1E" w:rsidRPr="00DA2BC6">
        <w:rPr>
          <w:rFonts w:ascii="Arial" w:hAnsi="Arial" w:cs="Arial"/>
          <w:lang w:val="en-US"/>
        </w:rPr>
        <w:t>barred.</w:t>
      </w:r>
    </w:p>
    <w:p w14:paraId="64E02787" w14:textId="77777777" w:rsidR="00E35B1E" w:rsidRPr="00A8299E" w:rsidRDefault="00E35B1E" w:rsidP="002A6DF7">
      <w:pPr>
        <w:pStyle w:val="ListParagraph"/>
        <w:ind w:left="0"/>
        <w:rPr>
          <w:rFonts w:ascii="Arial" w:eastAsia="Calibri" w:hAnsi="Arial" w:cs="Arial"/>
          <w:bCs/>
        </w:rPr>
      </w:pPr>
    </w:p>
    <w:p w14:paraId="7FAE2619" w14:textId="1977840A" w:rsidR="00E35B1E" w:rsidRPr="00A8299E" w:rsidRDefault="00E35B1E" w:rsidP="002A6DF7">
      <w:pPr>
        <w:pStyle w:val="ListParagraph"/>
        <w:numPr>
          <w:ilvl w:val="0"/>
          <w:numId w:val="9"/>
        </w:numPr>
        <w:spacing w:line="360" w:lineRule="auto"/>
        <w:ind w:left="0" w:firstLine="0"/>
        <w:jc w:val="both"/>
        <w:rPr>
          <w:rFonts w:ascii="Arial" w:hAnsi="Arial" w:cs="Arial"/>
          <w:lang w:val="en-US"/>
        </w:rPr>
      </w:pPr>
      <w:r w:rsidRPr="00E35B1E">
        <w:rPr>
          <w:rFonts w:ascii="Arial" w:hAnsi="Arial" w:cs="Arial"/>
          <w:lang w:val="en-US"/>
        </w:rPr>
        <w:t xml:space="preserve">The </w:t>
      </w:r>
      <w:r w:rsidR="00AB6E7B">
        <w:rPr>
          <w:rFonts w:ascii="Arial" w:hAnsi="Arial" w:cs="Arial"/>
          <w:lang w:val="en-US"/>
        </w:rPr>
        <w:t>p</w:t>
      </w:r>
      <w:r w:rsidRPr="00E35B1E">
        <w:rPr>
          <w:rFonts w:ascii="Arial" w:hAnsi="Arial" w:cs="Arial"/>
          <w:lang w:val="en-US"/>
        </w:rPr>
        <w:t xml:space="preserve">laintiff is in default of delivering two pleadings, the plea in reconvention and the replication in convention, </w:t>
      </w:r>
      <w:r w:rsidR="001758C4" w:rsidRPr="00E35B1E">
        <w:rPr>
          <w:rFonts w:ascii="Arial" w:hAnsi="Arial" w:cs="Arial"/>
          <w:lang w:val="en-US"/>
        </w:rPr>
        <w:t>and</w:t>
      </w:r>
      <w:r w:rsidRPr="00E35B1E">
        <w:rPr>
          <w:rFonts w:ascii="Arial" w:hAnsi="Arial" w:cs="Arial"/>
          <w:lang w:val="en-US"/>
        </w:rPr>
        <w:t xml:space="preserve"> ex</w:t>
      </w:r>
      <w:r w:rsidR="0004221A">
        <w:rPr>
          <w:rFonts w:ascii="Arial" w:hAnsi="Arial" w:cs="Arial"/>
          <w:lang w:val="en-US"/>
        </w:rPr>
        <w:t xml:space="preserve"> </w:t>
      </w:r>
      <w:proofErr w:type="spellStart"/>
      <w:r w:rsidRPr="00E35B1E">
        <w:rPr>
          <w:rFonts w:ascii="Arial" w:hAnsi="Arial" w:cs="Arial"/>
          <w:lang w:val="en-US"/>
        </w:rPr>
        <w:t>lege</w:t>
      </w:r>
      <w:proofErr w:type="spellEnd"/>
      <w:r w:rsidRPr="00E35B1E">
        <w:rPr>
          <w:rFonts w:ascii="Arial" w:hAnsi="Arial" w:cs="Arial"/>
          <w:lang w:val="en-US"/>
        </w:rPr>
        <w:t>, barred.</w:t>
      </w:r>
    </w:p>
    <w:p w14:paraId="56F893D7" w14:textId="77777777" w:rsidR="00E35B1E" w:rsidRPr="00A8299E" w:rsidRDefault="00E35B1E" w:rsidP="002A6DF7">
      <w:pPr>
        <w:pStyle w:val="ListParagraph"/>
        <w:ind w:left="0"/>
        <w:rPr>
          <w:rFonts w:ascii="Arial" w:eastAsia="Calibri" w:hAnsi="Arial" w:cs="Arial"/>
          <w:bCs/>
        </w:rPr>
      </w:pPr>
    </w:p>
    <w:p w14:paraId="414074D2" w14:textId="1CA1DC85" w:rsidR="00363450" w:rsidRPr="00D64D2A" w:rsidRDefault="007C6818"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Under</w:t>
      </w:r>
      <w:r w:rsidR="004066C0">
        <w:rPr>
          <w:rFonts w:ascii="Arial" w:hAnsi="Arial" w:cs="Arial"/>
          <w:lang w:val="en-US"/>
        </w:rPr>
        <w:t xml:space="preserve"> </w:t>
      </w:r>
      <w:r w:rsidR="00AB6E7B">
        <w:rPr>
          <w:rFonts w:ascii="Arial" w:hAnsi="Arial" w:cs="Arial"/>
          <w:lang w:val="en-US"/>
        </w:rPr>
        <w:t>r</w:t>
      </w:r>
      <w:r w:rsidR="004066C0">
        <w:rPr>
          <w:rFonts w:ascii="Arial" w:hAnsi="Arial" w:cs="Arial"/>
          <w:lang w:val="en-US"/>
        </w:rPr>
        <w:t xml:space="preserve"> 56</w:t>
      </w:r>
      <w:r w:rsidR="00AB6E7B">
        <w:rPr>
          <w:rFonts w:ascii="Arial" w:hAnsi="Arial" w:cs="Arial"/>
          <w:lang w:val="en-US"/>
        </w:rPr>
        <w:t>,</w:t>
      </w:r>
      <w:r w:rsidR="004066C0">
        <w:rPr>
          <w:rFonts w:ascii="Arial" w:hAnsi="Arial" w:cs="Arial"/>
          <w:lang w:val="en-US"/>
        </w:rPr>
        <w:t xml:space="preserve"> the court may, on application for relief from the adverse consequence brought about by r 54(3), supported by evidence, on good cause shown, condone the </w:t>
      </w:r>
      <w:r w:rsidR="00AB6E7B">
        <w:rPr>
          <w:rFonts w:ascii="Arial" w:hAnsi="Arial" w:cs="Arial"/>
          <w:lang w:val="en-US"/>
        </w:rPr>
        <w:t>p</w:t>
      </w:r>
      <w:r w:rsidR="004066C0">
        <w:rPr>
          <w:rFonts w:ascii="Arial" w:hAnsi="Arial" w:cs="Arial"/>
          <w:lang w:val="en-US"/>
        </w:rPr>
        <w:t xml:space="preserve">laintiff’s non-compliance with the court order of 21 June 2023. </w:t>
      </w:r>
      <w:r w:rsidR="006A1BE5">
        <w:rPr>
          <w:rFonts w:ascii="Arial" w:hAnsi="Arial" w:cs="Arial"/>
          <w:lang w:val="en-US"/>
        </w:rPr>
        <w:t xml:space="preserve">Rule 56(1) </w:t>
      </w:r>
      <w:r>
        <w:rPr>
          <w:rFonts w:ascii="Arial" w:hAnsi="Arial" w:cs="Arial"/>
          <w:lang w:val="en-US"/>
        </w:rPr>
        <w:t>outlines</w:t>
      </w:r>
      <w:r w:rsidR="006A1BE5">
        <w:rPr>
          <w:rFonts w:ascii="Arial" w:hAnsi="Arial" w:cs="Arial"/>
          <w:lang w:val="en-US"/>
        </w:rPr>
        <w:t xml:space="preserve"> various circumstances t</w:t>
      </w:r>
      <w:r w:rsidR="004066C0">
        <w:rPr>
          <w:rFonts w:ascii="Arial" w:hAnsi="Arial" w:cs="Arial"/>
          <w:lang w:val="en-US"/>
        </w:rPr>
        <w:t xml:space="preserve">he court </w:t>
      </w:r>
      <w:r w:rsidR="00C05DAA">
        <w:rPr>
          <w:rFonts w:ascii="Arial" w:hAnsi="Arial" w:cs="Arial"/>
          <w:lang w:val="en-US"/>
        </w:rPr>
        <w:t>w</w:t>
      </w:r>
      <w:r>
        <w:rPr>
          <w:rFonts w:ascii="Arial" w:hAnsi="Arial" w:cs="Arial"/>
          <w:lang w:val="en-US"/>
        </w:rPr>
        <w:t>ould</w:t>
      </w:r>
      <w:r w:rsidR="004066C0">
        <w:rPr>
          <w:rFonts w:ascii="Arial" w:hAnsi="Arial" w:cs="Arial"/>
          <w:lang w:val="en-US"/>
        </w:rPr>
        <w:t xml:space="preserve"> conside</w:t>
      </w:r>
      <w:r w:rsidR="006A1BE5">
        <w:rPr>
          <w:rFonts w:ascii="Arial" w:hAnsi="Arial" w:cs="Arial"/>
          <w:lang w:val="en-US"/>
        </w:rPr>
        <w:t xml:space="preserve">r in </w:t>
      </w:r>
      <w:r w:rsidR="00DA2BC6">
        <w:rPr>
          <w:rFonts w:ascii="Arial" w:hAnsi="Arial" w:cs="Arial"/>
          <w:lang w:val="en-US"/>
        </w:rPr>
        <w:t>the</w:t>
      </w:r>
      <w:r w:rsidR="006A1BE5">
        <w:rPr>
          <w:rFonts w:ascii="Arial" w:hAnsi="Arial" w:cs="Arial"/>
          <w:lang w:val="en-US"/>
        </w:rPr>
        <w:t xml:space="preserve"> application</w:t>
      </w:r>
      <w:r w:rsidR="00D64D2A">
        <w:rPr>
          <w:rFonts w:ascii="Arial" w:hAnsi="Arial" w:cs="Arial"/>
          <w:lang w:val="en-US"/>
        </w:rPr>
        <w:t>.</w:t>
      </w:r>
      <w:r w:rsidR="00363450" w:rsidRPr="00D64D2A">
        <w:rPr>
          <w:rFonts w:ascii="Arial" w:hAnsi="Arial" w:cs="Arial"/>
          <w:lang w:val="en-US"/>
        </w:rPr>
        <w:t xml:space="preserve"> </w:t>
      </w:r>
    </w:p>
    <w:p w14:paraId="60CE80C4" w14:textId="77777777" w:rsidR="00363450" w:rsidRPr="00A8299E" w:rsidRDefault="00363450" w:rsidP="002A6DF7">
      <w:pPr>
        <w:pStyle w:val="ListParagraph"/>
        <w:ind w:left="0"/>
        <w:rPr>
          <w:rFonts w:ascii="Arial" w:eastAsia="Calibri" w:hAnsi="Arial" w:cs="Arial"/>
          <w:bCs/>
        </w:rPr>
      </w:pPr>
    </w:p>
    <w:p w14:paraId="74D434EB" w14:textId="0D33665A" w:rsidR="009C4E3D" w:rsidRPr="009C4E3D" w:rsidRDefault="003C0E66"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In </w:t>
      </w:r>
      <w:proofErr w:type="spellStart"/>
      <w:r w:rsidRPr="003C0E66">
        <w:rPr>
          <w:rFonts w:ascii="Arial" w:hAnsi="Arial" w:cs="Arial"/>
          <w:i/>
          <w:iCs/>
          <w:lang w:val="en-US"/>
        </w:rPr>
        <w:t>Solsquare</w:t>
      </w:r>
      <w:proofErr w:type="spellEnd"/>
      <w:r w:rsidRPr="003C0E66">
        <w:rPr>
          <w:rFonts w:ascii="Arial" w:hAnsi="Arial" w:cs="Arial"/>
          <w:i/>
          <w:iCs/>
          <w:lang w:val="en-US"/>
        </w:rPr>
        <w:t xml:space="preserve"> Energy (Pty) Ltd v </w:t>
      </w:r>
      <w:proofErr w:type="spellStart"/>
      <w:r w:rsidRPr="003C0E66">
        <w:rPr>
          <w:rFonts w:ascii="Arial" w:hAnsi="Arial" w:cs="Arial"/>
          <w:i/>
          <w:iCs/>
          <w:lang w:val="en-US"/>
        </w:rPr>
        <w:t>Lühl</w:t>
      </w:r>
      <w:proofErr w:type="spellEnd"/>
      <w:r w:rsidR="006A1BE5">
        <w:rPr>
          <w:rStyle w:val="FootnoteReference"/>
          <w:rFonts w:ascii="Arial" w:hAnsi="Arial" w:cs="Arial"/>
          <w:i/>
          <w:iCs/>
          <w:lang w:val="en-US"/>
        </w:rPr>
        <w:footnoteReference w:id="1"/>
      </w:r>
      <w:r w:rsidR="0004201F">
        <w:rPr>
          <w:rFonts w:ascii="Arial" w:hAnsi="Arial" w:cs="Arial"/>
          <w:i/>
          <w:iCs/>
          <w:lang w:val="en-US"/>
        </w:rPr>
        <w:t>,</w:t>
      </w:r>
      <w:r w:rsidR="006A1BE5">
        <w:rPr>
          <w:rFonts w:ascii="Arial" w:hAnsi="Arial" w:cs="Arial"/>
          <w:lang w:val="en-US"/>
        </w:rPr>
        <w:t xml:space="preserve"> </w:t>
      </w:r>
      <w:r>
        <w:rPr>
          <w:rFonts w:ascii="Arial" w:hAnsi="Arial" w:cs="Arial"/>
          <w:lang w:val="en-US"/>
        </w:rPr>
        <w:t xml:space="preserve">the </w:t>
      </w:r>
      <w:r w:rsidR="007C6818">
        <w:rPr>
          <w:rFonts w:ascii="Arial" w:hAnsi="Arial" w:cs="Arial"/>
          <w:lang w:val="en-US"/>
        </w:rPr>
        <w:t>Supreme Court</w:t>
      </w:r>
      <w:r>
        <w:rPr>
          <w:rFonts w:ascii="Arial" w:hAnsi="Arial" w:cs="Arial"/>
          <w:lang w:val="en-US"/>
        </w:rPr>
        <w:t xml:space="preserve"> dealt with the approach in condonation applications.</w:t>
      </w:r>
      <w:r w:rsidR="00181628">
        <w:rPr>
          <w:rFonts w:ascii="Arial" w:hAnsi="Arial" w:cs="Arial"/>
          <w:lang w:val="en-US"/>
        </w:rPr>
        <w:t xml:space="preserve"> It said it was trite that ‘once there has been non-compliance, </w:t>
      </w:r>
      <w:r w:rsidR="00181628" w:rsidRPr="00181628">
        <w:rPr>
          <w:rFonts w:ascii="Arial" w:hAnsi="Arial" w:cs="Arial"/>
        </w:rPr>
        <w:t xml:space="preserve">an applicant should without delay apply for condonation and comply with the </w:t>
      </w:r>
      <w:proofErr w:type="gramStart"/>
      <w:r w:rsidR="00181628" w:rsidRPr="00181628">
        <w:rPr>
          <w:rFonts w:ascii="Arial" w:hAnsi="Arial" w:cs="Arial"/>
        </w:rPr>
        <w:t>rules</w:t>
      </w:r>
      <w:r w:rsidR="00181628">
        <w:rPr>
          <w:rFonts w:ascii="Arial" w:hAnsi="Arial" w:cs="Arial"/>
        </w:rPr>
        <w:t>’</w:t>
      </w:r>
      <w:proofErr w:type="gramEnd"/>
      <w:r w:rsidR="00181628">
        <w:rPr>
          <w:rFonts w:ascii="Arial" w:hAnsi="Arial" w:cs="Arial"/>
        </w:rPr>
        <w:t xml:space="preserve">. With reference to </w:t>
      </w:r>
      <w:proofErr w:type="spellStart"/>
      <w:r w:rsidR="00181628" w:rsidRPr="00181628">
        <w:rPr>
          <w:rFonts w:ascii="Arial" w:hAnsi="Arial" w:cs="Arial"/>
          <w:i/>
          <w:iCs/>
        </w:rPr>
        <w:t>Balzar</w:t>
      </w:r>
      <w:proofErr w:type="spellEnd"/>
      <w:r w:rsidR="00181628" w:rsidRPr="00181628">
        <w:rPr>
          <w:rFonts w:ascii="Arial" w:hAnsi="Arial" w:cs="Arial"/>
          <w:i/>
          <w:iCs/>
        </w:rPr>
        <w:t xml:space="preserve"> v Vries</w:t>
      </w:r>
      <w:r w:rsidR="0004201F" w:rsidRPr="007C6818">
        <w:rPr>
          <w:rStyle w:val="FootnoteReference"/>
          <w:rFonts w:ascii="Arial" w:hAnsi="Arial" w:cs="Arial"/>
        </w:rPr>
        <w:footnoteReference w:id="2"/>
      </w:r>
      <w:r w:rsidR="007C6818" w:rsidRPr="007C6818">
        <w:rPr>
          <w:rFonts w:ascii="Arial" w:hAnsi="Arial" w:cs="Arial"/>
        </w:rPr>
        <w:t>,</w:t>
      </w:r>
      <w:r w:rsidR="0004201F" w:rsidRPr="007C6818">
        <w:rPr>
          <w:rFonts w:ascii="Arial" w:hAnsi="Arial" w:cs="Arial"/>
        </w:rPr>
        <w:t xml:space="preserve"> </w:t>
      </w:r>
      <w:r w:rsidR="007C6818">
        <w:rPr>
          <w:rFonts w:ascii="Arial" w:hAnsi="Arial" w:cs="Arial"/>
          <w:lang w:val="en-US"/>
        </w:rPr>
        <w:t>it</w:t>
      </w:r>
      <w:r w:rsidR="00181628">
        <w:rPr>
          <w:rFonts w:ascii="Arial" w:hAnsi="Arial" w:cs="Arial"/>
          <w:lang w:val="en-US"/>
        </w:rPr>
        <w:t xml:space="preserve"> referred to the settled position that to succeed with a condonation application, it is required to meet the two requirements of ‘good cause’</w:t>
      </w:r>
      <w:r w:rsidR="0004201F">
        <w:rPr>
          <w:rFonts w:ascii="Arial" w:hAnsi="Arial" w:cs="Arial"/>
          <w:lang w:val="en-US"/>
        </w:rPr>
        <w:t>,</w:t>
      </w:r>
      <w:r w:rsidR="00181628">
        <w:rPr>
          <w:rFonts w:ascii="Arial" w:hAnsi="Arial" w:cs="Arial"/>
          <w:lang w:val="en-US"/>
        </w:rPr>
        <w:t xml:space="preserve"> and those entail establishing a reasonable and acceptable explanation and satisfying the court that there are reasonable prospects of su</w:t>
      </w:r>
      <w:r w:rsidR="0002286C">
        <w:rPr>
          <w:rFonts w:ascii="Arial" w:hAnsi="Arial" w:cs="Arial"/>
          <w:lang w:val="en-US"/>
        </w:rPr>
        <w:t>c</w:t>
      </w:r>
      <w:r w:rsidR="00181628">
        <w:rPr>
          <w:rFonts w:ascii="Arial" w:hAnsi="Arial" w:cs="Arial"/>
          <w:lang w:val="en-US"/>
        </w:rPr>
        <w:t xml:space="preserve">cess. The Supreme Court </w:t>
      </w:r>
      <w:r w:rsidR="007C6818">
        <w:rPr>
          <w:rFonts w:ascii="Arial" w:hAnsi="Arial" w:cs="Arial"/>
          <w:lang w:val="en-US"/>
        </w:rPr>
        <w:t xml:space="preserve">also </w:t>
      </w:r>
      <w:r w:rsidR="00181628">
        <w:rPr>
          <w:rFonts w:ascii="Arial" w:hAnsi="Arial" w:cs="Arial"/>
          <w:lang w:val="en-US"/>
        </w:rPr>
        <w:t xml:space="preserve">referred to </w:t>
      </w:r>
      <w:r w:rsidR="00181628" w:rsidRPr="00181628">
        <w:rPr>
          <w:rFonts w:ascii="Arial" w:hAnsi="Arial" w:cs="Arial"/>
          <w:i/>
          <w:iCs/>
        </w:rPr>
        <w:t xml:space="preserve">Beukes and Another v </w:t>
      </w:r>
      <w:proofErr w:type="gramStart"/>
      <w:r w:rsidR="00181628" w:rsidRPr="00181628">
        <w:rPr>
          <w:rFonts w:ascii="Arial" w:hAnsi="Arial" w:cs="Arial"/>
          <w:i/>
          <w:iCs/>
        </w:rPr>
        <w:t>South</w:t>
      </w:r>
      <w:r w:rsidR="0002286C">
        <w:rPr>
          <w:rFonts w:ascii="Arial" w:hAnsi="Arial" w:cs="Arial"/>
          <w:i/>
          <w:iCs/>
        </w:rPr>
        <w:t xml:space="preserve"> </w:t>
      </w:r>
      <w:r w:rsidR="00181628" w:rsidRPr="00181628">
        <w:rPr>
          <w:rFonts w:ascii="Arial" w:hAnsi="Arial" w:cs="Arial"/>
          <w:i/>
          <w:iCs/>
        </w:rPr>
        <w:t>West</w:t>
      </w:r>
      <w:proofErr w:type="gramEnd"/>
      <w:r w:rsidR="00181628" w:rsidRPr="00181628">
        <w:rPr>
          <w:rFonts w:ascii="Arial" w:hAnsi="Arial" w:cs="Arial"/>
          <w:i/>
          <w:iCs/>
        </w:rPr>
        <w:t xml:space="preserve"> Africa Building Society (SWABOU) and Others</w:t>
      </w:r>
      <w:r w:rsidR="0004201F">
        <w:rPr>
          <w:rStyle w:val="FootnoteReference"/>
          <w:rFonts w:ascii="Arial" w:hAnsi="Arial" w:cs="Arial"/>
          <w:i/>
          <w:iCs/>
        </w:rPr>
        <w:footnoteReference w:id="3"/>
      </w:r>
      <w:r w:rsidR="0004201F">
        <w:rPr>
          <w:rFonts w:ascii="Arial" w:hAnsi="Arial" w:cs="Arial"/>
          <w:i/>
          <w:iCs/>
        </w:rPr>
        <w:t xml:space="preserve">, </w:t>
      </w:r>
      <w:r w:rsidR="0002286C">
        <w:rPr>
          <w:rFonts w:ascii="Arial" w:hAnsi="Arial" w:cs="Arial"/>
        </w:rPr>
        <w:t xml:space="preserve">where </w:t>
      </w:r>
      <w:r w:rsidR="0004201F">
        <w:rPr>
          <w:rFonts w:ascii="Arial" w:hAnsi="Arial" w:cs="Arial"/>
        </w:rPr>
        <w:t xml:space="preserve">it </w:t>
      </w:r>
      <w:r w:rsidR="0002286C">
        <w:rPr>
          <w:rFonts w:ascii="Arial" w:hAnsi="Arial" w:cs="Arial"/>
        </w:rPr>
        <w:t xml:space="preserve">explained </w:t>
      </w:r>
      <w:r w:rsidR="0002286C">
        <w:rPr>
          <w:rFonts w:ascii="Arial" w:hAnsi="Arial" w:cs="Arial"/>
        </w:rPr>
        <w:lastRenderedPageBreak/>
        <w:t>an applicant ha</w:t>
      </w:r>
      <w:r w:rsidR="009C4E3D">
        <w:rPr>
          <w:rFonts w:ascii="Arial" w:hAnsi="Arial" w:cs="Arial"/>
        </w:rPr>
        <w:t>s</w:t>
      </w:r>
      <w:r w:rsidR="0002286C">
        <w:rPr>
          <w:rFonts w:ascii="Arial" w:hAnsi="Arial" w:cs="Arial"/>
        </w:rPr>
        <w:t xml:space="preserve"> to make a case ‘on the papers submitted’ to explain the delay and failure to comply with the rules and the explanation must be full, detailed and accurate for the court to understand clearly the reasons for it. </w:t>
      </w:r>
      <w:r w:rsidR="009C4E3D">
        <w:rPr>
          <w:rFonts w:ascii="Arial" w:hAnsi="Arial" w:cs="Arial"/>
        </w:rPr>
        <w:t>Regarding</w:t>
      </w:r>
      <w:r w:rsidR="0002286C">
        <w:rPr>
          <w:rFonts w:ascii="Arial" w:hAnsi="Arial" w:cs="Arial"/>
        </w:rPr>
        <w:t xml:space="preserve"> the factors relevant </w:t>
      </w:r>
      <w:r w:rsidR="009C4E3D">
        <w:rPr>
          <w:rFonts w:ascii="Arial" w:hAnsi="Arial" w:cs="Arial"/>
        </w:rPr>
        <w:t>to</w:t>
      </w:r>
      <w:r w:rsidR="0002286C">
        <w:rPr>
          <w:rFonts w:ascii="Arial" w:hAnsi="Arial" w:cs="Arial"/>
        </w:rPr>
        <w:t xml:space="preserve"> determin</w:t>
      </w:r>
      <w:r w:rsidR="009C4E3D">
        <w:rPr>
          <w:rFonts w:ascii="Arial" w:hAnsi="Arial" w:cs="Arial"/>
        </w:rPr>
        <w:t>ing</w:t>
      </w:r>
      <w:r w:rsidR="0002286C">
        <w:rPr>
          <w:rFonts w:ascii="Arial" w:hAnsi="Arial" w:cs="Arial"/>
        </w:rPr>
        <w:t xml:space="preserve"> a condonation application, it referred to </w:t>
      </w:r>
      <w:proofErr w:type="spellStart"/>
      <w:r w:rsidR="0002286C" w:rsidRPr="0002286C">
        <w:rPr>
          <w:rFonts w:ascii="Arial" w:hAnsi="Arial" w:cs="Arial"/>
          <w:i/>
          <w:iCs/>
        </w:rPr>
        <w:t>Arangies</w:t>
      </w:r>
      <w:proofErr w:type="spellEnd"/>
      <w:r w:rsidR="0002286C" w:rsidRPr="0002286C">
        <w:rPr>
          <w:rFonts w:ascii="Arial" w:hAnsi="Arial" w:cs="Arial"/>
          <w:i/>
          <w:iCs/>
        </w:rPr>
        <w:t xml:space="preserve"> t/a Auto Tech v Quick Build</w:t>
      </w:r>
      <w:r w:rsidR="0004201F">
        <w:rPr>
          <w:rStyle w:val="FootnoteReference"/>
          <w:rFonts w:ascii="Arial" w:hAnsi="Arial" w:cs="Arial"/>
          <w:i/>
          <w:iCs/>
        </w:rPr>
        <w:footnoteReference w:id="4"/>
      </w:r>
      <w:r w:rsidR="0004201F">
        <w:rPr>
          <w:rFonts w:ascii="Arial" w:hAnsi="Arial" w:cs="Arial"/>
          <w:i/>
          <w:iCs/>
        </w:rPr>
        <w:t>,</w:t>
      </w:r>
      <w:r w:rsidR="0004201F">
        <w:rPr>
          <w:rFonts w:ascii="Arial" w:hAnsi="Arial" w:cs="Arial"/>
        </w:rPr>
        <w:t xml:space="preserve"> wherein</w:t>
      </w:r>
      <w:r w:rsidR="009C4E3D">
        <w:rPr>
          <w:rFonts w:ascii="Arial" w:hAnsi="Arial" w:cs="Arial"/>
        </w:rPr>
        <w:t xml:space="preserve"> the position was summarised as follows:</w:t>
      </w:r>
    </w:p>
    <w:p w14:paraId="45CA6DDF" w14:textId="77777777" w:rsidR="00E35B1E" w:rsidRPr="00E35B1E" w:rsidRDefault="00E35B1E" w:rsidP="002A6DF7">
      <w:pPr>
        <w:pStyle w:val="ListParagraph"/>
        <w:ind w:left="0"/>
        <w:rPr>
          <w:rFonts w:ascii="Arial" w:eastAsia="Calibri" w:hAnsi="Arial" w:cs="Arial"/>
          <w:bCs/>
        </w:rPr>
      </w:pPr>
    </w:p>
    <w:p w14:paraId="24B01B16" w14:textId="77777777" w:rsidR="009C4E3D" w:rsidRPr="009C4E3D" w:rsidRDefault="009C4E3D" w:rsidP="003C7677">
      <w:pPr>
        <w:pStyle w:val="ListParagraph"/>
        <w:spacing w:line="360" w:lineRule="auto"/>
        <w:ind w:left="0" w:firstLine="720"/>
        <w:jc w:val="both"/>
        <w:rPr>
          <w:rFonts w:ascii="Arial" w:hAnsi="Arial" w:cs="Arial"/>
          <w:sz w:val="22"/>
          <w:szCs w:val="22"/>
        </w:rPr>
      </w:pPr>
      <w:r w:rsidRPr="009C4E3D">
        <w:rPr>
          <w:rFonts w:ascii="Arial" w:hAnsi="Arial" w:cs="Arial"/>
          <w:sz w:val="22"/>
          <w:szCs w:val="22"/>
          <w:lang w:val="en-US"/>
        </w:rPr>
        <w:t>‘</w:t>
      </w:r>
      <w:r w:rsidRPr="009C4E3D">
        <w:rPr>
          <w:rFonts w:ascii="Arial" w:hAnsi="Arial" w:cs="Arial"/>
          <w:sz w:val="22"/>
          <w:szCs w:val="22"/>
        </w:rPr>
        <w:t xml:space="preserve">[5] The application for condonation must thus be lodged without delay, and must provide a full, </w:t>
      </w:r>
      <w:proofErr w:type="gramStart"/>
      <w:r w:rsidRPr="009C4E3D">
        <w:rPr>
          <w:rFonts w:ascii="Arial" w:hAnsi="Arial" w:cs="Arial"/>
          <w:sz w:val="22"/>
          <w:szCs w:val="22"/>
        </w:rPr>
        <w:t>detailed</w:t>
      </w:r>
      <w:proofErr w:type="gramEnd"/>
      <w:r w:rsidRPr="009C4E3D">
        <w:rPr>
          <w:rFonts w:ascii="Arial" w:hAnsi="Arial" w:cs="Arial"/>
          <w:sz w:val="22"/>
          <w:szCs w:val="22"/>
        </w:rPr>
        <w:t xml:space="preserve"> and accurate explanation for it. This court has also recently considered the range of factors relevant to determining whether an application for condonation for the late filing of an appeal should be granted. They include —</w:t>
      </w:r>
    </w:p>
    <w:p w14:paraId="130BD597" w14:textId="77777777" w:rsidR="009C4E3D" w:rsidRPr="002506F6" w:rsidRDefault="009C4E3D" w:rsidP="002506F6">
      <w:pPr>
        <w:spacing w:line="360" w:lineRule="auto"/>
        <w:jc w:val="both"/>
        <w:rPr>
          <w:rFonts w:ascii="Arial" w:hAnsi="Arial" w:cs="Arial"/>
          <w:sz w:val="22"/>
          <w:szCs w:val="22"/>
          <w:lang w:val="en-NA"/>
        </w:rPr>
      </w:pPr>
      <w:r w:rsidRPr="002506F6">
        <w:rPr>
          <w:rFonts w:ascii="Arial" w:hAnsi="Arial" w:cs="Arial"/>
          <w:sz w:val="22"/>
          <w:szCs w:val="22"/>
          <w:lang w:val="en-NA"/>
        </w:rPr>
        <w:t>"the extent of the non-compliance with the rule in question, the reasonableness of the explanation offered for the non-compliance, the bona fides of the application, the prospects of success on the merits of the case, the importance of the case, the respondent's (and where applicable, the public's) interest in the finality of the judgment, the prejudice suffered by the other litigants as a result of the non-compliance, the convenience of the court and the avoidance of unnecessary delay in the administration of justice."</w:t>
      </w:r>
    </w:p>
    <w:p w14:paraId="71E15870" w14:textId="77777777" w:rsidR="003C7677" w:rsidRDefault="009C4E3D" w:rsidP="003C7677">
      <w:pPr>
        <w:pStyle w:val="ListParagraph"/>
        <w:spacing w:line="360" w:lineRule="auto"/>
        <w:ind w:left="0"/>
        <w:jc w:val="both"/>
        <w:rPr>
          <w:rFonts w:ascii="Arial" w:hAnsi="Arial" w:cs="Arial"/>
          <w:lang w:val="en-US"/>
        </w:rPr>
      </w:pPr>
      <w:r w:rsidRPr="009C4E3D">
        <w:rPr>
          <w:rFonts w:ascii="Arial" w:hAnsi="Arial" w:cs="Arial"/>
          <w:sz w:val="22"/>
          <w:szCs w:val="22"/>
          <w:lang w:val="en-NA"/>
        </w:rPr>
        <w:t>These factors are not individually determinative, but must be weighed, one against the other. Nor will all the factors necessarily be considered in each case. There are times, for example, where this court has held that it will not consider the prospects of success in determining the application because the non-compliance with the rules has been "glaring", "flagrant", and "inexplicable".'</w:t>
      </w:r>
    </w:p>
    <w:p w14:paraId="6D0AA9F6" w14:textId="77777777" w:rsidR="003C7677" w:rsidRPr="0028106D" w:rsidRDefault="003C7677" w:rsidP="003C7677">
      <w:pPr>
        <w:pStyle w:val="ListParagraph"/>
        <w:ind w:left="0"/>
        <w:rPr>
          <w:rFonts w:ascii="Arial" w:eastAsia="Calibri" w:hAnsi="Arial" w:cs="Arial"/>
          <w:bCs/>
        </w:rPr>
      </w:pPr>
    </w:p>
    <w:p w14:paraId="3A5074B4" w14:textId="3CC6AB14" w:rsidR="0028106D" w:rsidRDefault="0028106D" w:rsidP="003C7677">
      <w:pPr>
        <w:pStyle w:val="ListParagraph"/>
        <w:numPr>
          <w:ilvl w:val="0"/>
          <w:numId w:val="9"/>
        </w:numPr>
        <w:spacing w:line="360" w:lineRule="auto"/>
        <w:ind w:left="0" w:firstLine="0"/>
        <w:jc w:val="both"/>
        <w:rPr>
          <w:rFonts w:ascii="Arial" w:hAnsi="Arial" w:cs="Arial"/>
          <w:lang w:val="en-US"/>
        </w:rPr>
      </w:pPr>
      <w:r w:rsidRPr="0028106D">
        <w:rPr>
          <w:rFonts w:ascii="Arial" w:hAnsi="Arial" w:cs="Arial"/>
          <w:lang w:val="en-US"/>
        </w:rPr>
        <w:t xml:space="preserve">The Supreme Court in </w:t>
      </w:r>
      <w:r w:rsidRPr="0028106D">
        <w:rPr>
          <w:rFonts w:ascii="Arial" w:hAnsi="Arial" w:cs="Arial"/>
          <w:i/>
          <w:iCs/>
          <w:lang w:val="en-US"/>
        </w:rPr>
        <w:t xml:space="preserve">Telecom Namibia Ltd v </w:t>
      </w:r>
      <w:proofErr w:type="spellStart"/>
      <w:r w:rsidRPr="0028106D">
        <w:rPr>
          <w:rFonts w:ascii="Arial" w:hAnsi="Arial" w:cs="Arial"/>
          <w:i/>
          <w:iCs/>
          <w:lang w:val="en-US"/>
        </w:rPr>
        <w:t>Nangolo</w:t>
      </w:r>
      <w:proofErr w:type="spellEnd"/>
      <w:r w:rsidRPr="0028106D">
        <w:rPr>
          <w:rFonts w:ascii="Arial" w:hAnsi="Arial" w:cs="Arial"/>
          <w:i/>
          <w:iCs/>
          <w:lang w:val="en-US"/>
        </w:rPr>
        <w:t xml:space="preserve"> and Others</w:t>
      </w:r>
      <w:r w:rsidRPr="0028106D">
        <w:rPr>
          <w:vertAlign w:val="superscript"/>
          <w:lang w:val="en-US"/>
        </w:rPr>
        <w:footnoteReference w:id="5"/>
      </w:r>
      <w:r w:rsidRPr="0028106D">
        <w:rPr>
          <w:rFonts w:ascii="Arial" w:hAnsi="Arial" w:cs="Arial"/>
          <w:lang w:val="en-US"/>
        </w:rPr>
        <w:t xml:space="preserve"> said that the balancing exercise of the two requirements is a question of deciding what weight to attach to each factor</w:t>
      </w:r>
      <w:r w:rsidR="001B3BED">
        <w:rPr>
          <w:rFonts w:ascii="Arial" w:hAnsi="Arial" w:cs="Arial"/>
          <w:lang w:val="en-US"/>
        </w:rPr>
        <w:t>,</w:t>
      </w:r>
      <w:r w:rsidRPr="0028106D">
        <w:rPr>
          <w:rFonts w:ascii="Arial" w:hAnsi="Arial" w:cs="Arial"/>
          <w:lang w:val="en-US"/>
        </w:rPr>
        <w:t xml:space="preserve"> not an equation of the factors.</w:t>
      </w:r>
    </w:p>
    <w:p w14:paraId="3B99DFA1" w14:textId="77777777" w:rsidR="0028106D" w:rsidRPr="0028106D" w:rsidRDefault="0028106D" w:rsidP="002A6DF7">
      <w:pPr>
        <w:pStyle w:val="ListParagraph"/>
        <w:ind w:left="0"/>
        <w:rPr>
          <w:rFonts w:ascii="Arial" w:eastAsia="Calibri" w:hAnsi="Arial" w:cs="Arial"/>
          <w:bCs/>
        </w:rPr>
      </w:pPr>
    </w:p>
    <w:p w14:paraId="38498A2E" w14:textId="291A7541" w:rsidR="0028106D" w:rsidRDefault="009C4E3D" w:rsidP="002A6DF7">
      <w:pPr>
        <w:pStyle w:val="ListParagraph"/>
        <w:spacing w:line="360" w:lineRule="auto"/>
        <w:ind w:left="0"/>
        <w:jc w:val="both"/>
        <w:rPr>
          <w:rFonts w:ascii="Arial" w:hAnsi="Arial" w:cs="Arial"/>
          <w:lang w:val="en-US"/>
        </w:rPr>
      </w:pPr>
      <w:r w:rsidRPr="0028106D">
        <w:rPr>
          <w:rFonts w:ascii="Arial" w:hAnsi="Arial" w:cs="Arial"/>
          <w:u w:val="single"/>
          <w:lang w:val="en-US"/>
        </w:rPr>
        <w:t>The explanation</w:t>
      </w:r>
      <w:r w:rsidR="007C6818">
        <w:rPr>
          <w:rFonts w:ascii="Arial" w:hAnsi="Arial" w:cs="Arial"/>
          <w:u w:val="single"/>
          <w:lang w:val="en-US"/>
        </w:rPr>
        <w:t>s</w:t>
      </w:r>
      <w:r w:rsidR="003C7677">
        <w:rPr>
          <w:rFonts w:ascii="Arial" w:hAnsi="Arial" w:cs="Arial"/>
          <w:u w:val="single"/>
          <w:lang w:val="en-US"/>
        </w:rPr>
        <w:t xml:space="preserve">, </w:t>
      </w:r>
      <w:r w:rsidR="00DB4F61" w:rsidRPr="0028106D">
        <w:rPr>
          <w:rFonts w:ascii="Arial" w:hAnsi="Arial" w:cs="Arial"/>
          <w:u w:val="single"/>
          <w:lang w:val="en-US"/>
        </w:rPr>
        <w:t>the effect of r 38(3)</w:t>
      </w:r>
      <w:r w:rsidR="003C7677">
        <w:rPr>
          <w:rFonts w:ascii="Arial" w:hAnsi="Arial" w:cs="Arial"/>
          <w:u w:val="single"/>
          <w:lang w:val="en-US"/>
        </w:rPr>
        <w:t xml:space="preserve"> and application of the law</w:t>
      </w:r>
    </w:p>
    <w:p w14:paraId="7846EB56" w14:textId="77777777" w:rsidR="0028106D" w:rsidRPr="0028106D" w:rsidRDefault="0028106D" w:rsidP="002A6DF7">
      <w:pPr>
        <w:pStyle w:val="ListParagraph"/>
        <w:ind w:left="0"/>
        <w:rPr>
          <w:rFonts w:ascii="Arial" w:eastAsia="Calibri" w:hAnsi="Arial" w:cs="Arial"/>
          <w:bCs/>
        </w:rPr>
      </w:pPr>
    </w:p>
    <w:p w14:paraId="1EBA00B4" w14:textId="565AC1FB" w:rsidR="007C6818" w:rsidRPr="0028106D" w:rsidRDefault="007C6818" w:rsidP="007C6818">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court now </w:t>
      </w:r>
      <w:r w:rsidR="00DE47AE">
        <w:rPr>
          <w:rFonts w:ascii="Arial" w:hAnsi="Arial" w:cs="Arial"/>
          <w:lang w:val="en-US"/>
        </w:rPr>
        <w:t>considers the plaintiff’s explanations, the effect of r 38(3) on the application (if any) and applies</w:t>
      </w:r>
      <w:r>
        <w:rPr>
          <w:rFonts w:ascii="Arial" w:hAnsi="Arial" w:cs="Arial"/>
          <w:lang w:val="en-US"/>
        </w:rPr>
        <w:t xml:space="preserve"> the legal principles on condonation. </w:t>
      </w:r>
    </w:p>
    <w:p w14:paraId="60B9C7C4" w14:textId="77777777" w:rsidR="007C6818" w:rsidRPr="00BE4678" w:rsidRDefault="007C6818" w:rsidP="007C6818">
      <w:pPr>
        <w:pStyle w:val="ListParagraph"/>
        <w:ind w:left="0"/>
        <w:rPr>
          <w:rFonts w:ascii="Arial" w:eastAsia="Calibri" w:hAnsi="Arial" w:cs="Arial"/>
          <w:bCs/>
        </w:rPr>
      </w:pPr>
    </w:p>
    <w:p w14:paraId="6800CC8C" w14:textId="486C20B2" w:rsidR="00BE4678" w:rsidRPr="0028106D" w:rsidRDefault="00BE4678" w:rsidP="002A6DF7">
      <w:pPr>
        <w:pStyle w:val="ListParagraph"/>
        <w:numPr>
          <w:ilvl w:val="0"/>
          <w:numId w:val="9"/>
        </w:numPr>
        <w:spacing w:line="360" w:lineRule="auto"/>
        <w:ind w:left="0" w:firstLine="0"/>
        <w:jc w:val="both"/>
        <w:rPr>
          <w:rFonts w:ascii="Arial" w:hAnsi="Arial" w:cs="Arial"/>
          <w:lang w:val="en-US"/>
        </w:rPr>
      </w:pPr>
      <w:r w:rsidRPr="0028106D">
        <w:rPr>
          <w:rFonts w:ascii="Arial" w:eastAsia="Calibri" w:hAnsi="Arial" w:cs="Arial"/>
          <w:bCs/>
        </w:rPr>
        <w:t xml:space="preserve">The main explanation </w:t>
      </w:r>
      <w:r w:rsidR="003C7677">
        <w:rPr>
          <w:rFonts w:ascii="Arial" w:eastAsia="Calibri" w:hAnsi="Arial" w:cs="Arial"/>
          <w:bCs/>
        </w:rPr>
        <w:t xml:space="preserve">for </w:t>
      </w:r>
      <w:r w:rsidRPr="0028106D">
        <w:rPr>
          <w:rFonts w:ascii="Arial" w:eastAsia="Calibri" w:hAnsi="Arial" w:cs="Arial"/>
          <w:bCs/>
        </w:rPr>
        <w:t>why a condonation application was not brought immediately after the default on 14 July 2023</w:t>
      </w:r>
      <w:r w:rsidR="00DB4F61" w:rsidRPr="0028106D">
        <w:rPr>
          <w:rFonts w:ascii="Arial" w:eastAsia="Calibri" w:hAnsi="Arial" w:cs="Arial"/>
          <w:bCs/>
        </w:rPr>
        <w:t xml:space="preserve"> is that the matter was referred to </w:t>
      </w:r>
      <w:r w:rsidR="00DB4F61" w:rsidRPr="0028106D">
        <w:rPr>
          <w:rFonts w:ascii="Arial" w:eastAsia="Calibri" w:hAnsi="Arial" w:cs="Arial"/>
          <w:bCs/>
        </w:rPr>
        <w:lastRenderedPageBreak/>
        <w:t>mediation</w:t>
      </w:r>
      <w:r w:rsidR="001B3BED">
        <w:rPr>
          <w:rFonts w:ascii="Arial" w:eastAsia="Calibri" w:hAnsi="Arial" w:cs="Arial"/>
          <w:bCs/>
        </w:rPr>
        <w:t>,</w:t>
      </w:r>
      <w:r w:rsidR="00DB4F61" w:rsidRPr="0028106D">
        <w:rPr>
          <w:rFonts w:ascii="Arial" w:eastAsia="Calibri" w:hAnsi="Arial" w:cs="Arial"/>
          <w:bCs/>
        </w:rPr>
        <w:t xml:space="preserve"> and to curb costs</w:t>
      </w:r>
      <w:r w:rsidR="001B3BED">
        <w:rPr>
          <w:rFonts w:ascii="Arial" w:eastAsia="Calibri" w:hAnsi="Arial" w:cs="Arial"/>
          <w:bCs/>
        </w:rPr>
        <w:t xml:space="preserve"> </w:t>
      </w:r>
      <w:r w:rsidRPr="0028106D">
        <w:rPr>
          <w:rFonts w:ascii="Arial" w:eastAsia="Calibri" w:hAnsi="Arial" w:cs="Arial"/>
          <w:bCs/>
        </w:rPr>
        <w:t>and in</w:t>
      </w:r>
      <w:r w:rsidR="001B3BED">
        <w:rPr>
          <w:rFonts w:ascii="Arial" w:eastAsia="Calibri" w:hAnsi="Arial" w:cs="Arial"/>
          <w:bCs/>
        </w:rPr>
        <w:t xml:space="preserve"> </w:t>
      </w:r>
      <w:r w:rsidRPr="0028106D">
        <w:rPr>
          <w:rFonts w:ascii="Arial" w:eastAsia="Calibri" w:hAnsi="Arial" w:cs="Arial"/>
          <w:bCs/>
        </w:rPr>
        <w:t>hopes that the matter would settle</w:t>
      </w:r>
      <w:r w:rsidR="00DB4F61" w:rsidRPr="0028106D">
        <w:rPr>
          <w:rFonts w:ascii="Arial" w:eastAsia="Calibri" w:hAnsi="Arial" w:cs="Arial"/>
          <w:bCs/>
        </w:rPr>
        <w:t>,</w:t>
      </w:r>
      <w:r w:rsidRPr="0028106D">
        <w:rPr>
          <w:rFonts w:ascii="Arial" w:eastAsia="Calibri" w:hAnsi="Arial" w:cs="Arial"/>
          <w:bCs/>
        </w:rPr>
        <w:t xml:space="preserve"> </w:t>
      </w:r>
      <w:r w:rsidR="00DB4F61" w:rsidRPr="0028106D">
        <w:rPr>
          <w:rFonts w:ascii="Arial" w:eastAsia="Calibri" w:hAnsi="Arial" w:cs="Arial"/>
          <w:bCs/>
        </w:rPr>
        <w:t>the</w:t>
      </w:r>
      <w:r w:rsidRPr="0028106D">
        <w:rPr>
          <w:rFonts w:ascii="Arial" w:eastAsia="Calibri" w:hAnsi="Arial" w:cs="Arial"/>
          <w:bCs/>
        </w:rPr>
        <w:t xml:space="preserve"> application was not launched at the time.</w:t>
      </w:r>
      <w:r w:rsidR="00C840CC" w:rsidRPr="0028106D">
        <w:rPr>
          <w:rFonts w:ascii="Arial" w:eastAsia="Calibri" w:hAnsi="Arial" w:cs="Arial"/>
          <w:bCs/>
        </w:rPr>
        <w:t xml:space="preserve"> The founding affidavit stated that the failure of the mediation resulted in the plaintiff</w:t>
      </w:r>
      <w:r w:rsidR="003C7677">
        <w:rPr>
          <w:rFonts w:ascii="Arial" w:eastAsia="Calibri" w:hAnsi="Arial" w:cs="Arial"/>
          <w:bCs/>
        </w:rPr>
        <w:t>'s persistence</w:t>
      </w:r>
      <w:r w:rsidR="00C840CC" w:rsidRPr="0028106D">
        <w:rPr>
          <w:rFonts w:ascii="Arial" w:eastAsia="Calibri" w:hAnsi="Arial" w:cs="Arial"/>
          <w:bCs/>
        </w:rPr>
        <w:t xml:space="preserve"> with the application. </w:t>
      </w:r>
      <w:r w:rsidRPr="0028106D">
        <w:rPr>
          <w:rFonts w:ascii="Arial" w:eastAsia="Calibri" w:hAnsi="Arial" w:cs="Arial"/>
          <w:bCs/>
        </w:rPr>
        <w:t>The defendant</w:t>
      </w:r>
      <w:r w:rsidR="001B3BED">
        <w:rPr>
          <w:rFonts w:ascii="Arial" w:eastAsia="Calibri" w:hAnsi="Arial" w:cs="Arial"/>
          <w:bCs/>
        </w:rPr>
        <w:t xml:space="preserve"> argued</w:t>
      </w:r>
      <w:r w:rsidRPr="0028106D">
        <w:rPr>
          <w:rFonts w:ascii="Arial" w:eastAsia="Calibri" w:hAnsi="Arial" w:cs="Arial"/>
          <w:bCs/>
        </w:rPr>
        <w:t xml:space="preserve"> that </w:t>
      </w:r>
      <w:r w:rsidR="00C05DAA">
        <w:rPr>
          <w:rFonts w:ascii="Arial" w:eastAsia="Calibri" w:hAnsi="Arial" w:cs="Arial"/>
          <w:bCs/>
        </w:rPr>
        <w:t xml:space="preserve">the </w:t>
      </w:r>
      <w:r w:rsidRPr="0028106D">
        <w:rPr>
          <w:rFonts w:ascii="Arial" w:eastAsia="Calibri" w:hAnsi="Arial" w:cs="Arial"/>
          <w:bCs/>
        </w:rPr>
        <w:t>mediation referral was irrelevant because it postdate</w:t>
      </w:r>
      <w:r w:rsidR="00C05DAA">
        <w:rPr>
          <w:rFonts w:ascii="Arial" w:eastAsia="Calibri" w:hAnsi="Arial" w:cs="Arial"/>
          <w:bCs/>
        </w:rPr>
        <w:t>d</w:t>
      </w:r>
      <w:r w:rsidRPr="0028106D">
        <w:rPr>
          <w:rFonts w:ascii="Arial" w:eastAsia="Calibri" w:hAnsi="Arial" w:cs="Arial"/>
          <w:bCs/>
        </w:rPr>
        <w:t xml:space="preserve"> the default.</w:t>
      </w:r>
      <w:r w:rsidR="00DB4F61" w:rsidRPr="0028106D">
        <w:rPr>
          <w:rFonts w:ascii="Arial" w:eastAsia="Calibri" w:hAnsi="Arial" w:cs="Arial"/>
          <w:bCs/>
        </w:rPr>
        <w:t xml:space="preserve"> Two issues arise from those arguments. Firstly, the </w:t>
      </w:r>
      <w:r w:rsidR="001B3BED">
        <w:rPr>
          <w:rFonts w:ascii="Arial" w:eastAsia="Calibri" w:hAnsi="Arial" w:cs="Arial"/>
          <w:bCs/>
        </w:rPr>
        <w:t>mediation referral's effect</w:t>
      </w:r>
      <w:r w:rsidR="00DE47AE">
        <w:rPr>
          <w:rFonts w:ascii="Arial" w:eastAsia="Calibri" w:hAnsi="Arial" w:cs="Arial"/>
          <w:bCs/>
        </w:rPr>
        <w:t xml:space="preserve"> (if any)</w:t>
      </w:r>
      <w:r w:rsidR="00DB4F61" w:rsidRPr="0028106D">
        <w:rPr>
          <w:rFonts w:ascii="Arial" w:eastAsia="Calibri" w:hAnsi="Arial" w:cs="Arial"/>
          <w:bCs/>
        </w:rPr>
        <w:t xml:space="preserve"> on the </w:t>
      </w:r>
      <w:r w:rsidR="00DE47AE">
        <w:rPr>
          <w:rFonts w:ascii="Arial" w:eastAsia="Calibri" w:hAnsi="Arial" w:cs="Arial"/>
          <w:bCs/>
        </w:rPr>
        <w:t>application</w:t>
      </w:r>
      <w:r w:rsidR="00DB4F61" w:rsidRPr="0028106D">
        <w:rPr>
          <w:rFonts w:ascii="Arial" w:eastAsia="Calibri" w:hAnsi="Arial" w:cs="Arial"/>
          <w:bCs/>
        </w:rPr>
        <w:t xml:space="preserve">. Secondly, if the mediation referral </w:t>
      </w:r>
      <w:r w:rsidR="009F1C38">
        <w:rPr>
          <w:rFonts w:ascii="Arial" w:eastAsia="Calibri" w:hAnsi="Arial" w:cs="Arial"/>
          <w:bCs/>
        </w:rPr>
        <w:t>impacted</w:t>
      </w:r>
      <w:r w:rsidR="00DB4F61" w:rsidRPr="0028106D">
        <w:rPr>
          <w:rFonts w:ascii="Arial" w:eastAsia="Calibri" w:hAnsi="Arial" w:cs="Arial"/>
          <w:bCs/>
        </w:rPr>
        <w:t xml:space="preserve"> th</w:t>
      </w:r>
      <w:r w:rsidR="00DE47AE">
        <w:rPr>
          <w:rFonts w:ascii="Arial" w:eastAsia="Calibri" w:hAnsi="Arial" w:cs="Arial"/>
          <w:bCs/>
        </w:rPr>
        <w:t>e application</w:t>
      </w:r>
      <w:r w:rsidR="00DB4F61" w:rsidRPr="0028106D">
        <w:rPr>
          <w:rFonts w:ascii="Arial" w:eastAsia="Calibri" w:hAnsi="Arial" w:cs="Arial"/>
          <w:bCs/>
        </w:rPr>
        <w:t xml:space="preserve">, when </w:t>
      </w:r>
      <w:r w:rsidR="00590D03">
        <w:rPr>
          <w:rFonts w:ascii="Arial" w:eastAsia="Calibri" w:hAnsi="Arial" w:cs="Arial"/>
          <w:bCs/>
        </w:rPr>
        <w:t xml:space="preserve">was </w:t>
      </w:r>
      <w:r w:rsidR="00DB4F61" w:rsidRPr="0028106D">
        <w:rPr>
          <w:rFonts w:ascii="Arial" w:eastAsia="Calibri" w:hAnsi="Arial" w:cs="Arial"/>
          <w:bCs/>
        </w:rPr>
        <w:t>the matter referred to mediation</w:t>
      </w:r>
      <w:r w:rsidR="0076685A">
        <w:rPr>
          <w:rFonts w:ascii="Arial" w:eastAsia="Calibri" w:hAnsi="Arial" w:cs="Arial"/>
          <w:bCs/>
        </w:rPr>
        <w:t>?</w:t>
      </w:r>
      <w:r w:rsidR="00DB4F61" w:rsidRPr="0028106D">
        <w:rPr>
          <w:rFonts w:ascii="Arial" w:eastAsia="Calibri" w:hAnsi="Arial" w:cs="Arial"/>
          <w:bCs/>
        </w:rPr>
        <w:t xml:space="preserve"> </w:t>
      </w:r>
      <w:r w:rsidRPr="0028106D">
        <w:rPr>
          <w:rFonts w:ascii="Arial" w:eastAsia="Calibri" w:hAnsi="Arial" w:cs="Arial"/>
          <w:bCs/>
        </w:rPr>
        <w:t xml:space="preserve"> </w:t>
      </w:r>
    </w:p>
    <w:p w14:paraId="01B404B5" w14:textId="77777777" w:rsidR="00BE4678" w:rsidRPr="00BE4678" w:rsidRDefault="00BE4678" w:rsidP="002A6DF7">
      <w:pPr>
        <w:pStyle w:val="ListParagraph"/>
        <w:ind w:left="0"/>
        <w:rPr>
          <w:rFonts w:ascii="Arial" w:eastAsia="Calibri" w:hAnsi="Arial" w:cs="Arial"/>
          <w:bCs/>
        </w:rPr>
      </w:pPr>
    </w:p>
    <w:p w14:paraId="1B4A596F" w14:textId="0B477A9B" w:rsidR="00BE4678" w:rsidRPr="003D7EBA" w:rsidRDefault="00BE4678" w:rsidP="002A6DF7">
      <w:pPr>
        <w:pStyle w:val="ListParagraph"/>
        <w:numPr>
          <w:ilvl w:val="0"/>
          <w:numId w:val="9"/>
        </w:numPr>
        <w:spacing w:line="360" w:lineRule="auto"/>
        <w:ind w:left="0" w:firstLine="0"/>
        <w:jc w:val="both"/>
        <w:rPr>
          <w:rFonts w:ascii="Arial" w:hAnsi="Arial" w:cs="Arial"/>
          <w:lang w:val="en-US"/>
        </w:rPr>
      </w:pPr>
      <w:r>
        <w:rPr>
          <w:rFonts w:ascii="Arial" w:eastAsia="Calibri" w:hAnsi="Arial" w:cs="Arial"/>
          <w:bCs/>
        </w:rPr>
        <w:t>The court asked the parties what effect</w:t>
      </w:r>
      <w:r w:rsidR="009F1C38">
        <w:rPr>
          <w:rFonts w:ascii="Arial" w:eastAsia="Calibri" w:hAnsi="Arial" w:cs="Arial"/>
          <w:bCs/>
        </w:rPr>
        <w:t xml:space="preserve"> (</w:t>
      </w:r>
      <w:r w:rsidR="00DB4F61">
        <w:rPr>
          <w:rFonts w:ascii="Arial" w:eastAsia="Calibri" w:hAnsi="Arial" w:cs="Arial"/>
          <w:bCs/>
        </w:rPr>
        <w:t>if any</w:t>
      </w:r>
      <w:r w:rsidR="009F1C38">
        <w:rPr>
          <w:rFonts w:ascii="Arial" w:eastAsia="Calibri" w:hAnsi="Arial" w:cs="Arial"/>
          <w:bCs/>
        </w:rPr>
        <w:t>)</w:t>
      </w:r>
      <w:r>
        <w:rPr>
          <w:rFonts w:ascii="Arial" w:eastAsia="Calibri" w:hAnsi="Arial" w:cs="Arial"/>
          <w:bCs/>
        </w:rPr>
        <w:t xml:space="preserve"> the mediation referral ha</w:t>
      </w:r>
      <w:r w:rsidR="00DB4F61">
        <w:rPr>
          <w:rFonts w:ascii="Arial" w:eastAsia="Calibri" w:hAnsi="Arial" w:cs="Arial"/>
          <w:bCs/>
        </w:rPr>
        <w:t>d</w:t>
      </w:r>
      <w:r>
        <w:rPr>
          <w:rFonts w:ascii="Arial" w:eastAsia="Calibri" w:hAnsi="Arial" w:cs="Arial"/>
          <w:bCs/>
        </w:rPr>
        <w:t xml:space="preserve"> on the plaintiff’s duty to launch </w:t>
      </w:r>
      <w:r w:rsidR="00DE47AE">
        <w:rPr>
          <w:rFonts w:ascii="Arial" w:eastAsia="Calibri" w:hAnsi="Arial" w:cs="Arial"/>
          <w:bCs/>
        </w:rPr>
        <w:t>the</w:t>
      </w:r>
      <w:r>
        <w:rPr>
          <w:rFonts w:ascii="Arial" w:eastAsia="Calibri" w:hAnsi="Arial" w:cs="Arial"/>
          <w:bCs/>
        </w:rPr>
        <w:t xml:space="preserve"> application without delay. The plaintiff relied on r 38(3) and contended that </w:t>
      </w:r>
      <w:r w:rsidR="00A13BF9">
        <w:rPr>
          <w:rFonts w:ascii="Arial" w:eastAsia="Calibri" w:hAnsi="Arial" w:cs="Arial"/>
          <w:bCs/>
        </w:rPr>
        <w:t xml:space="preserve">it would be unconscionable to shoot each other while busy </w:t>
      </w:r>
      <w:r w:rsidR="003C7677">
        <w:rPr>
          <w:rFonts w:ascii="Arial" w:eastAsia="Calibri" w:hAnsi="Arial" w:cs="Arial"/>
          <w:bCs/>
        </w:rPr>
        <w:t>with</w:t>
      </w:r>
      <w:r w:rsidR="00A13BF9">
        <w:rPr>
          <w:rFonts w:ascii="Arial" w:eastAsia="Calibri" w:hAnsi="Arial" w:cs="Arial"/>
          <w:bCs/>
        </w:rPr>
        <w:t xml:space="preserve"> mediation proceedings. It said </w:t>
      </w:r>
      <w:r>
        <w:rPr>
          <w:rFonts w:ascii="Arial" w:eastAsia="Calibri" w:hAnsi="Arial" w:cs="Arial"/>
          <w:bCs/>
        </w:rPr>
        <w:t xml:space="preserve">no further proceedings should </w:t>
      </w:r>
      <w:r w:rsidR="009F1C38">
        <w:rPr>
          <w:rFonts w:ascii="Arial" w:eastAsia="Calibri" w:hAnsi="Arial" w:cs="Arial"/>
          <w:bCs/>
        </w:rPr>
        <w:t>occur</w:t>
      </w:r>
      <w:r>
        <w:rPr>
          <w:rFonts w:ascii="Arial" w:eastAsia="Calibri" w:hAnsi="Arial" w:cs="Arial"/>
          <w:bCs/>
        </w:rPr>
        <w:t xml:space="preserve"> during that period</w:t>
      </w:r>
      <w:r w:rsidR="00A13BF9">
        <w:rPr>
          <w:rFonts w:ascii="Arial" w:eastAsia="Calibri" w:hAnsi="Arial" w:cs="Arial"/>
          <w:bCs/>
        </w:rPr>
        <w:t xml:space="preserve">, and a condonation application is a </w:t>
      </w:r>
      <w:r w:rsidR="00DE47AE">
        <w:rPr>
          <w:rFonts w:ascii="Arial" w:eastAsia="Calibri" w:hAnsi="Arial" w:cs="Arial"/>
          <w:bCs/>
        </w:rPr>
        <w:t>‘</w:t>
      </w:r>
      <w:r w:rsidR="00A13BF9">
        <w:rPr>
          <w:rFonts w:ascii="Arial" w:eastAsia="Calibri" w:hAnsi="Arial" w:cs="Arial"/>
          <w:bCs/>
        </w:rPr>
        <w:t>proceeding</w:t>
      </w:r>
      <w:r w:rsidR="00DE47AE">
        <w:rPr>
          <w:rFonts w:ascii="Arial" w:eastAsia="Calibri" w:hAnsi="Arial" w:cs="Arial"/>
          <w:bCs/>
        </w:rPr>
        <w:t>’</w:t>
      </w:r>
      <w:r w:rsidR="00C05DAA">
        <w:rPr>
          <w:rFonts w:ascii="Arial" w:eastAsia="Calibri" w:hAnsi="Arial" w:cs="Arial"/>
          <w:bCs/>
        </w:rPr>
        <w:t xml:space="preserve"> as envisaged in r 38(3)</w:t>
      </w:r>
      <w:r>
        <w:rPr>
          <w:rFonts w:ascii="Arial" w:eastAsia="Calibri" w:hAnsi="Arial" w:cs="Arial"/>
          <w:bCs/>
        </w:rPr>
        <w:t xml:space="preserve">. The defendant’s position was that </w:t>
      </w:r>
      <w:r w:rsidR="00DE47AE">
        <w:rPr>
          <w:rFonts w:ascii="Arial" w:eastAsia="Calibri" w:hAnsi="Arial" w:cs="Arial"/>
          <w:bCs/>
        </w:rPr>
        <w:t>the</w:t>
      </w:r>
      <w:r>
        <w:rPr>
          <w:rFonts w:ascii="Arial" w:eastAsia="Calibri" w:hAnsi="Arial" w:cs="Arial"/>
          <w:bCs/>
        </w:rPr>
        <w:t xml:space="preserve"> mediation referral did not relieve the plaintiff from its duty to </w:t>
      </w:r>
      <w:r w:rsidR="00A13BF9">
        <w:rPr>
          <w:rFonts w:ascii="Arial" w:eastAsia="Calibri" w:hAnsi="Arial" w:cs="Arial"/>
          <w:bCs/>
        </w:rPr>
        <w:t>launch</w:t>
      </w:r>
      <w:r>
        <w:rPr>
          <w:rFonts w:ascii="Arial" w:eastAsia="Calibri" w:hAnsi="Arial" w:cs="Arial"/>
          <w:bCs/>
        </w:rPr>
        <w:t xml:space="preserve"> the</w:t>
      </w:r>
      <w:r w:rsidR="00DE47AE">
        <w:rPr>
          <w:rFonts w:ascii="Arial" w:eastAsia="Calibri" w:hAnsi="Arial" w:cs="Arial"/>
          <w:bCs/>
        </w:rPr>
        <w:t xml:space="preserve"> </w:t>
      </w:r>
      <w:r>
        <w:rPr>
          <w:rFonts w:ascii="Arial" w:eastAsia="Calibri" w:hAnsi="Arial" w:cs="Arial"/>
          <w:bCs/>
        </w:rPr>
        <w:t>application without de</w:t>
      </w:r>
      <w:r w:rsidR="00A13BF9">
        <w:rPr>
          <w:rFonts w:ascii="Arial" w:eastAsia="Calibri" w:hAnsi="Arial" w:cs="Arial"/>
          <w:bCs/>
        </w:rPr>
        <w:t>lay.</w:t>
      </w:r>
      <w:r w:rsidR="009918BF">
        <w:rPr>
          <w:rFonts w:ascii="Arial" w:eastAsia="Calibri" w:hAnsi="Arial" w:cs="Arial"/>
          <w:bCs/>
        </w:rPr>
        <w:t xml:space="preserve"> The answering affidavit stated that no court order suspend</w:t>
      </w:r>
      <w:r w:rsidR="009F1C38">
        <w:rPr>
          <w:rFonts w:ascii="Arial" w:eastAsia="Calibri" w:hAnsi="Arial" w:cs="Arial"/>
          <w:bCs/>
        </w:rPr>
        <w:t>ed</w:t>
      </w:r>
      <w:r w:rsidR="009918BF">
        <w:rPr>
          <w:rFonts w:ascii="Arial" w:eastAsia="Calibri" w:hAnsi="Arial" w:cs="Arial"/>
          <w:bCs/>
        </w:rPr>
        <w:t xml:space="preserve"> the filing of pleadings pending the mediation outcome. </w:t>
      </w:r>
    </w:p>
    <w:p w14:paraId="04367152" w14:textId="77777777" w:rsidR="003D7EBA" w:rsidRPr="003D7EBA" w:rsidRDefault="003D7EBA" w:rsidP="002A6DF7">
      <w:pPr>
        <w:pStyle w:val="ListParagraph"/>
        <w:ind w:left="0"/>
        <w:rPr>
          <w:rFonts w:ascii="Arial" w:eastAsia="Calibri" w:hAnsi="Arial" w:cs="Arial"/>
          <w:bCs/>
        </w:rPr>
      </w:pPr>
    </w:p>
    <w:p w14:paraId="1B2B45AC" w14:textId="12CA9874" w:rsidR="00080C48" w:rsidRDefault="00080C48"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Rule 38(3) provides that</w:t>
      </w:r>
      <w:r w:rsidR="002255DF">
        <w:rPr>
          <w:rFonts w:ascii="Arial" w:hAnsi="Arial" w:cs="Arial"/>
          <w:lang w:val="en-US"/>
        </w:rPr>
        <w:t>:</w:t>
      </w:r>
    </w:p>
    <w:p w14:paraId="6FA3E3DC" w14:textId="77777777" w:rsidR="002255DF" w:rsidRPr="002255DF" w:rsidRDefault="002255DF" w:rsidP="002A6DF7">
      <w:pPr>
        <w:pStyle w:val="ListParagraph"/>
        <w:ind w:left="0"/>
        <w:rPr>
          <w:rFonts w:ascii="Arial" w:hAnsi="Arial" w:cs="Arial"/>
          <w:lang w:val="en-US"/>
        </w:rPr>
      </w:pPr>
    </w:p>
    <w:p w14:paraId="67FD179F" w14:textId="79D8DE7E" w:rsidR="00AC2E37" w:rsidRPr="0000282B" w:rsidRDefault="002255DF" w:rsidP="003C7677">
      <w:pPr>
        <w:pStyle w:val="ListParagraph"/>
        <w:spacing w:line="360" w:lineRule="auto"/>
        <w:ind w:left="0" w:firstLine="720"/>
        <w:jc w:val="both"/>
        <w:rPr>
          <w:rFonts w:ascii="Arial" w:hAnsi="Arial" w:cs="Arial"/>
          <w:sz w:val="22"/>
          <w:szCs w:val="22"/>
          <w:lang w:val="en-US"/>
        </w:rPr>
      </w:pPr>
      <w:r w:rsidRPr="002255DF">
        <w:rPr>
          <w:rFonts w:ascii="Arial" w:hAnsi="Arial" w:cs="Arial"/>
          <w:sz w:val="22"/>
          <w:szCs w:val="22"/>
        </w:rPr>
        <w:t>‘(3) No further proceedings must take place until an order by the managing judge is made in respect of such ADR procedure based on the report of the conciliator or mediator.’</w:t>
      </w:r>
    </w:p>
    <w:p w14:paraId="738026DE" w14:textId="77777777" w:rsidR="00AC2E37" w:rsidRPr="003D7EBA" w:rsidRDefault="00AC2E37" w:rsidP="002A6DF7">
      <w:pPr>
        <w:pStyle w:val="ListParagraph"/>
        <w:ind w:left="0"/>
        <w:rPr>
          <w:rFonts w:ascii="Arial" w:eastAsia="Calibri" w:hAnsi="Arial" w:cs="Arial"/>
          <w:bCs/>
        </w:rPr>
      </w:pPr>
    </w:p>
    <w:p w14:paraId="73372489" w14:textId="74CD0F10" w:rsidR="00DB4F61" w:rsidRPr="003D7EBA" w:rsidRDefault="00DB4F61"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word ‘proceedings’ </w:t>
      </w:r>
      <w:r w:rsidR="00DE47AE">
        <w:rPr>
          <w:rFonts w:ascii="Arial" w:hAnsi="Arial" w:cs="Arial"/>
          <w:lang w:val="en-US"/>
        </w:rPr>
        <w:t xml:space="preserve">in r 38(3) </w:t>
      </w:r>
      <w:r>
        <w:rPr>
          <w:rFonts w:ascii="Arial" w:hAnsi="Arial" w:cs="Arial"/>
          <w:lang w:val="en-US"/>
        </w:rPr>
        <w:t>is not defined in the High Court rules</w:t>
      </w:r>
      <w:r w:rsidR="009F1C38">
        <w:rPr>
          <w:rFonts w:ascii="Arial" w:hAnsi="Arial" w:cs="Arial"/>
          <w:lang w:val="en-US"/>
        </w:rPr>
        <w:t>, and apart from what is set out in paragraph [2</w:t>
      </w:r>
      <w:r w:rsidR="00DE47AE">
        <w:rPr>
          <w:rFonts w:ascii="Arial" w:hAnsi="Arial" w:cs="Arial"/>
          <w:lang w:val="en-US"/>
        </w:rPr>
        <w:t>2</w:t>
      </w:r>
      <w:r w:rsidR="009F1C38">
        <w:rPr>
          <w:rFonts w:ascii="Arial" w:hAnsi="Arial" w:cs="Arial"/>
          <w:lang w:val="en-US"/>
        </w:rPr>
        <w:t>] above, the parties did not address its meaning</w:t>
      </w:r>
      <w:r>
        <w:rPr>
          <w:rFonts w:ascii="Arial" w:hAnsi="Arial" w:cs="Arial"/>
          <w:lang w:val="en-US"/>
        </w:rPr>
        <w:t>. In the circumstances</w:t>
      </w:r>
      <w:r w:rsidR="00081380">
        <w:rPr>
          <w:rFonts w:ascii="Arial" w:hAnsi="Arial" w:cs="Arial"/>
          <w:lang w:val="en-US"/>
        </w:rPr>
        <w:t xml:space="preserve">, based on the arguments before the court, </w:t>
      </w:r>
      <w:r>
        <w:rPr>
          <w:rFonts w:ascii="Arial" w:hAnsi="Arial" w:cs="Arial"/>
          <w:lang w:val="en-US"/>
        </w:rPr>
        <w:t xml:space="preserve">and in this instance, the court will deal with the matter as if a condonation application </w:t>
      </w:r>
      <w:r w:rsidR="00081380">
        <w:rPr>
          <w:rFonts w:ascii="Arial" w:hAnsi="Arial" w:cs="Arial"/>
          <w:lang w:val="en-US"/>
        </w:rPr>
        <w:t>is a ‘proceeding’ as envisaged in r 38(3)</w:t>
      </w:r>
      <w:r w:rsidR="009F1C38">
        <w:rPr>
          <w:rFonts w:ascii="Arial" w:hAnsi="Arial" w:cs="Arial"/>
          <w:lang w:val="en-US"/>
        </w:rPr>
        <w:t>. T</w:t>
      </w:r>
      <w:r w:rsidR="00081380">
        <w:rPr>
          <w:rFonts w:ascii="Arial" w:hAnsi="Arial" w:cs="Arial"/>
          <w:lang w:val="en-US"/>
        </w:rPr>
        <w:t>he court does not make a finding whether a condonation application is indeed a ‘proceeding’ as env</w:t>
      </w:r>
      <w:r w:rsidR="00DE47AE">
        <w:rPr>
          <w:rFonts w:ascii="Arial" w:hAnsi="Arial" w:cs="Arial"/>
          <w:lang w:val="en-US"/>
        </w:rPr>
        <w:t>isaged</w:t>
      </w:r>
      <w:r w:rsidR="00081380">
        <w:rPr>
          <w:rFonts w:ascii="Arial" w:hAnsi="Arial" w:cs="Arial"/>
          <w:lang w:val="en-US"/>
        </w:rPr>
        <w:t xml:space="preserve"> in r 38(3).</w:t>
      </w:r>
    </w:p>
    <w:p w14:paraId="25819C20" w14:textId="77777777" w:rsidR="00DB4F61" w:rsidRPr="003D7EBA" w:rsidRDefault="00DB4F61" w:rsidP="002A6DF7">
      <w:pPr>
        <w:pStyle w:val="ListParagraph"/>
        <w:ind w:left="0"/>
        <w:rPr>
          <w:rFonts w:ascii="Arial" w:eastAsia="Calibri" w:hAnsi="Arial" w:cs="Arial"/>
          <w:bCs/>
        </w:rPr>
      </w:pPr>
    </w:p>
    <w:p w14:paraId="5D8F2808" w14:textId="6C0BAAF5" w:rsidR="003F4919" w:rsidRPr="003D7EBA" w:rsidRDefault="003F4919"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mediator’s report was filed on 1 September 2023 and the </w:t>
      </w:r>
      <w:r w:rsidR="0076685A">
        <w:rPr>
          <w:rFonts w:ascii="Arial" w:hAnsi="Arial" w:cs="Arial"/>
          <w:lang w:val="en-US"/>
        </w:rPr>
        <w:t xml:space="preserve">subsequent </w:t>
      </w:r>
      <w:r>
        <w:rPr>
          <w:rFonts w:ascii="Arial" w:hAnsi="Arial" w:cs="Arial"/>
          <w:lang w:val="en-US"/>
        </w:rPr>
        <w:t xml:space="preserve">court order was </w:t>
      </w:r>
      <w:r w:rsidR="0076685A">
        <w:rPr>
          <w:rFonts w:ascii="Arial" w:hAnsi="Arial" w:cs="Arial"/>
          <w:lang w:val="en-US"/>
        </w:rPr>
        <w:t>that of</w:t>
      </w:r>
      <w:r>
        <w:rPr>
          <w:rFonts w:ascii="Arial" w:hAnsi="Arial" w:cs="Arial"/>
          <w:lang w:val="en-US"/>
        </w:rPr>
        <w:t xml:space="preserve"> 18 September 2023. </w:t>
      </w:r>
      <w:r w:rsidR="004030DD">
        <w:rPr>
          <w:rFonts w:ascii="Arial" w:hAnsi="Arial" w:cs="Arial"/>
          <w:lang w:val="en-US"/>
        </w:rPr>
        <w:t>On 18 September 2023, t</w:t>
      </w:r>
      <w:r>
        <w:rPr>
          <w:rFonts w:ascii="Arial" w:hAnsi="Arial" w:cs="Arial"/>
          <w:lang w:val="en-US"/>
        </w:rPr>
        <w:t>he court recorded that the mediation failed</w:t>
      </w:r>
      <w:r w:rsidR="009F1C38">
        <w:rPr>
          <w:rFonts w:ascii="Arial" w:hAnsi="Arial" w:cs="Arial"/>
          <w:lang w:val="en-US"/>
        </w:rPr>
        <w:t>,</w:t>
      </w:r>
      <w:r>
        <w:rPr>
          <w:rFonts w:ascii="Arial" w:hAnsi="Arial" w:cs="Arial"/>
          <w:lang w:val="en-US"/>
        </w:rPr>
        <w:t xml:space="preserve"> and the parties did not ‘upload’ a status report on the way forward</w:t>
      </w:r>
      <w:r w:rsidR="0076685A">
        <w:rPr>
          <w:rFonts w:ascii="Arial" w:hAnsi="Arial" w:cs="Arial"/>
          <w:lang w:val="en-US"/>
        </w:rPr>
        <w:t>. H</w:t>
      </w:r>
      <w:r>
        <w:rPr>
          <w:rFonts w:ascii="Arial" w:hAnsi="Arial" w:cs="Arial"/>
          <w:lang w:val="en-US"/>
        </w:rPr>
        <w:t xml:space="preserve">aving noted that pleadings were exchanged, the court </w:t>
      </w:r>
      <w:r>
        <w:rPr>
          <w:rFonts w:ascii="Arial" w:hAnsi="Arial" w:cs="Arial"/>
          <w:lang w:val="en-US"/>
        </w:rPr>
        <w:lastRenderedPageBreak/>
        <w:t xml:space="preserve">ordered the parties to file witness statements and postponed the matter </w:t>
      </w:r>
      <w:r w:rsidR="00C05DAA">
        <w:rPr>
          <w:rFonts w:ascii="Arial" w:hAnsi="Arial" w:cs="Arial"/>
          <w:lang w:val="en-US"/>
        </w:rPr>
        <w:t>for</w:t>
      </w:r>
      <w:r>
        <w:rPr>
          <w:rFonts w:ascii="Arial" w:hAnsi="Arial" w:cs="Arial"/>
          <w:lang w:val="en-US"/>
        </w:rPr>
        <w:t xml:space="preserve"> a pre-trial conference. The </w:t>
      </w:r>
      <w:r w:rsidR="004030DD">
        <w:rPr>
          <w:rFonts w:ascii="Arial" w:hAnsi="Arial" w:cs="Arial"/>
          <w:lang w:val="en-US"/>
        </w:rPr>
        <w:t xml:space="preserve">court finds that the court </w:t>
      </w:r>
      <w:r>
        <w:rPr>
          <w:rFonts w:ascii="Arial" w:hAnsi="Arial" w:cs="Arial"/>
          <w:lang w:val="en-US"/>
        </w:rPr>
        <w:t xml:space="preserve">order of </w:t>
      </w:r>
      <w:r w:rsidR="004030DD">
        <w:rPr>
          <w:rFonts w:ascii="Arial" w:hAnsi="Arial" w:cs="Arial"/>
          <w:lang w:val="en-US"/>
        </w:rPr>
        <w:t>18 September 2023 is the ‘order by the managing judge’ envisaged in r 38(3).</w:t>
      </w:r>
    </w:p>
    <w:p w14:paraId="57FF91BF" w14:textId="77777777" w:rsidR="003F4919" w:rsidRPr="003D7EBA" w:rsidRDefault="003F4919" w:rsidP="002A6DF7">
      <w:pPr>
        <w:pStyle w:val="ListParagraph"/>
        <w:ind w:left="0"/>
        <w:rPr>
          <w:rFonts w:ascii="Arial" w:eastAsia="Calibri" w:hAnsi="Arial" w:cs="Arial"/>
          <w:bCs/>
        </w:rPr>
      </w:pPr>
    </w:p>
    <w:p w14:paraId="6402D8E7" w14:textId="5BEB69CC" w:rsidR="0000282B" w:rsidRPr="0076685A" w:rsidRDefault="004030DD" w:rsidP="0076685A">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As of 18 September 2023, the plaintiff, no doubt, had a duty to deliver its application</w:t>
      </w:r>
      <w:r w:rsidR="00DE47AE">
        <w:rPr>
          <w:rFonts w:ascii="Arial" w:hAnsi="Arial" w:cs="Arial"/>
          <w:lang w:val="en-US"/>
        </w:rPr>
        <w:t xml:space="preserve"> without delay</w:t>
      </w:r>
      <w:r w:rsidR="00774B82">
        <w:rPr>
          <w:rFonts w:ascii="Arial" w:hAnsi="Arial" w:cs="Arial"/>
          <w:lang w:val="en-US"/>
        </w:rPr>
        <w:t>,</w:t>
      </w:r>
      <w:r>
        <w:rPr>
          <w:rFonts w:ascii="Arial" w:hAnsi="Arial" w:cs="Arial"/>
          <w:lang w:val="en-US"/>
        </w:rPr>
        <w:t xml:space="preserve"> and the period from 18 September 2023 to 9 November 2023 require</w:t>
      </w:r>
      <w:r w:rsidR="009D03C9">
        <w:rPr>
          <w:rFonts w:ascii="Arial" w:hAnsi="Arial" w:cs="Arial"/>
          <w:lang w:val="en-US"/>
        </w:rPr>
        <w:t>s</w:t>
      </w:r>
      <w:r w:rsidR="00DE47AE">
        <w:rPr>
          <w:rFonts w:ascii="Arial" w:hAnsi="Arial" w:cs="Arial"/>
          <w:lang w:val="en-US"/>
        </w:rPr>
        <w:t xml:space="preserve"> </w:t>
      </w:r>
      <w:r>
        <w:rPr>
          <w:rFonts w:ascii="Arial" w:hAnsi="Arial" w:cs="Arial"/>
          <w:lang w:val="en-US"/>
        </w:rPr>
        <w:t>explanation. What about the period before the matter was referred to mediation</w:t>
      </w:r>
      <w:r w:rsidR="0000282B">
        <w:rPr>
          <w:rFonts w:ascii="Arial" w:hAnsi="Arial" w:cs="Arial"/>
          <w:lang w:val="en-US"/>
        </w:rPr>
        <w:t>,</w:t>
      </w:r>
      <w:r w:rsidR="00774B82">
        <w:rPr>
          <w:rFonts w:ascii="Arial" w:hAnsi="Arial" w:cs="Arial"/>
          <w:lang w:val="en-US"/>
        </w:rPr>
        <w:t xml:space="preserve"> and when was the matter referred to mediation</w:t>
      </w:r>
      <w:r>
        <w:rPr>
          <w:rFonts w:ascii="Arial" w:hAnsi="Arial" w:cs="Arial"/>
          <w:lang w:val="en-US"/>
        </w:rPr>
        <w:t>?</w:t>
      </w:r>
    </w:p>
    <w:p w14:paraId="5C4811C6" w14:textId="77777777" w:rsidR="0000282B" w:rsidRPr="0000282B" w:rsidRDefault="0000282B" w:rsidP="002A6DF7">
      <w:pPr>
        <w:pStyle w:val="ListParagraph"/>
        <w:ind w:left="0"/>
        <w:rPr>
          <w:rFonts w:ascii="Arial" w:hAnsi="Arial" w:cs="Arial"/>
          <w:lang w:val="en-US"/>
        </w:rPr>
      </w:pPr>
    </w:p>
    <w:p w14:paraId="379FD1EE" w14:textId="71ECAC8C" w:rsidR="002255DF" w:rsidRPr="004030DD" w:rsidRDefault="0076685A"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Note 3 of the registrar’s notes issued in terms of practice direction 65</w:t>
      </w:r>
      <w:r w:rsidR="0000282B">
        <w:rPr>
          <w:rFonts w:ascii="Arial" w:hAnsi="Arial" w:cs="Arial"/>
          <w:lang w:val="en-US"/>
        </w:rPr>
        <w:t xml:space="preserve"> sets out</w:t>
      </w:r>
      <w:r w:rsidR="00774B82">
        <w:rPr>
          <w:rFonts w:ascii="Arial" w:hAnsi="Arial" w:cs="Arial"/>
          <w:lang w:val="en-US"/>
        </w:rPr>
        <w:t xml:space="preserve"> the process for </w:t>
      </w:r>
      <w:r w:rsidR="0000282B">
        <w:rPr>
          <w:rFonts w:ascii="Arial" w:hAnsi="Arial" w:cs="Arial"/>
          <w:lang w:val="en-US"/>
        </w:rPr>
        <w:t xml:space="preserve">mediation </w:t>
      </w:r>
      <w:r w:rsidR="00774B82">
        <w:rPr>
          <w:rFonts w:ascii="Arial" w:hAnsi="Arial" w:cs="Arial"/>
          <w:lang w:val="en-US"/>
        </w:rPr>
        <w:t xml:space="preserve">referral. The stage when the court is approached to refer a matter </w:t>
      </w:r>
      <w:r w:rsidR="0000282B">
        <w:rPr>
          <w:rFonts w:ascii="Arial" w:hAnsi="Arial" w:cs="Arial"/>
          <w:lang w:val="en-US"/>
        </w:rPr>
        <w:t>to</w:t>
      </w:r>
      <w:r w:rsidR="00774B82">
        <w:rPr>
          <w:rFonts w:ascii="Arial" w:hAnsi="Arial" w:cs="Arial"/>
          <w:lang w:val="en-US"/>
        </w:rPr>
        <w:t xml:space="preserve"> mediation is the ‘initial mediation referral </w:t>
      </w:r>
      <w:proofErr w:type="gramStart"/>
      <w:r w:rsidR="00774B82">
        <w:rPr>
          <w:rFonts w:ascii="Arial" w:hAnsi="Arial" w:cs="Arial"/>
          <w:lang w:val="en-US"/>
        </w:rPr>
        <w:t>proceedings’</w:t>
      </w:r>
      <w:proofErr w:type="gramEnd"/>
      <w:r w:rsidR="00774B82">
        <w:rPr>
          <w:rFonts w:ascii="Arial" w:hAnsi="Arial" w:cs="Arial"/>
          <w:lang w:val="en-US"/>
        </w:rPr>
        <w:t xml:space="preserve">. Upon such request, the court must postpone the matter ‘so to be referred’ to enable the parties to identify the mediator and make a </w:t>
      </w:r>
      <w:r w:rsidR="009D03C9">
        <w:rPr>
          <w:rFonts w:ascii="Arial" w:hAnsi="Arial" w:cs="Arial"/>
          <w:lang w:val="en-US"/>
        </w:rPr>
        <w:t xml:space="preserve">mediation </w:t>
      </w:r>
      <w:r w:rsidR="00774B82">
        <w:rPr>
          <w:rFonts w:ascii="Arial" w:hAnsi="Arial" w:cs="Arial"/>
          <w:lang w:val="en-US"/>
        </w:rPr>
        <w:t>reservation</w:t>
      </w:r>
      <w:r w:rsidR="009F1C38">
        <w:rPr>
          <w:rFonts w:ascii="Arial" w:hAnsi="Arial" w:cs="Arial"/>
          <w:lang w:val="en-US"/>
        </w:rPr>
        <w:t>. T</w:t>
      </w:r>
      <w:r w:rsidR="00774B82">
        <w:rPr>
          <w:rFonts w:ascii="Arial" w:hAnsi="Arial" w:cs="Arial"/>
          <w:lang w:val="en-US"/>
        </w:rPr>
        <w:t xml:space="preserve">he order made during the initial mediation referral proceedings is </w:t>
      </w:r>
      <w:r w:rsidR="009F1C38">
        <w:rPr>
          <w:rFonts w:ascii="Arial" w:hAnsi="Arial" w:cs="Arial"/>
          <w:lang w:val="en-US"/>
        </w:rPr>
        <w:t>called</w:t>
      </w:r>
      <w:r w:rsidR="00774B82">
        <w:rPr>
          <w:rFonts w:ascii="Arial" w:hAnsi="Arial" w:cs="Arial"/>
          <w:lang w:val="en-US"/>
        </w:rPr>
        <w:t xml:space="preserve"> ‘the initial mediation referral order’. Note 3(6) </w:t>
      </w:r>
      <w:r w:rsidR="009F1C38">
        <w:rPr>
          <w:rFonts w:ascii="Arial" w:hAnsi="Arial" w:cs="Arial"/>
          <w:lang w:val="en-US"/>
        </w:rPr>
        <w:t>lists</w:t>
      </w:r>
      <w:r w:rsidR="00774B82">
        <w:rPr>
          <w:rFonts w:ascii="Arial" w:hAnsi="Arial" w:cs="Arial"/>
          <w:lang w:val="en-US"/>
        </w:rPr>
        <w:t xml:space="preserve"> four items the initial mediation referral must state. They are the type of mediation for which the matter </w:t>
      </w:r>
      <w:r>
        <w:rPr>
          <w:rFonts w:ascii="Arial" w:hAnsi="Arial" w:cs="Arial"/>
          <w:lang w:val="en-US"/>
        </w:rPr>
        <w:t>‘</w:t>
      </w:r>
      <w:r w:rsidR="00774B82">
        <w:rPr>
          <w:rFonts w:ascii="Arial" w:hAnsi="Arial" w:cs="Arial"/>
          <w:lang w:val="en-US"/>
        </w:rPr>
        <w:t>will be referred</w:t>
      </w:r>
      <w:r>
        <w:rPr>
          <w:rFonts w:ascii="Arial" w:hAnsi="Arial" w:cs="Arial"/>
          <w:lang w:val="en-US"/>
        </w:rPr>
        <w:t>’</w:t>
      </w:r>
      <w:r w:rsidR="00774B82">
        <w:rPr>
          <w:rFonts w:ascii="Arial" w:hAnsi="Arial" w:cs="Arial"/>
          <w:lang w:val="en-US"/>
        </w:rPr>
        <w:t xml:space="preserve">, the identity of the legal practitioners who will accompany each party, details concerning </w:t>
      </w:r>
      <w:r>
        <w:rPr>
          <w:rFonts w:ascii="Arial" w:hAnsi="Arial" w:cs="Arial"/>
          <w:lang w:val="en-US"/>
        </w:rPr>
        <w:t>the use of an</w:t>
      </w:r>
      <w:r w:rsidR="00774B82">
        <w:rPr>
          <w:rFonts w:ascii="Arial" w:hAnsi="Arial" w:cs="Arial"/>
          <w:lang w:val="en-US"/>
        </w:rPr>
        <w:t xml:space="preserve"> interpreter and the date and time of the next court appearance referred to as ‘the mediation referral </w:t>
      </w:r>
      <w:proofErr w:type="gramStart"/>
      <w:r w:rsidR="00774B82">
        <w:rPr>
          <w:rFonts w:ascii="Arial" w:hAnsi="Arial" w:cs="Arial"/>
          <w:lang w:val="en-US"/>
        </w:rPr>
        <w:t>proceedings’</w:t>
      </w:r>
      <w:proofErr w:type="gramEnd"/>
      <w:r w:rsidR="00774B82">
        <w:rPr>
          <w:rFonts w:ascii="Arial" w:hAnsi="Arial" w:cs="Arial"/>
          <w:lang w:val="en-US"/>
        </w:rPr>
        <w:t>.</w:t>
      </w:r>
      <w:r w:rsidR="0000282B">
        <w:rPr>
          <w:rFonts w:ascii="Arial" w:hAnsi="Arial" w:cs="Arial"/>
          <w:lang w:val="en-US"/>
        </w:rPr>
        <w:t xml:space="preserve"> The phrase</w:t>
      </w:r>
      <w:r w:rsidR="00DE47AE">
        <w:rPr>
          <w:rFonts w:ascii="Arial" w:hAnsi="Arial" w:cs="Arial"/>
          <w:lang w:val="en-US"/>
        </w:rPr>
        <w:t>s</w:t>
      </w:r>
      <w:r w:rsidR="0000282B">
        <w:rPr>
          <w:rFonts w:ascii="Arial" w:hAnsi="Arial" w:cs="Arial"/>
          <w:lang w:val="en-US"/>
        </w:rPr>
        <w:t xml:space="preserve"> ‘so to be referred’ in note 3(3) </w:t>
      </w:r>
      <w:r w:rsidR="00DE47AE">
        <w:rPr>
          <w:rFonts w:ascii="Arial" w:hAnsi="Arial" w:cs="Arial"/>
          <w:lang w:val="en-US"/>
        </w:rPr>
        <w:t>and ‘will be referred</w:t>
      </w:r>
      <w:r w:rsidR="009D03C9">
        <w:rPr>
          <w:rFonts w:ascii="Arial" w:hAnsi="Arial" w:cs="Arial"/>
          <w:lang w:val="en-US"/>
        </w:rPr>
        <w:t>’</w:t>
      </w:r>
      <w:r w:rsidR="00DE47AE">
        <w:rPr>
          <w:rFonts w:ascii="Arial" w:hAnsi="Arial" w:cs="Arial"/>
          <w:lang w:val="en-US"/>
        </w:rPr>
        <w:t xml:space="preserve"> in note 3(6) </w:t>
      </w:r>
      <w:r w:rsidR="0000282B">
        <w:rPr>
          <w:rFonts w:ascii="Arial" w:hAnsi="Arial" w:cs="Arial"/>
          <w:lang w:val="en-US"/>
        </w:rPr>
        <w:t xml:space="preserve">indicate that a matter is not referred to mediation at </w:t>
      </w:r>
      <w:r w:rsidR="007B609A">
        <w:rPr>
          <w:rFonts w:ascii="Arial" w:hAnsi="Arial" w:cs="Arial"/>
          <w:lang w:val="en-US"/>
        </w:rPr>
        <w:t>‘</w:t>
      </w:r>
      <w:r w:rsidR="0000282B">
        <w:rPr>
          <w:rFonts w:ascii="Arial" w:hAnsi="Arial" w:cs="Arial"/>
          <w:lang w:val="en-US"/>
        </w:rPr>
        <w:t xml:space="preserve">the initial mediation referral </w:t>
      </w:r>
      <w:proofErr w:type="gramStart"/>
      <w:r w:rsidR="0000282B">
        <w:rPr>
          <w:rFonts w:ascii="Arial" w:hAnsi="Arial" w:cs="Arial"/>
          <w:lang w:val="en-US"/>
        </w:rPr>
        <w:t>proceedings</w:t>
      </w:r>
      <w:r w:rsidR="007B609A">
        <w:rPr>
          <w:rFonts w:ascii="Arial" w:hAnsi="Arial" w:cs="Arial"/>
          <w:lang w:val="en-US"/>
        </w:rPr>
        <w:t>’</w:t>
      </w:r>
      <w:proofErr w:type="gramEnd"/>
      <w:r w:rsidR="0000282B">
        <w:rPr>
          <w:rFonts w:ascii="Arial" w:hAnsi="Arial" w:cs="Arial"/>
          <w:lang w:val="en-US"/>
        </w:rPr>
        <w:t xml:space="preserve">. A matter is only referred to mediation at </w:t>
      </w:r>
      <w:r w:rsidR="007B609A">
        <w:rPr>
          <w:rFonts w:ascii="Arial" w:hAnsi="Arial" w:cs="Arial"/>
          <w:lang w:val="en-US"/>
        </w:rPr>
        <w:t>‘</w:t>
      </w:r>
      <w:r w:rsidR="0000282B">
        <w:rPr>
          <w:rFonts w:ascii="Arial" w:hAnsi="Arial" w:cs="Arial"/>
          <w:lang w:val="en-US"/>
        </w:rPr>
        <w:t>the m</w:t>
      </w:r>
      <w:r w:rsidR="007B609A">
        <w:rPr>
          <w:rFonts w:ascii="Arial" w:hAnsi="Arial" w:cs="Arial"/>
          <w:lang w:val="en-US"/>
        </w:rPr>
        <w:t xml:space="preserve">ediation referral </w:t>
      </w:r>
      <w:proofErr w:type="gramStart"/>
      <w:r w:rsidR="007B609A">
        <w:rPr>
          <w:rFonts w:ascii="Arial" w:hAnsi="Arial" w:cs="Arial"/>
          <w:lang w:val="en-US"/>
        </w:rPr>
        <w:t>proceedings’</w:t>
      </w:r>
      <w:proofErr w:type="gramEnd"/>
      <w:r w:rsidR="002506F6">
        <w:rPr>
          <w:rFonts w:ascii="Arial" w:hAnsi="Arial" w:cs="Arial"/>
          <w:lang w:val="en-US"/>
        </w:rPr>
        <w:t>.</w:t>
      </w:r>
      <w:r w:rsidR="007B609A">
        <w:rPr>
          <w:rFonts w:ascii="Arial" w:hAnsi="Arial" w:cs="Arial"/>
          <w:lang w:val="en-US"/>
        </w:rPr>
        <w:t xml:space="preserve"> That interpretation is supported by the example of a court-connected mediation referral order in </w:t>
      </w:r>
      <w:r w:rsidR="00DE47AE">
        <w:rPr>
          <w:rFonts w:ascii="Arial" w:hAnsi="Arial" w:cs="Arial"/>
          <w:lang w:val="en-US"/>
        </w:rPr>
        <w:t>e</w:t>
      </w:r>
      <w:r w:rsidR="007B609A">
        <w:rPr>
          <w:rFonts w:ascii="Arial" w:hAnsi="Arial" w:cs="Arial"/>
          <w:lang w:val="en-US"/>
        </w:rPr>
        <w:t>xample 1 to the registrar’s note</w:t>
      </w:r>
      <w:r>
        <w:rPr>
          <w:rFonts w:ascii="Arial" w:hAnsi="Arial" w:cs="Arial"/>
          <w:lang w:val="en-US"/>
        </w:rPr>
        <w:t>s</w:t>
      </w:r>
      <w:r w:rsidR="007B609A">
        <w:rPr>
          <w:rFonts w:ascii="Arial" w:hAnsi="Arial" w:cs="Arial"/>
          <w:lang w:val="en-US"/>
        </w:rPr>
        <w:t xml:space="preserve">. Paragraph 1 of the example order states that the ‘matter is hereby referred for court-accredited mediation </w:t>
      </w:r>
      <w:proofErr w:type="gramStart"/>
      <w:r w:rsidR="007B609A">
        <w:rPr>
          <w:rFonts w:ascii="Arial" w:hAnsi="Arial" w:cs="Arial"/>
          <w:lang w:val="en-US"/>
        </w:rPr>
        <w:t>. . . .</w:t>
      </w:r>
      <w:proofErr w:type="gramEnd"/>
      <w:r w:rsidR="007B609A">
        <w:rPr>
          <w:rFonts w:ascii="Arial" w:hAnsi="Arial" w:cs="Arial"/>
          <w:lang w:val="en-US"/>
        </w:rPr>
        <w:t xml:space="preserve">’. </w:t>
      </w:r>
    </w:p>
    <w:p w14:paraId="09456311" w14:textId="77777777" w:rsidR="002255DF" w:rsidRPr="003D7EBA" w:rsidRDefault="002255DF" w:rsidP="002A6DF7">
      <w:pPr>
        <w:pStyle w:val="ListParagraph"/>
        <w:ind w:left="0"/>
        <w:rPr>
          <w:rFonts w:ascii="Arial" w:eastAsia="Calibri" w:hAnsi="Arial" w:cs="Arial"/>
          <w:bCs/>
        </w:rPr>
      </w:pPr>
    </w:p>
    <w:p w14:paraId="00CD660F" w14:textId="4D7A1925" w:rsidR="0076685A" w:rsidRDefault="009F1C38" w:rsidP="002A6DF7">
      <w:pPr>
        <w:pStyle w:val="ListParagraph"/>
        <w:numPr>
          <w:ilvl w:val="0"/>
          <w:numId w:val="9"/>
        </w:numPr>
        <w:spacing w:line="360" w:lineRule="auto"/>
        <w:ind w:left="0" w:firstLine="0"/>
        <w:jc w:val="both"/>
        <w:rPr>
          <w:rFonts w:ascii="Arial" w:hAnsi="Arial" w:cs="Arial"/>
          <w:lang w:val="en-US"/>
        </w:rPr>
      </w:pPr>
      <w:proofErr w:type="gramStart"/>
      <w:r>
        <w:rPr>
          <w:rFonts w:ascii="Arial" w:hAnsi="Arial" w:cs="Arial"/>
          <w:lang w:val="en-US"/>
        </w:rPr>
        <w:t>With</w:t>
      </w:r>
      <w:r w:rsidR="0076685A" w:rsidRPr="004030DD">
        <w:rPr>
          <w:rFonts w:ascii="Arial" w:hAnsi="Arial" w:cs="Arial"/>
          <w:lang w:val="en-US"/>
        </w:rPr>
        <w:t xml:space="preserve"> regard </w:t>
      </w:r>
      <w:r>
        <w:rPr>
          <w:rFonts w:ascii="Arial" w:hAnsi="Arial" w:cs="Arial"/>
          <w:lang w:val="en-US"/>
        </w:rPr>
        <w:t>to</w:t>
      </w:r>
      <w:proofErr w:type="gramEnd"/>
      <w:r w:rsidR="0076685A" w:rsidRPr="004030DD">
        <w:rPr>
          <w:rFonts w:ascii="Arial" w:hAnsi="Arial" w:cs="Arial"/>
          <w:lang w:val="en-US"/>
        </w:rPr>
        <w:t xml:space="preserve"> the wording of r 38(3)</w:t>
      </w:r>
      <w:r w:rsidR="0076685A">
        <w:rPr>
          <w:rFonts w:ascii="Arial" w:hAnsi="Arial" w:cs="Arial"/>
          <w:lang w:val="en-US"/>
        </w:rPr>
        <w:t>, read</w:t>
      </w:r>
      <w:r w:rsidR="0076685A" w:rsidRPr="004030DD">
        <w:rPr>
          <w:rFonts w:ascii="Arial" w:hAnsi="Arial" w:cs="Arial"/>
          <w:lang w:val="en-US"/>
        </w:rPr>
        <w:t xml:space="preserve"> </w:t>
      </w:r>
      <w:r w:rsidR="0076685A">
        <w:rPr>
          <w:rFonts w:ascii="Arial" w:hAnsi="Arial" w:cs="Arial"/>
          <w:lang w:val="en-US"/>
        </w:rPr>
        <w:t xml:space="preserve">with </w:t>
      </w:r>
      <w:r w:rsidR="0076685A" w:rsidRPr="004030DD">
        <w:rPr>
          <w:rFonts w:ascii="Arial" w:hAnsi="Arial" w:cs="Arial"/>
          <w:lang w:val="en-US"/>
        </w:rPr>
        <w:t xml:space="preserve">r 38(1) and (2) </w:t>
      </w:r>
      <w:r w:rsidR="0076685A">
        <w:rPr>
          <w:rFonts w:ascii="Arial" w:hAnsi="Arial" w:cs="Arial"/>
          <w:lang w:val="en-US"/>
        </w:rPr>
        <w:t>and note 3</w:t>
      </w:r>
      <w:r w:rsidR="0076685A" w:rsidRPr="004030DD">
        <w:rPr>
          <w:rFonts w:ascii="Arial" w:hAnsi="Arial" w:cs="Arial"/>
          <w:lang w:val="en-US"/>
        </w:rPr>
        <w:t>, r 38(3) should be interpreted to mean that</w:t>
      </w:r>
      <w:r w:rsidR="0076685A">
        <w:rPr>
          <w:rFonts w:ascii="Arial" w:hAnsi="Arial" w:cs="Arial"/>
          <w:lang w:val="en-US"/>
        </w:rPr>
        <w:t>, as from the mediation referral order,</w:t>
      </w:r>
      <w:r w:rsidR="0076685A" w:rsidRPr="004030DD">
        <w:rPr>
          <w:rFonts w:ascii="Arial" w:hAnsi="Arial" w:cs="Arial"/>
          <w:lang w:val="en-US"/>
        </w:rPr>
        <w:t xml:space="preserve"> no further proceedings</w:t>
      </w:r>
      <w:r w:rsidR="0076685A">
        <w:rPr>
          <w:rFonts w:ascii="Arial" w:hAnsi="Arial" w:cs="Arial"/>
          <w:lang w:val="en-US"/>
        </w:rPr>
        <w:t xml:space="preserve"> must take place until an order is made based on the mediator’s report.</w:t>
      </w:r>
    </w:p>
    <w:p w14:paraId="62D10558" w14:textId="77777777" w:rsidR="0076685A" w:rsidRPr="0076685A" w:rsidRDefault="0076685A" w:rsidP="0076685A">
      <w:pPr>
        <w:pStyle w:val="ListParagraph"/>
        <w:rPr>
          <w:rFonts w:ascii="Arial" w:hAnsi="Arial" w:cs="Arial"/>
          <w:lang w:val="en-US"/>
        </w:rPr>
      </w:pPr>
    </w:p>
    <w:p w14:paraId="35B74003" w14:textId="48CBF1E9" w:rsidR="0000282B" w:rsidRDefault="0000282B"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21 June 2023 court order included an initial mediation referral order.</w:t>
      </w:r>
      <w:r w:rsidR="007B609A">
        <w:rPr>
          <w:rFonts w:ascii="Arial" w:hAnsi="Arial" w:cs="Arial"/>
          <w:lang w:val="en-US"/>
        </w:rPr>
        <w:t xml:space="preserve"> </w:t>
      </w:r>
      <w:r w:rsidR="00340AE4">
        <w:rPr>
          <w:rFonts w:ascii="Arial" w:hAnsi="Arial" w:cs="Arial"/>
          <w:lang w:val="en-US"/>
        </w:rPr>
        <w:t>It</w:t>
      </w:r>
      <w:r w:rsidR="007B609A">
        <w:rPr>
          <w:rFonts w:ascii="Arial" w:hAnsi="Arial" w:cs="Arial"/>
          <w:lang w:val="en-US"/>
        </w:rPr>
        <w:t xml:space="preserve"> </w:t>
      </w:r>
      <w:r w:rsidR="009D03C9">
        <w:rPr>
          <w:rFonts w:ascii="Arial" w:hAnsi="Arial" w:cs="Arial"/>
          <w:lang w:val="en-US"/>
        </w:rPr>
        <w:t>contained</w:t>
      </w:r>
      <w:r w:rsidR="007B609A">
        <w:rPr>
          <w:rFonts w:ascii="Arial" w:hAnsi="Arial" w:cs="Arial"/>
          <w:lang w:val="en-US"/>
        </w:rPr>
        <w:t xml:space="preserve"> the details </w:t>
      </w:r>
      <w:r w:rsidR="00DE47AE">
        <w:rPr>
          <w:rFonts w:ascii="Arial" w:hAnsi="Arial" w:cs="Arial"/>
          <w:lang w:val="en-US"/>
        </w:rPr>
        <w:t xml:space="preserve">listed </w:t>
      </w:r>
      <w:r w:rsidR="007B609A">
        <w:rPr>
          <w:rFonts w:ascii="Arial" w:hAnsi="Arial" w:cs="Arial"/>
          <w:lang w:val="en-US"/>
        </w:rPr>
        <w:t>in not</w:t>
      </w:r>
      <w:r w:rsidR="00340AE4">
        <w:rPr>
          <w:rFonts w:ascii="Arial" w:hAnsi="Arial" w:cs="Arial"/>
          <w:lang w:val="en-US"/>
        </w:rPr>
        <w:t>e</w:t>
      </w:r>
      <w:r w:rsidR="007B609A">
        <w:rPr>
          <w:rFonts w:ascii="Arial" w:hAnsi="Arial" w:cs="Arial"/>
          <w:lang w:val="en-US"/>
        </w:rPr>
        <w:t xml:space="preserve"> 3(6). </w:t>
      </w:r>
      <w:r w:rsidR="007B609A" w:rsidRPr="0000282B">
        <w:rPr>
          <w:rFonts w:ascii="Arial" w:hAnsi="Arial" w:cs="Arial"/>
          <w:lang w:val="en-US"/>
        </w:rPr>
        <w:t xml:space="preserve">That court order did not give directions concerning the terms of reference, where and how or by whom the mediation </w:t>
      </w:r>
      <w:r w:rsidR="009F1C38">
        <w:rPr>
          <w:rFonts w:ascii="Arial" w:hAnsi="Arial" w:cs="Arial"/>
          <w:lang w:val="en-US"/>
        </w:rPr>
        <w:lastRenderedPageBreak/>
        <w:t>should be</w:t>
      </w:r>
      <w:r w:rsidR="007B609A" w:rsidRPr="0000282B">
        <w:rPr>
          <w:rFonts w:ascii="Arial" w:hAnsi="Arial" w:cs="Arial"/>
          <w:lang w:val="en-US"/>
        </w:rPr>
        <w:t xml:space="preserve"> conducted, nor did it stipulate when the mediation </w:t>
      </w:r>
      <w:r w:rsidR="009F1C38">
        <w:rPr>
          <w:rFonts w:ascii="Arial" w:hAnsi="Arial" w:cs="Arial"/>
          <w:lang w:val="en-US"/>
        </w:rPr>
        <w:t>should be</w:t>
      </w:r>
      <w:r w:rsidR="007B609A" w:rsidRPr="0000282B">
        <w:rPr>
          <w:rFonts w:ascii="Arial" w:hAnsi="Arial" w:cs="Arial"/>
          <w:lang w:val="en-US"/>
        </w:rPr>
        <w:t xml:space="preserve"> conducted or when the mediator’s report </w:t>
      </w:r>
      <w:r w:rsidR="009F1C38">
        <w:rPr>
          <w:rFonts w:ascii="Arial" w:hAnsi="Arial" w:cs="Arial"/>
          <w:lang w:val="en-US"/>
        </w:rPr>
        <w:t>should</w:t>
      </w:r>
      <w:r w:rsidR="007B609A" w:rsidRPr="0000282B">
        <w:rPr>
          <w:rFonts w:ascii="Arial" w:hAnsi="Arial" w:cs="Arial"/>
          <w:lang w:val="en-US"/>
        </w:rPr>
        <w:t xml:space="preserve"> be submitted.</w:t>
      </w:r>
      <w:r>
        <w:rPr>
          <w:rFonts w:ascii="Arial" w:hAnsi="Arial" w:cs="Arial"/>
          <w:lang w:val="en-US"/>
        </w:rPr>
        <w:t xml:space="preserve"> The intention illustrated by the court order dated 21 June 2023 is the parties should exchange pleadings and make discovery before the mediation.</w:t>
      </w:r>
    </w:p>
    <w:p w14:paraId="521F8669" w14:textId="77777777" w:rsidR="0000282B" w:rsidRPr="0000282B" w:rsidRDefault="0000282B" w:rsidP="002A6DF7">
      <w:pPr>
        <w:pStyle w:val="ListParagraph"/>
        <w:ind w:left="0"/>
        <w:rPr>
          <w:rFonts w:ascii="Arial" w:hAnsi="Arial" w:cs="Arial"/>
          <w:lang w:val="en-US"/>
        </w:rPr>
      </w:pPr>
    </w:p>
    <w:p w14:paraId="21BFFE2D" w14:textId="77777777" w:rsidR="007B609A" w:rsidRDefault="002255DF"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  </w:t>
      </w:r>
      <w:r w:rsidR="00AC2E37">
        <w:rPr>
          <w:rFonts w:ascii="Arial" w:hAnsi="Arial" w:cs="Arial"/>
          <w:lang w:val="en-US"/>
        </w:rPr>
        <w:t>T</w:t>
      </w:r>
      <w:r w:rsidR="00774B82">
        <w:rPr>
          <w:rFonts w:ascii="Arial" w:hAnsi="Arial" w:cs="Arial"/>
          <w:lang w:val="en-US"/>
        </w:rPr>
        <w:t>he court finds that</w:t>
      </w:r>
      <w:r w:rsidR="007B609A">
        <w:rPr>
          <w:rFonts w:ascii="Arial" w:hAnsi="Arial" w:cs="Arial"/>
          <w:lang w:val="en-US"/>
        </w:rPr>
        <w:t>:</w:t>
      </w:r>
    </w:p>
    <w:p w14:paraId="5D86CE13" w14:textId="77777777" w:rsidR="007B609A" w:rsidRPr="007B609A" w:rsidRDefault="007B609A" w:rsidP="002A6DF7">
      <w:pPr>
        <w:pStyle w:val="ListParagraph"/>
        <w:ind w:left="0"/>
        <w:rPr>
          <w:rFonts w:ascii="Arial" w:hAnsi="Arial" w:cs="Arial"/>
          <w:lang w:val="en-US"/>
        </w:rPr>
      </w:pPr>
    </w:p>
    <w:p w14:paraId="0949B7E2" w14:textId="77659374" w:rsidR="007B609A" w:rsidRDefault="00340AE4" w:rsidP="002A6DF7">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w:t>
      </w:r>
      <w:r w:rsidR="00774B82">
        <w:rPr>
          <w:rFonts w:ascii="Arial" w:hAnsi="Arial" w:cs="Arial"/>
          <w:lang w:val="en-US"/>
        </w:rPr>
        <w:t>he 21 June 2023 court order was the ‘initial mediation referral order’</w:t>
      </w:r>
      <w:r>
        <w:rPr>
          <w:rFonts w:ascii="Arial" w:hAnsi="Arial" w:cs="Arial"/>
          <w:lang w:val="en-US"/>
        </w:rPr>
        <w:t>,</w:t>
      </w:r>
      <w:r w:rsidR="007B609A">
        <w:rPr>
          <w:rFonts w:ascii="Arial" w:hAnsi="Arial" w:cs="Arial"/>
          <w:lang w:val="en-US"/>
        </w:rPr>
        <w:t xml:space="preserve"> and the matter was not referred to mediation on 21 June 2023</w:t>
      </w:r>
      <w:r>
        <w:rPr>
          <w:rFonts w:ascii="Arial" w:hAnsi="Arial" w:cs="Arial"/>
          <w:lang w:val="en-US"/>
        </w:rPr>
        <w:t>.</w:t>
      </w:r>
    </w:p>
    <w:p w14:paraId="6C201B30" w14:textId="77777777" w:rsidR="007B609A" w:rsidRPr="007B609A" w:rsidRDefault="007B609A" w:rsidP="002A6DF7">
      <w:pPr>
        <w:pStyle w:val="ListParagraph"/>
        <w:ind w:left="0"/>
        <w:rPr>
          <w:rFonts w:ascii="Arial" w:hAnsi="Arial" w:cs="Arial"/>
          <w:lang w:val="en-US"/>
        </w:rPr>
      </w:pPr>
    </w:p>
    <w:p w14:paraId="3085BF5D" w14:textId="625E71EE" w:rsidR="007B609A" w:rsidRDefault="00340AE4" w:rsidP="002A6DF7">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w:t>
      </w:r>
      <w:r w:rsidR="00AC2E37">
        <w:rPr>
          <w:rFonts w:ascii="Arial" w:hAnsi="Arial" w:cs="Arial"/>
          <w:lang w:val="en-US"/>
        </w:rPr>
        <w:t>he subsequent court order dated 7 August 2023 was the ‘mediation referral order’</w:t>
      </w:r>
      <w:r w:rsidR="00B44A7E">
        <w:rPr>
          <w:rFonts w:ascii="Arial" w:hAnsi="Arial" w:cs="Arial"/>
          <w:lang w:val="en-US"/>
        </w:rPr>
        <w:t xml:space="preserve">, </w:t>
      </w:r>
      <w:r w:rsidR="002B019A">
        <w:rPr>
          <w:rFonts w:ascii="Arial" w:hAnsi="Arial" w:cs="Arial"/>
          <w:lang w:val="en-US"/>
        </w:rPr>
        <w:t xml:space="preserve">and that is </w:t>
      </w:r>
      <w:r w:rsidR="00AC2E37">
        <w:rPr>
          <w:rFonts w:ascii="Arial" w:hAnsi="Arial" w:cs="Arial"/>
          <w:lang w:val="en-US"/>
        </w:rPr>
        <w:t>when the matter was referred to mediation</w:t>
      </w:r>
      <w:r>
        <w:rPr>
          <w:rFonts w:ascii="Arial" w:hAnsi="Arial" w:cs="Arial"/>
          <w:lang w:val="en-US"/>
        </w:rPr>
        <w:t>.</w:t>
      </w:r>
    </w:p>
    <w:p w14:paraId="160B2668" w14:textId="77777777" w:rsidR="007B609A" w:rsidRPr="007B609A" w:rsidRDefault="007B609A" w:rsidP="002A6DF7">
      <w:pPr>
        <w:pStyle w:val="ListParagraph"/>
        <w:ind w:left="0"/>
        <w:rPr>
          <w:rFonts w:ascii="Arial" w:hAnsi="Arial" w:cs="Arial"/>
          <w:lang w:val="en-US"/>
        </w:rPr>
      </w:pPr>
    </w:p>
    <w:p w14:paraId="4A0D90FB" w14:textId="5DD936D0" w:rsidR="007B609A" w:rsidRDefault="00340AE4" w:rsidP="002A6DF7">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I</w:t>
      </w:r>
      <w:r w:rsidR="007B609A">
        <w:rPr>
          <w:rFonts w:ascii="Arial" w:hAnsi="Arial" w:cs="Arial"/>
          <w:lang w:val="en-US"/>
        </w:rPr>
        <w:t>n this instance, the ‘proceedings’ were suspended from 7 August 2023 to 18 September 2023</w:t>
      </w:r>
      <w:r>
        <w:rPr>
          <w:rFonts w:ascii="Arial" w:hAnsi="Arial" w:cs="Arial"/>
          <w:lang w:val="en-US"/>
        </w:rPr>
        <w:t>.</w:t>
      </w:r>
    </w:p>
    <w:p w14:paraId="057FB831" w14:textId="77777777" w:rsidR="007B609A" w:rsidRPr="007B609A" w:rsidRDefault="007B609A" w:rsidP="002A6DF7">
      <w:pPr>
        <w:pStyle w:val="ListParagraph"/>
        <w:ind w:left="0"/>
        <w:rPr>
          <w:rFonts w:ascii="Arial" w:hAnsi="Arial" w:cs="Arial"/>
          <w:lang w:val="en-US"/>
        </w:rPr>
      </w:pPr>
    </w:p>
    <w:p w14:paraId="5E81FA04" w14:textId="44F44DCA" w:rsidR="002255DF" w:rsidRDefault="00340AE4" w:rsidP="002A6DF7">
      <w:pPr>
        <w:pStyle w:val="ListParagraph"/>
        <w:numPr>
          <w:ilvl w:val="0"/>
          <w:numId w:val="5"/>
        </w:numPr>
        <w:spacing w:line="360" w:lineRule="auto"/>
        <w:ind w:left="0" w:firstLine="0"/>
        <w:jc w:val="both"/>
        <w:rPr>
          <w:rFonts w:ascii="Arial" w:hAnsi="Arial" w:cs="Arial"/>
          <w:lang w:val="en-US"/>
        </w:rPr>
      </w:pPr>
      <w:r>
        <w:rPr>
          <w:rFonts w:ascii="Arial" w:hAnsi="Arial" w:cs="Arial"/>
          <w:lang w:val="en-US"/>
        </w:rPr>
        <w:t>T</w:t>
      </w:r>
      <w:r w:rsidR="00AC2E37">
        <w:rPr>
          <w:rFonts w:ascii="Arial" w:hAnsi="Arial" w:cs="Arial"/>
          <w:lang w:val="en-US"/>
        </w:rPr>
        <w:t>he period</w:t>
      </w:r>
      <w:r w:rsidR="007B609A">
        <w:rPr>
          <w:rFonts w:ascii="Arial" w:hAnsi="Arial" w:cs="Arial"/>
          <w:lang w:val="en-US"/>
        </w:rPr>
        <w:t>s</w:t>
      </w:r>
      <w:r w:rsidR="00AC2E37">
        <w:rPr>
          <w:rFonts w:ascii="Arial" w:hAnsi="Arial" w:cs="Arial"/>
          <w:lang w:val="en-US"/>
        </w:rPr>
        <w:t xml:space="preserve"> from 14 July 2023</w:t>
      </w:r>
      <w:r w:rsidR="007B609A">
        <w:rPr>
          <w:rFonts w:ascii="Arial" w:hAnsi="Arial" w:cs="Arial"/>
          <w:lang w:val="en-US"/>
        </w:rPr>
        <w:t xml:space="preserve"> (</w:t>
      </w:r>
      <w:r w:rsidR="00AC2E37">
        <w:rPr>
          <w:rFonts w:ascii="Arial" w:hAnsi="Arial" w:cs="Arial"/>
          <w:lang w:val="en-US"/>
        </w:rPr>
        <w:t>when the pleadings were due</w:t>
      </w:r>
      <w:r w:rsidR="007B609A">
        <w:rPr>
          <w:rFonts w:ascii="Arial" w:hAnsi="Arial" w:cs="Arial"/>
          <w:lang w:val="en-US"/>
        </w:rPr>
        <w:t>)</w:t>
      </w:r>
      <w:r w:rsidR="00AC2E37">
        <w:rPr>
          <w:rFonts w:ascii="Arial" w:hAnsi="Arial" w:cs="Arial"/>
          <w:lang w:val="en-US"/>
        </w:rPr>
        <w:t xml:space="preserve"> to 7 August 2023</w:t>
      </w:r>
      <w:r w:rsidR="007B609A">
        <w:rPr>
          <w:rFonts w:ascii="Arial" w:hAnsi="Arial" w:cs="Arial"/>
          <w:lang w:val="en-US"/>
        </w:rPr>
        <w:t xml:space="preserve"> (when the matter was referred to mediation) and 18 September 2023 (when an order was made based on the mediation report) to 9 November 2023 (when the application was launched) </w:t>
      </w:r>
      <w:r w:rsidR="00AC2E37">
        <w:rPr>
          <w:rFonts w:ascii="Arial" w:hAnsi="Arial" w:cs="Arial"/>
          <w:lang w:val="en-US"/>
        </w:rPr>
        <w:t>require explanation together with an explanation why the pleadings were not delivered on 14 July 2023</w:t>
      </w:r>
      <w:r w:rsidR="007B609A">
        <w:rPr>
          <w:rFonts w:ascii="Arial" w:hAnsi="Arial" w:cs="Arial"/>
          <w:lang w:val="en-US"/>
        </w:rPr>
        <w:t>.</w:t>
      </w:r>
    </w:p>
    <w:p w14:paraId="0BFA3500" w14:textId="77777777" w:rsidR="007B609A" w:rsidRPr="007B609A" w:rsidRDefault="007B609A" w:rsidP="002A6DF7">
      <w:pPr>
        <w:pStyle w:val="ListParagraph"/>
        <w:ind w:left="0"/>
        <w:rPr>
          <w:rFonts w:ascii="Arial" w:hAnsi="Arial" w:cs="Arial"/>
          <w:lang w:val="en-US"/>
        </w:rPr>
      </w:pPr>
    </w:p>
    <w:p w14:paraId="468F9F22" w14:textId="755F916B" w:rsidR="00DB4F61" w:rsidRPr="00DB4F61" w:rsidRDefault="00DB4F61"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court first considers the explanation for the default.</w:t>
      </w:r>
    </w:p>
    <w:p w14:paraId="07D69FE0" w14:textId="77777777" w:rsidR="0000282B" w:rsidRPr="0000282B" w:rsidRDefault="0000282B" w:rsidP="002A6DF7">
      <w:pPr>
        <w:pStyle w:val="ListParagraph"/>
        <w:ind w:left="0"/>
        <w:rPr>
          <w:rFonts w:ascii="Arial" w:eastAsia="Calibri" w:hAnsi="Arial" w:cs="Arial"/>
          <w:bCs/>
        </w:rPr>
      </w:pPr>
    </w:p>
    <w:p w14:paraId="2C5F0CEC" w14:textId="0613981C" w:rsidR="00217F9E" w:rsidRDefault="00217F9E"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On 14 July 2023</w:t>
      </w:r>
      <w:r w:rsidR="002B019A">
        <w:rPr>
          <w:rFonts w:ascii="Arial" w:hAnsi="Arial" w:cs="Arial"/>
          <w:lang w:val="en-US"/>
        </w:rPr>
        <w:t xml:space="preserve"> (</w:t>
      </w:r>
      <w:r>
        <w:rPr>
          <w:rFonts w:ascii="Arial" w:hAnsi="Arial" w:cs="Arial"/>
          <w:lang w:val="en-US"/>
        </w:rPr>
        <w:t>the due date for the pleadings</w:t>
      </w:r>
      <w:r w:rsidR="002B019A">
        <w:rPr>
          <w:rFonts w:ascii="Arial" w:hAnsi="Arial" w:cs="Arial"/>
          <w:lang w:val="en-US"/>
        </w:rPr>
        <w:t>)</w:t>
      </w:r>
      <w:r>
        <w:rPr>
          <w:rFonts w:ascii="Arial" w:hAnsi="Arial" w:cs="Arial"/>
          <w:lang w:val="en-US"/>
        </w:rPr>
        <w:t>, the plaintiff’s legal practitioner telephonically approached the defendant’s legal practitioner</w:t>
      </w:r>
      <w:r w:rsidR="00340AE4">
        <w:rPr>
          <w:rFonts w:ascii="Arial" w:hAnsi="Arial" w:cs="Arial"/>
          <w:lang w:val="en-US"/>
        </w:rPr>
        <w:t xml:space="preserve">. The </w:t>
      </w:r>
      <w:r>
        <w:rPr>
          <w:rFonts w:ascii="Arial" w:hAnsi="Arial" w:cs="Arial"/>
          <w:lang w:val="en-US"/>
        </w:rPr>
        <w:t>inability to deliver the pleadings on 14 July 2023</w:t>
      </w:r>
      <w:r w:rsidR="00340AE4">
        <w:rPr>
          <w:rFonts w:ascii="Arial" w:hAnsi="Arial" w:cs="Arial"/>
          <w:lang w:val="en-US"/>
        </w:rPr>
        <w:t xml:space="preserve"> was expressed. An engagement followed </w:t>
      </w:r>
      <w:r>
        <w:rPr>
          <w:rFonts w:ascii="Arial" w:hAnsi="Arial" w:cs="Arial"/>
          <w:lang w:val="en-US"/>
        </w:rPr>
        <w:t xml:space="preserve">regarding </w:t>
      </w:r>
      <w:r w:rsidR="00E81D39">
        <w:rPr>
          <w:rFonts w:ascii="Arial" w:hAnsi="Arial" w:cs="Arial"/>
          <w:lang w:val="en-US"/>
        </w:rPr>
        <w:t>an extension of time</w:t>
      </w:r>
      <w:r w:rsidR="002B019A">
        <w:rPr>
          <w:rFonts w:ascii="Arial" w:hAnsi="Arial" w:cs="Arial"/>
          <w:lang w:val="en-US"/>
        </w:rPr>
        <w:t>, a condonation application to file the pleadings, and</w:t>
      </w:r>
      <w:r w:rsidR="00340AE4">
        <w:rPr>
          <w:rFonts w:ascii="Arial" w:hAnsi="Arial" w:cs="Arial"/>
          <w:lang w:val="en-US"/>
        </w:rPr>
        <w:t xml:space="preserve"> an </w:t>
      </w:r>
      <w:r>
        <w:rPr>
          <w:rFonts w:ascii="Arial" w:hAnsi="Arial" w:cs="Arial"/>
          <w:lang w:val="en-US"/>
        </w:rPr>
        <w:t xml:space="preserve">intended </w:t>
      </w:r>
      <w:r w:rsidR="00340AE4">
        <w:rPr>
          <w:rFonts w:ascii="Arial" w:hAnsi="Arial" w:cs="Arial"/>
          <w:lang w:val="en-US"/>
        </w:rPr>
        <w:t xml:space="preserve">amendment </w:t>
      </w:r>
      <w:r>
        <w:rPr>
          <w:rFonts w:ascii="Arial" w:hAnsi="Arial" w:cs="Arial"/>
          <w:lang w:val="en-US"/>
        </w:rPr>
        <w:t>and exception. The plaintiff relied on a letter dated 18 July 2023 attached to the founding affidavit. Both part</w:t>
      </w:r>
      <w:r w:rsidR="001B3BED">
        <w:rPr>
          <w:rFonts w:ascii="Arial" w:hAnsi="Arial" w:cs="Arial"/>
          <w:lang w:val="en-US"/>
        </w:rPr>
        <w:t>ies’</w:t>
      </w:r>
      <w:r>
        <w:rPr>
          <w:rFonts w:ascii="Arial" w:hAnsi="Arial" w:cs="Arial"/>
          <w:lang w:val="en-US"/>
        </w:rPr>
        <w:t xml:space="preserve"> counsel submitted that the court should have regard to that letter. </w:t>
      </w:r>
    </w:p>
    <w:p w14:paraId="557F89FB" w14:textId="77777777" w:rsidR="00217F9E" w:rsidRPr="00217F9E" w:rsidRDefault="00217F9E" w:rsidP="002A6DF7">
      <w:pPr>
        <w:pStyle w:val="ListParagraph"/>
        <w:ind w:left="0"/>
        <w:rPr>
          <w:rFonts w:ascii="Arial" w:hAnsi="Arial" w:cs="Arial"/>
          <w:lang w:val="en-US"/>
        </w:rPr>
      </w:pPr>
    </w:p>
    <w:p w14:paraId="6259A887" w14:textId="5776249A" w:rsidR="00C840CC" w:rsidRDefault="00E81D39"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In t</w:t>
      </w:r>
      <w:r w:rsidR="00217F9E">
        <w:rPr>
          <w:rFonts w:ascii="Arial" w:hAnsi="Arial" w:cs="Arial"/>
          <w:lang w:val="en-US"/>
        </w:rPr>
        <w:t>he letter dated 18 July 2023</w:t>
      </w:r>
      <w:r>
        <w:rPr>
          <w:rFonts w:ascii="Arial" w:hAnsi="Arial" w:cs="Arial"/>
          <w:lang w:val="en-US"/>
        </w:rPr>
        <w:t xml:space="preserve">, </w:t>
      </w:r>
      <w:r w:rsidR="00217F9E">
        <w:rPr>
          <w:rFonts w:ascii="Arial" w:hAnsi="Arial" w:cs="Arial"/>
          <w:lang w:val="en-US"/>
        </w:rPr>
        <w:t xml:space="preserve">the </w:t>
      </w:r>
      <w:r>
        <w:rPr>
          <w:rFonts w:ascii="Arial" w:hAnsi="Arial" w:cs="Arial"/>
          <w:lang w:val="en-US"/>
        </w:rPr>
        <w:t xml:space="preserve">reason for the engagement on 14 July 2024 was that the </w:t>
      </w:r>
      <w:r w:rsidR="00217F9E">
        <w:rPr>
          <w:rFonts w:ascii="Arial" w:hAnsi="Arial" w:cs="Arial"/>
          <w:lang w:val="en-US"/>
        </w:rPr>
        <w:t>plaintiff’s legal practitione</w:t>
      </w:r>
      <w:r>
        <w:rPr>
          <w:rFonts w:ascii="Arial" w:hAnsi="Arial" w:cs="Arial"/>
          <w:lang w:val="en-US"/>
        </w:rPr>
        <w:t>rs were still awaiting outstanding documents from the</w:t>
      </w:r>
      <w:r w:rsidR="001B3BED">
        <w:rPr>
          <w:rFonts w:ascii="Arial" w:hAnsi="Arial" w:cs="Arial"/>
          <w:lang w:val="en-US"/>
        </w:rPr>
        <w:t xml:space="preserve"> plaintiff</w:t>
      </w:r>
      <w:r>
        <w:rPr>
          <w:rFonts w:ascii="Arial" w:hAnsi="Arial" w:cs="Arial"/>
          <w:lang w:val="en-US"/>
        </w:rPr>
        <w:t>. The plaintiff did not explain why the engagement only happened on the due date.</w:t>
      </w:r>
    </w:p>
    <w:p w14:paraId="24A31C49" w14:textId="77777777" w:rsidR="00C840CC" w:rsidRPr="00C840CC" w:rsidRDefault="00C840CC" w:rsidP="002A6DF7">
      <w:pPr>
        <w:pStyle w:val="ListParagraph"/>
        <w:ind w:left="0"/>
        <w:rPr>
          <w:rFonts w:ascii="Arial" w:hAnsi="Arial" w:cs="Arial"/>
          <w:lang w:val="en-US"/>
        </w:rPr>
      </w:pPr>
    </w:p>
    <w:p w14:paraId="3B1500A9" w14:textId="1F10C92D" w:rsidR="00890685" w:rsidRDefault="00C840C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court finds that the explanation for the default to deliver the pleadings on 14 July 2023 is </w:t>
      </w:r>
      <w:r w:rsidR="001B3BED">
        <w:rPr>
          <w:rFonts w:ascii="Arial" w:hAnsi="Arial" w:cs="Arial"/>
          <w:lang w:val="en-US"/>
        </w:rPr>
        <w:t>poor</w:t>
      </w:r>
      <w:r>
        <w:rPr>
          <w:rFonts w:ascii="Arial" w:hAnsi="Arial" w:cs="Arial"/>
          <w:lang w:val="en-US"/>
        </w:rPr>
        <w:t>, and little weight is attached.</w:t>
      </w:r>
    </w:p>
    <w:p w14:paraId="2FC73314" w14:textId="77777777" w:rsidR="00890685" w:rsidRPr="00890685" w:rsidRDefault="00890685" w:rsidP="002A6DF7">
      <w:pPr>
        <w:pStyle w:val="ListParagraph"/>
        <w:ind w:left="0"/>
        <w:rPr>
          <w:rFonts w:ascii="Arial" w:hAnsi="Arial" w:cs="Arial"/>
          <w:lang w:val="en-US"/>
        </w:rPr>
      </w:pPr>
    </w:p>
    <w:p w14:paraId="0D880FAA" w14:textId="49E221A0" w:rsidR="00E81D39" w:rsidRDefault="00890685"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court now considers the delay in launching the application. </w:t>
      </w:r>
      <w:r w:rsidR="00E81D39">
        <w:rPr>
          <w:rFonts w:ascii="Arial" w:hAnsi="Arial" w:cs="Arial"/>
          <w:lang w:val="en-US"/>
        </w:rPr>
        <w:t xml:space="preserve"> </w:t>
      </w:r>
    </w:p>
    <w:p w14:paraId="37CD9598" w14:textId="77777777" w:rsidR="00E81D39" w:rsidRPr="00C840CC" w:rsidRDefault="00E81D39" w:rsidP="002A6DF7">
      <w:pPr>
        <w:pStyle w:val="ListParagraph"/>
        <w:ind w:left="0"/>
        <w:rPr>
          <w:rFonts w:ascii="Arial" w:hAnsi="Arial" w:cs="Arial"/>
        </w:rPr>
      </w:pPr>
    </w:p>
    <w:p w14:paraId="2C2F8DD5" w14:textId="64228131" w:rsidR="00217F9E" w:rsidRDefault="00E81D39"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It is further stated in the 18 July 2023 letter that, upon receipt of the </w:t>
      </w:r>
      <w:r w:rsidR="009D03C9">
        <w:rPr>
          <w:rFonts w:ascii="Arial" w:hAnsi="Arial" w:cs="Arial"/>
          <w:lang w:val="en-US"/>
        </w:rPr>
        <w:t xml:space="preserve">outstanding </w:t>
      </w:r>
      <w:r>
        <w:rPr>
          <w:rFonts w:ascii="Arial" w:hAnsi="Arial" w:cs="Arial"/>
          <w:lang w:val="en-US"/>
        </w:rPr>
        <w:t xml:space="preserve">documents on 18 July 2023, the plaintiff’s legal practitioners </w:t>
      </w:r>
      <w:proofErr w:type="spellStart"/>
      <w:r>
        <w:rPr>
          <w:rFonts w:ascii="Arial" w:hAnsi="Arial" w:cs="Arial"/>
          <w:lang w:val="en-US"/>
        </w:rPr>
        <w:t>realised</w:t>
      </w:r>
      <w:proofErr w:type="spellEnd"/>
      <w:r>
        <w:rPr>
          <w:rFonts w:ascii="Arial" w:hAnsi="Arial" w:cs="Arial"/>
          <w:lang w:val="en-US"/>
        </w:rPr>
        <w:t xml:space="preserve"> that they would be unable to file the pleadings as the plaintiff intended to apply for rectification of the lease agreement and amend its papers and</w:t>
      </w:r>
      <w:r w:rsidR="00C840CC">
        <w:rPr>
          <w:rFonts w:ascii="Arial" w:hAnsi="Arial" w:cs="Arial"/>
          <w:lang w:val="en-US"/>
        </w:rPr>
        <w:t xml:space="preserve"> that</w:t>
      </w:r>
      <w:r>
        <w:rPr>
          <w:rFonts w:ascii="Arial" w:hAnsi="Arial" w:cs="Arial"/>
          <w:lang w:val="en-US"/>
        </w:rPr>
        <w:t xml:space="preserve">, having considered the claim in reconvention, ‘it also further became apparent’ that it is </w:t>
      </w:r>
      <w:proofErr w:type="spellStart"/>
      <w:r>
        <w:rPr>
          <w:rFonts w:ascii="Arial" w:hAnsi="Arial" w:cs="Arial"/>
          <w:lang w:val="en-US"/>
        </w:rPr>
        <w:t>ex</w:t>
      </w:r>
      <w:r w:rsidR="00C840CC">
        <w:rPr>
          <w:rFonts w:ascii="Arial" w:hAnsi="Arial" w:cs="Arial"/>
          <w:lang w:val="en-US"/>
        </w:rPr>
        <w:t>cipiable</w:t>
      </w:r>
      <w:proofErr w:type="spellEnd"/>
      <w:r>
        <w:rPr>
          <w:rFonts w:ascii="Arial" w:hAnsi="Arial" w:cs="Arial"/>
          <w:lang w:val="en-US"/>
        </w:rPr>
        <w:t xml:space="preserve">. There is a contradiction between the founding affidavit and the 18 July 2023 letter. According to the founding affidavit, the engagement for the amendment and exception </w:t>
      </w:r>
      <w:r w:rsidR="001B3BED">
        <w:rPr>
          <w:rFonts w:ascii="Arial" w:hAnsi="Arial" w:cs="Arial"/>
          <w:lang w:val="en-US"/>
        </w:rPr>
        <w:t>happened</w:t>
      </w:r>
      <w:r>
        <w:rPr>
          <w:rFonts w:ascii="Arial" w:hAnsi="Arial" w:cs="Arial"/>
          <w:lang w:val="en-US"/>
        </w:rPr>
        <w:t xml:space="preserve"> on 14 July 2023. According to the 18 July 2023 letter, the need for an amendment and the exception </w:t>
      </w:r>
      <w:r w:rsidR="00C840CC">
        <w:rPr>
          <w:rFonts w:ascii="Arial" w:hAnsi="Arial" w:cs="Arial"/>
          <w:lang w:val="en-US"/>
        </w:rPr>
        <w:t>only came to light after 14 July 2023</w:t>
      </w:r>
      <w:r w:rsidR="009D03C9">
        <w:rPr>
          <w:rFonts w:ascii="Arial" w:hAnsi="Arial" w:cs="Arial"/>
          <w:lang w:val="en-US"/>
        </w:rPr>
        <w:t>. Due to the short period of time between 14 and 18 July 2023 and the wording of the founding affidavit, the court finds that, for the purpose of determining th</w:t>
      </w:r>
      <w:r w:rsidR="001B4782">
        <w:rPr>
          <w:rFonts w:ascii="Arial" w:hAnsi="Arial" w:cs="Arial"/>
          <w:lang w:val="en-US"/>
        </w:rPr>
        <w:t>e condonation</w:t>
      </w:r>
      <w:r w:rsidR="009D03C9">
        <w:rPr>
          <w:rFonts w:ascii="Arial" w:hAnsi="Arial" w:cs="Arial"/>
          <w:lang w:val="en-US"/>
        </w:rPr>
        <w:t xml:space="preserve"> application, not much turns on that contradiction. </w:t>
      </w:r>
      <w:r>
        <w:rPr>
          <w:rFonts w:ascii="Arial" w:hAnsi="Arial" w:cs="Arial"/>
          <w:lang w:val="en-US"/>
        </w:rPr>
        <w:t xml:space="preserve">   </w:t>
      </w:r>
    </w:p>
    <w:p w14:paraId="3760E558" w14:textId="77777777" w:rsidR="00217F9E" w:rsidRPr="00217F9E" w:rsidRDefault="00217F9E" w:rsidP="002A6DF7">
      <w:pPr>
        <w:pStyle w:val="ListParagraph"/>
        <w:ind w:left="0"/>
        <w:rPr>
          <w:rFonts w:ascii="Arial" w:hAnsi="Arial" w:cs="Arial"/>
          <w:lang w:val="en-US"/>
        </w:rPr>
      </w:pPr>
    </w:p>
    <w:p w14:paraId="7210934F" w14:textId="158CACF0" w:rsidR="00C840CC" w:rsidRDefault="00C840C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In the 18 July 2023 letter, a meeting was requested</w:t>
      </w:r>
      <w:r w:rsidR="009F1C38">
        <w:rPr>
          <w:rFonts w:ascii="Arial" w:hAnsi="Arial" w:cs="Arial"/>
          <w:lang w:val="en-US"/>
        </w:rPr>
        <w:t>. I</w:t>
      </w:r>
      <w:r>
        <w:rPr>
          <w:rFonts w:ascii="Arial" w:hAnsi="Arial" w:cs="Arial"/>
          <w:lang w:val="en-US"/>
        </w:rPr>
        <w:t>f a response w</w:t>
      </w:r>
      <w:r w:rsidR="00653126">
        <w:rPr>
          <w:rFonts w:ascii="Arial" w:hAnsi="Arial" w:cs="Arial"/>
          <w:lang w:val="en-US"/>
        </w:rPr>
        <w:t>as</w:t>
      </w:r>
      <w:r>
        <w:rPr>
          <w:rFonts w:ascii="Arial" w:hAnsi="Arial" w:cs="Arial"/>
          <w:lang w:val="en-US"/>
        </w:rPr>
        <w:t xml:space="preserve"> not received by 21 July 2023, the plaintiff’s legal practitioners would launch ‘the envisaged interlocutory applications on an unopposed </w:t>
      </w:r>
      <w:proofErr w:type="gramStart"/>
      <w:r>
        <w:rPr>
          <w:rFonts w:ascii="Arial" w:hAnsi="Arial" w:cs="Arial"/>
          <w:lang w:val="en-US"/>
        </w:rPr>
        <w:t>basis’</w:t>
      </w:r>
      <w:proofErr w:type="gramEnd"/>
      <w:r>
        <w:rPr>
          <w:rFonts w:ascii="Arial" w:hAnsi="Arial" w:cs="Arial"/>
          <w:lang w:val="en-US"/>
        </w:rPr>
        <w:t xml:space="preserve">. </w:t>
      </w:r>
    </w:p>
    <w:p w14:paraId="00F044B9" w14:textId="77777777" w:rsidR="00C840CC" w:rsidRPr="00C840CC" w:rsidRDefault="00C840CC" w:rsidP="002A6DF7">
      <w:pPr>
        <w:pStyle w:val="ListParagraph"/>
        <w:ind w:left="0"/>
        <w:rPr>
          <w:rFonts w:ascii="Arial" w:hAnsi="Arial" w:cs="Arial"/>
          <w:lang w:val="en-US"/>
        </w:rPr>
      </w:pPr>
    </w:p>
    <w:p w14:paraId="07ED3934" w14:textId="3972029E" w:rsidR="00217F9E" w:rsidRDefault="00C840C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A</w:t>
      </w:r>
      <w:r w:rsidR="00217F9E">
        <w:rPr>
          <w:rFonts w:ascii="Arial" w:hAnsi="Arial" w:cs="Arial"/>
          <w:lang w:val="en-US"/>
        </w:rPr>
        <w:t xml:space="preserve"> </w:t>
      </w:r>
      <w:r>
        <w:rPr>
          <w:rFonts w:ascii="Arial" w:hAnsi="Arial" w:cs="Arial"/>
          <w:lang w:val="en-US"/>
        </w:rPr>
        <w:t xml:space="preserve">meeting was </w:t>
      </w:r>
      <w:r w:rsidR="00217F9E">
        <w:rPr>
          <w:rFonts w:ascii="Arial" w:hAnsi="Arial" w:cs="Arial"/>
          <w:lang w:val="en-US"/>
        </w:rPr>
        <w:t>held on 27 July 2023</w:t>
      </w:r>
      <w:r>
        <w:rPr>
          <w:rFonts w:ascii="Arial" w:hAnsi="Arial" w:cs="Arial"/>
          <w:lang w:val="en-US"/>
        </w:rPr>
        <w:t xml:space="preserve">. </w:t>
      </w:r>
      <w:r w:rsidR="00890685">
        <w:rPr>
          <w:rFonts w:ascii="Arial" w:hAnsi="Arial" w:cs="Arial"/>
          <w:lang w:val="en-US"/>
        </w:rPr>
        <w:t>It was resolved that t</w:t>
      </w:r>
      <w:r w:rsidR="00217F9E">
        <w:rPr>
          <w:rFonts w:ascii="Arial" w:hAnsi="Arial" w:cs="Arial"/>
          <w:lang w:val="en-US"/>
        </w:rPr>
        <w:t>he defendant</w:t>
      </w:r>
      <w:r>
        <w:rPr>
          <w:rFonts w:ascii="Arial" w:hAnsi="Arial" w:cs="Arial"/>
          <w:lang w:val="en-US"/>
        </w:rPr>
        <w:t xml:space="preserve"> </w:t>
      </w:r>
      <w:r w:rsidR="00217F9E">
        <w:rPr>
          <w:rFonts w:ascii="Arial" w:hAnsi="Arial" w:cs="Arial"/>
          <w:lang w:val="en-US"/>
        </w:rPr>
        <w:t xml:space="preserve">would oppose the </w:t>
      </w:r>
      <w:r w:rsidR="00890685">
        <w:rPr>
          <w:rFonts w:ascii="Arial" w:hAnsi="Arial" w:cs="Arial"/>
          <w:lang w:val="en-US"/>
        </w:rPr>
        <w:t xml:space="preserve">‘envisaged </w:t>
      </w:r>
      <w:r w:rsidR="00217F9E">
        <w:rPr>
          <w:rFonts w:ascii="Arial" w:hAnsi="Arial" w:cs="Arial"/>
          <w:lang w:val="en-US"/>
        </w:rPr>
        <w:t>application</w:t>
      </w:r>
      <w:r w:rsidR="00890685">
        <w:rPr>
          <w:rFonts w:ascii="Arial" w:hAnsi="Arial" w:cs="Arial"/>
          <w:lang w:val="en-US"/>
        </w:rPr>
        <w:t xml:space="preserve">’. The parties filed a r 32(10) report. </w:t>
      </w:r>
      <w:r w:rsidR="00890685" w:rsidRPr="00730FE5">
        <w:rPr>
          <w:rFonts w:ascii="Arial" w:hAnsi="Arial" w:cs="Arial"/>
          <w:lang w:val="en-US"/>
        </w:rPr>
        <w:t xml:space="preserve">It was reported that the </w:t>
      </w:r>
      <w:r w:rsidR="00890685">
        <w:rPr>
          <w:rFonts w:ascii="Arial" w:hAnsi="Arial" w:cs="Arial"/>
          <w:lang w:val="en-US"/>
        </w:rPr>
        <w:t>p</w:t>
      </w:r>
      <w:r w:rsidR="00890685" w:rsidRPr="00730FE5">
        <w:rPr>
          <w:rFonts w:ascii="Arial" w:hAnsi="Arial" w:cs="Arial"/>
          <w:lang w:val="en-US"/>
        </w:rPr>
        <w:t xml:space="preserve">laintiff’s counsel engaged the </w:t>
      </w:r>
      <w:r w:rsidR="00890685">
        <w:rPr>
          <w:rFonts w:ascii="Arial" w:hAnsi="Arial" w:cs="Arial"/>
          <w:lang w:val="en-US"/>
        </w:rPr>
        <w:t>d</w:t>
      </w:r>
      <w:r w:rsidR="00890685" w:rsidRPr="00730FE5">
        <w:rPr>
          <w:rFonts w:ascii="Arial" w:hAnsi="Arial" w:cs="Arial"/>
          <w:lang w:val="en-US"/>
        </w:rPr>
        <w:t xml:space="preserve">efendant’s counsel on 14 July 2023 for an extension of time and condonation </w:t>
      </w:r>
      <w:r w:rsidR="00890685">
        <w:rPr>
          <w:rFonts w:ascii="Arial" w:hAnsi="Arial" w:cs="Arial"/>
          <w:lang w:val="en-US"/>
        </w:rPr>
        <w:t>‘</w:t>
      </w:r>
      <w:r w:rsidR="00890685" w:rsidRPr="00730FE5">
        <w:rPr>
          <w:rFonts w:ascii="Arial" w:hAnsi="Arial" w:cs="Arial"/>
          <w:lang w:val="en-US"/>
        </w:rPr>
        <w:t>to file</w:t>
      </w:r>
      <w:r w:rsidR="00890685">
        <w:rPr>
          <w:rFonts w:ascii="Arial" w:hAnsi="Arial" w:cs="Arial"/>
          <w:lang w:val="en-US"/>
        </w:rPr>
        <w:t>’</w:t>
      </w:r>
      <w:r w:rsidR="00890685" w:rsidRPr="00730FE5">
        <w:rPr>
          <w:rFonts w:ascii="Arial" w:hAnsi="Arial" w:cs="Arial"/>
          <w:lang w:val="en-US"/>
        </w:rPr>
        <w:t xml:space="preserve"> on 18 July 2023</w:t>
      </w:r>
      <w:r w:rsidR="00890685">
        <w:rPr>
          <w:rFonts w:ascii="Arial" w:hAnsi="Arial" w:cs="Arial"/>
          <w:lang w:val="en-US"/>
        </w:rPr>
        <w:t>,</w:t>
      </w:r>
      <w:r w:rsidR="00890685" w:rsidRPr="00730FE5">
        <w:rPr>
          <w:rFonts w:ascii="Arial" w:hAnsi="Arial" w:cs="Arial"/>
          <w:lang w:val="en-US"/>
        </w:rPr>
        <w:t xml:space="preserve"> </w:t>
      </w:r>
      <w:r w:rsidR="00890685">
        <w:rPr>
          <w:rFonts w:ascii="Arial" w:hAnsi="Arial" w:cs="Arial"/>
          <w:lang w:val="en-US"/>
        </w:rPr>
        <w:t xml:space="preserve">which engagement was </w:t>
      </w:r>
      <w:r w:rsidR="00890685" w:rsidRPr="00730FE5">
        <w:rPr>
          <w:rFonts w:ascii="Arial" w:hAnsi="Arial" w:cs="Arial"/>
          <w:lang w:val="en-US"/>
        </w:rPr>
        <w:t>followed by formal correspondence on 18 July 2023 and a meeting on 27 July 2023. It was resolved that</w:t>
      </w:r>
      <w:r w:rsidR="00890685">
        <w:rPr>
          <w:rFonts w:ascii="Arial" w:hAnsi="Arial" w:cs="Arial"/>
          <w:lang w:val="en-US"/>
        </w:rPr>
        <w:t xml:space="preserve"> </w:t>
      </w:r>
      <w:r w:rsidR="00890685" w:rsidRPr="00CE40E1">
        <w:rPr>
          <w:rFonts w:ascii="Arial" w:hAnsi="Arial" w:cs="Arial"/>
          <w:lang w:val="en-US"/>
        </w:rPr>
        <w:t>the plaintiff w</w:t>
      </w:r>
      <w:r w:rsidR="00890685">
        <w:rPr>
          <w:rFonts w:ascii="Arial" w:hAnsi="Arial" w:cs="Arial"/>
          <w:lang w:val="en-US"/>
        </w:rPr>
        <w:t>ould file a condonation application and an application to rectify the lease agreement</w:t>
      </w:r>
      <w:r w:rsidR="00B44A7E">
        <w:rPr>
          <w:rFonts w:ascii="Arial" w:hAnsi="Arial" w:cs="Arial"/>
          <w:lang w:val="en-US"/>
        </w:rPr>
        <w:t xml:space="preserve">. It was also resolved that </w:t>
      </w:r>
      <w:r w:rsidR="00890685">
        <w:rPr>
          <w:rFonts w:ascii="Arial" w:hAnsi="Arial" w:cs="Arial"/>
          <w:lang w:val="en-US"/>
        </w:rPr>
        <w:t>the plaintiff intended to raise an exception to the claim in reconvention, and the defendant would</w:t>
      </w:r>
      <w:r w:rsidR="00890685" w:rsidRPr="00CE40E1">
        <w:rPr>
          <w:rFonts w:ascii="Arial" w:hAnsi="Arial" w:cs="Arial"/>
          <w:lang w:val="en-US"/>
        </w:rPr>
        <w:t xml:space="preserve"> oppose the envisaged applications</w:t>
      </w:r>
      <w:r w:rsidR="00890685">
        <w:rPr>
          <w:rFonts w:ascii="Arial" w:hAnsi="Arial" w:cs="Arial"/>
          <w:lang w:val="en-US"/>
        </w:rPr>
        <w:t>.</w:t>
      </w:r>
    </w:p>
    <w:p w14:paraId="53618392" w14:textId="77777777" w:rsidR="00890685" w:rsidRPr="00890685" w:rsidRDefault="00890685" w:rsidP="002A6DF7">
      <w:pPr>
        <w:pStyle w:val="ListParagraph"/>
        <w:ind w:left="0"/>
        <w:rPr>
          <w:rFonts w:ascii="Arial" w:hAnsi="Arial" w:cs="Arial"/>
          <w:lang w:val="en-US"/>
        </w:rPr>
      </w:pPr>
    </w:p>
    <w:p w14:paraId="57939254" w14:textId="03E19AA0" w:rsidR="00890685" w:rsidRPr="00A8299E" w:rsidRDefault="00890685"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application was only launched on 9 November 2023, almost four months after the default. </w:t>
      </w:r>
    </w:p>
    <w:p w14:paraId="32B832FE" w14:textId="77777777" w:rsidR="00217F9E" w:rsidRPr="00A8299E" w:rsidRDefault="00217F9E" w:rsidP="002A6DF7">
      <w:pPr>
        <w:pStyle w:val="ListParagraph"/>
        <w:ind w:left="0"/>
        <w:rPr>
          <w:rFonts w:ascii="Arial" w:eastAsia="Calibri" w:hAnsi="Arial" w:cs="Arial"/>
          <w:bCs/>
        </w:rPr>
      </w:pPr>
    </w:p>
    <w:p w14:paraId="71ED4C9C" w14:textId="60F3D5B1" w:rsidR="0000201C" w:rsidRDefault="00217F9E"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lastRenderedPageBreak/>
        <w:t xml:space="preserve">The plaintiff’s deponent </w:t>
      </w:r>
      <w:r w:rsidR="00890685">
        <w:rPr>
          <w:rFonts w:ascii="Arial" w:hAnsi="Arial" w:cs="Arial"/>
          <w:lang w:val="en-US"/>
        </w:rPr>
        <w:t xml:space="preserve">explained the </w:t>
      </w:r>
      <w:r>
        <w:rPr>
          <w:rFonts w:ascii="Arial" w:hAnsi="Arial" w:cs="Arial"/>
          <w:lang w:val="en-US"/>
        </w:rPr>
        <w:t>delay in launching the application</w:t>
      </w:r>
      <w:r w:rsidR="00890685">
        <w:rPr>
          <w:rFonts w:ascii="Arial" w:hAnsi="Arial" w:cs="Arial"/>
          <w:lang w:val="en-US"/>
        </w:rPr>
        <w:t xml:space="preserve"> as follows. It was </w:t>
      </w:r>
      <w:r>
        <w:rPr>
          <w:rFonts w:ascii="Arial" w:hAnsi="Arial" w:cs="Arial"/>
          <w:lang w:val="en-US"/>
        </w:rPr>
        <w:t xml:space="preserve">firstly because </w:t>
      </w:r>
      <w:r w:rsidR="00890685">
        <w:rPr>
          <w:rFonts w:ascii="Arial" w:hAnsi="Arial" w:cs="Arial"/>
          <w:lang w:val="en-US"/>
        </w:rPr>
        <w:t>the parties</w:t>
      </w:r>
      <w:r w:rsidR="0000201C">
        <w:rPr>
          <w:rFonts w:ascii="Arial" w:hAnsi="Arial" w:cs="Arial"/>
          <w:lang w:val="en-US"/>
        </w:rPr>
        <w:t xml:space="preserve">, </w:t>
      </w:r>
      <w:r>
        <w:rPr>
          <w:rFonts w:ascii="Arial" w:hAnsi="Arial" w:cs="Arial"/>
          <w:lang w:val="en-US"/>
        </w:rPr>
        <w:t>at the meeting of 27 July 2023</w:t>
      </w:r>
      <w:r w:rsidR="0000201C">
        <w:rPr>
          <w:rFonts w:ascii="Arial" w:hAnsi="Arial" w:cs="Arial"/>
          <w:lang w:val="en-US"/>
        </w:rPr>
        <w:t xml:space="preserve">, to curb costs and in hopes of a settlement, agreed ‘to first attempt to mediate the matter’ </w:t>
      </w:r>
      <w:r>
        <w:rPr>
          <w:rFonts w:ascii="Arial" w:hAnsi="Arial" w:cs="Arial"/>
          <w:lang w:val="en-US"/>
        </w:rPr>
        <w:t xml:space="preserve">before launching the application. The defendant’s deponent answered that the agreement to mediate had nothing to do with a failure to comply with a court order. The plaintiff’s first explanation for the delay in launching the application is </w:t>
      </w:r>
      <w:r w:rsidR="001B3BED">
        <w:rPr>
          <w:rFonts w:ascii="Arial" w:hAnsi="Arial" w:cs="Arial"/>
          <w:lang w:val="en-US"/>
        </w:rPr>
        <w:t>contradicted</w:t>
      </w:r>
      <w:r>
        <w:rPr>
          <w:rFonts w:ascii="Arial" w:hAnsi="Arial" w:cs="Arial"/>
          <w:lang w:val="en-US"/>
        </w:rPr>
        <w:t xml:space="preserve"> by the joint r 32(10) report dated 1 August 2023 whereby it was reported that the parties resolved the plaintiff would, amongst others, file a condonation application</w:t>
      </w:r>
      <w:r w:rsidR="0000201C">
        <w:rPr>
          <w:rFonts w:ascii="Arial" w:hAnsi="Arial" w:cs="Arial"/>
          <w:lang w:val="en-US"/>
        </w:rPr>
        <w:t>, which it did not</w:t>
      </w:r>
      <w:r w:rsidR="001B3BED">
        <w:rPr>
          <w:rFonts w:ascii="Arial" w:hAnsi="Arial" w:cs="Arial"/>
          <w:lang w:val="en-US"/>
        </w:rPr>
        <w:t xml:space="preserve"> </w:t>
      </w:r>
      <w:r w:rsidR="002B019A">
        <w:rPr>
          <w:rFonts w:ascii="Arial" w:hAnsi="Arial" w:cs="Arial"/>
          <w:lang w:val="en-US"/>
        </w:rPr>
        <w:t xml:space="preserve">do </w:t>
      </w:r>
      <w:r w:rsidR="001B3BED">
        <w:rPr>
          <w:rFonts w:ascii="Arial" w:hAnsi="Arial" w:cs="Arial"/>
          <w:lang w:val="en-US"/>
        </w:rPr>
        <w:t>at the time</w:t>
      </w:r>
      <w:r w:rsidR="0000201C">
        <w:rPr>
          <w:rFonts w:ascii="Arial" w:hAnsi="Arial" w:cs="Arial"/>
          <w:lang w:val="en-US"/>
        </w:rPr>
        <w:t>.</w:t>
      </w:r>
      <w:r w:rsidR="001B4782">
        <w:rPr>
          <w:rFonts w:ascii="Arial" w:hAnsi="Arial" w:cs="Arial"/>
          <w:lang w:val="en-US"/>
        </w:rPr>
        <w:t xml:space="preserve"> </w:t>
      </w:r>
    </w:p>
    <w:p w14:paraId="37A0E739" w14:textId="77777777" w:rsidR="0000201C" w:rsidRPr="0000201C" w:rsidRDefault="0000201C" w:rsidP="002A6DF7">
      <w:pPr>
        <w:pStyle w:val="ListParagraph"/>
        <w:ind w:left="0"/>
        <w:rPr>
          <w:rFonts w:ascii="Arial" w:hAnsi="Arial" w:cs="Arial"/>
          <w:lang w:val="en-US"/>
        </w:rPr>
      </w:pPr>
    </w:p>
    <w:p w14:paraId="5F890F77" w14:textId="08A23C85" w:rsidR="00217F9E" w:rsidRPr="0037687A" w:rsidRDefault="0000201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proceedings were suspended from 7 August 2023 to 18 September 2023. </w:t>
      </w:r>
      <w:r w:rsidR="001B4782">
        <w:rPr>
          <w:rFonts w:ascii="Arial" w:hAnsi="Arial" w:cs="Arial"/>
          <w:lang w:val="en-US"/>
        </w:rPr>
        <w:t xml:space="preserve">As a result, the court finds that, for the purpose of determining the condonation application, not much turns on the contradiction referred to in the preceding paragraph. </w:t>
      </w:r>
      <w:r>
        <w:rPr>
          <w:rFonts w:ascii="Arial" w:hAnsi="Arial" w:cs="Arial"/>
          <w:lang w:val="en-US"/>
        </w:rPr>
        <w:t xml:space="preserve">The </w:t>
      </w:r>
      <w:r w:rsidR="0028106D">
        <w:rPr>
          <w:rFonts w:ascii="Arial" w:hAnsi="Arial" w:cs="Arial"/>
          <w:lang w:val="en-US"/>
        </w:rPr>
        <w:t xml:space="preserve">court </w:t>
      </w:r>
      <w:r w:rsidR="001B4782">
        <w:rPr>
          <w:rFonts w:ascii="Arial" w:hAnsi="Arial" w:cs="Arial"/>
          <w:lang w:val="en-US"/>
        </w:rPr>
        <w:t xml:space="preserve">further </w:t>
      </w:r>
      <w:r w:rsidR="0028106D">
        <w:rPr>
          <w:rFonts w:ascii="Arial" w:hAnsi="Arial" w:cs="Arial"/>
          <w:lang w:val="en-US"/>
        </w:rPr>
        <w:t>finds that the</w:t>
      </w:r>
      <w:r>
        <w:rPr>
          <w:rFonts w:ascii="Arial" w:hAnsi="Arial" w:cs="Arial"/>
          <w:lang w:val="en-US"/>
        </w:rPr>
        <w:t xml:space="preserve"> explanation for 14 July 2023 to 7 August 2023 is weak</w:t>
      </w:r>
      <w:r w:rsidR="0028106D">
        <w:rPr>
          <w:rFonts w:ascii="Arial" w:hAnsi="Arial" w:cs="Arial"/>
          <w:lang w:val="en-US"/>
        </w:rPr>
        <w:t>,</w:t>
      </w:r>
      <w:r>
        <w:rPr>
          <w:rFonts w:ascii="Arial" w:hAnsi="Arial" w:cs="Arial"/>
          <w:lang w:val="en-US"/>
        </w:rPr>
        <w:t xml:space="preserve"> and little weight is attached</w:t>
      </w:r>
      <w:r w:rsidR="0028106D">
        <w:rPr>
          <w:rFonts w:ascii="Arial" w:hAnsi="Arial" w:cs="Arial"/>
          <w:lang w:val="en-US"/>
        </w:rPr>
        <w:t>. That period was, however, relatively short, and the weak explanation</w:t>
      </w:r>
      <w:r w:rsidR="00415C73">
        <w:rPr>
          <w:rFonts w:ascii="Arial" w:hAnsi="Arial" w:cs="Arial"/>
          <w:lang w:val="en-US"/>
        </w:rPr>
        <w:t xml:space="preserve"> </w:t>
      </w:r>
      <w:r w:rsidR="001B4782">
        <w:rPr>
          <w:rFonts w:ascii="Arial" w:hAnsi="Arial" w:cs="Arial"/>
          <w:lang w:val="en-US"/>
        </w:rPr>
        <w:t xml:space="preserve">does not </w:t>
      </w:r>
      <w:r w:rsidR="00653126">
        <w:rPr>
          <w:rFonts w:ascii="Arial" w:hAnsi="Arial" w:cs="Arial"/>
          <w:lang w:val="en-US"/>
        </w:rPr>
        <w:t>weigh</w:t>
      </w:r>
      <w:r w:rsidR="001B4782">
        <w:rPr>
          <w:rFonts w:ascii="Arial" w:hAnsi="Arial" w:cs="Arial"/>
          <w:lang w:val="en-US"/>
        </w:rPr>
        <w:t xml:space="preserve"> too much</w:t>
      </w:r>
      <w:r w:rsidR="0028106D">
        <w:rPr>
          <w:rFonts w:ascii="Arial" w:hAnsi="Arial" w:cs="Arial"/>
          <w:lang w:val="en-US"/>
        </w:rPr>
        <w:t xml:space="preserve"> against the plaintiff in the balancing exercise of the relevant factor</w:t>
      </w:r>
      <w:r w:rsidR="001B3BED">
        <w:rPr>
          <w:rFonts w:ascii="Arial" w:hAnsi="Arial" w:cs="Arial"/>
          <w:lang w:val="en-US"/>
        </w:rPr>
        <w:t>s</w:t>
      </w:r>
      <w:r w:rsidR="0028106D">
        <w:rPr>
          <w:rFonts w:ascii="Arial" w:hAnsi="Arial" w:cs="Arial"/>
          <w:lang w:val="en-US"/>
        </w:rPr>
        <w:t xml:space="preserve">.   </w:t>
      </w:r>
    </w:p>
    <w:p w14:paraId="2823363A" w14:textId="77777777" w:rsidR="00217F9E" w:rsidRPr="0037687A" w:rsidRDefault="00217F9E" w:rsidP="002A6DF7">
      <w:pPr>
        <w:pStyle w:val="ListParagraph"/>
        <w:ind w:left="0"/>
        <w:rPr>
          <w:rFonts w:ascii="Arial" w:eastAsia="Calibri" w:hAnsi="Arial" w:cs="Arial"/>
          <w:bCs/>
        </w:rPr>
      </w:pPr>
    </w:p>
    <w:p w14:paraId="2897AD9F" w14:textId="3D0CE7CF" w:rsidR="00DB4F61" w:rsidRDefault="00217F9E"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plaintiff’s deponent further explained that during mid-September 2023, it sought the availability of instructed counsel and </w:t>
      </w:r>
      <w:r w:rsidR="0028106D">
        <w:rPr>
          <w:rFonts w:ascii="Arial" w:hAnsi="Arial" w:cs="Arial"/>
          <w:lang w:val="en-US"/>
        </w:rPr>
        <w:t xml:space="preserve">managed to </w:t>
      </w:r>
      <w:r>
        <w:rPr>
          <w:rFonts w:ascii="Arial" w:hAnsi="Arial" w:cs="Arial"/>
          <w:lang w:val="en-US"/>
        </w:rPr>
        <w:t xml:space="preserve">secure counsel </w:t>
      </w:r>
      <w:r w:rsidR="0028106D">
        <w:rPr>
          <w:rFonts w:ascii="Arial" w:hAnsi="Arial" w:cs="Arial"/>
          <w:lang w:val="en-US"/>
        </w:rPr>
        <w:t xml:space="preserve">during </w:t>
      </w:r>
      <w:r>
        <w:rPr>
          <w:rFonts w:ascii="Arial" w:hAnsi="Arial" w:cs="Arial"/>
          <w:lang w:val="en-US"/>
        </w:rPr>
        <w:t>late September 2023. Shortly after accepting the brief, counsel had a bereavement in the family and was unavailable for two weeks in October 2023. On 25 October 2023, the plaintiff was directed to deliver the application on 9 November 2023. A meeting was had with instructing and instructed counsel on 30 October 2023.</w:t>
      </w:r>
    </w:p>
    <w:p w14:paraId="52C7257B" w14:textId="77777777" w:rsidR="0028106D" w:rsidRPr="0028106D" w:rsidRDefault="0028106D" w:rsidP="002A6DF7">
      <w:pPr>
        <w:pStyle w:val="ListParagraph"/>
        <w:ind w:left="0"/>
        <w:rPr>
          <w:rFonts w:ascii="Arial" w:hAnsi="Arial" w:cs="Arial"/>
          <w:lang w:val="en-US"/>
        </w:rPr>
      </w:pPr>
    </w:p>
    <w:p w14:paraId="62755335" w14:textId="798698FA" w:rsidR="00653126" w:rsidRDefault="0028106D"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court finds that the explanation for 18 September to 9 November 2023 </w:t>
      </w:r>
      <w:r w:rsidR="00653126">
        <w:rPr>
          <w:rFonts w:ascii="Arial" w:hAnsi="Arial" w:cs="Arial"/>
          <w:lang w:val="en-US"/>
        </w:rPr>
        <w:t>could be better</w:t>
      </w:r>
      <w:r w:rsidR="00415C73">
        <w:rPr>
          <w:rFonts w:ascii="Arial" w:hAnsi="Arial" w:cs="Arial"/>
          <w:lang w:val="en-US"/>
        </w:rPr>
        <w:t>,</w:t>
      </w:r>
      <w:r>
        <w:rPr>
          <w:rFonts w:ascii="Arial" w:hAnsi="Arial" w:cs="Arial"/>
          <w:lang w:val="en-US"/>
        </w:rPr>
        <w:t xml:space="preserve"> but </w:t>
      </w:r>
      <w:r w:rsidR="00415C73">
        <w:rPr>
          <w:rFonts w:ascii="Arial" w:hAnsi="Arial" w:cs="Arial"/>
          <w:lang w:val="en-US"/>
        </w:rPr>
        <w:t xml:space="preserve">it is </w:t>
      </w:r>
      <w:r>
        <w:rPr>
          <w:rFonts w:ascii="Arial" w:hAnsi="Arial" w:cs="Arial"/>
          <w:lang w:val="en-US"/>
        </w:rPr>
        <w:t xml:space="preserve">not unreasonable or unacceptable. </w:t>
      </w:r>
      <w:r w:rsidR="00653126">
        <w:rPr>
          <w:rFonts w:ascii="Arial" w:hAnsi="Arial" w:cs="Arial"/>
          <w:lang w:val="en-US"/>
        </w:rPr>
        <w:t xml:space="preserve">A </w:t>
      </w:r>
      <w:r w:rsidR="006A6F34">
        <w:rPr>
          <w:rFonts w:ascii="Arial" w:hAnsi="Arial" w:cs="Arial"/>
          <w:lang w:val="en-US"/>
        </w:rPr>
        <w:t>relative</w:t>
      </w:r>
      <w:r w:rsidR="00653126">
        <w:rPr>
          <w:rFonts w:ascii="Arial" w:hAnsi="Arial" w:cs="Arial"/>
          <w:lang w:val="en-US"/>
        </w:rPr>
        <w:t xml:space="preserve"> amount of </w:t>
      </w:r>
      <w:r w:rsidR="000D5D07">
        <w:rPr>
          <w:rFonts w:ascii="Arial" w:hAnsi="Arial" w:cs="Arial"/>
          <w:lang w:val="en-US"/>
        </w:rPr>
        <w:t xml:space="preserve">weight </w:t>
      </w:r>
      <w:r w:rsidR="00653126">
        <w:rPr>
          <w:rFonts w:ascii="Arial" w:hAnsi="Arial" w:cs="Arial"/>
          <w:lang w:val="en-US"/>
        </w:rPr>
        <w:t>is</w:t>
      </w:r>
      <w:r w:rsidR="000D5D07">
        <w:rPr>
          <w:rFonts w:ascii="Arial" w:hAnsi="Arial" w:cs="Arial"/>
          <w:lang w:val="en-US"/>
        </w:rPr>
        <w:t xml:space="preserve"> attached.</w:t>
      </w:r>
    </w:p>
    <w:p w14:paraId="4A06160F" w14:textId="77777777" w:rsidR="00653126" w:rsidRPr="00653126" w:rsidRDefault="00653126" w:rsidP="00653126">
      <w:pPr>
        <w:pStyle w:val="ListParagraph"/>
        <w:rPr>
          <w:rFonts w:ascii="Arial" w:hAnsi="Arial" w:cs="Arial"/>
          <w:u w:val="single"/>
          <w:lang w:val="en-US"/>
        </w:rPr>
      </w:pPr>
    </w:p>
    <w:p w14:paraId="7C4242F7" w14:textId="77777777" w:rsidR="00653126" w:rsidRDefault="003D7EBA" w:rsidP="00653126">
      <w:pPr>
        <w:pStyle w:val="ListParagraph"/>
        <w:spacing w:line="360" w:lineRule="auto"/>
        <w:ind w:left="0"/>
        <w:jc w:val="both"/>
        <w:rPr>
          <w:rFonts w:ascii="Arial" w:hAnsi="Arial" w:cs="Arial"/>
          <w:lang w:val="en-US"/>
        </w:rPr>
      </w:pPr>
      <w:r w:rsidRPr="00653126">
        <w:rPr>
          <w:rFonts w:ascii="Arial" w:hAnsi="Arial" w:cs="Arial"/>
          <w:u w:val="single"/>
          <w:lang w:val="en-US"/>
        </w:rPr>
        <w:t>Prospects of success</w:t>
      </w:r>
    </w:p>
    <w:p w14:paraId="15100175" w14:textId="77777777" w:rsidR="00653126" w:rsidRPr="00653126" w:rsidRDefault="00653126" w:rsidP="00653126">
      <w:pPr>
        <w:pStyle w:val="ListParagraph"/>
        <w:rPr>
          <w:rFonts w:ascii="Arial" w:hAnsi="Arial" w:cs="Arial"/>
          <w:lang w:val="en-US"/>
        </w:rPr>
      </w:pPr>
    </w:p>
    <w:p w14:paraId="5F66ED0B" w14:textId="42FAE9EB" w:rsidR="002D67A4" w:rsidRPr="00653126" w:rsidRDefault="000D5D07" w:rsidP="00653126">
      <w:pPr>
        <w:pStyle w:val="ListParagraph"/>
        <w:numPr>
          <w:ilvl w:val="0"/>
          <w:numId w:val="9"/>
        </w:numPr>
        <w:spacing w:line="360" w:lineRule="auto"/>
        <w:ind w:left="0" w:firstLine="0"/>
        <w:jc w:val="both"/>
        <w:rPr>
          <w:rFonts w:ascii="Arial" w:hAnsi="Arial" w:cs="Arial"/>
          <w:lang w:val="en-US"/>
        </w:rPr>
      </w:pPr>
      <w:r w:rsidRPr="00653126">
        <w:rPr>
          <w:rFonts w:ascii="Arial" w:hAnsi="Arial" w:cs="Arial"/>
          <w:lang w:val="en-US"/>
        </w:rPr>
        <w:t xml:space="preserve">The court now turns to the </w:t>
      </w:r>
      <w:r w:rsidR="003D7EBA" w:rsidRPr="00653126">
        <w:rPr>
          <w:rFonts w:ascii="Arial" w:hAnsi="Arial" w:cs="Arial"/>
          <w:lang w:val="en-US"/>
        </w:rPr>
        <w:t>prospects of success</w:t>
      </w:r>
      <w:r w:rsidR="001B4782">
        <w:rPr>
          <w:rFonts w:ascii="Arial" w:hAnsi="Arial" w:cs="Arial"/>
          <w:lang w:val="en-US"/>
        </w:rPr>
        <w:t xml:space="preserve"> requirement</w:t>
      </w:r>
      <w:r w:rsidR="00653126">
        <w:rPr>
          <w:rFonts w:ascii="Arial" w:hAnsi="Arial" w:cs="Arial"/>
          <w:lang w:val="en-US"/>
        </w:rPr>
        <w:t>.</w:t>
      </w:r>
      <w:r w:rsidR="002E7282" w:rsidRPr="00653126">
        <w:rPr>
          <w:rFonts w:ascii="Arial" w:hAnsi="Arial" w:cs="Arial"/>
          <w:lang w:val="en-US"/>
        </w:rPr>
        <w:t xml:space="preserve">   </w:t>
      </w:r>
    </w:p>
    <w:p w14:paraId="0AA09983" w14:textId="77777777" w:rsidR="002D67A4" w:rsidRPr="002D67A4" w:rsidRDefault="002D67A4" w:rsidP="002A6DF7">
      <w:pPr>
        <w:pStyle w:val="ListParagraph"/>
        <w:ind w:left="0"/>
        <w:rPr>
          <w:rFonts w:ascii="Arial" w:hAnsi="Arial" w:cs="Arial"/>
          <w:lang w:val="en-US"/>
        </w:rPr>
      </w:pPr>
    </w:p>
    <w:p w14:paraId="72FFBB14" w14:textId="7A272483" w:rsidR="002E7282" w:rsidRDefault="002E7282"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It is the </w:t>
      </w:r>
      <w:r w:rsidR="00080C48">
        <w:rPr>
          <w:rFonts w:ascii="Arial" w:hAnsi="Arial" w:cs="Arial"/>
          <w:lang w:val="en-US"/>
        </w:rPr>
        <w:t>d</w:t>
      </w:r>
      <w:r>
        <w:rPr>
          <w:rFonts w:ascii="Arial" w:hAnsi="Arial" w:cs="Arial"/>
          <w:lang w:val="en-US"/>
        </w:rPr>
        <w:t xml:space="preserve">efendant’s case that the lease agreement is invalid and unenforceable and that it </w:t>
      </w:r>
      <w:r w:rsidR="001B4782">
        <w:rPr>
          <w:rFonts w:ascii="Arial" w:hAnsi="Arial" w:cs="Arial"/>
          <w:lang w:val="en-US"/>
        </w:rPr>
        <w:t>wa</w:t>
      </w:r>
      <w:r>
        <w:rPr>
          <w:rFonts w:ascii="Arial" w:hAnsi="Arial" w:cs="Arial"/>
          <w:lang w:val="en-US"/>
        </w:rPr>
        <w:t>s paying rental to a third party</w:t>
      </w:r>
      <w:r w:rsidR="001B4782">
        <w:rPr>
          <w:rFonts w:ascii="Arial" w:hAnsi="Arial" w:cs="Arial"/>
          <w:lang w:val="en-US"/>
        </w:rPr>
        <w:t xml:space="preserve"> (</w:t>
      </w:r>
      <w:r>
        <w:rPr>
          <w:rFonts w:ascii="Arial" w:hAnsi="Arial" w:cs="Arial"/>
          <w:lang w:val="en-US"/>
        </w:rPr>
        <w:t>the owner</w:t>
      </w:r>
      <w:r w:rsidR="00110B5C">
        <w:rPr>
          <w:rFonts w:ascii="Arial" w:hAnsi="Arial" w:cs="Arial"/>
          <w:lang w:val="en-US"/>
        </w:rPr>
        <w:t xml:space="preserve"> of the </w:t>
      </w:r>
      <w:r w:rsidR="00110B5C">
        <w:rPr>
          <w:rFonts w:ascii="Arial" w:hAnsi="Arial" w:cs="Arial"/>
          <w:lang w:val="en-US"/>
        </w:rPr>
        <w:lastRenderedPageBreak/>
        <w:t>property</w:t>
      </w:r>
      <w:r w:rsidR="001B4782">
        <w:rPr>
          <w:rFonts w:ascii="Arial" w:hAnsi="Arial" w:cs="Arial"/>
          <w:lang w:val="en-US"/>
        </w:rPr>
        <w:t>)</w:t>
      </w:r>
      <w:r>
        <w:rPr>
          <w:rFonts w:ascii="Arial" w:hAnsi="Arial" w:cs="Arial"/>
          <w:lang w:val="en-US"/>
        </w:rPr>
        <w:t xml:space="preserve"> in the exploitation of </w:t>
      </w:r>
      <w:r w:rsidR="00110B5C">
        <w:rPr>
          <w:rFonts w:ascii="Arial" w:hAnsi="Arial" w:cs="Arial"/>
          <w:lang w:val="en-US"/>
        </w:rPr>
        <w:t>its</w:t>
      </w:r>
      <w:r>
        <w:rPr>
          <w:rFonts w:ascii="Arial" w:hAnsi="Arial" w:cs="Arial"/>
          <w:lang w:val="en-US"/>
        </w:rPr>
        <w:t xml:space="preserve"> mining rights</w:t>
      </w:r>
      <w:r w:rsidR="00110B5C">
        <w:rPr>
          <w:rFonts w:ascii="Arial" w:hAnsi="Arial" w:cs="Arial"/>
          <w:lang w:val="en-US"/>
        </w:rPr>
        <w:t xml:space="preserve"> arising from mining claims</w:t>
      </w:r>
      <w:r w:rsidR="00653126">
        <w:rPr>
          <w:rFonts w:ascii="Arial" w:hAnsi="Arial" w:cs="Arial"/>
          <w:lang w:val="en-US"/>
        </w:rPr>
        <w:t>. The defendant claims that the rental payments of N$843</w:t>
      </w:r>
      <w:r w:rsidR="00415C73">
        <w:rPr>
          <w:rFonts w:ascii="Arial" w:hAnsi="Arial" w:cs="Arial"/>
          <w:lang w:val="en-US"/>
        </w:rPr>
        <w:t xml:space="preserve"> </w:t>
      </w:r>
      <w:r w:rsidR="00653126">
        <w:rPr>
          <w:rFonts w:ascii="Arial" w:hAnsi="Arial" w:cs="Arial"/>
          <w:lang w:val="en-US"/>
        </w:rPr>
        <w:t>787</w:t>
      </w:r>
      <w:r w:rsidR="00415C73">
        <w:rPr>
          <w:rFonts w:ascii="Arial" w:hAnsi="Arial" w:cs="Arial"/>
          <w:lang w:val="en-US"/>
        </w:rPr>
        <w:t>,</w:t>
      </w:r>
      <w:r w:rsidR="00653126">
        <w:rPr>
          <w:rFonts w:ascii="Arial" w:hAnsi="Arial" w:cs="Arial"/>
          <w:lang w:val="en-US"/>
        </w:rPr>
        <w:t xml:space="preserve">20 paid to the plaintiff were made under the bona fide mistaken belief that the plaintiff was the </w:t>
      </w:r>
      <w:r w:rsidR="00B44A7E">
        <w:rPr>
          <w:rFonts w:ascii="Arial" w:hAnsi="Arial" w:cs="Arial"/>
          <w:lang w:val="en-US"/>
        </w:rPr>
        <w:t>property owner</w:t>
      </w:r>
      <w:r w:rsidR="00653126">
        <w:rPr>
          <w:rFonts w:ascii="Arial" w:hAnsi="Arial" w:cs="Arial"/>
          <w:lang w:val="en-US"/>
        </w:rPr>
        <w:t>. A</w:t>
      </w:r>
      <w:r>
        <w:rPr>
          <w:rFonts w:ascii="Arial" w:hAnsi="Arial" w:cs="Arial"/>
          <w:lang w:val="en-US"/>
        </w:rPr>
        <w:t xml:space="preserve">s a result, the </w:t>
      </w:r>
      <w:r w:rsidR="00080C48">
        <w:rPr>
          <w:rFonts w:ascii="Arial" w:hAnsi="Arial" w:cs="Arial"/>
          <w:lang w:val="en-US"/>
        </w:rPr>
        <w:t>p</w:t>
      </w:r>
      <w:r>
        <w:rPr>
          <w:rFonts w:ascii="Arial" w:hAnsi="Arial" w:cs="Arial"/>
          <w:lang w:val="en-US"/>
        </w:rPr>
        <w:t>laintiff was unduly enriched in that amount.</w:t>
      </w:r>
    </w:p>
    <w:p w14:paraId="57B8E0AE" w14:textId="77777777" w:rsidR="002E7282" w:rsidRPr="002E7282" w:rsidRDefault="002E7282" w:rsidP="002A6DF7">
      <w:pPr>
        <w:pStyle w:val="ListParagraph"/>
        <w:ind w:left="0"/>
        <w:rPr>
          <w:rFonts w:ascii="Arial" w:hAnsi="Arial" w:cs="Arial"/>
          <w:lang w:val="en-US"/>
        </w:rPr>
      </w:pPr>
    </w:p>
    <w:p w14:paraId="220E09E0" w14:textId="133EE6AF" w:rsidR="00B84B23" w:rsidRPr="00B84B23" w:rsidRDefault="002E7282"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w:t>
      </w:r>
      <w:r w:rsidR="00080C48">
        <w:rPr>
          <w:rFonts w:ascii="Arial" w:hAnsi="Arial" w:cs="Arial"/>
          <w:lang w:val="en-US"/>
        </w:rPr>
        <w:t>p</w:t>
      </w:r>
      <w:r>
        <w:rPr>
          <w:rFonts w:ascii="Arial" w:hAnsi="Arial" w:cs="Arial"/>
          <w:lang w:val="en-US"/>
        </w:rPr>
        <w:t xml:space="preserve">laintiff’s position is as follows. The </w:t>
      </w:r>
      <w:r w:rsidR="00080C48">
        <w:rPr>
          <w:rFonts w:ascii="Arial" w:hAnsi="Arial" w:cs="Arial"/>
          <w:lang w:val="en-US"/>
        </w:rPr>
        <w:t>p</w:t>
      </w:r>
      <w:r>
        <w:rPr>
          <w:rFonts w:ascii="Arial" w:hAnsi="Arial" w:cs="Arial"/>
          <w:lang w:val="en-US"/>
        </w:rPr>
        <w:t xml:space="preserve">laintiff has a perpetual usufruct registered over </w:t>
      </w:r>
      <w:r w:rsidR="00080C48">
        <w:rPr>
          <w:rFonts w:ascii="Arial" w:hAnsi="Arial" w:cs="Arial"/>
          <w:lang w:val="en-US"/>
        </w:rPr>
        <w:t xml:space="preserve">the </w:t>
      </w:r>
      <w:r w:rsidR="00110B5C">
        <w:rPr>
          <w:rFonts w:ascii="Arial" w:hAnsi="Arial" w:cs="Arial"/>
          <w:lang w:val="en-US"/>
        </w:rPr>
        <w:t>R</w:t>
      </w:r>
      <w:r>
        <w:rPr>
          <w:rFonts w:ascii="Arial" w:hAnsi="Arial" w:cs="Arial"/>
          <w:lang w:val="en-US"/>
        </w:rPr>
        <w:t xml:space="preserve">emainder of </w:t>
      </w:r>
      <w:r w:rsidR="00110B5C">
        <w:rPr>
          <w:rFonts w:ascii="Arial" w:hAnsi="Arial" w:cs="Arial"/>
          <w:lang w:val="en-US"/>
        </w:rPr>
        <w:t>P</w:t>
      </w:r>
      <w:r>
        <w:rPr>
          <w:rFonts w:ascii="Arial" w:hAnsi="Arial" w:cs="Arial"/>
          <w:lang w:val="en-US"/>
        </w:rPr>
        <w:t xml:space="preserve">ortion 1 of </w:t>
      </w:r>
      <w:r w:rsidR="00110B5C">
        <w:rPr>
          <w:rFonts w:ascii="Arial" w:hAnsi="Arial" w:cs="Arial"/>
          <w:lang w:val="en-US"/>
        </w:rPr>
        <w:t xml:space="preserve">Portion A of Farm </w:t>
      </w:r>
      <w:proofErr w:type="spellStart"/>
      <w:r w:rsidR="00110B5C">
        <w:rPr>
          <w:rFonts w:ascii="Arial" w:hAnsi="Arial" w:cs="Arial"/>
          <w:lang w:val="en-US"/>
        </w:rPr>
        <w:t>Krumhuk</w:t>
      </w:r>
      <w:proofErr w:type="spellEnd"/>
      <w:r w:rsidR="00110B5C">
        <w:rPr>
          <w:rFonts w:ascii="Arial" w:hAnsi="Arial" w:cs="Arial"/>
          <w:lang w:val="en-US"/>
        </w:rPr>
        <w:t xml:space="preserve"> number 30</w:t>
      </w:r>
      <w:r w:rsidR="00B53538">
        <w:rPr>
          <w:rFonts w:ascii="Arial" w:hAnsi="Arial" w:cs="Arial"/>
          <w:lang w:val="en-US"/>
        </w:rPr>
        <w:t xml:space="preserve"> (Portion 1)</w:t>
      </w:r>
      <w:r w:rsidR="00653126">
        <w:rPr>
          <w:rFonts w:ascii="Arial" w:hAnsi="Arial" w:cs="Arial"/>
          <w:lang w:val="en-US"/>
        </w:rPr>
        <w:t xml:space="preserve">. </w:t>
      </w:r>
      <w:r w:rsidR="00954EF4">
        <w:rPr>
          <w:rFonts w:ascii="Arial" w:hAnsi="Arial" w:cs="Arial"/>
          <w:lang w:val="en-US"/>
        </w:rPr>
        <w:t xml:space="preserve">Due to a bona fide mistake, the parties inserted the leased premises </w:t>
      </w:r>
      <w:r w:rsidR="00415C73">
        <w:rPr>
          <w:rFonts w:ascii="Arial" w:hAnsi="Arial" w:cs="Arial"/>
          <w:lang w:val="en-US"/>
        </w:rPr>
        <w:t xml:space="preserve">on the lease agreement </w:t>
      </w:r>
      <w:r w:rsidR="00954EF4">
        <w:rPr>
          <w:rFonts w:ascii="Arial" w:hAnsi="Arial" w:cs="Arial"/>
          <w:lang w:val="en-US"/>
        </w:rPr>
        <w:t>as</w:t>
      </w:r>
      <w:r w:rsidR="00080C48">
        <w:rPr>
          <w:rFonts w:ascii="Arial" w:hAnsi="Arial" w:cs="Arial"/>
          <w:lang w:val="en-US"/>
        </w:rPr>
        <w:t xml:space="preserve"> th</w:t>
      </w:r>
      <w:r>
        <w:rPr>
          <w:rFonts w:ascii="Arial" w:hAnsi="Arial" w:cs="Arial"/>
          <w:lang w:val="en-US"/>
        </w:rPr>
        <w:t xml:space="preserve">e </w:t>
      </w:r>
      <w:r w:rsidR="00110B5C">
        <w:rPr>
          <w:rFonts w:ascii="Arial" w:hAnsi="Arial" w:cs="Arial"/>
          <w:lang w:val="en-US"/>
        </w:rPr>
        <w:t>R</w:t>
      </w:r>
      <w:r>
        <w:rPr>
          <w:rFonts w:ascii="Arial" w:hAnsi="Arial" w:cs="Arial"/>
          <w:lang w:val="en-US"/>
        </w:rPr>
        <w:t xml:space="preserve">emainder of </w:t>
      </w:r>
      <w:r w:rsidR="00110B5C">
        <w:rPr>
          <w:rFonts w:ascii="Arial" w:hAnsi="Arial" w:cs="Arial"/>
          <w:lang w:val="en-US"/>
        </w:rPr>
        <w:t>P</w:t>
      </w:r>
      <w:r>
        <w:rPr>
          <w:rFonts w:ascii="Arial" w:hAnsi="Arial" w:cs="Arial"/>
          <w:lang w:val="en-US"/>
        </w:rPr>
        <w:t>ortion 9</w:t>
      </w:r>
      <w:r w:rsidR="00110B5C">
        <w:rPr>
          <w:rFonts w:ascii="Arial" w:hAnsi="Arial" w:cs="Arial"/>
          <w:lang w:val="en-US"/>
        </w:rPr>
        <w:t xml:space="preserve"> of that property</w:t>
      </w:r>
      <w:r w:rsidR="00B53538">
        <w:rPr>
          <w:rFonts w:ascii="Arial" w:hAnsi="Arial" w:cs="Arial"/>
          <w:lang w:val="en-US"/>
        </w:rPr>
        <w:t xml:space="preserve"> (Portion 9)</w:t>
      </w:r>
      <w:r w:rsidR="001B4782">
        <w:rPr>
          <w:rFonts w:ascii="Arial" w:hAnsi="Arial" w:cs="Arial"/>
          <w:lang w:val="en-US"/>
        </w:rPr>
        <w:t xml:space="preserve"> instead of Portion 1</w:t>
      </w:r>
      <w:r>
        <w:rPr>
          <w:rFonts w:ascii="Arial" w:hAnsi="Arial" w:cs="Arial"/>
          <w:lang w:val="en-US"/>
        </w:rPr>
        <w:t xml:space="preserve">. The </w:t>
      </w:r>
      <w:r w:rsidR="00080C48">
        <w:rPr>
          <w:rFonts w:ascii="Arial" w:hAnsi="Arial" w:cs="Arial"/>
          <w:lang w:val="en-US"/>
        </w:rPr>
        <w:t>p</w:t>
      </w:r>
      <w:r>
        <w:rPr>
          <w:rFonts w:ascii="Arial" w:hAnsi="Arial" w:cs="Arial"/>
          <w:lang w:val="en-US"/>
        </w:rPr>
        <w:t xml:space="preserve">laintiff’s right to the portion of land is documented in the deed of transfer attached to the claim in reconvention. The </w:t>
      </w:r>
      <w:r w:rsidR="00080C48">
        <w:rPr>
          <w:rFonts w:ascii="Arial" w:hAnsi="Arial" w:cs="Arial"/>
          <w:lang w:val="en-US"/>
        </w:rPr>
        <w:t>d</w:t>
      </w:r>
      <w:r>
        <w:rPr>
          <w:rFonts w:ascii="Arial" w:hAnsi="Arial" w:cs="Arial"/>
          <w:lang w:val="en-US"/>
        </w:rPr>
        <w:t xml:space="preserve">efendant is operating its mining activities on the </w:t>
      </w:r>
      <w:r w:rsidR="00080C48">
        <w:rPr>
          <w:rFonts w:ascii="Arial" w:hAnsi="Arial" w:cs="Arial"/>
          <w:lang w:val="en-US"/>
        </w:rPr>
        <w:t>p</w:t>
      </w:r>
      <w:r>
        <w:rPr>
          <w:rFonts w:ascii="Arial" w:hAnsi="Arial" w:cs="Arial"/>
          <w:lang w:val="en-US"/>
        </w:rPr>
        <w:t>laintiff’s portion of land over which it enjoys a usufruct</w:t>
      </w:r>
      <w:r w:rsidR="00224848">
        <w:rPr>
          <w:rFonts w:ascii="Arial" w:hAnsi="Arial" w:cs="Arial"/>
          <w:lang w:val="en-US"/>
        </w:rPr>
        <w:t xml:space="preserve">. The lease agreement was concluded </w:t>
      </w:r>
      <w:r w:rsidR="00954EF4">
        <w:rPr>
          <w:rFonts w:ascii="Arial" w:hAnsi="Arial" w:cs="Arial"/>
          <w:lang w:val="en-US"/>
        </w:rPr>
        <w:t>concerning</w:t>
      </w:r>
      <w:r w:rsidR="00224848">
        <w:rPr>
          <w:rFonts w:ascii="Arial" w:hAnsi="Arial" w:cs="Arial"/>
          <w:lang w:val="en-US"/>
        </w:rPr>
        <w:t xml:space="preserve"> </w:t>
      </w:r>
      <w:r w:rsidR="00110B5C">
        <w:rPr>
          <w:rFonts w:ascii="Arial" w:hAnsi="Arial" w:cs="Arial"/>
          <w:lang w:val="en-US"/>
        </w:rPr>
        <w:t>P</w:t>
      </w:r>
      <w:r w:rsidR="00224848">
        <w:rPr>
          <w:rFonts w:ascii="Arial" w:hAnsi="Arial" w:cs="Arial"/>
          <w:lang w:val="en-US"/>
        </w:rPr>
        <w:t xml:space="preserve">ortion 1. The lease period terminates </w:t>
      </w:r>
      <w:r w:rsidR="00080C48">
        <w:rPr>
          <w:rFonts w:ascii="Arial" w:hAnsi="Arial" w:cs="Arial"/>
          <w:lang w:val="en-US"/>
        </w:rPr>
        <w:t>D</w:t>
      </w:r>
      <w:r w:rsidR="00224848">
        <w:rPr>
          <w:rFonts w:ascii="Arial" w:hAnsi="Arial" w:cs="Arial"/>
          <w:lang w:val="en-US"/>
        </w:rPr>
        <w:t>ecember 2026. All rental payments received w</w:t>
      </w:r>
      <w:r w:rsidR="00080C48">
        <w:rPr>
          <w:rFonts w:ascii="Arial" w:hAnsi="Arial" w:cs="Arial"/>
          <w:lang w:val="en-US"/>
        </w:rPr>
        <w:t>ere</w:t>
      </w:r>
      <w:r w:rsidR="00224848">
        <w:rPr>
          <w:rFonts w:ascii="Arial" w:hAnsi="Arial" w:cs="Arial"/>
          <w:lang w:val="en-US"/>
        </w:rPr>
        <w:t xml:space="preserve"> correctly received.</w:t>
      </w:r>
      <w:r w:rsidR="00954EF4">
        <w:rPr>
          <w:rFonts w:ascii="Arial" w:hAnsi="Arial" w:cs="Arial"/>
          <w:lang w:val="en-US"/>
        </w:rPr>
        <w:t xml:space="preserve"> T</w:t>
      </w:r>
      <w:r w:rsidR="000258A5">
        <w:rPr>
          <w:rFonts w:ascii="Arial" w:hAnsi="Arial" w:cs="Arial"/>
          <w:lang w:val="en-US"/>
        </w:rPr>
        <w:t>he unjustified enrichment claim is unfounded.</w:t>
      </w:r>
    </w:p>
    <w:p w14:paraId="0F9DA9A0" w14:textId="77777777" w:rsidR="00B84B23" w:rsidRPr="00B84B23" w:rsidRDefault="00B84B23" w:rsidP="002A6DF7">
      <w:pPr>
        <w:pStyle w:val="ListParagraph"/>
        <w:ind w:left="0"/>
        <w:rPr>
          <w:rFonts w:ascii="Arial" w:hAnsi="Arial" w:cs="Arial"/>
          <w:lang w:val="en-US"/>
        </w:rPr>
      </w:pPr>
    </w:p>
    <w:p w14:paraId="79137E4B" w14:textId="0DF78E3C" w:rsidR="00B53538" w:rsidRDefault="00B53538"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deed of transfer reflects that Twenty-One </w:t>
      </w:r>
      <w:proofErr w:type="spellStart"/>
      <w:r>
        <w:rPr>
          <w:rFonts w:ascii="Arial" w:hAnsi="Arial" w:cs="Arial"/>
          <w:lang w:val="en-US"/>
        </w:rPr>
        <w:t>Krumhuk</w:t>
      </w:r>
      <w:proofErr w:type="spellEnd"/>
      <w:r>
        <w:rPr>
          <w:rFonts w:ascii="Arial" w:hAnsi="Arial" w:cs="Arial"/>
          <w:lang w:val="en-US"/>
        </w:rPr>
        <w:t xml:space="preserve"> for Agriculture and Social Development, an incorporated association not for gain, is the owner of Portion 1 subject to a perpetual usufruct in </w:t>
      </w:r>
      <w:proofErr w:type="spellStart"/>
      <w:r>
        <w:rPr>
          <w:rFonts w:ascii="Arial" w:hAnsi="Arial" w:cs="Arial"/>
          <w:lang w:val="en-US"/>
        </w:rPr>
        <w:t>favour</w:t>
      </w:r>
      <w:proofErr w:type="spellEnd"/>
      <w:r>
        <w:rPr>
          <w:rFonts w:ascii="Arial" w:hAnsi="Arial" w:cs="Arial"/>
          <w:lang w:val="en-US"/>
        </w:rPr>
        <w:t xml:space="preserve"> of the plaintiff to ‘use, work, mine, develop and exploit the quarry on the property</w:t>
      </w:r>
      <w:r w:rsidR="00954EF4">
        <w:rPr>
          <w:rFonts w:ascii="Arial" w:hAnsi="Arial" w:cs="Arial"/>
          <w:lang w:val="en-US"/>
        </w:rPr>
        <w:t xml:space="preserve"> </w:t>
      </w:r>
      <w:proofErr w:type="gramStart"/>
      <w:r>
        <w:rPr>
          <w:rFonts w:ascii="Arial" w:hAnsi="Arial" w:cs="Arial"/>
          <w:lang w:val="en-US"/>
        </w:rPr>
        <w:t>. . . .</w:t>
      </w:r>
      <w:proofErr w:type="gramEnd"/>
      <w:r>
        <w:rPr>
          <w:rFonts w:ascii="Arial" w:hAnsi="Arial" w:cs="Arial"/>
          <w:lang w:val="en-US"/>
        </w:rPr>
        <w:t>’.</w:t>
      </w:r>
    </w:p>
    <w:p w14:paraId="27D6A47E" w14:textId="77777777" w:rsidR="000258A5" w:rsidRPr="000258A5" w:rsidRDefault="000258A5" w:rsidP="002A6DF7">
      <w:pPr>
        <w:pStyle w:val="ListParagraph"/>
        <w:ind w:left="0"/>
        <w:rPr>
          <w:rFonts w:ascii="Arial" w:hAnsi="Arial" w:cs="Arial"/>
          <w:lang w:val="en-US"/>
        </w:rPr>
      </w:pPr>
    </w:p>
    <w:p w14:paraId="14D586C6" w14:textId="57C5E69B" w:rsidR="00B84B23" w:rsidRPr="00B84B23" w:rsidRDefault="000258A5"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particulars of claim and the lease agreement refer to Portion 9 instead of Portion 1 </w:t>
      </w:r>
      <w:r w:rsidR="00415C73">
        <w:rPr>
          <w:rFonts w:ascii="Arial" w:hAnsi="Arial" w:cs="Arial"/>
          <w:lang w:val="en-US"/>
        </w:rPr>
        <w:t>as the</w:t>
      </w:r>
      <w:r>
        <w:rPr>
          <w:rFonts w:ascii="Arial" w:hAnsi="Arial" w:cs="Arial"/>
          <w:lang w:val="en-US"/>
        </w:rPr>
        <w:t xml:space="preserve"> leased </w:t>
      </w:r>
      <w:r w:rsidR="00415C73">
        <w:rPr>
          <w:rFonts w:ascii="Arial" w:hAnsi="Arial" w:cs="Arial"/>
          <w:lang w:val="en-US"/>
        </w:rPr>
        <w:t>property</w:t>
      </w:r>
      <w:r>
        <w:rPr>
          <w:rFonts w:ascii="Arial" w:hAnsi="Arial" w:cs="Arial"/>
          <w:lang w:val="en-US"/>
        </w:rPr>
        <w:t>. The plaintiff’s intended amendment and rectification relate t</w:t>
      </w:r>
      <w:r w:rsidR="00954EF4">
        <w:rPr>
          <w:rFonts w:ascii="Arial" w:hAnsi="Arial" w:cs="Arial"/>
          <w:lang w:val="en-US"/>
        </w:rPr>
        <w:t>o that</w:t>
      </w:r>
      <w:r w:rsidR="00B84B23">
        <w:rPr>
          <w:rFonts w:ascii="Arial" w:hAnsi="Arial" w:cs="Arial"/>
          <w:lang w:val="en-US"/>
        </w:rPr>
        <w:t>.</w:t>
      </w:r>
    </w:p>
    <w:p w14:paraId="5EA00E74" w14:textId="77777777" w:rsidR="00B84B23" w:rsidRPr="00B84B23" w:rsidRDefault="00B84B23" w:rsidP="002A6DF7">
      <w:pPr>
        <w:pStyle w:val="ListParagraph"/>
        <w:ind w:left="0"/>
        <w:rPr>
          <w:rFonts w:ascii="Arial" w:hAnsi="Arial" w:cs="Arial"/>
          <w:lang w:val="en-US"/>
        </w:rPr>
      </w:pPr>
    </w:p>
    <w:p w14:paraId="43BE5295" w14:textId="72BCAD4F" w:rsidR="000258A5" w:rsidRDefault="000258A5"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w:t>
      </w:r>
      <w:r w:rsidR="009918BF">
        <w:rPr>
          <w:rFonts w:ascii="Arial" w:hAnsi="Arial" w:cs="Arial"/>
          <w:lang w:val="en-US"/>
        </w:rPr>
        <w:t xml:space="preserve">defendant claimed it leases Portion 9 from Twenty-One </w:t>
      </w:r>
      <w:proofErr w:type="spellStart"/>
      <w:r w:rsidR="009918BF">
        <w:rPr>
          <w:rFonts w:ascii="Arial" w:hAnsi="Arial" w:cs="Arial"/>
          <w:lang w:val="en-US"/>
        </w:rPr>
        <w:t>Krumhuk</w:t>
      </w:r>
      <w:proofErr w:type="spellEnd"/>
      <w:r w:rsidR="009918BF">
        <w:rPr>
          <w:rFonts w:ascii="Arial" w:hAnsi="Arial" w:cs="Arial"/>
          <w:lang w:val="en-US"/>
        </w:rPr>
        <w:t xml:space="preserve"> for Agriculture and Social Development. The plaintiff c</w:t>
      </w:r>
      <w:r w:rsidR="00954EF4">
        <w:rPr>
          <w:rFonts w:ascii="Arial" w:hAnsi="Arial" w:cs="Arial"/>
          <w:lang w:val="en-US"/>
        </w:rPr>
        <w:t>ontend</w:t>
      </w:r>
      <w:r w:rsidR="009918BF">
        <w:rPr>
          <w:rFonts w:ascii="Arial" w:hAnsi="Arial" w:cs="Arial"/>
          <w:lang w:val="en-US"/>
        </w:rPr>
        <w:t xml:space="preserve">ed that the defendant leased Portion </w:t>
      </w:r>
      <w:r w:rsidR="00415C73">
        <w:rPr>
          <w:rFonts w:ascii="Arial" w:hAnsi="Arial" w:cs="Arial"/>
          <w:lang w:val="en-US"/>
        </w:rPr>
        <w:t>1</w:t>
      </w:r>
      <w:r w:rsidR="009918BF">
        <w:rPr>
          <w:rFonts w:ascii="Arial" w:hAnsi="Arial" w:cs="Arial"/>
          <w:lang w:val="en-US"/>
        </w:rPr>
        <w:t xml:space="preserve"> from the plaintiff. </w:t>
      </w:r>
    </w:p>
    <w:p w14:paraId="0F96FB85" w14:textId="77777777" w:rsidR="00224848" w:rsidRPr="00224848" w:rsidRDefault="00224848" w:rsidP="002A6DF7">
      <w:pPr>
        <w:pStyle w:val="ListParagraph"/>
        <w:ind w:left="0"/>
        <w:rPr>
          <w:rFonts w:ascii="Arial" w:hAnsi="Arial" w:cs="Arial"/>
          <w:lang w:val="en-US"/>
        </w:rPr>
      </w:pPr>
    </w:p>
    <w:p w14:paraId="5DEFEEE7" w14:textId="016D3501" w:rsidR="00B84B23" w:rsidRDefault="00B84B23"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According to the defendant, the amounts claimed by the plaintiff in convention prescribed. The plaintiff disagreed. It said prescription was interrupted by the defendant’s acknowledgements of indebtedness to the plaintiff. The defendant contended that the </w:t>
      </w:r>
      <w:r w:rsidR="005D1316">
        <w:rPr>
          <w:rFonts w:ascii="Arial" w:hAnsi="Arial" w:cs="Arial"/>
          <w:lang w:val="en-US"/>
        </w:rPr>
        <w:t>reference to</w:t>
      </w:r>
      <w:r>
        <w:rPr>
          <w:rFonts w:ascii="Arial" w:hAnsi="Arial" w:cs="Arial"/>
          <w:lang w:val="en-US"/>
        </w:rPr>
        <w:t xml:space="preserve"> interruption of prescription is of no moment</w:t>
      </w:r>
      <w:r w:rsidR="00954EF4">
        <w:rPr>
          <w:rFonts w:ascii="Arial" w:hAnsi="Arial" w:cs="Arial"/>
          <w:lang w:val="en-US"/>
        </w:rPr>
        <w:t>,</w:t>
      </w:r>
      <w:r w:rsidR="005D1316">
        <w:rPr>
          <w:rFonts w:ascii="Arial" w:hAnsi="Arial" w:cs="Arial"/>
          <w:lang w:val="en-US"/>
        </w:rPr>
        <w:t xml:space="preserve"> and the plaintiff, apart from drawing broad conclusions of law, presents no evidential basis for reliance on </w:t>
      </w:r>
      <w:r w:rsidR="00954EF4">
        <w:rPr>
          <w:rFonts w:ascii="Arial" w:hAnsi="Arial" w:cs="Arial"/>
          <w:lang w:val="en-US"/>
        </w:rPr>
        <w:t>interruption of prescription</w:t>
      </w:r>
      <w:r w:rsidR="005D1316">
        <w:rPr>
          <w:rFonts w:ascii="Arial" w:hAnsi="Arial" w:cs="Arial"/>
          <w:lang w:val="en-US"/>
        </w:rPr>
        <w:t xml:space="preserve">. </w:t>
      </w:r>
    </w:p>
    <w:p w14:paraId="58AD012A" w14:textId="77777777" w:rsidR="00B84B23" w:rsidRPr="00B84B23" w:rsidRDefault="00B84B23" w:rsidP="002A6DF7">
      <w:pPr>
        <w:pStyle w:val="ListParagraph"/>
        <w:ind w:left="0"/>
        <w:rPr>
          <w:rFonts w:ascii="Arial" w:hAnsi="Arial" w:cs="Arial"/>
          <w:lang w:val="en-US"/>
        </w:rPr>
      </w:pPr>
    </w:p>
    <w:p w14:paraId="19EA234B" w14:textId="555D8AB4" w:rsidR="00E548CB" w:rsidRDefault="00B84B23"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defendant contended that the plaintiff’s reliance on an alleged bona fide mistake is irrelevant as </w:t>
      </w:r>
      <w:r w:rsidR="00360E66">
        <w:rPr>
          <w:rFonts w:ascii="Arial" w:hAnsi="Arial" w:cs="Arial"/>
          <w:lang w:val="en-US"/>
        </w:rPr>
        <w:t>the plaintiff did not plead it, and it constitutes a reference</w:t>
      </w:r>
      <w:r>
        <w:rPr>
          <w:rFonts w:ascii="Arial" w:hAnsi="Arial" w:cs="Arial"/>
          <w:lang w:val="en-US"/>
        </w:rPr>
        <w:t xml:space="preserve"> to the mooted rectification relief it would seek as far back as 18 July 2023. It said that the plaintiff’s prospects of success must be referenced to its pleaded case. The court does not uphold th</w:t>
      </w:r>
      <w:r w:rsidR="00360E66">
        <w:rPr>
          <w:rFonts w:ascii="Arial" w:hAnsi="Arial" w:cs="Arial"/>
          <w:lang w:val="en-US"/>
        </w:rPr>
        <w:t>e</w:t>
      </w:r>
      <w:r>
        <w:rPr>
          <w:rFonts w:ascii="Arial" w:hAnsi="Arial" w:cs="Arial"/>
          <w:lang w:val="en-US"/>
        </w:rPr>
        <w:t xml:space="preserve"> </w:t>
      </w:r>
      <w:r w:rsidR="00954EF4">
        <w:rPr>
          <w:rFonts w:ascii="Arial" w:hAnsi="Arial" w:cs="Arial"/>
          <w:lang w:val="en-US"/>
        </w:rPr>
        <w:t>defendant's argume</w:t>
      </w:r>
      <w:r w:rsidR="00363450">
        <w:rPr>
          <w:rFonts w:ascii="Arial" w:hAnsi="Arial" w:cs="Arial"/>
          <w:lang w:val="en-US"/>
        </w:rPr>
        <w:t>nt</w:t>
      </w:r>
      <w:r>
        <w:rPr>
          <w:rFonts w:ascii="Arial" w:hAnsi="Arial" w:cs="Arial"/>
          <w:lang w:val="en-US"/>
        </w:rPr>
        <w:t xml:space="preserve">. The defendant appears to lose sight of the </w:t>
      </w:r>
      <w:r w:rsidR="00954EF4">
        <w:rPr>
          <w:rFonts w:ascii="Arial" w:hAnsi="Arial" w:cs="Arial"/>
          <w:lang w:val="en-US"/>
        </w:rPr>
        <w:t>application</w:t>
      </w:r>
      <w:r>
        <w:rPr>
          <w:rFonts w:ascii="Arial" w:hAnsi="Arial" w:cs="Arial"/>
          <w:lang w:val="en-US"/>
        </w:rPr>
        <w:t xml:space="preserve"> for condonation to file a plea in reconvention. Naturally, the plaintiff </w:t>
      </w:r>
      <w:r w:rsidR="00954EF4">
        <w:rPr>
          <w:rFonts w:ascii="Arial" w:hAnsi="Arial" w:cs="Arial"/>
          <w:lang w:val="en-US"/>
        </w:rPr>
        <w:t>has not pleaded</w:t>
      </w:r>
      <w:r>
        <w:rPr>
          <w:rFonts w:ascii="Arial" w:hAnsi="Arial" w:cs="Arial"/>
          <w:lang w:val="en-US"/>
        </w:rPr>
        <w:t xml:space="preserve"> </w:t>
      </w:r>
      <w:r w:rsidR="00415C73">
        <w:rPr>
          <w:rFonts w:ascii="Arial" w:hAnsi="Arial" w:cs="Arial"/>
          <w:lang w:val="en-US"/>
        </w:rPr>
        <w:t xml:space="preserve">its </w:t>
      </w:r>
      <w:proofErr w:type="spellStart"/>
      <w:r w:rsidR="00415C73">
        <w:rPr>
          <w:rFonts w:ascii="Arial" w:hAnsi="Arial" w:cs="Arial"/>
          <w:lang w:val="en-US"/>
        </w:rPr>
        <w:t>defence</w:t>
      </w:r>
      <w:proofErr w:type="spellEnd"/>
      <w:r>
        <w:rPr>
          <w:rFonts w:ascii="Arial" w:hAnsi="Arial" w:cs="Arial"/>
          <w:lang w:val="en-US"/>
        </w:rPr>
        <w:t xml:space="preserve"> just yet</w:t>
      </w:r>
      <w:r w:rsidR="00363450">
        <w:rPr>
          <w:rFonts w:ascii="Arial" w:hAnsi="Arial" w:cs="Arial"/>
          <w:lang w:val="en-US"/>
        </w:rPr>
        <w:t>,</w:t>
      </w:r>
      <w:r>
        <w:rPr>
          <w:rFonts w:ascii="Arial" w:hAnsi="Arial" w:cs="Arial"/>
          <w:lang w:val="en-US"/>
        </w:rPr>
        <w:t xml:space="preserve"> and it is telling the court </w:t>
      </w:r>
      <w:r w:rsidR="00954EF4">
        <w:rPr>
          <w:rFonts w:ascii="Arial" w:hAnsi="Arial" w:cs="Arial"/>
          <w:lang w:val="en-US"/>
        </w:rPr>
        <w:t>its prospects of success</w:t>
      </w:r>
      <w:r>
        <w:rPr>
          <w:rFonts w:ascii="Arial" w:hAnsi="Arial" w:cs="Arial"/>
          <w:lang w:val="en-US"/>
        </w:rPr>
        <w:t xml:space="preserve"> in its </w:t>
      </w:r>
      <w:proofErr w:type="spellStart"/>
      <w:r>
        <w:rPr>
          <w:rFonts w:ascii="Arial" w:hAnsi="Arial" w:cs="Arial"/>
          <w:lang w:val="en-US"/>
        </w:rPr>
        <w:t>defence</w:t>
      </w:r>
      <w:proofErr w:type="spellEnd"/>
      <w:r>
        <w:rPr>
          <w:rFonts w:ascii="Arial" w:hAnsi="Arial" w:cs="Arial"/>
          <w:lang w:val="en-US"/>
        </w:rPr>
        <w:t xml:space="preserve"> to be put up against the claim in reconvention.</w:t>
      </w:r>
      <w:r w:rsidR="005912C8">
        <w:rPr>
          <w:rFonts w:ascii="Arial" w:hAnsi="Arial" w:cs="Arial"/>
          <w:lang w:val="en-US"/>
        </w:rPr>
        <w:t xml:space="preserve"> In addition, the plaintiff told the court that it intends to amend the particulars of claim and rectify the lease agreement. The court cannot ignore that. </w:t>
      </w:r>
    </w:p>
    <w:p w14:paraId="4658B44F" w14:textId="77777777" w:rsidR="00E548CB" w:rsidRPr="00E548CB" w:rsidRDefault="00E548CB" w:rsidP="002A6DF7">
      <w:pPr>
        <w:pStyle w:val="ListParagraph"/>
        <w:ind w:left="0"/>
        <w:rPr>
          <w:rFonts w:ascii="Arial" w:hAnsi="Arial" w:cs="Arial"/>
          <w:lang w:val="en-US"/>
        </w:rPr>
      </w:pPr>
    </w:p>
    <w:p w14:paraId="70A7DD72" w14:textId="4E6E1D98" w:rsidR="00B84B23" w:rsidRDefault="00E548CB"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defendant complained that the plaintiff only said that it is the holder of a usufruct</w:t>
      </w:r>
      <w:r w:rsidR="00954EF4">
        <w:rPr>
          <w:rFonts w:ascii="Arial" w:hAnsi="Arial" w:cs="Arial"/>
          <w:lang w:val="en-US"/>
        </w:rPr>
        <w:t xml:space="preserve"> and argued that it required evidence in the founding affidavit</w:t>
      </w:r>
      <w:r w:rsidR="00415C73">
        <w:rPr>
          <w:rFonts w:ascii="Arial" w:hAnsi="Arial" w:cs="Arial"/>
          <w:lang w:val="en-US"/>
        </w:rPr>
        <w:t>,</w:t>
      </w:r>
      <w:r w:rsidR="00954EF4">
        <w:rPr>
          <w:rFonts w:ascii="Arial" w:hAnsi="Arial" w:cs="Arial"/>
          <w:lang w:val="en-US"/>
        </w:rPr>
        <w:t xml:space="preserve"> otherwise, how will the court decide on its prospects of success?</w:t>
      </w:r>
      <w:r>
        <w:rPr>
          <w:rFonts w:ascii="Arial" w:hAnsi="Arial" w:cs="Arial"/>
          <w:lang w:val="en-US"/>
        </w:rPr>
        <w:t xml:space="preserve"> When asked about the test </w:t>
      </w:r>
      <w:r w:rsidR="00954EF4">
        <w:rPr>
          <w:rFonts w:ascii="Arial" w:hAnsi="Arial" w:cs="Arial"/>
          <w:lang w:val="en-US"/>
        </w:rPr>
        <w:t xml:space="preserve">that the court should employ in determining whether the plaintiff has prospects of success, the defendant argued that the test is </w:t>
      </w:r>
      <w:r w:rsidR="00415C73">
        <w:rPr>
          <w:rFonts w:ascii="Arial" w:hAnsi="Arial" w:cs="Arial"/>
          <w:lang w:val="en-US"/>
        </w:rPr>
        <w:t>‘</w:t>
      </w:r>
      <w:r w:rsidR="00954EF4">
        <w:rPr>
          <w:rFonts w:ascii="Arial" w:hAnsi="Arial" w:cs="Arial"/>
          <w:lang w:val="en-US"/>
        </w:rPr>
        <w:t>not that far as to prove</w:t>
      </w:r>
      <w:r w:rsidR="00415C73">
        <w:rPr>
          <w:rFonts w:ascii="Arial" w:hAnsi="Arial" w:cs="Arial"/>
          <w:lang w:val="en-US"/>
        </w:rPr>
        <w:t>’</w:t>
      </w:r>
      <w:r w:rsidR="00954EF4">
        <w:rPr>
          <w:rFonts w:ascii="Arial" w:hAnsi="Arial" w:cs="Arial"/>
          <w:lang w:val="en-US"/>
        </w:rPr>
        <w:t>. Still,</w:t>
      </w:r>
      <w:r>
        <w:rPr>
          <w:rFonts w:ascii="Arial" w:hAnsi="Arial" w:cs="Arial"/>
          <w:lang w:val="en-US"/>
        </w:rPr>
        <w:t xml:space="preserve"> </w:t>
      </w:r>
      <w:r w:rsidR="00415C73">
        <w:rPr>
          <w:rFonts w:ascii="Arial" w:hAnsi="Arial" w:cs="Arial"/>
          <w:lang w:val="en-US"/>
        </w:rPr>
        <w:t xml:space="preserve">so it said, </w:t>
      </w:r>
      <w:r>
        <w:rPr>
          <w:rFonts w:ascii="Arial" w:hAnsi="Arial" w:cs="Arial"/>
          <w:lang w:val="en-US"/>
        </w:rPr>
        <w:t>the plaintiff can</w:t>
      </w:r>
      <w:r w:rsidR="00954EF4">
        <w:rPr>
          <w:rFonts w:ascii="Arial" w:hAnsi="Arial" w:cs="Arial"/>
          <w:lang w:val="en-US"/>
        </w:rPr>
        <w:t xml:space="preserve"> only rely on a legal conclusion with</w:t>
      </w:r>
      <w:r>
        <w:rPr>
          <w:rFonts w:ascii="Arial" w:hAnsi="Arial" w:cs="Arial"/>
          <w:lang w:val="en-US"/>
        </w:rPr>
        <w:t xml:space="preserve"> something sufficient to arrive at such conclusion. The plaintiff argued that the court should not </w:t>
      </w:r>
      <w:r w:rsidR="00954EF4">
        <w:rPr>
          <w:rFonts w:ascii="Arial" w:hAnsi="Arial" w:cs="Arial"/>
          <w:lang w:val="en-US"/>
        </w:rPr>
        <w:t>investigate</w:t>
      </w:r>
      <w:r>
        <w:rPr>
          <w:rFonts w:ascii="Arial" w:hAnsi="Arial" w:cs="Arial"/>
          <w:lang w:val="en-US"/>
        </w:rPr>
        <w:t xml:space="preserve"> the legal issues and that the test should not be ‘too far</w:t>
      </w:r>
      <w:r w:rsidR="00954EF4">
        <w:rPr>
          <w:rFonts w:ascii="Arial" w:hAnsi="Arial" w:cs="Arial"/>
          <w:lang w:val="en-US"/>
        </w:rPr>
        <w:t>-</w:t>
      </w:r>
      <w:r>
        <w:rPr>
          <w:rFonts w:ascii="Arial" w:hAnsi="Arial" w:cs="Arial"/>
          <w:lang w:val="en-US"/>
        </w:rPr>
        <w:t>fetched’.</w:t>
      </w:r>
      <w:r w:rsidR="00B84B23">
        <w:rPr>
          <w:rFonts w:ascii="Arial" w:hAnsi="Arial" w:cs="Arial"/>
          <w:lang w:val="en-US"/>
        </w:rPr>
        <w:t xml:space="preserve"> </w:t>
      </w:r>
    </w:p>
    <w:p w14:paraId="4C829611" w14:textId="77777777" w:rsidR="00D64D2A" w:rsidRPr="00D64D2A" w:rsidRDefault="00D64D2A" w:rsidP="002A6DF7">
      <w:pPr>
        <w:pStyle w:val="ListParagraph"/>
        <w:ind w:left="0"/>
        <w:rPr>
          <w:rFonts w:ascii="Arial" w:hAnsi="Arial" w:cs="Arial"/>
          <w:lang w:val="en-US"/>
        </w:rPr>
      </w:pPr>
    </w:p>
    <w:p w14:paraId="4C674B03" w14:textId="56DAA366" w:rsidR="00D64D2A" w:rsidRPr="00363450" w:rsidRDefault="00D64D2A"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As stated in </w:t>
      </w:r>
      <w:proofErr w:type="spellStart"/>
      <w:r w:rsidRPr="009F7A02">
        <w:rPr>
          <w:rFonts w:ascii="Arial" w:hAnsi="Arial" w:cs="Arial"/>
          <w:i/>
          <w:iCs/>
        </w:rPr>
        <w:t>Vaatz</w:t>
      </w:r>
      <w:proofErr w:type="spellEnd"/>
      <w:r w:rsidRPr="009F7A02">
        <w:rPr>
          <w:rFonts w:ascii="Arial" w:hAnsi="Arial" w:cs="Arial"/>
          <w:i/>
          <w:iCs/>
        </w:rPr>
        <w:t xml:space="preserve">: In re Schweiger v </w:t>
      </w:r>
      <w:proofErr w:type="spellStart"/>
      <w:r w:rsidRPr="009F7A02">
        <w:rPr>
          <w:rFonts w:ascii="Arial" w:hAnsi="Arial" w:cs="Arial"/>
          <w:i/>
          <w:iCs/>
        </w:rPr>
        <w:t>Gamikaub</w:t>
      </w:r>
      <w:proofErr w:type="spellEnd"/>
      <w:r w:rsidRPr="009F7A02">
        <w:rPr>
          <w:rFonts w:ascii="Arial" w:hAnsi="Arial" w:cs="Arial"/>
          <w:i/>
          <w:iCs/>
        </w:rPr>
        <w:t xml:space="preserve"> (Pty) Ltd</w:t>
      </w:r>
      <w:r w:rsidRPr="009F7A02">
        <w:rPr>
          <w:rStyle w:val="FootnoteReference"/>
          <w:rFonts w:ascii="Arial" w:hAnsi="Arial" w:cs="Arial"/>
        </w:rPr>
        <w:footnoteReference w:id="6"/>
      </w:r>
      <w:r w:rsidRPr="009F7A02">
        <w:rPr>
          <w:rFonts w:ascii="Arial" w:hAnsi="Arial" w:cs="Arial"/>
        </w:rPr>
        <w:t>,</w:t>
      </w:r>
      <w:r w:rsidRPr="009F7A02">
        <w:rPr>
          <w:rFonts w:ascii="Arial" w:hAnsi="Arial" w:cs="Arial"/>
          <w:lang w:val="en-US"/>
        </w:rPr>
        <w:t xml:space="preserve"> an applicant ‘</w:t>
      </w:r>
      <w:r>
        <w:rPr>
          <w:rFonts w:ascii="Arial" w:hAnsi="Arial" w:cs="Arial"/>
          <w:lang w:val="en-US"/>
        </w:rPr>
        <w:t xml:space="preserve">must show cause, in the sense of satisfying the Court, that there is a prospect of </w:t>
      </w:r>
      <w:proofErr w:type="gramStart"/>
      <w:r>
        <w:rPr>
          <w:rFonts w:ascii="Arial" w:hAnsi="Arial" w:cs="Arial"/>
          <w:lang w:val="en-US"/>
        </w:rPr>
        <w:t>success’</w:t>
      </w:r>
      <w:proofErr w:type="gramEnd"/>
      <w:r>
        <w:rPr>
          <w:rFonts w:ascii="Arial" w:hAnsi="Arial" w:cs="Arial"/>
          <w:lang w:val="en-US"/>
        </w:rPr>
        <w:t>.</w:t>
      </w:r>
      <w:r w:rsidR="007730E2">
        <w:rPr>
          <w:rFonts w:ascii="Arial" w:hAnsi="Arial" w:cs="Arial"/>
          <w:lang w:val="en-US"/>
        </w:rPr>
        <w:t xml:space="preserve"> T</w:t>
      </w:r>
      <w:r w:rsidRPr="00593D7C">
        <w:rPr>
          <w:rFonts w:ascii="Arial" w:hAnsi="Arial" w:cs="Arial"/>
          <w:lang w:val="en-US"/>
        </w:rPr>
        <w:t>he</w:t>
      </w:r>
      <w:r>
        <w:rPr>
          <w:rFonts w:ascii="Arial" w:hAnsi="Arial" w:cs="Arial"/>
          <w:lang w:val="en-US"/>
        </w:rPr>
        <w:t xml:space="preserve"> court referred to </w:t>
      </w:r>
      <w:proofErr w:type="spellStart"/>
      <w:r w:rsidRPr="00363450">
        <w:rPr>
          <w:rFonts w:ascii="Arial" w:hAnsi="Arial" w:cs="Arial"/>
          <w:i/>
          <w:iCs/>
        </w:rPr>
        <w:t>Darries</w:t>
      </w:r>
      <w:proofErr w:type="spellEnd"/>
      <w:r w:rsidRPr="00363450">
        <w:rPr>
          <w:rFonts w:ascii="Arial" w:hAnsi="Arial" w:cs="Arial"/>
          <w:i/>
          <w:iCs/>
        </w:rPr>
        <w:t> v</w:t>
      </w:r>
      <w:r>
        <w:rPr>
          <w:rFonts w:ascii="Arial" w:hAnsi="Arial" w:cs="Arial"/>
          <w:i/>
          <w:iCs/>
        </w:rPr>
        <w:t xml:space="preserve"> </w:t>
      </w:r>
      <w:r w:rsidRPr="00363450">
        <w:rPr>
          <w:rFonts w:ascii="Arial" w:hAnsi="Arial" w:cs="Arial"/>
          <w:i/>
          <w:iCs/>
        </w:rPr>
        <w:t>Sheriff, Magistrate's Court, Wynberg and Another</w:t>
      </w:r>
      <w:r w:rsidRPr="00363450">
        <w:rPr>
          <w:rStyle w:val="FootnoteReference"/>
          <w:rFonts w:ascii="Arial" w:hAnsi="Arial" w:cs="Arial"/>
        </w:rPr>
        <w:footnoteReference w:id="7"/>
      </w:r>
      <w:r w:rsidRPr="00363450">
        <w:rPr>
          <w:rFonts w:ascii="Arial" w:hAnsi="Arial" w:cs="Arial"/>
        </w:rPr>
        <w:t>, where the</w:t>
      </w:r>
      <w:r>
        <w:rPr>
          <w:rFonts w:ascii="Arial" w:hAnsi="Arial" w:cs="Arial"/>
        </w:rPr>
        <w:t xml:space="preserve"> following was said about the prospects of success requirement:</w:t>
      </w:r>
    </w:p>
    <w:p w14:paraId="31B58F87" w14:textId="77777777" w:rsidR="00D64D2A" w:rsidRPr="00363450" w:rsidRDefault="00D64D2A" w:rsidP="002A6DF7">
      <w:pPr>
        <w:rPr>
          <w:rFonts w:ascii="Arial" w:hAnsi="Arial" w:cs="Arial"/>
          <w:lang w:val="en-US"/>
        </w:rPr>
      </w:pPr>
    </w:p>
    <w:p w14:paraId="1D4FF4ED" w14:textId="77777777" w:rsidR="00D64D2A" w:rsidRPr="00363450" w:rsidRDefault="00D64D2A" w:rsidP="0018581A">
      <w:pPr>
        <w:pStyle w:val="ListParagraph"/>
        <w:spacing w:line="360" w:lineRule="auto"/>
        <w:ind w:left="0" w:firstLine="720"/>
        <w:jc w:val="both"/>
        <w:rPr>
          <w:rFonts w:ascii="Arial" w:hAnsi="Arial" w:cs="Arial"/>
          <w:sz w:val="22"/>
          <w:szCs w:val="22"/>
          <w:lang w:val="en-US"/>
        </w:rPr>
      </w:pPr>
      <w:r w:rsidRPr="00363450">
        <w:rPr>
          <w:rFonts w:ascii="Arial" w:hAnsi="Arial" w:cs="Arial"/>
          <w:sz w:val="22"/>
          <w:szCs w:val="22"/>
        </w:rPr>
        <w:t xml:space="preserve">‘. . . . When application is made for </w:t>
      </w:r>
      <w:proofErr w:type="gramStart"/>
      <w:r w:rsidRPr="00363450">
        <w:rPr>
          <w:rFonts w:ascii="Arial" w:hAnsi="Arial" w:cs="Arial"/>
          <w:sz w:val="22"/>
          <w:szCs w:val="22"/>
        </w:rPr>
        <w:t>condonation</w:t>
      </w:r>
      <w:proofErr w:type="gramEnd"/>
      <w:r w:rsidRPr="00363450">
        <w:rPr>
          <w:rFonts w:ascii="Arial" w:hAnsi="Arial" w:cs="Arial"/>
          <w:sz w:val="22"/>
          <w:szCs w:val="22"/>
        </w:rPr>
        <w:t xml:space="preserve"> it is advisable that the petition should set forth briefly and succinctly such essential information as may enable the Court to assess the appellant's prospects of success. See </w:t>
      </w:r>
      <w:proofErr w:type="spellStart"/>
      <w:r w:rsidRPr="00363450">
        <w:rPr>
          <w:rFonts w:ascii="Arial" w:hAnsi="Arial" w:cs="Arial"/>
          <w:i/>
          <w:iCs/>
          <w:sz w:val="22"/>
          <w:szCs w:val="22"/>
        </w:rPr>
        <w:t>Meintjies</w:t>
      </w:r>
      <w:r w:rsidRPr="00363450">
        <w:rPr>
          <w:rFonts w:ascii="Arial" w:hAnsi="Arial" w:cs="Arial"/>
          <w:sz w:val="22"/>
          <w:szCs w:val="22"/>
        </w:rPr>
        <w:t>'s</w:t>
      </w:r>
      <w:proofErr w:type="spellEnd"/>
      <w:r w:rsidRPr="00363450">
        <w:rPr>
          <w:rFonts w:ascii="Arial" w:hAnsi="Arial" w:cs="Arial"/>
          <w:sz w:val="22"/>
          <w:szCs w:val="22"/>
        </w:rPr>
        <w:t xml:space="preserve"> case </w:t>
      </w:r>
      <w:r w:rsidRPr="00363450">
        <w:rPr>
          <w:rFonts w:ascii="Arial" w:hAnsi="Arial" w:cs="Arial"/>
          <w:i/>
          <w:iCs/>
          <w:sz w:val="22"/>
          <w:szCs w:val="22"/>
        </w:rPr>
        <w:t>supra</w:t>
      </w:r>
      <w:r w:rsidRPr="00363450">
        <w:rPr>
          <w:rFonts w:ascii="Arial" w:hAnsi="Arial" w:cs="Arial"/>
          <w:sz w:val="22"/>
          <w:szCs w:val="22"/>
        </w:rPr>
        <w:t> at 265C-</w:t>
      </w:r>
      <w:r w:rsidRPr="00363450">
        <w:rPr>
          <w:rFonts w:ascii="Arial" w:hAnsi="Arial" w:cs="Arial"/>
          <w:sz w:val="22"/>
          <w:szCs w:val="22"/>
        </w:rPr>
        <w:lastRenderedPageBreak/>
        <w:t>E; </w:t>
      </w:r>
      <w:r w:rsidRPr="00363450">
        <w:rPr>
          <w:rFonts w:ascii="Arial" w:hAnsi="Arial" w:cs="Arial"/>
          <w:i/>
          <w:iCs/>
          <w:sz w:val="22"/>
          <w:szCs w:val="22"/>
        </w:rPr>
        <w:t>Rennie v </w:t>
      </w:r>
      <w:proofErr w:type="spellStart"/>
      <w:r w:rsidRPr="00363450">
        <w:rPr>
          <w:rFonts w:ascii="Arial" w:hAnsi="Arial" w:cs="Arial"/>
          <w:i/>
          <w:iCs/>
          <w:sz w:val="22"/>
          <w:szCs w:val="22"/>
        </w:rPr>
        <w:t>Kamby</w:t>
      </w:r>
      <w:proofErr w:type="spellEnd"/>
      <w:r w:rsidRPr="00363450">
        <w:rPr>
          <w:rFonts w:ascii="Arial" w:hAnsi="Arial" w:cs="Arial"/>
          <w:i/>
          <w:iCs/>
          <w:sz w:val="22"/>
          <w:szCs w:val="22"/>
        </w:rPr>
        <w:t xml:space="preserve"> Farms (Pty) Ltd </w:t>
      </w:r>
      <w:r w:rsidRPr="00363450">
        <w:rPr>
          <w:rFonts w:ascii="Arial" w:hAnsi="Arial" w:cs="Arial"/>
          <w:sz w:val="22"/>
          <w:szCs w:val="22"/>
        </w:rPr>
        <w:t>1989 (2) SA 124 (A) at 131E-F; </w:t>
      </w:r>
      <w:proofErr w:type="spellStart"/>
      <w:r w:rsidRPr="00363450">
        <w:rPr>
          <w:rFonts w:ascii="Arial" w:hAnsi="Arial" w:cs="Arial"/>
          <w:i/>
          <w:iCs/>
          <w:sz w:val="22"/>
          <w:szCs w:val="22"/>
        </w:rPr>
        <w:t>Moraliswani</w:t>
      </w:r>
      <w:proofErr w:type="spellEnd"/>
      <w:r w:rsidRPr="00363450">
        <w:rPr>
          <w:rFonts w:ascii="Arial" w:hAnsi="Arial" w:cs="Arial"/>
          <w:i/>
          <w:iCs/>
          <w:sz w:val="22"/>
          <w:szCs w:val="22"/>
        </w:rPr>
        <w:t> v </w:t>
      </w:r>
      <w:proofErr w:type="spellStart"/>
      <w:r w:rsidRPr="00363450">
        <w:rPr>
          <w:rFonts w:ascii="Arial" w:hAnsi="Arial" w:cs="Arial"/>
          <w:i/>
          <w:iCs/>
          <w:sz w:val="22"/>
          <w:szCs w:val="22"/>
        </w:rPr>
        <w:t>Mamili</w:t>
      </w:r>
      <w:proofErr w:type="spellEnd"/>
      <w:r w:rsidRPr="00363450">
        <w:rPr>
          <w:rFonts w:ascii="Arial" w:hAnsi="Arial" w:cs="Arial"/>
          <w:i/>
          <w:iCs/>
          <w:sz w:val="22"/>
          <w:szCs w:val="22"/>
        </w:rPr>
        <w:t xml:space="preserve"> </w:t>
      </w:r>
      <w:r w:rsidRPr="00363450">
        <w:rPr>
          <w:rFonts w:ascii="Arial" w:hAnsi="Arial" w:cs="Arial"/>
          <w:sz w:val="22"/>
          <w:szCs w:val="22"/>
        </w:rPr>
        <w:t>1989 (4) SA 1 (A) at 10E.’</w:t>
      </w:r>
    </w:p>
    <w:p w14:paraId="1F73FB7F" w14:textId="77777777" w:rsidR="00D64D2A" w:rsidRPr="00B84B23" w:rsidRDefault="00D64D2A" w:rsidP="002A6DF7">
      <w:pPr>
        <w:pStyle w:val="ListParagraph"/>
        <w:ind w:left="0"/>
        <w:rPr>
          <w:rFonts w:ascii="Arial" w:hAnsi="Arial" w:cs="Arial"/>
          <w:lang w:val="en-US"/>
        </w:rPr>
      </w:pPr>
    </w:p>
    <w:p w14:paraId="6A21C431" w14:textId="2449F631" w:rsidR="0018581A" w:rsidRDefault="007730E2" w:rsidP="0018581A">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court finds that the provision in r 56(2) that an application for relief must be ‘supported by evidence’ should not be interpreted to mean that an applicant must ‘prove’ that it has a reasonable prospect of success</w:t>
      </w:r>
      <w:r w:rsidR="00C1733F">
        <w:rPr>
          <w:rFonts w:ascii="Arial" w:hAnsi="Arial" w:cs="Arial"/>
          <w:lang w:val="en-US"/>
        </w:rPr>
        <w:t xml:space="preserve"> or provide evidence of its prospect of success</w:t>
      </w:r>
      <w:r>
        <w:rPr>
          <w:rFonts w:ascii="Arial" w:hAnsi="Arial" w:cs="Arial"/>
          <w:lang w:val="en-US"/>
        </w:rPr>
        <w:t>. The court has the discretion to condone the non-compliance</w:t>
      </w:r>
      <w:r>
        <w:rPr>
          <w:rStyle w:val="FootnoteReference"/>
          <w:rFonts w:ascii="Arial" w:hAnsi="Arial" w:cs="Arial"/>
          <w:lang w:val="en-US"/>
        </w:rPr>
        <w:footnoteReference w:id="8"/>
      </w:r>
      <w:r>
        <w:rPr>
          <w:rFonts w:ascii="Arial" w:hAnsi="Arial" w:cs="Arial"/>
          <w:lang w:val="en-US"/>
        </w:rPr>
        <w:t xml:space="preserve">. </w:t>
      </w:r>
      <w:r w:rsidR="0018581A" w:rsidRPr="0018581A">
        <w:rPr>
          <w:rFonts w:ascii="Arial" w:hAnsi="Arial" w:cs="Arial"/>
          <w:lang w:val="en-US"/>
        </w:rPr>
        <w:t xml:space="preserve">The </w:t>
      </w:r>
      <w:r w:rsidR="0018581A">
        <w:rPr>
          <w:rFonts w:ascii="Arial" w:hAnsi="Arial" w:cs="Arial"/>
          <w:lang w:val="en-US"/>
        </w:rPr>
        <w:t xml:space="preserve">court </w:t>
      </w:r>
      <w:r>
        <w:rPr>
          <w:rFonts w:ascii="Arial" w:hAnsi="Arial" w:cs="Arial"/>
          <w:lang w:val="en-US"/>
        </w:rPr>
        <w:t xml:space="preserve">further </w:t>
      </w:r>
      <w:r w:rsidR="0018581A">
        <w:rPr>
          <w:rFonts w:ascii="Arial" w:hAnsi="Arial" w:cs="Arial"/>
          <w:lang w:val="en-US"/>
        </w:rPr>
        <w:t xml:space="preserve">finds that the </w:t>
      </w:r>
      <w:r w:rsidR="0018581A" w:rsidRPr="0018581A">
        <w:rPr>
          <w:rFonts w:ascii="Arial" w:hAnsi="Arial" w:cs="Arial"/>
          <w:lang w:val="en-US"/>
        </w:rPr>
        <w:t xml:space="preserve">court exercising </w:t>
      </w:r>
      <w:r>
        <w:rPr>
          <w:rFonts w:ascii="Arial" w:hAnsi="Arial" w:cs="Arial"/>
          <w:lang w:val="en-US"/>
        </w:rPr>
        <w:t xml:space="preserve">its </w:t>
      </w:r>
      <w:r w:rsidR="0018581A" w:rsidRPr="0018581A">
        <w:rPr>
          <w:rFonts w:ascii="Arial" w:hAnsi="Arial" w:cs="Arial"/>
          <w:lang w:val="en-US"/>
        </w:rPr>
        <w:t>discretion in any given condonation application must</w:t>
      </w:r>
      <w:r w:rsidR="0018581A">
        <w:rPr>
          <w:rFonts w:ascii="Arial" w:hAnsi="Arial" w:cs="Arial"/>
          <w:lang w:val="en-US"/>
        </w:rPr>
        <w:t xml:space="preserve"> </w:t>
      </w:r>
      <w:r>
        <w:rPr>
          <w:rFonts w:ascii="Arial" w:hAnsi="Arial" w:cs="Arial"/>
          <w:lang w:val="en-US"/>
        </w:rPr>
        <w:t xml:space="preserve">only </w:t>
      </w:r>
      <w:r w:rsidR="0018581A" w:rsidRPr="0018581A">
        <w:rPr>
          <w:rFonts w:ascii="Arial" w:hAnsi="Arial" w:cs="Arial"/>
          <w:lang w:val="en-US"/>
        </w:rPr>
        <w:t>be satisfied that there is a reasonable prospect of success</w:t>
      </w:r>
      <w:r w:rsidR="0018581A">
        <w:rPr>
          <w:rFonts w:ascii="Arial" w:hAnsi="Arial" w:cs="Arial"/>
          <w:lang w:val="en-US"/>
        </w:rPr>
        <w:t xml:space="preserve">; the plaintiff need not prove the prospect, nor is evidence of it required. </w:t>
      </w:r>
    </w:p>
    <w:p w14:paraId="2C708D0E" w14:textId="77777777" w:rsidR="0018581A" w:rsidRPr="0018581A" w:rsidRDefault="0018581A" w:rsidP="0018581A">
      <w:pPr>
        <w:pStyle w:val="ListParagraph"/>
        <w:rPr>
          <w:rFonts w:ascii="Arial" w:hAnsi="Arial" w:cs="Arial"/>
          <w:lang w:val="en-US"/>
        </w:rPr>
      </w:pPr>
    </w:p>
    <w:p w14:paraId="3CA24660" w14:textId="05073EAA" w:rsidR="0018581A" w:rsidRDefault="00954EF4" w:rsidP="0018581A">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defendant's argument that an evidential basis is required for reliance on the interruption of prescription is not upheld. The plaintiff is not required to prove the interruption of prescription</w:t>
      </w:r>
      <w:r w:rsidR="007730E2">
        <w:rPr>
          <w:rFonts w:ascii="Arial" w:hAnsi="Arial" w:cs="Arial"/>
          <w:lang w:val="en-US"/>
        </w:rPr>
        <w:t>, nor to provide evidence of it</w:t>
      </w:r>
      <w:r>
        <w:rPr>
          <w:rFonts w:ascii="Arial" w:hAnsi="Arial" w:cs="Arial"/>
          <w:lang w:val="en-US"/>
        </w:rPr>
        <w:t>.</w:t>
      </w:r>
    </w:p>
    <w:p w14:paraId="3872B68E" w14:textId="77777777" w:rsidR="0018581A" w:rsidRPr="0018581A" w:rsidRDefault="0018581A" w:rsidP="0018581A">
      <w:pPr>
        <w:pStyle w:val="ListParagraph"/>
        <w:rPr>
          <w:rFonts w:ascii="Arial" w:hAnsi="Arial" w:cs="Arial"/>
          <w:lang w:val="en-US"/>
        </w:rPr>
      </w:pPr>
    </w:p>
    <w:p w14:paraId="6908BF12" w14:textId="24C104CF" w:rsidR="00224848" w:rsidRPr="0018581A" w:rsidRDefault="00360E66" w:rsidP="0018581A">
      <w:pPr>
        <w:pStyle w:val="ListParagraph"/>
        <w:numPr>
          <w:ilvl w:val="0"/>
          <w:numId w:val="9"/>
        </w:numPr>
        <w:spacing w:line="360" w:lineRule="auto"/>
        <w:ind w:left="0" w:firstLine="0"/>
        <w:jc w:val="both"/>
        <w:rPr>
          <w:rFonts w:ascii="Arial" w:hAnsi="Arial" w:cs="Arial"/>
          <w:lang w:val="en-US"/>
        </w:rPr>
      </w:pPr>
      <w:r w:rsidRPr="0018581A">
        <w:rPr>
          <w:rFonts w:ascii="Arial" w:hAnsi="Arial" w:cs="Arial"/>
          <w:lang w:val="en-US"/>
        </w:rPr>
        <w:t xml:space="preserve">At the hearing, the plaintiff reiterated and was open about its intention to amend the particulars of claim. Seeing that the plaintiff intends to amend the particulars of claim, and based on the facts provided by the plaintiff, the court finds that it has </w:t>
      </w:r>
      <w:r w:rsidR="007730E2">
        <w:rPr>
          <w:rFonts w:ascii="Arial" w:hAnsi="Arial" w:cs="Arial"/>
          <w:lang w:val="en-US"/>
        </w:rPr>
        <w:t xml:space="preserve">a </w:t>
      </w:r>
      <w:r w:rsidRPr="0018581A">
        <w:rPr>
          <w:rFonts w:ascii="Arial" w:hAnsi="Arial" w:cs="Arial"/>
          <w:lang w:val="en-US"/>
        </w:rPr>
        <w:t>reasonable prospect of success</w:t>
      </w:r>
      <w:r w:rsidR="007730E2">
        <w:rPr>
          <w:rFonts w:ascii="Arial" w:hAnsi="Arial" w:cs="Arial"/>
          <w:lang w:val="en-US"/>
        </w:rPr>
        <w:t xml:space="preserve"> in the claim in convention and its </w:t>
      </w:r>
      <w:proofErr w:type="spellStart"/>
      <w:r w:rsidR="007730E2">
        <w:rPr>
          <w:rFonts w:ascii="Arial" w:hAnsi="Arial" w:cs="Arial"/>
          <w:lang w:val="en-US"/>
        </w:rPr>
        <w:t>defence</w:t>
      </w:r>
      <w:proofErr w:type="spellEnd"/>
      <w:r w:rsidR="007730E2">
        <w:rPr>
          <w:rFonts w:ascii="Arial" w:hAnsi="Arial" w:cs="Arial"/>
          <w:lang w:val="en-US"/>
        </w:rPr>
        <w:t xml:space="preserve"> to the claim in reconvention. A</w:t>
      </w:r>
      <w:r w:rsidRPr="0018581A">
        <w:rPr>
          <w:rFonts w:ascii="Arial" w:hAnsi="Arial" w:cs="Arial"/>
          <w:lang w:val="en-US"/>
        </w:rPr>
        <w:t xml:space="preserve"> </w:t>
      </w:r>
      <w:r w:rsidR="007730E2">
        <w:rPr>
          <w:rFonts w:ascii="Arial" w:hAnsi="Arial" w:cs="Arial"/>
          <w:lang w:val="en-US"/>
        </w:rPr>
        <w:t xml:space="preserve">considerable </w:t>
      </w:r>
      <w:r w:rsidRPr="0018581A">
        <w:rPr>
          <w:rFonts w:ascii="Arial" w:hAnsi="Arial" w:cs="Arial"/>
          <w:lang w:val="en-US"/>
        </w:rPr>
        <w:t xml:space="preserve">amount of weight is attached. </w:t>
      </w:r>
    </w:p>
    <w:p w14:paraId="14B0291D" w14:textId="77777777" w:rsidR="00224848" w:rsidRPr="00224848" w:rsidRDefault="00224848" w:rsidP="002A6DF7">
      <w:pPr>
        <w:pStyle w:val="ListParagraph"/>
        <w:ind w:left="0"/>
        <w:rPr>
          <w:rFonts w:ascii="Arial" w:hAnsi="Arial" w:cs="Arial"/>
          <w:lang w:val="en-US"/>
        </w:rPr>
      </w:pPr>
    </w:p>
    <w:p w14:paraId="015AD529" w14:textId="3ABE4384" w:rsidR="00224848" w:rsidRDefault="00224848"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w:t>
      </w:r>
      <w:r w:rsidR="00080C48">
        <w:rPr>
          <w:rFonts w:ascii="Arial" w:hAnsi="Arial" w:cs="Arial"/>
          <w:lang w:val="en-US"/>
        </w:rPr>
        <w:t>p</w:t>
      </w:r>
      <w:r>
        <w:rPr>
          <w:rFonts w:ascii="Arial" w:hAnsi="Arial" w:cs="Arial"/>
          <w:lang w:val="en-US"/>
        </w:rPr>
        <w:t xml:space="preserve">laintiff further submitted </w:t>
      </w:r>
      <w:r w:rsidR="00080C48">
        <w:rPr>
          <w:rFonts w:ascii="Arial" w:hAnsi="Arial" w:cs="Arial"/>
          <w:lang w:val="en-US"/>
        </w:rPr>
        <w:t>the following</w:t>
      </w:r>
      <w:r>
        <w:rPr>
          <w:rFonts w:ascii="Arial" w:hAnsi="Arial" w:cs="Arial"/>
          <w:lang w:val="en-US"/>
        </w:rPr>
        <w:t xml:space="preserve">. </w:t>
      </w:r>
      <w:r w:rsidR="00593D7C">
        <w:rPr>
          <w:rFonts w:ascii="Arial" w:hAnsi="Arial" w:cs="Arial"/>
          <w:lang w:val="en-US"/>
        </w:rPr>
        <w:t xml:space="preserve">The non-compliance was not intentional. The plaintiff complied with the rest of the </w:t>
      </w:r>
      <w:r w:rsidR="00C570E4">
        <w:rPr>
          <w:rFonts w:ascii="Arial" w:hAnsi="Arial" w:cs="Arial"/>
          <w:lang w:val="en-US"/>
        </w:rPr>
        <w:t>21 June 2023 court order orders</w:t>
      </w:r>
      <w:r w:rsidR="00593D7C">
        <w:rPr>
          <w:rFonts w:ascii="Arial" w:hAnsi="Arial" w:cs="Arial"/>
          <w:lang w:val="en-US"/>
        </w:rPr>
        <w:t xml:space="preserve">. </w:t>
      </w:r>
      <w:r>
        <w:rPr>
          <w:rFonts w:ascii="Arial" w:hAnsi="Arial" w:cs="Arial"/>
          <w:lang w:val="en-US"/>
        </w:rPr>
        <w:t xml:space="preserve">The matter is in the first stage of </w:t>
      </w:r>
      <w:r w:rsidR="00080C48">
        <w:rPr>
          <w:rFonts w:ascii="Arial" w:hAnsi="Arial" w:cs="Arial"/>
          <w:lang w:val="en-US"/>
        </w:rPr>
        <w:t xml:space="preserve">the </w:t>
      </w:r>
      <w:r>
        <w:rPr>
          <w:rFonts w:ascii="Arial" w:hAnsi="Arial" w:cs="Arial"/>
          <w:lang w:val="en-US"/>
        </w:rPr>
        <w:t xml:space="preserve">exchange of pleadings. No trial date has been set. The </w:t>
      </w:r>
      <w:r w:rsidR="00080C48">
        <w:rPr>
          <w:rFonts w:ascii="Arial" w:hAnsi="Arial" w:cs="Arial"/>
          <w:lang w:val="en-US"/>
        </w:rPr>
        <w:t>d</w:t>
      </w:r>
      <w:r>
        <w:rPr>
          <w:rFonts w:ascii="Arial" w:hAnsi="Arial" w:cs="Arial"/>
          <w:lang w:val="en-US"/>
        </w:rPr>
        <w:t>efendant did not suffer prejudice</w:t>
      </w:r>
      <w:r w:rsidR="00C570E4">
        <w:rPr>
          <w:rFonts w:ascii="Arial" w:hAnsi="Arial" w:cs="Arial"/>
          <w:lang w:val="en-US"/>
        </w:rPr>
        <w:t>;</w:t>
      </w:r>
      <w:r>
        <w:rPr>
          <w:rFonts w:ascii="Arial" w:hAnsi="Arial" w:cs="Arial"/>
          <w:lang w:val="en-US"/>
        </w:rPr>
        <w:t xml:space="preserve"> if it did, it was not ‘severe’ considering that if </w:t>
      </w:r>
      <w:r w:rsidR="00080C48">
        <w:rPr>
          <w:rFonts w:ascii="Arial" w:hAnsi="Arial" w:cs="Arial"/>
          <w:lang w:val="en-US"/>
        </w:rPr>
        <w:t>the p</w:t>
      </w:r>
      <w:r>
        <w:rPr>
          <w:rFonts w:ascii="Arial" w:hAnsi="Arial" w:cs="Arial"/>
          <w:lang w:val="en-US"/>
        </w:rPr>
        <w:t xml:space="preserve">laintiff had not defaulted, the parties would still be engaged in case management. The </w:t>
      </w:r>
      <w:r w:rsidR="00080C48">
        <w:rPr>
          <w:rFonts w:ascii="Arial" w:hAnsi="Arial" w:cs="Arial"/>
          <w:lang w:val="en-US"/>
        </w:rPr>
        <w:t>p</w:t>
      </w:r>
      <w:r>
        <w:rPr>
          <w:rFonts w:ascii="Arial" w:hAnsi="Arial" w:cs="Arial"/>
          <w:lang w:val="en-US"/>
        </w:rPr>
        <w:t xml:space="preserve">laintiff would be severely prejudiced if the application </w:t>
      </w:r>
      <w:r w:rsidR="00080C48">
        <w:rPr>
          <w:rFonts w:ascii="Arial" w:hAnsi="Arial" w:cs="Arial"/>
          <w:lang w:val="en-US"/>
        </w:rPr>
        <w:t>wa</w:t>
      </w:r>
      <w:r>
        <w:rPr>
          <w:rFonts w:ascii="Arial" w:hAnsi="Arial" w:cs="Arial"/>
          <w:lang w:val="en-US"/>
        </w:rPr>
        <w:t xml:space="preserve">s refused. It said the </w:t>
      </w:r>
      <w:r w:rsidR="00080C48">
        <w:rPr>
          <w:rFonts w:ascii="Arial" w:hAnsi="Arial" w:cs="Arial"/>
          <w:lang w:val="en-US"/>
        </w:rPr>
        <w:t>d</w:t>
      </w:r>
      <w:r>
        <w:rPr>
          <w:rFonts w:ascii="Arial" w:hAnsi="Arial" w:cs="Arial"/>
          <w:lang w:val="en-US"/>
        </w:rPr>
        <w:t>efenda</w:t>
      </w:r>
      <w:r w:rsidR="003955AA">
        <w:rPr>
          <w:rFonts w:ascii="Arial" w:hAnsi="Arial" w:cs="Arial"/>
          <w:lang w:val="en-US"/>
        </w:rPr>
        <w:t>n</w:t>
      </w:r>
      <w:r>
        <w:rPr>
          <w:rFonts w:ascii="Arial" w:hAnsi="Arial" w:cs="Arial"/>
          <w:lang w:val="en-US"/>
        </w:rPr>
        <w:t xml:space="preserve">t has been operating from the </w:t>
      </w:r>
      <w:r w:rsidR="00080C48">
        <w:rPr>
          <w:rFonts w:ascii="Arial" w:hAnsi="Arial" w:cs="Arial"/>
          <w:lang w:val="en-US"/>
        </w:rPr>
        <w:t>p</w:t>
      </w:r>
      <w:r>
        <w:rPr>
          <w:rFonts w:ascii="Arial" w:hAnsi="Arial" w:cs="Arial"/>
          <w:lang w:val="en-US"/>
        </w:rPr>
        <w:t>laintiff’s property without fulfilling its rental obligations since 2016</w:t>
      </w:r>
      <w:r w:rsidR="00080C48">
        <w:rPr>
          <w:rFonts w:ascii="Arial" w:hAnsi="Arial" w:cs="Arial"/>
          <w:lang w:val="en-US"/>
        </w:rPr>
        <w:t>,</w:t>
      </w:r>
      <w:r>
        <w:rPr>
          <w:rFonts w:ascii="Arial" w:hAnsi="Arial" w:cs="Arial"/>
          <w:lang w:val="en-US"/>
        </w:rPr>
        <w:t xml:space="preserve"> and the </w:t>
      </w:r>
      <w:r w:rsidR="00080C48">
        <w:rPr>
          <w:rFonts w:ascii="Arial" w:hAnsi="Arial" w:cs="Arial"/>
          <w:lang w:val="en-US"/>
        </w:rPr>
        <w:t>p</w:t>
      </w:r>
      <w:r>
        <w:rPr>
          <w:rFonts w:ascii="Arial" w:hAnsi="Arial" w:cs="Arial"/>
          <w:lang w:val="en-US"/>
        </w:rPr>
        <w:t>laintiff is deprived of the use and enjoyment of its property.</w:t>
      </w:r>
      <w:r w:rsidR="00E548CB">
        <w:rPr>
          <w:rFonts w:ascii="Arial" w:hAnsi="Arial" w:cs="Arial"/>
          <w:lang w:val="en-US"/>
        </w:rPr>
        <w:t xml:space="preserve"> It would be in the administration of justice to place the plaintiff’s case before the court.</w:t>
      </w:r>
    </w:p>
    <w:p w14:paraId="53E9CA53" w14:textId="77777777" w:rsidR="000258A5" w:rsidRPr="000258A5" w:rsidRDefault="000258A5" w:rsidP="002A6DF7">
      <w:pPr>
        <w:pStyle w:val="ListParagraph"/>
        <w:ind w:left="0"/>
        <w:rPr>
          <w:rFonts w:ascii="Arial" w:hAnsi="Arial" w:cs="Arial"/>
          <w:lang w:val="en-US"/>
        </w:rPr>
      </w:pPr>
    </w:p>
    <w:p w14:paraId="4D45D5E0" w14:textId="718F0257" w:rsidR="00D64D2A" w:rsidRDefault="00593D7C"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lastRenderedPageBreak/>
        <w:t xml:space="preserve">The defendant made the following submissions in response to the plaintiff’s submissions in the preceding paragraph. To say that the non-compliance was </w:t>
      </w:r>
      <w:r w:rsidR="00D64D2A">
        <w:rPr>
          <w:rFonts w:ascii="Arial" w:hAnsi="Arial" w:cs="Arial"/>
          <w:lang w:val="en-US"/>
        </w:rPr>
        <w:t>un</w:t>
      </w:r>
      <w:r>
        <w:rPr>
          <w:rFonts w:ascii="Arial" w:hAnsi="Arial" w:cs="Arial"/>
          <w:lang w:val="en-US"/>
        </w:rPr>
        <w:t>intention</w:t>
      </w:r>
      <w:r w:rsidR="00D64D2A">
        <w:rPr>
          <w:rFonts w:ascii="Arial" w:hAnsi="Arial" w:cs="Arial"/>
          <w:lang w:val="en-US"/>
        </w:rPr>
        <w:t>al</w:t>
      </w:r>
      <w:r>
        <w:rPr>
          <w:rFonts w:ascii="Arial" w:hAnsi="Arial" w:cs="Arial"/>
          <w:lang w:val="en-US"/>
        </w:rPr>
        <w:t xml:space="preserve"> is evasive and fails to address the condonation requirements imposed by law. The plaintiff failed to engage in terms of r 32(9) and to file its r 32(10) notice. The condonation application was served one day late. It is irrelevant that no trial date was set. The defendant is prejudiced as there would have to be a revised case plan order directing the exchange of further pleadings, further consultations</w:t>
      </w:r>
      <w:r w:rsidR="00D64D2A">
        <w:rPr>
          <w:rFonts w:ascii="Arial" w:hAnsi="Arial" w:cs="Arial"/>
          <w:lang w:val="en-US"/>
        </w:rPr>
        <w:t>, and supplementary discovery,</w:t>
      </w:r>
      <w:r>
        <w:rPr>
          <w:rFonts w:ascii="Arial" w:hAnsi="Arial" w:cs="Arial"/>
          <w:lang w:val="en-US"/>
        </w:rPr>
        <w:t xml:space="preserve"> and a cost order limited to r 32(11) would not </w:t>
      </w:r>
      <w:r w:rsidR="00E548CB">
        <w:rPr>
          <w:rFonts w:ascii="Arial" w:hAnsi="Arial" w:cs="Arial"/>
          <w:lang w:val="en-US"/>
        </w:rPr>
        <w:t xml:space="preserve">address the defendant’s prejudice. The plaintiff is not a mineral rights holder. The pleadings do not support its complaint of being deprived of use and enjoyment. The rules of court are there for the expeditious disposal of matters on their real merits </w:t>
      </w:r>
      <w:r w:rsidR="0018581A">
        <w:rPr>
          <w:rFonts w:ascii="Arial" w:hAnsi="Arial" w:cs="Arial"/>
          <w:lang w:val="en-US"/>
        </w:rPr>
        <w:t>fairly</w:t>
      </w:r>
      <w:r w:rsidR="00E548CB">
        <w:rPr>
          <w:rFonts w:ascii="Arial" w:hAnsi="Arial" w:cs="Arial"/>
          <w:lang w:val="en-US"/>
        </w:rPr>
        <w:t xml:space="preserve"> to both parties. It is unknown what the plaintiff intends to do with its intended exception and rectification claim and how it would further frustrate the orderly management of the case.</w:t>
      </w:r>
    </w:p>
    <w:p w14:paraId="0B2AE206" w14:textId="77777777" w:rsidR="00D64D2A" w:rsidRPr="000258A5" w:rsidRDefault="00D64D2A" w:rsidP="002A6DF7">
      <w:pPr>
        <w:pStyle w:val="ListParagraph"/>
        <w:ind w:left="0"/>
        <w:rPr>
          <w:rFonts w:ascii="Arial" w:hAnsi="Arial" w:cs="Arial"/>
          <w:lang w:val="en-US"/>
        </w:rPr>
      </w:pPr>
    </w:p>
    <w:p w14:paraId="08D03651" w14:textId="7A95665E" w:rsidR="00D64D2A" w:rsidRDefault="00D64D2A"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In considering the circumstances set out in the two preceding paragraphs on the facts before the court, and apart from the findings already made, the court further finds that:</w:t>
      </w:r>
    </w:p>
    <w:p w14:paraId="48D9E53F" w14:textId="77777777" w:rsidR="00D64D2A" w:rsidRPr="00D64D2A" w:rsidRDefault="00D64D2A" w:rsidP="002A6DF7">
      <w:pPr>
        <w:pStyle w:val="ListParagraph"/>
        <w:ind w:left="0"/>
        <w:rPr>
          <w:rFonts w:ascii="Arial" w:hAnsi="Arial" w:cs="Arial"/>
          <w:lang w:val="en-US"/>
        </w:rPr>
      </w:pPr>
    </w:p>
    <w:p w14:paraId="2A829070" w14:textId="57491D25" w:rsidR="00D64D2A" w:rsidRDefault="00F14142" w:rsidP="002A6DF7">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I</w:t>
      </w:r>
      <w:r w:rsidR="00D64D2A">
        <w:rPr>
          <w:rFonts w:ascii="Arial" w:hAnsi="Arial" w:cs="Arial"/>
          <w:lang w:val="en-US"/>
        </w:rPr>
        <w:t>t cannot be said that the non-compliance was intentional.</w:t>
      </w:r>
      <w:r w:rsidR="005A4D83">
        <w:rPr>
          <w:rFonts w:ascii="Arial" w:hAnsi="Arial" w:cs="Arial"/>
          <w:lang w:val="en-US"/>
        </w:rPr>
        <w:t xml:space="preserve"> No weight is attached</w:t>
      </w:r>
      <w:r w:rsidR="00C570E4">
        <w:rPr>
          <w:rFonts w:ascii="Arial" w:hAnsi="Arial" w:cs="Arial"/>
          <w:lang w:val="en-US"/>
        </w:rPr>
        <w:t xml:space="preserve"> to that factor</w:t>
      </w:r>
      <w:r w:rsidR="005A4D83">
        <w:rPr>
          <w:rFonts w:ascii="Arial" w:hAnsi="Arial" w:cs="Arial"/>
          <w:lang w:val="en-US"/>
        </w:rPr>
        <w:t>.</w:t>
      </w:r>
    </w:p>
    <w:p w14:paraId="6DEBE928" w14:textId="77777777" w:rsidR="00D64D2A" w:rsidRPr="00D64D2A" w:rsidRDefault="00D64D2A" w:rsidP="002A6DF7">
      <w:pPr>
        <w:pStyle w:val="ListParagraph"/>
        <w:ind w:left="0"/>
        <w:rPr>
          <w:rFonts w:ascii="Arial" w:hAnsi="Arial" w:cs="Arial"/>
          <w:lang w:val="en-US"/>
        </w:rPr>
      </w:pPr>
    </w:p>
    <w:p w14:paraId="634E0DB0" w14:textId="6F605103" w:rsidR="00D64D2A" w:rsidRDefault="00F14142" w:rsidP="002A6DF7">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E</w:t>
      </w:r>
      <w:r w:rsidR="00D64D2A">
        <w:rPr>
          <w:rFonts w:ascii="Arial" w:hAnsi="Arial" w:cs="Arial"/>
          <w:lang w:val="en-US"/>
        </w:rPr>
        <w:t>ven though compliance with r 32(9) and (10) was not required, the plaintiff did engage the defendant in terms of r 32(9)</w:t>
      </w:r>
      <w:r w:rsidR="005912C8">
        <w:rPr>
          <w:rFonts w:ascii="Arial" w:hAnsi="Arial" w:cs="Arial"/>
          <w:lang w:val="en-US"/>
        </w:rPr>
        <w:t>,</w:t>
      </w:r>
      <w:r w:rsidR="00D64D2A">
        <w:rPr>
          <w:rFonts w:ascii="Arial" w:hAnsi="Arial" w:cs="Arial"/>
          <w:lang w:val="en-US"/>
        </w:rPr>
        <w:t xml:space="preserve"> and it did file a r 32(10) notice </w:t>
      </w:r>
      <w:r>
        <w:rPr>
          <w:rFonts w:ascii="Arial" w:hAnsi="Arial" w:cs="Arial"/>
          <w:lang w:val="en-US"/>
        </w:rPr>
        <w:t>on 2 August 2023.</w:t>
      </w:r>
      <w:r w:rsidR="005A4D83">
        <w:rPr>
          <w:rFonts w:ascii="Arial" w:hAnsi="Arial" w:cs="Arial"/>
          <w:lang w:val="en-US"/>
        </w:rPr>
        <w:t xml:space="preserve"> No weight is attached</w:t>
      </w:r>
      <w:r w:rsidR="00C570E4">
        <w:rPr>
          <w:rFonts w:ascii="Arial" w:hAnsi="Arial" w:cs="Arial"/>
          <w:lang w:val="en-US"/>
        </w:rPr>
        <w:t xml:space="preserve"> to that factor</w:t>
      </w:r>
      <w:r w:rsidR="005A4D83">
        <w:rPr>
          <w:rFonts w:ascii="Arial" w:hAnsi="Arial" w:cs="Arial"/>
          <w:lang w:val="en-US"/>
        </w:rPr>
        <w:t xml:space="preserve">. </w:t>
      </w:r>
    </w:p>
    <w:p w14:paraId="2B03E6E8" w14:textId="77777777" w:rsidR="00D64D2A" w:rsidRPr="00D64D2A" w:rsidRDefault="00D64D2A" w:rsidP="002A6DF7">
      <w:pPr>
        <w:pStyle w:val="ListParagraph"/>
        <w:ind w:left="0"/>
        <w:rPr>
          <w:rFonts w:ascii="Arial" w:hAnsi="Arial" w:cs="Arial"/>
          <w:lang w:val="en-US"/>
        </w:rPr>
      </w:pPr>
    </w:p>
    <w:p w14:paraId="68233DBA" w14:textId="6B460267" w:rsidR="00D64D2A" w:rsidRDefault="00F14142" w:rsidP="002A6DF7">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On 25 October 2023</w:t>
      </w:r>
      <w:r w:rsidR="0018581A">
        <w:rPr>
          <w:rFonts w:ascii="Arial" w:hAnsi="Arial" w:cs="Arial"/>
          <w:lang w:val="en-US"/>
        </w:rPr>
        <w:t>,</w:t>
      </w:r>
      <w:r>
        <w:rPr>
          <w:rFonts w:ascii="Arial" w:hAnsi="Arial" w:cs="Arial"/>
          <w:lang w:val="en-US"/>
        </w:rPr>
        <w:t xml:space="preserve"> the plaintiff was ordered to ‘file’ its </w:t>
      </w:r>
      <w:r w:rsidR="005A4D83">
        <w:rPr>
          <w:rFonts w:ascii="Arial" w:hAnsi="Arial" w:cs="Arial"/>
          <w:lang w:val="en-US"/>
        </w:rPr>
        <w:t>condona</w:t>
      </w:r>
      <w:r w:rsidR="005912C8">
        <w:rPr>
          <w:rFonts w:ascii="Arial" w:hAnsi="Arial" w:cs="Arial"/>
          <w:lang w:val="en-US"/>
        </w:rPr>
        <w:t>ti</w:t>
      </w:r>
      <w:r w:rsidR="005A4D83">
        <w:rPr>
          <w:rFonts w:ascii="Arial" w:hAnsi="Arial" w:cs="Arial"/>
          <w:lang w:val="en-US"/>
        </w:rPr>
        <w:t>on</w:t>
      </w:r>
      <w:r>
        <w:rPr>
          <w:rFonts w:ascii="Arial" w:hAnsi="Arial" w:cs="Arial"/>
          <w:lang w:val="en-US"/>
        </w:rPr>
        <w:t xml:space="preserve"> application no later than 9 November 2023</w:t>
      </w:r>
      <w:r w:rsidR="0018581A">
        <w:rPr>
          <w:rFonts w:ascii="Arial" w:hAnsi="Arial" w:cs="Arial"/>
          <w:lang w:val="en-US"/>
        </w:rPr>
        <w:t xml:space="preserve">. Whereas, </w:t>
      </w:r>
      <w:r>
        <w:rPr>
          <w:rFonts w:ascii="Arial" w:hAnsi="Arial" w:cs="Arial"/>
          <w:lang w:val="en-US"/>
        </w:rPr>
        <w:t>in terms of r 1</w:t>
      </w:r>
      <w:r w:rsidRPr="0018581A">
        <w:rPr>
          <w:rFonts w:ascii="Arial" w:hAnsi="Arial" w:cs="Arial"/>
          <w:i/>
          <w:iCs/>
          <w:lang w:val="en-US"/>
        </w:rPr>
        <w:t>(a)</w:t>
      </w:r>
      <w:r w:rsidR="0018581A">
        <w:rPr>
          <w:rFonts w:ascii="Arial" w:hAnsi="Arial" w:cs="Arial"/>
          <w:lang w:val="en-US"/>
        </w:rPr>
        <w:t>,</w:t>
      </w:r>
      <w:r w:rsidR="00C570E4">
        <w:rPr>
          <w:rFonts w:ascii="Arial" w:hAnsi="Arial" w:cs="Arial"/>
          <w:lang w:val="en-US"/>
        </w:rPr>
        <w:t xml:space="preserve"> </w:t>
      </w:r>
      <w:r>
        <w:rPr>
          <w:rFonts w:ascii="Arial" w:hAnsi="Arial" w:cs="Arial"/>
          <w:lang w:val="en-US"/>
        </w:rPr>
        <w:t>‘file’ means ‘to file with the registrar’ and, in terms of r 2(1), the registrar’s office hours for filing any document ends at 15:00, the application was ‘filed’ one day late.</w:t>
      </w:r>
      <w:r w:rsidR="005A4D83">
        <w:rPr>
          <w:rFonts w:ascii="Arial" w:hAnsi="Arial" w:cs="Arial"/>
          <w:lang w:val="en-US"/>
        </w:rPr>
        <w:t xml:space="preserve"> That non-compliance was negligible</w:t>
      </w:r>
      <w:r w:rsidR="00C570E4">
        <w:rPr>
          <w:rFonts w:ascii="Arial" w:hAnsi="Arial" w:cs="Arial"/>
          <w:lang w:val="en-US"/>
        </w:rPr>
        <w:t>,</w:t>
      </w:r>
      <w:r w:rsidR="005A4D83">
        <w:rPr>
          <w:rFonts w:ascii="Arial" w:hAnsi="Arial" w:cs="Arial"/>
          <w:lang w:val="en-US"/>
        </w:rPr>
        <w:t xml:space="preserve"> and no weight is </w:t>
      </w:r>
      <w:r w:rsidR="00C570E4">
        <w:rPr>
          <w:rFonts w:ascii="Arial" w:hAnsi="Arial" w:cs="Arial"/>
          <w:lang w:val="en-US"/>
        </w:rPr>
        <w:t>attached to that factor</w:t>
      </w:r>
      <w:r w:rsidR="005A4D83">
        <w:rPr>
          <w:rFonts w:ascii="Arial" w:hAnsi="Arial" w:cs="Arial"/>
          <w:lang w:val="en-US"/>
        </w:rPr>
        <w:t xml:space="preserve">. </w:t>
      </w:r>
      <w:r>
        <w:rPr>
          <w:rFonts w:ascii="Arial" w:hAnsi="Arial" w:cs="Arial"/>
          <w:lang w:val="en-US"/>
        </w:rPr>
        <w:t xml:space="preserve"> </w:t>
      </w:r>
    </w:p>
    <w:p w14:paraId="6DB21589" w14:textId="77777777" w:rsidR="00F14142" w:rsidRPr="00F14142" w:rsidRDefault="00F14142" w:rsidP="002A6DF7">
      <w:pPr>
        <w:pStyle w:val="ListParagraph"/>
        <w:ind w:left="0"/>
        <w:rPr>
          <w:rFonts w:ascii="Arial" w:hAnsi="Arial" w:cs="Arial"/>
          <w:lang w:val="en-US"/>
        </w:rPr>
      </w:pPr>
    </w:p>
    <w:p w14:paraId="5336FE7B" w14:textId="6A6DD177" w:rsidR="00A655CD" w:rsidRDefault="00A655CD" w:rsidP="002A6DF7">
      <w:pPr>
        <w:pStyle w:val="ListParagraph"/>
        <w:numPr>
          <w:ilvl w:val="0"/>
          <w:numId w:val="7"/>
        </w:numPr>
        <w:spacing w:line="360" w:lineRule="auto"/>
        <w:ind w:left="0" w:firstLine="0"/>
        <w:jc w:val="both"/>
        <w:rPr>
          <w:rFonts w:ascii="Arial" w:hAnsi="Arial" w:cs="Arial"/>
          <w:lang w:val="en-US"/>
        </w:rPr>
      </w:pPr>
      <w:r>
        <w:rPr>
          <w:rFonts w:ascii="Arial" w:hAnsi="Arial" w:cs="Arial"/>
          <w:lang w:val="en-US"/>
        </w:rPr>
        <w:t xml:space="preserve">Had it not been for the non-compliance, a trial date could have been set on 25 October 2023 when the matter would have returned to court for a pre-trial conference, and such a date could have been set for the first term of 2024. Due </w:t>
      </w:r>
      <w:r>
        <w:rPr>
          <w:rFonts w:ascii="Arial" w:hAnsi="Arial" w:cs="Arial"/>
          <w:lang w:val="en-US"/>
        </w:rPr>
        <w:lastRenderedPageBreak/>
        <w:t xml:space="preserve">to the non-compliance, a trial date will </w:t>
      </w:r>
      <w:r w:rsidR="005A4D83">
        <w:rPr>
          <w:rFonts w:ascii="Arial" w:hAnsi="Arial" w:cs="Arial"/>
          <w:lang w:val="en-US"/>
        </w:rPr>
        <w:t>like</w:t>
      </w:r>
      <w:r>
        <w:rPr>
          <w:rFonts w:ascii="Arial" w:hAnsi="Arial" w:cs="Arial"/>
          <w:lang w:val="en-US"/>
        </w:rPr>
        <w:t>ly only be set towards the end of the second term.</w:t>
      </w:r>
      <w:r w:rsidR="005A4D83">
        <w:rPr>
          <w:rFonts w:ascii="Arial" w:hAnsi="Arial" w:cs="Arial"/>
          <w:lang w:val="en-US"/>
        </w:rPr>
        <w:t xml:space="preserve"> Some weight is attached to that</w:t>
      </w:r>
      <w:r w:rsidR="00C570E4">
        <w:rPr>
          <w:rFonts w:ascii="Arial" w:hAnsi="Arial" w:cs="Arial"/>
          <w:lang w:val="en-US"/>
        </w:rPr>
        <w:t xml:space="preserve"> factor</w:t>
      </w:r>
      <w:r w:rsidR="006A6F34">
        <w:rPr>
          <w:rFonts w:ascii="Arial" w:hAnsi="Arial" w:cs="Arial"/>
          <w:lang w:val="en-US"/>
        </w:rPr>
        <w:t xml:space="preserve"> against the plaintiff</w:t>
      </w:r>
      <w:r w:rsidR="005A4D83">
        <w:rPr>
          <w:rFonts w:ascii="Arial" w:hAnsi="Arial" w:cs="Arial"/>
          <w:lang w:val="en-US"/>
        </w:rPr>
        <w:t xml:space="preserve">. </w:t>
      </w:r>
    </w:p>
    <w:p w14:paraId="7FCD83BB" w14:textId="77777777" w:rsidR="00A655CD" w:rsidRPr="00A655CD" w:rsidRDefault="00A655CD" w:rsidP="002A6DF7">
      <w:pPr>
        <w:pStyle w:val="ListParagraph"/>
        <w:ind w:left="0"/>
        <w:rPr>
          <w:rFonts w:ascii="Arial" w:hAnsi="Arial" w:cs="Arial"/>
          <w:lang w:val="en-US"/>
        </w:rPr>
      </w:pPr>
    </w:p>
    <w:p w14:paraId="401DF7C8" w14:textId="249C2378" w:rsidR="00A655CD" w:rsidRPr="00A655CD" w:rsidRDefault="00A655CD" w:rsidP="002A6DF7">
      <w:pPr>
        <w:pStyle w:val="ListParagraph"/>
        <w:numPr>
          <w:ilvl w:val="0"/>
          <w:numId w:val="7"/>
        </w:numPr>
        <w:spacing w:line="360" w:lineRule="auto"/>
        <w:ind w:left="0" w:firstLine="0"/>
        <w:jc w:val="both"/>
        <w:rPr>
          <w:rFonts w:ascii="Arial" w:hAnsi="Arial" w:cs="Arial"/>
          <w:lang w:val="en-US"/>
        </w:rPr>
      </w:pPr>
      <w:r w:rsidRPr="00A655CD">
        <w:rPr>
          <w:rFonts w:ascii="Arial" w:hAnsi="Arial" w:cs="Arial"/>
          <w:lang w:val="en-US"/>
        </w:rPr>
        <w:t xml:space="preserve">The effect </w:t>
      </w:r>
      <w:r w:rsidR="005A4D83">
        <w:rPr>
          <w:rFonts w:ascii="Arial" w:hAnsi="Arial" w:cs="Arial"/>
          <w:lang w:val="en-US"/>
        </w:rPr>
        <w:t>that the refusal of the application would have on the plaintiff is much worse than the effect that</w:t>
      </w:r>
      <w:r w:rsidRPr="00A655CD">
        <w:rPr>
          <w:rFonts w:ascii="Arial" w:hAnsi="Arial" w:cs="Arial"/>
          <w:lang w:val="en-US"/>
        </w:rPr>
        <w:t xml:space="preserve"> </w:t>
      </w:r>
      <w:r w:rsidR="005A4D83">
        <w:rPr>
          <w:rFonts w:ascii="Arial" w:hAnsi="Arial" w:cs="Arial"/>
          <w:lang w:val="en-US"/>
        </w:rPr>
        <w:t xml:space="preserve">the </w:t>
      </w:r>
      <w:r w:rsidRPr="00A655CD">
        <w:rPr>
          <w:rFonts w:ascii="Arial" w:hAnsi="Arial" w:cs="Arial"/>
          <w:lang w:val="en-US"/>
        </w:rPr>
        <w:t>non-compliance and the granting of the application would have on the defendant.</w:t>
      </w:r>
      <w:r w:rsidR="005A4D83">
        <w:rPr>
          <w:rFonts w:ascii="Arial" w:hAnsi="Arial" w:cs="Arial"/>
          <w:lang w:val="en-US"/>
        </w:rPr>
        <w:t xml:space="preserve"> A substantial amount of weight is attached</w:t>
      </w:r>
      <w:r w:rsidR="00C570E4">
        <w:rPr>
          <w:rFonts w:ascii="Arial" w:hAnsi="Arial" w:cs="Arial"/>
          <w:lang w:val="en-US"/>
        </w:rPr>
        <w:t xml:space="preserve"> to that factor</w:t>
      </w:r>
      <w:r w:rsidR="005A4D83">
        <w:rPr>
          <w:rFonts w:ascii="Arial" w:hAnsi="Arial" w:cs="Arial"/>
          <w:lang w:val="en-US"/>
        </w:rPr>
        <w:t xml:space="preserve">. </w:t>
      </w:r>
      <w:r w:rsidR="00642B8B">
        <w:rPr>
          <w:rFonts w:ascii="Arial" w:hAnsi="Arial" w:cs="Arial"/>
          <w:lang w:val="en-US"/>
        </w:rPr>
        <w:t>When</w:t>
      </w:r>
      <w:r w:rsidR="005A4D83">
        <w:rPr>
          <w:rFonts w:ascii="Arial" w:hAnsi="Arial" w:cs="Arial"/>
          <w:lang w:val="en-US"/>
        </w:rPr>
        <w:t xml:space="preserve"> the plaintiff amend</w:t>
      </w:r>
      <w:r w:rsidR="00C570E4">
        <w:rPr>
          <w:rFonts w:ascii="Arial" w:hAnsi="Arial" w:cs="Arial"/>
          <w:lang w:val="en-US"/>
        </w:rPr>
        <w:t>s</w:t>
      </w:r>
      <w:r w:rsidR="005A4D83">
        <w:rPr>
          <w:rFonts w:ascii="Arial" w:hAnsi="Arial" w:cs="Arial"/>
          <w:lang w:val="en-US"/>
        </w:rPr>
        <w:t xml:space="preserve"> its particulars of claim, it would </w:t>
      </w:r>
      <w:r w:rsidR="00AB0FAC">
        <w:rPr>
          <w:rFonts w:ascii="Arial" w:hAnsi="Arial" w:cs="Arial"/>
          <w:lang w:val="en-US"/>
        </w:rPr>
        <w:t>be liable under r 52(8)</w:t>
      </w:r>
      <w:r w:rsidR="005A4D83">
        <w:rPr>
          <w:rFonts w:ascii="Arial" w:hAnsi="Arial" w:cs="Arial"/>
          <w:lang w:val="en-US"/>
        </w:rPr>
        <w:t xml:space="preserve"> to pay the costs occasioned thereby to the defendant.</w:t>
      </w:r>
      <w:r w:rsidR="00C570E4">
        <w:rPr>
          <w:rFonts w:ascii="Arial" w:hAnsi="Arial" w:cs="Arial"/>
          <w:lang w:val="en-US"/>
        </w:rPr>
        <w:t xml:space="preserve"> </w:t>
      </w:r>
      <w:r w:rsidR="0044117A">
        <w:rPr>
          <w:rFonts w:ascii="Arial" w:hAnsi="Arial" w:cs="Arial"/>
          <w:lang w:val="en-US"/>
        </w:rPr>
        <w:t>T</w:t>
      </w:r>
      <w:r w:rsidR="00642B8B">
        <w:rPr>
          <w:rFonts w:ascii="Arial" w:hAnsi="Arial" w:cs="Arial"/>
          <w:lang w:val="en-US"/>
        </w:rPr>
        <w:t>he defendant</w:t>
      </w:r>
      <w:r w:rsidR="00C570E4">
        <w:rPr>
          <w:rFonts w:ascii="Arial" w:hAnsi="Arial" w:cs="Arial"/>
          <w:lang w:val="en-US"/>
        </w:rPr>
        <w:t xml:space="preserve"> would be at large to seek </w:t>
      </w:r>
      <w:r w:rsidR="0044117A">
        <w:rPr>
          <w:rFonts w:ascii="Arial" w:hAnsi="Arial" w:cs="Arial"/>
          <w:lang w:val="en-US"/>
        </w:rPr>
        <w:t xml:space="preserve">further </w:t>
      </w:r>
      <w:r w:rsidR="00C570E4">
        <w:rPr>
          <w:rFonts w:ascii="Arial" w:hAnsi="Arial" w:cs="Arial"/>
          <w:lang w:val="en-US"/>
        </w:rPr>
        <w:t xml:space="preserve">cost orders against the plaintiff for </w:t>
      </w:r>
      <w:r w:rsidR="00AB0FAC">
        <w:rPr>
          <w:rFonts w:ascii="Arial" w:hAnsi="Arial" w:cs="Arial"/>
          <w:lang w:val="en-US"/>
        </w:rPr>
        <w:t>additional</w:t>
      </w:r>
      <w:r w:rsidR="0044117A">
        <w:rPr>
          <w:rFonts w:ascii="Arial" w:hAnsi="Arial" w:cs="Arial"/>
          <w:lang w:val="en-US"/>
        </w:rPr>
        <w:t xml:space="preserve"> </w:t>
      </w:r>
      <w:r w:rsidR="00C570E4">
        <w:rPr>
          <w:rFonts w:ascii="Arial" w:hAnsi="Arial" w:cs="Arial"/>
          <w:lang w:val="en-US"/>
        </w:rPr>
        <w:t xml:space="preserve">steps </w:t>
      </w:r>
      <w:r w:rsidR="0044117A">
        <w:rPr>
          <w:rFonts w:ascii="Arial" w:hAnsi="Arial" w:cs="Arial"/>
          <w:lang w:val="en-US"/>
        </w:rPr>
        <w:t xml:space="preserve">to be taken </w:t>
      </w:r>
      <w:r w:rsidR="00642B8B">
        <w:rPr>
          <w:rFonts w:ascii="Arial" w:hAnsi="Arial" w:cs="Arial"/>
          <w:lang w:val="en-US"/>
        </w:rPr>
        <w:t>by the plaintiff</w:t>
      </w:r>
      <w:r w:rsidR="00C570E4">
        <w:rPr>
          <w:rFonts w:ascii="Arial" w:hAnsi="Arial" w:cs="Arial"/>
          <w:lang w:val="en-US"/>
        </w:rPr>
        <w:t>.</w:t>
      </w:r>
      <w:r w:rsidR="0044117A">
        <w:rPr>
          <w:rFonts w:ascii="Arial" w:hAnsi="Arial" w:cs="Arial"/>
          <w:lang w:val="en-US"/>
        </w:rPr>
        <w:t xml:space="preserve"> Further cost orders could cure the defendant’s prejudice complained about. </w:t>
      </w:r>
      <w:r w:rsidR="00C570E4">
        <w:rPr>
          <w:rFonts w:ascii="Arial" w:hAnsi="Arial" w:cs="Arial"/>
          <w:lang w:val="en-US"/>
        </w:rPr>
        <w:t xml:space="preserve"> </w:t>
      </w:r>
    </w:p>
    <w:p w14:paraId="58B78EEB" w14:textId="77777777" w:rsidR="00A655CD" w:rsidRPr="000258A5" w:rsidRDefault="00A655CD" w:rsidP="002A6DF7">
      <w:pPr>
        <w:pStyle w:val="ListParagraph"/>
        <w:ind w:left="0"/>
        <w:rPr>
          <w:rFonts w:ascii="Arial" w:hAnsi="Arial" w:cs="Arial"/>
          <w:lang w:val="en-US"/>
        </w:rPr>
      </w:pPr>
    </w:p>
    <w:p w14:paraId="4F51E702" w14:textId="14F2B05B" w:rsidR="002D67A4" w:rsidRPr="002D67A4" w:rsidRDefault="002D67A4" w:rsidP="002A6DF7">
      <w:pPr>
        <w:pStyle w:val="ListParagraph"/>
        <w:spacing w:line="360" w:lineRule="auto"/>
        <w:ind w:left="0"/>
        <w:jc w:val="both"/>
        <w:rPr>
          <w:rFonts w:ascii="Arial" w:hAnsi="Arial" w:cs="Arial"/>
          <w:u w:val="single"/>
          <w:lang w:val="en-US"/>
        </w:rPr>
      </w:pPr>
      <w:r>
        <w:rPr>
          <w:rFonts w:ascii="Arial" w:hAnsi="Arial" w:cs="Arial"/>
          <w:u w:val="single"/>
          <w:lang w:val="en-US"/>
        </w:rPr>
        <w:t xml:space="preserve">High Court </w:t>
      </w:r>
      <w:r w:rsidR="00D64D2A">
        <w:rPr>
          <w:rFonts w:ascii="Arial" w:hAnsi="Arial" w:cs="Arial"/>
          <w:u w:val="single"/>
          <w:lang w:val="en-US"/>
        </w:rPr>
        <w:t>r</w:t>
      </w:r>
      <w:r>
        <w:rPr>
          <w:rFonts w:ascii="Arial" w:hAnsi="Arial" w:cs="Arial"/>
          <w:u w:val="single"/>
          <w:lang w:val="en-US"/>
        </w:rPr>
        <w:t>ule 32(11)</w:t>
      </w:r>
    </w:p>
    <w:p w14:paraId="79C2B421" w14:textId="77777777" w:rsidR="002D67A4" w:rsidRPr="002D67A4" w:rsidRDefault="002D67A4" w:rsidP="002A6DF7">
      <w:pPr>
        <w:pStyle w:val="ListParagraph"/>
        <w:ind w:left="0"/>
        <w:rPr>
          <w:rFonts w:ascii="Arial" w:hAnsi="Arial" w:cs="Arial"/>
          <w:lang w:val="en-US"/>
        </w:rPr>
      </w:pPr>
    </w:p>
    <w:p w14:paraId="5FEA03C4" w14:textId="1E5AB491" w:rsidR="002D67A4" w:rsidRDefault="00A655CD" w:rsidP="002A6DF7">
      <w:pPr>
        <w:pStyle w:val="ListParagraph"/>
        <w:numPr>
          <w:ilvl w:val="0"/>
          <w:numId w:val="9"/>
        </w:numPr>
        <w:spacing w:line="360" w:lineRule="auto"/>
        <w:ind w:left="0" w:firstLine="0"/>
        <w:jc w:val="both"/>
        <w:rPr>
          <w:rFonts w:ascii="Arial" w:hAnsi="Arial" w:cs="Arial"/>
          <w:lang w:val="en-US"/>
        </w:rPr>
      </w:pPr>
      <w:r>
        <w:rPr>
          <w:rFonts w:ascii="Arial" w:eastAsia="Calibri" w:hAnsi="Arial" w:cs="Arial"/>
          <w:bCs/>
        </w:rPr>
        <w:t>The parties are ad idem that r</w:t>
      </w:r>
      <w:r w:rsidR="002D67A4">
        <w:rPr>
          <w:rFonts w:ascii="Arial" w:eastAsia="Calibri" w:hAnsi="Arial" w:cs="Arial"/>
          <w:bCs/>
        </w:rPr>
        <w:t xml:space="preserve"> 32(9) and (10) </w:t>
      </w:r>
      <w:r>
        <w:rPr>
          <w:rFonts w:ascii="Arial" w:eastAsia="Calibri" w:hAnsi="Arial" w:cs="Arial"/>
          <w:bCs/>
        </w:rPr>
        <w:t>d</w:t>
      </w:r>
      <w:r w:rsidR="006200B2">
        <w:rPr>
          <w:rFonts w:ascii="Arial" w:eastAsia="Calibri" w:hAnsi="Arial" w:cs="Arial"/>
          <w:bCs/>
        </w:rPr>
        <w:t>o</w:t>
      </w:r>
      <w:r>
        <w:rPr>
          <w:rFonts w:ascii="Arial" w:eastAsia="Calibri" w:hAnsi="Arial" w:cs="Arial"/>
          <w:bCs/>
        </w:rPr>
        <w:t xml:space="preserve"> not apply to the condonation application. The defendant</w:t>
      </w:r>
      <w:r w:rsidR="005A4D83">
        <w:rPr>
          <w:rFonts w:ascii="Arial" w:eastAsia="Calibri" w:hAnsi="Arial" w:cs="Arial"/>
          <w:bCs/>
        </w:rPr>
        <w:t>, however,</w:t>
      </w:r>
      <w:r>
        <w:rPr>
          <w:rFonts w:ascii="Arial" w:eastAsia="Calibri" w:hAnsi="Arial" w:cs="Arial"/>
          <w:bCs/>
        </w:rPr>
        <w:t xml:space="preserve"> contended that</w:t>
      </w:r>
      <w:r w:rsidR="006200B2">
        <w:rPr>
          <w:rFonts w:ascii="Arial" w:eastAsia="Calibri" w:hAnsi="Arial" w:cs="Arial"/>
          <w:bCs/>
        </w:rPr>
        <w:t xml:space="preserve">, as a result, </w:t>
      </w:r>
      <w:r w:rsidR="002D67A4">
        <w:rPr>
          <w:rFonts w:ascii="Arial" w:eastAsia="Calibri" w:hAnsi="Arial" w:cs="Arial"/>
          <w:bCs/>
        </w:rPr>
        <w:t>r 32(11)</w:t>
      </w:r>
      <w:r w:rsidR="006200B2">
        <w:rPr>
          <w:rFonts w:ascii="Arial" w:eastAsia="Calibri" w:hAnsi="Arial" w:cs="Arial"/>
          <w:bCs/>
        </w:rPr>
        <w:t xml:space="preserve"> </w:t>
      </w:r>
      <w:r w:rsidR="00C570E4">
        <w:rPr>
          <w:rFonts w:ascii="Arial" w:eastAsia="Calibri" w:hAnsi="Arial" w:cs="Arial"/>
          <w:bCs/>
        </w:rPr>
        <w:t xml:space="preserve">should also </w:t>
      </w:r>
      <w:r w:rsidR="006200B2">
        <w:rPr>
          <w:rFonts w:ascii="Arial" w:eastAsia="Calibri" w:hAnsi="Arial" w:cs="Arial"/>
          <w:bCs/>
        </w:rPr>
        <w:t>not apply.</w:t>
      </w:r>
    </w:p>
    <w:p w14:paraId="466C88BE" w14:textId="77777777" w:rsidR="002D67A4" w:rsidRPr="002D67A4" w:rsidRDefault="002D67A4" w:rsidP="002A6DF7">
      <w:pPr>
        <w:pStyle w:val="ListParagraph"/>
        <w:ind w:left="0"/>
        <w:rPr>
          <w:rFonts w:ascii="Arial" w:hAnsi="Arial" w:cs="Arial"/>
          <w:lang w:val="en-US"/>
        </w:rPr>
      </w:pPr>
    </w:p>
    <w:p w14:paraId="022F2145" w14:textId="1870BE39" w:rsidR="00CC077F" w:rsidRDefault="006200B2"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Rule 3</w:t>
      </w:r>
      <w:r w:rsidR="00BE6C0D">
        <w:rPr>
          <w:rFonts w:ascii="Arial" w:hAnsi="Arial" w:cs="Arial"/>
          <w:lang w:val="en-US"/>
        </w:rPr>
        <w:t>2</w:t>
      </w:r>
      <w:r>
        <w:rPr>
          <w:rFonts w:ascii="Arial" w:hAnsi="Arial" w:cs="Arial"/>
          <w:lang w:val="en-US"/>
        </w:rPr>
        <w:t xml:space="preserve"> deals with interlocutory matters and applications for directions.</w:t>
      </w:r>
      <w:r w:rsidR="00CC077F">
        <w:rPr>
          <w:rFonts w:ascii="Arial" w:hAnsi="Arial" w:cs="Arial"/>
          <w:lang w:val="en-US"/>
        </w:rPr>
        <w:t xml:space="preserve"> As stated in </w:t>
      </w:r>
      <w:r w:rsidR="00CC077F" w:rsidRPr="00CC077F">
        <w:rPr>
          <w:rFonts w:ascii="Arial" w:hAnsi="Arial" w:cs="Arial"/>
          <w:i/>
          <w:iCs/>
        </w:rPr>
        <w:t xml:space="preserve">Wise v </w:t>
      </w:r>
      <w:proofErr w:type="spellStart"/>
      <w:r w:rsidR="00CC077F" w:rsidRPr="00CC077F">
        <w:rPr>
          <w:rFonts w:ascii="Arial" w:hAnsi="Arial" w:cs="Arial"/>
          <w:i/>
          <w:iCs/>
        </w:rPr>
        <w:t>Shikuambi</w:t>
      </w:r>
      <w:proofErr w:type="spellEnd"/>
      <w:r w:rsidR="00CC077F" w:rsidRPr="00CC077F">
        <w:rPr>
          <w:rFonts w:ascii="Arial" w:hAnsi="Arial" w:cs="Arial"/>
          <w:i/>
          <w:iCs/>
        </w:rPr>
        <w:t xml:space="preserve"> NO and Another</w:t>
      </w:r>
      <w:r w:rsidR="00CC077F">
        <w:rPr>
          <w:rStyle w:val="FootnoteReference"/>
          <w:rFonts w:ascii="Arial" w:hAnsi="Arial" w:cs="Arial"/>
          <w:lang w:val="en-US"/>
        </w:rPr>
        <w:footnoteReference w:id="9"/>
      </w:r>
      <w:r w:rsidR="00CC077F">
        <w:rPr>
          <w:rFonts w:ascii="Arial" w:hAnsi="Arial" w:cs="Arial"/>
          <w:i/>
          <w:iCs/>
        </w:rPr>
        <w:t>,</w:t>
      </w:r>
      <w:r w:rsidR="00CC077F">
        <w:rPr>
          <w:rFonts w:ascii="Arial" w:hAnsi="Arial" w:cs="Arial"/>
          <w:lang w:val="en-US"/>
        </w:rPr>
        <w:t xml:space="preserve"> r 32 contemplates applications for directions in respect of interlocutory applications as well as interlocutory application</w:t>
      </w:r>
      <w:r w:rsidR="005A4D83">
        <w:rPr>
          <w:rFonts w:ascii="Arial" w:hAnsi="Arial" w:cs="Arial"/>
          <w:lang w:val="en-US"/>
        </w:rPr>
        <w:t>s</w:t>
      </w:r>
      <w:r w:rsidR="0044117A">
        <w:rPr>
          <w:rFonts w:ascii="Arial" w:hAnsi="Arial" w:cs="Arial"/>
          <w:lang w:val="en-US"/>
        </w:rPr>
        <w:t xml:space="preserve"> themselves</w:t>
      </w:r>
      <w:r w:rsidR="00CC077F">
        <w:rPr>
          <w:rFonts w:ascii="Arial" w:hAnsi="Arial" w:cs="Arial"/>
          <w:lang w:val="en-US"/>
        </w:rPr>
        <w:t>.</w:t>
      </w:r>
    </w:p>
    <w:p w14:paraId="3CE59986" w14:textId="77777777" w:rsidR="002D67A4" w:rsidRPr="00CC077F" w:rsidRDefault="002D67A4" w:rsidP="002A6DF7">
      <w:pPr>
        <w:rPr>
          <w:rFonts w:ascii="Arial" w:hAnsi="Arial" w:cs="Arial"/>
          <w:lang w:val="en-US"/>
        </w:rPr>
      </w:pPr>
    </w:p>
    <w:p w14:paraId="7A3CFC22" w14:textId="2D4574EB" w:rsidR="00250CA5" w:rsidRPr="00250CA5" w:rsidRDefault="00CB552D"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court finds that r</w:t>
      </w:r>
      <w:r w:rsidR="006200B2">
        <w:rPr>
          <w:rFonts w:ascii="Arial" w:hAnsi="Arial" w:cs="Arial"/>
          <w:lang w:val="en-US"/>
        </w:rPr>
        <w:t xml:space="preserve"> 32 applies to condonation application</w:t>
      </w:r>
      <w:r w:rsidR="00CC077F">
        <w:rPr>
          <w:rFonts w:ascii="Arial" w:hAnsi="Arial" w:cs="Arial"/>
          <w:lang w:val="en-US"/>
        </w:rPr>
        <w:t>s, including the application before the court</w:t>
      </w:r>
      <w:r w:rsidR="006200B2">
        <w:rPr>
          <w:rFonts w:ascii="Arial" w:hAnsi="Arial" w:cs="Arial"/>
          <w:lang w:val="en-US"/>
        </w:rPr>
        <w:t>,</w:t>
      </w:r>
      <w:r w:rsidR="00CC077F">
        <w:rPr>
          <w:rFonts w:ascii="Arial" w:hAnsi="Arial" w:cs="Arial"/>
          <w:lang w:val="en-US"/>
        </w:rPr>
        <w:t xml:space="preserve"> </w:t>
      </w:r>
      <w:r w:rsidR="00B668A3">
        <w:rPr>
          <w:rFonts w:ascii="Arial" w:hAnsi="Arial" w:cs="Arial"/>
          <w:lang w:val="en-US"/>
        </w:rPr>
        <w:t>but</w:t>
      </w:r>
      <w:r w:rsidR="006200B2">
        <w:rPr>
          <w:rFonts w:ascii="Arial" w:hAnsi="Arial" w:cs="Arial"/>
          <w:lang w:val="en-US"/>
        </w:rPr>
        <w:t xml:space="preserve"> r 32(9) and (10)</w:t>
      </w:r>
      <w:r w:rsidR="00B668A3">
        <w:rPr>
          <w:rFonts w:ascii="Arial" w:hAnsi="Arial" w:cs="Arial"/>
          <w:lang w:val="en-US"/>
        </w:rPr>
        <w:t xml:space="preserve"> do not</w:t>
      </w:r>
      <w:r w:rsidR="006200B2">
        <w:rPr>
          <w:rFonts w:ascii="Arial" w:hAnsi="Arial" w:cs="Arial"/>
          <w:lang w:val="en-US"/>
        </w:rPr>
        <w:t>.</w:t>
      </w:r>
      <w:r>
        <w:rPr>
          <w:rFonts w:ascii="Arial" w:hAnsi="Arial" w:cs="Arial"/>
          <w:lang w:val="en-US"/>
        </w:rPr>
        <w:t xml:space="preserve"> </w:t>
      </w:r>
      <w:r w:rsidR="005A4D83">
        <w:rPr>
          <w:rFonts w:ascii="Arial" w:hAnsi="Arial" w:cs="Arial"/>
          <w:lang w:val="en-NA"/>
        </w:rPr>
        <w:t>Despite different views of the</w:t>
      </w:r>
      <w:r w:rsidR="005A4D83" w:rsidRPr="00CB552D">
        <w:rPr>
          <w:rFonts w:ascii="Arial" w:hAnsi="Arial" w:cs="Arial"/>
          <w:lang w:val="en-NA"/>
        </w:rPr>
        <w:t xml:space="preserve"> court </w:t>
      </w:r>
      <w:r w:rsidR="005A4D83">
        <w:rPr>
          <w:rFonts w:ascii="Arial" w:hAnsi="Arial" w:cs="Arial"/>
          <w:lang w:val="en-NA"/>
        </w:rPr>
        <w:t>on whether r 32(9) and (10) apply to condonation applications</w:t>
      </w:r>
      <w:r w:rsidR="005A4D83">
        <w:rPr>
          <w:rFonts w:ascii="Arial" w:hAnsi="Arial" w:cs="Arial"/>
          <w:lang w:val="en-US"/>
        </w:rPr>
        <w:t>, the court in</w:t>
      </w:r>
      <w:r w:rsidR="006200B2" w:rsidRPr="00CB552D">
        <w:rPr>
          <w:rFonts w:ascii="Arial" w:hAnsi="Arial" w:cs="Arial"/>
          <w:lang w:val="en-US"/>
        </w:rPr>
        <w:t xml:space="preserve"> </w:t>
      </w:r>
      <w:r w:rsidR="006200B2" w:rsidRPr="00CB552D">
        <w:rPr>
          <w:rFonts w:ascii="Arial" w:hAnsi="Arial" w:cs="Arial"/>
          <w:i/>
          <w:iCs/>
          <w:lang w:val="en-NA"/>
        </w:rPr>
        <w:t>QKR Namibia Navachab Gold Mine (Pty) Ltd v Kwala</w:t>
      </w:r>
      <w:r w:rsidR="006200B2" w:rsidRPr="00CB552D">
        <w:rPr>
          <w:rStyle w:val="FootnoteReference"/>
          <w:rFonts w:ascii="Arial" w:hAnsi="Arial" w:cs="Arial"/>
          <w:lang w:val="en-NA"/>
        </w:rPr>
        <w:footnoteReference w:id="10"/>
      </w:r>
      <w:r w:rsidR="005A4D83">
        <w:rPr>
          <w:rFonts w:ascii="Arial" w:hAnsi="Arial" w:cs="Arial"/>
          <w:lang w:val="en-NA"/>
        </w:rPr>
        <w:t xml:space="preserve"> </w:t>
      </w:r>
      <w:r>
        <w:rPr>
          <w:rFonts w:ascii="Arial" w:hAnsi="Arial" w:cs="Arial"/>
          <w:lang w:val="en-NA"/>
        </w:rPr>
        <w:t>c</w:t>
      </w:r>
      <w:r w:rsidR="00AB0FAC">
        <w:rPr>
          <w:rFonts w:ascii="Arial" w:hAnsi="Arial" w:cs="Arial"/>
          <w:lang w:val="en-NA"/>
        </w:rPr>
        <w:t>oncluded</w:t>
      </w:r>
      <w:r>
        <w:rPr>
          <w:rFonts w:ascii="Arial" w:hAnsi="Arial" w:cs="Arial"/>
          <w:lang w:val="en-NA"/>
        </w:rPr>
        <w:t xml:space="preserve"> that th</w:t>
      </w:r>
      <w:r w:rsidR="005A4D83">
        <w:rPr>
          <w:rFonts w:ascii="Arial" w:hAnsi="Arial" w:cs="Arial"/>
          <w:lang w:val="en-NA"/>
        </w:rPr>
        <w:t>ose two rules do not apply to condonation applications</w:t>
      </w:r>
      <w:r>
        <w:rPr>
          <w:rFonts w:ascii="Arial" w:hAnsi="Arial" w:cs="Arial"/>
          <w:lang w:val="en-NA"/>
        </w:rPr>
        <w:t xml:space="preserve">. The court’s reasoning for that conclusion is sound. That conclusion and </w:t>
      </w:r>
      <w:r w:rsidR="00AB0FAC">
        <w:rPr>
          <w:rFonts w:ascii="Arial" w:hAnsi="Arial" w:cs="Arial"/>
          <w:lang w:val="en-NA"/>
        </w:rPr>
        <w:t>its reasoning</w:t>
      </w:r>
      <w:r>
        <w:rPr>
          <w:rFonts w:ascii="Arial" w:hAnsi="Arial" w:cs="Arial"/>
          <w:lang w:val="en-NA"/>
        </w:rPr>
        <w:t xml:space="preserve"> do</w:t>
      </w:r>
      <w:r w:rsidR="005A4D83">
        <w:rPr>
          <w:rFonts w:ascii="Arial" w:hAnsi="Arial" w:cs="Arial"/>
          <w:lang w:val="en-NA"/>
        </w:rPr>
        <w:t xml:space="preserve"> </w:t>
      </w:r>
      <w:r>
        <w:rPr>
          <w:rFonts w:ascii="Arial" w:hAnsi="Arial" w:cs="Arial"/>
          <w:lang w:val="en-NA"/>
        </w:rPr>
        <w:t xml:space="preserve">not support the defendant’s contention that r 32(11) </w:t>
      </w:r>
      <w:r w:rsidR="00C570E4">
        <w:rPr>
          <w:rFonts w:ascii="Arial" w:hAnsi="Arial" w:cs="Arial"/>
          <w:lang w:val="en-NA"/>
        </w:rPr>
        <w:t xml:space="preserve">should </w:t>
      </w:r>
      <w:r>
        <w:rPr>
          <w:rFonts w:ascii="Arial" w:hAnsi="Arial" w:cs="Arial"/>
          <w:lang w:val="en-NA"/>
        </w:rPr>
        <w:t>not apply</w:t>
      </w:r>
      <w:r w:rsidR="00B668A3">
        <w:rPr>
          <w:rFonts w:ascii="Arial" w:hAnsi="Arial" w:cs="Arial"/>
          <w:lang w:val="en-NA"/>
        </w:rPr>
        <w:t xml:space="preserve"> to the condonaiton application</w:t>
      </w:r>
      <w:r>
        <w:rPr>
          <w:rFonts w:ascii="Arial" w:hAnsi="Arial" w:cs="Arial"/>
          <w:lang w:val="en-NA"/>
        </w:rPr>
        <w:t xml:space="preserve">. </w:t>
      </w:r>
    </w:p>
    <w:p w14:paraId="10A18B15" w14:textId="77777777" w:rsidR="00250CA5" w:rsidRPr="00250CA5" w:rsidRDefault="00250CA5" w:rsidP="00250CA5">
      <w:pPr>
        <w:pStyle w:val="ListParagraph"/>
        <w:rPr>
          <w:rFonts w:ascii="Arial" w:hAnsi="Arial" w:cs="Arial"/>
          <w:lang w:val="en-NA"/>
        </w:rPr>
      </w:pPr>
    </w:p>
    <w:p w14:paraId="75648C20" w14:textId="4AD5C730" w:rsidR="006200B2" w:rsidRPr="00CB552D" w:rsidRDefault="00CB552D"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NA"/>
        </w:rPr>
        <w:lastRenderedPageBreak/>
        <w:t xml:space="preserve">On the contrary, the </w:t>
      </w:r>
      <w:r w:rsidR="005E6D7C">
        <w:rPr>
          <w:rFonts w:ascii="Arial" w:hAnsi="Arial" w:cs="Arial"/>
          <w:lang w:val="en-NA"/>
        </w:rPr>
        <w:t>rationale</w:t>
      </w:r>
      <w:r>
        <w:rPr>
          <w:rFonts w:ascii="Arial" w:hAnsi="Arial" w:cs="Arial"/>
          <w:lang w:val="en-NA"/>
        </w:rPr>
        <w:t xml:space="preserve"> of r 32(11)</w:t>
      </w:r>
      <w:r w:rsidR="00BE6C0D">
        <w:rPr>
          <w:rFonts w:ascii="Arial" w:hAnsi="Arial" w:cs="Arial"/>
          <w:lang w:val="en-NA"/>
        </w:rPr>
        <w:t xml:space="preserve"> as </w:t>
      </w:r>
      <w:r w:rsidR="00C570E4">
        <w:rPr>
          <w:rFonts w:ascii="Arial" w:hAnsi="Arial" w:cs="Arial"/>
          <w:lang w:val="en-NA"/>
        </w:rPr>
        <w:t>expressed</w:t>
      </w:r>
      <w:r w:rsidR="00BE6C0D">
        <w:rPr>
          <w:rFonts w:ascii="Arial" w:hAnsi="Arial" w:cs="Arial"/>
          <w:lang w:val="en-NA"/>
        </w:rPr>
        <w:t xml:space="preserve"> in </w:t>
      </w:r>
      <w:r w:rsidR="00BE6C0D" w:rsidRPr="00BE6C0D">
        <w:rPr>
          <w:rFonts w:ascii="Arial" w:hAnsi="Arial" w:cs="Arial"/>
          <w:i/>
          <w:lang w:val="en-US"/>
        </w:rPr>
        <w:t>South Africa Poultry Association v The Ministry of Trade and Industry</w:t>
      </w:r>
      <w:r w:rsidR="00BE6C0D">
        <w:rPr>
          <w:rStyle w:val="FootnoteReference"/>
          <w:rFonts w:ascii="Arial" w:hAnsi="Arial" w:cs="Arial"/>
          <w:i/>
          <w:lang w:val="en-US"/>
        </w:rPr>
        <w:footnoteReference w:id="11"/>
      </w:r>
      <w:r w:rsidR="00BE6C0D" w:rsidRPr="00BE6C0D">
        <w:rPr>
          <w:rFonts w:ascii="Arial" w:hAnsi="Arial" w:cs="Arial"/>
          <w:i/>
          <w:lang w:val="en-US"/>
        </w:rPr>
        <w:t xml:space="preserve"> </w:t>
      </w:r>
      <w:r w:rsidR="005E6D7C">
        <w:rPr>
          <w:rFonts w:ascii="Arial" w:hAnsi="Arial" w:cs="Arial"/>
          <w:lang w:val="en-NA"/>
        </w:rPr>
        <w:t>rings true</w:t>
      </w:r>
      <w:r w:rsidR="00BE6C0D">
        <w:rPr>
          <w:rFonts w:ascii="Arial" w:hAnsi="Arial" w:cs="Arial"/>
          <w:lang w:val="en-NA"/>
        </w:rPr>
        <w:t xml:space="preserve"> in a condonation application context</w:t>
      </w:r>
      <w:r w:rsidR="005E6D7C">
        <w:rPr>
          <w:rFonts w:ascii="Arial" w:hAnsi="Arial" w:cs="Arial"/>
          <w:lang w:val="en-NA"/>
        </w:rPr>
        <w:t xml:space="preserve"> to limit opposition to </w:t>
      </w:r>
      <w:r w:rsidR="00BE6C0D">
        <w:rPr>
          <w:rFonts w:ascii="Arial" w:hAnsi="Arial" w:cs="Arial"/>
          <w:lang w:val="en-NA"/>
        </w:rPr>
        <w:t>such</w:t>
      </w:r>
      <w:r w:rsidR="005E6D7C">
        <w:rPr>
          <w:rFonts w:ascii="Arial" w:hAnsi="Arial" w:cs="Arial"/>
          <w:lang w:val="en-NA"/>
        </w:rPr>
        <w:t xml:space="preserve"> applications</w:t>
      </w:r>
      <w:r w:rsidR="00C570E4">
        <w:rPr>
          <w:rFonts w:ascii="Arial" w:hAnsi="Arial" w:cs="Arial"/>
          <w:lang w:val="en-NA"/>
        </w:rPr>
        <w:t xml:space="preserve"> thereby limiting </w:t>
      </w:r>
      <w:r w:rsidR="0004221A">
        <w:rPr>
          <w:rFonts w:ascii="Arial" w:hAnsi="Arial" w:cs="Arial"/>
          <w:lang w:val="en-NA"/>
        </w:rPr>
        <w:t>opposed interlocutory proceedings and costs in litigation and facilitating the speedy disposal of such applications</w:t>
      </w:r>
      <w:r w:rsidR="00BE6C0D">
        <w:rPr>
          <w:rFonts w:ascii="Arial" w:hAnsi="Arial" w:cs="Arial"/>
          <w:lang w:val="en-NA"/>
        </w:rPr>
        <w:t>:</w:t>
      </w:r>
      <w:r>
        <w:rPr>
          <w:rFonts w:ascii="Arial" w:hAnsi="Arial" w:cs="Arial"/>
          <w:lang w:val="en-NA"/>
        </w:rPr>
        <w:t xml:space="preserve">     </w:t>
      </w:r>
    </w:p>
    <w:p w14:paraId="12676B6A" w14:textId="77777777" w:rsidR="00CB552D" w:rsidRPr="00CB552D" w:rsidRDefault="00CB552D" w:rsidP="002A6DF7">
      <w:pPr>
        <w:pStyle w:val="ListParagraph"/>
        <w:ind w:left="0"/>
        <w:rPr>
          <w:rFonts w:ascii="Arial" w:hAnsi="Arial" w:cs="Arial"/>
          <w:lang w:val="en-NA"/>
        </w:rPr>
      </w:pPr>
    </w:p>
    <w:p w14:paraId="08A46A18" w14:textId="27B49262" w:rsidR="00CC077F" w:rsidRPr="00CC077F" w:rsidRDefault="00BE6C0D" w:rsidP="005A4D83">
      <w:pPr>
        <w:pStyle w:val="ListParagraph"/>
        <w:spacing w:line="360" w:lineRule="auto"/>
        <w:ind w:left="0" w:firstLine="720"/>
        <w:jc w:val="both"/>
        <w:rPr>
          <w:rFonts w:ascii="Arial" w:hAnsi="Arial" w:cs="Arial"/>
          <w:sz w:val="22"/>
          <w:szCs w:val="22"/>
          <w:lang w:val="en-US"/>
        </w:rPr>
      </w:pPr>
      <w:r w:rsidRPr="00CC077F">
        <w:rPr>
          <w:rFonts w:ascii="Arial" w:hAnsi="Arial" w:cs="Arial"/>
          <w:sz w:val="22"/>
          <w:szCs w:val="22"/>
          <w:lang w:val="en-US"/>
        </w:rPr>
        <w:t>‘The rationale of the rule is clear: to discourage a multiplicity of interlocutory motions which often increase costs and hamper the court from speedily getting to the real disputes in the case. A clear case must be made out if the court is to allow a scale of costs above the upper limit allowed in the rules.’</w:t>
      </w:r>
      <w:r w:rsidR="00CC077F" w:rsidRPr="00CC077F">
        <w:rPr>
          <w:rFonts w:ascii="Arial" w:hAnsi="Arial" w:cs="Arial"/>
          <w:sz w:val="22"/>
          <w:szCs w:val="22"/>
          <w:lang w:val="en-NA"/>
        </w:rPr>
        <w:t xml:space="preserve">    </w:t>
      </w:r>
    </w:p>
    <w:p w14:paraId="2686CB80" w14:textId="77777777" w:rsidR="00CC077F" w:rsidRPr="00CC077F" w:rsidRDefault="00CC077F" w:rsidP="002A6DF7">
      <w:pPr>
        <w:pStyle w:val="ListParagraph"/>
        <w:ind w:left="0"/>
        <w:rPr>
          <w:rFonts w:ascii="Arial" w:hAnsi="Arial" w:cs="Arial"/>
          <w:lang w:val="en-US"/>
        </w:rPr>
      </w:pPr>
    </w:p>
    <w:p w14:paraId="29D6E1C7" w14:textId="48CA0165" w:rsidR="00CC077F" w:rsidRPr="00CC077F" w:rsidRDefault="00CC077F" w:rsidP="002A6DF7">
      <w:pPr>
        <w:pStyle w:val="ListParagraph"/>
        <w:numPr>
          <w:ilvl w:val="0"/>
          <w:numId w:val="9"/>
        </w:numPr>
        <w:spacing w:line="360" w:lineRule="auto"/>
        <w:ind w:left="0" w:firstLine="0"/>
        <w:jc w:val="both"/>
        <w:rPr>
          <w:rFonts w:ascii="Arial" w:hAnsi="Arial" w:cs="Arial"/>
          <w:lang w:val="en-US"/>
        </w:rPr>
      </w:pPr>
      <w:r w:rsidRPr="00CC077F">
        <w:rPr>
          <w:rFonts w:ascii="Arial" w:hAnsi="Arial" w:cs="Arial"/>
          <w:lang w:val="en-US"/>
        </w:rPr>
        <w:t>Rule 32(11) provides that:</w:t>
      </w:r>
    </w:p>
    <w:p w14:paraId="33A06649" w14:textId="77777777" w:rsidR="00CC077F" w:rsidRPr="006200B2" w:rsidRDefault="00CC077F" w:rsidP="002A6DF7">
      <w:pPr>
        <w:pStyle w:val="ListParagraph"/>
        <w:ind w:left="0"/>
        <w:rPr>
          <w:rFonts w:ascii="Arial" w:hAnsi="Arial" w:cs="Arial"/>
          <w:lang w:val="en-US"/>
        </w:rPr>
      </w:pPr>
    </w:p>
    <w:p w14:paraId="1AA3758B" w14:textId="3324BF5D" w:rsidR="00CC077F" w:rsidRPr="00CC077F" w:rsidRDefault="00CC077F" w:rsidP="005A4D83">
      <w:pPr>
        <w:pStyle w:val="ListParagraph"/>
        <w:spacing w:line="360" w:lineRule="auto"/>
        <w:ind w:left="0" w:firstLine="720"/>
        <w:jc w:val="both"/>
        <w:rPr>
          <w:rFonts w:ascii="Arial" w:hAnsi="Arial" w:cs="Arial"/>
          <w:sz w:val="22"/>
          <w:szCs w:val="22"/>
          <w:lang w:val="en-US"/>
        </w:rPr>
      </w:pPr>
      <w:r w:rsidRPr="00CC077F">
        <w:rPr>
          <w:rFonts w:ascii="Arial" w:hAnsi="Arial" w:cs="Arial"/>
          <w:sz w:val="22"/>
          <w:szCs w:val="22"/>
        </w:rPr>
        <w:t>‘(11) Despite anything to the contrary in these rules, whether or not instructing and instructed legal practitioners are engaged in a cause or matter, the costs that may be awarded to a successful party in any interlocutory proceeding may not exceed N$20 000.’</w:t>
      </w:r>
    </w:p>
    <w:p w14:paraId="0BE11843" w14:textId="77777777" w:rsidR="00CC077F" w:rsidRPr="00CC077F" w:rsidRDefault="00CC077F" w:rsidP="002A6DF7">
      <w:pPr>
        <w:pStyle w:val="ListParagraph"/>
        <w:ind w:left="0"/>
        <w:rPr>
          <w:rFonts w:ascii="Arial" w:hAnsi="Arial" w:cs="Arial"/>
          <w:lang w:val="en-US"/>
        </w:rPr>
      </w:pPr>
    </w:p>
    <w:p w14:paraId="55156613" w14:textId="4158FFEB" w:rsidR="002D67A4" w:rsidRPr="00CC077F" w:rsidRDefault="00B668A3"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The court finds that,</w:t>
      </w:r>
      <w:r w:rsidR="00BE6C0D" w:rsidRPr="00CC077F">
        <w:rPr>
          <w:rFonts w:ascii="Arial" w:hAnsi="Arial" w:cs="Arial"/>
          <w:lang w:val="en-US"/>
        </w:rPr>
        <w:t xml:space="preserve"> should a party who opposes a condonation </w:t>
      </w:r>
      <w:r>
        <w:rPr>
          <w:rFonts w:ascii="Arial" w:hAnsi="Arial" w:cs="Arial"/>
          <w:lang w:val="en-US"/>
        </w:rPr>
        <w:t xml:space="preserve">application </w:t>
      </w:r>
      <w:r w:rsidR="00BE6C0D" w:rsidRPr="00CC077F">
        <w:rPr>
          <w:rFonts w:ascii="Arial" w:hAnsi="Arial" w:cs="Arial"/>
          <w:lang w:val="en-US"/>
        </w:rPr>
        <w:t xml:space="preserve">be successful in its </w:t>
      </w:r>
      <w:proofErr w:type="spellStart"/>
      <w:r w:rsidR="00BE6C0D" w:rsidRPr="00CC077F">
        <w:rPr>
          <w:rFonts w:ascii="Arial" w:hAnsi="Arial" w:cs="Arial"/>
          <w:lang w:val="en-US"/>
        </w:rPr>
        <w:t>defence</w:t>
      </w:r>
      <w:proofErr w:type="spellEnd"/>
      <w:r w:rsidR="00BE6C0D" w:rsidRPr="00CC077F">
        <w:rPr>
          <w:rFonts w:ascii="Arial" w:hAnsi="Arial" w:cs="Arial"/>
          <w:lang w:val="en-US"/>
        </w:rPr>
        <w:t xml:space="preserve"> to </w:t>
      </w:r>
      <w:r>
        <w:rPr>
          <w:rFonts w:ascii="Arial" w:hAnsi="Arial" w:cs="Arial"/>
          <w:lang w:val="en-US"/>
        </w:rPr>
        <w:t>such</w:t>
      </w:r>
      <w:r w:rsidR="00250CA5">
        <w:rPr>
          <w:rFonts w:ascii="Arial" w:hAnsi="Arial" w:cs="Arial"/>
          <w:lang w:val="en-US"/>
        </w:rPr>
        <w:t xml:space="preserve"> condonation</w:t>
      </w:r>
      <w:r w:rsidR="00BE6C0D" w:rsidRPr="00CC077F">
        <w:rPr>
          <w:rFonts w:ascii="Arial" w:hAnsi="Arial" w:cs="Arial"/>
          <w:lang w:val="en-US"/>
        </w:rPr>
        <w:t xml:space="preserve"> application in that the application is refused, such party w</w:t>
      </w:r>
      <w:r>
        <w:rPr>
          <w:rFonts w:ascii="Arial" w:hAnsi="Arial" w:cs="Arial"/>
          <w:lang w:val="en-US"/>
        </w:rPr>
        <w:t>ould</w:t>
      </w:r>
      <w:r w:rsidR="00BE6C0D" w:rsidRPr="00CC077F">
        <w:rPr>
          <w:rFonts w:ascii="Arial" w:hAnsi="Arial" w:cs="Arial"/>
          <w:lang w:val="en-US"/>
        </w:rPr>
        <w:t xml:space="preserve"> be </w:t>
      </w:r>
      <w:r w:rsidR="00250CA5">
        <w:rPr>
          <w:rFonts w:ascii="Arial" w:hAnsi="Arial" w:cs="Arial"/>
          <w:lang w:val="en-US"/>
        </w:rPr>
        <w:t>a</w:t>
      </w:r>
      <w:r w:rsidR="00BE6C0D" w:rsidRPr="00CC077F">
        <w:rPr>
          <w:rFonts w:ascii="Arial" w:hAnsi="Arial" w:cs="Arial"/>
          <w:lang w:val="en-US"/>
        </w:rPr>
        <w:t xml:space="preserve"> successful party </w:t>
      </w:r>
      <w:r w:rsidR="00250CA5">
        <w:rPr>
          <w:rFonts w:ascii="Arial" w:hAnsi="Arial" w:cs="Arial"/>
          <w:lang w:val="en-US"/>
        </w:rPr>
        <w:t>as envisaged in r 32(11)</w:t>
      </w:r>
      <w:r>
        <w:rPr>
          <w:rFonts w:ascii="Arial" w:hAnsi="Arial" w:cs="Arial"/>
          <w:lang w:val="en-US"/>
        </w:rPr>
        <w:t xml:space="preserve"> </w:t>
      </w:r>
      <w:r w:rsidR="00BE6C0D" w:rsidRPr="00CC077F">
        <w:rPr>
          <w:rFonts w:ascii="Arial" w:hAnsi="Arial" w:cs="Arial"/>
          <w:lang w:val="en-US"/>
        </w:rPr>
        <w:t>and the costs that m</w:t>
      </w:r>
      <w:r w:rsidR="00CC077F">
        <w:rPr>
          <w:rFonts w:ascii="Arial" w:hAnsi="Arial" w:cs="Arial"/>
          <w:lang w:val="en-US"/>
        </w:rPr>
        <w:t>a</w:t>
      </w:r>
      <w:r w:rsidR="00BE6C0D" w:rsidRPr="00CC077F">
        <w:rPr>
          <w:rFonts w:ascii="Arial" w:hAnsi="Arial" w:cs="Arial"/>
          <w:lang w:val="en-US"/>
        </w:rPr>
        <w:t>y be awarded to such party</w:t>
      </w:r>
      <w:r w:rsidR="0004221A">
        <w:rPr>
          <w:rFonts w:ascii="Arial" w:hAnsi="Arial" w:cs="Arial"/>
          <w:lang w:val="en-US"/>
        </w:rPr>
        <w:t xml:space="preserve"> </w:t>
      </w:r>
      <w:r>
        <w:rPr>
          <w:rFonts w:ascii="Arial" w:hAnsi="Arial" w:cs="Arial"/>
          <w:lang w:val="en-US"/>
        </w:rPr>
        <w:t>sh</w:t>
      </w:r>
      <w:r w:rsidR="0004221A">
        <w:rPr>
          <w:rFonts w:ascii="Arial" w:hAnsi="Arial" w:cs="Arial"/>
          <w:lang w:val="en-US"/>
        </w:rPr>
        <w:t>ould</w:t>
      </w:r>
      <w:r w:rsidR="00BE6C0D" w:rsidRPr="00CC077F">
        <w:rPr>
          <w:rFonts w:ascii="Arial" w:hAnsi="Arial" w:cs="Arial"/>
          <w:lang w:val="en-US"/>
        </w:rPr>
        <w:t xml:space="preserve"> not exceed N$20 000.</w:t>
      </w:r>
    </w:p>
    <w:p w14:paraId="2B2E5A82" w14:textId="77777777" w:rsidR="006200B2" w:rsidRPr="006200B2" w:rsidRDefault="006200B2" w:rsidP="002A6DF7">
      <w:pPr>
        <w:pStyle w:val="ListParagraph"/>
        <w:ind w:left="0"/>
        <w:rPr>
          <w:rFonts w:ascii="Arial" w:hAnsi="Arial" w:cs="Arial"/>
          <w:lang w:val="en-US"/>
        </w:rPr>
      </w:pPr>
    </w:p>
    <w:p w14:paraId="39EC16F8" w14:textId="21229912" w:rsidR="006200B2" w:rsidRPr="00CC077F" w:rsidRDefault="00CC077F" w:rsidP="002A6DF7">
      <w:pPr>
        <w:pStyle w:val="ListParagraph"/>
        <w:numPr>
          <w:ilvl w:val="0"/>
          <w:numId w:val="9"/>
        </w:numPr>
        <w:spacing w:line="360" w:lineRule="auto"/>
        <w:ind w:left="0" w:firstLine="0"/>
        <w:jc w:val="both"/>
        <w:rPr>
          <w:rFonts w:ascii="Arial" w:hAnsi="Arial" w:cs="Arial"/>
          <w:lang w:val="en-US"/>
        </w:rPr>
      </w:pPr>
      <w:r>
        <w:rPr>
          <w:rFonts w:ascii="Arial" w:hAnsi="Arial" w:cs="Arial"/>
          <w:lang w:val="en-US"/>
        </w:rPr>
        <w:t xml:space="preserve">The court </w:t>
      </w:r>
      <w:r w:rsidR="00B668A3">
        <w:rPr>
          <w:rFonts w:ascii="Arial" w:hAnsi="Arial" w:cs="Arial"/>
          <w:lang w:val="en-US"/>
        </w:rPr>
        <w:t xml:space="preserve">further </w:t>
      </w:r>
      <w:r>
        <w:rPr>
          <w:rFonts w:ascii="Arial" w:hAnsi="Arial" w:cs="Arial"/>
          <w:lang w:val="en-US"/>
        </w:rPr>
        <w:t>finds that r 32(11) applies to condonation applications even though r 32(9) and (10) do not.</w:t>
      </w:r>
    </w:p>
    <w:p w14:paraId="4F3BB4E2" w14:textId="77777777" w:rsidR="004E5F07" w:rsidRPr="004E5F07" w:rsidRDefault="004E5F07" w:rsidP="002A6DF7">
      <w:pPr>
        <w:pStyle w:val="ListParagraph"/>
        <w:ind w:left="0"/>
        <w:rPr>
          <w:rFonts w:ascii="Arial" w:hAnsi="Arial" w:cs="Arial"/>
          <w:lang w:val="en-US"/>
        </w:rPr>
      </w:pPr>
    </w:p>
    <w:p w14:paraId="57B4D427" w14:textId="7E61D957" w:rsidR="004E5F07" w:rsidRPr="004E5F07" w:rsidRDefault="00CC077F" w:rsidP="002A6DF7">
      <w:pPr>
        <w:pStyle w:val="ListParagraph"/>
        <w:spacing w:line="360" w:lineRule="auto"/>
        <w:ind w:left="0"/>
        <w:jc w:val="both"/>
        <w:rPr>
          <w:rFonts w:ascii="Arial" w:hAnsi="Arial" w:cs="Arial"/>
          <w:u w:val="single"/>
          <w:lang w:val="en-US"/>
        </w:rPr>
      </w:pPr>
      <w:r>
        <w:rPr>
          <w:rFonts w:ascii="Arial" w:eastAsia="Calibri" w:hAnsi="Arial" w:cs="Arial"/>
          <w:bCs/>
          <w:u w:val="single"/>
        </w:rPr>
        <w:t>Conclusion</w:t>
      </w:r>
    </w:p>
    <w:p w14:paraId="334C25A7" w14:textId="77777777" w:rsidR="004E5F07" w:rsidRPr="004E5F07" w:rsidRDefault="004E5F07" w:rsidP="002A6DF7">
      <w:pPr>
        <w:pStyle w:val="ListParagraph"/>
        <w:ind w:left="0"/>
        <w:rPr>
          <w:rFonts w:ascii="Arial" w:hAnsi="Arial" w:cs="Arial"/>
          <w:lang w:val="en-US"/>
        </w:rPr>
      </w:pPr>
    </w:p>
    <w:p w14:paraId="5157E07E" w14:textId="53592A65" w:rsidR="004E5F07" w:rsidRDefault="00CC077F" w:rsidP="002A6DF7">
      <w:pPr>
        <w:pStyle w:val="ListParagraph"/>
        <w:numPr>
          <w:ilvl w:val="0"/>
          <w:numId w:val="9"/>
        </w:numPr>
        <w:spacing w:line="360" w:lineRule="auto"/>
        <w:ind w:left="0" w:firstLine="0"/>
        <w:jc w:val="both"/>
        <w:rPr>
          <w:rFonts w:ascii="Arial" w:hAnsi="Arial" w:cs="Arial"/>
          <w:lang w:val="en-US"/>
        </w:rPr>
      </w:pPr>
      <w:r>
        <w:rPr>
          <w:rFonts w:ascii="Arial" w:eastAsia="Calibri" w:hAnsi="Arial" w:cs="Arial"/>
          <w:bCs/>
        </w:rPr>
        <w:t>Having regard to the weight attached to the requirements and factors above, the court</w:t>
      </w:r>
      <w:r w:rsidR="0004221A">
        <w:rPr>
          <w:rFonts w:ascii="Arial" w:eastAsia="Calibri" w:hAnsi="Arial" w:cs="Arial"/>
          <w:bCs/>
        </w:rPr>
        <w:t>, in conclusion,</w:t>
      </w:r>
      <w:r>
        <w:rPr>
          <w:rFonts w:ascii="Arial" w:eastAsia="Calibri" w:hAnsi="Arial" w:cs="Arial"/>
          <w:bCs/>
        </w:rPr>
        <w:t xml:space="preserve"> finds</w:t>
      </w:r>
      <w:r w:rsidR="0004221A">
        <w:rPr>
          <w:rFonts w:ascii="Arial" w:eastAsia="Calibri" w:hAnsi="Arial" w:cs="Arial"/>
          <w:bCs/>
        </w:rPr>
        <w:t xml:space="preserve"> </w:t>
      </w:r>
      <w:r>
        <w:rPr>
          <w:rFonts w:ascii="Arial" w:eastAsia="Calibri" w:hAnsi="Arial" w:cs="Arial"/>
          <w:bCs/>
        </w:rPr>
        <w:t>that, taken conjunctively, the plaintiff made</w:t>
      </w:r>
      <w:r w:rsidR="0004221A">
        <w:rPr>
          <w:rFonts w:ascii="Arial" w:eastAsia="Calibri" w:hAnsi="Arial" w:cs="Arial"/>
          <w:bCs/>
        </w:rPr>
        <w:t xml:space="preserve"> </w:t>
      </w:r>
      <w:r>
        <w:rPr>
          <w:rFonts w:ascii="Arial" w:eastAsia="Calibri" w:hAnsi="Arial" w:cs="Arial"/>
          <w:bCs/>
        </w:rPr>
        <w:t xml:space="preserve">a case for the relief </w:t>
      </w:r>
      <w:r w:rsidR="001E1F77">
        <w:rPr>
          <w:rFonts w:ascii="Arial" w:eastAsia="Calibri" w:hAnsi="Arial" w:cs="Arial"/>
          <w:bCs/>
        </w:rPr>
        <w:t>sought</w:t>
      </w:r>
      <w:r>
        <w:rPr>
          <w:rFonts w:ascii="Arial" w:eastAsia="Calibri" w:hAnsi="Arial" w:cs="Arial"/>
          <w:bCs/>
        </w:rPr>
        <w:t xml:space="preserve">. </w:t>
      </w:r>
    </w:p>
    <w:p w14:paraId="7E0A453F" w14:textId="77777777" w:rsidR="004E5F07" w:rsidRPr="004E5F07" w:rsidRDefault="004E5F07" w:rsidP="002A6DF7">
      <w:pPr>
        <w:pStyle w:val="ListParagraph"/>
        <w:ind w:left="0"/>
        <w:rPr>
          <w:rFonts w:ascii="Arial" w:hAnsi="Arial" w:cs="Arial"/>
          <w:lang w:val="en-US"/>
        </w:rPr>
      </w:pPr>
    </w:p>
    <w:p w14:paraId="164206C4" w14:textId="64F539DB" w:rsidR="004E5F07" w:rsidRPr="00CC077F" w:rsidRDefault="00CC077F" w:rsidP="002A6DF7">
      <w:pPr>
        <w:pStyle w:val="ListParagraph"/>
        <w:numPr>
          <w:ilvl w:val="0"/>
          <w:numId w:val="9"/>
        </w:numPr>
        <w:spacing w:line="360" w:lineRule="auto"/>
        <w:ind w:left="0" w:firstLine="0"/>
        <w:jc w:val="both"/>
        <w:rPr>
          <w:rFonts w:ascii="Arial" w:hAnsi="Arial" w:cs="Arial"/>
          <w:lang w:val="en-US"/>
        </w:rPr>
      </w:pPr>
      <w:r>
        <w:rPr>
          <w:rFonts w:ascii="Arial" w:eastAsia="Calibri" w:hAnsi="Arial" w:cs="Arial"/>
          <w:bCs/>
        </w:rPr>
        <w:t>It is ordered that:</w:t>
      </w:r>
    </w:p>
    <w:p w14:paraId="198CE21F" w14:textId="77777777" w:rsidR="00CC077F" w:rsidRPr="00CC077F" w:rsidRDefault="00CC077F" w:rsidP="002A6DF7">
      <w:pPr>
        <w:pStyle w:val="ListParagraph"/>
        <w:ind w:left="0"/>
        <w:rPr>
          <w:rFonts w:ascii="Arial" w:hAnsi="Arial" w:cs="Arial"/>
          <w:lang w:val="en-US"/>
        </w:rPr>
      </w:pPr>
    </w:p>
    <w:p w14:paraId="10C34896" w14:textId="77777777" w:rsidR="0047552F" w:rsidRDefault="0047552F" w:rsidP="0047552F">
      <w:pPr>
        <w:pStyle w:val="ListParagraph"/>
        <w:numPr>
          <w:ilvl w:val="0"/>
          <w:numId w:val="8"/>
        </w:numPr>
        <w:spacing w:line="360" w:lineRule="auto"/>
        <w:ind w:left="0" w:firstLine="0"/>
        <w:jc w:val="both"/>
        <w:rPr>
          <w:rFonts w:ascii="Arial" w:hAnsi="Arial" w:cs="Arial"/>
          <w:lang w:val="en-US"/>
        </w:rPr>
      </w:pPr>
      <w:r>
        <w:rPr>
          <w:rFonts w:ascii="Arial" w:hAnsi="Arial" w:cs="Arial"/>
          <w:lang w:val="en-US"/>
        </w:rPr>
        <w:lastRenderedPageBreak/>
        <w:t>The plaintiff’s failure to comply with the court order dated 21 June 2023 is condoned.</w:t>
      </w:r>
    </w:p>
    <w:p w14:paraId="2EC46135" w14:textId="77777777" w:rsidR="0047552F" w:rsidRPr="00CC077F" w:rsidRDefault="0047552F" w:rsidP="0047552F">
      <w:pPr>
        <w:pStyle w:val="ListParagraph"/>
        <w:ind w:left="0"/>
        <w:rPr>
          <w:rFonts w:ascii="Arial" w:hAnsi="Arial" w:cs="Arial"/>
          <w:lang w:val="en-US"/>
        </w:rPr>
      </w:pPr>
    </w:p>
    <w:p w14:paraId="3ED2095E" w14:textId="77777777" w:rsidR="0047552F" w:rsidRDefault="0047552F" w:rsidP="0047552F">
      <w:pPr>
        <w:pStyle w:val="ListParagraph"/>
        <w:numPr>
          <w:ilvl w:val="0"/>
          <w:numId w:val="8"/>
        </w:numPr>
        <w:spacing w:line="360" w:lineRule="auto"/>
        <w:ind w:left="0" w:firstLine="0"/>
        <w:jc w:val="both"/>
        <w:rPr>
          <w:rFonts w:ascii="Arial" w:hAnsi="Arial" w:cs="Arial"/>
          <w:lang w:val="en-US"/>
        </w:rPr>
      </w:pPr>
      <w:r>
        <w:rPr>
          <w:rFonts w:ascii="Arial" w:hAnsi="Arial" w:cs="Arial"/>
          <w:lang w:val="en-US"/>
        </w:rPr>
        <w:t>The bar operative against the plaintiff regarding its replication in convention and plea in reconvention is lifted.</w:t>
      </w:r>
    </w:p>
    <w:p w14:paraId="1ABE3032" w14:textId="77777777" w:rsidR="0047552F" w:rsidRPr="00CC077F" w:rsidRDefault="0047552F" w:rsidP="0047552F">
      <w:pPr>
        <w:pStyle w:val="ListParagraph"/>
        <w:ind w:left="0"/>
        <w:rPr>
          <w:rFonts w:ascii="Arial" w:hAnsi="Arial" w:cs="Arial"/>
          <w:lang w:val="en-US"/>
        </w:rPr>
      </w:pPr>
    </w:p>
    <w:p w14:paraId="0D4BA7DD" w14:textId="77777777" w:rsidR="0047552F" w:rsidRPr="0047552F" w:rsidRDefault="0047552F" w:rsidP="0047552F">
      <w:pPr>
        <w:pStyle w:val="ListParagraph"/>
        <w:numPr>
          <w:ilvl w:val="0"/>
          <w:numId w:val="8"/>
        </w:numPr>
        <w:spacing w:line="360" w:lineRule="auto"/>
        <w:ind w:left="0" w:firstLine="0"/>
        <w:jc w:val="both"/>
        <w:rPr>
          <w:rFonts w:ascii="Arial" w:hAnsi="Arial" w:cs="Arial"/>
          <w:lang w:val="en-US"/>
        </w:rPr>
      </w:pPr>
      <w:r>
        <w:rPr>
          <w:rFonts w:ascii="Arial" w:hAnsi="Arial" w:cs="Arial"/>
          <w:lang w:val="en-US"/>
        </w:rPr>
        <w:t>The plaintiff is granted an extension of time to file its replication in convention and plea in reconvention on a date determined by the court at a further case planning conference.</w:t>
      </w:r>
    </w:p>
    <w:p w14:paraId="2A737784" w14:textId="77777777" w:rsidR="0047552F" w:rsidRPr="001E1F77" w:rsidRDefault="0047552F" w:rsidP="0047552F">
      <w:pPr>
        <w:pStyle w:val="ListParagraph"/>
        <w:ind w:left="0"/>
        <w:rPr>
          <w:rFonts w:ascii="Arial" w:hAnsi="Arial" w:cs="Arial"/>
          <w:lang w:val="en-US"/>
        </w:rPr>
      </w:pPr>
    </w:p>
    <w:p w14:paraId="2ABCDF91" w14:textId="77777777" w:rsidR="0047552F" w:rsidRDefault="0047552F" w:rsidP="0047552F">
      <w:pPr>
        <w:pStyle w:val="ListParagraph"/>
        <w:numPr>
          <w:ilvl w:val="0"/>
          <w:numId w:val="8"/>
        </w:numPr>
        <w:spacing w:line="360" w:lineRule="auto"/>
        <w:ind w:left="0" w:firstLine="0"/>
        <w:jc w:val="both"/>
        <w:rPr>
          <w:rFonts w:ascii="Arial" w:hAnsi="Arial" w:cs="Arial"/>
          <w:lang w:val="en-US"/>
        </w:rPr>
      </w:pPr>
      <w:r>
        <w:rPr>
          <w:rFonts w:ascii="Arial" w:hAnsi="Arial" w:cs="Arial"/>
          <w:lang w:val="en-US"/>
        </w:rPr>
        <w:t xml:space="preserve">The parties are ordered to file a joint further case plan on or before 7 March 2024. </w:t>
      </w:r>
    </w:p>
    <w:p w14:paraId="2AD984A2" w14:textId="77777777" w:rsidR="0047552F" w:rsidRPr="0047552F" w:rsidRDefault="0047552F" w:rsidP="0047552F">
      <w:pPr>
        <w:pStyle w:val="ListParagraph"/>
        <w:ind w:left="0"/>
        <w:rPr>
          <w:rFonts w:ascii="Arial" w:hAnsi="Arial" w:cs="Arial"/>
          <w:lang w:val="en-US"/>
        </w:rPr>
      </w:pPr>
    </w:p>
    <w:p w14:paraId="75C21536" w14:textId="77777777" w:rsidR="0047552F" w:rsidRDefault="0047552F" w:rsidP="0047552F">
      <w:pPr>
        <w:pStyle w:val="ListParagraph"/>
        <w:numPr>
          <w:ilvl w:val="0"/>
          <w:numId w:val="8"/>
        </w:numPr>
        <w:spacing w:line="360" w:lineRule="auto"/>
        <w:ind w:left="0" w:firstLine="0"/>
        <w:jc w:val="both"/>
        <w:rPr>
          <w:rFonts w:ascii="Arial" w:hAnsi="Arial" w:cs="Arial"/>
          <w:lang w:val="en-US"/>
        </w:rPr>
      </w:pPr>
      <w:r>
        <w:rPr>
          <w:rFonts w:ascii="Arial" w:hAnsi="Arial" w:cs="Arial"/>
          <w:lang w:val="en-US"/>
        </w:rPr>
        <w:t>The matter is postponed to 13 March 2024 at 08:30 for a further case planning conference.</w:t>
      </w:r>
    </w:p>
    <w:p w14:paraId="31B4BB12" w14:textId="77777777" w:rsidR="0047552F" w:rsidRPr="004E5F07" w:rsidRDefault="0047552F" w:rsidP="0047552F">
      <w:pPr>
        <w:pStyle w:val="ListParagraph"/>
        <w:ind w:left="0"/>
        <w:rPr>
          <w:rFonts w:ascii="Arial" w:hAnsi="Arial" w:cs="Arial"/>
          <w:lang w:val="en-US"/>
        </w:rPr>
      </w:pPr>
    </w:p>
    <w:p w14:paraId="489F1CBB" w14:textId="5F581394" w:rsidR="004E5F07" w:rsidRPr="00AB0FAC" w:rsidRDefault="0047552F" w:rsidP="0047552F">
      <w:pPr>
        <w:pStyle w:val="ListParagraph"/>
        <w:numPr>
          <w:ilvl w:val="0"/>
          <w:numId w:val="8"/>
        </w:numPr>
        <w:spacing w:line="360" w:lineRule="auto"/>
        <w:ind w:left="0" w:firstLine="0"/>
        <w:jc w:val="both"/>
        <w:rPr>
          <w:rFonts w:ascii="Arial" w:hAnsi="Arial" w:cs="Arial"/>
          <w:lang w:val="en-US"/>
        </w:rPr>
      </w:pPr>
      <w:r>
        <w:rPr>
          <w:rFonts w:ascii="Arial" w:eastAsia="Calibri" w:hAnsi="Arial" w:cs="Arial"/>
          <w:bCs/>
        </w:rPr>
        <w:t>The plaintiff shall pay the defendant’s costs occasioned by the condonation application, including the costs of one instructing and one instructed legal practitioner, limited to r 32(11).</w:t>
      </w:r>
    </w:p>
    <w:p w14:paraId="148BFC8E" w14:textId="77777777" w:rsidR="00AB0FAC" w:rsidRPr="0047552F" w:rsidRDefault="00AB0FAC" w:rsidP="00AB0FAC">
      <w:pPr>
        <w:pStyle w:val="ListParagraph"/>
        <w:spacing w:line="360" w:lineRule="auto"/>
        <w:ind w:left="0"/>
        <w:jc w:val="both"/>
        <w:rPr>
          <w:rFonts w:ascii="Arial" w:hAnsi="Arial" w:cs="Arial"/>
          <w:lang w:val="en-US"/>
        </w:rPr>
      </w:pPr>
    </w:p>
    <w:p w14:paraId="4714D29C" w14:textId="77777777" w:rsidR="00B74401" w:rsidRDefault="00B74401" w:rsidP="00B74401">
      <w:pPr>
        <w:pStyle w:val="ListParagraph"/>
        <w:spacing w:line="360" w:lineRule="auto"/>
        <w:ind w:left="0"/>
        <w:jc w:val="both"/>
        <w:rPr>
          <w:rFonts w:ascii="Arial" w:hAnsi="Arial" w:cs="Arial"/>
          <w:lang w:val="en-US"/>
        </w:rPr>
      </w:pP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B062D" w:rsidRPr="00155B26" w14:paraId="1D905D4A" w14:textId="77777777" w:rsidTr="004B062D">
        <w:tc>
          <w:tcPr>
            <w:tcW w:w="8789" w:type="dxa"/>
          </w:tcPr>
          <w:p w14:paraId="3976CC82" w14:textId="2F9B865C" w:rsidR="004B062D" w:rsidRPr="004B062D" w:rsidRDefault="004B062D" w:rsidP="004B062D">
            <w:pPr>
              <w:spacing w:line="360" w:lineRule="auto"/>
              <w:jc w:val="right"/>
              <w:rPr>
                <w:rFonts w:ascii="Arial" w:hAnsi="Arial" w:cs="Arial"/>
                <w:lang w:val="en-US"/>
              </w:rPr>
            </w:pPr>
            <w:r w:rsidRPr="004B062D">
              <w:rPr>
                <w:rFonts w:ascii="Arial" w:hAnsi="Arial" w:cs="Arial"/>
                <w:lang w:val="en-US"/>
              </w:rPr>
              <w:t>_______________________</w:t>
            </w:r>
          </w:p>
        </w:tc>
      </w:tr>
      <w:tr w:rsidR="004B062D" w:rsidRPr="00155B26" w14:paraId="40BA4CAC" w14:textId="77777777" w:rsidTr="004B062D">
        <w:tc>
          <w:tcPr>
            <w:tcW w:w="8789" w:type="dxa"/>
          </w:tcPr>
          <w:p w14:paraId="2980794D" w14:textId="2DED80D1" w:rsidR="004B062D" w:rsidRPr="004B062D" w:rsidRDefault="004B062D" w:rsidP="004B062D">
            <w:pPr>
              <w:spacing w:line="360" w:lineRule="auto"/>
              <w:jc w:val="right"/>
              <w:rPr>
                <w:rFonts w:ascii="Arial" w:hAnsi="Arial" w:cs="Arial"/>
                <w:lang w:val="en-US"/>
              </w:rPr>
            </w:pPr>
            <w:r>
              <w:rPr>
                <w:rFonts w:ascii="Arial" w:hAnsi="Arial" w:cs="Arial"/>
                <w:lang w:val="en-US"/>
              </w:rPr>
              <w:t>B de Jager</w:t>
            </w:r>
          </w:p>
        </w:tc>
      </w:tr>
      <w:tr w:rsidR="004B062D" w:rsidRPr="00155B26" w14:paraId="56EFA0A1" w14:textId="77777777" w:rsidTr="004B062D">
        <w:tc>
          <w:tcPr>
            <w:tcW w:w="8789" w:type="dxa"/>
          </w:tcPr>
          <w:p w14:paraId="13DB1635" w14:textId="32C1FF40" w:rsidR="004B062D" w:rsidRPr="004B062D" w:rsidRDefault="004B062D" w:rsidP="004B062D">
            <w:pPr>
              <w:spacing w:line="360" w:lineRule="auto"/>
              <w:jc w:val="right"/>
              <w:rPr>
                <w:rFonts w:ascii="Arial" w:hAnsi="Arial" w:cs="Arial"/>
                <w:lang w:val="en-US"/>
              </w:rPr>
            </w:pPr>
            <w:r>
              <w:rPr>
                <w:rFonts w:ascii="Arial" w:hAnsi="Arial" w:cs="Arial"/>
                <w:lang w:val="en-US"/>
              </w:rPr>
              <w:t>Acting Judge</w:t>
            </w:r>
          </w:p>
        </w:tc>
      </w:tr>
    </w:tbl>
    <w:p w14:paraId="2C6A303A" w14:textId="77777777" w:rsidR="004B062D" w:rsidRDefault="004B062D" w:rsidP="00B74401">
      <w:pPr>
        <w:pStyle w:val="ListParagraph"/>
        <w:spacing w:line="360" w:lineRule="auto"/>
        <w:ind w:left="0"/>
        <w:jc w:val="both"/>
        <w:rPr>
          <w:rFonts w:ascii="Arial" w:hAnsi="Arial" w:cs="Arial"/>
          <w:lang w:val="en-US"/>
        </w:rPr>
      </w:pPr>
    </w:p>
    <w:p w14:paraId="1C4F6D72" w14:textId="0404C1F5" w:rsidR="004B062D" w:rsidRDefault="004B062D">
      <w:r>
        <w:br w:type="page"/>
      </w:r>
    </w:p>
    <w:tbl>
      <w:tblPr>
        <w:tblStyle w:val="TableGrid"/>
        <w:tblW w:w="8789"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245"/>
      </w:tblGrid>
      <w:tr w:rsidR="004B062D" w:rsidRPr="004B062D" w14:paraId="7F2E129A" w14:textId="77777777" w:rsidTr="00607061">
        <w:tc>
          <w:tcPr>
            <w:tcW w:w="8789" w:type="dxa"/>
            <w:gridSpan w:val="2"/>
          </w:tcPr>
          <w:p w14:paraId="33CD2DCB" w14:textId="77777777" w:rsidR="004B062D" w:rsidRDefault="004B062D" w:rsidP="00761390">
            <w:pPr>
              <w:spacing w:line="360" w:lineRule="auto"/>
              <w:jc w:val="both"/>
              <w:rPr>
                <w:rFonts w:ascii="Arial" w:hAnsi="Arial" w:cs="Arial"/>
                <w:lang w:val="en-US"/>
              </w:rPr>
            </w:pPr>
            <w:r>
              <w:rPr>
                <w:rFonts w:ascii="Arial" w:hAnsi="Arial" w:cs="Arial"/>
                <w:lang w:val="en-US"/>
              </w:rPr>
              <w:lastRenderedPageBreak/>
              <w:t>APPEARANCES</w:t>
            </w:r>
          </w:p>
          <w:p w14:paraId="1AEC881A" w14:textId="7C9F633E" w:rsidR="004B062D" w:rsidRPr="004B062D" w:rsidRDefault="004B062D" w:rsidP="00761390">
            <w:pPr>
              <w:spacing w:line="360" w:lineRule="auto"/>
              <w:jc w:val="both"/>
              <w:rPr>
                <w:rFonts w:ascii="Arial" w:hAnsi="Arial" w:cs="Arial"/>
                <w:lang w:val="en-US"/>
              </w:rPr>
            </w:pPr>
          </w:p>
        </w:tc>
      </w:tr>
      <w:tr w:rsidR="004B062D" w:rsidRPr="00375E0E" w14:paraId="1FAF4FCE" w14:textId="77777777" w:rsidTr="00607061">
        <w:tc>
          <w:tcPr>
            <w:tcW w:w="3544" w:type="dxa"/>
          </w:tcPr>
          <w:p w14:paraId="258C90E3" w14:textId="62C3708F" w:rsidR="004B062D" w:rsidRPr="00375E0E" w:rsidRDefault="004B062D" w:rsidP="004B062D">
            <w:pPr>
              <w:spacing w:line="360" w:lineRule="auto"/>
              <w:rPr>
                <w:rFonts w:ascii="Arial" w:hAnsi="Arial" w:cs="Arial"/>
                <w:lang w:val="en-US"/>
              </w:rPr>
            </w:pPr>
            <w:r w:rsidRPr="00375E0E">
              <w:rPr>
                <w:rFonts w:ascii="Arial" w:hAnsi="Arial" w:cs="Arial"/>
                <w:lang w:val="en-US"/>
              </w:rPr>
              <w:t>PLAINTIFF</w:t>
            </w:r>
            <w:r w:rsidR="00AB0FAC">
              <w:rPr>
                <w:rFonts w:ascii="Arial" w:hAnsi="Arial" w:cs="Arial"/>
                <w:lang w:val="en-US"/>
              </w:rPr>
              <w:t>:</w:t>
            </w:r>
          </w:p>
        </w:tc>
        <w:tc>
          <w:tcPr>
            <w:tcW w:w="5245" w:type="dxa"/>
          </w:tcPr>
          <w:p w14:paraId="46BAECB2" w14:textId="0D885B34" w:rsidR="004B062D" w:rsidRPr="00375E0E" w:rsidRDefault="000A1D68" w:rsidP="004B062D">
            <w:pPr>
              <w:spacing w:line="360" w:lineRule="auto"/>
              <w:rPr>
                <w:rFonts w:ascii="Arial" w:hAnsi="Arial" w:cs="Arial"/>
                <w:lang w:val="en-US"/>
              </w:rPr>
            </w:pPr>
            <w:r w:rsidRPr="00375E0E">
              <w:rPr>
                <w:rFonts w:ascii="Arial" w:hAnsi="Arial" w:cs="Arial"/>
                <w:lang w:val="en-US"/>
              </w:rPr>
              <w:t xml:space="preserve">T C </w:t>
            </w:r>
            <w:proofErr w:type="spellStart"/>
            <w:r w:rsidRPr="00375E0E">
              <w:rPr>
                <w:rFonts w:ascii="Arial" w:hAnsi="Arial" w:cs="Arial"/>
                <w:lang w:val="en-US"/>
              </w:rPr>
              <w:t>Phatela</w:t>
            </w:r>
            <w:proofErr w:type="spellEnd"/>
          </w:p>
          <w:p w14:paraId="77F28DFA" w14:textId="458FF91A" w:rsidR="004B062D" w:rsidRPr="00375E0E" w:rsidRDefault="004B062D" w:rsidP="004B062D">
            <w:pPr>
              <w:spacing w:line="360" w:lineRule="auto"/>
              <w:rPr>
                <w:rFonts w:ascii="Arial" w:hAnsi="Arial" w:cs="Arial"/>
                <w:lang w:val="en-US"/>
              </w:rPr>
            </w:pPr>
            <w:r w:rsidRPr="00375E0E">
              <w:rPr>
                <w:rFonts w:ascii="Arial" w:hAnsi="Arial" w:cs="Arial"/>
                <w:lang w:val="en-US"/>
              </w:rPr>
              <w:t xml:space="preserve">Instructed by </w:t>
            </w:r>
            <w:r w:rsidR="00375E0E" w:rsidRPr="00375E0E">
              <w:rPr>
                <w:rFonts w:ascii="Arial" w:hAnsi="Arial" w:cs="Arial"/>
                <w:lang w:val="en-US"/>
              </w:rPr>
              <w:t>Shikongo Law Chamber</w:t>
            </w:r>
            <w:r w:rsidR="00375E0E">
              <w:rPr>
                <w:rFonts w:ascii="Arial" w:hAnsi="Arial" w:cs="Arial"/>
                <w:lang w:val="en-US"/>
              </w:rPr>
              <w:t>s</w:t>
            </w:r>
          </w:p>
          <w:p w14:paraId="1C9F2085" w14:textId="1A0B7961" w:rsidR="00607061" w:rsidRPr="00375E0E" w:rsidRDefault="00607061" w:rsidP="004B062D">
            <w:pPr>
              <w:spacing w:line="360" w:lineRule="auto"/>
              <w:rPr>
                <w:rFonts w:ascii="Arial" w:hAnsi="Arial" w:cs="Arial"/>
                <w:lang w:val="en-US"/>
              </w:rPr>
            </w:pPr>
          </w:p>
        </w:tc>
      </w:tr>
      <w:tr w:rsidR="004B062D" w:rsidRPr="004B062D" w14:paraId="54D051F7" w14:textId="77777777" w:rsidTr="00607061">
        <w:tc>
          <w:tcPr>
            <w:tcW w:w="3544" w:type="dxa"/>
          </w:tcPr>
          <w:p w14:paraId="7E23B9E0" w14:textId="7EC20B1E" w:rsidR="004B062D" w:rsidRPr="00375E0E" w:rsidRDefault="004B062D" w:rsidP="004B062D">
            <w:pPr>
              <w:spacing w:line="360" w:lineRule="auto"/>
              <w:rPr>
                <w:rFonts w:ascii="Arial" w:hAnsi="Arial" w:cs="Arial"/>
                <w:lang w:val="en-US"/>
              </w:rPr>
            </w:pPr>
            <w:r w:rsidRPr="00375E0E">
              <w:rPr>
                <w:rFonts w:ascii="Arial" w:hAnsi="Arial" w:cs="Arial"/>
                <w:lang w:val="en-US"/>
              </w:rPr>
              <w:t>DEFENDANT</w:t>
            </w:r>
            <w:r w:rsidR="00AB0FAC">
              <w:rPr>
                <w:rFonts w:ascii="Arial" w:hAnsi="Arial" w:cs="Arial"/>
                <w:lang w:val="en-US"/>
              </w:rPr>
              <w:t>:</w:t>
            </w:r>
          </w:p>
        </w:tc>
        <w:tc>
          <w:tcPr>
            <w:tcW w:w="5245" w:type="dxa"/>
          </w:tcPr>
          <w:p w14:paraId="2E804C08" w14:textId="7373DA2D" w:rsidR="004B062D" w:rsidRPr="00375E0E" w:rsidRDefault="00375E0E" w:rsidP="004B062D">
            <w:pPr>
              <w:spacing w:line="360" w:lineRule="auto"/>
              <w:rPr>
                <w:rFonts w:ascii="Arial" w:hAnsi="Arial" w:cs="Arial"/>
                <w:lang w:val="en-US"/>
              </w:rPr>
            </w:pPr>
            <w:r>
              <w:rPr>
                <w:rFonts w:ascii="Arial" w:hAnsi="Arial" w:cs="Arial"/>
                <w:lang w:val="en-US"/>
              </w:rPr>
              <w:t xml:space="preserve">J </w:t>
            </w:r>
            <w:proofErr w:type="spellStart"/>
            <w:r>
              <w:rPr>
                <w:rFonts w:ascii="Arial" w:hAnsi="Arial" w:cs="Arial"/>
                <w:lang w:val="en-US"/>
              </w:rPr>
              <w:t>Diedericks</w:t>
            </w:r>
            <w:proofErr w:type="spellEnd"/>
          </w:p>
          <w:p w14:paraId="6C9F479C" w14:textId="6473B267" w:rsidR="004B062D" w:rsidRPr="00375E0E" w:rsidRDefault="004B062D" w:rsidP="004B062D">
            <w:pPr>
              <w:spacing w:line="360" w:lineRule="auto"/>
              <w:rPr>
                <w:rFonts w:ascii="Arial" w:hAnsi="Arial" w:cs="Arial"/>
                <w:lang w:val="en-US"/>
              </w:rPr>
            </w:pPr>
            <w:r w:rsidRPr="00375E0E">
              <w:rPr>
                <w:rFonts w:ascii="Arial" w:hAnsi="Arial" w:cs="Arial"/>
                <w:lang w:val="en-US"/>
              </w:rPr>
              <w:t xml:space="preserve">Instructed by </w:t>
            </w:r>
            <w:proofErr w:type="spellStart"/>
            <w:r w:rsidR="00375E0E">
              <w:rPr>
                <w:rFonts w:ascii="Arial" w:hAnsi="Arial" w:cs="Arial"/>
                <w:lang w:val="en-US"/>
              </w:rPr>
              <w:t>Appolos</w:t>
            </w:r>
            <w:proofErr w:type="spellEnd"/>
            <w:r w:rsidR="00375E0E">
              <w:rPr>
                <w:rFonts w:ascii="Arial" w:hAnsi="Arial" w:cs="Arial"/>
                <w:lang w:val="en-US"/>
              </w:rPr>
              <w:t xml:space="preserve"> </w:t>
            </w:r>
            <w:proofErr w:type="spellStart"/>
            <w:r w:rsidR="00375E0E">
              <w:rPr>
                <w:rFonts w:ascii="Arial" w:hAnsi="Arial" w:cs="Arial"/>
                <w:lang w:val="en-US"/>
              </w:rPr>
              <w:t>Shimakeleni</w:t>
            </w:r>
            <w:proofErr w:type="spellEnd"/>
            <w:r w:rsidR="00375E0E">
              <w:rPr>
                <w:rFonts w:ascii="Arial" w:hAnsi="Arial" w:cs="Arial"/>
                <w:lang w:val="en-US"/>
              </w:rPr>
              <w:t xml:space="preserve"> Lawyers</w:t>
            </w:r>
          </w:p>
          <w:p w14:paraId="3B9EC3F5" w14:textId="0AF1A66D" w:rsidR="00607061" w:rsidRPr="00375E0E" w:rsidRDefault="00607061" w:rsidP="004B062D">
            <w:pPr>
              <w:spacing w:line="360" w:lineRule="auto"/>
              <w:rPr>
                <w:rFonts w:ascii="Arial" w:hAnsi="Arial" w:cs="Arial"/>
                <w:lang w:val="en-US"/>
              </w:rPr>
            </w:pPr>
          </w:p>
        </w:tc>
      </w:tr>
    </w:tbl>
    <w:p w14:paraId="605C9C17" w14:textId="77777777" w:rsidR="004B062D" w:rsidRDefault="004B062D" w:rsidP="00B74401">
      <w:pPr>
        <w:pStyle w:val="ListParagraph"/>
        <w:spacing w:line="360" w:lineRule="auto"/>
        <w:ind w:left="0"/>
        <w:jc w:val="both"/>
        <w:rPr>
          <w:rFonts w:ascii="Arial" w:hAnsi="Arial" w:cs="Arial"/>
          <w:lang w:val="en-US"/>
        </w:rPr>
      </w:pPr>
    </w:p>
    <w:p w14:paraId="69813820" w14:textId="77777777" w:rsidR="00B74401" w:rsidRDefault="00B74401" w:rsidP="00B74401">
      <w:pPr>
        <w:pStyle w:val="ListParagraph"/>
        <w:spacing w:line="360" w:lineRule="auto"/>
        <w:ind w:left="0"/>
        <w:jc w:val="both"/>
        <w:rPr>
          <w:rFonts w:ascii="Arial" w:hAnsi="Arial" w:cs="Arial"/>
          <w:lang w:val="en-US"/>
        </w:rPr>
      </w:pPr>
    </w:p>
    <w:p w14:paraId="2E1C66F7" w14:textId="77777777" w:rsidR="004E5F07" w:rsidRPr="004E5F07" w:rsidRDefault="004E5F07" w:rsidP="004E5F07">
      <w:pPr>
        <w:pStyle w:val="ListParagraph"/>
        <w:spacing w:line="360" w:lineRule="auto"/>
        <w:ind w:left="0"/>
        <w:jc w:val="both"/>
        <w:rPr>
          <w:rFonts w:ascii="Arial" w:hAnsi="Arial" w:cs="Arial"/>
          <w:lang w:val="en-US"/>
        </w:rPr>
      </w:pPr>
    </w:p>
    <w:p w14:paraId="3D608657" w14:textId="77777777" w:rsidR="004E5F07" w:rsidRPr="004E5F07" w:rsidRDefault="004E5F07" w:rsidP="004E5F07">
      <w:pPr>
        <w:spacing w:line="360" w:lineRule="auto"/>
        <w:jc w:val="both"/>
        <w:rPr>
          <w:rFonts w:ascii="Arial" w:eastAsia="Calibri" w:hAnsi="Arial" w:cs="Arial"/>
          <w:bCs/>
        </w:rPr>
      </w:pPr>
    </w:p>
    <w:p w14:paraId="4BBA38E6" w14:textId="77777777" w:rsidR="004E5F07" w:rsidRPr="004E5F07" w:rsidRDefault="004E5F07" w:rsidP="00FE7F68">
      <w:pPr>
        <w:spacing w:line="360" w:lineRule="auto"/>
        <w:jc w:val="both"/>
        <w:rPr>
          <w:rFonts w:ascii="Arial" w:hAnsi="Arial" w:cs="Arial"/>
          <w:lang w:val="en-US"/>
        </w:rPr>
      </w:pPr>
    </w:p>
    <w:p w14:paraId="4A5088FD" w14:textId="77777777" w:rsidR="004E5F07" w:rsidRPr="004E5F07" w:rsidRDefault="004E5F07" w:rsidP="00FE7F68">
      <w:pPr>
        <w:spacing w:line="360" w:lineRule="auto"/>
        <w:jc w:val="both"/>
        <w:rPr>
          <w:rFonts w:ascii="Arial" w:hAnsi="Arial" w:cs="Arial"/>
          <w:lang w:val="en-US"/>
        </w:rPr>
      </w:pPr>
    </w:p>
    <w:p w14:paraId="1A84AE10" w14:textId="77777777" w:rsidR="004E5F07" w:rsidRPr="004E5F07" w:rsidRDefault="004E5F07" w:rsidP="00FE7F68">
      <w:pPr>
        <w:spacing w:line="360" w:lineRule="auto"/>
        <w:jc w:val="both"/>
        <w:rPr>
          <w:rFonts w:ascii="Arial" w:hAnsi="Arial" w:cs="Arial"/>
          <w:lang w:val="en-US"/>
        </w:rPr>
      </w:pPr>
    </w:p>
    <w:p w14:paraId="60C416EE" w14:textId="77777777" w:rsidR="00061C47" w:rsidRPr="004E5F07" w:rsidRDefault="00061C47" w:rsidP="00FE7F68">
      <w:pPr>
        <w:spacing w:line="360" w:lineRule="auto"/>
        <w:jc w:val="both"/>
        <w:rPr>
          <w:rFonts w:ascii="Arial" w:hAnsi="Arial" w:cs="Arial"/>
          <w:lang w:val="en-US"/>
        </w:rPr>
      </w:pPr>
    </w:p>
    <w:p w14:paraId="5BA5660D" w14:textId="77777777" w:rsidR="00061C47" w:rsidRPr="004E5F07" w:rsidRDefault="00061C47" w:rsidP="00FE7F68">
      <w:pPr>
        <w:spacing w:line="360" w:lineRule="auto"/>
        <w:jc w:val="both"/>
        <w:rPr>
          <w:rFonts w:ascii="Arial" w:hAnsi="Arial" w:cs="Arial"/>
          <w:lang w:val="en-US"/>
        </w:rPr>
      </w:pPr>
    </w:p>
    <w:p w14:paraId="4F9639B9" w14:textId="77777777" w:rsidR="00061C47" w:rsidRPr="004E5F07" w:rsidRDefault="00061C47" w:rsidP="00FE7F68">
      <w:pPr>
        <w:spacing w:line="360" w:lineRule="auto"/>
        <w:jc w:val="both"/>
        <w:rPr>
          <w:rFonts w:ascii="Arial" w:hAnsi="Arial" w:cs="Arial"/>
          <w:lang w:val="en-US"/>
        </w:rPr>
      </w:pPr>
    </w:p>
    <w:p w14:paraId="69CB4FDC" w14:textId="77777777" w:rsidR="00061C47" w:rsidRPr="004E5F07" w:rsidRDefault="00061C47" w:rsidP="00FE7F68">
      <w:pPr>
        <w:spacing w:line="360" w:lineRule="auto"/>
        <w:jc w:val="both"/>
        <w:rPr>
          <w:rFonts w:ascii="Arial" w:hAnsi="Arial" w:cs="Arial"/>
          <w:lang w:val="en-US"/>
        </w:rPr>
      </w:pPr>
    </w:p>
    <w:p w14:paraId="7579CAFB" w14:textId="554BE68D" w:rsidR="00061C47" w:rsidRPr="00A54A5B" w:rsidRDefault="00061C47" w:rsidP="00A54A5B">
      <w:pPr>
        <w:spacing w:line="360" w:lineRule="auto"/>
        <w:jc w:val="both"/>
        <w:rPr>
          <w:rFonts w:ascii="Arial" w:hAnsi="Arial" w:cs="Arial"/>
          <w:lang w:val="en-US"/>
        </w:rPr>
      </w:pPr>
    </w:p>
    <w:sectPr w:rsidR="00061C47" w:rsidRPr="00A54A5B" w:rsidSect="00087AE1">
      <w:headerReference w:type="even" r:id="rId8"/>
      <w:headerReference w:type="default" r:id="rId9"/>
      <w:headerReference w:type="first" r:id="rId10"/>
      <w:pgSz w:w="11900" w:h="16840"/>
      <w:pgMar w:top="1356" w:right="1671" w:bottom="1480" w:left="172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39A00" w14:textId="77777777" w:rsidR="00087AE1" w:rsidRDefault="00087AE1" w:rsidP="00155B26">
      <w:r>
        <w:separator/>
      </w:r>
    </w:p>
  </w:endnote>
  <w:endnote w:type="continuationSeparator" w:id="0">
    <w:p w14:paraId="3903B3F9" w14:textId="77777777" w:rsidR="00087AE1" w:rsidRDefault="00087AE1" w:rsidP="0015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34AF" w14:textId="77777777" w:rsidR="00087AE1" w:rsidRDefault="00087AE1" w:rsidP="00155B26">
      <w:r>
        <w:separator/>
      </w:r>
    </w:p>
  </w:footnote>
  <w:footnote w:type="continuationSeparator" w:id="0">
    <w:p w14:paraId="452ACA73" w14:textId="77777777" w:rsidR="00087AE1" w:rsidRDefault="00087AE1" w:rsidP="00155B26">
      <w:r>
        <w:continuationSeparator/>
      </w:r>
    </w:p>
  </w:footnote>
  <w:footnote w:id="1">
    <w:p w14:paraId="29F3281D" w14:textId="0C8BCDF8" w:rsidR="006A1BE5" w:rsidRPr="00415C73" w:rsidRDefault="006A1BE5"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lang w:val="en-US"/>
        </w:rPr>
        <w:t>Solsquare Energy (Pty) Ltd v Lühl</w:t>
      </w:r>
      <w:r w:rsidRPr="00415C73">
        <w:rPr>
          <w:rFonts w:ascii="Arial" w:hAnsi="Arial" w:cs="Arial"/>
          <w:lang w:val="en-US"/>
        </w:rPr>
        <w:t xml:space="preserve"> 2022 (3) NR 899 (SC) paras 62</w:t>
      </w:r>
      <w:r w:rsidR="0004201F" w:rsidRPr="00415C73">
        <w:rPr>
          <w:rFonts w:ascii="Arial" w:hAnsi="Arial" w:cs="Arial"/>
          <w:lang w:val="en-US"/>
        </w:rPr>
        <w:t xml:space="preserve"> </w:t>
      </w:r>
      <w:r w:rsidR="00DA2BC6" w:rsidRPr="00415C73">
        <w:rPr>
          <w:rFonts w:ascii="Arial" w:hAnsi="Arial" w:cs="Arial"/>
          <w:lang w:val="en-US"/>
        </w:rPr>
        <w:t>to</w:t>
      </w:r>
      <w:r w:rsidR="0004201F" w:rsidRPr="00415C73">
        <w:rPr>
          <w:rFonts w:ascii="Arial" w:hAnsi="Arial" w:cs="Arial"/>
          <w:lang w:val="en-US"/>
        </w:rPr>
        <w:t xml:space="preserve"> </w:t>
      </w:r>
      <w:r w:rsidRPr="00415C73">
        <w:rPr>
          <w:rFonts w:ascii="Arial" w:hAnsi="Arial" w:cs="Arial"/>
          <w:lang w:val="en-US"/>
        </w:rPr>
        <w:t>68.</w:t>
      </w:r>
    </w:p>
  </w:footnote>
  <w:footnote w:id="2">
    <w:p w14:paraId="576D1EF7" w14:textId="3B771CEA" w:rsidR="0004201F" w:rsidRPr="00415C73" w:rsidRDefault="0004201F"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rPr>
        <w:t>Balzar v Vries</w:t>
      </w:r>
      <w:r w:rsidRPr="00415C73">
        <w:rPr>
          <w:rFonts w:ascii="Arial" w:hAnsi="Arial" w:cs="Arial"/>
        </w:rPr>
        <w:t xml:space="preserve"> 2015(2) NR 547 (SC).</w:t>
      </w:r>
    </w:p>
  </w:footnote>
  <w:footnote w:id="3">
    <w:p w14:paraId="64417682" w14:textId="3AD09E8A" w:rsidR="0004201F" w:rsidRPr="00415C73" w:rsidRDefault="0004201F"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rPr>
        <w:t xml:space="preserve">Beukes and Another v South West Africa Building Society (SWABOU) and Others </w:t>
      </w:r>
      <w:r w:rsidRPr="00415C73">
        <w:rPr>
          <w:rFonts w:ascii="Arial" w:hAnsi="Arial" w:cs="Arial"/>
        </w:rPr>
        <w:t>NASC SA 10/2006 (5 November 2010).</w:t>
      </w:r>
    </w:p>
  </w:footnote>
  <w:footnote w:id="4">
    <w:p w14:paraId="454552AA" w14:textId="72F8A842" w:rsidR="0004201F" w:rsidRPr="00415C73" w:rsidRDefault="0004201F"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rPr>
        <w:t>Arangies t/a Auto Tech v Quick Build</w:t>
      </w:r>
      <w:r w:rsidRPr="00415C73">
        <w:rPr>
          <w:rFonts w:ascii="Arial" w:hAnsi="Arial" w:cs="Arial"/>
        </w:rPr>
        <w:t xml:space="preserve"> 2014 (1) NR 187 (SC).</w:t>
      </w:r>
    </w:p>
  </w:footnote>
  <w:footnote w:id="5">
    <w:p w14:paraId="4792EB89" w14:textId="77777777" w:rsidR="0028106D" w:rsidRPr="00415C73" w:rsidRDefault="0028106D"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lang w:val="en-US"/>
        </w:rPr>
        <w:t>Telecom Namibia Ltd v Nangolo and Others</w:t>
      </w:r>
      <w:r w:rsidRPr="00415C73">
        <w:rPr>
          <w:rFonts w:ascii="Arial" w:hAnsi="Arial" w:cs="Arial"/>
          <w:lang w:val="en-US"/>
        </w:rPr>
        <w:t xml:space="preserve"> 2015 (2) NR 510 (SC) para 21.</w:t>
      </w:r>
    </w:p>
  </w:footnote>
  <w:footnote w:id="6">
    <w:p w14:paraId="43C0AFB7" w14:textId="77777777" w:rsidR="00D64D2A" w:rsidRPr="00415C73" w:rsidRDefault="00D64D2A"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rPr>
        <w:t xml:space="preserve">Vaatz: In re Schweiger v Gamikaub (Pty) Ltd </w:t>
      </w:r>
      <w:r w:rsidRPr="00415C73">
        <w:rPr>
          <w:rFonts w:ascii="Arial" w:hAnsi="Arial" w:cs="Arial"/>
        </w:rPr>
        <w:t>2006 (1) NR 161 (HC) para 10.</w:t>
      </w:r>
    </w:p>
  </w:footnote>
  <w:footnote w:id="7">
    <w:p w14:paraId="1BF3863E" w14:textId="00EEE8D9" w:rsidR="00D64D2A" w:rsidRPr="00415C73" w:rsidRDefault="00D64D2A"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rPr>
        <w:t>Darries v</w:t>
      </w:r>
      <w:r w:rsidR="007730E2">
        <w:rPr>
          <w:rFonts w:ascii="Arial" w:hAnsi="Arial" w:cs="Arial"/>
          <w:i/>
          <w:iCs/>
        </w:rPr>
        <w:t xml:space="preserve"> </w:t>
      </w:r>
      <w:r w:rsidRPr="00415C73">
        <w:rPr>
          <w:rFonts w:ascii="Arial" w:hAnsi="Arial" w:cs="Arial"/>
          <w:i/>
          <w:iCs/>
        </w:rPr>
        <w:t>Sheriff, Magistrate's Court, Wynberg and Another</w:t>
      </w:r>
      <w:r w:rsidRPr="00415C73">
        <w:rPr>
          <w:rFonts w:ascii="Arial" w:hAnsi="Arial" w:cs="Arial"/>
        </w:rPr>
        <w:t> 1998 (3) SA 34 (SCA) 40G-41D.</w:t>
      </w:r>
    </w:p>
  </w:footnote>
  <w:footnote w:id="8">
    <w:p w14:paraId="06AA7A8E" w14:textId="5D661710" w:rsidR="007730E2" w:rsidRPr="00415C73" w:rsidRDefault="007730E2" w:rsidP="007730E2">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002506F6">
        <w:rPr>
          <w:rFonts w:ascii="Arial" w:hAnsi="Arial" w:cs="Arial"/>
          <w:i/>
          <w:iCs/>
        </w:rPr>
        <w:t>Supra</w:t>
      </w:r>
      <w:r w:rsidRPr="00415C73">
        <w:rPr>
          <w:rFonts w:ascii="Arial" w:hAnsi="Arial" w:cs="Arial"/>
        </w:rPr>
        <w:t>.</w:t>
      </w:r>
    </w:p>
  </w:footnote>
  <w:footnote w:id="9">
    <w:p w14:paraId="73D49F8B" w14:textId="7E403566" w:rsidR="00CC077F" w:rsidRPr="00415C73" w:rsidRDefault="00CC077F"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Wise v Shikuambi NO and Another 2017 (2) NR 614 (HC) para 21.</w:t>
      </w:r>
    </w:p>
  </w:footnote>
  <w:footnote w:id="10">
    <w:p w14:paraId="0BF0E5CE" w14:textId="0228FAC1" w:rsidR="006200B2" w:rsidRPr="00415C73" w:rsidRDefault="006200B2"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iCs/>
          <w:lang w:val="en-NA"/>
        </w:rPr>
        <w:t xml:space="preserve">QKR Namibia Navachab Gold Mine (Pty) Ltd v Kwala </w:t>
      </w:r>
      <w:r w:rsidRPr="00415C73">
        <w:rPr>
          <w:rFonts w:ascii="Arial" w:hAnsi="Arial" w:cs="Arial"/>
          <w:lang w:val="en-NA"/>
        </w:rPr>
        <w:t>(HC-MD-LAB-MOT-GEN-2022/00109) [2022] NALCMD 43 (4 August 2022) para 2</w:t>
      </w:r>
      <w:r w:rsidR="00CB552D" w:rsidRPr="00415C73">
        <w:rPr>
          <w:rFonts w:ascii="Arial" w:hAnsi="Arial" w:cs="Arial"/>
          <w:lang w:val="en-NA"/>
        </w:rPr>
        <w:t>5 to 32</w:t>
      </w:r>
      <w:r w:rsidRPr="00415C73">
        <w:rPr>
          <w:rFonts w:ascii="Arial" w:hAnsi="Arial" w:cs="Arial"/>
          <w:lang w:val="en-NA"/>
        </w:rPr>
        <w:t>.</w:t>
      </w:r>
    </w:p>
  </w:footnote>
  <w:footnote w:id="11">
    <w:p w14:paraId="7479D835" w14:textId="0554DE58" w:rsidR="00BE6C0D" w:rsidRPr="00415C73" w:rsidRDefault="00BE6C0D" w:rsidP="00415C73">
      <w:pPr>
        <w:pStyle w:val="FootnoteText"/>
        <w:jc w:val="both"/>
        <w:rPr>
          <w:rFonts w:ascii="Arial" w:hAnsi="Arial" w:cs="Arial"/>
          <w:lang w:val="en-US"/>
        </w:rPr>
      </w:pPr>
      <w:r w:rsidRPr="00415C73">
        <w:rPr>
          <w:rStyle w:val="FootnoteReference"/>
          <w:rFonts w:ascii="Arial" w:hAnsi="Arial" w:cs="Arial"/>
        </w:rPr>
        <w:footnoteRef/>
      </w:r>
      <w:r w:rsidRPr="00415C73">
        <w:rPr>
          <w:rFonts w:ascii="Arial" w:hAnsi="Arial" w:cs="Arial"/>
        </w:rPr>
        <w:t xml:space="preserve"> </w:t>
      </w:r>
      <w:r w:rsidRPr="00415C73">
        <w:rPr>
          <w:rFonts w:ascii="Arial" w:hAnsi="Arial" w:cs="Arial"/>
          <w:i/>
        </w:rPr>
        <w:t xml:space="preserve">South Africa Poultry Association v The Ministry of Trade and Industry </w:t>
      </w:r>
      <w:r w:rsidRPr="00415C73">
        <w:rPr>
          <w:rFonts w:ascii="Arial" w:hAnsi="Arial" w:cs="Arial"/>
        </w:rPr>
        <w:t>2015 (1) NR 260 (HC) para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4864961"/>
      <w:docPartObj>
        <w:docPartGallery w:val="Page Numbers (Top of Page)"/>
        <w:docPartUnique/>
      </w:docPartObj>
    </w:sdtPr>
    <w:sdtContent>
      <w:p w14:paraId="08CAA8E2" w14:textId="43042591" w:rsidR="004B062D" w:rsidRDefault="004B062D" w:rsidP="00D4689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DF97AD" w14:textId="77777777" w:rsidR="004B062D" w:rsidRDefault="004B062D" w:rsidP="004B062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10668225"/>
      <w:docPartObj>
        <w:docPartGallery w:val="Page Numbers (Top of Page)"/>
        <w:docPartUnique/>
      </w:docPartObj>
    </w:sdtPr>
    <w:sdtContent>
      <w:p w14:paraId="48559976" w14:textId="2EB1D5D4" w:rsidR="004B062D" w:rsidRPr="004B062D" w:rsidRDefault="004B062D" w:rsidP="004B062D">
        <w:pPr>
          <w:pStyle w:val="Header"/>
          <w:framePr w:wrap="none" w:vAnchor="text" w:hAnchor="margin" w:xAlign="right" w:y="1"/>
          <w:jc w:val="both"/>
          <w:rPr>
            <w:rStyle w:val="PageNumber"/>
            <w:rFonts w:ascii="Arial" w:hAnsi="Arial" w:cs="Arial"/>
            <w:sz w:val="20"/>
            <w:szCs w:val="20"/>
          </w:rPr>
        </w:pPr>
        <w:r w:rsidRPr="004B062D">
          <w:rPr>
            <w:rStyle w:val="PageNumber"/>
            <w:rFonts w:ascii="Arial" w:hAnsi="Arial" w:cs="Arial"/>
            <w:sz w:val="20"/>
            <w:szCs w:val="20"/>
          </w:rPr>
          <w:fldChar w:fldCharType="begin"/>
        </w:r>
        <w:r w:rsidRPr="004B062D">
          <w:rPr>
            <w:rStyle w:val="PageNumber"/>
            <w:rFonts w:ascii="Arial" w:hAnsi="Arial" w:cs="Arial"/>
            <w:sz w:val="20"/>
            <w:szCs w:val="20"/>
          </w:rPr>
          <w:instrText xml:space="preserve"> PAGE </w:instrText>
        </w:r>
        <w:r w:rsidRPr="004B062D">
          <w:rPr>
            <w:rStyle w:val="PageNumber"/>
            <w:rFonts w:ascii="Arial" w:hAnsi="Arial" w:cs="Arial"/>
            <w:sz w:val="20"/>
            <w:szCs w:val="20"/>
          </w:rPr>
          <w:fldChar w:fldCharType="separate"/>
        </w:r>
        <w:r w:rsidRPr="004B062D">
          <w:rPr>
            <w:rStyle w:val="PageNumber"/>
            <w:rFonts w:ascii="Arial" w:hAnsi="Arial" w:cs="Arial"/>
            <w:noProof/>
            <w:sz w:val="20"/>
            <w:szCs w:val="20"/>
          </w:rPr>
          <w:t>2</w:t>
        </w:r>
        <w:r w:rsidRPr="004B062D">
          <w:rPr>
            <w:rStyle w:val="PageNumber"/>
            <w:rFonts w:ascii="Arial" w:hAnsi="Arial" w:cs="Arial"/>
            <w:sz w:val="20"/>
            <w:szCs w:val="20"/>
          </w:rPr>
          <w:fldChar w:fldCharType="end"/>
        </w:r>
      </w:p>
    </w:sdtContent>
  </w:sdt>
  <w:p w14:paraId="1333E144" w14:textId="77777777" w:rsidR="004B062D" w:rsidRPr="004B062D" w:rsidRDefault="004B062D" w:rsidP="004B062D">
    <w:pPr>
      <w:pStyle w:val="Header"/>
      <w:ind w:right="360"/>
      <w:jc w:val="both"/>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6040" w14:textId="72149882" w:rsidR="004250C1" w:rsidRPr="004250C1" w:rsidRDefault="004250C1" w:rsidP="004250C1">
    <w:pPr>
      <w:pStyle w:val="Header"/>
      <w:jc w:val="right"/>
      <w:rPr>
        <w:rFonts w:ascii="Arial" w:hAnsi="Arial" w:cs="Arial"/>
        <w:lang w:val="en-US"/>
      </w:rPr>
    </w:pPr>
    <w:r>
      <w:rPr>
        <w:rFonts w:ascii="Arial" w:hAnsi="Arial" w:cs="Arial"/>
        <w:lang w:val="en-US"/>
      </w:rPr>
      <w:t>REPORTABLE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34B43"/>
    <w:multiLevelType w:val="hybridMultilevel"/>
    <w:tmpl w:val="1E002ACE"/>
    <w:lvl w:ilvl="0" w:tplc="C8BEB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547750"/>
    <w:multiLevelType w:val="hybridMultilevel"/>
    <w:tmpl w:val="2FB2073C"/>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75551"/>
    <w:multiLevelType w:val="hybridMultilevel"/>
    <w:tmpl w:val="0F06C2C0"/>
    <w:lvl w:ilvl="0" w:tplc="DCCE6A8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42A12"/>
    <w:multiLevelType w:val="hybridMultilevel"/>
    <w:tmpl w:val="0058686E"/>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1D17CC"/>
    <w:multiLevelType w:val="hybridMultilevel"/>
    <w:tmpl w:val="5B2E6B94"/>
    <w:lvl w:ilvl="0" w:tplc="C8BEB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C4B90"/>
    <w:multiLevelType w:val="hybridMultilevel"/>
    <w:tmpl w:val="F294C380"/>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05DFF"/>
    <w:multiLevelType w:val="hybridMultilevel"/>
    <w:tmpl w:val="3190EAE4"/>
    <w:lvl w:ilvl="0" w:tplc="EE0A91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B470B"/>
    <w:multiLevelType w:val="hybridMultilevel"/>
    <w:tmpl w:val="775C8BE0"/>
    <w:lvl w:ilvl="0" w:tplc="C8BEB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704A8D"/>
    <w:multiLevelType w:val="hybridMultilevel"/>
    <w:tmpl w:val="B664901A"/>
    <w:lvl w:ilvl="0" w:tplc="3E70A1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100EA"/>
    <w:multiLevelType w:val="hybridMultilevel"/>
    <w:tmpl w:val="4AF04DC2"/>
    <w:lvl w:ilvl="0" w:tplc="C8BEB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1604038">
    <w:abstractNumId w:val="2"/>
  </w:num>
  <w:num w:numId="2" w16cid:durableId="1658530593">
    <w:abstractNumId w:val="5"/>
  </w:num>
  <w:num w:numId="3" w16cid:durableId="48770969">
    <w:abstractNumId w:val="3"/>
  </w:num>
  <w:num w:numId="4" w16cid:durableId="177887081">
    <w:abstractNumId w:val="8"/>
  </w:num>
  <w:num w:numId="5" w16cid:durableId="537157373">
    <w:abstractNumId w:val="9"/>
  </w:num>
  <w:num w:numId="6" w16cid:durableId="169955448">
    <w:abstractNumId w:val="7"/>
  </w:num>
  <w:num w:numId="7" w16cid:durableId="1966421462">
    <w:abstractNumId w:val="0"/>
  </w:num>
  <w:num w:numId="8" w16cid:durableId="861436857">
    <w:abstractNumId w:val="4"/>
  </w:num>
  <w:num w:numId="9" w16cid:durableId="606080099">
    <w:abstractNumId w:val="6"/>
  </w:num>
  <w:num w:numId="10" w16cid:durableId="733507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279"/>
    <w:rsid w:val="0000201C"/>
    <w:rsid w:val="0000282B"/>
    <w:rsid w:val="00010077"/>
    <w:rsid w:val="000111AE"/>
    <w:rsid w:val="0002286C"/>
    <w:rsid w:val="000258A5"/>
    <w:rsid w:val="0004201F"/>
    <w:rsid w:val="0004221A"/>
    <w:rsid w:val="00061C47"/>
    <w:rsid w:val="00063CD5"/>
    <w:rsid w:val="00072216"/>
    <w:rsid w:val="00080C48"/>
    <w:rsid w:val="00081380"/>
    <w:rsid w:val="00087AE1"/>
    <w:rsid w:val="000A1D68"/>
    <w:rsid w:val="000D5D07"/>
    <w:rsid w:val="000E11AE"/>
    <w:rsid w:val="00110B5C"/>
    <w:rsid w:val="00124114"/>
    <w:rsid w:val="00155B26"/>
    <w:rsid w:val="001758C4"/>
    <w:rsid w:val="00175F40"/>
    <w:rsid w:val="00181628"/>
    <w:rsid w:val="001848DE"/>
    <w:rsid w:val="0018581A"/>
    <w:rsid w:val="00193908"/>
    <w:rsid w:val="001B3BED"/>
    <w:rsid w:val="001B4782"/>
    <w:rsid w:val="001E1F77"/>
    <w:rsid w:val="00217F9E"/>
    <w:rsid w:val="00224848"/>
    <w:rsid w:val="002255DF"/>
    <w:rsid w:val="00226833"/>
    <w:rsid w:val="002506F6"/>
    <w:rsid w:val="00250CA5"/>
    <w:rsid w:val="00274E82"/>
    <w:rsid w:val="0028106D"/>
    <w:rsid w:val="00286006"/>
    <w:rsid w:val="002A6DF7"/>
    <w:rsid w:val="002B019A"/>
    <w:rsid w:val="002D67A4"/>
    <w:rsid w:val="002E7282"/>
    <w:rsid w:val="00340AE4"/>
    <w:rsid w:val="00360E66"/>
    <w:rsid w:val="00363450"/>
    <w:rsid w:val="00375E0E"/>
    <w:rsid w:val="0037687A"/>
    <w:rsid w:val="0038158C"/>
    <w:rsid w:val="003955AA"/>
    <w:rsid w:val="003B5B43"/>
    <w:rsid w:val="003B6BE9"/>
    <w:rsid w:val="003C0E66"/>
    <w:rsid w:val="003C21D1"/>
    <w:rsid w:val="003C7677"/>
    <w:rsid w:val="003D5AC2"/>
    <w:rsid w:val="003D7EBA"/>
    <w:rsid w:val="003F4919"/>
    <w:rsid w:val="003F7893"/>
    <w:rsid w:val="004030DD"/>
    <w:rsid w:val="004066C0"/>
    <w:rsid w:val="00415C73"/>
    <w:rsid w:val="004250C1"/>
    <w:rsid w:val="0044117A"/>
    <w:rsid w:val="004703DB"/>
    <w:rsid w:val="0047177E"/>
    <w:rsid w:val="0047552F"/>
    <w:rsid w:val="004B062D"/>
    <w:rsid w:val="004E239C"/>
    <w:rsid w:val="004E5F07"/>
    <w:rsid w:val="00513FF3"/>
    <w:rsid w:val="00590D03"/>
    <w:rsid w:val="005912C8"/>
    <w:rsid w:val="00593D7C"/>
    <w:rsid w:val="005A4D83"/>
    <w:rsid w:val="005D1316"/>
    <w:rsid w:val="005E6D7C"/>
    <w:rsid w:val="00607061"/>
    <w:rsid w:val="006200B2"/>
    <w:rsid w:val="00642B8B"/>
    <w:rsid w:val="006474D1"/>
    <w:rsid w:val="00653126"/>
    <w:rsid w:val="00655495"/>
    <w:rsid w:val="006666CC"/>
    <w:rsid w:val="006846B8"/>
    <w:rsid w:val="006A1BE5"/>
    <w:rsid w:val="006A6F34"/>
    <w:rsid w:val="006C150F"/>
    <w:rsid w:val="006E1EAB"/>
    <w:rsid w:val="00725279"/>
    <w:rsid w:val="00730FE5"/>
    <w:rsid w:val="0076685A"/>
    <w:rsid w:val="007730E2"/>
    <w:rsid w:val="00774B82"/>
    <w:rsid w:val="0078013B"/>
    <w:rsid w:val="007B609A"/>
    <w:rsid w:val="007C5009"/>
    <w:rsid w:val="007C6818"/>
    <w:rsid w:val="007F61D7"/>
    <w:rsid w:val="00844D42"/>
    <w:rsid w:val="0085360F"/>
    <w:rsid w:val="008811B2"/>
    <w:rsid w:val="00886F35"/>
    <w:rsid w:val="00890685"/>
    <w:rsid w:val="008D3F19"/>
    <w:rsid w:val="008D5D41"/>
    <w:rsid w:val="009016D2"/>
    <w:rsid w:val="009028E5"/>
    <w:rsid w:val="00923FCD"/>
    <w:rsid w:val="00954EF4"/>
    <w:rsid w:val="009918BF"/>
    <w:rsid w:val="00991D4F"/>
    <w:rsid w:val="00994945"/>
    <w:rsid w:val="009C4E3D"/>
    <w:rsid w:val="009C62D1"/>
    <w:rsid w:val="009D03C9"/>
    <w:rsid w:val="009F1C38"/>
    <w:rsid w:val="009F7A02"/>
    <w:rsid w:val="00A13BF9"/>
    <w:rsid w:val="00A54A5B"/>
    <w:rsid w:val="00A655CD"/>
    <w:rsid w:val="00A77BA5"/>
    <w:rsid w:val="00A81C32"/>
    <w:rsid w:val="00A8299E"/>
    <w:rsid w:val="00AB0FAC"/>
    <w:rsid w:val="00AB6E7B"/>
    <w:rsid w:val="00AC2E37"/>
    <w:rsid w:val="00AC331B"/>
    <w:rsid w:val="00AD1246"/>
    <w:rsid w:val="00AE0FA5"/>
    <w:rsid w:val="00AF7D5F"/>
    <w:rsid w:val="00B2156E"/>
    <w:rsid w:val="00B2520E"/>
    <w:rsid w:val="00B3483C"/>
    <w:rsid w:val="00B44A7E"/>
    <w:rsid w:val="00B53538"/>
    <w:rsid w:val="00B668A3"/>
    <w:rsid w:val="00B71737"/>
    <w:rsid w:val="00B74401"/>
    <w:rsid w:val="00B84B23"/>
    <w:rsid w:val="00B85363"/>
    <w:rsid w:val="00BE4678"/>
    <w:rsid w:val="00BE6C0D"/>
    <w:rsid w:val="00BF3488"/>
    <w:rsid w:val="00BF4267"/>
    <w:rsid w:val="00C048A5"/>
    <w:rsid w:val="00C05DAA"/>
    <w:rsid w:val="00C07731"/>
    <w:rsid w:val="00C1733F"/>
    <w:rsid w:val="00C51AE3"/>
    <w:rsid w:val="00C570E4"/>
    <w:rsid w:val="00C7765D"/>
    <w:rsid w:val="00C840CC"/>
    <w:rsid w:val="00CB552D"/>
    <w:rsid w:val="00CC077F"/>
    <w:rsid w:val="00CC1ABA"/>
    <w:rsid w:val="00CD4A23"/>
    <w:rsid w:val="00CE40E1"/>
    <w:rsid w:val="00D546C6"/>
    <w:rsid w:val="00D64D2A"/>
    <w:rsid w:val="00DA2BC6"/>
    <w:rsid w:val="00DA7C19"/>
    <w:rsid w:val="00DB4F61"/>
    <w:rsid w:val="00DE47AE"/>
    <w:rsid w:val="00E35B1E"/>
    <w:rsid w:val="00E40548"/>
    <w:rsid w:val="00E548CB"/>
    <w:rsid w:val="00E81D39"/>
    <w:rsid w:val="00EC0433"/>
    <w:rsid w:val="00F0414A"/>
    <w:rsid w:val="00F14142"/>
    <w:rsid w:val="00F61FD5"/>
    <w:rsid w:val="00F8468E"/>
    <w:rsid w:val="00FD0452"/>
    <w:rsid w:val="00FE7F68"/>
  </w:rsids>
  <m:mathPr>
    <m:mathFont m:val="Cambria Math"/>
    <m:brkBin m:val="before"/>
    <m:brkBinSub m:val="--"/>
    <m:smallFrac m:val="0"/>
    <m:dispDef/>
    <m:lMargin m:val="0"/>
    <m:rMargin m:val="0"/>
    <m:defJc m:val="centerGroup"/>
    <m:wrapIndent m:val="1440"/>
    <m:intLim m:val="subSup"/>
    <m:naryLim m:val="undOvr"/>
  </m:mathPr>
  <w:themeFontLang w:val="en-N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7613"/>
  <w15:chartTrackingRefBased/>
  <w15:docId w15:val="{AA3913D1-348A-9540-A121-AE5E80C1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0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7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5B26"/>
    <w:pPr>
      <w:tabs>
        <w:tab w:val="center" w:pos="4513"/>
        <w:tab w:val="right" w:pos="9026"/>
      </w:tabs>
    </w:pPr>
  </w:style>
  <w:style w:type="character" w:customStyle="1" w:styleId="HeaderChar">
    <w:name w:val="Header Char"/>
    <w:basedOn w:val="DefaultParagraphFont"/>
    <w:link w:val="Header"/>
    <w:uiPriority w:val="99"/>
    <w:rsid w:val="00155B26"/>
    <w:rPr>
      <w:lang w:val="en-GB"/>
    </w:rPr>
  </w:style>
  <w:style w:type="character" w:styleId="PageNumber">
    <w:name w:val="page number"/>
    <w:basedOn w:val="DefaultParagraphFont"/>
    <w:uiPriority w:val="99"/>
    <w:semiHidden/>
    <w:unhideWhenUsed/>
    <w:rsid w:val="00155B26"/>
  </w:style>
  <w:style w:type="paragraph" w:styleId="Footer">
    <w:name w:val="footer"/>
    <w:basedOn w:val="Normal"/>
    <w:link w:val="FooterChar"/>
    <w:uiPriority w:val="99"/>
    <w:unhideWhenUsed/>
    <w:rsid w:val="00155B26"/>
    <w:pPr>
      <w:tabs>
        <w:tab w:val="center" w:pos="4513"/>
        <w:tab w:val="right" w:pos="9026"/>
      </w:tabs>
    </w:pPr>
  </w:style>
  <w:style w:type="character" w:customStyle="1" w:styleId="FooterChar">
    <w:name w:val="Footer Char"/>
    <w:basedOn w:val="DefaultParagraphFont"/>
    <w:link w:val="Footer"/>
    <w:uiPriority w:val="99"/>
    <w:rsid w:val="00155B26"/>
    <w:rPr>
      <w:lang w:val="en-GB"/>
    </w:rPr>
  </w:style>
  <w:style w:type="paragraph" w:styleId="ListParagraph">
    <w:name w:val="List Paragraph"/>
    <w:basedOn w:val="Normal"/>
    <w:uiPriority w:val="34"/>
    <w:qFormat/>
    <w:rsid w:val="004E5F07"/>
    <w:pPr>
      <w:ind w:left="720"/>
      <w:contextualSpacing/>
    </w:pPr>
  </w:style>
  <w:style w:type="character" w:styleId="Hyperlink">
    <w:name w:val="Hyperlink"/>
    <w:basedOn w:val="DefaultParagraphFont"/>
    <w:uiPriority w:val="99"/>
    <w:unhideWhenUsed/>
    <w:rsid w:val="0002286C"/>
    <w:rPr>
      <w:color w:val="0563C1" w:themeColor="hyperlink"/>
      <w:u w:val="single"/>
    </w:rPr>
  </w:style>
  <w:style w:type="character" w:styleId="UnresolvedMention">
    <w:name w:val="Unresolved Mention"/>
    <w:basedOn w:val="DefaultParagraphFont"/>
    <w:uiPriority w:val="99"/>
    <w:semiHidden/>
    <w:unhideWhenUsed/>
    <w:rsid w:val="0002286C"/>
    <w:rPr>
      <w:color w:val="605E5C"/>
      <w:shd w:val="clear" w:color="auto" w:fill="E1DFDD"/>
    </w:rPr>
  </w:style>
  <w:style w:type="paragraph" w:styleId="FootnoteText">
    <w:name w:val="footnote text"/>
    <w:basedOn w:val="Normal"/>
    <w:link w:val="FootnoteTextChar"/>
    <w:uiPriority w:val="99"/>
    <w:semiHidden/>
    <w:unhideWhenUsed/>
    <w:rsid w:val="006A1BE5"/>
    <w:rPr>
      <w:sz w:val="20"/>
      <w:szCs w:val="20"/>
    </w:rPr>
  </w:style>
  <w:style w:type="character" w:customStyle="1" w:styleId="FootnoteTextChar">
    <w:name w:val="Footnote Text Char"/>
    <w:basedOn w:val="DefaultParagraphFont"/>
    <w:link w:val="FootnoteText"/>
    <w:uiPriority w:val="99"/>
    <w:semiHidden/>
    <w:rsid w:val="006A1BE5"/>
    <w:rPr>
      <w:sz w:val="20"/>
      <w:szCs w:val="20"/>
      <w:lang w:val="en-GB"/>
    </w:rPr>
  </w:style>
  <w:style w:type="character" w:styleId="FootnoteReference">
    <w:name w:val="footnote reference"/>
    <w:basedOn w:val="DefaultParagraphFont"/>
    <w:uiPriority w:val="99"/>
    <w:semiHidden/>
    <w:unhideWhenUsed/>
    <w:rsid w:val="006A1BE5"/>
    <w:rPr>
      <w:vertAlign w:val="superscript"/>
    </w:rPr>
  </w:style>
  <w:style w:type="paragraph" w:styleId="NormalWeb">
    <w:name w:val="Normal (Web)"/>
    <w:basedOn w:val="Normal"/>
    <w:uiPriority w:val="99"/>
    <w:semiHidden/>
    <w:unhideWhenUsed/>
    <w:rsid w:val="006200B2"/>
    <w:pPr>
      <w:spacing w:before="100" w:beforeAutospacing="1" w:after="100" w:afterAutospacing="1"/>
    </w:pPr>
    <w:rPr>
      <w:rFonts w:ascii="Times New Roman" w:eastAsia="Times New Roman" w:hAnsi="Times New Roman" w:cs="Times New Roman"/>
      <w:kern w:val="0"/>
      <w:lang w:val="en-NA"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204">
      <w:bodyDiv w:val="1"/>
      <w:marLeft w:val="0"/>
      <w:marRight w:val="0"/>
      <w:marTop w:val="0"/>
      <w:marBottom w:val="0"/>
      <w:divBdr>
        <w:top w:val="none" w:sz="0" w:space="0" w:color="auto"/>
        <w:left w:val="none" w:sz="0" w:space="0" w:color="auto"/>
        <w:bottom w:val="none" w:sz="0" w:space="0" w:color="auto"/>
        <w:right w:val="none" w:sz="0" w:space="0" w:color="auto"/>
      </w:divBdr>
    </w:div>
    <w:div w:id="272440330">
      <w:bodyDiv w:val="1"/>
      <w:marLeft w:val="0"/>
      <w:marRight w:val="0"/>
      <w:marTop w:val="0"/>
      <w:marBottom w:val="0"/>
      <w:divBdr>
        <w:top w:val="none" w:sz="0" w:space="0" w:color="auto"/>
        <w:left w:val="none" w:sz="0" w:space="0" w:color="auto"/>
        <w:bottom w:val="none" w:sz="0" w:space="0" w:color="auto"/>
        <w:right w:val="none" w:sz="0" w:space="0" w:color="auto"/>
      </w:divBdr>
      <w:divsChild>
        <w:div w:id="1222131503">
          <w:marLeft w:val="0"/>
          <w:marRight w:val="0"/>
          <w:marTop w:val="0"/>
          <w:marBottom w:val="0"/>
          <w:divBdr>
            <w:top w:val="none" w:sz="0" w:space="0" w:color="auto"/>
            <w:left w:val="none" w:sz="0" w:space="0" w:color="auto"/>
            <w:bottom w:val="none" w:sz="0" w:space="0" w:color="auto"/>
            <w:right w:val="none" w:sz="0" w:space="0" w:color="auto"/>
          </w:divBdr>
          <w:divsChild>
            <w:div w:id="223563424">
              <w:marLeft w:val="0"/>
              <w:marRight w:val="0"/>
              <w:marTop w:val="0"/>
              <w:marBottom w:val="0"/>
              <w:divBdr>
                <w:top w:val="none" w:sz="0" w:space="0" w:color="auto"/>
                <w:left w:val="none" w:sz="0" w:space="0" w:color="auto"/>
                <w:bottom w:val="none" w:sz="0" w:space="0" w:color="auto"/>
                <w:right w:val="none" w:sz="0" w:space="0" w:color="auto"/>
              </w:divBdr>
              <w:divsChild>
                <w:div w:id="260453877">
                  <w:marLeft w:val="0"/>
                  <w:marRight w:val="0"/>
                  <w:marTop w:val="0"/>
                  <w:marBottom w:val="0"/>
                  <w:divBdr>
                    <w:top w:val="none" w:sz="0" w:space="0" w:color="auto"/>
                    <w:left w:val="none" w:sz="0" w:space="0" w:color="auto"/>
                    <w:bottom w:val="none" w:sz="0" w:space="0" w:color="auto"/>
                    <w:right w:val="none" w:sz="0" w:space="0" w:color="auto"/>
                  </w:divBdr>
                </w:div>
              </w:divsChild>
            </w:div>
            <w:div w:id="1781995530">
              <w:marLeft w:val="0"/>
              <w:marRight w:val="0"/>
              <w:marTop w:val="0"/>
              <w:marBottom w:val="0"/>
              <w:divBdr>
                <w:top w:val="none" w:sz="0" w:space="0" w:color="auto"/>
                <w:left w:val="none" w:sz="0" w:space="0" w:color="auto"/>
                <w:bottom w:val="none" w:sz="0" w:space="0" w:color="auto"/>
                <w:right w:val="none" w:sz="0" w:space="0" w:color="auto"/>
              </w:divBdr>
              <w:divsChild>
                <w:div w:id="72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1340">
      <w:bodyDiv w:val="1"/>
      <w:marLeft w:val="0"/>
      <w:marRight w:val="0"/>
      <w:marTop w:val="0"/>
      <w:marBottom w:val="0"/>
      <w:divBdr>
        <w:top w:val="none" w:sz="0" w:space="0" w:color="auto"/>
        <w:left w:val="none" w:sz="0" w:space="0" w:color="auto"/>
        <w:bottom w:val="none" w:sz="0" w:space="0" w:color="auto"/>
        <w:right w:val="none" w:sz="0" w:space="0" w:color="auto"/>
      </w:divBdr>
      <w:divsChild>
        <w:div w:id="1844315310">
          <w:marLeft w:val="0"/>
          <w:marRight w:val="0"/>
          <w:marTop w:val="0"/>
          <w:marBottom w:val="0"/>
          <w:divBdr>
            <w:top w:val="none" w:sz="0" w:space="0" w:color="auto"/>
            <w:left w:val="none" w:sz="0" w:space="0" w:color="auto"/>
            <w:bottom w:val="none" w:sz="0" w:space="0" w:color="auto"/>
            <w:right w:val="none" w:sz="0" w:space="0" w:color="auto"/>
          </w:divBdr>
          <w:divsChild>
            <w:div w:id="1865552636">
              <w:marLeft w:val="0"/>
              <w:marRight w:val="0"/>
              <w:marTop w:val="0"/>
              <w:marBottom w:val="0"/>
              <w:divBdr>
                <w:top w:val="none" w:sz="0" w:space="0" w:color="auto"/>
                <w:left w:val="none" w:sz="0" w:space="0" w:color="auto"/>
                <w:bottom w:val="none" w:sz="0" w:space="0" w:color="auto"/>
                <w:right w:val="none" w:sz="0" w:space="0" w:color="auto"/>
              </w:divBdr>
              <w:divsChild>
                <w:div w:id="131787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2024-02-20T18:30:00+00:00</Judgment_x0020_Date>
    <Year xmlns="c1afb1bd-f2fb-40fd-9abb-aea55b4d7662">2024</Year>
  </documentManagement>
</p:properties>
</file>

<file path=customXml/itemProps1.xml><?xml version="1.0" encoding="utf-8"?>
<ds:datastoreItem xmlns:ds="http://schemas.openxmlformats.org/officeDocument/2006/customXml" ds:itemID="{4BCB3BB1-6105-410A-A96A-C1EB26573A84}"/>
</file>

<file path=customXml/itemProps2.xml><?xml version="1.0" encoding="utf-8"?>
<ds:datastoreItem xmlns:ds="http://schemas.openxmlformats.org/officeDocument/2006/customXml" ds:itemID="{8E038F42-CE60-42E1-A5F1-FAECB7569981}"/>
</file>

<file path=customXml/itemProps3.xml><?xml version="1.0" encoding="utf-8"?>
<ds:datastoreItem xmlns:ds="http://schemas.openxmlformats.org/officeDocument/2006/customXml" ds:itemID="{DF5124CD-B853-45F2-A4CE-66781FA506AF}"/>
</file>

<file path=docProps/app.xml><?xml version="1.0" encoding="utf-8"?>
<Properties xmlns="http://schemas.openxmlformats.org/officeDocument/2006/extended-properties" xmlns:vt="http://schemas.openxmlformats.org/officeDocument/2006/docPropsVTypes">
  <Template>Normal.dotm</Template>
  <TotalTime>1</TotalTime>
  <Pages>22</Pages>
  <Words>6060</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TransNamib Holdings Limited v Aris Stone Products CC</dc:title>
  <dc:subject/>
  <dc:creator>Beatrix de Jager</dc:creator>
  <cp:keywords/>
  <dc:description/>
  <cp:lastModifiedBy>Beatrix de Jager</cp:lastModifiedBy>
  <cp:revision>3</cp:revision>
  <cp:lastPrinted>2024-02-20T14:17:00Z</cp:lastPrinted>
  <dcterms:created xsi:type="dcterms:W3CDTF">2024-02-20T14:20:00Z</dcterms:created>
  <dcterms:modified xsi:type="dcterms:W3CDTF">2024-02-28T06:02:00Z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