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3D26" w14:textId="77777777" w:rsidR="00CC559B" w:rsidRPr="00222713" w:rsidRDefault="00CC559B" w:rsidP="00CC559B">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0FC9B52C" w14:textId="77777777" w:rsidR="00CC559B" w:rsidRPr="00222713" w:rsidRDefault="00CC559B" w:rsidP="00CC559B">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48380EB5" wp14:editId="299918A9">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34BE36F5" w14:textId="091268B2" w:rsidR="009F4F34" w:rsidRDefault="009F4F34" w:rsidP="00CC559B">
      <w:pPr>
        <w:tabs>
          <w:tab w:val="right" w:pos="8100"/>
        </w:tabs>
        <w:spacing w:line="360" w:lineRule="auto"/>
        <w:jc w:val="center"/>
        <w:rPr>
          <w:rFonts w:ascii="Arial" w:hAnsi="Arial"/>
          <w:b/>
        </w:rPr>
      </w:pPr>
      <w:r>
        <w:rPr>
          <w:rFonts w:ascii="Arial" w:hAnsi="Arial"/>
          <w:b/>
        </w:rPr>
        <w:t>HIGH COURT OF NAMIBIA, MAIN DIVISION, WINDHOEK</w:t>
      </w:r>
    </w:p>
    <w:p w14:paraId="004F14FF" w14:textId="77777777" w:rsidR="009F4F34" w:rsidRDefault="009F4F34" w:rsidP="00CC559B">
      <w:pPr>
        <w:spacing w:line="360" w:lineRule="auto"/>
        <w:jc w:val="center"/>
        <w:rPr>
          <w:rFonts w:ascii="Arial" w:hAnsi="Arial"/>
          <w:b/>
        </w:rPr>
      </w:pPr>
      <w:r>
        <w:rPr>
          <w:rFonts w:ascii="Arial" w:hAnsi="Arial"/>
          <w:b/>
        </w:rPr>
        <w:t>RULING</w:t>
      </w:r>
    </w:p>
    <w:p w14:paraId="74E532C1" w14:textId="77777777" w:rsidR="009F4F34" w:rsidRDefault="009F4F34" w:rsidP="00CC559B">
      <w:pPr>
        <w:spacing w:line="360" w:lineRule="auto"/>
        <w:jc w:val="center"/>
        <w:rPr>
          <w:rFonts w:ascii="Arial" w:hAnsi="Arial"/>
          <w:b/>
        </w:rPr>
      </w:pPr>
    </w:p>
    <w:p w14:paraId="17D91831" w14:textId="77777777" w:rsidR="009F4F34" w:rsidRDefault="009F4F34" w:rsidP="00CC559B">
      <w:pPr>
        <w:spacing w:line="360" w:lineRule="auto"/>
        <w:jc w:val="right"/>
        <w:rPr>
          <w:rFonts w:ascii="Arial" w:hAnsi="Arial"/>
        </w:rPr>
      </w:pPr>
      <w:r>
        <w:rPr>
          <w:rFonts w:ascii="Arial" w:hAnsi="Arial"/>
        </w:rPr>
        <w:t>Case No: HC-MD-CIV-ACT-CON-2021/03376</w:t>
      </w:r>
    </w:p>
    <w:p w14:paraId="7E81DE3F" w14:textId="77777777" w:rsidR="009F4F34" w:rsidRDefault="009F4F34" w:rsidP="00CC559B">
      <w:pPr>
        <w:spacing w:line="360" w:lineRule="auto"/>
        <w:jc w:val="right"/>
        <w:rPr>
          <w:rFonts w:ascii="Arial" w:hAnsi="Arial"/>
        </w:rPr>
      </w:pPr>
    </w:p>
    <w:p w14:paraId="57381DE8" w14:textId="77777777" w:rsidR="009F4F34" w:rsidRDefault="009F4F34" w:rsidP="00CC559B">
      <w:pPr>
        <w:spacing w:line="360" w:lineRule="auto"/>
        <w:rPr>
          <w:rFonts w:ascii="Arial" w:hAnsi="Arial"/>
        </w:rPr>
      </w:pPr>
      <w:r>
        <w:rPr>
          <w:rFonts w:ascii="Arial" w:hAnsi="Arial"/>
        </w:rPr>
        <w:t>In the matter between:</w:t>
      </w:r>
    </w:p>
    <w:p w14:paraId="1EE03369" w14:textId="77777777" w:rsidR="009F4F34" w:rsidRDefault="009F4F34" w:rsidP="00CC559B">
      <w:pPr>
        <w:spacing w:line="360" w:lineRule="auto"/>
        <w:rPr>
          <w:rFonts w:ascii="Arial" w:hAnsi="Arial"/>
        </w:rPr>
      </w:pPr>
    </w:p>
    <w:p w14:paraId="1A210CBA" w14:textId="47ED0499" w:rsidR="009F4F34" w:rsidRDefault="009F4F34" w:rsidP="00CC559B">
      <w:pPr>
        <w:tabs>
          <w:tab w:val="right" w:pos="8280"/>
        </w:tabs>
        <w:spacing w:line="360" w:lineRule="auto"/>
        <w:rPr>
          <w:rFonts w:ascii="Arial" w:hAnsi="Arial"/>
          <w:b/>
        </w:rPr>
      </w:pPr>
      <w:r>
        <w:rPr>
          <w:rFonts w:ascii="Arial" w:hAnsi="Arial"/>
          <w:b/>
        </w:rPr>
        <w:t xml:space="preserve">FIRST NATIONAL BANK OF NAMIBIA LIMITED                       </w:t>
      </w:r>
      <w:r w:rsidR="00CC559B">
        <w:rPr>
          <w:rFonts w:ascii="Arial" w:hAnsi="Arial"/>
          <w:b/>
        </w:rPr>
        <w:tab/>
      </w:r>
      <w:r>
        <w:rPr>
          <w:rFonts w:ascii="Arial" w:hAnsi="Arial"/>
          <w:b/>
        </w:rPr>
        <w:t>APPLICANT</w:t>
      </w:r>
    </w:p>
    <w:p w14:paraId="00F1FD49" w14:textId="77777777" w:rsidR="009F4F34" w:rsidRDefault="009F4F34" w:rsidP="00CC559B">
      <w:pPr>
        <w:spacing w:line="360" w:lineRule="auto"/>
        <w:rPr>
          <w:rFonts w:ascii="Arial" w:hAnsi="Arial"/>
          <w:b/>
        </w:rPr>
      </w:pPr>
    </w:p>
    <w:p w14:paraId="5E8E9875" w14:textId="77777777" w:rsidR="009F4F34" w:rsidRDefault="009F4F34" w:rsidP="00CC559B">
      <w:pPr>
        <w:spacing w:line="360" w:lineRule="auto"/>
        <w:rPr>
          <w:rFonts w:ascii="Arial" w:hAnsi="Arial"/>
        </w:rPr>
      </w:pPr>
      <w:r>
        <w:rPr>
          <w:rFonts w:ascii="Arial" w:hAnsi="Arial"/>
        </w:rPr>
        <w:t>and</w:t>
      </w:r>
    </w:p>
    <w:p w14:paraId="1F7BB086" w14:textId="77777777" w:rsidR="009F4F34" w:rsidRDefault="009F4F34" w:rsidP="00CC559B">
      <w:pPr>
        <w:spacing w:line="360" w:lineRule="auto"/>
        <w:rPr>
          <w:rFonts w:ascii="Arial" w:hAnsi="Arial"/>
        </w:rPr>
      </w:pPr>
    </w:p>
    <w:p w14:paraId="672FD8D2" w14:textId="335BFD6C" w:rsidR="009F4F34" w:rsidRDefault="009F4F34" w:rsidP="00CC559B">
      <w:pPr>
        <w:tabs>
          <w:tab w:val="right" w:pos="8280"/>
        </w:tabs>
        <w:spacing w:line="360" w:lineRule="auto"/>
        <w:rPr>
          <w:rFonts w:ascii="Arial" w:hAnsi="Arial"/>
          <w:b/>
        </w:rPr>
      </w:pPr>
      <w:r>
        <w:rPr>
          <w:rFonts w:ascii="Arial" w:hAnsi="Arial"/>
          <w:b/>
        </w:rPr>
        <w:t>NAM</w:t>
      </w:r>
      <w:r w:rsidR="00F336A5">
        <w:rPr>
          <w:rFonts w:ascii="Arial" w:hAnsi="Arial"/>
          <w:b/>
        </w:rPr>
        <w:t>A</w:t>
      </w:r>
      <w:r>
        <w:rPr>
          <w:rFonts w:ascii="Arial" w:hAnsi="Arial"/>
          <w:b/>
        </w:rPr>
        <w:t xml:space="preserve">ZILA BESEL SINVULA                    </w:t>
      </w:r>
      <w:r w:rsidR="00F336A5">
        <w:rPr>
          <w:rFonts w:ascii="Arial" w:hAnsi="Arial"/>
          <w:b/>
        </w:rPr>
        <w:t xml:space="preserve">                              </w:t>
      </w:r>
      <w:r>
        <w:rPr>
          <w:rFonts w:ascii="Arial" w:hAnsi="Arial"/>
          <w:b/>
        </w:rPr>
        <w:t>RESPONDENT</w:t>
      </w:r>
    </w:p>
    <w:p w14:paraId="4B8E930B" w14:textId="77777777" w:rsidR="000C2CBD" w:rsidRDefault="000C2CBD" w:rsidP="00CC559B">
      <w:pPr>
        <w:spacing w:line="360" w:lineRule="auto"/>
        <w:rPr>
          <w:rFonts w:ascii="Arial" w:hAnsi="Arial"/>
          <w:b/>
        </w:rPr>
      </w:pPr>
    </w:p>
    <w:p w14:paraId="37ABE962" w14:textId="6211CD5C" w:rsidR="000C2CBD" w:rsidRDefault="000C2CBD" w:rsidP="00CC559B">
      <w:pPr>
        <w:spacing w:line="360" w:lineRule="auto"/>
        <w:ind w:left="2160" w:hanging="2160"/>
        <w:jc w:val="both"/>
        <w:rPr>
          <w:rFonts w:ascii="Arial" w:hAnsi="Arial"/>
        </w:rPr>
      </w:pPr>
      <w:r>
        <w:rPr>
          <w:rFonts w:ascii="Arial" w:hAnsi="Arial"/>
          <w:b/>
        </w:rPr>
        <w:t>Neutral Citation:</w:t>
      </w:r>
      <w:r>
        <w:rPr>
          <w:rFonts w:ascii="Arial" w:hAnsi="Arial"/>
          <w:b/>
        </w:rPr>
        <w:tab/>
      </w:r>
      <w:r>
        <w:rPr>
          <w:rFonts w:ascii="Arial" w:hAnsi="Arial"/>
          <w:i/>
        </w:rPr>
        <w:t xml:space="preserve">First National Bank of Namibia Limited v Sinvula </w:t>
      </w:r>
      <w:r>
        <w:rPr>
          <w:rFonts w:ascii="Arial" w:hAnsi="Arial"/>
        </w:rPr>
        <w:t xml:space="preserve">(HC-MD-CIV-ACT-CON-2021/03376) [2024] NAHCMD </w:t>
      </w:r>
      <w:r w:rsidR="00610A0D">
        <w:rPr>
          <w:rFonts w:ascii="Arial" w:hAnsi="Arial"/>
        </w:rPr>
        <w:t>67</w:t>
      </w:r>
      <w:r>
        <w:rPr>
          <w:rFonts w:ascii="Arial" w:hAnsi="Arial"/>
        </w:rPr>
        <w:t xml:space="preserve"> (</w:t>
      </w:r>
      <w:r w:rsidR="007B1EB6">
        <w:rPr>
          <w:rFonts w:ascii="Arial" w:hAnsi="Arial"/>
        </w:rPr>
        <w:t>22</w:t>
      </w:r>
      <w:r>
        <w:rPr>
          <w:rFonts w:ascii="Arial" w:hAnsi="Arial"/>
        </w:rPr>
        <w:t xml:space="preserve"> February 2024)</w:t>
      </w:r>
    </w:p>
    <w:p w14:paraId="477543B5" w14:textId="77777777" w:rsidR="000C2CBD" w:rsidRDefault="000C2CBD" w:rsidP="00CC559B">
      <w:pPr>
        <w:spacing w:line="360" w:lineRule="auto"/>
        <w:jc w:val="both"/>
        <w:rPr>
          <w:rFonts w:ascii="Arial" w:hAnsi="Arial"/>
        </w:rPr>
      </w:pPr>
    </w:p>
    <w:p w14:paraId="122A88C4" w14:textId="640D840D" w:rsidR="000C2CBD" w:rsidRDefault="000C2CBD" w:rsidP="00CC559B">
      <w:pPr>
        <w:spacing w:line="360" w:lineRule="auto"/>
        <w:jc w:val="both"/>
        <w:rPr>
          <w:rFonts w:ascii="Arial" w:hAnsi="Arial"/>
        </w:rPr>
      </w:pPr>
      <w:r>
        <w:rPr>
          <w:rFonts w:ascii="Arial" w:hAnsi="Arial"/>
          <w:b/>
        </w:rPr>
        <w:t>CORAM:</w:t>
      </w:r>
      <w:r>
        <w:rPr>
          <w:rFonts w:ascii="Arial" w:hAnsi="Arial"/>
          <w:b/>
        </w:rPr>
        <w:tab/>
      </w:r>
      <w:r>
        <w:rPr>
          <w:rFonts w:ascii="Arial" w:hAnsi="Arial"/>
        </w:rPr>
        <w:t>MASUKU J</w:t>
      </w:r>
    </w:p>
    <w:p w14:paraId="593BBEA4" w14:textId="758FC4D4" w:rsidR="000C2CBD" w:rsidRPr="000C2CBD" w:rsidRDefault="000C2CBD" w:rsidP="00CC559B">
      <w:pPr>
        <w:spacing w:line="360" w:lineRule="auto"/>
        <w:jc w:val="both"/>
        <w:rPr>
          <w:rFonts w:ascii="Arial" w:hAnsi="Arial"/>
          <w:b/>
        </w:rPr>
      </w:pPr>
      <w:r>
        <w:rPr>
          <w:rFonts w:ascii="Arial" w:hAnsi="Arial"/>
          <w:b/>
        </w:rPr>
        <w:t>Heard:</w:t>
      </w:r>
      <w:r>
        <w:rPr>
          <w:rFonts w:ascii="Arial" w:hAnsi="Arial"/>
          <w:b/>
        </w:rPr>
        <w:tab/>
        <w:t>14 February 2024</w:t>
      </w:r>
    </w:p>
    <w:p w14:paraId="319DEFD1" w14:textId="5ED425EE" w:rsidR="009F4F34" w:rsidRDefault="000C2CBD" w:rsidP="00CC559B">
      <w:pPr>
        <w:spacing w:line="360" w:lineRule="auto"/>
        <w:rPr>
          <w:rFonts w:ascii="Arial" w:hAnsi="Arial"/>
          <w:b/>
        </w:rPr>
      </w:pPr>
      <w:r>
        <w:rPr>
          <w:rFonts w:ascii="Arial" w:hAnsi="Arial"/>
          <w:b/>
        </w:rPr>
        <w:t>Delivered:</w:t>
      </w:r>
      <w:r>
        <w:rPr>
          <w:rFonts w:ascii="Arial" w:hAnsi="Arial"/>
          <w:b/>
        </w:rPr>
        <w:tab/>
        <w:t>2</w:t>
      </w:r>
      <w:r w:rsidR="008134A8">
        <w:rPr>
          <w:rFonts w:ascii="Arial" w:hAnsi="Arial"/>
          <w:b/>
        </w:rPr>
        <w:t>2</w:t>
      </w:r>
      <w:r>
        <w:rPr>
          <w:rFonts w:ascii="Arial" w:hAnsi="Arial"/>
          <w:b/>
        </w:rPr>
        <w:t xml:space="preserve"> February 2024</w:t>
      </w:r>
    </w:p>
    <w:p w14:paraId="4DFAA1C7" w14:textId="77777777" w:rsidR="000C2CBD" w:rsidRDefault="000C2CBD" w:rsidP="00CC559B">
      <w:pPr>
        <w:spacing w:line="360" w:lineRule="auto"/>
        <w:rPr>
          <w:rFonts w:ascii="Arial" w:hAnsi="Arial"/>
          <w:b/>
        </w:rPr>
      </w:pPr>
    </w:p>
    <w:p w14:paraId="4EBBAB58" w14:textId="500A67C2" w:rsidR="000C2CBD" w:rsidRDefault="000C2CBD" w:rsidP="00CC559B">
      <w:pPr>
        <w:spacing w:line="360" w:lineRule="auto"/>
        <w:jc w:val="both"/>
        <w:rPr>
          <w:rFonts w:ascii="Arial" w:hAnsi="Arial"/>
        </w:rPr>
      </w:pPr>
      <w:r>
        <w:rPr>
          <w:rFonts w:ascii="Arial" w:hAnsi="Arial"/>
          <w:b/>
        </w:rPr>
        <w:t>Flynote:</w:t>
      </w:r>
      <w:r>
        <w:rPr>
          <w:rFonts w:ascii="Arial" w:hAnsi="Arial"/>
          <w:b/>
        </w:rPr>
        <w:tab/>
      </w:r>
      <w:r>
        <w:rPr>
          <w:rFonts w:ascii="Arial" w:hAnsi="Arial"/>
        </w:rPr>
        <w:t>Civil Procedure – Rules of Court – Summary judgment – Requisites to be satisfied by applicant – Settlement agreements – Their effect on proceedings</w:t>
      </w:r>
      <w:r w:rsidR="00134875">
        <w:rPr>
          <w:rFonts w:ascii="Arial" w:hAnsi="Arial"/>
        </w:rPr>
        <w:t xml:space="preserve"> instituted</w:t>
      </w:r>
      <w:r>
        <w:rPr>
          <w:rFonts w:ascii="Arial" w:hAnsi="Arial"/>
        </w:rPr>
        <w:t>.</w:t>
      </w:r>
    </w:p>
    <w:p w14:paraId="45BD314B" w14:textId="77777777" w:rsidR="000C2CBD" w:rsidRDefault="000C2CBD" w:rsidP="00CC559B">
      <w:pPr>
        <w:spacing w:line="360" w:lineRule="auto"/>
        <w:jc w:val="both"/>
        <w:rPr>
          <w:rFonts w:ascii="Arial" w:hAnsi="Arial"/>
        </w:rPr>
      </w:pPr>
    </w:p>
    <w:p w14:paraId="2C61767C" w14:textId="2909BB28" w:rsidR="000C2CBD" w:rsidRDefault="000C2CBD" w:rsidP="00AA47C4">
      <w:pPr>
        <w:spacing w:line="360" w:lineRule="auto"/>
        <w:jc w:val="both"/>
        <w:rPr>
          <w:rFonts w:ascii="Arial" w:hAnsi="Arial"/>
        </w:rPr>
      </w:pPr>
      <w:r>
        <w:rPr>
          <w:rFonts w:ascii="Arial" w:hAnsi="Arial"/>
          <w:b/>
        </w:rPr>
        <w:t xml:space="preserve">Summary: </w:t>
      </w:r>
      <w:r>
        <w:rPr>
          <w:rFonts w:ascii="Arial" w:hAnsi="Arial"/>
          <w:b/>
        </w:rPr>
        <w:tab/>
      </w:r>
      <w:r>
        <w:rPr>
          <w:rFonts w:ascii="Arial" w:hAnsi="Arial"/>
        </w:rPr>
        <w:t xml:space="preserve">The applicant sued the respondent for payment of money arising from two contractual claims. The defendant entered an appearance to defend. </w:t>
      </w:r>
      <w:r>
        <w:rPr>
          <w:rFonts w:ascii="Arial" w:hAnsi="Arial"/>
        </w:rPr>
        <w:lastRenderedPageBreak/>
        <w:t>The matter was thereafter referred to mediation where it was settled. The parties entered into a settlement agreement in terms whereof the applicant was entitled to proceed and to apply for summary judgment in the event that the respondent failed to abide by the terms of the settlement agreement.</w:t>
      </w:r>
    </w:p>
    <w:p w14:paraId="11DEBD1D" w14:textId="77777777" w:rsidR="000C2CBD" w:rsidRDefault="000C2CBD" w:rsidP="00AA47C4">
      <w:pPr>
        <w:spacing w:line="360" w:lineRule="auto"/>
        <w:jc w:val="both"/>
        <w:rPr>
          <w:rFonts w:ascii="Arial" w:hAnsi="Arial"/>
        </w:rPr>
      </w:pPr>
    </w:p>
    <w:p w14:paraId="755DBB27" w14:textId="080B3A7E" w:rsidR="000C2CBD" w:rsidRDefault="000C2CBD" w:rsidP="00AA47C4">
      <w:pPr>
        <w:spacing w:line="360" w:lineRule="auto"/>
        <w:jc w:val="both"/>
        <w:rPr>
          <w:rFonts w:ascii="Arial" w:hAnsi="Arial"/>
        </w:rPr>
      </w:pPr>
      <w:r>
        <w:rPr>
          <w:rFonts w:ascii="Arial" w:hAnsi="Arial"/>
          <w:i/>
        </w:rPr>
        <w:t>Held</w:t>
      </w:r>
      <w:r>
        <w:rPr>
          <w:rFonts w:ascii="Arial" w:hAnsi="Arial"/>
        </w:rPr>
        <w:t>: That</w:t>
      </w:r>
      <w:r w:rsidR="007D6657">
        <w:rPr>
          <w:rFonts w:ascii="Arial" w:hAnsi="Arial"/>
        </w:rPr>
        <w:t xml:space="preserve"> an applicant for summary judgment is required, amongst other things, to allege in the affidavit filed in support of summary judgment that the respondent has no </w:t>
      </w:r>
      <w:r w:rsidR="007D6657">
        <w:rPr>
          <w:rFonts w:ascii="Arial" w:hAnsi="Arial"/>
          <w:i/>
        </w:rPr>
        <w:t xml:space="preserve">bona fide </w:t>
      </w:r>
      <w:r w:rsidR="007D6657">
        <w:rPr>
          <w:rFonts w:ascii="Arial" w:hAnsi="Arial"/>
        </w:rPr>
        <w:t>defence to the claim and has filed the notice to defend for purposes of delay. Failure to make that necessary allegation renders the summary judgment application defective.</w:t>
      </w:r>
    </w:p>
    <w:p w14:paraId="31CF95A4" w14:textId="6B15DD64" w:rsidR="007D6657" w:rsidRDefault="007D6657" w:rsidP="00AA47C4">
      <w:pPr>
        <w:spacing w:line="360" w:lineRule="auto"/>
        <w:jc w:val="both"/>
        <w:rPr>
          <w:rFonts w:ascii="Arial" w:hAnsi="Arial"/>
        </w:rPr>
      </w:pPr>
    </w:p>
    <w:p w14:paraId="03AC9251" w14:textId="2D49FD4C" w:rsidR="007D6657" w:rsidRDefault="007D6657" w:rsidP="00AA47C4">
      <w:pPr>
        <w:spacing w:line="360" w:lineRule="auto"/>
        <w:jc w:val="both"/>
        <w:rPr>
          <w:rFonts w:ascii="Arial" w:hAnsi="Arial"/>
        </w:rPr>
      </w:pPr>
      <w:r>
        <w:rPr>
          <w:rFonts w:ascii="Arial" w:hAnsi="Arial"/>
          <w:i/>
        </w:rPr>
        <w:t>Held that</w:t>
      </w:r>
      <w:r w:rsidR="00587F0B">
        <w:rPr>
          <w:rFonts w:ascii="Arial" w:hAnsi="Arial"/>
        </w:rPr>
        <w:t>: The clause in</w:t>
      </w:r>
      <w:r>
        <w:rPr>
          <w:rFonts w:ascii="Arial" w:hAnsi="Arial"/>
        </w:rPr>
        <w:t xml:space="preserve"> the agreement stating that the applicant could proceed to apply for summary judgment</w:t>
      </w:r>
      <w:r w:rsidR="00587F0B">
        <w:rPr>
          <w:rFonts w:ascii="Arial" w:hAnsi="Arial"/>
        </w:rPr>
        <w:t xml:space="preserve"> in the event the respondent failed to comply with the settlement agreement, was in violation of settled law to the effect that a settlement agreement brings the </w:t>
      </w:r>
      <w:r w:rsidR="00587F0B">
        <w:rPr>
          <w:rFonts w:ascii="Arial" w:hAnsi="Arial"/>
          <w:i/>
        </w:rPr>
        <w:t xml:space="preserve">lis </w:t>
      </w:r>
      <w:r w:rsidR="00587F0B">
        <w:rPr>
          <w:rFonts w:ascii="Arial" w:hAnsi="Arial"/>
        </w:rPr>
        <w:t>to an end. That clause was thus ineffectual as it sought to bring the extinguished proceedings to life yet again.</w:t>
      </w:r>
    </w:p>
    <w:p w14:paraId="7DA13A64" w14:textId="77777777" w:rsidR="00587F0B" w:rsidRDefault="00587F0B" w:rsidP="00AA47C4">
      <w:pPr>
        <w:spacing w:line="360" w:lineRule="auto"/>
        <w:jc w:val="both"/>
        <w:rPr>
          <w:rFonts w:ascii="Arial" w:hAnsi="Arial"/>
        </w:rPr>
      </w:pPr>
    </w:p>
    <w:p w14:paraId="0A8726E7" w14:textId="7DEC1AAB" w:rsidR="00587F0B" w:rsidRPr="00587F0B" w:rsidRDefault="00587F0B" w:rsidP="00AA47C4">
      <w:pPr>
        <w:spacing w:line="360" w:lineRule="auto"/>
        <w:jc w:val="both"/>
        <w:rPr>
          <w:rFonts w:ascii="Arial" w:hAnsi="Arial"/>
        </w:rPr>
      </w:pPr>
      <w:r>
        <w:rPr>
          <w:rFonts w:ascii="Arial" w:hAnsi="Arial"/>
        </w:rPr>
        <w:t>Summary judgment refused with costs.</w:t>
      </w:r>
    </w:p>
    <w:p w14:paraId="231D39D8" w14:textId="77777777" w:rsidR="000C2CBD" w:rsidRDefault="000C2CBD" w:rsidP="00AA47C4">
      <w:pPr>
        <w:spacing w:line="360" w:lineRule="auto"/>
        <w:rPr>
          <w:rFonts w:ascii="Arial" w:hAnsi="Arial"/>
          <w:b/>
        </w:rPr>
      </w:pPr>
    </w:p>
    <w:p w14:paraId="7A666258" w14:textId="77777777" w:rsidR="00AA47C4" w:rsidRDefault="00AA47C4" w:rsidP="00AA47C4">
      <w:pPr>
        <w:pBdr>
          <w:top w:val="single" w:sz="4" w:space="1" w:color="auto"/>
          <w:bottom w:val="single" w:sz="4" w:space="1" w:color="auto"/>
        </w:pBdr>
        <w:jc w:val="center"/>
        <w:rPr>
          <w:rFonts w:ascii="Arial" w:hAnsi="Arial"/>
          <w:b/>
        </w:rPr>
      </w:pPr>
    </w:p>
    <w:p w14:paraId="1A0D671F" w14:textId="0F39CFBB" w:rsidR="00AA47C4" w:rsidRDefault="00AA47C4" w:rsidP="00AA47C4">
      <w:pPr>
        <w:pBdr>
          <w:top w:val="single" w:sz="4" w:space="1" w:color="auto"/>
          <w:bottom w:val="single" w:sz="4" w:space="1" w:color="auto"/>
        </w:pBdr>
        <w:jc w:val="center"/>
        <w:rPr>
          <w:rFonts w:ascii="Arial" w:hAnsi="Arial"/>
          <w:b/>
        </w:rPr>
      </w:pPr>
      <w:r>
        <w:rPr>
          <w:rFonts w:ascii="Arial" w:hAnsi="Arial"/>
          <w:b/>
        </w:rPr>
        <w:t>ORDER</w:t>
      </w:r>
    </w:p>
    <w:p w14:paraId="44D7C9B9" w14:textId="77777777" w:rsidR="00AA47C4" w:rsidRDefault="00AA47C4" w:rsidP="00AA47C4">
      <w:pPr>
        <w:pBdr>
          <w:top w:val="single" w:sz="4" w:space="1" w:color="auto"/>
          <w:bottom w:val="single" w:sz="4" w:space="1" w:color="auto"/>
        </w:pBdr>
        <w:jc w:val="center"/>
        <w:rPr>
          <w:rFonts w:ascii="Arial" w:hAnsi="Arial"/>
          <w:b/>
        </w:rPr>
      </w:pPr>
    </w:p>
    <w:p w14:paraId="7BBDB5AB" w14:textId="77777777" w:rsidR="00AA47C4" w:rsidRDefault="00AA47C4" w:rsidP="00AA47C4">
      <w:pPr>
        <w:pStyle w:val="ListParagraph"/>
        <w:spacing w:line="360" w:lineRule="auto"/>
        <w:jc w:val="both"/>
        <w:rPr>
          <w:rFonts w:ascii="Arial" w:hAnsi="Arial"/>
        </w:rPr>
      </w:pPr>
    </w:p>
    <w:p w14:paraId="7FA7272F" w14:textId="21A05C00" w:rsidR="00AA47C4" w:rsidRPr="00BE0148" w:rsidRDefault="00BE0148" w:rsidP="00BE0148">
      <w:pPr>
        <w:spacing w:line="360" w:lineRule="auto"/>
        <w:ind w:left="720" w:hanging="360"/>
        <w:jc w:val="both"/>
        <w:rPr>
          <w:rFonts w:ascii="Arial" w:hAnsi="Arial"/>
        </w:rPr>
      </w:pPr>
      <w:r w:rsidRPr="00633712">
        <w:rPr>
          <w:rFonts w:ascii="Arial" w:hAnsi="Arial"/>
        </w:rPr>
        <w:t>1.</w:t>
      </w:r>
      <w:r w:rsidRPr="00633712">
        <w:rPr>
          <w:rFonts w:ascii="Arial" w:hAnsi="Arial"/>
        </w:rPr>
        <w:tab/>
      </w:r>
      <w:r w:rsidR="00AA47C4" w:rsidRPr="00BE0148">
        <w:rPr>
          <w:rFonts w:ascii="Arial" w:hAnsi="Arial"/>
        </w:rPr>
        <w:t>The application for summary judgment is refused.</w:t>
      </w:r>
    </w:p>
    <w:p w14:paraId="4A9743B0" w14:textId="70F5DFB9" w:rsidR="00AA47C4" w:rsidRPr="00BE0148" w:rsidRDefault="00BE0148" w:rsidP="00BE0148">
      <w:pPr>
        <w:spacing w:line="360" w:lineRule="auto"/>
        <w:ind w:left="720" w:hanging="360"/>
        <w:jc w:val="both"/>
        <w:rPr>
          <w:rFonts w:ascii="Arial" w:hAnsi="Arial"/>
        </w:rPr>
      </w:pPr>
      <w:r>
        <w:rPr>
          <w:rFonts w:ascii="Arial" w:hAnsi="Arial"/>
        </w:rPr>
        <w:t>2.</w:t>
      </w:r>
      <w:r>
        <w:rPr>
          <w:rFonts w:ascii="Arial" w:hAnsi="Arial"/>
        </w:rPr>
        <w:tab/>
      </w:r>
      <w:r w:rsidR="00AA47C4" w:rsidRPr="00BE0148">
        <w:rPr>
          <w:rFonts w:ascii="Arial" w:hAnsi="Arial"/>
        </w:rPr>
        <w:t>The applicant is ordered to pay the respondent’s costs.</w:t>
      </w:r>
    </w:p>
    <w:p w14:paraId="280C9C78" w14:textId="5204E9FD" w:rsidR="00AA47C4" w:rsidRPr="00BE0148" w:rsidRDefault="00BE0148" w:rsidP="00BE0148">
      <w:pPr>
        <w:spacing w:line="360" w:lineRule="auto"/>
        <w:ind w:left="720" w:hanging="360"/>
        <w:jc w:val="both"/>
        <w:rPr>
          <w:rFonts w:ascii="Arial" w:hAnsi="Arial"/>
        </w:rPr>
      </w:pPr>
      <w:r>
        <w:rPr>
          <w:rFonts w:ascii="Arial" w:hAnsi="Arial"/>
        </w:rPr>
        <w:t>3.</w:t>
      </w:r>
      <w:r>
        <w:rPr>
          <w:rFonts w:ascii="Arial" w:hAnsi="Arial"/>
        </w:rPr>
        <w:tab/>
      </w:r>
      <w:r w:rsidR="00AA47C4" w:rsidRPr="00BE0148">
        <w:rPr>
          <w:rFonts w:ascii="Arial" w:hAnsi="Arial"/>
        </w:rPr>
        <w:t xml:space="preserve">The parties are ordered to file a status report </w:t>
      </w:r>
      <w:r w:rsidR="00134875" w:rsidRPr="00BE0148">
        <w:rPr>
          <w:rFonts w:ascii="Arial" w:hAnsi="Arial"/>
        </w:rPr>
        <w:t xml:space="preserve">on or before 11 March 2024, </w:t>
      </w:r>
      <w:r w:rsidR="00AA47C4" w:rsidRPr="00BE0148">
        <w:rPr>
          <w:rFonts w:ascii="Arial" w:hAnsi="Arial"/>
        </w:rPr>
        <w:t>regarding how they intend to conduct the matter henceforth.</w:t>
      </w:r>
    </w:p>
    <w:p w14:paraId="4132574C" w14:textId="64A489E5" w:rsidR="00185987" w:rsidRPr="00BE0148" w:rsidRDefault="00BE0148" w:rsidP="00BE0148">
      <w:pPr>
        <w:spacing w:line="360" w:lineRule="auto"/>
        <w:ind w:left="720" w:hanging="360"/>
        <w:jc w:val="both"/>
        <w:rPr>
          <w:rFonts w:ascii="Arial" w:hAnsi="Arial"/>
        </w:rPr>
      </w:pPr>
      <w:r w:rsidRPr="00BF4632">
        <w:rPr>
          <w:rFonts w:ascii="Arial" w:hAnsi="Arial"/>
        </w:rPr>
        <w:t>4.</w:t>
      </w:r>
      <w:r w:rsidRPr="00BF4632">
        <w:rPr>
          <w:rFonts w:ascii="Arial" w:hAnsi="Arial"/>
        </w:rPr>
        <w:tab/>
      </w:r>
      <w:r w:rsidR="00AA47C4" w:rsidRPr="00BE0148">
        <w:rPr>
          <w:rFonts w:ascii="Arial" w:hAnsi="Arial"/>
        </w:rPr>
        <w:t>The matter is po</w:t>
      </w:r>
      <w:r w:rsidR="00134875" w:rsidRPr="00BE0148">
        <w:rPr>
          <w:rFonts w:ascii="Arial" w:hAnsi="Arial"/>
        </w:rPr>
        <w:t xml:space="preserve">stponed to </w:t>
      </w:r>
      <w:r w:rsidR="00134875" w:rsidRPr="00BE0148">
        <w:rPr>
          <w:rFonts w:ascii="Arial" w:hAnsi="Arial"/>
          <w:b/>
        </w:rPr>
        <w:t>14 March 2024</w:t>
      </w:r>
      <w:r w:rsidR="00134875" w:rsidRPr="00BE0148">
        <w:rPr>
          <w:rFonts w:ascii="Arial" w:hAnsi="Arial"/>
        </w:rPr>
        <w:t xml:space="preserve"> at </w:t>
      </w:r>
      <w:r w:rsidR="00134875" w:rsidRPr="00BE0148">
        <w:rPr>
          <w:rFonts w:ascii="Arial" w:hAnsi="Arial"/>
          <w:b/>
        </w:rPr>
        <w:t>08h30</w:t>
      </w:r>
      <w:r w:rsidR="00134875" w:rsidRPr="00BE0148">
        <w:rPr>
          <w:rFonts w:ascii="Arial" w:hAnsi="Arial"/>
        </w:rPr>
        <w:t xml:space="preserve"> for a status hearing</w:t>
      </w:r>
      <w:r w:rsidR="00AA47C4" w:rsidRPr="00BE0148">
        <w:rPr>
          <w:rFonts w:ascii="Arial" w:hAnsi="Arial"/>
        </w:rPr>
        <w:t>.</w:t>
      </w:r>
    </w:p>
    <w:p w14:paraId="786C7B37" w14:textId="77777777" w:rsidR="00E829A0" w:rsidRDefault="00E829A0" w:rsidP="00CC559B">
      <w:pPr>
        <w:pBdr>
          <w:bottom w:val="single" w:sz="6" w:space="1" w:color="auto"/>
        </w:pBdr>
        <w:spacing w:line="360" w:lineRule="auto"/>
        <w:rPr>
          <w:rFonts w:ascii="Arial" w:hAnsi="Arial"/>
          <w:b/>
        </w:rPr>
      </w:pPr>
    </w:p>
    <w:p w14:paraId="68EBACC9" w14:textId="77777777" w:rsidR="009F4F34" w:rsidRDefault="009F4F34" w:rsidP="00CC559B">
      <w:pPr>
        <w:rPr>
          <w:rFonts w:ascii="Arial" w:hAnsi="Arial"/>
        </w:rPr>
      </w:pPr>
    </w:p>
    <w:p w14:paraId="34508C3D" w14:textId="77777777" w:rsidR="009F4F34" w:rsidRDefault="009F4F34" w:rsidP="00CC559B">
      <w:pPr>
        <w:jc w:val="center"/>
        <w:rPr>
          <w:rFonts w:ascii="Arial" w:hAnsi="Arial"/>
          <w:b/>
        </w:rPr>
      </w:pPr>
      <w:r>
        <w:rPr>
          <w:rFonts w:ascii="Arial" w:hAnsi="Arial"/>
          <w:b/>
        </w:rPr>
        <w:t>RULING</w:t>
      </w:r>
    </w:p>
    <w:p w14:paraId="1120C53F" w14:textId="77777777" w:rsidR="009F4F34" w:rsidRDefault="009F4F34" w:rsidP="00CC559B">
      <w:pPr>
        <w:pBdr>
          <w:bottom w:val="single" w:sz="6" w:space="1" w:color="auto"/>
        </w:pBdr>
        <w:jc w:val="center"/>
        <w:rPr>
          <w:rFonts w:ascii="Arial" w:hAnsi="Arial"/>
          <w:b/>
        </w:rPr>
      </w:pPr>
    </w:p>
    <w:p w14:paraId="5D612329" w14:textId="77777777" w:rsidR="009F4F34" w:rsidRDefault="009F4F34" w:rsidP="00CC559B">
      <w:pPr>
        <w:spacing w:line="360" w:lineRule="auto"/>
        <w:rPr>
          <w:rFonts w:ascii="Arial" w:hAnsi="Arial"/>
        </w:rPr>
      </w:pPr>
    </w:p>
    <w:p w14:paraId="67D33F7C" w14:textId="4B63038B" w:rsidR="009F4F34" w:rsidRDefault="009F4F34" w:rsidP="00CC559B">
      <w:pPr>
        <w:spacing w:line="360" w:lineRule="auto"/>
        <w:rPr>
          <w:rFonts w:ascii="Arial" w:hAnsi="Arial"/>
          <w:b/>
        </w:rPr>
      </w:pPr>
      <w:r>
        <w:rPr>
          <w:rFonts w:ascii="Arial" w:hAnsi="Arial"/>
          <w:b/>
        </w:rPr>
        <w:t>MASUKU J:</w:t>
      </w:r>
    </w:p>
    <w:p w14:paraId="2E376212" w14:textId="77777777" w:rsidR="009F4F34" w:rsidRDefault="009F4F34" w:rsidP="00CC559B">
      <w:pPr>
        <w:spacing w:line="360" w:lineRule="auto"/>
        <w:rPr>
          <w:rFonts w:ascii="Arial" w:hAnsi="Arial"/>
        </w:rPr>
      </w:pPr>
    </w:p>
    <w:p w14:paraId="1DBA2734" w14:textId="77777777" w:rsidR="009F4F34" w:rsidRPr="009F4F34" w:rsidRDefault="009F4F34" w:rsidP="00CC559B">
      <w:pPr>
        <w:spacing w:line="360" w:lineRule="auto"/>
        <w:jc w:val="both"/>
        <w:rPr>
          <w:rFonts w:ascii="Arial" w:hAnsi="Arial"/>
          <w:u w:val="single"/>
        </w:rPr>
      </w:pPr>
      <w:r>
        <w:rPr>
          <w:rFonts w:ascii="Arial" w:hAnsi="Arial"/>
          <w:u w:val="single"/>
        </w:rPr>
        <w:lastRenderedPageBreak/>
        <w:t>Introduction</w:t>
      </w:r>
    </w:p>
    <w:p w14:paraId="097EC77E" w14:textId="77777777" w:rsidR="009F4F34" w:rsidRDefault="009F4F34" w:rsidP="00CC559B">
      <w:pPr>
        <w:spacing w:line="360" w:lineRule="auto"/>
        <w:jc w:val="both"/>
        <w:rPr>
          <w:rFonts w:ascii="Arial" w:hAnsi="Arial"/>
        </w:rPr>
      </w:pPr>
    </w:p>
    <w:p w14:paraId="3E043C87" w14:textId="27DE6A0A" w:rsidR="00CC559B" w:rsidRPr="00BE0148" w:rsidRDefault="00BE0148" w:rsidP="00BE0148">
      <w:pPr>
        <w:spacing w:line="360" w:lineRule="auto"/>
        <w:jc w:val="both"/>
        <w:rPr>
          <w:rFonts w:ascii="Arial" w:hAnsi="Arial"/>
        </w:rPr>
      </w:pPr>
      <w:r>
        <w:rPr>
          <w:rFonts w:ascii="Arial" w:hAnsi="Arial"/>
        </w:rPr>
        <w:t>[1]</w:t>
      </w:r>
      <w:r>
        <w:rPr>
          <w:rFonts w:ascii="Arial" w:hAnsi="Arial"/>
        </w:rPr>
        <w:tab/>
      </w:r>
      <w:r w:rsidR="009F4F34" w:rsidRPr="00BE0148">
        <w:rPr>
          <w:rFonts w:ascii="Arial" w:hAnsi="Arial"/>
        </w:rPr>
        <w:t>Presently submitted for determination is an application for summary judgment. Because it has a rather convoluted history, it is necessary, for purposes of context, to narrate the relevant history in the succeeding paragraphs of this ruling.</w:t>
      </w:r>
    </w:p>
    <w:p w14:paraId="7309A3F2" w14:textId="77777777" w:rsidR="00CC559B" w:rsidRDefault="00CC559B" w:rsidP="00CC559B">
      <w:pPr>
        <w:pStyle w:val="ListParagraph"/>
        <w:spacing w:line="360" w:lineRule="auto"/>
        <w:ind w:left="0"/>
        <w:jc w:val="both"/>
        <w:rPr>
          <w:rFonts w:ascii="Arial" w:hAnsi="Arial"/>
        </w:rPr>
      </w:pPr>
    </w:p>
    <w:p w14:paraId="57815075" w14:textId="77777777" w:rsidR="00CC559B" w:rsidRDefault="00CC559B" w:rsidP="00CC559B">
      <w:pPr>
        <w:spacing w:line="360" w:lineRule="auto"/>
        <w:jc w:val="both"/>
        <w:rPr>
          <w:rFonts w:ascii="Arial" w:hAnsi="Arial"/>
          <w:u w:val="single"/>
        </w:rPr>
      </w:pPr>
      <w:r w:rsidRPr="009F4F34">
        <w:rPr>
          <w:rFonts w:ascii="Arial" w:hAnsi="Arial"/>
          <w:u w:val="single"/>
        </w:rPr>
        <w:t>The parties</w:t>
      </w:r>
    </w:p>
    <w:p w14:paraId="53E37160" w14:textId="77777777" w:rsidR="00CC559B" w:rsidRDefault="00CC559B" w:rsidP="00CC559B">
      <w:pPr>
        <w:pStyle w:val="ListParagraph"/>
        <w:spacing w:line="360" w:lineRule="auto"/>
        <w:ind w:left="0"/>
        <w:jc w:val="both"/>
        <w:rPr>
          <w:rFonts w:ascii="Arial" w:hAnsi="Arial"/>
        </w:rPr>
      </w:pPr>
    </w:p>
    <w:p w14:paraId="69D9D172" w14:textId="6BEE216D" w:rsidR="00E829A0" w:rsidRPr="00BE0148" w:rsidRDefault="00BE0148" w:rsidP="00BE0148">
      <w:pPr>
        <w:spacing w:line="360" w:lineRule="auto"/>
        <w:jc w:val="both"/>
        <w:rPr>
          <w:rFonts w:ascii="Arial" w:hAnsi="Arial"/>
        </w:rPr>
      </w:pPr>
      <w:r>
        <w:rPr>
          <w:rFonts w:ascii="Arial" w:hAnsi="Arial"/>
        </w:rPr>
        <w:t>[2]</w:t>
      </w:r>
      <w:r>
        <w:rPr>
          <w:rFonts w:ascii="Arial" w:hAnsi="Arial"/>
        </w:rPr>
        <w:tab/>
      </w:r>
      <w:r w:rsidR="009F4F34" w:rsidRPr="00BE0148">
        <w:rPr>
          <w:rFonts w:ascii="Arial" w:hAnsi="Arial"/>
        </w:rPr>
        <w:t>The applicant is First Nat</w:t>
      </w:r>
      <w:r w:rsidR="00ED1B43" w:rsidRPr="00BE0148">
        <w:rPr>
          <w:rFonts w:ascii="Arial" w:hAnsi="Arial"/>
        </w:rPr>
        <w:t>ional Bank of Namibia, Limited,</w:t>
      </w:r>
      <w:r w:rsidR="00F336A5" w:rsidRPr="00BE0148">
        <w:rPr>
          <w:rFonts w:ascii="Arial" w:hAnsi="Arial"/>
        </w:rPr>
        <w:t xml:space="preserve"> a </w:t>
      </w:r>
      <w:r w:rsidR="009F4F34" w:rsidRPr="00BE0148">
        <w:rPr>
          <w:rFonts w:ascii="Arial" w:hAnsi="Arial"/>
        </w:rPr>
        <w:t>financial institution duly registered as such in terms of the relevant banking legislation in Namibia.</w:t>
      </w:r>
      <w:r w:rsidR="00ED1B43" w:rsidRPr="00BE0148">
        <w:rPr>
          <w:rFonts w:ascii="Arial" w:hAnsi="Arial"/>
        </w:rPr>
        <w:t xml:space="preserve"> The applicant is also registered as a company, with limited liability, in terms of the company laws of Namibia. It</w:t>
      </w:r>
      <w:r w:rsidR="00134875" w:rsidRPr="00BE0148">
        <w:rPr>
          <w:rFonts w:ascii="Arial" w:hAnsi="Arial"/>
        </w:rPr>
        <w:t>’</w:t>
      </w:r>
      <w:r w:rsidR="00ED1B43" w:rsidRPr="00BE0148">
        <w:rPr>
          <w:rFonts w:ascii="Arial" w:hAnsi="Arial"/>
        </w:rPr>
        <w:t>s r</w:t>
      </w:r>
      <w:r w:rsidR="00CA528C" w:rsidRPr="00BE0148">
        <w:rPr>
          <w:rFonts w:ascii="Arial" w:hAnsi="Arial"/>
        </w:rPr>
        <w:t xml:space="preserve">egistered place of business is </w:t>
      </w:r>
      <w:r w:rsidR="00134875" w:rsidRPr="00BE0148">
        <w:rPr>
          <w:rFonts w:ascii="Arial" w:hAnsi="Arial"/>
        </w:rPr>
        <w:t xml:space="preserve">at </w:t>
      </w:r>
      <w:r w:rsidR="00CA528C" w:rsidRPr="00BE0148">
        <w:rPr>
          <w:rFonts w:ascii="Arial" w:hAnsi="Arial"/>
        </w:rPr>
        <w:t>Parkside 130, Independence Avenue, 3</w:t>
      </w:r>
      <w:r w:rsidR="00CA528C" w:rsidRPr="00BE0148">
        <w:rPr>
          <w:rFonts w:ascii="Arial" w:hAnsi="Arial"/>
          <w:vertAlign w:val="superscript"/>
        </w:rPr>
        <w:t>rd</w:t>
      </w:r>
      <w:r w:rsidR="00CA528C" w:rsidRPr="00BE0148">
        <w:rPr>
          <w:rFonts w:ascii="Arial" w:hAnsi="Arial"/>
        </w:rPr>
        <w:t xml:space="preserve"> Floor, First National Bank Head Office Building, Windhoek.</w:t>
      </w:r>
    </w:p>
    <w:p w14:paraId="41DC2E9D" w14:textId="77777777" w:rsidR="00E829A0" w:rsidRDefault="00E829A0" w:rsidP="00E829A0">
      <w:pPr>
        <w:pStyle w:val="ListParagraph"/>
        <w:spacing w:line="360" w:lineRule="auto"/>
        <w:ind w:left="0"/>
        <w:jc w:val="both"/>
        <w:rPr>
          <w:rFonts w:ascii="Arial" w:hAnsi="Arial"/>
        </w:rPr>
      </w:pPr>
    </w:p>
    <w:p w14:paraId="1754DA12" w14:textId="57501671" w:rsidR="00CC559B" w:rsidRPr="00BE0148" w:rsidRDefault="00BE0148" w:rsidP="00BE0148">
      <w:pPr>
        <w:spacing w:line="360" w:lineRule="auto"/>
        <w:jc w:val="both"/>
        <w:rPr>
          <w:rFonts w:ascii="Arial" w:hAnsi="Arial"/>
        </w:rPr>
      </w:pPr>
      <w:r w:rsidRPr="00E829A0">
        <w:rPr>
          <w:rFonts w:ascii="Arial" w:hAnsi="Arial"/>
        </w:rPr>
        <w:t>[3]</w:t>
      </w:r>
      <w:r w:rsidRPr="00E829A0">
        <w:rPr>
          <w:rFonts w:ascii="Arial" w:hAnsi="Arial"/>
        </w:rPr>
        <w:tab/>
      </w:r>
      <w:r w:rsidR="00ED1B43" w:rsidRPr="00BE0148">
        <w:rPr>
          <w:rFonts w:ascii="Arial" w:hAnsi="Arial"/>
        </w:rPr>
        <w:t xml:space="preserve">The respondent is Ms Namazila Besel Sinvula, an adult </w:t>
      </w:r>
      <w:r w:rsidR="00CC559B" w:rsidRPr="00BE0148">
        <w:rPr>
          <w:rFonts w:ascii="Arial" w:hAnsi="Arial"/>
        </w:rPr>
        <w:t>Namibian female, who resides in</w:t>
      </w:r>
      <w:r w:rsidR="00CA528C" w:rsidRPr="00BE0148">
        <w:rPr>
          <w:rFonts w:ascii="Arial" w:hAnsi="Arial"/>
        </w:rPr>
        <w:t xml:space="preserve"> Choto </w:t>
      </w:r>
      <w:r w:rsidR="0050319F" w:rsidRPr="00BE0148">
        <w:rPr>
          <w:rFonts w:ascii="Arial" w:hAnsi="Arial"/>
        </w:rPr>
        <w:t>Compound</w:t>
      </w:r>
      <w:r w:rsidR="00CA528C" w:rsidRPr="00BE0148">
        <w:rPr>
          <w:rFonts w:ascii="Arial" w:hAnsi="Arial"/>
        </w:rPr>
        <w:t xml:space="preserve">, </w:t>
      </w:r>
      <w:r w:rsidR="00ED1B43" w:rsidRPr="00BE0148">
        <w:rPr>
          <w:rFonts w:ascii="Arial" w:hAnsi="Arial"/>
        </w:rPr>
        <w:t>Katima Mulilo.</w:t>
      </w:r>
    </w:p>
    <w:p w14:paraId="58D89AE7" w14:textId="77777777" w:rsidR="00CC559B" w:rsidRDefault="00CC559B" w:rsidP="00CC559B">
      <w:pPr>
        <w:pStyle w:val="ListParagraph"/>
        <w:spacing w:line="360" w:lineRule="auto"/>
        <w:ind w:left="0"/>
        <w:jc w:val="both"/>
        <w:rPr>
          <w:rFonts w:ascii="Arial" w:hAnsi="Arial"/>
        </w:rPr>
      </w:pPr>
    </w:p>
    <w:p w14:paraId="654470B4" w14:textId="739437E8" w:rsidR="00185987" w:rsidRPr="00BE0148" w:rsidRDefault="00BE0148" w:rsidP="00BE0148">
      <w:pPr>
        <w:spacing w:line="360" w:lineRule="auto"/>
        <w:jc w:val="both"/>
        <w:rPr>
          <w:rFonts w:ascii="Arial" w:hAnsi="Arial"/>
        </w:rPr>
      </w:pPr>
      <w:r>
        <w:rPr>
          <w:rFonts w:ascii="Arial" w:hAnsi="Arial"/>
        </w:rPr>
        <w:t>[4]</w:t>
      </w:r>
      <w:r>
        <w:rPr>
          <w:rFonts w:ascii="Arial" w:hAnsi="Arial"/>
        </w:rPr>
        <w:tab/>
      </w:r>
      <w:r w:rsidR="00ED1B43" w:rsidRPr="00BE0148">
        <w:rPr>
          <w:rFonts w:ascii="Arial" w:hAnsi="Arial"/>
        </w:rPr>
        <w:t xml:space="preserve">The applicant, was represented by Ms K Angula, whereas the respondent, was represented by Ms </w:t>
      </w:r>
      <w:r w:rsidR="00610A0D" w:rsidRPr="00BE0148">
        <w:rPr>
          <w:rFonts w:ascii="Arial" w:hAnsi="Arial"/>
        </w:rPr>
        <w:t>Amupolo</w:t>
      </w:r>
      <w:r w:rsidR="00F336A5" w:rsidRPr="00BE0148">
        <w:rPr>
          <w:rFonts w:ascii="Arial" w:hAnsi="Arial"/>
        </w:rPr>
        <w:t xml:space="preserve"> standing in for Ms </w:t>
      </w:r>
      <w:r w:rsidR="00ED1B43" w:rsidRPr="00BE0148">
        <w:rPr>
          <w:rFonts w:ascii="Arial" w:hAnsi="Arial"/>
        </w:rPr>
        <w:t>Mainga. Both counsel performed their duties to the court admirably. The court is indebted to them for their industry and assistance rendered.</w:t>
      </w:r>
    </w:p>
    <w:p w14:paraId="6A84A0EE" w14:textId="77777777" w:rsidR="00185987" w:rsidRDefault="00185987" w:rsidP="00185987">
      <w:pPr>
        <w:spacing w:line="360" w:lineRule="auto"/>
        <w:jc w:val="both"/>
        <w:rPr>
          <w:rFonts w:ascii="Arial" w:hAnsi="Arial"/>
        </w:rPr>
      </w:pPr>
    </w:p>
    <w:p w14:paraId="3B170167" w14:textId="77777777" w:rsidR="00185987" w:rsidRDefault="00185987" w:rsidP="00185987">
      <w:pPr>
        <w:spacing w:line="360" w:lineRule="auto"/>
        <w:jc w:val="both"/>
        <w:rPr>
          <w:rFonts w:ascii="Arial" w:hAnsi="Arial"/>
        </w:rPr>
      </w:pPr>
    </w:p>
    <w:p w14:paraId="7C9D935F" w14:textId="77777777" w:rsidR="00185987" w:rsidRDefault="00185987" w:rsidP="00185987">
      <w:pPr>
        <w:spacing w:line="360" w:lineRule="auto"/>
        <w:jc w:val="both"/>
        <w:rPr>
          <w:rFonts w:ascii="Arial" w:hAnsi="Arial"/>
        </w:rPr>
      </w:pPr>
    </w:p>
    <w:p w14:paraId="442BA43D" w14:textId="77777777" w:rsidR="00185987" w:rsidRPr="00185987" w:rsidRDefault="00185987" w:rsidP="00185987">
      <w:pPr>
        <w:spacing w:line="360" w:lineRule="auto"/>
        <w:jc w:val="both"/>
        <w:rPr>
          <w:rFonts w:ascii="Arial" w:hAnsi="Arial"/>
        </w:rPr>
      </w:pPr>
    </w:p>
    <w:p w14:paraId="09E07DE9" w14:textId="77777777" w:rsidR="00553696" w:rsidRDefault="00553696" w:rsidP="00553696">
      <w:pPr>
        <w:spacing w:line="360" w:lineRule="auto"/>
        <w:jc w:val="both"/>
        <w:rPr>
          <w:rFonts w:ascii="Arial" w:hAnsi="Arial"/>
          <w:u w:val="single"/>
        </w:rPr>
      </w:pPr>
      <w:r>
        <w:rPr>
          <w:rFonts w:ascii="Arial" w:hAnsi="Arial"/>
          <w:u w:val="single"/>
        </w:rPr>
        <w:t>Background</w:t>
      </w:r>
    </w:p>
    <w:p w14:paraId="48694748" w14:textId="77777777" w:rsidR="00553696" w:rsidRDefault="00553696" w:rsidP="00553696">
      <w:pPr>
        <w:pStyle w:val="ListParagraph"/>
        <w:spacing w:line="360" w:lineRule="auto"/>
        <w:ind w:left="0"/>
        <w:jc w:val="both"/>
        <w:rPr>
          <w:rFonts w:ascii="Arial" w:hAnsi="Arial"/>
        </w:rPr>
      </w:pPr>
    </w:p>
    <w:p w14:paraId="57FBC674" w14:textId="6BEE0611" w:rsidR="00553696" w:rsidRPr="00BE0148" w:rsidRDefault="00BE0148" w:rsidP="00BE0148">
      <w:pPr>
        <w:spacing w:line="360" w:lineRule="auto"/>
        <w:jc w:val="both"/>
        <w:rPr>
          <w:rFonts w:ascii="Arial" w:hAnsi="Arial"/>
        </w:rPr>
      </w:pPr>
      <w:r>
        <w:rPr>
          <w:rFonts w:ascii="Arial" w:hAnsi="Arial"/>
        </w:rPr>
        <w:t>[5]</w:t>
      </w:r>
      <w:r>
        <w:rPr>
          <w:rFonts w:ascii="Arial" w:hAnsi="Arial"/>
        </w:rPr>
        <w:tab/>
      </w:r>
      <w:r w:rsidR="00ED1B43" w:rsidRPr="00BE0148">
        <w:rPr>
          <w:rFonts w:ascii="Arial" w:hAnsi="Arial"/>
        </w:rPr>
        <w:t xml:space="preserve">The events giving rise to this ruling are fairly straightforward and do not appear to generate much controversy. They can be summarised in the following fashion: The </w:t>
      </w:r>
      <w:r w:rsidR="003C6B53" w:rsidRPr="00BE0148">
        <w:rPr>
          <w:rFonts w:ascii="Arial" w:hAnsi="Arial"/>
        </w:rPr>
        <w:t>applicant and the respondent entered into two written agreements. The applicant was represented by its employee</w:t>
      </w:r>
      <w:r w:rsidR="00D826C1" w:rsidRPr="00BE0148">
        <w:rPr>
          <w:rFonts w:ascii="Arial" w:hAnsi="Arial"/>
        </w:rPr>
        <w:t>s, whose names are disclosed in the succeeding paragraphs of this ruling.</w:t>
      </w:r>
    </w:p>
    <w:p w14:paraId="719C1E25" w14:textId="77777777" w:rsidR="00553696" w:rsidRDefault="00553696" w:rsidP="00553696">
      <w:pPr>
        <w:pStyle w:val="ListParagraph"/>
        <w:spacing w:line="360" w:lineRule="auto"/>
        <w:ind w:left="0"/>
        <w:jc w:val="both"/>
        <w:rPr>
          <w:rFonts w:ascii="Arial" w:hAnsi="Arial"/>
        </w:rPr>
      </w:pPr>
    </w:p>
    <w:p w14:paraId="518C2A1B" w14:textId="12D059E2" w:rsidR="00553696" w:rsidRPr="00BE0148" w:rsidRDefault="00BE0148" w:rsidP="00BE0148">
      <w:pPr>
        <w:spacing w:line="360" w:lineRule="auto"/>
        <w:jc w:val="both"/>
        <w:rPr>
          <w:rFonts w:ascii="Arial" w:hAnsi="Arial"/>
        </w:rPr>
      </w:pPr>
      <w:r>
        <w:rPr>
          <w:rFonts w:ascii="Arial" w:hAnsi="Arial"/>
        </w:rPr>
        <w:t>[6]</w:t>
      </w:r>
      <w:r>
        <w:rPr>
          <w:rFonts w:ascii="Arial" w:hAnsi="Arial"/>
        </w:rPr>
        <w:tab/>
      </w:r>
      <w:r w:rsidR="00134875" w:rsidRPr="00BE0148">
        <w:rPr>
          <w:rFonts w:ascii="Arial" w:hAnsi="Arial"/>
        </w:rPr>
        <w:t>The first</w:t>
      </w:r>
      <w:r w:rsidR="0038690C" w:rsidRPr="00BE0148">
        <w:rPr>
          <w:rFonts w:ascii="Arial" w:hAnsi="Arial"/>
        </w:rPr>
        <w:t xml:space="preserve"> agreement</w:t>
      </w:r>
      <w:r w:rsidR="00134875" w:rsidRPr="00BE0148">
        <w:rPr>
          <w:rFonts w:ascii="Arial" w:hAnsi="Arial"/>
        </w:rPr>
        <w:t>,</w:t>
      </w:r>
      <w:r w:rsidR="0038690C" w:rsidRPr="00BE0148">
        <w:rPr>
          <w:rFonts w:ascii="Arial" w:hAnsi="Arial"/>
        </w:rPr>
        <w:t xml:space="preserve"> was entered into on 1 December 2015, in Katima Mulilo and in terms of which the applicant</w:t>
      </w:r>
      <w:r w:rsidR="00ED18D6" w:rsidRPr="00BE0148">
        <w:rPr>
          <w:rFonts w:ascii="Arial" w:hAnsi="Arial"/>
        </w:rPr>
        <w:t>, represented by Ms Elsoline Hendricks, and the respondent in person,</w:t>
      </w:r>
      <w:r w:rsidR="0038690C" w:rsidRPr="00BE0148">
        <w:rPr>
          <w:rFonts w:ascii="Arial" w:hAnsi="Arial"/>
        </w:rPr>
        <w:t xml:space="preserve"> lent and advanced </w:t>
      </w:r>
      <w:r w:rsidR="00134875" w:rsidRPr="00BE0148">
        <w:rPr>
          <w:rFonts w:ascii="Arial" w:hAnsi="Arial"/>
        </w:rPr>
        <w:t>monies to</w:t>
      </w:r>
      <w:r w:rsidR="00ED18D6" w:rsidRPr="00BE0148">
        <w:rPr>
          <w:rFonts w:ascii="Arial" w:hAnsi="Arial"/>
        </w:rPr>
        <w:t xml:space="preserve"> </w:t>
      </w:r>
      <w:r w:rsidR="00F336A5" w:rsidRPr="00BE0148">
        <w:rPr>
          <w:rFonts w:ascii="Arial" w:hAnsi="Arial"/>
        </w:rPr>
        <w:t>the respondent</w:t>
      </w:r>
      <w:r w:rsidR="00134875" w:rsidRPr="00BE0148">
        <w:rPr>
          <w:rFonts w:ascii="Arial" w:hAnsi="Arial"/>
        </w:rPr>
        <w:t xml:space="preserve"> on her</w:t>
      </w:r>
      <w:r w:rsidR="00F336A5" w:rsidRPr="00BE0148">
        <w:rPr>
          <w:rFonts w:ascii="Arial" w:hAnsi="Arial"/>
        </w:rPr>
        <w:t xml:space="preserve"> credit card, in</w:t>
      </w:r>
      <w:r w:rsidR="00ED18D6" w:rsidRPr="00BE0148">
        <w:rPr>
          <w:rFonts w:ascii="Arial" w:hAnsi="Arial"/>
        </w:rPr>
        <w:t xml:space="preserve"> the </w:t>
      </w:r>
      <w:r w:rsidR="00F336A5" w:rsidRPr="00BE0148">
        <w:rPr>
          <w:rFonts w:ascii="Arial" w:hAnsi="Arial"/>
        </w:rPr>
        <w:t xml:space="preserve">amount of </w:t>
      </w:r>
      <w:r w:rsidR="00ED18D6" w:rsidRPr="00BE0148">
        <w:rPr>
          <w:rFonts w:ascii="Arial" w:hAnsi="Arial"/>
        </w:rPr>
        <w:t>N$12 460. This amount was payable in monthly instalments of N$793</w:t>
      </w:r>
      <w:r w:rsidR="00553696" w:rsidRPr="00BE0148">
        <w:rPr>
          <w:rFonts w:ascii="Arial" w:hAnsi="Arial"/>
        </w:rPr>
        <w:t>, 28</w:t>
      </w:r>
      <w:r w:rsidR="00ED18D6" w:rsidRPr="00BE0148">
        <w:rPr>
          <w:rFonts w:ascii="Arial" w:hAnsi="Arial"/>
        </w:rPr>
        <w:t>.</w:t>
      </w:r>
    </w:p>
    <w:p w14:paraId="44A7510D" w14:textId="77777777" w:rsidR="002475F6" w:rsidRDefault="002475F6" w:rsidP="002475F6">
      <w:pPr>
        <w:spacing w:line="360" w:lineRule="auto"/>
        <w:jc w:val="both"/>
        <w:rPr>
          <w:rFonts w:ascii="Arial" w:hAnsi="Arial"/>
        </w:rPr>
      </w:pPr>
    </w:p>
    <w:p w14:paraId="5E5E5183" w14:textId="273722C5" w:rsidR="002475F6" w:rsidRPr="00BE0148" w:rsidRDefault="00BE0148" w:rsidP="00BE0148">
      <w:pPr>
        <w:spacing w:line="360" w:lineRule="auto"/>
        <w:jc w:val="both"/>
        <w:rPr>
          <w:rFonts w:ascii="Arial" w:hAnsi="Arial"/>
        </w:rPr>
      </w:pPr>
      <w:r>
        <w:rPr>
          <w:rFonts w:ascii="Arial" w:hAnsi="Arial"/>
        </w:rPr>
        <w:t>[7]</w:t>
      </w:r>
      <w:r>
        <w:rPr>
          <w:rFonts w:ascii="Arial" w:hAnsi="Arial"/>
        </w:rPr>
        <w:tab/>
      </w:r>
      <w:r w:rsidR="00134875" w:rsidRPr="00BE0148">
        <w:rPr>
          <w:rFonts w:ascii="Arial" w:hAnsi="Arial"/>
        </w:rPr>
        <w:t>The second</w:t>
      </w:r>
      <w:r w:rsidR="002475F6" w:rsidRPr="00BE0148">
        <w:rPr>
          <w:rFonts w:ascii="Arial" w:hAnsi="Arial"/>
        </w:rPr>
        <w:t xml:space="preserve"> agreement, was entered into on 31 May 2019 in Katima Mulilo. The applicant, was represented by Mr Johannes Sakaria, whereas the respondent repr</w:t>
      </w:r>
      <w:r w:rsidR="00134875" w:rsidRPr="00BE0148">
        <w:rPr>
          <w:rFonts w:ascii="Arial" w:hAnsi="Arial"/>
        </w:rPr>
        <w:t xml:space="preserve">esented herself. In terms of this agreement, the </w:t>
      </w:r>
      <w:r w:rsidR="0050319F" w:rsidRPr="00BE0148">
        <w:rPr>
          <w:rFonts w:ascii="Arial" w:hAnsi="Arial"/>
        </w:rPr>
        <w:t>applicant advanced</w:t>
      </w:r>
      <w:r w:rsidR="002475F6" w:rsidRPr="00BE0148">
        <w:rPr>
          <w:rFonts w:ascii="Arial" w:hAnsi="Arial"/>
        </w:rPr>
        <w:t xml:space="preserve"> monies to the respondent</w:t>
      </w:r>
      <w:r w:rsidR="00134875" w:rsidRPr="00BE0148">
        <w:rPr>
          <w:rFonts w:ascii="Arial" w:hAnsi="Arial"/>
        </w:rPr>
        <w:t>,</w:t>
      </w:r>
      <w:r w:rsidR="002475F6" w:rsidRPr="00BE0148">
        <w:rPr>
          <w:rFonts w:ascii="Arial" w:hAnsi="Arial"/>
        </w:rPr>
        <w:t xml:space="preserve"> to the maximum of N$102 682</w:t>
      </w:r>
      <w:r w:rsidR="00F81381" w:rsidRPr="00BE0148">
        <w:rPr>
          <w:rFonts w:ascii="Arial" w:hAnsi="Arial"/>
        </w:rPr>
        <w:t>, 02</w:t>
      </w:r>
      <w:r w:rsidR="002475F6" w:rsidRPr="00BE0148">
        <w:rPr>
          <w:rFonts w:ascii="Arial" w:hAnsi="Arial"/>
        </w:rPr>
        <w:t>. This amount was payable in 42 monthly instalments of N$2 444</w:t>
      </w:r>
      <w:r w:rsidR="00F81381" w:rsidRPr="00BE0148">
        <w:rPr>
          <w:rFonts w:ascii="Arial" w:hAnsi="Arial"/>
        </w:rPr>
        <w:t>, 81</w:t>
      </w:r>
      <w:r w:rsidR="002475F6" w:rsidRPr="00BE0148">
        <w:rPr>
          <w:rFonts w:ascii="Arial" w:hAnsi="Arial"/>
        </w:rPr>
        <w:t>.</w:t>
      </w:r>
    </w:p>
    <w:p w14:paraId="494A8901" w14:textId="77777777" w:rsidR="00553696" w:rsidRDefault="00553696" w:rsidP="00553696">
      <w:pPr>
        <w:pStyle w:val="ListParagraph"/>
        <w:spacing w:line="360" w:lineRule="auto"/>
        <w:ind w:left="0"/>
        <w:jc w:val="both"/>
        <w:rPr>
          <w:rFonts w:ascii="Arial" w:hAnsi="Arial"/>
        </w:rPr>
      </w:pPr>
    </w:p>
    <w:p w14:paraId="2135B619" w14:textId="30B8B17C" w:rsidR="00553696" w:rsidRPr="00BE0148" w:rsidRDefault="00BE0148" w:rsidP="00BE0148">
      <w:pPr>
        <w:spacing w:line="360" w:lineRule="auto"/>
        <w:jc w:val="both"/>
        <w:rPr>
          <w:rFonts w:ascii="Arial" w:hAnsi="Arial"/>
        </w:rPr>
      </w:pPr>
      <w:r>
        <w:rPr>
          <w:rFonts w:ascii="Arial" w:hAnsi="Arial"/>
        </w:rPr>
        <w:t>[8]</w:t>
      </w:r>
      <w:r>
        <w:rPr>
          <w:rFonts w:ascii="Arial" w:hAnsi="Arial"/>
        </w:rPr>
        <w:tab/>
      </w:r>
      <w:r w:rsidR="00ED18D6" w:rsidRPr="00BE0148">
        <w:rPr>
          <w:rFonts w:ascii="Arial" w:hAnsi="Arial"/>
        </w:rPr>
        <w:t>The applicant claims that the respondent failed to live to her undertakings in relation to both agreements. As a result, it issued a combined summons claiming payment of N$54 227,65 in relation to the first claim and an amount of N$15 897,79, in relation to the second claim</w:t>
      </w:r>
      <w:r w:rsidR="00B45245" w:rsidRPr="00BE0148">
        <w:rPr>
          <w:rFonts w:ascii="Arial" w:hAnsi="Arial"/>
        </w:rPr>
        <w:t xml:space="preserve">. Both amounts include a claim for interest and costs on the attorney and own client scale. </w:t>
      </w:r>
    </w:p>
    <w:p w14:paraId="6A8256B7" w14:textId="77777777" w:rsidR="00553696" w:rsidRDefault="00553696" w:rsidP="00553696">
      <w:pPr>
        <w:pStyle w:val="ListParagraph"/>
        <w:spacing w:line="360" w:lineRule="auto"/>
        <w:ind w:left="0"/>
        <w:jc w:val="both"/>
        <w:rPr>
          <w:rFonts w:ascii="Arial" w:hAnsi="Arial"/>
        </w:rPr>
      </w:pPr>
    </w:p>
    <w:p w14:paraId="2AC4FAEC" w14:textId="4F282945" w:rsidR="00553696" w:rsidRPr="00BE0148" w:rsidRDefault="00BE0148" w:rsidP="00BE0148">
      <w:pPr>
        <w:spacing w:line="360" w:lineRule="auto"/>
        <w:jc w:val="both"/>
        <w:rPr>
          <w:rFonts w:ascii="Arial" w:hAnsi="Arial"/>
        </w:rPr>
      </w:pPr>
      <w:r>
        <w:rPr>
          <w:rFonts w:ascii="Arial" w:hAnsi="Arial"/>
        </w:rPr>
        <w:t>[9]</w:t>
      </w:r>
      <w:r>
        <w:rPr>
          <w:rFonts w:ascii="Arial" w:hAnsi="Arial"/>
        </w:rPr>
        <w:tab/>
      </w:r>
      <w:r w:rsidR="00B45245" w:rsidRPr="00BE0148">
        <w:rPr>
          <w:rFonts w:ascii="Arial" w:hAnsi="Arial"/>
        </w:rPr>
        <w:t xml:space="preserve">The respondent, as she was entitled to, filed a notice to defend the suit. The parties thereafter filed a joint case plan, in terms of which </w:t>
      </w:r>
      <w:r w:rsidR="00134875" w:rsidRPr="00BE0148">
        <w:rPr>
          <w:rFonts w:ascii="Arial" w:hAnsi="Arial"/>
        </w:rPr>
        <w:t>t</w:t>
      </w:r>
      <w:r w:rsidR="00B45245" w:rsidRPr="00BE0148">
        <w:rPr>
          <w:rFonts w:ascii="Arial" w:hAnsi="Arial"/>
        </w:rPr>
        <w:t xml:space="preserve">hey agreed that the matter be referred to court connected mediation. The court issued a case plan order accordingly. The matter settled at mediation, culminating in the respondent withdrawing her defence. In due course on </w:t>
      </w:r>
      <w:r w:rsidR="007D0ECC" w:rsidRPr="00BE0148">
        <w:rPr>
          <w:rFonts w:ascii="Arial" w:hAnsi="Arial"/>
        </w:rPr>
        <w:t>19 November 2021, the respondent signed the settlement agreement.</w:t>
      </w:r>
    </w:p>
    <w:p w14:paraId="28B538FA" w14:textId="77777777" w:rsidR="00553696" w:rsidRDefault="00553696" w:rsidP="00553696">
      <w:pPr>
        <w:pStyle w:val="ListParagraph"/>
        <w:spacing w:line="360" w:lineRule="auto"/>
        <w:ind w:left="0"/>
        <w:jc w:val="both"/>
        <w:rPr>
          <w:rFonts w:ascii="Arial" w:hAnsi="Arial"/>
        </w:rPr>
      </w:pPr>
    </w:p>
    <w:p w14:paraId="470ECD3B" w14:textId="2933503F" w:rsidR="007D0ECC" w:rsidRPr="00BE0148" w:rsidRDefault="00BE0148" w:rsidP="00BE0148">
      <w:pPr>
        <w:spacing w:line="360" w:lineRule="auto"/>
        <w:jc w:val="both"/>
        <w:rPr>
          <w:rFonts w:ascii="Arial" w:hAnsi="Arial"/>
        </w:rPr>
      </w:pPr>
      <w:r w:rsidRPr="00553696">
        <w:rPr>
          <w:rFonts w:ascii="Arial" w:hAnsi="Arial"/>
        </w:rPr>
        <w:t>[10]</w:t>
      </w:r>
      <w:r w:rsidRPr="00553696">
        <w:rPr>
          <w:rFonts w:ascii="Arial" w:hAnsi="Arial"/>
        </w:rPr>
        <w:tab/>
      </w:r>
      <w:r w:rsidR="007D0ECC" w:rsidRPr="00BE0148">
        <w:rPr>
          <w:rFonts w:ascii="Arial" w:hAnsi="Arial"/>
        </w:rPr>
        <w:t>Pertinent to the instant case, are the provisions of clause 3 of the said agreement. They read as follows:</w:t>
      </w:r>
    </w:p>
    <w:p w14:paraId="1DE43597" w14:textId="77777777" w:rsidR="003F77D6" w:rsidRDefault="003F77D6" w:rsidP="00CC559B">
      <w:pPr>
        <w:spacing w:line="360" w:lineRule="auto"/>
        <w:jc w:val="both"/>
        <w:rPr>
          <w:rFonts w:ascii="Arial" w:hAnsi="Arial"/>
        </w:rPr>
      </w:pPr>
    </w:p>
    <w:p w14:paraId="56E89D92" w14:textId="77777777" w:rsidR="003F77D6" w:rsidRDefault="00D92B51" w:rsidP="00CC559B">
      <w:pPr>
        <w:spacing w:line="360" w:lineRule="auto"/>
        <w:jc w:val="both"/>
        <w:rPr>
          <w:rFonts w:ascii="Arial" w:hAnsi="Arial"/>
          <w:sz w:val="22"/>
          <w:szCs w:val="22"/>
        </w:rPr>
      </w:pPr>
      <w:r>
        <w:rPr>
          <w:rFonts w:ascii="Arial" w:hAnsi="Arial"/>
        </w:rPr>
        <w:tab/>
        <w:t>‘</w:t>
      </w:r>
      <w:r>
        <w:rPr>
          <w:rFonts w:ascii="Arial" w:hAnsi="Arial"/>
          <w:sz w:val="22"/>
          <w:szCs w:val="22"/>
        </w:rPr>
        <w:t>The parties agree that should the Defendant fail to pay any of the instalments payable in terms of this agreement or take any action or not comply with any terms of this agreement, the Plaintiff will be entitled to apply for application for summary judgment against the Defendant in the event of breach for the payment of the settlement amount.’</w:t>
      </w:r>
    </w:p>
    <w:p w14:paraId="34F1E153" w14:textId="77777777" w:rsidR="00D92B51" w:rsidRDefault="00D92B51" w:rsidP="00CC559B">
      <w:pPr>
        <w:spacing w:line="360" w:lineRule="auto"/>
        <w:jc w:val="both"/>
        <w:rPr>
          <w:rFonts w:ascii="Arial" w:hAnsi="Arial"/>
        </w:rPr>
      </w:pPr>
    </w:p>
    <w:p w14:paraId="1EBB6427" w14:textId="6435DF3C" w:rsidR="00553696" w:rsidRPr="00BE0148" w:rsidRDefault="00BE0148" w:rsidP="00BE0148">
      <w:pPr>
        <w:spacing w:line="360" w:lineRule="auto"/>
        <w:jc w:val="both"/>
        <w:rPr>
          <w:rFonts w:ascii="Arial" w:hAnsi="Arial"/>
        </w:rPr>
      </w:pPr>
      <w:r>
        <w:rPr>
          <w:rFonts w:ascii="Arial" w:hAnsi="Arial"/>
        </w:rPr>
        <w:t>[11]</w:t>
      </w:r>
      <w:r>
        <w:rPr>
          <w:rFonts w:ascii="Arial" w:hAnsi="Arial"/>
        </w:rPr>
        <w:tab/>
      </w:r>
      <w:r w:rsidR="004B6E70" w:rsidRPr="00BE0148">
        <w:rPr>
          <w:rFonts w:ascii="Arial" w:hAnsi="Arial"/>
        </w:rPr>
        <w:t>It would appear, and the applicant claims that the respondent is guilty of not complying with the terms of the agreement in that she has not paid the instalments as they fell due in terms of the agreement. In this connection, the applicant, as undertaken in the settlement agreement, moved an application for summary judgment. That is the issue serving before court, as foreshadowed above. I need to mention that the amounts claimed by the applicant, as being due from the respondent remain those recorded above in relation to the particulars of claim.</w:t>
      </w:r>
    </w:p>
    <w:p w14:paraId="4A3F8EAB" w14:textId="77777777" w:rsidR="00553696" w:rsidRDefault="00553696" w:rsidP="00553696">
      <w:pPr>
        <w:pStyle w:val="ListParagraph"/>
        <w:spacing w:line="360" w:lineRule="auto"/>
        <w:ind w:left="0"/>
        <w:jc w:val="both"/>
        <w:rPr>
          <w:rFonts w:ascii="Arial" w:hAnsi="Arial"/>
        </w:rPr>
      </w:pPr>
    </w:p>
    <w:p w14:paraId="5A7BE3E8" w14:textId="77777777" w:rsidR="00553696" w:rsidRDefault="00553696" w:rsidP="00553696">
      <w:pPr>
        <w:spacing w:line="360" w:lineRule="auto"/>
        <w:jc w:val="both"/>
        <w:rPr>
          <w:rFonts w:ascii="Arial" w:hAnsi="Arial"/>
          <w:u w:val="single"/>
        </w:rPr>
      </w:pPr>
      <w:r>
        <w:rPr>
          <w:rFonts w:ascii="Arial" w:hAnsi="Arial"/>
          <w:u w:val="single"/>
        </w:rPr>
        <w:t>The respondent’s case</w:t>
      </w:r>
    </w:p>
    <w:p w14:paraId="0351216C" w14:textId="77777777" w:rsidR="00553696" w:rsidRDefault="00553696" w:rsidP="00553696">
      <w:pPr>
        <w:pStyle w:val="ListParagraph"/>
        <w:spacing w:line="360" w:lineRule="auto"/>
        <w:ind w:left="0"/>
        <w:jc w:val="both"/>
        <w:rPr>
          <w:rFonts w:ascii="Arial" w:hAnsi="Arial"/>
        </w:rPr>
      </w:pPr>
    </w:p>
    <w:p w14:paraId="7907FD76" w14:textId="4FCA5F3D" w:rsidR="00553696" w:rsidRPr="00BE0148" w:rsidRDefault="00BE0148" w:rsidP="00BE0148">
      <w:pPr>
        <w:spacing w:line="360" w:lineRule="auto"/>
        <w:jc w:val="both"/>
        <w:rPr>
          <w:rFonts w:ascii="Arial" w:hAnsi="Arial"/>
        </w:rPr>
      </w:pPr>
      <w:r>
        <w:rPr>
          <w:rFonts w:ascii="Arial" w:hAnsi="Arial"/>
        </w:rPr>
        <w:t>[12]</w:t>
      </w:r>
      <w:r>
        <w:rPr>
          <w:rFonts w:ascii="Arial" w:hAnsi="Arial"/>
        </w:rPr>
        <w:tab/>
      </w:r>
      <w:r w:rsidR="004B6E70" w:rsidRPr="00BE0148">
        <w:rPr>
          <w:rFonts w:ascii="Arial" w:hAnsi="Arial"/>
        </w:rPr>
        <w:t xml:space="preserve">Ms </w:t>
      </w:r>
      <w:r w:rsidR="00610A0D" w:rsidRPr="00BE0148">
        <w:rPr>
          <w:rFonts w:ascii="Arial" w:hAnsi="Arial"/>
        </w:rPr>
        <w:t>Amupolo</w:t>
      </w:r>
      <w:r w:rsidR="004B6E70" w:rsidRPr="00BE0148">
        <w:rPr>
          <w:rFonts w:ascii="Arial" w:hAnsi="Arial"/>
        </w:rPr>
        <w:t xml:space="preserve">, for the respondent, raised a point of law </w:t>
      </w:r>
      <w:r w:rsidR="004B6E70" w:rsidRPr="00BE0148">
        <w:rPr>
          <w:rFonts w:ascii="Arial" w:hAnsi="Arial"/>
          <w:i/>
        </w:rPr>
        <w:t>in limine</w:t>
      </w:r>
      <w:r w:rsidR="004B6E70" w:rsidRPr="00BE0148">
        <w:rPr>
          <w:rFonts w:ascii="Arial" w:hAnsi="Arial"/>
        </w:rPr>
        <w:t xml:space="preserve">, to the effect that the application for summary judgment is irregular and must be dismissed with costs. Her contention stems </w:t>
      </w:r>
      <w:r w:rsidR="00BC7E9E" w:rsidRPr="00BE0148">
        <w:rPr>
          <w:rFonts w:ascii="Arial" w:hAnsi="Arial"/>
        </w:rPr>
        <w:t>from the argument that the appl</w:t>
      </w:r>
      <w:r w:rsidR="004B6E70" w:rsidRPr="00BE0148">
        <w:rPr>
          <w:rFonts w:ascii="Arial" w:hAnsi="Arial"/>
        </w:rPr>
        <w:t>i</w:t>
      </w:r>
      <w:r w:rsidR="00BC7E9E" w:rsidRPr="00BE0148">
        <w:rPr>
          <w:rFonts w:ascii="Arial" w:hAnsi="Arial"/>
        </w:rPr>
        <w:t>c</w:t>
      </w:r>
      <w:r w:rsidR="004B6E70" w:rsidRPr="00BE0148">
        <w:rPr>
          <w:rFonts w:ascii="Arial" w:hAnsi="Arial"/>
        </w:rPr>
        <w:t>ant’s</w:t>
      </w:r>
      <w:r w:rsidR="00BC7E9E" w:rsidRPr="00BE0148">
        <w:rPr>
          <w:rFonts w:ascii="Arial" w:hAnsi="Arial"/>
        </w:rPr>
        <w:t xml:space="preserve"> aforesaid application, does not conform to the relevant provisions of rule 60. On this account, Ms </w:t>
      </w:r>
      <w:r w:rsidR="00610A0D" w:rsidRPr="00BE0148">
        <w:rPr>
          <w:rFonts w:ascii="Arial" w:hAnsi="Arial"/>
        </w:rPr>
        <w:t>Amupolo</w:t>
      </w:r>
      <w:r w:rsidR="00BC7E9E" w:rsidRPr="00BE0148">
        <w:rPr>
          <w:rFonts w:ascii="Arial" w:hAnsi="Arial"/>
        </w:rPr>
        <w:t xml:space="preserve"> submits, the application must be dismissed without further ado. The issue that falls for determination this early, is to decide whether she is correct in her argument. I proceed to decide this very issue below.</w:t>
      </w:r>
    </w:p>
    <w:p w14:paraId="33AAF75F" w14:textId="77777777" w:rsidR="00553696" w:rsidRDefault="00553696" w:rsidP="00553696">
      <w:pPr>
        <w:pStyle w:val="ListParagraph"/>
        <w:spacing w:line="360" w:lineRule="auto"/>
        <w:ind w:left="0"/>
        <w:jc w:val="both"/>
        <w:rPr>
          <w:rFonts w:ascii="Arial" w:hAnsi="Arial"/>
        </w:rPr>
      </w:pPr>
    </w:p>
    <w:p w14:paraId="0C4D958D" w14:textId="77777777" w:rsidR="00553696" w:rsidRDefault="00553696" w:rsidP="00553696">
      <w:pPr>
        <w:spacing w:line="360" w:lineRule="auto"/>
        <w:jc w:val="both"/>
        <w:rPr>
          <w:rFonts w:ascii="Arial" w:hAnsi="Arial"/>
          <w:u w:val="single"/>
        </w:rPr>
      </w:pPr>
      <w:r>
        <w:rPr>
          <w:rFonts w:ascii="Arial" w:hAnsi="Arial"/>
          <w:u w:val="single"/>
        </w:rPr>
        <w:t>Determination</w:t>
      </w:r>
    </w:p>
    <w:p w14:paraId="40E0D4B9" w14:textId="77777777" w:rsidR="00553696" w:rsidRDefault="00553696" w:rsidP="00553696">
      <w:pPr>
        <w:pStyle w:val="ListParagraph"/>
        <w:spacing w:line="360" w:lineRule="auto"/>
        <w:ind w:left="0"/>
        <w:jc w:val="both"/>
        <w:rPr>
          <w:rFonts w:ascii="Arial" w:hAnsi="Arial"/>
        </w:rPr>
      </w:pPr>
    </w:p>
    <w:p w14:paraId="0D507862" w14:textId="1C7F1E33" w:rsidR="00BC7E9E" w:rsidRPr="00BE0148" w:rsidRDefault="00BE0148" w:rsidP="00BE0148">
      <w:pPr>
        <w:spacing w:line="360" w:lineRule="auto"/>
        <w:jc w:val="both"/>
        <w:rPr>
          <w:rFonts w:ascii="Arial" w:hAnsi="Arial"/>
        </w:rPr>
      </w:pPr>
      <w:r w:rsidRPr="00553696">
        <w:rPr>
          <w:rFonts w:ascii="Arial" w:hAnsi="Arial"/>
        </w:rPr>
        <w:t>[13]</w:t>
      </w:r>
      <w:r w:rsidRPr="00553696">
        <w:rPr>
          <w:rFonts w:ascii="Arial" w:hAnsi="Arial"/>
        </w:rPr>
        <w:tab/>
      </w:r>
      <w:r w:rsidR="00BC7E9E" w:rsidRPr="00BE0148">
        <w:rPr>
          <w:rFonts w:ascii="Arial" w:hAnsi="Arial"/>
        </w:rPr>
        <w:t>The relevant parts of rule 60, provide as follows regarding the application for summary judgment. I refer, in particular, to rule 60(2) below:</w:t>
      </w:r>
    </w:p>
    <w:p w14:paraId="6326EF89" w14:textId="77777777" w:rsidR="00BC7E9E" w:rsidRDefault="00BC7E9E" w:rsidP="00CC559B">
      <w:pPr>
        <w:spacing w:line="360" w:lineRule="auto"/>
        <w:jc w:val="both"/>
        <w:rPr>
          <w:rFonts w:ascii="Arial" w:hAnsi="Arial"/>
        </w:rPr>
      </w:pPr>
    </w:p>
    <w:p w14:paraId="67C053DA" w14:textId="77777777" w:rsidR="00BC7E9E" w:rsidRDefault="00BC7E9E" w:rsidP="00CC559B">
      <w:pPr>
        <w:spacing w:line="360" w:lineRule="auto"/>
        <w:jc w:val="both"/>
        <w:rPr>
          <w:rFonts w:ascii="Arial" w:hAnsi="Arial"/>
          <w:sz w:val="22"/>
          <w:szCs w:val="22"/>
        </w:rPr>
      </w:pPr>
      <w:r>
        <w:rPr>
          <w:rFonts w:ascii="Arial" w:hAnsi="Arial"/>
        </w:rPr>
        <w:tab/>
        <w:t>‘</w:t>
      </w:r>
      <w:r>
        <w:rPr>
          <w:rFonts w:ascii="Arial" w:hAnsi="Arial"/>
          <w:sz w:val="22"/>
          <w:szCs w:val="22"/>
        </w:rPr>
        <w:t xml:space="preserve">The plaintiff must deliver </w:t>
      </w:r>
      <w:r w:rsidR="001B3EC5">
        <w:rPr>
          <w:rFonts w:ascii="Arial" w:hAnsi="Arial"/>
          <w:sz w:val="22"/>
          <w:szCs w:val="22"/>
        </w:rPr>
        <w:t xml:space="preserve">notice of the application which must be accompanied by an affidavit made by him or her or by any other person who can swear positively to the facts </w:t>
      </w:r>
    </w:p>
    <w:p w14:paraId="585DC06A" w14:textId="511D4E72" w:rsidR="001B3EC5" w:rsidRPr="00BE0148" w:rsidRDefault="00BE0148" w:rsidP="00BE0148">
      <w:pPr>
        <w:spacing w:line="360" w:lineRule="auto"/>
        <w:ind w:left="720" w:hanging="360"/>
        <w:jc w:val="both"/>
        <w:rPr>
          <w:rFonts w:ascii="Arial" w:hAnsi="Arial"/>
          <w:sz w:val="22"/>
          <w:szCs w:val="22"/>
        </w:rPr>
      </w:pPr>
      <w:r w:rsidRPr="001B3EC5">
        <w:rPr>
          <w:rFonts w:ascii="Arial" w:hAnsi="Arial"/>
          <w:sz w:val="22"/>
          <w:szCs w:val="22"/>
        </w:rPr>
        <w:t>(a)</w:t>
      </w:r>
      <w:r w:rsidRPr="001B3EC5">
        <w:rPr>
          <w:rFonts w:ascii="Arial" w:hAnsi="Arial"/>
          <w:sz w:val="22"/>
          <w:szCs w:val="22"/>
        </w:rPr>
        <w:tab/>
      </w:r>
      <w:r w:rsidR="001B3EC5" w:rsidRPr="00BE0148">
        <w:rPr>
          <w:rFonts w:ascii="Arial" w:hAnsi="Arial"/>
          <w:sz w:val="22"/>
          <w:szCs w:val="22"/>
        </w:rPr>
        <w:t>verifying the cause of action and the amount, if any, claimed; and</w:t>
      </w:r>
    </w:p>
    <w:p w14:paraId="11EAC734" w14:textId="1412B3DA" w:rsidR="00804444" w:rsidRPr="00BE0148" w:rsidRDefault="00BE0148" w:rsidP="00BE0148">
      <w:pPr>
        <w:spacing w:line="360" w:lineRule="auto"/>
        <w:ind w:left="720" w:hanging="360"/>
        <w:jc w:val="both"/>
        <w:rPr>
          <w:rFonts w:ascii="Arial" w:hAnsi="Arial"/>
          <w:sz w:val="22"/>
          <w:szCs w:val="22"/>
        </w:rPr>
      </w:pPr>
      <w:r w:rsidRPr="00F336A5">
        <w:rPr>
          <w:rFonts w:ascii="Arial" w:hAnsi="Arial"/>
          <w:sz w:val="22"/>
          <w:szCs w:val="22"/>
        </w:rPr>
        <w:t>(b)</w:t>
      </w:r>
      <w:r w:rsidRPr="00F336A5">
        <w:rPr>
          <w:rFonts w:ascii="Arial" w:hAnsi="Arial"/>
          <w:sz w:val="22"/>
          <w:szCs w:val="22"/>
        </w:rPr>
        <w:tab/>
      </w:r>
      <w:r w:rsidR="00804444" w:rsidRPr="00BE0148">
        <w:rPr>
          <w:rFonts w:ascii="Arial" w:hAnsi="Arial"/>
          <w:sz w:val="22"/>
          <w:szCs w:val="22"/>
        </w:rPr>
        <w:t xml:space="preserve">stating that in his or her opinion there is no </w:t>
      </w:r>
      <w:r w:rsidR="00804444" w:rsidRPr="00BE0148">
        <w:rPr>
          <w:rFonts w:ascii="Arial" w:hAnsi="Arial"/>
          <w:i/>
          <w:sz w:val="22"/>
          <w:szCs w:val="22"/>
        </w:rPr>
        <w:t xml:space="preserve">bona fide </w:t>
      </w:r>
      <w:r w:rsidR="00804444" w:rsidRPr="00BE0148">
        <w:rPr>
          <w:rFonts w:ascii="Arial" w:hAnsi="Arial"/>
          <w:sz w:val="22"/>
          <w:szCs w:val="22"/>
        </w:rPr>
        <w:t>defence to the action and that notice of intention to defend has been delivered solely for the purpose of delay.’</w:t>
      </w:r>
    </w:p>
    <w:p w14:paraId="76E8D6ED" w14:textId="77777777" w:rsidR="00804444" w:rsidRDefault="00804444" w:rsidP="00F336A5">
      <w:pPr>
        <w:spacing w:line="360" w:lineRule="auto"/>
        <w:jc w:val="both"/>
        <w:rPr>
          <w:rFonts w:ascii="Arial" w:hAnsi="Arial"/>
          <w:sz w:val="22"/>
          <w:szCs w:val="22"/>
        </w:rPr>
      </w:pPr>
    </w:p>
    <w:p w14:paraId="66362CEB" w14:textId="6CD4DFDE" w:rsidR="00553696" w:rsidRPr="00BE0148" w:rsidRDefault="00BE0148" w:rsidP="00BE0148">
      <w:pPr>
        <w:spacing w:line="360" w:lineRule="auto"/>
        <w:jc w:val="both"/>
        <w:rPr>
          <w:rFonts w:ascii="Arial" w:hAnsi="Arial"/>
        </w:rPr>
      </w:pPr>
      <w:r>
        <w:rPr>
          <w:rFonts w:ascii="Arial" w:hAnsi="Arial"/>
        </w:rPr>
        <w:lastRenderedPageBreak/>
        <w:t>[14]</w:t>
      </w:r>
      <w:r>
        <w:rPr>
          <w:rFonts w:ascii="Arial" w:hAnsi="Arial"/>
        </w:rPr>
        <w:tab/>
      </w:r>
      <w:r w:rsidR="00F336A5" w:rsidRPr="00BE0148">
        <w:rPr>
          <w:rFonts w:ascii="Arial" w:hAnsi="Arial"/>
        </w:rPr>
        <w:t xml:space="preserve">Ms </w:t>
      </w:r>
      <w:r w:rsidR="00610A0D" w:rsidRPr="00BE0148">
        <w:rPr>
          <w:rFonts w:ascii="Arial" w:hAnsi="Arial"/>
        </w:rPr>
        <w:t>Amupolo</w:t>
      </w:r>
      <w:r w:rsidR="00804444" w:rsidRPr="00BE0148">
        <w:rPr>
          <w:rFonts w:ascii="Arial" w:hAnsi="Arial"/>
        </w:rPr>
        <w:t xml:space="preserve"> cries foul and claims that the applicant’s affidavit does not contain the necessary averments required in particular, by rule 60(2)(</w:t>
      </w:r>
      <w:r w:rsidR="00804444" w:rsidRPr="00BE0148">
        <w:rPr>
          <w:rFonts w:ascii="Arial" w:hAnsi="Arial"/>
          <w:i/>
        </w:rPr>
        <w:t>a</w:t>
      </w:r>
      <w:r w:rsidR="00804444" w:rsidRPr="00BE0148">
        <w:rPr>
          <w:rFonts w:ascii="Arial" w:hAnsi="Arial"/>
        </w:rPr>
        <w:t>) and  (</w:t>
      </w:r>
      <w:r w:rsidR="00804444" w:rsidRPr="00BE0148">
        <w:rPr>
          <w:rFonts w:ascii="Arial" w:hAnsi="Arial"/>
          <w:i/>
        </w:rPr>
        <w:t>b</w:t>
      </w:r>
      <w:r w:rsidR="00804444" w:rsidRPr="00BE0148">
        <w:rPr>
          <w:rFonts w:ascii="Arial" w:hAnsi="Arial"/>
        </w:rPr>
        <w:t xml:space="preserve">). </w:t>
      </w:r>
      <w:r w:rsidR="004A3297" w:rsidRPr="00BE0148">
        <w:rPr>
          <w:rFonts w:ascii="Arial" w:hAnsi="Arial"/>
        </w:rPr>
        <w:t>It is important to have regard to the affidavit filed in support of the summary judgment application, in order to decide whe</w:t>
      </w:r>
      <w:r w:rsidR="00F336A5" w:rsidRPr="00BE0148">
        <w:rPr>
          <w:rFonts w:ascii="Arial" w:hAnsi="Arial"/>
        </w:rPr>
        <w:t xml:space="preserve">ther there is merit to Ms </w:t>
      </w:r>
      <w:r w:rsidR="00610A0D" w:rsidRPr="00BE0148">
        <w:rPr>
          <w:rFonts w:ascii="Arial" w:hAnsi="Arial"/>
        </w:rPr>
        <w:t>Amupolo</w:t>
      </w:r>
      <w:r w:rsidR="004A3297" w:rsidRPr="00BE0148">
        <w:rPr>
          <w:rFonts w:ascii="Arial" w:hAnsi="Arial"/>
        </w:rPr>
        <w:t>’s argument.</w:t>
      </w:r>
    </w:p>
    <w:p w14:paraId="316BDE69" w14:textId="77777777" w:rsidR="00553696" w:rsidRDefault="00553696" w:rsidP="00553696">
      <w:pPr>
        <w:pStyle w:val="ListParagraph"/>
        <w:spacing w:line="360" w:lineRule="auto"/>
        <w:ind w:left="0"/>
        <w:jc w:val="both"/>
        <w:rPr>
          <w:rFonts w:ascii="Arial" w:hAnsi="Arial"/>
        </w:rPr>
      </w:pPr>
    </w:p>
    <w:p w14:paraId="3B7C2F02" w14:textId="07D92255" w:rsidR="004A3297" w:rsidRPr="00BE0148" w:rsidRDefault="00BE0148" w:rsidP="00BE0148">
      <w:pPr>
        <w:spacing w:line="360" w:lineRule="auto"/>
        <w:jc w:val="both"/>
        <w:rPr>
          <w:rFonts w:ascii="Arial" w:hAnsi="Arial"/>
        </w:rPr>
      </w:pPr>
      <w:r w:rsidRPr="00553696">
        <w:rPr>
          <w:rFonts w:ascii="Arial" w:hAnsi="Arial"/>
        </w:rPr>
        <w:t>[15]</w:t>
      </w:r>
      <w:r w:rsidRPr="00553696">
        <w:rPr>
          <w:rFonts w:ascii="Arial" w:hAnsi="Arial"/>
        </w:rPr>
        <w:tab/>
      </w:r>
      <w:r w:rsidR="004A3297" w:rsidRPr="00BE0148">
        <w:rPr>
          <w:rFonts w:ascii="Arial" w:hAnsi="Arial"/>
        </w:rPr>
        <w:t>The affidavit is deposed to by Ms Zico Maasdorp, the Manager: Legal Collections and Recoveries of the applicant. In para 3, she states the following:</w:t>
      </w:r>
    </w:p>
    <w:p w14:paraId="2624361F" w14:textId="77777777" w:rsidR="004A3297" w:rsidRDefault="004A3297" w:rsidP="00CC559B">
      <w:pPr>
        <w:spacing w:line="360" w:lineRule="auto"/>
        <w:jc w:val="both"/>
        <w:rPr>
          <w:rFonts w:ascii="Arial" w:hAnsi="Arial"/>
        </w:rPr>
      </w:pPr>
    </w:p>
    <w:p w14:paraId="563D074C" w14:textId="77777777" w:rsidR="004A3297" w:rsidRDefault="004A3297" w:rsidP="00CC559B">
      <w:pPr>
        <w:spacing w:line="360" w:lineRule="auto"/>
        <w:jc w:val="both"/>
        <w:rPr>
          <w:rFonts w:ascii="Arial" w:hAnsi="Arial"/>
          <w:sz w:val="22"/>
          <w:szCs w:val="22"/>
        </w:rPr>
      </w:pPr>
      <w:r>
        <w:rPr>
          <w:rFonts w:ascii="Arial" w:hAnsi="Arial"/>
        </w:rPr>
        <w:tab/>
        <w:t>‘</w:t>
      </w:r>
      <w:r>
        <w:rPr>
          <w:rFonts w:ascii="Arial" w:hAnsi="Arial"/>
          <w:sz w:val="22"/>
          <w:szCs w:val="22"/>
        </w:rPr>
        <w:t>I swear to the facts verifying the cause of action as set out in the Particulars of Claim to the Combined Summons dated 7 September 202</w:t>
      </w:r>
      <w:r w:rsidR="00E90AF9">
        <w:rPr>
          <w:rFonts w:ascii="Arial" w:hAnsi="Arial"/>
          <w:sz w:val="22"/>
          <w:szCs w:val="22"/>
        </w:rPr>
        <w:t>1 and conf</w:t>
      </w:r>
      <w:r w:rsidR="001B5E31">
        <w:rPr>
          <w:rFonts w:ascii="Arial" w:hAnsi="Arial"/>
          <w:sz w:val="22"/>
          <w:szCs w:val="22"/>
        </w:rPr>
        <w:t xml:space="preserve">irm that the Applicant has a valid claim against the Respondent in respect to the annexures </w:t>
      </w:r>
      <w:r w:rsidR="001B5E31">
        <w:rPr>
          <w:rFonts w:ascii="Arial" w:hAnsi="Arial"/>
          <w:b/>
          <w:sz w:val="22"/>
          <w:szCs w:val="22"/>
        </w:rPr>
        <w:t xml:space="preserve">“A” </w:t>
      </w:r>
      <w:r w:rsidR="001B5E31">
        <w:rPr>
          <w:rFonts w:ascii="Arial" w:hAnsi="Arial"/>
          <w:sz w:val="22"/>
          <w:szCs w:val="22"/>
        </w:rPr>
        <w:t xml:space="preserve">to </w:t>
      </w:r>
      <w:r w:rsidR="001B5E31">
        <w:rPr>
          <w:rFonts w:ascii="Arial" w:hAnsi="Arial"/>
          <w:b/>
          <w:sz w:val="22"/>
          <w:szCs w:val="22"/>
        </w:rPr>
        <w:t xml:space="preserve">“E” </w:t>
      </w:r>
      <w:r w:rsidR="001B5E31">
        <w:rPr>
          <w:rFonts w:ascii="Arial" w:hAnsi="Arial"/>
          <w:sz w:val="22"/>
          <w:szCs w:val="22"/>
        </w:rPr>
        <w:t>as per the Particulars of Claim and the prayers are set out as follows . . .’</w:t>
      </w:r>
    </w:p>
    <w:p w14:paraId="7E4DC5BF" w14:textId="77777777" w:rsidR="001B5E31" w:rsidRDefault="001B5E31" w:rsidP="00CC559B">
      <w:pPr>
        <w:spacing w:line="360" w:lineRule="auto"/>
        <w:jc w:val="both"/>
        <w:rPr>
          <w:rFonts w:ascii="Arial" w:hAnsi="Arial"/>
          <w:sz w:val="22"/>
          <w:szCs w:val="22"/>
        </w:rPr>
      </w:pPr>
    </w:p>
    <w:p w14:paraId="7F995714" w14:textId="71B313B4" w:rsidR="00553696" w:rsidRPr="00BE0148" w:rsidRDefault="00BE0148" w:rsidP="00BE0148">
      <w:pPr>
        <w:spacing w:line="360" w:lineRule="auto"/>
        <w:jc w:val="both"/>
        <w:rPr>
          <w:rFonts w:ascii="Arial" w:hAnsi="Arial"/>
        </w:rPr>
      </w:pPr>
      <w:r>
        <w:rPr>
          <w:rFonts w:ascii="Arial" w:hAnsi="Arial"/>
        </w:rPr>
        <w:t>[16]</w:t>
      </w:r>
      <w:r>
        <w:rPr>
          <w:rFonts w:ascii="Arial" w:hAnsi="Arial"/>
        </w:rPr>
        <w:tab/>
      </w:r>
      <w:r w:rsidR="001B5E31" w:rsidRPr="00BE0148">
        <w:rPr>
          <w:rFonts w:ascii="Arial" w:hAnsi="Arial"/>
        </w:rPr>
        <w:t>The deponent proceeds to chronicle the various events that took place between the parties, including the mediation and eventual settlement of the matter between the parties. She continues to allege that the respondent is in breach of the agreement signed by the parties and that the applicant is, in terms of the said agreement entitled to the amount claimed</w:t>
      </w:r>
      <w:r w:rsidR="009B71BD" w:rsidRPr="00BE0148">
        <w:rPr>
          <w:rFonts w:ascii="Arial" w:hAnsi="Arial"/>
        </w:rPr>
        <w:t>.</w:t>
      </w:r>
    </w:p>
    <w:p w14:paraId="1D743ED3" w14:textId="77777777" w:rsidR="00553696" w:rsidRDefault="00553696" w:rsidP="00553696">
      <w:pPr>
        <w:pStyle w:val="ListParagraph"/>
        <w:spacing w:line="360" w:lineRule="auto"/>
        <w:ind w:left="0"/>
        <w:jc w:val="both"/>
        <w:rPr>
          <w:rFonts w:ascii="Arial" w:hAnsi="Arial"/>
        </w:rPr>
      </w:pPr>
    </w:p>
    <w:p w14:paraId="365F764A" w14:textId="07AB6277" w:rsidR="009B71BD" w:rsidRPr="00BE0148" w:rsidRDefault="00BE0148" w:rsidP="00BE0148">
      <w:pPr>
        <w:spacing w:line="360" w:lineRule="auto"/>
        <w:jc w:val="both"/>
        <w:rPr>
          <w:rFonts w:ascii="Arial" w:hAnsi="Arial"/>
        </w:rPr>
      </w:pPr>
      <w:r>
        <w:rPr>
          <w:rFonts w:ascii="Arial" w:hAnsi="Arial"/>
        </w:rPr>
        <w:t>[17]</w:t>
      </w:r>
      <w:r>
        <w:rPr>
          <w:rFonts w:ascii="Arial" w:hAnsi="Arial"/>
        </w:rPr>
        <w:tab/>
      </w:r>
      <w:r w:rsidR="009B71BD" w:rsidRPr="00BE0148">
        <w:rPr>
          <w:rFonts w:ascii="Arial" w:hAnsi="Arial"/>
        </w:rPr>
        <w:t>In the penultimate paragraph of the said affidavit, the deponent states the following:</w:t>
      </w:r>
    </w:p>
    <w:p w14:paraId="18412C5A" w14:textId="77777777" w:rsidR="00F336A5" w:rsidRPr="00553696" w:rsidRDefault="00F336A5" w:rsidP="00F336A5">
      <w:pPr>
        <w:pStyle w:val="ListParagraph"/>
        <w:spacing w:line="360" w:lineRule="auto"/>
        <w:ind w:left="0"/>
        <w:jc w:val="both"/>
        <w:rPr>
          <w:rFonts w:ascii="Arial" w:hAnsi="Arial"/>
        </w:rPr>
      </w:pPr>
    </w:p>
    <w:p w14:paraId="0749C416" w14:textId="77777777" w:rsidR="009B71BD" w:rsidRDefault="009B71BD" w:rsidP="00CC559B">
      <w:pPr>
        <w:spacing w:line="360" w:lineRule="auto"/>
        <w:jc w:val="both"/>
        <w:rPr>
          <w:rFonts w:ascii="Arial" w:hAnsi="Arial"/>
          <w:sz w:val="22"/>
          <w:szCs w:val="22"/>
        </w:rPr>
      </w:pPr>
      <w:r>
        <w:rPr>
          <w:rFonts w:ascii="Arial" w:hAnsi="Arial"/>
        </w:rPr>
        <w:tab/>
        <w:t>‘</w:t>
      </w:r>
      <w:r>
        <w:rPr>
          <w:rFonts w:ascii="Arial" w:hAnsi="Arial"/>
          <w:sz w:val="22"/>
          <w:szCs w:val="22"/>
        </w:rPr>
        <w:t>4.4 It is the Applicant’s view that the Respondent has no means to repay the outstanding balances owing and due to the Applicant, as the Respondent has once again fallen into default of his obligations and fails to make payment despite demand.’</w:t>
      </w:r>
    </w:p>
    <w:p w14:paraId="33F4333F" w14:textId="77777777" w:rsidR="009B71BD" w:rsidRDefault="009B71BD" w:rsidP="00CC559B">
      <w:pPr>
        <w:spacing w:line="360" w:lineRule="auto"/>
        <w:jc w:val="both"/>
        <w:rPr>
          <w:rFonts w:ascii="Arial" w:hAnsi="Arial"/>
          <w:sz w:val="22"/>
          <w:szCs w:val="22"/>
        </w:rPr>
      </w:pPr>
    </w:p>
    <w:p w14:paraId="5E29E5FF" w14:textId="722A237A" w:rsidR="00AA47C4" w:rsidRPr="00BE0148" w:rsidRDefault="00BE0148" w:rsidP="00BE0148">
      <w:pPr>
        <w:spacing w:line="360" w:lineRule="auto"/>
        <w:jc w:val="both"/>
        <w:rPr>
          <w:rFonts w:ascii="Arial" w:hAnsi="Arial"/>
        </w:rPr>
      </w:pPr>
      <w:r>
        <w:rPr>
          <w:rFonts w:ascii="Arial" w:hAnsi="Arial"/>
        </w:rPr>
        <w:t>[18]</w:t>
      </w:r>
      <w:r>
        <w:rPr>
          <w:rFonts w:ascii="Arial" w:hAnsi="Arial"/>
        </w:rPr>
        <w:tab/>
      </w:r>
      <w:r w:rsidR="009B71BD" w:rsidRPr="00BE0148">
        <w:rPr>
          <w:rFonts w:ascii="Arial" w:hAnsi="Arial"/>
        </w:rPr>
        <w:t>I should mention</w:t>
      </w:r>
      <w:r w:rsidR="00F336A5" w:rsidRPr="00BE0148">
        <w:rPr>
          <w:rFonts w:ascii="Arial" w:hAnsi="Arial"/>
        </w:rPr>
        <w:t xml:space="preserve"> that the complaint by the respondent</w:t>
      </w:r>
      <w:r w:rsidR="009B71BD" w:rsidRPr="00BE0148">
        <w:rPr>
          <w:rFonts w:ascii="Arial" w:hAnsi="Arial"/>
        </w:rPr>
        <w:t>, that the necessary averments are not made by the applicant in the affidavit, are eminently correct. In paragraph</w:t>
      </w:r>
      <w:r w:rsidR="00E90AF9" w:rsidRPr="00BE0148">
        <w:rPr>
          <w:rFonts w:ascii="Arial" w:hAnsi="Arial"/>
        </w:rPr>
        <w:t xml:space="preserve"> 4 of the affidavit, quoted above, Ms Maasdorp verifies the facts giving rise to the cause of action. Nowhere in the affidavit does she, as mandatorily required, state that in her opinion, the respondent does not have a </w:t>
      </w:r>
      <w:r w:rsidR="00E90AF9" w:rsidRPr="00BE0148">
        <w:rPr>
          <w:rFonts w:ascii="Arial" w:hAnsi="Arial"/>
          <w:i/>
        </w:rPr>
        <w:t xml:space="preserve">bona fide </w:t>
      </w:r>
      <w:r w:rsidR="00E90AF9" w:rsidRPr="00BE0148">
        <w:rPr>
          <w:rFonts w:ascii="Arial" w:hAnsi="Arial"/>
        </w:rPr>
        <w:t>defence and that the noti</w:t>
      </w:r>
      <w:r w:rsidR="00F336A5" w:rsidRPr="00BE0148">
        <w:rPr>
          <w:rFonts w:ascii="Arial" w:hAnsi="Arial"/>
        </w:rPr>
        <w:t>ce to defend was filed solely fo</w:t>
      </w:r>
      <w:r w:rsidR="00E90AF9" w:rsidRPr="00BE0148">
        <w:rPr>
          <w:rFonts w:ascii="Arial" w:hAnsi="Arial"/>
        </w:rPr>
        <w:t>r purposes of delay.</w:t>
      </w:r>
    </w:p>
    <w:p w14:paraId="4C998D9C" w14:textId="77777777" w:rsidR="00AA47C4" w:rsidRDefault="00AA47C4" w:rsidP="00AA47C4">
      <w:pPr>
        <w:pStyle w:val="ListParagraph"/>
        <w:spacing w:line="360" w:lineRule="auto"/>
        <w:ind w:left="0"/>
        <w:jc w:val="both"/>
        <w:rPr>
          <w:rFonts w:ascii="Arial" w:hAnsi="Arial"/>
        </w:rPr>
      </w:pPr>
    </w:p>
    <w:p w14:paraId="27D1CE23" w14:textId="3B62EB95" w:rsidR="00AA47C4" w:rsidRPr="00BE0148" w:rsidRDefault="00BE0148" w:rsidP="00BE0148">
      <w:pPr>
        <w:spacing w:line="360" w:lineRule="auto"/>
        <w:jc w:val="both"/>
        <w:rPr>
          <w:rFonts w:ascii="Arial" w:hAnsi="Arial"/>
        </w:rPr>
      </w:pPr>
      <w:r>
        <w:rPr>
          <w:rFonts w:ascii="Arial" w:hAnsi="Arial"/>
        </w:rPr>
        <w:t>[19]</w:t>
      </w:r>
      <w:r>
        <w:rPr>
          <w:rFonts w:ascii="Arial" w:hAnsi="Arial"/>
        </w:rPr>
        <w:tab/>
      </w:r>
      <w:r w:rsidR="00E90AF9" w:rsidRPr="00BE0148">
        <w:rPr>
          <w:rFonts w:ascii="Arial" w:hAnsi="Arial"/>
        </w:rPr>
        <w:t>It must be emphasised that the requirements of summary judgment, considering that it is a stringent remedy that does not ordinarily permit the court to follow the ordinary procedure before granting judgment, must be followed to the letter. In this regard, the plaintiff is, in particular, required to make the necessary allegations</w:t>
      </w:r>
      <w:r w:rsidR="00A165D4" w:rsidRPr="00BE0148">
        <w:rPr>
          <w:rFonts w:ascii="Arial" w:hAnsi="Arial"/>
        </w:rPr>
        <w:t xml:space="preserve">. In this regard, the deponent to the said affidavit, must </w:t>
      </w:r>
      <w:r w:rsidR="00F336A5" w:rsidRPr="00BE0148">
        <w:rPr>
          <w:rFonts w:ascii="Arial" w:hAnsi="Arial"/>
        </w:rPr>
        <w:t>swear positi</w:t>
      </w:r>
      <w:r w:rsidR="00CF285D" w:rsidRPr="00BE0148">
        <w:rPr>
          <w:rFonts w:ascii="Arial" w:hAnsi="Arial"/>
        </w:rPr>
        <w:t>vely to the facts and verify the cause of action. Furthermore, the deponent must</w:t>
      </w:r>
      <w:r w:rsidR="00A165D4" w:rsidRPr="00BE0148">
        <w:rPr>
          <w:rFonts w:ascii="Arial" w:hAnsi="Arial"/>
        </w:rPr>
        <w:t xml:space="preserve"> state that in his or her opinion, the defendant has filed the affidavit in order to delay the case and that he or she does not</w:t>
      </w:r>
      <w:r w:rsidR="00134875" w:rsidRPr="00BE0148">
        <w:rPr>
          <w:rFonts w:ascii="Arial" w:hAnsi="Arial"/>
        </w:rPr>
        <w:t xml:space="preserve"> have</w:t>
      </w:r>
      <w:r w:rsidR="00A165D4" w:rsidRPr="00BE0148">
        <w:rPr>
          <w:rFonts w:ascii="Arial" w:hAnsi="Arial"/>
        </w:rPr>
        <w:t xml:space="preserve"> a </w:t>
      </w:r>
      <w:r w:rsidR="00A165D4" w:rsidRPr="00BE0148">
        <w:rPr>
          <w:rFonts w:ascii="Arial" w:hAnsi="Arial"/>
          <w:i/>
        </w:rPr>
        <w:t xml:space="preserve">bona fide </w:t>
      </w:r>
      <w:r w:rsidR="00CF285D" w:rsidRPr="00BE0148">
        <w:rPr>
          <w:rFonts w:ascii="Arial" w:hAnsi="Arial"/>
        </w:rPr>
        <w:t>defence to the claim. These pertinent allegations are</w:t>
      </w:r>
      <w:r w:rsidR="00A165D4" w:rsidRPr="00BE0148">
        <w:rPr>
          <w:rFonts w:ascii="Arial" w:hAnsi="Arial"/>
        </w:rPr>
        <w:t xml:space="preserve"> starkly missing from the affidavit filed by the applicant. </w:t>
      </w:r>
    </w:p>
    <w:p w14:paraId="792FC51C" w14:textId="77777777" w:rsidR="00AA47C4" w:rsidRDefault="00AA47C4" w:rsidP="00AA47C4">
      <w:pPr>
        <w:pStyle w:val="ListParagraph"/>
        <w:spacing w:line="360" w:lineRule="auto"/>
        <w:ind w:left="0"/>
        <w:jc w:val="both"/>
        <w:rPr>
          <w:rFonts w:ascii="Arial" w:hAnsi="Arial"/>
        </w:rPr>
      </w:pPr>
    </w:p>
    <w:p w14:paraId="6698F261" w14:textId="5FAEDA9C" w:rsidR="00A165D4" w:rsidRPr="00BE0148" w:rsidRDefault="00BE0148" w:rsidP="00BE0148">
      <w:pPr>
        <w:spacing w:line="360" w:lineRule="auto"/>
        <w:jc w:val="both"/>
        <w:rPr>
          <w:rFonts w:ascii="Arial" w:hAnsi="Arial"/>
        </w:rPr>
      </w:pPr>
      <w:r w:rsidRPr="00AA47C4">
        <w:rPr>
          <w:rFonts w:ascii="Arial" w:hAnsi="Arial"/>
        </w:rPr>
        <w:t>[20]</w:t>
      </w:r>
      <w:r w:rsidRPr="00AA47C4">
        <w:rPr>
          <w:rFonts w:ascii="Arial" w:hAnsi="Arial"/>
        </w:rPr>
        <w:tab/>
      </w:r>
      <w:r w:rsidR="00CF285D" w:rsidRPr="00BE0148">
        <w:rPr>
          <w:rFonts w:ascii="Arial" w:hAnsi="Arial"/>
        </w:rPr>
        <w:t xml:space="preserve">Ms </w:t>
      </w:r>
      <w:r w:rsidR="00610A0D" w:rsidRPr="00BE0148">
        <w:rPr>
          <w:rFonts w:ascii="Arial" w:hAnsi="Arial"/>
        </w:rPr>
        <w:t>Amupolo</w:t>
      </w:r>
      <w:r w:rsidR="00A165D4" w:rsidRPr="00BE0148">
        <w:rPr>
          <w:rFonts w:ascii="Arial" w:hAnsi="Arial"/>
        </w:rPr>
        <w:t xml:space="preserve"> referred the court to the judgment of Geier J in </w:t>
      </w:r>
      <w:r w:rsidR="00C468CB" w:rsidRPr="00BE0148">
        <w:rPr>
          <w:rFonts w:ascii="Arial" w:hAnsi="Arial"/>
          <w:i/>
        </w:rPr>
        <w:t>Magic Builders Centre (Pty) Ltd v Fysal Fresh Produce</w:t>
      </w:r>
      <w:r w:rsidR="00C972B0" w:rsidRPr="00BE0148">
        <w:rPr>
          <w:rFonts w:ascii="Arial" w:hAnsi="Arial"/>
        </w:rPr>
        <w:t>,</w:t>
      </w:r>
      <w:r w:rsidR="00C468CB">
        <w:rPr>
          <w:rStyle w:val="FootnoteReference"/>
          <w:rFonts w:ascii="Arial" w:hAnsi="Arial"/>
          <w:i/>
        </w:rPr>
        <w:footnoteReference w:id="1"/>
      </w:r>
      <w:r w:rsidR="00C972B0" w:rsidRPr="00BE0148">
        <w:rPr>
          <w:rFonts w:ascii="Arial" w:hAnsi="Arial"/>
        </w:rPr>
        <w:t xml:space="preserve"> </w:t>
      </w:r>
      <w:r w:rsidR="00CF285D" w:rsidRPr="00BE0148">
        <w:rPr>
          <w:rFonts w:ascii="Arial" w:hAnsi="Arial"/>
        </w:rPr>
        <w:t xml:space="preserve">in which she appeared and </w:t>
      </w:r>
      <w:r w:rsidR="00C972B0" w:rsidRPr="00BE0148">
        <w:rPr>
          <w:rFonts w:ascii="Arial" w:hAnsi="Arial"/>
        </w:rPr>
        <w:t>where the learned judge remarked as follows:</w:t>
      </w:r>
    </w:p>
    <w:p w14:paraId="415A78EA" w14:textId="77777777" w:rsidR="00C972B0" w:rsidRDefault="00C972B0" w:rsidP="00CC559B">
      <w:pPr>
        <w:spacing w:line="360" w:lineRule="auto"/>
        <w:jc w:val="both"/>
        <w:rPr>
          <w:rFonts w:ascii="Arial" w:hAnsi="Arial"/>
        </w:rPr>
      </w:pPr>
    </w:p>
    <w:p w14:paraId="1CE1819F" w14:textId="58ACBE00" w:rsidR="00C972B0" w:rsidRDefault="00C972B0" w:rsidP="00CC559B">
      <w:pPr>
        <w:spacing w:line="360" w:lineRule="auto"/>
        <w:jc w:val="both"/>
        <w:rPr>
          <w:rFonts w:ascii="Arial" w:hAnsi="Arial"/>
          <w:sz w:val="22"/>
          <w:szCs w:val="22"/>
        </w:rPr>
      </w:pPr>
      <w:r>
        <w:rPr>
          <w:rFonts w:ascii="Arial" w:hAnsi="Arial"/>
        </w:rPr>
        <w:tab/>
        <w:t>‘</w:t>
      </w:r>
      <w:r>
        <w:rPr>
          <w:rFonts w:ascii="Arial" w:hAnsi="Arial"/>
          <w:sz w:val="22"/>
          <w:szCs w:val="22"/>
        </w:rPr>
        <w:t>[2]</w:t>
      </w:r>
      <w:r>
        <w:rPr>
          <w:rFonts w:ascii="Arial" w:hAnsi="Arial"/>
          <w:sz w:val="22"/>
          <w:szCs w:val="22"/>
        </w:rPr>
        <w:tab/>
        <w:t xml:space="preserve"> I was thus more than astounded not to find the customary/ standard affidavit – which I expected to find – and which is usually delivered in support of such an application – and – where it is used to be sufficient for the a plaintiff – or another person that can swear positively to the facts – to verify the cause of action and the amoun</w:t>
      </w:r>
      <w:r w:rsidR="00CF285D">
        <w:rPr>
          <w:rFonts w:ascii="Arial" w:hAnsi="Arial"/>
          <w:sz w:val="22"/>
          <w:szCs w:val="22"/>
        </w:rPr>
        <w:t>t claimed in the summons and</w:t>
      </w:r>
      <w:r>
        <w:rPr>
          <w:rFonts w:ascii="Arial" w:hAnsi="Arial"/>
          <w:sz w:val="22"/>
          <w:szCs w:val="22"/>
        </w:rPr>
        <w:t xml:space="preserve"> particulars of claim and where the plaintiff merely had to state that in his belief/opinion the defendant had no </w:t>
      </w:r>
      <w:r w:rsidRPr="00CF285D">
        <w:rPr>
          <w:rFonts w:ascii="Arial" w:hAnsi="Arial"/>
          <w:sz w:val="22"/>
          <w:szCs w:val="22"/>
        </w:rPr>
        <w:t>bona fide</w:t>
      </w:r>
      <w:r>
        <w:rPr>
          <w:rFonts w:ascii="Arial" w:hAnsi="Arial"/>
          <w:sz w:val="22"/>
          <w:szCs w:val="22"/>
        </w:rPr>
        <w:t xml:space="preserve"> defence to the action that had been instituted and that thus the</w:t>
      </w:r>
      <w:r w:rsidR="00CF285D">
        <w:rPr>
          <w:rFonts w:ascii="Arial" w:hAnsi="Arial"/>
          <w:sz w:val="22"/>
          <w:szCs w:val="22"/>
        </w:rPr>
        <w:t xml:space="preserve"> notice to defend, which had </w:t>
      </w:r>
      <w:r>
        <w:rPr>
          <w:rFonts w:ascii="Arial" w:hAnsi="Arial"/>
          <w:sz w:val="22"/>
          <w:szCs w:val="22"/>
        </w:rPr>
        <w:t xml:space="preserve"> been delivered, was delivered solely for the purpose of delay.</w:t>
      </w:r>
    </w:p>
    <w:p w14:paraId="30401287" w14:textId="77777777" w:rsidR="00C972B0" w:rsidRDefault="00C972B0" w:rsidP="00CC559B">
      <w:pPr>
        <w:spacing w:line="360" w:lineRule="auto"/>
        <w:jc w:val="both"/>
        <w:rPr>
          <w:rFonts w:ascii="Arial" w:hAnsi="Arial"/>
          <w:sz w:val="22"/>
          <w:szCs w:val="22"/>
        </w:rPr>
      </w:pPr>
    </w:p>
    <w:p w14:paraId="7C0DFDEB" w14:textId="1CA5A8FF" w:rsidR="00C972B0" w:rsidRDefault="00C972B0" w:rsidP="00CC559B">
      <w:pPr>
        <w:spacing w:line="360" w:lineRule="auto"/>
        <w:jc w:val="both"/>
        <w:rPr>
          <w:rFonts w:ascii="Arial" w:hAnsi="Arial"/>
          <w:sz w:val="22"/>
          <w:szCs w:val="22"/>
        </w:rPr>
      </w:pPr>
      <w:r>
        <w:rPr>
          <w:rFonts w:ascii="Arial" w:hAnsi="Arial"/>
          <w:sz w:val="22"/>
          <w:szCs w:val="22"/>
        </w:rPr>
        <w:t>[3]</w:t>
      </w:r>
      <w:r>
        <w:rPr>
          <w:rFonts w:ascii="Arial" w:hAnsi="Arial"/>
          <w:sz w:val="22"/>
          <w:szCs w:val="22"/>
        </w:rPr>
        <w:tab/>
        <w:t>In this instance the plaintiff has deposed to an affidavit which is a</w:t>
      </w:r>
      <w:r w:rsidR="00CF285D">
        <w:rPr>
          <w:rFonts w:ascii="Arial" w:hAnsi="Arial"/>
          <w:sz w:val="22"/>
          <w:szCs w:val="22"/>
        </w:rPr>
        <w:t>kin to the type of affidavit</w:t>
      </w:r>
      <w:r>
        <w:rPr>
          <w:rFonts w:ascii="Arial" w:hAnsi="Arial"/>
          <w:sz w:val="22"/>
          <w:szCs w:val="22"/>
        </w:rPr>
        <w:t xml:space="preserve"> </w:t>
      </w:r>
      <w:r w:rsidR="00CF285D">
        <w:rPr>
          <w:rFonts w:ascii="Arial" w:hAnsi="Arial"/>
          <w:sz w:val="22"/>
          <w:szCs w:val="22"/>
        </w:rPr>
        <w:t xml:space="preserve">which one </w:t>
      </w:r>
      <w:r>
        <w:rPr>
          <w:rFonts w:ascii="Arial" w:hAnsi="Arial"/>
          <w:sz w:val="22"/>
          <w:szCs w:val="22"/>
        </w:rPr>
        <w:t xml:space="preserve">would have expected to find in motion proceedings, where the affidavits constitute pleadings and evidence </w:t>
      </w:r>
      <w:r w:rsidR="00005F1D">
        <w:rPr>
          <w:rFonts w:ascii="Arial" w:hAnsi="Arial"/>
          <w:sz w:val="22"/>
          <w:szCs w:val="22"/>
        </w:rPr>
        <w:t>– and – with reference to which such application would then have to be determined.</w:t>
      </w:r>
    </w:p>
    <w:p w14:paraId="4072304A" w14:textId="77777777" w:rsidR="00005F1D" w:rsidRDefault="00005F1D" w:rsidP="00CC559B">
      <w:pPr>
        <w:spacing w:line="360" w:lineRule="auto"/>
        <w:jc w:val="both"/>
        <w:rPr>
          <w:rFonts w:ascii="Arial" w:hAnsi="Arial"/>
          <w:sz w:val="22"/>
          <w:szCs w:val="22"/>
        </w:rPr>
      </w:pPr>
    </w:p>
    <w:p w14:paraId="3994F3BB" w14:textId="1A50F902" w:rsidR="00005F1D" w:rsidRDefault="00005F1D" w:rsidP="00CC559B">
      <w:pPr>
        <w:spacing w:line="360" w:lineRule="auto"/>
        <w:jc w:val="both"/>
        <w:rPr>
          <w:rFonts w:ascii="Arial" w:hAnsi="Arial"/>
          <w:sz w:val="22"/>
          <w:szCs w:val="22"/>
        </w:rPr>
      </w:pPr>
      <w:r>
        <w:rPr>
          <w:rFonts w:ascii="Arial" w:hAnsi="Arial"/>
          <w:sz w:val="22"/>
          <w:szCs w:val="22"/>
        </w:rPr>
        <w:t xml:space="preserve">[4] </w:t>
      </w:r>
      <w:r>
        <w:rPr>
          <w:rFonts w:ascii="Arial" w:hAnsi="Arial"/>
          <w:sz w:val="22"/>
          <w:szCs w:val="22"/>
        </w:rPr>
        <w:tab/>
        <w:t xml:space="preserve">All this is highly irregular, unless the tried and tested practice has changed in the Northern Local Division of this court, which I doubt. Summary judgment proceedings are not determined with reference to the principles pertaining to the </w:t>
      </w:r>
      <w:r>
        <w:rPr>
          <w:rFonts w:ascii="Arial" w:hAnsi="Arial"/>
          <w:sz w:val="22"/>
          <w:szCs w:val="22"/>
        </w:rPr>
        <w:lastRenderedPageBreak/>
        <w:t>resolution of disputes in motion proceedings – i.e. where the court is to determine the outcome, on a comparison of the affidavits filed by the parties, with reference to those principles – but merely and mainly – with reference to the content of the defendant’s opposing affidavits</w:t>
      </w:r>
      <w:r w:rsidR="009D5C9F">
        <w:rPr>
          <w:rFonts w:ascii="Arial" w:hAnsi="Arial"/>
          <w:sz w:val="22"/>
          <w:szCs w:val="22"/>
        </w:rPr>
        <w:t xml:space="preserve"> – which should disclose a </w:t>
      </w:r>
      <w:r w:rsidR="009D5C9F" w:rsidRPr="00CF285D">
        <w:rPr>
          <w:rFonts w:ascii="Arial" w:hAnsi="Arial"/>
          <w:i/>
          <w:sz w:val="22"/>
          <w:szCs w:val="22"/>
        </w:rPr>
        <w:t>bona fide</w:t>
      </w:r>
      <w:r w:rsidR="009D5C9F">
        <w:rPr>
          <w:rFonts w:ascii="Arial" w:hAnsi="Arial"/>
          <w:sz w:val="22"/>
          <w:szCs w:val="22"/>
        </w:rPr>
        <w:t xml:space="preserve"> defence and the material facts relied upon therefor, in order to determine whether or not summary judgment is </w:t>
      </w:r>
      <w:r w:rsidR="00CF285D">
        <w:rPr>
          <w:rFonts w:ascii="Arial" w:hAnsi="Arial"/>
          <w:sz w:val="22"/>
          <w:szCs w:val="22"/>
        </w:rPr>
        <w:t xml:space="preserve">to </w:t>
      </w:r>
      <w:r w:rsidR="009D5C9F">
        <w:rPr>
          <w:rFonts w:ascii="Arial" w:hAnsi="Arial"/>
          <w:sz w:val="22"/>
          <w:szCs w:val="22"/>
        </w:rPr>
        <w:t>be granted or refused.’</w:t>
      </w:r>
    </w:p>
    <w:p w14:paraId="3F85DAC6" w14:textId="77777777" w:rsidR="009D5C9F" w:rsidRDefault="009D5C9F" w:rsidP="00CC559B">
      <w:pPr>
        <w:spacing w:line="360" w:lineRule="auto"/>
        <w:jc w:val="both"/>
        <w:rPr>
          <w:rFonts w:ascii="Arial" w:hAnsi="Arial"/>
          <w:sz w:val="22"/>
          <w:szCs w:val="22"/>
        </w:rPr>
      </w:pPr>
    </w:p>
    <w:p w14:paraId="10541C4D" w14:textId="1F0003B1" w:rsidR="0012303C" w:rsidRPr="00BE0148" w:rsidRDefault="00BE0148" w:rsidP="00BE0148">
      <w:pPr>
        <w:spacing w:line="360" w:lineRule="auto"/>
        <w:jc w:val="both"/>
        <w:rPr>
          <w:rFonts w:ascii="Arial" w:hAnsi="Arial"/>
        </w:rPr>
      </w:pPr>
      <w:r>
        <w:rPr>
          <w:rFonts w:ascii="Arial" w:hAnsi="Arial"/>
        </w:rPr>
        <w:t>[21]</w:t>
      </w:r>
      <w:r>
        <w:rPr>
          <w:rFonts w:ascii="Arial" w:hAnsi="Arial"/>
        </w:rPr>
        <w:tab/>
      </w:r>
      <w:r w:rsidR="009D5C9F" w:rsidRPr="00BE0148">
        <w:rPr>
          <w:rFonts w:ascii="Arial" w:hAnsi="Arial"/>
        </w:rPr>
        <w:t xml:space="preserve">I am in unqualified agreement with the sentiments expressed by the learned judge. I wish to add in that connection, that the procedure followed in summary judgment has not changed in this division since he authored the judgment </w:t>
      </w:r>
      <w:r w:rsidR="00AF346F" w:rsidRPr="00BE0148">
        <w:rPr>
          <w:rFonts w:ascii="Arial" w:hAnsi="Arial"/>
        </w:rPr>
        <w:t xml:space="preserve">above. </w:t>
      </w:r>
      <w:r w:rsidR="00CF285D" w:rsidRPr="00BE0148">
        <w:rPr>
          <w:rFonts w:ascii="Arial" w:hAnsi="Arial"/>
        </w:rPr>
        <w:t xml:space="preserve">It must be mentioned that </w:t>
      </w:r>
      <w:r w:rsidR="0012303C" w:rsidRPr="00BE0148">
        <w:rPr>
          <w:rFonts w:ascii="Arial" w:hAnsi="Arial"/>
        </w:rPr>
        <w:t xml:space="preserve">the practice has also not changed in the interregnum in the Northern Local Division, as these are essentially one court located in different parts of the country. They are subject to the same set of rules. </w:t>
      </w:r>
    </w:p>
    <w:p w14:paraId="598AFFA4" w14:textId="77777777" w:rsidR="0012303C" w:rsidRDefault="0012303C" w:rsidP="0012303C">
      <w:pPr>
        <w:pStyle w:val="ListParagraph"/>
        <w:spacing w:line="360" w:lineRule="auto"/>
        <w:ind w:left="0"/>
        <w:jc w:val="both"/>
        <w:rPr>
          <w:rFonts w:ascii="Arial" w:hAnsi="Arial"/>
        </w:rPr>
      </w:pPr>
    </w:p>
    <w:p w14:paraId="234FC629" w14:textId="688A33A6" w:rsidR="00AA47C4" w:rsidRPr="00BE0148" w:rsidRDefault="00BE0148" w:rsidP="00BE0148">
      <w:pPr>
        <w:spacing w:line="360" w:lineRule="auto"/>
        <w:jc w:val="both"/>
        <w:rPr>
          <w:rFonts w:ascii="Arial" w:hAnsi="Arial"/>
        </w:rPr>
      </w:pPr>
      <w:r>
        <w:rPr>
          <w:rFonts w:ascii="Arial" w:hAnsi="Arial"/>
        </w:rPr>
        <w:t>[22]</w:t>
      </w:r>
      <w:r>
        <w:rPr>
          <w:rFonts w:ascii="Arial" w:hAnsi="Arial"/>
        </w:rPr>
        <w:tab/>
      </w:r>
      <w:r w:rsidR="0012303C" w:rsidRPr="00BE0148">
        <w:rPr>
          <w:rFonts w:ascii="Arial" w:hAnsi="Arial"/>
        </w:rPr>
        <w:t>The applicant’s unprecedented approach</w:t>
      </w:r>
      <w:r w:rsidR="00AF346F" w:rsidRPr="00BE0148">
        <w:rPr>
          <w:rFonts w:ascii="Arial" w:hAnsi="Arial"/>
        </w:rPr>
        <w:t xml:space="preserve"> has some pitfalls, especially in cases such as this, where it traverses territory not meant for summary judgment. In this regard, the plaintiff places material </w:t>
      </w:r>
      <w:r w:rsidR="007E14CE" w:rsidRPr="00BE0148">
        <w:rPr>
          <w:rFonts w:ascii="Arial" w:hAnsi="Arial"/>
        </w:rPr>
        <w:t xml:space="preserve">which is not strictly required </w:t>
      </w:r>
      <w:r w:rsidR="00AF346F" w:rsidRPr="00BE0148">
        <w:rPr>
          <w:rFonts w:ascii="Arial" w:hAnsi="Arial"/>
        </w:rPr>
        <w:t xml:space="preserve">for summary judgment and which the defendant has no opportunity to deal with, regardless of how damaging it may be to his or her case. This </w:t>
      </w:r>
      <w:r w:rsidR="007E14CE" w:rsidRPr="00BE0148">
        <w:rPr>
          <w:rFonts w:ascii="Arial" w:hAnsi="Arial"/>
        </w:rPr>
        <w:t>additional information deposed to may witt</w:t>
      </w:r>
      <w:r w:rsidR="00AF346F" w:rsidRPr="00BE0148">
        <w:rPr>
          <w:rFonts w:ascii="Arial" w:hAnsi="Arial"/>
        </w:rPr>
        <w:t xml:space="preserve">ingly or unwittingly influence the court albeit </w:t>
      </w:r>
      <w:r w:rsidR="007E14CE" w:rsidRPr="00BE0148">
        <w:rPr>
          <w:rFonts w:ascii="Arial" w:hAnsi="Arial"/>
        </w:rPr>
        <w:t>wrongly, in determining whether or not summary judgment should be granted in that particular case.</w:t>
      </w:r>
    </w:p>
    <w:p w14:paraId="1AE461DC" w14:textId="77777777" w:rsidR="00AA47C4" w:rsidRDefault="00AA47C4" w:rsidP="00AA47C4">
      <w:pPr>
        <w:pStyle w:val="ListParagraph"/>
        <w:spacing w:line="360" w:lineRule="auto"/>
        <w:ind w:left="0"/>
        <w:jc w:val="both"/>
        <w:rPr>
          <w:rFonts w:ascii="Arial" w:hAnsi="Arial"/>
        </w:rPr>
      </w:pPr>
    </w:p>
    <w:p w14:paraId="081879F2" w14:textId="25F8FF6A" w:rsidR="00AA47C4" w:rsidRPr="00BE0148" w:rsidRDefault="00BE0148" w:rsidP="00BE0148">
      <w:pPr>
        <w:spacing w:line="360" w:lineRule="auto"/>
        <w:jc w:val="both"/>
        <w:rPr>
          <w:rFonts w:ascii="Arial" w:hAnsi="Arial"/>
        </w:rPr>
      </w:pPr>
      <w:r>
        <w:rPr>
          <w:rFonts w:ascii="Arial" w:hAnsi="Arial"/>
        </w:rPr>
        <w:t>[23]</w:t>
      </w:r>
      <w:r>
        <w:rPr>
          <w:rFonts w:ascii="Arial" w:hAnsi="Arial"/>
        </w:rPr>
        <w:tab/>
      </w:r>
      <w:r w:rsidR="007E14CE" w:rsidRPr="00BE0148">
        <w:rPr>
          <w:rFonts w:ascii="Arial" w:hAnsi="Arial"/>
        </w:rPr>
        <w:t>As I have stated previously, the rule is crafted in peremptory terms regarding the information and averments the plaintiff is required to place before court before summary judgm</w:t>
      </w:r>
      <w:r w:rsidR="00134875" w:rsidRPr="00BE0148">
        <w:rPr>
          <w:rFonts w:ascii="Arial" w:hAnsi="Arial"/>
        </w:rPr>
        <w:t>ent can be granted or refused. The provisions of r</w:t>
      </w:r>
      <w:r w:rsidR="007E14CE" w:rsidRPr="00BE0148">
        <w:rPr>
          <w:rFonts w:ascii="Arial" w:hAnsi="Arial"/>
        </w:rPr>
        <w:t>ule 60(2</w:t>
      </w:r>
      <w:r w:rsidR="003C1A64" w:rsidRPr="00BE0148">
        <w:rPr>
          <w:rFonts w:ascii="Arial" w:hAnsi="Arial"/>
        </w:rPr>
        <w:t>)</w:t>
      </w:r>
      <w:r w:rsidR="0050319F" w:rsidRPr="00BE0148">
        <w:rPr>
          <w:rFonts w:ascii="Arial" w:hAnsi="Arial"/>
        </w:rPr>
        <w:t>(</w:t>
      </w:r>
      <w:r w:rsidR="007E14CE" w:rsidRPr="00BE0148">
        <w:rPr>
          <w:rFonts w:ascii="Arial" w:hAnsi="Arial"/>
          <w:i/>
        </w:rPr>
        <w:t xml:space="preserve">a) </w:t>
      </w:r>
      <w:r w:rsidR="007E14CE" w:rsidRPr="00BE0148">
        <w:rPr>
          <w:rFonts w:ascii="Arial" w:hAnsi="Arial"/>
        </w:rPr>
        <w:t>and (</w:t>
      </w:r>
      <w:r w:rsidR="007E14CE" w:rsidRPr="00BE0148">
        <w:rPr>
          <w:rFonts w:ascii="Arial" w:hAnsi="Arial"/>
          <w:i/>
        </w:rPr>
        <w:t>b</w:t>
      </w:r>
      <w:r w:rsidR="007E14CE" w:rsidRPr="00BE0148">
        <w:rPr>
          <w:rFonts w:ascii="Arial" w:hAnsi="Arial"/>
        </w:rPr>
        <w:t>) are mandatory i</w:t>
      </w:r>
      <w:r w:rsidR="00134875" w:rsidRPr="00BE0148">
        <w:rPr>
          <w:rFonts w:ascii="Arial" w:hAnsi="Arial"/>
        </w:rPr>
        <w:t xml:space="preserve">n that regard and they </w:t>
      </w:r>
      <w:r w:rsidR="0050319F" w:rsidRPr="00BE0148">
        <w:rPr>
          <w:rFonts w:ascii="Arial" w:hAnsi="Arial"/>
        </w:rPr>
        <w:t>are prescriptive</w:t>
      </w:r>
      <w:r w:rsidR="007E14CE" w:rsidRPr="00BE0148">
        <w:rPr>
          <w:rFonts w:ascii="Arial" w:hAnsi="Arial"/>
        </w:rPr>
        <w:t xml:space="preserve"> as to what a plaintiff shall state</w:t>
      </w:r>
      <w:r w:rsidR="00134875" w:rsidRPr="00BE0148">
        <w:rPr>
          <w:rFonts w:ascii="Arial" w:hAnsi="Arial"/>
        </w:rPr>
        <w:t xml:space="preserve"> in the affidavit in support of the application for summary judgment</w:t>
      </w:r>
      <w:r w:rsidR="007E14CE" w:rsidRPr="00BE0148">
        <w:rPr>
          <w:rFonts w:ascii="Arial" w:hAnsi="Arial"/>
        </w:rPr>
        <w:t xml:space="preserve">. </w:t>
      </w:r>
    </w:p>
    <w:p w14:paraId="72697D87" w14:textId="77777777" w:rsidR="00AA47C4" w:rsidRDefault="00AA47C4" w:rsidP="00AA47C4">
      <w:pPr>
        <w:pStyle w:val="ListParagraph"/>
        <w:spacing w:line="360" w:lineRule="auto"/>
        <w:ind w:left="0"/>
        <w:jc w:val="both"/>
        <w:rPr>
          <w:rFonts w:ascii="Arial" w:hAnsi="Arial"/>
        </w:rPr>
      </w:pPr>
    </w:p>
    <w:p w14:paraId="2CA1E5F9" w14:textId="02A72F63" w:rsidR="00AA47C4" w:rsidRPr="00BE0148" w:rsidRDefault="00BE0148" w:rsidP="00BE0148">
      <w:pPr>
        <w:spacing w:line="360" w:lineRule="auto"/>
        <w:jc w:val="both"/>
        <w:rPr>
          <w:rFonts w:ascii="Arial" w:hAnsi="Arial"/>
        </w:rPr>
      </w:pPr>
      <w:r>
        <w:rPr>
          <w:rFonts w:ascii="Arial" w:hAnsi="Arial"/>
        </w:rPr>
        <w:t>[24]</w:t>
      </w:r>
      <w:r>
        <w:rPr>
          <w:rFonts w:ascii="Arial" w:hAnsi="Arial"/>
        </w:rPr>
        <w:tab/>
      </w:r>
      <w:r w:rsidR="007E14CE" w:rsidRPr="00BE0148">
        <w:rPr>
          <w:rFonts w:ascii="Arial" w:hAnsi="Arial"/>
        </w:rPr>
        <w:t xml:space="preserve">What has been excluded by the rule may not be added by the plaintiff, even if </w:t>
      </w:r>
      <w:r w:rsidR="001B49B4" w:rsidRPr="00BE0148">
        <w:rPr>
          <w:rFonts w:ascii="Arial" w:hAnsi="Arial"/>
        </w:rPr>
        <w:t xml:space="preserve">this is to be in embellishment of its case. Had </w:t>
      </w:r>
      <w:r w:rsidR="0012303C" w:rsidRPr="00BE0148">
        <w:rPr>
          <w:rFonts w:ascii="Arial" w:hAnsi="Arial"/>
        </w:rPr>
        <w:t xml:space="preserve">a </w:t>
      </w:r>
      <w:r w:rsidR="001B49B4" w:rsidRPr="00BE0148">
        <w:rPr>
          <w:rFonts w:ascii="Arial" w:hAnsi="Arial"/>
        </w:rPr>
        <w:t xml:space="preserve">situation been envisaged where more information was </w:t>
      </w:r>
      <w:r w:rsidR="0050319F" w:rsidRPr="00BE0148">
        <w:rPr>
          <w:rFonts w:ascii="Arial" w:hAnsi="Arial"/>
        </w:rPr>
        <w:t xml:space="preserve">required </w:t>
      </w:r>
      <w:r w:rsidR="001B49B4" w:rsidRPr="00BE0148">
        <w:rPr>
          <w:rFonts w:ascii="Arial" w:hAnsi="Arial"/>
        </w:rPr>
        <w:t xml:space="preserve">to be placed before the court in relation </w:t>
      </w:r>
      <w:r w:rsidR="001B49B4" w:rsidRPr="00BE0148">
        <w:rPr>
          <w:rFonts w:ascii="Arial" w:hAnsi="Arial"/>
        </w:rPr>
        <w:lastRenderedPageBreak/>
        <w:t>to summary judgment, the rule-maker would have explicitly provided for those.</w:t>
      </w:r>
      <w:r w:rsidR="00AF346F" w:rsidRPr="00BE0148">
        <w:rPr>
          <w:rFonts w:ascii="Arial" w:hAnsi="Arial"/>
        </w:rPr>
        <w:t xml:space="preserve"> </w:t>
      </w:r>
      <w:r w:rsidR="001B49B4" w:rsidRPr="00BE0148">
        <w:rPr>
          <w:rFonts w:ascii="Arial" w:hAnsi="Arial"/>
        </w:rPr>
        <w:t xml:space="preserve">The principle </w:t>
      </w:r>
      <w:r w:rsidR="0050319F" w:rsidRPr="00BE0148">
        <w:rPr>
          <w:rFonts w:ascii="Arial" w:hAnsi="Arial"/>
          <w:i/>
        </w:rPr>
        <w:t>unius est exclusion alterius</w:t>
      </w:r>
      <w:r w:rsidR="0050319F" w:rsidRPr="00BE0148">
        <w:rPr>
          <w:rFonts w:ascii="Arial" w:hAnsi="Arial"/>
        </w:rPr>
        <w:t xml:space="preserve"> </w:t>
      </w:r>
      <w:r w:rsidR="001B49B4" w:rsidRPr="00BE0148">
        <w:rPr>
          <w:rFonts w:ascii="Arial" w:hAnsi="Arial"/>
        </w:rPr>
        <w:t xml:space="preserve">must always be remembered, namely, the express mention of one thing, excludes the other. As indicated, if the rule-maker wished to grant licence to a plaintiff in </w:t>
      </w:r>
      <w:r w:rsidR="0050319F" w:rsidRPr="00BE0148">
        <w:rPr>
          <w:rFonts w:ascii="Arial" w:hAnsi="Arial"/>
        </w:rPr>
        <w:t xml:space="preserve">a </w:t>
      </w:r>
      <w:r w:rsidR="001B49B4" w:rsidRPr="00BE0148">
        <w:rPr>
          <w:rFonts w:ascii="Arial" w:hAnsi="Arial"/>
        </w:rPr>
        <w:t xml:space="preserve">summary judgment </w:t>
      </w:r>
      <w:r w:rsidR="0050319F" w:rsidRPr="00BE0148">
        <w:rPr>
          <w:rFonts w:ascii="Arial" w:hAnsi="Arial"/>
        </w:rPr>
        <w:t xml:space="preserve">application </w:t>
      </w:r>
      <w:r w:rsidR="001B49B4" w:rsidRPr="00BE0148">
        <w:rPr>
          <w:rFonts w:ascii="Arial" w:hAnsi="Arial"/>
        </w:rPr>
        <w:t>to place additional facts than those required in subrule (2)(</w:t>
      </w:r>
      <w:r w:rsidR="001B49B4" w:rsidRPr="00BE0148">
        <w:rPr>
          <w:rFonts w:ascii="Arial" w:hAnsi="Arial"/>
          <w:i/>
        </w:rPr>
        <w:t>a</w:t>
      </w:r>
      <w:r w:rsidR="001B49B4" w:rsidRPr="00BE0148">
        <w:rPr>
          <w:rFonts w:ascii="Arial" w:hAnsi="Arial"/>
        </w:rPr>
        <w:t>) and (</w:t>
      </w:r>
      <w:r w:rsidR="001B49B4" w:rsidRPr="00BE0148">
        <w:rPr>
          <w:rFonts w:ascii="Arial" w:hAnsi="Arial"/>
          <w:i/>
        </w:rPr>
        <w:t>b</w:t>
      </w:r>
      <w:r w:rsidR="001B49B4" w:rsidRPr="00BE0148">
        <w:rPr>
          <w:rFonts w:ascii="Arial" w:hAnsi="Arial"/>
        </w:rPr>
        <w:t>), that would have been provided for in clear and unambiguous terms.</w:t>
      </w:r>
    </w:p>
    <w:p w14:paraId="58F7F896" w14:textId="77777777" w:rsidR="00AA47C4" w:rsidRDefault="00AA47C4" w:rsidP="00AA47C4">
      <w:pPr>
        <w:pStyle w:val="ListParagraph"/>
        <w:spacing w:line="360" w:lineRule="auto"/>
        <w:ind w:left="0"/>
        <w:jc w:val="both"/>
        <w:rPr>
          <w:rFonts w:ascii="Arial" w:hAnsi="Arial"/>
        </w:rPr>
      </w:pPr>
    </w:p>
    <w:p w14:paraId="518FCA86" w14:textId="306CF6BF" w:rsidR="00AA47C4" w:rsidRPr="00BE0148" w:rsidRDefault="00BE0148" w:rsidP="00BE0148">
      <w:pPr>
        <w:spacing w:line="360" w:lineRule="auto"/>
        <w:jc w:val="both"/>
        <w:rPr>
          <w:rFonts w:ascii="Arial" w:hAnsi="Arial"/>
        </w:rPr>
      </w:pPr>
      <w:r>
        <w:rPr>
          <w:rFonts w:ascii="Arial" w:hAnsi="Arial"/>
        </w:rPr>
        <w:t>[25]</w:t>
      </w:r>
      <w:r>
        <w:rPr>
          <w:rFonts w:ascii="Arial" w:hAnsi="Arial"/>
        </w:rPr>
        <w:tab/>
      </w:r>
      <w:r w:rsidR="001B49B4" w:rsidRPr="00BE0148">
        <w:rPr>
          <w:rFonts w:ascii="Arial" w:hAnsi="Arial"/>
        </w:rPr>
        <w:t xml:space="preserve">In view of what I have stated and held above, I am of the considered view that this is not an appropriate case in which summary judgment should be granted. The applicant </w:t>
      </w:r>
      <w:r w:rsidR="00035893" w:rsidRPr="00BE0148">
        <w:rPr>
          <w:rFonts w:ascii="Arial" w:hAnsi="Arial"/>
        </w:rPr>
        <w:t xml:space="preserve">badly fractured the applicable rules beyond redemption in this case. I cannot, in view of the said fracture, grant the application. It is also rendered unnecessary that I should even consider what </w:t>
      </w:r>
      <w:r w:rsidR="0012303C" w:rsidRPr="00BE0148">
        <w:rPr>
          <w:rFonts w:ascii="Arial" w:hAnsi="Arial"/>
        </w:rPr>
        <w:t>the respondent has stated in her</w:t>
      </w:r>
      <w:r w:rsidR="00035893" w:rsidRPr="00BE0148">
        <w:rPr>
          <w:rFonts w:ascii="Arial" w:hAnsi="Arial"/>
        </w:rPr>
        <w:t xml:space="preserve"> defence.</w:t>
      </w:r>
    </w:p>
    <w:p w14:paraId="5531FEB4" w14:textId="77777777" w:rsidR="00AA47C4" w:rsidRPr="00AA47C4" w:rsidRDefault="00AA47C4" w:rsidP="00AA47C4">
      <w:pPr>
        <w:pStyle w:val="ListParagraph"/>
        <w:spacing w:line="360" w:lineRule="auto"/>
        <w:ind w:left="0"/>
        <w:jc w:val="both"/>
        <w:rPr>
          <w:rFonts w:ascii="Arial" w:hAnsi="Arial"/>
        </w:rPr>
      </w:pPr>
    </w:p>
    <w:p w14:paraId="547DB358" w14:textId="3E5C4702" w:rsidR="00AA47C4" w:rsidRPr="00BE0148" w:rsidRDefault="00BE0148" w:rsidP="00BE0148">
      <w:pPr>
        <w:spacing w:line="360" w:lineRule="auto"/>
        <w:jc w:val="both"/>
        <w:rPr>
          <w:rFonts w:ascii="Arial" w:hAnsi="Arial"/>
        </w:rPr>
      </w:pPr>
      <w:r>
        <w:rPr>
          <w:rFonts w:ascii="Arial" w:hAnsi="Arial"/>
        </w:rPr>
        <w:t>[26]</w:t>
      </w:r>
      <w:r>
        <w:rPr>
          <w:rFonts w:ascii="Arial" w:hAnsi="Arial"/>
        </w:rPr>
        <w:tab/>
      </w:r>
      <w:r w:rsidR="00035893" w:rsidRPr="00BE0148">
        <w:rPr>
          <w:rFonts w:ascii="Arial" w:hAnsi="Arial"/>
        </w:rPr>
        <w:t>I should mention one issue, before closing the subject though. It is th</w:t>
      </w:r>
      <w:r w:rsidR="0012303C" w:rsidRPr="00BE0148">
        <w:rPr>
          <w:rFonts w:ascii="Arial" w:hAnsi="Arial"/>
        </w:rPr>
        <w:t>is – the settlement agreement po</w:t>
      </w:r>
      <w:r w:rsidR="00035893" w:rsidRPr="00BE0148">
        <w:rPr>
          <w:rFonts w:ascii="Arial" w:hAnsi="Arial"/>
        </w:rPr>
        <w:t>ses problems by entitling the plaintiff to move an application for summary judgment if the respondent is in breach. I say this in the peculiar circumstances of this ca</w:t>
      </w:r>
      <w:r w:rsidR="0012303C" w:rsidRPr="00BE0148">
        <w:rPr>
          <w:rFonts w:ascii="Arial" w:hAnsi="Arial"/>
        </w:rPr>
        <w:t xml:space="preserve">se, namely, that the respondent no longer any live defence to speak of that remained entered for purposes of delay. </w:t>
      </w:r>
      <w:r w:rsidR="00316E35" w:rsidRPr="00BE0148">
        <w:rPr>
          <w:rFonts w:ascii="Arial" w:hAnsi="Arial"/>
        </w:rPr>
        <w:t>Consequently,</w:t>
      </w:r>
      <w:r w:rsidR="00035893" w:rsidRPr="00BE0148">
        <w:rPr>
          <w:rFonts w:ascii="Arial" w:hAnsi="Arial"/>
        </w:rPr>
        <w:t xml:space="preserve"> summary judgment would not be envisaged to take place after the agreement</w:t>
      </w:r>
      <w:r w:rsidR="00316E35" w:rsidRPr="00BE0148">
        <w:rPr>
          <w:rFonts w:ascii="Arial" w:hAnsi="Arial"/>
        </w:rPr>
        <w:t xml:space="preserve"> was signed by the parties and allowed to take effect, as it did</w:t>
      </w:r>
      <w:r w:rsidR="00035893" w:rsidRPr="00BE0148">
        <w:rPr>
          <w:rFonts w:ascii="Arial" w:hAnsi="Arial"/>
        </w:rPr>
        <w:t xml:space="preserve">. The plausible manner of dealing with the issue may have been for the plaintiff to be entitled to judgment, which it could execute, upon satisfying the court on the </w:t>
      </w:r>
      <w:r w:rsidR="00633712" w:rsidRPr="00BE0148">
        <w:rPr>
          <w:rFonts w:ascii="Arial" w:hAnsi="Arial"/>
        </w:rPr>
        <w:t xml:space="preserve">exact </w:t>
      </w:r>
      <w:r w:rsidR="00035893" w:rsidRPr="00BE0148">
        <w:rPr>
          <w:rFonts w:ascii="Arial" w:hAnsi="Arial"/>
        </w:rPr>
        <w:t>amount outstanding at that particular time.</w:t>
      </w:r>
    </w:p>
    <w:p w14:paraId="05A6BAA5" w14:textId="77777777" w:rsidR="00AA47C4" w:rsidRDefault="00AA47C4" w:rsidP="00AA47C4">
      <w:pPr>
        <w:pStyle w:val="ListParagraph"/>
        <w:spacing w:line="360" w:lineRule="auto"/>
        <w:ind w:left="0"/>
        <w:jc w:val="both"/>
        <w:rPr>
          <w:rFonts w:ascii="Arial" w:hAnsi="Arial"/>
        </w:rPr>
      </w:pPr>
    </w:p>
    <w:p w14:paraId="45916FD3" w14:textId="55000766" w:rsidR="0017131D" w:rsidRPr="00BE0148" w:rsidRDefault="00BE0148" w:rsidP="00BE0148">
      <w:pPr>
        <w:spacing w:line="360" w:lineRule="auto"/>
        <w:jc w:val="both"/>
        <w:rPr>
          <w:rFonts w:ascii="Arial" w:hAnsi="Arial"/>
        </w:rPr>
      </w:pPr>
      <w:r w:rsidRPr="00AA47C4">
        <w:rPr>
          <w:rFonts w:ascii="Arial" w:hAnsi="Arial"/>
        </w:rPr>
        <w:t>[27]</w:t>
      </w:r>
      <w:r w:rsidRPr="00AA47C4">
        <w:rPr>
          <w:rFonts w:ascii="Arial" w:hAnsi="Arial"/>
        </w:rPr>
        <w:tab/>
      </w:r>
      <w:r w:rsidR="0017131D" w:rsidRPr="00BE0148">
        <w:rPr>
          <w:rFonts w:ascii="Arial" w:hAnsi="Arial"/>
        </w:rPr>
        <w:t>It is perhaps opportune that I briefly deal with the effect of a settleme</w:t>
      </w:r>
      <w:r w:rsidR="00DA3658" w:rsidRPr="00BE0148">
        <w:rPr>
          <w:rFonts w:ascii="Arial" w:hAnsi="Arial"/>
        </w:rPr>
        <w:t>nt agreement on proceedings.  I</w:t>
      </w:r>
      <w:r w:rsidR="0017131D" w:rsidRPr="00BE0148">
        <w:rPr>
          <w:rFonts w:ascii="Arial" w:hAnsi="Arial"/>
        </w:rPr>
        <w:t xml:space="preserve"> ne</w:t>
      </w:r>
      <w:r w:rsidR="00B609BE" w:rsidRPr="00BE0148">
        <w:rPr>
          <w:rFonts w:ascii="Arial" w:hAnsi="Arial"/>
        </w:rPr>
        <w:t>ed</w:t>
      </w:r>
      <w:r w:rsidR="0017131D" w:rsidRPr="00BE0148">
        <w:rPr>
          <w:rFonts w:ascii="Arial" w:hAnsi="Arial"/>
        </w:rPr>
        <w:t xml:space="preserve"> not invent the </w:t>
      </w:r>
      <w:r w:rsidR="00B609BE" w:rsidRPr="00BE0148">
        <w:rPr>
          <w:rFonts w:ascii="Arial" w:hAnsi="Arial"/>
        </w:rPr>
        <w:t>wheel</w:t>
      </w:r>
      <w:r w:rsidR="0017131D" w:rsidRPr="00BE0148">
        <w:rPr>
          <w:rFonts w:ascii="Arial" w:hAnsi="Arial"/>
        </w:rPr>
        <w:t xml:space="preserve"> in this respect as a lot has already been written on the subject. In </w:t>
      </w:r>
      <w:r w:rsidR="00316E35" w:rsidRPr="00BE0148">
        <w:rPr>
          <w:rFonts w:ascii="Arial" w:hAnsi="Arial"/>
          <w:i/>
        </w:rPr>
        <w:t>Hoff v Hof</w:t>
      </w:r>
      <w:r w:rsidR="00F53E95" w:rsidRPr="00BE0148">
        <w:rPr>
          <w:rFonts w:ascii="Arial" w:hAnsi="Arial"/>
          <w:i/>
        </w:rPr>
        <w:t>f</w:t>
      </w:r>
      <w:r w:rsidR="00F53E95">
        <w:rPr>
          <w:rStyle w:val="FootnoteReference"/>
          <w:rFonts w:ascii="Arial" w:hAnsi="Arial"/>
          <w:i/>
        </w:rPr>
        <w:footnoteReference w:id="2"/>
      </w:r>
      <w:r w:rsidR="0017131D" w:rsidRPr="00BE0148">
        <w:rPr>
          <w:rFonts w:ascii="Arial" w:hAnsi="Arial"/>
        </w:rPr>
        <w:t xml:space="preserve"> Ueitele J had occasion to consider the effect of a settlement agreement and he quoted quite liberally from </w:t>
      </w:r>
      <w:r w:rsidR="0017131D" w:rsidRPr="00BE0148">
        <w:rPr>
          <w:rFonts w:ascii="Arial" w:hAnsi="Arial"/>
          <w:i/>
        </w:rPr>
        <w:t>PL v YL</w:t>
      </w:r>
      <w:r w:rsidR="0017131D">
        <w:rPr>
          <w:rStyle w:val="FootnoteReference"/>
          <w:rFonts w:ascii="Arial" w:hAnsi="Arial"/>
          <w:i/>
        </w:rPr>
        <w:footnoteReference w:id="3"/>
      </w:r>
      <w:r w:rsidR="0017131D" w:rsidRPr="00BE0148">
        <w:rPr>
          <w:rFonts w:ascii="Arial" w:hAnsi="Arial"/>
        </w:rPr>
        <w:t xml:space="preserve"> where the following appears:</w:t>
      </w:r>
    </w:p>
    <w:p w14:paraId="4CA55512" w14:textId="77777777" w:rsidR="00E829A0" w:rsidRDefault="0017131D" w:rsidP="00CC559B">
      <w:pPr>
        <w:spacing w:line="360" w:lineRule="auto"/>
        <w:jc w:val="both"/>
        <w:rPr>
          <w:rFonts w:ascii="Arial" w:hAnsi="Arial"/>
        </w:rPr>
      </w:pPr>
      <w:r>
        <w:rPr>
          <w:rFonts w:ascii="Arial" w:hAnsi="Arial"/>
        </w:rPr>
        <w:tab/>
      </w:r>
    </w:p>
    <w:p w14:paraId="6116824B" w14:textId="2775DD20" w:rsidR="0017131D" w:rsidRDefault="0017131D" w:rsidP="00E829A0">
      <w:pPr>
        <w:spacing w:line="360" w:lineRule="auto"/>
        <w:ind w:firstLine="720"/>
        <w:jc w:val="both"/>
        <w:rPr>
          <w:rFonts w:ascii="Arial" w:hAnsi="Arial"/>
          <w:sz w:val="22"/>
          <w:szCs w:val="22"/>
        </w:rPr>
      </w:pPr>
      <w:r>
        <w:rPr>
          <w:rFonts w:ascii="Arial" w:hAnsi="Arial"/>
        </w:rPr>
        <w:lastRenderedPageBreak/>
        <w:t>‘</w:t>
      </w:r>
      <w:r>
        <w:rPr>
          <w:rFonts w:ascii="Arial" w:hAnsi="Arial"/>
          <w:sz w:val="22"/>
          <w:szCs w:val="22"/>
        </w:rPr>
        <w:t xml:space="preserve">The suggestion that besides legislative support the encouragement of a negotiated settlement also requires judicial support is in my view not something which is inconsistent with the policies underlying </w:t>
      </w:r>
      <w:r w:rsidR="003556ED">
        <w:rPr>
          <w:rFonts w:ascii="Arial" w:hAnsi="Arial"/>
          <w:sz w:val="22"/>
          <w:szCs w:val="22"/>
        </w:rPr>
        <w:t xml:space="preserve">our law. The settlement of matters in dispute in litigation without recourse to adjudication is generally favoured by our </w:t>
      </w:r>
      <w:r w:rsidR="00316E35">
        <w:rPr>
          <w:rFonts w:ascii="Arial" w:hAnsi="Arial"/>
          <w:sz w:val="22"/>
          <w:szCs w:val="22"/>
        </w:rPr>
        <w:t xml:space="preserve">law and </w:t>
      </w:r>
      <w:r w:rsidR="003556ED">
        <w:rPr>
          <w:rFonts w:ascii="Arial" w:hAnsi="Arial"/>
          <w:sz w:val="22"/>
          <w:szCs w:val="22"/>
        </w:rPr>
        <w:t xml:space="preserve">courts. The substantive law gives encouragement to parties to settle their disputes by allowing them to enter into a contract of compromise. A compromise is placed on an equal footing with a judgement. It puts an end to a lawsuit and renders the dispute between the parties </w:t>
      </w:r>
      <w:r w:rsidR="003556ED">
        <w:rPr>
          <w:rFonts w:ascii="Arial" w:hAnsi="Arial"/>
          <w:i/>
          <w:sz w:val="22"/>
          <w:szCs w:val="22"/>
        </w:rPr>
        <w:t xml:space="preserve">res </w:t>
      </w:r>
      <w:r w:rsidR="003556ED" w:rsidRPr="003556ED">
        <w:rPr>
          <w:rFonts w:ascii="Arial" w:hAnsi="Arial"/>
          <w:sz w:val="22"/>
          <w:szCs w:val="22"/>
        </w:rPr>
        <w:t>judicata</w:t>
      </w:r>
      <w:r w:rsidR="003556ED">
        <w:rPr>
          <w:rFonts w:ascii="Arial" w:hAnsi="Arial"/>
          <w:sz w:val="22"/>
          <w:szCs w:val="22"/>
        </w:rPr>
        <w:t xml:space="preserve">. It encourages the parties </w:t>
      </w:r>
      <w:r w:rsidR="003556ED" w:rsidRPr="003556ED">
        <w:rPr>
          <w:rFonts w:ascii="Arial" w:hAnsi="Arial"/>
          <w:sz w:val="22"/>
          <w:szCs w:val="22"/>
        </w:rPr>
        <w:t>to</w:t>
      </w:r>
      <w:r w:rsidR="003556ED">
        <w:rPr>
          <w:rFonts w:ascii="Arial" w:hAnsi="Arial"/>
          <w:sz w:val="22"/>
          <w:szCs w:val="22"/>
        </w:rPr>
        <w:t xml:space="preserve"> resolve their disputes than to litigate. As Huber puts it</w:t>
      </w:r>
      <w:r w:rsidR="00677514">
        <w:rPr>
          <w:rFonts w:ascii="Arial" w:hAnsi="Arial"/>
          <w:sz w:val="22"/>
          <w:szCs w:val="22"/>
        </w:rPr>
        <w:t>:</w:t>
      </w:r>
    </w:p>
    <w:p w14:paraId="64712361" w14:textId="77777777" w:rsidR="00677514" w:rsidRDefault="00677514" w:rsidP="00CC559B">
      <w:pPr>
        <w:spacing w:line="360" w:lineRule="auto"/>
        <w:jc w:val="both"/>
        <w:rPr>
          <w:rFonts w:ascii="Arial" w:hAnsi="Arial"/>
          <w:sz w:val="22"/>
          <w:szCs w:val="22"/>
        </w:rPr>
      </w:pPr>
    </w:p>
    <w:p w14:paraId="0AC404DD" w14:textId="2B824998" w:rsidR="00677514" w:rsidRDefault="00677514" w:rsidP="00CC559B">
      <w:pPr>
        <w:spacing w:line="360" w:lineRule="auto"/>
        <w:jc w:val="both"/>
        <w:rPr>
          <w:rFonts w:ascii="Arial" w:hAnsi="Arial"/>
          <w:sz w:val="22"/>
          <w:szCs w:val="22"/>
        </w:rPr>
      </w:pPr>
      <w:r>
        <w:rPr>
          <w:rFonts w:ascii="Arial" w:hAnsi="Arial"/>
          <w:sz w:val="22"/>
          <w:szCs w:val="22"/>
        </w:rPr>
        <w:t>“A compromise once lawfully struck is very powerfully supported by the law, since nothing is more salutary than the settlement of lawsuits.”</w:t>
      </w:r>
      <w:r w:rsidR="00E829A0">
        <w:rPr>
          <w:rFonts w:ascii="Arial" w:hAnsi="Arial"/>
          <w:sz w:val="22"/>
          <w:szCs w:val="22"/>
        </w:rPr>
        <w:t>’</w:t>
      </w:r>
    </w:p>
    <w:p w14:paraId="400B87D7" w14:textId="77777777" w:rsidR="00677514" w:rsidRDefault="00677514" w:rsidP="00CC559B">
      <w:pPr>
        <w:spacing w:line="360" w:lineRule="auto"/>
        <w:jc w:val="both"/>
        <w:rPr>
          <w:rFonts w:ascii="Arial" w:hAnsi="Arial"/>
          <w:sz w:val="22"/>
          <w:szCs w:val="22"/>
        </w:rPr>
      </w:pPr>
    </w:p>
    <w:p w14:paraId="1567215E" w14:textId="3E41924F" w:rsidR="00677514" w:rsidRPr="00BE0148" w:rsidRDefault="00BE0148" w:rsidP="00BE0148">
      <w:pPr>
        <w:spacing w:line="360" w:lineRule="auto"/>
        <w:jc w:val="both"/>
        <w:rPr>
          <w:rFonts w:ascii="Arial" w:hAnsi="Arial"/>
        </w:rPr>
      </w:pPr>
      <w:r w:rsidRPr="00AA47C4">
        <w:rPr>
          <w:rFonts w:ascii="Arial" w:hAnsi="Arial"/>
        </w:rPr>
        <w:t>[28]</w:t>
      </w:r>
      <w:r w:rsidRPr="00AA47C4">
        <w:rPr>
          <w:rFonts w:ascii="Arial" w:hAnsi="Arial"/>
        </w:rPr>
        <w:tab/>
      </w:r>
      <w:r w:rsidR="00677514" w:rsidRPr="00BE0148">
        <w:rPr>
          <w:rFonts w:ascii="Arial" w:hAnsi="Arial"/>
        </w:rPr>
        <w:t xml:space="preserve">In </w:t>
      </w:r>
      <w:r w:rsidR="00677514" w:rsidRPr="00BE0148">
        <w:rPr>
          <w:rFonts w:ascii="Arial" w:hAnsi="Arial"/>
          <w:i/>
        </w:rPr>
        <w:t>Karson v Minister of Public Works</w:t>
      </w:r>
      <w:r w:rsidR="0050319F">
        <w:rPr>
          <w:rStyle w:val="FootnoteReference"/>
          <w:rFonts w:ascii="Arial" w:hAnsi="Arial"/>
          <w:i/>
        </w:rPr>
        <w:footnoteReference w:id="4"/>
      </w:r>
      <w:r w:rsidR="00677514" w:rsidRPr="00BE0148">
        <w:rPr>
          <w:rFonts w:ascii="Arial" w:hAnsi="Arial"/>
        </w:rPr>
        <w:t>, the following was stated on the subject:</w:t>
      </w:r>
    </w:p>
    <w:p w14:paraId="000B6025" w14:textId="77777777" w:rsidR="00677514" w:rsidRDefault="00677514" w:rsidP="00CC559B">
      <w:pPr>
        <w:spacing w:line="360" w:lineRule="auto"/>
        <w:jc w:val="both"/>
        <w:rPr>
          <w:rFonts w:ascii="Arial" w:hAnsi="Arial"/>
        </w:rPr>
      </w:pPr>
    </w:p>
    <w:p w14:paraId="4F742DAD" w14:textId="2FDCF734" w:rsidR="00677514" w:rsidRDefault="00677514" w:rsidP="00CC559B">
      <w:pPr>
        <w:spacing w:line="360" w:lineRule="auto"/>
        <w:jc w:val="both"/>
        <w:rPr>
          <w:rFonts w:ascii="Arial" w:hAnsi="Arial"/>
          <w:sz w:val="22"/>
          <w:szCs w:val="22"/>
        </w:rPr>
      </w:pPr>
      <w:r>
        <w:rPr>
          <w:rFonts w:ascii="Arial" w:hAnsi="Arial"/>
        </w:rPr>
        <w:tab/>
        <w:t>‘</w:t>
      </w:r>
      <w:r>
        <w:rPr>
          <w:rFonts w:ascii="Arial" w:hAnsi="Arial"/>
          <w:sz w:val="22"/>
          <w:szCs w:val="22"/>
        </w:rPr>
        <w:t xml:space="preserve">It is well settled that the agreement of compromise, also known as </w:t>
      </w:r>
      <w:r>
        <w:rPr>
          <w:rFonts w:ascii="Arial" w:hAnsi="Arial"/>
          <w:i/>
          <w:sz w:val="22"/>
          <w:szCs w:val="22"/>
        </w:rPr>
        <w:t>transactio</w:t>
      </w:r>
      <w:r w:rsidR="00915BBB">
        <w:rPr>
          <w:rFonts w:ascii="Arial" w:hAnsi="Arial"/>
          <w:sz w:val="22"/>
          <w:szCs w:val="22"/>
        </w:rPr>
        <w:t>, is an agreement between the parties to an obligation, the terms of which are in dispute, or between the parties to a lawsuit, the issue of which is uncertain, settling the matter in dispute, each party receding from his previous position and conce</w:t>
      </w:r>
      <w:r w:rsidR="00EC1216">
        <w:rPr>
          <w:rFonts w:ascii="Arial" w:hAnsi="Arial"/>
          <w:sz w:val="22"/>
          <w:szCs w:val="22"/>
        </w:rPr>
        <w:t>ding something, either by dimin</w:t>
      </w:r>
      <w:r w:rsidR="00915BBB">
        <w:rPr>
          <w:rFonts w:ascii="Arial" w:hAnsi="Arial"/>
          <w:sz w:val="22"/>
          <w:szCs w:val="22"/>
        </w:rPr>
        <w:t xml:space="preserve">ishing his claim or by increasing his liability . . . It is thus the very essence of a compromise that the parties thereto, by mutual assent, agree to the settlement of previously disputed or uncertain obligations… </w:t>
      </w:r>
    </w:p>
    <w:p w14:paraId="4B0449B3" w14:textId="77777777" w:rsidR="00EC1216" w:rsidRDefault="00EC1216" w:rsidP="00CC559B">
      <w:pPr>
        <w:spacing w:line="360" w:lineRule="auto"/>
        <w:jc w:val="both"/>
        <w:rPr>
          <w:rFonts w:ascii="Arial" w:hAnsi="Arial"/>
          <w:sz w:val="22"/>
          <w:szCs w:val="22"/>
        </w:rPr>
      </w:pPr>
    </w:p>
    <w:p w14:paraId="7E8C40A0" w14:textId="76A6F44C" w:rsidR="00EC1216" w:rsidRDefault="00EC1216" w:rsidP="00CC559B">
      <w:pPr>
        <w:spacing w:line="360" w:lineRule="auto"/>
        <w:jc w:val="both"/>
        <w:rPr>
          <w:rFonts w:ascii="Arial" w:hAnsi="Arial"/>
          <w:sz w:val="22"/>
          <w:szCs w:val="22"/>
        </w:rPr>
      </w:pPr>
      <w:r>
        <w:rPr>
          <w:rFonts w:ascii="Arial" w:hAnsi="Arial"/>
          <w:sz w:val="22"/>
          <w:szCs w:val="22"/>
        </w:rPr>
        <w:t>[17]</w:t>
      </w:r>
      <w:r>
        <w:rPr>
          <w:rFonts w:ascii="Arial" w:hAnsi="Arial"/>
          <w:sz w:val="22"/>
          <w:szCs w:val="22"/>
        </w:rPr>
        <w:tab/>
        <w:t xml:space="preserve">A Canadian court has considered the effect of a settlement agreement and the following was stated in </w:t>
      </w:r>
      <w:r>
        <w:rPr>
          <w:rFonts w:ascii="Arial" w:hAnsi="Arial"/>
          <w:i/>
          <w:sz w:val="22"/>
          <w:szCs w:val="22"/>
        </w:rPr>
        <w:t xml:space="preserve">George v 1008810 Ontario Ltd </w:t>
      </w:r>
      <w:r>
        <w:rPr>
          <w:rFonts w:ascii="Arial" w:hAnsi="Arial"/>
          <w:sz w:val="22"/>
          <w:szCs w:val="22"/>
        </w:rPr>
        <w:t>2004 CanLii (ON LRB) in para 23:</w:t>
      </w:r>
    </w:p>
    <w:p w14:paraId="7DF6FCB8" w14:textId="77777777" w:rsidR="00EC1216" w:rsidRDefault="00EC1216" w:rsidP="00CC559B">
      <w:pPr>
        <w:spacing w:line="360" w:lineRule="auto"/>
        <w:jc w:val="both"/>
        <w:rPr>
          <w:rFonts w:ascii="Arial" w:hAnsi="Arial"/>
          <w:sz w:val="22"/>
          <w:szCs w:val="22"/>
        </w:rPr>
      </w:pPr>
    </w:p>
    <w:p w14:paraId="074A1B74" w14:textId="340EF908" w:rsidR="00EC1216" w:rsidRDefault="00EC1216" w:rsidP="00CC559B">
      <w:pPr>
        <w:spacing w:line="360" w:lineRule="auto"/>
        <w:jc w:val="both"/>
        <w:rPr>
          <w:rFonts w:ascii="Arial" w:hAnsi="Arial"/>
          <w:sz w:val="22"/>
          <w:szCs w:val="22"/>
        </w:rPr>
      </w:pPr>
      <w:r>
        <w:rPr>
          <w:rFonts w:ascii="Arial" w:hAnsi="Arial"/>
          <w:sz w:val="22"/>
          <w:szCs w:val="22"/>
        </w:rPr>
        <w:t xml:space="preserve">At common-law the effect of a settlement was to put an end to the underlying </w:t>
      </w:r>
      <w:r w:rsidR="00894B6D">
        <w:rPr>
          <w:rFonts w:ascii="Arial" w:hAnsi="Arial"/>
          <w:sz w:val="22"/>
          <w:szCs w:val="22"/>
        </w:rPr>
        <w:t>cause of action: Halsbury’s Laws of England, 4</w:t>
      </w:r>
      <w:r w:rsidR="00894B6D" w:rsidRPr="00894B6D">
        <w:rPr>
          <w:rFonts w:ascii="Arial" w:hAnsi="Arial"/>
          <w:sz w:val="22"/>
          <w:szCs w:val="22"/>
          <w:vertAlign w:val="superscript"/>
        </w:rPr>
        <w:t>th</w:t>
      </w:r>
      <w:r w:rsidR="00894B6D">
        <w:rPr>
          <w:rFonts w:ascii="Arial" w:hAnsi="Arial"/>
          <w:sz w:val="22"/>
          <w:szCs w:val="22"/>
        </w:rPr>
        <w:t xml:space="preserve"> ed., vol 37, para 391:</w:t>
      </w:r>
    </w:p>
    <w:p w14:paraId="20929FF3" w14:textId="77777777" w:rsidR="00894B6D" w:rsidRDefault="00894B6D" w:rsidP="00CC559B">
      <w:pPr>
        <w:spacing w:line="360" w:lineRule="auto"/>
        <w:jc w:val="both"/>
        <w:rPr>
          <w:rFonts w:ascii="Arial" w:hAnsi="Arial"/>
          <w:sz w:val="22"/>
          <w:szCs w:val="22"/>
        </w:rPr>
      </w:pPr>
    </w:p>
    <w:p w14:paraId="3D7473E2" w14:textId="5FD22C71" w:rsidR="00894B6D" w:rsidRPr="00894B6D" w:rsidRDefault="00894B6D" w:rsidP="00CC559B">
      <w:pPr>
        <w:spacing w:line="360" w:lineRule="auto"/>
        <w:jc w:val="both"/>
        <w:rPr>
          <w:rFonts w:ascii="Arial" w:hAnsi="Arial"/>
          <w:sz w:val="22"/>
          <w:szCs w:val="22"/>
        </w:rPr>
      </w:pPr>
      <w:r>
        <w:rPr>
          <w:rFonts w:ascii="Arial" w:hAnsi="Arial"/>
          <w:i/>
          <w:sz w:val="22"/>
          <w:szCs w:val="22"/>
        </w:rPr>
        <w:t>Effect of settlement or compromise</w:t>
      </w:r>
      <w:r>
        <w:rPr>
          <w:rFonts w:ascii="Arial" w:hAnsi="Arial"/>
          <w:sz w:val="22"/>
          <w:szCs w:val="22"/>
        </w:rPr>
        <w:t xml:space="preserve">. Where the parties settle or compromise pending proceedings, whether before, at or during the trial, the settlement or compromise constitutes a new and independent agreement between them made for good </w:t>
      </w:r>
      <w:r>
        <w:rPr>
          <w:rFonts w:ascii="Arial" w:hAnsi="Arial"/>
          <w:sz w:val="22"/>
          <w:szCs w:val="22"/>
        </w:rPr>
        <w:lastRenderedPageBreak/>
        <w:t>consideration. Its effects are (1) to put an end to the proceedings, for they are thereby spent and exhausted, (2) to preclude the parties from taking any further steps in t</w:t>
      </w:r>
      <w:r w:rsidR="00F53E95">
        <w:rPr>
          <w:rFonts w:ascii="Arial" w:hAnsi="Arial"/>
          <w:sz w:val="22"/>
          <w:szCs w:val="22"/>
        </w:rPr>
        <w:t>he action except where they</w:t>
      </w:r>
      <w:r>
        <w:rPr>
          <w:rFonts w:ascii="Arial" w:hAnsi="Arial"/>
          <w:sz w:val="22"/>
          <w:szCs w:val="22"/>
        </w:rPr>
        <w:t xml:space="preserve"> </w:t>
      </w:r>
      <w:r w:rsidR="00F53E95">
        <w:rPr>
          <w:rFonts w:ascii="Arial" w:hAnsi="Arial"/>
          <w:sz w:val="22"/>
          <w:szCs w:val="22"/>
        </w:rPr>
        <w:t xml:space="preserve">are </w:t>
      </w:r>
      <w:r>
        <w:rPr>
          <w:rFonts w:ascii="Arial" w:hAnsi="Arial"/>
          <w:sz w:val="22"/>
          <w:szCs w:val="22"/>
        </w:rPr>
        <w:t>provided</w:t>
      </w:r>
      <w:r w:rsidR="00F53E95">
        <w:rPr>
          <w:rFonts w:ascii="Arial" w:hAnsi="Arial"/>
          <w:sz w:val="22"/>
          <w:szCs w:val="22"/>
        </w:rPr>
        <w:t xml:space="preserve"> for liberty to apply to enforce the agreed terms, and (3) to supersede the original cause of action altogether. A judgment or order made by consent i</w:t>
      </w:r>
      <w:r w:rsidR="00316E35">
        <w:rPr>
          <w:rFonts w:ascii="Arial" w:hAnsi="Arial"/>
          <w:sz w:val="22"/>
          <w:szCs w:val="22"/>
        </w:rPr>
        <w:t>s binding unless and until it</w:t>
      </w:r>
      <w:r w:rsidR="00F53E95">
        <w:rPr>
          <w:rFonts w:ascii="Arial" w:hAnsi="Arial"/>
          <w:sz w:val="22"/>
          <w:szCs w:val="22"/>
        </w:rPr>
        <w:t xml:space="preserve"> has been set aside in proceedings instituted for that purpose and it acts, moreover, as an estoppel by record.’</w:t>
      </w:r>
    </w:p>
    <w:p w14:paraId="7A64FE26" w14:textId="77777777" w:rsidR="00633712" w:rsidRDefault="00633712" w:rsidP="00CC559B">
      <w:pPr>
        <w:spacing w:line="360" w:lineRule="auto"/>
        <w:jc w:val="both"/>
        <w:rPr>
          <w:rFonts w:ascii="Arial" w:hAnsi="Arial"/>
        </w:rPr>
      </w:pPr>
    </w:p>
    <w:p w14:paraId="4E29A5CB" w14:textId="4775DE8E" w:rsidR="00AA47C4" w:rsidRPr="00BE0148" w:rsidRDefault="00BE0148" w:rsidP="00BE0148">
      <w:pPr>
        <w:spacing w:line="360" w:lineRule="auto"/>
        <w:jc w:val="both"/>
        <w:rPr>
          <w:rFonts w:ascii="Arial" w:hAnsi="Arial"/>
        </w:rPr>
      </w:pPr>
      <w:r>
        <w:rPr>
          <w:rFonts w:ascii="Arial" w:hAnsi="Arial"/>
        </w:rPr>
        <w:t>[29]</w:t>
      </w:r>
      <w:r>
        <w:rPr>
          <w:rFonts w:ascii="Arial" w:hAnsi="Arial"/>
        </w:rPr>
        <w:tab/>
      </w:r>
      <w:r w:rsidR="00B609BE" w:rsidRPr="00BE0148">
        <w:rPr>
          <w:rFonts w:ascii="Arial" w:hAnsi="Arial"/>
        </w:rPr>
        <w:t>In our jurisdiction, it is plain that settlement agreements form an integral part of</w:t>
      </w:r>
      <w:r w:rsidR="0050319F" w:rsidRPr="00BE0148">
        <w:rPr>
          <w:rFonts w:ascii="Arial" w:hAnsi="Arial"/>
        </w:rPr>
        <w:t xml:space="preserve"> the</w:t>
      </w:r>
      <w:r w:rsidR="00B609BE" w:rsidRPr="00BE0148">
        <w:rPr>
          <w:rFonts w:ascii="Arial" w:hAnsi="Arial"/>
        </w:rPr>
        <w:t xml:space="preserve"> judicial case management</w:t>
      </w:r>
      <w:r w:rsidR="00DA3658" w:rsidRPr="00BE0148">
        <w:rPr>
          <w:rFonts w:ascii="Arial" w:hAnsi="Arial"/>
        </w:rPr>
        <w:t xml:space="preserve"> system </w:t>
      </w:r>
      <w:r w:rsidR="00875B70" w:rsidRPr="00BE0148">
        <w:rPr>
          <w:rFonts w:ascii="Arial" w:hAnsi="Arial"/>
        </w:rPr>
        <w:t xml:space="preserve">and they </w:t>
      </w:r>
      <w:r w:rsidR="00DA3658" w:rsidRPr="00BE0148">
        <w:rPr>
          <w:rFonts w:ascii="Arial" w:hAnsi="Arial"/>
        </w:rPr>
        <w:t>are ingrained therein</w:t>
      </w:r>
      <w:r w:rsidR="00B609BE" w:rsidRPr="00BE0148">
        <w:rPr>
          <w:rFonts w:ascii="Arial" w:hAnsi="Arial"/>
        </w:rPr>
        <w:t>. It is for that reason that in terms of the rule</w:t>
      </w:r>
      <w:r w:rsidR="00DA3658" w:rsidRPr="00BE0148">
        <w:rPr>
          <w:rFonts w:ascii="Arial" w:hAnsi="Arial"/>
        </w:rPr>
        <w:t>s</w:t>
      </w:r>
      <w:r w:rsidR="00316E35" w:rsidRPr="00BE0148">
        <w:rPr>
          <w:rFonts w:ascii="Arial" w:hAnsi="Arial"/>
        </w:rPr>
        <w:t xml:space="preserve"> and the practice directives</w:t>
      </w:r>
      <w:r w:rsidR="00B609BE" w:rsidRPr="00BE0148">
        <w:rPr>
          <w:rFonts w:ascii="Arial" w:hAnsi="Arial"/>
        </w:rPr>
        <w:t>, certain cases must perforc</w:t>
      </w:r>
      <w:r w:rsidR="00DA3658" w:rsidRPr="00BE0148">
        <w:rPr>
          <w:rFonts w:ascii="Arial" w:hAnsi="Arial"/>
        </w:rPr>
        <w:t xml:space="preserve">e, be submitted to mediation. The instant case </w:t>
      </w:r>
      <w:r w:rsidR="00B609BE" w:rsidRPr="00BE0148">
        <w:rPr>
          <w:rFonts w:ascii="Arial" w:hAnsi="Arial"/>
        </w:rPr>
        <w:t xml:space="preserve">is one of those </w:t>
      </w:r>
      <w:r w:rsidR="00DA3658" w:rsidRPr="00BE0148">
        <w:rPr>
          <w:rFonts w:ascii="Arial" w:hAnsi="Arial"/>
        </w:rPr>
        <w:t xml:space="preserve">and it is clear </w:t>
      </w:r>
      <w:r w:rsidR="00B609BE" w:rsidRPr="00BE0148">
        <w:rPr>
          <w:rFonts w:ascii="Arial" w:hAnsi="Arial"/>
        </w:rPr>
        <w:t xml:space="preserve">that </w:t>
      </w:r>
      <w:r w:rsidR="00DA3658" w:rsidRPr="00BE0148">
        <w:rPr>
          <w:rFonts w:ascii="Arial" w:hAnsi="Arial"/>
        </w:rPr>
        <w:t>it settled at mediation. Settlement of disputes is</w:t>
      </w:r>
      <w:r w:rsidR="00B609BE" w:rsidRPr="00BE0148">
        <w:rPr>
          <w:rFonts w:ascii="Arial" w:hAnsi="Arial"/>
        </w:rPr>
        <w:t xml:space="preserve"> a practice that is encouraged as it frees the court’s resources and time </w:t>
      </w:r>
      <w:r w:rsidR="00875B70" w:rsidRPr="00BE0148">
        <w:rPr>
          <w:rFonts w:ascii="Arial" w:hAnsi="Arial"/>
        </w:rPr>
        <w:t xml:space="preserve">in order </w:t>
      </w:r>
      <w:r w:rsidR="00B609BE" w:rsidRPr="00BE0148">
        <w:rPr>
          <w:rFonts w:ascii="Arial" w:hAnsi="Arial"/>
        </w:rPr>
        <w:t xml:space="preserve">to </w:t>
      </w:r>
      <w:r w:rsidR="00875B70" w:rsidRPr="00BE0148">
        <w:rPr>
          <w:rFonts w:ascii="Arial" w:hAnsi="Arial"/>
        </w:rPr>
        <w:t xml:space="preserve">enable it to </w:t>
      </w:r>
      <w:r w:rsidR="00B609BE" w:rsidRPr="00BE0148">
        <w:rPr>
          <w:rFonts w:ascii="Arial" w:hAnsi="Arial"/>
        </w:rPr>
        <w:t>d</w:t>
      </w:r>
      <w:r w:rsidR="00875B70" w:rsidRPr="00BE0148">
        <w:rPr>
          <w:rFonts w:ascii="Arial" w:hAnsi="Arial"/>
        </w:rPr>
        <w:t>eal with other disputed matters. It also serves to</w:t>
      </w:r>
      <w:r w:rsidR="00087E31" w:rsidRPr="00BE0148">
        <w:rPr>
          <w:rFonts w:ascii="Arial" w:hAnsi="Arial"/>
        </w:rPr>
        <w:t xml:space="preserve"> </w:t>
      </w:r>
      <w:r w:rsidR="00875B70" w:rsidRPr="00BE0148">
        <w:rPr>
          <w:rFonts w:ascii="Arial" w:hAnsi="Arial"/>
        </w:rPr>
        <w:t>unclog</w:t>
      </w:r>
      <w:r w:rsidR="00B609BE" w:rsidRPr="00BE0148">
        <w:rPr>
          <w:rFonts w:ascii="Arial" w:hAnsi="Arial"/>
        </w:rPr>
        <w:t xml:space="preserve"> the court’s roll. </w:t>
      </w:r>
    </w:p>
    <w:p w14:paraId="1C8C01F6" w14:textId="77777777" w:rsidR="00AA47C4" w:rsidRDefault="00AA47C4" w:rsidP="00AA47C4">
      <w:pPr>
        <w:pStyle w:val="ListParagraph"/>
        <w:spacing w:line="360" w:lineRule="auto"/>
        <w:ind w:left="0"/>
        <w:jc w:val="both"/>
        <w:rPr>
          <w:rFonts w:ascii="Arial" w:hAnsi="Arial"/>
        </w:rPr>
      </w:pPr>
    </w:p>
    <w:p w14:paraId="08AA708D" w14:textId="50EEB6C9" w:rsidR="00AA47C4" w:rsidRPr="00BE0148" w:rsidRDefault="00BE0148" w:rsidP="00BE0148">
      <w:pPr>
        <w:spacing w:line="360" w:lineRule="auto"/>
        <w:jc w:val="both"/>
        <w:rPr>
          <w:rFonts w:ascii="Arial" w:hAnsi="Arial"/>
        </w:rPr>
      </w:pPr>
      <w:r>
        <w:rPr>
          <w:rFonts w:ascii="Arial" w:hAnsi="Arial"/>
        </w:rPr>
        <w:t>[30]</w:t>
      </w:r>
      <w:r>
        <w:rPr>
          <w:rFonts w:ascii="Arial" w:hAnsi="Arial"/>
        </w:rPr>
        <w:tab/>
      </w:r>
      <w:r w:rsidR="00B609BE" w:rsidRPr="00BE0148">
        <w:rPr>
          <w:rFonts w:ascii="Arial" w:hAnsi="Arial"/>
        </w:rPr>
        <w:t xml:space="preserve">That said, it becomes clear that </w:t>
      </w:r>
      <w:r w:rsidR="00087E31" w:rsidRPr="00BE0148">
        <w:rPr>
          <w:rFonts w:ascii="Arial" w:hAnsi="Arial"/>
        </w:rPr>
        <w:t xml:space="preserve">clause 3 of </w:t>
      </w:r>
      <w:r w:rsidR="00B609BE" w:rsidRPr="00BE0148">
        <w:rPr>
          <w:rFonts w:ascii="Arial" w:hAnsi="Arial"/>
        </w:rPr>
        <w:t>the settlement agreement goes against the very grain and essence of settlement for the reas</w:t>
      </w:r>
      <w:r w:rsidR="00DA3658" w:rsidRPr="00BE0148">
        <w:rPr>
          <w:rFonts w:ascii="Arial" w:hAnsi="Arial"/>
        </w:rPr>
        <w:t>on that it allowed the applicant</w:t>
      </w:r>
      <w:r w:rsidR="00B609BE" w:rsidRPr="00BE0148">
        <w:rPr>
          <w:rFonts w:ascii="Arial" w:hAnsi="Arial"/>
        </w:rPr>
        <w:t xml:space="preserve">, in the event that the </w:t>
      </w:r>
      <w:r w:rsidR="00DA3658" w:rsidRPr="00BE0148">
        <w:rPr>
          <w:rFonts w:ascii="Arial" w:hAnsi="Arial"/>
        </w:rPr>
        <w:t>respondent did not comply with her undertakings in the agreement, to revert and apply for summary judgment</w:t>
      </w:r>
      <w:r w:rsidR="00875B70" w:rsidRPr="00BE0148">
        <w:rPr>
          <w:rFonts w:ascii="Arial" w:hAnsi="Arial"/>
        </w:rPr>
        <w:t xml:space="preserve"> under the settled dispute</w:t>
      </w:r>
      <w:r w:rsidR="00DA3658" w:rsidRPr="00BE0148">
        <w:rPr>
          <w:rFonts w:ascii="Arial" w:hAnsi="Arial"/>
        </w:rPr>
        <w:t>. Strictly speaking, summary judgment</w:t>
      </w:r>
      <w:r w:rsidR="00087E31" w:rsidRPr="00BE0148">
        <w:rPr>
          <w:rFonts w:ascii="Arial" w:hAnsi="Arial"/>
        </w:rPr>
        <w:t xml:space="preserve"> is not available to the plaintiff in this case, even if the respondent does not comply with her undertakings. This is so because</w:t>
      </w:r>
      <w:r w:rsidR="00DA3658" w:rsidRPr="00BE0148">
        <w:rPr>
          <w:rFonts w:ascii="Arial" w:hAnsi="Arial"/>
        </w:rPr>
        <w:t xml:space="preserve"> the settlement </w:t>
      </w:r>
      <w:r w:rsidR="00087E31" w:rsidRPr="00BE0148">
        <w:rPr>
          <w:rFonts w:ascii="Arial" w:hAnsi="Arial"/>
        </w:rPr>
        <w:t xml:space="preserve">agreement </w:t>
      </w:r>
      <w:r w:rsidR="00DA3658" w:rsidRPr="00BE0148">
        <w:rPr>
          <w:rFonts w:ascii="Arial" w:hAnsi="Arial"/>
        </w:rPr>
        <w:t>puts the underlying cause action to an end.</w:t>
      </w:r>
      <w:r w:rsidR="00087E31" w:rsidRPr="00BE0148">
        <w:rPr>
          <w:rFonts w:ascii="Arial" w:hAnsi="Arial"/>
        </w:rPr>
        <w:t xml:space="preserve"> The plaintiff should, in the premises, seek advice as to what it should do, in the light of the settlement agreement, </w:t>
      </w:r>
      <w:r w:rsidR="00875B70" w:rsidRPr="00BE0148">
        <w:rPr>
          <w:rFonts w:ascii="Arial" w:hAnsi="Arial"/>
        </w:rPr>
        <w:t xml:space="preserve">in order to enable it </w:t>
      </w:r>
      <w:r w:rsidR="00087E31" w:rsidRPr="00BE0148">
        <w:rPr>
          <w:rFonts w:ascii="Arial" w:hAnsi="Arial"/>
        </w:rPr>
        <w:t>to enforce the settlement agreement.</w:t>
      </w:r>
    </w:p>
    <w:p w14:paraId="6A6B1651" w14:textId="77777777" w:rsidR="00BF6DEF" w:rsidRPr="00BF6DEF" w:rsidRDefault="00BF6DEF" w:rsidP="00BF6DEF">
      <w:pPr>
        <w:spacing w:line="360" w:lineRule="auto"/>
        <w:jc w:val="both"/>
        <w:rPr>
          <w:rFonts w:ascii="Arial" w:hAnsi="Arial"/>
        </w:rPr>
      </w:pPr>
    </w:p>
    <w:p w14:paraId="4C1F5E22" w14:textId="2C6430EA" w:rsidR="00BF6DEF" w:rsidRPr="00BF6DEF" w:rsidRDefault="00BF6DEF" w:rsidP="00BF6DEF">
      <w:pPr>
        <w:pStyle w:val="ListParagraph"/>
        <w:spacing w:line="360" w:lineRule="auto"/>
        <w:ind w:left="0"/>
        <w:jc w:val="both"/>
        <w:rPr>
          <w:rFonts w:ascii="Arial" w:hAnsi="Arial"/>
          <w:u w:val="single"/>
        </w:rPr>
      </w:pPr>
      <w:r>
        <w:rPr>
          <w:rFonts w:ascii="Arial" w:hAnsi="Arial"/>
          <w:u w:val="single"/>
        </w:rPr>
        <w:t>Costs</w:t>
      </w:r>
    </w:p>
    <w:p w14:paraId="4413DD5D" w14:textId="77777777" w:rsidR="00316E35" w:rsidRPr="00316E35" w:rsidRDefault="00316E35" w:rsidP="00316E35">
      <w:pPr>
        <w:spacing w:line="360" w:lineRule="auto"/>
        <w:jc w:val="both"/>
        <w:rPr>
          <w:rFonts w:ascii="Arial" w:hAnsi="Arial"/>
        </w:rPr>
      </w:pPr>
    </w:p>
    <w:p w14:paraId="120AD180" w14:textId="652041ED" w:rsidR="00316E35" w:rsidRPr="00BE0148" w:rsidRDefault="00BE0148" w:rsidP="00BE0148">
      <w:pPr>
        <w:spacing w:line="360" w:lineRule="auto"/>
        <w:jc w:val="both"/>
        <w:rPr>
          <w:rFonts w:ascii="Arial" w:hAnsi="Arial"/>
        </w:rPr>
      </w:pPr>
      <w:r>
        <w:rPr>
          <w:rFonts w:ascii="Arial" w:hAnsi="Arial"/>
        </w:rPr>
        <w:t>[31]</w:t>
      </w:r>
      <w:r>
        <w:rPr>
          <w:rFonts w:ascii="Arial" w:hAnsi="Arial"/>
        </w:rPr>
        <w:tab/>
      </w:r>
      <w:r w:rsidR="00316E35" w:rsidRPr="00BE0148">
        <w:rPr>
          <w:rFonts w:ascii="Arial" w:hAnsi="Arial"/>
        </w:rPr>
        <w:t xml:space="preserve">Turning to the issue of costs, the </w:t>
      </w:r>
      <w:r w:rsidR="00BF6DEF" w:rsidRPr="00BE0148">
        <w:rPr>
          <w:rFonts w:ascii="Arial" w:hAnsi="Arial"/>
        </w:rPr>
        <w:t xml:space="preserve">applicable </w:t>
      </w:r>
      <w:r w:rsidR="00316E35" w:rsidRPr="00BE0148">
        <w:rPr>
          <w:rFonts w:ascii="Arial" w:hAnsi="Arial"/>
        </w:rPr>
        <w:t>law is fairly settled. Costs should generally follow the event</w:t>
      </w:r>
      <w:r w:rsidR="00BF6DEF" w:rsidRPr="00BE0148">
        <w:rPr>
          <w:rFonts w:ascii="Arial" w:hAnsi="Arial"/>
        </w:rPr>
        <w:t>. In the instant case, there is nothing that was submitted or apparent from the record, that would suggest that a departure from that beaten track is necessary. Costs will accordingly follow the event.</w:t>
      </w:r>
    </w:p>
    <w:p w14:paraId="2BD67672" w14:textId="77777777" w:rsidR="00AA47C4" w:rsidRDefault="00AA47C4" w:rsidP="00AA47C4">
      <w:pPr>
        <w:pStyle w:val="ListParagraph"/>
        <w:spacing w:line="360" w:lineRule="auto"/>
        <w:ind w:left="0"/>
        <w:jc w:val="both"/>
        <w:rPr>
          <w:rFonts w:ascii="Arial" w:hAnsi="Arial"/>
        </w:rPr>
      </w:pPr>
    </w:p>
    <w:p w14:paraId="2F309C76" w14:textId="77777777" w:rsidR="00AA47C4" w:rsidRDefault="00AA47C4" w:rsidP="00AA47C4">
      <w:pPr>
        <w:spacing w:line="360" w:lineRule="auto"/>
        <w:jc w:val="both"/>
        <w:rPr>
          <w:rFonts w:ascii="Arial" w:hAnsi="Arial"/>
          <w:u w:val="single"/>
        </w:rPr>
      </w:pPr>
      <w:r>
        <w:rPr>
          <w:rFonts w:ascii="Arial" w:hAnsi="Arial"/>
          <w:u w:val="single"/>
        </w:rPr>
        <w:lastRenderedPageBreak/>
        <w:t>Conclusion</w:t>
      </w:r>
    </w:p>
    <w:p w14:paraId="5D8AC190" w14:textId="77777777" w:rsidR="00AA47C4" w:rsidRDefault="00AA47C4" w:rsidP="00AA47C4">
      <w:pPr>
        <w:pStyle w:val="ListParagraph"/>
        <w:spacing w:line="360" w:lineRule="auto"/>
        <w:ind w:left="0"/>
        <w:jc w:val="both"/>
        <w:rPr>
          <w:rFonts w:ascii="Arial" w:hAnsi="Arial"/>
        </w:rPr>
      </w:pPr>
    </w:p>
    <w:p w14:paraId="6EB0B399" w14:textId="593299C9" w:rsidR="00AA47C4" w:rsidRPr="00BE0148" w:rsidRDefault="00BE0148" w:rsidP="00BE0148">
      <w:pPr>
        <w:spacing w:line="360" w:lineRule="auto"/>
        <w:jc w:val="both"/>
        <w:rPr>
          <w:rFonts w:ascii="Arial" w:hAnsi="Arial"/>
        </w:rPr>
      </w:pPr>
      <w:r>
        <w:rPr>
          <w:rFonts w:ascii="Arial" w:hAnsi="Arial"/>
        </w:rPr>
        <w:t>[32]</w:t>
      </w:r>
      <w:r>
        <w:rPr>
          <w:rFonts w:ascii="Arial" w:hAnsi="Arial"/>
        </w:rPr>
        <w:tab/>
      </w:r>
      <w:r w:rsidR="00633712" w:rsidRPr="00BE0148">
        <w:rPr>
          <w:rFonts w:ascii="Arial" w:hAnsi="Arial"/>
        </w:rPr>
        <w:t xml:space="preserve">In the premises, and based on the reasons stated above, I am of the considered view that the application for summary judgment ought to be dismissed. </w:t>
      </w:r>
      <w:r w:rsidR="00994C99" w:rsidRPr="00BE0148">
        <w:rPr>
          <w:rFonts w:ascii="Arial" w:hAnsi="Arial"/>
        </w:rPr>
        <w:t>The applicant failed to follow what are salutary requirements that may entitle a plaintiff to be granted summary judgment at the end of the day. With those glaring omissions in this case, the applicant’s case cannot be said to have left the starting blocks. In any event, t</w:t>
      </w:r>
      <w:r w:rsidR="00087E31" w:rsidRPr="00BE0148">
        <w:rPr>
          <w:rFonts w:ascii="Arial" w:hAnsi="Arial"/>
        </w:rPr>
        <w:t xml:space="preserve">he applicant, as shown above, does not have the right to revive the cause of action after the compromise. </w:t>
      </w:r>
    </w:p>
    <w:p w14:paraId="53C58695" w14:textId="77777777" w:rsidR="00994C99" w:rsidRPr="00994C99" w:rsidRDefault="00994C99" w:rsidP="00994C99">
      <w:pPr>
        <w:pStyle w:val="ListParagraph"/>
        <w:spacing w:line="360" w:lineRule="auto"/>
        <w:ind w:left="0"/>
        <w:jc w:val="both"/>
        <w:rPr>
          <w:rFonts w:ascii="Arial" w:hAnsi="Arial"/>
        </w:rPr>
      </w:pPr>
    </w:p>
    <w:p w14:paraId="34E24502" w14:textId="77777777" w:rsidR="00AA47C4" w:rsidRDefault="00AA47C4" w:rsidP="00AA47C4">
      <w:pPr>
        <w:spacing w:line="360" w:lineRule="auto"/>
        <w:jc w:val="both"/>
        <w:rPr>
          <w:rFonts w:ascii="Arial" w:hAnsi="Arial"/>
          <w:u w:val="single"/>
        </w:rPr>
      </w:pPr>
      <w:r>
        <w:rPr>
          <w:rFonts w:ascii="Arial" w:hAnsi="Arial"/>
          <w:u w:val="single"/>
        </w:rPr>
        <w:t xml:space="preserve">Order </w:t>
      </w:r>
    </w:p>
    <w:p w14:paraId="0BE6EB6C" w14:textId="77777777" w:rsidR="00AA47C4" w:rsidRDefault="00AA47C4" w:rsidP="00AA47C4">
      <w:pPr>
        <w:pStyle w:val="ListParagraph"/>
        <w:spacing w:line="360" w:lineRule="auto"/>
        <w:ind w:left="0"/>
        <w:jc w:val="both"/>
        <w:rPr>
          <w:rFonts w:ascii="Arial" w:hAnsi="Arial"/>
        </w:rPr>
      </w:pPr>
    </w:p>
    <w:p w14:paraId="51CD896A" w14:textId="0EF0E91D" w:rsidR="00633712" w:rsidRPr="00BE0148" w:rsidRDefault="00BE0148" w:rsidP="00BE0148">
      <w:pPr>
        <w:spacing w:line="360" w:lineRule="auto"/>
        <w:jc w:val="both"/>
        <w:rPr>
          <w:rFonts w:ascii="Arial" w:hAnsi="Arial"/>
        </w:rPr>
      </w:pPr>
      <w:r w:rsidRPr="00AA47C4">
        <w:rPr>
          <w:rFonts w:ascii="Arial" w:hAnsi="Arial"/>
        </w:rPr>
        <w:t>[33]</w:t>
      </w:r>
      <w:r w:rsidRPr="00AA47C4">
        <w:rPr>
          <w:rFonts w:ascii="Arial" w:hAnsi="Arial"/>
        </w:rPr>
        <w:tab/>
      </w:r>
      <w:r w:rsidR="00633712" w:rsidRPr="00BE0148">
        <w:rPr>
          <w:rFonts w:ascii="Arial" w:hAnsi="Arial"/>
        </w:rPr>
        <w:t>In view of the conclusion reached above, I am of the considered view that the following order is merited:</w:t>
      </w:r>
    </w:p>
    <w:p w14:paraId="551D8E75" w14:textId="77777777" w:rsidR="00633712" w:rsidRDefault="00633712" w:rsidP="00CC559B">
      <w:pPr>
        <w:spacing w:line="360" w:lineRule="auto"/>
        <w:jc w:val="both"/>
        <w:rPr>
          <w:rFonts w:ascii="Arial" w:hAnsi="Arial"/>
        </w:rPr>
      </w:pPr>
    </w:p>
    <w:p w14:paraId="684D6BB5" w14:textId="016B2A4E" w:rsidR="007D4918" w:rsidRPr="00BE0148" w:rsidRDefault="00BE0148" w:rsidP="00BE0148">
      <w:pPr>
        <w:spacing w:line="360" w:lineRule="auto"/>
        <w:ind w:left="720" w:hanging="360"/>
        <w:jc w:val="both"/>
        <w:rPr>
          <w:rFonts w:ascii="Arial" w:hAnsi="Arial"/>
        </w:rPr>
      </w:pPr>
      <w:r w:rsidRPr="00633712">
        <w:rPr>
          <w:rFonts w:ascii="Arial" w:hAnsi="Arial"/>
        </w:rPr>
        <w:t>1.</w:t>
      </w:r>
      <w:r w:rsidRPr="00633712">
        <w:rPr>
          <w:rFonts w:ascii="Arial" w:hAnsi="Arial"/>
        </w:rPr>
        <w:tab/>
      </w:r>
      <w:r w:rsidR="007D4918" w:rsidRPr="00BE0148">
        <w:rPr>
          <w:rFonts w:ascii="Arial" w:hAnsi="Arial"/>
        </w:rPr>
        <w:t>The application for summary judgment is refused.</w:t>
      </w:r>
    </w:p>
    <w:p w14:paraId="7D29E507" w14:textId="60792E62" w:rsidR="007D4918" w:rsidRPr="00BE0148" w:rsidRDefault="00BE0148" w:rsidP="00BE0148">
      <w:pPr>
        <w:spacing w:line="360" w:lineRule="auto"/>
        <w:ind w:left="720" w:hanging="360"/>
        <w:jc w:val="both"/>
        <w:rPr>
          <w:rFonts w:ascii="Arial" w:hAnsi="Arial"/>
        </w:rPr>
      </w:pPr>
      <w:r>
        <w:rPr>
          <w:rFonts w:ascii="Arial" w:hAnsi="Arial"/>
        </w:rPr>
        <w:t>2.</w:t>
      </w:r>
      <w:r>
        <w:rPr>
          <w:rFonts w:ascii="Arial" w:hAnsi="Arial"/>
        </w:rPr>
        <w:tab/>
      </w:r>
      <w:r w:rsidR="007D4918" w:rsidRPr="00BE0148">
        <w:rPr>
          <w:rFonts w:ascii="Arial" w:hAnsi="Arial"/>
        </w:rPr>
        <w:t>The applicant is ordered to pay the respondent’s costs.</w:t>
      </w:r>
    </w:p>
    <w:p w14:paraId="4B443B6C" w14:textId="76A9ECA5" w:rsidR="007D4918" w:rsidRPr="00BE0148" w:rsidRDefault="00BE0148" w:rsidP="00BE0148">
      <w:pPr>
        <w:spacing w:line="360" w:lineRule="auto"/>
        <w:ind w:left="720" w:hanging="360"/>
        <w:jc w:val="both"/>
        <w:rPr>
          <w:rFonts w:ascii="Arial" w:hAnsi="Arial"/>
        </w:rPr>
      </w:pPr>
      <w:r>
        <w:rPr>
          <w:rFonts w:ascii="Arial" w:hAnsi="Arial"/>
        </w:rPr>
        <w:t>3.</w:t>
      </w:r>
      <w:r>
        <w:rPr>
          <w:rFonts w:ascii="Arial" w:hAnsi="Arial"/>
        </w:rPr>
        <w:tab/>
      </w:r>
      <w:r w:rsidR="007D4918" w:rsidRPr="00BE0148">
        <w:rPr>
          <w:rFonts w:ascii="Arial" w:hAnsi="Arial"/>
        </w:rPr>
        <w:t>The parties are ordered to file a status report on or before 11 March 2024, regarding how they intend to conduct the matter henceforth.</w:t>
      </w:r>
    </w:p>
    <w:p w14:paraId="13A87E12" w14:textId="69A1F5D7" w:rsidR="007D4918" w:rsidRPr="00BE0148" w:rsidRDefault="00BE0148" w:rsidP="00BE0148">
      <w:pPr>
        <w:spacing w:line="360" w:lineRule="auto"/>
        <w:ind w:left="720" w:hanging="360"/>
        <w:jc w:val="both"/>
        <w:rPr>
          <w:rFonts w:ascii="Arial" w:hAnsi="Arial"/>
        </w:rPr>
      </w:pPr>
      <w:r>
        <w:rPr>
          <w:rFonts w:ascii="Arial" w:hAnsi="Arial"/>
        </w:rPr>
        <w:t>4.</w:t>
      </w:r>
      <w:r>
        <w:rPr>
          <w:rFonts w:ascii="Arial" w:hAnsi="Arial"/>
        </w:rPr>
        <w:tab/>
      </w:r>
      <w:r w:rsidR="007D4918" w:rsidRPr="00BE0148">
        <w:rPr>
          <w:rFonts w:ascii="Arial" w:hAnsi="Arial"/>
        </w:rPr>
        <w:t xml:space="preserve">The matter is postponed to </w:t>
      </w:r>
      <w:r w:rsidR="007D4918" w:rsidRPr="00BE0148">
        <w:rPr>
          <w:rFonts w:ascii="Arial" w:hAnsi="Arial"/>
          <w:b/>
        </w:rPr>
        <w:t>14 March 2024</w:t>
      </w:r>
      <w:r w:rsidR="007D4918" w:rsidRPr="00BE0148">
        <w:rPr>
          <w:rFonts w:ascii="Arial" w:hAnsi="Arial"/>
        </w:rPr>
        <w:t xml:space="preserve"> at </w:t>
      </w:r>
      <w:r w:rsidR="007D4918" w:rsidRPr="00BE0148">
        <w:rPr>
          <w:rFonts w:ascii="Arial" w:hAnsi="Arial"/>
          <w:b/>
        </w:rPr>
        <w:t>08h30</w:t>
      </w:r>
      <w:r w:rsidR="007D4918" w:rsidRPr="00BE0148">
        <w:rPr>
          <w:rFonts w:ascii="Arial" w:hAnsi="Arial"/>
        </w:rPr>
        <w:t xml:space="preserve"> for a status hearing.</w:t>
      </w:r>
    </w:p>
    <w:p w14:paraId="1AE13286" w14:textId="77777777" w:rsidR="00AA47C4" w:rsidRDefault="00AA47C4" w:rsidP="00AA47C4">
      <w:pPr>
        <w:spacing w:line="360" w:lineRule="auto"/>
        <w:jc w:val="both"/>
        <w:rPr>
          <w:rFonts w:ascii="Arial" w:hAnsi="Arial"/>
        </w:rPr>
      </w:pPr>
    </w:p>
    <w:p w14:paraId="38D60A27" w14:textId="77777777" w:rsidR="00AA47C4" w:rsidRDefault="00AA47C4" w:rsidP="00AA47C4">
      <w:pPr>
        <w:spacing w:line="360" w:lineRule="auto"/>
        <w:jc w:val="both"/>
        <w:rPr>
          <w:rFonts w:ascii="Arial" w:hAnsi="Arial"/>
        </w:rPr>
      </w:pPr>
    </w:p>
    <w:p w14:paraId="75946E9D" w14:textId="77777777" w:rsidR="00AA47C4" w:rsidRPr="0061040D" w:rsidRDefault="00AA47C4" w:rsidP="00AA47C4">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5A646975" w14:textId="77777777" w:rsidR="00AA47C4" w:rsidRPr="0061040D" w:rsidRDefault="00AA47C4" w:rsidP="00AA47C4">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592E810C" w14:textId="77777777" w:rsidR="00AA47C4" w:rsidRPr="0061040D" w:rsidRDefault="00AA47C4" w:rsidP="00AA47C4">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2CB34CC2" w14:textId="77777777" w:rsidR="00AA47C4" w:rsidRPr="00AA47C4" w:rsidRDefault="00AA47C4" w:rsidP="00AA47C4">
      <w:pPr>
        <w:spacing w:line="360" w:lineRule="auto"/>
        <w:jc w:val="both"/>
        <w:rPr>
          <w:rFonts w:ascii="Arial" w:hAnsi="Arial"/>
        </w:rPr>
      </w:pPr>
    </w:p>
    <w:p w14:paraId="14974E81" w14:textId="77777777" w:rsidR="004B6E70" w:rsidRPr="004B6E70" w:rsidRDefault="004B6E70" w:rsidP="00CC559B">
      <w:pPr>
        <w:spacing w:line="360" w:lineRule="auto"/>
        <w:jc w:val="both"/>
        <w:rPr>
          <w:rFonts w:ascii="Arial" w:hAnsi="Arial"/>
          <w:vertAlign w:val="subscript"/>
        </w:rPr>
      </w:pPr>
      <w:r>
        <w:rPr>
          <w:rFonts w:ascii="Arial" w:hAnsi="Arial"/>
        </w:rPr>
        <w:t xml:space="preserve"> </w:t>
      </w:r>
    </w:p>
    <w:p w14:paraId="0BAB677C" w14:textId="77777777" w:rsidR="003F77D6" w:rsidRDefault="003F77D6" w:rsidP="00CC559B">
      <w:pPr>
        <w:spacing w:line="360" w:lineRule="auto"/>
        <w:jc w:val="both"/>
        <w:rPr>
          <w:rFonts w:ascii="Arial" w:hAnsi="Arial"/>
        </w:rPr>
      </w:pPr>
    </w:p>
    <w:p w14:paraId="49ADB180" w14:textId="06504F4A" w:rsidR="00AA47C4" w:rsidRDefault="00AA47C4">
      <w:pPr>
        <w:rPr>
          <w:rFonts w:ascii="Arial" w:hAnsi="Arial"/>
        </w:rPr>
      </w:pPr>
      <w:r>
        <w:rPr>
          <w:rFonts w:ascii="Arial" w:hAnsi="Arial"/>
        </w:rPr>
        <w:br w:type="page"/>
      </w:r>
    </w:p>
    <w:p w14:paraId="653283D2" w14:textId="77777777" w:rsidR="00AA47C4" w:rsidRPr="0061040D" w:rsidRDefault="00AA47C4" w:rsidP="00AA47C4">
      <w:pPr>
        <w:jc w:val="both"/>
        <w:rPr>
          <w:rFonts w:ascii="Arial" w:hAnsi="Arial" w:cs="Arial"/>
          <w:color w:val="000000" w:themeColor="text1"/>
        </w:rPr>
      </w:pPr>
      <w:r>
        <w:rPr>
          <w:rFonts w:ascii="Arial" w:hAnsi="Arial" w:cs="Arial"/>
          <w:color w:val="000000" w:themeColor="text1"/>
        </w:rPr>
        <w:lastRenderedPageBreak/>
        <w:t>APP</w:t>
      </w:r>
      <w:r w:rsidRPr="0061040D">
        <w:rPr>
          <w:rFonts w:ascii="Arial" w:hAnsi="Arial" w:cs="Arial"/>
          <w:color w:val="000000" w:themeColor="text1"/>
        </w:rPr>
        <w:t>EARANCES</w:t>
      </w:r>
    </w:p>
    <w:p w14:paraId="5DF7EF4F" w14:textId="77777777" w:rsidR="00AA47C4" w:rsidRPr="0061040D" w:rsidRDefault="00AA47C4" w:rsidP="00AA47C4">
      <w:pPr>
        <w:spacing w:line="360" w:lineRule="auto"/>
        <w:jc w:val="both"/>
        <w:rPr>
          <w:rFonts w:ascii="Arial" w:hAnsi="Arial" w:cs="Arial"/>
          <w:color w:val="000000" w:themeColor="text1"/>
        </w:rPr>
      </w:pPr>
    </w:p>
    <w:p w14:paraId="0BA48DF5" w14:textId="585FFB1C" w:rsidR="00AA47C4" w:rsidRDefault="00AA47C4" w:rsidP="00AA47C4">
      <w:pPr>
        <w:spacing w:line="360" w:lineRule="auto"/>
        <w:jc w:val="both"/>
        <w:rPr>
          <w:rFonts w:ascii="Arial" w:hAnsi="Arial" w:cs="Arial"/>
          <w:color w:val="000000" w:themeColor="text1"/>
        </w:rPr>
      </w:pPr>
      <w:r>
        <w:rPr>
          <w:rFonts w:ascii="Arial" w:hAnsi="Arial" w:cs="Arial"/>
          <w:color w:val="000000" w:themeColor="text1"/>
        </w:rPr>
        <w:t>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7D4918">
        <w:rPr>
          <w:rFonts w:ascii="Arial" w:hAnsi="Arial" w:cs="Arial"/>
          <w:color w:val="000000" w:themeColor="text1"/>
        </w:rPr>
        <w:t>K Angula</w:t>
      </w:r>
    </w:p>
    <w:p w14:paraId="42E6A4D4" w14:textId="52F63A85" w:rsidR="00AA47C4" w:rsidRPr="0061040D" w:rsidRDefault="007D4918" w:rsidP="00AA47C4">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Of AngulaCo, Windhoek</w:t>
      </w:r>
      <w:r w:rsidR="00AA47C4">
        <w:rPr>
          <w:rFonts w:ascii="Arial" w:hAnsi="Arial" w:cs="Arial"/>
          <w:color w:val="000000" w:themeColor="text1"/>
        </w:rPr>
        <w:tab/>
      </w:r>
      <w:r w:rsidR="00AA47C4">
        <w:rPr>
          <w:rFonts w:ascii="Arial" w:hAnsi="Arial" w:cs="Arial"/>
          <w:color w:val="000000" w:themeColor="text1"/>
        </w:rPr>
        <w:tab/>
      </w:r>
      <w:r w:rsidR="00AA47C4">
        <w:rPr>
          <w:rFonts w:ascii="Arial" w:hAnsi="Arial" w:cs="Arial"/>
          <w:color w:val="000000" w:themeColor="text1"/>
        </w:rPr>
        <w:tab/>
      </w:r>
    </w:p>
    <w:p w14:paraId="254E3508" w14:textId="77777777" w:rsidR="00AA47C4" w:rsidRDefault="00AA47C4" w:rsidP="00AA47C4">
      <w:pPr>
        <w:spacing w:line="360" w:lineRule="auto"/>
        <w:jc w:val="both"/>
        <w:rPr>
          <w:rFonts w:ascii="Arial" w:hAnsi="Arial" w:cs="Arial"/>
          <w:color w:val="000000" w:themeColor="text1"/>
        </w:rPr>
      </w:pPr>
    </w:p>
    <w:p w14:paraId="4455297B" w14:textId="77777777" w:rsidR="00AA47C4" w:rsidRDefault="00AA47C4" w:rsidP="00AA47C4">
      <w:pPr>
        <w:spacing w:line="360" w:lineRule="auto"/>
        <w:jc w:val="both"/>
        <w:rPr>
          <w:rFonts w:ascii="Arial" w:hAnsi="Arial" w:cs="Arial"/>
          <w:color w:val="000000" w:themeColor="text1"/>
        </w:rPr>
      </w:pPr>
    </w:p>
    <w:p w14:paraId="122528A8" w14:textId="3BF376FA" w:rsidR="00AA47C4" w:rsidRDefault="00AA47C4" w:rsidP="00AA47C4">
      <w:pPr>
        <w:spacing w:line="360" w:lineRule="auto"/>
        <w:jc w:val="both"/>
        <w:rPr>
          <w:rFonts w:ascii="Arial" w:hAnsi="Arial" w:cs="Arial"/>
          <w:color w:val="000000" w:themeColor="text1"/>
        </w:rPr>
      </w:pPr>
      <w:r>
        <w:rPr>
          <w:rFonts w:ascii="Arial" w:hAnsi="Arial" w:cs="Arial"/>
          <w:color w:val="000000" w:themeColor="text1"/>
        </w:rPr>
        <w:t>RESPONDENT</w:t>
      </w:r>
      <w:r w:rsidRPr="0061040D">
        <w:rPr>
          <w:rFonts w:ascii="Arial" w:hAnsi="Arial" w:cs="Arial"/>
          <w:color w:val="000000" w:themeColor="text1"/>
        </w:rPr>
        <w:t>:</w:t>
      </w:r>
      <w:r w:rsidRPr="0061040D">
        <w:rPr>
          <w:rFonts w:ascii="Arial" w:hAnsi="Arial" w:cs="Arial"/>
          <w:color w:val="000000" w:themeColor="text1"/>
        </w:rPr>
        <w:tab/>
      </w:r>
      <w:r w:rsidR="007D4918">
        <w:rPr>
          <w:rFonts w:ascii="Arial" w:hAnsi="Arial" w:cs="Arial"/>
          <w:color w:val="000000" w:themeColor="text1"/>
        </w:rPr>
        <w:tab/>
        <w:t>M Amupolo</w:t>
      </w:r>
      <w:r>
        <w:rPr>
          <w:rFonts w:ascii="Arial" w:hAnsi="Arial" w:cs="Arial"/>
          <w:color w:val="000000" w:themeColor="text1"/>
        </w:rPr>
        <w:tab/>
      </w:r>
      <w:r>
        <w:rPr>
          <w:rFonts w:ascii="Arial" w:hAnsi="Arial" w:cs="Arial"/>
          <w:color w:val="000000" w:themeColor="text1"/>
        </w:rPr>
        <w:tab/>
      </w:r>
    </w:p>
    <w:p w14:paraId="369567C2" w14:textId="2867C884" w:rsidR="00AA47C4" w:rsidRPr="0078347D" w:rsidRDefault="00AA47C4" w:rsidP="007D4918">
      <w:pPr>
        <w:rPr>
          <w:rFonts w:ascii="Arial" w:eastAsia="Calibri" w:hAnsi="Arial" w:cs="Arial"/>
          <w:bCs/>
        </w:rPr>
      </w:pPr>
      <w:r>
        <w:rPr>
          <w:rFonts w:ascii="Arial" w:hAnsi="Arial" w:cs="Arial"/>
          <w:color w:val="000000" w:themeColor="text1"/>
        </w:rPr>
        <w:t>Instructed by:</w:t>
      </w:r>
      <w:r w:rsidR="007D4918">
        <w:rPr>
          <w:rFonts w:ascii="Arial" w:hAnsi="Arial" w:cs="Arial"/>
          <w:color w:val="000000" w:themeColor="text1"/>
        </w:rPr>
        <w:tab/>
      </w:r>
      <w:r w:rsidR="007D4918">
        <w:rPr>
          <w:rFonts w:ascii="Arial" w:hAnsi="Arial" w:cs="Arial"/>
          <w:color w:val="000000" w:themeColor="text1"/>
        </w:rPr>
        <w:tab/>
      </w:r>
      <w:r w:rsidR="007D4918" w:rsidRPr="007D4918">
        <w:rPr>
          <w:rFonts w:ascii="Arial" w:hAnsi="Arial" w:cs="Arial"/>
          <w:shd w:val="clear" w:color="auto" w:fill="FFFFFF"/>
        </w:rPr>
        <w:t>Inonge Mainga Attorneys</w:t>
      </w:r>
      <w:r w:rsidR="007D4918">
        <w:rPr>
          <w:rFonts w:ascii="Arial" w:hAnsi="Arial" w:cs="Arial"/>
          <w:color w:val="000000" w:themeColor="text1"/>
        </w:rPr>
        <w:t>, Windhoek</w:t>
      </w:r>
      <w:r>
        <w:rPr>
          <w:rFonts w:ascii="Arial" w:hAnsi="Arial" w:cs="Arial"/>
          <w:color w:val="000000" w:themeColor="text1"/>
        </w:rPr>
        <w:tab/>
      </w:r>
    </w:p>
    <w:p w14:paraId="51FE8A8C" w14:textId="77777777" w:rsidR="003F77D6" w:rsidRPr="00ED1B43" w:rsidRDefault="003F77D6" w:rsidP="00CC559B">
      <w:pPr>
        <w:spacing w:line="360" w:lineRule="auto"/>
        <w:jc w:val="both"/>
        <w:rPr>
          <w:rFonts w:ascii="Arial" w:hAnsi="Arial"/>
        </w:rPr>
      </w:pPr>
    </w:p>
    <w:sectPr w:rsidR="003F77D6" w:rsidRPr="00ED1B43" w:rsidSect="008134A8">
      <w:headerReference w:type="defaul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E79A" w14:textId="77777777" w:rsidR="00E8340C" w:rsidRDefault="00E8340C" w:rsidP="00C468CB">
      <w:r>
        <w:separator/>
      </w:r>
    </w:p>
  </w:endnote>
  <w:endnote w:type="continuationSeparator" w:id="0">
    <w:p w14:paraId="289A020A" w14:textId="77777777" w:rsidR="00E8340C" w:rsidRDefault="00E8340C" w:rsidP="00C4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C5A7" w14:textId="77777777" w:rsidR="00E8340C" w:rsidRDefault="00E8340C" w:rsidP="00C468CB">
      <w:r>
        <w:separator/>
      </w:r>
    </w:p>
  </w:footnote>
  <w:footnote w:type="continuationSeparator" w:id="0">
    <w:p w14:paraId="1F3C970E" w14:textId="77777777" w:rsidR="00E8340C" w:rsidRDefault="00E8340C" w:rsidP="00C468CB">
      <w:r>
        <w:continuationSeparator/>
      </w:r>
    </w:p>
  </w:footnote>
  <w:footnote w:id="1">
    <w:p w14:paraId="356FBBA2" w14:textId="3F110545" w:rsidR="00316E35" w:rsidRPr="00AA47C4" w:rsidRDefault="00316E35">
      <w:pPr>
        <w:pStyle w:val="FootnoteText"/>
        <w:rPr>
          <w:rFonts w:ascii="Arial" w:hAnsi="Arial" w:cs="Arial"/>
          <w:sz w:val="20"/>
          <w:szCs w:val="20"/>
          <w:lang w:val="en-US"/>
        </w:rPr>
      </w:pPr>
      <w:r w:rsidRPr="00AA47C4">
        <w:rPr>
          <w:rStyle w:val="FootnoteReference"/>
          <w:rFonts w:ascii="Arial" w:hAnsi="Arial" w:cs="Arial"/>
          <w:sz w:val="20"/>
          <w:szCs w:val="20"/>
        </w:rPr>
        <w:footnoteRef/>
      </w:r>
      <w:r w:rsidRPr="00AA47C4">
        <w:rPr>
          <w:rFonts w:ascii="Arial" w:hAnsi="Arial" w:cs="Arial"/>
          <w:sz w:val="20"/>
          <w:szCs w:val="20"/>
        </w:rPr>
        <w:t xml:space="preserve"> </w:t>
      </w:r>
      <w:r w:rsidRPr="00AA47C4">
        <w:rPr>
          <w:rFonts w:ascii="Arial" w:hAnsi="Arial" w:cs="Arial"/>
          <w:i/>
          <w:sz w:val="20"/>
          <w:szCs w:val="20"/>
        </w:rPr>
        <w:t>Builders Centre (Pty) Ltd v Fysal Fresh Produce</w:t>
      </w:r>
      <w:r w:rsidRPr="00AA47C4">
        <w:rPr>
          <w:rFonts w:ascii="Arial" w:hAnsi="Arial" w:cs="Arial"/>
          <w:sz w:val="20"/>
          <w:szCs w:val="20"/>
          <w:lang w:val="en-US"/>
        </w:rPr>
        <w:t xml:space="preserve"> HC-MD-CIV-ACT-CON-2020/00303 [2021] NAHCMD 49 (31 May 2021).</w:t>
      </w:r>
    </w:p>
  </w:footnote>
  <w:footnote w:id="2">
    <w:p w14:paraId="534EB9B8" w14:textId="6FFB90F2" w:rsidR="00316E35" w:rsidRPr="00AA47C4" w:rsidRDefault="00316E35">
      <w:pPr>
        <w:pStyle w:val="FootnoteText"/>
        <w:rPr>
          <w:rFonts w:ascii="Arial" w:hAnsi="Arial" w:cs="Arial"/>
          <w:sz w:val="20"/>
          <w:szCs w:val="20"/>
          <w:lang w:val="en-US"/>
        </w:rPr>
      </w:pPr>
      <w:r>
        <w:rPr>
          <w:rStyle w:val="FootnoteReference"/>
        </w:rPr>
        <w:footnoteRef/>
      </w:r>
      <w:r>
        <w:t xml:space="preserve"> </w:t>
      </w:r>
      <w:r>
        <w:rPr>
          <w:rFonts w:ascii="Arial" w:hAnsi="Arial" w:cs="Arial"/>
          <w:i/>
          <w:sz w:val="20"/>
          <w:szCs w:val="20"/>
        </w:rPr>
        <w:t>Hoff v Hof</w:t>
      </w:r>
      <w:r w:rsidRPr="00AA47C4">
        <w:rPr>
          <w:rFonts w:ascii="Arial" w:hAnsi="Arial" w:cs="Arial"/>
          <w:i/>
          <w:sz w:val="20"/>
          <w:szCs w:val="20"/>
        </w:rPr>
        <w:t>f</w:t>
      </w:r>
      <w:r w:rsidRPr="00AA47C4">
        <w:rPr>
          <w:rFonts w:ascii="Arial" w:hAnsi="Arial" w:cs="Arial"/>
          <w:sz w:val="20"/>
          <w:szCs w:val="20"/>
          <w:lang w:val="en-US"/>
        </w:rPr>
        <w:t xml:space="preserve"> HC-MD-CIV-ACT-CON-2018/04966) [2021] NAHCMD 555 (30 November 2018), para 30.</w:t>
      </w:r>
    </w:p>
  </w:footnote>
  <w:footnote w:id="3">
    <w:p w14:paraId="51E80785" w14:textId="29AD8F51" w:rsidR="00316E35" w:rsidRPr="00AA47C4" w:rsidRDefault="00316E35">
      <w:pPr>
        <w:pStyle w:val="FootnoteText"/>
        <w:rPr>
          <w:rFonts w:ascii="Arial" w:hAnsi="Arial" w:cs="Arial"/>
          <w:sz w:val="20"/>
          <w:szCs w:val="20"/>
          <w:lang w:val="en-US"/>
        </w:rPr>
      </w:pPr>
      <w:r w:rsidRPr="00AA47C4">
        <w:rPr>
          <w:rStyle w:val="FootnoteReference"/>
          <w:rFonts w:ascii="Arial" w:hAnsi="Arial" w:cs="Arial"/>
          <w:sz w:val="20"/>
          <w:szCs w:val="20"/>
        </w:rPr>
        <w:footnoteRef/>
      </w:r>
      <w:r w:rsidRPr="00AA47C4">
        <w:rPr>
          <w:rFonts w:ascii="Arial" w:hAnsi="Arial" w:cs="Arial"/>
          <w:sz w:val="20"/>
          <w:szCs w:val="20"/>
        </w:rPr>
        <w:t xml:space="preserve"> </w:t>
      </w:r>
      <w:r w:rsidRPr="00AA47C4">
        <w:rPr>
          <w:rFonts w:ascii="Arial" w:hAnsi="Arial" w:cs="Arial"/>
          <w:i/>
          <w:sz w:val="20"/>
          <w:szCs w:val="20"/>
        </w:rPr>
        <w:t>PL v YL</w:t>
      </w:r>
      <w:r w:rsidRPr="00AA47C4">
        <w:rPr>
          <w:rFonts w:ascii="Arial" w:hAnsi="Arial" w:cs="Arial"/>
          <w:sz w:val="20"/>
          <w:szCs w:val="20"/>
          <w:lang w:val="en-US"/>
        </w:rPr>
        <w:t xml:space="preserve"> 2013 (6) SA 28 (ECG) at 48D-H.</w:t>
      </w:r>
    </w:p>
  </w:footnote>
  <w:footnote w:id="4">
    <w:p w14:paraId="68BC6E66" w14:textId="56FEEE53" w:rsidR="0050319F" w:rsidRPr="0050319F" w:rsidRDefault="0050319F">
      <w:pPr>
        <w:pStyle w:val="FootnoteText"/>
        <w:rPr>
          <w:rFonts w:ascii="Arial" w:hAnsi="Arial" w:cs="Arial"/>
          <w:sz w:val="20"/>
          <w:szCs w:val="20"/>
          <w:lang w:val="en-US"/>
        </w:rPr>
      </w:pPr>
      <w:r>
        <w:rPr>
          <w:rStyle w:val="FootnoteReference"/>
        </w:rPr>
        <w:footnoteRef/>
      </w:r>
      <w:r>
        <w:t xml:space="preserve"> </w:t>
      </w:r>
      <w:r w:rsidRPr="0050319F">
        <w:rPr>
          <w:rFonts w:ascii="Arial" w:hAnsi="Arial" w:cs="Arial"/>
          <w:i/>
          <w:sz w:val="20"/>
          <w:szCs w:val="20"/>
          <w:lang w:val="en-US"/>
        </w:rPr>
        <w:t>Karston v Minister of Public Works</w:t>
      </w:r>
      <w:r>
        <w:rPr>
          <w:rFonts w:ascii="Arial" w:hAnsi="Arial" w:cs="Arial"/>
          <w:sz w:val="20"/>
          <w:szCs w:val="20"/>
          <w:lang w:val="en-US"/>
        </w:rPr>
        <w:t xml:space="preserve"> 1996 (1) SA 887, p 893F-H.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381743"/>
      <w:docPartObj>
        <w:docPartGallery w:val="Page Numbers (Top of Page)"/>
        <w:docPartUnique/>
      </w:docPartObj>
    </w:sdtPr>
    <w:sdtEndPr>
      <w:rPr>
        <w:rFonts w:ascii="Arial" w:hAnsi="Arial" w:cs="Arial"/>
        <w:noProof/>
      </w:rPr>
    </w:sdtEndPr>
    <w:sdtContent>
      <w:p w14:paraId="5DFA96CE" w14:textId="2EC49AC4" w:rsidR="008134A8" w:rsidRPr="008134A8" w:rsidRDefault="008134A8">
        <w:pPr>
          <w:pStyle w:val="Header"/>
          <w:jc w:val="right"/>
          <w:rPr>
            <w:rFonts w:ascii="Arial" w:hAnsi="Arial" w:cs="Arial"/>
          </w:rPr>
        </w:pPr>
        <w:r w:rsidRPr="008134A8">
          <w:rPr>
            <w:rFonts w:ascii="Arial" w:hAnsi="Arial" w:cs="Arial"/>
          </w:rPr>
          <w:fldChar w:fldCharType="begin"/>
        </w:r>
        <w:r w:rsidRPr="008134A8">
          <w:rPr>
            <w:rFonts w:ascii="Arial" w:hAnsi="Arial" w:cs="Arial"/>
          </w:rPr>
          <w:instrText xml:space="preserve"> PAGE   \* MERGEFORMAT </w:instrText>
        </w:r>
        <w:r w:rsidRPr="008134A8">
          <w:rPr>
            <w:rFonts w:ascii="Arial" w:hAnsi="Arial" w:cs="Arial"/>
          </w:rPr>
          <w:fldChar w:fldCharType="separate"/>
        </w:r>
        <w:r w:rsidR="00BF4632">
          <w:rPr>
            <w:rFonts w:ascii="Arial" w:hAnsi="Arial" w:cs="Arial"/>
            <w:noProof/>
          </w:rPr>
          <w:t>3</w:t>
        </w:r>
        <w:r w:rsidRPr="008134A8">
          <w:rPr>
            <w:rFonts w:ascii="Arial" w:hAnsi="Arial" w:cs="Arial"/>
            <w:noProof/>
          </w:rPr>
          <w:fldChar w:fldCharType="end"/>
        </w:r>
      </w:p>
    </w:sdtContent>
  </w:sdt>
  <w:p w14:paraId="7598435A" w14:textId="77777777" w:rsidR="008134A8" w:rsidRDefault="0081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2D7D"/>
    <w:multiLevelType w:val="hybridMultilevel"/>
    <w:tmpl w:val="FEEA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85B50"/>
    <w:multiLevelType w:val="hybridMultilevel"/>
    <w:tmpl w:val="FEEA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C583E"/>
    <w:multiLevelType w:val="hybridMultilevel"/>
    <w:tmpl w:val="E3F24FEE"/>
    <w:lvl w:ilvl="0" w:tplc="C5D4F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45A25"/>
    <w:multiLevelType w:val="hybridMultilevel"/>
    <w:tmpl w:val="DF80CAC6"/>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085662">
    <w:abstractNumId w:val="2"/>
  </w:num>
  <w:num w:numId="2" w16cid:durableId="2047757974">
    <w:abstractNumId w:val="0"/>
  </w:num>
  <w:num w:numId="3" w16cid:durableId="1246956926">
    <w:abstractNumId w:val="3"/>
  </w:num>
  <w:num w:numId="4" w16cid:durableId="100436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F34"/>
    <w:rsid w:val="00005F1D"/>
    <w:rsid w:val="000179E5"/>
    <w:rsid w:val="00035893"/>
    <w:rsid w:val="00087E31"/>
    <w:rsid w:val="000C2CBD"/>
    <w:rsid w:val="000E7748"/>
    <w:rsid w:val="0012303C"/>
    <w:rsid w:val="00134875"/>
    <w:rsid w:val="0017131D"/>
    <w:rsid w:val="00185987"/>
    <w:rsid w:val="001B3EC5"/>
    <w:rsid w:val="001B49B4"/>
    <w:rsid w:val="001B5E31"/>
    <w:rsid w:val="002475F6"/>
    <w:rsid w:val="00311908"/>
    <w:rsid w:val="00316E35"/>
    <w:rsid w:val="003556ED"/>
    <w:rsid w:val="0036490D"/>
    <w:rsid w:val="0038690C"/>
    <w:rsid w:val="003C1A64"/>
    <w:rsid w:val="003C6B53"/>
    <w:rsid w:val="003F77D6"/>
    <w:rsid w:val="004A11B1"/>
    <w:rsid w:val="004A3297"/>
    <w:rsid w:val="004B6E70"/>
    <w:rsid w:val="0050319F"/>
    <w:rsid w:val="00553696"/>
    <w:rsid w:val="00587F0B"/>
    <w:rsid w:val="005B2F2E"/>
    <w:rsid w:val="00610A0D"/>
    <w:rsid w:val="00633712"/>
    <w:rsid w:val="00650632"/>
    <w:rsid w:val="00665ED5"/>
    <w:rsid w:val="00677514"/>
    <w:rsid w:val="006E486A"/>
    <w:rsid w:val="007B1EB6"/>
    <w:rsid w:val="007D0ECC"/>
    <w:rsid w:val="007D4918"/>
    <w:rsid w:val="007D6657"/>
    <w:rsid w:val="007E14CE"/>
    <w:rsid w:val="00804444"/>
    <w:rsid w:val="008134A8"/>
    <w:rsid w:val="00875B70"/>
    <w:rsid w:val="00894B6D"/>
    <w:rsid w:val="00915BBB"/>
    <w:rsid w:val="009726B0"/>
    <w:rsid w:val="00994C99"/>
    <w:rsid w:val="009B3B5A"/>
    <w:rsid w:val="009B447B"/>
    <w:rsid w:val="009B71BD"/>
    <w:rsid w:val="009D5C9F"/>
    <w:rsid w:val="009F4F34"/>
    <w:rsid w:val="00A165D4"/>
    <w:rsid w:val="00AA47C4"/>
    <w:rsid w:val="00AF346F"/>
    <w:rsid w:val="00B45245"/>
    <w:rsid w:val="00B609BE"/>
    <w:rsid w:val="00BC7E9E"/>
    <w:rsid w:val="00BE0148"/>
    <w:rsid w:val="00BF4632"/>
    <w:rsid w:val="00BF6DEF"/>
    <w:rsid w:val="00C468CB"/>
    <w:rsid w:val="00C740A0"/>
    <w:rsid w:val="00C972B0"/>
    <w:rsid w:val="00C97AC2"/>
    <w:rsid w:val="00CA528C"/>
    <w:rsid w:val="00CC559B"/>
    <w:rsid w:val="00CF285D"/>
    <w:rsid w:val="00D71D78"/>
    <w:rsid w:val="00D826C1"/>
    <w:rsid w:val="00D92B51"/>
    <w:rsid w:val="00DA3658"/>
    <w:rsid w:val="00E829A0"/>
    <w:rsid w:val="00E8340C"/>
    <w:rsid w:val="00E90AF9"/>
    <w:rsid w:val="00EC1216"/>
    <w:rsid w:val="00ED18D6"/>
    <w:rsid w:val="00ED1B43"/>
    <w:rsid w:val="00F336A5"/>
    <w:rsid w:val="00F53E95"/>
    <w:rsid w:val="00F81381"/>
    <w:rsid w:val="00FF3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7D8B0"/>
  <w14:defaultImageDpi w14:val="300"/>
  <w15:docId w15:val="{8672D552-DCF1-4BDB-95D6-65F5A4D7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EC5"/>
    <w:pPr>
      <w:ind w:left="720"/>
      <w:contextualSpacing/>
    </w:pPr>
  </w:style>
  <w:style w:type="paragraph" w:styleId="FootnoteText">
    <w:name w:val="footnote text"/>
    <w:basedOn w:val="Normal"/>
    <w:link w:val="FootnoteTextChar"/>
    <w:uiPriority w:val="99"/>
    <w:unhideWhenUsed/>
    <w:rsid w:val="00C468CB"/>
  </w:style>
  <w:style w:type="character" w:customStyle="1" w:styleId="FootnoteTextChar">
    <w:name w:val="Footnote Text Char"/>
    <w:basedOn w:val="DefaultParagraphFont"/>
    <w:link w:val="FootnoteText"/>
    <w:uiPriority w:val="99"/>
    <w:rsid w:val="00C468CB"/>
  </w:style>
  <w:style w:type="character" w:styleId="FootnoteReference">
    <w:name w:val="footnote reference"/>
    <w:basedOn w:val="DefaultParagraphFont"/>
    <w:uiPriority w:val="99"/>
    <w:unhideWhenUsed/>
    <w:rsid w:val="00C468CB"/>
    <w:rPr>
      <w:vertAlign w:val="superscript"/>
    </w:rPr>
  </w:style>
  <w:style w:type="paragraph" w:styleId="BalloonText">
    <w:name w:val="Balloon Text"/>
    <w:basedOn w:val="Normal"/>
    <w:link w:val="BalloonTextChar"/>
    <w:uiPriority w:val="99"/>
    <w:semiHidden/>
    <w:unhideWhenUsed/>
    <w:rsid w:val="00F336A5"/>
    <w:rPr>
      <w:rFonts w:ascii="Lucida Grande" w:hAnsi="Lucida Grande"/>
      <w:sz w:val="18"/>
      <w:szCs w:val="18"/>
    </w:rPr>
  </w:style>
  <w:style w:type="character" w:customStyle="1" w:styleId="BalloonTextChar">
    <w:name w:val="Balloon Text Char"/>
    <w:basedOn w:val="DefaultParagraphFont"/>
    <w:link w:val="BalloonText"/>
    <w:uiPriority w:val="99"/>
    <w:semiHidden/>
    <w:rsid w:val="00F336A5"/>
    <w:rPr>
      <w:rFonts w:ascii="Lucida Grande" w:hAnsi="Lucida Grande"/>
      <w:sz w:val="18"/>
      <w:szCs w:val="18"/>
    </w:rPr>
  </w:style>
  <w:style w:type="paragraph" w:styleId="Header">
    <w:name w:val="header"/>
    <w:basedOn w:val="Normal"/>
    <w:link w:val="HeaderChar"/>
    <w:uiPriority w:val="99"/>
    <w:unhideWhenUsed/>
    <w:rsid w:val="008134A8"/>
    <w:pPr>
      <w:tabs>
        <w:tab w:val="center" w:pos="4680"/>
        <w:tab w:val="right" w:pos="9360"/>
      </w:tabs>
    </w:pPr>
  </w:style>
  <w:style w:type="character" w:customStyle="1" w:styleId="HeaderChar">
    <w:name w:val="Header Char"/>
    <w:basedOn w:val="DefaultParagraphFont"/>
    <w:link w:val="Header"/>
    <w:uiPriority w:val="99"/>
    <w:rsid w:val="008134A8"/>
  </w:style>
  <w:style w:type="paragraph" w:styleId="Footer">
    <w:name w:val="footer"/>
    <w:basedOn w:val="Normal"/>
    <w:link w:val="FooterChar"/>
    <w:uiPriority w:val="99"/>
    <w:unhideWhenUsed/>
    <w:rsid w:val="008134A8"/>
    <w:pPr>
      <w:tabs>
        <w:tab w:val="center" w:pos="4680"/>
        <w:tab w:val="right" w:pos="9360"/>
      </w:tabs>
    </w:pPr>
  </w:style>
  <w:style w:type="character" w:customStyle="1" w:styleId="FooterChar">
    <w:name w:val="Footer Char"/>
    <w:basedOn w:val="DefaultParagraphFont"/>
    <w:link w:val="Footer"/>
    <w:uiPriority w:val="99"/>
    <w:rsid w:val="0081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2024-02-21T18:30:00+00:00</Judgment_x0020_Date>
    <Year xmlns="c1afb1bd-f2fb-40fd-9abb-aea55b4d7662">2024</Year>
  </documentManagement>
</p:properties>
</file>

<file path=customXml/itemProps1.xml><?xml version="1.0" encoding="utf-8"?>
<ds:datastoreItem xmlns:ds="http://schemas.openxmlformats.org/officeDocument/2006/customXml" ds:itemID="{AA82072A-D7D6-4D14-923E-E127579724CC}">
  <ds:schemaRefs>
    <ds:schemaRef ds:uri="http://schemas.openxmlformats.org/officeDocument/2006/bibliography"/>
  </ds:schemaRefs>
</ds:datastoreItem>
</file>

<file path=customXml/itemProps2.xml><?xml version="1.0" encoding="utf-8"?>
<ds:datastoreItem xmlns:ds="http://schemas.openxmlformats.org/officeDocument/2006/customXml" ds:itemID="{512D2FD2-C9E2-46E7-94A1-768675ED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5CD42-0246-4408-A589-0219BBB418F1}">
  <ds:schemaRefs>
    <ds:schemaRef ds:uri="http://schemas.microsoft.com/sharepoint/v3/contenttype/forms"/>
  </ds:schemaRefs>
</ds:datastoreItem>
</file>

<file path=customXml/itemProps4.xml><?xml version="1.0" encoding="utf-8"?>
<ds:datastoreItem xmlns:ds="http://schemas.openxmlformats.org/officeDocument/2006/customXml" ds:itemID="{3546DAFF-0147-4C50-85A1-EC13A111B4B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of Namibia Limited v Sinvula (HC-MD-CIV-ACT-CON-2021-03376) [2024] NAHCMD 67 (22 February 2024)</dc:title>
  <dc:subject/>
  <dc:creator>Thomas Masuku</dc:creator>
  <cp:keywords/>
  <dc:description/>
  <cp:lastModifiedBy>Mariana Anguelov</cp:lastModifiedBy>
  <cp:revision>6</cp:revision>
  <cp:lastPrinted>2024-02-22T08:21:00Z</cp:lastPrinted>
  <dcterms:created xsi:type="dcterms:W3CDTF">2024-02-22T08:53:00Z</dcterms:created>
  <dcterms:modified xsi:type="dcterms:W3CDTF">2024-02-27T11:43:00Z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