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C3" w:rsidRPr="00962243" w:rsidRDefault="00E554C3" w:rsidP="00E554C3">
      <w:pPr>
        <w:spacing w:after="0" w:line="360" w:lineRule="auto"/>
        <w:jc w:val="center"/>
        <w:rPr>
          <w:rFonts w:ascii="Arial" w:eastAsia="Calibri" w:hAnsi="Arial" w:cs="Arial"/>
          <w:sz w:val="24"/>
          <w:szCs w:val="24"/>
          <w:lang w:val="en-US"/>
        </w:rPr>
      </w:pPr>
      <w:r>
        <w:rPr>
          <w:rFonts w:ascii="Arial" w:eastAsia="Calibri" w:hAnsi="Arial" w:cs="Arial"/>
          <w:b/>
          <w:sz w:val="24"/>
          <w:szCs w:val="24"/>
          <w:lang w:val="en-US"/>
        </w:rPr>
        <w:t xml:space="preserve">                                                                      </w:t>
      </w:r>
      <w:r>
        <w:rPr>
          <w:rFonts w:ascii="Arial" w:eastAsia="Calibri" w:hAnsi="Arial" w:cs="Arial"/>
          <w:sz w:val="24"/>
          <w:szCs w:val="24"/>
          <w:lang w:val="en-US"/>
        </w:rPr>
        <w:t>REPORTABLE</w:t>
      </w:r>
    </w:p>
    <w:p w:rsidR="00E554C3" w:rsidRPr="000F2EBE" w:rsidRDefault="00E554C3" w:rsidP="00E554C3">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0491C91F" wp14:editId="67DD5245">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554C3" w:rsidRDefault="00E554C3" w:rsidP="00E554C3">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91C91F"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E554C3" w:rsidRDefault="00E554C3" w:rsidP="00E554C3">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E554C3" w:rsidRPr="000F2EBE" w:rsidRDefault="00E554C3" w:rsidP="00E554C3">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30AA211F" wp14:editId="09C56600">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554C3" w:rsidRPr="000F2EBE" w:rsidRDefault="00E554C3" w:rsidP="00E554C3">
      <w:pPr>
        <w:spacing w:after="0" w:line="240" w:lineRule="auto"/>
        <w:jc w:val="center"/>
        <w:rPr>
          <w:rFonts w:ascii="Arial" w:eastAsia="Calibri" w:hAnsi="Arial" w:cs="Arial"/>
          <w:b/>
          <w:sz w:val="28"/>
          <w:szCs w:val="32"/>
          <w:lang w:val="en-US"/>
        </w:rPr>
      </w:pPr>
    </w:p>
    <w:p w:rsidR="00E554C3" w:rsidRPr="000F2EBE" w:rsidRDefault="00E554C3" w:rsidP="00E554C3">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E554C3" w:rsidRPr="000F2EBE" w:rsidRDefault="00E554C3" w:rsidP="00E554C3">
      <w:pPr>
        <w:spacing w:after="0" w:line="240" w:lineRule="auto"/>
        <w:jc w:val="center"/>
        <w:rPr>
          <w:rFonts w:ascii="Arial" w:eastAsia="Calibri" w:hAnsi="Arial" w:cs="Arial"/>
          <w:b/>
          <w:sz w:val="24"/>
          <w:szCs w:val="24"/>
          <w:lang w:val="en-US"/>
        </w:rPr>
      </w:pPr>
    </w:p>
    <w:p w:rsidR="00E554C3" w:rsidRPr="000F2EBE" w:rsidRDefault="00E554C3" w:rsidP="00E554C3">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E554C3" w:rsidRPr="000F2EBE" w:rsidRDefault="00E554C3" w:rsidP="00E554C3">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E554C3" w:rsidRPr="000F2EBE" w:rsidRDefault="00E554C3" w:rsidP="00E554C3">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41/2015</w:t>
      </w:r>
    </w:p>
    <w:p w:rsidR="00E554C3" w:rsidRPr="000F2EBE" w:rsidRDefault="00E554C3" w:rsidP="00E554C3">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E554C3" w:rsidRPr="000F2EBE" w:rsidRDefault="00E554C3" w:rsidP="00E554C3">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E554C3" w:rsidRPr="000F2EBE" w:rsidRDefault="00E554C3" w:rsidP="00E554C3">
      <w:pPr>
        <w:spacing w:after="0" w:line="360" w:lineRule="auto"/>
        <w:rPr>
          <w:rFonts w:ascii="Arial" w:eastAsia="Calibri" w:hAnsi="Arial" w:cs="Arial"/>
          <w:sz w:val="24"/>
          <w:szCs w:val="24"/>
          <w:lang w:val="en-US"/>
        </w:rPr>
      </w:pPr>
    </w:p>
    <w:p w:rsidR="00E554C3" w:rsidRPr="005C4878" w:rsidRDefault="00E554C3" w:rsidP="00E554C3">
      <w:pPr>
        <w:tabs>
          <w:tab w:val="right" w:pos="9356"/>
        </w:tabs>
        <w:spacing w:after="0" w:line="360" w:lineRule="auto"/>
        <w:jc w:val="both"/>
        <w:rPr>
          <w:rFonts w:ascii="Arial" w:hAnsi="Arial" w:cs="Arial"/>
          <w:b/>
          <w:sz w:val="16"/>
          <w:szCs w:val="16"/>
        </w:rPr>
      </w:pPr>
    </w:p>
    <w:p w:rsidR="00E554C3" w:rsidRDefault="003D4FB2" w:rsidP="00E554C3">
      <w:pPr>
        <w:tabs>
          <w:tab w:val="right" w:pos="9356"/>
        </w:tabs>
        <w:spacing w:after="0" w:line="360" w:lineRule="auto"/>
        <w:jc w:val="both"/>
        <w:rPr>
          <w:rFonts w:ascii="Arial" w:hAnsi="Arial" w:cs="Arial"/>
          <w:b/>
          <w:sz w:val="24"/>
          <w:szCs w:val="24"/>
        </w:rPr>
      </w:pPr>
      <w:r>
        <w:rPr>
          <w:rFonts w:ascii="Arial" w:hAnsi="Arial" w:cs="Arial"/>
          <w:b/>
          <w:sz w:val="24"/>
          <w:szCs w:val="24"/>
        </w:rPr>
        <w:t>KAYLA TRADING ENTERPRISES CC</w:t>
      </w:r>
      <w:r w:rsidR="00E554C3" w:rsidRPr="000C24D6">
        <w:rPr>
          <w:rFonts w:ascii="Arial" w:hAnsi="Arial" w:cs="Arial"/>
          <w:b/>
          <w:sz w:val="24"/>
          <w:szCs w:val="24"/>
        </w:rPr>
        <w:tab/>
      </w:r>
      <w:r>
        <w:rPr>
          <w:rFonts w:ascii="Arial" w:hAnsi="Arial" w:cs="Arial"/>
          <w:b/>
          <w:sz w:val="24"/>
          <w:szCs w:val="24"/>
        </w:rPr>
        <w:t>APPLICANT</w:t>
      </w:r>
    </w:p>
    <w:p w:rsidR="00E554C3" w:rsidRPr="00EF734A" w:rsidRDefault="00E554C3" w:rsidP="00E554C3">
      <w:pPr>
        <w:tabs>
          <w:tab w:val="right" w:pos="9356"/>
        </w:tabs>
        <w:spacing w:after="0" w:line="360" w:lineRule="auto"/>
        <w:jc w:val="both"/>
        <w:rPr>
          <w:rFonts w:ascii="Arial" w:hAnsi="Arial" w:cs="Arial"/>
          <w:sz w:val="10"/>
          <w:szCs w:val="10"/>
        </w:rPr>
      </w:pPr>
    </w:p>
    <w:p w:rsidR="00E554C3" w:rsidRPr="002A38DD" w:rsidRDefault="00E554C3" w:rsidP="00E554C3">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E554C3" w:rsidRPr="00A93E6F" w:rsidRDefault="00E554C3" w:rsidP="00E554C3">
      <w:pPr>
        <w:tabs>
          <w:tab w:val="right" w:pos="9356"/>
        </w:tabs>
        <w:spacing w:after="0" w:line="360" w:lineRule="auto"/>
        <w:jc w:val="both"/>
        <w:rPr>
          <w:rFonts w:ascii="Arial" w:hAnsi="Arial" w:cs="Arial"/>
          <w:b/>
          <w:sz w:val="16"/>
          <w:szCs w:val="16"/>
        </w:rPr>
      </w:pPr>
    </w:p>
    <w:p w:rsidR="00E554C3" w:rsidRDefault="003D4FB2" w:rsidP="00E554C3">
      <w:pPr>
        <w:tabs>
          <w:tab w:val="right" w:pos="9356"/>
        </w:tabs>
        <w:spacing w:after="0" w:line="360" w:lineRule="auto"/>
        <w:jc w:val="both"/>
        <w:rPr>
          <w:rFonts w:ascii="Arial" w:hAnsi="Arial" w:cs="Arial"/>
          <w:b/>
          <w:sz w:val="24"/>
          <w:szCs w:val="24"/>
        </w:rPr>
      </w:pPr>
      <w:r>
        <w:rPr>
          <w:rFonts w:ascii="Arial" w:hAnsi="Arial" w:cs="Arial"/>
          <w:b/>
          <w:sz w:val="24"/>
          <w:szCs w:val="24"/>
        </w:rPr>
        <w:t>OKAVU RENAISSANCE INVESTMENTS CC</w:t>
      </w:r>
      <w:r w:rsidR="00E554C3">
        <w:rPr>
          <w:rFonts w:ascii="Arial" w:hAnsi="Arial" w:cs="Arial"/>
          <w:b/>
          <w:sz w:val="24"/>
          <w:szCs w:val="24"/>
        </w:rPr>
        <w:tab/>
      </w:r>
      <w:r>
        <w:rPr>
          <w:rFonts w:ascii="Arial" w:hAnsi="Arial" w:cs="Arial"/>
          <w:b/>
          <w:sz w:val="24"/>
          <w:szCs w:val="24"/>
        </w:rPr>
        <w:t>RESPONDENT</w:t>
      </w:r>
    </w:p>
    <w:p w:rsidR="00E554C3" w:rsidRPr="000F2EBE" w:rsidRDefault="00E554C3" w:rsidP="00E554C3">
      <w:pPr>
        <w:spacing w:after="0" w:line="360" w:lineRule="auto"/>
        <w:ind w:left="2160" w:hanging="2160"/>
        <w:jc w:val="both"/>
        <w:rPr>
          <w:rFonts w:ascii="Arial" w:eastAsia="Calibri" w:hAnsi="Arial" w:cs="Arial"/>
          <w:sz w:val="18"/>
          <w:szCs w:val="18"/>
          <w:lang w:val="en-US"/>
        </w:rPr>
      </w:pPr>
    </w:p>
    <w:p w:rsidR="00E554C3" w:rsidRPr="000F2EBE" w:rsidRDefault="00E554C3" w:rsidP="00E554C3">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r w:rsidR="003D4FB2" w:rsidRPr="002F4BE7">
        <w:rPr>
          <w:rFonts w:ascii="Arial" w:eastAsia="Calibri" w:hAnsi="Arial" w:cs="Arial"/>
          <w:i/>
          <w:sz w:val="24"/>
          <w:szCs w:val="24"/>
          <w:lang w:val="en-US"/>
        </w:rPr>
        <w:t>Kayla Trading Enterprises CC</w:t>
      </w:r>
      <w:r w:rsidR="003D4FB2" w:rsidRPr="003D4FB2">
        <w:rPr>
          <w:rFonts w:ascii="Arial" w:eastAsia="Calibri" w:hAnsi="Arial" w:cs="Arial"/>
          <w:i/>
          <w:sz w:val="24"/>
          <w:szCs w:val="24"/>
          <w:lang w:val="en-US"/>
        </w:rPr>
        <w:t xml:space="preserve"> </w:t>
      </w:r>
      <w:r w:rsidRPr="002F4BE7">
        <w:rPr>
          <w:rFonts w:ascii="Arial" w:eastAsia="Calibri" w:hAnsi="Arial" w:cs="Arial"/>
          <w:i/>
          <w:sz w:val="24"/>
          <w:szCs w:val="24"/>
          <w:lang w:val="en-US"/>
        </w:rPr>
        <w:t>v</w:t>
      </w:r>
      <w:r w:rsidRPr="00E554C3">
        <w:rPr>
          <w:rFonts w:ascii="Arial" w:eastAsia="Calibri" w:hAnsi="Arial" w:cs="Arial"/>
          <w:i/>
          <w:sz w:val="24"/>
          <w:szCs w:val="24"/>
          <w:lang w:val="en-US"/>
        </w:rPr>
        <w:t xml:space="preserve"> </w:t>
      </w:r>
      <w:proofErr w:type="spellStart"/>
      <w:r w:rsidR="003D4FB2" w:rsidRPr="002F4BE7">
        <w:rPr>
          <w:rFonts w:ascii="Arial" w:eastAsia="Calibri" w:hAnsi="Arial" w:cs="Arial"/>
          <w:i/>
          <w:sz w:val="24"/>
          <w:szCs w:val="24"/>
          <w:lang w:val="en-US"/>
        </w:rPr>
        <w:t>Okavu</w:t>
      </w:r>
      <w:proofErr w:type="spellEnd"/>
      <w:r w:rsidR="003D4FB2" w:rsidRPr="002F4BE7">
        <w:rPr>
          <w:rFonts w:ascii="Arial" w:eastAsia="Calibri" w:hAnsi="Arial" w:cs="Arial"/>
          <w:i/>
          <w:sz w:val="24"/>
          <w:szCs w:val="24"/>
          <w:lang w:val="en-US"/>
        </w:rPr>
        <w:t xml:space="preserve"> Renaissance Investments CC</w:t>
      </w:r>
      <w:r w:rsidRPr="002F4BE7">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I 41/</w:t>
      </w:r>
      <w:r w:rsidRPr="000F2EBE">
        <w:rPr>
          <w:rFonts w:ascii="Arial" w:eastAsia="Calibri" w:hAnsi="Arial" w:cs="Arial"/>
          <w:sz w:val="24"/>
          <w:szCs w:val="24"/>
          <w:lang w:val="en-US"/>
        </w:rPr>
        <w:t>201</w:t>
      </w:r>
      <w:r>
        <w:rPr>
          <w:rFonts w:ascii="Arial" w:eastAsia="Calibri" w:hAnsi="Arial" w:cs="Arial"/>
          <w:sz w:val="24"/>
          <w:szCs w:val="24"/>
          <w:lang w:val="en-US"/>
        </w:rPr>
        <w:t>5</w:t>
      </w:r>
      <w:r w:rsidRPr="000F2EBE">
        <w:rPr>
          <w:rFonts w:ascii="Arial" w:eastAsia="Calibri" w:hAnsi="Arial" w:cs="Arial"/>
          <w:sz w:val="24"/>
          <w:szCs w:val="24"/>
          <w:lang w:val="en-US"/>
        </w:rPr>
        <w:t>) [201</w:t>
      </w:r>
      <w:r>
        <w:rPr>
          <w:rFonts w:ascii="Arial" w:eastAsia="Calibri" w:hAnsi="Arial" w:cs="Arial"/>
          <w:sz w:val="24"/>
          <w:szCs w:val="24"/>
          <w:lang w:val="en-US"/>
        </w:rPr>
        <w:t>6</w:t>
      </w:r>
      <w:r w:rsidRPr="000F2EBE">
        <w:rPr>
          <w:rFonts w:ascii="Arial" w:eastAsia="Calibri" w:hAnsi="Arial" w:cs="Arial"/>
          <w:sz w:val="24"/>
          <w:szCs w:val="24"/>
          <w:lang w:val="en-US"/>
        </w:rPr>
        <w:t xml:space="preserve">] NAHCNLD </w:t>
      </w:r>
      <w:r w:rsidR="002D0954">
        <w:rPr>
          <w:rFonts w:ascii="Arial" w:eastAsia="Calibri" w:hAnsi="Arial" w:cs="Arial"/>
          <w:sz w:val="24"/>
          <w:szCs w:val="24"/>
          <w:lang w:val="en-US"/>
        </w:rPr>
        <w:t>101</w:t>
      </w:r>
      <w:r>
        <w:rPr>
          <w:rFonts w:ascii="Arial" w:eastAsia="Calibri" w:hAnsi="Arial" w:cs="Arial"/>
          <w:sz w:val="24"/>
          <w:szCs w:val="24"/>
          <w:lang w:val="en-US"/>
        </w:rPr>
        <w:t xml:space="preserve"> </w:t>
      </w:r>
      <w:r w:rsidRPr="007E5F40">
        <w:rPr>
          <w:rFonts w:ascii="Arial" w:eastAsia="Calibri" w:hAnsi="Arial" w:cs="Arial"/>
          <w:sz w:val="24"/>
          <w:szCs w:val="24"/>
          <w:lang w:val="en-US"/>
        </w:rPr>
        <w:t>(</w:t>
      </w:r>
      <w:r>
        <w:rPr>
          <w:rFonts w:ascii="Arial" w:eastAsia="Calibri" w:hAnsi="Arial" w:cs="Arial"/>
          <w:sz w:val="24"/>
          <w:szCs w:val="24"/>
          <w:lang w:val="en-US"/>
        </w:rPr>
        <w:t>05 December 2016</w:t>
      </w:r>
      <w:r w:rsidRPr="000F2EBE">
        <w:rPr>
          <w:rFonts w:ascii="Arial" w:eastAsia="Calibri" w:hAnsi="Arial" w:cs="Arial"/>
          <w:sz w:val="24"/>
          <w:szCs w:val="24"/>
          <w:lang w:val="en-US"/>
        </w:rPr>
        <w:t>)</w:t>
      </w:r>
      <w:r>
        <w:rPr>
          <w:rFonts w:ascii="Arial" w:eastAsia="Calibri" w:hAnsi="Arial" w:cs="Arial"/>
          <w:sz w:val="24"/>
          <w:szCs w:val="24"/>
          <w:lang w:val="en-US"/>
        </w:rPr>
        <w:t>.</w:t>
      </w:r>
      <w:bookmarkEnd w:id="0"/>
    </w:p>
    <w:p w:rsidR="00E554C3" w:rsidRPr="000F2EBE" w:rsidRDefault="00E554C3" w:rsidP="00E554C3">
      <w:pPr>
        <w:tabs>
          <w:tab w:val="left" w:pos="6345"/>
        </w:tabs>
        <w:spacing w:after="0" w:line="360" w:lineRule="auto"/>
        <w:ind w:left="2160" w:hanging="2160"/>
        <w:jc w:val="both"/>
        <w:rPr>
          <w:rFonts w:ascii="Arial" w:eastAsia="Calibri" w:hAnsi="Arial" w:cs="Arial"/>
          <w:sz w:val="18"/>
          <w:szCs w:val="18"/>
          <w:lang w:val="en-US"/>
        </w:rPr>
      </w:pPr>
      <w:r>
        <w:rPr>
          <w:rFonts w:ascii="Arial" w:eastAsia="Calibri" w:hAnsi="Arial" w:cs="Arial"/>
          <w:sz w:val="18"/>
          <w:szCs w:val="18"/>
          <w:lang w:val="en-US"/>
        </w:rPr>
        <w:tab/>
      </w:r>
      <w:r>
        <w:rPr>
          <w:rFonts w:ascii="Arial" w:eastAsia="Calibri" w:hAnsi="Arial" w:cs="Arial"/>
          <w:sz w:val="18"/>
          <w:szCs w:val="18"/>
          <w:lang w:val="en-US"/>
        </w:rPr>
        <w:tab/>
      </w:r>
    </w:p>
    <w:p w:rsidR="00E554C3" w:rsidRPr="000F2EBE" w:rsidRDefault="00E554C3" w:rsidP="00E554C3">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t>CHEDA J</w:t>
      </w:r>
    </w:p>
    <w:p w:rsidR="00E554C3" w:rsidRDefault="00E554C3" w:rsidP="00E554C3">
      <w:pPr>
        <w:spacing w:after="0" w:line="240" w:lineRule="auto"/>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25/07; 16/09; 17/10/2016</w:t>
      </w:r>
    </w:p>
    <w:p w:rsidR="00E554C3" w:rsidRPr="002F4BE7" w:rsidRDefault="00E554C3" w:rsidP="00E554C3">
      <w:pPr>
        <w:spacing w:after="0" w:line="240" w:lineRule="auto"/>
        <w:rPr>
          <w:rFonts w:ascii="Arial" w:eastAsia="Calibri" w:hAnsi="Arial" w:cs="Arial"/>
          <w:b/>
          <w:sz w:val="24"/>
          <w:szCs w:val="24"/>
          <w:lang w:val="en-US"/>
        </w:rPr>
      </w:pPr>
    </w:p>
    <w:p w:rsidR="00E554C3" w:rsidRPr="000F2EBE" w:rsidRDefault="00E554C3" w:rsidP="00E554C3">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Pr>
          <w:rFonts w:ascii="Arial" w:eastAsia="Calibri" w:hAnsi="Arial" w:cs="Arial"/>
          <w:b/>
          <w:sz w:val="24"/>
          <w:szCs w:val="24"/>
          <w:lang w:val="en-US"/>
        </w:rPr>
        <w:t xml:space="preserve">05 December </w:t>
      </w:r>
      <w:r w:rsidRPr="000F2EBE">
        <w:rPr>
          <w:rFonts w:ascii="Arial" w:eastAsia="Calibri" w:hAnsi="Arial" w:cs="Arial"/>
          <w:b/>
          <w:sz w:val="24"/>
          <w:szCs w:val="24"/>
          <w:lang w:val="en-US"/>
        </w:rPr>
        <w:t>201</w:t>
      </w:r>
      <w:r>
        <w:rPr>
          <w:rFonts w:ascii="Arial" w:eastAsia="Calibri" w:hAnsi="Arial" w:cs="Arial"/>
          <w:b/>
          <w:sz w:val="24"/>
          <w:szCs w:val="24"/>
          <w:lang w:val="en-US"/>
        </w:rPr>
        <w:t>6</w:t>
      </w:r>
    </w:p>
    <w:p w:rsidR="00E554C3" w:rsidRDefault="00E554C3" w:rsidP="00E554C3">
      <w:pPr>
        <w:spacing w:after="0" w:line="360" w:lineRule="auto"/>
        <w:jc w:val="both"/>
        <w:rPr>
          <w:rFonts w:ascii="Arial" w:eastAsia="Calibri" w:hAnsi="Arial" w:cs="Arial"/>
          <w:b/>
          <w:sz w:val="24"/>
          <w:szCs w:val="24"/>
        </w:rPr>
      </w:pPr>
    </w:p>
    <w:p w:rsidR="00E554C3" w:rsidRPr="00D314FA" w:rsidRDefault="00E554C3" w:rsidP="00E554C3">
      <w:pPr>
        <w:spacing w:after="0" w:line="360" w:lineRule="auto"/>
        <w:jc w:val="both"/>
        <w:rPr>
          <w:rFonts w:ascii="Arial" w:eastAsia="Calibri" w:hAnsi="Arial" w:cs="Arial"/>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 xml:space="preserve">: </w:t>
      </w:r>
      <w:r w:rsidR="00ED491F">
        <w:rPr>
          <w:rFonts w:ascii="Arial" w:eastAsia="Calibri" w:hAnsi="Arial" w:cs="Arial"/>
          <w:b/>
          <w:sz w:val="24"/>
          <w:szCs w:val="24"/>
        </w:rPr>
        <w:t xml:space="preserve">Locus </w:t>
      </w:r>
      <w:proofErr w:type="spellStart"/>
      <w:r w:rsidR="00ED491F">
        <w:rPr>
          <w:rFonts w:ascii="Arial" w:eastAsia="Calibri" w:hAnsi="Arial" w:cs="Arial"/>
          <w:b/>
          <w:sz w:val="24"/>
          <w:szCs w:val="24"/>
        </w:rPr>
        <w:t>Standi</w:t>
      </w:r>
      <w:proofErr w:type="spellEnd"/>
      <w:r w:rsidR="00ED491F">
        <w:rPr>
          <w:rFonts w:ascii="Arial" w:eastAsia="Calibri" w:hAnsi="Arial" w:cs="Arial"/>
          <w:b/>
          <w:sz w:val="24"/>
          <w:szCs w:val="24"/>
        </w:rPr>
        <w:t xml:space="preserve"> - </w:t>
      </w:r>
      <w:r w:rsidR="003D4FB2">
        <w:rPr>
          <w:rFonts w:ascii="Arial" w:eastAsia="Calibri" w:hAnsi="Arial" w:cs="Arial"/>
          <w:sz w:val="24"/>
          <w:szCs w:val="24"/>
        </w:rPr>
        <w:t xml:space="preserve">A legal practitioner who acts for and on behalf of a party must clearly establish authority for </w:t>
      </w:r>
      <w:r w:rsidR="009F75B2">
        <w:rPr>
          <w:rFonts w:ascii="Arial" w:eastAsia="Calibri" w:hAnsi="Arial" w:cs="Arial"/>
          <w:sz w:val="24"/>
          <w:szCs w:val="24"/>
        </w:rPr>
        <w:t xml:space="preserve">so </w:t>
      </w:r>
      <w:r w:rsidR="003D4FB2">
        <w:rPr>
          <w:rFonts w:ascii="Arial" w:eastAsia="Calibri" w:hAnsi="Arial" w:cs="Arial"/>
          <w:sz w:val="24"/>
          <w:szCs w:val="24"/>
        </w:rPr>
        <w:t xml:space="preserve">acting – </w:t>
      </w:r>
      <w:r w:rsidR="003D4FB2" w:rsidRPr="009F75B2">
        <w:rPr>
          <w:rFonts w:ascii="Arial" w:eastAsia="Calibri" w:hAnsi="Arial" w:cs="Arial"/>
          <w:i/>
          <w:sz w:val="24"/>
          <w:szCs w:val="24"/>
        </w:rPr>
        <w:t xml:space="preserve">locus </w:t>
      </w:r>
      <w:proofErr w:type="spellStart"/>
      <w:r w:rsidR="003D4FB2" w:rsidRPr="009F75B2">
        <w:rPr>
          <w:rFonts w:ascii="Arial" w:eastAsia="Calibri" w:hAnsi="Arial" w:cs="Arial"/>
          <w:i/>
          <w:sz w:val="24"/>
          <w:szCs w:val="24"/>
        </w:rPr>
        <w:t>standi</w:t>
      </w:r>
      <w:proofErr w:type="spellEnd"/>
      <w:r w:rsidR="003D4FB2">
        <w:rPr>
          <w:rFonts w:ascii="Arial" w:eastAsia="Calibri" w:hAnsi="Arial" w:cs="Arial"/>
          <w:sz w:val="24"/>
          <w:szCs w:val="24"/>
        </w:rPr>
        <w:t xml:space="preserve"> </w:t>
      </w:r>
      <w:r w:rsidR="009F75B2">
        <w:rPr>
          <w:rFonts w:ascii="Arial" w:eastAsia="Calibri" w:hAnsi="Arial" w:cs="Arial"/>
          <w:sz w:val="24"/>
          <w:szCs w:val="24"/>
        </w:rPr>
        <w:t xml:space="preserve">– a </w:t>
      </w:r>
      <w:r w:rsidR="003D4FB2">
        <w:rPr>
          <w:rFonts w:ascii="Arial" w:eastAsia="Calibri" w:hAnsi="Arial" w:cs="Arial"/>
          <w:sz w:val="24"/>
          <w:szCs w:val="24"/>
        </w:rPr>
        <w:t xml:space="preserve">without </w:t>
      </w:r>
      <w:r w:rsidR="009F75B2">
        <w:rPr>
          <w:rFonts w:ascii="Arial" w:eastAsia="Calibri" w:hAnsi="Arial" w:cs="Arial"/>
          <w:sz w:val="24"/>
          <w:szCs w:val="24"/>
        </w:rPr>
        <w:t>prejudice document must not be brought to the attention of the court as it is privileged communication.  Legal arguments must not be included in an affidavit.</w:t>
      </w:r>
    </w:p>
    <w:p w:rsidR="00E554C3" w:rsidRPr="000F2EBE" w:rsidRDefault="00E554C3" w:rsidP="00E554C3">
      <w:pPr>
        <w:spacing w:after="0" w:line="360" w:lineRule="auto"/>
        <w:jc w:val="both"/>
        <w:rPr>
          <w:rFonts w:ascii="Arial" w:eastAsia="Calibri" w:hAnsi="Arial" w:cs="Arial"/>
          <w:b/>
          <w:sz w:val="24"/>
          <w:szCs w:val="24"/>
        </w:rPr>
      </w:pPr>
    </w:p>
    <w:p w:rsidR="00E554C3" w:rsidRPr="000F2EBE" w:rsidRDefault="00E554C3" w:rsidP="00E554C3">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p>
    <w:p w:rsidR="00E554C3" w:rsidRDefault="009F75B2" w:rsidP="00E554C3">
      <w:pPr>
        <w:spacing w:after="0" w:line="360" w:lineRule="auto"/>
        <w:jc w:val="both"/>
        <w:rPr>
          <w:rFonts w:ascii="Arial" w:eastAsia="Calibri" w:hAnsi="Arial" w:cs="Arial"/>
          <w:sz w:val="24"/>
          <w:szCs w:val="24"/>
        </w:rPr>
      </w:pPr>
      <w:r>
        <w:rPr>
          <w:rFonts w:ascii="Arial" w:eastAsia="Calibri" w:hAnsi="Arial" w:cs="Arial"/>
          <w:sz w:val="24"/>
          <w:szCs w:val="24"/>
        </w:rPr>
        <w:t xml:space="preserve">Applicant applied for a second chance to be heard by filing a further affidavit after the previous application was dismissed.  The legal practitioner who filed a founding affidavit did not establish </w:t>
      </w:r>
      <w:r w:rsidRPr="009F75B2">
        <w:rPr>
          <w:rFonts w:ascii="Arial" w:eastAsia="Calibri" w:hAnsi="Arial" w:cs="Arial"/>
          <w:i/>
          <w:sz w:val="24"/>
          <w:szCs w:val="24"/>
        </w:rPr>
        <w:t xml:space="preserve">locus </w:t>
      </w:r>
      <w:proofErr w:type="spellStart"/>
      <w:r w:rsidRPr="009F75B2">
        <w:rPr>
          <w:rFonts w:ascii="Arial" w:eastAsia="Calibri" w:hAnsi="Arial" w:cs="Arial"/>
          <w:i/>
          <w:sz w:val="24"/>
          <w:szCs w:val="24"/>
        </w:rPr>
        <w:t>standi</w:t>
      </w:r>
      <w:proofErr w:type="spellEnd"/>
      <w:r>
        <w:rPr>
          <w:rFonts w:ascii="Arial" w:eastAsia="Calibri" w:hAnsi="Arial" w:cs="Arial"/>
          <w:sz w:val="24"/>
          <w:szCs w:val="24"/>
        </w:rPr>
        <w:t xml:space="preserve"> for so acting.  Legal practitioner included</w:t>
      </w:r>
      <w:r w:rsidR="00B033EA">
        <w:rPr>
          <w:rFonts w:ascii="Arial" w:eastAsia="Calibri" w:hAnsi="Arial" w:cs="Arial"/>
          <w:sz w:val="24"/>
          <w:szCs w:val="24"/>
        </w:rPr>
        <w:t xml:space="preserve"> a</w:t>
      </w:r>
      <w:r>
        <w:rPr>
          <w:rFonts w:ascii="Arial" w:eastAsia="Calibri" w:hAnsi="Arial" w:cs="Arial"/>
          <w:sz w:val="24"/>
          <w:szCs w:val="24"/>
        </w:rPr>
        <w:t xml:space="preserve"> without prejudice document in the application.  The affidavit contained legal arguments which was not proper.  Respondent raised points </w:t>
      </w:r>
      <w:r w:rsidRPr="009F75B2">
        <w:rPr>
          <w:rFonts w:ascii="Arial" w:eastAsia="Calibri" w:hAnsi="Arial" w:cs="Arial"/>
          <w:i/>
          <w:sz w:val="24"/>
          <w:szCs w:val="24"/>
        </w:rPr>
        <w:t>in limine.</w:t>
      </w:r>
      <w:r>
        <w:rPr>
          <w:rFonts w:ascii="Arial" w:eastAsia="Calibri" w:hAnsi="Arial" w:cs="Arial"/>
          <w:sz w:val="24"/>
          <w:szCs w:val="24"/>
        </w:rPr>
        <w:t xml:space="preserve">  Points </w:t>
      </w:r>
      <w:r w:rsidRPr="009F75B2">
        <w:rPr>
          <w:rFonts w:ascii="Arial" w:eastAsia="Calibri" w:hAnsi="Arial" w:cs="Arial"/>
          <w:i/>
          <w:sz w:val="24"/>
          <w:szCs w:val="24"/>
        </w:rPr>
        <w:t>in limine</w:t>
      </w:r>
      <w:r>
        <w:rPr>
          <w:rFonts w:ascii="Arial" w:eastAsia="Calibri" w:hAnsi="Arial" w:cs="Arial"/>
          <w:sz w:val="24"/>
          <w:szCs w:val="24"/>
        </w:rPr>
        <w:t xml:space="preserve"> upheld and application was dismissed.</w:t>
      </w:r>
    </w:p>
    <w:p w:rsidR="00E554C3" w:rsidRPr="000F2EBE" w:rsidRDefault="00E554C3" w:rsidP="00E554C3">
      <w:pPr>
        <w:spacing w:after="0" w:line="360" w:lineRule="auto"/>
        <w:jc w:val="both"/>
        <w:rPr>
          <w:rFonts w:ascii="Arial" w:eastAsia="Calibri" w:hAnsi="Arial" w:cs="Arial"/>
          <w:sz w:val="24"/>
          <w:szCs w:val="24"/>
        </w:rPr>
      </w:pPr>
    </w:p>
    <w:p w:rsidR="00E554C3" w:rsidRPr="000F2EBE" w:rsidRDefault="004B7D30" w:rsidP="00E554C3">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E554C3" w:rsidRPr="000F2EBE" w:rsidRDefault="00E554C3" w:rsidP="00E554C3">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E554C3" w:rsidRPr="000F2EBE" w:rsidRDefault="004B7D30" w:rsidP="00E554C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E554C3" w:rsidRDefault="00E554C3" w:rsidP="00E554C3">
      <w:pPr>
        <w:spacing w:after="0" w:line="360" w:lineRule="auto"/>
        <w:ind w:left="360"/>
        <w:jc w:val="both"/>
        <w:rPr>
          <w:rFonts w:ascii="Arial" w:eastAsia="Calibri" w:hAnsi="Arial" w:cs="Arial"/>
          <w:sz w:val="24"/>
          <w:szCs w:val="24"/>
        </w:rPr>
      </w:pPr>
    </w:p>
    <w:p w:rsidR="00E554C3" w:rsidRDefault="007E5469" w:rsidP="00E554C3">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 xml:space="preserve">The points </w:t>
      </w:r>
      <w:r w:rsidRPr="007E5469">
        <w:rPr>
          <w:rFonts w:ascii="Arial" w:eastAsia="Calibri" w:hAnsi="Arial" w:cs="Arial"/>
          <w:i/>
          <w:sz w:val="24"/>
          <w:szCs w:val="24"/>
        </w:rPr>
        <w:t>in limine</w:t>
      </w:r>
      <w:r>
        <w:rPr>
          <w:rFonts w:ascii="Arial" w:eastAsia="Calibri" w:hAnsi="Arial" w:cs="Arial"/>
          <w:sz w:val="24"/>
          <w:szCs w:val="24"/>
        </w:rPr>
        <w:t xml:space="preserve"> are upheld.</w:t>
      </w:r>
    </w:p>
    <w:p w:rsidR="00E554C3" w:rsidRPr="000654DC" w:rsidRDefault="007E5469" w:rsidP="00E554C3">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Application is dismissed with costs.</w:t>
      </w:r>
    </w:p>
    <w:p w:rsidR="00E554C3" w:rsidRDefault="00E554C3" w:rsidP="00E554C3">
      <w:pPr>
        <w:spacing w:after="0" w:line="360" w:lineRule="auto"/>
        <w:ind w:firstLine="720"/>
        <w:jc w:val="both"/>
        <w:rPr>
          <w:rFonts w:ascii="Arial" w:hAnsi="Arial" w:cs="Arial"/>
          <w:sz w:val="24"/>
          <w:szCs w:val="24"/>
        </w:rPr>
      </w:pPr>
    </w:p>
    <w:p w:rsidR="00E554C3" w:rsidRPr="000F2EBE" w:rsidRDefault="004B7D30" w:rsidP="00E554C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E554C3" w:rsidRPr="000F2EBE" w:rsidRDefault="00E554C3" w:rsidP="00E554C3">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E554C3" w:rsidRPr="000F2EBE" w:rsidRDefault="004B7D30" w:rsidP="00E554C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E554C3" w:rsidRPr="000F2EBE" w:rsidRDefault="00E554C3" w:rsidP="00E554C3">
      <w:pPr>
        <w:spacing w:after="0" w:line="360" w:lineRule="auto"/>
        <w:ind w:left="1440" w:hanging="1440"/>
        <w:jc w:val="both"/>
        <w:rPr>
          <w:rFonts w:ascii="Arial" w:eastAsia="Calibri" w:hAnsi="Arial" w:cs="Arial"/>
          <w:sz w:val="24"/>
          <w:szCs w:val="24"/>
        </w:rPr>
      </w:pPr>
    </w:p>
    <w:p w:rsidR="00E554C3" w:rsidRPr="000F2EBE" w:rsidRDefault="00E554C3" w:rsidP="00E554C3">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E554C3" w:rsidRPr="000F2EBE" w:rsidRDefault="00E554C3" w:rsidP="00E554C3">
      <w:pPr>
        <w:spacing w:after="0" w:line="360" w:lineRule="auto"/>
        <w:jc w:val="both"/>
        <w:rPr>
          <w:rFonts w:ascii="Arial" w:eastAsia="Calibri" w:hAnsi="Arial" w:cs="Arial"/>
          <w:b/>
          <w:sz w:val="24"/>
          <w:szCs w:val="24"/>
        </w:rPr>
      </w:pPr>
    </w:p>
    <w:p w:rsidR="00973920" w:rsidRDefault="00E554C3" w:rsidP="00E554C3">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973920">
        <w:rPr>
          <w:rFonts w:ascii="Arial" w:eastAsia="Calibri" w:hAnsi="Arial" w:cs="Arial"/>
          <w:sz w:val="24"/>
          <w:szCs w:val="24"/>
        </w:rPr>
        <w:t xml:space="preserve">In this matter respondent issued out summons out of this court to which applicant failed </w:t>
      </w:r>
      <w:r w:rsidR="007E5469">
        <w:rPr>
          <w:rFonts w:ascii="Arial" w:eastAsia="Calibri" w:hAnsi="Arial" w:cs="Arial"/>
          <w:sz w:val="24"/>
          <w:szCs w:val="24"/>
        </w:rPr>
        <w:t xml:space="preserve">to </w:t>
      </w:r>
      <w:r w:rsidR="00973920">
        <w:rPr>
          <w:rFonts w:ascii="Arial" w:eastAsia="Calibri" w:hAnsi="Arial" w:cs="Arial"/>
          <w:sz w:val="24"/>
          <w:szCs w:val="24"/>
        </w:rPr>
        <w:t>enter an appearance to defend.  Respondent applied for and obtained a default judgment on the 23 March 2015.</w:t>
      </w:r>
    </w:p>
    <w:p w:rsidR="00973920" w:rsidRDefault="00973920" w:rsidP="00E554C3">
      <w:pPr>
        <w:spacing w:after="0" w:line="360" w:lineRule="auto"/>
        <w:jc w:val="both"/>
        <w:rPr>
          <w:rFonts w:ascii="Arial" w:eastAsia="Calibri" w:hAnsi="Arial" w:cs="Arial"/>
          <w:sz w:val="24"/>
          <w:szCs w:val="24"/>
        </w:rPr>
      </w:pPr>
    </w:p>
    <w:p w:rsidR="00E554C3" w:rsidRDefault="00973920" w:rsidP="00E554C3">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On the 29 October 2015 applicant applied for a default judgement.  Respondent filed a notice of opposition</w:t>
      </w:r>
      <w:r w:rsidR="00E554C3">
        <w:rPr>
          <w:rFonts w:ascii="Arial" w:eastAsia="Calibri" w:hAnsi="Arial" w:cs="Arial"/>
          <w:sz w:val="24"/>
          <w:szCs w:val="24"/>
        </w:rPr>
        <w:t xml:space="preserve"> </w:t>
      </w:r>
      <w:r>
        <w:rPr>
          <w:rFonts w:ascii="Arial" w:eastAsia="Calibri" w:hAnsi="Arial" w:cs="Arial"/>
          <w:sz w:val="24"/>
          <w:szCs w:val="24"/>
        </w:rPr>
        <w:t>and the matter was set down for hearing on the 29 February 2016.</w:t>
      </w:r>
    </w:p>
    <w:p w:rsidR="00973920" w:rsidRDefault="00973920" w:rsidP="00E554C3">
      <w:pPr>
        <w:spacing w:after="0" w:line="360" w:lineRule="auto"/>
        <w:jc w:val="both"/>
        <w:rPr>
          <w:rFonts w:ascii="Arial" w:eastAsia="Calibri" w:hAnsi="Arial" w:cs="Arial"/>
          <w:sz w:val="24"/>
          <w:szCs w:val="24"/>
        </w:rPr>
      </w:pPr>
    </w:p>
    <w:p w:rsidR="00973920" w:rsidRDefault="00973920" w:rsidP="00E554C3">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On the 22 February 2016 applicant filed an interlocutory application in order to file a further affidavit and this application was opposed.  This application was set down and heard on the 30 June 2016 and was dismissed.</w:t>
      </w:r>
    </w:p>
    <w:p w:rsidR="00973920" w:rsidRDefault="00973920" w:rsidP="00E554C3">
      <w:pPr>
        <w:spacing w:after="0" w:line="360" w:lineRule="auto"/>
        <w:jc w:val="both"/>
        <w:rPr>
          <w:rFonts w:ascii="Arial" w:eastAsia="Calibri" w:hAnsi="Arial" w:cs="Arial"/>
          <w:sz w:val="24"/>
          <w:szCs w:val="24"/>
        </w:rPr>
      </w:pPr>
    </w:p>
    <w:p w:rsidR="00973920" w:rsidRDefault="00973920" w:rsidP="00E554C3">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On the 25 July 2016 applicant indicated that he wished to re-file the application and matter was set down for hearing on the 16 September 2016 for arguments.</w:t>
      </w:r>
    </w:p>
    <w:p w:rsidR="00973920" w:rsidRDefault="00973920" w:rsidP="00E554C3">
      <w:pPr>
        <w:spacing w:after="0" w:line="360" w:lineRule="auto"/>
        <w:jc w:val="both"/>
        <w:rPr>
          <w:rFonts w:ascii="Arial" w:eastAsia="Calibri" w:hAnsi="Arial" w:cs="Arial"/>
          <w:sz w:val="24"/>
          <w:szCs w:val="24"/>
        </w:rPr>
      </w:pPr>
    </w:p>
    <w:p w:rsidR="00973920" w:rsidRDefault="00973920" w:rsidP="00E554C3">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Respondent has raised the following </w:t>
      </w:r>
      <w:r w:rsidRPr="00973920">
        <w:rPr>
          <w:rFonts w:ascii="Arial" w:eastAsia="Calibri" w:hAnsi="Arial" w:cs="Arial"/>
          <w:i/>
          <w:sz w:val="24"/>
          <w:szCs w:val="24"/>
        </w:rPr>
        <w:t>points in limine</w:t>
      </w:r>
      <w:r>
        <w:rPr>
          <w:rFonts w:ascii="Arial" w:eastAsia="Calibri" w:hAnsi="Arial" w:cs="Arial"/>
          <w:sz w:val="24"/>
          <w:szCs w:val="24"/>
        </w:rPr>
        <w:t>:</w:t>
      </w:r>
    </w:p>
    <w:p w:rsidR="00973920" w:rsidRDefault="00973920" w:rsidP="00E554C3">
      <w:pPr>
        <w:spacing w:after="0" w:line="360" w:lineRule="auto"/>
        <w:jc w:val="both"/>
        <w:rPr>
          <w:rFonts w:ascii="Arial" w:eastAsia="Calibri" w:hAnsi="Arial" w:cs="Arial"/>
          <w:sz w:val="24"/>
          <w:szCs w:val="24"/>
        </w:rPr>
      </w:pPr>
    </w:p>
    <w:p w:rsidR="00973920" w:rsidRDefault="007E5469" w:rsidP="00973920">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L</w:t>
      </w:r>
      <w:r w:rsidR="00B20506">
        <w:rPr>
          <w:rFonts w:ascii="Arial" w:eastAsia="Calibri" w:hAnsi="Arial" w:cs="Arial"/>
          <w:sz w:val="24"/>
          <w:szCs w:val="24"/>
        </w:rPr>
        <w:t xml:space="preserve">ack of </w:t>
      </w:r>
      <w:r w:rsidR="00B20506">
        <w:rPr>
          <w:rFonts w:ascii="Arial" w:eastAsia="Calibri" w:hAnsi="Arial" w:cs="Arial"/>
          <w:i/>
          <w:sz w:val="24"/>
          <w:szCs w:val="24"/>
        </w:rPr>
        <w:t>loc</w:t>
      </w:r>
      <w:r w:rsidR="00B20506" w:rsidRPr="00B20506">
        <w:rPr>
          <w:rFonts w:ascii="Arial" w:eastAsia="Calibri" w:hAnsi="Arial" w:cs="Arial"/>
          <w:i/>
          <w:sz w:val="24"/>
          <w:szCs w:val="24"/>
        </w:rPr>
        <w:t xml:space="preserve">us </w:t>
      </w:r>
      <w:proofErr w:type="spellStart"/>
      <w:r w:rsidR="00B20506" w:rsidRPr="00B20506">
        <w:rPr>
          <w:rFonts w:ascii="Arial" w:eastAsia="Calibri" w:hAnsi="Arial" w:cs="Arial"/>
          <w:i/>
          <w:sz w:val="24"/>
          <w:szCs w:val="24"/>
        </w:rPr>
        <w:t>standi</w:t>
      </w:r>
      <w:proofErr w:type="spellEnd"/>
      <w:r w:rsidR="00B20506">
        <w:rPr>
          <w:rFonts w:ascii="Arial" w:eastAsia="Calibri" w:hAnsi="Arial" w:cs="Arial"/>
          <w:sz w:val="24"/>
          <w:szCs w:val="24"/>
        </w:rPr>
        <w:t xml:space="preserve"> by applicant</w:t>
      </w:r>
      <w:r w:rsidR="007F5560">
        <w:rPr>
          <w:rFonts w:ascii="Arial" w:eastAsia="Calibri" w:hAnsi="Arial" w:cs="Arial"/>
          <w:sz w:val="24"/>
          <w:szCs w:val="24"/>
        </w:rPr>
        <w:t>’s legal practitioner</w:t>
      </w:r>
      <w:r w:rsidR="00B20506">
        <w:rPr>
          <w:rFonts w:ascii="Arial" w:eastAsia="Calibri" w:hAnsi="Arial" w:cs="Arial"/>
          <w:sz w:val="24"/>
          <w:szCs w:val="24"/>
        </w:rPr>
        <w:t>;</w:t>
      </w:r>
    </w:p>
    <w:p w:rsidR="00B20506" w:rsidRDefault="00B20506" w:rsidP="00973920">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Attachment of inadmissible evidence</w:t>
      </w:r>
      <w:r w:rsidR="007F5560">
        <w:rPr>
          <w:rFonts w:ascii="Arial" w:eastAsia="Calibri" w:hAnsi="Arial" w:cs="Arial"/>
          <w:sz w:val="24"/>
          <w:szCs w:val="24"/>
        </w:rPr>
        <w:t xml:space="preserve"> by the legal </w:t>
      </w:r>
      <w:proofErr w:type="spellStart"/>
      <w:r w:rsidR="007F5560">
        <w:rPr>
          <w:rFonts w:ascii="Arial" w:eastAsia="Calibri" w:hAnsi="Arial" w:cs="Arial"/>
          <w:sz w:val="24"/>
          <w:szCs w:val="24"/>
        </w:rPr>
        <w:t>practioner</w:t>
      </w:r>
      <w:proofErr w:type="spellEnd"/>
      <w:r>
        <w:rPr>
          <w:rFonts w:ascii="Arial" w:eastAsia="Calibri" w:hAnsi="Arial" w:cs="Arial"/>
          <w:sz w:val="24"/>
          <w:szCs w:val="24"/>
        </w:rPr>
        <w:t>;</w:t>
      </w:r>
    </w:p>
    <w:p w:rsidR="00B20506" w:rsidRPr="00973920" w:rsidRDefault="007F5560" w:rsidP="00973920">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Affidavit co</w:t>
      </w:r>
      <w:r w:rsidR="007E5469">
        <w:rPr>
          <w:rFonts w:ascii="Arial" w:eastAsia="Calibri" w:hAnsi="Arial" w:cs="Arial"/>
          <w:sz w:val="24"/>
          <w:szCs w:val="24"/>
        </w:rPr>
        <w:t>nt</w:t>
      </w:r>
      <w:r>
        <w:rPr>
          <w:rFonts w:ascii="Arial" w:eastAsia="Calibri" w:hAnsi="Arial" w:cs="Arial"/>
          <w:sz w:val="24"/>
          <w:szCs w:val="24"/>
        </w:rPr>
        <w:t>a</w:t>
      </w:r>
      <w:r w:rsidR="007E5469">
        <w:rPr>
          <w:rFonts w:ascii="Arial" w:eastAsia="Calibri" w:hAnsi="Arial" w:cs="Arial"/>
          <w:sz w:val="24"/>
          <w:szCs w:val="24"/>
        </w:rPr>
        <w:t>i</w:t>
      </w:r>
      <w:r>
        <w:rPr>
          <w:rFonts w:ascii="Arial" w:eastAsia="Calibri" w:hAnsi="Arial" w:cs="Arial"/>
          <w:sz w:val="24"/>
          <w:szCs w:val="24"/>
        </w:rPr>
        <w:t>ni</w:t>
      </w:r>
      <w:r w:rsidR="007E5469">
        <w:rPr>
          <w:rFonts w:ascii="Arial" w:eastAsia="Calibri" w:hAnsi="Arial" w:cs="Arial"/>
          <w:sz w:val="24"/>
          <w:szCs w:val="24"/>
        </w:rPr>
        <w:t>ng legal arguments</w:t>
      </w:r>
    </w:p>
    <w:p w:rsidR="00973920" w:rsidRDefault="00973920" w:rsidP="00E554C3">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B20506" w:rsidRDefault="00B20506" w:rsidP="00E554C3">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At the onset both parties applied for condonation of their failure</w:t>
      </w:r>
      <w:r w:rsidR="007F5560">
        <w:rPr>
          <w:rFonts w:ascii="Arial" w:eastAsia="Calibri" w:hAnsi="Arial" w:cs="Arial"/>
          <w:sz w:val="24"/>
          <w:szCs w:val="24"/>
        </w:rPr>
        <w:t>s</w:t>
      </w:r>
      <w:r>
        <w:rPr>
          <w:rFonts w:ascii="Arial" w:eastAsia="Calibri" w:hAnsi="Arial" w:cs="Arial"/>
          <w:sz w:val="24"/>
          <w:szCs w:val="24"/>
        </w:rPr>
        <w:t xml:space="preserve"> to comply with the rules of court, this related to the filing of affidavits and heads of arguments out of time.  Both gave reasonable explanation</w:t>
      </w:r>
      <w:r w:rsidR="007E5469">
        <w:rPr>
          <w:rFonts w:ascii="Arial" w:eastAsia="Calibri" w:hAnsi="Arial" w:cs="Arial"/>
          <w:sz w:val="24"/>
          <w:szCs w:val="24"/>
        </w:rPr>
        <w:t>s</w:t>
      </w:r>
      <w:r>
        <w:rPr>
          <w:rFonts w:ascii="Arial" w:eastAsia="Calibri" w:hAnsi="Arial" w:cs="Arial"/>
          <w:sz w:val="24"/>
          <w:szCs w:val="24"/>
        </w:rPr>
        <w:t xml:space="preserve"> which persuaded me to grant the said condonations.  In addition to the explanations, I was persuaded by the fact that this matter keeps on coming up</w:t>
      </w:r>
      <w:r w:rsidR="007E5469">
        <w:rPr>
          <w:rFonts w:ascii="Arial" w:eastAsia="Calibri" w:hAnsi="Arial" w:cs="Arial"/>
          <w:sz w:val="24"/>
          <w:szCs w:val="24"/>
        </w:rPr>
        <w:t>,</w:t>
      </w:r>
      <w:r>
        <w:rPr>
          <w:rFonts w:ascii="Arial" w:eastAsia="Calibri" w:hAnsi="Arial" w:cs="Arial"/>
          <w:sz w:val="24"/>
          <w:szCs w:val="24"/>
        </w:rPr>
        <w:t xml:space="preserve"> this being the second time and applicant insists whether </w:t>
      </w:r>
      <w:r w:rsidR="007E5469">
        <w:rPr>
          <w:rFonts w:ascii="Arial" w:eastAsia="Calibri" w:hAnsi="Arial" w:cs="Arial"/>
          <w:sz w:val="24"/>
          <w:szCs w:val="24"/>
        </w:rPr>
        <w:t>correctly</w:t>
      </w:r>
      <w:r>
        <w:rPr>
          <w:rFonts w:ascii="Arial" w:eastAsia="Calibri" w:hAnsi="Arial" w:cs="Arial"/>
          <w:sz w:val="24"/>
          <w:szCs w:val="24"/>
        </w:rPr>
        <w:t xml:space="preserve"> or wrongly that it should be awarded a further opportunity</w:t>
      </w:r>
      <w:r w:rsidR="007E5469">
        <w:rPr>
          <w:rFonts w:ascii="Arial" w:eastAsia="Calibri" w:hAnsi="Arial" w:cs="Arial"/>
          <w:sz w:val="24"/>
          <w:szCs w:val="24"/>
        </w:rPr>
        <w:t xml:space="preserve"> to present its case</w:t>
      </w:r>
      <w:r>
        <w:rPr>
          <w:rFonts w:ascii="Arial" w:eastAsia="Calibri" w:hAnsi="Arial" w:cs="Arial"/>
          <w:sz w:val="24"/>
          <w:szCs w:val="24"/>
        </w:rPr>
        <w:t>.  It is in light</w:t>
      </w:r>
      <w:r w:rsidR="007E5469">
        <w:rPr>
          <w:rFonts w:ascii="Arial" w:eastAsia="Calibri" w:hAnsi="Arial" w:cs="Arial"/>
          <w:sz w:val="24"/>
          <w:szCs w:val="24"/>
        </w:rPr>
        <w:t xml:space="preserve"> of </w:t>
      </w:r>
      <w:r>
        <w:rPr>
          <w:rFonts w:ascii="Arial" w:eastAsia="Calibri" w:hAnsi="Arial" w:cs="Arial"/>
          <w:sz w:val="24"/>
          <w:szCs w:val="24"/>
        </w:rPr>
        <w:t>that</w:t>
      </w:r>
      <w:r w:rsidR="007E5469">
        <w:rPr>
          <w:rFonts w:ascii="Arial" w:eastAsia="Calibri" w:hAnsi="Arial" w:cs="Arial"/>
          <w:sz w:val="24"/>
          <w:szCs w:val="24"/>
        </w:rPr>
        <w:t>,</w:t>
      </w:r>
      <w:r>
        <w:rPr>
          <w:rFonts w:ascii="Arial" w:eastAsia="Calibri" w:hAnsi="Arial" w:cs="Arial"/>
          <w:sz w:val="24"/>
          <w:szCs w:val="24"/>
        </w:rPr>
        <w:t xml:space="preserve"> </w:t>
      </w:r>
      <w:r w:rsidR="007F5560">
        <w:rPr>
          <w:rFonts w:ascii="Arial" w:eastAsia="Calibri" w:hAnsi="Arial" w:cs="Arial"/>
          <w:sz w:val="24"/>
          <w:szCs w:val="24"/>
        </w:rPr>
        <w:t xml:space="preserve">that </w:t>
      </w:r>
      <w:r>
        <w:rPr>
          <w:rFonts w:ascii="Arial" w:eastAsia="Calibri" w:hAnsi="Arial" w:cs="Arial"/>
          <w:sz w:val="24"/>
          <w:szCs w:val="24"/>
        </w:rPr>
        <w:t>I granted the applications.</w:t>
      </w:r>
    </w:p>
    <w:p w:rsidR="00B20506" w:rsidRDefault="00B20506" w:rsidP="00E554C3">
      <w:pPr>
        <w:spacing w:after="0" w:line="360" w:lineRule="auto"/>
        <w:jc w:val="both"/>
        <w:rPr>
          <w:rFonts w:ascii="Arial" w:eastAsia="Calibri" w:hAnsi="Arial" w:cs="Arial"/>
          <w:sz w:val="24"/>
          <w:szCs w:val="24"/>
        </w:rPr>
      </w:pPr>
    </w:p>
    <w:p w:rsidR="00B20506" w:rsidRPr="007E5469" w:rsidRDefault="00B20506" w:rsidP="007E5469">
      <w:pPr>
        <w:pStyle w:val="ListParagraph"/>
        <w:numPr>
          <w:ilvl w:val="0"/>
          <w:numId w:val="4"/>
        </w:numPr>
        <w:spacing w:after="0" w:line="360" w:lineRule="auto"/>
        <w:jc w:val="both"/>
        <w:rPr>
          <w:rFonts w:ascii="Arial" w:eastAsia="Calibri" w:hAnsi="Arial" w:cs="Arial"/>
          <w:sz w:val="24"/>
          <w:szCs w:val="24"/>
          <w:u w:val="single"/>
        </w:rPr>
      </w:pPr>
      <w:r w:rsidRPr="007E5469">
        <w:rPr>
          <w:rFonts w:ascii="Arial" w:eastAsia="Calibri" w:hAnsi="Arial" w:cs="Arial"/>
          <w:sz w:val="24"/>
          <w:szCs w:val="24"/>
          <w:u w:val="single"/>
        </w:rPr>
        <w:t xml:space="preserve">Lack of </w:t>
      </w:r>
      <w:r w:rsidRPr="007E5469">
        <w:rPr>
          <w:rFonts w:ascii="Arial" w:eastAsia="Calibri" w:hAnsi="Arial" w:cs="Arial"/>
          <w:i/>
          <w:sz w:val="24"/>
          <w:szCs w:val="24"/>
          <w:u w:val="single"/>
        </w:rPr>
        <w:t xml:space="preserve">locus </w:t>
      </w:r>
      <w:proofErr w:type="spellStart"/>
      <w:r w:rsidRPr="007E5469">
        <w:rPr>
          <w:rFonts w:ascii="Arial" w:eastAsia="Calibri" w:hAnsi="Arial" w:cs="Arial"/>
          <w:i/>
          <w:sz w:val="24"/>
          <w:szCs w:val="24"/>
          <w:u w:val="single"/>
        </w:rPr>
        <w:t>standi</w:t>
      </w:r>
      <w:proofErr w:type="spellEnd"/>
    </w:p>
    <w:p w:rsidR="00B20506" w:rsidRDefault="00B20506" w:rsidP="00E554C3">
      <w:pPr>
        <w:spacing w:after="0" w:line="360" w:lineRule="auto"/>
        <w:jc w:val="both"/>
        <w:rPr>
          <w:rFonts w:ascii="Arial" w:eastAsia="Calibri" w:hAnsi="Arial" w:cs="Arial"/>
          <w:sz w:val="24"/>
          <w:szCs w:val="24"/>
        </w:rPr>
      </w:pPr>
    </w:p>
    <w:p w:rsidR="00B20506" w:rsidRDefault="00B20506" w:rsidP="00E554C3">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Mr. </w:t>
      </w:r>
      <w:proofErr w:type="spellStart"/>
      <w:r>
        <w:rPr>
          <w:rFonts w:ascii="Arial" w:eastAsia="Calibri" w:hAnsi="Arial" w:cs="Arial"/>
          <w:sz w:val="24"/>
          <w:szCs w:val="24"/>
        </w:rPr>
        <w:t>Greyling</w:t>
      </w:r>
      <w:proofErr w:type="spellEnd"/>
      <w:r>
        <w:rPr>
          <w:rFonts w:ascii="Arial" w:eastAsia="Calibri" w:hAnsi="Arial" w:cs="Arial"/>
          <w:sz w:val="24"/>
          <w:szCs w:val="24"/>
        </w:rPr>
        <w:t xml:space="preserve"> has argued that applicant’s legal practitioner</w:t>
      </w:r>
      <w:r w:rsidR="0070073F">
        <w:rPr>
          <w:rFonts w:ascii="Arial" w:eastAsia="Calibri" w:hAnsi="Arial" w:cs="Arial"/>
          <w:sz w:val="24"/>
          <w:szCs w:val="24"/>
        </w:rPr>
        <w:t xml:space="preserve"> has no authority to represent </w:t>
      </w:r>
      <w:r>
        <w:rPr>
          <w:rFonts w:ascii="Arial" w:eastAsia="Calibri" w:hAnsi="Arial" w:cs="Arial"/>
          <w:sz w:val="24"/>
          <w:szCs w:val="24"/>
        </w:rPr>
        <w:t>applicant because the said authority was not stated in her affidavit.  In her affidavit she stated</w:t>
      </w:r>
      <w:r w:rsidR="0070073F">
        <w:rPr>
          <w:rFonts w:ascii="Arial" w:eastAsia="Calibri" w:hAnsi="Arial" w:cs="Arial"/>
          <w:sz w:val="24"/>
          <w:szCs w:val="24"/>
        </w:rPr>
        <w:t xml:space="preserve"> </w:t>
      </w:r>
      <w:r w:rsidR="0070073F" w:rsidRPr="0070073F">
        <w:rPr>
          <w:rFonts w:ascii="Arial" w:eastAsia="Calibri" w:hAnsi="Arial" w:cs="Arial"/>
        </w:rPr>
        <w:t xml:space="preserve">“I am duly authorised to depose to this affidavit for the reason that </w:t>
      </w:r>
      <w:r w:rsidR="0070073F">
        <w:rPr>
          <w:rFonts w:ascii="Arial" w:eastAsia="Calibri" w:hAnsi="Arial" w:cs="Arial"/>
        </w:rPr>
        <w:t xml:space="preserve">I </w:t>
      </w:r>
      <w:r w:rsidR="0070073F" w:rsidRPr="0070073F">
        <w:rPr>
          <w:rFonts w:ascii="Arial" w:eastAsia="Calibri" w:hAnsi="Arial" w:cs="Arial"/>
        </w:rPr>
        <w:t>am the legal representative of record for applicant.”</w:t>
      </w:r>
      <w:r w:rsidR="0070073F">
        <w:rPr>
          <w:rFonts w:ascii="Arial" w:eastAsia="Calibri" w:hAnsi="Arial" w:cs="Arial"/>
          <w:sz w:val="24"/>
          <w:szCs w:val="24"/>
        </w:rPr>
        <w:t xml:space="preserve"> It is his argument that applicant’s le</w:t>
      </w:r>
      <w:r w:rsidR="007E5469">
        <w:rPr>
          <w:rFonts w:ascii="Arial" w:eastAsia="Calibri" w:hAnsi="Arial" w:cs="Arial"/>
          <w:sz w:val="24"/>
          <w:szCs w:val="24"/>
        </w:rPr>
        <w:t>gal practitioner should have gon</w:t>
      </w:r>
      <w:r w:rsidR="0070073F">
        <w:rPr>
          <w:rFonts w:ascii="Arial" w:eastAsia="Calibri" w:hAnsi="Arial" w:cs="Arial"/>
          <w:sz w:val="24"/>
          <w:szCs w:val="24"/>
        </w:rPr>
        <w:t>e further and stated that “</w:t>
      </w:r>
      <w:r w:rsidR="0070073F">
        <w:rPr>
          <w:rFonts w:ascii="Arial" w:eastAsia="Calibri" w:hAnsi="Arial" w:cs="Arial"/>
        </w:rPr>
        <w:t xml:space="preserve">she is duly authorised to </w:t>
      </w:r>
      <w:r w:rsidR="007E5469">
        <w:rPr>
          <w:rFonts w:ascii="Arial" w:eastAsia="Calibri" w:hAnsi="Arial" w:cs="Arial"/>
        </w:rPr>
        <w:t>launch</w:t>
      </w:r>
      <w:r w:rsidR="0070073F">
        <w:rPr>
          <w:rFonts w:ascii="Arial" w:eastAsia="Calibri" w:hAnsi="Arial" w:cs="Arial"/>
        </w:rPr>
        <w:t xml:space="preserve"> the application” </w:t>
      </w:r>
      <w:r w:rsidR="0070073F">
        <w:rPr>
          <w:rFonts w:ascii="Arial" w:eastAsia="Calibri" w:hAnsi="Arial" w:cs="Arial"/>
          <w:sz w:val="24"/>
          <w:szCs w:val="24"/>
        </w:rPr>
        <w:t xml:space="preserve">and this should have been followed by a confirmatory affidavit.  </w:t>
      </w:r>
    </w:p>
    <w:p w:rsidR="0070073F" w:rsidRDefault="0070073F" w:rsidP="00E554C3">
      <w:pPr>
        <w:spacing w:after="0" w:line="360" w:lineRule="auto"/>
        <w:jc w:val="both"/>
        <w:rPr>
          <w:rFonts w:ascii="Arial" w:eastAsia="Calibri" w:hAnsi="Arial" w:cs="Arial"/>
          <w:sz w:val="24"/>
          <w:szCs w:val="24"/>
        </w:rPr>
      </w:pPr>
    </w:p>
    <w:p w:rsidR="0070073F" w:rsidRDefault="0070073F" w:rsidP="00E554C3">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Ms. Samuel is</w:t>
      </w:r>
      <w:r w:rsidR="007E5469">
        <w:rPr>
          <w:rFonts w:ascii="Arial" w:eastAsia="Calibri" w:hAnsi="Arial" w:cs="Arial"/>
          <w:sz w:val="24"/>
          <w:szCs w:val="24"/>
        </w:rPr>
        <w:t>,</w:t>
      </w:r>
      <w:r>
        <w:rPr>
          <w:rFonts w:ascii="Arial" w:eastAsia="Calibri" w:hAnsi="Arial" w:cs="Arial"/>
          <w:sz w:val="24"/>
          <w:szCs w:val="24"/>
        </w:rPr>
        <w:t xml:space="preserve"> however</w:t>
      </w:r>
      <w:r w:rsidR="007E5469">
        <w:rPr>
          <w:rFonts w:ascii="Arial" w:eastAsia="Calibri" w:hAnsi="Arial" w:cs="Arial"/>
          <w:sz w:val="24"/>
          <w:szCs w:val="24"/>
        </w:rPr>
        <w:t>,</w:t>
      </w:r>
      <w:r>
        <w:rPr>
          <w:rFonts w:ascii="Arial" w:eastAsia="Calibri" w:hAnsi="Arial" w:cs="Arial"/>
          <w:sz w:val="24"/>
          <w:szCs w:val="24"/>
        </w:rPr>
        <w:t xml:space="preserve"> of the view that </w:t>
      </w:r>
      <w:r w:rsidR="007E5469">
        <w:rPr>
          <w:rFonts w:ascii="Arial" w:eastAsia="Calibri" w:hAnsi="Arial" w:cs="Arial"/>
          <w:sz w:val="24"/>
          <w:szCs w:val="24"/>
        </w:rPr>
        <w:t xml:space="preserve">her </w:t>
      </w:r>
      <w:r>
        <w:rPr>
          <w:rFonts w:ascii="Arial" w:eastAsia="Calibri" w:hAnsi="Arial" w:cs="Arial"/>
          <w:sz w:val="24"/>
          <w:szCs w:val="24"/>
        </w:rPr>
        <w:t>averment is correct, nothing more should be stated and challenged respondent to prove the non-</w:t>
      </w:r>
      <w:r w:rsidR="00FC7EC0">
        <w:rPr>
          <w:rFonts w:ascii="Arial" w:eastAsia="Calibri" w:hAnsi="Arial" w:cs="Arial"/>
          <w:sz w:val="24"/>
          <w:szCs w:val="24"/>
        </w:rPr>
        <w:t>existence</w:t>
      </w:r>
      <w:r>
        <w:rPr>
          <w:rFonts w:ascii="Arial" w:eastAsia="Calibri" w:hAnsi="Arial" w:cs="Arial"/>
          <w:sz w:val="24"/>
          <w:szCs w:val="24"/>
        </w:rPr>
        <w:t xml:space="preserve"> of authority and referred to </w:t>
      </w:r>
      <w:r w:rsidRPr="007E5469">
        <w:rPr>
          <w:rFonts w:ascii="Arial" w:eastAsia="Calibri" w:hAnsi="Arial" w:cs="Arial"/>
          <w:i/>
          <w:sz w:val="24"/>
          <w:szCs w:val="24"/>
        </w:rPr>
        <w:t xml:space="preserve">Scott and Others v </w:t>
      </w:r>
      <w:proofErr w:type="spellStart"/>
      <w:r w:rsidRPr="007E5469">
        <w:rPr>
          <w:rFonts w:ascii="Arial" w:eastAsia="Calibri" w:hAnsi="Arial" w:cs="Arial"/>
          <w:i/>
          <w:sz w:val="24"/>
          <w:szCs w:val="24"/>
        </w:rPr>
        <w:t>Hanekom</w:t>
      </w:r>
      <w:proofErr w:type="spellEnd"/>
      <w:r w:rsidRPr="007E5469">
        <w:rPr>
          <w:rFonts w:ascii="Arial" w:eastAsia="Calibri" w:hAnsi="Arial" w:cs="Arial"/>
          <w:i/>
          <w:sz w:val="24"/>
          <w:szCs w:val="24"/>
        </w:rPr>
        <w:t xml:space="preserve"> and Others 1980 (3) SA 1182 (c) </w:t>
      </w:r>
      <w:r w:rsidR="00FC7EC0" w:rsidRPr="007E5469">
        <w:rPr>
          <w:rFonts w:ascii="Arial" w:eastAsia="Calibri" w:hAnsi="Arial" w:cs="Arial"/>
          <w:i/>
          <w:sz w:val="24"/>
          <w:szCs w:val="24"/>
        </w:rPr>
        <w:t xml:space="preserve">at 1190 E-G) </w:t>
      </w:r>
      <w:r w:rsidR="00FC7EC0">
        <w:rPr>
          <w:rFonts w:ascii="Arial" w:eastAsia="Calibri" w:hAnsi="Arial" w:cs="Arial"/>
          <w:sz w:val="24"/>
          <w:szCs w:val="24"/>
        </w:rPr>
        <w:t xml:space="preserve">where it was stated </w:t>
      </w:r>
      <w:proofErr w:type="gramStart"/>
      <w:r w:rsidR="00FC7EC0" w:rsidRPr="00FC7EC0">
        <w:rPr>
          <w:rFonts w:ascii="Arial" w:eastAsia="Calibri" w:hAnsi="Arial" w:cs="Arial"/>
        </w:rPr>
        <w:t>“ it</w:t>
      </w:r>
      <w:proofErr w:type="gramEnd"/>
      <w:r w:rsidR="00FC7EC0" w:rsidRPr="00FC7EC0">
        <w:rPr>
          <w:rFonts w:ascii="Arial" w:eastAsia="Calibri" w:hAnsi="Arial" w:cs="Arial"/>
        </w:rPr>
        <w:t xml:space="preserve"> is now trite that the applicant need do no more in the founding papers than allege that the authorisation has been duly granted</w:t>
      </w:r>
      <w:r w:rsidR="00FC7EC0">
        <w:rPr>
          <w:rFonts w:ascii="Arial" w:eastAsia="Calibri" w:hAnsi="Arial" w:cs="Arial"/>
          <w:sz w:val="24"/>
          <w:szCs w:val="24"/>
        </w:rPr>
        <w:t xml:space="preserve">” </w:t>
      </w:r>
    </w:p>
    <w:p w:rsidR="00FC7EC0" w:rsidRDefault="00FC7EC0" w:rsidP="00E554C3">
      <w:pPr>
        <w:spacing w:after="0" w:line="360" w:lineRule="auto"/>
        <w:jc w:val="both"/>
        <w:rPr>
          <w:rFonts w:ascii="Arial" w:eastAsia="Calibri" w:hAnsi="Arial" w:cs="Arial"/>
          <w:sz w:val="24"/>
          <w:szCs w:val="24"/>
        </w:rPr>
      </w:pPr>
    </w:p>
    <w:p w:rsidR="00FC7EC0" w:rsidRDefault="00FC7EC0" w:rsidP="00E554C3">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It is further her argument that the mere fact that a deponent is duly authorised to depose to a founding affidavit in</w:t>
      </w:r>
      <w:r w:rsidR="007E5469">
        <w:rPr>
          <w:rFonts w:ascii="Arial" w:eastAsia="Calibri" w:hAnsi="Arial" w:cs="Arial"/>
          <w:sz w:val="24"/>
          <w:szCs w:val="24"/>
        </w:rPr>
        <w:t>stituting proceedings is an indi</w:t>
      </w:r>
      <w:r>
        <w:rPr>
          <w:rFonts w:ascii="Arial" w:eastAsia="Calibri" w:hAnsi="Arial" w:cs="Arial"/>
          <w:sz w:val="24"/>
          <w:szCs w:val="24"/>
        </w:rPr>
        <w:t>c</w:t>
      </w:r>
      <w:r w:rsidR="007E5469">
        <w:rPr>
          <w:rFonts w:ascii="Arial" w:eastAsia="Calibri" w:hAnsi="Arial" w:cs="Arial"/>
          <w:sz w:val="24"/>
          <w:szCs w:val="24"/>
        </w:rPr>
        <w:t>a</w:t>
      </w:r>
      <w:r>
        <w:rPr>
          <w:rFonts w:ascii="Arial" w:eastAsia="Calibri" w:hAnsi="Arial" w:cs="Arial"/>
          <w:sz w:val="24"/>
          <w:szCs w:val="24"/>
        </w:rPr>
        <w:t xml:space="preserve">tion that </w:t>
      </w:r>
      <w:r w:rsidR="007F5560">
        <w:rPr>
          <w:rFonts w:ascii="Arial" w:eastAsia="Calibri" w:hAnsi="Arial" w:cs="Arial"/>
          <w:sz w:val="24"/>
          <w:szCs w:val="24"/>
        </w:rPr>
        <w:t>s</w:t>
      </w:r>
      <w:r>
        <w:rPr>
          <w:rFonts w:ascii="Arial" w:eastAsia="Calibri" w:hAnsi="Arial" w:cs="Arial"/>
          <w:sz w:val="24"/>
          <w:szCs w:val="24"/>
        </w:rPr>
        <w:t>he has authority to bring the application on behalf of the applicant.</w:t>
      </w:r>
    </w:p>
    <w:p w:rsidR="00FC7EC0" w:rsidRDefault="00FC7EC0" w:rsidP="00E554C3">
      <w:pPr>
        <w:spacing w:after="0" w:line="360" w:lineRule="auto"/>
        <w:jc w:val="both"/>
        <w:rPr>
          <w:rFonts w:ascii="Arial" w:eastAsia="Calibri" w:hAnsi="Arial" w:cs="Arial"/>
          <w:sz w:val="24"/>
          <w:szCs w:val="24"/>
        </w:rPr>
      </w:pPr>
    </w:p>
    <w:p w:rsidR="00FC7EC0" w:rsidRDefault="00FC7EC0" w:rsidP="00E554C3">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t xml:space="preserve">Ms. Samuel’s affidavit speaks of authority to depose to the affidavit which is the foundation of legal representation.  However, such legal representation may or may not include authority to launch an application.  Launching an application ushers in a new dimension in the proceedings as it has costs implications in the event of a loss </w:t>
      </w:r>
      <w:r w:rsidR="007F5560">
        <w:rPr>
          <w:rFonts w:ascii="Arial" w:eastAsia="Calibri" w:hAnsi="Arial" w:cs="Arial"/>
          <w:sz w:val="24"/>
          <w:szCs w:val="24"/>
        </w:rPr>
        <w:t>of the case by</w:t>
      </w:r>
      <w:r>
        <w:rPr>
          <w:rFonts w:ascii="Arial" w:eastAsia="Calibri" w:hAnsi="Arial" w:cs="Arial"/>
          <w:sz w:val="24"/>
          <w:szCs w:val="24"/>
        </w:rPr>
        <w:t xml:space="preserve"> applicant.</w:t>
      </w:r>
    </w:p>
    <w:p w:rsidR="00FC7EC0" w:rsidRDefault="00FC7EC0" w:rsidP="00E554C3">
      <w:pPr>
        <w:spacing w:after="0" w:line="360" w:lineRule="auto"/>
        <w:jc w:val="both"/>
        <w:rPr>
          <w:rFonts w:ascii="Arial" w:eastAsia="Calibri" w:hAnsi="Arial" w:cs="Arial"/>
          <w:sz w:val="24"/>
          <w:szCs w:val="24"/>
        </w:rPr>
      </w:pPr>
    </w:p>
    <w:p w:rsidR="00FC7EC0" w:rsidRDefault="00FC7EC0" w:rsidP="00E554C3">
      <w:pPr>
        <w:spacing w:after="0"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t>It is for that reason that applicant must also weigh-in by deposing to a confirmatory affidavit thereby adding credence to his legal practitioner</w:t>
      </w:r>
      <w:r w:rsidR="007E5469">
        <w:rPr>
          <w:rFonts w:ascii="Arial" w:eastAsia="Calibri" w:hAnsi="Arial" w:cs="Arial"/>
          <w:sz w:val="24"/>
          <w:szCs w:val="24"/>
        </w:rPr>
        <w:t>’s</w:t>
      </w:r>
      <w:r>
        <w:rPr>
          <w:rFonts w:ascii="Arial" w:eastAsia="Calibri" w:hAnsi="Arial" w:cs="Arial"/>
          <w:sz w:val="24"/>
          <w:szCs w:val="24"/>
        </w:rPr>
        <w:t xml:space="preserve"> action for and on his behalf.  It is for that reason that</w:t>
      </w:r>
      <w:r w:rsidR="001F17FB">
        <w:rPr>
          <w:rFonts w:ascii="Arial" w:eastAsia="Calibri" w:hAnsi="Arial" w:cs="Arial"/>
          <w:sz w:val="24"/>
          <w:szCs w:val="24"/>
        </w:rPr>
        <w:t xml:space="preserve"> it is not enough that a legal practitioner should rely on the words “duly authorised” as such words are too general and lack specifics.</w:t>
      </w:r>
    </w:p>
    <w:p w:rsidR="001F17FB" w:rsidRDefault="001F17FB" w:rsidP="00E554C3">
      <w:pPr>
        <w:spacing w:after="0" w:line="360" w:lineRule="auto"/>
        <w:jc w:val="both"/>
        <w:rPr>
          <w:rFonts w:ascii="Arial" w:eastAsia="Calibri" w:hAnsi="Arial" w:cs="Arial"/>
          <w:sz w:val="24"/>
          <w:szCs w:val="24"/>
        </w:rPr>
      </w:pPr>
    </w:p>
    <w:p w:rsidR="001F17FB" w:rsidRDefault="001F17FB" w:rsidP="00E554C3">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 xml:space="preserve">This application is further compounded by the fact that Phillip </w:t>
      </w:r>
      <w:proofErr w:type="spellStart"/>
      <w:r>
        <w:rPr>
          <w:rFonts w:ascii="Arial" w:eastAsia="Calibri" w:hAnsi="Arial" w:cs="Arial"/>
          <w:sz w:val="24"/>
          <w:szCs w:val="24"/>
        </w:rPr>
        <w:t>Auala’s</w:t>
      </w:r>
      <w:proofErr w:type="spellEnd"/>
      <w:r>
        <w:rPr>
          <w:rFonts w:ascii="Arial" w:eastAsia="Calibri" w:hAnsi="Arial" w:cs="Arial"/>
          <w:sz w:val="24"/>
          <w:szCs w:val="24"/>
        </w:rPr>
        <w:t xml:space="preserve"> confirmatory affidavit does not aver that he has been duly authorised by applicant to depose to his affidavit.  That also brings in the question of locus </w:t>
      </w:r>
      <w:proofErr w:type="spellStart"/>
      <w:r w:rsidR="007E5469">
        <w:rPr>
          <w:rFonts w:ascii="Arial" w:eastAsia="Calibri" w:hAnsi="Arial" w:cs="Arial"/>
          <w:i/>
          <w:sz w:val="24"/>
          <w:szCs w:val="24"/>
        </w:rPr>
        <w:t>standi</w:t>
      </w:r>
      <w:proofErr w:type="spellEnd"/>
      <w:r w:rsidR="007E5469">
        <w:rPr>
          <w:rFonts w:ascii="Arial" w:eastAsia="Calibri" w:hAnsi="Arial" w:cs="Arial"/>
          <w:i/>
          <w:sz w:val="24"/>
          <w:szCs w:val="24"/>
        </w:rPr>
        <w:t xml:space="preserve"> in </w:t>
      </w:r>
      <w:proofErr w:type="spellStart"/>
      <w:r w:rsidR="007E5469">
        <w:rPr>
          <w:rFonts w:ascii="Arial" w:eastAsia="Calibri" w:hAnsi="Arial" w:cs="Arial"/>
          <w:i/>
          <w:sz w:val="24"/>
          <w:szCs w:val="24"/>
        </w:rPr>
        <w:t>j</w:t>
      </w:r>
      <w:r w:rsidRPr="001F17FB">
        <w:rPr>
          <w:rFonts w:ascii="Arial" w:eastAsia="Calibri" w:hAnsi="Arial" w:cs="Arial"/>
          <w:i/>
          <w:sz w:val="24"/>
          <w:szCs w:val="24"/>
        </w:rPr>
        <w:t>indicio</w:t>
      </w:r>
      <w:proofErr w:type="spellEnd"/>
      <w:r>
        <w:rPr>
          <w:rFonts w:ascii="Arial" w:eastAsia="Calibri" w:hAnsi="Arial" w:cs="Arial"/>
          <w:sz w:val="24"/>
          <w:szCs w:val="24"/>
        </w:rPr>
        <w:t xml:space="preserve">. </w:t>
      </w:r>
    </w:p>
    <w:p w:rsidR="001F17FB" w:rsidRDefault="001F17FB" w:rsidP="00E554C3">
      <w:pPr>
        <w:spacing w:after="0" w:line="360" w:lineRule="auto"/>
        <w:jc w:val="both"/>
        <w:rPr>
          <w:rFonts w:ascii="Arial" w:eastAsia="Calibri" w:hAnsi="Arial" w:cs="Arial"/>
          <w:sz w:val="24"/>
          <w:szCs w:val="24"/>
        </w:rPr>
      </w:pPr>
    </w:p>
    <w:p w:rsidR="001F17FB" w:rsidRDefault="001F17FB" w:rsidP="00E554C3">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 xml:space="preserve">I draw solace </w:t>
      </w:r>
      <w:r w:rsidR="007E5469">
        <w:rPr>
          <w:rFonts w:ascii="Arial" w:eastAsia="Calibri" w:hAnsi="Arial" w:cs="Arial"/>
          <w:sz w:val="24"/>
          <w:szCs w:val="24"/>
        </w:rPr>
        <w:t>from</w:t>
      </w:r>
      <w:r>
        <w:rPr>
          <w:rFonts w:ascii="Arial" w:eastAsia="Calibri" w:hAnsi="Arial" w:cs="Arial"/>
          <w:sz w:val="24"/>
          <w:szCs w:val="24"/>
        </w:rPr>
        <w:t xml:space="preserve"> the matter of </w:t>
      </w:r>
      <w:proofErr w:type="spellStart"/>
      <w:r w:rsidRPr="007E5469">
        <w:rPr>
          <w:rFonts w:ascii="Arial" w:eastAsia="Calibri" w:hAnsi="Arial" w:cs="Arial"/>
          <w:i/>
          <w:sz w:val="24"/>
          <w:szCs w:val="24"/>
        </w:rPr>
        <w:t>Kandji</w:t>
      </w:r>
      <w:r w:rsidR="00B440A1">
        <w:rPr>
          <w:rFonts w:ascii="Arial" w:eastAsia="Calibri" w:hAnsi="Arial" w:cs="Arial"/>
          <w:i/>
          <w:sz w:val="24"/>
          <w:szCs w:val="24"/>
        </w:rPr>
        <w:t>i</w:t>
      </w:r>
      <w:proofErr w:type="spellEnd"/>
      <w:r w:rsidR="00B440A1">
        <w:rPr>
          <w:rFonts w:ascii="Arial" w:eastAsia="Calibri" w:hAnsi="Arial" w:cs="Arial"/>
          <w:i/>
          <w:sz w:val="24"/>
          <w:szCs w:val="24"/>
        </w:rPr>
        <w:t xml:space="preserve"> v Tjingaete Tjinga’s Gold Farm</w:t>
      </w:r>
      <w:r w:rsidRPr="007E5469">
        <w:rPr>
          <w:rFonts w:ascii="Arial" w:eastAsia="Calibri" w:hAnsi="Arial" w:cs="Arial"/>
          <w:i/>
          <w:sz w:val="24"/>
          <w:szCs w:val="24"/>
        </w:rPr>
        <w:t>ing v Tjinjeke (I 1024/2009; I 45/2009</w:t>
      </w:r>
      <w:r w:rsidR="00B440A1">
        <w:rPr>
          <w:rFonts w:ascii="Arial" w:eastAsia="Calibri" w:hAnsi="Arial" w:cs="Arial"/>
          <w:i/>
          <w:sz w:val="24"/>
          <w:szCs w:val="24"/>
        </w:rPr>
        <w:t>)</w:t>
      </w:r>
      <w:r w:rsidRPr="007E5469">
        <w:rPr>
          <w:rFonts w:ascii="Arial" w:eastAsia="Calibri" w:hAnsi="Arial" w:cs="Arial"/>
          <w:i/>
          <w:sz w:val="24"/>
          <w:szCs w:val="24"/>
        </w:rPr>
        <w:t xml:space="preserve"> NAHCMD 35 (06/02/201</w:t>
      </w:r>
      <w:r w:rsidR="00B440A1">
        <w:rPr>
          <w:rFonts w:ascii="Arial" w:eastAsia="Calibri" w:hAnsi="Arial" w:cs="Arial"/>
          <w:i/>
          <w:sz w:val="24"/>
          <w:szCs w:val="24"/>
        </w:rPr>
        <w:t>4</w:t>
      </w:r>
      <w:r w:rsidRPr="007E5469">
        <w:rPr>
          <w:rFonts w:ascii="Arial" w:eastAsia="Calibri" w:hAnsi="Arial" w:cs="Arial"/>
          <w:i/>
          <w:sz w:val="24"/>
          <w:szCs w:val="24"/>
        </w:rPr>
        <w:t>)</w:t>
      </w:r>
      <w:r w:rsidR="007F5560">
        <w:rPr>
          <w:rFonts w:ascii="Arial" w:eastAsia="Calibri" w:hAnsi="Arial" w:cs="Arial"/>
          <w:i/>
          <w:sz w:val="24"/>
          <w:szCs w:val="24"/>
        </w:rPr>
        <w:t>,</w:t>
      </w:r>
      <w:r>
        <w:rPr>
          <w:rFonts w:ascii="Arial" w:eastAsia="Calibri" w:hAnsi="Arial" w:cs="Arial"/>
          <w:sz w:val="24"/>
          <w:szCs w:val="24"/>
        </w:rPr>
        <w:t xml:space="preserve"> where Damaseb JP remarked:</w:t>
      </w:r>
    </w:p>
    <w:p w:rsidR="001F17FB" w:rsidRDefault="001F17FB" w:rsidP="00E554C3">
      <w:pPr>
        <w:spacing w:after="0" w:line="360" w:lineRule="auto"/>
        <w:jc w:val="both"/>
        <w:rPr>
          <w:rFonts w:ascii="Arial" w:eastAsia="Calibri" w:hAnsi="Arial" w:cs="Arial"/>
          <w:sz w:val="24"/>
          <w:szCs w:val="24"/>
        </w:rPr>
      </w:pPr>
    </w:p>
    <w:p w:rsidR="001F17FB" w:rsidRPr="001F17FB" w:rsidRDefault="001F17FB" w:rsidP="001F17FB">
      <w:pPr>
        <w:spacing w:after="0" w:line="360" w:lineRule="auto"/>
        <w:ind w:left="720"/>
        <w:jc w:val="both"/>
        <w:rPr>
          <w:rFonts w:ascii="Arial" w:eastAsia="Calibri" w:hAnsi="Arial" w:cs="Arial"/>
        </w:rPr>
      </w:pPr>
      <w:r w:rsidRPr="001F17FB">
        <w:rPr>
          <w:rFonts w:ascii="Arial" w:eastAsia="Calibri" w:hAnsi="Arial" w:cs="Arial"/>
        </w:rPr>
        <w:t>“A legal practitioner is an agent of a client and an agent cannot institute legal proceedings on behalf of the client without authorisation.”</w:t>
      </w:r>
    </w:p>
    <w:p w:rsidR="001F17FB" w:rsidRDefault="001F17FB" w:rsidP="001F17FB">
      <w:pPr>
        <w:spacing w:after="0" w:line="360" w:lineRule="auto"/>
        <w:jc w:val="both"/>
        <w:rPr>
          <w:rFonts w:ascii="Arial" w:eastAsia="Calibri" w:hAnsi="Arial" w:cs="Arial"/>
          <w:sz w:val="24"/>
          <w:szCs w:val="24"/>
        </w:rPr>
      </w:pPr>
    </w:p>
    <w:p w:rsidR="001F17FB" w:rsidRDefault="001F17FB" w:rsidP="001F17FB">
      <w:pPr>
        <w:spacing w:after="0"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t>Authorisation must be clear</w:t>
      </w:r>
      <w:r w:rsidR="007E5469">
        <w:rPr>
          <w:rFonts w:ascii="Arial" w:eastAsia="Calibri" w:hAnsi="Arial" w:cs="Arial"/>
          <w:sz w:val="24"/>
          <w:szCs w:val="24"/>
        </w:rPr>
        <w:t>, and</w:t>
      </w:r>
      <w:r>
        <w:rPr>
          <w:rFonts w:ascii="Arial" w:eastAsia="Calibri" w:hAnsi="Arial" w:cs="Arial"/>
          <w:sz w:val="24"/>
          <w:szCs w:val="24"/>
        </w:rPr>
        <w:t xml:space="preserve"> cannot be ordinarily implied or concluded by conjecture</w:t>
      </w:r>
      <w:r w:rsidR="007E5469">
        <w:rPr>
          <w:rFonts w:ascii="Arial" w:eastAsia="Calibri" w:hAnsi="Arial" w:cs="Arial"/>
          <w:sz w:val="24"/>
          <w:szCs w:val="24"/>
        </w:rPr>
        <w:t xml:space="preserve"> or speculation</w:t>
      </w:r>
      <w:r>
        <w:rPr>
          <w:rFonts w:ascii="Arial" w:eastAsia="Calibri" w:hAnsi="Arial" w:cs="Arial"/>
          <w:sz w:val="24"/>
          <w:szCs w:val="24"/>
        </w:rPr>
        <w:t xml:space="preserve">.  It </w:t>
      </w:r>
      <w:r w:rsidR="007E5469">
        <w:rPr>
          <w:rFonts w:ascii="Arial" w:eastAsia="Calibri" w:hAnsi="Arial" w:cs="Arial"/>
          <w:sz w:val="24"/>
          <w:szCs w:val="24"/>
        </w:rPr>
        <w:t>is an expression by the principal</w:t>
      </w:r>
      <w:r>
        <w:rPr>
          <w:rFonts w:ascii="Arial" w:eastAsia="Calibri" w:hAnsi="Arial" w:cs="Arial"/>
          <w:sz w:val="24"/>
          <w:szCs w:val="24"/>
        </w:rPr>
        <w:t xml:space="preserve"> to his agent which clothes </w:t>
      </w:r>
      <w:r w:rsidR="007F5560">
        <w:rPr>
          <w:rFonts w:ascii="Arial" w:eastAsia="Calibri" w:hAnsi="Arial" w:cs="Arial"/>
          <w:sz w:val="24"/>
          <w:szCs w:val="24"/>
        </w:rPr>
        <w:t>agent</w:t>
      </w:r>
      <w:r>
        <w:rPr>
          <w:rFonts w:ascii="Arial" w:eastAsia="Calibri" w:hAnsi="Arial" w:cs="Arial"/>
          <w:sz w:val="24"/>
          <w:szCs w:val="24"/>
        </w:rPr>
        <w:t xml:space="preserve"> with power to conclude ju</w:t>
      </w:r>
      <w:r w:rsidR="00B440A1">
        <w:rPr>
          <w:rFonts w:ascii="Arial" w:eastAsia="Calibri" w:hAnsi="Arial" w:cs="Arial"/>
          <w:sz w:val="24"/>
          <w:szCs w:val="24"/>
        </w:rPr>
        <w:t>ristic</w:t>
      </w:r>
      <w:r>
        <w:rPr>
          <w:rFonts w:ascii="Arial" w:eastAsia="Calibri" w:hAnsi="Arial" w:cs="Arial"/>
          <w:sz w:val="24"/>
          <w:szCs w:val="24"/>
        </w:rPr>
        <w:t xml:space="preserve"> acts on </w:t>
      </w:r>
      <w:r w:rsidR="007F5560">
        <w:rPr>
          <w:rFonts w:ascii="Arial" w:eastAsia="Calibri" w:hAnsi="Arial" w:cs="Arial"/>
          <w:sz w:val="24"/>
          <w:szCs w:val="24"/>
        </w:rPr>
        <w:t>behalf of the principal</w:t>
      </w:r>
      <w:r w:rsidR="00B033EA">
        <w:rPr>
          <w:rFonts w:ascii="Arial" w:eastAsia="Calibri" w:hAnsi="Arial" w:cs="Arial"/>
          <w:sz w:val="24"/>
          <w:szCs w:val="24"/>
        </w:rPr>
        <w:t>.  T</w:t>
      </w:r>
      <w:r w:rsidR="00B440A1">
        <w:rPr>
          <w:rFonts w:ascii="Arial" w:eastAsia="Calibri" w:hAnsi="Arial" w:cs="Arial"/>
          <w:sz w:val="24"/>
          <w:szCs w:val="24"/>
        </w:rPr>
        <w:t>he need for clear authorisation</w:t>
      </w:r>
      <w:r w:rsidR="00B033EA">
        <w:rPr>
          <w:rFonts w:ascii="Arial" w:eastAsia="Calibri" w:hAnsi="Arial" w:cs="Arial"/>
          <w:sz w:val="24"/>
          <w:szCs w:val="24"/>
        </w:rPr>
        <w:t xml:space="preserve"> therefore</w:t>
      </w:r>
      <w:r>
        <w:rPr>
          <w:rFonts w:ascii="Arial" w:eastAsia="Calibri" w:hAnsi="Arial" w:cs="Arial"/>
          <w:sz w:val="24"/>
          <w:szCs w:val="24"/>
        </w:rPr>
        <w:t xml:space="preserve"> results in </w:t>
      </w:r>
      <w:r w:rsidR="00B440A1">
        <w:rPr>
          <w:rFonts w:ascii="Arial" w:eastAsia="Calibri" w:hAnsi="Arial" w:cs="Arial"/>
          <w:sz w:val="24"/>
          <w:szCs w:val="24"/>
        </w:rPr>
        <w:t xml:space="preserve">the </w:t>
      </w:r>
      <w:r>
        <w:rPr>
          <w:rFonts w:ascii="Arial" w:eastAsia="Calibri" w:hAnsi="Arial" w:cs="Arial"/>
          <w:sz w:val="24"/>
          <w:szCs w:val="24"/>
        </w:rPr>
        <w:t>creation of a legal machinery through which a legal relationship is brought into existence.  It is</w:t>
      </w:r>
      <w:r w:rsidR="00B440A1">
        <w:rPr>
          <w:rFonts w:ascii="Arial" w:eastAsia="Calibri" w:hAnsi="Arial" w:cs="Arial"/>
          <w:sz w:val="24"/>
          <w:szCs w:val="24"/>
        </w:rPr>
        <w:t>,</w:t>
      </w:r>
      <w:r>
        <w:rPr>
          <w:rFonts w:ascii="Arial" w:eastAsia="Calibri" w:hAnsi="Arial" w:cs="Arial"/>
          <w:sz w:val="24"/>
          <w:szCs w:val="24"/>
        </w:rPr>
        <w:t xml:space="preserve"> therefore</w:t>
      </w:r>
      <w:r w:rsidR="00B440A1">
        <w:rPr>
          <w:rFonts w:ascii="Arial" w:eastAsia="Calibri" w:hAnsi="Arial" w:cs="Arial"/>
          <w:sz w:val="24"/>
          <w:szCs w:val="24"/>
        </w:rPr>
        <w:t>,</w:t>
      </w:r>
      <w:r>
        <w:rPr>
          <w:rFonts w:ascii="Arial" w:eastAsia="Calibri" w:hAnsi="Arial" w:cs="Arial"/>
          <w:sz w:val="24"/>
          <w:szCs w:val="24"/>
        </w:rPr>
        <w:t xml:space="preserve"> an </w:t>
      </w:r>
      <w:r w:rsidR="007F5560">
        <w:rPr>
          <w:rFonts w:ascii="Arial" w:eastAsia="Calibri" w:hAnsi="Arial" w:cs="Arial"/>
          <w:sz w:val="24"/>
          <w:szCs w:val="24"/>
        </w:rPr>
        <w:t>announcemen</w:t>
      </w:r>
      <w:r w:rsidR="00A56946">
        <w:rPr>
          <w:rFonts w:ascii="Arial" w:eastAsia="Calibri" w:hAnsi="Arial" w:cs="Arial"/>
          <w:sz w:val="24"/>
          <w:szCs w:val="24"/>
        </w:rPr>
        <w:t>t</w:t>
      </w:r>
      <w:r>
        <w:rPr>
          <w:rFonts w:ascii="Arial" w:eastAsia="Calibri" w:hAnsi="Arial" w:cs="Arial"/>
          <w:sz w:val="24"/>
          <w:szCs w:val="24"/>
        </w:rPr>
        <w:t xml:space="preserve"> to third parties that the principal will be bound by the acts of his/her agent</w:t>
      </w:r>
      <w:r w:rsidR="00A56946">
        <w:rPr>
          <w:rFonts w:ascii="Arial" w:eastAsia="Calibri" w:hAnsi="Arial" w:cs="Arial"/>
          <w:sz w:val="24"/>
          <w:szCs w:val="24"/>
        </w:rPr>
        <w:t>.</w:t>
      </w:r>
      <w:r>
        <w:rPr>
          <w:rFonts w:ascii="Arial" w:eastAsia="Calibri" w:hAnsi="Arial" w:cs="Arial"/>
          <w:sz w:val="24"/>
          <w:szCs w:val="24"/>
        </w:rPr>
        <w:t xml:space="preserve"> </w:t>
      </w:r>
      <w:r w:rsidR="00A56946">
        <w:rPr>
          <w:rFonts w:ascii="Arial" w:eastAsia="Calibri" w:hAnsi="Arial" w:cs="Arial"/>
          <w:sz w:val="24"/>
          <w:szCs w:val="24"/>
        </w:rPr>
        <w:t xml:space="preserve"> </w:t>
      </w:r>
    </w:p>
    <w:p w:rsidR="00A56946" w:rsidRDefault="00A56946" w:rsidP="001F17FB">
      <w:pPr>
        <w:spacing w:after="0" w:line="360" w:lineRule="auto"/>
        <w:jc w:val="both"/>
        <w:rPr>
          <w:rFonts w:ascii="Arial" w:eastAsia="Calibri" w:hAnsi="Arial" w:cs="Arial"/>
          <w:sz w:val="24"/>
          <w:szCs w:val="24"/>
        </w:rPr>
      </w:pPr>
    </w:p>
    <w:p w:rsidR="00A56946" w:rsidRDefault="00A56946" w:rsidP="001F17FB">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Authorisation is essential in motion proceedi</w:t>
      </w:r>
      <w:r w:rsidR="00B440A1">
        <w:rPr>
          <w:rFonts w:ascii="Arial" w:eastAsia="Calibri" w:hAnsi="Arial" w:cs="Arial"/>
          <w:sz w:val="24"/>
          <w:szCs w:val="24"/>
        </w:rPr>
        <w:t xml:space="preserve">ngs, see </w:t>
      </w:r>
      <w:proofErr w:type="spellStart"/>
      <w:r w:rsidR="00B440A1">
        <w:rPr>
          <w:rFonts w:ascii="Arial" w:eastAsia="Calibri" w:hAnsi="Arial" w:cs="Arial"/>
          <w:sz w:val="24"/>
          <w:szCs w:val="24"/>
        </w:rPr>
        <w:t>Herbstein</w:t>
      </w:r>
      <w:proofErr w:type="spellEnd"/>
      <w:r w:rsidR="00B440A1">
        <w:rPr>
          <w:rFonts w:ascii="Arial" w:eastAsia="Calibri" w:hAnsi="Arial" w:cs="Arial"/>
          <w:sz w:val="24"/>
          <w:szCs w:val="24"/>
        </w:rPr>
        <w:t xml:space="preserve"> Van </w:t>
      </w:r>
      <w:proofErr w:type="spellStart"/>
      <w:r w:rsidR="00B440A1">
        <w:rPr>
          <w:rFonts w:ascii="Arial" w:eastAsia="Calibri" w:hAnsi="Arial" w:cs="Arial"/>
          <w:sz w:val="24"/>
          <w:szCs w:val="24"/>
        </w:rPr>
        <w:t>Winsen</w:t>
      </w:r>
      <w:proofErr w:type="spellEnd"/>
      <w:r w:rsidR="00B440A1">
        <w:rPr>
          <w:rFonts w:ascii="Arial" w:eastAsia="Calibri" w:hAnsi="Arial" w:cs="Arial"/>
          <w:sz w:val="24"/>
          <w:szCs w:val="24"/>
        </w:rPr>
        <w:t>, T</w:t>
      </w:r>
      <w:r>
        <w:rPr>
          <w:rFonts w:ascii="Arial" w:eastAsia="Calibri" w:hAnsi="Arial" w:cs="Arial"/>
          <w:sz w:val="24"/>
          <w:szCs w:val="24"/>
        </w:rPr>
        <w:t>he Civil Practice of the High Court of South Africa 5</w:t>
      </w:r>
      <w:r w:rsidRPr="00A56946">
        <w:rPr>
          <w:rFonts w:ascii="Arial" w:eastAsia="Calibri" w:hAnsi="Arial" w:cs="Arial"/>
          <w:sz w:val="24"/>
          <w:szCs w:val="24"/>
          <w:vertAlign w:val="superscript"/>
        </w:rPr>
        <w:t>th</w:t>
      </w:r>
      <w:r w:rsidR="00B440A1">
        <w:rPr>
          <w:rFonts w:ascii="Arial" w:eastAsia="Calibri" w:hAnsi="Arial" w:cs="Arial"/>
          <w:sz w:val="24"/>
          <w:szCs w:val="24"/>
        </w:rPr>
        <w:t xml:space="preserve"> e</w:t>
      </w:r>
      <w:r>
        <w:rPr>
          <w:rFonts w:ascii="Arial" w:eastAsia="Calibri" w:hAnsi="Arial" w:cs="Arial"/>
          <w:sz w:val="24"/>
          <w:szCs w:val="24"/>
        </w:rPr>
        <w:t>d. Vol</w:t>
      </w:r>
      <w:r w:rsidR="00B440A1">
        <w:rPr>
          <w:rFonts w:ascii="Arial" w:eastAsia="Calibri" w:hAnsi="Arial" w:cs="Arial"/>
          <w:sz w:val="24"/>
          <w:szCs w:val="24"/>
        </w:rPr>
        <w:t xml:space="preserve"> I</w:t>
      </w:r>
      <w:r>
        <w:rPr>
          <w:rFonts w:ascii="Arial" w:eastAsia="Calibri" w:hAnsi="Arial" w:cs="Arial"/>
          <w:sz w:val="24"/>
          <w:szCs w:val="24"/>
        </w:rPr>
        <w:t xml:space="preserve"> –</w:t>
      </w:r>
      <w:r w:rsidR="00B440A1">
        <w:rPr>
          <w:rFonts w:ascii="Arial" w:eastAsia="Calibri" w:hAnsi="Arial" w:cs="Arial"/>
          <w:sz w:val="24"/>
          <w:szCs w:val="24"/>
        </w:rPr>
        <w:t xml:space="preserve"> </w:t>
      </w:r>
      <w:r>
        <w:rPr>
          <w:rFonts w:ascii="Arial" w:eastAsia="Calibri" w:hAnsi="Arial" w:cs="Arial"/>
          <w:sz w:val="24"/>
          <w:szCs w:val="24"/>
        </w:rPr>
        <w:t>p 437 where the learned authors state:</w:t>
      </w:r>
    </w:p>
    <w:p w:rsidR="00A56946" w:rsidRDefault="00A56946" w:rsidP="001F17FB">
      <w:pPr>
        <w:spacing w:after="0" w:line="360" w:lineRule="auto"/>
        <w:jc w:val="both"/>
        <w:rPr>
          <w:rFonts w:ascii="Arial" w:eastAsia="Calibri" w:hAnsi="Arial" w:cs="Arial"/>
          <w:sz w:val="24"/>
          <w:szCs w:val="24"/>
        </w:rPr>
      </w:pPr>
    </w:p>
    <w:p w:rsidR="00A56946" w:rsidRPr="00A56946" w:rsidRDefault="00A56946" w:rsidP="00A56946">
      <w:pPr>
        <w:spacing w:after="0" w:line="360" w:lineRule="auto"/>
        <w:ind w:left="720"/>
        <w:jc w:val="both"/>
        <w:rPr>
          <w:rFonts w:ascii="Arial" w:eastAsia="Calibri" w:hAnsi="Arial" w:cs="Arial"/>
        </w:rPr>
      </w:pPr>
      <w:r>
        <w:rPr>
          <w:rFonts w:ascii="Arial" w:eastAsia="Calibri" w:hAnsi="Arial" w:cs="Arial"/>
        </w:rPr>
        <w:t xml:space="preserve">“Where an application is made by an agent on behalf of a principal, an averment of the agent’s authority is essential, unless it appears from affidavits filed in the application that the principal is aware and ratifies the proceedings, see </w:t>
      </w:r>
      <w:proofErr w:type="spellStart"/>
      <w:r>
        <w:rPr>
          <w:rFonts w:ascii="Arial" w:eastAsia="Calibri" w:hAnsi="Arial" w:cs="Arial"/>
        </w:rPr>
        <w:t>Millman</w:t>
      </w:r>
      <w:proofErr w:type="spellEnd"/>
      <w:r>
        <w:rPr>
          <w:rFonts w:ascii="Arial" w:eastAsia="Calibri" w:hAnsi="Arial" w:cs="Arial"/>
        </w:rPr>
        <w:t xml:space="preserve"> v </w:t>
      </w:r>
      <w:proofErr w:type="spellStart"/>
      <w:r>
        <w:rPr>
          <w:rFonts w:ascii="Arial" w:eastAsia="Calibri" w:hAnsi="Arial" w:cs="Arial"/>
        </w:rPr>
        <w:t>Goosen</w:t>
      </w:r>
      <w:proofErr w:type="spellEnd"/>
      <w:r>
        <w:rPr>
          <w:rFonts w:ascii="Arial" w:eastAsia="Calibri" w:hAnsi="Arial" w:cs="Arial"/>
        </w:rPr>
        <w:t xml:space="preserve"> 1975 (3) SA 141 (0).”  </w:t>
      </w:r>
    </w:p>
    <w:p w:rsidR="00A56946" w:rsidRDefault="00A56946" w:rsidP="00A56946">
      <w:pPr>
        <w:spacing w:after="0" w:line="360" w:lineRule="auto"/>
        <w:jc w:val="both"/>
      </w:pPr>
    </w:p>
    <w:p w:rsidR="00A56946" w:rsidRDefault="00A56946" w:rsidP="00A56946">
      <w:pPr>
        <w:spacing w:after="0" w:line="360" w:lineRule="auto"/>
        <w:jc w:val="both"/>
        <w:rPr>
          <w:rFonts w:ascii="Arial" w:hAnsi="Arial" w:cs="Arial"/>
          <w:sz w:val="24"/>
          <w:szCs w:val="24"/>
        </w:rPr>
      </w:pPr>
      <w:r w:rsidRPr="00A56946">
        <w:rPr>
          <w:rFonts w:ascii="Arial" w:hAnsi="Arial" w:cs="Arial"/>
          <w:sz w:val="24"/>
          <w:szCs w:val="24"/>
        </w:rPr>
        <w:t>[16]</w:t>
      </w:r>
      <w:r w:rsidRPr="00A56946">
        <w:rPr>
          <w:rFonts w:ascii="Arial" w:hAnsi="Arial" w:cs="Arial"/>
          <w:sz w:val="24"/>
          <w:szCs w:val="24"/>
        </w:rPr>
        <w:tab/>
      </w:r>
      <w:r>
        <w:rPr>
          <w:rFonts w:ascii="Arial" w:hAnsi="Arial" w:cs="Arial"/>
          <w:sz w:val="24"/>
          <w:szCs w:val="24"/>
        </w:rPr>
        <w:t xml:space="preserve">In the case of an artificial person, unlike an individual, </w:t>
      </w:r>
      <w:r w:rsidR="00B440A1">
        <w:rPr>
          <w:rFonts w:ascii="Arial" w:hAnsi="Arial" w:cs="Arial"/>
          <w:sz w:val="24"/>
          <w:szCs w:val="24"/>
        </w:rPr>
        <w:t>it</w:t>
      </w:r>
      <w:r w:rsidR="007F5560">
        <w:rPr>
          <w:rFonts w:ascii="Arial" w:hAnsi="Arial" w:cs="Arial"/>
          <w:sz w:val="24"/>
          <w:szCs w:val="24"/>
        </w:rPr>
        <w:t xml:space="preserve"> </w:t>
      </w:r>
      <w:r>
        <w:rPr>
          <w:rFonts w:ascii="Arial" w:hAnsi="Arial" w:cs="Arial"/>
          <w:sz w:val="24"/>
          <w:szCs w:val="24"/>
        </w:rPr>
        <w:t>can only function through its agents, and can take decisions only by the passing of resolutions in the manner prescribed by its constitution.  It cannot be assumed, from the mere fact that proceedings have been brought in its name, that those proceedings have in fact been authorised</w:t>
      </w:r>
      <w:r w:rsidR="00B440A1">
        <w:rPr>
          <w:rFonts w:ascii="Arial" w:hAnsi="Arial" w:cs="Arial"/>
          <w:sz w:val="24"/>
          <w:szCs w:val="24"/>
        </w:rPr>
        <w:t>.</w:t>
      </w:r>
    </w:p>
    <w:p w:rsidR="00A56946" w:rsidRDefault="00A56946" w:rsidP="00A56946">
      <w:pPr>
        <w:spacing w:after="0" w:line="360" w:lineRule="auto"/>
        <w:jc w:val="both"/>
        <w:rPr>
          <w:rFonts w:ascii="Arial" w:hAnsi="Arial" w:cs="Arial"/>
          <w:sz w:val="24"/>
          <w:szCs w:val="24"/>
        </w:rPr>
      </w:pPr>
    </w:p>
    <w:p w:rsidR="00A56946" w:rsidRDefault="00A56946" w:rsidP="00A5694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It</w:t>
      </w:r>
      <w:r w:rsidR="00B440A1">
        <w:rPr>
          <w:rFonts w:ascii="Arial" w:hAnsi="Arial" w:cs="Arial"/>
          <w:sz w:val="24"/>
          <w:szCs w:val="24"/>
        </w:rPr>
        <w:t xml:space="preserve">, therefore, </w:t>
      </w:r>
      <w:r>
        <w:rPr>
          <w:rFonts w:ascii="Arial" w:hAnsi="Arial" w:cs="Arial"/>
          <w:sz w:val="24"/>
          <w:szCs w:val="24"/>
        </w:rPr>
        <w:t>stands to reason that where the legal practitioner has not made the necessary averments the required legal authorisation will be lacking, the</w:t>
      </w:r>
      <w:r w:rsidR="007F5560">
        <w:rPr>
          <w:rFonts w:ascii="Arial" w:hAnsi="Arial" w:cs="Arial"/>
          <w:sz w:val="24"/>
          <w:szCs w:val="24"/>
        </w:rPr>
        <w:t>reby rendering the affidavit in</w:t>
      </w:r>
      <w:r>
        <w:rPr>
          <w:rFonts w:ascii="Arial" w:hAnsi="Arial" w:cs="Arial"/>
          <w:sz w:val="24"/>
          <w:szCs w:val="24"/>
        </w:rPr>
        <w:t>effective.</w:t>
      </w:r>
    </w:p>
    <w:p w:rsidR="007D564B" w:rsidRDefault="007D564B" w:rsidP="00A56946">
      <w:pPr>
        <w:spacing w:after="0" w:line="360" w:lineRule="auto"/>
        <w:jc w:val="both"/>
        <w:rPr>
          <w:rFonts w:ascii="Arial" w:hAnsi="Arial" w:cs="Arial"/>
          <w:sz w:val="24"/>
          <w:szCs w:val="24"/>
        </w:rPr>
      </w:pPr>
    </w:p>
    <w:p w:rsidR="007D564B" w:rsidRPr="00B440A1" w:rsidRDefault="007D564B" w:rsidP="00B440A1">
      <w:pPr>
        <w:pStyle w:val="ListParagraph"/>
        <w:numPr>
          <w:ilvl w:val="0"/>
          <w:numId w:val="4"/>
        </w:numPr>
        <w:spacing w:after="0" w:line="360" w:lineRule="auto"/>
        <w:jc w:val="both"/>
        <w:rPr>
          <w:rFonts w:ascii="Arial" w:hAnsi="Arial" w:cs="Arial"/>
          <w:sz w:val="24"/>
          <w:szCs w:val="24"/>
          <w:u w:val="single"/>
        </w:rPr>
      </w:pPr>
      <w:r w:rsidRPr="00B440A1">
        <w:rPr>
          <w:rFonts w:ascii="Arial" w:hAnsi="Arial" w:cs="Arial"/>
          <w:sz w:val="24"/>
          <w:szCs w:val="24"/>
          <w:u w:val="single"/>
        </w:rPr>
        <w:t>Attachment of inadmissible evidence</w:t>
      </w:r>
    </w:p>
    <w:p w:rsidR="007D564B" w:rsidRDefault="007D564B" w:rsidP="00A56946">
      <w:pPr>
        <w:spacing w:after="0" w:line="360" w:lineRule="auto"/>
        <w:jc w:val="both"/>
        <w:rPr>
          <w:rFonts w:ascii="Arial" w:hAnsi="Arial" w:cs="Arial"/>
          <w:sz w:val="24"/>
          <w:szCs w:val="24"/>
        </w:rPr>
      </w:pPr>
    </w:p>
    <w:p w:rsidR="007D564B" w:rsidRDefault="007D564B" w:rsidP="00A56946">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Respondent attacked </w:t>
      </w:r>
      <w:r w:rsidR="00B440A1">
        <w:rPr>
          <w:rFonts w:ascii="Arial" w:hAnsi="Arial" w:cs="Arial"/>
          <w:sz w:val="24"/>
          <w:szCs w:val="24"/>
        </w:rPr>
        <w:t>applicant’s</w:t>
      </w:r>
      <w:r>
        <w:rPr>
          <w:rFonts w:ascii="Arial" w:hAnsi="Arial" w:cs="Arial"/>
          <w:sz w:val="24"/>
          <w:szCs w:val="24"/>
        </w:rPr>
        <w:t xml:space="preserve"> attachment of a </w:t>
      </w:r>
      <w:r w:rsidR="00B440A1">
        <w:rPr>
          <w:rFonts w:ascii="Arial" w:hAnsi="Arial" w:cs="Arial"/>
          <w:sz w:val="24"/>
          <w:szCs w:val="24"/>
        </w:rPr>
        <w:t>“</w:t>
      </w:r>
      <w:r>
        <w:rPr>
          <w:rFonts w:ascii="Arial" w:hAnsi="Arial" w:cs="Arial"/>
          <w:sz w:val="24"/>
          <w:szCs w:val="24"/>
        </w:rPr>
        <w:t>without</w:t>
      </w:r>
      <w:r w:rsidR="00B440A1">
        <w:rPr>
          <w:rFonts w:ascii="Arial" w:hAnsi="Arial" w:cs="Arial"/>
          <w:sz w:val="24"/>
          <w:szCs w:val="24"/>
        </w:rPr>
        <w:t xml:space="preserve"> prejudice”</w:t>
      </w:r>
      <w:r>
        <w:rPr>
          <w:rFonts w:ascii="Arial" w:hAnsi="Arial" w:cs="Arial"/>
          <w:sz w:val="24"/>
          <w:szCs w:val="24"/>
        </w:rPr>
        <w:t xml:space="preserve"> correspondence.  In response to applicant’s letter of the 08 December 2015, respondent </w:t>
      </w:r>
      <w:r w:rsidR="00B440A1">
        <w:rPr>
          <w:rFonts w:ascii="Arial" w:hAnsi="Arial" w:cs="Arial"/>
          <w:sz w:val="24"/>
          <w:szCs w:val="24"/>
        </w:rPr>
        <w:t>had</w:t>
      </w:r>
      <w:r>
        <w:rPr>
          <w:rFonts w:ascii="Arial" w:hAnsi="Arial" w:cs="Arial"/>
          <w:sz w:val="24"/>
          <w:szCs w:val="24"/>
        </w:rPr>
        <w:t xml:space="preserve"> intimated that it was going to oppose applicant’s proposed </w:t>
      </w:r>
      <w:r w:rsidR="00B440A1">
        <w:rPr>
          <w:rFonts w:ascii="Arial" w:hAnsi="Arial" w:cs="Arial"/>
          <w:sz w:val="24"/>
          <w:szCs w:val="24"/>
        </w:rPr>
        <w:t>application for</w:t>
      </w:r>
      <w:r>
        <w:rPr>
          <w:rFonts w:ascii="Arial" w:hAnsi="Arial" w:cs="Arial"/>
          <w:sz w:val="24"/>
          <w:szCs w:val="24"/>
        </w:rPr>
        <w:t xml:space="preserve"> condonation.  The response was marked </w:t>
      </w:r>
      <w:r w:rsidR="00B440A1">
        <w:rPr>
          <w:rFonts w:ascii="Arial" w:hAnsi="Arial" w:cs="Arial"/>
          <w:sz w:val="24"/>
          <w:szCs w:val="24"/>
        </w:rPr>
        <w:t>“</w:t>
      </w:r>
      <w:r>
        <w:rPr>
          <w:rFonts w:ascii="Arial" w:hAnsi="Arial" w:cs="Arial"/>
          <w:sz w:val="24"/>
          <w:szCs w:val="24"/>
        </w:rPr>
        <w:t>without prejudice</w:t>
      </w:r>
      <w:r w:rsidR="00B440A1">
        <w:rPr>
          <w:rFonts w:ascii="Arial" w:hAnsi="Arial" w:cs="Arial"/>
          <w:sz w:val="24"/>
          <w:szCs w:val="24"/>
        </w:rPr>
        <w:t>”</w:t>
      </w:r>
      <w:r>
        <w:rPr>
          <w:rFonts w:ascii="Arial" w:hAnsi="Arial" w:cs="Arial"/>
          <w:sz w:val="24"/>
          <w:szCs w:val="24"/>
        </w:rPr>
        <w:t xml:space="preserve">.  It is trite law that privileged communication between legal practitioners which occur </w:t>
      </w:r>
      <w:r w:rsidR="00B440A1">
        <w:rPr>
          <w:rFonts w:ascii="Arial" w:hAnsi="Arial" w:cs="Arial"/>
          <w:sz w:val="24"/>
          <w:szCs w:val="24"/>
        </w:rPr>
        <w:t xml:space="preserve">from </w:t>
      </w:r>
      <w:r>
        <w:rPr>
          <w:rFonts w:ascii="Arial" w:hAnsi="Arial" w:cs="Arial"/>
          <w:sz w:val="24"/>
          <w:szCs w:val="24"/>
        </w:rPr>
        <w:t xml:space="preserve">time to time and whose objective is to reach a settlement and is clearly marked </w:t>
      </w:r>
      <w:r w:rsidR="00B440A1">
        <w:rPr>
          <w:rFonts w:ascii="Arial" w:hAnsi="Arial" w:cs="Arial"/>
          <w:sz w:val="24"/>
          <w:szCs w:val="24"/>
        </w:rPr>
        <w:t>“</w:t>
      </w:r>
      <w:r>
        <w:rPr>
          <w:rFonts w:ascii="Arial" w:hAnsi="Arial" w:cs="Arial"/>
          <w:sz w:val="24"/>
          <w:szCs w:val="24"/>
        </w:rPr>
        <w:t>without prejudice</w:t>
      </w:r>
      <w:r w:rsidR="00B440A1">
        <w:rPr>
          <w:rFonts w:ascii="Arial" w:hAnsi="Arial" w:cs="Arial"/>
          <w:sz w:val="24"/>
          <w:szCs w:val="24"/>
        </w:rPr>
        <w:t>”</w:t>
      </w:r>
      <w:r>
        <w:rPr>
          <w:rFonts w:ascii="Arial" w:hAnsi="Arial" w:cs="Arial"/>
          <w:sz w:val="24"/>
          <w:szCs w:val="24"/>
        </w:rPr>
        <w:t xml:space="preserve"> should not reach </w:t>
      </w:r>
      <w:r w:rsidR="00B440A1">
        <w:rPr>
          <w:rFonts w:ascii="Arial" w:hAnsi="Arial" w:cs="Arial"/>
          <w:sz w:val="24"/>
          <w:szCs w:val="24"/>
        </w:rPr>
        <w:t xml:space="preserve">the </w:t>
      </w:r>
      <w:r>
        <w:rPr>
          <w:rFonts w:ascii="Arial" w:hAnsi="Arial" w:cs="Arial"/>
          <w:sz w:val="24"/>
          <w:szCs w:val="24"/>
        </w:rPr>
        <w:t>eyes of the court, see</w:t>
      </w:r>
      <w:r w:rsidR="00B440A1">
        <w:rPr>
          <w:rFonts w:ascii="Arial" w:hAnsi="Arial" w:cs="Arial"/>
          <w:sz w:val="24"/>
          <w:szCs w:val="24"/>
        </w:rPr>
        <w:t>,</w:t>
      </w:r>
      <w:r>
        <w:rPr>
          <w:rFonts w:ascii="Arial" w:hAnsi="Arial" w:cs="Arial"/>
          <w:sz w:val="24"/>
          <w:szCs w:val="24"/>
        </w:rPr>
        <w:t xml:space="preserve"> The </w:t>
      </w:r>
      <w:r w:rsidRPr="00B440A1">
        <w:rPr>
          <w:rFonts w:ascii="Arial" w:hAnsi="Arial" w:cs="Arial"/>
          <w:i/>
          <w:sz w:val="24"/>
          <w:szCs w:val="24"/>
        </w:rPr>
        <w:t xml:space="preserve">Town Council of </w:t>
      </w:r>
      <w:proofErr w:type="spellStart"/>
      <w:r w:rsidRPr="00B440A1">
        <w:rPr>
          <w:rFonts w:ascii="Arial" w:hAnsi="Arial" w:cs="Arial"/>
          <w:i/>
          <w:sz w:val="24"/>
          <w:szCs w:val="24"/>
        </w:rPr>
        <w:t>Helao</w:t>
      </w:r>
      <w:proofErr w:type="spellEnd"/>
      <w:r w:rsidRPr="00B440A1">
        <w:rPr>
          <w:rFonts w:ascii="Arial" w:hAnsi="Arial" w:cs="Arial"/>
          <w:i/>
          <w:sz w:val="24"/>
          <w:szCs w:val="24"/>
        </w:rPr>
        <w:t xml:space="preserve"> </w:t>
      </w:r>
      <w:proofErr w:type="spellStart"/>
      <w:r w:rsidRPr="00B440A1">
        <w:rPr>
          <w:rFonts w:ascii="Arial" w:hAnsi="Arial" w:cs="Arial"/>
          <w:i/>
          <w:sz w:val="24"/>
          <w:szCs w:val="24"/>
        </w:rPr>
        <w:t>Nafidi</w:t>
      </w:r>
      <w:proofErr w:type="spellEnd"/>
      <w:r w:rsidRPr="00B440A1">
        <w:rPr>
          <w:rFonts w:ascii="Arial" w:hAnsi="Arial" w:cs="Arial"/>
          <w:i/>
          <w:sz w:val="24"/>
          <w:szCs w:val="24"/>
        </w:rPr>
        <w:t xml:space="preserve"> v Northland Development Project Limited (I2725/2014 [2015] NAHCMD 73 (27/03/2015)</w:t>
      </w:r>
      <w:r>
        <w:rPr>
          <w:rFonts w:ascii="Arial" w:hAnsi="Arial" w:cs="Arial"/>
          <w:sz w:val="24"/>
          <w:szCs w:val="24"/>
        </w:rPr>
        <w:t xml:space="preserve"> where</w:t>
      </w:r>
      <w:r w:rsidR="00B440A1">
        <w:rPr>
          <w:rFonts w:ascii="Arial" w:hAnsi="Arial" w:cs="Arial"/>
          <w:sz w:val="24"/>
          <w:szCs w:val="24"/>
        </w:rPr>
        <w:t>,</w:t>
      </w:r>
      <w:r>
        <w:rPr>
          <w:rFonts w:ascii="Arial" w:hAnsi="Arial" w:cs="Arial"/>
          <w:sz w:val="24"/>
          <w:szCs w:val="24"/>
        </w:rPr>
        <w:t xml:space="preserve"> it was held that legal practitioner</w:t>
      </w:r>
      <w:r w:rsidR="007F5560">
        <w:rPr>
          <w:rFonts w:ascii="Arial" w:hAnsi="Arial" w:cs="Arial"/>
          <w:sz w:val="24"/>
          <w:szCs w:val="24"/>
        </w:rPr>
        <w:t>s</w:t>
      </w:r>
      <w:r>
        <w:rPr>
          <w:rFonts w:ascii="Arial" w:hAnsi="Arial" w:cs="Arial"/>
          <w:sz w:val="24"/>
          <w:szCs w:val="24"/>
        </w:rPr>
        <w:t xml:space="preserve"> should ensure that privileged information should not be brought to the attention of the court as it might affect the court’s ability</w:t>
      </w:r>
      <w:r w:rsidR="00B440A1">
        <w:rPr>
          <w:rFonts w:ascii="Arial" w:hAnsi="Arial" w:cs="Arial"/>
          <w:sz w:val="24"/>
          <w:szCs w:val="24"/>
        </w:rPr>
        <w:t xml:space="preserve"> to </w:t>
      </w:r>
      <w:r w:rsidR="007F5560">
        <w:rPr>
          <w:rFonts w:ascii="Arial" w:hAnsi="Arial" w:cs="Arial"/>
          <w:sz w:val="24"/>
          <w:szCs w:val="24"/>
        </w:rPr>
        <w:t xml:space="preserve">objectively </w:t>
      </w:r>
      <w:r w:rsidR="00B440A1">
        <w:rPr>
          <w:rFonts w:ascii="Arial" w:hAnsi="Arial" w:cs="Arial"/>
          <w:sz w:val="24"/>
          <w:szCs w:val="24"/>
        </w:rPr>
        <w:t>determine the dispute at hand</w:t>
      </w:r>
      <w:r>
        <w:rPr>
          <w:rFonts w:ascii="Arial" w:hAnsi="Arial" w:cs="Arial"/>
          <w:sz w:val="24"/>
          <w:szCs w:val="24"/>
        </w:rPr>
        <w:t xml:space="preserve"> in the long run. </w:t>
      </w:r>
    </w:p>
    <w:p w:rsidR="007D564B" w:rsidRDefault="007D564B" w:rsidP="00A56946">
      <w:pPr>
        <w:spacing w:after="0" w:line="360" w:lineRule="auto"/>
        <w:jc w:val="both"/>
        <w:rPr>
          <w:rFonts w:ascii="Arial" w:hAnsi="Arial" w:cs="Arial"/>
          <w:sz w:val="24"/>
          <w:szCs w:val="24"/>
        </w:rPr>
      </w:pPr>
    </w:p>
    <w:p w:rsidR="007D564B" w:rsidRDefault="007D564B" w:rsidP="00A56946">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This is in line with the need for the court to maintain its impartiality throughout the proceedings.  </w:t>
      </w:r>
      <w:r w:rsidR="004924E2">
        <w:rPr>
          <w:rFonts w:ascii="Arial" w:hAnsi="Arial" w:cs="Arial"/>
          <w:sz w:val="24"/>
          <w:szCs w:val="24"/>
        </w:rPr>
        <w:t>There is authority that negotiations between parties, whether oral or written which are undertaken with a view to a settlement of their difference</w:t>
      </w:r>
      <w:r w:rsidR="00B033EA">
        <w:rPr>
          <w:rFonts w:ascii="Arial" w:hAnsi="Arial" w:cs="Arial"/>
          <w:sz w:val="24"/>
          <w:szCs w:val="24"/>
        </w:rPr>
        <w:t>s</w:t>
      </w:r>
      <w:r w:rsidR="004924E2">
        <w:rPr>
          <w:rFonts w:ascii="Arial" w:hAnsi="Arial" w:cs="Arial"/>
          <w:sz w:val="24"/>
          <w:szCs w:val="24"/>
        </w:rPr>
        <w:t>, are privileged from dis</w:t>
      </w:r>
      <w:r w:rsidR="007F5560">
        <w:rPr>
          <w:rFonts w:ascii="Arial" w:hAnsi="Arial" w:cs="Arial"/>
          <w:sz w:val="24"/>
          <w:szCs w:val="24"/>
        </w:rPr>
        <w:t xml:space="preserve">closure </w:t>
      </w:r>
      <w:proofErr w:type="spellStart"/>
      <w:r w:rsidR="007F5560">
        <w:rPr>
          <w:rFonts w:ascii="Arial" w:hAnsi="Arial" w:cs="Arial"/>
          <w:sz w:val="24"/>
          <w:szCs w:val="24"/>
        </w:rPr>
        <w:t>even</w:t>
      </w:r>
      <w:r w:rsidR="004924E2">
        <w:rPr>
          <w:rFonts w:ascii="Arial" w:hAnsi="Arial" w:cs="Arial"/>
          <w:sz w:val="24"/>
          <w:szCs w:val="24"/>
        </w:rPr>
        <w:t>though</w:t>
      </w:r>
      <w:proofErr w:type="spellEnd"/>
      <w:r w:rsidR="004924E2">
        <w:rPr>
          <w:rFonts w:ascii="Arial" w:hAnsi="Arial" w:cs="Arial"/>
          <w:sz w:val="24"/>
          <w:szCs w:val="24"/>
        </w:rPr>
        <w:t xml:space="preserve"> there is no express stipulation that they shall be without prejudice.  </w:t>
      </w:r>
      <w:r>
        <w:rPr>
          <w:rFonts w:ascii="Arial" w:hAnsi="Arial" w:cs="Arial"/>
          <w:sz w:val="24"/>
          <w:szCs w:val="24"/>
        </w:rPr>
        <w:t xml:space="preserve">It was therefore improper for applicant to have included it, see also </w:t>
      </w:r>
      <w:r w:rsidR="004924E2">
        <w:rPr>
          <w:rFonts w:ascii="Arial" w:hAnsi="Arial" w:cs="Arial"/>
          <w:i/>
          <w:sz w:val="24"/>
          <w:szCs w:val="24"/>
        </w:rPr>
        <w:t>Millwa</w:t>
      </w:r>
      <w:r w:rsidRPr="007D564B">
        <w:rPr>
          <w:rFonts w:ascii="Arial" w:hAnsi="Arial" w:cs="Arial"/>
          <w:i/>
          <w:sz w:val="24"/>
          <w:szCs w:val="24"/>
        </w:rPr>
        <w:t xml:space="preserve">rd v </w:t>
      </w:r>
      <w:proofErr w:type="spellStart"/>
      <w:r w:rsidRPr="007D564B">
        <w:rPr>
          <w:rFonts w:ascii="Arial" w:hAnsi="Arial" w:cs="Arial"/>
          <w:i/>
          <w:sz w:val="24"/>
          <w:szCs w:val="24"/>
        </w:rPr>
        <w:t>Glasser</w:t>
      </w:r>
      <w:proofErr w:type="spellEnd"/>
      <w:r w:rsidRPr="007D564B">
        <w:rPr>
          <w:rFonts w:ascii="Arial" w:hAnsi="Arial" w:cs="Arial"/>
          <w:i/>
          <w:sz w:val="24"/>
          <w:szCs w:val="24"/>
        </w:rPr>
        <w:t xml:space="preserve"> 1950 (3) SA 547 (w).</w:t>
      </w:r>
    </w:p>
    <w:p w:rsidR="007D564B" w:rsidRDefault="007D564B" w:rsidP="00A56946">
      <w:pPr>
        <w:spacing w:after="0" w:line="360" w:lineRule="auto"/>
        <w:jc w:val="both"/>
        <w:rPr>
          <w:rFonts w:ascii="Arial" w:hAnsi="Arial" w:cs="Arial"/>
          <w:sz w:val="24"/>
          <w:szCs w:val="24"/>
        </w:rPr>
      </w:pPr>
    </w:p>
    <w:p w:rsidR="007D564B" w:rsidRPr="007F5560" w:rsidRDefault="007D564B" w:rsidP="007F5560">
      <w:pPr>
        <w:pStyle w:val="ListParagraph"/>
        <w:numPr>
          <w:ilvl w:val="0"/>
          <w:numId w:val="4"/>
        </w:numPr>
        <w:spacing w:after="0" w:line="360" w:lineRule="auto"/>
        <w:jc w:val="both"/>
        <w:rPr>
          <w:rFonts w:ascii="Arial" w:hAnsi="Arial" w:cs="Arial"/>
          <w:sz w:val="24"/>
          <w:szCs w:val="24"/>
          <w:u w:val="single"/>
        </w:rPr>
      </w:pPr>
      <w:r w:rsidRPr="007F5560">
        <w:rPr>
          <w:rFonts w:ascii="Arial" w:hAnsi="Arial" w:cs="Arial"/>
          <w:sz w:val="24"/>
          <w:szCs w:val="24"/>
          <w:u w:val="single"/>
        </w:rPr>
        <w:t>Affidavit containing legal argument</w:t>
      </w:r>
    </w:p>
    <w:p w:rsidR="007D564B" w:rsidRDefault="007D564B" w:rsidP="00A56946">
      <w:pPr>
        <w:spacing w:after="0" w:line="360" w:lineRule="auto"/>
        <w:jc w:val="both"/>
        <w:rPr>
          <w:rFonts w:ascii="Arial" w:hAnsi="Arial" w:cs="Arial"/>
          <w:sz w:val="24"/>
          <w:szCs w:val="24"/>
        </w:rPr>
      </w:pPr>
    </w:p>
    <w:p w:rsidR="007D564B" w:rsidRDefault="007D564B" w:rsidP="00A56946">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It is respondent’s argument that applicant</w:t>
      </w:r>
      <w:r w:rsidR="007F5560">
        <w:rPr>
          <w:rFonts w:ascii="Arial" w:hAnsi="Arial" w:cs="Arial"/>
          <w:sz w:val="24"/>
          <w:szCs w:val="24"/>
        </w:rPr>
        <w:t>’s legal practitioner</w:t>
      </w:r>
      <w:r>
        <w:rPr>
          <w:rFonts w:ascii="Arial" w:hAnsi="Arial" w:cs="Arial"/>
          <w:sz w:val="24"/>
          <w:szCs w:val="24"/>
        </w:rPr>
        <w:t xml:space="preserve"> has </w:t>
      </w:r>
      <w:r w:rsidR="00EB777B">
        <w:rPr>
          <w:rFonts w:ascii="Arial" w:hAnsi="Arial" w:cs="Arial"/>
          <w:sz w:val="24"/>
          <w:szCs w:val="24"/>
        </w:rPr>
        <w:t>referred</w:t>
      </w:r>
      <w:r>
        <w:rPr>
          <w:rFonts w:ascii="Arial" w:hAnsi="Arial" w:cs="Arial"/>
          <w:sz w:val="24"/>
          <w:szCs w:val="24"/>
        </w:rPr>
        <w:t xml:space="preserve"> </w:t>
      </w:r>
      <w:r w:rsidR="004924E2">
        <w:rPr>
          <w:rFonts w:ascii="Arial" w:hAnsi="Arial" w:cs="Arial"/>
          <w:sz w:val="24"/>
          <w:szCs w:val="24"/>
        </w:rPr>
        <w:t xml:space="preserve">to </w:t>
      </w:r>
      <w:r>
        <w:rPr>
          <w:rFonts w:ascii="Arial" w:hAnsi="Arial" w:cs="Arial"/>
          <w:sz w:val="24"/>
          <w:szCs w:val="24"/>
        </w:rPr>
        <w:t xml:space="preserve">legal arguments in </w:t>
      </w:r>
      <w:r w:rsidR="007F5560">
        <w:rPr>
          <w:rFonts w:ascii="Arial" w:hAnsi="Arial" w:cs="Arial"/>
          <w:sz w:val="24"/>
          <w:szCs w:val="24"/>
        </w:rPr>
        <w:t>her</w:t>
      </w:r>
      <w:r>
        <w:rPr>
          <w:rFonts w:ascii="Arial" w:hAnsi="Arial" w:cs="Arial"/>
          <w:sz w:val="24"/>
          <w:szCs w:val="24"/>
        </w:rPr>
        <w:t xml:space="preserve"> affidavit and this is inadmissible.  An affidavit must contain essential elements which are fact based.  I</w:t>
      </w:r>
      <w:r w:rsidR="007F5560">
        <w:rPr>
          <w:rFonts w:ascii="Arial" w:hAnsi="Arial" w:cs="Arial"/>
          <w:sz w:val="24"/>
          <w:szCs w:val="24"/>
        </w:rPr>
        <w:t>t</w:t>
      </w:r>
      <w:r>
        <w:rPr>
          <w:rFonts w:ascii="Arial" w:hAnsi="Arial" w:cs="Arial"/>
          <w:sz w:val="24"/>
          <w:szCs w:val="24"/>
        </w:rPr>
        <w:t xml:space="preserve"> must not contain legal argument</w:t>
      </w:r>
      <w:r w:rsidR="004924E2">
        <w:rPr>
          <w:rFonts w:ascii="Arial" w:hAnsi="Arial" w:cs="Arial"/>
          <w:sz w:val="24"/>
          <w:szCs w:val="24"/>
        </w:rPr>
        <w:t>s.  This is trite law</w:t>
      </w:r>
      <w:r>
        <w:rPr>
          <w:rFonts w:ascii="Arial" w:hAnsi="Arial" w:cs="Arial"/>
          <w:sz w:val="24"/>
          <w:szCs w:val="24"/>
        </w:rPr>
        <w:t>.</w:t>
      </w:r>
    </w:p>
    <w:p w:rsidR="007D564B" w:rsidRDefault="007D564B" w:rsidP="00A56946">
      <w:pPr>
        <w:spacing w:after="0" w:line="360" w:lineRule="auto"/>
        <w:jc w:val="both"/>
        <w:rPr>
          <w:rFonts w:ascii="Arial" w:hAnsi="Arial" w:cs="Arial"/>
          <w:sz w:val="24"/>
          <w:szCs w:val="24"/>
        </w:rPr>
      </w:pPr>
    </w:p>
    <w:p w:rsidR="007D564B" w:rsidRDefault="007D564B" w:rsidP="00A56946">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An affidavit must not contain scandalous, v</w:t>
      </w:r>
      <w:r w:rsidR="004924E2">
        <w:rPr>
          <w:rFonts w:ascii="Arial" w:hAnsi="Arial" w:cs="Arial"/>
          <w:sz w:val="24"/>
          <w:szCs w:val="24"/>
        </w:rPr>
        <w:t>exatious or ir</w:t>
      </w:r>
      <w:r w:rsidR="00EB777B">
        <w:rPr>
          <w:rFonts w:ascii="Arial" w:hAnsi="Arial" w:cs="Arial"/>
          <w:sz w:val="24"/>
          <w:szCs w:val="24"/>
        </w:rPr>
        <w:t>relevant matter</w:t>
      </w:r>
      <w:r w:rsidR="004924E2">
        <w:rPr>
          <w:rFonts w:ascii="Arial" w:hAnsi="Arial" w:cs="Arial"/>
          <w:sz w:val="24"/>
          <w:szCs w:val="24"/>
        </w:rPr>
        <w:t>s</w:t>
      </w:r>
      <w:r w:rsidR="00EB777B">
        <w:rPr>
          <w:rFonts w:ascii="Arial" w:hAnsi="Arial" w:cs="Arial"/>
          <w:sz w:val="24"/>
          <w:szCs w:val="24"/>
        </w:rPr>
        <w:t>.  A party who does so stand</w:t>
      </w:r>
      <w:r w:rsidR="004924E2">
        <w:rPr>
          <w:rFonts w:ascii="Arial" w:hAnsi="Arial" w:cs="Arial"/>
          <w:sz w:val="24"/>
          <w:szCs w:val="24"/>
        </w:rPr>
        <w:t>s</w:t>
      </w:r>
      <w:r w:rsidR="00EB777B">
        <w:rPr>
          <w:rFonts w:ascii="Arial" w:hAnsi="Arial" w:cs="Arial"/>
          <w:sz w:val="24"/>
          <w:szCs w:val="24"/>
        </w:rPr>
        <w:t xml:space="preserve"> the risk of having the matter struck out and will be levied with appropriate costs.</w:t>
      </w:r>
    </w:p>
    <w:p w:rsidR="00EB777B" w:rsidRDefault="00EB777B" w:rsidP="00A56946">
      <w:pPr>
        <w:spacing w:after="0" w:line="360" w:lineRule="auto"/>
        <w:jc w:val="both"/>
        <w:rPr>
          <w:rFonts w:ascii="Arial" w:hAnsi="Arial" w:cs="Arial"/>
          <w:sz w:val="24"/>
          <w:szCs w:val="24"/>
        </w:rPr>
      </w:pPr>
    </w:p>
    <w:p w:rsidR="00EB777B" w:rsidRDefault="00EB777B" w:rsidP="00A56946">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points raised </w:t>
      </w:r>
      <w:r w:rsidRPr="00EB777B">
        <w:rPr>
          <w:rFonts w:ascii="Arial" w:hAnsi="Arial" w:cs="Arial"/>
          <w:i/>
          <w:sz w:val="24"/>
          <w:szCs w:val="24"/>
        </w:rPr>
        <w:t>in limine</w:t>
      </w:r>
      <w:r>
        <w:rPr>
          <w:rFonts w:ascii="Arial" w:hAnsi="Arial" w:cs="Arial"/>
          <w:sz w:val="24"/>
          <w:szCs w:val="24"/>
        </w:rPr>
        <w:t xml:space="preserve"> are </w:t>
      </w:r>
      <w:r w:rsidR="004924E2">
        <w:rPr>
          <w:rFonts w:ascii="Arial" w:hAnsi="Arial" w:cs="Arial"/>
          <w:sz w:val="24"/>
          <w:szCs w:val="24"/>
        </w:rPr>
        <w:t xml:space="preserve">the </w:t>
      </w:r>
      <w:r>
        <w:rPr>
          <w:rFonts w:ascii="Arial" w:hAnsi="Arial" w:cs="Arial"/>
          <w:sz w:val="24"/>
          <w:szCs w:val="24"/>
        </w:rPr>
        <w:t>catalyst in these proceedings as applicant can only proceed if it passes these hurdles.  From the above it is clear that applicant h</w:t>
      </w:r>
      <w:r w:rsidR="004924E2">
        <w:rPr>
          <w:rFonts w:ascii="Arial" w:hAnsi="Arial" w:cs="Arial"/>
          <w:sz w:val="24"/>
          <w:szCs w:val="24"/>
        </w:rPr>
        <w:t>a</w:t>
      </w:r>
      <w:r>
        <w:rPr>
          <w:rFonts w:ascii="Arial" w:hAnsi="Arial" w:cs="Arial"/>
          <w:sz w:val="24"/>
          <w:szCs w:val="24"/>
        </w:rPr>
        <w:t>s a huge legal battle to overcome those hurdles.</w:t>
      </w:r>
      <w:r w:rsidR="00B033EA">
        <w:rPr>
          <w:rFonts w:ascii="Arial" w:hAnsi="Arial" w:cs="Arial"/>
          <w:sz w:val="24"/>
          <w:szCs w:val="24"/>
        </w:rPr>
        <w:t xml:space="preserve">  Applicant failed to </w:t>
      </w:r>
      <w:r w:rsidR="0099109A">
        <w:rPr>
          <w:rFonts w:ascii="Arial" w:hAnsi="Arial" w:cs="Arial"/>
          <w:sz w:val="24"/>
          <w:szCs w:val="24"/>
        </w:rPr>
        <w:t>jump</w:t>
      </w:r>
      <w:r w:rsidR="00B033EA">
        <w:rPr>
          <w:rFonts w:ascii="Arial" w:hAnsi="Arial" w:cs="Arial"/>
          <w:sz w:val="24"/>
          <w:szCs w:val="24"/>
        </w:rPr>
        <w:t xml:space="preserve"> the said hurdles and cannot succeed.</w:t>
      </w:r>
    </w:p>
    <w:p w:rsidR="00EB777B" w:rsidRDefault="00EB777B" w:rsidP="00A56946">
      <w:pPr>
        <w:spacing w:after="0" w:line="360" w:lineRule="auto"/>
        <w:jc w:val="both"/>
        <w:rPr>
          <w:rFonts w:ascii="Arial" w:hAnsi="Arial" w:cs="Arial"/>
          <w:sz w:val="24"/>
          <w:szCs w:val="24"/>
        </w:rPr>
      </w:pPr>
    </w:p>
    <w:p w:rsidR="00EB777B" w:rsidRDefault="00EB777B" w:rsidP="00A56946">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In conclusion</w:t>
      </w:r>
      <w:r w:rsidR="004924E2">
        <w:rPr>
          <w:rFonts w:ascii="Arial" w:hAnsi="Arial" w:cs="Arial"/>
          <w:sz w:val="24"/>
          <w:szCs w:val="24"/>
        </w:rPr>
        <w:t>,</w:t>
      </w:r>
      <w:r>
        <w:rPr>
          <w:rFonts w:ascii="Arial" w:hAnsi="Arial" w:cs="Arial"/>
          <w:sz w:val="24"/>
          <w:szCs w:val="24"/>
        </w:rPr>
        <w:t xml:space="preserve"> this is the order of court</w:t>
      </w:r>
    </w:p>
    <w:p w:rsidR="00EB777B" w:rsidRDefault="00EB777B" w:rsidP="00A56946">
      <w:pPr>
        <w:spacing w:after="0" w:line="360" w:lineRule="auto"/>
        <w:jc w:val="both"/>
        <w:rPr>
          <w:rFonts w:ascii="Arial" w:hAnsi="Arial" w:cs="Arial"/>
          <w:sz w:val="24"/>
          <w:szCs w:val="24"/>
        </w:rPr>
      </w:pPr>
    </w:p>
    <w:p w:rsidR="004924E2" w:rsidRDefault="004924E2" w:rsidP="004924E2">
      <w:pPr>
        <w:pStyle w:val="ListParagraph"/>
        <w:numPr>
          <w:ilvl w:val="0"/>
          <w:numId w:val="6"/>
        </w:numPr>
        <w:spacing w:after="0" w:line="360" w:lineRule="auto"/>
        <w:ind w:left="993"/>
        <w:jc w:val="both"/>
        <w:rPr>
          <w:rFonts w:ascii="Arial" w:eastAsia="Calibri" w:hAnsi="Arial" w:cs="Arial"/>
          <w:sz w:val="24"/>
          <w:szCs w:val="24"/>
        </w:rPr>
      </w:pPr>
      <w:r>
        <w:rPr>
          <w:rFonts w:ascii="Arial" w:eastAsia="Calibri" w:hAnsi="Arial" w:cs="Arial"/>
          <w:sz w:val="24"/>
          <w:szCs w:val="24"/>
        </w:rPr>
        <w:t xml:space="preserve">The points </w:t>
      </w:r>
      <w:r w:rsidRPr="007E5469">
        <w:rPr>
          <w:rFonts w:ascii="Arial" w:eastAsia="Calibri" w:hAnsi="Arial" w:cs="Arial"/>
          <w:i/>
          <w:sz w:val="24"/>
          <w:szCs w:val="24"/>
        </w:rPr>
        <w:t>in limine</w:t>
      </w:r>
      <w:r>
        <w:rPr>
          <w:rFonts w:ascii="Arial" w:eastAsia="Calibri" w:hAnsi="Arial" w:cs="Arial"/>
          <w:sz w:val="24"/>
          <w:szCs w:val="24"/>
        </w:rPr>
        <w:t xml:space="preserve"> are upheld.</w:t>
      </w:r>
    </w:p>
    <w:p w:rsidR="004924E2" w:rsidRPr="000654DC" w:rsidRDefault="004924E2" w:rsidP="004924E2">
      <w:pPr>
        <w:pStyle w:val="ListParagraph"/>
        <w:numPr>
          <w:ilvl w:val="0"/>
          <w:numId w:val="6"/>
        </w:numPr>
        <w:spacing w:after="0" w:line="360" w:lineRule="auto"/>
        <w:ind w:left="993"/>
        <w:jc w:val="both"/>
        <w:rPr>
          <w:rFonts w:ascii="Arial" w:eastAsia="Calibri" w:hAnsi="Arial" w:cs="Arial"/>
          <w:sz w:val="24"/>
          <w:szCs w:val="24"/>
        </w:rPr>
      </w:pPr>
      <w:r>
        <w:rPr>
          <w:rFonts w:ascii="Arial" w:eastAsia="Calibri" w:hAnsi="Arial" w:cs="Arial"/>
          <w:sz w:val="24"/>
          <w:szCs w:val="24"/>
        </w:rPr>
        <w:t>Application is dismissed with costs.</w:t>
      </w:r>
    </w:p>
    <w:p w:rsidR="00EB777B" w:rsidRDefault="00EB777B" w:rsidP="004924E2">
      <w:pPr>
        <w:pStyle w:val="ListParagraph"/>
        <w:spacing w:after="0" w:line="360" w:lineRule="auto"/>
        <w:jc w:val="both"/>
        <w:rPr>
          <w:rFonts w:ascii="Arial" w:hAnsi="Arial" w:cs="Arial"/>
          <w:sz w:val="24"/>
          <w:szCs w:val="24"/>
        </w:rPr>
      </w:pPr>
    </w:p>
    <w:p w:rsidR="00EB777B" w:rsidRDefault="00EB777B" w:rsidP="00EB777B">
      <w:pPr>
        <w:spacing w:after="0" w:line="360" w:lineRule="auto"/>
        <w:ind w:firstLine="720"/>
        <w:jc w:val="right"/>
        <w:rPr>
          <w:rFonts w:ascii="Arial" w:hAnsi="Arial" w:cs="Arial"/>
          <w:sz w:val="24"/>
          <w:szCs w:val="24"/>
        </w:rPr>
      </w:pPr>
    </w:p>
    <w:p w:rsidR="00EB777B" w:rsidRDefault="00EB777B" w:rsidP="00EB777B">
      <w:pPr>
        <w:spacing w:after="0" w:line="360" w:lineRule="auto"/>
        <w:ind w:firstLine="720"/>
        <w:jc w:val="right"/>
        <w:rPr>
          <w:rFonts w:ascii="Arial" w:hAnsi="Arial" w:cs="Arial"/>
          <w:sz w:val="24"/>
          <w:szCs w:val="24"/>
        </w:rPr>
      </w:pPr>
    </w:p>
    <w:p w:rsidR="00EB777B" w:rsidRDefault="00EB777B" w:rsidP="00EB777B">
      <w:pPr>
        <w:spacing w:after="0" w:line="360" w:lineRule="auto"/>
        <w:ind w:firstLine="720"/>
        <w:jc w:val="right"/>
        <w:rPr>
          <w:rFonts w:ascii="Arial" w:hAnsi="Arial" w:cs="Arial"/>
          <w:sz w:val="24"/>
          <w:szCs w:val="24"/>
        </w:rPr>
      </w:pPr>
    </w:p>
    <w:p w:rsidR="00E554C3" w:rsidRDefault="00E554C3" w:rsidP="00EB777B">
      <w:pPr>
        <w:spacing w:after="0" w:line="360" w:lineRule="auto"/>
        <w:ind w:firstLine="720"/>
        <w:jc w:val="right"/>
        <w:rPr>
          <w:rFonts w:ascii="Arial" w:eastAsia="Calibri" w:hAnsi="Arial" w:cs="Arial"/>
          <w:sz w:val="24"/>
          <w:szCs w:val="24"/>
        </w:rPr>
      </w:pPr>
      <w:r>
        <w:rPr>
          <w:rFonts w:ascii="Arial" w:eastAsia="Calibri" w:hAnsi="Arial" w:cs="Arial"/>
          <w:sz w:val="24"/>
          <w:szCs w:val="24"/>
        </w:rPr>
        <w:t>-------------------------------</w:t>
      </w:r>
    </w:p>
    <w:p w:rsidR="00E554C3" w:rsidRPr="008E638C" w:rsidRDefault="00E554C3" w:rsidP="00E554C3">
      <w:pPr>
        <w:spacing w:after="0" w:line="240" w:lineRule="auto"/>
        <w:ind w:left="7920"/>
        <w:jc w:val="right"/>
        <w:rPr>
          <w:rFonts w:ascii="Arial" w:eastAsia="Calibri" w:hAnsi="Arial" w:cs="Arial"/>
          <w:sz w:val="24"/>
          <w:szCs w:val="24"/>
          <w:lang w:val="en-US"/>
        </w:rPr>
      </w:pPr>
      <w:r>
        <w:rPr>
          <w:rFonts w:ascii="Arial" w:eastAsia="Calibri" w:hAnsi="Arial" w:cs="Arial"/>
          <w:sz w:val="24"/>
          <w:szCs w:val="24"/>
          <w:lang w:val="en-US"/>
        </w:rPr>
        <w:t xml:space="preserve"> </w:t>
      </w: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E554C3" w:rsidRDefault="00E554C3" w:rsidP="00E554C3">
      <w:pPr>
        <w:spacing w:after="0" w:line="240" w:lineRule="auto"/>
        <w:ind w:left="7920"/>
        <w:jc w:val="right"/>
        <w:rPr>
          <w:rFonts w:ascii="Arial" w:eastAsia="Times New Roman" w:hAnsi="Arial" w:cs="Arial"/>
          <w:sz w:val="24"/>
          <w:szCs w:val="24"/>
          <w:lang w:val="en-GB"/>
        </w:rPr>
      </w:pPr>
      <w:r w:rsidRPr="008E638C">
        <w:rPr>
          <w:rFonts w:ascii="Arial" w:eastAsia="Calibri" w:hAnsi="Arial" w:cs="Arial"/>
          <w:sz w:val="24"/>
          <w:szCs w:val="24"/>
          <w:lang w:val="en-US"/>
        </w:rPr>
        <w:t>Judge</w:t>
      </w:r>
    </w:p>
    <w:p w:rsidR="00E554C3" w:rsidRPr="008E638C" w:rsidRDefault="00E554C3" w:rsidP="00E554C3">
      <w:pPr>
        <w:spacing w:after="0" w:line="360" w:lineRule="auto"/>
        <w:rPr>
          <w:rFonts w:ascii="Arial" w:eastAsia="Times New Roman" w:hAnsi="Arial" w:cs="Arial"/>
          <w:sz w:val="24"/>
          <w:szCs w:val="24"/>
          <w:lang w:val="en-GB"/>
        </w:rPr>
      </w:pPr>
      <w:r w:rsidRPr="008E638C">
        <w:rPr>
          <w:rFonts w:ascii="Arial" w:eastAsia="Times New Roman" w:hAnsi="Arial" w:cs="Arial"/>
          <w:sz w:val="24"/>
          <w:szCs w:val="24"/>
          <w:lang w:val="en-GB"/>
        </w:rPr>
        <w:t>APPEARANCES</w:t>
      </w:r>
    </w:p>
    <w:p w:rsidR="00E554C3" w:rsidRPr="008E638C" w:rsidRDefault="00E554C3" w:rsidP="00E554C3">
      <w:pPr>
        <w:autoSpaceDE w:val="0"/>
        <w:autoSpaceDN w:val="0"/>
        <w:adjustRightInd w:val="0"/>
        <w:spacing w:after="0" w:line="360" w:lineRule="auto"/>
        <w:jc w:val="both"/>
        <w:rPr>
          <w:rFonts w:ascii="Arial" w:eastAsia="Times New Roman" w:hAnsi="Arial" w:cs="Arial"/>
          <w:sz w:val="24"/>
          <w:szCs w:val="24"/>
          <w:lang w:val="en-GB"/>
        </w:rPr>
      </w:pPr>
    </w:p>
    <w:p w:rsidR="00E554C3" w:rsidRPr="008E638C" w:rsidRDefault="00E554C3" w:rsidP="00E554C3">
      <w:pPr>
        <w:tabs>
          <w:tab w:val="left" w:pos="1394"/>
          <w:tab w:val="left" w:pos="2528"/>
          <w:tab w:val="left" w:pos="3780"/>
        </w:tabs>
        <w:spacing w:after="0" w:line="360" w:lineRule="auto"/>
        <w:jc w:val="both"/>
        <w:rPr>
          <w:rFonts w:ascii="Arial" w:eastAsia="Calibri" w:hAnsi="Arial" w:cs="Arial"/>
          <w:sz w:val="24"/>
          <w:szCs w:val="24"/>
        </w:rPr>
      </w:pPr>
      <w:r w:rsidRPr="008E638C">
        <w:rPr>
          <w:rFonts w:ascii="Arial" w:eastAsia="Calibri" w:hAnsi="Arial" w:cs="Arial"/>
          <w:sz w:val="24"/>
          <w:szCs w:val="24"/>
          <w:lang w:val="en-US"/>
        </w:rPr>
        <w:tab/>
      </w:r>
      <w:r w:rsidRPr="008E638C">
        <w:rPr>
          <w:rFonts w:ascii="Arial" w:eastAsia="Calibri" w:hAnsi="Arial" w:cs="Arial"/>
          <w:sz w:val="24"/>
          <w:szCs w:val="24"/>
          <w:lang w:val="en-US"/>
        </w:rPr>
        <w:tab/>
      </w:r>
    </w:p>
    <w:p w:rsidR="00E554C3" w:rsidRDefault="004924E2" w:rsidP="00E554C3">
      <w:pPr>
        <w:tabs>
          <w:tab w:val="left" w:pos="1394"/>
          <w:tab w:val="left" w:pos="2528"/>
          <w:tab w:val="left" w:pos="3780"/>
        </w:tabs>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 xml:space="preserve">APPLICANT </w:t>
      </w:r>
      <w:r w:rsidR="00E554C3" w:rsidRPr="008E638C">
        <w:rPr>
          <w:rFonts w:ascii="Arial" w:eastAsia="Calibri" w:hAnsi="Arial" w:cs="Arial"/>
          <w:sz w:val="24"/>
          <w:szCs w:val="24"/>
          <w:lang w:val="en-US"/>
        </w:rPr>
        <w:t>:</w:t>
      </w:r>
      <w:proofErr w:type="gramEnd"/>
      <w:r w:rsidR="00E554C3" w:rsidRPr="008E638C">
        <w:rPr>
          <w:rFonts w:ascii="Arial" w:eastAsia="Calibri" w:hAnsi="Arial" w:cs="Arial"/>
          <w:sz w:val="24"/>
          <w:szCs w:val="24"/>
          <w:lang w:val="en-US"/>
        </w:rPr>
        <w:tab/>
      </w:r>
      <w:r w:rsidR="00E554C3">
        <w:rPr>
          <w:rFonts w:ascii="Arial" w:eastAsia="Calibri" w:hAnsi="Arial" w:cs="Arial"/>
          <w:sz w:val="24"/>
          <w:szCs w:val="24"/>
          <w:lang w:val="en-US"/>
        </w:rPr>
        <w:t>A.M Samuel</w:t>
      </w:r>
    </w:p>
    <w:p w:rsidR="00E554C3" w:rsidRPr="008E638C" w:rsidRDefault="00E554C3" w:rsidP="00E554C3">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 xml:space="preserve">Of Samuel Legal Practitioners, </w:t>
      </w:r>
      <w:proofErr w:type="spellStart"/>
      <w:r>
        <w:rPr>
          <w:rFonts w:ascii="Arial" w:eastAsia="Calibri" w:hAnsi="Arial" w:cs="Arial"/>
          <w:sz w:val="24"/>
          <w:szCs w:val="24"/>
          <w:lang w:val="en-US"/>
        </w:rPr>
        <w:t>Ondangwa</w:t>
      </w:r>
      <w:proofErr w:type="spellEnd"/>
    </w:p>
    <w:p w:rsidR="00E554C3" w:rsidRPr="008E638C" w:rsidRDefault="00E554C3" w:rsidP="00E554C3">
      <w:pPr>
        <w:tabs>
          <w:tab w:val="left" w:pos="1394"/>
          <w:tab w:val="left" w:pos="2528"/>
          <w:tab w:val="left" w:pos="3780"/>
        </w:tabs>
        <w:spacing w:after="0" w:line="360" w:lineRule="auto"/>
        <w:jc w:val="both"/>
        <w:rPr>
          <w:rFonts w:ascii="Arial" w:eastAsia="Calibri" w:hAnsi="Arial" w:cs="Arial"/>
          <w:sz w:val="24"/>
          <w:szCs w:val="24"/>
          <w:lang w:val="en-US"/>
        </w:rPr>
      </w:pPr>
      <w:r w:rsidRPr="008E638C">
        <w:rPr>
          <w:rFonts w:ascii="Arial" w:eastAsia="Calibri" w:hAnsi="Arial" w:cs="Arial"/>
          <w:sz w:val="24"/>
          <w:szCs w:val="24"/>
          <w:lang w:val="en-US"/>
        </w:rPr>
        <w:tab/>
        <w:t xml:space="preserve">                </w:t>
      </w:r>
      <w:r w:rsidRPr="008E638C">
        <w:rPr>
          <w:rFonts w:ascii="Arial" w:eastAsia="Calibri" w:hAnsi="Arial" w:cs="Arial"/>
          <w:sz w:val="24"/>
          <w:szCs w:val="24"/>
          <w:lang w:val="en-US"/>
        </w:rPr>
        <w:tab/>
      </w:r>
    </w:p>
    <w:p w:rsidR="00E554C3" w:rsidRPr="004A1D23" w:rsidRDefault="00E554C3" w:rsidP="00E554C3">
      <w:pPr>
        <w:spacing w:after="0" w:line="360" w:lineRule="auto"/>
        <w:jc w:val="both"/>
        <w:rPr>
          <w:rFonts w:ascii="Arial" w:hAnsi="Arial" w:cs="Arial"/>
          <w:sz w:val="24"/>
          <w:szCs w:val="24"/>
        </w:rPr>
      </w:pPr>
    </w:p>
    <w:p w:rsidR="004924E2" w:rsidRDefault="004924E2" w:rsidP="004924E2">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RESPONDENT</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 xml:space="preserve">J. </w:t>
      </w:r>
      <w:proofErr w:type="spellStart"/>
      <w:r>
        <w:rPr>
          <w:rFonts w:ascii="Arial" w:eastAsia="Calibri" w:hAnsi="Arial" w:cs="Arial"/>
          <w:sz w:val="24"/>
          <w:szCs w:val="24"/>
          <w:lang w:val="en-US"/>
        </w:rPr>
        <w:t>Greyling</w:t>
      </w:r>
      <w:proofErr w:type="spellEnd"/>
      <w:r>
        <w:rPr>
          <w:rFonts w:ascii="Arial" w:eastAsia="Calibri" w:hAnsi="Arial" w:cs="Arial"/>
          <w:sz w:val="24"/>
          <w:szCs w:val="24"/>
          <w:lang w:val="en-US"/>
        </w:rPr>
        <w:t xml:space="preserve"> (Jnr)</w:t>
      </w:r>
    </w:p>
    <w:p w:rsidR="004924E2" w:rsidRPr="008E638C" w:rsidRDefault="004924E2" w:rsidP="004924E2">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 xml:space="preserve">Of </w:t>
      </w:r>
      <w:proofErr w:type="spellStart"/>
      <w:r>
        <w:rPr>
          <w:rFonts w:ascii="Arial" w:eastAsia="Calibri" w:hAnsi="Arial" w:cs="Arial"/>
          <w:sz w:val="24"/>
          <w:szCs w:val="24"/>
          <w:lang w:val="en-US"/>
        </w:rPr>
        <w:t>Greyling</w:t>
      </w:r>
      <w:proofErr w:type="spellEnd"/>
      <w:r>
        <w:rPr>
          <w:rFonts w:ascii="Arial" w:eastAsia="Calibri" w:hAnsi="Arial" w:cs="Arial"/>
          <w:sz w:val="24"/>
          <w:szCs w:val="24"/>
          <w:lang w:val="en-US"/>
        </w:rPr>
        <w:t xml:space="preserve"> &amp; Associates, Oshakati</w:t>
      </w:r>
    </w:p>
    <w:p w:rsidR="00E554C3" w:rsidRDefault="00E554C3" w:rsidP="00E554C3"/>
    <w:p w:rsidR="00E554C3" w:rsidRDefault="00E554C3" w:rsidP="00E554C3"/>
    <w:p w:rsidR="007E3BEA" w:rsidRDefault="007E3BEA"/>
    <w:sectPr w:rsidR="007E3BEA" w:rsidSect="00877D9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30" w:rsidRDefault="004B7D30" w:rsidP="00877D96">
      <w:pPr>
        <w:spacing w:after="0" w:line="240" w:lineRule="auto"/>
      </w:pPr>
      <w:r>
        <w:separator/>
      </w:r>
    </w:p>
  </w:endnote>
  <w:endnote w:type="continuationSeparator" w:id="0">
    <w:p w:rsidR="004B7D30" w:rsidRDefault="004B7D30" w:rsidP="0087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30" w:rsidRDefault="004B7D30" w:rsidP="00877D96">
      <w:pPr>
        <w:spacing w:after="0" w:line="240" w:lineRule="auto"/>
      </w:pPr>
      <w:r>
        <w:separator/>
      </w:r>
    </w:p>
  </w:footnote>
  <w:footnote w:type="continuationSeparator" w:id="0">
    <w:p w:rsidR="004B7D30" w:rsidRDefault="004B7D30" w:rsidP="00877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29978"/>
      <w:docPartObj>
        <w:docPartGallery w:val="Page Numbers (Top of Page)"/>
        <w:docPartUnique/>
      </w:docPartObj>
    </w:sdtPr>
    <w:sdtEndPr>
      <w:rPr>
        <w:noProof/>
      </w:rPr>
    </w:sdtEndPr>
    <w:sdtContent>
      <w:p w:rsidR="00877D96" w:rsidRDefault="00877D96">
        <w:pPr>
          <w:pStyle w:val="Header"/>
          <w:jc w:val="right"/>
        </w:pPr>
        <w:r>
          <w:fldChar w:fldCharType="begin"/>
        </w:r>
        <w:r>
          <w:instrText xml:space="preserve"> PAGE   \* MERGEFORMAT </w:instrText>
        </w:r>
        <w:r>
          <w:fldChar w:fldCharType="separate"/>
        </w:r>
        <w:r w:rsidR="00ED491F">
          <w:rPr>
            <w:noProof/>
          </w:rPr>
          <w:t>2</w:t>
        </w:r>
        <w:r>
          <w:rPr>
            <w:noProof/>
          </w:rPr>
          <w:fldChar w:fldCharType="end"/>
        </w:r>
      </w:p>
    </w:sdtContent>
  </w:sdt>
  <w:p w:rsidR="00877D96" w:rsidRDefault="00877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397"/>
    <w:multiLevelType w:val="hybridMultilevel"/>
    <w:tmpl w:val="6E0AFE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069701E"/>
    <w:multiLevelType w:val="hybridMultilevel"/>
    <w:tmpl w:val="179E47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D2A2894"/>
    <w:multiLevelType w:val="hybridMultilevel"/>
    <w:tmpl w:val="E60A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36D59"/>
    <w:multiLevelType w:val="hybridMultilevel"/>
    <w:tmpl w:val="E60A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517F8"/>
    <w:multiLevelType w:val="hybridMultilevel"/>
    <w:tmpl w:val="E60A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523DA"/>
    <w:multiLevelType w:val="hybridMultilevel"/>
    <w:tmpl w:val="5790BE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C3"/>
    <w:rsid w:val="001F17FB"/>
    <w:rsid w:val="002D0954"/>
    <w:rsid w:val="003D4FB2"/>
    <w:rsid w:val="004924E2"/>
    <w:rsid w:val="004B7D30"/>
    <w:rsid w:val="0070073F"/>
    <w:rsid w:val="007D564B"/>
    <w:rsid w:val="007E3BEA"/>
    <w:rsid w:val="007E5469"/>
    <w:rsid w:val="007F5560"/>
    <w:rsid w:val="00877D96"/>
    <w:rsid w:val="008E680D"/>
    <w:rsid w:val="00973920"/>
    <w:rsid w:val="0099109A"/>
    <w:rsid w:val="009F0F97"/>
    <w:rsid w:val="009F75B2"/>
    <w:rsid w:val="00A56946"/>
    <w:rsid w:val="00B033EA"/>
    <w:rsid w:val="00B20506"/>
    <w:rsid w:val="00B440A1"/>
    <w:rsid w:val="00B50CEC"/>
    <w:rsid w:val="00C15B27"/>
    <w:rsid w:val="00E554C3"/>
    <w:rsid w:val="00EB777B"/>
    <w:rsid w:val="00ED491F"/>
    <w:rsid w:val="00FB67B6"/>
    <w:rsid w:val="00FC7E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C3"/>
    <w:pPr>
      <w:ind w:left="720"/>
      <w:contextualSpacing/>
    </w:pPr>
  </w:style>
  <w:style w:type="paragraph" w:styleId="Header">
    <w:name w:val="header"/>
    <w:basedOn w:val="Normal"/>
    <w:link w:val="HeaderChar"/>
    <w:uiPriority w:val="99"/>
    <w:unhideWhenUsed/>
    <w:rsid w:val="00877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96"/>
  </w:style>
  <w:style w:type="paragraph" w:styleId="Footer">
    <w:name w:val="footer"/>
    <w:basedOn w:val="Normal"/>
    <w:link w:val="FooterChar"/>
    <w:uiPriority w:val="99"/>
    <w:unhideWhenUsed/>
    <w:rsid w:val="00877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96"/>
  </w:style>
  <w:style w:type="paragraph" w:styleId="BalloonText">
    <w:name w:val="Balloon Text"/>
    <w:basedOn w:val="Normal"/>
    <w:link w:val="BalloonTextChar"/>
    <w:uiPriority w:val="99"/>
    <w:semiHidden/>
    <w:unhideWhenUsed/>
    <w:rsid w:val="0087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C3"/>
    <w:pPr>
      <w:ind w:left="720"/>
      <w:contextualSpacing/>
    </w:pPr>
  </w:style>
  <w:style w:type="paragraph" w:styleId="Header">
    <w:name w:val="header"/>
    <w:basedOn w:val="Normal"/>
    <w:link w:val="HeaderChar"/>
    <w:uiPriority w:val="99"/>
    <w:unhideWhenUsed/>
    <w:rsid w:val="00877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96"/>
  </w:style>
  <w:style w:type="paragraph" w:styleId="Footer">
    <w:name w:val="footer"/>
    <w:basedOn w:val="Normal"/>
    <w:link w:val="FooterChar"/>
    <w:uiPriority w:val="99"/>
    <w:unhideWhenUsed/>
    <w:rsid w:val="00877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96"/>
  </w:style>
  <w:style w:type="paragraph" w:styleId="BalloonText">
    <w:name w:val="Balloon Text"/>
    <w:basedOn w:val="Normal"/>
    <w:link w:val="BalloonTextChar"/>
    <w:uiPriority w:val="99"/>
    <w:semiHidden/>
    <w:unhideWhenUsed/>
    <w:rsid w:val="0087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2016-12-04T18:30:00+00:00</Judgment_x0020_Date>
    <Year xmlns="c1afb1bd-f2fb-40fd-9abb-aea55b4d7662">2016</Year>
  </documentManagement>
</p:properties>
</file>

<file path=customXml/itemProps1.xml><?xml version="1.0" encoding="utf-8"?>
<ds:datastoreItem xmlns:ds="http://schemas.openxmlformats.org/officeDocument/2006/customXml" ds:itemID="{CE2E6998-6EE5-4B69-AD3B-A6D4A5ED5D04}"/>
</file>

<file path=customXml/itemProps2.xml><?xml version="1.0" encoding="utf-8"?>
<ds:datastoreItem xmlns:ds="http://schemas.openxmlformats.org/officeDocument/2006/customXml" ds:itemID="{395D7279-7170-4CA5-9D6F-3139D40967CB}"/>
</file>

<file path=customXml/itemProps3.xml><?xml version="1.0" encoding="utf-8"?>
<ds:datastoreItem xmlns:ds="http://schemas.openxmlformats.org/officeDocument/2006/customXml" ds:itemID="{3D9632FD-3008-4828-85FB-B4A5B794D426}"/>
</file>

<file path=docProps/app.xml><?xml version="1.0" encoding="utf-8"?>
<Properties xmlns="http://schemas.openxmlformats.org/officeDocument/2006/extended-properties" xmlns:vt="http://schemas.openxmlformats.org/officeDocument/2006/docPropsVTypes">
  <Template>Normal</Template>
  <TotalTime>19</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3</cp:revision>
  <cp:lastPrinted>2016-12-05T08:09:00Z</cp:lastPrinted>
  <dcterms:created xsi:type="dcterms:W3CDTF">2017-01-17T09:42:00Z</dcterms:created>
  <dcterms:modified xsi:type="dcterms:W3CDTF">2017-01-17T13:05:00Z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