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2F6ADA" w:rsidP="00A75037">
      <w:pPr>
        <w:spacing w:line="360" w:lineRule="auto"/>
        <w:jc w:val="center"/>
        <w:rPr>
          <w:rFonts w:ascii="Arial" w:hAnsi="Arial" w:cs="Arial"/>
          <w:sz w:val="20"/>
        </w:rPr>
      </w:pPr>
      <w:r>
        <w:rPr>
          <w:rFonts w:ascii="Arial" w:hAnsi="Arial" w:cs="Arial"/>
          <w:b/>
        </w:rPr>
        <w:t xml:space="preserve"> </w:t>
      </w:r>
      <w:r w:rsidR="001111F5"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ZA" w:eastAsia="en-ZA"/>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61002F">
        <w:rPr>
          <w:rFonts w:ascii="Arial" w:hAnsi="Arial" w:cs="Arial"/>
          <w:lang w:val="en-ZA"/>
        </w:rPr>
        <w:t>55/2013</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49320D" w:rsidP="00176493">
      <w:pPr>
        <w:spacing w:line="360" w:lineRule="auto"/>
        <w:jc w:val="both"/>
        <w:rPr>
          <w:rFonts w:ascii="Arial" w:hAnsi="Arial" w:cs="Arial"/>
          <w:b/>
          <w:lang w:val="en-ZA"/>
        </w:rPr>
      </w:pPr>
      <w:r>
        <w:rPr>
          <w:rFonts w:ascii="Arial" w:hAnsi="Arial" w:cs="Arial"/>
          <w:b/>
          <w:lang w:val="en-ZA"/>
        </w:rPr>
        <w:t>MICHAEL WALU</w:t>
      </w:r>
      <w:r w:rsidR="0061002F">
        <w:rPr>
          <w:rFonts w:ascii="Arial" w:hAnsi="Arial" w:cs="Arial"/>
          <w:b/>
          <w:lang w:val="en-ZA"/>
        </w:rPr>
        <w:t>SIKU</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471A4A">
        <w:rPr>
          <w:rFonts w:ascii="Arial" w:hAnsi="Arial" w:cs="Arial"/>
          <w:b/>
          <w:lang w:val="en-ZA"/>
        </w:rPr>
        <w:tab/>
      </w:r>
      <w:r w:rsidR="00471A4A">
        <w:rPr>
          <w:rFonts w:ascii="Arial" w:hAnsi="Arial" w:cs="Arial"/>
          <w:b/>
          <w:lang w:val="en-ZA"/>
        </w:rPr>
        <w:tab/>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61002F"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471A4A">
        <w:rPr>
          <w:rFonts w:ascii="Arial" w:hAnsi="Arial" w:cs="Arial"/>
          <w:b/>
          <w:lang w:val="en-ZA"/>
        </w:rPr>
        <w:tab/>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bookmarkStart w:id="0" w:name="_GoBack"/>
      <w:r w:rsidR="00304C29">
        <w:rPr>
          <w:rFonts w:ascii="Arial" w:hAnsi="Arial" w:cs="Arial"/>
          <w:i/>
          <w:lang w:val="en-ZA"/>
        </w:rPr>
        <w:t>Walu</w:t>
      </w:r>
      <w:r w:rsidR="007A0C65">
        <w:rPr>
          <w:rFonts w:ascii="Arial" w:hAnsi="Arial" w:cs="Arial"/>
          <w:i/>
          <w:lang w:val="en-ZA"/>
        </w:rPr>
        <w:t>siku</w:t>
      </w:r>
      <w:r w:rsidR="000002F0">
        <w:rPr>
          <w:rFonts w:ascii="Arial" w:hAnsi="Arial" w:cs="Arial"/>
          <w:i/>
          <w:lang w:val="en-ZA"/>
        </w:rPr>
        <w:t xml:space="preserve"> v </w:t>
      </w:r>
      <w:r w:rsidR="004E7EC0">
        <w:rPr>
          <w:rFonts w:ascii="Arial" w:hAnsi="Arial" w:cs="Arial"/>
          <w:i/>
          <w:lang w:val="en-ZA"/>
        </w:rPr>
        <w:t>S</w:t>
      </w:r>
      <w:r w:rsidR="007A0C65">
        <w:rPr>
          <w:rFonts w:ascii="Arial" w:hAnsi="Arial" w:cs="Arial"/>
          <w:i/>
          <w:lang w:val="en-ZA"/>
        </w:rPr>
        <w:t xml:space="preserve"> </w:t>
      </w:r>
      <w:r w:rsidR="008250DF">
        <w:rPr>
          <w:rFonts w:ascii="Arial" w:hAnsi="Arial" w:cs="Arial"/>
          <w:lang w:val="en-ZA"/>
        </w:rPr>
        <w:t>(CA</w:t>
      </w:r>
      <w:r w:rsidR="004E7EC0">
        <w:rPr>
          <w:rFonts w:ascii="Arial" w:hAnsi="Arial" w:cs="Arial"/>
          <w:lang w:val="en-ZA"/>
        </w:rPr>
        <w:t xml:space="preserve"> 55-</w:t>
      </w:r>
      <w:r w:rsidR="00E378F9">
        <w:rPr>
          <w:rFonts w:ascii="Arial" w:hAnsi="Arial" w:cs="Arial"/>
          <w:lang w:val="en-ZA"/>
        </w:rPr>
        <w:t>2</w:t>
      </w:r>
      <w:r w:rsidR="00471A4A">
        <w:rPr>
          <w:rFonts w:ascii="Arial" w:hAnsi="Arial" w:cs="Arial"/>
          <w:lang w:val="en-ZA"/>
        </w:rPr>
        <w:t>013</w:t>
      </w:r>
      <w:r w:rsidR="00210744">
        <w:rPr>
          <w:rFonts w:ascii="Arial" w:hAnsi="Arial" w:cs="Arial"/>
          <w:lang w:val="en-ZA"/>
        </w:rPr>
        <w:t>) [20</w:t>
      </w:r>
      <w:r w:rsidR="00CE0DD9">
        <w:rPr>
          <w:rFonts w:ascii="Arial" w:hAnsi="Arial" w:cs="Arial"/>
          <w:lang w:val="en-ZA"/>
        </w:rPr>
        <w:t>1</w:t>
      </w:r>
      <w:r w:rsidR="00592263">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7F0C05">
        <w:rPr>
          <w:rFonts w:ascii="Arial" w:hAnsi="Arial" w:cs="Arial"/>
          <w:lang w:val="en-ZA"/>
        </w:rPr>
        <w:t>28</w:t>
      </w:r>
      <w:r w:rsidR="004E7EC0">
        <w:rPr>
          <w:rFonts w:ascii="Arial" w:hAnsi="Arial" w:cs="Arial"/>
          <w:lang w:val="en-ZA"/>
        </w:rPr>
        <w:t xml:space="preserve"> </w:t>
      </w:r>
      <w:r w:rsidR="00AC7528">
        <w:rPr>
          <w:rFonts w:ascii="Arial" w:hAnsi="Arial" w:cs="Arial"/>
          <w:lang w:val="en-ZA"/>
        </w:rPr>
        <w:t>(</w:t>
      </w:r>
      <w:r w:rsidR="00806ABA">
        <w:rPr>
          <w:rFonts w:ascii="Arial" w:hAnsi="Arial" w:cs="Arial"/>
          <w:lang w:val="en-ZA"/>
        </w:rPr>
        <w:t>7 April</w:t>
      </w:r>
      <w:r w:rsidR="000002F0">
        <w:rPr>
          <w:rFonts w:ascii="Arial" w:hAnsi="Arial" w:cs="Arial"/>
          <w:lang w:val="en-ZA"/>
        </w:rPr>
        <w:t xml:space="preserve"> </w:t>
      </w:r>
      <w:r w:rsidR="00CE0DD9">
        <w:rPr>
          <w:rFonts w:ascii="Arial" w:hAnsi="Arial" w:cs="Arial"/>
          <w:lang w:val="en-ZA"/>
        </w:rPr>
        <w:t>201</w:t>
      </w:r>
      <w:r w:rsidR="00806ABA">
        <w:rPr>
          <w:rFonts w:ascii="Arial" w:hAnsi="Arial" w:cs="Arial"/>
          <w:lang w:val="en-ZA"/>
        </w:rPr>
        <w:t>7</w:t>
      </w:r>
      <w:r w:rsidR="006E137F">
        <w:rPr>
          <w:rFonts w:ascii="Arial" w:hAnsi="Arial" w:cs="Arial"/>
          <w:lang w:val="en-ZA"/>
        </w:rPr>
        <w:t>)</w:t>
      </w:r>
    </w:p>
    <w:bookmarkEnd w:id="0"/>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7A0C65">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7A0C65">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7A0C65">
        <w:rPr>
          <w:rFonts w:ascii="Arial" w:hAnsi="Arial" w:cs="Arial"/>
          <w:lang w:val="en-ZA"/>
        </w:rPr>
        <w:t xml:space="preserve">11 November </w:t>
      </w:r>
      <w:r w:rsidR="00F620C0" w:rsidRPr="000002F0">
        <w:rPr>
          <w:rFonts w:ascii="Arial" w:hAnsi="Arial" w:cs="Arial"/>
          <w:lang w:val="en-ZA"/>
        </w:rPr>
        <w:t>201</w:t>
      </w:r>
      <w:r w:rsidR="007A0C65">
        <w:rPr>
          <w:rFonts w:ascii="Arial" w:hAnsi="Arial" w:cs="Arial"/>
          <w:lang w:val="en-ZA"/>
        </w:rPr>
        <w:t>6</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7A0C65">
        <w:rPr>
          <w:rFonts w:ascii="Arial" w:hAnsi="Arial" w:cs="Arial"/>
          <w:lang w:val="en-ZA"/>
        </w:rPr>
        <w:t>7 April 2017</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592263" w:rsidRPr="00592263">
        <w:rPr>
          <w:rFonts w:ascii="Arial" w:hAnsi="Arial" w:cs="Arial"/>
          <w:lang w:val="en-ZA"/>
        </w:rPr>
        <w:t xml:space="preserve">Appeal </w:t>
      </w:r>
      <w:r w:rsidR="00304C29">
        <w:rPr>
          <w:rFonts w:ascii="Arial" w:hAnsi="Arial" w:cs="Arial"/>
          <w:lang w:val="en-ZA"/>
        </w:rPr>
        <w:t>– Criminal Procedure – E</w:t>
      </w:r>
      <w:r w:rsidR="00592263">
        <w:rPr>
          <w:rFonts w:ascii="Arial" w:hAnsi="Arial" w:cs="Arial"/>
          <w:lang w:val="en-ZA"/>
        </w:rPr>
        <w:t xml:space="preserve">vidence of witnesses to be given viva voce – Admission of Affidavit of a crucial </w:t>
      </w:r>
      <w:r w:rsidR="0049320D">
        <w:rPr>
          <w:rFonts w:ascii="Arial" w:hAnsi="Arial" w:cs="Arial"/>
          <w:lang w:val="en-ZA"/>
        </w:rPr>
        <w:t xml:space="preserve">witness </w:t>
      </w:r>
      <w:r w:rsidR="00592263">
        <w:rPr>
          <w:rFonts w:ascii="Arial" w:hAnsi="Arial" w:cs="Arial"/>
          <w:lang w:val="en-ZA"/>
        </w:rPr>
        <w:t xml:space="preserve">without allowing the appellant </w:t>
      </w:r>
      <w:r w:rsidR="00471A4A">
        <w:rPr>
          <w:rFonts w:ascii="Arial" w:hAnsi="Arial" w:cs="Arial"/>
          <w:lang w:val="en-ZA"/>
        </w:rPr>
        <w:t xml:space="preserve">the opportunity </w:t>
      </w:r>
      <w:r w:rsidR="00592263">
        <w:rPr>
          <w:rFonts w:ascii="Arial" w:hAnsi="Arial" w:cs="Arial"/>
          <w:lang w:val="en-ZA"/>
        </w:rPr>
        <w:t xml:space="preserve">to cross-examine – </w:t>
      </w:r>
      <w:r w:rsidR="00304C29">
        <w:rPr>
          <w:rFonts w:ascii="Arial" w:hAnsi="Arial" w:cs="Arial"/>
          <w:lang w:val="en-ZA"/>
        </w:rPr>
        <w:t>F</w:t>
      </w:r>
      <w:r w:rsidR="00471A4A">
        <w:rPr>
          <w:rFonts w:ascii="Arial" w:hAnsi="Arial" w:cs="Arial"/>
          <w:lang w:val="en-ZA"/>
        </w:rPr>
        <w:t xml:space="preserve">ailure to allow appellant opportunity to cross-examine </w:t>
      </w:r>
      <w:r w:rsidR="00304C29">
        <w:rPr>
          <w:rFonts w:ascii="Arial" w:hAnsi="Arial" w:cs="Arial"/>
          <w:lang w:val="en-ZA"/>
        </w:rPr>
        <w:t>grossly irregular – L</w:t>
      </w:r>
      <w:r w:rsidR="00592263">
        <w:rPr>
          <w:rFonts w:ascii="Arial" w:hAnsi="Arial" w:cs="Arial"/>
          <w:lang w:val="en-ZA"/>
        </w:rPr>
        <w:t>earned magistrate’s conduct in obtaining the affidavit and the reliance thereon to convict the appellant amount</w:t>
      </w:r>
      <w:r w:rsidR="00471A4A">
        <w:rPr>
          <w:rFonts w:ascii="Arial" w:hAnsi="Arial" w:cs="Arial"/>
          <w:lang w:val="en-ZA"/>
        </w:rPr>
        <w:t>ed</w:t>
      </w:r>
      <w:r w:rsidR="00592263">
        <w:rPr>
          <w:rFonts w:ascii="Arial" w:hAnsi="Arial" w:cs="Arial"/>
          <w:lang w:val="en-ZA"/>
        </w:rPr>
        <w:t xml:space="preserve"> to an irregulari</w:t>
      </w:r>
      <w:r w:rsidR="00304C29">
        <w:rPr>
          <w:rFonts w:ascii="Arial" w:hAnsi="Arial" w:cs="Arial"/>
          <w:lang w:val="en-ZA"/>
        </w:rPr>
        <w:t>ty which tainted the verdict – A</w:t>
      </w:r>
      <w:r w:rsidR="00592263">
        <w:rPr>
          <w:rFonts w:ascii="Arial" w:hAnsi="Arial" w:cs="Arial"/>
          <w:lang w:val="en-ZA"/>
        </w:rPr>
        <w:t>ppeal against conviction upheld</w:t>
      </w:r>
      <w:r w:rsidR="00471A4A">
        <w:rPr>
          <w:rFonts w:ascii="Arial" w:hAnsi="Arial" w:cs="Arial"/>
          <w:lang w:val="en-ZA"/>
        </w:rPr>
        <w:t>.</w:t>
      </w:r>
    </w:p>
    <w:p w:rsidR="00471A4A" w:rsidRDefault="00471A4A" w:rsidP="00AC7528">
      <w:pPr>
        <w:spacing w:line="360" w:lineRule="auto"/>
        <w:jc w:val="both"/>
        <w:rPr>
          <w:rFonts w:ascii="Arial" w:hAnsi="Arial" w:cs="Arial"/>
          <w:lang w:val="en-ZA"/>
        </w:rPr>
      </w:pPr>
    </w:p>
    <w:p w:rsidR="00592263" w:rsidRDefault="00592263" w:rsidP="00AC7528">
      <w:pPr>
        <w:spacing w:line="360" w:lineRule="auto"/>
        <w:jc w:val="both"/>
        <w:rPr>
          <w:rFonts w:ascii="Arial" w:hAnsi="Arial" w:cs="Arial"/>
          <w:lang w:val="en-ZA"/>
        </w:rPr>
      </w:pPr>
      <w:r w:rsidRPr="00471A4A">
        <w:rPr>
          <w:rFonts w:ascii="Arial" w:hAnsi="Arial" w:cs="Arial"/>
          <w:b/>
          <w:lang w:val="en-ZA"/>
        </w:rPr>
        <w:t>Summary</w:t>
      </w:r>
      <w:r>
        <w:rPr>
          <w:rFonts w:ascii="Arial" w:hAnsi="Arial" w:cs="Arial"/>
          <w:lang w:val="en-ZA"/>
        </w:rPr>
        <w:t>:</w:t>
      </w:r>
      <w:r>
        <w:rPr>
          <w:rFonts w:ascii="Arial" w:hAnsi="Arial" w:cs="Arial"/>
          <w:lang w:val="en-ZA"/>
        </w:rPr>
        <w:tab/>
        <w:t>The accused was convicted of rap</w:t>
      </w:r>
      <w:r w:rsidR="001E542B">
        <w:rPr>
          <w:rFonts w:ascii="Arial" w:hAnsi="Arial" w:cs="Arial"/>
          <w:lang w:val="en-ZA"/>
        </w:rPr>
        <w:t>e in contravention of the Comba</w:t>
      </w:r>
      <w:r>
        <w:rPr>
          <w:rFonts w:ascii="Arial" w:hAnsi="Arial" w:cs="Arial"/>
          <w:lang w:val="en-ZA"/>
        </w:rPr>
        <w:t>ting of Rape Act, 2000 (Act 8 of 2000). He was sent</w:t>
      </w:r>
      <w:r w:rsidR="001E542B">
        <w:rPr>
          <w:rFonts w:ascii="Arial" w:hAnsi="Arial" w:cs="Arial"/>
          <w:lang w:val="en-ZA"/>
        </w:rPr>
        <w:t xml:space="preserve">enced to 8 years’ imprisonment. </w:t>
      </w:r>
      <w:r>
        <w:rPr>
          <w:rFonts w:ascii="Arial" w:hAnsi="Arial" w:cs="Arial"/>
          <w:lang w:val="en-ZA"/>
        </w:rPr>
        <w:t xml:space="preserve">After submissions were made </w:t>
      </w:r>
      <w:r w:rsidR="007A0C65">
        <w:rPr>
          <w:rFonts w:ascii="Arial" w:hAnsi="Arial" w:cs="Arial"/>
          <w:lang w:val="en-ZA"/>
        </w:rPr>
        <w:t xml:space="preserve">and before judgment was given, </w:t>
      </w:r>
      <w:r>
        <w:rPr>
          <w:rFonts w:ascii="Arial" w:hAnsi="Arial" w:cs="Arial"/>
          <w:lang w:val="en-ZA"/>
        </w:rPr>
        <w:t xml:space="preserve">the </w:t>
      </w:r>
      <w:r w:rsidR="007A0C65">
        <w:rPr>
          <w:rFonts w:ascii="Arial" w:hAnsi="Arial" w:cs="Arial"/>
          <w:lang w:val="en-ZA"/>
        </w:rPr>
        <w:t xml:space="preserve">learned </w:t>
      </w:r>
      <w:r>
        <w:rPr>
          <w:rFonts w:ascii="Arial" w:hAnsi="Arial" w:cs="Arial"/>
          <w:lang w:val="en-ZA"/>
        </w:rPr>
        <w:t>magistrate obtained an affidav</w:t>
      </w:r>
      <w:r w:rsidR="001E542B">
        <w:rPr>
          <w:rFonts w:ascii="Arial" w:hAnsi="Arial" w:cs="Arial"/>
          <w:lang w:val="en-ZA"/>
        </w:rPr>
        <w:t>it from the Head Mistress of Oshakati</w:t>
      </w:r>
      <w:r>
        <w:rPr>
          <w:rFonts w:ascii="Arial" w:hAnsi="Arial" w:cs="Arial"/>
          <w:lang w:val="en-ZA"/>
        </w:rPr>
        <w:t xml:space="preserve"> West Primary School which indicated that the School started its operations on </w:t>
      </w:r>
      <w:r w:rsidR="007A0C65">
        <w:rPr>
          <w:rFonts w:ascii="Arial" w:hAnsi="Arial" w:cs="Arial"/>
          <w:lang w:val="en-ZA"/>
        </w:rPr>
        <w:t>17 January 2007. This was before the incident occurred. The contents hereof confirmed that the accused misled the parties present at an inspection in</w:t>
      </w:r>
      <w:r w:rsidR="007A0C65" w:rsidRPr="001E542B">
        <w:rPr>
          <w:rFonts w:ascii="Arial" w:hAnsi="Arial" w:cs="Arial"/>
          <w:i/>
          <w:lang w:val="en-ZA"/>
        </w:rPr>
        <w:t xml:space="preserve"> loco</w:t>
      </w:r>
      <w:r w:rsidR="007A0C65">
        <w:rPr>
          <w:rFonts w:ascii="Arial" w:hAnsi="Arial" w:cs="Arial"/>
          <w:lang w:val="en-ZA"/>
        </w:rPr>
        <w:t xml:space="preserve"> when he stated that the school was built after the incident and that he was, for this reason, unable to assist the court. The court held that the learned magistrate ought to have called the witness in terms of s 186 of the CPA to give her </w:t>
      </w:r>
      <w:r w:rsidR="007A0C65" w:rsidRPr="00B07D87">
        <w:rPr>
          <w:rFonts w:ascii="Arial" w:hAnsi="Arial" w:cs="Arial"/>
          <w:i/>
          <w:lang w:val="en-ZA"/>
        </w:rPr>
        <w:t>viva voce</w:t>
      </w:r>
      <w:r w:rsidR="007A0C65">
        <w:rPr>
          <w:rFonts w:ascii="Arial" w:hAnsi="Arial" w:cs="Arial"/>
          <w:lang w:val="en-ZA"/>
        </w:rPr>
        <w:t xml:space="preserve"> evidence as is required in terms of the provisions of s 161 of the CPA. It was further held that the learned magistrate’s failure to allow the appellant the opportunity to cross-examine this witness was grossly irregular; </w:t>
      </w:r>
      <w:r w:rsidR="005A193B">
        <w:rPr>
          <w:rFonts w:ascii="Arial" w:hAnsi="Arial" w:cs="Arial"/>
          <w:lang w:val="en-ZA"/>
        </w:rPr>
        <w:t>it</w:t>
      </w:r>
      <w:r w:rsidR="007A0C65">
        <w:rPr>
          <w:rFonts w:ascii="Arial" w:hAnsi="Arial" w:cs="Arial"/>
          <w:lang w:val="en-ZA"/>
        </w:rPr>
        <w:t xml:space="preserve"> was further held that manner of admission and the learned magistrate’s reliance on this evidence to convict</w:t>
      </w:r>
      <w:r w:rsidR="00B07D87">
        <w:rPr>
          <w:rFonts w:ascii="Arial" w:hAnsi="Arial" w:cs="Arial"/>
          <w:lang w:val="en-ZA"/>
        </w:rPr>
        <w:t xml:space="preserve"> the appellant</w:t>
      </w:r>
      <w:r w:rsidR="007A0C65">
        <w:rPr>
          <w:rFonts w:ascii="Arial" w:hAnsi="Arial" w:cs="Arial"/>
          <w:lang w:val="en-ZA"/>
        </w:rPr>
        <w:t>, tainted the verdict. The appeal is upheld and the conviction and sentence are set aside.</w:t>
      </w:r>
    </w:p>
    <w:p w:rsidR="00635D4F" w:rsidRPr="00635D4F" w:rsidRDefault="00635D4F" w:rsidP="00CA4466">
      <w:pPr>
        <w:spacing w:line="360" w:lineRule="auto"/>
        <w:jc w:val="both"/>
        <w:rPr>
          <w:rFonts w:ascii="Arial" w:hAnsi="Arial" w:cs="Arial"/>
          <w:lang w:val="en-ZA"/>
        </w:rPr>
      </w:pPr>
    </w:p>
    <w:p w:rsidR="005B46A4" w:rsidRPr="00340732" w:rsidRDefault="005B46A4" w:rsidP="00CA4466">
      <w:pPr>
        <w:pBdr>
          <w:bottom w:val="single" w:sz="12" w:space="1" w:color="auto"/>
        </w:pBdr>
        <w:spacing w:line="360" w:lineRule="auto"/>
        <w:jc w:val="both"/>
        <w:rPr>
          <w:rFonts w:ascii="Arial" w:hAnsi="Arial" w:cs="Arial"/>
          <w:lang w:val="en-ZA"/>
        </w:rPr>
      </w:pPr>
    </w:p>
    <w:p w:rsidR="00471A4A" w:rsidRPr="00340732" w:rsidRDefault="00471A4A" w:rsidP="00176493">
      <w:pPr>
        <w:spacing w:line="360" w:lineRule="auto"/>
        <w:jc w:val="both"/>
        <w:rPr>
          <w:rFonts w:ascii="Arial" w:hAnsi="Arial" w:cs="Arial"/>
          <w:b/>
          <w:lang w:val="en-ZA"/>
        </w:rPr>
      </w:pP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471A4A" w:rsidRDefault="00471A4A" w:rsidP="00176493">
      <w:pPr>
        <w:pBdr>
          <w:bottom w:val="single" w:sz="12" w:space="1" w:color="auto"/>
        </w:pBdr>
        <w:spacing w:line="360" w:lineRule="auto"/>
        <w:jc w:val="center"/>
        <w:rPr>
          <w:rFonts w:ascii="Arial" w:hAnsi="Arial" w:cs="Arial"/>
          <w:b/>
          <w:lang w:val="en-ZA"/>
        </w:rPr>
      </w:pPr>
    </w:p>
    <w:p w:rsidR="00210744" w:rsidRDefault="00210744" w:rsidP="00210744">
      <w:pPr>
        <w:spacing w:line="360" w:lineRule="auto"/>
        <w:ind w:left="720"/>
        <w:jc w:val="both"/>
        <w:rPr>
          <w:rFonts w:ascii="Arial" w:hAnsi="Arial" w:cs="Arial"/>
          <w:b/>
          <w:u w:val="single"/>
          <w:lang w:val="en-ZA"/>
        </w:rPr>
      </w:pPr>
    </w:p>
    <w:p w:rsidR="00471A4A" w:rsidRPr="00210744" w:rsidRDefault="00471A4A" w:rsidP="00210744">
      <w:pPr>
        <w:spacing w:line="360" w:lineRule="auto"/>
        <w:ind w:left="720"/>
        <w:jc w:val="both"/>
        <w:rPr>
          <w:rFonts w:ascii="Arial" w:hAnsi="Arial" w:cs="Arial"/>
          <w:b/>
          <w:u w:val="single"/>
          <w:lang w:val="en-ZA"/>
        </w:rPr>
      </w:pPr>
    </w:p>
    <w:p w:rsidR="007A0C65" w:rsidRPr="007A0C65" w:rsidRDefault="007A0C65" w:rsidP="007A0C65">
      <w:pPr>
        <w:pBdr>
          <w:bottom w:val="single" w:sz="12" w:space="1" w:color="auto"/>
        </w:pBdr>
        <w:spacing w:line="360" w:lineRule="auto"/>
        <w:jc w:val="both"/>
        <w:rPr>
          <w:rFonts w:ascii="Arial" w:hAnsi="Arial" w:cs="Arial"/>
          <w:lang w:val="en-ZA"/>
        </w:rPr>
      </w:pPr>
      <w:r w:rsidRPr="007A0C65">
        <w:rPr>
          <w:rFonts w:ascii="Arial" w:hAnsi="Arial" w:cs="Arial"/>
          <w:lang w:val="en-ZA"/>
        </w:rPr>
        <w:t>1.</w:t>
      </w:r>
      <w:r w:rsidRPr="007A0C65">
        <w:rPr>
          <w:rFonts w:ascii="Arial" w:hAnsi="Arial" w:cs="Arial"/>
          <w:lang w:val="en-ZA"/>
        </w:rPr>
        <w:tab/>
        <w:t>The appeal against conviction is upheld;</w:t>
      </w:r>
    </w:p>
    <w:p w:rsidR="007A0C65" w:rsidRDefault="007A0C65" w:rsidP="007A0C65">
      <w:pPr>
        <w:pBdr>
          <w:bottom w:val="single" w:sz="12" w:space="1" w:color="auto"/>
        </w:pBdr>
        <w:spacing w:line="360" w:lineRule="auto"/>
        <w:jc w:val="both"/>
        <w:rPr>
          <w:rFonts w:ascii="Arial" w:hAnsi="Arial" w:cs="Arial"/>
          <w:lang w:val="en-ZA"/>
        </w:rPr>
      </w:pPr>
      <w:r w:rsidRPr="007A0C65">
        <w:rPr>
          <w:rFonts w:ascii="Arial" w:hAnsi="Arial" w:cs="Arial"/>
          <w:lang w:val="en-ZA"/>
        </w:rPr>
        <w:t>2.</w:t>
      </w:r>
      <w:r w:rsidRPr="007A0C65">
        <w:rPr>
          <w:rFonts w:ascii="Arial" w:hAnsi="Arial" w:cs="Arial"/>
          <w:lang w:val="en-ZA"/>
        </w:rPr>
        <w:tab/>
        <w:t>The conviction and sentence are hereby set aside.</w:t>
      </w:r>
    </w:p>
    <w:p w:rsidR="00471A4A" w:rsidRDefault="00471A4A" w:rsidP="007A0C65">
      <w:pPr>
        <w:pBdr>
          <w:bottom w:val="single" w:sz="12" w:space="1" w:color="auto"/>
        </w:pBdr>
        <w:spacing w:line="360" w:lineRule="auto"/>
        <w:jc w:val="both"/>
        <w:rPr>
          <w:rFonts w:ascii="Arial" w:hAnsi="Arial" w:cs="Arial"/>
          <w:lang w:val="en-ZA"/>
        </w:rPr>
      </w:pPr>
    </w:p>
    <w:p w:rsidR="005A193B" w:rsidRPr="007A0C65" w:rsidRDefault="005A193B" w:rsidP="007A0C65">
      <w:pPr>
        <w:pBdr>
          <w:bottom w:val="single" w:sz="12" w:space="1" w:color="auto"/>
        </w:pBdr>
        <w:spacing w:line="360" w:lineRule="auto"/>
        <w:jc w:val="both"/>
        <w:rPr>
          <w:rFonts w:ascii="Arial" w:hAnsi="Arial" w:cs="Arial"/>
          <w:lang w:val="en-ZA"/>
        </w:rPr>
      </w:pP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Default="00E13B0E" w:rsidP="00176493">
      <w:pPr>
        <w:spacing w:line="360" w:lineRule="auto"/>
        <w:jc w:val="both"/>
        <w:rPr>
          <w:rFonts w:ascii="Arial" w:hAnsi="Arial" w:cs="Arial"/>
          <w:b/>
          <w:lang w:val="en-ZA"/>
        </w:rPr>
      </w:pPr>
    </w:p>
    <w:p w:rsidR="005A193B" w:rsidRPr="00E13B0E" w:rsidRDefault="005A193B"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lastRenderedPageBreak/>
        <w:t xml:space="preserve">TOMMASI </w:t>
      </w:r>
      <w:r w:rsidR="008250DF">
        <w:rPr>
          <w:rFonts w:ascii="Arial" w:hAnsi="Arial" w:cs="Arial"/>
          <w:lang w:val="en-ZA"/>
        </w:rPr>
        <w:t>J (</w:t>
      </w:r>
      <w:r w:rsidR="00592263">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896336"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DA70D1">
        <w:rPr>
          <w:rFonts w:ascii="Arial" w:hAnsi="Arial" w:cs="Arial"/>
          <w:lang w:val="en-ZA"/>
        </w:rPr>
        <w:t xml:space="preserve">The appellant </w:t>
      </w:r>
      <w:r w:rsidR="00B47797">
        <w:rPr>
          <w:rFonts w:ascii="Arial" w:hAnsi="Arial" w:cs="Arial"/>
          <w:lang w:val="en-ZA"/>
        </w:rPr>
        <w:t xml:space="preserve">noted an appeal against conviction. The State applied for and was granted leave to appeal against the sentence. This court furthermore ordered that the appeal against conviction by the appellant and the appeal against sentence by the State be consolidated. The appellant noted his appeal outside the time frame </w:t>
      </w:r>
      <w:r w:rsidR="00896336">
        <w:rPr>
          <w:rFonts w:ascii="Arial" w:hAnsi="Arial" w:cs="Arial"/>
          <w:lang w:val="en-ZA"/>
        </w:rPr>
        <w:t>provided for</w:t>
      </w:r>
      <w:r w:rsidR="00806ABA">
        <w:rPr>
          <w:rFonts w:ascii="Arial" w:hAnsi="Arial" w:cs="Arial"/>
          <w:lang w:val="en-ZA"/>
        </w:rPr>
        <w:t xml:space="preserve"> lodging an appeal in terms of r</w:t>
      </w:r>
      <w:r w:rsidR="00896336">
        <w:rPr>
          <w:rFonts w:ascii="Arial" w:hAnsi="Arial" w:cs="Arial"/>
          <w:lang w:val="en-ZA"/>
        </w:rPr>
        <w:t xml:space="preserve">ule 67 of the Magistrate’s Court Rules. He </w:t>
      </w:r>
      <w:r w:rsidR="00B47797">
        <w:rPr>
          <w:rFonts w:ascii="Arial" w:hAnsi="Arial" w:cs="Arial"/>
          <w:lang w:val="en-ZA"/>
        </w:rPr>
        <w:t xml:space="preserve">simultaneously applied for condonation.  </w:t>
      </w:r>
      <w:r w:rsidR="00896336">
        <w:rPr>
          <w:rFonts w:ascii="Arial" w:hAnsi="Arial" w:cs="Arial"/>
          <w:lang w:val="en-ZA"/>
        </w:rPr>
        <w:t xml:space="preserve">The application for condonation was </w:t>
      </w:r>
      <w:r w:rsidR="00DD6D29">
        <w:rPr>
          <w:rFonts w:ascii="Arial" w:hAnsi="Arial" w:cs="Arial"/>
          <w:lang w:val="en-ZA"/>
        </w:rPr>
        <w:t>not opposed. The State applied for condonation for the late filing of the Heads of A</w:t>
      </w:r>
      <w:r w:rsidR="00A32BA4">
        <w:rPr>
          <w:rFonts w:ascii="Arial" w:hAnsi="Arial" w:cs="Arial"/>
          <w:lang w:val="en-ZA"/>
        </w:rPr>
        <w:t>r</w:t>
      </w:r>
      <w:r w:rsidR="00DD6D29">
        <w:rPr>
          <w:rFonts w:ascii="Arial" w:hAnsi="Arial" w:cs="Arial"/>
          <w:lang w:val="en-ZA"/>
        </w:rPr>
        <w:t>gument.</w:t>
      </w:r>
      <w:r w:rsidR="0049320D">
        <w:rPr>
          <w:rFonts w:ascii="Arial" w:hAnsi="Arial" w:cs="Arial"/>
          <w:lang w:val="en-ZA"/>
        </w:rPr>
        <w:t xml:space="preserve"> This was also not apposed.</w:t>
      </w:r>
      <w:r w:rsidR="00DD6D29">
        <w:rPr>
          <w:rFonts w:ascii="Arial" w:hAnsi="Arial" w:cs="Arial"/>
          <w:lang w:val="en-ZA"/>
        </w:rPr>
        <w:t xml:space="preserve"> Condonation was granted for the non-compliance with the rules by both parties and the appeal was heard on the merits. </w:t>
      </w:r>
    </w:p>
    <w:p w:rsidR="00896336" w:rsidRDefault="00896336" w:rsidP="00176493">
      <w:pPr>
        <w:spacing w:line="360" w:lineRule="auto"/>
        <w:jc w:val="both"/>
        <w:rPr>
          <w:rFonts w:ascii="Arial" w:hAnsi="Arial" w:cs="Arial"/>
          <w:lang w:val="en-ZA"/>
        </w:rPr>
      </w:pPr>
    </w:p>
    <w:p w:rsidR="0015092B" w:rsidRDefault="00DD6D29" w:rsidP="00176493">
      <w:pPr>
        <w:spacing w:line="360" w:lineRule="auto"/>
        <w:jc w:val="both"/>
        <w:rPr>
          <w:rFonts w:ascii="Arial" w:hAnsi="Arial" w:cs="Arial"/>
          <w:lang w:val="en-ZA"/>
        </w:rPr>
      </w:pPr>
      <w:r>
        <w:rPr>
          <w:rFonts w:ascii="Arial" w:hAnsi="Arial" w:cs="Arial"/>
          <w:lang w:val="en-ZA"/>
        </w:rPr>
        <w:t>[2]</w:t>
      </w:r>
      <w:r>
        <w:rPr>
          <w:rFonts w:ascii="Arial" w:hAnsi="Arial" w:cs="Arial"/>
          <w:lang w:val="en-ZA"/>
        </w:rPr>
        <w:tab/>
        <w:t>T</w:t>
      </w:r>
      <w:r w:rsidR="00B47797">
        <w:rPr>
          <w:rFonts w:ascii="Arial" w:hAnsi="Arial" w:cs="Arial"/>
          <w:lang w:val="en-ZA"/>
        </w:rPr>
        <w:t xml:space="preserve">he appellant </w:t>
      </w:r>
      <w:r w:rsidR="00DA70D1">
        <w:rPr>
          <w:rFonts w:ascii="Arial" w:hAnsi="Arial" w:cs="Arial"/>
          <w:lang w:val="en-ZA"/>
        </w:rPr>
        <w:t>was convicted of having contravened section 2(1)</w:t>
      </w:r>
      <w:r w:rsidR="00B47797">
        <w:rPr>
          <w:rFonts w:ascii="Arial" w:hAnsi="Arial" w:cs="Arial"/>
          <w:lang w:val="en-ZA"/>
        </w:rPr>
        <w:t xml:space="preserve"> </w:t>
      </w:r>
      <w:r w:rsidR="00DA70D1">
        <w:rPr>
          <w:rFonts w:ascii="Arial" w:hAnsi="Arial" w:cs="Arial"/>
          <w:lang w:val="en-ZA"/>
        </w:rPr>
        <w:t>(a) of the Combating of Rape Act, 2000 (Act 8 of 2000).</w:t>
      </w:r>
      <w:r w:rsidR="00B47797">
        <w:rPr>
          <w:rFonts w:ascii="Arial" w:hAnsi="Arial" w:cs="Arial"/>
          <w:lang w:val="en-ZA"/>
        </w:rPr>
        <w:t xml:space="preserve"> He was sentenced to 8 years’ imprisonment on 25 April 2013. </w:t>
      </w:r>
      <w:r w:rsidR="0049320D">
        <w:rPr>
          <w:rFonts w:ascii="Arial" w:hAnsi="Arial" w:cs="Arial"/>
          <w:lang w:val="en-ZA"/>
        </w:rPr>
        <w:t>His</w:t>
      </w:r>
      <w:r>
        <w:rPr>
          <w:rFonts w:ascii="Arial" w:hAnsi="Arial" w:cs="Arial"/>
          <w:lang w:val="en-ZA"/>
        </w:rPr>
        <w:t xml:space="preserve"> appeal against conviction, </w:t>
      </w:r>
      <w:r w:rsidR="0049320D">
        <w:rPr>
          <w:rFonts w:ascii="Arial" w:hAnsi="Arial" w:cs="Arial"/>
          <w:lang w:val="en-ZA"/>
        </w:rPr>
        <w:t xml:space="preserve">would </w:t>
      </w:r>
      <w:r>
        <w:rPr>
          <w:rFonts w:ascii="Arial" w:hAnsi="Arial" w:cs="Arial"/>
          <w:lang w:val="en-ZA"/>
        </w:rPr>
        <w:t>for obvious reasons, be considered first.</w:t>
      </w:r>
    </w:p>
    <w:p w:rsidR="000002F0" w:rsidRDefault="000002F0" w:rsidP="00176493">
      <w:pPr>
        <w:spacing w:line="360" w:lineRule="auto"/>
        <w:jc w:val="both"/>
        <w:rPr>
          <w:rFonts w:ascii="Arial" w:hAnsi="Arial" w:cs="Arial"/>
          <w:lang w:val="en-ZA"/>
        </w:rPr>
      </w:pPr>
    </w:p>
    <w:p w:rsidR="00A32BA4" w:rsidRDefault="00A32BA4" w:rsidP="00176493">
      <w:pPr>
        <w:spacing w:line="360" w:lineRule="auto"/>
        <w:jc w:val="both"/>
        <w:rPr>
          <w:rFonts w:ascii="Arial" w:hAnsi="Arial" w:cs="Arial"/>
          <w:lang w:val="en-ZA"/>
        </w:rPr>
      </w:pPr>
      <w:r>
        <w:rPr>
          <w:rFonts w:ascii="Arial" w:hAnsi="Arial" w:cs="Arial"/>
          <w:lang w:val="en-ZA"/>
        </w:rPr>
        <w:t>[3</w:t>
      </w:r>
      <w:r w:rsidR="0015092B">
        <w:rPr>
          <w:rFonts w:ascii="Arial" w:hAnsi="Arial" w:cs="Arial"/>
          <w:lang w:val="en-ZA"/>
        </w:rPr>
        <w:t xml:space="preserve">]  </w:t>
      </w:r>
      <w:r>
        <w:rPr>
          <w:rFonts w:ascii="Arial" w:hAnsi="Arial" w:cs="Arial"/>
          <w:lang w:val="en-ZA"/>
        </w:rPr>
        <w:t>The appellant’s first ground of appeal is that the appellant was not afforded a fair trial as the learned magistrate relied on evidence of a witness’ statement under oath that was not called to testify and as a result the appellant was not afforded an opportunity to cross-examine such witness.</w:t>
      </w:r>
    </w:p>
    <w:p w:rsidR="00A32BA4" w:rsidRDefault="00A32BA4" w:rsidP="00176493">
      <w:pPr>
        <w:spacing w:line="360" w:lineRule="auto"/>
        <w:jc w:val="both"/>
        <w:rPr>
          <w:rFonts w:ascii="Arial" w:hAnsi="Arial" w:cs="Arial"/>
          <w:lang w:val="en-ZA"/>
        </w:rPr>
      </w:pPr>
    </w:p>
    <w:p w:rsidR="00A32BA4" w:rsidRDefault="00A32BA4" w:rsidP="00A32BA4">
      <w:pPr>
        <w:spacing w:line="360" w:lineRule="auto"/>
        <w:jc w:val="both"/>
        <w:rPr>
          <w:rFonts w:ascii="Arial" w:hAnsi="Arial" w:cs="Arial"/>
          <w:lang w:val="en-ZA"/>
        </w:rPr>
      </w:pPr>
      <w:r>
        <w:rPr>
          <w:rFonts w:ascii="Arial" w:hAnsi="Arial" w:cs="Arial"/>
          <w:lang w:val="en-ZA"/>
        </w:rPr>
        <w:t>[4]</w:t>
      </w:r>
      <w:r>
        <w:rPr>
          <w:rFonts w:ascii="Arial" w:hAnsi="Arial" w:cs="Arial"/>
          <w:lang w:val="en-ZA"/>
        </w:rPr>
        <w:tab/>
        <w:t>The learned magistrate’s reply to this ground is as follow:</w:t>
      </w:r>
    </w:p>
    <w:p w:rsidR="00A32BA4" w:rsidRPr="002F6ADA" w:rsidRDefault="009E1243" w:rsidP="00A32BA4">
      <w:pPr>
        <w:spacing w:line="360" w:lineRule="auto"/>
        <w:ind w:left="720"/>
        <w:jc w:val="both"/>
        <w:rPr>
          <w:rFonts w:ascii="Arial" w:hAnsi="Arial" w:cs="Arial"/>
          <w:sz w:val="22"/>
          <w:szCs w:val="22"/>
          <w:lang w:val="en-ZA"/>
        </w:rPr>
      </w:pPr>
      <w:r>
        <w:rPr>
          <w:rFonts w:ascii="Arial" w:hAnsi="Arial" w:cs="Arial"/>
          <w:lang w:val="en-ZA"/>
        </w:rPr>
        <w:t>“This</w:t>
      </w:r>
      <w:r w:rsidR="00A32BA4" w:rsidRPr="002F6ADA">
        <w:rPr>
          <w:rFonts w:ascii="Arial" w:hAnsi="Arial" w:cs="Arial"/>
          <w:sz w:val="22"/>
          <w:szCs w:val="22"/>
          <w:lang w:val="en-ZA"/>
        </w:rPr>
        <w:t xml:space="preserve"> witness in question is not mentioned to enable the trial court to fully comprehend the basis of this ground.</w:t>
      </w:r>
    </w:p>
    <w:p w:rsidR="00A32BA4" w:rsidRPr="002F6ADA" w:rsidRDefault="00A32BA4" w:rsidP="00A32BA4">
      <w:pPr>
        <w:pStyle w:val="ListParagraph"/>
        <w:numPr>
          <w:ilvl w:val="0"/>
          <w:numId w:val="6"/>
        </w:numPr>
        <w:spacing w:line="360" w:lineRule="auto"/>
        <w:jc w:val="both"/>
        <w:rPr>
          <w:rFonts w:ascii="Arial" w:hAnsi="Arial" w:cs="Arial"/>
          <w:sz w:val="22"/>
          <w:szCs w:val="22"/>
          <w:lang w:val="en-ZA"/>
        </w:rPr>
      </w:pPr>
      <w:r w:rsidRPr="002F6ADA">
        <w:rPr>
          <w:rFonts w:ascii="Arial" w:hAnsi="Arial" w:cs="Arial"/>
          <w:sz w:val="22"/>
          <w:szCs w:val="22"/>
          <w:lang w:val="en-ZA"/>
        </w:rPr>
        <w:t xml:space="preserve">Assuming, as the trial court hereby does, that the </w:t>
      </w:r>
      <w:r w:rsidR="002F6ADA" w:rsidRPr="002F6ADA">
        <w:rPr>
          <w:rFonts w:ascii="Arial" w:hAnsi="Arial" w:cs="Arial"/>
          <w:sz w:val="22"/>
          <w:szCs w:val="22"/>
          <w:lang w:val="en-ZA"/>
        </w:rPr>
        <w:t>alleged</w:t>
      </w:r>
      <w:r w:rsidRPr="002F6ADA">
        <w:rPr>
          <w:rFonts w:ascii="Arial" w:hAnsi="Arial" w:cs="Arial"/>
          <w:sz w:val="22"/>
          <w:szCs w:val="22"/>
          <w:lang w:val="en-ZA"/>
        </w:rPr>
        <w:t xml:space="preserve"> </w:t>
      </w:r>
      <w:r w:rsidR="002F6ADA" w:rsidRPr="002F6ADA">
        <w:rPr>
          <w:rFonts w:ascii="Arial" w:hAnsi="Arial" w:cs="Arial"/>
          <w:sz w:val="22"/>
          <w:szCs w:val="22"/>
          <w:lang w:val="en-ZA"/>
        </w:rPr>
        <w:t>witness</w:t>
      </w:r>
      <w:r w:rsidRPr="002F6ADA">
        <w:rPr>
          <w:rFonts w:ascii="Arial" w:hAnsi="Arial" w:cs="Arial"/>
          <w:sz w:val="22"/>
          <w:szCs w:val="22"/>
          <w:lang w:val="en-ZA"/>
        </w:rPr>
        <w:t xml:space="preserve"> is the Oshakati West Primary School head, this ground is without merit because the record more fully shows, the Oshakati-West-Primary School Head’s affidavit was sought as a measure of caution on a point that the appellant had clearly lied on. </w:t>
      </w:r>
    </w:p>
    <w:p w:rsidR="00BC538A" w:rsidRPr="002F6ADA" w:rsidRDefault="00BC538A" w:rsidP="00A32BA4">
      <w:pPr>
        <w:pStyle w:val="ListParagraph"/>
        <w:numPr>
          <w:ilvl w:val="0"/>
          <w:numId w:val="6"/>
        </w:numPr>
        <w:spacing w:line="360" w:lineRule="auto"/>
        <w:jc w:val="both"/>
        <w:rPr>
          <w:rFonts w:ascii="Arial" w:hAnsi="Arial" w:cs="Arial"/>
          <w:sz w:val="22"/>
          <w:szCs w:val="22"/>
          <w:lang w:val="en-ZA"/>
        </w:rPr>
      </w:pPr>
      <w:r w:rsidRPr="002F6ADA">
        <w:rPr>
          <w:rFonts w:ascii="Arial" w:hAnsi="Arial" w:cs="Arial"/>
          <w:sz w:val="22"/>
          <w:szCs w:val="22"/>
          <w:lang w:val="en-ZA"/>
        </w:rPr>
        <w:t xml:space="preserve">The trial court did not rely on that Affidavit to make a finding on the issue. The finding was based on the evidence on record before the Appellant misled the court at the inspection in </w:t>
      </w:r>
      <w:r w:rsidRPr="00806ABA">
        <w:rPr>
          <w:rFonts w:ascii="Arial" w:hAnsi="Arial" w:cs="Arial"/>
          <w:i/>
          <w:sz w:val="22"/>
          <w:szCs w:val="22"/>
          <w:lang w:val="en-ZA"/>
        </w:rPr>
        <w:t>loco</w:t>
      </w:r>
      <w:r w:rsidR="00806ABA">
        <w:rPr>
          <w:rFonts w:ascii="Arial" w:hAnsi="Arial" w:cs="Arial"/>
          <w:sz w:val="22"/>
          <w:szCs w:val="22"/>
          <w:lang w:val="en-ZA"/>
        </w:rPr>
        <w:t>.’</w:t>
      </w:r>
    </w:p>
    <w:p w:rsidR="00BC538A" w:rsidRPr="00BC538A" w:rsidRDefault="00BC538A" w:rsidP="00BC538A">
      <w:pPr>
        <w:spacing w:line="360" w:lineRule="auto"/>
        <w:ind w:left="780"/>
        <w:jc w:val="both"/>
        <w:rPr>
          <w:rFonts w:ascii="Arial" w:hAnsi="Arial" w:cs="Arial"/>
          <w:lang w:val="en-ZA"/>
        </w:rPr>
      </w:pPr>
    </w:p>
    <w:p w:rsidR="00DA4CE3" w:rsidRDefault="00A32BA4" w:rsidP="00176493">
      <w:pPr>
        <w:spacing w:line="360" w:lineRule="auto"/>
        <w:jc w:val="both"/>
        <w:rPr>
          <w:rFonts w:ascii="Arial" w:hAnsi="Arial" w:cs="Arial"/>
          <w:lang w:val="en-ZA"/>
        </w:rPr>
      </w:pPr>
      <w:r>
        <w:rPr>
          <w:rFonts w:ascii="Arial" w:hAnsi="Arial" w:cs="Arial"/>
          <w:lang w:val="en-ZA"/>
        </w:rPr>
        <w:lastRenderedPageBreak/>
        <w:t xml:space="preserve"> </w:t>
      </w:r>
      <w:r w:rsidR="00BC538A">
        <w:rPr>
          <w:rFonts w:ascii="Arial" w:hAnsi="Arial" w:cs="Arial"/>
          <w:lang w:val="en-ZA"/>
        </w:rPr>
        <w:t>[5]</w:t>
      </w:r>
      <w:r w:rsidR="00BC538A">
        <w:rPr>
          <w:rFonts w:ascii="Arial" w:hAnsi="Arial" w:cs="Arial"/>
          <w:lang w:val="en-ZA"/>
        </w:rPr>
        <w:tab/>
      </w:r>
      <w:r w:rsidR="00DA4CE3">
        <w:rPr>
          <w:rFonts w:ascii="Arial" w:hAnsi="Arial" w:cs="Arial"/>
          <w:lang w:val="en-ZA"/>
        </w:rPr>
        <w:t xml:space="preserve">Mr Ntinda counsel for the appellant submitted in argument that the magistrate had, unknown to the </w:t>
      </w:r>
      <w:r w:rsidR="00806ABA">
        <w:rPr>
          <w:rFonts w:ascii="Arial" w:hAnsi="Arial" w:cs="Arial"/>
          <w:lang w:val="en-ZA"/>
        </w:rPr>
        <w:t xml:space="preserve">accused, on its own accord sought </w:t>
      </w:r>
      <w:r w:rsidR="00DA4CE3">
        <w:rPr>
          <w:rFonts w:ascii="Arial" w:hAnsi="Arial" w:cs="Arial"/>
          <w:lang w:val="en-ZA"/>
        </w:rPr>
        <w:t>some evidence on affidavit, and accepted such evidence, without it being subjected to cross-examination</w:t>
      </w:r>
      <w:r w:rsidR="002F6ADA">
        <w:rPr>
          <w:rFonts w:ascii="Arial" w:hAnsi="Arial" w:cs="Arial"/>
          <w:lang w:val="en-ZA"/>
        </w:rPr>
        <w:t xml:space="preserve">. He argued that this was </w:t>
      </w:r>
      <w:r w:rsidR="00DA4CE3">
        <w:rPr>
          <w:rFonts w:ascii="Arial" w:hAnsi="Arial" w:cs="Arial"/>
          <w:lang w:val="en-ZA"/>
        </w:rPr>
        <w:t xml:space="preserve">a vitiating irregularity which should result in the setting aside of the conviction. </w:t>
      </w:r>
    </w:p>
    <w:p w:rsidR="00DA4CE3" w:rsidRDefault="00DA4CE3" w:rsidP="00176493">
      <w:pPr>
        <w:spacing w:line="360" w:lineRule="auto"/>
        <w:jc w:val="both"/>
        <w:rPr>
          <w:rFonts w:ascii="Arial" w:hAnsi="Arial" w:cs="Arial"/>
          <w:lang w:val="en-ZA"/>
        </w:rPr>
      </w:pPr>
    </w:p>
    <w:p w:rsidR="00DA4CE3" w:rsidRDefault="00DA4CE3" w:rsidP="00176493">
      <w:pPr>
        <w:spacing w:line="360" w:lineRule="auto"/>
        <w:jc w:val="both"/>
        <w:rPr>
          <w:rFonts w:ascii="Arial" w:hAnsi="Arial" w:cs="Arial"/>
          <w:lang w:val="en-ZA"/>
        </w:rPr>
      </w:pPr>
      <w:r>
        <w:rPr>
          <w:rFonts w:ascii="Arial" w:hAnsi="Arial" w:cs="Arial"/>
          <w:lang w:val="en-ZA"/>
        </w:rPr>
        <w:t>[</w:t>
      </w:r>
      <w:r w:rsidR="00B70566">
        <w:rPr>
          <w:rFonts w:ascii="Arial" w:hAnsi="Arial" w:cs="Arial"/>
          <w:lang w:val="en-ZA"/>
        </w:rPr>
        <w:t>6</w:t>
      </w:r>
      <w:r>
        <w:rPr>
          <w:rFonts w:ascii="Arial" w:hAnsi="Arial" w:cs="Arial"/>
          <w:lang w:val="en-ZA"/>
        </w:rPr>
        <w:t>]</w:t>
      </w:r>
      <w:r>
        <w:rPr>
          <w:rFonts w:ascii="Arial" w:hAnsi="Arial" w:cs="Arial"/>
          <w:lang w:val="en-ZA"/>
        </w:rPr>
        <w:tab/>
      </w:r>
      <w:r w:rsidR="00223975">
        <w:rPr>
          <w:rFonts w:ascii="Arial" w:hAnsi="Arial" w:cs="Arial"/>
          <w:lang w:val="en-ZA"/>
        </w:rPr>
        <w:t xml:space="preserve">Mr Pienaar, counsel for the appellant submitted that the learned Magistrate did not rely on the evidence of the witness which was not called as there were ample other grounds to convict the accused on. </w:t>
      </w:r>
    </w:p>
    <w:p w:rsidR="00DA4CE3" w:rsidRDefault="00DA4CE3" w:rsidP="00176493">
      <w:pPr>
        <w:spacing w:line="360" w:lineRule="auto"/>
        <w:jc w:val="both"/>
        <w:rPr>
          <w:rFonts w:ascii="Arial" w:hAnsi="Arial" w:cs="Arial"/>
          <w:lang w:val="en-ZA"/>
        </w:rPr>
      </w:pPr>
    </w:p>
    <w:p w:rsidR="009E02A1" w:rsidRDefault="00223975" w:rsidP="009E02A1">
      <w:pPr>
        <w:spacing w:line="360" w:lineRule="auto"/>
        <w:jc w:val="both"/>
        <w:rPr>
          <w:rFonts w:ascii="Arial" w:hAnsi="Arial" w:cs="Arial"/>
          <w:lang w:val="en-ZA"/>
        </w:rPr>
      </w:pPr>
      <w:r>
        <w:rPr>
          <w:rFonts w:ascii="Arial" w:hAnsi="Arial" w:cs="Arial"/>
          <w:lang w:val="en-ZA"/>
        </w:rPr>
        <w:t>[</w:t>
      </w:r>
      <w:r w:rsidR="00B70566">
        <w:rPr>
          <w:rFonts w:ascii="Arial" w:hAnsi="Arial" w:cs="Arial"/>
          <w:lang w:val="en-ZA"/>
        </w:rPr>
        <w:t>7</w:t>
      </w:r>
      <w:r>
        <w:rPr>
          <w:rFonts w:ascii="Arial" w:hAnsi="Arial" w:cs="Arial"/>
          <w:lang w:val="en-ZA"/>
        </w:rPr>
        <w:t>]</w:t>
      </w:r>
      <w:r>
        <w:rPr>
          <w:rFonts w:ascii="Arial" w:hAnsi="Arial" w:cs="Arial"/>
          <w:lang w:val="en-ZA"/>
        </w:rPr>
        <w:tab/>
        <w:t xml:space="preserve">The appellant </w:t>
      </w:r>
      <w:r w:rsidR="009E02A1">
        <w:rPr>
          <w:rFonts w:ascii="Arial" w:hAnsi="Arial" w:cs="Arial"/>
          <w:lang w:val="en-ZA"/>
        </w:rPr>
        <w:t xml:space="preserve">was represented by a legal practitioner in the court </w:t>
      </w:r>
      <w:r w:rsidR="009E02A1" w:rsidRPr="00463105">
        <w:rPr>
          <w:rFonts w:ascii="Arial" w:hAnsi="Arial" w:cs="Arial"/>
          <w:i/>
          <w:lang w:val="en-ZA"/>
        </w:rPr>
        <w:t>a quo</w:t>
      </w:r>
      <w:r w:rsidR="009E02A1">
        <w:rPr>
          <w:rFonts w:ascii="Arial" w:hAnsi="Arial" w:cs="Arial"/>
          <w:lang w:val="en-ZA"/>
        </w:rPr>
        <w:t xml:space="preserve">. He </w:t>
      </w:r>
      <w:r>
        <w:rPr>
          <w:rFonts w:ascii="Arial" w:hAnsi="Arial" w:cs="Arial"/>
          <w:lang w:val="en-ZA"/>
        </w:rPr>
        <w:t xml:space="preserve">pleaded not guilty </w:t>
      </w:r>
      <w:r w:rsidR="00304C29">
        <w:rPr>
          <w:rFonts w:ascii="Arial" w:hAnsi="Arial" w:cs="Arial"/>
          <w:lang w:val="en-ZA"/>
        </w:rPr>
        <w:t>and denied</w:t>
      </w:r>
      <w:r>
        <w:rPr>
          <w:rFonts w:ascii="Arial" w:hAnsi="Arial" w:cs="Arial"/>
          <w:lang w:val="en-ZA"/>
        </w:rPr>
        <w:t xml:space="preserve"> that he had sexual intercourse with the complainant. </w:t>
      </w:r>
      <w:r w:rsidR="001E7CD9">
        <w:rPr>
          <w:rFonts w:ascii="Arial" w:hAnsi="Arial" w:cs="Arial"/>
          <w:lang w:val="en-ZA"/>
        </w:rPr>
        <w:t xml:space="preserve">The State called the complainant who testified that she was raped in plain view of other people. </w:t>
      </w:r>
      <w:r w:rsidR="00EB1F95">
        <w:rPr>
          <w:rFonts w:ascii="Arial" w:hAnsi="Arial" w:cs="Arial"/>
          <w:lang w:val="en-ZA"/>
        </w:rPr>
        <w:t xml:space="preserve">The scene was set along a path close to where other people were staying and near </w:t>
      </w:r>
      <w:r w:rsidR="002F6ADA">
        <w:rPr>
          <w:rFonts w:ascii="Arial" w:hAnsi="Arial" w:cs="Arial"/>
          <w:lang w:val="en-ZA"/>
        </w:rPr>
        <w:t>Oshakati West Primary School</w:t>
      </w:r>
      <w:r w:rsidR="00EB1F95">
        <w:rPr>
          <w:rFonts w:ascii="Arial" w:hAnsi="Arial" w:cs="Arial"/>
          <w:lang w:val="en-ZA"/>
        </w:rPr>
        <w:t xml:space="preserve">. </w:t>
      </w:r>
      <w:r w:rsidR="00463105">
        <w:rPr>
          <w:rFonts w:ascii="Arial" w:hAnsi="Arial" w:cs="Arial"/>
          <w:lang w:val="en-ZA"/>
        </w:rPr>
        <w:t>She testified that the</w:t>
      </w:r>
      <w:r w:rsidR="00EB1F95">
        <w:rPr>
          <w:rFonts w:ascii="Arial" w:hAnsi="Arial" w:cs="Arial"/>
          <w:lang w:val="en-ZA"/>
        </w:rPr>
        <w:t xml:space="preserve"> </w:t>
      </w:r>
      <w:r w:rsidR="002F6ADA">
        <w:rPr>
          <w:rFonts w:ascii="Arial" w:hAnsi="Arial" w:cs="Arial"/>
          <w:lang w:val="en-ZA"/>
        </w:rPr>
        <w:t xml:space="preserve">appellant </w:t>
      </w:r>
      <w:r w:rsidR="00EB1F95">
        <w:rPr>
          <w:rFonts w:ascii="Arial" w:hAnsi="Arial" w:cs="Arial"/>
          <w:lang w:val="en-ZA"/>
        </w:rPr>
        <w:t>chased</w:t>
      </w:r>
      <w:r w:rsidR="002F6ADA">
        <w:rPr>
          <w:rFonts w:ascii="Arial" w:hAnsi="Arial" w:cs="Arial"/>
          <w:lang w:val="en-ZA"/>
        </w:rPr>
        <w:t xml:space="preserve"> her;</w:t>
      </w:r>
      <w:r w:rsidR="00EB1F95">
        <w:rPr>
          <w:rFonts w:ascii="Arial" w:hAnsi="Arial" w:cs="Arial"/>
          <w:lang w:val="en-ZA"/>
        </w:rPr>
        <w:t xml:space="preserve"> </w:t>
      </w:r>
      <w:r w:rsidR="002F6ADA">
        <w:rPr>
          <w:rFonts w:ascii="Arial" w:hAnsi="Arial" w:cs="Arial"/>
          <w:lang w:val="en-ZA"/>
        </w:rPr>
        <w:t xml:space="preserve">threw her down to the ground; </w:t>
      </w:r>
      <w:r w:rsidR="00EB1F95">
        <w:rPr>
          <w:rFonts w:ascii="Arial" w:hAnsi="Arial" w:cs="Arial"/>
          <w:lang w:val="en-ZA"/>
        </w:rPr>
        <w:t xml:space="preserve">and raped </w:t>
      </w:r>
      <w:r w:rsidR="00806ABA">
        <w:rPr>
          <w:rFonts w:ascii="Arial" w:hAnsi="Arial" w:cs="Arial"/>
          <w:lang w:val="en-ZA"/>
        </w:rPr>
        <w:t xml:space="preserve">her </w:t>
      </w:r>
      <w:r w:rsidR="00EB1F95">
        <w:rPr>
          <w:rFonts w:ascii="Arial" w:hAnsi="Arial" w:cs="Arial"/>
          <w:lang w:val="en-ZA"/>
        </w:rPr>
        <w:t xml:space="preserve">whilst other people, who were too frightened to come close, looked on. </w:t>
      </w:r>
      <w:r w:rsidR="001E7CD9">
        <w:rPr>
          <w:rFonts w:ascii="Arial" w:hAnsi="Arial" w:cs="Arial"/>
          <w:lang w:val="en-ZA"/>
        </w:rPr>
        <w:t>Those eye witnesses were called as well as the man who ap</w:t>
      </w:r>
      <w:r w:rsidR="00EB1F95">
        <w:rPr>
          <w:rFonts w:ascii="Arial" w:hAnsi="Arial" w:cs="Arial"/>
          <w:lang w:val="en-ZA"/>
        </w:rPr>
        <w:t>p</w:t>
      </w:r>
      <w:r w:rsidR="001E7CD9">
        <w:rPr>
          <w:rFonts w:ascii="Arial" w:hAnsi="Arial" w:cs="Arial"/>
          <w:lang w:val="en-ZA"/>
        </w:rPr>
        <w:t>rehended the appellant when he tried to run</w:t>
      </w:r>
      <w:r w:rsidR="00EB1F95">
        <w:rPr>
          <w:rFonts w:ascii="Arial" w:hAnsi="Arial" w:cs="Arial"/>
          <w:lang w:val="en-ZA"/>
        </w:rPr>
        <w:t xml:space="preserve"> away. </w:t>
      </w:r>
      <w:r w:rsidR="001E7CD9">
        <w:rPr>
          <w:rFonts w:ascii="Arial" w:hAnsi="Arial" w:cs="Arial"/>
          <w:lang w:val="en-ZA"/>
        </w:rPr>
        <w:t xml:space="preserve"> </w:t>
      </w:r>
      <w:r w:rsidR="00EB1F95">
        <w:rPr>
          <w:rFonts w:ascii="Arial" w:hAnsi="Arial" w:cs="Arial"/>
          <w:lang w:val="en-ZA"/>
        </w:rPr>
        <w:t>The appellant’</w:t>
      </w:r>
      <w:r w:rsidR="00463105">
        <w:rPr>
          <w:rFonts w:ascii="Arial" w:hAnsi="Arial" w:cs="Arial"/>
          <w:lang w:val="en-ZA"/>
        </w:rPr>
        <w:t>s defence was that it was not him</w:t>
      </w:r>
      <w:r w:rsidR="00EB1F95">
        <w:rPr>
          <w:rFonts w:ascii="Arial" w:hAnsi="Arial" w:cs="Arial"/>
          <w:lang w:val="en-ZA"/>
        </w:rPr>
        <w:t xml:space="preserve"> but someone else </w:t>
      </w:r>
      <w:r w:rsidR="00463105">
        <w:rPr>
          <w:rFonts w:ascii="Arial" w:hAnsi="Arial" w:cs="Arial"/>
          <w:lang w:val="en-ZA"/>
        </w:rPr>
        <w:t xml:space="preserve">who </w:t>
      </w:r>
      <w:r w:rsidR="009E02A1">
        <w:rPr>
          <w:rFonts w:ascii="Arial" w:hAnsi="Arial" w:cs="Arial"/>
          <w:lang w:val="en-ZA"/>
        </w:rPr>
        <w:t xml:space="preserve">raped the complainant. He was </w:t>
      </w:r>
      <w:r w:rsidR="00EB1F95">
        <w:rPr>
          <w:rFonts w:ascii="Arial" w:hAnsi="Arial" w:cs="Arial"/>
          <w:lang w:val="en-ZA"/>
        </w:rPr>
        <w:t>just in the vicinity relieving himself when he witness</w:t>
      </w:r>
      <w:r w:rsidR="00463105">
        <w:rPr>
          <w:rFonts w:ascii="Arial" w:hAnsi="Arial" w:cs="Arial"/>
          <w:lang w:val="en-ZA"/>
        </w:rPr>
        <w:t>ed</w:t>
      </w:r>
      <w:r w:rsidR="00EB1F95">
        <w:rPr>
          <w:rFonts w:ascii="Arial" w:hAnsi="Arial" w:cs="Arial"/>
          <w:lang w:val="en-ZA"/>
        </w:rPr>
        <w:t xml:space="preserve"> </w:t>
      </w:r>
      <w:r w:rsidR="009E02A1">
        <w:rPr>
          <w:rFonts w:ascii="Arial" w:hAnsi="Arial" w:cs="Arial"/>
          <w:lang w:val="en-ZA"/>
        </w:rPr>
        <w:t xml:space="preserve">how </w:t>
      </w:r>
      <w:r w:rsidR="00EB1F95">
        <w:rPr>
          <w:rFonts w:ascii="Arial" w:hAnsi="Arial" w:cs="Arial"/>
          <w:lang w:val="en-ZA"/>
        </w:rPr>
        <w:t xml:space="preserve">the victim </w:t>
      </w:r>
      <w:r w:rsidR="009E02A1">
        <w:rPr>
          <w:rFonts w:ascii="Arial" w:hAnsi="Arial" w:cs="Arial"/>
          <w:lang w:val="en-ZA"/>
        </w:rPr>
        <w:t xml:space="preserve">was </w:t>
      </w:r>
      <w:r w:rsidR="00EB1F95">
        <w:rPr>
          <w:rFonts w:ascii="Arial" w:hAnsi="Arial" w:cs="Arial"/>
          <w:lang w:val="en-ZA"/>
        </w:rPr>
        <w:t xml:space="preserve">being manhandled and thrown to the ground by another man. He called one witness in his defence. </w:t>
      </w:r>
      <w:r>
        <w:rPr>
          <w:rFonts w:ascii="Arial" w:hAnsi="Arial" w:cs="Arial"/>
          <w:lang w:val="en-ZA"/>
        </w:rPr>
        <w:t xml:space="preserve"> </w:t>
      </w:r>
    </w:p>
    <w:p w:rsidR="009E02A1" w:rsidRDefault="009E02A1" w:rsidP="009E02A1">
      <w:pPr>
        <w:spacing w:line="360" w:lineRule="auto"/>
        <w:jc w:val="both"/>
        <w:rPr>
          <w:rFonts w:ascii="Arial" w:hAnsi="Arial" w:cs="Arial"/>
          <w:lang w:val="en-ZA"/>
        </w:rPr>
      </w:pPr>
    </w:p>
    <w:p w:rsidR="00526120" w:rsidRDefault="00E8226A" w:rsidP="009E02A1">
      <w:pPr>
        <w:spacing w:line="360" w:lineRule="auto"/>
        <w:jc w:val="both"/>
        <w:rPr>
          <w:rFonts w:ascii="Arial" w:hAnsi="Arial" w:cs="Arial"/>
          <w:lang w:val="en-ZA"/>
        </w:rPr>
      </w:pPr>
      <w:r>
        <w:rPr>
          <w:rFonts w:ascii="Arial" w:hAnsi="Arial" w:cs="Arial"/>
          <w:lang w:val="en-ZA"/>
        </w:rPr>
        <w:t>[</w:t>
      </w:r>
      <w:r w:rsidR="00B70566">
        <w:rPr>
          <w:rFonts w:ascii="Arial" w:hAnsi="Arial" w:cs="Arial"/>
          <w:lang w:val="en-ZA"/>
        </w:rPr>
        <w:t>8</w:t>
      </w:r>
      <w:r>
        <w:rPr>
          <w:rFonts w:ascii="Arial" w:hAnsi="Arial" w:cs="Arial"/>
          <w:lang w:val="en-ZA"/>
        </w:rPr>
        <w:t>]</w:t>
      </w:r>
      <w:r>
        <w:rPr>
          <w:rFonts w:ascii="Arial" w:hAnsi="Arial" w:cs="Arial"/>
          <w:lang w:val="en-ZA"/>
        </w:rPr>
        <w:tab/>
        <w:t xml:space="preserve">The </w:t>
      </w:r>
      <w:r w:rsidR="009E02A1">
        <w:rPr>
          <w:rFonts w:ascii="Arial" w:hAnsi="Arial" w:cs="Arial"/>
          <w:lang w:val="en-ZA"/>
        </w:rPr>
        <w:t xml:space="preserve">learned magistrate </w:t>
      </w:r>
      <w:r>
        <w:rPr>
          <w:rFonts w:ascii="Arial" w:hAnsi="Arial" w:cs="Arial"/>
          <w:lang w:val="en-ZA"/>
        </w:rPr>
        <w:t xml:space="preserve">ordered that an inspection </w:t>
      </w:r>
      <w:r w:rsidRPr="009E02A1">
        <w:rPr>
          <w:rFonts w:ascii="Arial" w:hAnsi="Arial" w:cs="Arial"/>
          <w:i/>
          <w:lang w:val="en-ZA"/>
        </w:rPr>
        <w:t>in loco</w:t>
      </w:r>
      <w:r>
        <w:rPr>
          <w:rFonts w:ascii="Arial" w:hAnsi="Arial" w:cs="Arial"/>
          <w:lang w:val="en-ZA"/>
        </w:rPr>
        <w:t xml:space="preserve"> should be conducted. </w:t>
      </w:r>
      <w:r w:rsidR="00463105">
        <w:rPr>
          <w:rFonts w:ascii="Arial" w:hAnsi="Arial" w:cs="Arial"/>
          <w:lang w:val="en-ZA"/>
        </w:rPr>
        <w:t xml:space="preserve">None of the state witnesses were present and only the appellant was in attendance. When they returned </w:t>
      </w:r>
      <w:r>
        <w:rPr>
          <w:rFonts w:ascii="Arial" w:hAnsi="Arial" w:cs="Arial"/>
          <w:lang w:val="en-ZA"/>
        </w:rPr>
        <w:t xml:space="preserve"> from the inspection </w:t>
      </w:r>
      <w:r w:rsidRPr="009E02A1">
        <w:rPr>
          <w:rFonts w:ascii="Arial" w:hAnsi="Arial" w:cs="Arial"/>
          <w:i/>
          <w:lang w:val="en-ZA"/>
        </w:rPr>
        <w:t>in loco</w:t>
      </w:r>
      <w:r>
        <w:rPr>
          <w:rFonts w:ascii="Arial" w:hAnsi="Arial" w:cs="Arial"/>
          <w:lang w:val="en-ZA"/>
        </w:rPr>
        <w:t>, the le</w:t>
      </w:r>
      <w:r w:rsidR="00785609">
        <w:rPr>
          <w:rFonts w:ascii="Arial" w:hAnsi="Arial" w:cs="Arial"/>
          <w:lang w:val="en-ZA"/>
        </w:rPr>
        <w:t xml:space="preserve">arned magistrate recorded the following </w:t>
      </w:r>
      <w:r w:rsidR="00806ABA">
        <w:rPr>
          <w:rFonts w:ascii="Arial" w:hAnsi="Arial" w:cs="Arial"/>
          <w:lang w:val="en-ZA"/>
        </w:rPr>
        <w:t>‘</w:t>
      </w:r>
      <w:r w:rsidR="00785609" w:rsidRPr="00785609">
        <w:rPr>
          <w:rFonts w:ascii="Arial" w:hAnsi="Arial" w:cs="Arial"/>
          <w:sz w:val="22"/>
          <w:szCs w:val="22"/>
          <w:lang w:val="en-ZA"/>
        </w:rPr>
        <w:t xml:space="preserve">For the record, </w:t>
      </w:r>
      <w:r w:rsidRPr="00785609">
        <w:rPr>
          <w:rFonts w:ascii="Arial" w:hAnsi="Arial" w:cs="Arial"/>
          <w:sz w:val="22"/>
          <w:szCs w:val="22"/>
          <w:lang w:val="en-ZA"/>
        </w:rPr>
        <w:t>the inspection in</w:t>
      </w:r>
      <w:r w:rsidRPr="00463105">
        <w:rPr>
          <w:rFonts w:ascii="Arial" w:hAnsi="Arial" w:cs="Arial"/>
          <w:i/>
          <w:sz w:val="22"/>
          <w:szCs w:val="22"/>
          <w:lang w:val="en-ZA"/>
        </w:rPr>
        <w:t xml:space="preserve"> loco</w:t>
      </w:r>
      <w:r w:rsidRPr="00785609">
        <w:rPr>
          <w:rFonts w:ascii="Arial" w:hAnsi="Arial" w:cs="Arial"/>
          <w:sz w:val="22"/>
          <w:szCs w:val="22"/>
          <w:lang w:val="en-ZA"/>
        </w:rPr>
        <w:t xml:space="preserve"> </w:t>
      </w:r>
      <w:r w:rsidR="00463105">
        <w:rPr>
          <w:rFonts w:ascii="Arial" w:hAnsi="Arial" w:cs="Arial"/>
          <w:sz w:val="22"/>
          <w:szCs w:val="22"/>
          <w:lang w:val="en-ZA"/>
        </w:rPr>
        <w:t>has</w:t>
      </w:r>
      <w:r w:rsidRPr="00785609">
        <w:rPr>
          <w:rFonts w:ascii="Arial" w:hAnsi="Arial" w:cs="Arial"/>
          <w:sz w:val="22"/>
          <w:szCs w:val="22"/>
          <w:lang w:val="en-ZA"/>
        </w:rPr>
        <w:t xml:space="preserve"> not yielded </w:t>
      </w:r>
      <w:r w:rsidR="00463105">
        <w:rPr>
          <w:rFonts w:ascii="Arial" w:hAnsi="Arial" w:cs="Arial"/>
          <w:sz w:val="22"/>
          <w:szCs w:val="22"/>
          <w:lang w:val="en-ZA"/>
        </w:rPr>
        <w:t xml:space="preserve"> in </w:t>
      </w:r>
      <w:r w:rsidRPr="00785609">
        <w:rPr>
          <w:rFonts w:ascii="Arial" w:hAnsi="Arial" w:cs="Arial"/>
          <w:sz w:val="22"/>
          <w:szCs w:val="22"/>
          <w:lang w:val="en-ZA"/>
        </w:rPr>
        <w:t xml:space="preserve">anything because at the scene of the alleged offence there has in the meantime be </w:t>
      </w:r>
      <w:r w:rsidR="00526120">
        <w:rPr>
          <w:rFonts w:ascii="Arial" w:hAnsi="Arial" w:cs="Arial"/>
          <w:sz w:val="22"/>
          <w:szCs w:val="22"/>
          <w:lang w:val="en-ZA"/>
        </w:rPr>
        <w:t>constructed</w:t>
      </w:r>
      <w:r w:rsidRPr="00785609">
        <w:rPr>
          <w:rFonts w:ascii="Arial" w:hAnsi="Arial" w:cs="Arial"/>
          <w:sz w:val="22"/>
          <w:szCs w:val="22"/>
          <w:lang w:val="en-ZA"/>
        </w:rPr>
        <w:t xml:space="preserve">, so for these reasons the inspection </w:t>
      </w:r>
      <w:r w:rsidRPr="00526120">
        <w:rPr>
          <w:rFonts w:ascii="Arial" w:hAnsi="Arial" w:cs="Arial"/>
          <w:i/>
          <w:sz w:val="22"/>
          <w:szCs w:val="22"/>
          <w:lang w:val="en-ZA"/>
        </w:rPr>
        <w:t>in loco</w:t>
      </w:r>
      <w:r w:rsidRPr="00785609">
        <w:rPr>
          <w:rFonts w:ascii="Arial" w:hAnsi="Arial" w:cs="Arial"/>
          <w:sz w:val="22"/>
          <w:szCs w:val="22"/>
          <w:lang w:val="en-ZA"/>
        </w:rPr>
        <w:t xml:space="preserve"> has been abandoned.</w:t>
      </w:r>
      <w:r w:rsidR="00806ABA">
        <w:rPr>
          <w:rFonts w:ascii="Arial" w:hAnsi="Arial" w:cs="Arial"/>
          <w:sz w:val="22"/>
          <w:szCs w:val="22"/>
          <w:lang w:val="en-ZA"/>
        </w:rPr>
        <w:t>’</w:t>
      </w:r>
      <w:r w:rsidRPr="00785609">
        <w:rPr>
          <w:rFonts w:ascii="Arial" w:hAnsi="Arial" w:cs="Arial"/>
          <w:sz w:val="22"/>
          <w:szCs w:val="22"/>
          <w:lang w:val="en-ZA"/>
        </w:rPr>
        <w:t xml:space="preserve"> (sic</w:t>
      </w:r>
      <w:r>
        <w:rPr>
          <w:rFonts w:ascii="Arial" w:hAnsi="Arial" w:cs="Arial"/>
          <w:lang w:val="en-ZA"/>
        </w:rPr>
        <w:t>)</w:t>
      </w:r>
    </w:p>
    <w:p w:rsidR="00526120" w:rsidRDefault="00526120" w:rsidP="000002F0">
      <w:pPr>
        <w:spacing w:line="480" w:lineRule="auto"/>
        <w:jc w:val="both"/>
        <w:rPr>
          <w:rFonts w:ascii="Arial" w:hAnsi="Arial" w:cs="Arial"/>
          <w:lang w:val="en-ZA"/>
        </w:rPr>
      </w:pPr>
    </w:p>
    <w:p w:rsidR="0094364D" w:rsidRDefault="00526120" w:rsidP="000002F0">
      <w:pPr>
        <w:spacing w:line="480" w:lineRule="auto"/>
        <w:jc w:val="both"/>
        <w:rPr>
          <w:rFonts w:ascii="Arial" w:hAnsi="Arial" w:cs="Arial"/>
          <w:lang w:val="en-ZA"/>
        </w:rPr>
      </w:pPr>
      <w:r>
        <w:rPr>
          <w:rFonts w:ascii="Arial" w:hAnsi="Arial" w:cs="Arial"/>
          <w:lang w:val="en-ZA"/>
        </w:rPr>
        <w:t>[</w:t>
      </w:r>
      <w:r w:rsidR="00B70566">
        <w:rPr>
          <w:rFonts w:ascii="Arial" w:hAnsi="Arial" w:cs="Arial"/>
          <w:lang w:val="en-ZA"/>
        </w:rPr>
        <w:t>9</w:t>
      </w:r>
      <w:r>
        <w:rPr>
          <w:rFonts w:ascii="Arial" w:hAnsi="Arial" w:cs="Arial"/>
          <w:lang w:val="en-ZA"/>
        </w:rPr>
        <w:t>]</w:t>
      </w:r>
      <w:r>
        <w:rPr>
          <w:rFonts w:ascii="Arial" w:hAnsi="Arial" w:cs="Arial"/>
          <w:lang w:val="en-ZA"/>
        </w:rPr>
        <w:tab/>
        <w:t xml:space="preserve">Both counsel made submission hereafter and the learned magistrate </w:t>
      </w:r>
      <w:r w:rsidR="009E02A1">
        <w:rPr>
          <w:rFonts w:ascii="Arial" w:hAnsi="Arial" w:cs="Arial"/>
          <w:lang w:val="en-ZA"/>
        </w:rPr>
        <w:t xml:space="preserve">reserved his judgment. On the adjourned date the learned magistrate handed </w:t>
      </w:r>
      <w:r w:rsidR="009E02A1">
        <w:rPr>
          <w:rFonts w:ascii="Arial" w:hAnsi="Arial" w:cs="Arial"/>
          <w:lang w:val="en-ZA"/>
        </w:rPr>
        <w:lastRenderedPageBreak/>
        <w:t>down the judgment</w:t>
      </w:r>
      <w:r w:rsidR="00B70566">
        <w:rPr>
          <w:rFonts w:ascii="Arial" w:hAnsi="Arial" w:cs="Arial"/>
          <w:lang w:val="en-ZA"/>
        </w:rPr>
        <w:t>. The learned magistrate, in what I would described as an otherwise sound judgment,</w:t>
      </w:r>
      <w:r w:rsidR="009E02A1">
        <w:rPr>
          <w:rFonts w:ascii="Arial" w:hAnsi="Arial" w:cs="Arial"/>
          <w:lang w:val="en-ZA"/>
        </w:rPr>
        <w:t xml:space="preserve"> </w:t>
      </w:r>
      <w:r>
        <w:rPr>
          <w:rFonts w:ascii="Arial" w:hAnsi="Arial" w:cs="Arial"/>
          <w:lang w:val="en-ZA"/>
        </w:rPr>
        <w:t>made the following remarks:</w:t>
      </w:r>
    </w:p>
    <w:p w:rsidR="00B70566" w:rsidRPr="00B70566" w:rsidRDefault="00526120" w:rsidP="000002F0">
      <w:pPr>
        <w:spacing w:line="480" w:lineRule="auto"/>
        <w:jc w:val="both"/>
        <w:rPr>
          <w:rFonts w:ascii="Arial" w:hAnsi="Arial" w:cs="Arial"/>
          <w:lang w:val="en-ZA"/>
        </w:rPr>
      </w:pPr>
      <w:r>
        <w:rPr>
          <w:rFonts w:ascii="Arial" w:hAnsi="Arial" w:cs="Arial"/>
          <w:lang w:val="en-ZA"/>
        </w:rPr>
        <w:t xml:space="preserve"> “</w:t>
      </w:r>
      <w:r w:rsidRPr="00526120">
        <w:rPr>
          <w:rFonts w:ascii="Arial" w:hAnsi="Arial" w:cs="Arial"/>
          <w:sz w:val="22"/>
          <w:szCs w:val="22"/>
          <w:lang w:val="en-ZA"/>
        </w:rPr>
        <w:t xml:space="preserve">I will also pause here to comment and clear something. The complainant testified that the incident took place near Oshakati-West Primary School. Similarly the accused person testified as much. The court ordered an inspection in loco when we went to the scene, the accused person indicated to the court that at the time of the incident which is common cause was 29 </w:t>
      </w:r>
      <w:r w:rsidR="00EB1F95">
        <w:rPr>
          <w:rFonts w:ascii="Arial" w:hAnsi="Arial" w:cs="Arial"/>
          <w:sz w:val="22"/>
          <w:szCs w:val="22"/>
          <w:lang w:val="en-ZA"/>
        </w:rPr>
        <w:t>M</w:t>
      </w:r>
      <w:r w:rsidRPr="00526120">
        <w:rPr>
          <w:rFonts w:ascii="Arial" w:hAnsi="Arial" w:cs="Arial"/>
          <w:sz w:val="22"/>
          <w:szCs w:val="22"/>
          <w:lang w:val="en-ZA"/>
        </w:rPr>
        <w:t xml:space="preserve">arch 2007. Oshakati West Primary School had not been built at that site where it stands today. As a result of which he could not make any or </w:t>
      </w:r>
      <w:r>
        <w:rPr>
          <w:rFonts w:ascii="Arial" w:hAnsi="Arial" w:cs="Arial"/>
          <w:sz w:val="22"/>
          <w:szCs w:val="22"/>
          <w:lang w:val="en-ZA"/>
        </w:rPr>
        <w:t xml:space="preserve">rather it could not assist the court, because now there was a structure which had not been there. It is to be admitted that this trial started on 11 August 2009 is almost four (4) years now. The court allowed the explanation of the accused person at the </w:t>
      </w:r>
      <w:r w:rsidR="00A144AD">
        <w:rPr>
          <w:rFonts w:ascii="Arial" w:hAnsi="Arial" w:cs="Arial"/>
          <w:sz w:val="22"/>
          <w:szCs w:val="22"/>
          <w:lang w:val="en-ZA"/>
        </w:rPr>
        <w:t>scene</w:t>
      </w:r>
      <w:r>
        <w:rPr>
          <w:rFonts w:ascii="Arial" w:hAnsi="Arial" w:cs="Arial"/>
          <w:sz w:val="22"/>
          <w:szCs w:val="22"/>
          <w:lang w:val="en-ZA"/>
        </w:rPr>
        <w:t xml:space="preserve">, believing that this Oshakati West Primary School had not been built at the time of the </w:t>
      </w:r>
      <w:r w:rsidR="00A144AD">
        <w:rPr>
          <w:rFonts w:ascii="Arial" w:hAnsi="Arial" w:cs="Arial"/>
          <w:sz w:val="22"/>
          <w:szCs w:val="22"/>
          <w:lang w:val="en-ZA"/>
        </w:rPr>
        <w:t>alleged</w:t>
      </w:r>
      <w:r>
        <w:rPr>
          <w:rFonts w:ascii="Arial" w:hAnsi="Arial" w:cs="Arial"/>
          <w:sz w:val="22"/>
          <w:szCs w:val="22"/>
          <w:lang w:val="en-ZA"/>
        </w:rPr>
        <w:t xml:space="preserve"> offence. And so did the legal practitioner, who a</w:t>
      </w:r>
      <w:r w:rsidR="00EB1F95">
        <w:rPr>
          <w:rFonts w:ascii="Arial" w:hAnsi="Arial" w:cs="Arial"/>
          <w:sz w:val="22"/>
          <w:szCs w:val="22"/>
          <w:lang w:val="en-ZA"/>
        </w:rPr>
        <w:t>t</w:t>
      </w:r>
      <w:r>
        <w:rPr>
          <w:rFonts w:ascii="Arial" w:hAnsi="Arial" w:cs="Arial"/>
          <w:sz w:val="22"/>
          <w:szCs w:val="22"/>
          <w:lang w:val="en-ZA"/>
        </w:rPr>
        <w:t xml:space="preserve"> the time was representing the accused person and the public prosecutor, who inherited the matter f</w:t>
      </w:r>
      <w:r w:rsidR="00A144AD">
        <w:rPr>
          <w:rFonts w:ascii="Arial" w:hAnsi="Arial" w:cs="Arial"/>
          <w:sz w:val="22"/>
          <w:szCs w:val="22"/>
          <w:lang w:val="en-ZA"/>
        </w:rPr>
        <w:t xml:space="preserve">rom the previous public prosecutors. However when we came to court back on record, as the record will more fully show, during submissions, the public prosecutor indicated or raise the issue that the school had already been built or put is differently, that the school was there at the time of the alleged offence as testified to by the complainant and not controverted by the Defence. The Defence did not address that issue in their submissions. And in the interest of justice, the court found it prudent that enquiries be made from the Oshakati West Primary School as to when the school was built and those enquiries made, revealed by way of an Affidavit by the Head Mistress of the school or the principal of the school, that the school actually started operation on the 17 of January 2007, that is two and half </w:t>
      </w:r>
      <w:r w:rsidR="001E7CD9">
        <w:rPr>
          <w:rFonts w:ascii="Arial" w:hAnsi="Arial" w:cs="Arial"/>
          <w:sz w:val="22"/>
          <w:szCs w:val="22"/>
          <w:lang w:val="en-ZA"/>
        </w:rPr>
        <w:t>months</w:t>
      </w:r>
      <w:r w:rsidR="00A144AD">
        <w:rPr>
          <w:rFonts w:ascii="Arial" w:hAnsi="Arial" w:cs="Arial"/>
          <w:sz w:val="22"/>
          <w:szCs w:val="22"/>
          <w:lang w:val="en-ZA"/>
        </w:rPr>
        <w:t xml:space="preserve"> or so before the alleged offence. That affidavit was made available to </w:t>
      </w:r>
      <w:r w:rsidR="001E7CD9">
        <w:rPr>
          <w:rFonts w:ascii="Arial" w:hAnsi="Arial" w:cs="Arial"/>
          <w:sz w:val="22"/>
          <w:szCs w:val="22"/>
          <w:lang w:val="en-ZA"/>
        </w:rPr>
        <w:t xml:space="preserve">the court before court wrote the judgment and it is part of the record.” </w:t>
      </w:r>
      <w:r w:rsidR="001E7CD9">
        <w:rPr>
          <w:rFonts w:ascii="Arial" w:hAnsi="Arial" w:cs="Arial"/>
          <w:lang w:val="en-ZA"/>
        </w:rPr>
        <w:t xml:space="preserve"> </w:t>
      </w:r>
      <w:r w:rsidR="001E7CD9" w:rsidRPr="00F42672">
        <w:rPr>
          <w:rFonts w:ascii="Arial" w:hAnsi="Arial" w:cs="Arial"/>
          <w:sz w:val="22"/>
          <w:szCs w:val="22"/>
          <w:lang w:val="en-ZA"/>
        </w:rPr>
        <w:t>Further in the judgment when considering the version of the appellant the court remarked as follow</w:t>
      </w:r>
      <w:r w:rsidR="00366DE4" w:rsidRPr="00F42672">
        <w:rPr>
          <w:rFonts w:ascii="Arial" w:hAnsi="Arial" w:cs="Arial"/>
          <w:sz w:val="22"/>
          <w:szCs w:val="22"/>
          <w:lang w:val="en-ZA"/>
        </w:rPr>
        <w:t>s</w:t>
      </w:r>
      <w:r w:rsidR="001E7CD9">
        <w:rPr>
          <w:rFonts w:ascii="Arial" w:hAnsi="Arial" w:cs="Arial"/>
          <w:lang w:val="en-ZA"/>
        </w:rPr>
        <w:t xml:space="preserve">: </w:t>
      </w:r>
      <w:r w:rsidR="00507DF5">
        <w:rPr>
          <w:rFonts w:ascii="Arial" w:hAnsi="Arial" w:cs="Arial"/>
          <w:lang w:val="en-ZA"/>
        </w:rPr>
        <w:t>‘</w:t>
      </w:r>
      <w:r w:rsidR="001E7CD9">
        <w:rPr>
          <w:rFonts w:ascii="Arial" w:hAnsi="Arial" w:cs="Arial"/>
          <w:sz w:val="22"/>
          <w:szCs w:val="22"/>
          <w:lang w:val="en-ZA"/>
        </w:rPr>
        <w:t xml:space="preserve">We have alluded to the fact that the accused person misled and </w:t>
      </w:r>
      <w:r w:rsidR="001E7CD9">
        <w:rPr>
          <w:rFonts w:ascii="Arial" w:hAnsi="Arial" w:cs="Arial"/>
          <w:sz w:val="22"/>
          <w:szCs w:val="22"/>
          <w:lang w:val="en-ZA"/>
        </w:rPr>
        <w:lastRenderedPageBreak/>
        <w:t>we dare add deliberately, the court officials and the court itself as regard the presence at the scene of the Oshakati West Primary School.</w:t>
      </w:r>
      <w:r w:rsidR="00507DF5">
        <w:rPr>
          <w:rFonts w:ascii="Arial" w:hAnsi="Arial" w:cs="Arial"/>
          <w:sz w:val="22"/>
          <w:szCs w:val="22"/>
          <w:lang w:val="en-ZA"/>
        </w:rPr>
        <w:t>’</w:t>
      </w:r>
    </w:p>
    <w:p w:rsidR="00B70566" w:rsidRPr="00B70566" w:rsidRDefault="00B70566" w:rsidP="000002F0">
      <w:pPr>
        <w:spacing w:line="480" w:lineRule="auto"/>
        <w:jc w:val="both"/>
        <w:rPr>
          <w:rFonts w:ascii="Arial" w:hAnsi="Arial" w:cs="Arial"/>
          <w:lang w:val="en-ZA"/>
        </w:rPr>
      </w:pPr>
    </w:p>
    <w:p w:rsidR="00DF2D40" w:rsidRDefault="00B70566" w:rsidP="000002F0">
      <w:pPr>
        <w:spacing w:line="480" w:lineRule="auto"/>
        <w:jc w:val="both"/>
        <w:rPr>
          <w:rFonts w:ascii="Arial" w:hAnsi="Arial" w:cs="Arial"/>
          <w:lang w:val="en-ZA"/>
        </w:rPr>
      </w:pPr>
      <w:r w:rsidRPr="00B70566">
        <w:rPr>
          <w:rFonts w:ascii="Arial" w:hAnsi="Arial" w:cs="Arial"/>
          <w:lang w:val="en-ZA"/>
        </w:rPr>
        <w:t>[10]</w:t>
      </w:r>
      <w:r w:rsidRPr="00B70566">
        <w:rPr>
          <w:rFonts w:ascii="Arial" w:hAnsi="Arial" w:cs="Arial"/>
          <w:lang w:val="en-ZA"/>
        </w:rPr>
        <w:tab/>
        <w:t>The first criticism is that which is raised in the ground of</w:t>
      </w:r>
      <w:r>
        <w:rPr>
          <w:rFonts w:ascii="Arial" w:hAnsi="Arial" w:cs="Arial"/>
          <w:lang w:val="en-ZA"/>
        </w:rPr>
        <w:t xml:space="preserve"> appeal i.e that the learned magistrate failed to afford the appellant the opportunity to cross-examine a witness whose evidence was crucial. It in essence destroyed his credibility. </w:t>
      </w:r>
    </w:p>
    <w:p w:rsidR="0094364D" w:rsidRDefault="0094364D" w:rsidP="000002F0">
      <w:pPr>
        <w:spacing w:line="480" w:lineRule="auto"/>
        <w:jc w:val="both"/>
        <w:rPr>
          <w:rFonts w:ascii="Arial" w:hAnsi="Arial" w:cs="Arial"/>
          <w:lang w:val="en-ZA"/>
        </w:rPr>
      </w:pPr>
    </w:p>
    <w:p w:rsidR="00912801" w:rsidRDefault="00B70566" w:rsidP="00912801">
      <w:pPr>
        <w:spacing w:line="480" w:lineRule="auto"/>
        <w:jc w:val="both"/>
        <w:rPr>
          <w:rFonts w:ascii="Arial" w:hAnsi="Arial" w:cs="Arial"/>
          <w:lang w:val="en-ZA"/>
        </w:rPr>
      </w:pPr>
      <w:r>
        <w:rPr>
          <w:rFonts w:ascii="Arial" w:hAnsi="Arial" w:cs="Arial"/>
          <w:lang w:val="en-ZA"/>
        </w:rPr>
        <w:t>[11]</w:t>
      </w:r>
      <w:r>
        <w:rPr>
          <w:rFonts w:ascii="Arial" w:hAnsi="Arial" w:cs="Arial"/>
          <w:lang w:val="en-ZA"/>
        </w:rPr>
        <w:tab/>
      </w:r>
      <w:r w:rsidR="00912801">
        <w:rPr>
          <w:rFonts w:ascii="Arial" w:hAnsi="Arial" w:cs="Arial"/>
          <w:lang w:val="en-ZA"/>
        </w:rPr>
        <w:t>Section 161(1) of the Criminal Procedure Act provides that:</w:t>
      </w:r>
    </w:p>
    <w:p w:rsidR="00912801" w:rsidRDefault="00507DF5" w:rsidP="00912801">
      <w:pPr>
        <w:spacing w:line="480" w:lineRule="auto"/>
        <w:ind w:left="720"/>
        <w:jc w:val="both"/>
        <w:rPr>
          <w:rFonts w:ascii="Arial" w:hAnsi="Arial" w:cs="Arial"/>
          <w:lang w:val="en-ZA"/>
        </w:rPr>
      </w:pPr>
      <w:r>
        <w:rPr>
          <w:rFonts w:ascii="Arial" w:hAnsi="Arial" w:cs="Arial"/>
          <w:lang w:val="en-ZA"/>
        </w:rPr>
        <w:t>‘</w:t>
      </w:r>
      <w:r w:rsidR="00912801" w:rsidRPr="00471A4A">
        <w:rPr>
          <w:rFonts w:ascii="Arial" w:hAnsi="Arial" w:cs="Arial"/>
          <w:sz w:val="22"/>
          <w:szCs w:val="22"/>
          <w:lang w:val="en-ZA"/>
        </w:rPr>
        <w:t xml:space="preserve">A witness at criminal proceedings shall, except where this Act or any other law expressly provides otherwise, give his evidence </w:t>
      </w:r>
      <w:r w:rsidR="00912801" w:rsidRPr="00471A4A">
        <w:rPr>
          <w:rFonts w:ascii="Arial" w:hAnsi="Arial" w:cs="Arial"/>
          <w:i/>
          <w:sz w:val="22"/>
          <w:szCs w:val="22"/>
          <w:lang w:val="en-ZA"/>
        </w:rPr>
        <w:t>viva voce</w:t>
      </w:r>
      <w:r>
        <w:rPr>
          <w:rFonts w:ascii="Arial" w:hAnsi="Arial" w:cs="Arial"/>
          <w:lang w:val="en-ZA"/>
        </w:rPr>
        <w:t>’</w:t>
      </w:r>
    </w:p>
    <w:p w:rsidR="00912801" w:rsidRDefault="00912801" w:rsidP="00912801">
      <w:pPr>
        <w:spacing w:line="480" w:lineRule="auto"/>
        <w:jc w:val="both"/>
        <w:rPr>
          <w:rFonts w:ascii="Arial" w:hAnsi="Arial" w:cs="Arial"/>
          <w:lang w:val="en-ZA"/>
        </w:rPr>
      </w:pPr>
      <w:r>
        <w:rPr>
          <w:rFonts w:ascii="Arial" w:hAnsi="Arial" w:cs="Arial"/>
          <w:lang w:val="en-ZA"/>
        </w:rPr>
        <w:t>It was not proper procedure to obtain an affidavit</w:t>
      </w:r>
      <w:r w:rsidR="00471A4A">
        <w:rPr>
          <w:rFonts w:ascii="Arial" w:hAnsi="Arial" w:cs="Arial"/>
          <w:lang w:val="en-ZA"/>
        </w:rPr>
        <w:t xml:space="preserve"> as this was not provided for in terms of the Act or any other law.</w:t>
      </w:r>
      <w:r>
        <w:rPr>
          <w:rFonts w:ascii="Arial" w:hAnsi="Arial" w:cs="Arial"/>
          <w:lang w:val="en-ZA"/>
        </w:rPr>
        <w:t xml:space="preserve"> It is furthermore </w:t>
      </w:r>
      <w:r w:rsidR="00B70566">
        <w:rPr>
          <w:rFonts w:ascii="Arial" w:hAnsi="Arial" w:cs="Arial"/>
          <w:lang w:val="en-ZA"/>
        </w:rPr>
        <w:t>trite that c</w:t>
      </w:r>
      <w:r w:rsidR="00B70566" w:rsidRPr="00B70566">
        <w:rPr>
          <w:rFonts w:ascii="Arial" w:hAnsi="Arial" w:cs="Arial"/>
          <w:lang w:val="en-ZA"/>
        </w:rPr>
        <w:t>ross-examination is a righ</w:t>
      </w:r>
      <w:r w:rsidR="00B70566">
        <w:rPr>
          <w:rFonts w:ascii="Arial" w:hAnsi="Arial" w:cs="Arial"/>
          <w:lang w:val="en-ZA"/>
        </w:rPr>
        <w:t xml:space="preserve">t under our adversarial process and that </w:t>
      </w:r>
      <w:r w:rsidR="00B3661E">
        <w:rPr>
          <w:rFonts w:ascii="Arial" w:hAnsi="Arial" w:cs="Arial"/>
          <w:lang w:val="en-ZA"/>
        </w:rPr>
        <w:t>the importance thereof cannot be downplayed.</w:t>
      </w:r>
      <w:r w:rsidR="00B70566">
        <w:rPr>
          <w:rStyle w:val="FootnoteReference"/>
          <w:rFonts w:ascii="Arial" w:hAnsi="Arial" w:cs="Arial"/>
          <w:lang w:val="en-ZA"/>
        </w:rPr>
        <w:footnoteReference w:id="1"/>
      </w:r>
      <w:r w:rsidR="00B3661E">
        <w:rPr>
          <w:rFonts w:ascii="Arial" w:hAnsi="Arial" w:cs="Arial"/>
          <w:lang w:val="en-ZA"/>
        </w:rPr>
        <w:t xml:space="preserve"> </w:t>
      </w:r>
    </w:p>
    <w:p w:rsidR="00912801" w:rsidRDefault="00912801" w:rsidP="000002F0">
      <w:pPr>
        <w:spacing w:line="480" w:lineRule="auto"/>
        <w:jc w:val="both"/>
        <w:rPr>
          <w:rFonts w:ascii="Arial" w:hAnsi="Arial" w:cs="Arial"/>
          <w:lang w:val="en-ZA"/>
        </w:rPr>
      </w:pPr>
    </w:p>
    <w:p w:rsidR="00FF4188" w:rsidRDefault="00912801" w:rsidP="00BC22A3">
      <w:pPr>
        <w:spacing w:line="480" w:lineRule="auto"/>
        <w:jc w:val="both"/>
        <w:rPr>
          <w:rFonts w:ascii="Arial" w:hAnsi="Arial" w:cs="Arial"/>
          <w:lang w:val="en-ZA"/>
        </w:rPr>
      </w:pPr>
      <w:r>
        <w:rPr>
          <w:rFonts w:ascii="Arial" w:hAnsi="Arial" w:cs="Arial"/>
          <w:lang w:val="en-ZA"/>
        </w:rPr>
        <w:t>[12]</w:t>
      </w:r>
      <w:r>
        <w:rPr>
          <w:rFonts w:ascii="Arial" w:hAnsi="Arial" w:cs="Arial"/>
          <w:lang w:val="en-ZA"/>
        </w:rPr>
        <w:tab/>
      </w:r>
      <w:r w:rsidR="00B3661E">
        <w:rPr>
          <w:rFonts w:ascii="Arial" w:hAnsi="Arial" w:cs="Arial"/>
          <w:lang w:val="en-ZA"/>
        </w:rPr>
        <w:t xml:space="preserve">This however is not the only criticism which may be </w:t>
      </w:r>
      <w:r w:rsidR="00D65A5E">
        <w:rPr>
          <w:rFonts w:ascii="Arial" w:hAnsi="Arial" w:cs="Arial"/>
          <w:lang w:val="en-ZA"/>
        </w:rPr>
        <w:t xml:space="preserve">levelled against </w:t>
      </w:r>
      <w:r w:rsidR="00B3661E">
        <w:rPr>
          <w:rFonts w:ascii="Arial" w:hAnsi="Arial" w:cs="Arial"/>
          <w:lang w:val="en-ZA"/>
        </w:rPr>
        <w:t>the manner in which the evidence made its way</w:t>
      </w:r>
      <w:r w:rsidR="00D65A5E">
        <w:rPr>
          <w:rFonts w:ascii="Arial" w:hAnsi="Arial" w:cs="Arial"/>
          <w:lang w:val="en-ZA"/>
        </w:rPr>
        <w:t xml:space="preserve"> onto </w:t>
      </w:r>
      <w:r w:rsidR="00B3661E">
        <w:rPr>
          <w:rFonts w:ascii="Arial" w:hAnsi="Arial" w:cs="Arial"/>
          <w:lang w:val="en-ZA"/>
        </w:rPr>
        <w:t xml:space="preserve">the record. The </w:t>
      </w:r>
      <w:r w:rsidR="0094364D">
        <w:rPr>
          <w:rFonts w:ascii="Arial" w:hAnsi="Arial" w:cs="Arial"/>
          <w:lang w:val="en-ZA"/>
        </w:rPr>
        <w:t>magistrate</w:t>
      </w:r>
      <w:r w:rsidR="00B3661E">
        <w:rPr>
          <w:rFonts w:ascii="Arial" w:hAnsi="Arial" w:cs="Arial"/>
          <w:lang w:val="en-ZA"/>
        </w:rPr>
        <w:t xml:space="preserve"> conduct should at all times be beyond reproach </w:t>
      </w:r>
      <w:r w:rsidR="00D65A5E">
        <w:rPr>
          <w:rFonts w:ascii="Arial" w:hAnsi="Arial" w:cs="Arial"/>
          <w:lang w:val="en-ZA"/>
        </w:rPr>
        <w:t>i.e independent</w:t>
      </w:r>
      <w:r w:rsidR="00D65A5E" w:rsidRPr="00D65A5E">
        <w:rPr>
          <w:rFonts w:ascii="Arial" w:hAnsi="Arial" w:cs="Arial"/>
          <w:lang w:val="en-ZA"/>
        </w:rPr>
        <w:t xml:space="preserve"> and impartial</w:t>
      </w:r>
      <w:r w:rsidR="00D65A5E">
        <w:rPr>
          <w:rFonts w:ascii="Arial" w:hAnsi="Arial" w:cs="Arial"/>
          <w:lang w:val="en-ZA"/>
        </w:rPr>
        <w:t xml:space="preserve">. </w:t>
      </w:r>
      <w:r w:rsidR="005A356F" w:rsidRPr="005A356F">
        <w:rPr>
          <w:rFonts w:ascii="Arial" w:hAnsi="Arial" w:cs="Arial"/>
          <w:lang w:val="en-ZA"/>
        </w:rPr>
        <w:t xml:space="preserve">The presentation of evidence is </w:t>
      </w:r>
      <w:r w:rsidR="005A356F">
        <w:rPr>
          <w:rFonts w:ascii="Arial" w:hAnsi="Arial" w:cs="Arial"/>
          <w:lang w:val="en-ZA"/>
        </w:rPr>
        <w:t xml:space="preserve">a matter best left to the parties. </w:t>
      </w:r>
      <w:r w:rsidR="00F515CF">
        <w:rPr>
          <w:rFonts w:ascii="Arial" w:hAnsi="Arial" w:cs="Arial"/>
          <w:lang w:val="en-ZA"/>
        </w:rPr>
        <w:t xml:space="preserve">It is also that a trial is not a game and the magistrate is not an umpire. </w:t>
      </w:r>
      <w:r w:rsidR="005A356F">
        <w:rPr>
          <w:rFonts w:ascii="Arial" w:hAnsi="Arial" w:cs="Arial"/>
          <w:lang w:val="en-ZA"/>
        </w:rPr>
        <w:t xml:space="preserve">The </w:t>
      </w:r>
      <w:r w:rsidR="00471A4A">
        <w:rPr>
          <w:rFonts w:ascii="Arial" w:hAnsi="Arial" w:cs="Arial"/>
          <w:lang w:val="en-ZA"/>
        </w:rPr>
        <w:t xml:space="preserve">learned magistrate </w:t>
      </w:r>
      <w:r w:rsidR="00F515CF">
        <w:rPr>
          <w:rFonts w:ascii="Arial" w:hAnsi="Arial" w:cs="Arial"/>
          <w:lang w:val="en-ZA"/>
        </w:rPr>
        <w:t xml:space="preserve">however, </w:t>
      </w:r>
      <w:r w:rsidR="00471A4A">
        <w:rPr>
          <w:rFonts w:ascii="Arial" w:hAnsi="Arial" w:cs="Arial"/>
          <w:lang w:val="en-ZA"/>
        </w:rPr>
        <w:t xml:space="preserve">ought to have </w:t>
      </w:r>
      <w:r w:rsidR="00D65A5E">
        <w:rPr>
          <w:rFonts w:ascii="Arial" w:hAnsi="Arial" w:cs="Arial"/>
          <w:lang w:val="en-ZA"/>
        </w:rPr>
        <w:t>utilise</w:t>
      </w:r>
      <w:r w:rsidR="00471A4A">
        <w:rPr>
          <w:rFonts w:ascii="Arial" w:hAnsi="Arial" w:cs="Arial"/>
          <w:lang w:val="en-ZA"/>
        </w:rPr>
        <w:t>d</w:t>
      </w:r>
      <w:r w:rsidR="00D65A5E">
        <w:rPr>
          <w:rFonts w:ascii="Arial" w:hAnsi="Arial" w:cs="Arial"/>
          <w:lang w:val="en-ZA"/>
        </w:rPr>
        <w:t xml:space="preserve"> the provisions of </w:t>
      </w:r>
      <w:r w:rsidR="00F75498">
        <w:rPr>
          <w:rFonts w:ascii="Arial" w:hAnsi="Arial" w:cs="Arial"/>
          <w:lang w:val="en-ZA"/>
        </w:rPr>
        <w:t xml:space="preserve">section 186 which empowers him to subpoena the witness if </w:t>
      </w:r>
      <w:r w:rsidR="00F75498" w:rsidRPr="00F75498">
        <w:rPr>
          <w:rFonts w:ascii="Arial" w:hAnsi="Arial" w:cs="Arial"/>
          <w:lang w:val="en-ZA"/>
        </w:rPr>
        <w:t>such witness appears to the court essential to the just decision of the case.</w:t>
      </w:r>
      <w:r w:rsidR="00F75498">
        <w:rPr>
          <w:rFonts w:ascii="Arial" w:hAnsi="Arial" w:cs="Arial"/>
          <w:lang w:val="en-ZA"/>
        </w:rPr>
        <w:t xml:space="preserve"> </w:t>
      </w:r>
      <w:r w:rsidR="005A356F">
        <w:rPr>
          <w:rFonts w:ascii="Arial" w:hAnsi="Arial" w:cs="Arial"/>
          <w:lang w:val="en-ZA"/>
        </w:rPr>
        <w:t xml:space="preserve">This witness was such a witness and the court </w:t>
      </w:r>
      <w:r w:rsidR="005A356F" w:rsidRPr="00F515CF">
        <w:rPr>
          <w:rFonts w:ascii="Arial" w:hAnsi="Arial" w:cs="Arial"/>
          <w:i/>
          <w:lang w:val="en-ZA"/>
        </w:rPr>
        <w:t xml:space="preserve">a </w:t>
      </w:r>
      <w:r w:rsidR="005A356F" w:rsidRPr="00F515CF">
        <w:rPr>
          <w:rFonts w:ascii="Arial" w:hAnsi="Arial" w:cs="Arial"/>
          <w:i/>
          <w:lang w:val="en-ZA"/>
        </w:rPr>
        <w:lastRenderedPageBreak/>
        <w:t>quo</w:t>
      </w:r>
      <w:r w:rsidR="005A356F">
        <w:rPr>
          <w:rFonts w:ascii="Arial" w:hAnsi="Arial" w:cs="Arial"/>
          <w:lang w:val="en-ZA"/>
        </w:rPr>
        <w:t xml:space="preserve"> would have been empowered, before h</w:t>
      </w:r>
      <w:r w:rsidR="00471A4A">
        <w:rPr>
          <w:rFonts w:ascii="Arial" w:hAnsi="Arial" w:cs="Arial"/>
          <w:lang w:val="en-ZA"/>
        </w:rPr>
        <w:t xml:space="preserve">anding down </w:t>
      </w:r>
      <w:r w:rsidR="005A356F">
        <w:rPr>
          <w:rFonts w:ascii="Arial" w:hAnsi="Arial" w:cs="Arial"/>
          <w:lang w:val="en-ZA"/>
        </w:rPr>
        <w:t>his judgment to exercise his powers in terms of this section to procure this evidence in accordance with the precepts of a fair trial.</w:t>
      </w:r>
      <w:r w:rsidR="00FF4188">
        <w:rPr>
          <w:rStyle w:val="FootnoteReference"/>
          <w:rFonts w:ascii="Arial" w:hAnsi="Arial" w:cs="Arial"/>
          <w:lang w:val="en-ZA"/>
        </w:rPr>
        <w:footnoteReference w:id="2"/>
      </w:r>
      <w:r w:rsidR="005A356F">
        <w:rPr>
          <w:rFonts w:ascii="Arial" w:hAnsi="Arial" w:cs="Arial"/>
          <w:lang w:val="en-ZA"/>
        </w:rPr>
        <w:t xml:space="preserve"> </w:t>
      </w:r>
    </w:p>
    <w:p w:rsidR="00FF4188" w:rsidRDefault="00FF4188" w:rsidP="00BC22A3">
      <w:pPr>
        <w:spacing w:line="480" w:lineRule="auto"/>
        <w:jc w:val="both"/>
        <w:rPr>
          <w:rFonts w:ascii="Arial" w:hAnsi="Arial" w:cs="Arial"/>
          <w:lang w:val="en-ZA"/>
        </w:rPr>
      </w:pPr>
    </w:p>
    <w:p w:rsidR="00BC22A3" w:rsidRPr="00BC22A3" w:rsidRDefault="00FF4188" w:rsidP="00BC22A3">
      <w:pPr>
        <w:spacing w:line="480" w:lineRule="auto"/>
        <w:jc w:val="both"/>
        <w:rPr>
          <w:rFonts w:ascii="Arial" w:hAnsi="Arial" w:cs="Arial"/>
          <w:lang w:val="en-ZA"/>
        </w:rPr>
      </w:pPr>
      <w:r>
        <w:rPr>
          <w:rFonts w:ascii="Arial" w:hAnsi="Arial" w:cs="Arial"/>
          <w:lang w:val="en-ZA"/>
        </w:rPr>
        <w:t>[13]</w:t>
      </w:r>
      <w:r>
        <w:rPr>
          <w:rFonts w:ascii="Arial" w:hAnsi="Arial" w:cs="Arial"/>
          <w:lang w:val="en-ZA"/>
        </w:rPr>
        <w:tab/>
      </w:r>
      <w:r w:rsidR="005A356F">
        <w:rPr>
          <w:rFonts w:ascii="Arial" w:hAnsi="Arial" w:cs="Arial"/>
          <w:lang w:val="en-ZA"/>
        </w:rPr>
        <w:t>As matters stand, and may I add</w:t>
      </w:r>
      <w:r w:rsidR="00471A4A">
        <w:rPr>
          <w:rFonts w:ascii="Arial" w:hAnsi="Arial" w:cs="Arial"/>
          <w:lang w:val="en-ZA"/>
        </w:rPr>
        <w:t>,</w:t>
      </w:r>
      <w:r w:rsidR="005A356F">
        <w:rPr>
          <w:rFonts w:ascii="Arial" w:hAnsi="Arial" w:cs="Arial"/>
          <w:lang w:val="en-ZA"/>
        </w:rPr>
        <w:t xml:space="preserve"> regrettably so, the conduct of the magistrate </w:t>
      </w:r>
      <w:r w:rsidR="00BC22A3">
        <w:rPr>
          <w:rFonts w:ascii="Arial" w:hAnsi="Arial" w:cs="Arial"/>
          <w:lang w:val="en-ZA"/>
        </w:rPr>
        <w:t xml:space="preserve">was irregular.  </w:t>
      </w:r>
      <w:r w:rsidR="00304C29">
        <w:rPr>
          <w:rFonts w:ascii="Arial" w:hAnsi="Arial" w:cs="Arial"/>
          <w:lang w:val="en-ZA"/>
        </w:rPr>
        <w:t xml:space="preserve">A failure to allow </w:t>
      </w:r>
      <w:r w:rsidR="00F515CF">
        <w:rPr>
          <w:rFonts w:ascii="Arial" w:hAnsi="Arial" w:cs="Arial"/>
          <w:lang w:val="en-ZA"/>
        </w:rPr>
        <w:t xml:space="preserve">an </w:t>
      </w:r>
      <w:r w:rsidR="00304C29" w:rsidRPr="00BC22A3">
        <w:rPr>
          <w:rFonts w:ascii="Arial" w:hAnsi="Arial" w:cs="Arial"/>
          <w:lang w:val="en-ZA"/>
        </w:rPr>
        <w:t>accused</w:t>
      </w:r>
      <w:r w:rsidR="00BC22A3" w:rsidRPr="00BC22A3">
        <w:rPr>
          <w:rFonts w:ascii="Arial" w:hAnsi="Arial" w:cs="Arial"/>
          <w:lang w:val="en-ZA"/>
        </w:rPr>
        <w:t xml:space="preserve"> the opportunity to cross-exami</w:t>
      </w:r>
      <w:r w:rsidR="00471A4A">
        <w:rPr>
          <w:rFonts w:ascii="Arial" w:hAnsi="Arial" w:cs="Arial"/>
          <w:lang w:val="en-ZA"/>
        </w:rPr>
        <w:t xml:space="preserve">ne a witness, particularly one who </w:t>
      </w:r>
      <w:r w:rsidR="00BC22A3" w:rsidRPr="00BC22A3">
        <w:rPr>
          <w:rFonts w:ascii="Arial" w:hAnsi="Arial" w:cs="Arial"/>
          <w:lang w:val="en-ZA"/>
        </w:rPr>
        <w:t>destroys his credibility</w:t>
      </w:r>
      <w:r w:rsidR="00BC22A3">
        <w:rPr>
          <w:rFonts w:ascii="Arial" w:hAnsi="Arial" w:cs="Arial"/>
          <w:lang w:val="en-ZA"/>
        </w:rPr>
        <w:t xml:space="preserve">, is grossly irregular. </w:t>
      </w:r>
      <w:r w:rsidR="00BC22A3" w:rsidRPr="00BC22A3">
        <w:rPr>
          <w:rFonts w:ascii="Arial" w:hAnsi="Arial" w:cs="Arial"/>
          <w:lang w:val="en-ZA"/>
        </w:rPr>
        <w:t xml:space="preserve">  </w:t>
      </w:r>
    </w:p>
    <w:p w:rsidR="00B3661E" w:rsidRDefault="00B3661E" w:rsidP="000002F0">
      <w:pPr>
        <w:spacing w:line="480" w:lineRule="auto"/>
        <w:jc w:val="both"/>
        <w:rPr>
          <w:rFonts w:ascii="Arial" w:hAnsi="Arial" w:cs="Arial"/>
          <w:lang w:val="en-ZA"/>
        </w:rPr>
      </w:pPr>
    </w:p>
    <w:p w:rsidR="00B70566" w:rsidRDefault="00B3661E" w:rsidP="000002F0">
      <w:pPr>
        <w:spacing w:line="480" w:lineRule="auto"/>
        <w:jc w:val="both"/>
        <w:rPr>
          <w:rFonts w:ascii="Arial" w:hAnsi="Arial" w:cs="Arial"/>
          <w:lang w:val="en-ZA"/>
        </w:rPr>
      </w:pPr>
      <w:r>
        <w:rPr>
          <w:rFonts w:ascii="Arial" w:hAnsi="Arial" w:cs="Arial"/>
          <w:lang w:val="en-ZA"/>
        </w:rPr>
        <w:t>[1</w:t>
      </w:r>
      <w:r w:rsidR="00FF4188">
        <w:rPr>
          <w:rFonts w:ascii="Arial" w:hAnsi="Arial" w:cs="Arial"/>
          <w:lang w:val="en-ZA"/>
        </w:rPr>
        <w:t>4</w:t>
      </w:r>
      <w:r>
        <w:rPr>
          <w:rFonts w:ascii="Arial" w:hAnsi="Arial" w:cs="Arial"/>
          <w:lang w:val="en-ZA"/>
        </w:rPr>
        <w:t>]</w:t>
      </w:r>
      <w:r>
        <w:rPr>
          <w:rFonts w:ascii="Arial" w:hAnsi="Arial" w:cs="Arial"/>
          <w:lang w:val="en-ZA"/>
        </w:rPr>
        <w:tab/>
      </w:r>
      <w:r w:rsidR="00BC22A3">
        <w:rPr>
          <w:rFonts w:ascii="Arial" w:hAnsi="Arial" w:cs="Arial"/>
          <w:lang w:val="en-ZA"/>
        </w:rPr>
        <w:t>T</w:t>
      </w:r>
      <w:r w:rsidRPr="00B3661E">
        <w:rPr>
          <w:rFonts w:ascii="Arial" w:hAnsi="Arial" w:cs="Arial"/>
          <w:lang w:val="en-ZA"/>
        </w:rPr>
        <w:t xml:space="preserve">he test is whether </w:t>
      </w:r>
      <w:r w:rsidR="00BC22A3">
        <w:rPr>
          <w:rFonts w:ascii="Arial" w:hAnsi="Arial" w:cs="Arial"/>
          <w:lang w:val="en-ZA"/>
        </w:rPr>
        <w:t>the irregularity which occurred is</w:t>
      </w:r>
      <w:r w:rsidRPr="00B3661E">
        <w:rPr>
          <w:rFonts w:ascii="Arial" w:hAnsi="Arial" w:cs="Arial"/>
          <w:lang w:val="en-ZA"/>
        </w:rPr>
        <w:t xml:space="preserve"> so fundamental that it could be said that in effect there had been no trial at all. If the answer is in the affirmative the conviction must be set aside. Where the irregularity was of less severe nature, then depending on the impact of the irregularity </w:t>
      </w:r>
      <w:r w:rsidR="00BC22A3">
        <w:rPr>
          <w:rFonts w:ascii="Arial" w:hAnsi="Arial" w:cs="Arial"/>
          <w:lang w:val="en-ZA"/>
        </w:rPr>
        <w:t xml:space="preserve">on the verdict, </w:t>
      </w:r>
      <w:r w:rsidRPr="00B3661E">
        <w:rPr>
          <w:rFonts w:ascii="Arial" w:hAnsi="Arial" w:cs="Arial"/>
          <w:lang w:val="en-ZA"/>
        </w:rPr>
        <w:t>the conviction should either stand or a verdict of acquittal on the merits should be substituted therefor, the essential question being whether the verdict was tainted by the irregularity.</w:t>
      </w:r>
      <w:r w:rsidR="00BC22A3">
        <w:rPr>
          <w:rStyle w:val="FootnoteReference"/>
          <w:rFonts w:ascii="Arial" w:hAnsi="Arial" w:cs="Arial"/>
          <w:lang w:val="en-ZA"/>
        </w:rPr>
        <w:footnoteReference w:id="3"/>
      </w:r>
    </w:p>
    <w:p w:rsidR="00BC22A3" w:rsidRDefault="00BC22A3" w:rsidP="000002F0">
      <w:pPr>
        <w:spacing w:line="480" w:lineRule="auto"/>
        <w:jc w:val="both"/>
        <w:rPr>
          <w:rFonts w:ascii="Arial" w:hAnsi="Arial" w:cs="Arial"/>
          <w:lang w:val="en-ZA"/>
        </w:rPr>
      </w:pPr>
    </w:p>
    <w:p w:rsidR="00BC22A3" w:rsidRDefault="00BC22A3" w:rsidP="000002F0">
      <w:pPr>
        <w:spacing w:line="480" w:lineRule="auto"/>
        <w:jc w:val="both"/>
        <w:rPr>
          <w:rFonts w:ascii="Arial" w:hAnsi="Arial" w:cs="Arial"/>
          <w:lang w:val="en-ZA"/>
        </w:rPr>
      </w:pPr>
      <w:r>
        <w:rPr>
          <w:rFonts w:ascii="Arial" w:hAnsi="Arial" w:cs="Arial"/>
          <w:lang w:val="en-ZA"/>
        </w:rPr>
        <w:t>[1</w:t>
      </w:r>
      <w:r w:rsidR="00FF4188">
        <w:rPr>
          <w:rFonts w:ascii="Arial" w:hAnsi="Arial" w:cs="Arial"/>
          <w:lang w:val="en-ZA"/>
        </w:rPr>
        <w:t>5</w:t>
      </w:r>
      <w:r>
        <w:rPr>
          <w:rFonts w:ascii="Arial" w:hAnsi="Arial" w:cs="Arial"/>
          <w:lang w:val="en-ZA"/>
        </w:rPr>
        <w:t>]</w:t>
      </w:r>
      <w:r>
        <w:rPr>
          <w:rFonts w:ascii="Arial" w:hAnsi="Arial" w:cs="Arial"/>
          <w:lang w:val="en-ZA"/>
        </w:rPr>
        <w:tab/>
        <w:t xml:space="preserve">The learned magistrate intimated that he did not place any reliance on the evidence of the Head Mistress but it is evident that this information was taken into consideration to make a credibility finding of the appellant and to reject his evidence as false beyond reasonable doubt. </w:t>
      </w:r>
      <w:r w:rsidR="00592263">
        <w:rPr>
          <w:rFonts w:ascii="Arial" w:hAnsi="Arial" w:cs="Arial"/>
          <w:lang w:val="en-ZA"/>
        </w:rPr>
        <w:t xml:space="preserve">The irregularity of the admission and reliance of the learned magistrate on this evidence to convict </w:t>
      </w:r>
      <w:r w:rsidR="00592263">
        <w:rPr>
          <w:rFonts w:ascii="Arial" w:hAnsi="Arial" w:cs="Arial"/>
          <w:lang w:val="en-ZA"/>
        </w:rPr>
        <w:lastRenderedPageBreak/>
        <w:t xml:space="preserve">the appellant in fact tainted the verdict and leaves this court with no alternative but the set aside the conviction. </w:t>
      </w:r>
    </w:p>
    <w:p w:rsidR="00471A4A" w:rsidRDefault="00471A4A" w:rsidP="000002F0">
      <w:pPr>
        <w:spacing w:line="480" w:lineRule="auto"/>
        <w:jc w:val="both"/>
        <w:rPr>
          <w:rFonts w:ascii="Arial" w:hAnsi="Arial" w:cs="Arial"/>
          <w:lang w:val="en-ZA"/>
        </w:rPr>
      </w:pPr>
    </w:p>
    <w:p w:rsidR="00592263" w:rsidRDefault="00592263" w:rsidP="000002F0">
      <w:pPr>
        <w:spacing w:line="480" w:lineRule="auto"/>
        <w:jc w:val="both"/>
        <w:rPr>
          <w:rFonts w:ascii="Arial" w:hAnsi="Arial" w:cs="Arial"/>
          <w:lang w:val="en-ZA"/>
        </w:rPr>
      </w:pPr>
      <w:r>
        <w:rPr>
          <w:rFonts w:ascii="Arial" w:hAnsi="Arial" w:cs="Arial"/>
          <w:lang w:val="en-ZA"/>
        </w:rPr>
        <w:t>[1</w:t>
      </w:r>
      <w:r w:rsidR="00FF4188">
        <w:rPr>
          <w:rFonts w:ascii="Arial" w:hAnsi="Arial" w:cs="Arial"/>
          <w:lang w:val="en-ZA"/>
        </w:rPr>
        <w:t>6</w:t>
      </w:r>
      <w:r>
        <w:rPr>
          <w:rFonts w:ascii="Arial" w:hAnsi="Arial" w:cs="Arial"/>
          <w:lang w:val="en-ZA"/>
        </w:rPr>
        <w:t>]</w:t>
      </w:r>
      <w:r>
        <w:rPr>
          <w:rFonts w:ascii="Arial" w:hAnsi="Arial" w:cs="Arial"/>
          <w:lang w:val="en-ZA"/>
        </w:rPr>
        <w:tab/>
        <w:t>In the result the following order is made:</w:t>
      </w:r>
    </w:p>
    <w:p w:rsidR="00592263" w:rsidRDefault="00592263" w:rsidP="00FF4188">
      <w:pPr>
        <w:spacing w:line="480" w:lineRule="auto"/>
        <w:ind w:firstLine="720"/>
        <w:jc w:val="both"/>
        <w:rPr>
          <w:rFonts w:ascii="Arial" w:hAnsi="Arial" w:cs="Arial"/>
          <w:lang w:val="en-ZA"/>
        </w:rPr>
      </w:pPr>
      <w:r>
        <w:rPr>
          <w:rFonts w:ascii="Arial" w:hAnsi="Arial" w:cs="Arial"/>
          <w:lang w:val="en-ZA"/>
        </w:rPr>
        <w:t>1.</w:t>
      </w:r>
      <w:r>
        <w:rPr>
          <w:rFonts w:ascii="Arial" w:hAnsi="Arial" w:cs="Arial"/>
          <w:lang w:val="en-ZA"/>
        </w:rPr>
        <w:tab/>
        <w:t>The appeal against conviction is upheld;</w:t>
      </w:r>
    </w:p>
    <w:p w:rsidR="00592263" w:rsidRDefault="00592263" w:rsidP="00FF4188">
      <w:pPr>
        <w:spacing w:line="480" w:lineRule="auto"/>
        <w:ind w:firstLine="720"/>
        <w:jc w:val="both"/>
        <w:rPr>
          <w:rFonts w:ascii="Arial" w:hAnsi="Arial" w:cs="Arial"/>
          <w:lang w:val="en-ZA"/>
        </w:rPr>
      </w:pPr>
      <w:r>
        <w:rPr>
          <w:rFonts w:ascii="Arial" w:hAnsi="Arial" w:cs="Arial"/>
          <w:lang w:val="en-ZA"/>
        </w:rPr>
        <w:t>2.</w:t>
      </w:r>
      <w:r>
        <w:rPr>
          <w:rFonts w:ascii="Arial" w:hAnsi="Arial" w:cs="Arial"/>
          <w:lang w:val="en-ZA"/>
        </w:rPr>
        <w:tab/>
        <w:t>The conviction and sentence are hereby set aside.</w:t>
      </w:r>
    </w:p>
    <w:p w:rsidR="00592263" w:rsidRDefault="00592263" w:rsidP="000002F0">
      <w:pPr>
        <w:spacing w:line="480" w:lineRule="auto"/>
        <w:jc w:val="both"/>
        <w:rPr>
          <w:rFonts w:ascii="Arial" w:hAnsi="Arial" w:cs="Arial"/>
          <w:lang w:val="en-ZA"/>
        </w:rPr>
      </w:pPr>
    </w:p>
    <w:p w:rsidR="00592263" w:rsidRPr="00B70566" w:rsidRDefault="00592263" w:rsidP="000002F0">
      <w:pPr>
        <w:spacing w:line="480" w:lineRule="auto"/>
        <w:jc w:val="both"/>
        <w:rPr>
          <w:rFonts w:ascii="Arial" w:hAnsi="Arial" w:cs="Arial"/>
          <w:lang w:val="en-ZA"/>
        </w:rPr>
      </w:pPr>
    </w:p>
    <w:p w:rsidR="00B70566" w:rsidRDefault="00B70566" w:rsidP="000002F0">
      <w:pPr>
        <w:spacing w:line="480" w:lineRule="auto"/>
        <w:jc w:val="both"/>
        <w:rPr>
          <w:rFonts w:ascii="Arial" w:hAnsi="Arial" w:cs="Arial"/>
          <w:sz w:val="22"/>
          <w:szCs w:val="22"/>
          <w:lang w:val="en-ZA"/>
        </w:rPr>
      </w:pPr>
    </w:p>
    <w:p w:rsidR="001E7CD9" w:rsidRDefault="001E7CD9" w:rsidP="000002F0">
      <w:pPr>
        <w:spacing w:line="480" w:lineRule="auto"/>
        <w:jc w:val="both"/>
        <w:rPr>
          <w:rFonts w:ascii="Arial" w:hAnsi="Arial" w:cs="Arial"/>
          <w:sz w:val="22"/>
          <w:szCs w:val="22"/>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471A4A" w:rsidRDefault="00471A4A" w:rsidP="000A5912">
      <w:pPr>
        <w:spacing w:line="360" w:lineRule="auto"/>
        <w:jc w:val="right"/>
        <w:rPr>
          <w:rFonts w:ascii="Arial" w:hAnsi="Arial" w:cs="Arial"/>
          <w:lang w:val="en-ZA"/>
        </w:rPr>
      </w:pPr>
    </w:p>
    <w:p w:rsidR="00471A4A" w:rsidRDefault="00471A4A" w:rsidP="000A5912">
      <w:pPr>
        <w:spacing w:line="360" w:lineRule="auto"/>
        <w:jc w:val="right"/>
        <w:rPr>
          <w:rFonts w:ascii="Arial" w:hAnsi="Arial" w:cs="Arial"/>
          <w:lang w:val="en-ZA"/>
        </w:rPr>
      </w:pPr>
    </w:p>
    <w:p w:rsidR="00471A4A" w:rsidRDefault="00471A4A" w:rsidP="000A5912">
      <w:pPr>
        <w:spacing w:line="360" w:lineRule="auto"/>
        <w:jc w:val="right"/>
        <w:rPr>
          <w:rFonts w:ascii="Arial" w:hAnsi="Arial" w:cs="Arial"/>
          <w:lang w:val="en-ZA"/>
        </w:rPr>
      </w:pPr>
    </w:p>
    <w:p w:rsidR="00471A4A" w:rsidRDefault="00471A4A"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592263" w:rsidRDefault="00592263" w:rsidP="000A5912">
      <w:pPr>
        <w:spacing w:line="360" w:lineRule="auto"/>
        <w:jc w:val="right"/>
        <w:rPr>
          <w:rFonts w:ascii="Arial" w:hAnsi="Arial" w:cs="Arial"/>
          <w:lang w:val="en-ZA"/>
        </w:rPr>
      </w:pPr>
      <w:r>
        <w:rPr>
          <w:rFonts w:ascii="Arial" w:hAnsi="Arial" w:cs="Arial"/>
          <w:lang w:val="en-ZA"/>
        </w:rPr>
        <w:t>H C JANUARY</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0002F0" w:rsidP="000A5912">
      <w:pPr>
        <w:spacing w:line="360" w:lineRule="auto"/>
        <w:jc w:val="right"/>
        <w:rPr>
          <w:rFonts w:ascii="Arial" w:hAnsi="Arial" w:cs="Arial"/>
          <w:lang w:val="en-ZA"/>
        </w:rPr>
      </w:pPr>
    </w:p>
    <w:p w:rsidR="00592263" w:rsidRDefault="00592263" w:rsidP="000A5912">
      <w:pPr>
        <w:spacing w:line="360" w:lineRule="auto"/>
        <w:jc w:val="right"/>
        <w:rPr>
          <w:rFonts w:ascii="Arial" w:hAnsi="Arial" w:cs="Arial"/>
          <w:lang w:val="en-ZA"/>
        </w:rPr>
      </w:pPr>
    </w:p>
    <w:p w:rsidR="00592263" w:rsidRDefault="00592263" w:rsidP="000A5912">
      <w:pPr>
        <w:spacing w:line="360" w:lineRule="auto"/>
        <w:jc w:val="right"/>
        <w:rPr>
          <w:rFonts w:ascii="Arial" w:hAnsi="Arial" w:cs="Arial"/>
          <w:lang w:val="en-ZA"/>
        </w:rPr>
      </w:pPr>
    </w:p>
    <w:p w:rsidR="00592263" w:rsidRDefault="00592263" w:rsidP="000A5912">
      <w:pPr>
        <w:spacing w:line="360" w:lineRule="auto"/>
        <w:jc w:val="right"/>
        <w:rPr>
          <w:rFonts w:ascii="Arial" w:hAnsi="Arial" w:cs="Arial"/>
          <w:lang w:val="en-ZA"/>
        </w:rPr>
      </w:pPr>
    </w:p>
    <w:p w:rsidR="00592263" w:rsidRDefault="00592263" w:rsidP="000A5912">
      <w:pPr>
        <w:spacing w:line="360" w:lineRule="auto"/>
        <w:jc w:val="right"/>
        <w:rPr>
          <w:rFonts w:ascii="Arial" w:hAnsi="Arial" w:cs="Arial"/>
          <w:lang w:val="en-ZA"/>
        </w:rPr>
      </w:pPr>
    </w:p>
    <w:p w:rsidR="00592263" w:rsidRDefault="00592263"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304C29" w:rsidRDefault="00304C29" w:rsidP="000A5912">
      <w:pPr>
        <w:spacing w:line="360" w:lineRule="auto"/>
        <w:jc w:val="right"/>
        <w:rPr>
          <w:rFonts w:ascii="Arial" w:hAnsi="Arial" w:cs="Arial"/>
          <w:lang w:val="en-ZA"/>
        </w:rPr>
      </w:pPr>
    </w:p>
    <w:p w:rsidR="00304C29" w:rsidRDefault="00304C29" w:rsidP="000A5912">
      <w:pPr>
        <w:spacing w:line="360" w:lineRule="auto"/>
        <w:jc w:val="right"/>
        <w:rPr>
          <w:rFonts w:ascii="Arial" w:hAnsi="Arial" w:cs="Arial"/>
          <w:lang w:val="en-ZA"/>
        </w:rPr>
      </w:pPr>
    </w:p>
    <w:p w:rsidR="00304C29" w:rsidRDefault="00304C29"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471A4A" w:rsidRDefault="00471A4A" w:rsidP="00176493">
      <w:pPr>
        <w:spacing w:line="360" w:lineRule="auto"/>
        <w:jc w:val="both"/>
        <w:rPr>
          <w:rFonts w:ascii="Arial" w:hAnsi="Arial" w:cs="Arial"/>
          <w:lang w:val="en-ZA"/>
        </w:rPr>
      </w:pPr>
    </w:p>
    <w:p w:rsidR="00471A4A" w:rsidRDefault="00471A4A" w:rsidP="00176493">
      <w:pPr>
        <w:spacing w:line="360" w:lineRule="auto"/>
        <w:jc w:val="both"/>
        <w:rPr>
          <w:rFonts w:ascii="Arial" w:hAnsi="Arial" w:cs="Arial"/>
          <w:lang w:val="en-ZA"/>
        </w:rPr>
      </w:pPr>
    </w:p>
    <w:p w:rsidR="002A0D50" w:rsidRDefault="002A0D50" w:rsidP="00176493">
      <w:pPr>
        <w:spacing w:line="360" w:lineRule="auto"/>
        <w:jc w:val="both"/>
        <w:rPr>
          <w:rFonts w:ascii="Arial" w:hAnsi="Arial" w:cs="Arial"/>
          <w:lang w:val="en-ZA"/>
        </w:rPr>
      </w:pPr>
      <w:r w:rsidRPr="00D70426">
        <w:rPr>
          <w:rFonts w:ascii="Arial" w:hAnsi="Arial" w:cs="Arial"/>
          <w:lang w:val="en-ZA"/>
        </w:rPr>
        <w:t>APPEARANCES</w:t>
      </w:r>
    </w:p>
    <w:p w:rsidR="00304C29" w:rsidRDefault="00304C29" w:rsidP="00176493">
      <w:pPr>
        <w:spacing w:line="360" w:lineRule="auto"/>
        <w:jc w:val="both"/>
        <w:rPr>
          <w:rFonts w:ascii="Arial" w:hAnsi="Arial" w:cs="Arial"/>
          <w:lang w:val="en-ZA"/>
        </w:rPr>
      </w:pPr>
    </w:p>
    <w:p w:rsidR="00304C29" w:rsidRDefault="00304C29" w:rsidP="00176493">
      <w:pPr>
        <w:spacing w:line="360" w:lineRule="auto"/>
        <w:jc w:val="both"/>
        <w:rPr>
          <w:rFonts w:ascii="Arial" w:hAnsi="Arial" w:cs="Arial"/>
          <w:lang w:val="en-ZA"/>
        </w:rPr>
      </w:pPr>
    </w:p>
    <w:p w:rsidR="00304C29" w:rsidRPr="00D70426" w:rsidRDefault="00304C29" w:rsidP="00176493">
      <w:pPr>
        <w:spacing w:line="360" w:lineRule="auto"/>
        <w:jc w:val="both"/>
        <w:rPr>
          <w:rFonts w:ascii="Arial" w:hAnsi="Arial" w:cs="Arial"/>
          <w:lang w:val="en-ZA"/>
        </w:rPr>
      </w:pPr>
    </w:p>
    <w:p w:rsidR="008365DA" w:rsidRPr="00D70426" w:rsidRDefault="008365DA" w:rsidP="002A0D50">
      <w:pPr>
        <w:spacing w:line="360" w:lineRule="auto"/>
        <w:jc w:val="both"/>
        <w:rPr>
          <w:rFonts w:ascii="Arial" w:hAnsi="Arial" w:cs="Arial"/>
          <w:lang w:val="en-ZA"/>
        </w:rPr>
      </w:pPr>
    </w:p>
    <w:p w:rsidR="00304C29" w:rsidRDefault="00304C29" w:rsidP="00A20B00">
      <w:pPr>
        <w:spacing w:line="360" w:lineRule="auto"/>
        <w:jc w:val="both"/>
        <w:rPr>
          <w:rFonts w:ascii="Arial" w:hAnsi="Arial" w:cs="Arial"/>
          <w:lang w:val="en-ZA"/>
        </w:rPr>
      </w:pPr>
      <w:r>
        <w:rPr>
          <w:rFonts w:ascii="Arial" w:hAnsi="Arial" w:cs="Arial"/>
          <w:lang w:val="en-ZA"/>
        </w:rPr>
        <w:t>For the A</w:t>
      </w:r>
      <w:r w:rsidRPr="00D70426">
        <w:rPr>
          <w:rFonts w:ascii="Arial" w:hAnsi="Arial" w:cs="Arial"/>
          <w:lang w:val="en-ZA"/>
        </w:rPr>
        <w:t>ppellant: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Mr N Mbushandje</w:t>
      </w:r>
      <w:r w:rsidRPr="00D70426">
        <w:rPr>
          <w:rFonts w:ascii="Arial" w:hAnsi="Arial" w:cs="Arial"/>
          <w:lang w:val="en-ZA"/>
        </w:rPr>
        <w:tab/>
      </w:r>
    </w:p>
    <w:p w:rsidR="00A20B00" w:rsidRDefault="00304C29"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Sisa Namandje Inc.</w:t>
      </w:r>
      <w:r w:rsidRPr="00D70426">
        <w:rPr>
          <w:rFonts w:ascii="Arial" w:hAnsi="Arial" w:cs="Arial"/>
          <w:lang w:val="en-ZA"/>
        </w:rPr>
        <w:tab/>
      </w:r>
    </w:p>
    <w:p w:rsidR="00304C29" w:rsidRDefault="00304C29" w:rsidP="00A20B00">
      <w:pPr>
        <w:spacing w:line="360" w:lineRule="auto"/>
        <w:jc w:val="both"/>
        <w:rPr>
          <w:rFonts w:ascii="Arial" w:hAnsi="Arial" w:cs="Arial"/>
          <w:lang w:val="en-ZA"/>
        </w:rPr>
      </w:pPr>
    </w:p>
    <w:p w:rsidR="00304C29" w:rsidRDefault="00304C29" w:rsidP="00A20B00">
      <w:pPr>
        <w:spacing w:line="360" w:lineRule="auto"/>
        <w:jc w:val="both"/>
        <w:rPr>
          <w:rFonts w:ascii="Arial" w:hAnsi="Arial" w:cs="Arial"/>
          <w:lang w:val="en-ZA"/>
        </w:rPr>
      </w:pPr>
    </w:p>
    <w:p w:rsidR="00304C29" w:rsidRDefault="00304C29" w:rsidP="00A20B00">
      <w:pPr>
        <w:spacing w:line="360" w:lineRule="auto"/>
        <w:jc w:val="both"/>
        <w:rPr>
          <w:rFonts w:ascii="Arial" w:hAnsi="Arial" w:cs="Arial"/>
          <w:lang w:val="en-ZA"/>
        </w:rPr>
      </w:pPr>
    </w:p>
    <w:p w:rsidR="00F06B4D" w:rsidRPr="00D70426" w:rsidRDefault="00304C29"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304C29" w:rsidRDefault="00304C29" w:rsidP="000002F0">
      <w:pPr>
        <w:spacing w:line="360" w:lineRule="auto"/>
        <w:jc w:val="both"/>
        <w:rPr>
          <w:rFonts w:ascii="Arial" w:hAnsi="Arial" w:cs="Arial"/>
          <w:lang w:val="en-ZA"/>
        </w:rPr>
      </w:pPr>
      <w:r>
        <w:rPr>
          <w:rFonts w:ascii="Arial" w:hAnsi="Arial" w:cs="Arial"/>
          <w:lang w:val="en-ZA"/>
        </w:rPr>
        <w:t>For the Respondent</w:t>
      </w:r>
      <w:r>
        <w:rPr>
          <w:rFonts w:ascii="Arial" w:hAnsi="Arial" w:cs="Arial"/>
          <w:lang w:val="en-ZA"/>
        </w:rPr>
        <w:tab/>
        <w:t>:</w:t>
      </w:r>
      <w:r>
        <w:rPr>
          <w:rFonts w:ascii="Arial" w:hAnsi="Arial" w:cs="Arial"/>
          <w:lang w:val="en-ZA"/>
        </w:rPr>
        <w:tab/>
      </w:r>
      <w:r>
        <w:rPr>
          <w:rFonts w:ascii="Arial" w:hAnsi="Arial" w:cs="Arial"/>
          <w:lang w:val="en-ZA"/>
        </w:rPr>
        <w:tab/>
      </w:r>
      <w:r>
        <w:rPr>
          <w:rFonts w:ascii="Arial" w:hAnsi="Arial" w:cs="Arial"/>
          <w:lang w:val="en-ZA"/>
        </w:rPr>
        <w:tab/>
        <w:t>Mr Pienaar</w:t>
      </w:r>
    </w:p>
    <w:p w:rsidR="00F06B4D" w:rsidRPr="00D70426" w:rsidRDefault="00304C29"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General Office-oshakati</w:t>
      </w:r>
      <w:r>
        <w:rPr>
          <w:rFonts w:ascii="Arial" w:hAnsi="Arial" w:cs="Arial"/>
          <w:lang w:val="en-ZA"/>
        </w:rPr>
        <w:tab/>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9"/>
      <w:headerReference w:type="default" r:id="rId10"/>
      <w:headerReference w:type="firs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9A" w:rsidRDefault="00D05F9A">
      <w:r>
        <w:separator/>
      </w:r>
    </w:p>
  </w:endnote>
  <w:endnote w:type="continuationSeparator" w:id="0">
    <w:p w:rsidR="00D05F9A" w:rsidRDefault="00D0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9A" w:rsidRDefault="00D05F9A">
      <w:r>
        <w:separator/>
      </w:r>
    </w:p>
  </w:footnote>
  <w:footnote w:type="continuationSeparator" w:id="0">
    <w:p w:rsidR="00D05F9A" w:rsidRDefault="00D05F9A">
      <w:r>
        <w:continuationSeparator/>
      </w:r>
    </w:p>
  </w:footnote>
  <w:footnote w:id="1">
    <w:p w:rsidR="00B70566" w:rsidRPr="00B70566" w:rsidRDefault="00B70566">
      <w:pPr>
        <w:pStyle w:val="FootnoteText"/>
        <w:rPr>
          <w:lang w:val="en-US"/>
        </w:rPr>
      </w:pPr>
      <w:r>
        <w:rPr>
          <w:rStyle w:val="FootnoteReference"/>
        </w:rPr>
        <w:footnoteRef/>
      </w:r>
      <w:r>
        <w:t xml:space="preserve"> </w:t>
      </w:r>
      <w:r w:rsidRPr="009E1243">
        <w:rPr>
          <w:i/>
        </w:rPr>
        <w:t>S v SS</w:t>
      </w:r>
      <w:r w:rsidRPr="00B70566">
        <w:t xml:space="preserve"> 2014 (2) NR 399 (HC)</w:t>
      </w:r>
      <w:r>
        <w:t xml:space="preserve"> at page 408 para 33</w:t>
      </w:r>
    </w:p>
  </w:footnote>
  <w:footnote w:id="2">
    <w:p w:rsidR="00FF4188" w:rsidRPr="00FF4188" w:rsidRDefault="00FF4188">
      <w:pPr>
        <w:pStyle w:val="FootnoteText"/>
        <w:rPr>
          <w:lang w:val="en-US"/>
        </w:rPr>
      </w:pPr>
      <w:r>
        <w:rPr>
          <w:rStyle w:val="FootnoteReference"/>
        </w:rPr>
        <w:footnoteRef/>
      </w:r>
      <w:r>
        <w:t xml:space="preserve"> </w:t>
      </w:r>
      <w:r w:rsidRPr="009E1243">
        <w:rPr>
          <w:i/>
        </w:rPr>
        <w:t xml:space="preserve">S v </w:t>
      </w:r>
      <w:r w:rsidR="00507DF5" w:rsidRPr="009E1243">
        <w:rPr>
          <w:i/>
        </w:rPr>
        <w:t>Van Den Berg</w:t>
      </w:r>
      <w:r w:rsidR="00507DF5" w:rsidRPr="00FF4188">
        <w:t xml:space="preserve"> </w:t>
      </w:r>
      <w:r w:rsidRPr="00FF4188">
        <w:t>1995 NR 23 (HC)</w:t>
      </w:r>
    </w:p>
  </w:footnote>
  <w:footnote w:id="3">
    <w:p w:rsidR="00BC22A3" w:rsidRPr="00BC22A3" w:rsidRDefault="00BC22A3">
      <w:pPr>
        <w:pStyle w:val="FootnoteText"/>
        <w:rPr>
          <w:rFonts w:asciiTheme="minorHAnsi" w:hAnsiTheme="minorHAnsi" w:cstheme="minorHAnsi"/>
          <w:lang w:val="en-US"/>
        </w:rPr>
      </w:pPr>
      <w:r>
        <w:rPr>
          <w:rStyle w:val="FootnoteReference"/>
        </w:rPr>
        <w:footnoteRef/>
      </w:r>
      <w:r>
        <w:t xml:space="preserve"> </w:t>
      </w:r>
      <w:r w:rsidRPr="00304C29">
        <w:rPr>
          <w:rFonts w:asciiTheme="minorHAnsi" w:hAnsiTheme="minorHAnsi" w:cstheme="minorHAnsi"/>
          <w:i/>
        </w:rPr>
        <w:t>S v SS</w:t>
      </w:r>
      <w:r w:rsidRPr="00BC22A3">
        <w:rPr>
          <w:rFonts w:asciiTheme="minorHAnsi" w:hAnsiTheme="minorHAnsi" w:cstheme="minorHAnsi"/>
        </w:rPr>
        <w:t xml:space="preserve"> 2014 (2) NR 399 (HC) referring to </w:t>
      </w:r>
      <w:r w:rsidR="00507DF5">
        <w:rPr>
          <w:rFonts w:asciiTheme="minorHAnsi" w:hAnsiTheme="minorHAnsi" w:cstheme="minorHAnsi"/>
          <w:i/>
        </w:rPr>
        <w:t>S v Shikunga &amp; a</w:t>
      </w:r>
      <w:r w:rsidRPr="00304C29">
        <w:rPr>
          <w:rFonts w:asciiTheme="minorHAnsi" w:hAnsiTheme="minorHAnsi" w:cstheme="minorHAnsi"/>
          <w:i/>
        </w:rPr>
        <w:t>nother</w:t>
      </w:r>
      <w:r w:rsidRPr="00BC22A3">
        <w:rPr>
          <w:rFonts w:asciiTheme="minorHAnsi" w:hAnsiTheme="minorHAnsi" w:cstheme="minorHAnsi"/>
        </w:rPr>
        <w:t> 1997 NR 156 (SC)</w:t>
      </w:r>
      <w:r>
        <w:rPr>
          <w:rFonts w:asciiTheme="minorHAnsi" w:hAnsiTheme="minorHAnsi" w:cstheme="minorHAnsi"/>
        </w:rPr>
        <w:t xml:space="preserve"> at page 412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E378F9">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2A6"/>
    <w:multiLevelType w:val="hybridMultilevel"/>
    <w:tmpl w:val="B2F28830"/>
    <w:lvl w:ilvl="0" w:tplc="EFB45D54">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D393CBD"/>
    <w:multiLevelType w:val="hybridMultilevel"/>
    <w:tmpl w:val="6570E1FE"/>
    <w:lvl w:ilvl="0" w:tplc="C3D0977E">
      <w:start w:val="2"/>
      <w:numFmt w:val="bullet"/>
      <w:lvlText w:val="-"/>
      <w:lvlJc w:val="left"/>
      <w:pPr>
        <w:ind w:left="1140" w:hanging="360"/>
      </w:pPr>
      <w:rPr>
        <w:rFonts w:ascii="Arial" w:eastAsia="Times New Roman" w:hAnsi="Aria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83707A"/>
    <w:multiLevelType w:val="hybridMultilevel"/>
    <w:tmpl w:val="8DCC44F2"/>
    <w:lvl w:ilvl="0" w:tplc="5B96F4C4">
      <w:start w:val="2"/>
      <w:numFmt w:val="bullet"/>
      <w:lvlText w:val="-"/>
      <w:lvlJc w:val="left"/>
      <w:pPr>
        <w:ind w:left="1140" w:hanging="360"/>
      </w:pPr>
      <w:rPr>
        <w:rFonts w:ascii="Arial" w:eastAsia="Times New Roman" w:hAnsi="Aria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
    <w:nsid w:val="5DBF423E"/>
    <w:multiLevelType w:val="hybridMultilevel"/>
    <w:tmpl w:val="E8FA7F68"/>
    <w:lvl w:ilvl="0" w:tplc="4AB690DC">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60461BF"/>
    <w:multiLevelType w:val="hybridMultilevel"/>
    <w:tmpl w:val="549E8DAE"/>
    <w:lvl w:ilvl="0" w:tplc="32705D58">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34EA4"/>
    <w:rsid w:val="000444D5"/>
    <w:rsid w:val="00076953"/>
    <w:rsid w:val="00090F03"/>
    <w:rsid w:val="000A5912"/>
    <w:rsid w:val="000F05A9"/>
    <w:rsid w:val="001111F5"/>
    <w:rsid w:val="0013137F"/>
    <w:rsid w:val="00141125"/>
    <w:rsid w:val="00143F36"/>
    <w:rsid w:val="0014662D"/>
    <w:rsid w:val="0015092B"/>
    <w:rsid w:val="00153845"/>
    <w:rsid w:val="00176493"/>
    <w:rsid w:val="0018649E"/>
    <w:rsid w:val="001961DF"/>
    <w:rsid w:val="001E4660"/>
    <w:rsid w:val="001E542B"/>
    <w:rsid w:val="001E7CD9"/>
    <w:rsid w:val="00210744"/>
    <w:rsid w:val="00223975"/>
    <w:rsid w:val="0022612C"/>
    <w:rsid w:val="00227DE5"/>
    <w:rsid w:val="00250179"/>
    <w:rsid w:val="00251887"/>
    <w:rsid w:val="00275BF7"/>
    <w:rsid w:val="00291BBA"/>
    <w:rsid w:val="002A0D50"/>
    <w:rsid w:val="002A6422"/>
    <w:rsid w:val="002E76CF"/>
    <w:rsid w:val="002F6ADA"/>
    <w:rsid w:val="00304C29"/>
    <w:rsid w:val="003057E0"/>
    <w:rsid w:val="003209A3"/>
    <w:rsid w:val="00323AAF"/>
    <w:rsid w:val="00340732"/>
    <w:rsid w:val="003442F2"/>
    <w:rsid w:val="00351D1B"/>
    <w:rsid w:val="00366DE4"/>
    <w:rsid w:val="003B0AE9"/>
    <w:rsid w:val="003C089D"/>
    <w:rsid w:val="003D3C07"/>
    <w:rsid w:val="003E7ADD"/>
    <w:rsid w:val="004126FE"/>
    <w:rsid w:val="004251BB"/>
    <w:rsid w:val="00463105"/>
    <w:rsid w:val="00471A4A"/>
    <w:rsid w:val="00484ACA"/>
    <w:rsid w:val="00491337"/>
    <w:rsid w:val="0049320D"/>
    <w:rsid w:val="004C27B0"/>
    <w:rsid w:val="004C62C8"/>
    <w:rsid w:val="004D7768"/>
    <w:rsid w:val="004E7EC0"/>
    <w:rsid w:val="004F29C0"/>
    <w:rsid w:val="004F6EDD"/>
    <w:rsid w:val="0050251A"/>
    <w:rsid w:val="00507DF5"/>
    <w:rsid w:val="005223B2"/>
    <w:rsid w:val="00526120"/>
    <w:rsid w:val="005548FF"/>
    <w:rsid w:val="005632C1"/>
    <w:rsid w:val="00592263"/>
    <w:rsid w:val="005A193B"/>
    <w:rsid w:val="005A356F"/>
    <w:rsid w:val="005A6E59"/>
    <w:rsid w:val="005B46A4"/>
    <w:rsid w:val="005C38DF"/>
    <w:rsid w:val="005E14DB"/>
    <w:rsid w:val="006058AF"/>
    <w:rsid w:val="0061002F"/>
    <w:rsid w:val="0061029A"/>
    <w:rsid w:val="00610342"/>
    <w:rsid w:val="00612924"/>
    <w:rsid w:val="00612F96"/>
    <w:rsid w:val="00635D4F"/>
    <w:rsid w:val="006516E3"/>
    <w:rsid w:val="006652E7"/>
    <w:rsid w:val="00685321"/>
    <w:rsid w:val="006A2079"/>
    <w:rsid w:val="006D037E"/>
    <w:rsid w:val="006E137F"/>
    <w:rsid w:val="006F1710"/>
    <w:rsid w:val="0070636C"/>
    <w:rsid w:val="00713627"/>
    <w:rsid w:val="00722E1F"/>
    <w:rsid w:val="00743690"/>
    <w:rsid w:val="00745E13"/>
    <w:rsid w:val="00785609"/>
    <w:rsid w:val="007A0C65"/>
    <w:rsid w:val="007A26BB"/>
    <w:rsid w:val="007A47F4"/>
    <w:rsid w:val="007A5167"/>
    <w:rsid w:val="007C5DB3"/>
    <w:rsid w:val="007F0C05"/>
    <w:rsid w:val="007F1682"/>
    <w:rsid w:val="00806ABA"/>
    <w:rsid w:val="00811710"/>
    <w:rsid w:val="00811B5C"/>
    <w:rsid w:val="008250DF"/>
    <w:rsid w:val="008267BB"/>
    <w:rsid w:val="008365DA"/>
    <w:rsid w:val="00851D17"/>
    <w:rsid w:val="00882112"/>
    <w:rsid w:val="00896336"/>
    <w:rsid w:val="0089757C"/>
    <w:rsid w:val="008B0835"/>
    <w:rsid w:val="008B603C"/>
    <w:rsid w:val="008D1A9E"/>
    <w:rsid w:val="008E2430"/>
    <w:rsid w:val="008E5EE0"/>
    <w:rsid w:val="0090679E"/>
    <w:rsid w:val="00912801"/>
    <w:rsid w:val="0094364D"/>
    <w:rsid w:val="00947462"/>
    <w:rsid w:val="009A4B5A"/>
    <w:rsid w:val="009C2CD3"/>
    <w:rsid w:val="009D3BE4"/>
    <w:rsid w:val="009D5AD4"/>
    <w:rsid w:val="009D72A6"/>
    <w:rsid w:val="009E02A1"/>
    <w:rsid w:val="009E1243"/>
    <w:rsid w:val="009E41C3"/>
    <w:rsid w:val="00A144AD"/>
    <w:rsid w:val="00A20B00"/>
    <w:rsid w:val="00A31168"/>
    <w:rsid w:val="00A32BA4"/>
    <w:rsid w:val="00A42045"/>
    <w:rsid w:val="00A6573D"/>
    <w:rsid w:val="00A74E48"/>
    <w:rsid w:val="00A75037"/>
    <w:rsid w:val="00A879B3"/>
    <w:rsid w:val="00A9073F"/>
    <w:rsid w:val="00AA385F"/>
    <w:rsid w:val="00AB5966"/>
    <w:rsid w:val="00AC59B0"/>
    <w:rsid w:val="00AC7528"/>
    <w:rsid w:val="00AF0B28"/>
    <w:rsid w:val="00B05FB4"/>
    <w:rsid w:val="00B07D87"/>
    <w:rsid w:val="00B1228F"/>
    <w:rsid w:val="00B17592"/>
    <w:rsid w:val="00B35F5F"/>
    <w:rsid w:val="00B3661E"/>
    <w:rsid w:val="00B47797"/>
    <w:rsid w:val="00B6056C"/>
    <w:rsid w:val="00B62CA9"/>
    <w:rsid w:val="00B70048"/>
    <w:rsid w:val="00B70566"/>
    <w:rsid w:val="00B90DCD"/>
    <w:rsid w:val="00BC22A3"/>
    <w:rsid w:val="00BC4161"/>
    <w:rsid w:val="00BC538A"/>
    <w:rsid w:val="00C05B05"/>
    <w:rsid w:val="00C06675"/>
    <w:rsid w:val="00C421EA"/>
    <w:rsid w:val="00C83E4C"/>
    <w:rsid w:val="00C852D1"/>
    <w:rsid w:val="00C97786"/>
    <w:rsid w:val="00CA4466"/>
    <w:rsid w:val="00CB465F"/>
    <w:rsid w:val="00CE0DD9"/>
    <w:rsid w:val="00D05F9A"/>
    <w:rsid w:val="00D17803"/>
    <w:rsid w:val="00D24A1F"/>
    <w:rsid w:val="00D531D2"/>
    <w:rsid w:val="00D65A5E"/>
    <w:rsid w:val="00D70426"/>
    <w:rsid w:val="00D81B6E"/>
    <w:rsid w:val="00DA4CE3"/>
    <w:rsid w:val="00DA70D1"/>
    <w:rsid w:val="00DC5021"/>
    <w:rsid w:val="00DD6D29"/>
    <w:rsid w:val="00DF2B8A"/>
    <w:rsid w:val="00DF2D40"/>
    <w:rsid w:val="00E06182"/>
    <w:rsid w:val="00E07C65"/>
    <w:rsid w:val="00E13B0E"/>
    <w:rsid w:val="00E378F9"/>
    <w:rsid w:val="00E7716C"/>
    <w:rsid w:val="00E8226A"/>
    <w:rsid w:val="00E91EFB"/>
    <w:rsid w:val="00E974E7"/>
    <w:rsid w:val="00EB1F95"/>
    <w:rsid w:val="00EC5C32"/>
    <w:rsid w:val="00EC5F8C"/>
    <w:rsid w:val="00EE7376"/>
    <w:rsid w:val="00EF50D2"/>
    <w:rsid w:val="00EF62F8"/>
    <w:rsid w:val="00F02BC4"/>
    <w:rsid w:val="00F06B4D"/>
    <w:rsid w:val="00F25730"/>
    <w:rsid w:val="00F42672"/>
    <w:rsid w:val="00F4593B"/>
    <w:rsid w:val="00F515CF"/>
    <w:rsid w:val="00F620C0"/>
    <w:rsid w:val="00F622A6"/>
    <w:rsid w:val="00F75498"/>
    <w:rsid w:val="00F75C33"/>
    <w:rsid w:val="00FB5816"/>
    <w:rsid w:val="00FB6413"/>
    <w:rsid w:val="00FD7EC1"/>
    <w:rsid w:val="00FF41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EE016-F769-428F-AF32-D5C70E50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A3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2017-04-06T18:30:00+00:00</Judgment_x0020_Date>
    <Year xmlns="a036617c-f1b0-4353-ab0a-456b3885ee3b">2017</Year>
  </documentManagement>
</p:properties>
</file>

<file path=customXml/itemProps1.xml><?xml version="1.0" encoding="utf-8"?>
<ds:datastoreItem xmlns:ds="http://schemas.openxmlformats.org/officeDocument/2006/customXml" ds:itemID="{6D36F5FE-4B2E-49C5-A505-B38670143E9E}"/>
</file>

<file path=customXml/itemProps2.xml><?xml version="1.0" encoding="utf-8"?>
<ds:datastoreItem xmlns:ds="http://schemas.openxmlformats.org/officeDocument/2006/customXml" ds:itemID="{7812E909-A297-428E-854F-FE260428C541}"/>
</file>

<file path=customXml/itemProps3.xml><?xml version="1.0" encoding="utf-8"?>
<ds:datastoreItem xmlns:ds="http://schemas.openxmlformats.org/officeDocument/2006/customXml" ds:itemID="{AE1F1E91-A3D3-482B-8455-8FA5F8D33DE8}"/>
</file>

<file path=customXml/itemProps4.xml><?xml version="1.0" encoding="utf-8"?>
<ds:datastoreItem xmlns:ds="http://schemas.openxmlformats.org/officeDocument/2006/customXml" ds:itemID="{8DE7F039-A4FB-4A46-91A1-B4806F33FE26}"/>
</file>

<file path=docProps/app.xml><?xml version="1.0" encoding="utf-8"?>
<Properties xmlns="http://schemas.openxmlformats.org/officeDocument/2006/extended-properties" xmlns:vt="http://schemas.openxmlformats.org/officeDocument/2006/docPropsVTypes">
  <Template>Normal</Template>
  <TotalTime>2</TotalTime>
  <Pages>1</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Ambunda</cp:lastModifiedBy>
  <cp:revision>4</cp:revision>
  <cp:lastPrinted>2017-04-07T07:24:00Z</cp:lastPrinted>
  <dcterms:created xsi:type="dcterms:W3CDTF">2017-04-19T13:04:00Z</dcterms:created>
  <dcterms:modified xsi:type="dcterms:W3CDTF">2017-04-19T13:05:00Z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