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79" w:rsidRPr="00A74E48" w:rsidRDefault="001111F5" w:rsidP="009B5D79">
      <w:pPr>
        <w:spacing w:line="360" w:lineRule="auto"/>
        <w:jc w:val="right"/>
        <w:rPr>
          <w:rFonts w:ascii="Arial" w:hAnsi="Arial" w:cs="Arial"/>
        </w:rPr>
      </w:pPr>
      <w:bookmarkStart w:id="0" w:name="_GoBack"/>
      <w:bookmarkEnd w:id="0"/>
      <w:r w:rsidRPr="00AF0B28">
        <w:rPr>
          <w:rFonts w:ascii="Arial" w:hAnsi="Arial" w:cs="Arial"/>
          <w:b/>
        </w:rPr>
        <w:t>REPUBLIC OF NAMIBIA</w:t>
      </w:r>
      <w:r w:rsidR="009B5D79">
        <w:rPr>
          <w:rFonts w:ascii="Arial" w:hAnsi="Arial" w:cs="Arial"/>
          <w:b/>
        </w:rPr>
        <w:t xml:space="preserve">             </w:t>
      </w:r>
      <w:r w:rsidR="009B5D79" w:rsidRPr="009B5D79">
        <w:rPr>
          <w:rFonts w:ascii="Arial" w:hAnsi="Arial" w:cs="Arial"/>
          <w:sz w:val="20"/>
        </w:rPr>
        <w:t xml:space="preserve"> </w:t>
      </w:r>
      <w:r w:rsidR="009B5D79">
        <w:rPr>
          <w:rFonts w:ascii="Arial" w:hAnsi="Arial" w:cs="Arial"/>
          <w:sz w:val="20"/>
        </w:rPr>
        <w:t xml:space="preserve">NOT </w:t>
      </w:r>
      <w:r w:rsidR="009B5D79" w:rsidRPr="00A74E48">
        <w:rPr>
          <w:rFonts w:ascii="Arial" w:hAnsi="Arial" w:cs="Arial"/>
          <w:sz w:val="20"/>
        </w:rPr>
        <w:t>REPORTABLE</w:t>
      </w:r>
    </w:p>
    <w:p w:rsidR="00A75037" w:rsidRDefault="00A75037" w:rsidP="00A75037">
      <w:pPr>
        <w:spacing w:line="360" w:lineRule="auto"/>
        <w:jc w:val="center"/>
        <w:rPr>
          <w:rFonts w:ascii="Arial" w:hAnsi="Arial" w:cs="Arial"/>
          <w:sz w:val="20"/>
        </w:rPr>
      </w:pP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F27F95" w:rsidP="00176493">
      <w:pPr>
        <w:spacing w:line="360" w:lineRule="auto"/>
        <w:jc w:val="center"/>
        <w:rPr>
          <w:rFonts w:ascii="Arial" w:hAnsi="Arial" w:cs="Arial"/>
          <w:b/>
          <w:lang w:val="en-ZA"/>
        </w:rPr>
      </w:pPr>
      <w:r>
        <w:rPr>
          <w:rFonts w:ascii="Arial" w:hAnsi="Arial" w:cs="Arial"/>
          <w:b/>
          <w:lang w:val="en-ZA"/>
        </w:rPr>
        <w:t xml:space="preserve">APPLICATION FOR LEAVE TO APPEAL </w:t>
      </w:r>
    </w:p>
    <w:p w:rsidR="009B5D79" w:rsidRDefault="009B5D79" w:rsidP="00176493">
      <w:pPr>
        <w:spacing w:line="360" w:lineRule="auto"/>
        <w:jc w:val="center"/>
        <w:rPr>
          <w:rFonts w:ascii="Arial" w:hAnsi="Arial" w:cs="Arial"/>
          <w:b/>
          <w:lang w:val="en-ZA"/>
        </w:rPr>
      </w:pP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C</w:t>
      </w:r>
      <w:r w:rsidR="00F27F95">
        <w:rPr>
          <w:rFonts w:ascii="Arial" w:hAnsi="Arial" w:cs="Arial"/>
          <w:lang w:val="en-ZA"/>
        </w:rPr>
        <w:t xml:space="preserve">C </w:t>
      </w:r>
      <w:r w:rsidR="00F2305B">
        <w:rPr>
          <w:rFonts w:ascii="Arial" w:hAnsi="Arial" w:cs="Arial"/>
          <w:lang w:val="en-ZA"/>
        </w:rPr>
        <w:t>11</w:t>
      </w:r>
      <w:r w:rsidR="00F27F95">
        <w:rPr>
          <w:rFonts w:ascii="Arial" w:hAnsi="Arial" w:cs="Arial"/>
          <w:lang w:val="en-ZA"/>
        </w:rPr>
        <w:t>/20</w:t>
      </w:r>
      <w:r w:rsidR="00F2305B">
        <w:rPr>
          <w:rFonts w:ascii="Arial" w:hAnsi="Arial" w:cs="Arial"/>
          <w:lang w:val="en-ZA"/>
        </w:rPr>
        <w:t>13</w:t>
      </w:r>
      <w:r w:rsidR="008250DF">
        <w:rPr>
          <w:rFonts w:ascii="Arial" w:hAnsi="Arial" w:cs="Arial"/>
          <w:lang w:val="en-ZA"/>
        </w:rPr>
        <w:t xml:space="preserve"> </w:t>
      </w:r>
    </w:p>
    <w:p w:rsidR="00E07C65" w:rsidRPr="00E07C65" w:rsidRDefault="00E07C65"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F2305B" w:rsidRDefault="00F2305B" w:rsidP="00176493">
      <w:pPr>
        <w:spacing w:line="360" w:lineRule="auto"/>
        <w:jc w:val="both"/>
        <w:rPr>
          <w:rFonts w:ascii="Arial" w:hAnsi="Arial" w:cs="Arial"/>
          <w:b/>
          <w:lang w:val="en-ZA"/>
        </w:rPr>
      </w:pPr>
      <w:r>
        <w:rPr>
          <w:rFonts w:ascii="Arial" w:hAnsi="Arial" w:cs="Arial"/>
          <w:b/>
          <w:lang w:val="en-ZA"/>
        </w:rPr>
        <w:t>THE STATE</w:t>
      </w:r>
      <w:r w:rsidR="00C05B05" w:rsidRPr="00340732">
        <w:rPr>
          <w:rFonts w:ascii="Arial" w:hAnsi="Arial" w:cs="Arial"/>
          <w:b/>
          <w:lang w:val="en-ZA"/>
        </w:rPr>
        <w:tab/>
      </w:r>
      <w:r w:rsidR="008250DF">
        <w:rPr>
          <w:rFonts w:ascii="Arial" w:hAnsi="Arial" w:cs="Arial"/>
          <w:b/>
          <w:lang w:val="en-ZA"/>
        </w:rPr>
        <w:tab/>
        <w:t xml:space="preserve">                </w:t>
      </w:r>
      <w:r w:rsidR="00F27F95">
        <w:rPr>
          <w:rFonts w:ascii="Arial" w:hAnsi="Arial" w:cs="Arial"/>
          <w:b/>
          <w:lang w:val="en-ZA"/>
        </w:rPr>
        <w:tab/>
      </w:r>
      <w:r w:rsidR="00F27F95">
        <w:rPr>
          <w:rFonts w:ascii="Arial" w:hAnsi="Arial" w:cs="Arial"/>
          <w:b/>
          <w:lang w:val="en-ZA"/>
        </w:rPr>
        <w:tab/>
      </w:r>
      <w:r w:rsidR="00F27F95">
        <w:rPr>
          <w:rFonts w:ascii="Arial" w:hAnsi="Arial" w:cs="Arial"/>
          <w:b/>
          <w:lang w:val="en-ZA"/>
        </w:rPr>
        <w:tab/>
      </w:r>
      <w:r>
        <w:rPr>
          <w:rFonts w:ascii="Arial" w:hAnsi="Arial" w:cs="Arial"/>
          <w:b/>
          <w:lang w:val="en-ZA"/>
        </w:rPr>
        <w:tab/>
      </w:r>
      <w:r>
        <w:rPr>
          <w:rFonts w:ascii="Arial" w:hAnsi="Arial" w:cs="Arial"/>
          <w:b/>
          <w:lang w:val="en-ZA"/>
        </w:rPr>
        <w:tab/>
      </w:r>
      <w:r w:rsidR="009B5D79">
        <w:rPr>
          <w:rFonts w:ascii="Arial" w:hAnsi="Arial" w:cs="Arial"/>
          <w:b/>
          <w:lang w:val="en-ZA"/>
        </w:rPr>
        <w:t xml:space="preserve">      </w:t>
      </w:r>
      <w:r w:rsidR="00033F3F" w:rsidRPr="00340732">
        <w:rPr>
          <w:rFonts w:ascii="Arial" w:hAnsi="Arial" w:cs="Arial"/>
          <w:b/>
          <w:lang w:val="en-ZA"/>
        </w:rPr>
        <w:t>APP</w:t>
      </w:r>
      <w:r>
        <w:rPr>
          <w:rFonts w:ascii="Arial" w:hAnsi="Arial" w:cs="Arial"/>
          <w:b/>
          <w:lang w:val="en-ZA"/>
        </w:rPr>
        <w:t>LICANT</w:t>
      </w:r>
    </w:p>
    <w:p w:rsidR="00F2305B" w:rsidRDefault="00F2305B" w:rsidP="00176493">
      <w:pPr>
        <w:spacing w:line="360" w:lineRule="auto"/>
        <w:jc w:val="both"/>
        <w:rPr>
          <w:rFonts w:ascii="Arial" w:hAnsi="Arial" w:cs="Arial"/>
          <w:b/>
          <w:lang w:val="en-ZA"/>
        </w:rPr>
      </w:pPr>
    </w:p>
    <w:p w:rsidR="00F2305B" w:rsidRDefault="00F2305B" w:rsidP="00176493">
      <w:pPr>
        <w:spacing w:line="360" w:lineRule="auto"/>
        <w:jc w:val="both"/>
        <w:rPr>
          <w:rFonts w:ascii="Arial" w:hAnsi="Arial" w:cs="Arial"/>
          <w:b/>
          <w:lang w:val="en-ZA"/>
        </w:rPr>
      </w:pPr>
    </w:p>
    <w:p w:rsidR="00033F3F" w:rsidRPr="00340732" w:rsidRDefault="00F2305B" w:rsidP="00176493">
      <w:pPr>
        <w:spacing w:line="360" w:lineRule="auto"/>
        <w:jc w:val="both"/>
        <w:rPr>
          <w:rFonts w:ascii="Arial" w:hAnsi="Arial" w:cs="Arial"/>
          <w:lang w:val="en-ZA"/>
        </w:rPr>
      </w:pPr>
      <w:r w:rsidRPr="00340732">
        <w:rPr>
          <w:rFonts w:ascii="Arial" w:hAnsi="Arial" w:cs="Arial"/>
          <w:lang w:val="en-ZA"/>
        </w:rPr>
        <w:t xml:space="preserve"> </w:t>
      </w:r>
      <w:r w:rsidR="00033F3F"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F2305B" w:rsidRDefault="00F2305B" w:rsidP="00176493">
      <w:pPr>
        <w:spacing w:line="360" w:lineRule="auto"/>
        <w:jc w:val="both"/>
        <w:rPr>
          <w:rFonts w:ascii="Arial" w:hAnsi="Arial" w:cs="Arial"/>
          <w:b/>
          <w:lang w:val="en-ZA"/>
        </w:rPr>
      </w:pPr>
    </w:p>
    <w:p w:rsidR="00033F3F" w:rsidRPr="00340732" w:rsidRDefault="00F2305B" w:rsidP="00176493">
      <w:pPr>
        <w:spacing w:line="360" w:lineRule="auto"/>
        <w:jc w:val="both"/>
        <w:rPr>
          <w:rFonts w:ascii="Arial" w:hAnsi="Arial" w:cs="Arial"/>
          <w:b/>
          <w:lang w:val="en-ZA"/>
        </w:rPr>
      </w:pPr>
      <w:r>
        <w:rPr>
          <w:rFonts w:ascii="Arial" w:hAnsi="Arial" w:cs="Arial"/>
          <w:b/>
          <w:lang w:val="en-ZA"/>
        </w:rPr>
        <w:t>MOSES HIMELUNDILWA ALFRED</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Pr>
          <w:rFonts w:ascii="Arial" w:hAnsi="Arial" w:cs="Arial"/>
          <w:b/>
          <w:lang w:val="en-ZA"/>
        </w:rPr>
        <w:tab/>
      </w:r>
      <w:r w:rsidR="009B5D79">
        <w:rPr>
          <w:rFonts w:ascii="Arial" w:hAnsi="Arial" w:cs="Arial"/>
          <w:b/>
          <w:lang w:val="en-ZA"/>
        </w:rPr>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D20E33">
      <w:pPr>
        <w:spacing w:line="360" w:lineRule="auto"/>
        <w:ind w:left="2268" w:hanging="2268"/>
        <w:jc w:val="both"/>
        <w:rPr>
          <w:rFonts w:ascii="Arial" w:hAnsi="Arial" w:cs="Arial"/>
          <w:lang w:val="en-ZA"/>
        </w:rPr>
      </w:pPr>
      <w:r>
        <w:rPr>
          <w:rFonts w:ascii="Arial" w:hAnsi="Arial" w:cs="Arial"/>
          <w:b/>
          <w:lang w:val="en-ZA"/>
        </w:rPr>
        <w:t xml:space="preserve">Neutral citation:  </w:t>
      </w:r>
      <w:r w:rsidR="000002F0">
        <w:rPr>
          <w:rFonts w:ascii="Arial" w:hAnsi="Arial" w:cs="Arial"/>
          <w:b/>
          <w:lang w:val="en-ZA"/>
        </w:rPr>
        <w:t xml:space="preserve"> </w:t>
      </w:r>
      <w:r w:rsidR="002D1069">
        <w:rPr>
          <w:rFonts w:ascii="Arial" w:hAnsi="Arial" w:cs="Arial"/>
          <w:i/>
          <w:lang w:val="en-ZA"/>
        </w:rPr>
        <w:t>S</w:t>
      </w:r>
      <w:r w:rsidR="000002F0">
        <w:rPr>
          <w:rFonts w:ascii="Arial" w:hAnsi="Arial" w:cs="Arial"/>
          <w:i/>
          <w:lang w:val="en-ZA"/>
        </w:rPr>
        <w:t xml:space="preserve"> v </w:t>
      </w:r>
      <w:r w:rsidR="00F2305B">
        <w:rPr>
          <w:rFonts w:ascii="Arial" w:hAnsi="Arial" w:cs="Arial"/>
          <w:i/>
          <w:lang w:val="en-ZA"/>
        </w:rPr>
        <w:t xml:space="preserve">Alfred </w:t>
      </w:r>
      <w:r w:rsidR="00F2305B">
        <w:rPr>
          <w:rFonts w:ascii="Arial" w:hAnsi="Arial" w:cs="Arial"/>
          <w:lang w:val="en-ZA"/>
        </w:rPr>
        <w:t>(CC</w:t>
      </w:r>
      <w:r w:rsidR="006E508B">
        <w:rPr>
          <w:rFonts w:ascii="Arial" w:hAnsi="Arial" w:cs="Arial"/>
          <w:lang w:val="en-ZA"/>
        </w:rPr>
        <w:t xml:space="preserve"> </w:t>
      </w:r>
      <w:r w:rsidR="00F2305B">
        <w:rPr>
          <w:rFonts w:ascii="Arial" w:hAnsi="Arial" w:cs="Arial"/>
          <w:lang w:val="en-ZA"/>
        </w:rPr>
        <w:t>11</w:t>
      </w:r>
      <w:r w:rsidR="006E508B">
        <w:rPr>
          <w:rFonts w:ascii="Arial" w:hAnsi="Arial" w:cs="Arial"/>
          <w:lang w:val="en-ZA"/>
        </w:rPr>
        <w:t xml:space="preserve"> </w:t>
      </w:r>
      <w:r w:rsidR="00F2305B">
        <w:rPr>
          <w:rFonts w:ascii="Arial" w:hAnsi="Arial" w:cs="Arial"/>
          <w:lang w:val="en-ZA"/>
        </w:rPr>
        <w:t>/</w:t>
      </w:r>
      <w:r w:rsidR="006E508B">
        <w:rPr>
          <w:rFonts w:ascii="Arial" w:hAnsi="Arial" w:cs="Arial"/>
          <w:lang w:val="en-ZA"/>
        </w:rPr>
        <w:t xml:space="preserve"> </w:t>
      </w:r>
      <w:r w:rsidR="00F2305B">
        <w:rPr>
          <w:rFonts w:ascii="Arial" w:hAnsi="Arial" w:cs="Arial"/>
          <w:lang w:val="en-ZA"/>
        </w:rPr>
        <w:t>2013</w:t>
      </w:r>
      <w:r w:rsidR="00210744">
        <w:rPr>
          <w:rFonts w:ascii="Arial" w:hAnsi="Arial" w:cs="Arial"/>
          <w:lang w:val="en-ZA"/>
        </w:rPr>
        <w:t>) [20</w:t>
      </w:r>
      <w:r w:rsidR="00CE0DD9">
        <w:rPr>
          <w:rFonts w:ascii="Arial" w:hAnsi="Arial" w:cs="Arial"/>
          <w:lang w:val="en-ZA"/>
        </w:rPr>
        <w:t>1</w:t>
      </w:r>
      <w:r w:rsidR="00F2305B">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6E5E6E">
        <w:rPr>
          <w:rFonts w:ascii="Arial" w:hAnsi="Arial" w:cs="Arial"/>
          <w:lang w:val="en-ZA"/>
        </w:rPr>
        <w:t>64</w:t>
      </w:r>
      <w:r w:rsidR="00D20E33">
        <w:rPr>
          <w:rFonts w:ascii="Arial" w:hAnsi="Arial" w:cs="Arial"/>
          <w:lang w:val="en-ZA"/>
        </w:rPr>
        <w:t xml:space="preserve"> </w:t>
      </w:r>
      <w:r w:rsidR="00AC7528">
        <w:rPr>
          <w:rFonts w:ascii="Arial" w:hAnsi="Arial" w:cs="Arial"/>
          <w:lang w:val="en-ZA"/>
        </w:rPr>
        <w:t>(</w:t>
      </w:r>
      <w:r w:rsidR="00F2305B">
        <w:rPr>
          <w:rFonts w:ascii="Arial" w:hAnsi="Arial" w:cs="Arial"/>
          <w:lang w:val="en-ZA"/>
        </w:rPr>
        <w:t>06 July 2017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F2305B"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F2305B">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09129F">
        <w:rPr>
          <w:rFonts w:ascii="Arial" w:hAnsi="Arial" w:cs="Arial"/>
          <w:lang w:val="en-ZA"/>
        </w:rPr>
        <w:t>27 June 2017</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F2305B">
        <w:rPr>
          <w:rFonts w:ascii="Arial" w:hAnsi="Arial" w:cs="Arial"/>
          <w:lang w:val="en-ZA"/>
        </w:rPr>
        <w:t>06 July 2017</w:t>
      </w:r>
    </w:p>
    <w:p w:rsidR="00635D4F" w:rsidRDefault="00635D4F" w:rsidP="00CA4466">
      <w:pPr>
        <w:spacing w:line="360" w:lineRule="auto"/>
        <w:jc w:val="both"/>
        <w:rPr>
          <w:rFonts w:ascii="Arial" w:hAnsi="Arial" w:cs="Arial"/>
          <w:lang w:val="en-ZA"/>
        </w:rPr>
      </w:pPr>
    </w:p>
    <w:p w:rsidR="005B46A4" w:rsidRDefault="00635D4F" w:rsidP="00CA4466">
      <w:pPr>
        <w:spacing w:line="360" w:lineRule="auto"/>
        <w:jc w:val="both"/>
        <w:rPr>
          <w:rFonts w:ascii="Arial" w:hAnsi="Arial" w:cs="Arial"/>
          <w:b/>
          <w:lang w:val="en-ZA"/>
        </w:rPr>
      </w:pPr>
      <w:r>
        <w:rPr>
          <w:rFonts w:ascii="Arial" w:hAnsi="Arial" w:cs="Arial"/>
          <w:b/>
          <w:lang w:val="en-ZA"/>
        </w:rPr>
        <w:t>Flynote:</w:t>
      </w:r>
      <w:r w:rsidR="00F2305B">
        <w:rPr>
          <w:rFonts w:ascii="Arial" w:hAnsi="Arial" w:cs="Arial"/>
          <w:b/>
          <w:lang w:val="en-ZA"/>
        </w:rPr>
        <w:tab/>
      </w:r>
      <w:r w:rsidR="00F2305B" w:rsidRPr="00F2305B">
        <w:rPr>
          <w:rFonts w:ascii="Arial" w:hAnsi="Arial" w:cs="Arial"/>
          <w:lang w:val="en-ZA"/>
        </w:rPr>
        <w:t xml:space="preserve">Criminal </w:t>
      </w:r>
      <w:r w:rsidR="00F2305B">
        <w:rPr>
          <w:rFonts w:ascii="Arial" w:hAnsi="Arial" w:cs="Arial"/>
          <w:lang w:val="en-ZA"/>
        </w:rPr>
        <w:t xml:space="preserve">Procedure – Application for leave to Appeal - </w:t>
      </w:r>
      <w:r w:rsidR="00F2305B" w:rsidRPr="00322A3C">
        <w:rPr>
          <w:rFonts w:ascii="Arial" w:eastAsiaTheme="minorHAnsi" w:hAnsi="Arial" w:cs="Arial"/>
          <w:lang w:val="en-ZA" w:eastAsia="en-US"/>
        </w:rPr>
        <w:t>court ought to refuse leave where prospects of success are absent and grant leave where prospects exist after a well-considered conclusion on the facts.</w:t>
      </w:r>
    </w:p>
    <w:p w:rsidR="009B5D79" w:rsidRDefault="009B5D79" w:rsidP="00CA4466">
      <w:pPr>
        <w:spacing w:line="360" w:lineRule="auto"/>
        <w:jc w:val="both"/>
        <w:rPr>
          <w:rFonts w:ascii="Arial" w:hAnsi="Arial" w:cs="Arial"/>
          <w:b/>
          <w:lang w:val="en-ZA"/>
        </w:rPr>
      </w:pPr>
    </w:p>
    <w:p w:rsidR="009B5D79" w:rsidRPr="00340732" w:rsidRDefault="009B5D79"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lastRenderedPageBreak/>
        <w:t>______________________________________________________________</w:t>
      </w:r>
    </w:p>
    <w:p w:rsidR="009B5D79" w:rsidRDefault="009B5D79" w:rsidP="00176493">
      <w:pPr>
        <w:pBdr>
          <w:bottom w:val="single" w:sz="12" w:space="1" w:color="auto"/>
        </w:pBdr>
        <w:spacing w:line="360" w:lineRule="auto"/>
        <w:jc w:val="center"/>
        <w:rPr>
          <w:rFonts w:ascii="Arial" w:hAnsi="Arial" w:cs="Arial"/>
          <w:b/>
          <w:lang w:val="en-ZA"/>
        </w:rPr>
      </w:pPr>
    </w:p>
    <w:p w:rsidR="00D20E33"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9B5D79" w:rsidRDefault="009B5D79" w:rsidP="00176493">
      <w:pPr>
        <w:pBdr>
          <w:bottom w:val="single" w:sz="12" w:space="1" w:color="auto"/>
        </w:pBdr>
        <w:spacing w:line="360" w:lineRule="auto"/>
        <w:jc w:val="center"/>
        <w:rPr>
          <w:rFonts w:ascii="Arial" w:hAnsi="Arial" w:cs="Arial"/>
          <w:b/>
          <w:lang w:val="en-ZA"/>
        </w:rPr>
      </w:pPr>
    </w:p>
    <w:p w:rsidR="009B5D79" w:rsidRDefault="009B5D79" w:rsidP="004E383E">
      <w:pPr>
        <w:spacing w:after="160" w:line="360" w:lineRule="auto"/>
        <w:jc w:val="both"/>
        <w:rPr>
          <w:rFonts w:ascii="Arial" w:hAnsi="Arial" w:cs="Arial"/>
          <w:b/>
          <w:u w:val="single"/>
          <w:lang w:val="en-ZA"/>
        </w:rPr>
      </w:pPr>
    </w:p>
    <w:p w:rsidR="004E383E" w:rsidRPr="00322A3C" w:rsidRDefault="004E383E" w:rsidP="004E383E">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 xml:space="preserve">The application for leave to appeal is dismissed.  </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322A3C" w:rsidRDefault="000002F0" w:rsidP="00A17794">
      <w:pPr>
        <w:spacing w:line="360" w:lineRule="auto"/>
        <w:jc w:val="both"/>
        <w:rPr>
          <w:rFonts w:ascii="Arial" w:hAnsi="Arial" w:cs="Arial"/>
          <w:lang w:val="en-ZA"/>
        </w:rPr>
      </w:pPr>
      <w:r w:rsidRPr="00322A3C">
        <w:rPr>
          <w:rFonts w:ascii="Arial" w:hAnsi="Arial" w:cs="Arial"/>
          <w:lang w:val="en-ZA"/>
        </w:rPr>
        <w:t xml:space="preserve">TOMMASI </w:t>
      </w:r>
      <w:r w:rsidR="008250DF" w:rsidRPr="00322A3C">
        <w:rPr>
          <w:rFonts w:ascii="Arial" w:hAnsi="Arial" w:cs="Arial"/>
          <w:lang w:val="en-ZA"/>
        </w:rPr>
        <w:t>J</w:t>
      </w:r>
      <w:r w:rsidR="00E13B0E" w:rsidRPr="00322A3C">
        <w:rPr>
          <w:rFonts w:ascii="Arial" w:hAnsi="Arial" w:cs="Arial"/>
          <w:lang w:val="en-ZA"/>
        </w:rPr>
        <w:t>:</w:t>
      </w:r>
      <w:r w:rsidR="00033F3F" w:rsidRPr="00322A3C">
        <w:rPr>
          <w:rFonts w:ascii="Arial" w:hAnsi="Arial" w:cs="Arial"/>
          <w:lang w:val="en-ZA"/>
        </w:rPr>
        <w:t xml:space="preserve">    </w:t>
      </w:r>
    </w:p>
    <w:p w:rsidR="00AC7528" w:rsidRPr="00322A3C" w:rsidRDefault="00AC7528" w:rsidP="00A17794">
      <w:pPr>
        <w:spacing w:line="360" w:lineRule="auto"/>
        <w:jc w:val="both"/>
        <w:rPr>
          <w:rFonts w:ascii="Arial" w:hAnsi="Arial" w:cs="Arial"/>
          <w:lang w:val="en-ZA"/>
        </w:rPr>
      </w:pP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[1]</w:t>
      </w:r>
      <w:r w:rsidRPr="00322A3C">
        <w:rPr>
          <w:rFonts w:ascii="Arial" w:eastAsiaTheme="minorHAnsi" w:hAnsi="Arial" w:cs="Arial"/>
          <w:lang w:val="en-ZA" w:eastAsia="en-US"/>
        </w:rPr>
        <w:tab/>
        <w:t xml:space="preserve">The applicant herein is seeking leave to appeal against the sentence imposed by this court. The respondent was convicted of </w:t>
      </w:r>
      <w:r w:rsidR="009763D1">
        <w:rPr>
          <w:rFonts w:ascii="Arial" w:eastAsiaTheme="minorHAnsi" w:hAnsi="Arial" w:cs="Arial"/>
          <w:lang w:val="en-ZA" w:eastAsia="en-US"/>
        </w:rPr>
        <w:t>m</w:t>
      </w:r>
      <w:r w:rsidRPr="00322A3C">
        <w:rPr>
          <w:rFonts w:ascii="Arial" w:eastAsiaTheme="minorHAnsi" w:hAnsi="Arial" w:cs="Arial"/>
          <w:lang w:val="en-ZA" w:eastAsia="en-US"/>
        </w:rPr>
        <w:t>urder with direct intention to kill. He was sentenced to 23 years</w:t>
      </w:r>
      <w:r w:rsidR="009763D1">
        <w:rPr>
          <w:rFonts w:ascii="Arial" w:eastAsiaTheme="minorHAnsi" w:hAnsi="Arial" w:cs="Arial"/>
          <w:lang w:val="en-ZA" w:eastAsia="en-US"/>
        </w:rPr>
        <w:t>’</w:t>
      </w:r>
      <w:r w:rsidRPr="00322A3C">
        <w:rPr>
          <w:rFonts w:ascii="Arial" w:eastAsiaTheme="minorHAnsi" w:hAnsi="Arial" w:cs="Arial"/>
          <w:lang w:val="en-ZA" w:eastAsia="en-US"/>
        </w:rPr>
        <w:t xml:space="preserve"> imprisonment of which five years</w:t>
      </w:r>
      <w:r w:rsidR="009763D1">
        <w:rPr>
          <w:rFonts w:ascii="Arial" w:eastAsiaTheme="minorHAnsi" w:hAnsi="Arial" w:cs="Arial"/>
          <w:lang w:val="en-ZA" w:eastAsia="en-US"/>
        </w:rPr>
        <w:t>’ imprisonment</w:t>
      </w:r>
      <w:r w:rsidRPr="00322A3C">
        <w:rPr>
          <w:rFonts w:ascii="Arial" w:eastAsiaTheme="minorHAnsi" w:hAnsi="Arial" w:cs="Arial"/>
          <w:lang w:val="en-ZA" w:eastAsia="en-US"/>
        </w:rPr>
        <w:t xml:space="preserve"> were suspended for five years on condition that </w:t>
      </w:r>
      <w:r w:rsidR="009763D1">
        <w:rPr>
          <w:rFonts w:ascii="Arial" w:eastAsiaTheme="minorHAnsi" w:hAnsi="Arial" w:cs="Arial"/>
          <w:lang w:val="en-ZA" w:eastAsia="en-US"/>
        </w:rPr>
        <w:t>he</w:t>
      </w:r>
      <w:r w:rsidRPr="00322A3C">
        <w:rPr>
          <w:rFonts w:ascii="Arial" w:eastAsiaTheme="minorHAnsi" w:hAnsi="Arial" w:cs="Arial"/>
          <w:lang w:val="en-ZA" w:eastAsia="en-US"/>
        </w:rPr>
        <w:t xml:space="preserve"> is not convicted of murder </w:t>
      </w:r>
      <w:r w:rsidR="009763D1">
        <w:rPr>
          <w:rFonts w:ascii="Arial" w:eastAsiaTheme="minorHAnsi" w:hAnsi="Arial" w:cs="Arial"/>
          <w:lang w:val="en-ZA" w:eastAsia="en-US"/>
        </w:rPr>
        <w:t xml:space="preserve">or any offence involving violence, committed </w:t>
      </w:r>
      <w:r w:rsidRPr="00322A3C">
        <w:rPr>
          <w:rFonts w:ascii="Arial" w:eastAsiaTheme="minorHAnsi" w:hAnsi="Arial" w:cs="Arial"/>
          <w:lang w:val="en-ZA" w:eastAsia="en-US"/>
        </w:rPr>
        <w:t>during the period of suspension.</w:t>
      </w: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w:t>
      </w:r>
      <w:r w:rsidR="00F2305B">
        <w:rPr>
          <w:rFonts w:ascii="Arial" w:eastAsiaTheme="minorHAnsi" w:hAnsi="Arial" w:cs="Arial"/>
          <w:lang w:val="en-ZA" w:eastAsia="en-US"/>
        </w:rPr>
        <w:t>2</w:t>
      </w:r>
      <w:r w:rsidRPr="00322A3C">
        <w:rPr>
          <w:rFonts w:ascii="Arial" w:eastAsiaTheme="minorHAnsi" w:hAnsi="Arial" w:cs="Arial"/>
          <w:lang w:val="en-ZA" w:eastAsia="en-US"/>
        </w:rPr>
        <w:t>]</w:t>
      </w:r>
      <w:r w:rsidRPr="00322A3C">
        <w:rPr>
          <w:rFonts w:ascii="Arial" w:eastAsiaTheme="minorHAnsi" w:hAnsi="Arial" w:cs="Arial"/>
          <w:lang w:val="en-ZA" w:eastAsia="en-US"/>
        </w:rPr>
        <w:tab/>
        <w:t>The grounds of appeal are that the learned judge:</w:t>
      </w:r>
    </w:p>
    <w:p w:rsidR="00322A3C" w:rsidRPr="00322A3C" w:rsidRDefault="00322A3C" w:rsidP="00A17794">
      <w:pPr>
        <w:spacing w:after="160" w:line="360" w:lineRule="auto"/>
        <w:ind w:left="1440" w:hanging="720"/>
        <w:jc w:val="both"/>
        <w:rPr>
          <w:rFonts w:ascii="Arial" w:eastAsiaTheme="minorHAnsi" w:hAnsi="Arial" w:cs="Arial"/>
          <w:lang w:val="en-ZA" w:eastAsia="en-US"/>
        </w:rPr>
      </w:pPr>
      <w:r w:rsidRPr="00322A3C">
        <w:rPr>
          <w:rFonts w:ascii="Arial" w:eastAsiaTheme="minorHAnsi" w:hAnsi="Arial" w:cs="Arial"/>
          <w:lang w:val="en-ZA" w:eastAsia="en-US"/>
        </w:rPr>
        <w:t>1.</w:t>
      </w:r>
      <w:r w:rsidRPr="00322A3C">
        <w:rPr>
          <w:rFonts w:ascii="Arial" w:eastAsiaTheme="minorHAnsi" w:hAnsi="Arial" w:cs="Arial"/>
          <w:lang w:val="en-ZA" w:eastAsia="en-US"/>
        </w:rPr>
        <w:tab/>
        <w:t>Over-emphasised the respondent’s belie</w:t>
      </w:r>
      <w:r w:rsidR="009B5D79">
        <w:rPr>
          <w:rFonts w:ascii="Arial" w:eastAsiaTheme="minorHAnsi" w:hAnsi="Arial" w:cs="Arial"/>
          <w:lang w:val="en-ZA" w:eastAsia="en-US"/>
        </w:rPr>
        <w:t>f</w:t>
      </w:r>
      <w:r w:rsidRPr="00322A3C">
        <w:rPr>
          <w:rFonts w:ascii="Arial" w:eastAsiaTheme="minorHAnsi" w:hAnsi="Arial" w:cs="Arial"/>
          <w:lang w:val="en-ZA" w:eastAsia="en-US"/>
        </w:rPr>
        <w:t xml:space="preserve"> in witchcraft as an extenuating factor and attached little weight to the brutal manner in which the deceased was killed. </w:t>
      </w:r>
    </w:p>
    <w:p w:rsidR="00322A3C" w:rsidRPr="00322A3C" w:rsidRDefault="00322A3C" w:rsidP="00A17794">
      <w:pPr>
        <w:spacing w:after="160" w:line="360" w:lineRule="auto"/>
        <w:ind w:left="1440" w:hanging="720"/>
        <w:jc w:val="both"/>
        <w:rPr>
          <w:rFonts w:ascii="Arial" w:eastAsiaTheme="minorHAnsi" w:hAnsi="Arial" w:cs="Arial"/>
          <w:lang w:val="en-ZA" w:eastAsia="en-US"/>
        </w:rPr>
      </w:pPr>
      <w:r w:rsidRPr="00322A3C">
        <w:rPr>
          <w:rFonts w:ascii="Arial" w:eastAsiaTheme="minorHAnsi" w:hAnsi="Arial" w:cs="Arial"/>
          <w:lang w:val="en-ZA" w:eastAsia="en-US"/>
        </w:rPr>
        <w:t>2.</w:t>
      </w:r>
      <w:r w:rsidRPr="00322A3C">
        <w:rPr>
          <w:rFonts w:ascii="Arial" w:eastAsiaTheme="minorHAnsi" w:hAnsi="Arial" w:cs="Arial"/>
          <w:lang w:val="en-ZA" w:eastAsia="en-US"/>
        </w:rPr>
        <w:tab/>
        <w:t xml:space="preserve">Over-emphasised the rehabilitation aims of punishment, instead of emphasising the deterrent aim of punishment in dealing with a crime of violence such as this one. </w:t>
      </w:r>
    </w:p>
    <w:p w:rsidR="00322A3C" w:rsidRPr="00322A3C" w:rsidRDefault="00322A3C" w:rsidP="00A17794">
      <w:pPr>
        <w:spacing w:after="160" w:line="360" w:lineRule="auto"/>
        <w:ind w:left="1440" w:hanging="720"/>
        <w:jc w:val="both"/>
        <w:rPr>
          <w:rFonts w:ascii="Arial" w:eastAsiaTheme="minorHAnsi" w:hAnsi="Arial" w:cs="Arial"/>
          <w:lang w:val="en-ZA" w:eastAsia="en-US"/>
        </w:rPr>
      </w:pPr>
      <w:r w:rsidRPr="00322A3C">
        <w:rPr>
          <w:rFonts w:ascii="Arial" w:eastAsiaTheme="minorHAnsi" w:hAnsi="Arial" w:cs="Arial"/>
          <w:lang w:val="en-ZA" w:eastAsia="en-US"/>
        </w:rPr>
        <w:t>3.</w:t>
      </w:r>
      <w:r w:rsidRPr="00322A3C">
        <w:rPr>
          <w:rFonts w:ascii="Arial" w:eastAsiaTheme="minorHAnsi" w:hAnsi="Arial" w:cs="Arial"/>
          <w:lang w:val="en-ZA" w:eastAsia="en-US"/>
        </w:rPr>
        <w:tab/>
        <w:t>Over- emphasised the time spent by the respondent in custody;</w:t>
      </w:r>
    </w:p>
    <w:p w:rsidR="00322A3C" w:rsidRPr="00322A3C" w:rsidRDefault="00322A3C" w:rsidP="00A17794">
      <w:pPr>
        <w:spacing w:after="160" w:line="360" w:lineRule="auto"/>
        <w:ind w:left="1440" w:hanging="720"/>
        <w:jc w:val="both"/>
        <w:rPr>
          <w:rFonts w:ascii="Arial" w:eastAsiaTheme="minorHAnsi" w:hAnsi="Arial" w:cs="Arial"/>
          <w:lang w:val="en-ZA" w:eastAsia="en-US"/>
        </w:rPr>
      </w:pPr>
      <w:r w:rsidRPr="00322A3C">
        <w:rPr>
          <w:rFonts w:ascii="Arial" w:eastAsiaTheme="minorHAnsi" w:hAnsi="Arial" w:cs="Arial"/>
          <w:lang w:val="en-ZA" w:eastAsia="en-US"/>
        </w:rPr>
        <w:t>4.</w:t>
      </w:r>
      <w:r w:rsidRPr="00322A3C">
        <w:rPr>
          <w:rFonts w:ascii="Arial" w:eastAsiaTheme="minorHAnsi" w:hAnsi="Arial" w:cs="Arial"/>
          <w:lang w:val="en-ZA" w:eastAsia="en-US"/>
        </w:rPr>
        <w:tab/>
        <w:t>Erred in law or misdirected herself by finding that the respondent, at the age of 30 years did not come into brush with the law.</w:t>
      </w:r>
    </w:p>
    <w:p w:rsidR="00322A3C" w:rsidRPr="00322A3C" w:rsidRDefault="00322A3C" w:rsidP="00A17794">
      <w:pPr>
        <w:spacing w:after="160" w:line="360" w:lineRule="auto"/>
        <w:ind w:left="1440" w:hanging="720"/>
        <w:jc w:val="both"/>
        <w:rPr>
          <w:rFonts w:ascii="Arial" w:eastAsiaTheme="minorHAnsi" w:hAnsi="Arial" w:cs="Arial"/>
          <w:lang w:val="en-ZA" w:eastAsia="en-US"/>
        </w:rPr>
      </w:pPr>
      <w:r w:rsidRPr="00322A3C">
        <w:rPr>
          <w:rFonts w:ascii="Arial" w:eastAsiaTheme="minorHAnsi" w:hAnsi="Arial" w:cs="Arial"/>
          <w:lang w:val="en-ZA" w:eastAsia="en-US"/>
        </w:rPr>
        <w:lastRenderedPageBreak/>
        <w:t>5.</w:t>
      </w:r>
      <w:r w:rsidRPr="00322A3C">
        <w:rPr>
          <w:rFonts w:ascii="Arial" w:eastAsiaTheme="minorHAnsi" w:hAnsi="Arial" w:cs="Arial"/>
          <w:lang w:val="en-ZA" w:eastAsia="en-US"/>
        </w:rPr>
        <w:tab/>
        <w:t>Erred in law or misdirected herself by failing to attach sufficient weight to the seriousness of the crime of murder, especially the fact that, the respondent had direct intention to murder the deceased.</w:t>
      </w:r>
    </w:p>
    <w:p w:rsidR="00322A3C" w:rsidRPr="00322A3C" w:rsidRDefault="00322A3C" w:rsidP="00A17794">
      <w:pPr>
        <w:spacing w:after="160" w:line="360" w:lineRule="auto"/>
        <w:ind w:left="1440" w:hanging="720"/>
        <w:jc w:val="both"/>
        <w:rPr>
          <w:rFonts w:ascii="Arial" w:eastAsiaTheme="minorHAnsi" w:hAnsi="Arial" w:cs="Arial"/>
          <w:lang w:val="en-ZA" w:eastAsia="en-US"/>
        </w:rPr>
      </w:pPr>
      <w:r w:rsidRPr="00322A3C">
        <w:rPr>
          <w:rFonts w:ascii="Arial" w:eastAsiaTheme="minorHAnsi" w:hAnsi="Arial" w:cs="Arial"/>
          <w:lang w:val="en-ZA" w:eastAsia="en-US"/>
        </w:rPr>
        <w:t>6.</w:t>
      </w:r>
      <w:r w:rsidRPr="00322A3C">
        <w:rPr>
          <w:rFonts w:ascii="Arial" w:eastAsiaTheme="minorHAnsi" w:hAnsi="Arial" w:cs="Arial"/>
          <w:lang w:val="en-ZA" w:eastAsia="en-US"/>
        </w:rPr>
        <w:tab/>
        <w:t>Erred in law by imposing a sentence which is lenient, shocking and unreasonable that no reasonable court would have imposed it.</w:t>
      </w:r>
    </w:p>
    <w:p w:rsidR="00322A3C" w:rsidRPr="00322A3C" w:rsidRDefault="00322A3C" w:rsidP="00A17794">
      <w:pPr>
        <w:spacing w:after="160" w:line="360" w:lineRule="auto"/>
        <w:ind w:left="1440" w:hanging="720"/>
        <w:jc w:val="both"/>
        <w:rPr>
          <w:rFonts w:ascii="Arial" w:eastAsiaTheme="minorHAnsi" w:hAnsi="Arial" w:cs="Arial"/>
          <w:lang w:val="en-ZA" w:eastAsia="en-US"/>
        </w:rPr>
      </w:pPr>
      <w:r w:rsidRPr="00322A3C">
        <w:rPr>
          <w:rFonts w:ascii="Arial" w:eastAsiaTheme="minorHAnsi" w:hAnsi="Arial" w:cs="Arial"/>
          <w:lang w:val="en-ZA" w:eastAsia="en-US"/>
        </w:rPr>
        <w:t>7.</w:t>
      </w:r>
      <w:r w:rsidRPr="00322A3C">
        <w:rPr>
          <w:rFonts w:ascii="Arial" w:eastAsiaTheme="minorHAnsi" w:hAnsi="Arial" w:cs="Arial"/>
          <w:lang w:val="en-ZA" w:eastAsia="en-US"/>
        </w:rPr>
        <w:tab/>
        <w:t>Erred in law and or facts by failing to attach more weight to the fact that the deceased was a vulnerable person and was defenceless.</w:t>
      </w:r>
    </w:p>
    <w:p w:rsidR="00322A3C" w:rsidRPr="00322A3C" w:rsidRDefault="00322A3C" w:rsidP="00A17794">
      <w:pPr>
        <w:spacing w:after="160" w:line="360" w:lineRule="auto"/>
        <w:jc w:val="both"/>
        <w:rPr>
          <w:rFonts w:ascii="Arial" w:eastAsiaTheme="minorHAnsi" w:hAnsi="Arial" w:cs="Arial"/>
          <w:lang w:val="en-ZA" w:eastAsia="en-US"/>
        </w:rPr>
      </w:pP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w:t>
      </w:r>
      <w:r w:rsidR="00F2305B">
        <w:rPr>
          <w:rFonts w:ascii="Arial" w:eastAsiaTheme="minorHAnsi" w:hAnsi="Arial" w:cs="Arial"/>
          <w:lang w:val="en-ZA" w:eastAsia="en-US"/>
        </w:rPr>
        <w:t>3</w:t>
      </w:r>
      <w:r w:rsidRPr="00322A3C">
        <w:rPr>
          <w:rFonts w:ascii="Arial" w:eastAsiaTheme="minorHAnsi" w:hAnsi="Arial" w:cs="Arial"/>
          <w:lang w:val="en-ZA" w:eastAsia="en-US"/>
        </w:rPr>
        <w:t>]</w:t>
      </w:r>
      <w:r w:rsidRPr="00322A3C">
        <w:rPr>
          <w:rFonts w:ascii="Arial" w:eastAsiaTheme="minorHAnsi" w:hAnsi="Arial" w:cs="Arial"/>
          <w:lang w:val="en-ZA" w:eastAsia="en-US"/>
        </w:rPr>
        <w:tab/>
        <w:t>It is trite that before a court grants leave to appeal the court must be satisfied that that the applicant has reasonable prospect</w:t>
      </w:r>
      <w:r w:rsidR="0070301D">
        <w:rPr>
          <w:rFonts w:ascii="Arial" w:eastAsiaTheme="minorHAnsi" w:hAnsi="Arial" w:cs="Arial"/>
          <w:lang w:val="en-ZA" w:eastAsia="en-US"/>
        </w:rPr>
        <w:t>s</w:t>
      </w:r>
      <w:r w:rsidRPr="00322A3C">
        <w:rPr>
          <w:rFonts w:ascii="Arial" w:eastAsiaTheme="minorHAnsi" w:hAnsi="Arial" w:cs="Arial"/>
          <w:lang w:val="en-ZA" w:eastAsia="en-US"/>
        </w:rPr>
        <w:t xml:space="preserve"> of success on appeal In </w:t>
      </w:r>
      <w:r w:rsidRPr="0070301D">
        <w:rPr>
          <w:rFonts w:ascii="Arial" w:eastAsiaTheme="minorHAnsi" w:hAnsi="Arial" w:cs="Arial"/>
          <w:i/>
          <w:lang w:val="en-ZA" w:eastAsia="en-US"/>
        </w:rPr>
        <w:t xml:space="preserve">S v </w:t>
      </w:r>
      <w:r w:rsidR="0070301D" w:rsidRPr="0070301D">
        <w:rPr>
          <w:rFonts w:ascii="Arial" w:eastAsiaTheme="minorHAnsi" w:hAnsi="Arial" w:cs="Arial"/>
          <w:i/>
          <w:lang w:val="en-ZA" w:eastAsia="en-US"/>
        </w:rPr>
        <w:t>Ningisa and Others</w:t>
      </w:r>
      <w:r w:rsidRPr="00322A3C">
        <w:rPr>
          <w:rFonts w:ascii="Arial" w:eastAsiaTheme="minorHAnsi" w:hAnsi="Arial" w:cs="Arial"/>
          <w:lang w:val="en-ZA" w:eastAsia="en-US"/>
        </w:rPr>
        <w:t>,</w:t>
      </w:r>
      <w:r w:rsidR="0070301D">
        <w:rPr>
          <w:rStyle w:val="FootnoteReference"/>
          <w:rFonts w:ascii="Arial" w:eastAsiaTheme="minorHAnsi" w:hAnsi="Arial" w:cs="Arial"/>
          <w:lang w:val="en-ZA" w:eastAsia="en-US"/>
        </w:rPr>
        <w:footnoteReference w:id="1"/>
      </w:r>
      <w:r w:rsidRPr="00322A3C">
        <w:rPr>
          <w:rFonts w:ascii="Arial" w:eastAsiaTheme="minorHAnsi" w:hAnsi="Arial" w:cs="Arial"/>
          <w:lang w:val="en-ZA" w:eastAsia="en-US"/>
        </w:rPr>
        <w:t xml:space="preserve"> Mainga JA, stated the following:</w:t>
      </w:r>
    </w:p>
    <w:p w:rsidR="00322A3C" w:rsidRDefault="0009129F" w:rsidP="00A17794">
      <w:pPr>
        <w:spacing w:after="160" w:line="360" w:lineRule="auto"/>
        <w:ind w:left="720"/>
        <w:jc w:val="both"/>
        <w:rPr>
          <w:rFonts w:ascii="Arial" w:eastAsiaTheme="minorHAnsi" w:hAnsi="Arial" w:cs="Arial"/>
          <w:sz w:val="22"/>
          <w:szCs w:val="22"/>
          <w:lang w:val="en-ZA" w:eastAsia="en-US"/>
        </w:rPr>
      </w:pPr>
      <w:r>
        <w:rPr>
          <w:rFonts w:ascii="Arial" w:eastAsiaTheme="minorHAnsi" w:hAnsi="Arial" w:cs="Arial"/>
          <w:lang w:val="en-ZA" w:eastAsia="en-US"/>
        </w:rPr>
        <w:t>‘</w:t>
      </w:r>
      <w:r w:rsidR="00322A3C" w:rsidRPr="00322A3C">
        <w:rPr>
          <w:rFonts w:ascii="Arial" w:eastAsiaTheme="minorHAnsi" w:hAnsi="Arial" w:cs="Arial"/>
          <w:sz w:val="22"/>
          <w:szCs w:val="22"/>
          <w:lang w:val="en-ZA" w:eastAsia="en-US"/>
        </w:rPr>
        <w:t xml:space="preserve">In determining whether or not to grant a convicted person leave to appeal, the dominant criterion is whether or not the applicant will have a reasonable prospect of success on appeal (R v Baloi 1949 (1) SA 523 (A)). From the very nature of things, it is always somewhat invidious for a judge to have to determine whether a judgment which he/she has himself/herself given may be considered by a higher court to be wrong, but that is a duty imposed by the legislature upon judges in both civil and criminal matters. As regards the latter, difficult though it may be for a trial judge to disabuse his/her mind of the fact that he/she has himself/herself found the state case to be proved beyond reasonable doubt, he/she must, both in relation to questions of fact and of law, </w:t>
      </w:r>
      <w:r w:rsidR="00322A3C" w:rsidRPr="00322A3C">
        <w:rPr>
          <w:rFonts w:ascii="Arial" w:eastAsiaTheme="minorHAnsi" w:hAnsi="Arial" w:cs="Arial"/>
          <w:sz w:val="22"/>
          <w:szCs w:val="22"/>
          <w:u w:val="single"/>
          <w:lang w:val="en-ZA" w:eastAsia="en-US"/>
        </w:rPr>
        <w:t>direct himself/herself specifically to the enquiry of 'whether there is a reasonable prospect that the Judges of Appeal will take a different view. . . .</w:t>
      </w:r>
      <w:r w:rsidR="00322A3C" w:rsidRPr="00322A3C">
        <w:rPr>
          <w:rFonts w:ascii="Arial" w:eastAsiaTheme="minorHAnsi" w:hAnsi="Arial" w:cs="Arial"/>
          <w:sz w:val="22"/>
          <w:szCs w:val="22"/>
          <w:lang w:val="en-ZA" w:eastAsia="en-US"/>
        </w:rPr>
        <w:t xml:space="preserve"> In borderline cases the gravity of the crime and the consequences to the applicant are doubtless elements to be taken into account but, even in capital cases, the primary consideration for decision is whether or not there is a reasonable prospect of success . . . .' (Per Ogilvie Thompson AJA (as he then was) in R v Muller 1957 (4) SA 642 (A) at 645D – H. See also R v Kuzwayo 1949 (3) SA 761 (A) at 765; R v Shaffee 1952 (2) SA 484 (A); S v Shabalala </w:t>
      </w:r>
      <w:r w:rsidR="00322A3C" w:rsidRPr="00322A3C">
        <w:rPr>
          <w:rFonts w:ascii="Arial" w:eastAsiaTheme="minorHAnsi" w:hAnsi="Arial" w:cs="Arial"/>
          <w:sz w:val="22"/>
          <w:szCs w:val="22"/>
          <w:lang w:val="en-ZA" w:eastAsia="en-US"/>
        </w:rPr>
        <w:lastRenderedPageBreak/>
        <w:t xml:space="preserve">1966 (2) SA 297 (A) at 299A – E and R v Ngubane </w:t>
      </w:r>
      <w:r>
        <w:rPr>
          <w:rFonts w:ascii="Arial" w:eastAsiaTheme="minorHAnsi" w:hAnsi="Arial" w:cs="Arial"/>
          <w:sz w:val="22"/>
          <w:szCs w:val="22"/>
          <w:lang w:val="en-ZA" w:eastAsia="en-US"/>
        </w:rPr>
        <w:t>and Others 1945 AD 185 at 186.)’</w:t>
      </w:r>
      <w:r w:rsidR="0070301D">
        <w:rPr>
          <w:rFonts w:ascii="Arial" w:eastAsiaTheme="minorHAnsi" w:hAnsi="Arial" w:cs="Arial"/>
          <w:sz w:val="22"/>
          <w:szCs w:val="22"/>
          <w:lang w:val="en-ZA" w:eastAsia="en-US"/>
        </w:rPr>
        <w:t xml:space="preserve"> [my emphasis]</w:t>
      </w:r>
    </w:p>
    <w:p w:rsidR="0009129F" w:rsidRPr="00322A3C" w:rsidRDefault="0009129F" w:rsidP="00A17794">
      <w:pPr>
        <w:spacing w:after="160" w:line="360" w:lineRule="auto"/>
        <w:ind w:left="720"/>
        <w:jc w:val="both"/>
        <w:rPr>
          <w:rFonts w:ascii="Arial" w:eastAsiaTheme="minorHAnsi" w:hAnsi="Arial" w:cs="Arial"/>
          <w:lang w:val="en-ZA" w:eastAsia="en-US"/>
        </w:rPr>
      </w:pP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w:t>
      </w:r>
      <w:r w:rsidR="00F2305B">
        <w:rPr>
          <w:rFonts w:ascii="Arial" w:eastAsiaTheme="minorHAnsi" w:hAnsi="Arial" w:cs="Arial"/>
          <w:lang w:val="en-ZA" w:eastAsia="en-US"/>
        </w:rPr>
        <w:t>4</w:t>
      </w:r>
      <w:r w:rsidRPr="00322A3C">
        <w:rPr>
          <w:rFonts w:ascii="Arial" w:eastAsiaTheme="minorHAnsi" w:hAnsi="Arial" w:cs="Arial"/>
          <w:lang w:val="en-ZA" w:eastAsia="en-US"/>
        </w:rPr>
        <w:t>]</w:t>
      </w:r>
      <w:r w:rsidRPr="00322A3C">
        <w:rPr>
          <w:rFonts w:ascii="Arial" w:eastAsiaTheme="minorHAnsi" w:hAnsi="Arial" w:cs="Arial"/>
          <w:lang w:val="en-ZA" w:eastAsia="en-US"/>
        </w:rPr>
        <w:tab/>
      </w:r>
      <w:r w:rsidR="0070301D">
        <w:rPr>
          <w:rFonts w:ascii="Arial" w:eastAsiaTheme="minorHAnsi" w:hAnsi="Arial" w:cs="Arial"/>
          <w:lang w:val="en-ZA" w:eastAsia="en-US"/>
        </w:rPr>
        <w:t xml:space="preserve">It is the task of this </w:t>
      </w:r>
      <w:r w:rsidRPr="00322A3C">
        <w:rPr>
          <w:rFonts w:ascii="Arial" w:eastAsiaTheme="minorHAnsi" w:hAnsi="Arial" w:cs="Arial"/>
          <w:lang w:val="en-ZA" w:eastAsia="en-US"/>
        </w:rPr>
        <w:t>court to determine whether, on the findings of fact or conclusions of law involved, the</w:t>
      </w:r>
      <w:r w:rsidR="00F2305B">
        <w:rPr>
          <w:rFonts w:ascii="Arial" w:eastAsiaTheme="minorHAnsi" w:hAnsi="Arial" w:cs="Arial"/>
          <w:lang w:val="en-ZA" w:eastAsia="en-US"/>
        </w:rPr>
        <w:t>re are reasonable prospects that the applicant may succeed on appeal. T</w:t>
      </w:r>
      <w:r w:rsidRPr="00322A3C">
        <w:rPr>
          <w:rFonts w:ascii="Arial" w:eastAsiaTheme="minorHAnsi" w:hAnsi="Arial" w:cs="Arial"/>
          <w:lang w:val="en-ZA" w:eastAsia="en-US"/>
        </w:rPr>
        <w:t>his court ought to refuse leave where prospects of success are absent and grant leave where prospects exist after a well-considered conclusion on the facts.</w:t>
      </w:r>
      <w:r w:rsidRPr="00322A3C">
        <w:rPr>
          <w:rFonts w:ascii="Arial" w:eastAsiaTheme="minorHAnsi" w:hAnsi="Arial" w:cs="Arial"/>
          <w:vertAlign w:val="superscript"/>
          <w:lang w:val="en-ZA" w:eastAsia="en-US"/>
        </w:rPr>
        <w:footnoteReference w:id="2"/>
      </w:r>
      <w:r w:rsidRPr="00322A3C">
        <w:rPr>
          <w:rFonts w:ascii="Arial" w:eastAsiaTheme="minorHAnsi" w:hAnsi="Arial" w:cs="Arial"/>
          <w:lang w:val="en-ZA" w:eastAsia="en-US"/>
        </w:rPr>
        <w:t xml:space="preserve"> </w:t>
      </w:r>
    </w:p>
    <w:p w:rsidR="009763D1"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w:t>
      </w:r>
      <w:r w:rsidR="00F2305B">
        <w:rPr>
          <w:rFonts w:ascii="Arial" w:eastAsiaTheme="minorHAnsi" w:hAnsi="Arial" w:cs="Arial"/>
          <w:lang w:val="en-ZA" w:eastAsia="en-US"/>
        </w:rPr>
        <w:t>5</w:t>
      </w:r>
      <w:r w:rsidRPr="00322A3C">
        <w:rPr>
          <w:rFonts w:ascii="Arial" w:eastAsiaTheme="minorHAnsi" w:hAnsi="Arial" w:cs="Arial"/>
          <w:lang w:val="en-ZA" w:eastAsia="en-US"/>
        </w:rPr>
        <w:t>]</w:t>
      </w:r>
      <w:r w:rsidRPr="00322A3C">
        <w:rPr>
          <w:rFonts w:ascii="Arial" w:eastAsiaTheme="minorHAnsi" w:hAnsi="Arial" w:cs="Arial"/>
          <w:lang w:val="en-ZA" w:eastAsia="en-US"/>
        </w:rPr>
        <w:tab/>
      </w:r>
      <w:r w:rsidR="009763D1" w:rsidRPr="00322A3C">
        <w:rPr>
          <w:rFonts w:ascii="Arial" w:eastAsiaTheme="minorHAnsi" w:hAnsi="Arial" w:cs="Arial"/>
          <w:lang w:val="en-ZA" w:eastAsia="en-US"/>
        </w:rPr>
        <w:t>Th</w:t>
      </w:r>
      <w:r w:rsidR="009763D1">
        <w:rPr>
          <w:rFonts w:ascii="Arial" w:eastAsiaTheme="minorHAnsi" w:hAnsi="Arial" w:cs="Arial"/>
          <w:lang w:val="en-ZA" w:eastAsia="en-US"/>
        </w:rPr>
        <w:t xml:space="preserve">is </w:t>
      </w:r>
      <w:r w:rsidR="009763D1" w:rsidRPr="00322A3C">
        <w:rPr>
          <w:rFonts w:ascii="Arial" w:eastAsiaTheme="minorHAnsi" w:hAnsi="Arial" w:cs="Arial"/>
          <w:lang w:val="en-ZA" w:eastAsia="en-US"/>
        </w:rPr>
        <w:t xml:space="preserve">court </w:t>
      </w:r>
      <w:r w:rsidR="009763D1">
        <w:rPr>
          <w:rFonts w:ascii="Arial" w:eastAsiaTheme="minorHAnsi" w:hAnsi="Arial" w:cs="Arial"/>
          <w:lang w:val="en-ZA" w:eastAsia="en-US"/>
        </w:rPr>
        <w:t xml:space="preserve">indeed </w:t>
      </w:r>
      <w:r w:rsidR="009763D1" w:rsidRPr="00322A3C">
        <w:rPr>
          <w:rFonts w:ascii="Arial" w:eastAsiaTheme="minorHAnsi" w:hAnsi="Arial" w:cs="Arial"/>
          <w:lang w:val="en-ZA" w:eastAsia="en-US"/>
        </w:rPr>
        <w:t>concluded that the respondent</w:t>
      </w:r>
      <w:r w:rsidR="009763D1">
        <w:rPr>
          <w:rFonts w:ascii="Arial" w:eastAsiaTheme="minorHAnsi" w:hAnsi="Arial" w:cs="Arial"/>
          <w:lang w:val="en-ZA" w:eastAsia="en-US"/>
        </w:rPr>
        <w:t xml:space="preserve"> held a genuine </w:t>
      </w:r>
      <w:r w:rsidR="0070301D">
        <w:rPr>
          <w:rFonts w:ascii="Arial" w:eastAsiaTheme="minorHAnsi" w:hAnsi="Arial" w:cs="Arial"/>
          <w:lang w:val="en-ZA" w:eastAsia="en-US"/>
        </w:rPr>
        <w:t xml:space="preserve">believe that the deceased </w:t>
      </w:r>
      <w:r w:rsidR="009763D1" w:rsidRPr="00322A3C">
        <w:rPr>
          <w:rFonts w:ascii="Arial" w:eastAsiaTheme="minorHAnsi" w:hAnsi="Arial" w:cs="Arial"/>
          <w:lang w:val="en-ZA" w:eastAsia="en-US"/>
        </w:rPr>
        <w:t>was a witch</w:t>
      </w:r>
      <w:r w:rsidR="009763D1">
        <w:rPr>
          <w:rFonts w:ascii="Arial" w:eastAsiaTheme="minorHAnsi" w:hAnsi="Arial" w:cs="Arial"/>
          <w:lang w:val="en-ZA" w:eastAsia="en-US"/>
        </w:rPr>
        <w:t xml:space="preserve">.  </w:t>
      </w:r>
      <w:r w:rsidRPr="00322A3C">
        <w:rPr>
          <w:rFonts w:ascii="Arial" w:eastAsiaTheme="minorHAnsi" w:hAnsi="Arial" w:cs="Arial"/>
          <w:lang w:val="en-ZA" w:eastAsia="en-US"/>
        </w:rPr>
        <w:t>The record reflect</w:t>
      </w:r>
      <w:r w:rsidR="0070301D">
        <w:rPr>
          <w:rFonts w:ascii="Arial" w:eastAsiaTheme="minorHAnsi" w:hAnsi="Arial" w:cs="Arial"/>
          <w:lang w:val="en-ZA" w:eastAsia="en-US"/>
        </w:rPr>
        <w:t>s</w:t>
      </w:r>
      <w:r w:rsidRPr="00322A3C">
        <w:rPr>
          <w:rFonts w:ascii="Arial" w:eastAsiaTheme="minorHAnsi" w:hAnsi="Arial" w:cs="Arial"/>
          <w:lang w:val="en-ZA" w:eastAsia="en-US"/>
        </w:rPr>
        <w:t xml:space="preserve"> throughout the accused’s belief in witchcraft.  As correctly pointed out by Mr Greyling, acting </w:t>
      </w:r>
      <w:r w:rsidRPr="00322A3C">
        <w:rPr>
          <w:rFonts w:ascii="Arial" w:eastAsiaTheme="minorHAnsi" w:hAnsi="Arial" w:cs="Arial"/>
          <w:i/>
          <w:lang w:val="en-ZA" w:eastAsia="en-US"/>
        </w:rPr>
        <w:t>amicus curiae</w:t>
      </w:r>
      <w:r w:rsidRPr="00322A3C">
        <w:rPr>
          <w:rFonts w:ascii="Arial" w:eastAsiaTheme="minorHAnsi" w:hAnsi="Arial" w:cs="Arial"/>
          <w:lang w:val="en-ZA" w:eastAsia="en-US"/>
        </w:rPr>
        <w:t xml:space="preserve">, the respondent, from the outset, stated that </w:t>
      </w:r>
      <w:r w:rsidR="0070301D">
        <w:rPr>
          <w:rFonts w:ascii="Arial" w:eastAsiaTheme="minorHAnsi" w:hAnsi="Arial" w:cs="Arial"/>
          <w:lang w:val="en-ZA" w:eastAsia="en-US"/>
        </w:rPr>
        <w:t xml:space="preserve">he </w:t>
      </w:r>
      <w:r w:rsidRPr="00322A3C">
        <w:rPr>
          <w:rFonts w:ascii="Arial" w:eastAsiaTheme="minorHAnsi" w:hAnsi="Arial" w:cs="Arial"/>
          <w:lang w:val="en-ZA" w:eastAsia="en-US"/>
        </w:rPr>
        <w:t xml:space="preserve">assaulted the deceased because she was bewitching him and his family. The applicant at no stage presented any evidence which gainsay the respondent’s motivation for committing the offence. </w:t>
      </w:r>
      <w:r w:rsidR="00F2305B">
        <w:rPr>
          <w:rFonts w:ascii="Arial" w:eastAsiaTheme="minorHAnsi" w:hAnsi="Arial" w:cs="Arial"/>
          <w:lang w:val="en-ZA" w:eastAsia="en-US"/>
        </w:rPr>
        <w:t>On the proven facts the conclusion was justified.</w:t>
      </w:r>
    </w:p>
    <w:p w:rsidR="009763D1" w:rsidRPr="009B5D79" w:rsidRDefault="009763D1" w:rsidP="00A1779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w:t>
      </w:r>
      <w:r w:rsidR="00F2305B">
        <w:rPr>
          <w:rFonts w:ascii="Arial" w:eastAsiaTheme="minorHAnsi" w:hAnsi="Arial" w:cs="Arial"/>
          <w:lang w:val="en-ZA" w:eastAsia="en-US"/>
        </w:rPr>
        <w:t>6</w:t>
      </w:r>
      <w:r>
        <w:rPr>
          <w:rFonts w:ascii="Arial" w:eastAsiaTheme="minorHAnsi" w:hAnsi="Arial" w:cs="Arial"/>
          <w:lang w:val="en-ZA" w:eastAsia="en-US"/>
        </w:rPr>
        <w:t>]</w:t>
      </w:r>
      <w:r>
        <w:rPr>
          <w:rFonts w:ascii="Arial" w:eastAsiaTheme="minorHAnsi" w:hAnsi="Arial" w:cs="Arial"/>
          <w:lang w:val="en-ZA" w:eastAsia="en-US"/>
        </w:rPr>
        <w:tab/>
      </w:r>
      <w:r w:rsidR="00322A3C" w:rsidRPr="00322A3C">
        <w:rPr>
          <w:rFonts w:ascii="Arial" w:eastAsiaTheme="minorHAnsi" w:hAnsi="Arial" w:cs="Arial"/>
          <w:lang w:val="en-ZA" w:eastAsia="en-US"/>
        </w:rPr>
        <w:t xml:space="preserve">Furthermore it </w:t>
      </w:r>
      <w:r w:rsidR="0070301D">
        <w:rPr>
          <w:rFonts w:ascii="Arial" w:eastAsiaTheme="minorHAnsi" w:hAnsi="Arial" w:cs="Arial"/>
          <w:lang w:val="en-ZA" w:eastAsia="en-US"/>
        </w:rPr>
        <w:t xml:space="preserve">is </w:t>
      </w:r>
      <w:r w:rsidR="00322A3C" w:rsidRPr="00322A3C">
        <w:rPr>
          <w:rFonts w:ascii="Arial" w:eastAsiaTheme="minorHAnsi" w:hAnsi="Arial" w:cs="Arial"/>
          <w:lang w:val="en-ZA" w:eastAsia="en-US"/>
        </w:rPr>
        <w:t xml:space="preserve">apparent from the judgment that the court did not attach too much weight to this factor. The need for deterrence clearly ranked higher and more weight was given to this factor. </w:t>
      </w:r>
      <w:r>
        <w:rPr>
          <w:rFonts w:ascii="Arial" w:eastAsiaTheme="minorHAnsi" w:hAnsi="Arial" w:cs="Arial"/>
          <w:lang w:val="en-ZA" w:eastAsia="en-US"/>
        </w:rPr>
        <w:t>This is evidence</w:t>
      </w:r>
      <w:r w:rsidR="0070301D">
        <w:rPr>
          <w:rFonts w:ascii="Arial" w:eastAsiaTheme="minorHAnsi" w:hAnsi="Arial" w:cs="Arial"/>
          <w:lang w:val="en-ZA" w:eastAsia="en-US"/>
        </w:rPr>
        <w:t>d</w:t>
      </w:r>
      <w:r>
        <w:rPr>
          <w:rFonts w:ascii="Arial" w:eastAsiaTheme="minorHAnsi" w:hAnsi="Arial" w:cs="Arial"/>
          <w:lang w:val="en-ZA" w:eastAsia="en-US"/>
        </w:rPr>
        <w:t xml:space="preserve"> by the following remark by the court</w:t>
      </w:r>
      <w:r w:rsidRPr="009B5D79">
        <w:rPr>
          <w:rFonts w:ascii="Arial" w:eastAsiaTheme="minorHAnsi" w:hAnsi="Arial" w:cs="Arial"/>
          <w:lang w:val="en-ZA" w:eastAsia="en-US"/>
        </w:rPr>
        <w:t xml:space="preserve">: </w:t>
      </w:r>
      <w:r w:rsidR="0070301D" w:rsidRPr="009B5D79">
        <w:rPr>
          <w:rFonts w:ascii="Arial" w:eastAsiaTheme="minorHAnsi" w:hAnsi="Arial" w:cs="Arial"/>
          <w:lang w:val="en-ZA" w:eastAsia="en-US"/>
        </w:rPr>
        <w:t>‘</w:t>
      </w:r>
      <w:r w:rsidRPr="009B5D79">
        <w:rPr>
          <w:rFonts w:ascii="Arial" w:eastAsiaTheme="minorHAnsi" w:hAnsi="Arial" w:cs="Arial"/>
          <w:lang w:val="en-ZA" w:eastAsia="en-US"/>
        </w:rPr>
        <w:t>Although the court would be justified to attach some weight to this aspect as a mitigating factor, the court is mindful of the fact that it ought to deter others who contemplate killing innocent people whom they believe are bewitching them</w:t>
      </w:r>
      <w:r w:rsidR="0070301D" w:rsidRPr="009B5D79">
        <w:rPr>
          <w:rFonts w:ascii="Arial" w:eastAsiaTheme="minorHAnsi" w:hAnsi="Arial" w:cs="Arial"/>
          <w:lang w:val="en-ZA" w:eastAsia="en-US"/>
        </w:rPr>
        <w:t>.’</w:t>
      </w: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w:t>
      </w:r>
      <w:r w:rsidR="00F2305B">
        <w:rPr>
          <w:rFonts w:ascii="Arial" w:eastAsiaTheme="minorHAnsi" w:hAnsi="Arial" w:cs="Arial"/>
          <w:lang w:val="en-ZA" w:eastAsia="en-US"/>
        </w:rPr>
        <w:t>7</w:t>
      </w:r>
      <w:r w:rsidRPr="00322A3C">
        <w:rPr>
          <w:rFonts w:ascii="Arial" w:eastAsiaTheme="minorHAnsi" w:hAnsi="Arial" w:cs="Arial"/>
          <w:lang w:val="en-ZA" w:eastAsia="en-US"/>
        </w:rPr>
        <w:t>]</w:t>
      </w:r>
      <w:r w:rsidRPr="00322A3C">
        <w:rPr>
          <w:rFonts w:ascii="Arial" w:eastAsiaTheme="minorHAnsi" w:hAnsi="Arial" w:cs="Arial"/>
          <w:lang w:val="en-ZA" w:eastAsia="en-US"/>
        </w:rPr>
        <w:tab/>
        <w:t>The applicant</w:t>
      </w:r>
      <w:r w:rsidR="0070301D">
        <w:rPr>
          <w:rFonts w:ascii="Arial" w:eastAsiaTheme="minorHAnsi" w:hAnsi="Arial" w:cs="Arial"/>
          <w:lang w:val="en-ZA" w:eastAsia="en-US"/>
        </w:rPr>
        <w:t>’s</w:t>
      </w:r>
      <w:r w:rsidRPr="00322A3C">
        <w:rPr>
          <w:rFonts w:ascii="Arial" w:eastAsiaTheme="minorHAnsi" w:hAnsi="Arial" w:cs="Arial"/>
          <w:lang w:val="en-ZA" w:eastAsia="en-US"/>
        </w:rPr>
        <w:t xml:space="preserve"> second ground</w:t>
      </w:r>
      <w:r w:rsidR="0070301D">
        <w:rPr>
          <w:rFonts w:ascii="Arial" w:eastAsiaTheme="minorHAnsi" w:hAnsi="Arial" w:cs="Arial"/>
          <w:lang w:val="en-ZA" w:eastAsia="en-US"/>
        </w:rPr>
        <w:t>,</w:t>
      </w:r>
      <w:r w:rsidRPr="00322A3C">
        <w:rPr>
          <w:rFonts w:ascii="Arial" w:eastAsiaTheme="minorHAnsi" w:hAnsi="Arial" w:cs="Arial"/>
          <w:lang w:val="en-ZA" w:eastAsia="en-US"/>
        </w:rPr>
        <w:t xml:space="preserve"> that the court over-emphasised the rehabilitation aims of punishment, instead of emphasising the deterrent aim of punishment in dealing with a crime of violence such as this one</w:t>
      </w:r>
      <w:r w:rsidR="008E537B">
        <w:rPr>
          <w:rFonts w:ascii="Arial" w:eastAsiaTheme="minorHAnsi" w:hAnsi="Arial" w:cs="Arial"/>
          <w:lang w:val="en-ZA" w:eastAsia="en-US"/>
        </w:rPr>
        <w:t xml:space="preserve">, is primarily premised on the court’s conclusion that </w:t>
      </w:r>
      <w:r w:rsidRPr="00322A3C">
        <w:rPr>
          <w:rFonts w:ascii="Arial" w:eastAsiaTheme="minorHAnsi" w:hAnsi="Arial" w:cs="Arial"/>
          <w:lang w:val="en-ZA" w:eastAsia="en-US"/>
        </w:rPr>
        <w:t>the respondent has the potential to be rehabilitated. This is reflected in the suspended portion of the sentence. The appellant clearly indicated that he cannot be rehabilitated and that i</w:t>
      </w:r>
      <w:r w:rsidR="00F2305B">
        <w:rPr>
          <w:rFonts w:ascii="Arial" w:eastAsiaTheme="minorHAnsi" w:hAnsi="Arial" w:cs="Arial"/>
          <w:lang w:val="en-ZA" w:eastAsia="en-US"/>
        </w:rPr>
        <w:t>t will not help to lock him up. This clearly reflects a lack of remorse</w:t>
      </w:r>
      <w:r w:rsidR="00C352DE">
        <w:rPr>
          <w:rFonts w:ascii="Arial" w:eastAsiaTheme="minorHAnsi" w:hAnsi="Arial" w:cs="Arial"/>
          <w:lang w:val="en-ZA" w:eastAsia="en-US"/>
        </w:rPr>
        <w:t xml:space="preserve"> which may be an indication that he may not be susceptible to rehabilitation</w:t>
      </w:r>
      <w:r w:rsidR="00F2305B">
        <w:rPr>
          <w:rFonts w:ascii="Arial" w:eastAsiaTheme="minorHAnsi" w:hAnsi="Arial" w:cs="Arial"/>
          <w:lang w:val="en-ZA" w:eastAsia="en-US"/>
        </w:rPr>
        <w:t xml:space="preserve">. </w:t>
      </w:r>
      <w:r w:rsidR="00C352DE">
        <w:rPr>
          <w:rFonts w:ascii="Arial" w:eastAsiaTheme="minorHAnsi" w:hAnsi="Arial" w:cs="Arial"/>
          <w:lang w:val="en-ZA" w:eastAsia="en-US"/>
        </w:rPr>
        <w:t xml:space="preserve">The lack of remorse is connected to his deep rooted believe that he was justified to act in this </w:t>
      </w:r>
      <w:r w:rsidR="00C352DE">
        <w:rPr>
          <w:rFonts w:ascii="Arial" w:eastAsiaTheme="minorHAnsi" w:hAnsi="Arial" w:cs="Arial"/>
          <w:lang w:val="en-ZA" w:eastAsia="en-US"/>
        </w:rPr>
        <w:lastRenderedPageBreak/>
        <w:t>manner. He however is of the view that no one would be able to bewitch him again and despite th</w:t>
      </w:r>
      <w:r w:rsidR="001F6772">
        <w:rPr>
          <w:rFonts w:ascii="Arial" w:eastAsiaTheme="minorHAnsi" w:hAnsi="Arial" w:cs="Arial"/>
          <w:lang w:val="en-ZA" w:eastAsia="en-US"/>
        </w:rPr>
        <w:t>e irrational reasoning</w:t>
      </w:r>
      <w:r w:rsidR="0009129F">
        <w:rPr>
          <w:rFonts w:ascii="Arial" w:eastAsiaTheme="minorHAnsi" w:hAnsi="Arial" w:cs="Arial"/>
          <w:lang w:val="en-ZA" w:eastAsia="en-US"/>
        </w:rPr>
        <w:t>, t</w:t>
      </w:r>
      <w:r w:rsidR="001F6772">
        <w:rPr>
          <w:rFonts w:ascii="Arial" w:eastAsiaTheme="minorHAnsi" w:hAnsi="Arial" w:cs="Arial"/>
          <w:lang w:val="en-ZA" w:eastAsia="en-US"/>
        </w:rPr>
        <w:t>he court had to consider th</w:t>
      </w:r>
      <w:r w:rsidR="0009129F">
        <w:rPr>
          <w:rFonts w:ascii="Arial" w:eastAsiaTheme="minorHAnsi" w:hAnsi="Arial" w:cs="Arial"/>
          <w:lang w:val="en-ZA" w:eastAsia="en-US"/>
        </w:rPr>
        <w:t xml:space="preserve">e possibility that he may not </w:t>
      </w:r>
      <w:r w:rsidR="001F6772">
        <w:rPr>
          <w:rFonts w:ascii="Arial" w:eastAsiaTheme="minorHAnsi" w:hAnsi="Arial" w:cs="Arial"/>
          <w:lang w:val="en-ZA" w:eastAsia="en-US"/>
        </w:rPr>
        <w:t>offend again. This is not</w:t>
      </w:r>
      <w:r w:rsidR="0009129F">
        <w:rPr>
          <w:rFonts w:ascii="Arial" w:eastAsiaTheme="minorHAnsi" w:hAnsi="Arial" w:cs="Arial"/>
          <w:lang w:val="en-ZA" w:eastAsia="en-US"/>
        </w:rPr>
        <w:t xml:space="preserve"> the only factor which indicated</w:t>
      </w:r>
      <w:r w:rsidR="001F6772">
        <w:rPr>
          <w:rFonts w:ascii="Arial" w:eastAsiaTheme="minorHAnsi" w:hAnsi="Arial" w:cs="Arial"/>
          <w:lang w:val="en-ZA" w:eastAsia="en-US"/>
        </w:rPr>
        <w:t xml:space="preserve"> </w:t>
      </w:r>
      <w:r w:rsidR="0009129F">
        <w:rPr>
          <w:rFonts w:ascii="Arial" w:eastAsiaTheme="minorHAnsi" w:hAnsi="Arial" w:cs="Arial"/>
          <w:lang w:val="en-ZA" w:eastAsia="en-US"/>
        </w:rPr>
        <w:t xml:space="preserve">a </w:t>
      </w:r>
      <w:r w:rsidR="001F6772">
        <w:rPr>
          <w:rFonts w:ascii="Arial" w:eastAsiaTheme="minorHAnsi" w:hAnsi="Arial" w:cs="Arial"/>
          <w:lang w:val="en-ZA" w:eastAsia="en-US"/>
        </w:rPr>
        <w:t xml:space="preserve">susceptibility for reform and rehabilitation. </w:t>
      </w:r>
      <w:r w:rsidRPr="00322A3C">
        <w:rPr>
          <w:rFonts w:ascii="Arial" w:eastAsiaTheme="minorHAnsi" w:hAnsi="Arial" w:cs="Arial"/>
          <w:lang w:val="en-ZA" w:eastAsia="en-US"/>
        </w:rPr>
        <w:t>The court considered the fact that the respondent was a first offender</w:t>
      </w:r>
      <w:r w:rsidR="00EF7182">
        <w:rPr>
          <w:rFonts w:ascii="Arial" w:eastAsiaTheme="minorHAnsi" w:hAnsi="Arial" w:cs="Arial"/>
          <w:lang w:val="en-ZA" w:eastAsia="en-US"/>
        </w:rPr>
        <w:t>, h</w:t>
      </w:r>
      <w:r w:rsidRPr="00322A3C">
        <w:rPr>
          <w:rFonts w:ascii="Arial" w:eastAsiaTheme="minorHAnsi" w:hAnsi="Arial" w:cs="Arial"/>
          <w:lang w:val="en-ZA" w:eastAsia="en-US"/>
        </w:rPr>
        <w:t xml:space="preserve">is highest level of education is grade 12 and he was running a profitable business before he became ill. These are factors which, despite his current reasoning, point to the fact that he has the “potential” to be rehabilitated.  </w:t>
      </w: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[9]</w:t>
      </w:r>
      <w:r w:rsidRPr="00322A3C">
        <w:rPr>
          <w:rFonts w:ascii="Arial" w:eastAsiaTheme="minorHAnsi" w:hAnsi="Arial" w:cs="Arial"/>
          <w:lang w:val="en-ZA" w:eastAsia="en-US"/>
        </w:rPr>
        <w:tab/>
        <w:t>It is trite that the fact that</w:t>
      </w:r>
      <w:r w:rsidR="00A17794">
        <w:rPr>
          <w:rFonts w:ascii="Arial" w:eastAsiaTheme="minorHAnsi" w:hAnsi="Arial" w:cs="Arial"/>
          <w:lang w:val="en-ZA" w:eastAsia="en-US"/>
        </w:rPr>
        <w:t xml:space="preserve"> an accused is a first offender, </w:t>
      </w:r>
      <w:r w:rsidRPr="00322A3C">
        <w:rPr>
          <w:rFonts w:ascii="Arial" w:eastAsiaTheme="minorHAnsi" w:hAnsi="Arial" w:cs="Arial"/>
          <w:lang w:val="en-ZA" w:eastAsia="en-US"/>
        </w:rPr>
        <w:t>is a mitigating factor</w:t>
      </w:r>
      <w:r w:rsidR="00A17794">
        <w:rPr>
          <w:rFonts w:ascii="Arial" w:eastAsiaTheme="minorHAnsi" w:hAnsi="Arial" w:cs="Arial"/>
          <w:lang w:val="en-ZA" w:eastAsia="en-US"/>
        </w:rPr>
        <w:t xml:space="preserve">. </w:t>
      </w:r>
      <w:r w:rsidR="00EF7182" w:rsidRPr="00322A3C">
        <w:rPr>
          <w:rFonts w:ascii="Arial" w:eastAsiaTheme="minorHAnsi" w:hAnsi="Arial" w:cs="Arial"/>
          <w:lang w:val="en-ZA" w:eastAsia="en-US"/>
        </w:rPr>
        <w:t xml:space="preserve">This was expressed in the following manner: “The accused attained the age of 30 without any brush with the law.” </w:t>
      </w:r>
      <w:r w:rsidR="00A17794">
        <w:rPr>
          <w:rFonts w:ascii="Arial" w:eastAsiaTheme="minorHAnsi" w:hAnsi="Arial" w:cs="Arial"/>
          <w:lang w:val="en-ZA" w:eastAsia="en-US"/>
        </w:rPr>
        <w:t xml:space="preserve">The fact that the court phrased it somewhat differently does not mean that it does not amount to a mitigating circumstance. </w:t>
      </w:r>
      <w:r w:rsidRPr="00322A3C">
        <w:rPr>
          <w:rFonts w:ascii="Arial" w:eastAsiaTheme="minorHAnsi" w:hAnsi="Arial" w:cs="Arial"/>
          <w:lang w:val="en-ZA" w:eastAsia="en-US"/>
        </w:rPr>
        <w:t xml:space="preserve"> No convictions were proven against the respondent.</w:t>
      </w:r>
      <w:r w:rsidR="00A17794">
        <w:rPr>
          <w:rFonts w:ascii="Arial" w:eastAsiaTheme="minorHAnsi" w:hAnsi="Arial" w:cs="Arial"/>
          <w:lang w:val="en-ZA" w:eastAsia="en-US"/>
        </w:rPr>
        <w:t xml:space="preserve"> That means that the respondent was a first offender. </w:t>
      </w: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[10]</w:t>
      </w:r>
      <w:r w:rsidRPr="00322A3C">
        <w:rPr>
          <w:rFonts w:ascii="Arial" w:eastAsiaTheme="minorHAnsi" w:hAnsi="Arial" w:cs="Arial"/>
          <w:lang w:val="en-ZA" w:eastAsia="en-US"/>
        </w:rPr>
        <w:tab/>
        <w:t>Mr Greyling submitted that if one considers the time the respondent spent in prison then the actual sentence imposed by the court is almost 28 years</w:t>
      </w:r>
      <w:r w:rsidR="00A17794">
        <w:rPr>
          <w:rFonts w:ascii="Arial" w:eastAsiaTheme="minorHAnsi" w:hAnsi="Arial" w:cs="Arial"/>
          <w:lang w:val="en-ZA" w:eastAsia="en-US"/>
        </w:rPr>
        <w:t>’</w:t>
      </w:r>
      <w:r w:rsidRPr="00322A3C">
        <w:rPr>
          <w:rFonts w:ascii="Arial" w:eastAsiaTheme="minorHAnsi" w:hAnsi="Arial" w:cs="Arial"/>
          <w:lang w:val="en-ZA" w:eastAsia="en-US"/>
        </w:rPr>
        <w:t xml:space="preserve"> imprisonment which is an appropriate sentence. This however is not a proper approach to th</w:t>
      </w:r>
      <w:r w:rsidR="00A17794">
        <w:rPr>
          <w:rFonts w:ascii="Arial" w:eastAsiaTheme="minorHAnsi" w:hAnsi="Arial" w:cs="Arial"/>
          <w:lang w:val="en-ZA" w:eastAsia="en-US"/>
        </w:rPr>
        <w:t>is factor</w:t>
      </w:r>
      <w:r w:rsidR="00EF7182">
        <w:rPr>
          <w:rFonts w:ascii="Arial" w:eastAsiaTheme="minorHAnsi" w:hAnsi="Arial" w:cs="Arial"/>
          <w:lang w:val="en-ZA" w:eastAsia="en-US"/>
        </w:rPr>
        <w:t>.</w:t>
      </w:r>
      <w:r w:rsidR="00A17794">
        <w:rPr>
          <w:rFonts w:ascii="Arial" w:eastAsiaTheme="minorHAnsi" w:hAnsi="Arial" w:cs="Arial"/>
          <w:lang w:val="en-ZA" w:eastAsia="en-US"/>
        </w:rPr>
        <w:t xml:space="preserve"> </w:t>
      </w:r>
      <w:r w:rsidRPr="00322A3C">
        <w:rPr>
          <w:rFonts w:ascii="Arial" w:eastAsiaTheme="minorHAnsi" w:hAnsi="Arial" w:cs="Arial"/>
          <w:lang w:val="en-ZA" w:eastAsia="en-US"/>
        </w:rPr>
        <w:t>It is not a mathematical calculation but a factor which the court ought to consider along with oth</w:t>
      </w:r>
      <w:r w:rsidR="00A17794">
        <w:rPr>
          <w:rFonts w:ascii="Arial" w:eastAsiaTheme="minorHAnsi" w:hAnsi="Arial" w:cs="Arial"/>
          <w:lang w:val="en-ZA" w:eastAsia="en-US"/>
        </w:rPr>
        <w:t xml:space="preserve">er factors to determine whether, cumulatively </w:t>
      </w:r>
      <w:r w:rsidRPr="00322A3C">
        <w:rPr>
          <w:rFonts w:ascii="Arial" w:eastAsiaTheme="minorHAnsi" w:hAnsi="Arial" w:cs="Arial"/>
          <w:lang w:val="en-ZA" w:eastAsia="en-US"/>
        </w:rPr>
        <w:t xml:space="preserve">there are extenuating circumstances. It is evident that the court gave considerable weight to this factor but I believe that this factor along with other mitigating factors were given proper consideration and emphasis. </w:t>
      </w: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[11]</w:t>
      </w:r>
      <w:r w:rsidRPr="00322A3C">
        <w:rPr>
          <w:rFonts w:ascii="Arial" w:eastAsiaTheme="minorHAnsi" w:hAnsi="Arial" w:cs="Arial"/>
          <w:lang w:val="en-ZA" w:eastAsia="en-US"/>
        </w:rPr>
        <w:tab/>
        <w:t>Proper weight and emphasis were placed on the seriousness of the offence, the violent nature thereof and the vulnerability of the victim.</w:t>
      </w: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[12]</w:t>
      </w:r>
      <w:r w:rsidRPr="00322A3C">
        <w:rPr>
          <w:rFonts w:ascii="Arial" w:eastAsiaTheme="minorHAnsi" w:hAnsi="Arial" w:cs="Arial"/>
          <w:lang w:val="en-ZA" w:eastAsia="en-US"/>
        </w:rPr>
        <w:tab/>
        <w:t xml:space="preserve">I am of the considered view that the applicant does not have reasonable prospects to succeed on the grounds raised. </w:t>
      </w: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[13]</w:t>
      </w:r>
      <w:r w:rsidRPr="00322A3C">
        <w:rPr>
          <w:rFonts w:ascii="Arial" w:eastAsiaTheme="minorHAnsi" w:hAnsi="Arial" w:cs="Arial"/>
          <w:lang w:val="en-ZA" w:eastAsia="en-US"/>
        </w:rPr>
        <w:tab/>
        <w:t>In the result:</w:t>
      </w:r>
    </w:p>
    <w:p w:rsidR="00322A3C" w:rsidRPr="00322A3C" w:rsidRDefault="00322A3C" w:rsidP="00A17794">
      <w:pPr>
        <w:spacing w:after="160" w:line="360" w:lineRule="auto"/>
        <w:jc w:val="both"/>
        <w:rPr>
          <w:rFonts w:ascii="Arial" w:eastAsiaTheme="minorHAnsi" w:hAnsi="Arial" w:cs="Arial"/>
          <w:lang w:val="en-ZA" w:eastAsia="en-US"/>
        </w:rPr>
      </w:pPr>
      <w:r w:rsidRPr="00322A3C">
        <w:rPr>
          <w:rFonts w:ascii="Arial" w:eastAsiaTheme="minorHAnsi" w:hAnsi="Arial" w:cs="Arial"/>
          <w:lang w:val="en-ZA" w:eastAsia="en-US"/>
        </w:rPr>
        <w:t>1.</w:t>
      </w:r>
      <w:r w:rsidRPr="00322A3C">
        <w:rPr>
          <w:rFonts w:ascii="Arial" w:eastAsiaTheme="minorHAnsi" w:hAnsi="Arial" w:cs="Arial"/>
          <w:lang w:val="en-ZA" w:eastAsia="en-US"/>
        </w:rPr>
        <w:tab/>
        <w:t xml:space="preserve">The application for leave to appeal is dismissed.  </w:t>
      </w:r>
    </w:p>
    <w:p w:rsidR="00A17794" w:rsidRPr="00322A3C" w:rsidRDefault="00A17794" w:rsidP="00A17794">
      <w:pPr>
        <w:spacing w:line="360" w:lineRule="auto"/>
        <w:jc w:val="both"/>
        <w:rPr>
          <w:rFonts w:ascii="Arial" w:hAnsi="Arial" w:cs="Arial"/>
          <w:lang w:val="en-ZA"/>
        </w:rPr>
      </w:pPr>
    </w:p>
    <w:p w:rsidR="00176493" w:rsidRPr="00322A3C" w:rsidRDefault="000A5912" w:rsidP="00EF7182">
      <w:pPr>
        <w:spacing w:line="276" w:lineRule="auto"/>
        <w:jc w:val="right"/>
        <w:rPr>
          <w:rFonts w:ascii="Arial" w:hAnsi="Arial" w:cs="Arial"/>
          <w:lang w:val="en-ZA"/>
        </w:rPr>
      </w:pPr>
      <w:r w:rsidRPr="00322A3C">
        <w:rPr>
          <w:rFonts w:ascii="Arial" w:hAnsi="Arial" w:cs="Arial"/>
          <w:lang w:val="en-ZA"/>
        </w:rPr>
        <w:t>________________</w:t>
      </w:r>
    </w:p>
    <w:p w:rsidR="000A5912" w:rsidRPr="00322A3C" w:rsidRDefault="000002F0" w:rsidP="00EF7182">
      <w:pPr>
        <w:spacing w:line="276" w:lineRule="auto"/>
        <w:jc w:val="right"/>
        <w:rPr>
          <w:rFonts w:ascii="Arial" w:hAnsi="Arial" w:cs="Arial"/>
          <w:lang w:val="en-ZA"/>
        </w:rPr>
      </w:pPr>
      <w:r w:rsidRPr="00322A3C">
        <w:rPr>
          <w:rFonts w:ascii="Arial" w:hAnsi="Arial" w:cs="Arial"/>
          <w:lang w:val="en-ZA"/>
        </w:rPr>
        <w:t>M A TOMMASI</w:t>
      </w:r>
    </w:p>
    <w:p w:rsidR="000A5912" w:rsidRPr="00322A3C" w:rsidRDefault="000A5912" w:rsidP="00EF7182">
      <w:pPr>
        <w:spacing w:line="276" w:lineRule="auto"/>
        <w:jc w:val="right"/>
        <w:rPr>
          <w:rFonts w:ascii="Arial" w:hAnsi="Arial" w:cs="Arial"/>
          <w:lang w:val="en-ZA"/>
        </w:rPr>
      </w:pPr>
      <w:r w:rsidRPr="00322A3C">
        <w:rPr>
          <w:rFonts w:ascii="Arial" w:hAnsi="Arial" w:cs="Arial"/>
          <w:lang w:val="en-ZA"/>
        </w:rPr>
        <w:lastRenderedPageBreak/>
        <w:t>JUDGE</w:t>
      </w:r>
    </w:p>
    <w:p w:rsidR="000A5912" w:rsidRPr="00322A3C" w:rsidRDefault="000A5912" w:rsidP="00322A3C">
      <w:pPr>
        <w:spacing w:line="360" w:lineRule="auto"/>
        <w:jc w:val="right"/>
        <w:rPr>
          <w:rFonts w:ascii="Arial" w:hAnsi="Arial" w:cs="Arial"/>
          <w:lang w:val="en-ZA"/>
        </w:rPr>
      </w:pPr>
    </w:p>
    <w:p w:rsidR="000A5912" w:rsidRPr="00322A3C" w:rsidRDefault="000A5912" w:rsidP="00322A3C">
      <w:pPr>
        <w:spacing w:line="360" w:lineRule="auto"/>
        <w:jc w:val="right"/>
        <w:rPr>
          <w:rFonts w:ascii="Arial" w:hAnsi="Arial" w:cs="Arial"/>
          <w:lang w:val="en-ZA"/>
        </w:rPr>
      </w:pPr>
    </w:p>
    <w:p w:rsidR="00D20E33" w:rsidRPr="002D1069" w:rsidRDefault="00D20E33" w:rsidP="00D20E33">
      <w:pPr>
        <w:spacing w:line="360" w:lineRule="auto"/>
        <w:jc w:val="both"/>
        <w:rPr>
          <w:rFonts w:ascii="Arial" w:hAnsi="Arial" w:cs="Arial"/>
          <w:u w:val="single"/>
        </w:rPr>
      </w:pPr>
      <w:r w:rsidRPr="002D1069">
        <w:rPr>
          <w:rFonts w:ascii="Arial" w:hAnsi="Arial" w:cs="Arial"/>
          <w:u w:val="single"/>
        </w:rPr>
        <w:t>Appearances:</w:t>
      </w:r>
    </w:p>
    <w:p w:rsidR="00D20E33" w:rsidRDefault="00D20E33" w:rsidP="00D20E33">
      <w:pPr>
        <w:spacing w:line="360" w:lineRule="auto"/>
        <w:jc w:val="both"/>
        <w:rPr>
          <w:rFonts w:ascii="Arial" w:hAnsi="Arial" w:cs="Arial"/>
          <w:b/>
        </w:rPr>
      </w:pPr>
    </w:p>
    <w:p w:rsidR="009B5D79" w:rsidRDefault="00D20E33" w:rsidP="00D20E33">
      <w:pPr>
        <w:spacing w:line="360" w:lineRule="auto"/>
        <w:ind w:right="720"/>
        <w:jc w:val="both"/>
        <w:rPr>
          <w:rFonts w:ascii="Arial" w:hAnsi="Arial" w:cs="Arial"/>
        </w:rPr>
      </w:pPr>
      <w:r>
        <w:rPr>
          <w:rFonts w:ascii="Arial" w:hAnsi="Arial" w:cs="Arial"/>
        </w:rPr>
        <w:t>For the Applicant:</w:t>
      </w:r>
      <w:r>
        <w:rPr>
          <w:rFonts w:ascii="Arial" w:hAnsi="Arial" w:cs="Arial"/>
        </w:rPr>
        <w:tab/>
      </w:r>
      <w:r>
        <w:rPr>
          <w:rFonts w:ascii="Arial" w:hAnsi="Arial" w:cs="Arial"/>
        </w:rPr>
        <w:tab/>
      </w:r>
      <w:r>
        <w:rPr>
          <w:rFonts w:ascii="Arial" w:hAnsi="Arial" w:cs="Arial"/>
          <w:b/>
        </w:rPr>
        <w:tab/>
      </w:r>
      <w:r>
        <w:rPr>
          <w:rFonts w:ascii="Arial" w:hAnsi="Arial" w:cs="Arial"/>
        </w:rPr>
        <w:t>Adv Pienaar</w:t>
      </w:r>
    </w:p>
    <w:p w:rsidR="00D20E33" w:rsidRPr="002D1069" w:rsidRDefault="00D20E33" w:rsidP="00D20E33">
      <w:pPr>
        <w:spacing w:line="360" w:lineRule="auto"/>
        <w:ind w:right="720"/>
        <w:jc w:val="both"/>
        <w:rPr>
          <w:rFonts w:ascii="Arial" w:hAnsi="Arial" w:cs="Arial"/>
        </w:rPr>
      </w:pPr>
      <w:r w:rsidRPr="002D1069">
        <w:rPr>
          <w:rFonts w:ascii="Arial" w:hAnsi="Arial" w:cs="Arial"/>
        </w:rPr>
        <w:t xml:space="preserve">Of </w:t>
      </w:r>
      <w:r w:rsidR="009B5D79">
        <w:rPr>
          <w:rFonts w:ascii="Arial" w:hAnsi="Arial" w:cs="Arial"/>
          <w:b/>
        </w:rPr>
        <w:tab/>
      </w:r>
      <w:r w:rsidR="009B5D79">
        <w:rPr>
          <w:rFonts w:ascii="Arial" w:hAnsi="Arial" w:cs="Arial"/>
          <w:b/>
        </w:rPr>
        <w:tab/>
      </w:r>
      <w:r w:rsidR="009B5D79">
        <w:rPr>
          <w:rFonts w:ascii="Arial" w:hAnsi="Arial" w:cs="Arial"/>
          <w:b/>
        </w:rPr>
        <w:tab/>
      </w:r>
      <w:r w:rsidR="009B5D79">
        <w:rPr>
          <w:rFonts w:ascii="Arial" w:hAnsi="Arial" w:cs="Arial"/>
          <w:b/>
        </w:rPr>
        <w:tab/>
      </w:r>
      <w:r w:rsidR="009B5D79">
        <w:rPr>
          <w:rFonts w:ascii="Arial" w:hAnsi="Arial" w:cs="Arial"/>
          <w:b/>
        </w:rPr>
        <w:tab/>
      </w:r>
      <w:r w:rsidRPr="002D1069">
        <w:rPr>
          <w:rFonts w:ascii="Arial" w:hAnsi="Arial" w:cs="Arial"/>
        </w:rPr>
        <w:t>Office of the Prosecutor-General</w:t>
      </w:r>
    </w:p>
    <w:p w:rsidR="00D20E33" w:rsidRPr="003C16E2" w:rsidRDefault="00D20E33" w:rsidP="00D20E33">
      <w:pPr>
        <w:spacing w:line="360" w:lineRule="auto"/>
        <w:ind w:right="720"/>
        <w:jc w:val="both"/>
        <w:rPr>
          <w:rFonts w:ascii="Arial" w:hAnsi="Arial" w:cs="Arial"/>
          <w:b/>
        </w:rPr>
      </w:pPr>
    </w:p>
    <w:p w:rsidR="00D20E33" w:rsidRDefault="00D20E33" w:rsidP="00D20E33">
      <w:pPr>
        <w:spacing w:line="360" w:lineRule="auto"/>
        <w:ind w:right="720"/>
        <w:jc w:val="both"/>
        <w:rPr>
          <w:rFonts w:ascii="Arial" w:hAnsi="Arial" w:cs="Arial"/>
        </w:rPr>
      </w:pPr>
    </w:p>
    <w:p w:rsidR="00D20E33" w:rsidRDefault="00D20E33" w:rsidP="00D20E33">
      <w:pPr>
        <w:spacing w:line="360" w:lineRule="auto"/>
        <w:ind w:right="720"/>
        <w:jc w:val="both"/>
        <w:rPr>
          <w:rFonts w:ascii="Arial" w:hAnsi="Arial" w:cs="Arial"/>
        </w:rPr>
      </w:pPr>
    </w:p>
    <w:p w:rsidR="009B5D79" w:rsidRDefault="00D20E33" w:rsidP="009B5D79">
      <w:pPr>
        <w:spacing w:line="360" w:lineRule="auto"/>
        <w:ind w:right="720"/>
        <w:jc w:val="both"/>
        <w:rPr>
          <w:rFonts w:ascii="Arial" w:hAnsi="Arial" w:cs="Arial"/>
        </w:rPr>
      </w:pPr>
      <w:r>
        <w:rPr>
          <w:rFonts w:ascii="Arial" w:hAnsi="Arial" w:cs="Arial"/>
        </w:rPr>
        <w:t>For the Respondent:</w:t>
      </w:r>
      <w:r>
        <w:rPr>
          <w:rFonts w:ascii="Arial" w:hAnsi="Arial" w:cs="Arial"/>
        </w:rPr>
        <w:tab/>
      </w:r>
      <w:r>
        <w:rPr>
          <w:rFonts w:ascii="Arial" w:hAnsi="Arial" w:cs="Arial"/>
        </w:rPr>
        <w:tab/>
      </w:r>
      <w:r w:rsidRPr="003C16E2">
        <w:rPr>
          <w:rFonts w:ascii="Arial" w:hAnsi="Arial" w:cs="Arial"/>
        </w:rPr>
        <w:t xml:space="preserve">Mr </w:t>
      </w:r>
      <w:r>
        <w:rPr>
          <w:rFonts w:ascii="Arial" w:hAnsi="Arial" w:cs="Arial"/>
        </w:rPr>
        <w:t>Greyling</w:t>
      </w:r>
    </w:p>
    <w:p w:rsidR="00D20E33" w:rsidRPr="002D1069" w:rsidRDefault="00D20E33" w:rsidP="009B5D79">
      <w:pPr>
        <w:spacing w:line="360" w:lineRule="auto"/>
        <w:ind w:right="720"/>
        <w:jc w:val="both"/>
        <w:rPr>
          <w:rFonts w:ascii="Arial" w:hAnsi="Arial" w:cs="Arial"/>
        </w:rPr>
      </w:pPr>
      <w:r w:rsidRPr="002D1069">
        <w:rPr>
          <w:rFonts w:ascii="Arial" w:hAnsi="Arial" w:cs="Arial"/>
        </w:rPr>
        <w:t xml:space="preserve">Of </w:t>
      </w:r>
      <w:r w:rsidR="009B5D79">
        <w:rPr>
          <w:rFonts w:ascii="Arial" w:hAnsi="Arial" w:cs="Arial"/>
          <w:b/>
        </w:rPr>
        <w:tab/>
      </w:r>
      <w:r w:rsidR="009B5D79">
        <w:rPr>
          <w:rFonts w:ascii="Arial" w:hAnsi="Arial" w:cs="Arial"/>
          <w:b/>
        </w:rPr>
        <w:tab/>
      </w:r>
      <w:r w:rsidR="009B5D79">
        <w:rPr>
          <w:rFonts w:ascii="Arial" w:hAnsi="Arial" w:cs="Arial"/>
          <w:b/>
        </w:rPr>
        <w:tab/>
      </w:r>
      <w:r w:rsidR="009B5D79">
        <w:rPr>
          <w:rFonts w:ascii="Arial" w:hAnsi="Arial" w:cs="Arial"/>
          <w:b/>
        </w:rPr>
        <w:tab/>
      </w:r>
      <w:r w:rsidR="009B5D79">
        <w:rPr>
          <w:rFonts w:ascii="Arial" w:hAnsi="Arial" w:cs="Arial"/>
          <w:b/>
        </w:rPr>
        <w:tab/>
      </w:r>
      <w:r w:rsidRPr="002D1069">
        <w:rPr>
          <w:rFonts w:ascii="Arial" w:hAnsi="Arial" w:cs="Arial"/>
        </w:rPr>
        <w:t>Greyling &amp; Associates</w:t>
      </w:r>
    </w:p>
    <w:p w:rsidR="00D20E33" w:rsidRDefault="00D20E33" w:rsidP="00D20E33">
      <w:pPr>
        <w:spacing w:line="360" w:lineRule="auto"/>
        <w:ind w:right="720"/>
        <w:jc w:val="both"/>
        <w:rPr>
          <w:rFonts w:ascii="Arial" w:hAnsi="Arial" w:cs="Arial"/>
          <w:b/>
        </w:rPr>
      </w:pPr>
    </w:p>
    <w:p w:rsidR="000002F0" w:rsidRPr="00322A3C" w:rsidRDefault="000002F0" w:rsidP="00322A3C">
      <w:pPr>
        <w:spacing w:line="360" w:lineRule="auto"/>
        <w:jc w:val="right"/>
        <w:rPr>
          <w:rFonts w:ascii="Arial" w:hAnsi="Arial" w:cs="Arial"/>
          <w:lang w:val="en-ZA"/>
        </w:rPr>
      </w:pPr>
    </w:p>
    <w:p w:rsidR="00176493" w:rsidRDefault="00176493" w:rsidP="00322A3C">
      <w:pPr>
        <w:spacing w:line="360" w:lineRule="auto"/>
        <w:jc w:val="both"/>
        <w:rPr>
          <w:rFonts w:ascii="Arial" w:hAnsi="Arial" w:cs="Arial"/>
          <w:lang w:val="en-ZA"/>
        </w:rPr>
      </w:pPr>
    </w:p>
    <w:p w:rsidR="00D70426" w:rsidRPr="00322A3C" w:rsidRDefault="00D70426" w:rsidP="00322A3C">
      <w:pPr>
        <w:spacing w:line="360" w:lineRule="auto"/>
        <w:jc w:val="both"/>
        <w:rPr>
          <w:rFonts w:ascii="Arial" w:hAnsi="Arial" w:cs="Arial"/>
          <w:lang w:val="en-ZA"/>
        </w:rPr>
      </w:pPr>
    </w:p>
    <w:p w:rsidR="00F06B4D" w:rsidRPr="00322A3C" w:rsidRDefault="00A20B00" w:rsidP="00322A3C">
      <w:pPr>
        <w:spacing w:line="360" w:lineRule="auto"/>
        <w:jc w:val="both"/>
        <w:rPr>
          <w:rFonts w:ascii="Arial" w:hAnsi="Arial" w:cs="Arial"/>
          <w:lang w:val="en-ZA"/>
        </w:rPr>
      </w:pPr>
      <w:r w:rsidRPr="00322A3C">
        <w:rPr>
          <w:rFonts w:ascii="Arial" w:hAnsi="Arial" w:cs="Arial"/>
          <w:lang w:val="en-ZA"/>
        </w:rPr>
        <w:tab/>
      </w:r>
      <w:r w:rsidRPr="00322A3C">
        <w:rPr>
          <w:rFonts w:ascii="Arial" w:hAnsi="Arial" w:cs="Arial"/>
          <w:lang w:val="en-ZA"/>
        </w:rPr>
        <w:tab/>
      </w:r>
    </w:p>
    <w:p w:rsidR="008365DA" w:rsidRPr="00322A3C" w:rsidRDefault="008365DA" w:rsidP="00322A3C">
      <w:pPr>
        <w:spacing w:line="360" w:lineRule="auto"/>
        <w:jc w:val="both"/>
        <w:rPr>
          <w:rFonts w:ascii="Arial" w:hAnsi="Arial" w:cs="Arial"/>
          <w:lang w:val="en-ZA"/>
        </w:rPr>
      </w:pPr>
    </w:p>
    <w:sectPr w:rsidR="008365DA" w:rsidRPr="00322A3C" w:rsidSect="00C421EA">
      <w:headerReference w:type="even" r:id="rId12"/>
      <w:headerReference w:type="default" r:id="rId13"/>
      <w:headerReference w:type="first" r:id="rId14"/>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BE" w:rsidRDefault="005475BE">
      <w:r>
        <w:separator/>
      </w:r>
    </w:p>
  </w:endnote>
  <w:endnote w:type="continuationSeparator" w:id="0">
    <w:p w:rsidR="005475BE" w:rsidRDefault="005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BE" w:rsidRDefault="005475BE">
      <w:r>
        <w:separator/>
      </w:r>
    </w:p>
  </w:footnote>
  <w:footnote w:type="continuationSeparator" w:id="0">
    <w:p w:rsidR="005475BE" w:rsidRDefault="005475BE">
      <w:r>
        <w:continuationSeparator/>
      </w:r>
    </w:p>
  </w:footnote>
  <w:footnote w:id="1">
    <w:p w:rsidR="0070301D" w:rsidRPr="009B5D79" w:rsidRDefault="0070301D" w:rsidP="009B5D79">
      <w:pPr>
        <w:pStyle w:val="FootnoteText"/>
        <w:jc w:val="both"/>
        <w:rPr>
          <w:rFonts w:ascii="Arial" w:hAnsi="Arial" w:cs="Arial"/>
          <w:lang w:val="en-ZA"/>
        </w:rPr>
      </w:pPr>
      <w:r w:rsidRPr="009B5D79">
        <w:rPr>
          <w:rStyle w:val="FootnoteReference"/>
          <w:rFonts w:ascii="Arial" w:hAnsi="Arial" w:cs="Arial"/>
        </w:rPr>
        <w:footnoteRef/>
      </w:r>
      <w:r w:rsidRPr="009B5D79">
        <w:rPr>
          <w:rFonts w:ascii="Arial" w:hAnsi="Arial" w:cs="Arial"/>
        </w:rPr>
        <w:t xml:space="preserve"> </w:t>
      </w:r>
      <w:r w:rsidRPr="009B5D79">
        <w:rPr>
          <w:rFonts w:ascii="Arial" w:hAnsi="Arial" w:cs="Arial"/>
          <w:lang w:val="en-ZA"/>
        </w:rPr>
        <w:t>2013 (2) NR 504 (SC)</w:t>
      </w:r>
      <w:r w:rsidRPr="009B5D79">
        <w:rPr>
          <w:rFonts w:ascii="Arial" w:eastAsiaTheme="minorHAnsi" w:hAnsi="Arial" w:cs="Arial"/>
          <w:sz w:val="24"/>
          <w:szCs w:val="24"/>
          <w:lang w:val="en-ZA" w:eastAsia="en-US"/>
        </w:rPr>
        <w:t xml:space="preserve"> </w:t>
      </w:r>
      <w:r w:rsidRPr="009B5D79">
        <w:rPr>
          <w:rFonts w:ascii="Arial" w:hAnsi="Arial" w:cs="Arial"/>
          <w:lang w:val="en-ZA"/>
        </w:rPr>
        <w:t>at page 507, para 5</w:t>
      </w:r>
    </w:p>
  </w:footnote>
  <w:footnote w:id="2">
    <w:p w:rsidR="00322A3C" w:rsidRPr="009B5D79" w:rsidRDefault="00322A3C" w:rsidP="009B5D79">
      <w:pPr>
        <w:pStyle w:val="FootnoteText"/>
        <w:jc w:val="both"/>
        <w:rPr>
          <w:rFonts w:ascii="Arial" w:hAnsi="Arial" w:cs="Arial"/>
        </w:rPr>
      </w:pPr>
      <w:r w:rsidRPr="009B5D79">
        <w:rPr>
          <w:rStyle w:val="FootnoteReference"/>
          <w:rFonts w:ascii="Arial" w:hAnsi="Arial" w:cs="Arial"/>
        </w:rPr>
        <w:footnoteRef/>
      </w:r>
      <w:r w:rsidRPr="009B5D79">
        <w:rPr>
          <w:rFonts w:ascii="Arial" w:hAnsi="Arial" w:cs="Arial"/>
        </w:rPr>
        <w:t xml:space="preserve"> </w:t>
      </w:r>
      <w:r w:rsidRPr="009B5D79">
        <w:rPr>
          <w:rFonts w:ascii="Arial" w:hAnsi="Arial" w:cs="Arial"/>
          <w:i/>
        </w:rPr>
        <w:t>S v Ningisa</w:t>
      </w:r>
      <w:r w:rsidRPr="009B5D79">
        <w:rPr>
          <w:rFonts w:ascii="Arial" w:hAnsi="Arial" w:cs="Arial"/>
        </w:rPr>
        <w:t>, supra</w:t>
      </w:r>
      <w:r w:rsidR="0070301D" w:rsidRPr="009B5D7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F65FE7">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33F3F"/>
    <w:rsid w:val="00090F03"/>
    <w:rsid w:val="0009129F"/>
    <w:rsid w:val="000A5912"/>
    <w:rsid w:val="001111F5"/>
    <w:rsid w:val="0013137F"/>
    <w:rsid w:val="00135B62"/>
    <w:rsid w:val="00143F36"/>
    <w:rsid w:val="0014662D"/>
    <w:rsid w:val="0015092B"/>
    <w:rsid w:val="00153845"/>
    <w:rsid w:val="00176493"/>
    <w:rsid w:val="0018649E"/>
    <w:rsid w:val="001961DF"/>
    <w:rsid w:val="001E4660"/>
    <w:rsid w:val="001F6772"/>
    <w:rsid w:val="00210744"/>
    <w:rsid w:val="0022612C"/>
    <w:rsid w:val="00227DE5"/>
    <w:rsid w:val="00250179"/>
    <w:rsid w:val="00275BF7"/>
    <w:rsid w:val="00291BBA"/>
    <w:rsid w:val="002A0D50"/>
    <w:rsid w:val="002A6422"/>
    <w:rsid w:val="002D1069"/>
    <w:rsid w:val="002E76CF"/>
    <w:rsid w:val="003209A3"/>
    <w:rsid w:val="00322A3C"/>
    <w:rsid w:val="00323AAF"/>
    <w:rsid w:val="00340732"/>
    <w:rsid w:val="003442F2"/>
    <w:rsid w:val="00351D1B"/>
    <w:rsid w:val="0038512A"/>
    <w:rsid w:val="003B0AE9"/>
    <w:rsid w:val="003C089D"/>
    <w:rsid w:val="003D3C07"/>
    <w:rsid w:val="003E7ADD"/>
    <w:rsid w:val="004126FE"/>
    <w:rsid w:val="004251BB"/>
    <w:rsid w:val="00445138"/>
    <w:rsid w:val="00484ACA"/>
    <w:rsid w:val="004A5FB3"/>
    <w:rsid w:val="004C27B0"/>
    <w:rsid w:val="004C62C8"/>
    <w:rsid w:val="004D7768"/>
    <w:rsid w:val="004E383E"/>
    <w:rsid w:val="004F29C0"/>
    <w:rsid w:val="004F6EDD"/>
    <w:rsid w:val="0050251A"/>
    <w:rsid w:val="005223B2"/>
    <w:rsid w:val="005475BE"/>
    <w:rsid w:val="005548FF"/>
    <w:rsid w:val="005632C1"/>
    <w:rsid w:val="005A6E59"/>
    <w:rsid w:val="005B46A4"/>
    <w:rsid w:val="005E14DB"/>
    <w:rsid w:val="0061029A"/>
    <w:rsid w:val="00610342"/>
    <w:rsid w:val="00612F96"/>
    <w:rsid w:val="00635D4F"/>
    <w:rsid w:val="006516E3"/>
    <w:rsid w:val="006652E7"/>
    <w:rsid w:val="00685321"/>
    <w:rsid w:val="006A2079"/>
    <w:rsid w:val="006D037E"/>
    <w:rsid w:val="006E137F"/>
    <w:rsid w:val="006E508B"/>
    <w:rsid w:val="006E5E6E"/>
    <w:rsid w:val="006F1710"/>
    <w:rsid w:val="0070301D"/>
    <w:rsid w:val="0070636C"/>
    <w:rsid w:val="00713627"/>
    <w:rsid w:val="00722E1F"/>
    <w:rsid w:val="00743690"/>
    <w:rsid w:val="007511D7"/>
    <w:rsid w:val="007A26BB"/>
    <w:rsid w:val="007A47F4"/>
    <w:rsid w:val="007A5167"/>
    <w:rsid w:val="007C5DB3"/>
    <w:rsid w:val="007F1682"/>
    <w:rsid w:val="007F31DE"/>
    <w:rsid w:val="00811B5C"/>
    <w:rsid w:val="008250DF"/>
    <w:rsid w:val="008267BB"/>
    <w:rsid w:val="008365DA"/>
    <w:rsid w:val="00851D17"/>
    <w:rsid w:val="00882112"/>
    <w:rsid w:val="0089757C"/>
    <w:rsid w:val="008B0835"/>
    <w:rsid w:val="008D1A9E"/>
    <w:rsid w:val="008E2430"/>
    <w:rsid w:val="008E537B"/>
    <w:rsid w:val="008E5EE0"/>
    <w:rsid w:val="0090269F"/>
    <w:rsid w:val="0090679E"/>
    <w:rsid w:val="00910796"/>
    <w:rsid w:val="00947462"/>
    <w:rsid w:val="009763D1"/>
    <w:rsid w:val="009A4B5A"/>
    <w:rsid w:val="009B5D79"/>
    <w:rsid w:val="009C2CD3"/>
    <w:rsid w:val="009C5A07"/>
    <w:rsid w:val="009D3BE4"/>
    <w:rsid w:val="009D5AD4"/>
    <w:rsid w:val="009D72A6"/>
    <w:rsid w:val="009E41C3"/>
    <w:rsid w:val="00A17794"/>
    <w:rsid w:val="00A20B00"/>
    <w:rsid w:val="00A31168"/>
    <w:rsid w:val="00A42045"/>
    <w:rsid w:val="00A74E48"/>
    <w:rsid w:val="00A75037"/>
    <w:rsid w:val="00A879B3"/>
    <w:rsid w:val="00A9073F"/>
    <w:rsid w:val="00AA385F"/>
    <w:rsid w:val="00AB5966"/>
    <w:rsid w:val="00AC7528"/>
    <w:rsid w:val="00AF0B28"/>
    <w:rsid w:val="00B05FB4"/>
    <w:rsid w:val="00B1228F"/>
    <w:rsid w:val="00B17592"/>
    <w:rsid w:val="00B35F5F"/>
    <w:rsid w:val="00B6056C"/>
    <w:rsid w:val="00B62CA9"/>
    <w:rsid w:val="00B90DCD"/>
    <w:rsid w:val="00BC4161"/>
    <w:rsid w:val="00C05B05"/>
    <w:rsid w:val="00C06675"/>
    <w:rsid w:val="00C352DE"/>
    <w:rsid w:val="00C421EA"/>
    <w:rsid w:val="00C852D1"/>
    <w:rsid w:val="00C97786"/>
    <w:rsid w:val="00CA4466"/>
    <w:rsid w:val="00CB465F"/>
    <w:rsid w:val="00CE0DD9"/>
    <w:rsid w:val="00CE1116"/>
    <w:rsid w:val="00D17803"/>
    <w:rsid w:val="00D20E33"/>
    <w:rsid w:val="00D24A1F"/>
    <w:rsid w:val="00D531D2"/>
    <w:rsid w:val="00D63C94"/>
    <w:rsid w:val="00D70426"/>
    <w:rsid w:val="00D81B6E"/>
    <w:rsid w:val="00DC5021"/>
    <w:rsid w:val="00DF2D40"/>
    <w:rsid w:val="00E06182"/>
    <w:rsid w:val="00E07C65"/>
    <w:rsid w:val="00E13B0E"/>
    <w:rsid w:val="00E7716C"/>
    <w:rsid w:val="00E91EFB"/>
    <w:rsid w:val="00E96E30"/>
    <w:rsid w:val="00EC5C32"/>
    <w:rsid w:val="00EC5F8C"/>
    <w:rsid w:val="00EE7376"/>
    <w:rsid w:val="00EF50D2"/>
    <w:rsid w:val="00EF62F8"/>
    <w:rsid w:val="00EF7182"/>
    <w:rsid w:val="00F02BC4"/>
    <w:rsid w:val="00F06B4D"/>
    <w:rsid w:val="00F2305B"/>
    <w:rsid w:val="00F25730"/>
    <w:rsid w:val="00F27F95"/>
    <w:rsid w:val="00F620C0"/>
    <w:rsid w:val="00F622A6"/>
    <w:rsid w:val="00F65FE7"/>
    <w:rsid w:val="00F754C2"/>
    <w:rsid w:val="00F75C33"/>
    <w:rsid w:val="00FA340F"/>
    <w:rsid w:val="00FB5816"/>
    <w:rsid w:val="00FB6413"/>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CCCB6C-7EF2-421C-860E-431E23A4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uiPriority w:val="99"/>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2017-07-05T18:30:00+00:00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CEFA-16BA-4B5B-B1E7-6F765C7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CBF60-90D1-4AFA-BCEF-8B083E7A9BA0}">
  <ds:schemaRefs>
    <ds:schemaRef ds:uri="http://schemas.microsoft.com/sharepoint/v3/contenttype/forms"/>
  </ds:schemaRefs>
</ds:datastoreItem>
</file>

<file path=customXml/itemProps3.xml><?xml version="1.0" encoding="utf-8"?>
<ds:datastoreItem xmlns:ds="http://schemas.openxmlformats.org/officeDocument/2006/customXml" ds:itemID="{CD055BB6-DCC2-4952-BD77-E217E23F7FF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036617c-f1b0-4353-ab0a-456b3885ee3b"/>
    <ds:schemaRef ds:uri="17a0f4bd-1162-49ac-b85f-dfe96a90bc01"/>
    <ds:schemaRef ds:uri="http://www.w3.org/XML/1998/namespace"/>
  </ds:schemaRefs>
</ds:datastoreItem>
</file>

<file path=customXml/itemProps4.xml><?xml version="1.0" encoding="utf-8"?>
<ds:datastoreItem xmlns:ds="http://schemas.openxmlformats.org/officeDocument/2006/customXml" ds:itemID="{72838185-430D-41F7-9F0F-AEDCEA3C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W P. Oosthuizen</cp:lastModifiedBy>
  <cp:revision>2</cp:revision>
  <cp:lastPrinted>2017-07-07T04:50:00Z</cp:lastPrinted>
  <dcterms:created xsi:type="dcterms:W3CDTF">2017-07-12T07:24:00Z</dcterms:created>
  <dcterms:modified xsi:type="dcterms:W3CDTF">2017-07-12T07:24:00Z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