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60" w:rsidRPr="00A74E48" w:rsidRDefault="001111F5" w:rsidP="00307460">
      <w:pPr>
        <w:spacing w:line="360" w:lineRule="auto"/>
        <w:jc w:val="right"/>
        <w:rPr>
          <w:rFonts w:ascii="Arial" w:hAnsi="Arial" w:cs="Arial"/>
        </w:rPr>
      </w:pPr>
      <w:bookmarkStart w:id="0" w:name="_GoBack"/>
      <w:bookmarkEnd w:id="0"/>
      <w:r w:rsidRPr="00AF0B28">
        <w:rPr>
          <w:rFonts w:ascii="Arial" w:hAnsi="Arial" w:cs="Arial"/>
          <w:b/>
        </w:rPr>
        <w:t>REPUBLIC OF NAMIBIA</w:t>
      </w:r>
      <w:r w:rsidR="00307460">
        <w:rPr>
          <w:rFonts w:ascii="Arial" w:hAnsi="Arial" w:cs="Arial"/>
          <w:b/>
        </w:rPr>
        <w:t xml:space="preserve">                    </w:t>
      </w:r>
      <w:r w:rsidR="00307460" w:rsidRPr="00307460">
        <w:rPr>
          <w:rFonts w:ascii="Arial" w:hAnsi="Arial" w:cs="Arial"/>
          <w:sz w:val="20"/>
        </w:rPr>
        <w:t xml:space="preserve"> </w:t>
      </w:r>
      <w:r w:rsidR="00307460"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700A54">
        <w:rPr>
          <w:rFonts w:ascii="Arial" w:hAnsi="Arial" w:cs="Arial"/>
          <w:lang w:val="en-ZA"/>
        </w:rPr>
        <w:t>54/2013</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700A54" w:rsidP="00176493">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700A54" w:rsidP="00176493">
      <w:pPr>
        <w:spacing w:line="360" w:lineRule="auto"/>
        <w:jc w:val="both"/>
        <w:rPr>
          <w:rFonts w:ascii="Arial" w:hAnsi="Arial" w:cs="Arial"/>
          <w:b/>
          <w:lang w:val="en-ZA"/>
        </w:rPr>
      </w:pPr>
      <w:r>
        <w:rPr>
          <w:rFonts w:ascii="Arial" w:hAnsi="Arial" w:cs="Arial"/>
          <w:b/>
          <w:lang w:val="en-ZA"/>
        </w:rPr>
        <w:t>VENASIU JANUARY</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Neutral citation</w:t>
      </w:r>
      <w:r w:rsidR="00307460">
        <w:rPr>
          <w:rFonts w:ascii="Arial" w:hAnsi="Arial" w:cs="Arial"/>
          <w:b/>
          <w:lang w:val="en-ZA"/>
        </w:rPr>
        <w:t xml:space="preserve">: </w:t>
      </w:r>
      <w:r w:rsidR="00307460" w:rsidRPr="00307460">
        <w:rPr>
          <w:rFonts w:ascii="Arial" w:hAnsi="Arial" w:cs="Arial"/>
          <w:lang w:val="en-ZA"/>
        </w:rPr>
        <w:t>S</w:t>
      </w:r>
      <w:r w:rsidR="00700A54">
        <w:rPr>
          <w:rFonts w:ascii="Arial" w:hAnsi="Arial" w:cs="Arial"/>
          <w:i/>
          <w:lang w:val="en-ZA"/>
        </w:rPr>
        <w:t xml:space="preserve"> </w:t>
      </w:r>
      <w:r w:rsidR="000002F0">
        <w:rPr>
          <w:rFonts w:ascii="Arial" w:hAnsi="Arial" w:cs="Arial"/>
          <w:i/>
          <w:lang w:val="en-ZA"/>
        </w:rPr>
        <w:t xml:space="preserve">v </w:t>
      </w:r>
      <w:r w:rsidR="00700A54">
        <w:rPr>
          <w:rFonts w:ascii="Arial" w:hAnsi="Arial" w:cs="Arial"/>
          <w:i/>
          <w:lang w:val="en-ZA"/>
        </w:rPr>
        <w:t xml:space="preserve">January </w:t>
      </w:r>
      <w:r w:rsidR="008250DF">
        <w:rPr>
          <w:rFonts w:ascii="Arial" w:hAnsi="Arial" w:cs="Arial"/>
          <w:lang w:val="en-ZA"/>
        </w:rPr>
        <w:t>(CA</w:t>
      </w:r>
      <w:r w:rsidR="00BC622C">
        <w:rPr>
          <w:rFonts w:ascii="Arial" w:hAnsi="Arial" w:cs="Arial"/>
          <w:lang w:val="en-ZA"/>
        </w:rPr>
        <w:t xml:space="preserve"> </w:t>
      </w:r>
      <w:r w:rsidR="00080F3A">
        <w:rPr>
          <w:rFonts w:ascii="Arial" w:hAnsi="Arial" w:cs="Arial"/>
          <w:lang w:val="en-ZA"/>
        </w:rPr>
        <w:t>54</w:t>
      </w:r>
      <w:r w:rsidR="00700A54">
        <w:rPr>
          <w:rFonts w:ascii="Arial" w:hAnsi="Arial" w:cs="Arial"/>
          <w:lang w:val="en-ZA"/>
        </w:rPr>
        <w:t>/2013</w:t>
      </w:r>
      <w:r w:rsidR="00210744">
        <w:rPr>
          <w:rFonts w:ascii="Arial" w:hAnsi="Arial" w:cs="Arial"/>
          <w:lang w:val="en-ZA"/>
        </w:rPr>
        <w:t>) [20</w:t>
      </w:r>
      <w:r w:rsidR="00CE0DD9">
        <w:rPr>
          <w:rFonts w:ascii="Arial" w:hAnsi="Arial" w:cs="Arial"/>
          <w:lang w:val="en-ZA"/>
        </w:rPr>
        <w:t>1</w:t>
      </w:r>
      <w:r w:rsidR="00700A54">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D25386">
        <w:rPr>
          <w:rFonts w:ascii="Arial" w:hAnsi="Arial" w:cs="Arial"/>
          <w:lang w:val="en-ZA"/>
        </w:rPr>
        <w:t>6</w:t>
      </w:r>
      <w:r w:rsidR="003F4E89">
        <w:rPr>
          <w:rFonts w:ascii="Arial" w:hAnsi="Arial" w:cs="Arial"/>
          <w:lang w:val="en-ZA"/>
        </w:rPr>
        <w:t>5</w:t>
      </w:r>
      <w:r w:rsidR="00D25386">
        <w:rPr>
          <w:rFonts w:ascii="Arial" w:hAnsi="Arial" w:cs="Arial"/>
          <w:lang w:val="en-ZA"/>
        </w:rPr>
        <w:t xml:space="preserve"> </w:t>
      </w:r>
      <w:r w:rsidR="00AC7528">
        <w:rPr>
          <w:rFonts w:ascii="Arial" w:hAnsi="Arial" w:cs="Arial"/>
          <w:lang w:val="en-ZA"/>
        </w:rPr>
        <w:t>(</w:t>
      </w:r>
      <w:r w:rsidR="00D25386">
        <w:rPr>
          <w:rFonts w:ascii="Arial" w:hAnsi="Arial" w:cs="Arial"/>
          <w:lang w:val="en-ZA"/>
        </w:rPr>
        <w:t xml:space="preserve">11 </w:t>
      </w:r>
      <w:r w:rsidR="00700A54">
        <w:rPr>
          <w:rFonts w:ascii="Arial" w:hAnsi="Arial" w:cs="Arial"/>
          <w:lang w:val="en-ZA"/>
        </w:rPr>
        <w:t>July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773305">
        <w:rPr>
          <w:rFonts w:ascii="Arial" w:hAnsi="Arial" w:cs="Arial"/>
          <w:lang w:val="en-ZA"/>
        </w:rPr>
        <w:t>DAMASEB JP</w:t>
      </w:r>
      <w:r w:rsidR="00FF66A2" w:rsidRPr="00FF66A2">
        <w:rPr>
          <w:rFonts w:ascii="Arial" w:hAnsi="Arial" w:cs="Arial"/>
          <w:lang w:val="en-ZA"/>
        </w:rPr>
        <w:t xml:space="preserve"> </w:t>
      </w:r>
      <w:r w:rsidR="00FF66A2">
        <w:rPr>
          <w:rFonts w:ascii="Arial" w:hAnsi="Arial" w:cs="Arial"/>
          <w:lang w:val="en-ZA"/>
        </w:rPr>
        <w:t xml:space="preserve">and TOMMASI </w:t>
      </w:r>
      <w:r w:rsidR="00FF66A2"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5D4FF6">
        <w:rPr>
          <w:rFonts w:ascii="Arial" w:hAnsi="Arial" w:cs="Arial"/>
          <w:lang w:val="en-ZA"/>
        </w:rPr>
        <w:t xml:space="preserve">27 July </w:t>
      </w:r>
      <w:r w:rsidR="00F620C0" w:rsidRPr="000002F0">
        <w:rPr>
          <w:rFonts w:ascii="Arial" w:hAnsi="Arial" w:cs="Arial"/>
          <w:lang w:val="en-ZA"/>
        </w:rPr>
        <w:t>201</w:t>
      </w:r>
      <w:r w:rsidR="005D4FF6">
        <w:rPr>
          <w:rFonts w:ascii="Arial" w:hAnsi="Arial" w:cs="Arial"/>
          <w:lang w:val="en-ZA"/>
        </w:rPr>
        <w:t>6</w:t>
      </w:r>
      <w:r w:rsidRPr="000002F0">
        <w:rPr>
          <w:rFonts w:ascii="Arial" w:hAnsi="Arial" w:cs="Arial"/>
          <w:lang w:val="en-ZA"/>
        </w:rPr>
        <w:t xml:space="preserve">   </w:t>
      </w:r>
      <w:r w:rsidRPr="00340732">
        <w:rPr>
          <w:rFonts w:ascii="Arial" w:hAnsi="Arial" w:cs="Arial"/>
          <w:lang w:val="en-ZA"/>
        </w:rPr>
        <w:t xml:space="preserve">  </w:t>
      </w:r>
    </w:p>
    <w:p w:rsidR="00635D4F" w:rsidRDefault="00FF66A2" w:rsidP="00CA4466">
      <w:pPr>
        <w:spacing w:line="360" w:lineRule="auto"/>
        <w:jc w:val="both"/>
        <w:rPr>
          <w:rFonts w:ascii="Arial" w:hAnsi="Arial" w:cs="Arial"/>
          <w:lang w:val="en-ZA"/>
        </w:rPr>
      </w:pPr>
      <w:r>
        <w:rPr>
          <w:rFonts w:ascii="Arial" w:hAnsi="Arial" w:cs="Arial"/>
          <w:b/>
          <w:lang w:val="en-ZA"/>
        </w:rPr>
        <w:t>Released</w:t>
      </w:r>
      <w:r w:rsidR="00006879" w:rsidRPr="00340732">
        <w:rPr>
          <w:rFonts w:ascii="Arial" w:hAnsi="Arial" w:cs="Arial"/>
          <w:lang w:val="en-ZA"/>
        </w:rPr>
        <w:t>:</w:t>
      </w:r>
      <w:r w:rsidR="00C97786">
        <w:rPr>
          <w:rFonts w:ascii="Arial" w:hAnsi="Arial" w:cs="Arial"/>
          <w:lang w:val="en-ZA"/>
        </w:rPr>
        <w:tab/>
      </w:r>
      <w:r w:rsidR="00D25386">
        <w:rPr>
          <w:rFonts w:ascii="Arial" w:hAnsi="Arial" w:cs="Arial"/>
          <w:lang w:val="en-ZA"/>
        </w:rPr>
        <w:t xml:space="preserve">11 </w:t>
      </w:r>
      <w:r w:rsidR="005D4FF6">
        <w:rPr>
          <w:rFonts w:ascii="Arial" w:hAnsi="Arial" w:cs="Arial"/>
          <w:lang w:val="en-ZA"/>
        </w:rPr>
        <w:t>July 2017</w:t>
      </w:r>
    </w:p>
    <w:p w:rsidR="005D4FF6" w:rsidRDefault="005D4FF6" w:rsidP="00CA4466">
      <w:pPr>
        <w:spacing w:line="360" w:lineRule="auto"/>
        <w:jc w:val="both"/>
        <w:rPr>
          <w:rFonts w:ascii="Arial" w:hAnsi="Arial" w:cs="Arial"/>
          <w:lang w:val="en-ZA"/>
        </w:rPr>
      </w:pPr>
    </w:p>
    <w:p w:rsidR="00635D4F" w:rsidRPr="00453745" w:rsidRDefault="00635D4F" w:rsidP="00AC7528">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453745" w:rsidRPr="00453745">
        <w:rPr>
          <w:rFonts w:ascii="Arial" w:hAnsi="Arial" w:cs="Arial"/>
          <w:lang w:val="en-ZA"/>
        </w:rPr>
        <w:t>Criminal Procedure</w:t>
      </w:r>
      <w:r w:rsidR="00453745">
        <w:rPr>
          <w:rFonts w:ascii="Arial" w:hAnsi="Arial" w:cs="Arial"/>
          <w:b/>
          <w:lang w:val="en-ZA"/>
        </w:rPr>
        <w:t xml:space="preserve"> </w:t>
      </w:r>
      <w:r w:rsidR="00453745" w:rsidRPr="00453745">
        <w:rPr>
          <w:rFonts w:ascii="Arial" w:hAnsi="Arial" w:cs="Arial"/>
          <w:lang w:val="en-ZA"/>
        </w:rPr>
        <w:t>- Discharge of accused in terms of s 174 of Act 51 of 1977 at close of State case</w:t>
      </w:r>
      <w:r w:rsidR="00307460">
        <w:rPr>
          <w:rFonts w:ascii="Arial" w:hAnsi="Arial" w:cs="Arial"/>
          <w:lang w:val="en-ZA"/>
        </w:rPr>
        <w:t xml:space="preserve"> – D</w:t>
      </w:r>
      <w:r w:rsidR="00453745">
        <w:rPr>
          <w:rFonts w:ascii="Arial" w:hAnsi="Arial" w:cs="Arial"/>
          <w:lang w:val="en-ZA"/>
        </w:rPr>
        <w:t xml:space="preserve">ecision of the learned magistrate premised on conclusion that appellant failed to prove that </w:t>
      </w:r>
      <w:r w:rsidR="00307460">
        <w:rPr>
          <w:rFonts w:ascii="Arial" w:hAnsi="Arial" w:cs="Arial"/>
          <w:lang w:val="en-ZA"/>
        </w:rPr>
        <w:t>substance was cannabis/dagga – A</w:t>
      </w:r>
      <w:r w:rsidR="00453745">
        <w:rPr>
          <w:rFonts w:ascii="Arial" w:hAnsi="Arial" w:cs="Arial"/>
          <w:lang w:val="en-ZA"/>
        </w:rPr>
        <w:t xml:space="preserve">ppellant led </w:t>
      </w:r>
      <w:r w:rsidR="00453745" w:rsidRPr="00453745">
        <w:rPr>
          <w:rFonts w:ascii="Arial" w:hAnsi="Arial" w:cs="Arial"/>
          <w:i/>
          <w:lang w:val="en-ZA"/>
        </w:rPr>
        <w:t>prima facie</w:t>
      </w:r>
      <w:r w:rsidR="00453745">
        <w:rPr>
          <w:rFonts w:ascii="Arial" w:hAnsi="Arial" w:cs="Arial"/>
          <w:lang w:val="en-ZA"/>
        </w:rPr>
        <w:t xml:space="preserve"> evidence that </w:t>
      </w:r>
      <w:r w:rsidR="00307460">
        <w:rPr>
          <w:rFonts w:ascii="Arial" w:hAnsi="Arial" w:cs="Arial"/>
          <w:lang w:val="en-ZA"/>
        </w:rPr>
        <w:t>substance was cannabis/dagga – F</w:t>
      </w:r>
      <w:r w:rsidR="00453745">
        <w:rPr>
          <w:rFonts w:ascii="Arial" w:hAnsi="Arial" w:cs="Arial"/>
          <w:lang w:val="en-ZA"/>
        </w:rPr>
        <w:t xml:space="preserve">acts and circumstances distinguishable from </w:t>
      </w:r>
      <w:r w:rsidR="00453745" w:rsidRPr="00A703FF">
        <w:rPr>
          <w:rFonts w:ascii="Arial" w:hAnsi="Arial" w:cs="Arial"/>
          <w:i/>
          <w:lang w:val="en-ZA"/>
        </w:rPr>
        <w:t>S v Mteleni</w:t>
      </w:r>
      <w:r w:rsidR="00453745">
        <w:rPr>
          <w:rFonts w:ascii="Arial" w:hAnsi="Arial" w:cs="Arial"/>
          <w:lang w:val="en-ZA"/>
        </w:rPr>
        <w:t xml:space="preserve"> 1995 NR 127 (HC) relied upon by the learned magistrate – </w:t>
      </w:r>
      <w:r w:rsidR="00307460">
        <w:rPr>
          <w:rFonts w:ascii="Arial" w:hAnsi="Arial" w:cs="Arial"/>
          <w:lang w:val="en-ZA"/>
        </w:rPr>
        <w:t>L</w:t>
      </w:r>
      <w:r w:rsidR="00453745">
        <w:rPr>
          <w:rFonts w:ascii="Arial" w:hAnsi="Arial" w:cs="Arial"/>
          <w:lang w:val="en-ZA"/>
        </w:rPr>
        <w:t>earned mag</w:t>
      </w:r>
      <w:r w:rsidR="00307460">
        <w:rPr>
          <w:rFonts w:ascii="Arial" w:hAnsi="Arial" w:cs="Arial"/>
          <w:lang w:val="en-ZA"/>
        </w:rPr>
        <w:t>istrate failed to apply mind – M</w:t>
      </w:r>
      <w:r w:rsidR="00453745">
        <w:rPr>
          <w:rFonts w:ascii="Arial" w:hAnsi="Arial" w:cs="Arial"/>
          <w:lang w:val="en-ZA"/>
        </w:rPr>
        <w:t>atter remitted for district court to continue with the trial from the stage where the State closed its case</w:t>
      </w:r>
      <w:r w:rsidR="00FF66A2">
        <w:rPr>
          <w:rFonts w:ascii="Arial" w:hAnsi="Arial" w:cs="Arial"/>
          <w:lang w:val="en-ZA"/>
        </w:rPr>
        <w:t>.</w:t>
      </w:r>
    </w:p>
    <w:p w:rsidR="00635D4F" w:rsidRPr="00635D4F" w:rsidRDefault="00635D4F" w:rsidP="00CA4466">
      <w:pPr>
        <w:spacing w:line="360" w:lineRule="auto"/>
        <w:jc w:val="both"/>
        <w:rPr>
          <w:rFonts w:ascii="Arial" w:hAnsi="Arial" w:cs="Arial"/>
          <w:lang w:val="en-ZA"/>
        </w:rPr>
      </w:pP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Pr="00307460" w:rsidRDefault="00635D4F" w:rsidP="00176493">
      <w:pPr>
        <w:pBdr>
          <w:bottom w:val="single" w:sz="12" w:space="1" w:color="auto"/>
        </w:pBdr>
        <w:spacing w:line="360" w:lineRule="auto"/>
        <w:jc w:val="center"/>
        <w:rPr>
          <w:rFonts w:ascii="Arial" w:hAnsi="Arial" w:cs="Arial"/>
          <w:b/>
          <w:lang w:val="en-ZA"/>
        </w:rPr>
      </w:pPr>
      <w:r w:rsidRPr="00307460">
        <w:rPr>
          <w:rFonts w:ascii="Arial" w:hAnsi="Arial" w:cs="Arial"/>
          <w:b/>
          <w:lang w:val="en-ZA"/>
        </w:rPr>
        <w:t>ORDER</w:t>
      </w:r>
    </w:p>
    <w:p w:rsidR="00210744" w:rsidRPr="00307460" w:rsidRDefault="00210744" w:rsidP="00210744">
      <w:pPr>
        <w:spacing w:line="360" w:lineRule="auto"/>
        <w:ind w:left="720"/>
        <w:jc w:val="both"/>
        <w:rPr>
          <w:rFonts w:ascii="Arial" w:hAnsi="Arial" w:cs="Arial"/>
          <w:b/>
          <w:u w:val="single"/>
          <w:lang w:val="en-ZA"/>
        </w:rPr>
      </w:pPr>
    </w:p>
    <w:p w:rsidR="00236BA7" w:rsidRDefault="00236BA7" w:rsidP="00236BA7">
      <w:pPr>
        <w:spacing w:line="360" w:lineRule="auto"/>
        <w:ind w:firstLine="720"/>
        <w:jc w:val="both"/>
        <w:rPr>
          <w:rFonts w:ascii="Arial" w:hAnsi="Arial" w:cs="Arial"/>
          <w:lang w:val="en-ZA"/>
        </w:rPr>
      </w:pPr>
      <w:r>
        <w:rPr>
          <w:rFonts w:ascii="Arial" w:hAnsi="Arial" w:cs="Arial"/>
          <w:lang w:val="en-ZA"/>
        </w:rPr>
        <w:t>1.</w:t>
      </w:r>
      <w:r>
        <w:rPr>
          <w:rFonts w:ascii="Arial" w:hAnsi="Arial" w:cs="Arial"/>
          <w:lang w:val="en-ZA"/>
        </w:rPr>
        <w:tab/>
        <w:t>The appeal succeeds;</w:t>
      </w:r>
    </w:p>
    <w:p w:rsidR="00236BA7" w:rsidRDefault="00236BA7" w:rsidP="00236BA7">
      <w:pPr>
        <w:spacing w:line="360" w:lineRule="auto"/>
        <w:ind w:left="1440" w:hanging="720"/>
        <w:jc w:val="both"/>
        <w:rPr>
          <w:rFonts w:ascii="Arial" w:hAnsi="Arial" w:cs="Arial"/>
          <w:lang w:val="en-ZA"/>
        </w:rPr>
      </w:pPr>
      <w:r>
        <w:rPr>
          <w:rFonts w:ascii="Arial" w:hAnsi="Arial" w:cs="Arial"/>
          <w:lang w:val="en-ZA"/>
        </w:rPr>
        <w:t>2.</w:t>
      </w:r>
      <w:r>
        <w:rPr>
          <w:rFonts w:ascii="Arial" w:hAnsi="Arial" w:cs="Arial"/>
          <w:lang w:val="en-ZA"/>
        </w:rPr>
        <w:tab/>
        <w:t xml:space="preserve">The order of the court </w:t>
      </w:r>
      <w:r w:rsidRPr="00080F3A">
        <w:rPr>
          <w:rFonts w:ascii="Arial" w:hAnsi="Arial" w:cs="Arial"/>
          <w:i/>
          <w:lang w:val="en-ZA"/>
        </w:rPr>
        <w:t>a quo</w:t>
      </w:r>
      <w:r>
        <w:rPr>
          <w:rFonts w:ascii="Arial" w:hAnsi="Arial" w:cs="Arial"/>
          <w:lang w:val="en-ZA"/>
        </w:rPr>
        <w:t xml:space="preserve"> discharging the respondent in terms of section 174 of the Criminal Procedure Act, 51 of 1977, is set aside and substituted for the following order:</w:t>
      </w:r>
    </w:p>
    <w:p w:rsidR="00307460" w:rsidRDefault="00307460" w:rsidP="00236BA7">
      <w:pPr>
        <w:spacing w:line="360" w:lineRule="auto"/>
        <w:ind w:left="1440" w:hanging="720"/>
        <w:jc w:val="both"/>
        <w:rPr>
          <w:rFonts w:ascii="Arial" w:hAnsi="Arial" w:cs="Arial"/>
          <w:lang w:val="en-ZA"/>
        </w:rPr>
      </w:pPr>
    </w:p>
    <w:p w:rsidR="00236BA7" w:rsidRDefault="00236BA7" w:rsidP="00080F3A">
      <w:pPr>
        <w:spacing w:line="360" w:lineRule="auto"/>
        <w:ind w:left="2160"/>
        <w:jc w:val="both"/>
        <w:rPr>
          <w:rFonts w:ascii="Arial" w:hAnsi="Arial" w:cs="Arial"/>
          <w:sz w:val="22"/>
          <w:szCs w:val="22"/>
          <w:lang w:val="en-ZA"/>
        </w:rPr>
      </w:pPr>
      <w:r w:rsidRPr="00307460">
        <w:rPr>
          <w:rFonts w:ascii="Arial" w:hAnsi="Arial" w:cs="Arial"/>
          <w:sz w:val="22"/>
          <w:szCs w:val="22"/>
          <w:lang w:val="en-ZA"/>
        </w:rPr>
        <w:t>‘At the end of the State’s case the accused is placed on his own defence.’</w:t>
      </w:r>
    </w:p>
    <w:p w:rsidR="00307460" w:rsidRPr="00307460" w:rsidRDefault="00307460" w:rsidP="00080F3A">
      <w:pPr>
        <w:spacing w:line="360" w:lineRule="auto"/>
        <w:ind w:left="2160"/>
        <w:jc w:val="both"/>
        <w:rPr>
          <w:rFonts w:ascii="Arial" w:hAnsi="Arial" w:cs="Arial"/>
          <w:sz w:val="22"/>
          <w:szCs w:val="22"/>
          <w:lang w:val="en-ZA"/>
        </w:rPr>
      </w:pPr>
    </w:p>
    <w:p w:rsidR="00236BA7" w:rsidRDefault="00236BA7" w:rsidP="00236BA7">
      <w:pPr>
        <w:spacing w:line="360" w:lineRule="auto"/>
        <w:ind w:left="1440" w:hanging="720"/>
        <w:jc w:val="both"/>
        <w:rPr>
          <w:rFonts w:ascii="Arial" w:hAnsi="Arial" w:cs="Arial"/>
          <w:lang w:val="en-ZA"/>
        </w:rPr>
      </w:pPr>
      <w:r>
        <w:rPr>
          <w:rFonts w:ascii="Arial" w:hAnsi="Arial" w:cs="Arial"/>
          <w:lang w:val="en-ZA"/>
        </w:rPr>
        <w:t>3.</w:t>
      </w:r>
      <w:r>
        <w:rPr>
          <w:rFonts w:ascii="Arial" w:hAnsi="Arial" w:cs="Arial"/>
          <w:lang w:val="en-ZA"/>
        </w:rPr>
        <w:tab/>
        <w:t xml:space="preserve">The matter is remitted to the court below before </w:t>
      </w:r>
      <w:r w:rsidR="00FF66A2">
        <w:rPr>
          <w:rFonts w:ascii="Arial" w:hAnsi="Arial" w:cs="Arial"/>
          <w:lang w:val="en-ZA"/>
        </w:rPr>
        <w:t>magistrate S M Tembwe of the Os</w:t>
      </w:r>
      <w:r>
        <w:rPr>
          <w:rFonts w:ascii="Arial" w:hAnsi="Arial" w:cs="Arial"/>
          <w:lang w:val="en-ZA"/>
        </w:rPr>
        <w:t xml:space="preserve">hakati District Court to continue with the </w:t>
      </w:r>
      <w:r w:rsidR="00080F3A">
        <w:rPr>
          <w:rFonts w:ascii="Arial" w:hAnsi="Arial" w:cs="Arial"/>
          <w:lang w:val="en-ZA"/>
        </w:rPr>
        <w:t>trial</w:t>
      </w:r>
      <w:r>
        <w:rPr>
          <w:rFonts w:ascii="Arial" w:hAnsi="Arial" w:cs="Arial"/>
          <w:lang w:val="en-ZA"/>
        </w:rPr>
        <w:t xml:space="preserve"> from the stage where the State closed its case, and to deal with the accused according to law;</w:t>
      </w:r>
    </w:p>
    <w:p w:rsidR="00236BA7" w:rsidRDefault="00236BA7" w:rsidP="00236BA7">
      <w:pPr>
        <w:spacing w:line="360" w:lineRule="auto"/>
        <w:ind w:left="1440" w:hanging="720"/>
        <w:jc w:val="both"/>
        <w:rPr>
          <w:rFonts w:ascii="Arial" w:hAnsi="Arial" w:cs="Arial"/>
          <w:lang w:val="en-ZA"/>
        </w:rPr>
      </w:pPr>
      <w:r>
        <w:rPr>
          <w:rFonts w:ascii="Arial" w:hAnsi="Arial" w:cs="Arial"/>
          <w:lang w:val="en-ZA"/>
        </w:rPr>
        <w:t>4.</w:t>
      </w:r>
      <w:r>
        <w:rPr>
          <w:rFonts w:ascii="Arial" w:hAnsi="Arial" w:cs="Arial"/>
          <w:lang w:val="en-ZA"/>
        </w:rPr>
        <w:tab/>
        <w:t>The reasons for the order will be handed down on or before 19 August 2016</w:t>
      </w:r>
      <w:r w:rsidR="00FF66A2">
        <w:rPr>
          <w:rFonts w:ascii="Arial" w:hAnsi="Arial" w:cs="Arial"/>
          <w:lang w:val="en-ZA"/>
        </w:rPr>
        <w:t>.</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FF66A2"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773305">
        <w:rPr>
          <w:rFonts w:ascii="Arial" w:hAnsi="Arial" w:cs="Arial"/>
          <w:lang w:val="en-ZA"/>
        </w:rPr>
        <w:t>DAMASEB JP con</w:t>
      </w:r>
      <w:r w:rsidR="00E13B0E" w:rsidRPr="004251BB">
        <w:rPr>
          <w:rFonts w:ascii="Arial" w:hAnsi="Arial" w:cs="Arial"/>
          <w:lang w:val="en-ZA"/>
        </w:rPr>
        <w:t>curring):</w:t>
      </w:r>
      <w:r w:rsidR="00033F3F" w:rsidRPr="004251BB">
        <w:rPr>
          <w:rFonts w:ascii="Arial" w:hAnsi="Arial" w:cs="Arial"/>
          <w:lang w:val="en-ZA"/>
        </w:rPr>
        <w:t xml:space="preserve">  </w:t>
      </w:r>
    </w:p>
    <w:p w:rsidR="00FF66A2" w:rsidRDefault="00FF66A2" w:rsidP="00176493">
      <w:pPr>
        <w:spacing w:line="360" w:lineRule="auto"/>
        <w:jc w:val="both"/>
        <w:rPr>
          <w:rFonts w:ascii="Arial" w:hAnsi="Arial" w:cs="Arial"/>
          <w:lang w:val="en-ZA"/>
        </w:rPr>
      </w:pPr>
    </w:p>
    <w:p w:rsidR="007521CB"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773305">
        <w:rPr>
          <w:rFonts w:ascii="Arial" w:hAnsi="Arial" w:cs="Arial"/>
          <w:lang w:val="en-ZA"/>
        </w:rPr>
        <w:t>The respondent was charged with having contravened section 2 (b) of the</w:t>
      </w:r>
      <w:r w:rsidR="003F11C3">
        <w:rPr>
          <w:rFonts w:ascii="Arial" w:hAnsi="Arial" w:cs="Arial"/>
          <w:lang w:val="en-ZA"/>
        </w:rPr>
        <w:t xml:space="preserve"> </w:t>
      </w:r>
      <w:r w:rsidR="003F11C3" w:rsidRPr="003F11C3">
        <w:rPr>
          <w:rFonts w:ascii="Arial" w:hAnsi="Arial" w:cs="Arial"/>
          <w:lang w:val="en-ZA"/>
        </w:rPr>
        <w:t xml:space="preserve">Abuse </w:t>
      </w:r>
      <w:r w:rsidR="00080F3A">
        <w:rPr>
          <w:rFonts w:ascii="Arial" w:hAnsi="Arial" w:cs="Arial"/>
          <w:lang w:val="en-ZA"/>
        </w:rPr>
        <w:t>o</w:t>
      </w:r>
      <w:r w:rsidR="003F11C3" w:rsidRPr="003F11C3">
        <w:rPr>
          <w:rFonts w:ascii="Arial" w:hAnsi="Arial" w:cs="Arial"/>
          <w:lang w:val="en-ZA"/>
        </w:rPr>
        <w:t xml:space="preserve">f Dependence-Producing Substances </w:t>
      </w:r>
      <w:r w:rsidR="003F11C3">
        <w:rPr>
          <w:rFonts w:ascii="Arial" w:hAnsi="Arial" w:cs="Arial"/>
          <w:lang w:val="en-ZA"/>
        </w:rPr>
        <w:t>a</w:t>
      </w:r>
      <w:r w:rsidR="003F11C3" w:rsidRPr="003F11C3">
        <w:rPr>
          <w:rFonts w:ascii="Arial" w:hAnsi="Arial" w:cs="Arial"/>
          <w:lang w:val="en-ZA"/>
        </w:rPr>
        <w:t xml:space="preserve">nd Rehabilitation Centres Act 41 </w:t>
      </w:r>
      <w:r w:rsidR="00FF66A2">
        <w:rPr>
          <w:rFonts w:ascii="Arial" w:hAnsi="Arial" w:cs="Arial"/>
          <w:lang w:val="en-ZA"/>
        </w:rPr>
        <w:t>of</w:t>
      </w:r>
      <w:r w:rsidR="003F11C3" w:rsidRPr="003F11C3">
        <w:rPr>
          <w:rFonts w:ascii="Arial" w:hAnsi="Arial" w:cs="Arial"/>
          <w:lang w:val="en-ZA"/>
        </w:rPr>
        <w:t xml:space="preserve"> 1971</w:t>
      </w:r>
      <w:r w:rsidR="003F11C3">
        <w:rPr>
          <w:rFonts w:ascii="Arial" w:hAnsi="Arial" w:cs="Arial"/>
          <w:lang w:val="en-ZA"/>
        </w:rPr>
        <w:t xml:space="preserve"> i.e unlawful possession of cannabis.</w:t>
      </w:r>
      <w:r w:rsidR="00773305">
        <w:rPr>
          <w:rFonts w:ascii="Arial" w:hAnsi="Arial" w:cs="Arial"/>
          <w:lang w:val="en-ZA"/>
        </w:rPr>
        <w:t xml:space="preserve"> </w:t>
      </w:r>
      <w:r w:rsidR="007521CB">
        <w:rPr>
          <w:rFonts w:ascii="Arial" w:hAnsi="Arial" w:cs="Arial"/>
          <w:lang w:val="en-ZA"/>
        </w:rPr>
        <w:t xml:space="preserve">He pleaded not guilty and the court </w:t>
      </w:r>
      <w:r w:rsidR="007521CB" w:rsidRPr="007521CB">
        <w:rPr>
          <w:rFonts w:ascii="Arial" w:hAnsi="Arial" w:cs="Arial"/>
          <w:i/>
          <w:lang w:val="en-ZA"/>
        </w:rPr>
        <w:t>a quo</w:t>
      </w:r>
      <w:r w:rsidR="007521CB">
        <w:rPr>
          <w:rFonts w:ascii="Arial" w:hAnsi="Arial" w:cs="Arial"/>
          <w:lang w:val="en-ZA"/>
        </w:rPr>
        <w:t xml:space="preserve"> discharged him in terms of section 174 of the Criminal Procedure Act, 1977 (Act 51 of 1977).</w:t>
      </w:r>
      <w:r w:rsidR="007521CB" w:rsidRPr="007521CB">
        <w:rPr>
          <w:rFonts w:ascii="Arial" w:hAnsi="Arial" w:cs="Arial"/>
          <w:lang w:val="en-ZA"/>
        </w:rPr>
        <w:t xml:space="preserve"> </w:t>
      </w:r>
      <w:r w:rsidR="007521CB">
        <w:rPr>
          <w:rFonts w:ascii="Arial" w:hAnsi="Arial" w:cs="Arial"/>
          <w:lang w:val="en-ZA"/>
        </w:rPr>
        <w:t xml:space="preserve">The appellant appealed </w:t>
      </w:r>
      <w:r w:rsidR="00080F3A">
        <w:rPr>
          <w:rFonts w:ascii="Arial" w:hAnsi="Arial" w:cs="Arial"/>
          <w:lang w:val="en-ZA"/>
        </w:rPr>
        <w:t xml:space="preserve">against </w:t>
      </w:r>
      <w:r w:rsidR="007521CB">
        <w:rPr>
          <w:rFonts w:ascii="Arial" w:hAnsi="Arial" w:cs="Arial"/>
          <w:lang w:val="en-ZA"/>
        </w:rPr>
        <w:t xml:space="preserve">the discharge. </w:t>
      </w:r>
    </w:p>
    <w:p w:rsidR="007521CB" w:rsidRDefault="007521CB" w:rsidP="00176493">
      <w:pPr>
        <w:spacing w:line="360" w:lineRule="auto"/>
        <w:jc w:val="both"/>
        <w:rPr>
          <w:rFonts w:ascii="Arial" w:hAnsi="Arial" w:cs="Arial"/>
          <w:lang w:val="en-ZA"/>
        </w:rPr>
      </w:pPr>
    </w:p>
    <w:p w:rsidR="00A03F28" w:rsidRDefault="0015092B" w:rsidP="00A03F28">
      <w:pPr>
        <w:spacing w:line="360" w:lineRule="auto"/>
        <w:jc w:val="both"/>
        <w:rPr>
          <w:rFonts w:ascii="Arial" w:hAnsi="Arial" w:cs="Arial"/>
          <w:lang w:val="en-ZA"/>
        </w:rPr>
      </w:pPr>
      <w:r>
        <w:rPr>
          <w:rFonts w:ascii="Arial" w:hAnsi="Arial" w:cs="Arial"/>
          <w:lang w:val="en-ZA"/>
        </w:rPr>
        <w:t xml:space="preserve">[2]   </w:t>
      </w:r>
      <w:r w:rsidR="007521CB">
        <w:rPr>
          <w:rFonts w:ascii="Arial" w:hAnsi="Arial" w:cs="Arial"/>
          <w:lang w:val="en-ZA"/>
        </w:rPr>
        <w:t>At the hearing of the matt</w:t>
      </w:r>
      <w:r w:rsidR="00A03F28">
        <w:rPr>
          <w:rFonts w:ascii="Arial" w:hAnsi="Arial" w:cs="Arial"/>
          <w:lang w:val="en-ZA"/>
        </w:rPr>
        <w:t>er the</w:t>
      </w:r>
      <w:r w:rsidR="00236BA7">
        <w:rPr>
          <w:rFonts w:ascii="Arial" w:hAnsi="Arial" w:cs="Arial"/>
          <w:lang w:val="en-ZA"/>
        </w:rPr>
        <w:t xml:space="preserve"> above </w:t>
      </w:r>
      <w:r w:rsidR="00A03F28">
        <w:rPr>
          <w:rFonts w:ascii="Arial" w:hAnsi="Arial" w:cs="Arial"/>
          <w:lang w:val="en-ZA"/>
        </w:rPr>
        <w:t>order</w:t>
      </w:r>
      <w:r w:rsidR="00080F3A">
        <w:rPr>
          <w:rFonts w:ascii="Arial" w:hAnsi="Arial" w:cs="Arial"/>
          <w:lang w:val="en-ZA"/>
        </w:rPr>
        <w:t xml:space="preserve"> was made </w:t>
      </w:r>
      <w:r w:rsidR="00236BA7">
        <w:rPr>
          <w:rFonts w:ascii="Arial" w:hAnsi="Arial" w:cs="Arial"/>
          <w:lang w:val="en-ZA"/>
        </w:rPr>
        <w:t xml:space="preserve">and what follows are </w:t>
      </w:r>
      <w:r w:rsidR="00A03F28">
        <w:rPr>
          <w:rFonts w:ascii="Arial" w:hAnsi="Arial" w:cs="Arial"/>
          <w:lang w:val="en-ZA"/>
        </w:rPr>
        <w:t>the reasons for the above order.</w:t>
      </w:r>
    </w:p>
    <w:p w:rsidR="00A03F28" w:rsidRDefault="00A03F28" w:rsidP="00A03F28">
      <w:pPr>
        <w:spacing w:line="360" w:lineRule="auto"/>
        <w:jc w:val="both"/>
        <w:rPr>
          <w:rFonts w:ascii="Arial" w:hAnsi="Arial" w:cs="Arial"/>
          <w:lang w:val="en-ZA"/>
        </w:rPr>
      </w:pPr>
    </w:p>
    <w:p w:rsidR="002E41D3" w:rsidRDefault="0015092B" w:rsidP="00176493">
      <w:pPr>
        <w:spacing w:line="360" w:lineRule="auto"/>
        <w:jc w:val="both"/>
        <w:rPr>
          <w:rFonts w:ascii="Arial" w:hAnsi="Arial" w:cs="Arial"/>
          <w:lang w:val="en-ZA"/>
        </w:rPr>
      </w:pPr>
      <w:r>
        <w:rPr>
          <w:rFonts w:ascii="Arial" w:hAnsi="Arial" w:cs="Arial"/>
          <w:lang w:val="en-ZA"/>
        </w:rPr>
        <w:t>[3]</w:t>
      </w:r>
      <w:r w:rsidR="00A03F28">
        <w:rPr>
          <w:rFonts w:ascii="Arial" w:hAnsi="Arial" w:cs="Arial"/>
          <w:lang w:val="en-ZA"/>
        </w:rPr>
        <w:t xml:space="preserve"> </w:t>
      </w:r>
      <w:r w:rsidR="00A03F28">
        <w:rPr>
          <w:rFonts w:ascii="Arial" w:hAnsi="Arial" w:cs="Arial"/>
          <w:lang w:val="en-ZA"/>
        </w:rPr>
        <w:tab/>
        <w:t>T</w:t>
      </w:r>
      <w:r w:rsidR="007055A1">
        <w:rPr>
          <w:rFonts w:ascii="Arial" w:hAnsi="Arial" w:cs="Arial"/>
          <w:lang w:val="en-ZA"/>
        </w:rPr>
        <w:t>he respondent was charged with having been in</w:t>
      </w:r>
      <w:r w:rsidR="00080F3A">
        <w:rPr>
          <w:rFonts w:ascii="Arial" w:hAnsi="Arial" w:cs="Arial"/>
          <w:lang w:val="en-ZA"/>
        </w:rPr>
        <w:t xml:space="preserve"> unlawful possession of 410g </w:t>
      </w:r>
      <w:r w:rsidR="007055A1">
        <w:rPr>
          <w:rFonts w:ascii="Arial" w:hAnsi="Arial" w:cs="Arial"/>
          <w:lang w:val="en-ZA"/>
        </w:rPr>
        <w:t>cannabis with a street value of N$1230. He pleaded not guilty and gave no plea explanation in terms of section 115</w:t>
      </w:r>
      <w:r w:rsidR="00080F3A">
        <w:rPr>
          <w:rFonts w:ascii="Arial" w:hAnsi="Arial" w:cs="Arial"/>
          <w:lang w:val="en-ZA"/>
        </w:rPr>
        <w:t xml:space="preserve"> of the Criminal Procedure Act</w:t>
      </w:r>
      <w:r w:rsidR="007055A1">
        <w:rPr>
          <w:rFonts w:ascii="Arial" w:hAnsi="Arial" w:cs="Arial"/>
          <w:lang w:val="en-ZA"/>
        </w:rPr>
        <w:t>. The State called police officer</w:t>
      </w:r>
      <w:r w:rsidR="00B0515F">
        <w:rPr>
          <w:rFonts w:ascii="Arial" w:hAnsi="Arial" w:cs="Arial"/>
          <w:lang w:val="en-ZA"/>
        </w:rPr>
        <w:t>s</w:t>
      </w:r>
      <w:r w:rsidR="007055A1">
        <w:rPr>
          <w:rFonts w:ascii="Arial" w:hAnsi="Arial" w:cs="Arial"/>
          <w:lang w:val="en-ZA"/>
        </w:rPr>
        <w:t xml:space="preserve"> who participated in an operation to search </w:t>
      </w:r>
      <w:r w:rsidR="00B0515F">
        <w:rPr>
          <w:rFonts w:ascii="Arial" w:hAnsi="Arial" w:cs="Arial"/>
          <w:lang w:val="en-ZA"/>
        </w:rPr>
        <w:t xml:space="preserve">certain houses for </w:t>
      </w:r>
      <w:r w:rsidR="00236BA7">
        <w:rPr>
          <w:rFonts w:ascii="Arial" w:hAnsi="Arial" w:cs="Arial"/>
          <w:lang w:val="en-ZA"/>
        </w:rPr>
        <w:t>prohibited substances</w:t>
      </w:r>
      <w:r w:rsidR="00B0515F">
        <w:rPr>
          <w:rFonts w:ascii="Arial" w:hAnsi="Arial" w:cs="Arial"/>
          <w:lang w:val="en-ZA"/>
        </w:rPr>
        <w:t xml:space="preserve">. According to these witnesses </w:t>
      </w:r>
      <w:r w:rsidR="007055A1">
        <w:rPr>
          <w:rFonts w:ascii="Arial" w:hAnsi="Arial" w:cs="Arial"/>
          <w:lang w:val="en-ZA"/>
        </w:rPr>
        <w:t xml:space="preserve">they found plastic </w:t>
      </w:r>
      <w:r w:rsidR="00B0515F">
        <w:rPr>
          <w:rFonts w:ascii="Arial" w:hAnsi="Arial" w:cs="Arial"/>
          <w:lang w:val="en-ZA"/>
        </w:rPr>
        <w:t xml:space="preserve">containers </w:t>
      </w:r>
      <w:r w:rsidR="007055A1">
        <w:rPr>
          <w:rFonts w:ascii="Arial" w:hAnsi="Arial" w:cs="Arial"/>
          <w:lang w:val="en-ZA"/>
        </w:rPr>
        <w:t>with what they suspected to be cannabis in his room</w:t>
      </w:r>
      <w:r w:rsidR="00B0515F">
        <w:rPr>
          <w:rFonts w:ascii="Arial" w:hAnsi="Arial" w:cs="Arial"/>
          <w:lang w:val="en-ZA"/>
        </w:rPr>
        <w:t xml:space="preserve"> and on top of the </w:t>
      </w:r>
      <w:r w:rsidR="00045802">
        <w:rPr>
          <w:rFonts w:ascii="Arial" w:hAnsi="Arial" w:cs="Arial"/>
          <w:lang w:val="en-ZA"/>
        </w:rPr>
        <w:t>zink sheets of his house</w:t>
      </w:r>
      <w:r w:rsidR="007055A1">
        <w:rPr>
          <w:rFonts w:ascii="Arial" w:hAnsi="Arial" w:cs="Arial"/>
          <w:lang w:val="en-ZA"/>
        </w:rPr>
        <w:t xml:space="preserve">. </w:t>
      </w:r>
      <w:r w:rsidR="00236BA7">
        <w:rPr>
          <w:rFonts w:ascii="Arial" w:hAnsi="Arial" w:cs="Arial"/>
          <w:lang w:val="en-ZA"/>
        </w:rPr>
        <w:t xml:space="preserve">Sergeant Munanago </w:t>
      </w:r>
      <w:r w:rsidR="00080F3A">
        <w:rPr>
          <w:rFonts w:ascii="Arial" w:hAnsi="Arial" w:cs="Arial"/>
          <w:lang w:val="en-ZA"/>
        </w:rPr>
        <w:t xml:space="preserve">testified </w:t>
      </w:r>
      <w:r w:rsidR="00236BA7">
        <w:rPr>
          <w:rFonts w:ascii="Arial" w:hAnsi="Arial" w:cs="Arial"/>
          <w:lang w:val="en-ZA"/>
        </w:rPr>
        <w:t xml:space="preserve">that he identified the substance </w:t>
      </w:r>
      <w:r w:rsidR="00080F3A">
        <w:rPr>
          <w:rFonts w:ascii="Arial" w:hAnsi="Arial" w:cs="Arial"/>
          <w:lang w:val="en-ZA"/>
        </w:rPr>
        <w:t>as</w:t>
      </w:r>
      <w:r w:rsidR="00236BA7">
        <w:rPr>
          <w:rFonts w:ascii="Arial" w:hAnsi="Arial" w:cs="Arial"/>
          <w:lang w:val="en-ZA"/>
        </w:rPr>
        <w:t xml:space="preserve"> </w:t>
      </w:r>
      <w:r w:rsidR="002E41D3">
        <w:rPr>
          <w:rFonts w:ascii="Arial" w:hAnsi="Arial" w:cs="Arial"/>
          <w:lang w:val="en-ZA"/>
        </w:rPr>
        <w:t xml:space="preserve">cannabis by its appearance and smell. </w:t>
      </w:r>
    </w:p>
    <w:p w:rsidR="00DC5021" w:rsidRDefault="00DC5021" w:rsidP="00176493">
      <w:pPr>
        <w:spacing w:line="360" w:lineRule="auto"/>
        <w:jc w:val="both"/>
        <w:rPr>
          <w:rFonts w:ascii="Arial" w:hAnsi="Arial" w:cs="Arial"/>
          <w:lang w:val="en-ZA"/>
        </w:rPr>
      </w:pPr>
    </w:p>
    <w:p w:rsidR="00B0515F" w:rsidRDefault="00DC5021" w:rsidP="00B0515F">
      <w:pPr>
        <w:spacing w:line="360" w:lineRule="auto"/>
        <w:jc w:val="both"/>
        <w:rPr>
          <w:rFonts w:ascii="Arial" w:hAnsi="Arial" w:cs="Arial"/>
          <w:lang w:val="en-ZA"/>
        </w:rPr>
      </w:pPr>
      <w:r>
        <w:rPr>
          <w:rFonts w:ascii="Arial" w:hAnsi="Arial" w:cs="Arial"/>
          <w:lang w:val="en-ZA"/>
        </w:rPr>
        <w:t xml:space="preserve">[4]   </w:t>
      </w:r>
      <w:r w:rsidR="00B0515F">
        <w:rPr>
          <w:rFonts w:ascii="Arial" w:hAnsi="Arial" w:cs="Arial"/>
          <w:lang w:val="en-ZA"/>
        </w:rPr>
        <w:tab/>
      </w:r>
      <w:r w:rsidR="00236BA7">
        <w:rPr>
          <w:rFonts w:ascii="Arial" w:hAnsi="Arial" w:cs="Arial"/>
          <w:lang w:val="en-ZA"/>
        </w:rPr>
        <w:t xml:space="preserve">The respondent was unrepresented and he placed everything in </w:t>
      </w:r>
      <w:r w:rsidR="00FF66A2">
        <w:rPr>
          <w:rFonts w:ascii="Arial" w:hAnsi="Arial" w:cs="Arial"/>
          <w:lang w:val="en-ZA"/>
        </w:rPr>
        <w:t>dispute by remaining silent. He</w:t>
      </w:r>
      <w:r w:rsidR="00236BA7">
        <w:rPr>
          <w:rFonts w:ascii="Arial" w:hAnsi="Arial" w:cs="Arial"/>
          <w:lang w:val="en-ZA"/>
        </w:rPr>
        <w:t xml:space="preserve"> did not dispute during cross examination that the plastic bags were found in his house</w:t>
      </w:r>
      <w:r w:rsidR="00055D5C">
        <w:rPr>
          <w:rFonts w:ascii="Arial" w:hAnsi="Arial" w:cs="Arial"/>
          <w:lang w:val="en-ZA"/>
        </w:rPr>
        <w:t xml:space="preserve"> but </w:t>
      </w:r>
      <w:r w:rsidR="00236BA7">
        <w:rPr>
          <w:rFonts w:ascii="Arial" w:hAnsi="Arial" w:cs="Arial"/>
          <w:lang w:val="en-ZA"/>
        </w:rPr>
        <w:t xml:space="preserve">denied having admitted that it was his or that it belonged to him. </w:t>
      </w:r>
      <w:r w:rsidR="00B0515F">
        <w:rPr>
          <w:rFonts w:ascii="Arial" w:hAnsi="Arial" w:cs="Arial"/>
          <w:lang w:val="en-ZA"/>
        </w:rPr>
        <w:t xml:space="preserve">He </w:t>
      </w:r>
      <w:r w:rsidR="00055D5C">
        <w:rPr>
          <w:rFonts w:ascii="Arial" w:hAnsi="Arial" w:cs="Arial"/>
          <w:lang w:val="en-ZA"/>
        </w:rPr>
        <w:t>also indicated during cross-examination that he d</w:t>
      </w:r>
      <w:r w:rsidR="00336365">
        <w:rPr>
          <w:rFonts w:ascii="Arial" w:hAnsi="Arial" w:cs="Arial"/>
          <w:lang w:val="en-ZA"/>
        </w:rPr>
        <w:t xml:space="preserve">id not know it was </w:t>
      </w:r>
      <w:r w:rsidR="00B0515F">
        <w:rPr>
          <w:rFonts w:ascii="Arial" w:hAnsi="Arial" w:cs="Arial"/>
          <w:lang w:val="en-ZA"/>
        </w:rPr>
        <w:t xml:space="preserve">cannabis. </w:t>
      </w:r>
    </w:p>
    <w:p w:rsidR="00B0515F" w:rsidRDefault="00B0515F" w:rsidP="00B0515F">
      <w:pPr>
        <w:spacing w:line="360" w:lineRule="auto"/>
        <w:jc w:val="both"/>
        <w:rPr>
          <w:rFonts w:ascii="Arial" w:hAnsi="Arial" w:cs="Arial"/>
          <w:lang w:val="en-ZA"/>
        </w:rPr>
      </w:pPr>
    </w:p>
    <w:p w:rsidR="00DF2D40" w:rsidRDefault="00B0515F" w:rsidP="00B0515F">
      <w:pPr>
        <w:spacing w:line="360" w:lineRule="auto"/>
        <w:jc w:val="both"/>
        <w:rPr>
          <w:rFonts w:ascii="Arial" w:hAnsi="Arial" w:cs="Arial"/>
          <w:lang w:val="en-ZA"/>
        </w:rPr>
      </w:pPr>
      <w:r>
        <w:rPr>
          <w:rFonts w:ascii="Arial" w:hAnsi="Arial" w:cs="Arial"/>
          <w:lang w:val="en-ZA"/>
        </w:rPr>
        <w:t>[5]</w:t>
      </w:r>
      <w:r>
        <w:rPr>
          <w:rFonts w:ascii="Arial" w:hAnsi="Arial" w:cs="Arial"/>
          <w:lang w:val="en-ZA"/>
        </w:rPr>
        <w:tab/>
      </w:r>
      <w:r w:rsidR="00080F3A">
        <w:rPr>
          <w:rFonts w:ascii="Arial" w:hAnsi="Arial" w:cs="Arial"/>
          <w:lang w:val="en-ZA"/>
        </w:rPr>
        <w:t>At the close of the State’s case, t</w:t>
      </w:r>
      <w:r>
        <w:rPr>
          <w:rFonts w:ascii="Arial" w:hAnsi="Arial" w:cs="Arial"/>
          <w:lang w:val="en-ZA"/>
        </w:rPr>
        <w:t>he magistrate</w:t>
      </w:r>
      <w:r w:rsidR="00080F3A">
        <w:rPr>
          <w:rFonts w:ascii="Arial" w:hAnsi="Arial" w:cs="Arial"/>
          <w:lang w:val="en-ZA"/>
        </w:rPr>
        <w:t xml:space="preserve"> concluded </w:t>
      </w:r>
      <w:r w:rsidR="00045802">
        <w:rPr>
          <w:rFonts w:ascii="Arial" w:hAnsi="Arial" w:cs="Arial"/>
          <w:lang w:val="en-ZA"/>
        </w:rPr>
        <w:t xml:space="preserve">that the only issue in dispute was whether the substance was dagga. </w:t>
      </w:r>
      <w:r w:rsidR="00336365">
        <w:rPr>
          <w:rFonts w:ascii="Arial" w:hAnsi="Arial" w:cs="Arial"/>
          <w:lang w:val="en-ZA"/>
        </w:rPr>
        <w:t xml:space="preserve">The learned magistrate referring to </w:t>
      </w:r>
      <w:r w:rsidR="00336365" w:rsidRPr="00A703FF">
        <w:rPr>
          <w:rFonts w:ascii="Arial" w:hAnsi="Arial" w:cs="Arial"/>
          <w:i/>
          <w:lang w:val="en-ZA"/>
        </w:rPr>
        <w:t>S v Mteleni</w:t>
      </w:r>
      <w:r w:rsidR="00080F3A">
        <w:rPr>
          <w:rStyle w:val="FootnoteReference"/>
          <w:rFonts w:ascii="Arial" w:hAnsi="Arial" w:cs="Arial"/>
          <w:i/>
          <w:lang w:val="en-ZA"/>
        </w:rPr>
        <w:footnoteReference w:id="1"/>
      </w:r>
      <w:r w:rsidR="00336365">
        <w:rPr>
          <w:rFonts w:ascii="Arial" w:hAnsi="Arial" w:cs="Arial"/>
          <w:lang w:val="en-ZA"/>
        </w:rPr>
        <w:t xml:space="preserve">, found that the </w:t>
      </w:r>
      <w:r w:rsidR="00055D5C">
        <w:rPr>
          <w:rFonts w:ascii="Arial" w:hAnsi="Arial" w:cs="Arial"/>
          <w:lang w:val="en-ZA"/>
        </w:rPr>
        <w:t>S</w:t>
      </w:r>
      <w:r w:rsidR="00336365">
        <w:rPr>
          <w:rFonts w:ascii="Arial" w:hAnsi="Arial" w:cs="Arial"/>
          <w:lang w:val="en-ZA"/>
        </w:rPr>
        <w:t xml:space="preserve">tate failed to present sufficient evidence to prove that the substance which was found in the respondent’s possession was dagga. He found that </w:t>
      </w:r>
      <w:r w:rsidR="00055D5C">
        <w:rPr>
          <w:rFonts w:ascii="Arial" w:hAnsi="Arial" w:cs="Arial"/>
          <w:lang w:val="en-ZA"/>
        </w:rPr>
        <w:t>t</w:t>
      </w:r>
      <w:r w:rsidR="00336365">
        <w:rPr>
          <w:rFonts w:ascii="Arial" w:hAnsi="Arial" w:cs="Arial"/>
          <w:lang w:val="en-ZA"/>
        </w:rPr>
        <w:t xml:space="preserve">he mere assertion by </w:t>
      </w:r>
      <w:r w:rsidR="00055D5C">
        <w:rPr>
          <w:rFonts w:ascii="Arial" w:hAnsi="Arial" w:cs="Arial"/>
          <w:lang w:val="en-ZA"/>
        </w:rPr>
        <w:t xml:space="preserve">Sergeant Munanago </w:t>
      </w:r>
      <w:r w:rsidR="00336365">
        <w:rPr>
          <w:rFonts w:ascii="Arial" w:hAnsi="Arial" w:cs="Arial"/>
          <w:lang w:val="en-ZA"/>
        </w:rPr>
        <w:t>that it was dagga was not enough and he discharged the respondent in terms of s</w:t>
      </w:r>
      <w:r w:rsidR="00080F3A">
        <w:rPr>
          <w:rFonts w:ascii="Arial" w:hAnsi="Arial" w:cs="Arial"/>
          <w:lang w:val="en-ZA"/>
        </w:rPr>
        <w:t xml:space="preserve"> </w:t>
      </w:r>
      <w:r w:rsidR="00336365">
        <w:rPr>
          <w:rFonts w:ascii="Arial" w:hAnsi="Arial" w:cs="Arial"/>
          <w:lang w:val="en-ZA"/>
        </w:rPr>
        <w:t>174</w:t>
      </w:r>
      <w:r w:rsidR="00080F3A">
        <w:rPr>
          <w:rFonts w:ascii="Arial" w:hAnsi="Arial" w:cs="Arial"/>
          <w:lang w:val="en-ZA"/>
        </w:rPr>
        <w:t xml:space="preserve"> of the Criminal Procedure Act</w:t>
      </w:r>
      <w:r w:rsidR="00336365">
        <w:rPr>
          <w:rFonts w:ascii="Arial" w:hAnsi="Arial" w:cs="Arial"/>
          <w:lang w:val="en-ZA"/>
        </w:rPr>
        <w:t xml:space="preserve">.  The </w:t>
      </w:r>
      <w:r w:rsidR="00055D5C">
        <w:rPr>
          <w:rFonts w:ascii="Arial" w:hAnsi="Arial" w:cs="Arial"/>
          <w:lang w:val="en-ZA"/>
        </w:rPr>
        <w:t xml:space="preserve">learned </w:t>
      </w:r>
      <w:r w:rsidR="00336365">
        <w:rPr>
          <w:rFonts w:ascii="Arial" w:hAnsi="Arial" w:cs="Arial"/>
          <w:lang w:val="en-ZA"/>
        </w:rPr>
        <w:t>magistrate</w:t>
      </w:r>
      <w:r w:rsidR="00A473E4">
        <w:rPr>
          <w:rFonts w:ascii="Arial" w:hAnsi="Arial" w:cs="Arial"/>
          <w:lang w:val="en-ZA"/>
        </w:rPr>
        <w:t>, in response to the grounds of appeal, stated that he had nothing to add to his reasons</w:t>
      </w:r>
      <w:r w:rsidR="00A703FF">
        <w:rPr>
          <w:rFonts w:ascii="Arial" w:hAnsi="Arial" w:cs="Arial"/>
          <w:lang w:val="en-ZA"/>
        </w:rPr>
        <w:t>.</w:t>
      </w:r>
    </w:p>
    <w:p w:rsidR="00336365" w:rsidRDefault="00336365" w:rsidP="00B0515F">
      <w:pPr>
        <w:spacing w:line="360" w:lineRule="auto"/>
        <w:jc w:val="both"/>
        <w:rPr>
          <w:rFonts w:ascii="Arial" w:hAnsi="Arial" w:cs="Arial"/>
          <w:lang w:val="en-ZA"/>
        </w:rPr>
      </w:pPr>
    </w:p>
    <w:p w:rsidR="00336365" w:rsidRDefault="00336365" w:rsidP="00B0515F">
      <w:pPr>
        <w:spacing w:line="360" w:lineRule="auto"/>
        <w:jc w:val="both"/>
        <w:rPr>
          <w:rFonts w:ascii="Arial" w:hAnsi="Arial" w:cs="Arial"/>
          <w:lang w:val="en-ZA"/>
        </w:rPr>
      </w:pPr>
      <w:r>
        <w:rPr>
          <w:rFonts w:ascii="Arial" w:hAnsi="Arial" w:cs="Arial"/>
          <w:lang w:val="en-ZA"/>
        </w:rPr>
        <w:t>[6]</w:t>
      </w:r>
      <w:r>
        <w:rPr>
          <w:rFonts w:ascii="Arial" w:hAnsi="Arial" w:cs="Arial"/>
          <w:lang w:val="en-ZA"/>
        </w:rPr>
        <w:tab/>
      </w:r>
      <w:r w:rsidR="00A703FF">
        <w:rPr>
          <w:rFonts w:ascii="Arial" w:hAnsi="Arial" w:cs="Arial"/>
          <w:lang w:val="en-ZA"/>
        </w:rPr>
        <w:t xml:space="preserve">The grounds of appeal were </w:t>
      </w:r>
      <w:r w:rsidR="00A703FF" w:rsidRPr="00055D5C">
        <w:rPr>
          <w:rFonts w:ascii="Arial" w:hAnsi="Arial" w:cs="Arial"/>
          <w:i/>
          <w:lang w:val="en-ZA"/>
        </w:rPr>
        <w:t>inter alia</w:t>
      </w:r>
      <w:r w:rsidR="00A703FF">
        <w:rPr>
          <w:rFonts w:ascii="Arial" w:hAnsi="Arial" w:cs="Arial"/>
          <w:lang w:val="en-ZA"/>
        </w:rPr>
        <w:t xml:space="preserve"> that the learned magistrate </w:t>
      </w:r>
      <w:r w:rsidR="006275FA">
        <w:rPr>
          <w:rFonts w:ascii="Arial" w:hAnsi="Arial" w:cs="Arial"/>
          <w:lang w:val="en-ZA"/>
        </w:rPr>
        <w:t>misdirected</w:t>
      </w:r>
      <w:r w:rsidR="00A703FF">
        <w:rPr>
          <w:rFonts w:ascii="Arial" w:hAnsi="Arial" w:cs="Arial"/>
          <w:lang w:val="en-ZA"/>
        </w:rPr>
        <w:t xml:space="preserve"> himself by relying on the case of </w:t>
      </w:r>
      <w:r w:rsidR="00453745" w:rsidRPr="00453745">
        <w:rPr>
          <w:rFonts w:ascii="Arial" w:hAnsi="Arial" w:cs="Arial"/>
          <w:i/>
          <w:lang w:val="en-ZA"/>
        </w:rPr>
        <w:t>S</w:t>
      </w:r>
      <w:r w:rsidR="00A703FF" w:rsidRPr="00453745">
        <w:rPr>
          <w:rFonts w:ascii="Arial" w:hAnsi="Arial" w:cs="Arial"/>
          <w:i/>
          <w:lang w:val="en-ZA"/>
        </w:rPr>
        <w:t xml:space="preserve"> v</w:t>
      </w:r>
      <w:r w:rsidR="00A703FF" w:rsidRPr="00A703FF">
        <w:rPr>
          <w:rFonts w:ascii="Arial" w:hAnsi="Arial" w:cs="Arial"/>
          <w:i/>
          <w:lang w:val="en-ZA"/>
        </w:rPr>
        <w:t xml:space="preserve"> Mteleni, supra</w:t>
      </w:r>
      <w:r w:rsidR="00A473E4">
        <w:rPr>
          <w:rFonts w:ascii="Arial" w:hAnsi="Arial" w:cs="Arial"/>
          <w:i/>
          <w:lang w:val="en-ZA"/>
        </w:rPr>
        <w:t>;</w:t>
      </w:r>
      <w:r w:rsidR="00A703FF">
        <w:rPr>
          <w:rFonts w:ascii="Arial" w:hAnsi="Arial" w:cs="Arial"/>
          <w:lang w:val="en-ZA"/>
        </w:rPr>
        <w:t xml:space="preserve"> by finding that the evidence of the trained officer was insufficient; failing to find that </w:t>
      </w:r>
      <w:r w:rsidR="00055D5C">
        <w:rPr>
          <w:rFonts w:ascii="Arial" w:hAnsi="Arial" w:cs="Arial"/>
          <w:lang w:val="en-ZA"/>
        </w:rPr>
        <w:t>t</w:t>
      </w:r>
      <w:r w:rsidR="00A703FF">
        <w:rPr>
          <w:rFonts w:ascii="Arial" w:hAnsi="Arial" w:cs="Arial"/>
          <w:lang w:val="en-ZA"/>
        </w:rPr>
        <w:t xml:space="preserve">he appellant had proven that the </w:t>
      </w:r>
      <w:r w:rsidR="006275FA">
        <w:rPr>
          <w:rFonts w:ascii="Arial" w:hAnsi="Arial" w:cs="Arial"/>
          <w:lang w:val="en-ZA"/>
        </w:rPr>
        <w:t>substance</w:t>
      </w:r>
      <w:r w:rsidR="00A703FF">
        <w:rPr>
          <w:rFonts w:ascii="Arial" w:hAnsi="Arial" w:cs="Arial"/>
          <w:lang w:val="en-ZA"/>
        </w:rPr>
        <w:t xml:space="preserve"> found in possession of the respondent was dagga; and failing to apply the correct approach at the close of the State’s case in view of the respondent’s election to remain silent. </w:t>
      </w:r>
    </w:p>
    <w:p w:rsidR="00A703FF" w:rsidRDefault="00A703FF" w:rsidP="00B0515F">
      <w:pPr>
        <w:spacing w:line="360" w:lineRule="auto"/>
        <w:jc w:val="both"/>
        <w:rPr>
          <w:rFonts w:ascii="Arial" w:hAnsi="Arial" w:cs="Arial"/>
          <w:lang w:val="en-ZA"/>
        </w:rPr>
      </w:pPr>
    </w:p>
    <w:p w:rsidR="00E0645B" w:rsidRDefault="00A703FF" w:rsidP="00B0515F">
      <w:pPr>
        <w:spacing w:line="360" w:lineRule="auto"/>
        <w:jc w:val="both"/>
        <w:rPr>
          <w:rFonts w:ascii="Arial" w:hAnsi="Arial" w:cs="Arial"/>
          <w:lang w:val="en-ZA"/>
        </w:rPr>
      </w:pPr>
      <w:r>
        <w:rPr>
          <w:rFonts w:ascii="Arial" w:hAnsi="Arial" w:cs="Arial"/>
          <w:lang w:val="en-ZA"/>
        </w:rPr>
        <w:lastRenderedPageBreak/>
        <w:t>[7]</w:t>
      </w:r>
      <w:r>
        <w:rPr>
          <w:rFonts w:ascii="Arial" w:hAnsi="Arial" w:cs="Arial"/>
          <w:lang w:val="en-ZA"/>
        </w:rPr>
        <w:tab/>
      </w:r>
      <w:r w:rsidR="00D02EA0">
        <w:rPr>
          <w:rFonts w:ascii="Arial" w:hAnsi="Arial" w:cs="Arial"/>
          <w:lang w:val="en-ZA"/>
        </w:rPr>
        <w:t xml:space="preserve">In </w:t>
      </w:r>
      <w:r w:rsidR="00D02EA0" w:rsidRPr="00055D5C">
        <w:rPr>
          <w:rFonts w:ascii="Arial" w:hAnsi="Arial" w:cs="Arial"/>
          <w:i/>
          <w:lang w:val="en-ZA"/>
        </w:rPr>
        <w:t>S v Teek</w:t>
      </w:r>
      <w:r w:rsidR="00D02EA0">
        <w:rPr>
          <w:rStyle w:val="FootnoteReference"/>
          <w:rFonts w:ascii="Arial" w:hAnsi="Arial" w:cs="Arial"/>
          <w:lang w:val="en-ZA"/>
        </w:rPr>
        <w:footnoteReference w:id="2"/>
      </w:r>
      <w:r w:rsidR="00D02EA0">
        <w:rPr>
          <w:rFonts w:ascii="Arial" w:hAnsi="Arial" w:cs="Arial"/>
          <w:lang w:val="en-ZA"/>
        </w:rPr>
        <w:t xml:space="preserve">, </w:t>
      </w:r>
      <w:r w:rsidR="00055D5C">
        <w:rPr>
          <w:rFonts w:ascii="Arial" w:hAnsi="Arial" w:cs="Arial"/>
          <w:lang w:val="en-ZA"/>
        </w:rPr>
        <w:t>the court considered whether a higher court may interfere with the decision to discharge</w:t>
      </w:r>
      <w:r w:rsidR="00A473E4">
        <w:rPr>
          <w:rFonts w:ascii="Arial" w:hAnsi="Arial" w:cs="Arial"/>
          <w:lang w:val="en-ZA"/>
        </w:rPr>
        <w:t xml:space="preserve"> an accused</w:t>
      </w:r>
      <w:r w:rsidR="00055D5C">
        <w:rPr>
          <w:rFonts w:ascii="Arial" w:hAnsi="Arial" w:cs="Arial"/>
          <w:lang w:val="en-ZA"/>
        </w:rPr>
        <w:t xml:space="preserve"> at the close of the State’s Case. It </w:t>
      </w:r>
      <w:r w:rsidR="00D02EA0">
        <w:rPr>
          <w:rFonts w:ascii="Arial" w:hAnsi="Arial" w:cs="Arial"/>
          <w:lang w:val="en-ZA"/>
        </w:rPr>
        <w:t xml:space="preserve">was held that </w:t>
      </w:r>
      <w:r w:rsidR="00D02EA0" w:rsidRPr="00D02EA0">
        <w:rPr>
          <w:rFonts w:ascii="Arial" w:hAnsi="Arial" w:cs="Arial"/>
          <w:lang w:val="en-ZA"/>
        </w:rPr>
        <w:t>a higher</w:t>
      </w:r>
      <w:r w:rsidR="00D02EA0">
        <w:rPr>
          <w:rFonts w:ascii="Arial" w:hAnsi="Arial" w:cs="Arial"/>
          <w:lang w:val="en-ZA"/>
        </w:rPr>
        <w:t xml:space="preserve"> </w:t>
      </w:r>
      <w:r w:rsidR="00D02EA0" w:rsidRPr="00D02EA0">
        <w:rPr>
          <w:rFonts w:ascii="Arial" w:hAnsi="Arial" w:cs="Arial"/>
          <w:lang w:val="en-ZA"/>
        </w:rPr>
        <w:t xml:space="preserve">tribunal could only interfere if the repository of the discretion, in deciding that the prerequisite facts or state of affairs existed, acted </w:t>
      </w:r>
      <w:r w:rsidR="00D02EA0" w:rsidRPr="00055D5C">
        <w:rPr>
          <w:rFonts w:ascii="Arial" w:hAnsi="Arial" w:cs="Arial"/>
          <w:i/>
          <w:lang w:val="en-ZA"/>
        </w:rPr>
        <w:t>mala fide</w:t>
      </w:r>
      <w:r w:rsidR="00D02EA0" w:rsidRPr="00D02EA0">
        <w:rPr>
          <w:rFonts w:ascii="Arial" w:hAnsi="Arial" w:cs="Arial"/>
          <w:lang w:val="en-ZA"/>
        </w:rPr>
        <w:t xml:space="preserve"> or from ulterior motive or failed to apply his or her mind.</w:t>
      </w:r>
      <w:r w:rsidR="00D02EA0">
        <w:rPr>
          <w:rFonts w:ascii="Arial" w:hAnsi="Arial" w:cs="Arial"/>
          <w:lang w:val="en-ZA"/>
        </w:rPr>
        <w:t xml:space="preserve"> It is the submission of </w:t>
      </w:r>
      <w:r w:rsidR="00A473E4">
        <w:rPr>
          <w:rFonts w:ascii="Arial" w:hAnsi="Arial" w:cs="Arial"/>
          <w:lang w:val="en-ZA"/>
        </w:rPr>
        <w:t>counsel for the a</w:t>
      </w:r>
      <w:r w:rsidR="00D02EA0">
        <w:rPr>
          <w:rFonts w:ascii="Arial" w:hAnsi="Arial" w:cs="Arial"/>
          <w:lang w:val="en-ZA"/>
        </w:rPr>
        <w:t>ppellant</w:t>
      </w:r>
      <w:r w:rsidR="00A473E4">
        <w:rPr>
          <w:rFonts w:ascii="Arial" w:hAnsi="Arial" w:cs="Arial"/>
          <w:lang w:val="en-ZA"/>
        </w:rPr>
        <w:t xml:space="preserve"> (the State)</w:t>
      </w:r>
      <w:r w:rsidR="00D02EA0">
        <w:rPr>
          <w:rFonts w:ascii="Arial" w:hAnsi="Arial" w:cs="Arial"/>
          <w:lang w:val="en-ZA"/>
        </w:rPr>
        <w:t xml:space="preserve"> that the </w:t>
      </w:r>
      <w:r w:rsidR="00E0645B">
        <w:rPr>
          <w:rFonts w:ascii="Arial" w:hAnsi="Arial" w:cs="Arial"/>
          <w:lang w:val="en-ZA"/>
        </w:rPr>
        <w:t>learned magistrate failed to apply his mind a</w:t>
      </w:r>
      <w:r w:rsidR="00E0645B" w:rsidRPr="00E0645B">
        <w:rPr>
          <w:rFonts w:ascii="Arial" w:hAnsi="Arial" w:cs="Arial"/>
          <w:lang w:val="en-ZA"/>
        </w:rPr>
        <w:t>t the close of the case for the prosecution</w:t>
      </w:r>
      <w:r w:rsidR="00A473E4">
        <w:rPr>
          <w:rFonts w:ascii="Arial" w:hAnsi="Arial" w:cs="Arial"/>
          <w:lang w:val="en-ZA"/>
        </w:rPr>
        <w:t>.</w:t>
      </w:r>
      <w:r w:rsidR="00E0645B">
        <w:rPr>
          <w:rFonts w:ascii="Arial" w:hAnsi="Arial" w:cs="Arial"/>
          <w:lang w:val="en-ZA"/>
        </w:rPr>
        <w:t xml:space="preserve"> </w:t>
      </w:r>
    </w:p>
    <w:p w:rsidR="00A473E4" w:rsidRDefault="00A473E4" w:rsidP="00B0515F">
      <w:pPr>
        <w:spacing w:line="360" w:lineRule="auto"/>
        <w:jc w:val="both"/>
        <w:rPr>
          <w:rFonts w:ascii="Arial" w:hAnsi="Arial" w:cs="Arial"/>
          <w:lang w:val="en-ZA"/>
        </w:rPr>
      </w:pPr>
    </w:p>
    <w:p w:rsidR="00A703FF" w:rsidRDefault="00E0645B" w:rsidP="00B0515F">
      <w:pPr>
        <w:spacing w:line="360" w:lineRule="auto"/>
        <w:jc w:val="both"/>
        <w:rPr>
          <w:rFonts w:ascii="Arial" w:hAnsi="Arial" w:cs="Arial"/>
          <w:lang w:val="en-ZA"/>
        </w:rPr>
      </w:pPr>
      <w:r>
        <w:rPr>
          <w:rFonts w:ascii="Arial" w:hAnsi="Arial" w:cs="Arial"/>
          <w:lang w:val="en-ZA"/>
        </w:rPr>
        <w:t>[8]</w:t>
      </w:r>
      <w:r>
        <w:rPr>
          <w:rFonts w:ascii="Arial" w:hAnsi="Arial" w:cs="Arial"/>
          <w:lang w:val="en-ZA"/>
        </w:rPr>
        <w:tab/>
      </w:r>
      <w:r w:rsidR="00D02EA0">
        <w:rPr>
          <w:rFonts w:ascii="Arial" w:hAnsi="Arial" w:cs="Arial"/>
          <w:lang w:val="en-ZA"/>
        </w:rPr>
        <w:t xml:space="preserve">Section 174 </w:t>
      </w:r>
      <w:r w:rsidR="00A473E4">
        <w:rPr>
          <w:rFonts w:ascii="Arial" w:hAnsi="Arial" w:cs="Arial"/>
          <w:lang w:val="en-ZA"/>
        </w:rPr>
        <w:t xml:space="preserve">of the Criminal Procedure Act </w:t>
      </w:r>
      <w:r w:rsidR="00D02EA0">
        <w:rPr>
          <w:rFonts w:ascii="Arial" w:hAnsi="Arial" w:cs="Arial"/>
          <w:lang w:val="en-ZA"/>
        </w:rPr>
        <w:t>provides that, i</w:t>
      </w:r>
      <w:r w:rsidR="00022F7E">
        <w:rPr>
          <w:rFonts w:ascii="Arial" w:hAnsi="Arial" w:cs="Arial"/>
          <w:lang w:val="en-ZA"/>
        </w:rPr>
        <w:t xml:space="preserve">f the </w:t>
      </w:r>
      <w:r w:rsidR="009E03BF">
        <w:rPr>
          <w:rFonts w:ascii="Arial" w:hAnsi="Arial" w:cs="Arial"/>
          <w:lang w:val="en-ZA"/>
        </w:rPr>
        <w:t>judicial officer</w:t>
      </w:r>
      <w:r w:rsidR="00022F7E">
        <w:rPr>
          <w:rFonts w:ascii="Arial" w:hAnsi="Arial" w:cs="Arial"/>
          <w:lang w:val="en-ZA"/>
        </w:rPr>
        <w:t xml:space="preserve"> at the close of the State’s case, is of the opinion that there </w:t>
      </w:r>
      <w:r w:rsidRPr="00E0645B">
        <w:rPr>
          <w:rFonts w:ascii="Arial" w:hAnsi="Arial" w:cs="Arial"/>
          <w:lang w:val="en-ZA"/>
        </w:rPr>
        <w:t xml:space="preserve">is no evidence that the accused committed the offence referred to in the charge or any offence of which he may be convicted on the charge, </w:t>
      </w:r>
      <w:r w:rsidR="00022F7E">
        <w:rPr>
          <w:rFonts w:ascii="Arial" w:hAnsi="Arial" w:cs="Arial"/>
          <w:lang w:val="en-ZA"/>
        </w:rPr>
        <w:t xml:space="preserve">he </w:t>
      </w:r>
      <w:r w:rsidRPr="00E0645B">
        <w:rPr>
          <w:rFonts w:ascii="Arial" w:hAnsi="Arial" w:cs="Arial"/>
          <w:lang w:val="en-ZA"/>
        </w:rPr>
        <w:t>may return a verdict of not guilty.</w:t>
      </w:r>
      <w:r w:rsidR="00022F7E">
        <w:rPr>
          <w:rFonts w:ascii="Arial" w:hAnsi="Arial" w:cs="Arial"/>
          <w:lang w:val="en-ZA"/>
        </w:rPr>
        <w:t xml:space="preserve"> </w:t>
      </w:r>
      <w:r w:rsidR="00055D5C">
        <w:rPr>
          <w:rFonts w:ascii="Arial" w:hAnsi="Arial" w:cs="Arial"/>
          <w:lang w:val="en-ZA"/>
        </w:rPr>
        <w:t>Th</w:t>
      </w:r>
      <w:r w:rsidR="00362873">
        <w:rPr>
          <w:rFonts w:ascii="Arial" w:hAnsi="Arial" w:cs="Arial"/>
          <w:lang w:val="en-ZA"/>
        </w:rPr>
        <w:t xml:space="preserve">is court has to determine </w:t>
      </w:r>
      <w:r w:rsidR="00055D5C">
        <w:rPr>
          <w:rFonts w:ascii="Arial" w:hAnsi="Arial" w:cs="Arial"/>
          <w:lang w:val="en-ZA"/>
        </w:rPr>
        <w:t>whether the learned magistrate</w:t>
      </w:r>
      <w:r w:rsidR="00362873">
        <w:rPr>
          <w:rFonts w:ascii="Arial" w:hAnsi="Arial" w:cs="Arial"/>
          <w:lang w:val="en-ZA"/>
        </w:rPr>
        <w:t xml:space="preserve"> applied his mind </w:t>
      </w:r>
      <w:r w:rsidR="00055D5C">
        <w:rPr>
          <w:rFonts w:ascii="Arial" w:hAnsi="Arial" w:cs="Arial"/>
          <w:lang w:val="en-ZA"/>
        </w:rPr>
        <w:t xml:space="preserve">when he </w:t>
      </w:r>
      <w:r w:rsidR="00362873">
        <w:rPr>
          <w:rFonts w:ascii="Arial" w:hAnsi="Arial" w:cs="Arial"/>
          <w:lang w:val="en-ZA"/>
        </w:rPr>
        <w:t xml:space="preserve">discharged the respondent on the strength of his </w:t>
      </w:r>
      <w:r w:rsidR="00055D5C">
        <w:rPr>
          <w:rFonts w:ascii="Arial" w:hAnsi="Arial" w:cs="Arial"/>
          <w:lang w:val="en-ZA"/>
        </w:rPr>
        <w:t>conclusion that the State had failed to sufficiently prove that the substance is dagga</w:t>
      </w:r>
      <w:r w:rsidR="00362873">
        <w:rPr>
          <w:rFonts w:ascii="Arial" w:hAnsi="Arial" w:cs="Arial"/>
          <w:lang w:val="en-ZA"/>
        </w:rPr>
        <w:t>.</w:t>
      </w:r>
    </w:p>
    <w:p w:rsidR="006275FA" w:rsidRDefault="006275FA" w:rsidP="00B0515F">
      <w:pPr>
        <w:spacing w:line="360" w:lineRule="auto"/>
        <w:jc w:val="both"/>
        <w:rPr>
          <w:rFonts w:ascii="Arial" w:hAnsi="Arial" w:cs="Arial"/>
          <w:lang w:val="en-ZA"/>
        </w:rPr>
      </w:pPr>
    </w:p>
    <w:p w:rsidR="00FF66A2" w:rsidRDefault="00022F7E" w:rsidP="00B0515F">
      <w:pPr>
        <w:spacing w:line="360" w:lineRule="auto"/>
        <w:jc w:val="both"/>
        <w:rPr>
          <w:rFonts w:ascii="Arial" w:hAnsi="Arial" w:cs="Arial"/>
          <w:lang w:val="en-ZA"/>
        </w:rPr>
      </w:pPr>
      <w:r>
        <w:rPr>
          <w:rFonts w:ascii="Arial" w:hAnsi="Arial" w:cs="Arial"/>
          <w:lang w:val="en-ZA"/>
        </w:rPr>
        <w:t>[9</w:t>
      </w:r>
      <w:r w:rsidR="006275FA">
        <w:rPr>
          <w:rFonts w:ascii="Arial" w:hAnsi="Arial" w:cs="Arial"/>
          <w:lang w:val="en-ZA"/>
        </w:rPr>
        <w:t>]</w:t>
      </w:r>
      <w:r>
        <w:rPr>
          <w:rFonts w:ascii="Arial" w:hAnsi="Arial" w:cs="Arial"/>
          <w:lang w:val="en-ZA"/>
        </w:rPr>
        <w:tab/>
      </w:r>
      <w:r w:rsidR="00730D67">
        <w:rPr>
          <w:rFonts w:ascii="Arial" w:hAnsi="Arial" w:cs="Arial"/>
          <w:lang w:val="en-ZA"/>
        </w:rPr>
        <w:t xml:space="preserve">Sargent Munango testified as follow: </w:t>
      </w:r>
    </w:p>
    <w:p w:rsidR="00307460" w:rsidRDefault="00307460" w:rsidP="00B0515F">
      <w:pPr>
        <w:spacing w:line="360" w:lineRule="auto"/>
        <w:jc w:val="both"/>
        <w:rPr>
          <w:rFonts w:ascii="Arial" w:hAnsi="Arial" w:cs="Arial"/>
          <w:lang w:val="en-ZA"/>
        </w:rPr>
      </w:pPr>
    </w:p>
    <w:p w:rsidR="00FF66A2" w:rsidRDefault="00FF66A2" w:rsidP="00307460">
      <w:pPr>
        <w:spacing w:line="360" w:lineRule="auto"/>
        <w:ind w:firstLine="720"/>
        <w:jc w:val="both"/>
        <w:rPr>
          <w:rFonts w:ascii="Arial" w:hAnsi="Arial" w:cs="Arial"/>
          <w:sz w:val="22"/>
          <w:szCs w:val="22"/>
          <w:lang w:val="en-ZA"/>
        </w:rPr>
      </w:pPr>
      <w:r>
        <w:rPr>
          <w:rFonts w:ascii="Arial" w:hAnsi="Arial" w:cs="Arial"/>
          <w:lang w:val="en-ZA"/>
        </w:rPr>
        <w:t>‘</w:t>
      </w:r>
      <w:r w:rsidR="00730D67" w:rsidRPr="007E71DA">
        <w:rPr>
          <w:rFonts w:ascii="Arial" w:hAnsi="Arial" w:cs="Arial"/>
          <w:sz w:val="22"/>
          <w:szCs w:val="22"/>
          <w:lang w:val="en-ZA"/>
        </w:rPr>
        <w:t xml:space="preserve">I know cannabis, it’s green in colour and has seeds. It has (a) moff (sic) smell that is not in any other plant. I received training course </w:t>
      </w:r>
      <w:r w:rsidR="00D90EE0">
        <w:rPr>
          <w:rFonts w:ascii="Arial" w:hAnsi="Arial" w:cs="Arial"/>
          <w:sz w:val="22"/>
          <w:szCs w:val="22"/>
          <w:lang w:val="en-ZA"/>
        </w:rPr>
        <w:t xml:space="preserve">(sic) </w:t>
      </w:r>
      <w:r w:rsidR="00730D67" w:rsidRPr="007E71DA">
        <w:rPr>
          <w:rFonts w:ascii="Arial" w:hAnsi="Arial" w:cs="Arial"/>
          <w:sz w:val="22"/>
          <w:szCs w:val="22"/>
          <w:lang w:val="en-ZA"/>
        </w:rPr>
        <w:t>in detecting drugs, for (2) months and the advanced one was for three months in Windhoek</w:t>
      </w:r>
      <w:r>
        <w:rPr>
          <w:rFonts w:ascii="Arial" w:hAnsi="Arial" w:cs="Arial"/>
          <w:sz w:val="22"/>
          <w:szCs w:val="22"/>
          <w:lang w:val="en-ZA"/>
        </w:rPr>
        <w:t>.’</w:t>
      </w:r>
    </w:p>
    <w:p w:rsidR="00307460" w:rsidRDefault="00307460" w:rsidP="00FF66A2">
      <w:pPr>
        <w:spacing w:line="360" w:lineRule="auto"/>
        <w:ind w:left="720"/>
        <w:jc w:val="both"/>
        <w:rPr>
          <w:rFonts w:ascii="Arial" w:hAnsi="Arial" w:cs="Arial"/>
          <w:sz w:val="22"/>
          <w:szCs w:val="22"/>
          <w:lang w:val="en-ZA"/>
        </w:rPr>
      </w:pPr>
    </w:p>
    <w:p w:rsidR="00FF66A2" w:rsidRDefault="00307460" w:rsidP="00FF66A2">
      <w:pPr>
        <w:spacing w:line="360" w:lineRule="auto"/>
        <w:jc w:val="both"/>
        <w:rPr>
          <w:rFonts w:ascii="Arial" w:hAnsi="Arial" w:cs="Arial"/>
          <w:lang w:val="en-ZA"/>
        </w:rPr>
      </w:pPr>
      <w:r>
        <w:rPr>
          <w:rFonts w:ascii="Arial" w:hAnsi="Arial" w:cs="Arial"/>
          <w:lang w:val="en-ZA"/>
        </w:rPr>
        <w:t>[10]</w:t>
      </w:r>
      <w:r>
        <w:rPr>
          <w:rFonts w:ascii="Arial" w:hAnsi="Arial" w:cs="Arial"/>
          <w:lang w:val="en-ZA"/>
        </w:rPr>
        <w:tab/>
      </w:r>
      <w:r w:rsidR="00C90031">
        <w:rPr>
          <w:rFonts w:ascii="Arial" w:hAnsi="Arial" w:cs="Arial"/>
          <w:lang w:val="en-ZA"/>
        </w:rPr>
        <w:t xml:space="preserve">In </w:t>
      </w:r>
      <w:r w:rsidR="00C90031" w:rsidRPr="00B27557">
        <w:rPr>
          <w:rFonts w:ascii="Arial" w:hAnsi="Arial" w:cs="Arial"/>
          <w:i/>
          <w:lang w:val="en-ZA"/>
        </w:rPr>
        <w:t>S v Mteleni, supra</w:t>
      </w:r>
      <w:r w:rsidR="00D90EE0">
        <w:rPr>
          <w:rFonts w:ascii="Arial" w:hAnsi="Arial" w:cs="Arial"/>
          <w:i/>
          <w:lang w:val="en-ZA"/>
        </w:rPr>
        <w:t>,</w:t>
      </w:r>
      <w:r w:rsidR="00C90031">
        <w:rPr>
          <w:rFonts w:ascii="Arial" w:hAnsi="Arial" w:cs="Arial"/>
          <w:lang w:val="en-ZA"/>
        </w:rPr>
        <w:t xml:space="preserve"> </w:t>
      </w:r>
      <w:r w:rsidR="00A473E4">
        <w:rPr>
          <w:rFonts w:ascii="Arial" w:hAnsi="Arial" w:cs="Arial"/>
          <w:lang w:val="en-ZA"/>
        </w:rPr>
        <w:t>Teek J</w:t>
      </w:r>
      <w:r w:rsidR="00A473E4">
        <w:rPr>
          <w:rStyle w:val="FootnoteReference"/>
          <w:rFonts w:ascii="Arial" w:hAnsi="Arial" w:cs="Arial"/>
          <w:lang w:val="en-ZA"/>
        </w:rPr>
        <w:footnoteReference w:id="3"/>
      </w:r>
      <w:r w:rsidR="00B27557">
        <w:rPr>
          <w:rFonts w:ascii="Arial" w:hAnsi="Arial" w:cs="Arial"/>
          <w:lang w:val="en-ZA"/>
        </w:rPr>
        <w:t xml:space="preserve"> state</w:t>
      </w:r>
      <w:r w:rsidR="00730D67">
        <w:rPr>
          <w:rFonts w:ascii="Arial" w:hAnsi="Arial" w:cs="Arial"/>
          <w:lang w:val="en-ZA"/>
        </w:rPr>
        <w:t>s</w:t>
      </w:r>
      <w:r w:rsidR="00B27557">
        <w:rPr>
          <w:rFonts w:ascii="Arial" w:hAnsi="Arial" w:cs="Arial"/>
          <w:lang w:val="en-ZA"/>
        </w:rPr>
        <w:t xml:space="preserve"> the following: </w:t>
      </w:r>
    </w:p>
    <w:p w:rsidR="00307460" w:rsidRDefault="00307460" w:rsidP="00FF66A2">
      <w:pPr>
        <w:spacing w:line="360" w:lineRule="auto"/>
        <w:jc w:val="both"/>
        <w:rPr>
          <w:rFonts w:ascii="Arial" w:hAnsi="Arial" w:cs="Arial"/>
          <w:lang w:val="en-ZA"/>
        </w:rPr>
      </w:pPr>
    </w:p>
    <w:p w:rsidR="00FF66A2" w:rsidRDefault="00307460" w:rsidP="00307460">
      <w:pPr>
        <w:spacing w:line="360" w:lineRule="auto"/>
        <w:ind w:left="90" w:firstLine="630"/>
        <w:jc w:val="both"/>
        <w:rPr>
          <w:rFonts w:ascii="Arial" w:hAnsi="Arial" w:cs="Arial"/>
          <w:lang w:val="en-ZA"/>
        </w:rPr>
      </w:pPr>
      <w:r>
        <w:rPr>
          <w:rFonts w:ascii="Arial" w:hAnsi="Arial" w:cs="Arial"/>
          <w:sz w:val="22"/>
          <w:szCs w:val="22"/>
          <w:lang w:val="en-ZA"/>
        </w:rPr>
        <w:t>‘</w:t>
      </w:r>
      <w:r w:rsidR="00B27557" w:rsidRPr="00B27557">
        <w:rPr>
          <w:rFonts w:ascii="Arial" w:hAnsi="Arial" w:cs="Arial"/>
          <w:sz w:val="22"/>
          <w:szCs w:val="22"/>
          <w:lang w:val="en-ZA"/>
        </w:rPr>
        <w:t>T</w:t>
      </w:r>
      <w:r w:rsidR="00C90031" w:rsidRPr="00B27557">
        <w:rPr>
          <w:rFonts w:ascii="Arial" w:hAnsi="Arial" w:cs="Arial"/>
          <w:sz w:val="22"/>
          <w:szCs w:val="22"/>
          <w:lang w:val="en-ZA"/>
        </w:rPr>
        <w:t xml:space="preserve">he evidence given by Shilunga namely 'I know that it is dagga. I have seen dagga before and at the police station' can hardly be regarded as </w:t>
      </w:r>
      <w:r w:rsidR="00C90031" w:rsidRPr="00D90EE0">
        <w:rPr>
          <w:rFonts w:ascii="Arial" w:hAnsi="Arial" w:cs="Arial"/>
          <w:i/>
          <w:sz w:val="22"/>
          <w:szCs w:val="22"/>
          <w:lang w:val="en-ZA"/>
        </w:rPr>
        <w:t>prima facie</w:t>
      </w:r>
      <w:r w:rsidR="00C90031" w:rsidRPr="00B27557">
        <w:rPr>
          <w:rFonts w:ascii="Arial" w:hAnsi="Arial" w:cs="Arial"/>
          <w:sz w:val="22"/>
          <w:szCs w:val="22"/>
          <w:lang w:val="en-ZA"/>
        </w:rPr>
        <w:t xml:space="preserve"> evidence that the substance found was what the State alleges it was namely dagga. She does not say how and where she obtained her experience to identify dagga or dependence producing drugs</w:t>
      </w:r>
      <w:r w:rsidR="00C90031" w:rsidRPr="00C90031">
        <w:rPr>
          <w:rFonts w:ascii="Arial" w:hAnsi="Arial" w:cs="Arial"/>
          <w:lang w:val="en-ZA"/>
        </w:rPr>
        <w:t>.</w:t>
      </w:r>
      <w:r w:rsidR="00FF66A2">
        <w:rPr>
          <w:rFonts w:ascii="Arial" w:hAnsi="Arial" w:cs="Arial"/>
          <w:lang w:val="en-ZA"/>
        </w:rPr>
        <w:t>’</w:t>
      </w:r>
      <w:r w:rsidR="00B27557">
        <w:rPr>
          <w:rFonts w:ascii="Arial" w:hAnsi="Arial" w:cs="Arial"/>
          <w:lang w:val="en-ZA"/>
        </w:rPr>
        <w:t xml:space="preserve"> </w:t>
      </w:r>
    </w:p>
    <w:p w:rsidR="00307460" w:rsidRDefault="00307460" w:rsidP="00FF66A2">
      <w:pPr>
        <w:spacing w:line="360" w:lineRule="auto"/>
        <w:jc w:val="both"/>
        <w:rPr>
          <w:rFonts w:ascii="Arial" w:hAnsi="Arial" w:cs="Arial"/>
          <w:lang w:val="en-ZA"/>
        </w:rPr>
      </w:pPr>
    </w:p>
    <w:p w:rsidR="00FF66A2" w:rsidRDefault="00307460" w:rsidP="00FF66A2">
      <w:pPr>
        <w:spacing w:line="360" w:lineRule="auto"/>
        <w:jc w:val="both"/>
        <w:rPr>
          <w:rFonts w:ascii="Arial" w:hAnsi="Arial" w:cs="Arial"/>
          <w:lang w:val="en-ZA"/>
        </w:rPr>
      </w:pPr>
      <w:r>
        <w:rPr>
          <w:rFonts w:ascii="Arial" w:hAnsi="Arial" w:cs="Arial"/>
          <w:lang w:val="en-ZA"/>
        </w:rPr>
        <w:lastRenderedPageBreak/>
        <w:t>[11]</w:t>
      </w:r>
      <w:r>
        <w:rPr>
          <w:rFonts w:ascii="Arial" w:hAnsi="Arial" w:cs="Arial"/>
          <w:lang w:val="en-ZA"/>
        </w:rPr>
        <w:tab/>
      </w:r>
      <w:r w:rsidR="00D90EE0">
        <w:rPr>
          <w:rFonts w:ascii="Arial" w:hAnsi="Arial" w:cs="Arial"/>
          <w:lang w:val="en-ZA"/>
        </w:rPr>
        <w:t xml:space="preserve">It is my considered </w:t>
      </w:r>
      <w:r w:rsidR="00730D67" w:rsidRPr="00730D67">
        <w:rPr>
          <w:rFonts w:ascii="Arial" w:hAnsi="Arial" w:cs="Arial"/>
          <w:lang w:val="en-ZA"/>
        </w:rPr>
        <w:t xml:space="preserve">view </w:t>
      </w:r>
      <w:r w:rsidR="00D90EE0">
        <w:rPr>
          <w:rFonts w:ascii="Arial" w:hAnsi="Arial" w:cs="Arial"/>
          <w:lang w:val="en-ZA"/>
        </w:rPr>
        <w:t xml:space="preserve">that </w:t>
      </w:r>
      <w:r w:rsidR="00730D67" w:rsidRPr="00730D67">
        <w:rPr>
          <w:rFonts w:ascii="Arial" w:hAnsi="Arial" w:cs="Arial"/>
          <w:lang w:val="en-ZA"/>
        </w:rPr>
        <w:t xml:space="preserve">the facts and circumstances of this case are distinguishable from those in </w:t>
      </w:r>
      <w:r w:rsidR="00F05B6E" w:rsidRPr="00F05B6E">
        <w:rPr>
          <w:rFonts w:ascii="Arial" w:hAnsi="Arial" w:cs="Arial"/>
          <w:i/>
          <w:lang w:val="en-ZA"/>
        </w:rPr>
        <w:t>Mteleni</w:t>
      </w:r>
      <w:r w:rsidR="00F05B6E">
        <w:rPr>
          <w:rFonts w:ascii="Arial" w:hAnsi="Arial" w:cs="Arial"/>
          <w:lang w:val="en-ZA"/>
        </w:rPr>
        <w:t xml:space="preserve"> </w:t>
      </w:r>
      <w:r w:rsidR="00730D67" w:rsidRPr="00730D67">
        <w:rPr>
          <w:rFonts w:ascii="Arial" w:hAnsi="Arial" w:cs="Arial"/>
          <w:lang w:val="en-ZA"/>
        </w:rPr>
        <w:t>above</w:t>
      </w:r>
      <w:r w:rsidR="00F05B6E">
        <w:rPr>
          <w:rFonts w:ascii="Arial" w:hAnsi="Arial" w:cs="Arial"/>
          <w:lang w:val="en-ZA"/>
        </w:rPr>
        <w:t xml:space="preserve">. </w:t>
      </w:r>
      <w:r w:rsidR="00D90EE0">
        <w:rPr>
          <w:rFonts w:ascii="Arial" w:hAnsi="Arial" w:cs="Arial"/>
          <w:lang w:val="en-ZA"/>
        </w:rPr>
        <w:t>Serge</w:t>
      </w:r>
      <w:r w:rsidR="00362873">
        <w:rPr>
          <w:rFonts w:ascii="Arial" w:hAnsi="Arial" w:cs="Arial"/>
          <w:lang w:val="en-ZA"/>
        </w:rPr>
        <w:t>a</w:t>
      </w:r>
      <w:r w:rsidR="00D90EE0">
        <w:rPr>
          <w:rFonts w:ascii="Arial" w:hAnsi="Arial" w:cs="Arial"/>
          <w:lang w:val="en-ZA"/>
        </w:rPr>
        <w:t>nt Munan</w:t>
      </w:r>
      <w:r w:rsidR="00362873">
        <w:rPr>
          <w:rFonts w:ascii="Arial" w:hAnsi="Arial" w:cs="Arial"/>
          <w:lang w:val="en-ZA"/>
        </w:rPr>
        <w:t>a</w:t>
      </w:r>
      <w:r w:rsidR="00D90EE0">
        <w:rPr>
          <w:rFonts w:ascii="Arial" w:hAnsi="Arial" w:cs="Arial"/>
          <w:lang w:val="en-ZA"/>
        </w:rPr>
        <w:t xml:space="preserve">go </w:t>
      </w:r>
      <w:r w:rsidR="00B27557">
        <w:rPr>
          <w:rFonts w:ascii="Arial" w:hAnsi="Arial" w:cs="Arial"/>
          <w:lang w:val="en-ZA"/>
        </w:rPr>
        <w:t xml:space="preserve">clearly indicated </w:t>
      </w:r>
      <w:r w:rsidR="00A473E4">
        <w:rPr>
          <w:rFonts w:ascii="Arial" w:hAnsi="Arial" w:cs="Arial"/>
          <w:lang w:val="en-ZA"/>
        </w:rPr>
        <w:t xml:space="preserve">what </w:t>
      </w:r>
      <w:r w:rsidR="00FF66A2">
        <w:rPr>
          <w:rFonts w:ascii="Arial" w:hAnsi="Arial" w:cs="Arial"/>
          <w:lang w:val="en-ZA"/>
        </w:rPr>
        <w:t xml:space="preserve">his </w:t>
      </w:r>
      <w:r w:rsidR="00D90EE0">
        <w:rPr>
          <w:rFonts w:ascii="Arial" w:hAnsi="Arial" w:cs="Arial"/>
          <w:lang w:val="en-ZA"/>
        </w:rPr>
        <w:t>qualifications</w:t>
      </w:r>
      <w:r w:rsidR="00A473E4">
        <w:rPr>
          <w:rFonts w:ascii="Arial" w:hAnsi="Arial" w:cs="Arial"/>
          <w:lang w:val="en-ZA"/>
        </w:rPr>
        <w:t xml:space="preserve"> were</w:t>
      </w:r>
      <w:r w:rsidR="00D90EE0">
        <w:rPr>
          <w:rFonts w:ascii="Arial" w:hAnsi="Arial" w:cs="Arial"/>
          <w:lang w:val="en-ZA"/>
        </w:rPr>
        <w:t xml:space="preserve"> </w:t>
      </w:r>
      <w:r w:rsidR="00F05B6E">
        <w:rPr>
          <w:rFonts w:ascii="Arial" w:hAnsi="Arial" w:cs="Arial"/>
          <w:lang w:val="en-ZA"/>
        </w:rPr>
        <w:t xml:space="preserve">and </w:t>
      </w:r>
      <w:r w:rsidR="00FF66A2">
        <w:rPr>
          <w:rFonts w:ascii="Arial" w:hAnsi="Arial" w:cs="Arial"/>
          <w:lang w:val="en-ZA"/>
        </w:rPr>
        <w:t>the reasons for his conclusions</w:t>
      </w:r>
      <w:r w:rsidR="00F05B6E">
        <w:rPr>
          <w:rFonts w:ascii="Arial" w:hAnsi="Arial" w:cs="Arial"/>
          <w:lang w:val="en-ZA"/>
        </w:rPr>
        <w:t xml:space="preserve">. </w:t>
      </w:r>
    </w:p>
    <w:p w:rsidR="00FF66A2" w:rsidRDefault="00FF66A2" w:rsidP="00FF66A2">
      <w:pPr>
        <w:spacing w:line="360" w:lineRule="auto"/>
        <w:jc w:val="both"/>
        <w:rPr>
          <w:rFonts w:ascii="Arial" w:hAnsi="Arial" w:cs="Arial"/>
          <w:lang w:val="en-ZA"/>
        </w:rPr>
      </w:pPr>
    </w:p>
    <w:p w:rsidR="00BF61A3" w:rsidRDefault="00307460" w:rsidP="00FF66A2">
      <w:pPr>
        <w:spacing w:line="360" w:lineRule="auto"/>
        <w:jc w:val="both"/>
        <w:rPr>
          <w:rFonts w:ascii="Arial" w:hAnsi="Arial" w:cs="Arial"/>
          <w:lang w:val="en-ZA"/>
        </w:rPr>
      </w:pPr>
      <w:r>
        <w:rPr>
          <w:rFonts w:ascii="Arial" w:hAnsi="Arial" w:cs="Arial"/>
          <w:lang w:val="en-ZA"/>
        </w:rPr>
        <w:t>[12</w:t>
      </w:r>
      <w:r w:rsidR="00FF66A2">
        <w:rPr>
          <w:rFonts w:ascii="Arial" w:hAnsi="Arial" w:cs="Arial"/>
          <w:lang w:val="en-ZA"/>
        </w:rPr>
        <w:t>]</w:t>
      </w:r>
      <w:r w:rsidR="00FF66A2">
        <w:rPr>
          <w:rFonts w:ascii="Arial" w:hAnsi="Arial" w:cs="Arial"/>
          <w:lang w:val="en-ZA"/>
        </w:rPr>
        <w:tab/>
      </w:r>
      <w:r w:rsidR="000E4F74">
        <w:rPr>
          <w:rFonts w:ascii="Arial" w:hAnsi="Arial" w:cs="Arial"/>
          <w:lang w:val="en-ZA"/>
        </w:rPr>
        <w:t xml:space="preserve">In </w:t>
      </w:r>
      <w:r w:rsidR="000E4F74" w:rsidRPr="00D90EE0">
        <w:rPr>
          <w:rFonts w:ascii="Arial" w:hAnsi="Arial" w:cs="Arial"/>
          <w:i/>
          <w:lang w:val="en-ZA"/>
        </w:rPr>
        <w:t>S v Ndaba</w:t>
      </w:r>
      <w:r>
        <w:rPr>
          <w:rStyle w:val="FootnoteReference"/>
          <w:rFonts w:ascii="Arial" w:hAnsi="Arial" w:cs="Arial"/>
          <w:i/>
          <w:lang w:val="en-ZA"/>
        </w:rPr>
        <w:footnoteReference w:id="4"/>
      </w:r>
      <w:r w:rsidR="000E4F74" w:rsidRPr="00C90031">
        <w:rPr>
          <w:rFonts w:ascii="Arial" w:hAnsi="Arial" w:cs="Arial"/>
          <w:lang w:val="en-ZA"/>
        </w:rPr>
        <w:t xml:space="preserve"> it was held that</w:t>
      </w:r>
      <w:r w:rsidR="000E4F74" w:rsidRPr="00C90031">
        <w:rPr>
          <w:rFonts w:ascii="Arial" w:hAnsi="Arial" w:cs="Arial"/>
        </w:rPr>
        <w:t xml:space="preserve"> o</w:t>
      </w:r>
      <w:r w:rsidR="000E4F74" w:rsidRPr="00C90031">
        <w:rPr>
          <w:rFonts w:ascii="Arial" w:hAnsi="Arial" w:cs="Arial"/>
          <w:lang w:val="en-ZA"/>
        </w:rPr>
        <w:t xml:space="preserve">n a charge of dealing in dagga in contravention of s 2 (a) of Act 41 of </w:t>
      </w:r>
      <w:r w:rsidR="000E4F74">
        <w:rPr>
          <w:rFonts w:ascii="Arial" w:hAnsi="Arial" w:cs="Arial"/>
          <w:lang w:val="en-ZA"/>
        </w:rPr>
        <w:t>1</w:t>
      </w:r>
      <w:r w:rsidR="000E4F74" w:rsidRPr="00C90031">
        <w:rPr>
          <w:rFonts w:ascii="Arial" w:hAnsi="Arial" w:cs="Arial"/>
          <w:lang w:val="en-ZA"/>
        </w:rPr>
        <w:t>971 a policeman's statement that he knows dagga and that what he found was in fact dagga is accepted as sufficient identification unless his statement is challenged and his experience with and knowledge of dagga is put in issue</w:t>
      </w:r>
      <w:r w:rsidR="000E4F74">
        <w:rPr>
          <w:rFonts w:ascii="Arial" w:hAnsi="Arial" w:cs="Arial"/>
          <w:i/>
          <w:lang w:val="en-ZA"/>
        </w:rPr>
        <w:t>.</w:t>
      </w:r>
      <w:r w:rsidR="000E4F74">
        <w:rPr>
          <w:rFonts w:ascii="Arial" w:hAnsi="Arial" w:cs="Arial"/>
          <w:lang w:val="en-ZA"/>
        </w:rPr>
        <w:t xml:space="preserve"> </w:t>
      </w:r>
      <w:r w:rsidR="00A473E4">
        <w:rPr>
          <w:rFonts w:ascii="Arial" w:hAnsi="Arial" w:cs="Arial"/>
          <w:lang w:val="en-ZA"/>
        </w:rPr>
        <w:t>The respondent</w:t>
      </w:r>
      <w:r w:rsidR="000E4F74">
        <w:rPr>
          <w:rFonts w:ascii="Arial" w:hAnsi="Arial" w:cs="Arial"/>
          <w:lang w:val="en-ZA"/>
        </w:rPr>
        <w:t xml:space="preserve"> </w:t>
      </w:r>
      <w:r w:rsidR="00A473E4">
        <w:rPr>
          <w:rFonts w:ascii="Arial" w:hAnsi="Arial" w:cs="Arial"/>
          <w:lang w:val="en-ZA"/>
        </w:rPr>
        <w:t xml:space="preserve">did not </w:t>
      </w:r>
      <w:r w:rsidR="000E4F74">
        <w:rPr>
          <w:rFonts w:ascii="Arial" w:hAnsi="Arial" w:cs="Arial"/>
          <w:lang w:val="en-ZA"/>
        </w:rPr>
        <w:t>put in issue</w:t>
      </w:r>
      <w:r w:rsidR="000E4F74" w:rsidRPr="000E4F74">
        <w:rPr>
          <w:rFonts w:ascii="Arial" w:hAnsi="Arial" w:cs="Arial"/>
          <w:lang w:val="en-ZA"/>
        </w:rPr>
        <w:t xml:space="preserve"> </w:t>
      </w:r>
      <w:r w:rsidR="000E4F74">
        <w:rPr>
          <w:rFonts w:ascii="Arial" w:hAnsi="Arial" w:cs="Arial"/>
          <w:lang w:val="en-ZA"/>
        </w:rPr>
        <w:t xml:space="preserve">Sergeant Mananago’s qualifications or his ability to detect drugs. </w:t>
      </w:r>
    </w:p>
    <w:p w:rsidR="00BF61A3" w:rsidRDefault="00BF61A3" w:rsidP="00B0515F">
      <w:pPr>
        <w:spacing w:line="360" w:lineRule="auto"/>
        <w:jc w:val="both"/>
        <w:rPr>
          <w:rFonts w:ascii="Arial" w:hAnsi="Arial" w:cs="Arial"/>
          <w:lang w:val="en-ZA"/>
        </w:rPr>
      </w:pPr>
    </w:p>
    <w:p w:rsidR="00C90031" w:rsidRDefault="00F05B6E" w:rsidP="00B0515F">
      <w:pPr>
        <w:spacing w:line="360" w:lineRule="auto"/>
        <w:jc w:val="both"/>
        <w:rPr>
          <w:rFonts w:ascii="Arial" w:hAnsi="Arial" w:cs="Arial"/>
          <w:lang w:val="en-ZA"/>
        </w:rPr>
      </w:pPr>
      <w:r>
        <w:rPr>
          <w:rFonts w:ascii="Arial" w:hAnsi="Arial" w:cs="Arial"/>
          <w:lang w:val="en-ZA"/>
        </w:rPr>
        <w:t>[1</w:t>
      </w:r>
      <w:r w:rsidR="00307460">
        <w:rPr>
          <w:rFonts w:ascii="Arial" w:hAnsi="Arial" w:cs="Arial"/>
          <w:lang w:val="en-ZA"/>
        </w:rPr>
        <w:t>3</w:t>
      </w:r>
      <w:r>
        <w:rPr>
          <w:rFonts w:ascii="Arial" w:hAnsi="Arial" w:cs="Arial"/>
          <w:lang w:val="en-ZA"/>
        </w:rPr>
        <w:t>]</w:t>
      </w:r>
      <w:r>
        <w:rPr>
          <w:rFonts w:ascii="Arial" w:hAnsi="Arial" w:cs="Arial"/>
          <w:lang w:val="en-ZA"/>
        </w:rPr>
        <w:tab/>
        <w:t xml:space="preserve">The </w:t>
      </w:r>
      <w:r w:rsidR="002504E0">
        <w:rPr>
          <w:rFonts w:ascii="Arial" w:hAnsi="Arial" w:cs="Arial"/>
          <w:lang w:val="en-ZA"/>
        </w:rPr>
        <w:t>S</w:t>
      </w:r>
      <w:r>
        <w:rPr>
          <w:rFonts w:ascii="Arial" w:hAnsi="Arial" w:cs="Arial"/>
          <w:lang w:val="en-ZA"/>
        </w:rPr>
        <w:t xml:space="preserve">tate adduced </w:t>
      </w:r>
      <w:r w:rsidRPr="00094187">
        <w:rPr>
          <w:rFonts w:ascii="Arial" w:hAnsi="Arial" w:cs="Arial"/>
          <w:i/>
          <w:u w:val="single"/>
          <w:lang w:val="en-ZA"/>
        </w:rPr>
        <w:t>prima facie</w:t>
      </w:r>
      <w:r>
        <w:rPr>
          <w:rFonts w:ascii="Arial" w:hAnsi="Arial" w:cs="Arial"/>
          <w:lang w:val="en-ZA"/>
        </w:rPr>
        <w:t xml:space="preserve"> evidence in the court </w:t>
      </w:r>
      <w:r w:rsidRPr="00362873">
        <w:rPr>
          <w:rFonts w:ascii="Arial" w:hAnsi="Arial" w:cs="Arial"/>
          <w:i/>
          <w:lang w:val="en-ZA"/>
        </w:rPr>
        <w:t>a quo</w:t>
      </w:r>
      <w:r>
        <w:rPr>
          <w:rFonts w:ascii="Arial" w:hAnsi="Arial" w:cs="Arial"/>
          <w:lang w:val="en-ZA"/>
        </w:rPr>
        <w:t xml:space="preserve"> </w:t>
      </w:r>
      <w:r w:rsidR="00094187">
        <w:rPr>
          <w:rFonts w:ascii="Arial" w:hAnsi="Arial" w:cs="Arial"/>
          <w:lang w:val="en-ZA"/>
        </w:rPr>
        <w:t xml:space="preserve">that the substance which was found </w:t>
      </w:r>
      <w:r w:rsidR="00362873">
        <w:rPr>
          <w:rFonts w:ascii="Arial" w:hAnsi="Arial" w:cs="Arial"/>
          <w:lang w:val="en-ZA"/>
        </w:rPr>
        <w:t xml:space="preserve">in the possession of the respondent </w:t>
      </w:r>
      <w:r w:rsidR="00094187">
        <w:rPr>
          <w:rFonts w:ascii="Arial" w:hAnsi="Arial" w:cs="Arial"/>
          <w:lang w:val="en-ZA"/>
        </w:rPr>
        <w:t>was in fact dagga</w:t>
      </w:r>
      <w:r w:rsidR="00A86D52">
        <w:rPr>
          <w:rFonts w:ascii="Arial" w:hAnsi="Arial" w:cs="Arial"/>
          <w:lang w:val="en-ZA"/>
        </w:rPr>
        <w:t xml:space="preserve"> and </w:t>
      </w:r>
      <w:r w:rsidR="00362873">
        <w:rPr>
          <w:rFonts w:ascii="Arial" w:hAnsi="Arial" w:cs="Arial"/>
          <w:lang w:val="en-ZA"/>
        </w:rPr>
        <w:t xml:space="preserve">the </w:t>
      </w:r>
      <w:r w:rsidR="00D02EA0">
        <w:rPr>
          <w:rFonts w:ascii="Arial" w:hAnsi="Arial" w:cs="Arial"/>
          <w:lang w:val="en-ZA"/>
        </w:rPr>
        <w:t xml:space="preserve">learned magistrate </w:t>
      </w:r>
      <w:r w:rsidR="00FF66A2">
        <w:rPr>
          <w:rFonts w:ascii="Arial" w:hAnsi="Arial" w:cs="Arial"/>
          <w:lang w:val="en-ZA"/>
        </w:rPr>
        <w:t xml:space="preserve">thus erred when he opined that </w:t>
      </w:r>
      <w:r w:rsidR="00D90EE0">
        <w:rPr>
          <w:rFonts w:ascii="Arial" w:hAnsi="Arial" w:cs="Arial"/>
          <w:lang w:val="en-ZA"/>
        </w:rPr>
        <w:t>there was not “</w:t>
      </w:r>
      <w:r w:rsidR="00D90EE0" w:rsidRPr="00FF66A2">
        <w:rPr>
          <w:rFonts w:ascii="Arial" w:hAnsi="Arial" w:cs="Arial"/>
          <w:sz w:val="22"/>
          <w:szCs w:val="22"/>
          <w:lang w:val="en-ZA"/>
        </w:rPr>
        <w:t>sufficient evidence</w:t>
      </w:r>
      <w:r w:rsidR="00D90EE0">
        <w:rPr>
          <w:rFonts w:ascii="Arial" w:hAnsi="Arial" w:cs="Arial"/>
          <w:lang w:val="en-ZA"/>
        </w:rPr>
        <w:t>” adduced to prove that the substance was dagga.</w:t>
      </w:r>
      <w:r w:rsidR="00094187">
        <w:rPr>
          <w:rFonts w:ascii="Arial" w:hAnsi="Arial" w:cs="Arial"/>
          <w:lang w:val="en-ZA"/>
        </w:rPr>
        <w:t xml:space="preserve"> </w:t>
      </w:r>
    </w:p>
    <w:p w:rsidR="00D90EE0" w:rsidRDefault="00D90EE0" w:rsidP="00B0515F">
      <w:pPr>
        <w:spacing w:line="360" w:lineRule="auto"/>
        <w:jc w:val="both"/>
        <w:rPr>
          <w:rFonts w:ascii="Arial" w:hAnsi="Arial" w:cs="Arial"/>
          <w:lang w:val="en-ZA"/>
        </w:rPr>
      </w:pPr>
    </w:p>
    <w:p w:rsidR="00405330" w:rsidRDefault="00C90031" w:rsidP="00B0515F">
      <w:pPr>
        <w:spacing w:line="360" w:lineRule="auto"/>
        <w:jc w:val="both"/>
        <w:rPr>
          <w:rFonts w:ascii="Arial" w:hAnsi="Arial" w:cs="Arial"/>
          <w:lang w:val="en-ZA"/>
        </w:rPr>
      </w:pPr>
      <w:r>
        <w:rPr>
          <w:rFonts w:ascii="Arial" w:hAnsi="Arial" w:cs="Arial"/>
          <w:lang w:val="en-ZA"/>
        </w:rPr>
        <w:t>[1</w:t>
      </w:r>
      <w:r w:rsidR="00307460">
        <w:rPr>
          <w:rFonts w:ascii="Arial" w:hAnsi="Arial" w:cs="Arial"/>
          <w:lang w:val="en-ZA"/>
        </w:rPr>
        <w:t>4</w:t>
      </w:r>
      <w:r>
        <w:rPr>
          <w:rFonts w:ascii="Arial" w:hAnsi="Arial" w:cs="Arial"/>
          <w:lang w:val="en-ZA"/>
        </w:rPr>
        <w:t>]</w:t>
      </w:r>
      <w:r>
        <w:rPr>
          <w:rFonts w:ascii="Arial" w:hAnsi="Arial" w:cs="Arial"/>
          <w:lang w:val="en-ZA"/>
        </w:rPr>
        <w:tab/>
      </w:r>
      <w:r w:rsidRPr="00C90031">
        <w:rPr>
          <w:rFonts w:ascii="Arial" w:hAnsi="Arial" w:cs="Arial"/>
          <w:lang w:val="en-ZA"/>
        </w:rPr>
        <w:t xml:space="preserve"> </w:t>
      </w:r>
      <w:r w:rsidR="00094187">
        <w:rPr>
          <w:rFonts w:ascii="Arial" w:hAnsi="Arial" w:cs="Arial"/>
          <w:lang w:val="en-ZA"/>
        </w:rPr>
        <w:t xml:space="preserve">Having concluded </w:t>
      </w:r>
      <w:r w:rsidR="00D90EE0">
        <w:rPr>
          <w:rFonts w:ascii="Arial" w:hAnsi="Arial" w:cs="Arial"/>
          <w:lang w:val="en-ZA"/>
        </w:rPr>
        <w:t xml:space="preserve">thus the court upheld the </w:t>
      </w:r>
      <w:r w:rsidR="00236BA7">
        <w:rPr>
          <w:rFonts w:ascii="Arial" w:hAnsi="Arial" w:cs="Arial"/>
          <w:lang w:val="en-ZA"/>
        </w:rPr>
        <w:t xml:space="preserve">appeal and issued the </w:t>
      </w:r>
      <w:r w:rsidR="00405330">
        <w:rPr>
          <w:rFonts w:ascii="Arial" w:hAnsi="Arial" w:cs="Arial"/>
          <w:lang w:val="en-ZA"/>
        </w:rPr>
        <w:t xml:space="preserve">following </w:t>
      </w:r>
      <w:r w:rsidR="00236BA7">
        <w:rPr>
          <w:rFonts w:ascii="Arial" w:hAnsi="Arial" w:cs="Arial"/>
          <w:lang w:val="en-ZA"/>
        </w:rPr>
        <w:t>order</w:t>
      </w:r>
      <w:r w:rsidR="00405330">
        <w:rPr>
          <w:rFonts w:ascii="Arial" w:hAnsi="Arial" w:cs="Arial"/>
          <w:lang w:val="en-ZA"/>
        </w:rPr>
        <w:t>:</w:t>
      </w:r>
    </w:p>
    <w:p w:rsidR="00307460" w:rsidRDefault="00307460" w:rsidP="00B0515F">
      <w:pPr>
        <w:spacing w:line="360" w:lineRule="auto"/>
        <w:jc w:val="both"/>
        <w:rPr>
          <w:rFonts w:ascii="Arial" w:hAnsi="Arial" w:cs="Arial"/>
          <w:lang w:val="en-ZA"/>
        </w:rPr>
      </w:pPr>
    </w:p>
    <w:p w:rsidR="00405330" w:rsidRDefault="00405330" w:rsidP="00405330">
      <w:pPr>
        <w:spacing w:line="360" w:lineRule="auto"/>
        <w:ind w:firstLine="720"/>
        <w:jc w:val="both"/>
        <w:rPr>
          <w:rFonts w:ascii="Arial" w:hAnsi="Arial" w:cs="Arial"/>
          <w:lang w:val="en-ZA"/>
        </w:rPr>
      </w:pPr>
      <w:r>
        <w:rPr>
          <w:rFonts w:ascii="Arial" w:hAnsi="Arial" w:cs="Arial"/>
          <w:lang w:val="en-ZA"/>
        </w:rPr>
        <w:t>1.</w:t>
      </w:r>
      <w:r>
        <w:rPr>
          <w:rFonts w:ascii="Arial" w:hAnsi="Arial" w:cs="Arial"/>
          <w:lang w:val="en-ZA"/>
        </w:rPr>
        <w:tab/>
        <w:t>The appeal succeeds;</w:t>
      </w:r>
    </w:p>
    <w:p w:rsidR="00405330" w:rsidRDefault="00405330" w:rsidP="00405330">
      <w:pPr>
        <w:spacing w:line="360" w:lineRule="auto"/>
        <w:ind w:left="1440" w:hanging="720"/>
        <w:jc w:val="both"/>
        <w:rPr>
          <w:rFonts w:ascii="Arial" w:hAnsi="Arial" w:cs="Arial"/>
          <w:lang w:val="en-ZA"/>
        </w:rPr>
      </w:pPr>
      <w:r>
        <w:rPr>
          <w:rFonts w:ascii="Arial" w:hAnsi="Arial" w:cs="Arial"/>
          <w:lang w:val="en-ZA"/>
        </w:rPr>
        <w:t>2.</w:t>
      </w:r>
      <w:r>
        <w:rPr>
          <w:rFonts w:ascii="Arial" w:hAnsi="Arial" w:cs="Arial"/>
          <w:lang w:val="en-ZA"/>
        </w:rPr>
        <w:tab/>
        <w:t xml:space="preserve">The order of the court </w:t>
      </w:r>
      <w:r w:rsidRPr="00080F3A">
        <w:rPr>
          <w:rFonts w:ascii="Arial" w:hAnsi="Arial" w:cs="Arial"/>
          <w:i/>
          <w:lang w:val="en-ZA"/>
        </w:rPr>
        <w:t>a quo</w:t>
      </w:r>
      <w:r>
        <w:rPr>
          <w:rFonts w:ascii="Arial" w:hAnsi="Arial" w:cs="Arial"/>
          <w:lang w:val="en-ZA"/>
        </w:rPr>
        <w:t xml:space="preserve"> discharging the respondent in terms of section 174 of the Criminal Procedure Act, 51 of 1977, is set aside and substituted for the following order:</w:t>
      </w:r>
    </w:p>
    <w:p w:rsidR="00307460" w:rsidRDefault="00307460" w:rsidP="00405330">
      <w:pPr>
        <w:spacing w:line="360" w:lineRule="auto"/>
        <w:ind w:left="1440" w:hanging="720"/>
        <w:jc w:val="both"/>
        <w:rPr>
          <w:rFonts w:ascii="Arial" w:hAnsi="Arial" w:cs="Arial"/>
          <w:lang w:val="en-ZA"/>
        </w:rPr>
      </w:pPr>
    </w:p>
    <w:p w:rsidR="00405330" w:rsidRPr="00307460" w:rsidRDefault="00405330" w:rsidP="00405330">
      <w:pPr>
        <w:spacing w:line="360" w:lineRule="auto"/>
        <w:ind w:left="2160"/>
        <w:jc w:val="both"/>
        <w:rPr>
          <w:rFonts w:ascii="Arial" w:hAnsi="Arial" w:cs="Arial"/>
          <w:sz w:val="22"/>
          <w:szCs w:val="22"/>
          <w:lang w:val="en-ZA"/>
        </w:rPr>
      </w:pPr>
      <w:r w:rsidRPr="00307460">
        <w:rPr>
          <w:rFonts w:ascii="Arial" w:hAnsi="Arial" w:cs="Arial"/>
          <w:sz w:val="22"/>
          <w:szCs w:val="22"/>
          <w:lang w:val="en-ZA"/>
        </w:rPr>
        <w:t>‘At the end of the State’s case the accused is placed on his own defence.’</w:t>
      </w:r>
    </w:p>
    <w:p w:rsidR="00307460" w:rsidRDefault="00307460" w:rsidP="00405330">
      <w:pPr>
        <w:spacing w:line="360" w:lineRule="auto"/>
        <w:ind w:left="2160"/>
        <w:jc w:val="both"/>
        <w:rPr>
          <w:rFonts w:ascii="Arial" w:hAnsi="Arial" w:cs="Arial"/>
          <w:lang w:val="en-ZA"/>
        </w:rPr>
      </w:pPr>
    </w:p>
    <w:p w:rsidR="00405330" w:rsidRDefault="00405330" w:rsidP="00405330">
      <w:pPr>
        <w:spacing w:line="360" w:lineRule="auto"/>
        <w:ind w:left="1440" w:hanging="720"/>
        <w:jc w:val="both"/>
        <w:rPr>
          <w:rFonts w:ascii="Arial" w:hAnsi="Arial" w:cs="Arial"/>
          <w:lang w:val="en-ZA"/>
        </w:rPr>
      </w:pPr>
      <w:r>
        <w:rPr>
          <w:rFonts w:ascii="Arial" w:hAnsi="Arial" w:cs="Arial"/>
          <w:lang w:val="en-ZA"/>
        </w:rPr>
        <w:t>3.</w:t>
      </w:r>
      <w:r>
        <w:rPr>
          <w:rFonts w:ascii="Arial" w:hAnsi="Arial" w:cs="Arial"/>
          <w:lang w:val="en-ZA"/>
        </w:rPr>
        <w:tab/>
        <w:t>The matter is remitted to the court below before magistrate S M Tembwe of the Oshakati District Court to continue with the trial from the stage where the State closed its case, and to deal with the accused according to law;</w:t>
      </w:r>
    </w:p>
    <w:p w:rsidR="00405330" w:rsidRDefault="00405330" w:rsidP="00405330">
      <w:pPr>
        <w:spacing w:line="360" w:lineRule="auto"/>
        <w:ind w:left="1440" w:hanging="720"/>
        <w:jc w:val="both"/>
        <w:rPr>
          <w:rFonts w:ascii="Arial" w:hAnsi="Arial" w:cs="Arial"/>
          <w:lang w:val="en-ZA"/>
        </w:rPr>
      </w:pPr>
      <w:r>
        <w:rPr>
          <w:rFonts w:ascii="Arial" w:hAnsi="Arial" w:cs="Arial"/>
          <w:lang w:val="en-ZA"/>
        </w:rPr>
        <w:t>4.</w:t>
      </w:r>
      <w:r>
        <w:rPr>
          <w:rFonts w:ascii="Arial" w:hAnsi="Arial" w:cs="Arial"/>
          <w:lang w:val="en-ZA"/>
        </w:rPr>
        <w:tab/>
        <w:t>The reasons for the order will be handed down on or before 19 August 2016</w:t>
      </w:r>
    </w:p>
    <w:p w:rsidR="00C90031" w:rsidRPr="00C90031" w:rsidRDefault="00236BA7" w:rsidP="00B0515F">
      <w:pPr>
        <w:spacing w:line="360" w:lineRule="auto"/>
        <w:jc w:val="both"/>
        <w:rPr>
          <w:rFonts w:ascii="Arial" w:hAnsi="Arial" w:cs="Arial"/>
          <w:sz w:val="22"/>
          <w:szCs w:val="22"/>
          <w:lang w:val="en-ZA"/>
        </w:rPr>
      </w:pPr>
      <w:r>
        <w:rPr>
          <w:rFonts w:ascii="Arial" w:hAnsi="Arial" w:cs="Arial"/>
          <w:lang w:val="en-ZA"/>
        </w:rPr>
        <w:lastRenderedPageBreak/>
        <w:t xml:space="preserve"> </w:t>
      </w:r>
      <w:r w:rsidR="00C90031">
        <w:rPr>
          <w:rFonts w:ascii="Arial" w:hAnsi="Arial" w:cs="Arial"/>
          <w:lang w:val="en-ZA"/>
        </w:rPr>
        <w:t xml:space="preserve"> </w:t>
      </w: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0A5912">
      <w:pPr>
        <w:spacing w:line="360" w:lineRule="auto"/>
        <w:jc w:val="right"/>
        <w:rPr>
          <w:rFonts w:ascii="Arial" w:hAnsi="Arial" w:cs="Arial"/>
          <w:lang w:val="en-ZA"/>
        </w:rPr>
      </w:pPr>
      <w:r>
        <w:rPr>
          <w:rFonts w:ascii="Arial" w:hAnsi="Arial" w:cs="Arial"/>
          <w:lang w:val="en-ZA"/>
        </w:rPr>
        <w:t>M A TOMMASI</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FF66A2" w:rsidRDefault="00FF66A2"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362873" w:rsidRDefault="00362873" w:rsidP="000A5912">
      <w:pPr>
        <w:spacing w:line="360" w:lineRule="auto"/>
        <w:jc w:val="right"/>
        <w:rPr>
          <w:rFonts w:ascii="Arial" w:hAnsi="Arial" w:cs="Arial"/>
          <w:lang w:val="en-ZA"/>
        </w:rPr>
      </w:pPr>
      <w:r>
        <w:rPr>
          <w:rFonts w:ascii="Arial" w:hAnsi="Arial" w:cs="Arial"/>
          <w:lang w:val="en-ZA"/>
        </w:rPr>
        <w:t>I agree</w:t>
      </w:r>
    </w:p>
    <w:p w:rsidR="00362873" w:rsidRDefault="00362873"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26651A" w:rsidRDefault="0026651A" w:rsidP="0026651A">
      <w:pPr>
        <w:spacing w:line="360" w:lineRule="auto"/>
        <w:jc w:val="right"/>
        <w:rPr>
          <w:rFonts w:ascii="Arial" w:hAnsi="Arial" w:cs="Arial"/>
          <w:lang w:val="en-ZA"/>
        </w:rPr>
      </w:pPr>
      <w:r>
        <w:rPr>
          <w:rFonts w:ascii="Arial" w:hAnsi="Arial" w:cs="Arial"/>
          <w:lang w:val="en-ZA"/>
        </w:rPr>
        <w:t>P T DAMASEB</w:t>
      </w:r>
    </w:p>
    <w:p w:rsidR="000A5912" w:rsidRDefault="000A5912" w:rsidP="000A5912">
      <w:pPr>
        <w:spacing w:line="360" w:lineRule="auto"/>
        <w:jc w:val="right"/>
        <w:rPr>
          <w:rFonts w:ascii="Arial" w:hAnsi="Arial" w:cs="Arial"/>
          <w:lang w:val="en-ZA"/>
        </w:rPr>
      </w:pPr>
      <w:r>
        <w:rPr>
          <w:rFonts w:ascii="Arial" w:hAnsi="Arial" w:cs="Arial"/>
          <w:lang w:val="en-ZA"/>
        </w:rPr>
        <w:t>JUDGE</w:t>
      </w:r>
      <w:r w:rsidR="00362873">
        <w:rPr>
          <w:rFonts w:ascii="Arial" w:hAnsi="Arial" w:cs="Arial"/>
          <w:lang w:val="en-ZA"/>
        </w:rPr>
        <w:t xml:space="preserve"> PRESIDENT</w:t>
      </w: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FF66A2" w:rsidRDefault="00FF66A2" w:rsidP="000A5912">
      <w:pPr>
        <w:spacing w:line="360" w:lineRule="auto"/>
        <w:jc w:val="right"/>
        <w:rPr>
          <w:rFonts w:ascii="Arial" w:hAnsi="Arial" w:cs="Arial"/>
          <w:lang w:val="en-ZA"/>
        </w:rPr>
      </w:pPr>
    </w:p>
    <w:p w:rsidR="00FF66A2" w:rsidRPr="000A5912" w:rsidRDefault="00FF66A2" w:rsidP="000A5912">
      <w:pPr>
        <w:spacing w:line="360" w:lineRule="auto"/>
        <w:jc w:val="right"/>
        <w:rPr>
          <w:rFonts w:ascii="Arial" w:hAnsi="Arial" w:cs="Arial"/>
          <w:lang w:val="en-ZA"/>
        </w:rPr>
      </w:pP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A222F3" w:rsidRDefault="00A222F3" w:rsidP="00176493">
      <w:pPr>
        <w:spacing w:line="360" w:lineRule="auto"/>
        <w:jc w:val="both"/>
        <w:rPr>
          <w:rFonts w:ascii="Arial" w:hAnsi="Arial" w:cs="Arial"/>
          <w:lang w:val="en-ZA"/>
        </w:rPr>
      </w:pPr>
    </w:p>
    <w:p w:rsidR="00A222F3" w:rsidRDefault="00A222F3" w:rsidP="00176493">
      <w:pPr>
        <w:spacing w:line="360" w:lineRule="auto"/>
        <w:jc w:val="both"/>
        <w:rPr>
          <w:rFonts w:ascii="Arial" w:hAnsi="Arial" w:cs="Arial"/>
          <w:lang w:val="en-ZA"/>
        </w:rPr>
      </w:pPr>
    </w:p>
    <w:p w:rsidR="00A222F3" w:rsidRDefault="00A222F3" w:rsidP="00176493">
      <w:pPr>
        <w:spacing w:line="360" w:lineRule="auto"/>
        <w:jc w:val="both"/>
        <w:rPr>
          <w:rFonts w:ascii="Arial" w:hAnsi="Arial" w:cs="Arial"/>
          <w:lang w:val="en-ZA"/>
        </w:rPr>
      </w:pPr>
    </w:p>
    <w:p w:rsidR="00A222F3" w:rsidRDefault="00A222F3" w:rsidP="00176493">
      <w:pPr>
        <w:spacing w:line="360" w:lineRule="auto"/>
        <w:jc w:val="both"/>
        <w:rPr>
          <w:rFonts w:ascii="Arial" w:hAnsi="Arial" w:cs="Arial"/>
          <w:lang w:val="en-ZA"/>
        </w:rPr>
      </w:pPr>
    </w:p>
    <w:p w:rsidR="00BC622C" w:rsidRPr="00A222F3" w:rsidRDefault="00BC622C" w:rsidP="00BC622C">
      <w:pPr>
        <w:spacing w:line="360" w:lineRule="auto"/>
        <w:jc w:val="both"/>
        <w:rPr>
          <w:rFonts w:ascii="Arial" w:hAnsi="Arial" w:cs="Arial"/>
          <w:u w:val="single"/>
        </w:rPr>
      </w:pPr>
      <w:r w:rsidRPr="00A222F3">
        <w:rPr>
          <w:rFonts w:ascii="Arial" w:hAnsi="Arial" w:cs="Arial"/>
          <w:u w:val="single"/>
        </w:rPr>
        <w:t>Appearances:</w:t>
      </w:r>
    </w:p>
    <w:p w:rsidR="00BC622C" w:rsidRDefault="00BC622C" w:rsidP="00BC622C">
      <w:pPr>
        <w:spacing w:line="360" w:lineRule="auto"/>
        <w:jc w:val="both"/>
        <w:rPr>
          <w:rFonts w:ascii="Arial" w:hAnsi="Arial" w:cs="Arial"/>
          <w:b/>
        </w:rPr>
      </w:pPr>
    </w:p>
    <w:p w:rsidR="00BC622C" w:rsidRDefault="00BC622C" w:rsidP="00BC622C">
      <w:pPr>
        <w:spacing w:line="360" w:lineRule="auto"/>
        <w:ind w:right="720"/>
        <w:jc w:val="both"/>
        <w:rPr>
          <w:rFonts w:ascii="Arial" w:hAnsi="Arial" w:cs="Arial"/>
        </w:rPr>
      </w:pPr>
      <w:r>
        <w:rPr>
          <w:rFonts w:ascii="Arial" w:hAnsi="Arial" w:cs="Arial"/>
        </w:rPr>
        <w:t>For the Applicant:</w:t>
      </w:r>
      <w:r>
        <w:rPr>
          <w:rFonts w:ascii="Arial" w:hAnsi="Arial" w:cs="Arial"/>
        </w:rPr>
        <w:tab/>
      </w:r>
      <w:r>
        <w:rPr>
          <w:rFonts w:ascii="Arial" w:hAnsi="Arial" w:cs="Arial"/>
        </w:rPr>
        <w:tab/>
      </w:r>
      <w:r>
        <w:rPr>
          <w:rFonts w:ascii="Arial" w:hAnsi="Arial" w:cs="Arial"/>
          <w:b/>
        </w:rPr>
        <w:tab/>
      </w:r>
      <w:r w:rsidR="00A222F3">
        <w:rPr>
          <w:rFonts w:ascii="Arial" w:hAnsi="Arial" w:cs="Arial"/>
        </w:rPr>
        <w:t xml:space="preserve">Mr. </w:t>
      </w:r>
      <w:r>
        <w:rPr>
          <w:rFonts w:ascii="Arial" w:hAnsi="Arial" w:cs="Arial"/>
        </w:rPr>
        <w:t>Matota</w:t>
      </w:r>
    </w:p>
    <w:p w:rsidR="00BC622C" w:rsidRPr="00A222F3" w:rsidRDefault="00BC622C" w:rsidP="00A222F3">
      <w:pPr>
        <w:spacing w:line="360" w:lineRule="auto"/>
        <w:ind w:left="3600" w:right="720" w:hanging="3600"/>
        <w:jc w:val="both"/>
        <w:rPr>
          <w:rFonts w:ascii="Arial" w:hAnsi="Arial" w:cs="Arial"/>
        </w:rPr>
      </w:pPr>
      <w:r w:rsidRPr="00A222F3">
        <w:rPr>
          <w:rFonts w:ascii="Arial" w:hAnsi="Arial" w:cs="Arial"/>
        </w:rPr>
        <w:t xml:space="preserve">Of </w:t>
      </w:r>
      <w:r w:rsidR="00A222F3" w:rsidRPr="00A222F3">
        <w:rPr>
          <w:rFonts w:ascii="Arial" w:hAnsi="Arial" w:cs="Arial"/>
        </w:rPr>
        <w:tab/>
      </w:r>
      <w:r w:rsidRPr="00A222F3">
        <w:rPr>
          <w:rFonts w:ascii="Arial" w:hAnsi="Arial" w:cs="Arial"/>
        </w:rPr>
        <w:t>Office of the Prosecutor-General</w:t>
      </w:r>
      <w:r w:rsidR="00A222F3">
        <w:rPr>
          <w:rFonts w:ascii="Arial" w:hAnsi="Arial" w:cs="Arial"/>
        </w:rPr>
        <w:t>, Oshakati</w:t>
      </w:r>
    </w:p>
    <w:p w:rsidR="00BC622C" w:rsidRPr="003C16E2" w:rsidRDefault="00BC622C" w:rsidP="00BC622C">
      <w:pPr>
        <w:spacing w:line="360" w:lineRule="auto"/>
        <w:ind w:right="720"/>
        <w:jc w:val="both"/>
        <w:rPr>
          <w:rFonts w:ascii="Arial" w:hAnsi="Arial" w:cs="Arial"/>
          <w:b/>
        </w:rPr>
      </w:pPr>
    </w:p>
    <w:p w:rsidR="00BC622C" w:rsidRDefault="00BC622C" w:rsidP="00BC622C">
      <w:pPr>
        <w:spacing w:line="360" w:lineRule="auto"/>
        <w:ind w:right="720"/>
        <w:jc w:val="both"/>
        <w:rPr>
          <w:rFonts w:ascii="Arial" w:hAnsi="Arial" w:cs="Arial"/>
        </w:rPr>
      </w:pPr>
    </w:p>
    <w:p w:rsidR="00BC622C" w:rsidRDefault="00BC622C" w:rsidP="00BC622C">
      <w:pPr>
        <w:spacing w:line="360" w:lineRule="auto"/>
        <w:ind w:right="720"/>
        <w:jc w:val="both"/>
        <w:rPr>
          <w:rFonts w:ascii="Arial" w:hAnsi="Arial" w:cs="Arial"/>
        </w:rPr>
      </w:pPr>
    </w:p>
    <w:p w:rsidR="00BC622C" w:rsidRPr="003C16E2" w:rsidRDefault="00BC622C" w:rsidP="00BC622C">
      <w:pPr>
        <w:spacing w:line="360" w:lineRule="auto"/>
        <w:ind w:right="720"/>
        <w:jc w:val="both"/>
        <w:rPr>
          <w:rFonts w:ascii="Arial" w:hAnsi="Arial" w:cs="Arial"/>
        </w:rPr>
      </w:pPr>
      <w:r>
        <w:rPr>
          <w:rFonts w:ascii="Arial" w:hAnsi="Arial" w:cs="Arial"/>
        </w:rPr>
        <w:t>For the Respondent:</w:t>
      </w:r>
      <w:r>
        <w:rPr>
          <w:rFonts w:ascii="Arial" w:hAnsi="Arial" w:cs="Arial"/>
        </w:rPr>
        <w:tab/>
      </w:r>
      <w:r>
        <w:rPr>
          <w:rFonts w:ascii="Arial" w:hAnsi="Arial" w:cs="Arial"/>
        </w:rPr>
        <w:tab/>
        <w:t>Ms Mugaviri</w:t>
      </w:r>
    </w:p>
    <w:p w:rsidR="00BC622C" w:rsidRPr="00D15521" w:rsidRDefault="00BC622C" w:rsidP="00D15521">
      <w:pPr>
        <w:spacing w:line="360" w:lineRule="auto"/>
        <w:ind w:right="720"/>
        <w:jc w:val="both"/>
        <w:rPr>
          <w:rFonts w:ascii="Arial" w:hAnsi="Arial" w:cs="Arial"/>
        </w:rPr>
      </w:pPr>
      <w:r w:rsidRPr="00D15521">
        <w:rPr>
          <w:rFonts w:ascii="Arial" w:hAnsi="Arial" w:cs="Arial"/>
        </w:rPr>
        <w:t xml:space="preserve">Of </w:t>
      </w:r>
      <w:r w:rsidR="00D15521">
        <w:rPr>
          <w:rFonts w:ascii="Arial" w:hAnsi="Arial" w:cs="Arial"/>
        </w:rPr>
        <w:tab/>
      </w:r>
      <w:r w:rsidR="00D15521">
        <w:rPr>
          <w:rFonts w:ascii="Arial" w:hAnsi="Arial" w:cs="Arial"/>
        </w:rPr>
        <w:tab/>
      </w:r>
      <w:r w:rsidR="00D15521">
        <w:rPr>
          <w:rFonts w:ascii="Arial" w:hAnsi="Arial" w:cs="Arial"/>
        </w:rPr>
        <w:tab/>
      </w:r>
      <w:r w:rsidR="00D15521">
        <w:rPr>
          <w:rFonts w:ascii="Arial" w:hAnsi="Arial" w:cs="Arial"/>
        </w:rPr>
        <w:tab/>
      </w:r>
      <w:r w:rsidR="00D15521">
        <w:rPr>
          <w:rFonts w:ascii="Arial" w:hAnsi="Arial" w:cs="Arial"/>
        </w:rPr>
        <w:tab/>
      </w:r>
      <w:r w:rsidRPr="00D15521">
        <w:rPr>
          <w:rFonts w:ascii="Arial" w:hAnsi="Arial" w:cs="Arial"/>
        </w:rPr>
        <w:t>Mugaviri Attorneys</w:t>
      </w:r>
      <w:r w:rsidR="00D15521">
        <w:rPr>
          <w:rFonts w:ascii="Arial" w:hAnsi="Arial" w:cs="Arial"/>
        </w:rPr>
        <w:t>, Oshakati</w:t>
      </w:r>
    </w:p>
    <w:p w:rsidR="00BC622C" w:rsidRDefault="00BC622C" w:rsidP="00BC622C">
      <w:pPr>
        <w:spacing w:line="360" w:lineRule="auto"/>
        <w:ind w:right="720"/>
        <w:jc w:val="both"/>
        <w:rPr>
          <w:rFonts w:ascii="Arial" w:hAnsi="Arial" w:cs="Arial"/>
          <w:b/>
        </w:rPr>
      </w:pPr>
    </w:p>
    <w:p w:rsidR="008365DA" w:rsidRPr="00340732" w:rsidRDefault="008365DA" w:rsidP="00BC622C">
      <w:pPr>
        <w:spacing w:line="360" w:lineRule="auto"/>
        <w:jc w:val="both"/>
        <w:rPr>
          <w:rFonts w:ascii="Arial" w:hAnsi="Arial" w:cs="Arial"/>
          <w:lang w:val="en-ZA"/>
        </w:rPr>
      </w:pPr>
    </w:p>
    <w:sectPr w:rsidR="008365DA" w:rsidRPr="00340732"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BA" w:rsidRDefault="00E564BA">
      <w:r>
        <w:separator/>
      </w:r>
    </w:p>
  </w:endnote>
  <w:endnote w:type="continuationSeparator" w:id="0">
    <w:p w:rsidR="00E564BA" w:rsidRDefault="00E5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BA" w:rsidRDefault="00E564BA">
      <w:r>
        <w:separator/>
      </w:r>
    </w:p>
  </w:footnote>
  <w:footnote w:type="continuationSeparator" w:id="0">
    <w:p w:rsidR="00E564BA" w:rsidRDefault="00E564BA">
      <w:r>
        <w:continuationSeparator/>
      </w:r>
    </w:p>
  </w:footnote>
  <w:footnote w:id="1">
    <w:p w:rsidR="00080F3A" w:rsidRPr="00307460" w:rsidRDefault="00080F3A">
      <w:pPr>
        <w:pStyle w:val="FootnoteText"/>
        <w:rPr>
          <w:rFonts w:ascii="Arial" w:hAnsi="Arial" w:cs="Arial"/>
          <w:lang w:val="en-ZA"/>
        </w:rPr>
      </w:pPr>
      <w:r w:rsidRPr="00307460">
        <w:rPr>
          <w:rStyle w:val="FootnoteReference"/>
          <w:rFonts w:ascii="Arial" w:hAnsi="Arial" w:cs="Arial"/>
        </w:rPr>
        <w:footnoteRef/>
      </w:r>
      <w:r w:rsidRPr="00307460">
        <w:rPr>
          <w:rFonts w:ascii="Arial" w:hAnsi="Arial" w:cs="Arial"/>
        </w:rPr>
        <w:t xml:space="preserve"> </w:t>
      </w:r>
      <w:r w:rsidRPr="00307460">
        <w:rPr>
          <w:rFonts w:ascii="Arial" w:hAnsi="Arial" w:cs="Arial"/>
          <w:lang w:val="en-ZA"/>
        </w:rPr>
        <w:t>1995 NR 127 (HC)</w:t>
      </w:r>
      <w:r w:rsidR="00307460" w:rsidRPr="00307460">
        <w:rPr>
          <w:rFonts w:ascii="Arial" w:hAnsi="Arial" w:cs="Arial"/>
          <w:lang w:val="en-ZA"/>
        </w:rPr>
        <w:t>.</w:t>
      </w:r>
    </w:p>
  </w:footnote>
  <w:footnote w:id="2">
    <w:p w:rsidR="00D02EA0" w:rsidRPr="00307460" w:rsidRDefault="00D02EA0">
      <w:pPr>
        <w:pStyle w:val="FootnoteText"/>
        <w:rPr>
          <w:rFonts w:ascii="Arial" w:hAnsi="Arial" w:cs="Arial"/>
          <w:lang w:val="en-ZA"/>
        </w:rPr>
      </w:pPr>
      <w:r w:rsidRPr="00307460">
        <w:rPr>
          <w:rStyle w:val="FootnoteReference"/>
          <w:rFonts w:ascii="Arial" w:hAnsi="Arial" w:cs="Arial"/>
        </w:rPr>
        <w:footnoteRef/>
      </w:r>
      <w:r w:rsidRPr="00307460">
        <w:rPr>
          <w:rFonts w:ascii="Arial" w:hAnsi="Arial" w:cs="Arial"/>
        </w:rPr>
        <w:t xml:space="preserve"> </w:t>
      </w:r>
      <w:r w:rsidRPr="00307460">
        <w:rPr>
          <w:rFonts w:ascii="Arial" w:hAnsi="Arial" w:cs="Arial"/>
          <w:lang w:val="en-ZA"/>
        </w:rPr>
        <w:t>2009 (1) NR 127 (SC)</w:t>
      </w:r>
      <w:r w:rsidR="00307460">
        <w:rPr>
          <w:rFonts w:ascii="Arial" w:hAnsi="Arial" w:cs="Arial"/>
          <w:lang w:val="en-ZA"/>
        </w:rPr>
        <w:t xml:space="preserve"> at 131G-I.</w:t>
      </w:r>
    </w:p>
  </w:footnote>
  <w:footnote w:id="3">
    <w:p w:rsidR="00A473E4" w:rsidRPr="00307460" w:rsidRDefault="00A473E4">
      <w:pPr>
        <w:pStyle w:val="FootnoteText"/>
        <w:rPr>
          <w:rFonts w:ascii="Arial" w:hAnsi="Arial" w:cs="Arial"/>
          <w:lang w:val="en-ZA"/>
        </w:rPr>
      </w:pPr>
      <w:r w:rsidRPr="00307460">
        <w:rPr>
          <w:rStyle w:val="FootnoteReference"/>
          <w:rFonts w:ascii="Arial" w:hAnsi="Arial" w:cs="Arial"/>
        </w:rPr>
        <w:footnoteRef/>
      </w:r>
      <w:r w:rsidRPr="00307460">
        <w:rPr>
          <w:rFonts w:ascii="Arial" w:hAnsi="Arial" w:cs="Arial"/>
        </w:rPr>
        <w:t xml:space="preserve"> </w:t>
      </w:r>
      <w:r w:rsidRPr="00307460">
        <w:rPr>
          <w:rFonts w:ascii="Arial" w:hAnsi="Arial" w:cs="Arial"/>
          <w:lang w:val="en-ZA"/>
        </w:rPr>
        <w:t>at page 128 D</w:t>
      </w:r>
    </w:p>
  </w:footnote>
  <w:footnote w:id="4">
    <w:p w:rsidR="00307460" w:rsidRPr="00307460" w:rsidRDefault="00307460">
      <w:pPr>
        <w:pStyle w:val="FootnoteText"/>
        <w:rPr>
          <w:lang w:val="en-US"/>
        </w:rPr>
      </w:pPr>
      <w:r>
        <w:rPr>
          <w:rStyle w:val="FootnoteReference"/>
        </w:rPr>
        <w:footnoteRef/>
      </w:r>
      <w:r>
        <w:t xml:space="preserve"> </w:t>
      </w:r>
      <w:r w:rsidRPr="00C90031">
        <w:rPr>
          <w:rFonts w:ascii="Arial" w:hAnsi="Arial" w:cs="Arial"/>
          <w:lang w:val="en-ZA"/>
        </w:rPr>
        <w:t>1981 (3) SA 782 (N)</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291789">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22F7E"/>
    <w:rsid w:val="00033F3F"/>
    <w:rsid w:val="00041899"/>
    <w:rsid w:val="00045802"/>
    <w:rsid w:val="00055D5C"/>
    <w:rsid w:val="00080F3A"/>
    <w:rsid w:val="00090F03"/>
    <w:rsid w:val="00094187"/>
    <w:rsid w:val="000A5912"/>
    <w:rsid w:val="000E4F74"/>
    <w:rsid w:val="001111F5"/>
    <w:rsid w:val="0013137F"/>
    <w:rsid w:val="00143F36"/>
    <w:rsid w:val="0014662D"/>
    <w:rsid w:val="0015092B"/>
    <w:rsid w:val="00153845"/>
    <w:rsid w:val="00176493"/>
    <w:rsid w:val="0018649E"/>
    <w:rsid w:val="001961DF"/>
    <w:rsid w:val="001E4660"/>
    <w:rsid w:val="00210744"/>
    <w:rsid w:val="0022612C"/>
    <w:rsid w:val="00227DE5"/>
    <w:rsid w:val="00236BA7"/>
    <w:rsid w:val="00250179"/>
    <w:rsid w:val="002504E0"/>
    <w:rsid w:val="0026651A"/>
    <w:rsid w:val="00275BF7"/>
    <w:rsid w:val="00291789"/>
    <w:rsid w:val="00291BBA"/>
    <w:rsid w:val="002A0D50"/>
    <w:rsid w:val="002A6422"/>
    <w:rsid w:val="002C3119"/>
    <w:rsid w:val="002E41D3"/>
    <w:rsid w:val="002E76CF"/>
    <w:rsid w:val="00307460"/>
    <w:rsid w:val="003209A3"/>
    <w:rsid w:val="00323AAF"/>
    <w:rsid w:val="00336365"/>
    <w:rsid w:val="00340732"/>
    <w:rsid w:val="003442F2"/>
    <w:rsid w:val="00351D1B"/>
    <w:rsid w:val="00362873"/>
    <w:rsid w:val="003B0AE9"/>
    <w:rsid w:val="003C089D"/>
    <w:rsid w:val="003D3C07"/>
    <w:rsid w:val="003E0162"/>
    <w:rsid w:val="003E7ADD"/>
    <w:rsid w:val="003F11C3"/>
    <w:rsid w:val="003F4E89"/>
    <w:rsid w:val="00405330"/>
    <w:rsid w:val="004126FE"/>
    <w:rsid w:val="004251BB"/>
    <w:rsid w:val="00453745"/>
    <w:rsid w:val="00484ACA"/>
    <w:rsid w:val="004C27B0"/>
    <w:rsid w:val="004C62C8"/>
    <w:rsid w:val="004D7768"/>
    <w:rsid w:val="004F29C0"/>
    <w:rsid w:val="004F6EDD"/>
    <w:rsid w:val="0050251A"/>
    <w:rsid w:val="005223B2"/>
    <w:rsid w:val="005548FF"/>
    <w:rsid w:val="0056089C"/>
    <w:rsid w:val="005632C1"/>
    <w:rsid w:val="005A6E59"/>
    <w:rsid w:val="005B46A4"/>
    <w:rsid w:val="005D4FF6"/>
    <w:rsid w:val="005E14DB"/>
    <w:rsid w:val="0061029A"/>
    <w:rsid w:val="00610342"/>
    <w:rsid w:val="00612F96"/>
    <w:rsid w:val="006275FA"/>
    <w:rsid w:val="00635D4F"/>
    <w:rsid w:val="006516E3"/>
    <w:rsid w:val="006652E7"/>
    <w:rsid w:val="00685321"/>
    <w:rsid w:val="006A2079"/>
    <w:rsid w:val="006D037E"/>
    <w:rsid w:val="006E137F"/>
    <w:rsid w:val="006F1710"/>
    <w:rsid w:val="00700A54"/>
    <w:rsid w:val="007055A1"/>
    <w:rsid w:val="0070636C"/>
    <w:rsid w:val="00713627"/>
    <w:rsid w:val="00713828"/>
    <w:rsid w:val="00722E1F"/>
    <w:rsid w:val="00730D67"/>
    <w:rsid w:val="00743690"/>
    <w:rsid w:val="007521CB"/>
    <w:rsid w:val="00773305"/>
    <w:rsid w:val="007A26BB"/>
    <w:rsid w:val="007A47F4"/>
    <w:rsid w:val="007A5167"/>
    <w:rsid w:val="007C5DB3"/>
    <w:rsid w:val="007D2497"/>
    <w:rsid w:val="007E71DA"/>
    <w:rsid w:val="007F1682"/>
    <w:rsid w:val="00811B5C"/>
    <w:rsid w:val="008250DF"/>
    <w:rsid w:val="008267BB"/>
    <w:rsid w:val="008365DA"/>
    <w:rsid w:val="00851D17"/>
    <w:rsid w:val="00880AB7"/>
    <w:rsid w:val="00882112"/>
    <w:rsid w:val="0089757C"/>
    <w:rsid w:val="008B0835"/>
    <w:rsid w:val="008D1A9E"/>
    <w:rsid w:val="008E2430"/>
    <w:rsid w:val="008E5EE0"/>
    <w:rsid w:val="0090679E"/>
    <w:rsid w:val="00947462"/>
    <w:rsid w:val="009A4B5A"/>
    <w:rsid w:val="009C2CD3"/>
    <w:rsid w:val="009D3BE4"/>
    <w:rsid w:val="009D5AD4"/>
    <w:rsid w:val="009D72A6"/>
    <w:rsid w:val="009E03BF"/>
    <w:rsid w:val="009E41C3"/>
    <w:rsid w:val="00A03F28"/>
    <w:rsid w:val="00A20B00"/>
    <w:rsid w:val="00A222F3"/>
    <w:rsid w:val="00A31168"/>
    <w:rsid w:val="00A42045"/>
    <w:rsid w:val="00A473E4"/>
    <w:rsid w:val="00A703FF"/>
    <w:rsid w:val="00A74E48"/>
    <w:rsid w:val="00A75037"/>
    <w:rsid w:val="00A86D52"/>
    <w:rsid w:val="00A879B3"/>
    <w:rsid w:val="00A9073F"/>
    <w:rsid w:val="00AA385F"/>
    <w:rsid w:val="00AB5966"/>
    <w:rsid w:val="00AC3B7D"/>
    <w:rsid w:val="00AC7528"/>
    <w:rsid w:val="00AF0B28"/>
    <w:rsid w:val="00B0515F"/>
    <w:rsid w:val="00B05FB4"/>
    <w:rsid w:val="00B1228F"/>
    <w:rsid w:val="00B17592"/>
    <w:rsid w:val="00B27557"/>
    <w:rsid w:val="00B35F5F"/>
    <w:rsid w:val="00B6056C"/>
    <w:rsid w:val="00B62CA9"/>
    <w:rsid w:val="00B87827"/>
    <w:rsid w:val="00B90DCD"/>
    <w:rsid w:val="00BC4161"/>
    <w:rsid w:val="00BC622C"/>
    <w:rsid w:val="00BF61A3"/>
    <w:rsid w:val="00C05B05"/>
    <w:rsid w:val="00C06675"/>
    <w:rsid w:val="00C421EA"/>
    <w:rsid w:val="00C5068A"/>
    <w:rsid w:val="00C852D1"/>
    <w:rsid w:val="00C90031"/>
    <w:rsid w:val="00C97786"/>
    <w:rsid w:val="00CA4466"/>
    <w:rsid w:val="00CB465F"/>
    <w:rsid w:val="00CE0DD9"/>
    <w:rsid w:val="00D02EA0"/>
    <w:rsid w:val="00D15521"/>
    <w:rsid w:val="00D17803"/>
    <w:rsid w:val="00D24A1F"/>
    <w:rsid w:val="00D25386"/>
    <w:rsid w:val="00D531D2"/>
    <w:rsid w:val="00D70426"/>
    <w:rsid w:val="00D81B6E"/>
    <w:rsid w:val="00D90EE0"/>
    <w:rsid w:val="00DC5021"/>
    <w:rsid w:val="00DF2D40"/>
    <w:rsid w:val="00E06182"/>
    <w:rsid w:val="00E0645B"/>
    <w:rsid w:val="00E07C65"/>
    <w:rsid w:val="00E07EE5"/>
    <w:rsid w:val="00E13B0E"/>
    <w:rsid w:val="00E564BA"/>
    <w:rsid w:val="00E7716C"/>
    <w:rsid w:val="00E91EFB"/>
    <w:rsid w:val="00EC5C32"/>
    <w:rsid w:val="00EC5F8C"/>
    <w:rsid w:val="00EE7376"/>
    <w:rsid w:val="00EF50D2"/>
    <w:rsid w:val="00EF62F8"/>
    <w:rsid w:val="00F02BC4"/>
    <w:rsid w:val="00F05B6E"/>
    <w:rsid w:val="00F06B4D"/>
    <w:rsid w:val="00F25730"/>
    <w:rsid w:val="00F620C0"/>
    <w:rsid w:val="00F622A6"/>
    <w:rsid w:val="00F70715"/>
    <w:rsid w:val="00F75C33"/>
    <w:rsid w:val="00FB5816"/>
    <w:rsid w:val="00FB6413"/>
    <w:rsid w:val="00FD7EC1"/>
    <w:rsid w:val="00FF66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353C49-6FEF-4CAE-B5E8-6E0E51FC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2017-07-10T18:30:00+00:00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5000-E968-4D19-95DF-3BDEB003D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F9B29-6BC1-4E01-9280-8F86E4666314}">
  <ds:schemaRefs>
    <ds:schemaRef ds:uri="http://schemas.microsoft.com/sharepoint/v3/contenttype/forms"/>
  </ds:schemaRefs>
</ds:datastoreItem>
</file>

<file path=customXml/itemProps3.xml><?xml version="1.0" encoding="utf-8"?>
<ds:datastoreItem xmlns:ds="http://schemas.openxmlformats.org/officeDocument/2006/customXml" ds:itemID="{774404CC-4C72-4949-98D6-86A438F1EF8D}">
  <ds:schemaRef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a036617c-f1b0-4353-ab0a-456b3885ee3b"/>
    <ds:schemaRef ds:uri="http://www.w3.org/XML/1998/namespace"/>
  </ds:schemaRefs>
</ds:datastoreItem>
</file>

<file path=customXml/itemProps4.xml><?xml version="1.0" encoding="utf-8"?>
<ds:datastoreItem xmlns:ds="http://schemas.openxmlformats.org/officeDocument/2006/customXml" ds:itemID="{89DEF165-D35F-4CB2-BBDB-0DA9ECAB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W P. Oosthuizen</cp:lastModifiedBy>
  <cp:revision>2</cp:revision>
  <cp:lastPrinted>2017-07-06T15:50:00Z</cp:lastPrinted>
  <dcterms:created xsi:type="dcterms:W3CDTF">2017-07-12T07:25:00Z</dcterms:created>
  <dcterms:modified xsi:type="dcterms:W3CDTF">2017-07-12T07:25:00Z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