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76" w:rsidRDefault="00EE419D" w:rsidP="00EE419D">
      <w:pPr>
        <w:spacing w:line="360" w:lineRule="auto"/>
        <w:ind w:left="720" w:firstLine="720"/>
        <w:jc w:val="right"/>
        <w:rPr>
          <w:rFonts w:ascii="Arial" w:hAnsi="Arial" w:cs="Arial"/>
          <w:b/>
          <w:sz w:val="24"/>
          <w:szCs w:val="24"/>
        </w:rPr>
      </w:pPr>
      <w:bookmarkStart w:id="0" w:name="_GoBack"/>
      <w:bookmarkEnd w:id="0"/>
      <w:r>
        <w:rPr>
          <w:rFonts w:ascii="Arial" w:hAnsi="Arial" w:cs="Arial"/>
          <w:b/>
          <w:sz w:val="24"/>
          <w:szCs w:val="24"/>
        </w:rPr>
        <w:t xml:space="preserve">REPUBLIC OF NAMIBIA                </w:t>
      </w:r>
      <w:r w:rsidR="00E02076">
        <w:rPr>
          <w:rFonts w:ascii="Arial" w:hAnsi="Arial" w:cs="Arial"/>
          <w:b/>
          <w:sz w:val="24"/>
          <w:szCs w:val="24"/>
        </w:rPr>
        <w:t>NOT REPORTABLE</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971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1219200"/>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B33B9F" w:rsidRDefault="00B33B9F" w:rsidP="00E02076">
      <w:pPr>
        <w:spacing w:line="360" w:lineRule="auto"/>
        <w:ind w:left="720" w:hanging="11"/>
        <w:jc w:val="center"/>
        <w:rPr>
          <w:rFonts w:ascii="Arial" w:hAnsi="Arial" w:cs="Arial"/>
          <w:b/>
          <w:sz w:val="24"/>
          <w:szCs w:val="24"/>
        </w:rPr>
      </w:pPr>
      <w:r>
        <w:rPr>
          <w:rFonts w:ascii="Arial" w:hAnsi="Arial" w:cs="Arial"/>
          <w:b/>
          <w:sz w:val="24"/>
          <w:szCs w:val="24"/>
        </w:rPr>
        <w:t>APPLICATION FOR LEAVE TO APPEAL</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796EE0">
        <w:rPr>
          <w:rFonts w:ascii="Arial" w:hAnsi="Arial" w:cs="Arial"/>
          <w:sz w:val="24"/>
          <w:szCs w:val="24"/>
        </w:rPr>
        <w:t>03/2012</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THE STA</w:t>
      </w:r>
      <w:r w:rsidR="00BA147B">
        <w:rPr>
          <w:rFonts w:ascii="Arial" w:hAnsi="Arial" w:cs="Arial"/>
          <w:b/>
          <w:sz w:val="24"/>
          <w:szCs w:val="24"/>
        </w:rPr>
        <w:t xml:space="preserve">TE </w:t>
      </w:r>
      <w:r w:rsidR="00BA147B">
        <w:rPr>
          <w:rFonts w:ascii="Arial" w:hAnsi="Arial" w:cs="Arial"/>
          <w:b/>
          <w:sz w:val="24"/>
          <w:szCs w:val="24"/>
        </w:rPr>
        <w:tab/>
      </w:r>
      <w:r w:rsidR="00BA147B">
        <w:rPr>
          <w:rFonts w:ascii="Arial" w:hAnsi="Arial" w:cs="Arial"/>
          <w:b/>
          <w:sz w:val="24"/>
          <w:szCs w:val="24"/>
        </w:rPr>
        <w:tab/>
      </w:r>
      <w:r w:rsidR="00BA147B">
        <w:rPr>
          <w:rFonts w:ascii="Arial" w:hAnsi="Arial" w:cs="Arial"/>
          <w:b/>
          <w:sz w:val="24"/>
          <w:szCs w:val="24"/>
        </w:rPr>
        <w:tab/>
      </w:r>
      <w:r w:rsidR="00BA147B">
        <w:rPr>
          <w:rFonts w:ascii="Arial" w:hAnsi="Arial" w:cs="Arial"/>
          <w:b/>
          <w:sz w:val="24"/>
          <w:szCs w:val="24"/>
        </w:rPr>
        <w:tab/>
      </w:r>
      <w:r w:rsidR="00BA147B">
        <w:rPr>
          <w:rFonts w:ascii="Arial" w:hAnsi="Arial" w:cs="Arial"/>
          <w:b/>
          <w:sz w:val="24"/>
          <w:szCs w:val="24"/>
        </w:rPr>
        <w:tab/>
      </w:r>
      <w:r w:rsidR="00BA147B">
        <w:rPr>
          <w:rFonts w:ascii="Arial" w:hAnsi="Arial" w:cs="Arial"/>
          <w:b/>
          <w:sz w:val="24"/>
          <w:szCs w:val="24"/>
        </w:rPr>
        <w:tab/>
      </w:r>
      <w:r w:rsidR="00BA147B">
        <w:rPr>
          <w:rFonts w:ascii="Arial" w:hAnsi="Arial" w:cs="Arial"/>
          <w:b/>
          <w:sz w:val="24"/>
          <w:szCs w:val="24"/>
        </w:rPr>
        <w:tab/>
        <w:t xml:space="preserve">                    APPLICANT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and </w:t>
      </w:r>
    </w:p>
    <w:p w:rsidR="00E02076" w:rsidRDefault="00E02076" w:rsidP="00E02076">
      <w:pPr>
        <w:spacing w:after="0" w:line="360" w:lineRule="auto"/>
        <w:jc w:val="both"/>
        <w:rPr>
          <w:rFonts w:ascii="Arial" w:hAnsi="Arial" w:cs="Arial"/>
          <w:b/>
          <w:sz w:val="24"/>
          <w:szCs w:val="24"/>
        </w:rPr>
      </w:pPr>
    </w:p>
    <w:p w:rsidR="00E02076" w:rsidRDefault="00796EE0" w:rsidP="00E02076">
      <w:pPr>
        <w:spacing w:after="0" w:line="360" w:lineRule="auto"/>
        <w:jc w:val="both"/>
        <w:rPr>
          <w:rFonts w:ascii="Arial" w:hAnsi="Arial" w:cs="Arial"/>
          <w:b/>
          <w:sz w:val="24"/>
          <w:szCs w:val="24"/>
        </w:rPr>
      </w:pPr>
      <w:r>
        <w:rPr>
          <w:rFonts w:ascii="Arial" w:hAnsi="Arial" w:cs="Arial"/>
          <w:b/>
          <w:sz w:val="24"/>
          <w:szCs w:val="24"/>
        </w:rPr>
        <w:t>MORDEKAI MUTILIFA</w:t>
      </w:r>
      <w:r w:rsidR="000D38F0">
        <w:rPr>
          <w:rFonts w:ascii="Arial" w:hAnsi="Arial" w:cs="Arial"/>
          <w:b/>
          <w:sz w:val="24"/>
          <w:szCs w:val="24"/>
        </w:rPr>
        <w:tab/>
      </w:r>
      <w:r w:rsidR="000D38F0">
        <w:rPr>
          <w:rFonts w:ascii="Arial" w:hAnsi="Arial" w:cs="Arial"/>
          <w:b/>
          <w:sz w:val="24"/>
          <w:szCs w:val="24"/>
        </w:rPr>
        <w:tab/>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B36150">
        <w:rPr>
          <w:rFonts w:ascii="Arial" w:hAnsi="Arial" w:cs="Arial"/>
          <w:b/>
          <w:sz w:val="24"/>
          <w:szCs w:val="24"/>
        </w:rPr>
        <w:t>1</w:t>
      </w:r>
      <w:r w:rsidR="00B36150" w:rsidRPr="00B36150">
        <w:rPr>
          <w:rFonts w:ascii="Arial" w:hAnsi="Arial" w:cs="Arial"/>
          <w:b/>
          <w:sz w:val="24"/>
          <w:szCs w:val="24"/>
          <w:vertAlign w:val="superscript"/>
        </w:rPr>
        <w:t>ST</w:t>
      </w:r>
      <w:r w:rsidR="00B36150">
        <w:rPr>
          <w:rFonts w:ascii="Arial" w:hAnsi="Arial" w:cs="Arial"/>
          <w:b/>
          <w:sz w:val="24"/>
          <w:szCs w:val="24"/>
        </w:rPr>
        <w:t xml:space="preserve"> RESPONDENT</w:t>
      </w:r>
    </w:p>
    <w:p w:rsidR="00B36150" w:rsidRDefault="00B36150" w:rsidP="00E02076">
      <w:pPr>
        <w:spacing w:after="0" w:line="360" w:lineRule="auto"/>
        <w:jc w:val="both"/>
        <w:rPr>
          <w:rFonts w:ascii="Arial" w:hAnsi="Arial" w:cs="Arial"/>
          <w:b/>
          <w:sz w:val="24"/>
          <w:szCs w:val="24"/>
        </w:rPr>
      </w:pPr>
      <w:r>
        <w:rPr>
          <w:rFonts w:ascii="Arial" w:hAnsi="Arial" w:cs="Arial"/>
          <w:b/>
          <w:sz w:val="24"/>
          <w:szCs w:val="24"/>
        </w:rPr>
        <w:t xml:space="preserve">SAMOKA SYLVESTER SAMOKA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B36150">
        <w:rPr>
          <w:rFonts w:ascii="Arial" w:hAnsi="Arial" w:cs="Arial"/>
          <w:b/>
          <w:sz w:val="24"/>
          <w:szCs w:val="24"/>
          <w:vertAlign w:val="superscript"/>
        </w:rPr>
        <w:t>ND</w:t>
      </w:r>
      <w:r>
        <w:rPr>
          <w:rFonts w:ascii="Arial" w:hAnsi="Arial" w:cs="Arial"/>
          <w:b/>
          <w:sz w:val="24"/>
          <w:szCs w:val="24"/>
        </w:rPr>
        <w:t xml:space="preserve"> RESPONDENT</w:t>
      </w:r>
    </w:p>
    <w:p w:rsidR="00B36150" w:rsidRDefault="0071384A" w:rsidP="00E02076">
      <w:pPr>
        <w:spacing w:after="0" w:line="360" w:lineRule="auto"/>
        <w:jc w:val="both"/>
        <w:rPr>
          <w:rFonts w:ascii="Arial" w:hAnsi="Arial" w:cs="Arial"/>
          <w:b/>
          <w:sz w:val="24"/>
          <w:szCs w:val="24"/>
        </w:rPr>
      </w:pPr>
      <w:r>
        <w:rPr>
          <w:rFonts w:ascii="Arial" w:hAnsi="Arial" w:cs="Arial"/>
          <w:b/>
          <w:sz w:val="24"/>
          <w:szCs w:val="24"/>
        </w:rPr>
        <w:t>MWETWI</w:t>
      </w:r>
      <w:r w:rsidR="00B36150">
        <w:rPr>
          <w:rFonts w:ascii="Arial" w:hAnsi="Arial" w:cs="Arial"/>
          <w:b/>
          <w:sz w:val="24"/>
          <w:szCs w:val="24"/>
        </w:rPr>
        <w:t xml:space="preserve">ILYELA TIMOTHEUS </w:t>
      </w:r>
      <w:r w:rsidR="00B36150">
        <w:rPr>
          <w:rFonts w:ascii="Arial" w:hAnsi="Arial" w:cs="Arial"/>
          <w:b/>
          <w:sz w:val="24"/>
          <w:szCs w:val="24"/>
        </w:rPr>
        <w:tab/>
      </w:r>
      <w:r w:rsidR="00B36150">
        <w:rPr>
          <w:rFonts w:ascii="Arial" w:hAnsi="Arial" w:cs="Arial"/>
          <w:b/>
          <w:sz w:val="24"/>
          <w:szCs w:val="24"/>
        </w:rPr>
        <w:tab/>
      </w:r>
      <w:r w:rsidR="00B36150">
        <w:rPr>
          <w:rFonts w:ascii="Arial" w:hAnsi="Arial" w:cs="Arial"/>
          <w:b/>
          <w:sz w:val="24"/>
          <w:szCs w:val="24"/>
        </w:rPr>
        <w:tab/>
      </w:r>
      <w:r w:rsidR="00B36150">
        <w:rPr>
          <w:rFonts w:ascii="Arial" w:hAnsi="Arial" w:cs="Arial"/>
          <w:b/>
          <w:sz w:val="24"/>
          <w:szCs w:val="24"/>
        </w:rPr>
        <w:tab/>
      </w:r>
      <w:r w:rsidR="00B36150">
        <w:rPr>
          <w:rFonts w:ascii="Arial" w:hAnsi="Arial" w:cs="Arial"/>
          <w:b/>
          <w:sz w:val="24"/>
          <w:szCs w:val="24"/>
        </w:rPr>
        <w:tab/>
        <w:t>3</w:t>
      </w:r>
      <w:r w:rsidR="00B36150" w:rsidRPr="00B36150">
        <w:rPr>
          <w:rFonts w:ascii="Arial" w:hAnsi="Arial" w:cs="Arial"/>
          <w:b/>
          <w:sz w:val="24"/>
          <w:szCs w:val="24"/>
          <w:vertAlign w:val="superscript"/>
        </w:rPr>
        <w:t>RD</w:t>
      </w:r>
      <w:r w:rsidR="00B36150">
        <w:rPr>
          <w:rFonts w:ascii="Arial" w:hAnsi="Arial" w:cs="Arial"/>
          <w:b/>
          <w:sz w:val="24"/>
          <w:szCs w:val="24"/>
        </w:rPr>
        <w:t xml:space="preserve"> RESPONDENT</w:t>
      </w:r>
    </w:p>
    <w:p w:rsidR="00B36150" w:rsidRDefault="00B36150" w:rsidP="00E02076">
      <w:pPr>
        <w:spacing w:after="0" w:line="360" w:lineRule="auto"/>
        <w:jc w:val="both"/>
        <w:rPr>
          <w:rFonts w:ascii="Arial" w:hAnsi="Arial" w:cs="Arial"/>
          <w:b/>
          <w:sz w:val="24"/>
          <w:szCs w:val="24"/>
        </w:rPr>
      </w:pPr>
      <w:r>
        <w:rPr>
          <w:rFonts w:ascii="Arial" w:hAnsi="Arial" w:cs="Arial"/>
          <w:b/>
          <w:sz w:val="24"/>
          <w:szCs w:val="24"/>
        </w:rPr>
        <w:t>TIMOTHY MUYAPEKWA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B36150">
        <w:rPr>
          <w:rFonts w:ascii="Arial" w:hAnsi="Arial" w:cs="Arial"/>
          <w:b/>
          <w:sz w:val="24"/>
          <w:szCs w:val="24"/>
          <w:vertAlign w:val="superscript"/>
        </w:rPr>
        <w:t>TH</w:t>
      </w:r>
      <w:r>
        <w:rPr>
          <w:rFonts w:ascii="Arial" w:hAnsi="Arial" w:cs="Arial"/>
          <w:b/>
          <w:sz w:val="24"/>
          <w:szCs w:val="24"/>
        </w:rPr>
        <w:t xml:space="preserve"> RESPONDENT</w:t>
      </w:r>
    </w:p>
    <w:p w:rsidR="00E02076" w:rsidRDefault="00B36150" w:rsidP="00E02076">
      <w:pPr>
        <w:spacing w:after="0" w:line="360" w:lineRule="auto"/>
        <w:jc w:val="both"/>
        <w:rPr>
          <w:rFonts w:ascii="Arial" w:hAnsi="Arial" w:cs="Arial"/>
          <w:b/>
          <w:sz w:val="24"/>
          <w:szCs w:val="24"/>
        </w:rPr>
      </w:pPr>
      <w:r>
        <w:rPr>
          <w:rFonts w:ascii="Arial" w:hAnsi="Arial" w:cs="Arial"/>
          <w:b/>
          <w:sz w:val="24"/>
          <w:szCs w:val="24"/>
        </w:rPr>
        <w:tab/>
      </w:r>
    </w:p>
    <w:p w:rsidR="00E02076" w:rsidRPr="00EE419D"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r w:rsidR="00EE419D">
        <w:rPr>
          <w:rFonts w:ascii="Arial" w:hAnsi="Arial" w:cs="Arial"/>
          <w:i/>
          <w:sz w:val="24"/>
          <w:szCs w:val="24"/>
        </w:rPr>
        <w:t>S</w:t>
      </w:r>
      <w:r>
        <w:rPr>
          <w:rFonts w:ascii="Arial" w:hAnsi="Arial" w:cs="Arial"/>
          <w:i/>
          <w:sz w:val="24"/>
          <w:szCs w:val="24"/>
        </w:rPr>
        <w:t xml:space="preserve"> </w:t>
      </w:r>
      <w:r w:rsidR="00014A17">
        <w:rPr>
          <w:rFonts w:ascii="Arial" w:hAnsi="Arial" w:cs="Arial"/>
          <w:i/>
          <w:sz w:val="24"/>
          <w:szCs w:val="24"/>
        </w:rPr>
        <w:t>v</w:t>
      </w:r>
      <w:r>
        <w:rPr>
          <w:rFonts w:ascii="Arial" w:hAnsi="Arial" w:cs="Arial"/>
          <w:i/>
          <w:sz w:val="24"/>
          <w:szCs w:val="24"/>
        </w:rPr>
        <w:t xml:space="preserve"> </w:t>
      </w:r>
      <w:r w:rsidR="00B20045">
        <w:rPr>
          <w:rFonts w:ascii="Arial" w:hAnsi="Arial" w:cs="Arial"/>
          <w:i/>
          <w:sz w:val="24"/>
          <w:szCs w:val="24"/>
        </w:rPr>
        <w:t>Mutilifa</w:t>
      </w:r>
      <w:r w:rsidR="00B36150">
        <w:rPr>
          <w:rFonts w:ascii="Arial" w:hAnsi="Arial" w:cs="Arial"/>
          <w:i/>
          <w:sz w:val="24"/>
          <w:szCs w:val="24"/>
        </w:rPr>
        <w:t xml:space="preserve"> </w:t>
      </w:r>
      <w:r w:rsidRPr="00EE419D">
        <w:rPr>
          <w:rFonts w:ascii="Arial" w:hAnsi="Arial" w:cs="Arial"/>
          <w:sz w:val="24"/>
          <w:szCs w:val="24"/>
        </w:rPr>
        <w:t>(CC</w:t>
      </w:r>
      <w:r w:rsidR="00B20045" w:rsidRPr="00EE419D">
        <w:rPr>
          <w:rFonts w:ascii="Arial" w:hAnsi="Arial" w:cs="Arial"/>
          <w:sz w:val="24"/>
          <w:szCs w:val="24"/>
        </w:rPr>
        <w:t xml:space="preserve"> </w:t>
      </w:r>
      <w:r w:rsidR="00796EE0" w:rsidRPr="00EE419D">
        <w:rPr>
          <w:rFonts w:ascii="Arial" w:hAnsi="Arial" w:cs="Arial"/>
          <w:sz w:val="24"/>
          <w:szCs w:val="24"/>
        </w:rPr>
        <w:t>03</w:t>
      </w:r>
      <w:r w:rsidR="00EE419D">
        <w:rPr>
          <w:rFonts w:ascii="Arial" w:hAnsi="Arial" w:cs="Arial"/>
          <w:sz w:val="24"/>
          <w:szCs w:val="24"/>
        </w:rPr>
        <w:t>/</w:t>
      </w:r>
      <w:r w:rsidRPr="00EE419D">
        <w:rPr>
          <w:rFonts w:ascii="Arial" w:hAnsi="Arial" w:cs="Arial"/>
          <w:sz w:val="24"/>
          <w:szCs w:val="24"/>
        </w:rPr>
        <w:t>20</w:t>
      </w:r>
      <w:r w:rsidR="00796EE0" w:rsidRPr="00EE419D">
        <w:rPr>
          <w:rFonts w:ascii="Arial" w:hAnsi="Arial" w:cs="Arial"/>
          <w:sz w:val="24"/>
          <w:szCs w:val="24"/>
        </w:rPr>
        <w:t>12</w:t>
      </w:r>
      <w:r w:rsidRPr="00EE419D">
        <w:rPr>
          <w:rFonts w:ascii="Arial" w:hAnsi="Arial" w:cs="Arial"/>
          <w:sz w:val="24"/>
          <w:szCs w:val="24"/>
        </w:rPr>
        <w:t>) [20</w:t>
      </w:r>
      <w:r w:rsidR="000A644F" w:rsidRPr="00EE419D">
        <w:rPr>
          <w:rFonts w:ascii="Arial" w:hAnsi="Arial" w:cs="Arial"/>
          <w:sz w:val="24"/>
          <w:szCs w:val="24"/>
        </w:rPr>
        <w:t>17</w:t>
      </w:r>
      <w:r w:rsidRPr="00EE419D">
        <w:rPr>
          <w:rFonts w:ascii="Arial" w:hAnsi="Arial" w:cs="Arial"/>
          <w:sz w:val="24"/>
          <w:szCs w:val="24"/>
        </w:rPr>
        <w:t>] NAHCNLD</w:t>
      </w:r>
      <w:r w:rsidR="00B20045" w:rsidRPr="00EE419D">
        <w:rPr>
          <w:rFonts w:ascii="Arial" w:hAnsi="Arial" w:cs="Arial"/>
          <w:sz w:val="24"/>
          <w:szCs w:val="24"/>
        </w:rPr>
        <w:t xml:space="preserve"> 91</w:t>
      </w:r>
      <w:r w:rsidR="00EE419D" w:rsidRPr="00EE419D">
        <w:rPr>
          <w:rFonts w:ascii="Arial" w:hAnsi="Arial" w:cs="Arial"/>
          <w:sz w:val="24"/>
          <w:szCs w:val="24"/>
        </w:rPr>
        <w:t xml:space="preserve"> </w:t>
      </w:r>
      <w:r w:rsidRPr="00EE419D">
        <w:rPr>
          <w:rFonts w:ascii="Arial" w:hAnsi="Arial" w:cs="Arial"/>
          <w:sz w:val="24"/>
          <w:szCs w:val="24"/>
        </w:rPr>
        <w:t>(</w:t>
      </w:r>
      <w:r w:rsidR="0071384A" w:rsidRPr="00EE419D">
        <w:rPr>
          <w:rFonts w:ascii="Arial" w:hAnsi="Arial" w:cs="Arial"/>
          <w:sz w:val="24"/>
          <w:szCs w:val="24"/>
        </w:rPr>
        <w:t>12</w:t>
      </w:r>
      <w:r w:rsidR="00E15801" w:rsidRPr="00EE419D">
        <w:rPr>
          <w:rFonts w:ascii="Arial" w:hAnsi="Arial" w:cs="Arial"/>
          <w:sz w:val="24"/>
          <w:szCs w:val="24"/>
        </w:rPr>
        <w:t xml:space="preserve"> September </w:t>
      </w:r>
      <w:r w:rsidR="00B36150" w:rsidRPr="00EE419D">
        <w:rPr>
          <w:rFonts w:ascii="Arial" w:hAnsi="Arial" w:cs="Arial"/>
          <w:sz w:val="24"/>
          <w:szCs w:val="24"/>
        </w:rPr>
        <w:t>2017</w:t>
      </w:r>
      <w:r w:rsidRPr="00EE419D">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sidR="00EE419D">
        <w:rPr>
          <w:rFonts w:ascii="Arial" w:hAnsi="Arial" w:cs="Arial"/>
          <w:b/>
          <w:sz w:val="24"/>
          <w:szCs w:val="24"/>
        </w:rPr>
        <w:tab/>
      </w:r>
      <w:r w:rsidR="00EE419D">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Default="00DE47B3" w:rsidP="00E02076">
      <w:pPr>
        <w:spacing w:after="0" w:line="360" w:lineRule="auto"/>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0A644F">
        <w:rPr>
          <w:rFonts w:ascii="Arial" w:hAnsi="Arial" w:cs="Arial"/>
          <w:sz w:val="24"/>
          <w:szCs w:val="24"/>
        </w:rPr>
        <w:tab/>
      </w:r>
      <w:r w:rsidR="000A644F">
        <w:rPr>
          <w:rFonts w:ascii="Arial" w:hAnsi="Arial" w:cs="Arial"/>
          <w:sz w:val="24"/>
          <w:szCs w:val="24"/>
        </w:rPr>
        <w:tab/>
        <w:t>16 June 2017</w:t>
      </w:r>
    </w:p>
    <w:p w:rsidR="00E02076" w:rsidRDefault="000D38F0" w:rsidP="00E02076">
      <w:pPr>
        <w:spacing w:after="0" w:line="360" w:lineRule="auto"/>
        <w:jc w:val="both"/>
        <w:rPr>
          <w:rFonts w:ascii="Arial" w:hAnsi="Arial" w:cs="Arial"/>
          <w:b/>
          <w:sz w:val="24"/>
          <w:szCs w:val="24"/>
        </w:rPr>
      </w:pPr>
      <w:r>
        <w:rPr>
          <w:rFonts w:ascii="Arial" w:hAnsi="Arial" w:cs="Arial"/>
          <w:b/>
          <w:sz w:val="24"/>
          <w:szCs w:val="24"/>
        </w:rPr>
        <w:t xml:space="preserve">Delivered:  </w:t>
      </w:r>
      <w:r w:rsidR="00043718">
        <w:rPr>
          <w:rFonts w:ascii="Arial" w:hAnsi="Arial" w:cs="Arial"/>
          <w:b/>
          <w:sz w:val="24"/>
          <w:szCs w:val="24"/>
        </w:rPr>
        <w:tab/>
      </w:r>
      <w:r w:rsidR="00410A9E">
        <w:rPr>
          <w:rFonts w:ascii="Arial" w:hAnsi="Arial" w:cs="Arial"/>
          <w:b/>
          <w:sz w:val="24"/>
          <w:szCs w:val="24"/>
        </w:rPr>
        <w:tab/>
      </w:r>
      <w:r w:rsidR="00410A9E">
        <w:rPr>
          <w:rFonts w:ascii="Arial" w:hAnsi="Arial" w:cs="Arial"/>
          <w:b/>
          <w:sz w:val="24"/>
          <w:szCs w:val="24"/>
        </w:rPr>
        <w:tab/>
      </w:r>
      <w:r w:rsidR="00410A9E" w:rsidRPr="00410A9E">
        <w:rPr>
          <w:rFonts w:ascii="Arial" w:hAnsi="Arial" w:cs="Arial"/>
          <w:sz w:val="24"/>
          <w:szCs w:val="24"/>
        </w:rPr>
        <w:t>25 August 2017</w:t>
      </w:r>
      <w:r w:rsidR="00410A9E">
        <w:rPr>
          <w:rFonts w:ascii="Arial" w:hAnsi="Arial" w:cs="Arial"/>
          <w:b/>
          <w:sz w:val="24"/>
          <w:szCs w:val="24"/>
        </w:rPr>
        <w:t xml:space="preserve"> </w:t>
      </w:r>
    </w:p>
    <w:p w:rsidR="00410A9E" w:rsidRDefault="00410A9E" w:rsidP="00E02076">
      <w:pPr>
        <w:spacing w:after="0" w:line="360" w:lineRule="auto"/>
        <w:jc w:val="both"/>
        <w:rPr>
          <w:rFonts w:ascii="Arial" w:hAnsi="Arial" w:cs="Arial"/>
          <w:sz w:val="24"/>
          <w:szCs w:val="24"/>
        </w:rPr>
      </w:pPr>
      <w:r>
        <w:rPr>
          <w:rFonts w:ascii="Arial" w:hAnsi="Arial" w:cs="Arial"/>
          <w:b/>
          <w:sz w:val="24"/>
          <w:szCs w:val="24"/>
        </w:rPr>
        <w:t>Reasons released:</w:t>
      </w:r>
      <w:r>
        <w:rPr>
          <w:rFonts w:ascii="Arial" w:hAnsi="Arial" w:cs="Arial"/>
          <w:b/>
          <w:sz w:val="24"/>
          <w:szCs w:val="24"/>
        </w:rPr>
        <w:tab/>
      </w:r>
      <w:r>
        <w:rPr>
          <w:rFonts w:ascii="Arial" w:hAnsi="Arial" w:cs="Arial"/>
          <w:b/>
          <w:sz w:val="24"/>
          <w:szCs w:val="24"/>
        </w:rPr>
        <w:tab/>
      </w:r>
      <w:r w:rsidR="0071384A">
        <w:rPr>
          <w:rFonts w:ascii="Arial" w:hAnsi="Arial" w:cs="Arial"/>
          <w:sz w:val="24"/>
          <w:szCs w:val="24"/>
        </w:rPr>
        <w:t xml:space="preserve">12 </w:t>
      </w:r>
      <w:r w:rsidRPr="00410A9E">
        <w:rPr>
          <w:rFonts w:ascii="Arial" w:hAnsi="Arial" w:cs="Arial"/>
          <w:sz w:val="24"/>
          <w:szCs w:val="24"/>
        </w:rPr>
        <w:t>September 2017</w:t>
      </w:r>
    </w:p>
    <w:p w:rsidR="000A644F" w:rsidRDefault="000A644F" w:rsidP="00E02076">
      <w:pPr>
        <w:spacing w:after="0" w:line="360" w:lineRule="auto"/>
        <w:jc w:val="both"/>
        <w:rPr>
          <w:rFonts w:ascii="Arial" w:hAnsi="Arial" w:cs="Arial"/>
          <w:sz w:val="24"/>
          <w:szCs w:val="24"/>
        </w:rPr>
      </w:pPr>
    </w:p>
    <w:p w:rsidR="0084625C" w:rsidRPr="00432CF5" w:rsidRDefault="00E02076" w:rsidP="00014A17">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84625C">
        <w:rPr>
          <w:rFonts w:ascii="Arial" w:hAnsi="Arial" w:cs="Arial"/>
          <w:sz w:val="24"/>
          <w:szCs w:val="24"/>
        </w:rPr>
        <w:t xml:space="preserve">Criminal procedure – </w:t>
      </w:r>
      <w:r w:rsidR="00E15801">
        <w:rPr>
          <w:rFonts w:ascii="Arial" w:hAnsi="Arial" w:cs="Arial"/>
          <w:sz w:val="24"/>
          <w:szCs w:val="24"/>
        </w:rPr>
        <w:t>A</w:t>
      </w:r>
      <w:r w:rsidR="00B36150">
        <w:rPr>
          <w:rFonts w:ascii="Arial" w:hAnsi="Arial" w:cs="Arial"/>
          <w:sz w:val="24"/>
          <w:szCs w:val="24"/>
        </w:rPr>
        <w:t xml:space="preserve">pplication for leave to appeal </w:t>
      </w:r>
      <w:r w:rsidR="0084625C">
        <w:rPr>
          <w:rFonts w:ascii="Arial" w:hAnsi="Arial" w:cs="Arial"/>
          <w:sz w:val="24"/>
          <w:szCs w:val="24"/>
        </w:rPr>
        <w:t>–</w:t>
      </w:r>
      <w:r w:rsidR="003E706A">
        <w:rPr>
          <w:rFonts w:ascii="Arial" w:hAnsi="Arial" w:cs="Arial"/>
          <w:sz w:val="24"/>
          <w:szCs w:val="24"/>
        </w:rPr>
        <w:t xml:space="preserve"> </w:t>
      </w:r>
      <w:r w:rsidR="00E15801">
        <w:rPr>
          <w:rFonts w:ascii="Arial" w:hAnsi="Arial" w:cs="Arial"/>
          <w:sz w:val="24"/>
          <w:szCs w:val="24"/>
        </w:rPr>
        <w:t>C</w:t>
      </w:r>
      <w:r w:rsidR="00C71FAA">
        <w:rPr>
          <w:rFonts w:ascii="Arial" w:hAnsi="Arial" w:cs="Arial"/>
          <w:sz w:val="24"/>
          <w:szCs w:val="24"/>
        </w:rPr>
        <w:t>ourt to consider whether there are rea</w:t>
      </w:r>
      <w:r w:rsidR="00E15801">
        <w:rPr>
          <w:rFonts w:ascii="Arial" w:hAnsi="Arial" w:cs="Arial"/>
          <w:sz w:val="24"/>
          <w:szCs w:val="24"/>
        </w:rPr>
        <w:t>sonable prospects of success – R</w:t>
      </w:r>
      <w:r w:rsidR="00C71FAA">
        <w:rPr>
          <w:rFonts w:ascii="Arial" w:hAnsi="Arial" w:cs="Arial"/>
          <w:sz w:val="24"/>
          <w:szCs w:val="24"/>
        </w:rPr>
        <w:t xml:space="preserve">easonable prospects as defined </w:t>
      </w:r>
      <w:r w:rsidR="0071384A">
        <w:rPr>
          <w:rFonts w:ascii="Arial" w:hAnsi="Arial" w:cs="Arial"/>
          <w:sz w:val="24"/>
          <w:szCs w:val="24"/>
        </w:rPr>
        <w:t xml:space="preserve">in </w:t>
      </w:r>
      <w:r w:rsidR="00C71FAA" w:rsidRPr="00C71FAA">
        <w:rPr>
          <w:rFonts w:ascii="Arial" w:hAnsi="Arial" w:cs="Arial"/>
          <w:i/>
          <w:sz w:val="24"/>
          <w:szCs w:val="24"/>
        </w:rPr>
        <w:t>S v Ackerman en 'n Ander</w:t>
      </w:r>
      <w:r w:rsidR="00C71FAA" w:rsidRPr="00C71FAA">
        <w:rPr>
          <w:rFonts w:ascii="Arial" w:hAnsi="Arial" w:cs="Arial"/>
          <w:sz w:val="24"/>
          <w:szCs w:val="24"/>
        </w:rPr>
        <w:t xml:space="preserve"> and approved in </w:t>
      </w:r>
      <w:r w:rsidR="0071384A">
        <w:rPr>
          <w:rFonts w:ascii="Arial" w:hAnsi="Arial" w:cs="Arial"/>
          <w:i/>
          <w:sz w:val="24"/>
          <w:szCs w:val="24"/>
        </w:rPr>
        <w:t>S v Ningisa &amp;</w:t>
      </w:r>
      <w:r w:rsidR="00912ABD">
        <w:rPr>
          <w:rFonts w:ascii="Arial" w:hAnsi="Arial" w:cs="Arial"/>
          <w:i/>
          <w:sz w:val="24"/>
          <w:szCs w:val="24"/>
        </w:rPr>
        <w:t xml:space="preserve"> o</w:t>
      </w:r>
      <w:r w:rsidR="00C71FAA" w:rsidRPr="00C71FAA">
        <w:rPr>
          <w:rFonts w:ascii="Arial" w:hAnsi="Arial" w:cs="Arial"/>
          <w:i/>
          <w:sz w:val="24"/>
          <w:szCs w:val="24"/>
        </w:rPr>
        <w:t>thers</w:t>
      </w:r>
      <w:r w:rsidR="00E15801">
        <w:rPr>
          <w:rFonts w:ascii="Arial" w:hAnsi="Arial" w:cs="Arial"/>
          <w:sz w:val="24"/>
          <w:szCs w:val="24"/>
        </w:rPr>
        <w:t xml:space="preserve"> – C</w:t>
      </w:r>
      <w:r w:rsidR="00432CF5">
        <w:rPr>
          <w:rFonts w:ascii="Arial" w:hAnsi="Arial" w:cs="Arial"/>
          <w:sz w:val="24"/>
          <w:szCs w:val="24"/>
        </w:rPr>
        <w:t>ourt found no reasonable prospects that applicant would succeed either on the finding of fact or on the law.</w:t>
      </w:r>
    </w:p>
    <w:p w:rsidR="00E02076" w:rsidRDefault="00E02076" w:rsidP="00E02076">
      <w:pPr>
        <w:spacing w:after="0" w:line="360" w:lineRule="auto"/>
        <w:jc w:val="both"/>
        <w:rPr>
          <w:rFonts w:ascii="Arial" w:hAnsi="Arial" w:cs="Arial"/>
          <w:bCs/>
          <w:sz w:val="24"/>
          <w:szCs w:val="24"/>
        </w:rPr>
      </w:pPr>
    </w:p>
    <w:p w:rsidR="00E02076" w:rsidRDefault="00E4000B" w:rsidP="00E02076">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E4000B"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3E706A" w:rsidRDefault="003E706A" w:rsidP="003E706A">
      <w:pPr>
        <w:spacing w:line="360" w:lineRule="auto"/>
        <w:ind w:left="1440" w:hanging="720"/>
        <w:jc w:val="both"/>
        <w:rPr>
          <w:rFonts w:ascii="Arial" w:hAnsi="Arial" w:cs="Arial"/>
          <w:sz w:val="24"/>
          <w:szCs w:val="24"/>
        </w:rPr>
      </w:pPr>
    </w:p>
    <w:p w:rsidR="003E706A" w:rsidRDefault="00E15801" w:rsidP="003E706A">
      <w:pPr>
        <w:spacing w:line="360" w:lineRule="auto"/>
        <w:ind w:left="144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T</w:t>
      </w:r>
      <w:r w:rsidR="003E706A">
        <w:rPr>
          <w:rFonts w:ascii="Arial" w:hAnsi="Arial" w:cs="Arial"/>
          <w:sz w:val="24"/>
          <w:szCs w:val="24"/>
        </w:rPr>
        <w:t>he application for leave to appe</w:t>
      </w:r>
      <w:r w:rsidR="0071384A">
        <w:rPr>
          <w:rFonts w:ascii="Arial" w:hAnsi="Arial" w:cs="Arial"/>
          <w:sz w:val="24"/>
          <w:szCs w:val="24"/>
        </w:rPr>
        <w:t>al the discharge of all four</w:t>
      </w:r>
      <w:r w:rsidR="003E706A">
        <w:rPr>
          <w:rFonts w:ascii="Arial" w:hAnsi="Arial" w:cs="Arial"/>
          <w:sz w:val="24"/>
          <w:szCs w:val="24"/>
        </w:rPr>
        <w:t xml:space="preserve"> accused on the charge of murder and the resultant wholly suspended sentence of three years’ imposed on the first respondent for assault with the intent to do grievous bodily harm, a competent verdict on a charge of murder, is refused.</w:t>
      </w:r>
    </w:p>
    <w:p w:rsidR="00E02076" w:rsidRDefault="00E02076" w:rsidP="00BA147B">
      <w:pPr>
        <w:spacing w:after="0" w:line="360" w:lineRule="auto"/>
        <w:ind w:left="720" w:hanging="720"/>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84625C" w:rsidP="00E02076">
      <w:pPr>
        <w:spacing w:after="0" w:line="360" w:lineRule="auto"/>
        <w:jc w:val="center"/>
        <w:rPr>
          <w:rFonts w:ascii="Arial" w:hAnsi="Arial" w:cs="Arial"/>
          <w:b/>
          <w:sz w:val="24"/>
          <w:szCs w:val="24"/>
        </w:rPr>
      </w:pPr>
      <w:r>
        <w:rPr>
          <w:rFonts w:ascii="Arial" w:hAnsi="Arial" w:cs="Arial"/>
          <w:b/>
          <w:sz w:val="24"/>
          <w:szCs w:val="24"/>
        </w:rPr>
        <w:t>SENTENCE</w:t>
      </w:r>
    </w:p>
    <w:p w:rsidR="00E02076" w:rsidRDefault="00E4000B"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E02076" w:rsidRDefault="00E02076" w:rsidP="00E02076">
      <w:pPr>
        <w:spacing w:line="360" w:lineRule="auto"/>
        <w:jc w:val="both"/>
        <w:rPr>
          <w:rFonts w:ascii="Arial" w:hAnsi="Arial" w:cs="Arial"/>
          <w:sz w:val="24"/>
          <w:szCs w:val="24"/>
        </w:rPr>
      </w:pPr>
    </w:p>
    <w:p w:rsidR="00432CF5" w:rsidRDefault="00E02076" w:rsidP="0016309A">
      <w:pPr>
        <w:spacing w:line="360" w:lineRule="auto"/>
        <w:jc w:val="both"/>
        <w:rPr>
          <w:rFonts w:ascii="Arial" w:hAnsi="Arial" w:cs="Arial"/>
          <w:b/>
          <w:sz w:val="24"/>
          <w:szCs w:val="24"/>
        </w:rPr>
      </w:pPr>
      <w:r>
        <w:rPr>
          <w:rFonts w:ascii="Arial" w:hAnsi="Arial" w:cs="Arial"/>
          <w:b/>
          <w:sz w:val="24"/>
          <w:szCs w:val="24"/>
        </w:rPr>
        <w:t xml:space="preserve">TOMMASI J: </w:t>
      </w:r>
    </w:p>
    <w:p w:rsidR="00410A9E" w:rsidRDefault="00E02076" w:rsidP="0016309A">
      <w:pPr>
        <w:spacing w:line="360" w:lineRule="auto"/>
        <w:jc w:val="both"/>
        <w:rPr>
          <w:rFonts w:ascii="Arial" w:hAnsi="Arial" w:cs="Arial"/>
          <w:sz w:val="24"/>
          <w:szCs w:val="24"/>
        </w:rPr>
      </w:pPr>
      <w:r>
        <w:rPr>
          <w:rFonts w:ascii="Arial" w:hAnsi="Arial" w:cs="Arial"/>
          <w:sz w:val="24"/>
          <w:szCs w:val="24"/>
        </w:rPr>
        <w:t>[1]</w:t>
      </w:r>
      <w:r w:rsidR="00EB0CEB">
        <w:rPr>
          <w:rFonts w:ascii="Arial" w:hAnsi="Arial" w:cs="Arial"/>
          <w:sz w:val="24"/>
          <w:szCs w:val="24"/>
        </w:rPr>
        <w:t xml:space="preserve"> </w:t>
      </w:r>
      <w:r w:rsidR="00EB0CEB">
        <w:rPr>
          <w:rFonts w:ascii="Arial" w:hAnsi="Arial" w:cs="Arial"/>
          <w:sz w:val="24"/>
          <w:szCs w:val="24"/>
        </w:rPr>
        <w:tab/>
      </w:r>
      <w:r w:rsidR="00B36150">
        <w:rPr>
          <w:rFonts w:ascii="Arial" w:hAnsi="Arial" w:cs="Arial"/>
          <w:sz w:val="24"/>
          <w:szCs w:val="24"/>
        </w:rPr>
        <w:t xml:space="preserve">This is an application by the State in terms of section </w:t>
      </w:r>
      <w:r w:rsidR="000A644F">
        <w:rPr>
          <w:rFonts w:ascii="Arial" w:hAnsi="Arial" w:cs="Arial"/>
          <w:sz w:val="24"/>
          <w:szCs w:val="24"/>
        </w:rPr>
        <w:t>316A (</w:t>
      </w:r>
      <w:r w:rsidR="00B36150">
        <w:rPr>
          <w:rFonts w:ascii="Arial" w:hAnsi="Arial" w:cs="Arial"/>
          <w:sz w:val="24"/>
          <w:szCs w:val="24"/>
        </w:rPr>
        <w:t>1</w:t>
      </w:r>
      <w:r w:rsidR="000A644F">
        <w:rPr>
          <w:rFonts w:ascii="Arial" w:hAnsi="Arial" w:cs="Arial"/>
          <w:sz w:val="24"/>
          <w:szCs w:val="24"/>
        </w:rPr>
        <w:t>) (</w:t>
      </w:r>
      <w:r w:rsidR="00B36150">
        <w:rPr>
          <w:rFonts w:ascii="Arial" w:hAnsi="Arial" w:cs="Arial"/>
          <w:sz w:val="24"/>
          <w:szCs w:val="24"/>
        </w:rPr>
        <w:t>a) of the Criminal Procedure Act for leave to appeal. The State appeals the</w:t>
      </w:r>
      <w:r w:rsidR="0071384A">
        <w:rPr>
          <w:rFonts w:ascii="Arial" w:hAnsi="Arial" w:cs="Arial"/>
          <w:sz w:val="24"/>
          <w:szCs w:val="24"/>
        </w:rPr>
        <w:t xml:space="preserve"> discharge of all four</w:t>
      </w:r>
      <w:r w:rsidR="00B36150">
        <w:rPr>
          <w:rFonts w:ascii="Arial" w:hAnsi="Arial" w:cs="Arial"/>
          <w:sz w:val="24"/>
          <w:szCs w:val="24"/>
        </w:rPr>
        <w:t xml:space="preserve"> respondents on a charge of murder and the wholly suspended sentence of three years imposed o</w:t>
      </w:r>
      <w:r w:rsidR="0071384A">
        <w:rPr>
          <w:rFonts w:ascii="Arial" w:hAnsi="Arial" w:cs="Arial"/>
          <w:sz w:val="24"/>
          <w:szCs w:val="24"/>
        </w:rPr>
        <w:t>n the first respondent for</w:t>
      </w:r>
      <w:r w:rsidR="00501F2E">
        <w:rPr>
          <w:rFonts w:ascii="Arial" w:hAnsi="Arial" w:cs="Arial"/>
          <w:sz w:val="24"/>
          <w:szCs w:val="24"/>
        </w:rPr>
        <w:t xml:space="preserve"> assault with intent to do grievous bodily harm, a competent verdict on murder. The application was opposed </w:t>
      </w:r>
      <w:r w:rsidR="0071384A">
        <w:rPr>
          <w:rFonts w:ascii="Arial" w:hAnsi="Arial" w:cs="Arial"/>
          <w:sz w:val="24"/>
          <w:szCs w:val="24"/>
        </w:rPr>
        <w:t>by all four</w:t>
      </w:r>
      <w:r w:rsidR="00501F2E">
        <w:rPr>
          <w:rFonts w:ascii="Arial" w:hAnsi="Arial" w:cs="Arial"/>
          <w:sz w:val="24"/>
          <w:szCs w:val="24"/>
        </w:rPr>
        <w:t xml:space="preserve"> respondents.</w:t>
      </w:r>
      <w:r w:rsidR="00847752">
        <w:rPr>
          <w:rFonts w:ascii="Arial" w:hAnsi="Arial" w:cs="Arial"/>
          <w:sz w:val="24"/>
          <w:szCs w:val="24"/>
        </w:rPr>
        <w:t xml:space="preserve"> </w:t>
      </w:r>
      <w:r w:rsidR="0071384A">
        <w:rPr>
          <w:rFonts w:ascii="Arial" w:hAnsi="Arial" w:cs="Arial"/>
          <w:sz w:val="24"/>
          <w:szCs w:val="24"/>
        </w:rPr>
        <w:t>All four</w:t>
      </w:r>
      <w:r w:rsidR="00501F2E">
        <w:rPr>
          <w:rFonts w:ascii="Arial" w:hAnsi="Arial" w:cs="Arial"/>
          <w:sz w:val="24"/>
          <w:szCs w:val="24"/>
        </w:rPr>
        <w:t xml:space="preserve"> responden</w:t>
      </w:r>
      <w:r w:rsidR="00410A9E">
        <w:rPr>
          <w:rFonts w:ascii="Arial" w:hAnsi="Arial" w:cs="Arial"/>
          <w:sz w:val="24"/>
          <w:szCs w:val="24"/>
        </w:rPr>
        <w:t xml:space="preserve">ts were charged with murder. </w:t>
      </w:r>
    </w:p>
    <w:p w:rsidR="00501F2E" w:rsidRDefault="00410A9E" w:rsidP="0016309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court gave its ruling on 25 August 2016 and undertook to release the reasons. What follows are the reasons for the court’s ruling to dismiss the application for leave to appeal. </w:t>
      </w:r>
      <w:r w:rsidR="00501F2E">
        <w:rPr>
          <w:rFonts w:ascii="Arial" w:hAnsi="Arial" w:cs="Arial"/>
          <w:sz w:val="24"/>
          <w:szCs w:val="24"/>
        </w:rPr>
        <w:t xml:space="preserve"> </w:t>
      </w:r>
    </w:p>
    <w:p w:rsidR="00B43861" w:rsidRPr="00C71FAA" w:rsidRDefault="00501F2E" w:rsidP="00B4386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It is trite that this court, when considering whether or not to grant leave to appeal ought to consider whether there are reasonable prospects of success;</w:t>
      </w:r>
      <w:r w:rsidR="002A1843">
        <w:rPr>
          <w:rFonts w:ascii="Arial" w:hAnsi="Arial" w:cs="Arial"/>
          <w:sz w:val="24"/>
          <w:szCs w:val="24"/>
        </w:rPr>
        <w:t xml:space="preserve"> and that the judge must disabuse his/her mind of the fact that he or/she has no reasonable doubt </w:t>
      </w:r>
      <w:r w:rsidR="002A1843">
        <w:rPr>
          <w:rFonts w:ascii="Arial" w:hAnsi="Arial" w:cs="Arial"/>
          <w:sz w:val="24"/>
          <w:szCs w:val="24"/>
        </w:rPr>
        <w:lastRenderedPageBreak/>
        <w:t>as to the guilt or the innocence of the accused</w:t>
      </w:r>
      <w:r w:rsidR="002A1843" w:rsidRPr="00C71FAA">
        <w:rPr>
          <w:rFonts w:ascii="Arial" w:hAnsi="Arial" w:cs="Arial"/>
          <w:sz w:val="24"/>
          <w:szCs w:val="24"/>
        </w:rPr>
        <w:t xml:space="preserve">. </w:t>
      </w:r>
      <w:r w:rsidR="00B43861" w:rsidRPr="00C71FAA">
        <w:rPr>
          <w:rFonts w:ascii="Arial" w:hAnsi="Arial" w:cs="Arial"/>
          <w:sz w:val="24"/>
          <w:szCs w:val="24"/>
        </w:rPr>
        <w:t xml:space="preserve">  In </w:t>
      </w:r>
      <w:r w:rsidR="0071384A">
        <w:rPr>
          <w:rFonts w:ascii="Arial" w:hAnsi="Arial" w:cs="Arial"/>
          <w:i/>
          <w:sz w:val="24"/>
          <w:szCs w:val="24"/>
        </w:rPr>
        <w:t>S v Ningisa &amp; o</w:t>
      </w:r>
      <w:r w:rsidR="00B43861" w:rsidRPr="00C71FAA">
        <w:rPr>
          <w:rFonts w:ascii="Arial" w:hAnsi="Arial" w:cs="Arial"/>
          <w:i/>
          <w:sz w:val="24"/>
          <w:szCs w:val="24"/>
        </w:rPr>
        <w:t>thers</w:t>
      </w:r>
      <w:r w:rsidR="00B43861" w:rsidRPr="00C71FAA">
        <w:rPr>
          <w:rStyle w:val="FootnoteReference"/>
          <w:rFonts w:ascii="Arial" w:hAnsi="Arial" w:cs="Arial"/>
          <w:i/>
          <w:sz w:val="24"/>
          <w:szCs w:val="24"/>
        </w:rPr>
        <w:footnoteReference w:id="1"/>
      </w:r>
      <w:r w:rsidR="00B43861" w:rsidRPr="00C71FAA">
        <w:rPr>
          <w:rFonts w:ascii="Arial" w:hAnsi="Arial" w:cs="Arial"/>
          <w:i/>
          <w:sz w:val="24"/>
          <w:szCs w:val="24"/>
        </w:rPr>
        <w:t xml:space="preserve"> </w:t>
      </w:r>
      <w:r w:rsidR="00B43861" w:rsidRPr="00C71FAA">
        <w:rPr>
          <w:rFonts w:ascii="Arial" w:hAnsi="Arial" w:cs="Arial"/>
          <w:sz w:val="24"/>
          <w:szCs w:val="24"/>
        </w:rPr>
        <w:t xml:space="preserve">Mainga JA cited with approval the following from </w:t>
      </w:r>
      <w:r w:rsidR="00B43861" w:rsidRPr="00C71FAA">
        <w:rPr>
          <w:rFonts w:ascii="Arial" w:hAnsi="Arial" w:cs="Arial"/>
          <w:i/>
          <w:sz w:val="24"/>
          <w:szCs w:val="24"/>
        </w:rPr>
        <w:t>S v Ackerman en 'n Ander</w:t>
      </w:r>
      <w:r w:rsidR="00B43861" w:rsidRPr="00C71FAA">
        <w:rPr>
          <w:rStyle w:val="FootnoteReference"/>
          <w:rFonts w:ascii="Arial" w:hAnsi="Arial" w:cs="Arial"/>
          <w:i/>
          <w:sz w:val="24"/>
          <w:szCs w:val="24"/>
        </w:rPr>
        <w:footnoteReference w:id="2"/>
      </w:r>
      <w:r w:rsidR="00B43861" w:rsidRPr="00C71FAA">
        <w:rPr>
          <w:rFonts w:ascii="Arial" w:hAnsi="Arial" w:cs="Arial"/>
          <w:i/>
          <w:sz w:val="24"/>
          <w:szCs w:val="24"/>
        </w:rPr>
        <w:t>:</w:t>
      </w:r>
    </w:p>
    <w:p w:rsidR="00501F2E" w:rsidRDefault="00B43861" w:rsidP="00B43861">
      <w:pPr>
        <w:spacing w:line="360" w:lineRule="auto"/>
        <w:ind w:left="720"/>
        <w:jc w:val="both"/>
        <w:rPr>
          <w:rFonts w:ascii="Arial" w:hAnsi="Arial" w:cs="Arial"/>
        </w:rPr>
      </w:pPr>
      <w:r w:rsidRPr="003E24FF">
        <w:rPr>
          <w:rFonts w:ascii="Arial" w:hAnsi="Arial" w:cs="Arial"/>
        </w:rPr>
        <w:t>'(A) reasonable prospect of success means that the Judge who has to deal with an application for leave to appeal must be satisfied that, on the findings of fact or conclusions of law involved, the Court of Appeal  may well take a different view from that arrived at by jury or by himself and arrive at a different conclusion</w:t>
      </w:r>
      <w:r w:rsidR="00986C97">
        <w:rPr>
          <w:rFonts w:ascii="Arial" w:hAnsi="Arial" w:cs="Arial"/>
        </w:rPr>
        <w:t>’</w:t>
      </w:r>
    </w:p>
    <w:p w:rsidR="00F8337A" w:rsidRDefault="00B43861" w:rsidP="0016309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32CF5">
        <w:rPr>
          <w:rFonts w:ascii="Arial" w:hAnsi="Arial" w:cs="Arial"/>
          <w:sz w:val="24"/>
          <w:szCs w:val="24"/>
        </w:rPr>
        <w:t>In the application for leave to appeal the applicant raised 20 grounds in respect of their intended appeal against conviction. They premise of these grounds are essentially that the court erred in the factual findings</w:t>
      </w:r>
      <w:r w:rsidR="0071384A">
        <w:rPr>
          <w:rFonts w:ascii="Arial" w:hAnsi="Arial" w:cs="Arial"/>
          <w:sz w:val="24"/>
          <w:szCs w:val="24"/>
        </w:rPr>
        <w:t>,</w:t>
      </w:r>
      <w:r w:rsidR="00432CF5">
        <w:rPr>
          <w:rFonts w:ascii="Arial" w:hAnsi="Arial" w:cs="Arial"/>
          <w:sz w:val="24"/>
          <w:szCs w:val="24"/>
        </w:rPr>
        <w:t xml:space="preserve"> made conclusions reached as well as the application of those facts to the law. I </w:t>
      </w:r>
      <w:r w:rsidR="00986C97">
        <w:rPr>
          <w:rFonts w:ascii="Arial" w:hAnsi="Arial" w:cs="Arial"/>
          <w:sz w:val="24"/>
          <w:szCs w:val="24"/>
        </w:rPr>
        <w:t>shall first consider whether there are reasonable prospects of success on</w:t>
      </w:r>
      <w:r w:rsidR="0071384A">
        <w:rPr>
          <w:rFonts w:ascii="Arial" w:hAnsi="Arial" w:cs="Arial"/>
          <w:sz w:val="24"/>
          <w:szCs w:val="24"/>
        </w:rPr>
        <w:t xml:space="preserve"> the</w:t>
      </w:r>
      <w:r w:rsidR="00986C97">
        <w:rPr>
          <w:rFonts w:ascii="Arial" w:hAnsi="Arial" w:cs="Arial"/>
          <w:sz w:val="24"/>
          <w:szCs w:val="24"/>
        </w:rPr>
        <w:t xml:space="preserve"> grounds raised by the applicant in respect of the discharge </w:t>
      </w:r>
      <w:r w:rsidR="0071384A">
        <w:rPr>
          <w:rFonts w:ascii="Arial" w:hAnsi="Arial" w:cs="Arial"/>
          <w:sz w:val="24"/>
          <w:szCs w:val="24"/>
        </w:rPr>
        <w:t xml:space="preserve">of all four </w:t>
      </w:r>
      <w:r w:rsidR="009B693E">
        <w:rPr>
          <w:rFonts w:ascii="Arial" w:hAnsi="Arial" w:cs="Arial"/>
          <w:sz w:val="24"/>
          <w:szCs w:val="24"/>
        </w:rPr>
        <w:t xml:space="preserve">respondents </w:t>
      </w:r>
      <w:r w:rsidR="00986C97">
        <w:rPr>
          <w:rFonts w:ascii="Arial" w:hAnsi="Arial" w:cs="Arial"/>
          <w:sz w:val="24"/>
          <w:szCs w:val="24"/>
        </w:rPr>
        <w:t>on the count of murder.</w:t>
      </w:r>
      <w:r w:rsidR="00F8337A">
        <w:rPr>
          <w:rFonts w:ascii="Arial" w:hAnsi="Arial" w:cs="Arial"/>
          <w:sz w:val="24"/>
          <w:szCs w:val="24"/>
        </w:rPr>
        <w:t xml:space="preserve"> The applicant’s heads of argument conveniently groups the 20 grounds of appeal into subheadings. I shall likewise consider the grounds as per those headings.</w:t>
      </w:r>
    </w:p>
    <w:p w:rsidR="00986C97" w:rsidRDefault="00F8337A" w:rsidP="0016309A">
      <w:pPr>
        <w:spacing w:line="360" w:lineRule="auto"/>
        <w:jc w:val="both"/>
        <w:rPr>
          <w:rFonts w:ascii="Arial" w:hAnsi="Arial" w:cs="Arial"/>
          <w:sz w:val="24"/>
          <w:szCs w:val="24"/>
        </w:rPr>
      </w:pPr>
      <w:r w:rsidRPr="000F0FEB">
        <w:rPr>
          <w:rFonts w:ascii="Arial" w:hAnsi="Arial" w:cs="Arial"/>
          <w:sz w:val="24"/>
          <w:szCs w:val="24"/>
          <w:u w:val="single"/>
        </w:rPr>
        <w:t>The link between the crime and the third respondent (ground 2.1;</w:t>
      </w:r>
      <w:r w:rsidR="005370C6">
        <w:rPr>
          <w:rFonts w:ascii="Arial" w:hAnsi="Arial" w:cs="Arial"/>
          <w:sz w:val="24"/>
          <w:szCs w:val="24"/>
          <w:u w:val="single"/>
        </w:rPr>
        <w:t xml:space="preserve"> 2.2 and 2.3; 2.4 and 2.5</w:t>
      </w:r>
      <w:r w:rsidRPr="000F0FEB">
        <w:rPr>
          <w:rFonts w:ascii="Arial" w:hAnsi="Arial" w:cs="Arial"/>
          <w:sz w:val="24"/>
          <w:szCs w:val="24"/>
          <w:u w:val="single"/>
        </w:rPr>
        <w:t>)</w:t>
      </w:r>
      <w:r>
        <w:rPr>
          <w:rFonts w:ascii="Arial" w:hAnsi="Arial" w:cs="Arial"/>
          <w:sz w:val="24"/>
          <w:szCs w:val="24"/>
        </w:rPr>
        <w:t xml:space="preserve"> </w:t>
      </w:r>
    </w:p>
    <w:p w:rsidR="000F0FEB" w:rsidRDefault="000F0FEB" w:rsidP="00F8337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F8337A">
        <w:rPr>
          <w:rFonts w:ascii="Arial" w:hAnsi="Arial" w:cs="Arial"/>
          <w:sz w:val="24"/>
          <w:szCs w:val="24"/>
        </w:rPr>
        <w:t xml:space="preserve">The court concluded that the officer in the blue uniform was </w:t>
      </w:r>
      <w:r w:rsidR="00C71FAA">
        <w:rPr>
          <w:rFonts w:ascii="Arial" w:hAnsi="Arial" w:cs="Arial"/>
          <w:sz w:val="24"/>
          <w:szCs w:val="24"/>
        </w:rPr>
        <w:t xml:space="preserve">third respondent </w:t>
      </w:r>
      <w:r w:rsidR="00F8337A">
        <w:rPr>
          <w:rFonts w:ascii="Arial" w:hAnsi="Arial" w:cs="Arial"/>
          <w:sz w:val="24"/>
          <w:szCs w:val="24"/>
        </w:rPr>
        <w:t>despite the fact that not all the witnesses identified him at the i</w:t>
      </w:r>
      <w:r w:rsidR="00410A9E">
        <w:rPr>
          <w:rFonts w:ascii="Arial" w:hAnsi="Arial" w:cs="Arial"/>
          <w:sz w:val="24"/>
          <w:szCs w:val="24"/>
        </w:rPr>
        <w:t xml:space="preserve">dentification parade. Mr Matota, counsel for the applicant </w:t>
      </w:r>
      <w:r w:rsidR="00F8337A">
        <w:rPr>
          <w:rFonts w:ascii="Arial" w:hAnsi="Arial" w:cs="Arial"/>
          <w:sz w:val="24"/>
          <w:szCs w:val="24"/>
        </w:rPr>
        <w:t>reasoned that the court contradicted itself by finding that the office</w:t>
      </w:r>
      <w:r w:rsidR="0071384A">
        <w:rPr>
          <w:rFonts w:ascii="Arial" w:hAnsi="Arial" w:cs="Arial"/>
          <w:sz w:val="24"/>
          <w:szCs w:val="24"/>
        </w:rPr>
        <w:t>r</w:t>
      </w:r>
      <w:r w:rsidR="00F8337A">
        <w:rPr>
          <w:rFonts w:ascii="Arial" w:hAnsi="Arial" w:cs="Arial"/>
          <w:sz w:val="24"/>
          <w:szCs w:val="24"/>
        </w:rPr>
        <w:t xml:space="preserve"> in blue uniform described by the state witnesses to have assaulted the deceased was indeed the third respondent</w:t>
      </w:r>
      <w:r w:rsidR="009B693E">
        <w:rPr>
          <w:rFonts w:ascii="Arial" w:hAnsi="Arial" w:cs="Arial"/>
          <w:sz w:val="24"/>
          <w:szCs w:val="24"/>
        </w:rPr>
        <w:t xml:space="preserve"> and having done so incorrectly discharged him</w:t>
      </w:r>
      <w:r w:rsidR="00F8337A">
        <w:rPr>
          <w:rFonts w:ascii="Arial" w:hAnsi="Arial" w:cs="Arial"/>
          <w:sz w:val="24"/>
          <w:szCs w:val="24"/>
        </w:rPr>
        <w:t>.</w:t>
      </w:r>
    </w:p>
    <w:p w:rsidR="00FA7AA9" w:rsidRDefault="000F0FEB" w:rsidP="00F8337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F8337A">
        <w:rPr>
          <w:rFonts w:ascii="Arial" w:hAnsi="Arial" w:cs="Arial"/>
          <w:sz w:val="24"/>
          <w:szCs w:val="24"/>
        </w:rPr>
        <w:t xml:space="preserve"> There are two factual issues. The first </w:t>
      </w:r>
      <w:r w:rsidR="00410A9E">
        <w:rPr>
          <w:rFonts w:ascii="Arial" w:hAnsi="Arial" w:cs="Arial"/>
          <w:sz w:val="24"/>
          <w:szCs w:val="24"/>
        </w:rPr>
        <w:t xml:space="preserve">factual issue is </w:t>
      </w:r>
      <w:r w:rsidR="00FA7AA9">
        <w:rPr>
          <w:rFonts w:ascii="Arial" w:hAnsi="Arial" w:cs="Arial"/>
          <w:sz w:val="24"/>
          <w:szCs w:val="24"/>
        </w:rPr>
        <w:t xml:space="preserve">the </w:t>
      </w:r>
      <w:r w:rsidR="00F8337A">
        <w:rPr>
          <w:rFonts w:ascii="Arial" w:hAnsi="Arial" w:cs="Arial"/>
          <w:sz w:val="24"/>
          <w:szCs w:val="24"/>
        </w:rPr>
        <w:t xml:space="preserve">identity of </w:t>
      </w:r>
      <w:r w:rsidR="00410A9E">
        <w:rPr>
          <w:rFonts w:ascii="Arial" w:hAnsi="Arial" w:cs="Arial"/>
          <w:sz w:val="24"/>
          <w:szCs w:val="24"/>
        </w:rPr>
        <w:t xml:space="preserve">the third respondent </w:t>
      </w:r>
      <w:r w:rsidR="00F8337A">
        <w:rPr>
          <w:rFonts w:ascii="Arial" w:hAnsi="Arial" w:cs="Arial"/>
          <w:sz w:val="24"/>
          <w:szCs w:val="24"/>
        </w:rPr>
        <w:t xml:space="preserve">and the second factual issue </w:t>
      </w:r>
      <w:r w:rsidR="00410A9E">
        <w:rPr>
          <w:rFonts w:ascii="Arial" w:hAnsi="Arial" w:cs="Arial"/>
          <w:sz w:val="24"/>
          <w:szCs w:val="24"/>
        </w:rPr>
        <w:t>is</w:t>
      </w:r>
      <w:r w:rsidR="00F8337A">
        <w:rPr>
          <w:rFonts w:ascii="Arial" w:hAnsi="Arial" w:cs="Arial"/>
          <w:sz w:val="24"/>
          <w:szCs w:val="24"/>
        </w:rPr>
        <w:t xml:space="preserve"> </w:t>
      </w:r>
      <w:r w:rsidR="009B693E">
        <w:rPr>
          <w:rFonts w:ascii="Arial" w:hAnsi="Arial" w:cs="Arial"/>
          <w:sz w:val="24"/>
          <w:szCs w:val="24"/>
        </w:rPr>
        <w:t xml:space="preserve">whether </w:t>
      </w:r>
      <w:r w:rsidR="00410A9E">
        <w:rPr>
          <w:rFonts w:ascii="Arial" w:hAnsi="Arial" w:cs="Arial"/>
          <w:sz w:val="24"/>
          <w:szCs w:val="24"/>
        </w:rPr>
        <w:t xml:space="preserve">he is </w:t>
      </w:r>
      <w:r w:rsidR="009B693E">
        <w:rPr>
          <w:rFonts w:ascii="Arial" w:hAnsi="Arial" w:cs="Arial"/>
          <w:sz w:val="24"/>
          <w:szCs w:val="24"/>
        </w:rPr>
        <w:t>guilty of murder</w:t>
      </w:r>
      <w:r w:rsidR="00F8337A">
        <w:rPr>
          <w:rFonts w:ascii="Arial" w:hAnsi="Arial" w:cs="Arial"/>
          <w:sz w:val="24"/>
          <w:szCs w:val="24"/>
        </w:rPr>
        <w:t>.</w:t>
      </w:r>
      <w:r w:rsidR="00FA7AA9" w:rsidRPr="00FA7AA9">
        <w:rPr>
          <w:rFonts w:ascii="Arial" w:hAnsi="Arial" w:cs="Arial"/>
          <w:sz w:val="24"/>
          <w:szCs w:val="24"/>
        </w:rPr>
        <w:t xml:space="preserve"> The purpose of the identification </w:t>
      </w:r>
      <w:r w:rsidR="00FA7AA9">
        <w:rPr>
          <w:rFonts w:ascii="Arial" w:hAnsi="Arial" w:cs="Arial"/>
          <w:sz w:val="24"/>
          <w:szCs w:val="24"/>
        </w:rPr>
        <w:t>parade is to identify the accused</w:t>
      </w:r>
      <w:r w:rsidR="009B693E">
        <w:rPr>
          <w:rFonts w:ascii="Arial" w:hAnsi="Arial" w:cs="Arial"/>
          <w:sz w:val="24"/>
          <w:szCs w:val="24"/>
        </w:rPr>
        <w:t xml:space="preserve"> and it cannot be said that the court failed to take into consideration the identification parade when the court </w:t>
      </w:r>
      <w:r w:rsidR="00F8337A">
        <w:rPr>
          <w:rFonts w:ascii="Arial" w:hAnsi="Arial" w:cs="Arial"/>
          <w:sz w:val="24"/>
          <w:szCs w:val="24"/>
        </w:rPr>
        <w:t xml:space="preserve">was satisfied that the identity </w:t>
      </w:r>
      <w:r w:rsidR="0071384A">
        <w:rPr>
          <w:rFonts w:ascii="Arial" w:hAnsi="Arial" w:cs="Arial"/>
          <w:sz w:val="24"/>
          <w:szCs w:val="24"/>
        </w:rPr>
        <w:t>of the third</w:t>
      </w:r>
      <w:r w:rsidR="00FA7AA9">
        <w:rPr>
          <w:rFonts w:ascii="Arial" w:hAnsi="Arial" w:cs="Arial"/>
          <w:sz w:val="24"/>
          <w:szCs w:val="24"/>
        </w:rPr>
        <w:t xml:space="preserve"> respondent </w:t>
      </w:r>
      <w:r w:rsidR="00F8337A">
        <w:rPr>
          <w:rFonts w:ascii="Arial" w:hAnsi="Arial" w:cs="Arial"/>
          <w:sz w:val="24"/>
          <w:szCs w:val="24"/>
        </w:rPr>
        <w:t xml:space="preserve">was </w:t>
      </w:r>
      <w:r w:rsidR="00FA7AA9">
        <w:rPr>
          <w:rFonts w:ascii="Arial" w:hAnsi="Arial" w:cs="Arial"/>
          <w:sz w:val="24"/>
          <w:szCs w:val="24"/>
        </w:rPr>
        <w:t xml:space="preserve">satisfactorily </w:t>
      </w:r>
      <w:r w:rsidR="00F8337A">
        <w:rPr>
          <w:rFonts w:ascii="Arial" w:hAnsi="Arial" w:cs="Arial"/>
          <w:sz w:val="24"/>
          <w:szCs w:val="24"/>
        </w:rPr>
        <w:t>proven</w:t>
      </w:r>
      <w:r w:rsidR="009B693E">
        <w:rPr>
          <w:rFonts w:ascii="Arial" w:hAnsi="Arial" w:cs="Arial"/>
          <w:sz w:val="24"/>
          <w:szCs w:val="24"/>
        </w:rPr>
        <w:t xml:space="preserve">. </w:t>
      </w:r>
      <w:r w:rsidR="00FA7AA9" w:rsidRPr="00FA7AA9">
        <w:rPr>
          <w:rFonts w:ascii="Arial" w:hAnsi="Arial" w:cs="Arial"/>
          <w:sz w:val="24"/>
          <w:szCs w:val="24"/>
        </w:rPr>
        <w:t xml:space="preserve">  </w:t>
      </w:r>
      <w:r w:rsidR="00E15801">
        <w:rPr>
          <w:rFonts w:ascii="Arial" w:hAnsi="Arial" w:cs="Arial"/>
          <w:sz w:val="24"/>
          <w:szCs w:val="24"/>
        </w:rPr>
        <w:t xml:space="preserve">  </w:t>
      </w:r>
    </w:p>
    <w:p w:rsidR="00E15801" w:rsidRDefault="00E15801" w:rsidP="00F8337A">
      <w:pPr>
        <w:spacing w:line="360" w:lineRule="auto"/>
        <w:jc w:val="both"/>
        <w:rPr>
          <w:rFonts w:ascii="Arial" w:hAnsi="Arial" w:cs="Arial"/>
          <w:sz w:val="24"/>
          <w:szCs w:val="24"/>
        </w:rPr>
      </w:pPr>
    </w:p>
    <w:p w:rsidR="00F8337A" w:rsidRDefault="00FA7AA9" w:rsidP="00F8337A">
      <w:pPr>
        <w:spacing w:line="360" w:lineRule="auto"/>
        <w:jc w:val="both"/>
        <w:rPr>
          <w:rFonts w:ascii="Arial" w:hAnsi="Arial" w:cs="Arial"/>
          <w:sz w:val="24"/>
          <w:szCs w:val="24"/>
        </w:rPr>
      </w:pPr>
      <w:r w:rsidRPr="00FA7AA9">
        <w:rPr>
          <w:rFonts w:ascii="Arial" w:hAnsi="Arial" w:cs="Arial"/>
          <w:sz w:val="24"/>
          <w:szCs w:val="24"/>
        </w:rPr>
        <w:lastRenderedPageBreak/>
        <w:t>[7]</w:t>
      </w:r>
      <w:r w:rsidRPr="00FA7AA9">
        <w:rPr>
          <w:rFonts w:ascii="Arial" w:hAnsi="Arial" w:cs="Arial"/>
          <w:sz w:val="24"/>
          <w:szCs w:val="24"/>
        </w:rPr>
        <w:tab/>
      </w:r>
      <w:r w:rsidR="000F0FEB">
        <w:rPr>
          <w:rFonts w:ascii="Arial" w:hAnsi="Arial" w:cs="Arial"/>
          <w:sz w:val="24"/>
          <w:szCs w:val="24"/>
        </w:rPr>
        <w:t xml:space="preserve">The issue which the court found was not proven beyond reasonable doubt is </w:t>
      </w:r>
      <w:r w:rsidR="009B693E">
        <w:rPr>
          <w:rFonts w:ascii="Arial" w:hAnsi="Arial" w:cs="Arial"/>
          <w:sz w:val="24"/>
          <w:szCs w:val="24"/>
        </w:rPr>
        <w:t xml:space="preserve">whether the </w:t>
      </w:r>
      <w:r w:rsidR="000F0FEB">
        <w:rPr>
          <w:rFonts w:ascii="Arial" w:hAnsi="Arial" w:cs="Arial"/>
          <w:sz w:val="24"/>
          <w:szCs w:val="24"/>
        </w:rPr>
        <w:t xml:space="preserve">conduct of </w:t>
      </w:r>
      <w:r w:rsidR="00410A9E">
        <w:rPr>
          <w:rFonts w:ascii="Arial" w:hAnsi="Arial" w:cs="Arial"/>
          <w:sz w:val="24"/>
          <w:szCs w:val="24"/>
        </w:rPr>
        <w:t xml:space="preserve">third </w:t>
      </w:r>
      <w:r w:rsidR="000F0FEB">
        <w:rPr>
          <w:rFonts w:ascii="Arial" w:hAnsi="Arial" w:cs="Arial"/>
          <w:sz w:val="24"/>
          <w:szCs w:val="24"/>
        </w:rPr>
        <w:t>respondent</w:t>
      </w:r>
      <w:r w:rsidR="009B693E">
        <w:rPr>
          <w:rFonts w:ascii="Arial" w:hAnsi="Arial" w:cs="Arial"/>
          <w:sz w:val="24"/>
          <w:szCs w:val="24"/>
        </w:rPr>
        <w:t xml:space="preserve"> amounted to murder or any of the competent verdicts</w:t>
      </w:r>
      <w:r w:rsidR="000F0FEB">
        <w:rPr>
          <w:rFonts w:ascii="Arial" w:hAnsi="Arial" w:cs="Arial"/>
          <w:sz w:val="24"/>
          <w:szCs w:val="24"/>
        </w:rPr>
        <w:t xml:space="preserve">. The State had to prove this fact by means of credible evidence. </w:t>
      </w:r>
    </w:p>
    <w:p w:rsidR="00E15801" w:rsidRDefault="00E15801" w:rsidP="00F8337A">
      <w:pPr>
        <w:spacing w:line="360" w:lineRule="auto"/>
        <w:jc w:val="both"/>
        <w:rPr>
          <w:rFonts w:ascii="Arial" w:hAnsi="Arial" w:cs="Arial"/>
          <w:sz w:val="24"/>
          <w:szCs w:val="24"/>
        </w:rPr>
      </w:pPr>
    </w:p>
    <w:p w:rsidR="001C7BAB" w:rsidRDefault="00FA7AA9" w:rsidP="00606BE8">
      <w:pPr>
        <w:spacing w:line="360" w:lineRule="auto"/>
        <w:jc w:val="both"/>
        <w:rPr>
          <w:rFonts w:ascii="Arial" w:hAnsi="Arial" w:cs="Arial"/>
          <w:sz w:val="24"/>
          <w:szCs w:val="24"/>
        </w:rPr>
      </w:pPr>
      <w:r w:rsidRPr="00606BE8">
        <w:rPr>
          <w:rFonts w:ascii="Arial" w:hAnsi="Arial" w:cs="Arial"/>
          <w:sz w:val="24"/>
          <w:szCs w:val="24"/>
        </w:rPr>
        <w:t>[</w:t>
      </w:r>
      <w:r w:rsidR="00606BE8" w:rsidRPr="00606BE8">
        <w:rPr>
          <w:rFonts w:ascii="Arial" w:hAnsi="Arial" w:cs="Arial"/>
          <w:sz w:val="24"/>
          <w:szCs w:val="24"/>
        </w:rPr>
        <w:t>8</w:t>
      </w:r>
      <w:r w:rsidRPr="00606BE8">
        <w:rPr>
          <w:rFonts w:ascii="Arial" w:hAnsi="Arial" w:cs="Arial"/>
          <w:sz w:val="24"/>
          <w:szCs w:val="24"/>
        </w:rPr>
        <w:t>]</w:t>
      </w:r>
      <w:r w:rsidR="00606BE8" w:rsidRPr="00606BE8">
        <w:rPr>
          <w:rFonts w:ascii="Arial" w:hAnsi="Arial" w:cs="Arial"/>
          <w:sz w:val="24"/>
          <w:szCs w:val="24"/>
        </w:rPr>
        <w:tab/>
        <w:t xml:space="preserve">The </w:t>
      </w:r>
      <w:r w:rsidR="00AD7688" w:rsidRPr="00606BE8">
        <w:rPr>
          <w:rFonts w:ascii="Arial" w:hAnsi="Arial" w:cs="Arial"/>
          <w:sz w:val="24"/>
          <w:szCs w:val="24"/>
        </w:rPr>
        <w:t xml:space="preserve">witnesses who testified about what transpired in the open area not only contradicted each other </w:t>
      </w:r>
      <w:r w:rsidR="009B693E">
        <w:rPr>
          <w:rFonts w:ascii="Arial" w:hAnsi="Arial" w:cs="Arial"/>
          <w:sz w:val="24"/>
          <w:szCs w:val="24"/>
        </w:rPr>
        <w:t xml:space="preserve">in respect of the number and severity of blows but also the part of the body which the </w:t>
      </w:r>
      <w:r w:rsidR="0071384A">
        <w:rPr>
          <w:rFonts w:ascii="Arial" w:hAnsi="Arial" w:cs="Arial"/>
          <w:sz w:val="24"/>
          <w:szCs w:val="24"/>
        </w:rPr>
        <w:t>third</w:t>
      </w:r>
      <w:r w:rsidR="009B693E">
        <w:rPr>
          <w:rFonts w:ascii="Arial" w:hAnsi="Arial" w:cs="Arial"/>
          <w:sz w:val="24"/>
          <w:szCs w:val="24"/>
        </w:rPr>
        <w:t xml:space="preserve"> respondent allegedly assaulted. </w:t>
      </w:r>
      <w:r w:rsidR="00410A9E">
        <w:rPr>
          <w:rFonts w:ascii="Arial" w:hAnsi="Arial" w:cs="Arial"/>
          <w:sz w:val="24"/>
          <w:szCs w:val="24"/>
        </w:rPr>
        <w:t>One of the witnesses even testified that the officer in blue uniform did not assault the deceased but merely pushed him down. These are material contradictions.</w:t>
      </w:r>
    </w:p>
    <w:p w:rsidR="00E15801" w:rsidRDefault="00E15801" w:rsidP="00606BE8">
      <w:pPr>
        <w:spacing w:line="360" w:lineRule="auto"/>
        <w:jc w:val="both"/>
        <w:rPr>
          <w:rFonts w:ascii="Arial" w:hAnsi="Arial" w:cs="Arial"/>
          <w:sz w:val="24"/>
          <w:szCs w:val="24"/>
        </w:rPr>
      </w:pPr>
    </w:p>
    <w:p w:rsidR="001C7BAB" w:rsidRDefault="001C7BAB" w:rsidP="001C7BA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4B2F9B" w:rsidRPr="00606BE8">
        <w:rPr>
          <w:rFonts w:ascii="Arial" w:hAnsi="Arial" w:cs="Arial"/>
          <w:sz w:val="24"/>
          <w:szCs w:val="24"/>
        </w:rPr>
        <w:t>The court was in a position to observe the</w:t>
      </w:r>
      <w:r w:rsidR="00606BE8">
        <w:rPr>
          <w:rFonts w:ascii="Arial" w:hAnsi="Arial" w:cs="Arial"/>
          <w:sz w:val="24"/>
          <w:szCs w:val="24"/>
        </w:rPr>
        <w:t>se</w:t>
      </w:r>
      <w:r w:rsidR="004B2F9B" w:rsidRPr="00606BE8">
        <w:rPr>
          <w:rFonts w:ascii="Arial" w:hAnsi="Arial" w:cs="Arial"/>
          <w:sz w:val="24"/>
          <w:szCs w:val="24"/>
        </w:rPr>
        <w:t xml:space="preserve"> witnesses</w:t>
      </w:r>
      <w:r w:rsidR="00606BE8">
        <w:rPr>
          <w:rFonts w:ascii="Arial" w:hAnsi="Arial" w:cs="Arial"/>
          <w:sz w:val="24"/>
          <w:szCs w:val="24"/>
        </w:rPr>
        <w:t xml:space="preserve"> and </w:t>
      </w:r>
      <w:r w:rsidR="005370C6">
        <w:rPr>
          <w:rFonts w:ascii="Arial" w:hAnsi="Arial" w:cs="Arial"/>
          <w:sz w:val="24"/>
          <w:szCs w:val="24"/>
        </w:rPr>
        <w:t xml:space="preserve">it is evident that the court was alive to its duty to assess the </w:t>
      </w:r>
      <w:r w:rsidR="004B2F9B" w:rsidRPr="00606BE8">
        <w:rPr>
          <w:rFonts w:ascii="Arial" w:hAnsi="Arial" w:cs="Arial"/>
          <w:sz w:val="24"/>
          <w:szCs w:val="24"/>
        </w:rPr>
        <w:t>nature and number of these contradictions</w:t>
      </w:r>
      <w:r w:rsidR="005370C6">
        <w:rPr>
          <w:rFonts w:ascii="Arial" w:hAnsi="Arial" w:cs="Arial"/>
          <w:sz w:val="24"/>
          <w:szCs w:val="24"/>
        </w:rPr>
        <w:t>. The fact of the matter is that the contradictions made</w:t>
      </w:r>
      <w:r w:rsidR="004B2F9B" w:rsidRPr="00606BE8">
        <w:rPr>
          <w:rFonts w:ascii="Arial" w:hAnsi="Arial" w:cs="Arial"/>
          <w:sz w:val="24"/>
          <w:szCs w:val="24"/>
        </w:rPr>
        <w:t xml:space="preserve"> it unsafe for the trier of fact to rely on it for a conviction.  </w:t>
      </w:r>
      <w:r w:rsidRPr="00606BE8">
        <w:rPr>
          <w:rFonts w:ascii="Arial" w:hAnsi="Arial" w:cs="Arial"/>
          <w:sz w:val="24"/>
          <w:szCs w:val="24"/>
        </w:rPr>
        <w:t xml:space="preserve">The court </w:t>
      </w:r>
      <w:r>
        <w:rPr>
          <w:rFonts w:ascii="Arial" w:hAnsi="Arial" w:cs="Arial"/>
          <w:sz w:val="24"/>
          <w:szCs w:val="24"/>
        </w:rPr>
        <w:t xml:space="preserve">carefully </w:t>
      </w:r>
      <w:r w:rsidRPr="00606BE8">
        <w:rPr>
          <w:rFonts w:ascii="Arial" w:hAnsi="Arial" w:cs="Arial"/>
          <w:sz w:val="24"/>
          <w:szCs w:val="24"/>
        </w:rPr>
        <w:t xml:space="preserve">considered </w:t>
      </w:r>
      <w:r>
        <w:rPr>
          <w:rFonts w:ascii="Arial" w:hAnsi="Arial" w:cs="Arial"/>
          <w:sz w:val="24"/>
          <w:szCs w:val="24"/>
        </w:rPr>
        <w:t>t</w:t>
      </w:r>
      <w:r w:rsidRPr="00606BE8">
        <w:rPr>
          <w:rFonts w:ascii="Arial" w:hAnsi="Arial" w:cs="Arial"/>
          <w:sz w:val="24"/>
          <w:szCs w:val="24"/>
        </w:rPr>
        <w:t>he m</w:t>
      </w:r>
      <w:r>
        <w:rPr>
          <w:rFonts w:ascii="Arial" w:hAnsi="Arial" w:cs="Arial"/>
          <w:sz w:val="24"/>
          <w:szCs w:val="24"/>
        </w:rPr>
        <w:t xml:space="preserve">aterial </w:t>
      </w:r>
      <w:r w:rsidRPr="00606BE8">
        <w:rPr>
          <w:rFonts w:ascii="Arial" w:hAnsi="Arial" w:cs="Arial"/>
          <w:sz w:val="24"/>
          <w:szCs w:val="24"/>
        </w:rPr>
        <w:t>contradictions</w:t>
      </w:r>
      <w:r w:rsidR="00410A9E">
        <w:rPr>
          <w:rFonts w:ascii="Arial" w:hAnsi="Arial" w:cs="Arial"/>
          <w:sz w:val="24"/>
          <w:szCs w:val="24"/>
        </w:rPr>
        <w:t>.</w:t>
      </w:r>
      <w:r w:rsidRPr="00606BE8">
        <w:rPr>
          <w:rFonts w:ascii="Arial" w:hAnsi="Arial" w:cs="Arial"/>
          <w:sz w:val="24"/>
          <w:szCs w:val="24"/>
        </w:rPr>
        <w:t xml:space="preserve"> More contradictions were highlighted by counsel for </w:t>
      </w:r>
      <w:r w:rsidR="00C71FAA">
        <w:rPr>
          <w:rFonts w:ascii="Arial" w:hAnsi="Arial" w:cs="Arial"/>
          <w:sz w:val="24"/>
          <w:szCs w:val="24"/>
        </w:rPr>
        <w:t>third respondent.</w:t>
      </w:r>
      <w:r w:rsidRPr="00606BE8">
        <w:rPr>
          <w:rFonts w:ascii="Arial" w:hAnsi="Arial" w:cs="Arial"/>
          <w:sz w:val="24"/>
          <w:szCs w:val="24"/>
        </w:rPr>
        <w:t xml:space="preserve"> </w:t>
      </w:r>
    </w:p>
    <w:p w:rsidR="00E15801" w:rsidRDefault="00E15801" w:rsidP="001C7BAB">
      <w:pPr>
        <w:spacing w:line="360" w:lineRule="auto"/>
        <w:jc w:val="both"/>
        <w:rPr>
          <w:rFonts w:ascii="Arial" w:hAnsi="Arial" w:cs="Arial"/>
          <w:sz w:val="24"/>
          <w:szCs w:val="24"/>
        </w:rPr>
      </w:pPr>
    </w:p>
    <w:p w:rsidR="00606BE8" w:rsidRDefault="00606BE8" w:rsidP="00606BE8">
      <w:pPr>
        <w:spacing w:line="360" w:lineRule="auto"/>
        <w:jc w:val="both"/>
        <w:rPr>
          <w:rFonts w:ascii="Arial" w:hAnsi="Arial" w:cs="Arial"/>
          <w:sz w:val="24"/>
          <w:szCs w:val="24"/>
        </w:rPr>
      </w:pPr>
      <w:r>
        <w:rPr>
          <w:rFonts w:ascii="Arial" w:hAnsi="Arial" w:cs="Arial"/>
          <w:sz w:val="24"/>
          <w:szCs w:val="24"/>
        </w:rPr>
        <w:t>[</w:t>
      </w:r>
      <w:r w:rsidR="001C7BAB">
        <w:rPr>
          <w:rFonts w:ascii="Arial" w:hAnsi="Arial" w:cs="Arial"/>
          <w:sz w:val="24"/>
          <w:szCs w:val="24"/>
        </w:rPr>
        <w:t>10</w:t>
      </w:r>
      <w:r>
        <w:rPr>
          <w:rFonts w:ascii="Arial" w:hAnsi="Arial" w:cs="Arial"/>
          <w:sz w:val="24"/>
          <w:szCs w:val="24"/>
        </w:rPr>
        <w:t>]</w:t>
      </w:r>
      <w:r>
        <w:rPr>
          <w:rFonts w:ascii="Arial" w:hAnsi="Arial" w:cs="Arial"/>
          <w:sz w:val="24"/>
          <w:szCs w:val="24"/>
        </w:rPr>
        <w:tab/>
        <w:t xml:space="preserve">The court, based on the many </w:t>
      </w:r>
      <w:r w:rsidR="005370C6">
        <w:rPr>
          <w:rFonts w:ascii="Arial" w:hAnsi="Arial" w:cs="Arial"/>
          <w:sz w:val="24"/>
          <w:szCs w:val="24"/>
        </w:rPr>
        <w:t xml:space="preserve">material </w:t>
      </w:r>
      <w:r>
        <w:rPr>
          <w:rFonts w:ascii="Arial" w:hAnsi="Arial" w:cs="Arial"/>
          <w:sz w:val="24"/>
          <w:szCs w:val="24"/>
        </w:rPr>
        <w:t>contradictions between the testimonies of the various state witnesses concluded that the State failed</w:t>
      </w:r>
      <w:r w:rsidR="0071384A">
        <w:rPr>
          <w:rFonts w:ascii="Arial" w:hAnsi="Arial" w:cs="Arial"/>
          <w:sz w:val="24"/>
          <w:szCs w:val="24"/>
        </w:rPr>
        <w:t xml:space="preserve"> to</w:t>
      </w:r>
      <w:r>
        <w:rPr>
          <w:rFonts w:ascii="Arial" w:hAnsi="Arial" w:cs="Arial"/>
          <w:sz w:val="24"/>
          <w:szCs w:val="24"/>
        </w:rPr>
        <w:t xml:space="preserve"> prove beyond reasonable doubt that there was</w:t>
      </w:r>
      <w:r w:rsidR="0071384A">
        <w:rPr>
          <w:rFonts w:ascii="Arial" w:hAnsi="Arial" w:cs="Arial"/>
          <w:sz w:val="24"/>
          <w:szCs w:val="24"/>
        </w:rPr>
        <w:t xml:space="preserve"> an assault on the deceased by third </w:t>
      </w:r>
      <w:r>
        <w:rPr>
          <w:rFonts w:ascii="Arial" w:hAnsi="Arial" w:cs="Arial"/>
          <w:sz w:val="24"/>
          <w:szCs w:val="24"/>
        </w:rPr>
        <w:t xml:space="preserve">respondent i.e that he unlawfully and intentionally assaulted the deceased. </w:t>
      </w:r>
    </w:p>
    <w:p w:rsidR="00E15801" w:rsidRDefault="00E15801" w:rsidP="00606BE8">
      <w:pPr>
        <w:spacing w:line="360" w:lineRule="auto"/>
        <w:jc w:val="both"/>
        <w:rPr>
          <w:rFonts w:ascii="Arial" w:hAnsi="Arial" w:cs="Arial"/>
          <w:sz w:val="24"/>
          <w:szCs w:val="24"/>
        </w:rPr>
      </w:pPr>
    </w:p>
    <w:p w:rsidR="00606BE8" w:rsidRDefault="00606BE8" w:rsidP="00606BE8">
      <w:pPr>
        <w:spacing w:line="360" w:lineRule="auto"/>
        <w:jc w:val="both"/>
        <w:rPr>
          <w:rFonts w:ascii="Arial" w:hAnsi="Arial" w:cs="Arial"/>
          <w:sz w:val="24"/>
          <w:szCs w:val="24"/>
        </w:rPr>
      </w:pPr>
      <w:r>
        <w:rPr>
          <w:rFonts w:ascii="Arial" w:hAnsi="Arial" w:cs="Arial"/>
          <w:sz w:val="24"/>
          <w:szCs w:val="24"/>
        </w:rPr>
        <w:t>[1</w:t>
      </w:r>
      <w:r w:rsidR="00FA5B1F">
        <w:rPr>
          <w:rFonts w:ascii="Arial" w:hAnsi="Arial" w:cs="Arial"/>
          <w:sz w:val="24"/>
          <w:szCs w:val="24"/>
        </w:rPr>
        <w:t>1</w:t>
      </w:r>
      <w:r>
        <w:rPr>
          <w:rFonts w:ascii="Arial" w:hAnsi="Arial" w:cs="Arial"/>
          <w:sz w:val="24"/>
          <w:szCs w:val="24"/>
        </w:rPr>
        <w:t>]</w:t>
      </w:r>
      <w:r>
        <w:rPr>
          <w:rFonts w:ascii="Arial" w:hAnsi="Arial" w:cs="Arial"/>
          <w:sz w:val="24"/>
          <w:szCs w:val="24"/>
        </w:rPr>
        <w:tab/>
        <w:t xml:space="preserve">For these reasons I am of the considered view that there are no reasonable prospects that the applicant would succeed on these grounds. </w:t>
      </w:r>
    </w:p>
    <w:p w:rsidR="00606BE8" w:rsidRDefault="005370C6" w:rsidP="00606BE8">
      <w:pPr>
        <w:spacing w:line="360" w:lineRule="auto"/>
        <w:jc w:val="both"/>
        <w:rPr>
          <w:rFonts w:ascii="Arial" w:hAnsi="Arial" w:cs="Arial"/>
          <w:sz w:val="24"/>
          <w:szCs w:val="24"/>
          <w:u w:val="single"/>
        </w:rPr>
      </w:pPr>
      <w:r w:rsidRPr="001C7BAB">
        <w:rPr>
          <w:rFonts w:ascii="Arial" w:hAnsi="Arial" w:cs="Arial"/>
          <w:sz w:val="24"/>
          <w:szCs w:val="24"/>
          <w:u w:val="single"/>
        </w:rPr>
        <w:t>Liability of the second and fourth respondents (Ground 2.6 – 2.10)</w:t>
      </w:r>
    </w:p>
    <w:p w:rsidR="007766F1" w:rsidRPr="001C7BAB" w:rsidRDefault="007766F1" w:rsidP="00606BE8">
      <w:pPr>
        <w:spacing w:line="360" w:lineRule="auto"/>
        <w:jc w:val="both"/>
        <w:rPr>
          <w:rFonts w:ascii="Arial" w:hAnsi="Arial" w:cs="Arial"/>
          <w:sz w:val="24"/>
          <w:szCs w:val="24"/>
          <w:u w:val="single"/>
        </w:rPr>
      </w:pPr>
    </w:p>
    <w:p w:rsidR="00C473A5" w:rsidRDefault="005370C6" w:rsidP="005370C6">
      <w:pPr>
        <w:spacing w:line="360" w:lineRule="auto"/>
        <w:jc w:val="both"/>
        <w:rPr>
          <w:rFonts w:ascii="Arial" w:hAnsi="Arial" w:cs="Arial"/>
          <w:sz w:val="24"/>
          <w:szCs w:val="24"/>
        </w:rPr>
      </w:pPr>
      <w:r>
        <w:rPr>
          <w:rFonts w:ascii="Arial" w:hAnsi="Arial" w:cs="Arial"/>
          <w:sz w:val="24"/>
          <w:szCs w:val="24"/>
        </w:rPr>
        <w:t>[1</w:t>
      </w:r>
      <w:r w:rsidR="00FA5B1F">
        <w:rPr>
          <w:rFonts w:ascii="Arial" w:hAnsi="Arial" w:cs="Arial"/>
          <w:sz w:val="24"/>
          <w:szCs w:val="24"/>
        </w:rPr>
        <w:t>2</w:t>
      </w:r>
      <w:r>
        <w:rPr>
          <w:rFonts w:ascii="Arial" w:hAnsi="Arial" w:cs="Arial"/>
          <w:sz w:val="24"/>
          <w:szCs w:val="24"/>
        </w:rPr>
        <w:t>]</w:t>
      </w:r>
      <w:r w:rsidR="004B2F9B">
        <w:rPr>
          <w:rFonts w:ascii="Arial" w:hAnsi="Arial" w:cs="Arial"/>
          <w:sz w:val="24"/>
          <w:szCs w:val="24"/>
        </w:rPr>
        <w:tab/>
      </w:r>
      <w:r w:rsidR="001C7BAB">
        <w:rPr>
          <w:rFonts w:ascii="Arial" w:hAnsi="Arial" w:cs="Arial"/>
          <w:sz w:val="24"/>
          <w:szCs w:val="24"/>
        </w:rPr>
        <w:t xml:space="preserve">The </w:t>
      </w:r>
      <w:r>
        <w:rPr>
          <w:rFonts w:ascii="Arial" w:hAnsi="Arial" w:cs="Arial"/>
          <w:sz w:val="24"/>
          <w:szCs w:val="24"/>
        </w:rPr>
        <w:t xml:space="preserve">applicant </w:t>
      </w:r>
      <w:r w:rsidR="001C7BAB">
        <w:rPr>
          <w:rFonts w:ascii="Arial" w:hAnsi="Arial" w:cs="Arial"/>
          <w:sz w:val="24"/>
          <w:szCs w:val="24"/>
        </w:rPr>
        <w:t xml:space="preserve">submitted </w:t>
      </w:r>
      <w:r>
        <w:rPr>
          <w:rFonts w:ascii="Arial" w:hAnsi="Arial" w:cs="Arial"/>
          <w:sz w:val="24"/>
          <w:szCs w:val="24"/>
        </w:rPr>
        <w:t xml:space="preserve">that the </w:t>
      </w:r>
      <w:r w:rsidR="00464240">
        <w:rPr>
          <w:rFonts w:ascii="Arial" w:hAnsi="Arial" w:cs="Arial"/>
          <w:sz w:val="24"/>
          <w:szCs w:val="24"/>
        </w:rPr>
        <w:t xml:space="preserve">court erred by finding that sergeant Tjiramba exaggerated or inaccurately or untruthfully recorded what the second respondent reported to her regarding the assault perpetrated by the first respondent on the </w:t>
      </w:r>
      <w:r w:rsidR="00464240">
        <w:rPr>
          <w:rFonts w:ascii="Arial" w:hAnsi="Arial" w:cs="Arial"/>
          <w:sz w:val="24"/>
          <w:szCs w:val="24"/>
        </w:rPr>
        <w:lastRenderedPageBreak/>
        <w:t>deceased, without any legal/actual basis for such a finding.</w:t>
      </w:r>
      <w:r w:rsidR="00C473A5">
        <w:rPr>
          <w:rFonts w:ascii="Arial" w:hAnsi="Arial" w:cs="Arial"/>
          <w:sz w:val="24"/>
          <w:szCs w:val="24"/>
        </w:rPr>
        <w:tab/>
      </w:r>
      <w:r w:rsidR="00C473A5" w:rsidRPr="005370C6">
        <w:rPr>
          <w:rFonts w:ascii="Arial" w:hAnsi="Arial" w:cs="Arial"/>
          <w:sz w:val="24"/>
          <w:szCs w:val="24"/>
        </w:rPr>
        <w:t>The factual basis for this conclusion is contained in paragraph 14</w:t>
      </w:r>
      <w:r>
        <w:rPr>
          <w:rFonts w:ascii="Arial" w:hAnsi="Arial" w:cs="Arial"/>
          <w:sz w:val="24"/>
          <w:szCs w:val="24"/>
        </w:rPr>
        <w:t xml:space="preserve"> of </w:t>
      </w:r>
      <w:r w:rsidR="001C7BAB">
        <w:rPr>
          <w:rFonts w:ascii="Arial" w:hAnsi="Arial" w:cs="Arial"/>
          <w:sz w:val="24"/>
          <w:szCs w:val="24"/>
        </w:rPr>
        <w:t xml:space="preserve">the court’s </w:t>
      </w:r>
      <w:r>
        <w:rPr>
          <w:rFonts w:ascii="Arial" w:hAnsi="Arial" w:cs="Arial"/>
          <w:sz w:val="24"/>
          <w:szCs w:val="24"/>
        </w:rPr>
        <w:t>judgment</w:t>
      </w:r>
      <w:r w:rsidR="00C473A5" w:rsidRPr="005370C6">
        <w:rPr>
          <w:rFonts w:ascii="Arial" w:hAnsi="Arial" w:cs="Arial"/>
          <w:sz w:val="24"/>
          <w:szCs w:val="24"/>
        </w:rPr>
        <w:t xml:space="preserve">. There is a major difference </w:t>
      </w:r>
      <w:r w:rsidR="00C473A5" w:rsidRPr="00EE419D">
        <w:rPr>
          <w:rFonts w:ascii="Arial" w:hAnsi="Arial" w:cs="Arial"/>
          <w:sz w:val="24"/>
          <w:szCs w:val="24"/>
        </w:rPr>
        <w:t>between “</w:t>
      </w:r>
      <w:r w:rsidR="00C473A5" w:rsidRPr="00EE419D">
        <w:rPr>
          <w:rFonts w:ascii="Arial" w:hAnsi="Arial" w:cs="Arial"/>
          <w:sz w:val="24"/>
          <w:szCs w:val="24"/>
          <w:u w:val="single"/>
        </w:rPr>
        <w:t>minimum force</w:t>
      </w:r>
      <w:r w:rsidR="00C473A5" w:rsidRPr="00EE419D">
        <w:rPr>
          <w:rFonts w:ascii="Arial" w:hAnsi="Arial" w:cs="Arial"/>
          <w:sz w:val="24"/>
          <w:szCs w:val="24"/>
        </w:rPr>
        <w:t>” and</w:t>
      </w:r>
      <w:r w:rsidR="00C473A5" w:rsidRPr="005370C6">
        <w:rPr>
          <w:rFonts w:ascii="Arial" w:hAnsi="Arial" w:cs="Arial"/>
          <w:sz w:val="24"/>
          <w:szCs w:val="24"/>
        </w:rPr>
        <w:t xml:space="preserve"> her evidence in court regarding the report she received from </w:t>
      </w:r>
      <w:r w:rsidR="001C7BAB">
        <w:rPr>
          <w:rFonts w:ascii="Arial" w:hAnsi="Arial" w:cs="Arial"/>
          <w:sz w:val="24"/>
          <w:szCs w:val="24"/>
        </w:rPr>
        <w:t>second respondent</w:t>
      </w:r>
      <w:r w:rsidR="00C473A5" w:rsidRPr="005370C6">
        <w:rPr>
          <w:rFonts w:ascii="Arial" w:hAnsi="Arial" w:cs="Arial"/>
          <w:sz w:val="24"/>
          <w:szCs w:val="24"/>
        </w:rPr>
        <w:t>.</w:t>
      </w:r>
      <w:r w:rsidR="001C7BAB">
        <w:rPr>
          <w:rFonts w:ascii="Arial" w:hAnsi="Arial" w:cs="Arial"/>
          <w:sz w:val="24"/>
          <w:szCs w:val="24"/>
        </w:rPr>
        <w:t xml:space="preserve"> </w:t>
      </w:r>
      <w:r w:rsidR="00C473A5" w:rsidRPr="005370C6">
        <w:rPr>
          <w:rFonts w:ascii="Arial" w:hAnsi="Arial" w:cs="Arial"/>
          <w:sz w:val="24"/>
          <w:szCs w:val="24"/>
        </w:rPr>
        <w:t xml:space="preserve">The conclusion is thus fact based. </w:t>
      </w:r>
    </w:p>
    <w:p w:rsidR="00E15801" w:rsidRPr="005370C6" w:rsidRDefault="00E15801" w:rsidP="005370C6">
      <w:pPr>
        <w:spacing w:line="360" w:lineRule="auto"/>
        <w:jc w:val="both"/>
        <w:rPr>
          <w:rFonts w:ascii="Arial" w:hAnsi="Arial" w:cs="Arial"/>
          <w:sz w:val="24"/>
          <w:szCs w:val="24"/>
        </w:rPr>
      </w:pPr>
    </w:p>
    <w:p w:rsidR="00FF0CDB" w:rsidRDefault="001C7BAB" w:rsidP="00FF0CDB">
      <w:pPr>
        <w:spacing w:line="360" w:lineRule="auto"/>
        <w:jc w:val="both"/>
        <w:rPr>
          <w:rFonts w:ascii="Arial" w:hAnsi="Arial" w:cs="Arial"/>
          <w:sz w:val="24"/>
          <w:szCs w:val="24"/>
        </w:rPr>
      </w:pPr>
      <w:r>
        <w:rPr>
          <w:rFonts w:ascii="Arial" w:hAnsi="Arial" w:cs="Arial"/>
          <w:sz w:val="24"/>
          <w:szCs w:val="24"/>
        </w:rPr>
        <w:t>[1</w:t>
      </w:r>
      <w:r w:rsidR="00FA5B1F">
        <w:rPr>
          <w:rFonts w:ascii="Arial" w:hAnsi="Arial" w:cs="Arial"/>
          <w:sz w:val="24"/>
          <w:szCs w:val="24"/>
        </w:rPr>
        <w:t>3</w:t>
      </w:r>
      <w:r>
        <w:rPr>
          <w:rFonts w:ascii="Arial" w:hAnsi="Arial" w:cs="Arial"/>
          <w:sz w:val="24"/>
          <w:szCs w:val="24"/>
        </w:rPr>
        <w:t>]</w:t>
      </w:r>
      <w:r w:rsidR="00CE084B">
        <w:rPr>
          <w:rFonts w:ascii="Arial" w:hAnsi="Arial" w:cs="Arial"/>
          <w:sz w:val="24"/>
          <w:szCs w:val="24"/>
        </w:rPr>
        <w:t xml:space="preserve"> </w:t>
      </w:r>
      <w:r w:rsidR="00C473A5">
        <w:rPr>
          <w:rFonts w:ascii="Arial" w:hAnsi="Arial" w:cs="Arial"/>
          <w:sz w:val="24"/>
          <w:szCs w:val="24"/>
        </w:rPr>
        <w:tab/>
      </w:r>
      <w:r w:rsidR="00FF0CDB">
        <w:rPr>
          <w:rFonts w:ascii="Arial" w:hAnsi="Arial" w:cs="Arial"/>
          <w:sz w:val="24"/>
          <w:szCs w:val="24"/>
        </w:rPr>
        <w:t xml:space="preserve">The applicant further raised the ground that the </w:t>
      </w:r>
      <w:r w:rsidR="00CE084B">
        <w:rPr>
          <w:rFonts w:ascii="Arial" w:hAnsi="Arial" w:cs="Arial"/>
          <w:sz w:val="24"/>
          <w:szCs w:val="24"/>
        </w:rPr>
        <w:t xml:space="preserve">court erred in law by finding that it is not clear what more was expected of the second respondent, who witnessed the assault being perpetrated on the deceased by the first and </w:t>
      </w:r>
      <w:r w:rsidR="007766F1">
        <w:rPr>
          <w:rFonts w:ascii="Arial" w:hAnsi="Arial" w:cs="Arial"/>
          <w:sz w:val="24"/>
          <w:szCs w:val="24"/>
        </w:rPr>
        <w:t>third</w:t>
      </w:r>
      <w:r w:rsidR="00CE084B">
        <w:rPr>
          <w:rFonts w:ascii="Arial" w:hAnsi="Arial" w:cs="Arial"/>
          <w:sz w:val="24"/>
          <w:szCs w:val="24"/>
        </w:rPr>
        <w:t xml:space="preserve"> respondents, </w:t>
      </w:r>
      <w:r w:rsidR="00FF0CDB">
        <w:rPr>
          <w:rFonts w:ascii="Arial" w:hAnsi="Arial" w:cs="Arial"/>
          <w:sz w:val="24"/>
          <w:szCs w:val="24"/>
        </w:rPr>
        <w:t xml:space="preserve">bearing in mind that members of the police have a duty of care, to fight crime and to protect life; and that </w:t>
      </w:r>
      <w:r w:rsidR="00CA065C">
        <w:rPr>
          <w:rFonts w:ascii="Arial" w:hAnsi="Arial" w:cs="Arial"/>
          <w:sz w:val="24"/>
          <w:szCs w:val="24"/>
        </w:rPr>
        <w:t>the second and fourth respondent, though they did not take part in the assault of the deceased, while he was be</w:t>
      </w:r>
      <w:r w:rsidR="007766F1">
        <w:rPr>
          <w:rFonts w:ascii="Arial" w:hAnsi="Arial" w:cs="Arial"/>
          <w:sz w:val="24"/>
          <w:szCs w:val="24"/>
        </w:rPr>
        <w:t>ing assaulted by the first and R</w:t>
      </w:r>
      <w:r w:rsidR="00CA065C">
        <w:rPr>
          <w:rFonts w:ascii="Arial" w:hAnsi="Arial" w:cs="Arial"/>
          <w:sz w:val="24"/>
          <w:szCs w:val="24"/>
        </w:rPr>
        <w:t>espondents, the second and fourth respondents could have been convicted on one of the three basis, namely</w:t>
      </w:r>
      <w:r>
        <w:rPr>
          <w:rFonts w:ascii="Arial" w:hAnsi="Arial" w:cs="Arial"/>
          <w:sz w:val="24"/>
          <w:szCs w:val="24"/>
        </w:rPr>
        <w:t>:</w:t>
      </w:r>
      <w:r w:rsidR="00FF0CDB">
        <w:rPr>
          <w:rFonts w:ascii="Arial" w:hAnsi="Arial" w:cs="Arial"/>
          <w:sz w:val="24"/>
          <w:szCs w:val="24"/>
        </w:rPr>
        <w:t xml:space="preserve"> </w:t>
      </w:r>
      <w:r w:rsidR="00CA065C">
        <w:rPr>
          <w:rFonts w:ascii="Arial" w:hAnsi="Arial" w:cs="Arial"/>
          <w:sz w:val="24"/>
          <w:szCs w:val="24"/>
        </w:rPr>
        <w:t xml:space="preserve"> </w:t>
      </w:r>
    </w:p>
    <w:p w:rsidR="00CA065C" w:rsidRPr="00410A9E" w:rsidRDefault="00410A9E" w:rsidP="00410A9E">
      <w:pPr>
        <w:spacing w:line="360" w:lineRule="auto"/>
        <w:ind w:left="720"/>
        <w:jc w:val="both"/>
        <w:rPr>
          <w:rFonts w:ascii="Arial" w:hAnsi="Arial" w:cs="Arial"/>
        </w:rPr>
      </w:pPr>
      <w:r>
        <w:rPr>
          <w:rFonts w:ascii="Arial" w:hAnsi="Arial" w:cs="Arial"/>
        </w:rPr>
        <w:t>‘</w:t>
      </w:r>
      <w:r w:rsidR="00FF0CDB" w:rsidRPr="00410A9E">
        <w:rPr>
          <w:rFonts w:ascii="Arial" w:hAnsi="Arial" w:cs="Arial"/>
        </w:rPr>
        <w:t xml:space="preserve">(a) </w:t>
      </w:r>
      <w:r>
        <w:rPr>
          <w:rFonts w:ascii="Arial" w:hAnsi="Arial" w:cs="Arial"/>
        </w:rPr>
        <w:t>Upon the basis</w:t>
      </w:r>
      <w:r w:rsidR="00CA065C" w:rsidRPr="00410A9E">
        <w:rPr>
          <w:rFonts w:ascii="Arial" w:hAnsi="Arial" w:cs="Arial"/>
        </w:rPr>
        <w:t xml:space="preserve"> that they participated in the assault in circumstances where they ought to have foreseen the resultant death;</w:t>
      </w:r>
    </w:p>
    <w:p w:rsidR="00CA065C" w:rsidRPr="00410A9E" w:rsidRDefault="00FF0CDB" w:rsidP="00410A9E">
      <w:pPr>
        <w:spacing w:line="360" w:lineRule="auto"/>
        <w:ind w:left="720"/>
        <w:jc w:val="both"/>
        <w:rPr>
          <w:rFonts w:ascii="Arial" w:hAnsi="Arial" w:cs="Arial"/>
        </w:rPr>
      </w:pPr>
      <w:r w:rsidRPr="00410A9E">
        <w:rPr>
          <w:rFonts w:ascii="Arial" w:hAnsi="Arial" w:cs="Arial"/>
        </w:rPr>
        <w:t xml:space="preserve">(b) </w:t>
      </w:r>
      <w:r w:rsidR="00CA065C" w:rsidRPr="00410A9E">
        <w:rPr>
          <w:rFonts w:ascii="Arial" w:hAnsi="Arial" w:cs="Arial"/>
        </w:rPr>
        <w:t>Upon the basis that they associated themselves with either the fatal assault although taking no part in it (that on the basis of common purpose); and</w:t>
      </w:r>
    </w:p>
    <w:p w:rsidR="00CA065C" w:rsidRPr="00410A9E" w:rsidRDefault="00FF0CDB" w:rsidP="00410A9E">
      <w:pPr>
        <w:spacing w:line="360" w:lineRule="auto"/>
        <w:ind w:left="720"/>
        <w:jc w:val="both"/>
        <w:rPr>
          <w:rFonts w:ascii="Arial" w:hAnsi="Arial" w:cs="Arial"/>
        </w:rPr>
      </w:pPr>
      <w:r w:rsidRPr="00410A9E">
        <w:rPr>
          <w:rFonts w:ascii="Arial" w:hAnsi="Arial" w:cs="Arial"/>
        </w:rPr>
        <w:t xml:space="preserve">(c) </w:t>
      </w:r>
      <w:r w:rsidR="00CA065C" w:rsidRPr="00410A9E">
        <w:rPr>
          <w:rFonts w:ascii="Arial" w:hAnsi="Arial" w:cs="Arial"/>
        </w:rPr>
        <w:t>Upon the basis that the</w:t>
      </w:r>
      <w:r w:rsidR="00BD18F1">
        <w:rPr>
          <w:rFonts w:ascii="Arial" w:hAnsi="Arial" w:cs="Arial"/>
        </w:rPr>
        <w:t>y</w:t>
      </w:r>
      <w:r w:rsidR="00CA065C" w:rsidRPr="00410A9E">
        <w:rPr>
          <w:rFonts w:ascii="Arial" w:hAnsi="Arial" w:cs="Arial"/>
        </w:rPr>
        <w:t xml:space="preserve"> omitted to prevent the ass</w:t>
      </w:r>
      <w:r w:rsidR="009031E0" w:rsidRPr="00410A9E">
        <w:rPr>
          <w:rFonts w:ascii="Arial" w:hAnsi="Arial" w:cs="Arial"/>
        </w:rPr>
        <w:t>a</w:t>
      </w:r>
      <w:r w:rsidR="00CA065C" w:rsidRPr="00410A9E">
        <w:rPr>
          <w:rFonts w:ascii="Arial" w:hAnsi="Arial" w:cs="Arial"/>
        </w:rPr>
        <w:t>ult where there had been a duty upon them to do so.</w:t>
      </w:r>
      <w:r w:rsidR="00410A9E">
        <w:rPr>
          <w:rFonts w:ascii="Arial" w:hAnsi="Arial" w:cs="Arial"/>
        </w:rPr>
        <w:t>’</w:t>
      </w:r>
    </w:p>
    <w:p w:rsidR="000668AF" w:rsidRDefault="001C7BAB" w:rsidP="001C7BAB">
      <w:pPr>
        <w:spacing w:line="360" w:lineRule="auto"/>
        <w:jc w:val="both"/>
        <w:rPr>
          <w:rFonts w:ascii="Arial" w:hAnsi="Arial" w:cs="Arial"/>
          <w:sz w:val="24"/>
          <w:szCs w:val="24"/>
        </w:rPr>
      </w:pPr>
      <w:r w:rsidRPr="0028759A">
        <w:rPr>
          <w:rFonts w:ascii="Arial" w:hAnsi="Arial" w:cs="Arial"/>
          <w:sz w:val="24"/>
          <w:szCs w:val="24"/>
        </w:rPr>
        <w:t>[1</w:t>
      </w:r>
      <w:r w:rsidR="00FA5B1F">
        <w:rPr>
          <w:rFonts w:ascii="Arial" w:hAnsi="Arial" w:cs="Arial"/>
          <w:sz w:val="24"/>
          <w:szCs w:val="24"/>
        </w:rPr>
        <w:t>4</w:t>
      </w:r>
      <w:r w:rsidRPr="0028759A">
        <w:rPr>
          <w:rFonts w:ascii="Arial" w:hAnsi="Arial" w:cs="Arial"/>
          <w:sz w:val="24"/>
          <w:szCs w:val="24"/>
        </w:rPr>
        <w:t>]</w:t>
      </w:r>
      <w:r w:rsidRPr="0028759A">
        <w:rPr>
          <w:rFonts w:ascii="Arial" w:hAnsi="Arial" w:cs="Arial"/>
          <w:sz w:val="24"/>
          <w:szCs w:val="24"/>
        </w:rPr>
        <w:tab/>
      </w:r>
      <w:r w:rsidR="00C473A5" w:rsidRPr="0028759A">
        <w:rPr>
          <w:rFonts w:ascii="Arial" w:hAnsi="Arial" w:cs="Arial"/>
          <w:sz w:val="24"/>
          <w:szCs w:val="24"/>
        </w:rPr>
        <w:t xml:space="preserve">The fact of the matter is that there was a material difference between the evidence of the charge office personnel and the inmates concerning the presence of </w:t>
      </w:r>
      <w:r w:rsidR="00C71FAA">
        <w:rPr>
          <w:rFonts w:ascii="Arial" w:hAnsi="Arial" w:cs="Arial"/>
          <w:sz w:val="24"/>
          <w:szCs w:val="24"/>
        </w:rPr>
        <w:t>second and fourth respondent</w:t>
      </w:r>
      <w:r w:rsidR="00C473A5" w:rsidRPr="0028759A">
        <w:rPr>
          <w:rFonts w:ascii="Arial" w:hAnsi="Arial" w:cs="Arial"/>
          <w:sz w:val="24"/>
          <w:szCs w:val="24"/>
        </w:rPr>
        <w:t xml:space="preserve">. In order for the State to rely on this reasoning it had to prove that </w:t>
      </w:r>
      <w:r w:rsidR="00C71FAA">
        <w:rPr>
          <w:rFonts w:ascii="Arial" w:hAnsi="Arial" w:cs="Arial"/>
          <w:sz w:val="24"/>
          <w:szCs w:val="24"/>
        </w:rPr>
        <w:t>second and fourth respondent had</w:t>
      </w:r>
      <w:r w:rsidR="00C473A5" w:rsidRPr="0028759A">
        <w:rPr>
          <w:rFonts w:ascii="Arial" w:hAnsi="Arial" w:cs="Arial"/>
          <w:sz w:val="24"/>
          <w:szCs w:val="24"/>
        </w:rPr>
        <w:t xml:space="preserve"> witnessed the event. The failure by the inmates to </w:t>
      </w:r>
      <w:r w:rsidR="0004512C" w:rsidRPr="0028759A">
        <w:rPr>
          <w:rFonts w:ascii="Arial" w:hAnsi="Arial" w:cs="Arial"/>
          <w:sz w:val="24"/>
          <w:szCs w:val="24"/>
        </w:rPr>
        <w:t xml:space="preserve">place the </w:t>
      </w:r>
      <w:r w:rsidR="00C71FAA">
        <w:rPr>
          <w:rFonts w:ascii="Arial" w:hAnsi="Arial" w:cs="Arial"/>
          <w:sz w:val="24"/>
          <w:szCs w:val="24"/>
        </w:rPr>
        <w:t>second and fourth respondent</w:t>
      </w:r>
      <w:r w:rsidR="0004512C" w:rsidRPr="0028759A">
        <w:rPr>
          <w:rFonts w:ascii="Arial" w:hAnsi="Arial" w:cs="Arial"/>
          <w:sz w:val="24"/>
          <w:szCs w:val="24"/>
        </w:rPr>
        <w:t xml:space="preserve"> at the scene whilst </w:t>
      </w:r>
      <w:r w:rsidR="000668AF">
        <w:rPr>
          <w:rFonts w:ascii="Arial" w:hAnsi="Arial" w:cs="Arial"/>
          <w:sz w:val="24"/>
          <w:szCs w:val="24"/>
        </w:rPr>
        <w:t xml:space="preserve">the charge office personnel saw them leaving the charge office and entering the open space could mean one of two things: </w:t>
      </w:r>
      <w:r w:rsidR="0004512C" w:rsidRPr="0028759A">
        <w:rPr>
          <w:rFonts w:ascii="Arial" w:hAnsi="Arial" w:cs="Arial"/>
          <w:sz w:val="24"/>
          <w:szCs w:val="24"/>
        </w:rPr>
        <w:t xml:space="preserve">(1) </w:t>
      </w:r>
      <w:r w:rsidR="000668AF">
        <w:rPr>
          <w:rFonts w:ascii="Arial" w:hAnsi="Arial" w:cs="Arial"/>
          <w:sz w:val="24"/>
          <w:szCs w:val="24"/>
        </w:rPr>
        <w:t xml:space="preserve">one of </w:t>
      </w:r>
      <w:r w:rsidR="0004512C" w:rsidRPr="0028759A">
        <w:rPr>
          <w:rFonts w:ascii="Arial" w:hAnsi="Arial" w:cs="Arial"/>
          <w:sz w:val="24"/>
          <w:szCs w:val="24"/>
        </w:rPr>
        <w:t xml:space="preserve">the groups lied about their presence (2) that the charge office personnel </w:t>
      </w:r>
      <w:r w:rsidRPr="0028759A">
        <w:rPr>
          <w:rFonts w:ascii="Arial" w:hAnsi="Arial" w:cs="Arial"/>
          <w:sz w:val="24"/>
          <w:szCs w:val="24"/>
        </w:rPr>
        <w:t xml:space="preserve">were truthful </w:t>
      </w:r>
      <w:r w:rsidR="0004512C" w:rsidRPr="0028759A">
        <w:rPr>
          <w:rFonts w:ascii="Arial" w:hAnsi="Arial" w:cs="Arial"/>
          <w:sz w:val="24"/>
          <w:szCs w:val="24"/>
        </w:rPr>
        <w:t>about their presence but that the</w:t>
      </w:r>
      <w:r w:rsidRPr="0028759A">
        <w:rPr>
          <w:rFonts w:ascii="Arial" w:hAnsi="Arial" w:cs="Arial"/>
          <w:sz w:val="24"/>
          <w:szCs w:val="24"/>
        </w:rPr>
        <w:t xml:space="preserve"> inmates did not see them </w:t>
      </w:r>
      <w:r w:rsidR="0004512C" w:rsidRPr="0028759A">
        <w:rPr>
          <w:rFonts w:ascii="Arial" w:hAnsi="Arial" w:cs="Arial"/>
          <w:sz w:val="24"/>
          <w:szCs w:val="24"/>
        </w:rPr>
        <w:t xml:space="preserve">near the scene of the crime. </w:t>
      </w:r>
    </w:p>
    <w:p w:rsidR="000668AF" w:rsidRDefault="000668AF" w:rsidP="001C7BAB">
      <w:pPr>
        <w:spacing w:line="360" w:lineRule="auto"/>
        <w:jc w:val="both"/>
        <w:rPr>
          <w:rFonts w:ascii="Arial" w:hAnsi="Arial" w:cs="Arial"/>
          <w:sz w:val="24"/>
          <w:szCs w:val="24"/>
        </w:rPr>
      </w:pPr>
      <w:r>
        <w:rPr>
          <w:rFonts w:ascii="Arial" w:hAnsi="Arial" w:cs="Arial"/>
          <w:sz w:val="24"/>
          <w:szCs w:val="24"/>
        </w:rPr>
        <w:t>[1</w:t>
      </w:r>
      <w:r w:rsidR="00FA5B1F">
        <w:rPr>
          <w:rFonts w:ascii="Arial" w:hAnsi="Arial" w:cs="Arial"/>
          <w:sz w:val="24"/>
          <w:szCs w:val="24"/>
        </w:rPr>
        <w:t>5</w:t>
      </w:r>
      <w:r>
        <w:rPr>
          <w:rFonts w:ascii="Arial" w:hAnsi="Arial" w:cs="Arial"/>
          <w:sz w:val="24"/>
          <w:szCs w:val="24"/>
        </w:rPr>
        <w:t>]</w:t>
      </w:r>
      <w:r>
        <w:rPr>
          <w:rFonts w:ascii="Arial" w:hAnsi="Arial" w:cs="Arial"/>
          <w:sz w:val="24"/>
          <w:szCs w:val="24"/>
        </w:rPr>
        <w:tab/>
      </w:r>
      <w:r w:rsidR="0004512C" w:rsidRPr="0028759A">
        <w:rPr>
          <w:rFonts w:ascii="Arial" w:hAnsi="Arial" w:cs="Arial"/>
          <w:sz w:val="24"/>
          <w:szCs w:val="24"/>
        </w:rPr>
        <w:t xml:space="preserve">The court, in the absence of </w:t>
      </w:r>
      <w:r>
        <w:rPr>
          <w:rFonts w:ascii="Arial" w:hAnsi="Arial" w:cs="Arial"/>
          <w:sz w:val="24"/>
          <w:szCs w:val="24"/>
        </w:rPr>
        <w:t xml:space="preserve">second and third </w:t>
      </w:r>
      <w:r w:rsidR="001C7BAB" w:rsidRPr="0028759A">
        <w:rPr>
          <w:rFonts w:ascii="Arial" w:hAnsi="Arial" w:cs="Arial"/>
          <w:sz w:val="24"/>
          <w:szCs w:val="24"/>
        </w:rPr>
        <w:t>respondents’</w:t>
      </w:r>
      <w:r w:rsidR="0004512C" w:rsidRPr="0028759A">
        <w:rPr>
          <w:rFonts w:ascii="Arial" w:hAnsi="Arial" w:cs="Arial"/>
          <w:sz w:val="24"/>
          <w:szCs w:val="24"/>
        </w:rPr>
        <w:t xml:space="preserve"> testimony</w:t>
      </w:r>
      <w:r w:rsidR="001C7BAB" w:rsidRPr="0028759A">
        <w:rPr>
          <w:rFonts w:ascii="Arial" w:hAnsi="Arial" w:cs="Arial"/>
          <w:sz w:val="24"/>
          <w:szCs w:val="24"/>
        </w:rPr>
        <w:t>,</w:t>
      </w:r>
      <w:r w:rsidR="0004512C" w:rsidRPr="0028759A">
        <w:rPr>
          <w:rFonts w:ascii="Arial" w:hAnsi="Arial" w:cs="Arial"/>
          <w:sz w:val="24"/>
          <w:szCs w:val="24"/>
        </w:rPr>
        <w:t xml:space="preserve"> accepted the evidence of the charge office personnel that they were present</w:t>
      </w:r>
      <w:r w:rsidR="00321BFA">
        <w:rPr>
          <w:rFonts w:ascii="Arial" w:hAnsi="Arial" w:cs="Arial"/>
          <w:sz w:val="24"/>
          <w:szCs w:val="24"/>
        </w:rPr>
        <w:t xml:space="preserve"> in the open area</w:t>
      </w:r>
      <w:r w:rsidR="0004512C" w:rsidRPr="0028759A">
        <w:rPr>
          <w:rFonts w:ascii="Arial" w:hAnsi="Arial" w:cs="Arial"/>
          <w:sz w:val="24"/>
          <w:szCs w:val="24"/>
        </w:rPr>
        <w:t xml:space="preserve">. </w:t>
      </w:r>
      <w:r>
        <w:rPr>
          <w:rFonts w:ascii="Arial" w:hAnsi="Arial" w:cs="Arial"/>
          <w:sz w:val="24"/>
          <w:szCs w:val="24"/>
        </w:rPr>
        <w:t>Their failure to testify meant that this evidence was undisputed. The court thus took i</w:t>
      </w:r>
      <w:r w:rsidR="00321BFA">
        <w:rPr>
          <w:rFonts w:ascii="Arial" w:hAnsi="Arial" w:cs="Arial"/>
          <w:sz w:val="24"/>
          <w:szCs w:val="24"/>
        </w:rPr>
        <w:t xml:space="preserve">nto consideration their failure to testify. </w:t>
      </w:r>
    </w:p>
    <w:p w:rsidR="00E15801" w:rsidRDefault="00E15801" w:rsidP="001C7BAB">
      <w:pPr>
        <w:spacing w:line="360" w:lineRule="auto"/>
        <w:jc w:val="both"/>
        <w:rPr>
          <w:rFonts w:ascii="Arial" w:hAnsi="Arial" w:cs="Arial"/>
          <w:sz w:val="24"/>
          <w:szCs w:val="24"/>
        </w:rPr>
      </w:pPr>
    </w:p>
    <w:p w:rsidR="0028759A" w:rsidRDefault="000668AF" w:rsidP="001C7BAB">
      <w:pPr>
        <w:spacing w:line="360" w:lineRule="auto"/>
        <w:jc w:val="both"/>
        <w:rPr>
          <w:rFonts w:ascii="Arial" w:hAnsi="Arial" w:cs="Arial"/>
          <w:sz w:val="24"/>
          <w:szCs w:val="24"/>
        </w:rPr>
      </w:pPr>
      <w:r>
        <w:rPr>
          <w:rFonts w:ascii="Arial" w:hAnsi="Arial" w:cs="Arial"/>
          <w:sz w:val="24"/>
          <w:szCs w:val="24"/>
        </w:rPr>
        <w:t>[1</w:t>
      </w:r>
      <w:r w:rsidR="00FA5B1F">
        <w:rPr>
          <w:rFonts w:ascii="Arial" w:hAnsi="Arial" w:cs="Arial"/>
          <w:sz w:val="24"/>
          <w:szCs w:val="24"/>
        </w:rPr>
        <w:t>6</w:t>
      </w:r>
      <w:r>
        <w:rPr>
          <w:rFonts w:ascii="Arial" w:hAnsi="Arial" w:cs="Arial"/>
          <w:sz w:val="24"/>
          <w:szCs w:val="24"/>
        </w:rPr>
        <w:t>]</w:t>
      </w:r>
      <w:r>
        <w:rPr>
          <w:rFonts w:ascii="Arial" w:hAnsi="Arial" w:cs="Arial"/>
          <w:sz w:val="24"/>
          <w:szCs w:val="24"/>
        </w:rPr>
        <w:tab/>
      </w:r>
      <w:r w:rsidR="00321BFA">
        <w:rPr>
          <w:rFonts w:ascii="Arial" w:hAnsi="Arial" w:cs="Arial"/>
          <w:sz w:val="24"/>
          <w:szCs w:val="24"/>
        </w:rPr>
        <w:t xml:space="preserve">Being in the open area does not </w:t>
      </w:r>
      <w:r w:rsidR="00321BFA" w:rsidRPr="000668AF">
        <w:rPr>
          <w:rFonts w:ascii="Arial" w:hAnsi="Arial" w:cs="Arial"/>
          <w:i/>
          <w:sz w:val="24"/>
          <w:szCs w:val="24"/>
        </w:rPr>
        <w:t>per se</w:t>
      </w:r>
      <w:r w:rsidR="00321BFA">
        <w:rPr>
          <w:rFonts w:ascii="Arial" w:hAnsi="Arial" w:cs="Arial"/>
          <w:sz w:val="24"/>
          <w:szCs w:val="24"/>
        </w:rPr>
        <w:t xml:space="preserve"> mean that they had seen the event. They were not seen near the scene by the witnesses inside the open area</w:t>
      </w:r>
      <w:r w:rsidR="009C148A">
        <w:rPr>
          <w:rFonts w:ascii="Arial" w:hAnsi="Arial" w:cs="Arial"/>
          <w:sz w:val="24"/>
          <w:szCs w:val="24"/>
        </w:rPr>
        <w:t>.</w:t>
      </w:r>
      <w:r w:rsidR="00321BFA">
        <w:rPr>
          <w:rFonts w:ascii="Arial" w:hAnsi="Arial" w:cs="Arial"/>
          <w:sz w:val="24"/>
          <w:szCs w:val="24"/>
        </w:rPr>
        <w:t xml:space="preserve"> </w:t>
      </w:r>
      <w:r w:rsidR="0004512C" w:rsidRPr="0028759A">
        <w:rPr>
          <w:rFonts w:ascii="Arial" w:hAnsi="Arial" w:cs="Arial"/>
          <w:sz w:val="24"/>
          <w:szCs w:val="24"/>
        </w:rPr>
        <w:t xml:space="preserve">There was no evidence </w:t>
      </w:r>
      <w:r>
        <w:rPr>
          <w:rFonts w:ascii="Arial" w:hAnsi="Arial" w:cs="Arial"/>
          <w:sz w:val="24"/>
          <w:szCs w:val="24"/>
        </w:rPr>
        <w:t xml:space="preserve">upon which the court could infer </w:t>
      </w:r>
      <w:r w:rsidR="0004512C" w:rsidRPr="0028759A">
        <w:rPr>
          <w:rFonts w:ascii="Arial" w:hAnsi="Arial" w:cs="Arial"/>
          <w:sz w:val="24"/>
          <w:szCs w:val="24"/>
        </w:rPr>
        <w:t xml:space="preserve">that </w:t>
      </w:r>
      <w:r w:rsidR="00C71FAA">
        <w:rPr>
          <w:rFonts w:ascii="Arial" w:hAnsi="Arial" w:cs="Arial"/>
          <w:sz w:val="24"/>
          <w:szCs w:val="24"/>
        </w:rPr>
        <w:t xml:space="preserve">fourth respondent </w:t>
      </w:r>
      <w:r w:rsidR="0004512C" w:rsidRPr="0028759A">
        <w:rPr>
          <w:rFonts w:ascii="Arial" w:hAnsi="Arial" w:cs="Arial"/>
          <w:sz w:val="24"/>
          <w:szCs w:val="24"/>
        </w:rPr>
        <w:t xml:space="preserve">had </w:t>
      </w:r>
      <w:r w:rsidR="0073420F" w:rsidRPr="0028759A">
        <w:rPr>
          <w:rFonts w:ascii="Arial" w:hAnsi="Arial" w:cs="Arial"/>
          <w:sz w:val="24"/>
          <w:szCs w:val="24"/>
        </w:rPr>
        <w:t>witnessed</w:t>
      </w:r>
      <w:r w:rsidR="009C148A">
        <w:rPr>
          <w:rFonts w:ascii="Arial" w:hAnsi="Arial" w:cs="Arial"/>
          <w:sz w:val="24"/>
          <w:szCs w:val="24"/>
        </w:rPr>
        <w:t xml:space="preserve"> or even that he ought to have been able to witness the assault. There was no evidence of his participation in the </w:t>
      </w:r>
      <w:r w:rsidR="0073420F" w:rsidRPr="0028759A">
        <w:rPr>
          <w:rFonts w:ascii="Arial" w:hAnsi="Arial" w:cs="Arial"/>
          <w:sz w:val="24"/>
          <w:szCs w:val="24"/>
        </w:rPr>
        <w:t>assault.</w:t>
      </w:r>
    </w:p>
    <w:p w:rsidR="00E15801" w:rsidRPr="0028759A" w:rsidRDefault="00E15801" w:rsidP="001C7BAB">
      <w:pPr>
        <w:spacing w:line="360" w:lineRule="auto"/>
        <w:jc w:val="both"/>
        <w:rPr>
          <w:rFonts w:ascii="Arial" w:hAnsi="Arial" w:cs="Arial"/>
          <w:sz w:val="24"/>
          <w:szCs w:val="24"/>
        </w:rPr>
      </w:pPr>
    </w:p>
    <w:p w:rsidR="000668AF" w:rsidRDefault="0028759A" w:rsidP="001C7BAB">
      <w:pPr>
        <w:spacing w:line="360" w:lineRule="auto"/>
        <w:jc w:val="both"/>
        <w:rPr>
          <w:rFonts w:ascii="Arial" w:hAnsi="Arial" w:cs="Arial"/>
          <w:sz w:val="24"/>
          <w:szCs w:val="24"/>
        </w:rPr>
      </w:pPr>
      <w:r w:rsidRPr="000E5F6D">
        <w:rPr>
          <w:rFonts w:ascii="Arial" w:hAnsi="Arial" w:cs="Arial"/>
          <w:sz w:val="24"/>
          <w:szCs w:val="24"/>
        </w:rPr>
        <w:t>[</w:t>
      </w:r>
      <w:r w:rsidR="000E5F6D" w:rsidRPr="000E5F6D">
        <w:rPr>
          <w:rFonts w:ascii="Arial" w:hAnsi="Arial" w:cs="Arial"/>
          <w:sz w:val="24"/>
          <w:szCs w:val="24"/>
        </w:rPr>
        <w:t>1</w:t>
      </w:r>
      <w:r w:rsidR="00FA5B1F">
        <w:rPr>
          <w:rFonts w:ascii="Arial" w:hAnsi="Arial" w:cs="Arial"/>
          <w:sz w:val="24"/>
          <w:szCs w:val="24"/>
        </w:rPr>
        <w:t>7</w:t>
      </w:r>
      <w:r w:rsidRPr="000E5F6D">
        <w:rPr>
          <w:rFonts w:ascii="Arial" w:hAnsi="Arial" w:cs="Arial"/>
          <w:sz w:val="24"/>
          <w:szCs w:val="24"/>
        </w:rPr>
        <w:t>]</w:t>
      </w:r>
      <w:r w:rsidRPr="000E5F6D">
        <w:rPr>
          <w:rFonts w:ascii="Arial" w:hAnsi="Arial" w:cs="Arial"/>
          <w:sz w:val="24"/>
          <w:szCs w:val="24"/>
        </w:rPr>
        <w:tab/>
      </w:r>
      <w:r w:rsidR="0004512C" w:rsidRPr="00321BFA">
        <w:rPr>
          <w:rFonts w:ascii="Arial" w:hAnsi="Arial" w:cs="Arial"/>
          <w:sz w:val="24"/>
          <w:szCs w:val="24"/>
        </w:rPr>
        <w:t xml:space="preserve">The </w:t>
      </w:r>
      <w:r w:rsidR="000668AF">
        <w:rPr>
          <w:rFonts w:ascii="Arial" w:hAnsi="Arial" w:cs="Arial"/>
          <w:sz w:val="24"/>
          <w:szCs w:val="24"/>
        </w:rPr>
        <w:t xml:space="preserve">court inferred from the </w:t>
      </w:r>
      <w:r w:rsidR="0004512C" w:rsidRPr="00321BFA">
        <w:rPr>
          <w:rFonts w:ascii="Arial" w:hAnsi="Arial" w:cs="Arial"/>
          <w:sz w:val="24"/>
          <w:szCs w:val="24"/>
        </w:rPr>
        <w:t xml:space="preserve">testimony of </w:t>
      </w:r>
      <w:r w:rsidR="000668AF">
        <w:rPr>
          <w:rFonts w:ascii="Arial" w:hAnsi="Arial" w:cs="Arial"/>
          <w:sz w:val="24"/>
          <w:szCs w:val="24"/>
        </w:rPr>
        <w:t xml:space="preserve">Tjiramba that second respondent reported the assault by first respondent, </w:t>
      </w:r>
      <w:r w:rsidR="0004512C" w:rsidRPr="00321BFA">
        <w:rPr>
          <w:rFonts w:ascii="Arial" w:hAnsi="Arial" w:cs="Arial"/>
          <w:sz w:val="24"/>
          <w:szCs w:val="24"/>
        </w:rPr>
        <w:t xml:space="preserve">that </w:t>
      </w:r>
      <w:r w:rsidR="000668AF">
        <w:rPr>
          <w:rFonts w:ascii="Arial" w:hAnsi="Arial" w:cs="Arial"/>
          <w:sz w:val="24"/>
          <w:szCs w:val="24"/>
        </w:rPr>
        <w:t xml:space="preserve">second respondent </w:t>
      </w:r>
      <w:r w:rsidR="0004512C" w:rsidRPr="00321BFA">
        <w:rPr>
          <w:rFonts w:ascii="Arial" w:hAnsi="Arial" w:cs="Arial"/>
          <w:sz w:val="24"/>
          <w:szCs w:val="24"/>
        </w:rPr>
        <w:t xml:space="preserve">had seen the kick by </w:t>
      </w:r>
      <w:r w:rsidRPr="00321BFA">
        <w:rPr>
          <w:rFonts w:ascii="Arial" w:hAnsi="Arial" w:cs="Arial"/>
          <w:sz w:val="24"/>
          <w:szCs w:val="24"/>
        </w:rPr>
        <w:t>first respondent</w:t>
      </w:r>
      <w:r w:rsidR="0004512C" w:rsidRPr="00321BFA">
        <w:rPr>
          <w:rFonts w:ascii="Arial" w:hAnsi="Arial" w:cs="Arial"/>
          <w:sz w:val="24"/>
          <w:szCs w:val="24"/>
        </w:rPr>
        <w:t xml:space="preserve">. </w:t>
      </w:r>
      <w:r w:rsidR="000668AF">
        <w:rPr>
          <w:rFonts w:ascii="Arial" w:hAnsi="Arial" w:cs="Arial"/>
          <w:sz w:val="24"/>
          <w:szCs w:val="24"/>
        </w:rPr>
        <w:t xml:space="preserve">Her evidence in this regard was undisputed. </w:t>
      </w:r>
    </w:p>
    <w:p w:rsidR="00E15801" w:rsidRDefault="00E15801" w:rsidP="001C7BAB">
      <w:pPr>
        <w:spacing w:line="360" w:lineRule="auto"/>
        <w:jc w:val="both"/>
        <w:rPr>
          <w:rFonts w:ascii="Arial" w:hAnsi="Arial" w:cs="Arial"/>
          <w:sz w:val="24"/>
          <w:szCs w:val="24"/>
        </w:rPr>
      </w:pPr>
    </w:p>
    <w:p w:rsidR="0028759A" w:rsidRDefault="00582E75" w:rsidP="001C7BAB">
      <w:pPr>
        <w:spacing w:line="360" w:lineRule="auto"/>
        <w:jc w:val="both"/>
        <w:rPr>
          <w:rFonts w:ascii="Arial" w:hAnsi="Arial" w:cs="Arial"/>
          <w:sz w:val="24"/>
          <w:szCs w:val="24"/>
        </w:rPr>
      </w:pPr>
      <w:r>
        <w:rPr>
          <w:rFonts w:ascii="Arial" w:hAnsi="Arial" w:cs="Arial"/>
          <w:sz w:val="24"/>
          <w:szCs w:val="24"/>
        </w:rPr>
        <w:t>[1</w:t>
      </w:r>
      <w:r w:rsidR="00FA5B1F">
        <w:rPr>
          <w:rFonts w:ascii="Arial" w:hAnsi="Arial" w:cs="Arial"/>
          <w:sz w:val="24"/>
          <w:szCs w:val="24"/>
        </w:rPr>
        <w:t>8</w:t>
      </w:r>
      <w:r w:rsidR="000668AF">
        <w:rPr>
          <w:rFonts w:ascii="Arial" w:hAnsi="Arial" w:cs="Arial"/>
          <w:sz w:val="24"/>
          <w:szCs w:val="24"/>
        </w:rPr>
        <w:t>]</w:t>
      </w:r>
      <w:r w:rsidR="000668AF">
        <w:rPr>
          <w:rFonts w:ascii="Arial" w:hAnsi="Arial" w:cs="Arial"/>
          <w:sz w:val="24"/>
          <w:szCs w:val="24"/>
        </w:rPr>
        <w:tab/>
      </w:r>
      <w:r w:rsidR="0004512C" w:rsidRPr="00321BFA">
        <w:rPr>
          <w:rFonts w:ascii="Arial" w:hAnsi="Arial" w:cs="Arial"/>
          <w:sz w:val="24"/>
          <w:szCs w:val="24"/>
        </w:rPr>
        <w:t>The</w:t>
      </w:r>
      <w:r w:rsidR="000668AF">
        <w:rPr>
          <w:rFonts w:ascii="Arial" w:hAnsi="Arial" w:cs="Arial"/>
          <w:sz w:val="24"/>
          <w:szCs w:val="24"/>
        </w:rPr>
        <w:t xml:space="preserve"> state adduced </w:t>
      </w:r>
      <w:r w:rsidR="0004512C" w:rsidRPr="00321BFA">
        <w:rPr>
          <w:rFonts w:ascii="Arial" w:hAnsi="Arial" w:cs="Arial"/>
          <w:sz w:val="24"/>
          <w:szCs w:val="24"/>
        </w:rPr>
        <w:t xml:space="preserve">evidence </w:t>
      </w:r>
      <w:r w:rsidR="000668AF">
        <w:rPr>
          <w:rFonts w:ascii="Arial" w:hAnsi="Arial" w:cs="Arial"/>
          <w:sz w:val="24"/>
          <w:szCs w:val="24"/>
        </w:rPr>
        <w:t xml:space="preserve">to the effect </w:t>
      </w:r>
      <w:r w:rsidR="0004512C" w:rsidRPr="00321BFA">
        <w:rPr>
          <w:rFonts w:ascii="Arial" w:hAnsi="Arial" w:cs="Arial"/>
          <w:sz w:val="24"/>
          <w:szCs w:val="24"/>
        </w:rPr>
        <w:t xml:space="preserve">that </w:t>
      </w:r>
      <w:r w:rsidR="0028759A" w:rsidRPr="00321BFA">
        <w:rPr>
          <w:rFonts w:ascii="Arial" w:hAnsi="Arial" w:cs="Arial"/>
          <w:sz w:val="24"/>
          <w:szCs w:val="24"/>
        </w:rPr>
        <w:t xml:space="preserve">first respondent </w:t>
      </w:r>
      <w:r w:rsidR="0004512C" w:rsidRPr="00321BFA">
        <w:rPr>
          <w:rFonts w:ascii="Arial" w:hAnsi="Arial" w:cs="Arial"/>
          <w:sz w:val="24"/>
          <w:szCs w:val="24"/>
        </w:rPr>
        <w:t xml:space="preserve">kicked the deceased once and thereafter started resuscitation. There was no further assault perpetrated on the deceased. There was no evidence that </w:t>
      </w:r>
      <w:r w:rsidR="000668AF">
        <w:rPr>
          <w:rFonts w:ascii="Arial" w:hAnsi="Arial" w:cs="Arial"/>
          <w:sz w:val="24"/>
          <w:szCs w:val="24"/>
        </w:rPr>
        <w:t xml:space="preserve">second respondent </w:t>
      </w:r>
      <w:r w:rsidR="0004512C" w:rsidRPr="00321BFA">
        <w:rPr>
          <w:rFonts w:ascii="Arial" w:hAnsi="Arial" w:cs="Arial"/>
          <w:sz w:val="24"/>
          <w:szCs w:val="24"/>
        </w:rPr>
        <w:t>was in close proximity to the</w:t>
      </w:r>
      <w:r w:rsidR="0028759A" w:rsidRPr="00321BFA">
        <w:rPr>
          <w:rFonts w:ascii="Arial" w:hAnsi="Arial" w:cs="Arial"/>
          <w:sz w:val="24"/>
          <w:szCs w:val="24"/>
        </w:rPr>
        <w:t xml:space="preserve"> first respondent</w:t>
      </w:r>
      <w:r w:rsidR="0011059C" w:rsidRPr="00321BFA">
        <w:rPr>
          <w:rFonts w:ascii="Arial" w:hAnsi="Arial" w:cs="Arial"/>
          <w:sz w:val="24"/>
          <w:szCs w:val="24"/>
        </w:rPr>
        <w:t>. The State failed to adduce evidence to support a</w:t>
      </w:r>
      <w:r>
        <w:rPr>
          <w:rFonts w:ascii="Arial" w:hAnsi="Arial" w:cs="Arial"/>
          <w:sz w:val="24"/>
          <w:szCs w:val="24"/>
        </w:rPr>
        <w:t xml:space="preserve">n inference that the </w:t>
      </w:r>
      <w:r w:rsidR="009C148A">
        <w:rPr>
          <w:rFonts w:ascii="Arial" w:hAnsi="Arial" w:cs="Arial"/>
          <w:sz w:val="24"/>
          <w:szCs w:val="24"/>
        </w:rPr>
        <w:t xml:space="preserve">second respondent </w:t>
      </w:r>
      <w:r w:rsidR="0011059C" w:rsidRPr="00321BFA">
        <w:rPr>
          <w:rFonts w:ascii="Arial" w:hAnsi="Arial" w:cs="Arial"/>
          <w:sz w:val="24"/>
          <w:szCs w:val="24"/>
        </w:rPr>
        <w:t>could have prevented the assault or that he associated himself with the assault. He in fact report</w:t>
      </w:r>
      <w:r w:rsidR="009C148A">
        <w:rPr>
          <w:rFonts w:ascii="Arial" w:hAnsi="Arial" w:cs="Arial"/>
          <w:sz w:val="24"/>
          <w:szCs w:val="24"/>
        </w:rPr>
        <w:t>ed</w:t>
      </w:r>
      <w:r w:rsidR="0011059C" w:rsidRPr="00321BFA">
        <w:rPr>
          <w:rFonts w:ascii="Arial" w:hAnsi="Arial" w:cs="Arial"/>
          <w:sz w:val="24"/>
          <w:szCs w:val="24"/>
        </w:rPr>
        <w:t xml:space="preserve"> the conduct of </w:t>
      </w:r>
      <w:r w:rsidR="0028759A" w:rsidRPr="00321BFA">
        <w:rPr>
          <w:rFonts w:ascii="Arial" w:hAnsi="Arial" w:cs="Arial"/>
          <w:sz w:val="24"/>
          <w:szCs w:val="24"/>
        </w:rPr>
        <w:t xml:space="preserve">the first respondent </w:t>
      </w:r>
      <w:r w:rsidR="0011059C" w:rsidRPr="00321BFA">
        <w:rPr>
          <w:rFonts w:ascii="Arial" w:hAnsi="Arial" w:cs="Arial"/>
          <w:sz w:val="24"/>
          <w:szCs w:val="24"/>
        </w:rPr>
        <w:t xml:space="preserve">to the charge office sergeant. </w:t>
      </w:r>
    </w:p>
    <w:p w:rsidR="00E15801" w:rsidRPr="00321BFA" w:rsidRDefault="00E15801" w:rsidP="001C7BAB">
      <w:pPr>
        <w:spacing w:line="360" w:lineRule="auto"/>
        <w:jc w:val="both"/>
        <w:rPr>
          <w:rFonts w:ascii="Arial" w:hAnsi="Arial" w:cs="Arial"/>
          <w:sz w:val="24"/>
          <w:szCs w:val="24"/>
        </w:rPr>
      </w:pPr>
    </w:p>
    <w:p w:rsidR="00C473A5" w:rsidRDefault="0028759A" w:rsidP="001C7BAB">
      <w:pPr>
        <w:spacing w:line="360" w:lineRule="auto"/>
        <w:jc w:val="both"/>
        <w:rPr>
          <w:rFonts w:ascii="Arial" w:hAnsi="Arial" w:cs="Arial"/>
          <w:sz w:val="24"/>
          <w:szCs w:val="24"/>
        </w:rPr>
      </w:pPr>
      <w:r w:rsidRPr="0028759A">
        <w:rPr>
          <w:rFonts w:ascii="Arial" w:hAnsi="Arial" w:cs="Arial"/>
          <w:sz w:val="24"/>
          <w:szCs w:val="24"/>
        </w:rPr>
        <w:t>[1</w:t>
      </w:r>
      <w:r w:rsidR="00FA5B1F">
        <w:rPr>
          <w:rFonts w:ascii="Arial" w:hAnsi="Arial" w:cs="Arial"/>
          <w:sz w:val="24"/>
          <w:szCs w:val="24"/>
        </w:rPr>
        <w:t>9</w:t>
      </w:r>
      <w:r w:rsidRPr="0028759A">
        <w:rPr>
          <w:rFonts w:ascii="Arial" w:hAnsi="Arial" w:cs="Arial"/>
          <w:sz w:val="24"/>
          <w:szCs w:val="24"/>
        </w:rPr>
        <w:t>]</w:t>
      </w:r>
      <w:r w:rsidRPr="0028759A">
        <w:rPr>
          <w:rFonts w:ascii="Arial" w:hAnsi="Arial" w:cs="Arial"/>
          <w:sz w:val="24"/>
          <w:szCs w:val="24"/>
        </w:rPr>
        <w:tab/>
      </w:r>
      <w:r w:rsidR="00270700" w:rsidRPr="0028759A">
        <w:rPr>
          <w:rFonts w:ascii="Arial" w:hAnsi="Arial" w:cs="Arial"/>
          <w:sz w:val="24"/>
          <w:szCs w:val="24"/>
        </w:rPr>
        <w:t>If there was a common purpose</w:t>
      </w:r>
      <w:r w:rsidR="00582E75">
        <w:rPr>
          <w:rFonts w:ascii="Arial" w:hAnsi="Arial" w:cs="Arial"/>
          <w:sz w:val="24"/>
          <w:szCs w:val="24"/>
        </w:rPr>
        <w:t>,</w:t>
      </w:r>
      <w:r w:rsidR="00270700" w:rsidRPr="0028759A">
        <w:rPr>
          <w:rFonts w:ascii="Arial" w:hAnsi="Arial" w:cs="Arial"/>
          <w:sz w:val="24"/>
          <w:szCs w:val="24"/>
        </w:rPr>
        <w:t xml:space="preserve"> it was to arrest and detain the deceased. This is different from having formed common purpose to assault and/or</w:t>
      </w:r>
      <w:r w:rsidR="00582E75">
        <w:rPr>
          <w:rFonts w:ascii="Arial" w:hAnsi="Arial" w:cs="Arial"/>
          <w:sz w:val="24"/>
          <w:szCs w:val="24"/>
        </w:rPr>
        <w:t xml:space="preserve"> to </w:t>
      </w:r>
      <w:r w:rsidR="00270700" w:rsidRPr="0028759A">
        <w:rPr>
          <w:rFonts w:ascii="Arial" w:hAnsi="Arial" w:cs="Arial"/>
          <w:sz w:val="24"/>
          <w:szCs w:val="24"/>
        </w:rPr>
        <w:t xml:space="preserve">kill the deceased. </w:t>
      </w:r>
      <w:r>
        <w:rPr>
          <w:rFonts w:ascii="Arial" w:hAnsi="Arial" w:cs="Arial"/>
          <w:sz w:val="24"/>
          <w:szCs w:val="24"/>
        </w:rPr>
        <w:t xml:space="preserve">The facts of the </w:t>
      </w:r>
      <w:r w:rsidR="00167F77">
        <w:rPr>
          <w:rFonts w:ascii="Arial" w:hAnsi="Arial" w:cs="Arial"/>
          <w:i/>
          <w:sz w:val="24"/>
          <w:szCs w:val="24"/>
        </w:rPr>
        <w:t>State v George Botha &amp;</w:t>
      </w:r>
      <w:r w:rsidRPr="0028759A">
        <w:rPr>
          <w:rFonts w:ascii="Arial" w:hAnsi="Arial" w:cs="Arial"/>
          <w:i/>
          <w:sz w:val="24"/>
          <w:szCs w:val="24"/>
        </w:rPr>
        <w:t xml:space="preserve"> </w:t>
      </w:r>
      <w:r w:rsidR="00167F77">
        <w:rPr>
          <w:rFonts w:ascii="Arial" w:hAnsi="Arial" w:cs="Arial"/>
          <w:i/>
          <w:sz w:val="24"/>
          <w:szCs w:val="24"/>
        </w:rPr>
        <w:t>o</w:t>
      </w:r>
      <w:r w:rsidRPr="0028759A">
        <w:rPr>
          <w:rFonts w:ascii="Arial" w:hAnsi="Arial" w:cs="Arial"/>
          <w:i/>
          <w:sz w:val="24"/>
          <w:szCs w:val="24"/>
        </w:rPr>
        <w:t>thers</w:t>
      </w:r>
      <w:r>
        <w:rPr>
          <w:rStyle w:val="FootnoteReference"/>
          <w:rFonts w:ascii="Arial" w:hAnsi="Arial" w:cs="Arial"/>
          <w:sz w:val="24"/>
          <w:szCs w:val="24"/>
        </w:rPr>
        <w:footnoteReference w:id="3"/>
      </w:r>
      <w:r>
        <w:rPr>
          <w:rFonts w:ascii="Arial" w:hAnsi="Arial" w:cs="Arial"/>
          <w:sz w:val="24"/>
          <w:szCs w:val="24"/>
        </w:rPr>
        <w:t xml:space="preserve"> case which the applicant rely on, are distinguishable from the facts in this case.</w:t>
      </w:r>
      <w:r w:rsidR="0011059C" w:rsidRPr="0028759A">
        <w:rPr>
          <w:rFonts w:ascii="Arial" w:hAnsi="Arial" w:cs="Arial"/>
          <w:sz w:val="24"/>
          <w:szCs w:val="24"/>
        </w:rPr>
        <w:t xml:space="preserve"> </w:t>
      </w:r>
      <w:r w:rsidR="00321BFA">
        <w:rPr>
          <w:rFonts w:ascii="Arial" w:hAnsi="Arial" w:cs="Arial"/>
          <w:sz w:val="24"/>
          <w:szCs w:val="24"/>
        </w:rPr>
        <w:t xml:space="preserve">In that case the court found that the officers had a duty to care. </w:t>
      </w:r>
      <w:r w:rsidR="000F1F0B">
        <w:rPr>
          <w:rFonts w:ascii="Arial" w:hAnsi="Arial" w:cs="Arial"/>
          <w:sz w:val="24"/>
          <w:szCs w:val="24"/>
        </w:rPr>
        <w:t>The deceased in that case was beaten continuously by civilians</w:t>
      </w:r>
      <w:r w:rsidR="00582E75">
        <w:rPr>
          <w:rFonts w:ascii="Arial" w:hAnsi="Arial" w:cs="Arial"/>
          <w:sz w:val="24"/>
          <w:szCs w:val="24"/>
        </w:rPr>
        <w:t xml:space="preserve"> during the night and the next morning by a police reservist before being taken to the police station </w:t>
      </w:r>
      <w:r w:rsidR="000F1F0B">
        <w:rPr>
          <w:rFonts w:ascii="Arial" w:hAnsi="Arial" w:cs="Arial"/>
          <w:sz w:val="24"/>
          <w:szCs w:val="24"/>
        </w:rPr>
        <w:t xml:space="preserve">where the police officers failed to have the deceased medically examined soon after his arrival at the police station. </w:t>
      </w:r>
      <w:r w:rsidR="000F1F0B" w:rsidRPr="00582E75">
        <w:rPr>
          <w:rFonts w:ascii="Arial" w:hAnsi="Arial" w:cs="Arial"/>
          <w:i/>
          <w:sz w:val="24"/>
          <w:szCs w:val="24"/>
        </w:rPr>
        <w:t xml:space="preserve">In </w:t>
      </w:r>
      <w:r w:rsidR="00582E75" w:rsidRPr="00582E75">
        <w:rPr>
          <w:rFonts w:ascii="Arial" w:hAnsi="Arial" w:cs="Arial"/>
          <w:i/>
          <w:sz w:val="24"/>
          <w:szCs w:val="24"/>
        </w:rPr>
        <w:t>casu</w:t>
      </w:r>
      <w:r w:rsidR="000F1F0B">
        <w:rPr>
          <w:rFonts w:ascii="Arial" w:hAnsi="Arial" w:cs="Arial"/>
          <w:sz w:val="24"/>
          <w:szCs w:val="24"/>
        </w:rPr>
        <w:t xml:space="preserve"> the </w:t>
      </w:r>
      <w:r w:rsidR="00582E75">
        <w:rPr>
          <w:rFonts w:ascii="Arial" w:hAnsi="Arial" w:cs="Arial"/>
          <w:sz w:val="24"/>
          <w:szCs w:val="24"/>
        </w:rPr>
        <w:t xml:space="preserve">court concluded that </w:t>
      </w:r>
      <w:r w:rsidR="000F1F0B">
        <w:rPr>
          <w:rFonts w:ascii="Arial" w:hAnsi="Arial" w:cs="Arial"/>
          <w:sz w:val="24"/>
          <w:szCs w:val="24"/>
        </w:rPr>
        <w:t xml:space="preserve">second respondent saw the kick by the first respondent and made a </w:t>
      </w:r>
      <w:r w:rsidR="00321BFA">
        <w:rPr>
          <w:rFonts w:ascii="Arial" w:hAnsi="Arial" w:cs="Arial"/>
          <w:sz w:val="24"/>
          <w:szCs w:val="24"/>
        </w:rPr>
        <w:t xml:space="preserve">verbal report </w:t>
      </w:r>
      <w:r w:rsidR="000F1F0B">
        <w:rPr>
          <w:rFonts w:ascii="Arial" w:hAnsi="Arial" w:cs="Arial"/>
          <w:sz w:val="24"/>
          <w:szCs w:val="24"/>
        </w:rPr>
        <w:t xml:space="preserve">almost immediately </w:t>
      </w:r>
      <w:r w:rsidR="00321BFA">
        <w:rPr>
          <w:rFonts w:ascii="Arial" w:hAnsi="Arial" w:cs="Arial"/>
          <w:sz w:val="24"/>
          <w:szCs w:val="24"/>
        </w:rPr>
        <w:t xml:space="preserve">to the charge office sergeant </w:t>
      </w:r>
      <w:r w:rsidR="00582E75">
        <w:rPr>
          <w:rFonts w:ascii="Arial" w:hAnsi="Arial" w:cs="Arial"/>
          <w:sz w:val="24"/>
          <w:szCs w:val="24"/>
        </w:rPr>
        <w:t xml:space="preserve">thus </w:t>
      </w:r>
      <w:r w:rsidR="00321BFA">
        <w:rPr>
          <w:rFonts w:ascii="Arial" w:hAnsi="Arial" w:cs="Arial"/>
          <w:sz w:val="24"/>
          <w:szCs w:val="24"/>
        </w:rPr>
        <w:t>adequately discharging his duty to report the assault he had witnessed.</w:t>
      </w:r>
    </w:p>
    <w:p w:rsidR="00E15801" w:rsidRDefault="00E15801" w:rsidP="001C7BAB">
      <w:pPr>
        <w:spacing w:line="360" w:lineRule="auto"/>
        <w:jc w:val="both"/>
        <w:rPr>
          <w:rFonts w:ascii="Arial" w:hAnsi="Arial" w:cs="Arial"/>
          <w:sz w:val="24"/>
          <w:szCs w:val="24"/>
        </w:rPr>
      </w:pPr>
    </w:p>
    <w:p w:rsidR="00582E75" w:rsidRDefault="00582E75" w:rsidP="001C7BAB">
      <w:pPr>
        <w:spacing w:line="360" w:lineRule="auto"/>
        <w:jc w:val="both"/>
        <w:rPr>
          <w:rFonts w:ascii="Arial" w:hAnsi="Arial" w:cs="Arial"/>
          <w:sz w:val="24"/>
          <w:szCs w:val="24"/>
        </w:rPr>
      </w:pPr>
      <w:r>
        <w:rPr>
          <w:rFonts w:ascii="Arial" w:hAnsi="Arial" w:cs="Arial"/>
          <w:sz w:val="24"/>
          <w:szCs w:val="24"/>
        </w:rPr>
        <w:t>[</w:t>
      </w:r>
      <w:r w:rsidR="00FA5B1F">
        <w:rPr>
          <w:rFonts w:ascii="Arial" w:hAnsi="Arial" w:cs="Arial"/>
          <w:sz w:val="24"/>
          <w:szCs w:val="24"/>
        </w:rPr>
        <w:t>20</w:t>
      </w:r>
      <w:r>
        <w:rPr>
          <w:rFonts w:ascii="Arial" w:hAnsi="Arial" w:cs="Arial"/>
          <w:sz w:val="24"/>
          <w:szCs w:val="24"/>
        </w:rPr>
        <w:t>]</w:t>
      </w:r>
      <w:r>
        <w:rPr>
          <w:rFonts w:ascii="Arial" w:hAnsi="Arial" w:cs="Arial"/>
          <w:sz w:val="24"/>
          <w:szCs w:val="24"/>
        </w:rPr>
        <w:tab/>
      </w:r>
      <w:r w:rsidRPr="0028759A">
        <w:rPr>
          <w:rFonts w:ascii="Arial" w:hAnsi="Arial" w:cs="Arial"/>
          <w:sz w:val="24"/>
          <w:szCs w:val="24"/>
        </w:rPr>
        <w:t>I am not persuaded that the applicant has reasonable prospects to succeed as the facts simply not support the legal doctrine of common purpose, nor a conclusion that they participated in the assault or that th</w:t>
      </w:r>
      <w:r w:rsidR="00167F77">
        <w:rPr>
          <w:rFonts w:ascii="Arial" w:hAnsi="Arial" w:cs="Arial"/>
          <w:sz w:val="24"/>
          <w:szCs w:val="24"/>
        </w:rPr>
        <w:t>e</w:t>
      </w:r>
      <w:r w:rsidRPr="0028759A">
        <w:rPr>
          <w:rFonts w:ascii="Arial" w:hAnsi="Arial" w:cs="Arial"/>
          <w:sz w:val="24"/>
          <w:szCs w:val="24"/>
        </w:rPr>
        <w:t>y associated themselves with the fatal assault.</w:t>
      </w:r>
    </w:p>
    <w:p w:rsidR="000E5F6D" w:rsidRDefault="000E5F6D" w:rsidP="001C7BAB">
      <w:pPr>
        <w:spacing w:line="360" w:lineRule="auto"/>
        <w:jc w:val="both"/>
        <w:rPr>
          <w:rFonts w:ascii="Arial" w:hAnsi="Arial" w:cs="Arial"/>
          <w:sz w:val="24"/>
          <w:szCs w:val="24"/>
          <w:u w:val="single"/>
        </w:rPr>
      </w:pPr>
      <w:r w:rsidRPr="000E5F6D">
        <w:rPr>
          <w:rFonts w:ascii="Arial" w:hAnsi="Arial" w:cs="Arial"/>
          <w:sz w:val="24"/>
          <w:szCs w:val="24"/>
          <w:u w:val="single"/>
        </w:rPr>
        <w:t>The legal position in respect of the concept of negligence</w:t>
      </w:r>
    </w:p>
    <w:p w:rsidR="00E15801" w:rsidRPr="000E5F6D" w:rsidRDefault="00E15801" w:rsidP="001C7BAB">
      <w:pPr>
        <w:spacing w:line="360" w:lineRule="auto"/>
        <w:jc w:val="both"/>
        <w:rPr>
          <w:rFonts w:ascii="Arial" w:hAnsi="Arial" w:cs="Arial"/>
          <w:sz w:val="24"/>
          <w:szCs w:val="24"/>
          <w:u w:val="single"/>
        </w:rPr>
      </w:pPr>
    </w:p>
    <w:p w:rsidR="00582E75" w:rsidRDefault="00582E75" w:rsidP="000E5F6D">
      <w:pPr>
        <w:spacing w:line="360" w:lineRule="auto"/>
        <w:jc w:val="both"/>
        <w:rPr>
          <w:rFonts w:ascii="Arial" w:hAnsi="Arial" w:cs="Arial"/>
          <w:sz w:val="24"/>
          <w:szCs w:val="24"/>
        </w:rPr>
      </w:pPr>
      <w:r>
        <w:rPr>
          <w:rFonts w:ascii="Arial" w:hAnsi="Arial" w:cs="Arial"/>
          <w:sz w:val="24"/>
          <w:szCs w:val="24"/>
        </w:rPr>
        <w:t>[2</w:t>
      </w:r>
      <w:r w:rsidR="00FA5B1F">
        <w:rPr>
          <w:rFonts w:ascii="Arial" w:hAnsi="Arial" w:cs="Arial"/>
          <w:sz w:val="24"/>
          <w:szCs w:val="24"/>
        </w:rPr>
        <w:t>1</w:t>
      </w:r>
      <w:r w:rsidR="009C148A" w:rsidRPr="00582E75">
        <w:rPr>
          <w:rFonts w:ascii="Arial" w:hAnsi="Arial" w:cs="Arial"/>
          <w:sz w:val="24"/>
          <w:szCs w:val="24"/>
        </w:rPr>
        <w:t>]</w:t>
      </w:r>
      <w:r w:rsidR="009C148A">
        <w:rPr>
          <w:rFonts w:ascii="Arial" w:hAnsi="Arial" w:cs="Arial"/>
          <w:i/>
          <w:sz w:val="24"/>
          <w:szCs w:val="24"/>
        </w:rPr>
        <w:tab/>
      </w:r>
      <w:r w:rsidR="000E5F6D" w:rsidRPr="000E5F6D">
        <w:rPr>
          <w:rFonts w:ascii="Arial" w:hAnsi="Arial" w:cs="Arial"/>
          <w:sz w:val="24"/>
          <w:szCs w:val="24"/>
        </w:rPr>
        <w:t>C</w:t>
      </w:r>
      <w:r w:rsidR="00F7298C" w:rsidRPr="000E5F6D">
        <w:rPr>
          <w:rFonts w:ascii="Arial" w:hAnsi="Arial" w:cs="Arial"/>
          <w:sz w:val="24"/>
          <w:szCs w:val="24"/>
        </w:rPr>
        <w:t>ounsel</w:t>
      </w:r>
      <w:r w:rsidR="000E5F6D" w:rsidRPr="000E5F6D">
        <w:rPr>
          <w:rFonts w:ascii="Arial" w:hAnsi="Arial" w:cs="Arial"/>
          <w:sz w:val="24"/>
          <w:szCs w:val="24"/>
        </w:rPr>
        <w:t xml:space="preserve"> for the applicant in his submission before judgment </w:t>
      </w:r>
      <w:r w:rsidR="00F7298C" w:rsidRPr="000E5F6D">
        <w:rPr>
          <w:rFonts w:ascii="Arial" w:hAnsi="Arial" w:cs="Arial"/>
          <w:sz w:val="24"/>
          <w:szCs w:val="24"/>
        </w:rPr>
        <w:t>conceded that the</w:t>
      </w:r>
      <w:r w:rsidR="009C1FE2" w:rsidRPr="000E5F6D">
        <w:rPr>
          <w:rFonts w:ascii="Arial" w:hAnsi="Arial" w:cs="Arial"/>
          <w:sz w:val="24"/>
          <w:szCs w:val="24"/>
        </w:rPr>
        <w:t xml:space="preserve"> state did not prove murder.</w:t>
      </w:r>
      <w:r w:rsidR="000E5F6D" w:rsidRPr="000E5F6D">
        <w:rPr>
          <w:rFonts w:ascii="Arial" w:hAnsi="Arial" w:cs="Arial"/>
          <w:sz w:val="24"/>
          <w:szCs w:val="24"/>
        </w:rPr>
        <w:t xml:space="preserve"> This concession was correctly made. It</w:t>
      </w:r>
      <w:r w:rsidR="009C1FE2" w:rsidRPr="000E5F6D">
        <w:rPr>
          <w:rFonts w:ascii="Arial" w:hAnsi="Arial" w:cs="Arial"/>
          <w:sz w:val="24"/>
          <w:szCs w:val="24"/>
        </w:rPr>
        <w:t xml:space="preserve"> must be born in mind that the causal connection between the conduct of the accused and the resultant death of the victim is but one aspect of the offence of murder/culpable homicide.</w:t>
      </w:r>
      <w:r w:rsidR="000E5F6D">
        <w:rPr>
          <w:rFonts w:ascii="Arial" w:hAnsi="Arial" w:cs="Arial"/>
          <w:sz w:val="24"/>
          <w:szCs w:val="24"/>
        </w:rPr>
        <w:t xml:space="preserve"> </w:t>
      </w:r>
      <w:r w:rsidR="00270700" w:rsidRPr="000E5F6D">
        <w:rPr>
          <w:rFonts w:ascii="Arial" w:hAnsi="Arial" w:cs="Arial"/>
          <w:sz w:val="24"/>
          <w:szCs w:val="24"/>
        </w:rPr>
        <w:t xml:space="preserve">The definitional elements of culpable homicide is the </w:t>
      </w:r>
      <w:r w:rsidR="00270700" w:rsidRPr="000E5F6D">
        <w:rPr>
          <w:rFonts w:ascii="Arial" w:hAnsi="Arial" w:cs="Arial"/>
          <w:sz w:val="24"/>
          <w:szCs w:val="24"/>
          <w:u w:val="single"/>
        </w:rPr>
        <w:t>negligent</w:t>
      </w:r>
      <w:r w:rsidR="00270700" w:rsidRPr="000E5F6D">
        <w:rPr>
          <w:rFonts w:ascii="Arial" w:hAnsi="Arial" w:cs="Arial"/>
          <w:sz w:val="24"/>
          <w:szCs w:val="24"/>
        </w:rPr>
        <w:t xml:space="preserve"> causing of someone’s death. </w:t>
      </w:r>
      <w:r w:rsidR="000E5F6D" w:rsidRPr="000E5F6D">
        <w:rPr>
          <w:rFonts w:ascii="Arial" w:hAnsi="Arial" w:cs="Arial"/>
          <w:sz w:val="24"/>
          <w:szCs w:val="24"/>
        </w:rPr>
        <w:t xml:space="preserve">There would be no merit in the submission that the court </w:t>
      </w:r>
      <w:r w:rsidR="009C148A" w:rsidRPr="000E5F6D">
        <w:rPr>
          <w:rFonts w:ascii="Arial" w:hAnsi="Arial" w:cs="Arial"/>
          <w:sz w:val="24"/>
          <w:szCs w:val="24"/>
        </w:rPr>
        <w:t>erred in law in discharging the first respondent on the charge of murder/culpable homicide despite having found his kick caused the death of the deceased</w:t>
      </w:r>
      <w:r w:rsidR="000E5F6D">
        <w:rPr>
          <w:rFonts w:ascii="Arial" w:hAnsi="Arial" w:cs="Arial"/>
          <w:sz w:val="24"/>
          <w:szCs w:val="24"/>
        </w:rPr>
        <w:t xml:space="preserve">. </w:t>
      </w:r>
    </w:p>
    <w:p w:rsidR="00E15801" w:rsidRDefault="00E15801" w:rsidP="000E5F6D">
      <w:pPr>
        <w:spacing w:line="360" w:lineRule="auto"/>
        <w:jc w:val="both"/>
        <w:rPr>
          <w:rFonts w:ascii="Arial" w:hAnsi="Arial" w:cs="Arial"/>
          <w:sz w:val="24"/>
          <w:szCs w:val="24"/>
        </w:rPr>
      </w:pPr>
    </w:p>
    <w:p w:rsidR="001B32B6" w:rsidRDefault="00582E75" w:rsidP="000E5F6D">
      <w:pPr>
        <w:spacing w:line="360" w:lineRule="auto"/>
        <w:jc w:val="both"/>
        <w:rPr>
          <w:rFonts w:ascii="Arial" w:hAnsi="Arial" w:cs="Arial"/>
          <w:sz w:val="24"/>
          <w:szCs w:val="24"/>
        </w:rPr>
      </w:pPr>
      <w:r>
        <w:rPr>
          <w:rFonts w:ascii="Arial" w:hAnsi="Arial" w:cs="Arial"/>
          <w:sz w:val="24"/>
          <w:szCs w:val="24"/>
        </w:rPr>
        <w:t>[2</w:t>
      </w:r>
      <w:r w:rsidR="00FA5B1F">
        <w:rPr>
          <w:rFonts w:ascii="Arial" w:hAnsi="Arial" w:cs="Arial"/>
          <w:sz w:val="24"/>
          <w:szCs w:val="24"/>
        </w:rPr>
        <w:t>2</w:t>
      </w:r>
      <w:r>
        <w:rPr>
          <w:rFonts w:ascii="Arial" w:hAnsi="Arial" w:cs="Arial"/>
          <w:sz w:val="24"/>
          <w:szCs w:val="24"/>
        </w:rPr>
        <w:t>]</w:t>
      </w:r>
      <w:r>
        <w:rPr>
          <w:rFonts w:ascii="Arial" w:hAnsi="Arial" w:cs="Arial"/>
          <w:sz w:val="24"/>
          <w:szCs w:val="24"/>
        </w:rPr>
        <w:tab/>
      </w:r>
      <w:r w:rsidR="000E5F6D">
        <w:rPr>
          <w:rFonts w:ascii="Arial" w:hAnsi="Arial" w:cs="Arial"/>
          <w:sz w:val="24"/>
          <w:szCs w:val="24"/>
        </w:rPr>
        <w:t>The conclusion by the court that the m</w:t>
      </w:r>
      <w:r w:rsidR="001B32B6">
        <w:rPr>
          <w:rFonts w:ascii="Arial" w:hAnsi="Arial" w:cs="Arial"/>
          <w:sz w:val="24"/>
          <w:szCs w:val="24"/>
        </w:rPr>
        <w:t xml:space="preserve">edical reports were contradictory </w:t>
      </w:r>
      <w:r w:rsidR="000E5F6D">
        <w:rPr>
          <w:rFonts w:ascii="Arial" w:hAnsi="Arial" w:cs="Arial"/>
          <w:sz w:val="24"/>
          <w:szCs w:val="24"/>
        </w:rPr>
        <w:t>is based on the evidence adduced.</w:t>
      </w:r>
      <w:r>
        <w:rPr>
          <w:rFonts w:ascii="Arial" w:hAnsi="Arial" w:cs="Arial"/>
          <w:sz w:val="24"/>
          <w:szCs w:val="24"/>
        </w:rPr>
        <w:t xml:space="preserve"> Dr Kabanje</w:t>
      </w:r>
      <w:r w:rsidR="00DB08AF">
        <w:rPr>
          <w:rFonts w:ascii="Arial" w:hAnsi="Arial" w:cs="Arial"/>
          <w:sz w:val="24"/>
          <w:szCs w:val="24"/>
        </w:rPr>
        <w:t>, the medical practitioner who conducted the post mortem report</w:t>
      </w:r>
      <w:r>
        <w:rPr>
          <w:rFonts w:ascii="Arial" w:hAnsi="Arial" w:cs="Arial"/>
          <w:sz w:val="24"/>
          <w:szCs w:val="24"/>
        </w:rPr>
        <w:t xml:space="preserve"> </w:t>
      </w:r>
      <w:r w:rsidR="00DB08AF">
        <w:rPr>
          <w:rFonts w:ascii="Arial" w:hAnsi="Arial" w:cs="Arial"/>
          <w:sz w:val="24"/>
          <w:szCs w:val="24"/>
        </w:rPr>
        <w:t xml:space="preserve">found in his examination inter alia that the lungs were congested with haemorrhagic infiltration and a 10 mm laceration on the liver and concluded that the cause of death was blunt force trauma to the abdomen. Dr Kidaaga, </w:t>
      </w:r>
      <w:r w:rsidR="00167F77">
        <w:rPr>
          <w:rFonts w:ascii="Arial" w:hAnsi="Arial" w:cs="Arial"/>
          <w:sz w:val="24"/>
          <w:szCs w:val="24"/>
        </w:rPr>
        <w:t xml:space="preserve">is </w:t>
      </w:r>
      <w:r w:rsidR="00DB08AF">
        <w:rPr>
          <w:rFonts w:ascii="Arial" w:hAnsi="Arial" w:cs="Arial"/>
          <w:sz w:val="24"/>
          <w:szCs w:val="24"/>
        </w:rPr>
        <w:t xml:space="preserve">the anatomical pathologist </w:t>
      </w:r>
      <w:r w:rsidR="006C5CAB">
        <w:rPr>
          <w:rFonts w:ascii="Arial" w:hAnsi="Arial" w:cs="Arial"/>
          <w:sz w:val="24"/>
          <w:szCs w:val="24"/>
        </w:rPr>
        <w:t xml:space="preserve">who microscopically </w:t>
      </w:r>
      <w:r w:rsidR="00DB08AF">
        <w:rPr>
          <w:rFonts w:ascii="Arial" w:hAnsi="Arial" w:cs="Arial"/>
          <w:sz w:val="24"/>
          <w:szCs w:val="24"/>
        </w:rPr>
        <w:t>examined the tissues sent to him by Dr Kabanje</w:t>
      </w:r>
      <w:r w:rsidR="006C5CAB">
        <w:rPr>
          <w:rFonts w:ascii="Arial" w:hAnsi="Arial" w:cs="Arial"/>
          <w:sz w:val="24"/>
          <w:szCs w:val="24"/>
        </w:rPr>
        <w:t>. His diagnoses of the cause of death was p</w:t>
      </w:r>
      <w:r w:rsidR="00B825F7">
        <w:rPr>
          <w:rFonts w:ascii="Arial" w:hAnsi="Arial" w:cs="Arial"/>
          <w:sz w:val="24"/>
          <w:szCs w:val="24"/>
        </w:rPr>
        <w:t>ulmonary haemorrhage or blee</w:t>
      </w:r>
      <w:r w:rsidR="006C5CAB">
        <w:rPr>
          <w:rFonts w:ascii="Arial" w:hAnsi="Arial" w:cs="Arial"/>
          <w:sz w:val="24"/>
          <w:szCs w:val="24"/>
        </w:rPr>
        <w:t>ding in the lungs</w:t>
      </w:r>
      <w:r w:rsidR="00B825F7">
        <w:rPr>
          <w:rFonts w:ascii="Arial" w:hAnsi="Arial" w:cs="Arial"/>
          <w:sz w:val="24"/>
          <w:szCs w:val="24"/>
        </w:rPr>
        <w:t xml:space="preserve">. The court however was, despite this discrepancy, satisfied that the State had proven that the kick by the first respondent was the cause of death. </w:t>
      </w:r>
      <w:r w:rsidR="00DB08AF">
        <w:rPr>
          <w:rFonts w:ascii="Arial" w:hAnsi="Arial" w:cs="Arial"/>
          <w:sz w:val="24"/>
          <w:szCs w:val="24"/>
        </w:rPr>
        <w:t xml:space="preserve"> </w:t>
      </w:r>
    </w:p>
    <w:p w:rsidR="00E15801" w:rsidRDefault="00E15801" w:rsidP="000E5F6D">
      <w:pPr>
        <w:spacing w:line="360" w:lineRule="auto"/>
        <w:jc w:val="both"/>
        <w:rPr>
          <w:rFonts w:ascii="Arial" w:hAnsi="Arial" w:cs="Arial"/>
          <w:sz w:val="24"/>
          <w:szCs w:val="24"/>
        </w:rPr>
      </w:pPr>
    </w:p>
    <w:p w:rsidR="000E5F6D" w:rsidRDefault="000E5F6D" w:rsidP="000E5F6D">
      <w:pPr>
        <w:spacing w:line="360" w:lineRule="auto"/>
        <w:jc w:val="both"/>
        <w:rPr>
          <w:rFonts w:ascii="Arial" w:hAnsi="Arial" w:cs="Arial"/>
          <w:sz w:val="24"/>
          <w:szCs w:val="24"/>
        </w:rPr>
      </w:pPr>
      <w:r>
        <w:rPr>
          <w:rFonts w:ascii="Arial" w:hAnsi="Arial" w:cs="Arial"/>
          <w:sz w:val="24"/>
          <w:szCs w:val="24"/>
        </w:rPr>
        <w:t>[</w:t>
      </w:r>
      <w:r w:rsidR="00FA5B1F">
        <w:rPr>
          <w:rFonts w:ascii="Arial" w:hAnsi="Arial" w:cs="Arial"/>
          <w:sz w:val="24"/>
          <w:szCs w:val="24"/>
        </w:rPr>
        <w:t>23</w:t>
      </w:r>
      <w:r>
        <w:rPr>
          <w:rFonts w:ascii="Arial" w:hAnsi="Arial" w:cs="Arial"/>
          <w:sz w:val="24"/>
          <w:szCs w:val="24"/>
        </w:rPr>
        <w:t>]</w:t>
      </w:r>
      <w:r>
        <w:rPr>
          <w:rFonts w:ascii="Arial" w:hAnsi="Arial" w:cs="Arial"/>
          <w:sz w:val="24"/>
          <w:szCs w:val="24"/>
        </w:rPr>
        <w:tab/>
        <w:t xml:space="preserve">The applicant submitted that the </w:t>
      </w:r>
      <w:r w:rsidR="001B32B6">
        <w:rPr>
          <w:rFonts w:ascii="Arial" w:hAnsi="Arial" w:cs="Arial"/>
          <w:sz w:val="24"/>
          <w:szCs w:val="24"/>
        </w:rPr>
        <w:t>court erred in law by finding that it could not be said that the first respondent ought to have foreseen the death of deceased, despite having found that the first respondent ought to have foreseen serious injuries resulting from his kick.</w:t>
      </w:r>
      <w:r>
        <w:rPr>
          <w:rFonts w:ascii="Arial" w:hAnsi="Arial" w:cs="Arial"/>
          <w:sz w:val="24"/>
          <w:szCs w:val="24"/>
        </w:rPr>
        <w:t xml:space="preserve"> </w:t>
      </w:r>
      <w:r w:rsidR="002338D7" w:rsidRPr="000E5F6D">
        <w:rPr>
          <w:rFonts w:ascii="Arial" w:hAnsi="Arial" w:cs="Arial"/>
          <w:sz w:val="24"/>
          <w:szCs w:val="24"/>
        </w:rPr>
        <w:t xml:space="preserve">The court accepted </w:t>
      </w:r>
      <w:r w:rsidR="002338D7" w:rsidRPr="00C71FAA">
        <w:rPr>
          <w:rFonts w:ascii="Arial" w:hAnsi="Arial" w:cs="Arial"/>
          <w:i/>
          <w:sz w:val="24"/>
          <w:szCs w:val="24"/>
        </w:rPr>
        <w:t>dolus eventualis</w:t>
      </w:r>
      <w:r w:rsidR="002338D7" w:rsidRPr="000E5F6D">
        <w:rPr>
          <w:rFonts w:ascii="Arial" w:hAnsi="Arial" w:cs="Arial"/>
          <w:sz w:val="24"/>
          <w:szCs w:val="24"/>
        </w:rPr>
        <w:t xml:space="preserve"> as the form of intent for assault with the intent to do grievous bodily harm. </w:t>
      </w:r>
      <w:r>
        <w:rPr>
          <w:rFonts w:ascii="Arial" w:hAnsi="Arial" w:cs="Arial"/>
          <w:sz w:val="24"/>
          <w:szCs w:val="24"/>
        </w:rPr>
        <w:t>T</w:t>
      </w:r>
      <w:r w:rsidR="005A2244" w:rsidRPr="000E5F6D">
        <w:rPr>
          <w:rFonts w:ascii="Arial" w:hAnsi="Arial" w:cs="Arial"/>
          <w:sz w:val="24"/>
          <w:szCs w:val="24"/>
        </w:rPr>
        <w:t xml:space="preserve">he </w:t>
      </w:r>
      <w:r w:rsidR="00A55AC6" w:rsidRPr="000E5F6D">
        <w:rPr>
          <w:rFonts w:ascii="Arial" w:hAnsi="Arial" w:cs="Arial"/>
          <w:sz w:val="24"/>
          <w:szCs w:val="24"/>
        </w:rPr>
        <w:t>court applied the following test: would a reasonable person in the accused’s position have foreseen th</w:t>
      </w:r>
      <w:r>
        <w:rPr>
          <w:rFonts w:ascii="Arial" w:hAnsi="Arial" w:cs="Arial"/>
          <w:sz w:val="24"/>
          <w:szCs w:val="24"/>
        </w:rPr>
        <w:t xml:space="preserve">at the </w:t>
      </w:r>
      <w:r w:rsidR="00A55AC6" w:rsidRPr="000E5F6D">
        <w:rPr>
          <w:rFonts w:ascii="Arial" w:hAnsi="Arial" w:cs="Arial"/>
          <w:sz w:val="24"/>
          <w:szCs w:val="24"/>
        </w:rPr>
        <w:t>death of the deceased would ensue</w:t>
      </w:r>
      <w:r>
        <w:rPr>
          <w:rFonts w:ascii="Arial" w:hAnsi="Arial" w:cs="Arial"/>
          <w:sz w:val="24"/>
          <w:szCs w:val="24"/>
        </w:rPr>
        <w:t xml:space="preserve">. The court </w:t>
      </w:r>
      <w:r w:rsidR="00A55AC6" w:rsidRPr="000E5F6D">
        <w:rPr>
          <w:rFonts w:ascii="Arial" w:hAnsi="Arial" w:cs="Arial"/>
          <w:sz w:val="24"/>
          <w:szCs w:val="24"/>
        </w:rPr>
        <w:t xml:space="preserve">concluded that it cannot be said that he ought to have foreseen the death of the deceased. </w:t>
      </w:r>
    </w:p>
    <w:p w:rsidR="00E15801" w:rsidRDefault="00E15801" w:rsidP="000E5F6D">
      <w:pPr>
        <w:spacing w:line="360" w:lineRule="auto"/>
        <w:jc w:val="both"/>
        <w:rPr>
          <w:rFonts w:ascii="Arial" w:hAnsi="Arial" w:cs="Arial"/>
          <w:sz w:val="24"/>
          <w:szCs w:val="24"/>
        </w:rPr>
      </w:pPr>
    </w:p>
    <w:p w:rsidR="002338D7" w:rsidRDefault="00FA5B1F" w:rsidP="000E5F6D">
      <w:pPr>
        <w:spacing w:line="360" w:lineRule="auto"/>
        <w:jc w:val="both"/>
        <w:rPr>
          <w:rFonts w:ascii="Arial" w:hAnsi="Arial" w:cs="Arial"/>
          <w:sz w:val="24"/>
          <w:szCs w:val="24"/>
        </w:rPr>
      </w:pPr>
      <w:r>
        <w:rPr>
          <w:rFonts w:ascii="Arial" w:hAnsi="Arial" w:cs="Arial"/>
          <w:sz w:val="24"/>
          <w:szCs w:val="24"/>
        </w:rPr>
        <w:t>[24</w:t>
      </w:r>
      <w:r w:rsidR="000E5F6D">
        <w:rPr>
          <w:rFonts w:ascii="Arial" w:hAnsi="Arial" w:cs="Arial"/>
          <w:sz w:val="24"/>
          <w:szCs w:val="24"/>
        </w:rPr>
        <w:t>]</w:t>
      </w:r>
      <w:r w:rsidR="000E5F6D">
        <w:rPr>
          <w:rFonts w:ascii="Arial" w:hAnsi="Arial" w:cs="Arial"/>
          <w:sz w:val="24"/>
          <w:szCs w:val="24"/>
        </w:rPr>
        <w:tab/>
      </w:r>
      <w:r w:rsidR="00D25B89" w:rsidRPr="000E5F6D">
        <w:rPr>
          <w:rFonts w:ascii="Arial" w:hAnsi="Arial" w:cs="Arial"/>
          <w:sz w:val="24"/>
          <w:szCs w:val="24"/>
        </w:rPr>
        <w:t xml:space="preserve">It is indeed so that the </w:t>
      </w:r>
      <w:r w:rsidR="00C71FAA">
        <w:rPr>
          <w:rFonts w:ascii="Arial" w:hAnsi="Arial" w:cs="Arial"/>
          <w:sz w:val="24"/>
          <w:szCs w:val="24"/>
        </w:rPr>
        <w:t>first respondent</w:t>
      </w:r>
      <w:r w:rsidR="00D25B89" w:rsidRPr="000E5F6D">
        <w:rPr>
          <w:rFonts w:ascii="Arial" w:hAnsi="Arial" w:cs="Arial"/>
          <w:sz w:val="24"/>
          <w:szCs w:val="24"/>
        </w:rPr>
        <w:t xml:space="preserve">, with a shod foot kicked the deceased once on the chest with some measure of force. The question </w:t>
      </w:r>
      <w:r w:rsidR="000E5F6D">
        <w:rPr>
          <w:rFonts w:ascii="Arial" w:hAnsi="Arial" w:cs="Arial"/>
          <w:sz w:val="24"/>
          <w:szCs w:val="24"/>
        </w:rPr>
        <w:t xml:space="preserve">for culpable homicide is </w:t>
      </w:r>
      <w:r w:rsidR="00D25B89" w:rsidRPr="000E5F6D">
        <w:rPr>
          <w:rFonts w:ascii="Arial" w:hAnsi="Arial" w:cs="Arial"/>
          <w:sz w:val="24"/>
          <w:szCs w:val="24"/>
        </w:rPr>
        <w:t>not whether a reasonable person would have foreseen the possibility of a person suffering serious bodily injury</w:t>
      </w:r>
      <w:r w:rsidR="00B825F7">
        <w:rPr>
          <w:rFonts w:ascii="Arial" w:hAnsi="Arial" w:cs="Arial"/>
          <w:sz w:val="24"/>
          <w:szCs w:val="24"/>
        </w:rPr>
        <w:t>,</w:t>
      </w:r>
      <w:r w:rsidR="00D25B89" w:rsidRPr="000E5F6D">
        <w:rPr>
          <w:rFonts w:ascii="Arial" w:hAnsi="Arial" w:cs="Arial"/>
          <w:sz w:val="24"/>
          <w:szCs w:val="24"/>
        </w:rPr>
        <w:t xml:space="preserve"> but his death.  </w:t>
      </w:r>
    </w:p>
    <w:p w:rsidR="00E15801" w:rsidRDefault="00E15801" w:rsidP="00A94055">
      <w:pPr>
        <w:jc w:val="both"/>
        <w:rPr>
          <w:rFonts w:ascii="Arial" w:hAnsi="Arial" w:cs="Arial"/>
          <w:sz w:val="24"/>
          <w:szCs w:val="24"/>
        </w:rPr>
      </w:pPr>
    </w:p>
    <w:p w:rsidR="00871C56" w:rsidRDefault="00871C56" w:rsidP="00A94055">
      <w:pPr>
        <w:jc w:val="both"/>
        <w:rPr>
          <w:rFonts w:ascii="Arial" w:hAnsi="Arial" w:cs="Arial"/>
          <w:sz w:val="24"/>
          <w:szCs w:val="24"/>
          <w:u w:val="single"/>
        </w:rPr>
      </w:pPr>
      <w:r w:rsidRPr="00B825F7">
        <w:rPr>
          <w:rFonts w:ascii="Arial" w:hAnsi="Arial" w:cs="Arial"/>
          <w:sz w:val="24"/>
          <w:szCs w:val="24"/>
          <w:u w:val="single"/>
        </w:rPr>
        <w:t>Sentence</w:t>
      </w:r>
    </w:p>
    <w:p w:rsidR="00E15801" w:rsidRPr="00B825F7" w:rsidRDefault="00E15801" w:rsidP="00A94055">
      <w:pPr>
        <w:jc w:val="both"/>
        <w:rPr>
          <w:rFonts w:ascii="Arial" w:hAnsi="Arial" w:cs="Arial"/>
          <w:sz w:val="24"/>
          <w:szCs w:val="24"/>
          <w:u w:val="single"/>
        </w:rPr>
      </w:pPr>
    </w:p>
    <w:p w:rsidR="00871C56" w:rsidRDefault="000F1F0B" w:rsidP="003B03A1">
      <w:pPr>
        <w:spacing w:line="360" w:lineRule="auto"/>
        <w:jc w:val="both"/>
        <w:rPr>
          <w:rFonts w:ascii="Arial" w:hAnsi="Arial" w:cs="Arial"/>
          <w:sz w:val="24"/>
          <w:szCs w:val="24"/>
        </w:rPr>
      </w:pPr>
      <w:r>
        <w:rPr>
          <w:rFonts w:ascii="Arial" w:hAnsi="Arial" w:cs="Arial"/>
          <w:sz w:val="24"/>
          <w:szCs w:val="24"/>
        </w:rPr>
        <w:t>[</w:t>
      </w:r>
      <w:r w:rsidR="00FA5B1F">
        <w:rPr>
          <w:rFonts w:ascii="Arial" w:hAnsi="Arial" w:cs="Arial"/>
          <w:sz w:val="24"/>
          <w:szCs w:val="24"/>
        </w:rPr>
        <w:t>25</w:t>
      </w:r>
      <w:r>
        <w:rPr>
          <w:rFonts w:ascii="Arial" w:hAnsi="Arial" w:cs="Arial"/>
          <w:sz w:val="24"/>
          <w:szCs w:val="24"/>
        </w:rPr>
        <w:t>]</w:t>
      </w:r>
      <w:r>
        <w:rPr>
          <w:rFonts w:ascii="Arial" w:hAnsi="Arial" w:cs="Arial"/>
          <w:sz w:val="24"/>
          <w:szCs w:val="24"/>
        </w:rPr>
        <w:tab/>
      </w:r>
      <w:r w:rsidR="00871C56">
        <w:rPr>
          <w:rFonts w:ascii="Arial" w:hAnsi="Arial" w:cs="Arial"/>
          <w:sz w:val="24"/>
          <w:szCs w:val="24"/>
        </w:rPr>
        <w:t>The applicant submitted in the first ground that th</w:t>
      </w:r>
      <w:r w:rsidR="00393984" w:rsidRPr="007170DA">
        <w:rPr>
          <w:rFonts w:ascii="Arial" w:hAnsi="Arial" w:cs="Arial"/>
          <w:sz w:val="24"/>
          <w:szCs w:val="24"/>
        </w:rPr>
        <w:t>e court erred by imposing a sentence that is shockingly lenient in that it is not comparable to similar sentences for similar offences</w:t>
      </w:r>
      <w:r w:rsidR="005A2244" w:rsidRPr="007170DA">
        <w:rPr>
          <w:rFonts w:ascii="Arial" w:hAnsi="Arial" w:cs="Arial"/>
          <w:sz w:val="24"/>
          <w:szCs w:val="24"/>
        </w:rPr>
        <w:t>.</w:t>
      </w:r>
      <w:r w:rsidR="00871C56">
        <w:rPr>
          <w:rFonts w:ascii="Arial" w:hAnsi="Arial" w:cs="Arial"/>
          <w:sz w:val="24"/>
          <w:szCs w:val="24"/>
        </w:rPr>
        <w:t xml:space="preserve"> </w:t>
      </w:r>
      <w:r w:rsidR="00C93DC4" w:rsidRPr="003B03A1">
        <w:rPr>
          <w:rFonts w:ascii="Arial" w:hAnsi="Arial" w:cs="Arial"/>
          <w:sz w:val="24"/>
          <w:szCs w:val="24"/>
        </w:rPr>
        <w:t xml:space="preserve">The State referred this court to </w:t>
      </w:r>
      <w:r w:rsidR="00C93DC4" w:rsidRPr="00B825F7">
        <w:rPr>
          <w:rFonts w:ascii="Arial" w:hAnsi="Arial" w:cs="Arial"/>
          <w:i/>
          <w:sz w:val="24"/>
          <w:szCs w:val="24"/>
        </w:rPr>
        <w:t>S v Barnes</w:t>
      </w:r>
      <w:r w:rsidR="006D42D8" w:rsidRPr="00B825F7">
        <w:rPr>
          <w:rFonts w:ascii="Arial" w:hAnsi="Arial" w:cs="Arial"/>
          <w:i/>
          <w:sz w:val="24"/>
          <w:szCs w:val="24"/>
        </w:rPr>
        <w:t xml:space="preserve"> </w:t>
      </w:r>
      <w:r w:rsidR="00C93DC4" w:rsidRPr="00B825F7">
        <w:rPr>
          <w:rFonts w:ascii="Arial" w:hAnsi="Arial" w:cs="Arial"/>
          <w:i/>
          <w:sz w:val="24"/>
          <w:szCs w:val="24"/>
        </w:rPr>
        <w:t>1</w:t>
      </w:r>
      <w:r w:rsidR="00B825F7" w:rsidRPr="00B825F7">
        <w:rPr>
          <w:rFonts w:ascii="Arial" w:hAnsi="Arial" w:cs="Arial"/>
          <w:i/>
          <w:sz w:val="24"/>
          <w:szCs w:val="24"/>
        </w:rPr>
        <w:t>9</w:t>
      </w:r>
      <w:r w:rsidR="00C93DC4" w:rsidRPr="00B825F7">
        <w:rPr>
          <w:rFonts w:ascii="Arial" w:hAnsi="Arial" w:cs="Arial"/>
          <w:i/>
          <w:sz w:val="24"/>
          <w:szCs w:val="24"/>
        </w:rPr>
        <w:t xml:space="preserve">90 </w:t>
      </w:r>
      <w:r w:rsidR="00B825F7" w:rsidRPr="00B825F7">
        <w:rPr>
          <w:rFonts w:ascii="Arial" w:hAnsi="Arial" w:cs="Arial"/>
          <w:i/>
          <w:sz w:val="24"/>
          <w:szCs w:val="24"/>
        </w:rPr>
        <w:t>(</w:t>
      </w:r>
      <w:r w:rsidR="00C93DC4" w:rsidRPr="00B825F7">
        <w:rPr>
          <w:rFonts w:ascii="Arial" w:hAnsi="Arial" w:cs="Arial"/>
          <w:i/>
          <w:sz w:val="24"/>
          <w:szCs w:val="24"/>
        </w:rPr>
        <w:t>2) SACR 485</w:t>
      </w:r>
      <w:r w:rsidR="00B825F7">
        <w:rPr>
          <w:rFonts w:ascii="Arial" w:hAnsi="Arial" w:cs="Arial"/>
          <w:i/>
          <w:sz w:val="24"/>
          <w:szCs w:val="24"/>
        </w:rPr>
        <w:t>;</w:t>
      </w:r>
      <w:r w:rsidR="00C93DC4" w:rsidRPr="003B03A1">
        <w:rPr>
          <w:rFonts w:ascii="Arial" w:hAnsi="Arial" w:cs="Arial"/>
          <w:sz w:val="24"/>
          <w:szCs w:val="24"/>
        </w:rPr>
        <w:t xml:space="preserve"> </w:t>
      </w:r>
      <w:r w:rsidR="00C93DC4" w:rsidRPr="00B825F7">
        <w:rPr>
          <w:rFonts w:ascii="Arial" w:hAnsi="Arial" w:cs="Arial"/>
          <w:i/>
          <w:sz w:val="24"/>
          <w:szCs w:val="24"/>
        </w:rPr>
        <w:t xml:space="preserve">S v </w:t>
      </w:r>
      <w:r w:rsidR="00B825F7">
        <w:rPr>
          <w:rFonts w:ascii="Arial" w:hAnsi="Arial" w:cs="Arial"/>
          <w:i/>
          <w:sz w:val="24"/>
          <w:szCs w:val="24"/>
        </w:rPr>
        <w:t>Phall</w:t>
      </w:r>
      <w:r w:rsidR="00C93DC4" w:rsidRPr="00B825F7">
        <w:rPr>
          <w:rFonts w:ascii="Arial" w:hAnsi="Arial" w:cs="Arial"/>
          <w:i/>
          <w:sz w:val="24"/>
          <w:szCs w:val="24"/>
        </w:rPr>
        <w:t>o</w:t>
      </w:r>
      <w:r w:rsidR="00C93DC4" w:rsidRPr="003B03A1">
        <w:rPr>
          <w:rFonts w:ascii="Arial" w:hAnsi="Arial" w:cs="Arial"/>
          <w:sz w:val="24"/>
          <w:szCs w:val="24"/>
        </w:rPr>
        <w:t xml:space="preserve"> </w:t>
      </w:r>
      <w:r w:rsidR="00167F77">
        <w:rPr>
          <w:rFonts w:ascii="Arial" w:hAnsi="Arial" w:cs="Arial"/>
          <w:i/>
          <w:sz w:val="24"/>
          <w:szCs w:val="24"/>
        </w:rPr>
        <w:t>&amp; o</w:t>
      </w:r>
      <w:r w:rsidR="00C93DC4" w:rsidRPr="00B825F7">
        <w:rPr>
          <w:rFonts w:ascii="Arial" w:hAnsi="Arial" w:cs="Arial"/>
          <w:i/>
          <w:sz w:val="24"/>
          <w:szCs w:val="24"/>
        </w:rPr>
        <w:t>thers 1999 (2) SACR 558</w:t>
      </w:r>
      <w:r w:rsidR="00B825F7">
        <w:rPr>
          <w:rFonts w:ascii="Arial" w:hAnsi="Arial" w:cs="Arial"/>
          <w:i/>
          <w:sz w:val="24"/>
          <w:szCs w:val="24"/>
        </w:rPr>
        <w:t>;</w:t>
      </w:r>
      <w:r w:rsidR="00C93DC4" w:rsidRPr="003B03A1">
        <w:rPr>
          <w:rFonts w:ascii="Arial" w:hAnsi="Arial" w:cs="Arial"/>
          <w:sz w:val="24"/>
          <w:szCs w:val="24"/>
        </w:rPr>
        <w:t xml:space="preserve"> </w:t>
      </w:r>
      <w:r w:rsidR="00B825F7">
        <w:rPr>
          <w:rFonts w:ascii="Arial" w:hAnsi="Arial" w:cs="Arial"/>
          <w:sz w:val="24"/>
          <w:szCs w:val="24"/>
        </w:rPr>
        <w:t xml:space="preserve">and </w:t>
      </w:r>
      <w:r w:rsidR="00167F77">
        <w:rPr>
          <w:rFonts w:ascii="Arial" w:hAnsi="Arial" w:cs="Arial"/>
          <w:i/>
          <w:sz w:val="24"/>
          <w:szCs w:val="24"/>
        </w:rPr>
        <w:t>S v Madikane &amp; o</w:t>
      </w:r>
      <w:r w:rsidR="00B825F7" w:rsidRPr="00B825F7">
        <w:rPr>
          <w:rFonts w:ascii="Arial" w:hAnsi="Arial" w:cs="Arial"/>
          <w:i/>
          <w:sz w:val="24"/>
          <w:szCs w:val="24"/>
        </w:rPr>
        <w:t>thers 1990 (1) SACR 377 (N)</w:t>
      </w:r>
      <w:r w:rsidR="00B825F7">
        <w:rPr>
          <w:rFonts w:ascii="Arial" w:hAnsi="Arial" w:cs="Arial"/>
          <w:i/>
          <w:sz w:val="24"/>
          <w:szCs w:val="24"/>
        </w:rPr>
        <w:t xml:space="preserve"> </w:t>
      </w:r>
      <w:r w:rsidR="00B825F7">
        <w:rPr>
          <w:rFonts w:ascii="Arial" w:hAnsi="Arial" w:cs="Arial"/>
          <w:sz w:val="24"/>
          <w:szCs w:val="24"/>
        </w:rPr>
        <w:t xml:space="preserve">where those courts </w:t>
      </w:r>
      <w:r w:rsidR="00C93DC4" w:rsidRPr="003B03A1">
        <w:rPr>
          <w:rFonts w:ascii="Arial" w:hAnsi="Arial" w:cs="Arial"/>
          <w:sz w:val="24"/>
          <w:szCs w:val="24"/>
        </w:rPr>
        <w:t xml:space="preserve">imposed </w:t>
      </w:r>
      <w:r w:rsidR="006D42D8" w:rsidRPr="003B03A1">
        <w:rPr>
          <w:rFonts w:ascii="Arial" w:hAnsi="Arial" w:cs="Arial"/>
          <w:sz w:val="24"/>
          <w:szCs w:val="24"/>
        </w:rPr>
        <w:t>custodial sentences</w:t>
      </w:r>
      <w:r w:rsidR="00B825F7">
        <w:rPr>
          <w:rFonts w:ascii="Arial" w:hAnsi="Arial" w:cs="Arial"/>
          <w:sz w:val="24"/>
          <w:szCs w:val="24"/>
        </w:rPr>
        <w:t xml:space="preserve"> ranging from 8 to 2 year’s imprisonment</w:t>
      </w:r>
      <w:r w:rsidR="006D42D8" w:rsidRPr="003B03A1">
        <w:rPr>
          <w:rFonts w:ascii="Arial" w:hAnsi="Arial" w:cs="Arial"/>
          <w:sz w:val="24"/>
          <w:szCs w:val="24"/>
        </w:rPr>
        <w:t>.</w:t>
      </w:r>
      <w:r w:rsidR="003B03A1">
        <w:rPr>
          <w:rFonts w:ascii="Arial" w:hAnsi="Arial" w:cs="Arial"/>
          <w:sz w:val="24"/>
          <w:szCs w:val="24"/>
        </w:rPr>
        <w:t xml:space="preserve"> In the </w:t>
      </w:r>
      <w:r w:rsidR="003B03A1" w:rsidRPr="00FA5B1F">
        <w:rPr>
          <w:rFonts w:ascii="Arial" w:hAnsi="Arial" w:cs="Arial"/>
          <w:i/>
          <w:sz w:val="24"/>
          <w:szCs w:val="24"/>
        </w:rPr>
        <w:t>Barnes</w:t>
      </w:r>
      <w:r w:rsidR="003B03A1">
        <w:rPr>
          <w:rFonts w:ascii="Arial" w:hAnsi="Arial" w:cs="Arial"/>
          <w:sz w:val="24"/>
          <w:szCs w:val="24"/>
        </w:rPr>
        <w:t xml:space="preserve"> case </w:t>
      </w:r>
      <w:r w:rsidR="003B03A1" w:rsidRPr="003B03A1">
        <w:rPr>
          <w:rFonts w:ascii="Arial" w:hAnsi="Arial" w:cs="Arial"/>
          <w:sz w:val="24"/>
          <w:szCs w:val="24"/>
        </w:rPr>
        <w:t xml:space="preserve">the deceased had been arrested for allegedly stealing a firearm, and </w:t>
      </w:r>
      <w:r w:rsidR="003B03A1">
        <w:rPr>
          <w:rFonts w:ascii="Arial" w:hAnsi="Arial" w:cs="Arial"/>
          <w:sz w:val="24"/>
          <w:szCs w:val="24"/>
        </w:rPr>
        <w:t>police officers</w:t>
      </w:r>
      <w:r w:rsidR="003B03A1" w:rsidRPr="003B03A1">
        <w:rPr>
          <w:rFonts w:ascii="Arial" w:hAnsi="Arial" w:cs="Arial"/>
          <w:sz w:val="24"/>
          <w:szCs w:val="24"/>
        </w:rPr>
        <w:t xml:space="preserve"> had taken him along in order to search for it. When it became apparent that the deceased was leading them on a wild goose chase, the first appellant began assaulting the deceased, pun</w:t>
      </w:r>
      <w:r w:rsidR="003B03A1">
        <w:rPr>
          <w:rFonts w:ascii="Arial" w:hAnsi="Arial" w:cs="Arial"/>
          <w:sz w:val="24"/>
          <w:szCs w:val="24"/>
        </w:rPr>
        <w:t xml:space="preserve">ching and kicking him. After   </w:t>
      </w:r>
      <w:r w:rsidR="003B03A1" w:rsidRPr="003B03A1">
        <w:rPr>
          <w:rFonts w:ascii="Arial" w:hAnsi="Arial" w:cs="Arial"/>
          <w:sz w:val="24"/>
          <w:szCs w:val="24"/>
        </w:rPr>
        <w:t>three such episodes, which according to the evidence did not contribute to the deceased's death, he was again assaulted (he was kicked in the vicinity of the stomach). This last assault caused the death of the deceased later that night.</w:t>
      </w:r>
      <w:r w:rsidR="00871C56">
        <w:rPr>
          <w:rFonts w:ascii="Arial" w:hAnsi="Arial" w:cs="Arial"/>
          <w:sz w:val="24"/>
          <w:szCs w:val="24"/>
        </w:rPr>
        <w:t xml:space="preserve"> The deceased was assaulted on diverse occasions and the assault was sustained over a period. The accused who was responsible for the final assault was convicted of culpable homicide and was sentenced to 8 years’ imprisonment. </w:t>
      </w:r>
      <w:r w:rsidR="00871C56" w:rsidRPr="00871C56">
        <w:rPr>
          <w:rFonts w:ascii="Arial" w:hAnsi="Arial" w:cs="Arial"/>
          <w:sz w:val="24"/>
          <w:szCs w:val="24"/>
        </w:rPr>
        <w:t>B</w:t>
      </w:r>
      <w:r w:rsidR="00B95291" w:rsidRPr="00871C56">
        <w:rPr>
          <w:rFonts w:ascii="Arial" w:hAnsi="Arial" w:cs="Arial"/>
          <w:sz w:val="24"/>
          <w:szCs w:val="24"/>
        </w:rPr>
        <w:t>ooysen</w:t>
      </w:r>
      <w:r w:rsidR="00871C56" w:rsidRPr="00871C56">
        <w:rPr>
          <w:rFonts w:ascii="Arial" w:hAnsi="Arial" w:cs="Arial"/>
          <w:sz w:val="24"/>
          <w:szCs w:val="24"/>
        </w:rPr>
        <w:t xml:space="preserve"> J</w:t>
      </w:r>
      <w:r w:rsidR="00871C56">
        <w:rPr>
          <w:rFonts w:ascii="Arial" w:hAnsi="Arial" w:cs="Arial"/>
          <w:sz w:val="24"/>
          <w:szCs w:val="24"/>
        </w:rPr>
        <w:t xml:space="preserve">, the appellate judge stated as follow: </w:t>
      </w:r>
    </w:p>
    <w:p w:rsidR="00871C56" w:rsidRPr="00062914" w:rsidRDefault="00871C56" w:rsidP="00871C56">
      <w:pPr>
        <w:spacing w:line="360" w:lineRule="auto"/>
        <w:ind w:left="720"/>
        <w:jc w:val="both"/>
        <w:rPr>
          <w:rFonts w:ascii="Arial" w:hAnsi="Arial" w:cs="Arial"/>
        </w:rPr>
      </w:pPr>
      <w:r>
        <w:rPr>
          <w:rFonts w:ascii="Arial" w:hAnsi="Arial" w:cs="Arial"/>
          <w:sz w:val="24"/>
          <w:szCs w:val="24"/>
        </w:rPr>
        <w:t>‘</w:t>
      </w:r>
      <w:r w:rsidRPr="00062914">
        <w:rPr>
          <w:rFonts w:ascii="Arial" w:hAnsi="Arial" w:cs="Arial"/>
        </w:rPr>
        <w:t xml:space="preserve">It is unfortunate for the accused but it is important that the public and policemen should know that our Courts will not tolerate assaults by policemen on those in police custody and will punish severely those who do commit such assaults, and </w:t>
      </w:r>
      <w:r w:rsidRPr="00062914">
        <w:rPr>
          <w:rFonts w:ascii="Arial" w:hAnsi="Arial" w:cs="Arial"/>
          <w:u w:val="single"/>
        </w:rPr>
        <w:t>particularly if they result in death which could have been foreseen</w:t>
      </w:r>
      <w:r w:rsidRPr="00062914">
        <w:rPr>
          <w:rFonts w:ascii="Arial" w:hAnsi="Arial" w:cs="Arial"/>
        </w:rPr>
        <w:t>, even if the death was not in fact either desired or intended.’ My emphasis</w:t>
      </w:r>
    </w:p>
    <w:p w:rsidR="00E15801" w:rsidRDefault="00871C56" w:rsidP="003B03A1">
      <w:pPr>
        <w:spacing w:line="360" w:lineRule="auto"/>
        <w:jc w:val="both"/>
        <w:rPr>
          <w:rFonts w:ascii="Arial" w:hAnsi="Arial" w:cs="Arial"/>
          <w:sz w:val="24"/>
          <w:szCs w:val="24"/>
        </w:rPr>
      </w:pPr>
      <w:r>
        <w:rPr>
          <w:rFonts w:ascii="Arial" w:hAnsi="Arial" w:cs="Arial"/>
          <w:sz w:val="24"/>
          <w:szCs w:val="24"/>
        </w:rPr>
        <w:t xml:space="preserve">It is not difficult to see that the facts of that case is distinguishable from the facts in this case.  </w:t>
      </w:r>
    </w:p>
    <w:p w:rsidR="006D42D8" w:rsidRPr="003B03A1" w:rsidRDefault="00871C56" w:rsidP="003B03A1">
      <w:pPr>
        <w:spacing w:line="360" w:lineRule="auto"/>
        <w:jc w:val="both"/>
        <w:rPr>
          <w:rFonts w:ascii="Arial" w:hAnsi="Arial" w:cs="Arial"/>
          <w:sz w:val="24"/>
          <w:szCs w:val="24"/>
        </w:rPr>
      </w:pPr>
      <w:r>
        <w:rPr>
          <w:rFonts w:ascii="Arial" w:hAnsi="Arial" w:cs="Arial"/>
          <w:sz w:val="24"/>
          <w:szCs w:val="24"/>
        </w:rPr>
        <w:t xml:space="preserve"> </w:t>
      </w:r>
    </w:p>
    <w:p w:rsidR="00FA5B1F" w:rsidRDefault="00062914" w:rsidP="00062914">
      <w:pPr>
        <w:spacing w:line="360" w:lineRule="auto"/>
        <w:jc w:val="both"/>
        <w:rPr>
          <w:rFonts w:ascii="Arial" w:hAnsi="Arial" w:cs="Arial"/>
          <w:color w:val="000000"/>
          <w:sz w:val="24"/>
          <w:szCs w:val="24"/>
          <w:shd w:val="clear" w:color="auto" w:fill="FFFFFF"/>
        </w:rPr>
      </w:pPr>
      <w:r>
        <w:rPr>
          <w:rFonts w:ascii="Arial" w:hAnsi="Arial" w:cs="Arial"/>
          <w:sz w:val="24"/>
          <w:szCs w:val="24"/>
        </w:rPr>
        <w:t>[2</w:t>
      </w:r>
      <w:r w:rsidR="00FA5B1F">
        <w:rPr>
          <w:rFonts w:ascii="Arial" w:hAnsi="Arial" w:cs="Arial"/>
          <w:sz w:val="24"/>
          <w:szCs w:val="24"/>
        </w:rPr>
        <w:t>6</w:t>
      </w:r>
      <w:r>
        <w:rPr>
          <w:rFonts w:ascii="Arial" w:hAnsi="Arial" w:cs="Arial"/>
          <w:sz w:val="24"/>
          <w:szCs w:val="24"/>
        </w:rPr>
        <w:t>]</w:t>
      </w:r>
      <w:r>
        <w:rPr>
          <w:rFonts w:ascii="Arial" w:hAnsi="Arial" w:cs="Arial"/>
          <w:sz w:val="24"/>
          <w:szCs w:val="24"/>
        </w:rPr>
        <w:tab/>
      </w:r>
      <w:r w:rsidR="006D42D8" w:rsidRPr="00062914">
        <w:rPr>
          <w:rFonts w:ascii="Arial" w:hAnsi="Arial" w:cs="Arial"/>
          <w:sz w:val="24"/>
          <w:szCs w:val="24"/>
        </w:rPr>
        <w:t xml:space="preserve">The case of </w:t>
      </w:r>
      <w:r w:rsidR="006D42D8" w:rsidRPr="00062914">
        <w:rPr>
          <w:rFonts w:ascii="Arial" w:hAnsi="Arial" w:cs="Arial"/>
          <w:i/>
          <w:sz w:val="24"/>
          <w:szCs w:val="24"/>
        </w:rPr>
        <w:t>George Botha</w:t>
      </w:r>
      <w:r w:rsidR="00FA5B1F">
        <w:rPr>
          <w:rFonts w:ascii="Arial" w:hAnsi="Arial" w:cs="Arial"/>
          <w:i/>
          <w:sz w:val="24"/>
          <w:szCs w:val="24"/>
        </w:rPr>
        <w:t xml:space="preserve">, supra </w:t>
      </w:r>
      <w:r w:rsidR="00FA5B1F">
        <w:rPr>
          <w:rStyle w:val="FootnoteReference"/>
          <w:rFonts w:ascii="Arial" w:hAnsi="Arial" w:cs="Arial"/>
          <w:i/>
          <w:sz w:val="24"/>
          <w:szCs w:val="24"/>
        </w:rPr>
        <w:footnoteReference w:id="4"/>
      </w:r>
      <w:r w:rsidR="00FA5B1F">
        <w:rPr>
          <w:rFonts w:ascii="Arial" w:hAnsi="Arial" w:cs="Arial"/>
          <w:i/>
          <w:sz w:val="24"/>
          <w:szCs w:val="24"/>
        </w:rPr>
        <w:t xml:space="preserve"> </w:t>
      </w:r>
      <w:r w:rsidR="0086421E" w:rsidRPr="00062914">
        <w:rPr>
          <w:rFonts w:ascii="Arial" w:hAnsi="Arial" w:cs="Arial"/>
          <w:sz w:val="24"/>
          <w:szCs w:val="24"/>
        </w:rPr>
        <w:t>Hoff J, as he then was, sentence</w:t>
      </w:r>
      <w:r w:rsidR="00F56C0A" w:rsidRPr="00062914">
        <w:rPr>
          <w:rFonts w:ascii="Arial" w:hAnsi="Arial" w:cs="Arial"/>
          <w:sz w:val="24"/>
          <w:szCs w:val="24"/>
        </w:rPr>
        <w:t>d</w:t>
      </w:r>
      <w:r w:rsidR="0086421E" w:rsidRPr="00062914">
        <w:rPr>
          <w:rFonts w:ascii="Arial" w:hAnsi="Arial" w:cs="Arial"/>
          <w:sz w:val="24"/>
          <w:szCs w:val="24"/>
        </w:rPr>
        <w:t xml:space="preserve"> </w:t>
      </w:r>
      <w:r w:rsidR="00F56C0A" w:rsidRPr="00062914">
        <w:rPr>
          <w:rFonts w:ascii="Arial" w:hAnsi="Arial" w:cs="Arial"/>
          <w:sz w:val="24"/>
          <w:szCs w:val="24"/>
        </w:rPr>
        <w:t>th</w:t>
      </w:r>
      <w:r w:rsidR="00FA5B1F">
        <w:rPr>
          <w:rFonts w:ascii="Arial" w:hAnsi="Arial" w:cs="Arial"/>
          <w:sz w:val="24"/>
          <w:szCs w:val="24"/>
        </w:rPr>
        <w:t xml:space="preserve">e civilians </w:t>
      </w:r>
      <w:r w:rsidR="00F56C0A" w:rsidRPr="00062914">
        <w:rPr>
          <w:rFonts w:ascii="Arial" w:hAnsi="Arial" w:cs="Arial"/>
          <w:sz w:val="24"/>
          <w:szCs w:val="24"/>
        </w:rPr>
        <w:t xml:space="preserve">who assaulted the deceased </w:t>
      </w:r>
      <w:r w:rsidR="00FA5B1F">
        <w:rPr>
          <w:rFonts w:ascii="Arial" w:hAnsi="Arial" w:cs="Arial"/>
          <w:sz w:val="24"/>
          <w:szCs w:val="24"/>
        </w:rPr>
        <w:t xml:space="preserve">continuously </w:t>
      </w:r>
      <w:r w:rsidR="00F56C0A" w:rsidRPr="00062914">
        <w:rPr>
          <w:rFonts w:ascii="Arial" w:hAnsi="Arial" w:cs="Arial"/>
          <w:sz w:val="24"/>
          <w:szCs w:val="24"/>
        </w:rPr>
        <w:t>during the night</w:t>
      </w:r>
      <w:r w:rsidR="00FA5B1F">
        <w:rPr>
          <w:rFonts w:ascii="Arial" w:hAnsi="Arial" w:cs="Arial"/>
          <w:sz w:val="24"/>
          <w:szCs w:val="24"/>
        </w:rPr>
        <w:t xml:space="preserve"> and the police reservist who assaulted him the next morning before taking him to the police officer to three </w:t>
      </w:r>
      <w:r w:rsidR="00F56C0A" w:rsidRPr="00062914">
        <w:rPr>
          <w:rFonts w:ascii="Arial" w:hAnsi="Arial" w:cs="Arial"/>
          <w:sz w:val="24"/>
          <w:szCs w:val="24"/>
        </w:rPr>
        <w:t>years</w:t>
      </w:r>
      <w:r w:rsidR="00FA5B1F">
        <w:rPr>
          <w:rFonts w:ascii="Arial" w:hAnsi="Arial" w:cs="Arial"/>
          <w:sz w:val="24"/>
          <w:szCs w:val="24"/>
        </w:rPr>
        <w:t>’ imprisonment</w:t>
      </w:r>
      <w:r w:rsidR="00F56C0A" w:rsidRPr="00062914">
        <w:rPr>
          <w:rFonts w:ascii="Arial" w:hAnsi="Arial" w:cs="Arial"/>
          <w:sz w:val="24"/>
          <w:szCs w:val="24"/>
        </w:rPr>
        <w:t xml:space="preserve"> and th</w:t>
      </w:r>
      <w:r w:rsidR="006D42D8" w:rsidRPr="00062914">
        <w:rPr>
          <w:rFonts w:ascii="Arial" w:hAnsi="Arial" w:cs="Arial"/>
          <w:sz w:val="24"/>
          <w:szCs w:val="24"/>
        </w:rPr>
        <w:t xml:space="preserve">e police officers </w:t>
      </w:r>
      <w:r w:rsidR="00FA5B1F">
        <w:rPr>
          <w:rFonts w:ascii="Arial" w:hAnsi="Arial" w:cs="Arial"/>
          <w:sz w:val="24"/>
          <w:szCs w:val="24"/>
        </w:rPr>
        <w:t>who failed to take him for medical examination t</w:t>
      </w:r>
      <w:r w:rsidR="006D42D8" w:rsidRPr="00062914">
        <w:rPr>
          <w:rFonts w:ascii="Arial" w:hAnsi="Arial" w:cs="Arial"/>
          <w:sz w:val="24"/>
          <w:szCs w:val="24"/>
        </w:rPr>
        <w:t xml:space="preserve">o </w:t>
      </w:r>
      <w:r w:rsidR="006D42D8" w:rsidRPr="00062914">
        <w:rPr>
          <w:rFonts w:ascii="Arial" w:hAnsi="Arial" w:cs="Arial"/>
          <w:color w:val="000000"/>
          <w:sz w:val="24"/>
          <w:szCs w:val="24"/>
          <w:shd w:val="clear" w:color="auto" w:fill="FFFFFF"/>
        </w:rPr>
        <w:t>a fine of N$4 000 or 18 months' imprisonment each.</w:t>
      </w:r>
      <w:r w:rsidR="00FA5B1F">
        <w:rPr>
          <w:rFonts w:ascii="Arial" w:hAnsi="Arial" w:cs="Arial"/>
          <w:color w:val="000000"/>
          <w:sz w:val="24"/>
          <w:szCs w:val="24"/>
          <w:shd w:val="clear" w:color="auto" w:fill="FFFFFF"/>
        </w:rPr>
        <w:t xml:space="preserve"> </w:t>
      </w:r>
    </w:p>
    <w:p w:rsidR="00E15801" w:rsidRDefault="00E15801" w:rsidP="00062914">
      <w:pPr>
        <w:spacing w:line="360" w:lineRule="auto"/>
        <w:jc w:val="both"/>
        <w:rPr>
          <w:rFonts w:ascii="Arial" w:hAnsi="Arial" w:cs="Arial"/>
          <w:color w:val="000000"/>
          <w:sz w:val="24"/>
          <w:szCs w:val="24"/>
          <w:shd w:val="clear" w:color="auto" w:fill="FFFFFF"/>
        </w:rPr>
      </w:pPr>
    </w:p>
    <w:p w:rsidR="00062914" w:rsidRDefault="00062914" w:rsidP="0006291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sidR="00FA5B1F">
        <w:rPr>
          <w:rFonts w:ascii="Arial" w:hAnsi="Arial" w:cs="Arial"/>
          <w:color w:val="000000"/>
          <w:sz w:val="24"/>
          <w:szCs w:val="24"/>
          <w:shd w:val="clear" w:color="auto" w:fill="FFFFFF"/>
        </w:rPr>
        <w:t>7</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r>
      <w:r w:rsidR="006D42D8" w:rsidRPr="00062914">
        <w:rPr>
          <w:rFonts w:ascii="Arial" w:hAnsi="Arial" w:cs="Arial"/>
          <w:color w:val="000000"/>
          <w:sz w:val="24"/>
          <w:szCs w:val="24"/>
          <w:shd w:val="clear" w:color="auto" w:fill="FFFFFF"/>
        </w:rPr>
        <w:t xml:space="preserve"> In </w:t>
      </w:r>
      <w:r w:rsidR="006D42D8" w:rsidRPr="00062914">
        <w:rPr>
          <w:rFonts w:ascii="Arial" w:hAnsi="Arial" w:cs="Arial"/>
          <w:i/>
          <w:color w:val="000000"/>
          <w:sz w:val="24"/>
          <w:szCs w:val="24"/>
          <w:shd w:val="clear" w:color="auto" w:fill="FFFFFF"/>
        </w:rPr>
        <w:t xml:space="preserve">S v </w:t>
      </w:r>
      <w:r w:rsidR="00687E2A">
        <w:rPr>
          <w:rFonts w:ascii="Arial" w:hAnsi="Arial" w:cs="Arial"/>
          <w:i/>
          <w:color w:val="000000"/>
          <w:sz w:val="24"/>
          <w:szCs w:val="24"/>
          <w:shd w:val="clear" w:color="auto" w:fill="FFFFFF"/>
        </w:rPr>
        <w:t>Nicklaus Hoaseb &amp; 9 o</w:t>
      </w:r>
      <w:r w:rsidR="0086421E" w:rsidRPr="00062914">
        <w:rPr>
          <w:rFonts w:ascii="Arial" w:hAnsi="Arial" w:cs="Arial"/>
          <w:i/>
          <w:color w:val="000000"/>
          <w:sz w:val="24"/>
          <w:szCs w:val="24"/>
          <w:shd w:val="clear" w:color="auto" w:fill="FFFFFF"/>
        </w:rPr>
        <w:t>thers CC 29/2008</w:t>
      </w:r>
      <w:r w:rsidR="0086421E" w:rsidRPr="00062914">
        <w:rPr>
          <w:rFonts w:ascii="Arial" w:hAnsi="Arial" w:cs="Arial"/>
          <w:color w:val="000000"/>
          <w:sz w:val="24"/>
          <w:szCs w:val="24"/>
          <w:shd w:val="clear" w:color="auto" w:fill="FFFFFF"/>
        </w:rPr>
        <w:t xml:space="preserve">, </w:t>
      </w:r>
      <w:r w:rsidR="0086421E" w:rsidRPr="00FA5B1F">
        <w:rPr>
          <w:rFonts w:ascii="Arial" w:hAnsi="Arial" w:cs="Arial"/>
          <w:i/>
          <w:color w:val="000000"/>
          <w:sz w:val="24"/>
          <w:szCs w:val="24"/>
          <w:shd w:val="clear" w:color="auto" w:fill="FFFFFF"/>
        </w:rPr>
        <w:t>delivered on 22 April 2010</w:t>
      </w:r>
      <w:r w:rsidR="0086421E" w:rsidRPr="00062914">
        <w:rPr>
          <w:rFonts w:ascii="Arial" w:hAnsi="Arial" w:cs="Arial"/>
          <w:color w:val="000000"/>
          <w:sz w:val="24"/>
          <w:szCs w:val="24"/>
          <w:shd w:val="clear" w:color="auto" w:fill="FFFFFF"/>
        </w:rPr>
        <w:t>, Mainga J</w:t>
      </w:r>
      <w:r w:rsidR="00FA5B1F">
        <w:rPr>
          <w:rFonts w:ascii="Arial" w:hAnsi="Arial" w:cs="Arial"/>
          <w:color w:val="000000"/>
          <w:sz w:val="24"/>
          <w:szCs w:val="24"/>
          <w:shd w:val="clear" w:color="auto" w:fill="FFFFFF"/>
        </w:rPr>
        <w:t>, as he then was,</w:t>
      </w:r>
      <w:r w:rsidR="0086421E" w:rsidRPr="00062914">
        <w:rPr>
          <w:rFonts w:ascii="Arial" w:hAnsi="Arial" w:cs="Arial"/>
          <w:color w:val="000000"/>
          <w:sz w:val="24"/>
          <w:szCs w:val="24"/>
          <w:shd w:val="clear" w:color="auto" w:fill="FFFFFF"/>
        </w:rPr>
        <w:t xml:space="preserve"> convicted a number of police officers for </w:t>
      </w:r>
      <w:r w:rsidR="0086421E" w:rsidRPr="00062914">
        <w:rPr>
          <w:rFonts w:ascii="Arial" w:hAnsi="Arial" w:cs="Arial"/>
          <w:i/>
          <w:color w:val="000000"/>
          <w:sz w:val="24"/>
          <w:szCs w:val="24"/>
          <w:shd w:val="clear" w:color="auto" w:fill="FFFFFF"/>
        </w:rPr>
        <w:t>inter alia</w:t>
      </w:r>
      <w:r w:rsidR="0086421E" w:rsidRPr="00062914">
        <w:rPr>
          <w:rFonts w:ascii="Arial" w:hAnsi="Arial" w:cs="Arial"/>
          <w:color w:val="000000"/>
          <w:sz w:val="24"/>
          <w:szCs w:val="24"/>
          <w:shd w:val="clear" w:color="auto" w:fill="FFFFFF"/>
        </w:rPr>
        <w:t xml:space="preserve"> culpable homicide</w:t>
      </w:r>
      <w:r w:rsidR="00F56C0A" w:rsidRPr="00062914">
        <w:rPr>
          <w:rFonts w:ascii="Arial" w:hAnsi="Arial" w:cs="Arial"/>
          <w:color w:val="000000"/>
          <w:sz w:val="24"/>
          <w:szCs w:val="24"/>
          <w:shd w:val="clear" w:color="auto" w:fill="FFFFFF"/>
        </w:rPr>
        <w:t>. Members of the Serious Crime Unit interrogated a suspect until he collapsed. He died as a result of the ‘overzealous</w:t>
      </w:r>
      <w:r w:rsidR="007170DA" w:rsidRPr="00062914">
        <w:rPr>
          <w:rFonts w:ascii="Arial" w:hAnsi="Arial" w:cs="Arial"/>
          <w:color w:val="000000"/>
          <w:sz w:val="24"/>
          <w:szCs w:val="24"/>
          <w:shd w:val="clear" w:color="auto" w:fill="FFFFFF"/>
        </w:rPr>
        <w:t xml:space="preserve"> investigation</w:t>
      </w:r>
      <w:r w:rsidR="00687E2A">
        <w:rPr>
          <w:rFonts w:ascii="Arial" w:hAnsi="Arial" w:cs="Arial"/>
          <w:color w:val="000000"/>
          <w:sz w:val="24"/>
          <w:szCs w:val="24"/>
          <w:shd w:val="clear" w:color="auto" w:fill="FFFFFF"/>
        </w:rPr>
        <w:t>’. The officers in that case were</w:t>
      </w:r>
      <w:r w:rsidR="007170DA" w:rsidRPr="00062914">
        <w:rPr>
          <w:rFonts w:ascii="Arial" w:hAnsi="Arial" w:cs="Arial"/>
          <w:color w:val="000000"/>
          <w:sz w:val="24"/>
          <w:szCs w:val="24"/>
          <w:shd w:val="clear" w:color="auto" w:fill="FFFFFF"/>
        </w:rPr>
        <w:t xml:space="preserve"> given a non</w:t>
      </w:r>
      <w:r>
        <w:rPr>
          <w:rFonts w:ascii="Arial" w:hAnsi="Arial" w:cs="Arial"/>
          <w:color w:val="000000"/>
          <w:sz w:val="24"/>
          <w:szCs w:val="24"/>
          <w:shd w:val="clear" w:color="auto" w:fill="FFFFFF"/>
        </w:rPr>
        <w:t>-</w:t>
      </w:r>
      <w:r w:rsidR="007170DA" w:rsidRPr="00062914">
        <w:rPr>
          <w:rFonts w:ascii="Arial" w:hAnsi="Arial" w:cs="Arial"/>
          <w:color w:val="000000"/>
          <w:sz w:val="24"/>
          <w:szCs w:val="24"/>
          <w:shd w:val="clear" w:color="auto" w:fill="FFFFFF"/>
        </w:rPr>
        <w:t xml:space="preserve"> custodial sentence of N$8000 or two years imprisonment and a further two years which was wholly suspended for five years on the normal conditions. </w:t>
      </w:r>
    </w:p>
    <w:p w:rsidR="00CC7F58" w:rsidRDefault="00062914" w:rsidP="0006291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sidR="00FA5B1F">
        <w:rPr>
          <w:rFonts w:ascii="Arial" w:hAnsi="Arial" w:cs="Arial"/>
          <w:color w:val="000000"/>
          <w:sz w:val="24"/>
          <w:szCs w:val="24"/>
          <w:shd w:val="clear" w:color="auto" w:fill="FFFFFF"/>
        </w:rPr>
        <w:t>8</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t>I am of the considered view that there are no</w:t>
      </w:r>
      <w:r w:rsidR="007170DA" w:rsidRPr="00062914">
        <w:rPr>
          <w:rFonts w:ascii="Arial" w:hAnsi="Arial" w:cs="Arial"/>
          <w:color w:val="000000"/>
          <w:sz w:val="24"/>
          <w:szCs w:val="24"/>
          <w:shd w:val="clear" w:color="auto" w:fill="FFFFFF"/>
        </w:rPr>
        <w:t xml:space="preserve"> reasonable prospects that the applicant would succeed on this ground given the wide range of sentence</w:t>
      </w:r>
      <w:r w:rsidR="00E614BD">
        <w:rPr>
          <w:rFonts w:ascii="Arial" w:hAnsi="Arial" w:cs="Arial"/>
          <w:color w:val="000000"/>
          <w:sz w:val="24"/>
          <w:szCs w:val="24"/>
          <w:shd w:val="clear" w:color="auto" w:fill="FFFFFF"/>
        </w:rPr>
        <w:t>s</w:t>
      </w:r>
      <w:r w:rsidR="007170DA" w:rsidRPr="00062914">
        <w:rPr>
          <w:rFonts w:ascii="Arial" w:hAnsi="Arial" w:cs="Arial"/>
          <w:color w:val="000000"/>
          <w:sz w:val="24"/>
          <w:szCs w:val="24"/>
          <w:shd w:val="clear" w:color="auto" w:fill="FFFFFF"/>
        </w:rPr>
        <w:t xml:space="preserve"> which this court has in the past imposed in related cases.  </w:t>
      </w:r>
      <w:r w:rsidR="00F56C0A" w:rsidRPr="00062914">
        <w:rPr>
          <w:rFonts w:ascii="Arial" w:hAnsi="Arial" w:cs="Arial"/>
          <w:color w:val="000000"/>
          <w:sz w:val="24"/>
          <w:szCs w:val="24"/>
          <w:shd w:val="clear" w:color="auto" w:fill="FFFFFF"/>
        </w:rPr>
        <w:t xml:space="preserve"> </w:t>
      </w:r>
      <w:r w:rsidR="0086421E" w:rsidRPr="00062914">
        <w:rPr>
          <w:rFonts w:ascii="Arial" w:hAnsi="Arial" w:cs="Arial"/>
          <w:color w:val="000000"/>
          <w:sz w:val="24"/>
          <w:szCs w:val="24"/>
          <w:shd w:val="clear" w:color="auto" w:fill="FFFFFF"/>
        </w:rPr>
        <w:t xml:space="preserve"> </w:t>
      </w:r>
    </w:p>
    <w:p w:rsidR="00E15801" w:rsidRPr="00062914" w:rsidRDefault="00E15801" w:rsidP="00062914">
      <w:pPr>
        <w:spacing w:line="360" w:lineRule="auto"/>
        <w:jc w:val="both"/>
        <w:rPr>
          <w:rFonts w:ascii="Arial" w:hAnsi="Arial" w:cs="Arial"/>
          <w:color w:val="000000"/>
          <w:sz w:val="24"/>
          <w:szCs w:val="24"/>
          <w:shd w:val="clear" w:color="auto" w:fill="FFFFFF"/>
        </w:rPr>
      </w:pPr>
    </w:p>
    <w:p w:rsidR="00FA181D" w:rsidRDefault="00062914" w:rsidP="00BF5429">
      <w:pPr>
        <w:spacing w:line="360" w:lineRule="auto"/>
        <w:jc w:val="both"/>
        <w:rPr>
          <w:rFonts w:ascii="Arial" w:hAnsi="Arial" w:cs="Arial"/>
          <w:sz w:val="24"/>
          <w:szCs w:val="24"/>
        </w:rPr>
      </w:pPr>
      <w:r>
        <w:rPr>
          <w:rFonts w:ascii="Arial" w:hAnsi="Arial" w:cs="Arial"/>
          <w:sz w:val="24"/>
          <w:szCs w:val="24"/>
        </w:rPr>
        <w:t>[2</w:t>
      </w:r>
      <w:r w:rsidR="00FA5B1F">
        <w:rPr>
          <w:rFonts w:ascii="Arial" w:hAnsi="Arial" w:cs="Arial"/>
          <w:sz w:val="24"/>
          <w:szCs w:val="24"/>
        </w:rPr>
        <w:t>9</w:t>
      </w:r>
      <w:r>
        <w:rPr>
          <w:rFonts w:ascii="Arial" w:hAnsi="Arial" w:cs="Arial"/>
          <w:sz w:val="24"/>
          <w:szCs w:val="24"/>
        </w:rPr>
        <w:t>]</w:t>
      </w:r>
      <w:r>
        <w:rPr>
          <w:rFonts w:ascii="Arial" w:hAnsi="Arial" w:cs="Arial"/>
          <w:sz w:val="24"/>
          <w:szCs w:val="24"/>
        </w:rPr>
        <w:tab/>
        <w:t xml:space="preserve">The next ground raised was that the </w:t>
      </w:r>
      <w:r w:rsidR="00393984" w:rsidRPr="00062914">
        <w:rPr>
          <w:rFonts w:ascii="Arial" w:hAnsi="Arial" w:cs="Arial"/>
          <w:sz w:val="24"/>
          <w:szCs w:val="24"/>
        </w:rPr>
        <w:t xml:space="preserve">court erred by failing to consider and or attached little weight to </w:t>
      </w:r>
      <w:r w:rsidR="00024CB1">
        <w:rPr>
          <w:rFonts w:ascii="Arial" w:hAnsi="Arial" w:cs="Arial"/>
          <w:sz w:val="24"/>
          <w:szCs w:val="24"/>
        </w:rPr>
        <w:t xml:space="preserve">a number of </w:t>
      </w:r>
      <w:r w:rsidR="00393984" w:rsidRPr="00062914">
        <w:rPr>
          <w:rFonts w:ascii="Arial" w:hAnsi="Arial" w:cs="Arial"/>
          <w:sz w:val="24"/>
          <w:szCs w:val="24"/>
        </w:rPr>
        <w:t>aggravating factors</w:t>
      </w:r>
      <w:r w:rsidR="0074504C">
        <w:rPr>
          <w:rFonts w:ascii="Arial" w:hAnsi="Arial" w:cs="Arial"/>
          <w:sz w:val="24"/>
          <w:szCs w:val="24"/>
        </w:rPr>
        <w:t>.</w:t>
      </w:r>
      <w:r w:rsidR="00024CB1">
        <w:rPr>
          <w:rFonts w:ascii="Arial" w:hAnsi="Arial" w:cs="Arial"/>
          <w:sz w:val="24"/>
          <w:szCs w:val="24"/>
        </w:rPr>
        <w:t xml:space="preserve"> The court in pa</w:t>
      </w:r>
      <w:r>
        <w:rPr>
          <w:rFonts w:ascii="Arial" w:hAnsi="Arial" w:cs="Arial"/>
          <w:sz w:val="24"/>
          <w:szCs w:val="24"/>
        </w:rPr>
        <w:t xml:space="preserve">ragraph 4 of the </w:t>
      </w:r>
      <w:r w:rsidR="00024CB1">
        <w:rPr>
          <w:rFonts w:ascii="Arial" w:hAnsi="Arial" w:cs="Arial"/>
          <w:sz w:val="24"/>
          <w:szCs w:val="24"/>
        </w:rPr>
        <w:t xml:space="preserve">reasons </w:t>
      </w:r>
      <w:r>
        <w:rPr>
          <w:rFonts w:ascii="Arial" w:hAnsi="Arial" w:cs="Arial"/>
          <w:sz w:val="24"/>
          <w:szCs w:val="24"/>
        </w:rPr>
        <w:t xml:space="preserve">made the following remark: </w:t>
      </w:r>
      <w:r w:rsidR="00E95552" w:rsidRPr="00024CB1">
        <w:rPr>
          <w:rFonts w:ascii="Arial" w:hAnsi="Arial" w:cs="Arial"/>
        </w:rPr>
        <w:t>‘… the deceased whose resistance consisted of a refusal to keep quiet and to sit down on the ground.’</w:t>
      </w:r>
      <w:r w:rsidR="00E95552" w:rsidRPr="00E95552">
        <w:rPr>
          <w:rFonts w:ascii="Arial" w:hAnsi="Arial" w:cs="Arial"/>
          <w:i/>
          <w:sz w:val="24"/>
          <w:szCs w:val="24"/>
        </w:rPr>
        <w:t xml:space="preserve"> </w:t>
      </w:r>
      <w:r w:rsidR="00E95552" w:rsidRPr="00024CB1">
        <w:rPr>
          <w:rFonts w:ascii="Arial" w:hAnsi="Arial" w:cs="Arial"/>
          <w:sz w:val="24"/>
          <w:szCs w:val="24"/>
        </w:rPr>
        <w:t xml:space="preserve">This is an indication that the court was mindful of the non-violent stance adopted by the deceased.  </w:t>
      </w:r>
    </w:p>
    <w:p w:rsidR="00E15801" w:rsidRDefault="00E15801" w:rsidP="00BF5429">
      <w:pPr>
        <w:spacing w:line="360" w:lineRule="auto"/>
        <w:jc w:val="both"/>
        <w:rPr>
          <w:rFonts w:ascii="Arial" w:hAnsi="Arial" w:cs="Arial"/>
          <w:sz w:val="24"/>
          <w:szCs w:val="24"/>
        </w:rPr>
      </w:pPr>
    </w:p>
    <w:p w:rsidR="00FA181D" w:rsidRDefault="00FA181D" w:rsidP="00BF5429">
      <w:pPr>
        <w:spacing w:line="360" w:lineRule="auto"/>
        <w:jc w:val="both"/>
        <w:rPr>
          <w:rFonts w:ascii="Arial" w:hAnsi="Arial" w:cs="Arial"/>
          <w:i/>
          <w:sz w:val="24"/>
          <w:szCs w:val="24"/>
        </w:rPr>
      </w:pPr>
      <w:r>
        <w:rPr>
          <w:rFonts w:ascii="Arial" w:hAnsi="Arial" w:cs="Arial"/>
          <w:sz w:val="24"/>
          <w:szCs w:val="24"/>
        </w:rPr>
        <w:t>[</w:t>
      </w:r>
      <w:r w:rsidR="00FA5B1F">
        <w:rPr>
          <w:rFonts w:ascii="Arial" w:hAnsi="Arial" w:cs="Arial"/>
          <w:sz w:val="24"/>
          <w:szCs w:val="24"/>
        </w:rPr>
        <w:t>30</w:t>
      </w:r>
      <w:r>
        <w:rPr>
          <w:rFonts w:ascii="Arial" w:hAnsi="Arial" w:cs="Arial"/>
          <w:sz w:val="24"/>
          <w:szCs w:val="24"/>
        </w:rPr>
        <w:t>]</w:t>
      </w:r>
      <w:r>
        <w:rPr>
          <w:rFonts w:ascii="Arial" w:hAnsi="Arial" w:cs="Arial"/>
          <w:sz w:val="24"/>
          <w:szCs w:val="24"/>
        </w:rPr>
        <w:tab/>
      </w:r>
      <w:r w:rsidR="00E95552" w:rsidRPr="00024CB1">
        <w:rPr>
          <w:rFonts w:ascii="Arial" w:hAnsi="Arial" w:cs="Arial"/>
          <w:sz w:val="24"/>
          <w:szCs w:val="24"/>
        </w:rPr>
        <w:t>The court held that the assault by the other respondents was not established</w:t>
      </w:r>
      <w:r w:rsidR="00024CB1">
        <w:rPr>
          <w:rFonts w:ascii="Arial" w:hAnsi="Arial" w:cs="Arial"/>
          <w:sz w:val="24"/>
          <w:szCs w:val="24"/>
        </w:rPr>
        <w:t xml:space="preserve"> by the evidence adduced by the state </w:t>
      </w:r>
      <w:r w:rsidR="0074504C">
        <w:rPr>
          <w:rFonts w:ascii="Arial" w:hAnsi="Arial" w:cs="Arial"/>
          <w:sz w:val="24"/>
          <w:szCs w:val="24"/>
        </w:rPr>
        <w:t xml:space="preserve">and discharged them. </w:t>
      </w:r>
      <w:r w:rsidR="00E95552" w:rsidRPr="00024CB1">
        <w:rPr>
          <w:rFonts w:ascii="Arial" w:hAnsi="Arial" w:cs="Arial"/>
          <w:sz w:val="24"/>
          <w:szCs w:val="24"/>
        </w:rPr>
        <w:t>The</w:t>
      </w:r>
      <w:r w:rsidR="0074504C">
        <w:rPr>
          <w:rFonts w:ascii="Arial" w:hAnsi="Arial" w:cs="Arial"/>
          <w:sz w:val="24"/>
          <w:szCs w:val="24"/>
        </w:rPr>
        <w:t xml:space="preserve"> State did not prove</w:t>
      </w:r>
      <w:r w:rsidR="00E614BD">
        <w:rPr>
          <w:rFonts w:ascii="Arial" w:hAnsi="Arial" w:cs="Arial"/>
          <w:sz w:val="24"/>
          <w:szCs w:val="24"/>
        </w:rPr>
        <w:t xml:space="preserve"> that any of the respondents were</w:t>
      </w:r>
      <w:r w:rsidR="0074504C">
        <w:rPr>
          <w:rFonts w:ascii="Arial" w:hAnsi="Arial" w:cs="Arial"/>
          <w:sz w:val="24"/>
          <w:szCs w:val="24"/>
        </w:rPr>
        <w:t xml:space="preserve"> </w:t>
      </w:r>
      <w:r w:rsidR="00E95552" w:rsidRPr="00024CB1">
        <w:rPr>
          <w:rFonts w:ascii="Arial" w:hAnsi="Arial" w:cs="Arial"/>
          <w:sz w:val="24"/>
          <w:szCs w:val="24"/>
        </w:rPr>
        <w:t>responsible for wetting the deceased</w:t>
      </w:r>
      <w:r w:rsidR="00341AF1" w:rsidRPr="00024CB1">
        <w:rPr>
          <w:rFonts w:ascii="Arial" w:hAnsi="Arial" w:cs="Arial"/>
          <w:sz w:val="24"/>
          <w:szCs w:val="24"/>
        </w:rPr>
        <w:t xml:space="preserve">. The first respondent </w:t>
      </w:r>
      <w:r w:rsidR="0074504C">
        <w:rPr>
          <w:rFonts w:ascii="Arial" w:hAnsi="Arial" w:cs="Arial"/>
          <w:sz w:val="24"/>
          <w:szCs w:val="24"/>
        </w:rPr>
        <w:t xml:space="preserve">implicated his co-accused </w:t>
      </w:r>
      <w:r w:rsidR="00341AF1" w:rsidRPr="00024CB1">
        <w:rPr>
          <w:rFonts w:ascii="Arial" w:hAnsi="Arial" w:cs="Arial"/>
          <w:sz w:val="24"/>
          <w:szCs w:val="24"/>
        </w:rPr>
        <w:t xml:space="preserve">during his evidence in mitigation. The value and truth of this statement must be viewed against </w:t>
      </w:r>
      <w:r>
        <w:rPr>
          <w:rFonts w:ascii="Arial" w:hAnsi="Arial" w:cs="Arial"/>
          <w:sz w:val="24"/>
          <w:szCs w:val="24"/>
        </w:rPr>
        <w:t xml:space="preserve">his </w:t>
      </w:r>
      <w:r w:rsidR="00341AF1" w:rsidRPr="00024CB1">
        <w:rPr>
          <w:rFonts w:ascii="Arial" w:hAnsi="Arial" w:cs="Arial"/>
          <w:sz w:val="24"/>
          <w:szCs w:val="24"/>
        </w:rPr>
        <w:t xml:space="preserve">failure to testify hereto during the trial when all the other respondents were present. The first respondent was arrested the morning after the assault. Common sense dictates that he could no longer “report” the incident but he could have implicated his co-accused </w:t>
      </w:r>
      <w:r w:rsidR="0074504C">
        <w:rPr>
          <w:rFonts w:ascii="Arial" w:hAnsi="Arial" w:cs="Arial"/>
          <w:sz w:val="24"/>
          <w:szCs w:val="24"/>
        </w:rPr>
        <w:t xml:space="preserve">if he so wished. </w:t>
      </w:r>
      <w:r w:rsidR="00341AF1" w:rsidRPr="00024CB1">
        <w:rPr>
          <w:rFonts w:ascii="Arial" w:hAnsi="Arial" w:cs="Arial"/>
          <w:sz w:val="24"/>
          <w:szCs w:val="24"/>
        </w:rPr>
        <w:t xml:space="preserve">He </w:t>
      </w:r>
      <w:r w:rsidR="0074504C">
        <w:rPr>
          <w:rFonts w:ascii="Arial" w:hAnsi="Arial" w:cs="Arial"/>
          <w:sz w:val="24"/>
          <w:szCs w:val="24"/>
        </w:rPr>
        <w:t xml:space="preserve">however </w:t>
      </w:r>
      <w:r w:rsidR="00341AF1" w:rsidRPr="00024CB1">
        <w:rPr>
          <w:rFonts w:ascii="Arial" w:hAnsi="Arial" w:cs="Arial"/>
          <w:sz w:val="24"/>
          <w:szCs w:val="24"/>
        </w:rPr>
        <w:t>exercised his right to remain silent</w:t>
      </w:r>
      <w:r w:rsidR="0074504C">
        <w:rPr>
          <w:rFonts w:ascii="Arial" w:hAnsi="Arial" w:cs="Arial"/>
          <w:sz w:val="24"/>
          <w:szCs w:val="24"/>
        </w:rPr>
        <w:t xml:space="preserve">. This court </w:t>
      </w:r>
      <w:r w:rsidR="00E53AA4">
        <w:rPr>
          <w:rFonts w:ascii="Arial" w:hAnsi="Arial" w:cs="Arial"/>
          <w:sz w:val="24"/>
          <w:szCs w:val="24"/>
        </w:rPr>
        <w:t xml:space="preserve">justifiably </w:t>
      </w:r>
      <w:r w:rsidR="00341AF1" w:rsidRPr="00024CB1">
        <w:rPr>
          <w:rFonts w:ascii="Arial" w:hAnsi="Arial" w:cs="Arial"/>
          <w:sz w:val="24"/>
          <w:szCs w:val="24"/>
        </w:rPr>
        <w:t xml:space="preserve">could </w:t>
      </w:r>
      <w:r>
        <w:rPr>
          <w:rFonts w:ascii="Arial" w:hAnsi="Arial" w:cs="Arial"/>
          <w:sz w:val="24"/>
          <w:szCs w:val="24"/>
        </w:rPr>
        <w:t xml:space="preserve">not </w:t>
      </w:r>
      <w:r w:rsidR="00E53AA4">
        <w:rPr>
          <w:rFonts w:ascii="Arial" w:hAnsi="Arial" w:cs="Arial"/>
          <w:sz w:val="24"/>
          <w:szCs w:val="24"/>
        </w:rPr>
        <w:t>attach much weight to this evidence. Furthermore the fa</w:t>
      </w:r>
      <w:r w:rsidR="00024CB1" w:rsidRPr="00024CB1">
        <w:rPr>
          <w:rFonts w:ascii="Arial" w:hAnsi="Arial" w:cs="Arial"/>
          <w:sz w:val="24"/>
          <w:szCs w:val="24"/>
        </w:rPr>
        <w:t>ct that this issue was not mentioned does not mean the court did not give it consideration</w:t>
      </w:r>
      <w:r w:rsidR="00024CB1" w:rsidRPr="00024CB1">
        <w:rPr>
          <w:rFonts w:ascii="Arial" w:hAnsi="Arial" w:cs="Arial"/>
          <w:i/>
          <w:sz w:val="24"/>
          <w:szCs w:val="24"/>
        </w:rPr>
        <w:t xml:space="preserve">. </w:t>
      </w:r>
    </w:p>
    <w:p w:rsidR="00E15801" w:rsidRDefault="00E15801" w:rsidP="00BF5429">
      <w:pPr>
        <w:spacing w:line="360" w:lineRule="auto"/>
        <w:jc w:val="both"/>
        <w:rPr>
          <w:rFonts w:ascii="Arial" w:hAnsi="Arial" w:cs="Arial"/>
          <w:i/>
          <w:sz w:val="24"/>
          <w:szCs w:val="24"/>
        </w:rPr>
      </w:pPr>
    </w:p>
    <w:p w:rsidR="00FA181D" w:rsidRDefault="00FA181D" w:rsidP="00BF5429">
      <w:pPr>
        <w:spacing w:line="360" w:lineRule="auto"/>
        <w:jc w:val="both"/>
        <w:rPr>
          <w:rFonts w:ascii="Arial" w:hAnsi="Arial" w:cs="Arial"/>
          <w:sz w:val="24"/>
          <w:szCs w:val="24"/>
        </w:rPr>
      </w:pPr>
      <w:r>
        <w:rPr>
          <w:rFonts w:ascii="Arial" w:hAnsi="Arial" w:cs="Arial"/>
          <w:sz w:val="24"/>
          <w:szCs w:val="24"/>
        </w:rPr>
        <w:t>[</w:t>
      </w:r>
      <w:r w:rsidR="00FA5B1F">
        <w:rPr>
          <w:rFonts w:ascii="Arial" w:hAnsi="Arial" w:cs="Arial"/>
          <w:sz w:val="24"/>
          <w:szCs w:val="24"/>
        </w:rPr>
        <w:t>31</w:t>
      </w:r>
      <w:r>
        <w:rPr>
          <w:rFonts w:ascii="Arial" w:hAnsi="Arial" w:cs="Arial"/>
          <w:sz w:val="24"/>
          <w:szCs w:val="24"/>
        </w:rPr>
        <w:t>]</w:t>
      </w:r>
      <w:r>
        <w:rPr>
          <w:rFonts w:ascii="Arial" w:hAnsi="Arial" w:cs="Arial"/>
          <w:sz w:val="24"/>
          <w:szCs w:val="24"/>
        </w:rPr>
        <w:tab/>
      </w:r>
      <w:r w:rsidR="00024CB1" w:rsidRPr="00E53AA4">
        <w:rPr>
          <w:rFonts w:ascii="Arial" w:hAnsi="Arial" w:cs="Arial"/>
          <w:sz w:val="24"/>
          <w:szCs w:val="24"/>
        </w:rPr>
        <w:t>The court</w:t>
      </w:r>
      <w:r w:rsidR="00E53AA4">
        <w:rPr>
          <w:rFonts w:ascii="Arial" w:hAnsi="Arial" w:cs="Arial"/>
          <w:sz w:val="24"/>
          <w:szCs w:val="24"/>
        </w:rPr>
        <w:t xml:space="preserve"> however attached considerable weight to the fact that this was</w:t>
      </w:r>
      <w:r w:rsidR="00024CB1" w:rsidRPr="00E53AA4">
        <w:rPr>
          <w:rFonts w:ascii="Arial" w:hAnsi="Arial" w:cs="Arial"/>
          <w:sz w:val="24"/>
          <w:szCs w:val="24"/>
        </w:rPr>
        <w:t xml:space="preserve"> a case of police brutality</w:t>
      </w:r>
      <w:r w:rsidR="00E53AA4">
        <w:rPr>
          <w:rFonts w:ascii="Arial" w:hAnsi="Arial" w:cs="Arial"/>
          <w:sz w:val="24"/>
          <w:szCs w:val="24"/>
        </w:rPr>
        <w:t xml:space="preserve">. </w:t>
      </w:r>
      <w:r>
        <w:rPr>
          <w:rFonts w:ascii="Arial" w:hAnsi="Arial" w:cs="Arial"/>
          <w:sz w:val="24"/>
          <w:szCs w:val="24"/>
        </w:rPr>
        <w:t>(</w:t>
      </w:r>
      <w:r w:rsidR="00FA5B1F">
        <w:rPr>
          <w:rFonts w:ascii="Arial" w:hAnsi="Arial" w:cs="Arial"/>
          <w:sz w:val="24"/>
          <w:szCs w:val="24"/>
        </w:rPr>
        <w:t>See</w:t>
      </w:r>
      <w:r>
        <w:rPr>
          <w:rFonts w:ascii="Arial" w:hAnsi="Arial" w:cs="Arial"/>
          <w:sz w:val="24"/>
          <w:szCs w:val="24"/>
        </w:rPr>
        <w:t xml:space="preserve"> paragraph 4, 7 and 8 of the reasons) </w:t>
      </w:r>
    </w:p>
    <w:p w:rsidR="00E15801" w:rsidRDefault="00E15801" w:rsidP="00BF5429">
      <w:pPr>
        <w:spacing w:line="360" w:lineRule="auto"/>
        <w:jc w:val="both"/>
        <w:rPr>
          <w:rFonts w:ascii="Arial" w:hAnsi="Arial" w:cs="Arial"/>
          <w:sz w:val="24"/>
          <w:szCs w:val="24"/>
        </w:rPr>
      </w:pPr>
    </w:p>
    <w:p w:rsidR="00393984" w:rsidRDefault="00FA181D" w:rsidP="00BF5429">
      <w:pPr>
        <w:spacing w:line="360" w:lineRule="auto"/>
        <w:jc w:val="both"/>
        <w:rPr>
          <w:rFonts w:ascii="Arial" w:hAnsi="Arial" w:cs="Arial"/>
          <w:sz w:val="24"/>
          <w:szCs w:val="24"/>
        </w:rPr>
      </w:pPr>
      <w:r>
        <w:rPr>
          <w:rFonts w:ascii="Arial" w:hAnsi="Arial" w:cs="Arial"/>
          <w:sz w:val="24"/>
          <w:szCs w:val="24"/>
        </w:rPr>
        <w:t>[</w:t>
      </w:r>
      <w:r w:rsidR="00FA5B1F">
        <w:rPr>
          <w:rFonts w:ascii="Arial" w:hAnsi="Arial" w:cs="Arial"/>
          <w:sz w:val="24"/>
          <w:szCs w:val="24"/>
        </w:rPr>
        <w:t>32</w:t>
      </w:r>
      <w:r>
        <w:rPr>
          <w:rFonts w:ascii="Arial" w:hAnsi="Arial" w:cs="Arial"/>
          <w:sz w:val="24"/>
          <w:szCs w:val="24"/>
        </w:rPr>
        <w:t>]</w:t>
      </w:r>
      <w:r>
        <w:rPr>
          <w:rFonts w:ascii="Arial" w:hAnsi="Arial" w:cs="Arial"/>
          <w:sz w:val="24"/>
          <w:szCs w:val="24"/>
        </w:rPr>
        <w:tab/>
      </w:r>
      <w:r w:rsidR="00E53AA4">
        <w:rPr>
          <w:rFonts w:ascii="Arial" w:hAnsi="Arial" w:cs="Arial"/>
          <w:sz w:val="24"/>
          <w:szCs w:val="24"/>
        </w:rPr>
        <w:t xml:space="preserve">The </w:t>
      </w:r>
      <w:r w:rsidR="00393984">
        <w:rPr>
          <w:rFonts w:ascii="Arial" w:hAnsi="Arial" w:cs="Arial"/>
          <w:sz w:val="24"/>
          <w:szCs w:val="24"/>
        </w:rPr>
        <w:t>fact that the first respondent and hi</w:t>
      </w:r>
      <w:r>
        <w:rPr>
          <w:rFonts w:ascii="Arial" w:hAnsi="Arial" w:cs="Arial"/>
          <w:sz w:val="24"/>
          <w:szCs w:val="24"/>
        </w:rPr>
        <w:t>s</w:t>
      </w:r>
      <w:r w:rsidR="00393984">
        <w:rPr>
          <w:rFonts w:ascii="Arial" w:hAnsi="Arial" w:cs="Arial"/>
          <w:sz w:val="24"/>
          <w:szCs w:val="24"/>
        </w:rPr>
        <w:t xml:space="preserve"> co-respondents we</w:t>
      </w:r>
      <w:r w:rsidR="00E53AA4">
        <w:rPr>
          <w:rFonts w:ascii="Arial" w:hAnsi="Arial" w:cs="Arial"/>
          <w:sz w:val="24"/>
          <w:szCs w:val="24"/>
        </w:rPr>
        <w:t xml:space="preserve">re </w:t>
      </w:r>
      <w:r w:rsidR="00393984">
        <w:rPr>
          <w:rFonts w:ascii="Arial" w:hAnsi="Arial" w:cs="Arial"/>
          <w:sz w:val="24"/>
          <w:szCs w:val="24"/>
        </w:rPr>
        <w:t xml:space="preserve">working extended hours for overall protection and peace keeping of the town </w:t>
      </w:r>
      <w:r w:rsidR="00E53AA4">
        <w:rPr>
          <w:rFonts w:ascii="Arial" w:hAnsi="Arial" w:cs="Arial"/>
          <w:sz w:val="24"/>
          <w:szCs w:val="24"/>
        </w:rPr>
        <w:t>formed part of the</w:t>
      </w:r>
      <w:r w:rsidR="0070028E">
        <w:rPr>
          <w:rFonts w:ascii="Arial" w:hAnsi="Arial" w:cs="Arial"/>
          <w:sz w:val="24"/>
          <w:szCs w:val="24"/>
        </w:rPr>
        <w:t xml:space="preserve"> description by state witnesses of the circumstances which prevailed that evening. The commission of the offence took place not in isolation but within a set of circumstances. This fact was not grabbed out of thin air but was evidence adduced by the </w:t>
      </w:r>
      <w:r>
        <w:rPr>
          <w:rFonts w:ascii="Arial" w:hAnsi="Arial" w:cs="Arial"/>
          <w:sz w:val="24"/>
          <w:szCs w:val="24"/>
        </w:rPr>
        <w:t>s</w:t>
      </w:r>
      <w:r w:rsidR="0070028E">
        <w:rPr>
          <w:rFonts w:ascii="Arial" w:hAnsi="Arial" w:cs="Arial"/>
          <w:sz w:val="24"/>
          <w:szCs w:val="24"/>
        </w:rPr>
        <w:t xml:space="preserve">tate to sketch the circumstances which prevailed that evening. The </w:t>
      </w:r>
      <w:r w:rsidR="00BF5429">
        <w:rPr>
          <w:rFonts w:ascii="Arial" w:hAnsi="Arial" w:cs="Arial"/>
          <w:sz w:val="24"/>
          <w:szCs w:val="24"/>
        </w:rPr>
        <w:t xml:space="preserve">conclusion </w:t>
      </w:r>
      <w:r w:rsidR="00393984">
        <w:rPr>
          <w:rFonts w:ascii="Arial" w:hAnsi="Arial" w:cs="Arial"/>
          <w:sz w:val="24"/>
          <w:szCs w:val="24"/>
        </w:rPr>
        <w:t>that the alleged escape of the deceased contributed to the escalation of the tensions between the police and the detainees</w:t>
      </w:r>
      <w:r w:rsidR="00BF5429">
        <w:rPr>
          <w:rFonts w:ascii="Arial" w:hAnsi="Arial" w:cs="Arial"/>
          <w:sz w:val="24"/>
          <w:szCs w:val="24"/>
        </w:rPr>
        <w:t xml:space="preserve"> was properly </w:t>
      </w:r>
      <w:r>
        <w:rPr>
          <w:rFonts w:ascii="Arial" w:hAnsi="Arial" w:cs="Arial"/>
          <w:sz w:val="24"/>
          <w:szCs w:val="24"/>
        </w:rPr>
        <w:t xml:space="preserve">premised on the </w:t>
      </w:r>
      <w:r w:rsidR="00BF5429">
        <w:rPr>
          <w:rFonts w:ascii="Arial" w:hAnsi="Arial" w:cs="Arial"/>
          <w:sz w:val="24"/>
          <w:szCs w:val="24"/>
        </w:rPr>
        <w:t xml:space="preserve">various testimonies of both the charge office personnel and the inmates. </w:t>
      </w:r>
    </w:p>
    <w:p w:rsidR="00E15801" w:rsidRDefault="00E15801" w:rsidP="00BF5429">
      <w:pPr>
        <w:spacing w:line="360" w:lineRule="auto"/>
        <w:jc w:val="both"/>
        <w:rPr>
          <w:rFonts w:ascii="Arial" w:hAnsi="Arial" w:cs="Arial"/>
          <w:sz w:val="24"/>
          <w:szCs w:val="24"/>
        </w:rPr>
      </w:pPr>
    </w:p>
    <w:p w:rsidR="00BF5429" w:rsidRDefault="00FA5B1F" w:rsidP="00BF5429">
      <w:pPr>
        <w:spacing w:line="360" w:lineRule="auto"/>
        <w:jc w:val="both"/>
        <w:rPr>
          <w:rFonts w:ascii="Arial" w:hAnsi="Arial" w:cs="Arial"/>
          <w:sz w:val="24"/>
          <w:szCs w:val="24"/>
        </w:rPr>
      </w:pPr>
      <w:r>
        <w:rPr>
          <w:rFonts w:ascii="Arial" w:hAnsi="Arial" w:cs="Arial"/>
          <w:sz w:val="24"/>
          <w:szCs w:val="24"/>
        </w:rPr>
        <w:t>[33</w:t>
      </w:r>
      <w:r w:rsidR="00BF5429">
        <w:rPr>
          <w:rFonts w:ascii="Arial" w:hAnsi="Arial" w:cs="Arial"/>
          <w:sz w:val="24"/>
          <w:szCs w:val="24"/>
        </w:rPr>
        <w:t>]</w:t>
      </w:r>
      <w:r w:rsidR="00BF5429">
        <w:rPr>
          <w:rFonts w:ascii="Arial" w:hAnsi="Arial" w:cs="Arial"/>
          <w:sz w:val="24"/>
          <w:szCs w:val="24"/>
        </w:rPr>
        <w:tab/>
        <w:t>I a</w:t>
      </w:r>
      <w:r w:rsidR="00E614BD">
        <w:rPr>
          <w:rFonts w:ascii="Arial" w:hAnsi="Arial" w:cs="Arial"/>
          <w:sz w:val="24"/>
          <w:szCs w:val="24"/>
        </w:rPr>
        <w:t>m of the view that there are no</w:t>
      </w:r>
      <w:r w:rsidR="00BF5429">
        <w:rPr>
          <w:rFonts w:ascii="Arial" w:hAnsi="Arial" w:cs="Arial"/>
          <w:sz w:val="24"/>
          <w:szCs w:val="24"/>
        </w:rPr>
        <w:t xml:space="preserve"> reasonable prospects that the applicant would succeed in showing any misdirection in respect of the exercise of the court’s sentencing discretion.</w:t>
      </w:r>
    </w:p>
    <w:p w:rsidR="00E15801" w:rsidRPr="00393984" w:rsidRDefault="00E15801" w:rsidP="00BF5429">
      <w:pPr>
        <w:spacing w:line="360" w:lineRule="auto"/>
        <w:jc w:val="both"/>
        <w:rPr>
          <w:rFonts w:ascii="Arial" w:hAnsi="Arial" w:cs="Arial"/>
          <w:sz w:val="24"/>
          <w:szCs w:val="24"/>
        </w:rPr>
      </w:pPr>
    </w:p>
    <w:p w:rsidR="00CA065C" w:rsidRDefault="003E706A" w:rsidP="00CA065C">
      <w:pPr>
        <w:spacing w:line="360" w:lineRule="auto"/>
        <w:jc w:val="both"/>
        <w:rPr>
          <w:rFonts w:ascii="Arial" w:hAnsi="Arial" w:cs="Arial"/>
          <w:sz w:val="24"/>
          <w:szCs w:val="24"/>
        </w:rPr>
      </w:pPr>
      <w:r>
        <w:rPr>
          <w:rFonts w:ascii="Arial" w:hAnsi="Arial" w:cs="Arial"/>
          <w:sz w:val="24"/>
          <w:szCs w:val="24"/>
        </w:rPr>
        <w:t>[</w:t>
      </w:r>
      <w:r w:rsidR="00FA5B1F">
        <w:rPr>
          <w:rFonts w:ascii="Arial" w:hAnsi="Arial" w:cs="Arial"/>
          <w:sz w:val="24"/>
          <w:szCs w:val="24"/>
        </w:rPr>
        <w:t>34</w:t>
      </w:r>
      <w:r>
        <w:rPr>
          <w:rFonts w:ascii="Arial" w:hAnsi="Arial" w:cs="Arial"/>
          <w:sz w:val="24"/>
          <w:szCs w:val="24"/>
        </w:rPr>
        <w:t>]</w:t>
      </w:r>
      <w:r>
        <w:rPr>
          <w:rFonts w:ascii="Arial" w:hAnsi="Arial" w:cs="Arial"/>
          <w:sz w:val="24"/>
          <w:szCs w:val="24"/>
        </w:rPr>
        <w:tab/>
        <w:t>In the result the following order is made:</w:t>
      </w:r>
    </w:p>
    <w:p w:rsidR="003E706A" w:rsidRDefault="00ED5ED4" w:rsidP="003E706A">
      <w:pPr>
        <w:spacing w:line="360" w:lineRule="auto"/>
        <w:ind w:left="1440" w:hanging="72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T</w:t>
      </w:r>
      <w:r w:rsidR="003E706A">
        <w:rPr>
          <w:rFonts w:ascii="Arial" w:hAnsi="Arial" w:cs="Arial"/>
          <w:sz w:val="24"/>
          <w:szCs w:val="24"/>
        </w:rPr>
        <w:t>he application for leave to appeal the discharge of all four accused on the charge of murder and the resultant wholly suspended sentence of three years’ imposed on the first respondent for assault with the intent to do grievous bodily harm, a competent verdict on a charge of murder, is refused.</w:t>
      </w:r>
    </w:p>
    <w:p w:rsidR="003E706A" w:rsidRDefault="003E706A" w:rsidP="00CA065C">
      <w:pPr>
        <w:spacing w:line="360" w:lineRule="auto"/>
        <w:jc w:val="both"/>
        <w:rPr>
          <w:rFonts w:ascii="Arial" w:hAnsi="Arial" w:cs="Arial"/>
          <w:sz w:val="24"/>
          <w:szCs w:val="24"/>
        </w:rPr>
      </w:pPr>
    </w:p>
    <w:p w:rsidR="00501F2E" w:rsidRDefault="00501F2E" w:rsidP="00501F2E">
      <w:pPr>
        <w:spacing w:line="360" w:lineRule="auto"/>
        <w:ind w:left="1440" w:hanging="720"/>
        <w:jc w:val="both"/>
        <w:rPr>
          <w:rFonts w:ascii="Arial" w:hAnsi="Arial" w:cs="Arial"/>
          <w:sz w:val="24"/>
          <w:szCs w:val="24"/>
        </w:rPr>
      </w:pPr>
      <w:r>
        <w:rPr>
          <w:rFonts w:ascii="Arial" w:hAnsi="Arial" w:cs="Arial"/>
          <w:sz w:val="24"/>
          <w:szCs w:val="24"/>
        </w:rPr>
        <w:t xml:space="preserve"> </w:t>
      </w:r>
    </w:p>
    <w:p w:rsidR="00E02076" w:rsidRDefault="0016309A" w:rsidP="003E706A">
      <w:pPr>
        <w:spacing w:line="360" w:lineRule="auto"/>
        <w:jc w:val="both"/>
        <w:rPr>
          <w:rFonts w:ascii="Arial" w:hAnsi="Arial" w:cs="Arial"/>
          <w:sz w:val="24"/>
          <w:szCs w:val="24"/>
        </w:rPr>
      </w:pPr>
      <w:r w:rsidRPr="0016309A">
        <w:rPr>
          <w:rFonts w:ascii="Arial" w:hAnsi="Arial" w:cs="Arial"/>
          <w:sz w:val="24"/>
          <w:szCs w:val="24"/>
        </w:rPr>
        <w:t xml:space="preserve"> </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b/>
          <w:sz w:val="24"/>
          <w:szCs w:val="24"/>
        </w:rPr>
      </w:pPr>
    </w:p>
    <w:p w:rsidR="00ED5ED4" w:rsidRDefault="00ED5ED4" w:rsidP="00E02076">
      <w:pPr>
        <w:autoSpaceDE w:val="0"/>
        <w:autoSpaceDN w:val="0"/>
        <w:adjustRightInd w:val="0"/>
        <w:spacing w:after="0" w:line="360" w:lineRule="auto"/>
        <w:jc w:val="both"/>
        <w:rPr>
          <w:rFonts w:ascii="Arial" w:eastAsia="Times New Roman" w:hAnsi="Arial" w:cs="Arial"/>
          <w:b/>
          <w:sz w:val="24"/>
          <w:szCs w:val="24"/>
        </w:rPr>
      </w:pPr>
    </w:p>
    <w:p w:rsidR="00ED5ED4" w:rsidRDefault="00ED5ED4" w:rsidP="00E02076">
      <w:pPr>
        <w:autoSpaceDE w:val="0"/>
        <w:autoSpaceDN w:val="0"/>
        <w:adjustRightInd w:val="0"/>
        <w:spacing w:after="0" w:line="360" w:lineRule="auto"/>
        <w:jc w:val="both"/>
        <w:rPr>
          <w:rFonts w:ascii="Arial" w:eastAsia="Times New Roman" w:hAnsi="Arial" w:cs="Arial"/>
          <w:b/>
          <w:sz w:val="24"/>
          <w:szCs w:val="24"/>
        </w:rPr>
      </w:pPr>
    </w:p>
    <w:p w:rsidR="00ED5ED4" w:rsidRDefault="00ED5ED4" w:rsidP="00E02076">
      <w:pPr>
        <w:autoSpaceDE w:val="0"/>
        <w:autoSpaceDN w:val="0"/>
        <w:adjustRightInd w:val="0"/>
        <w:spacing w:after="0" w:line="360" w:lineRule="auto"/>
        <w:jc w:val="both"/>
        <w:rPr>
          <w:rFonts w:ascii="Arial" w:eastAsia="Times New Roman" w:hAnsi="Arial" w:cs="Arial"/>
          <w:b/>
          <w:sz w:val="24"/>
          <w:szCs w:val="24"/>
        </w:rPr>
      </w:pPr>
    </w:p>
    <w:p w:rsidR="00ED5ED4" w:rsidRPr="00E15801" w:rsidRDefault="00ED5ED4" w:rsidP="00E02076">
      <w:pPr>
        <w:autoSpaceDE w:val="0"/>
        <w:autoSpaceDN w:val="0"/>
        <w:adjustRightInd w:val="0"/>
        <w:spacing w:after="0" w:line="360" w:lineRule="auto"/>
        <w:jc w:val="both"/>
        <w:rPr>
          <w:rFonts w:ascii="Arial" w:eastAsia="Times New Roman" w:hAnsi="Arial" w:cs="Arial"/>
          <w:b/>
          <w:sz w:val="24"/>
          <w:szCs w:val="24"/>
        </w:rPr>
      </w:pPr>
    </w:p>
    <w:p w:rsidR="00E15801" w:rsidRPr="00E15801" w:rsidRDefault="00E15801" w:rsidP="00E15801">
      <w:pPr>
        <w:pStyle w:val="BodyText"/>
        <w:autoSpaceDE w:val="0"/>
        <w:autoSpaceDN w:val="0"/>
        <w:adjustRightInd w:val="0"/>
        <w:spacing w:line="360" w:lineRule="auto"/>
        <w:jc w:val="both"/>
        <w:rPr>
          <w:rFonts w:ascii="Arial" w:hAnsi="Arial" w:cs="Arial"/>
          <w:b/>
        </w:rPr>
      </w:pPr>
      <w:r w:rsidRPr="00E15801">
        <w:rPr>
          <w:rFonts w:ascii="Arial" w:hAnsi="Arial" w:cs="Arial"/>
          <w:b/>
        </w:rPr>
        <w:t>APPEARANCES</w:t>
      </w:r>
    </w:p>
    <w:p w:rsidR="00E15801" w:rsidRPr="00E15801" w:rsidRDefault="00E15801" w:rsidP="00E15801">
      <w:pPr>
        <w:pStyle w:val="BodyText"/>
        <w:autoSpaceDE w:val="0"/>
        <w:autoSpaceDN w:val="0"/>
        <w:adjustRightInd w:val="0"/>
        <w:spacing w:line="360" w:lineRule="auto"/>
        <w:jc w:val="both"/>
        <w:rPr>
          <w:rFonts w:ascii="Arial" w:hAnsi="Arial" w:cs="Arial"/>
          <w:b/>
        </w:rPr>
      </w:pPr>
    </w:p>
    <w:p w:rsidR="00E15801" w:rsidRDefault="00E15801" w:rsidP="00E15801">
      <w:pPr>
        <w:pStyle w:val="BodyText"/>
        <w:autoSpaceDE w:val="0"/>
        <w:autoSpaceDN w:val="0"/>
        <w:adjustRightInd w:val="0"/>
        <w:spacing w:line="360" w:lineRule="auto"/>
        <w:jc w:val="both"/>
        <w:rPr>
          <w:rFonts w:ascii="Arial" w:hAnsi="Arial" w:cs="Arial"/>
          <w:b/>
        </w:rPr>
      </w:pPr>
    </w:p>
    <w:p w:rsidR="00ED5ED4" w:rsidRPr="00E15801" w:rsidRDefault="00ED5ED4" w:rsidP="00E15801">
      <w:pPr>
        <w:pStyle w:val="BodyText"/>
        <w:autoSpaceDE w:val="0"/>
        <w:autoSpaceDN w:val="0"/>
        <w:adjustRightInd w:val="0"/>
        <w:spacing w:line="360" w:lineRule="auto"/>
        <w:jc w:val="both"/>
        <w:rPr>
          <w:rFonts w:ascii="Arial" w:hAnsi="Arial" w:cs="Arial"/>
          <w:b/>
        </w:rPr>
      </w:pPr>
    </w:p>
    <w:p w:rsidR="00E15801" w:rsidRPr="00E15801" w:rsidRDefault="00E15801" w:rsidP="00E15801">
      <w:pPr>
        <w:tabs>
          <w:tab w:val="left" w:pos="1394"/>
          <w:tab w:val="left" w:pos="2528"/>
          <w:tab w:val="left" w:pos="3780"/>
        </w:tabs>
        <w:spacing w:after="0" w:line="360" w:lineRule="auto"/>
        <w:jc w:val="both"/>
        <w:rPr>
          <w:rFonts w:ascii="Arial" w:hAnsi="Arial" w:cs="Arial"/>
          <w:b/>
          <w:sz w:val="24"/>
          <w:szCs w:val="24"/>
        </w:rPr>
      </w:pPr>
      <w:r w:rsidRPr="00E15801">
        <w:rPr>
          <w:rFonts w:ascii="Arial" w:hAnsi="Arial" w:cs="Arial"/>
          <w:b/>
          <w:sz w:val="24"/>
          <w:szCs w:val="24"/>
        </w:rPr>
        <w:t>THE S</w:t>
      </w:r>
      <w:r>
        <w:rPr>
          <w:rFonts w:ascii="Arial" w:hAnsi="Arial" w:cs="Arial"/>
          <w:b/>
          <w:sz w:val="24"/>
          <w:szCs w:val="24"/>
        </w:rPr>
        <w:t xml:space="preserve">TATE </w:t>
      </w:r>
      <w:r>
        <w:rPr>
          <w:rFonts w:ascii="Arial" w:hAnsi="Arial" w:cs="Arial"/>
          <w:b/>
          <w:sz w:val="24"/>
          <w:szCs w:val="24"/>
        </w:rPr>
        <w:tab/>
        <w:t>:</w:t>
      </w:r>
      <w:r>
        <w:rPr>
          <w:rFonts w:ascii="Arial" w:hAnsi="Arial" w:cs="Arial"/>
          <w:b/>
          <w:sz w:val="24"/>
          <w:szCs w:val="24"/>
        </w:rPr>
        <w:tab/>
      </w:r>
      <w:r w:rsidRPr="00E15801">
        <w:rPr>
          <w:rFonts w:ascii="Arial" w:hAnsi="Arial" w:cs="Arial"/>
          <w:b/>
          <w:sz w:val="24"/>
          <w:szCs w:val="24"/>
        </w:rPr>
        <w:t>MR MATOTA.</w:t>
      </w:r>
    </w:p>
    <w:p w:rsidR="00E15801" w:rsidRPr="00E15801" w:rsidRDefault="00E15801" w:rsidP="00E15801">
      <w:pPr>
        <w:tabs>
          <w:tab w:val="left" w:pos="1394"/>
          <w:tab w:val="left" w:pos="2528"/>
          <w:tab w:val="left" w:pos="3780"/>
        </w:tabs>
        <w:spacing w:after="0" w:line="360" w:lineRule="auto"/>
        <w:jc w:val="both"/>
        <w:rPr>
          <w:rFonts w:ascii="Arial" w:hAnsi="Arial" w:cs="Arial"/>
          <w:b/>
          <w:sz w:val="24"/>
          <w:szCs w:val="24"/>
        </w:rPr>
      </w:pPr>
      <w:r w:rsidRPr="00E15801">
        <w:rPr>
          <w:rFonts w:ascii="Arial" w:hAnsi="Arial" w:cs="Arial"/>
          <w:b/>
          <w:sz w:val="24"/>
          <w:szCs w:val="24"/>
        </w:rPr>
        <w:tab/>
      </w:r>
      <w:r w:rsidRPr="00E15801">
        <w:rPr>
          <w:rFonts w:ascii="Arial" w:hAnsi="Arial" w:cs="Arial"/>
          <w:b/>
          <w:sz w:val="24"/>
          <w:szCs w:val="24"/>
        </w:rPr>
        <w:tab/>
      </w:r>
      <w:r w:rsidRPr="00E15801">
        <w:rPr>
          <w:rFonts w:ascii="Arial" w:hAnsi="Arial" w:cs="Arial"/>
          <w:b/>
          <w:sz w:val="24"/>
          <w:szCs w:val="24"/>
        </w:rPr>
        <w:tab/>
        <w:t>OFFICE OF THE PROSECUTOR-GENERAL</w:t>
      </w:r>
    </w:p>
    <w:p w:rsidR="00E15801" w:rsidRPr="00E15801" w:rsidRDefault="00E15801" w:rsidP="00E15801">
      <w:pPr>
        <w:autoSpaceDE w:val="0"/>
        <w:autoSpaceDN w:val="0"/>
        <w:adjustRightInd w:val="0"/>
        <w:spacing w:after="0" w:line="360" w:lineRule="auto"/>
        <w:ind w:left="3780" w:hanging="3780"/>
        <w:jc w:val="both"/>
        <w:rPr>
          <w:rFonts w:ascii="Arial" w:hAnsi="Arial" w:cs="Arial"/>
          <w:b/>
          <w:sz w:val="24"/>
          <w:szCs w:val="24"/>
        </w:rPr>
      </w:pPr>
    </w:p>
    <w:p w:rsidR="00E15801" w:rsidRPr="00E15801" w:rsidRDefault="00E15801" w:rsidP="00E15801">
      <w:pPr>
        <w:autoSpaceDE w:val="0"/>
        <w:autoSpaceDN w:val="0"/>
        <w:adjustRightInd w:val="0"/>
        <w:spacing w:after="0" w:line="360" w:lineRule="auto"/>
        <w:ind w:left="3780" w:hanging="3780"/>
        <w:jc w:val="both"/>
        <w:rPr>
          <w:rFonts w:ascii="Arial" w:hAnsi="Arial" w:cs="Arial"/>
          <w:b/>
          <w:sz w:val="24"/>
          <w:szCs w:val="24"/>
        </w:rPr>
      </w:pPr>
      <w:r w:rsidRPr="00E15801">
        <w:rPr>
          <w:rFonts w:ascii="Arial" w:hAnsi="Arial" w:cs="Arial"/>
          <w:b/>
          <w:sz w:val="24"/>
          <w:szCs w:val="24"/>
        </w:rPr>
        <w:t>ACCUSED 1:</w:t>
      </w:r>
      <w:r w:rsidRPr="00E15801">
        <w:rPr>
          <w:rFonts w:ascii="Arial" w:hAnsi="Arial" w:cs="Arial"/>
          <w:b/>
          <w:sz w:val="24"/>
          <w:szCs w:val="24"/>
        </w:rPr>
        <w:tab/>
        <w:t>MR J VAN VUUREN</w:t>
      </w:r>
    </w:p>
    <w:p w:rsidR="00E15801" w:rsidRPr="00E15801" w:rsidRDefault="00E15801" w:rsidP="00E15801">
      <w:pPr>
        <w:pStyle w:val="BodyTextIndent"/>
        <w:spacing w:line="360" w:lineRule="auto"/>
        <w:ind w:left="3780"/>
        <w:jc w:val="both"/>
        <w:rPr>
          <w:rFonts w:ascii="Arial" w:hAnsi="Arial" w:cs="Arial"/>
          <w:b/>
        </w:rPr>
      </w:pPr>
      <w:r w:rsidRPr="00E15801">
        <w:rPr>
          <w:rFonts w:ascii="Arial" w:hAnsi="Arial" w:cs="Arial"/>
          <w:b/>
        </w:rPr>
        <w:t>KRUGER VAN VUUREN &amp; CO.</w:t>
      </w:r>
    </w:p>
    <w:p w:rsidR="00E15801" w:rsidRPr="00E15801" w:rsidRDefault="00E15801" w:rsidP="00E15801">
      <w:pPr>
        <w:pStyle w:val="BodyTextIndent"/>
        <w:spacing w:line="360" w:lineRule="auto"/>
        <w:ind w:left="3780"/>
        <w:jc w:val="both"/>
        <w:rPr>
          <w:rFonts w:ascii="Arial" w:hAnsi="Arial" w:cs="Arial"/>
          <w:b/>
        </w:rPr>
      </w:pPr>
    </w:p>
    <w:p w:rsidR="00E15801" w:rsidRPr="00E15801" w:rsidRDefault="00E15801" w:rsidP="00E15801">
      <w:pPr>
        <w:tabs>
          <w:tab w:val="left" w:pos="1394"/>
          <w:tab w:val="left" w:pos="2528"/>
          <w:tab w:val="left" w:pos="3780"/>
        </w:tabs>
        <w:spacing w:after="0" w:line="360" w:lineRule="auto"/>
        <w:ind w:left="3780" w:hanging="3780"/>
        <w:jc w:val="both"/>
        <w:rPr>
          <w:rFonts w:ascii="Arial" w:hAnsi="Arial" w:cs="Arial"/>
          <w:b/>
          <w:sz w:val="24"/>
          <w:szCs w:val="24"/>
        </w:rPr>
      </w:pPr>
    </w:p>
    <w:p w:rsidR="00E15801" w:rsidRPr="00E15801" w:rsidRDefault="00E15801" w:rsidP="00E15801">
      <w:pPr>
        <w:tabs>
          <w:tab w:val="left" w:pos="1394"/>
          <w:tab w:val="left" w:pos="2528"/>
          <w:tab w:val="left" w:pos="3780"/>
        </w:tabs>
        <w:spacing w:after="0" w:line="360" w:lineRule="auto"/>
        <w:ind w:left="3780" w:hanging="3780"/>
        <w:jc w:val="both"/>
        <w:rPr>
          <w:rFonts w:ascii="Arial" w:hAnsi="Arial" w:cs="Arial"/>
          <w:b/>
          <w:sz w:val="24"/>
          <w:szCs w:val="24"/>
        </w:rPr>
      </w:pPr>
      <w:r w:rsidRPr="00E15801">
        <w:rPr>
          <w:rFonts w:ascii="Arial" w:hAnsi="Arial" w:cs="Arial"/>
          <w:b/>
          <w:sz w:val="24"/>
          <w:szCs w:val="24"/>
        </w:rPr>
        <w:t>ACCUSED 2</w:t>
      </w:r>
      <w:r w:rsidRPr="00E15801">
        <w:rPr>
          <w:rFonts w:ascii="Arial" w:hAnsi="Arial" w:cs="Arial"/>
          <w:b/>
          <w:sz w:val="24"/>
          <w:szCs w:val="24"/>
        </w:rPr>
        <w:tab/>
      </w:r>
      <w:r w:rsidRPr="00E15801">
        <w:rPr>
          <w:rFonts w:ascii="Arial" w:hAnsi="Arial" w:cs="Arial"/>
          <w:b/>
          <w:sz w:val="24"/>
          <w:szCs w:val="24"/>
        </w:rPr>
        <w:tab/>
      </w:r>
      <w:r w:rsidRPr="00E15801">
        <w:rPr>
          <w:rFonts w:ascii="Arial" w:hAnsi="Arial" w:cs="Arial"/>
          <w:b/>
          <w:sz w:val="24"/>
          <w:szCs w:val="24"/>
        </w:rPr>
        <w:tab/>
        <w:t>MS INONGE MAINGA</w:t>
      </w:r>
    </w:p>
    <w:p w:rsidR="00E15801" w:rsidRPr="00E15801" w:rsidRDefault="00E15801" w:rsidP="00E15801">
      <w:pPr>
        <w:pStyle w:val="BodyTextIndent"/>
        <w:tabs>
          <w:tab w:val="left" w:pos="1394"/>
          <w:tab w:val="left" w:pos="2528"/>
          <w:tab w:val="left" w:pos="3780"/>
        </w:tabs>
        <w:spacing w:line="360" w:lineRule="auto"/>
        <w:ind w:left="3780"/>
        <w:jc w:val="both"/>
        <w:rPr>
          <w:rFonts w:ascii="Arial" w:hAnsi="Arial" w:cs="Arial"/>
          <w:b/>
        </w:rPr>
      </w:pPr>
      <w:r w:rsidRPr="00E15801">
        <w:rPr>
          <w:rFonts w:ascii="Arial" w:hAnsi="Arial" w:cs="Arial"/>
          <w:b/>
        </w:rPr>
        <w:t>INONGE MAINGA ATTORNEYS</w:t>
      </w:r>
    </w:p>
    <w:p w:rsidR="00E15801" w:rsidRPr="00E15801" w:rsidRDefault="00E15801" w:rsidP="00E15801">
      <w:pPr>
        <w:pStyle w:val="BodyTextIndent"/>
        <w:tabs>
          <w:tab w:val="left" w:pos="1394"/>
          <w:tab w:val="left" w:pos="2528"/>
          <w:tab w:val="left" w:pos="3780"/>
        </w:tabs>
        <w:spacing w:line="360" w:lineRule="auto"/>
        <w:ind w:left="3780"/>
        <w:jc w:val="both"/>
        <w:rPr>
          <w:rFonts w:ascii="Arial" w:hAnsi="Arial" w:cs="Arial"/>
          <w:b/>
        </w:rPr>
      </w:pPr>
      <w:r w:rsidRPr="00E15801">
        <w:rPr>
          <w:rFonts w:ascii="Arial" w:hAnsi="Arial" w:cs="Arial"/>
          <w:b/>
        </w:rPr>
        <w:t xml:space="preserve"> </w:t>
      </w:r>
    </w:p>
    <w:p w:rsidR="00E15801" w:rsidRPr="00E15801" w:rsidRDefault="00E15801" w:rsidP="00E15801">
      <w:pPr>
        <w:pStyle w:val="BodyTextIndent"/>
        <w:tabs>
          <w:tab w:val="left" w:pos="1394"/>
          <w:tab w:val="left" w:pos="2528"/>
          <w:tab w:val="left" w:pos="3780"/>
        </w:tabs>
        <w:spacing w:line="360" w:lineRule="auto"/>
        <w:ind w:left="0"/>
        <w:jc w:val="both"/>
        <w:rPr>
          <w:rFonts w:ascii="Arial" w:hAnsi="Arial" w:cs="Arial"/>
          <w:b/>
        </w:rPr>
      </w:pPr>
    </w:p>
    <w:p w:rsidR="00E15801" w:rsidRPr="00E15801" w:rsidRDefault="00E15801" w:rsidP="00E15801">
      <w:pPr>
        <w:pStyle w:val="BodyTextIndent"/>
        <w:tabs>
          <w:tab w:val="left" w:pos="1394"/>
          <w:tab w:val="left" w:pos="2528"/>
          <w:tab w:val="left" w:pos="3780"/>
        </w:tabs>
        <w:spacing w:line="360" w:lineRule="auto"/>
        <w:ind w:left="0"/>
        <w:jc w:val="both"/>
        <w:rPr>
          <w:rFonts w:ascii="Arial" w:hAnsi="Arial" w:cs="Arial"/>
          <w:b/>
        </w:rPr>
      </w:pPr>
      <w:r w:rsidRPr="00E15801">
        <w:rPr>
          <w:rFonts w:ascii="Arial" w:hAnsi="Arial" w:cs="Arial"/>
          <w:b/>
        </w:rPr>
        <w:t>ACCUSED 3</w:t>
      </w:r>
      <w:r w:rsidRPr="00E15801">
        <w:rPr>
          <w:rFonts w:ascii="Arial" w:hAnsi="Arial" w:cs="Arial"/>
          <w:b/>
        </w:rPr>
        <w:tab/>
      </w:r>
      <w:r w:rsidRPr="00E15801">
        <w:rPr>
          <w:rFonts w:ascii="Arial" w:hAnsi="Arial" w:cs="Arial"/>
          <w:b/>
        </w:rPr>
        <w:tab/>
      </w:r>
      <w:r w:rsidRPr="00E15801">
        <w:rPr>
          <w:rFonts w:ascii="Arial" w:hAnsi="Arial" w:cs="Arial"/>
          <w:b/>
        </w:rPr>
        <w:tab/>
        <w:t xml:space="preserve">MR J NCUBE </w:t>
      </w:r>
    </w:p>
    <w:p w:rsidR="00E15801" w:rsidRPr="00E15801" w:rsidRDefault="00E15801" w:rsidP="00E15801">
      <w:pPr>
        <w:pStyle w:val="BodyTextIndent"/>
        <w:tabs>
          <w:tab w:val="left" w:pos="1394"/>
          <w:tab w:val="left" w:pos="2528"/>
          <w:tab w:val="left" w:pos="3780"/>
        </w:tabs>
        <w:spacing w:line="360" w:lineRule="auto"/>
        <w:ind w:left="3780"/>
        <w:jc w:val="both"/>
        <w:rPr>
          <w:rFonts w:ascii="Arial" w:hAnsi="Arial" w:cs="Arial"/>
          <w:b/>
        </w:rPr>
      </w:pPr>
      <w:r w:rsidRPr="00E15801">
        <w:rPr>
          <w:rFonts w:ascii="Arial" w:hAnsi="Arial" w:cs="Arial"/>
          <w:b/>
        </w:rPr>
        <w:t>INSTRUCTED BY:  GOVERNMENT ATTORNEYS</w:t>
      </w:r>
    </w:p>
    <w:p w:rsidR="00E15801" w:rsidRDefault="00E15801" w:rsidP="00E15801">
      <w:pPr>
        <w:pStyle w:val="BodyTextIndent"/>
        <w:tabs>
          <w:tab w:val="left" w:pos="1394"/>
          <w:tab w:val="left" w:pos="2528"/>
          <w:tab w:val="left" w:pos="3780"/>
        </w:tabs>
        <w:spacing w:line="360" w:lineRule="auto"/>
        <w:ind w:left="0"/>
        <w:jc w:val="both"/>
        <w:rPr>
          <w:rFonts w:ascii="Arial" w:hAnsi="Arial" w:cs="Arial"/>
          <w:b/>
        </w:rPr>
      </w:pPr>
    </w:p>
    <w:p w:rsidR="00ED5ED4" w:rsidRPr="00E15801" w:rsidRDefault="00ED5ED4" w:rsidP="00E15801">
      <w:pPr>
        <w:pStyle w:val="BodyTextIndent"/>
        <w:tabs>
          <w:tab w:val="left" w:pos="1394"/>
          <w:tab w:val="left" w:pos="2528"/>
          <w:tab w:val="left" w:pos="3780"/>
        </w:tabs>
        <w:spacing w:line="360" w:lineRule="auto"/>
        <w:ind w:left="0"/>
        <w:jc w:val="both"/>
        <w:rPr>
          <w:rFonts w:ascii="Arial" w:hAnsi="Arial" w:cs="Arial"/>
          <w:b/>
        </w:rPr>
      </w:pPr>
    </w:p>
    <w:p w:rsidR="00E15801" w:rsidRPr="00E15801" w:rsidRDefault="00E15801" w:rsidP="00E15801">
      <w:pPr>
        <w:pStyle w:val="BodyTextIndent"/>
        <w:tabs>
          <w:tab w:val="left" w:pos="1394"/>
          <w:tab w:val="left" w:pos="2528"/>
          <w:tab w:val="left" w:pos="3780"/>
        </w:tabs>
        <w:spacing w:line="360" w:lineRule="auto"/>
        <w:ind w:left="0"/>
        <w:jc w:val="both"/>
        <w:rPr>
          <w:rFonts w:ascii="Arial" w:hAnsi="Arial" w:cs="Arial"/>
          <w:b/>
        </w:rPr>
      </w:pPr>
      <w:r w:rsidRPr="00E15801">
        <w:rPr>
          <w:rFonts w:ascii="Arial" w:hAnsi="Arial" w:cs="Arial"/>
          <w:b/>
        </w:rPr>
        <w:t>ACCUSED 4</w:t>
      </w:r>
      <w:r w:rsidRPr="00E15801">
        <w:rPr>
          <w:rFonts w:ascii="Arial" w:hAnsi="Arial" w:cs="Arial"/>
          <w:b/>
        </w:rPr>
        <w:tab/>
      </w:r>
      <w:r w:rsidRPr="00E15801">
        <w:rPr>
          <w:rFonts w:ascii="Arial" w:hAnsi="Arial" w:cs="Arial"/>
          <w:b/>
        </w:rPr>
        <w:tab/>
      </w:r>
      <w:r w:rsidRPr="00E15801">
        <w:rPr>
          <w:rFonts w:ascii="Arial" w:hAnsi="Arial" w:cs="Arial"/>
          <w:b/>
        </w:rPr>
        <w:tab/>
        <w:t>MS F KISHI</w:t>
      </w:r>
    </w:p>
    <w:p w:rsidR="00E15801" w:rsidRPr="00E15801" w:rsidRDefault="00E15801" w:rsidP="00E15801">
      <w:pPr>
        <w:pStyle w:val="BodyTextIndent"/>
        <w:tabs>
          <w:tab w:val="left" w:pos="1394"/>
          <w:tab w:val="left" w:pos="2528"/>
          <w:tab w:val="left" w:pos="3780"/>
        </w:tabs>
        <w:spacing w:line="360" w:lineRule="auto"/>
        <w:ind w:left="0"/>
        <w:jc w:val="both"/>
        <w:rPr>
          <w:rFonts w:ascii="Arial" w:hAnsi="Arial" w:cs="Arial"/>
          <w:b/>
        </w:rPr>
      </w:pPr>
      <w:r w:rsidRPr="00E15801">
        <w:rPr>
          <w:rFonts w:ascii="Arial" w:hAnsi="Arial" w:cs="Arial"/>
          <w:b/>
        </w:rPr>
        <w:tab/>
      </w:r>
      <w:r w:rsidRPr="00E15801">
        <w:rPr>
          <w:rFonts w:ascii="Arial" w:hAnsi="Arial" w:cs="Arial"/>
          <w:b/>
        </w:rPr>
        <w:tab/>
      </w:r>
      <w:r w:rsidRPr="00E15801">
        <w:rPr>
          <w:rFonts w:ascii="Arial" w:hAnsi="Arial" w:cs="Arial"/>
          <w:b/>
        </w:rPr>
        <w:tab/>
        <w:t>DR WEDER, KAUTA &amp; HOVEKA INC.</w:t>
      </w:r>
    </w:p>
    <w:p w:rsidR="00E15801" w:rsidRPr="00E15801" w:rsidRDefault="00E15801" w:rsidP="00E15801">
      <w:pPr>
        <w:spacing w:after="0" w:line="360" w:lineRule="auto"/>
        <w:jc w:val="both"/>
        <w:rPr>
          <w:rFonts w:ascii="Arial" w:hAnsi="Arial" w:cs="Arial"/>
          <w:b/>
        </w:rPr>
      </w:pPr>
    </w:p>
    <w:p w:rsidR="00E15801" w:rsidRPr="00E15801" w:rsidRDefault="00E15801" w:rsidP="00E15801">
      <w:pPr>
        <w:spacing w:after="0" w:line="360" w:lineRule="auto"/>
        <w:jc w:val="both"/>
        <w:rPr>
          <w:rFonts w:ascii="Arial" w:hAnsi="Arial" w:cs="Arial"/>
          <w:b/>
        </w:rPr>
      </w:pPr>
    </w:p>
    <w:p w:rsidR="00E15801" w:rsidRPr="00E15801" w:rsidRDefault="00E15801" w:rsidP="00E15801">
      <w:pPr>
        <w:spacing w:after="0" w:line="360" w:lineRule="auto"/>
        <w:rPr>
          <w:b/>
        </w:rPr>
      </w:pPr>
    </w:p>
    <w:p w:rsidR="00B853E3" w:rsidRPr="00E15801" w:rsidRDefault="00B853E3" w:rsidP="00E02076">
      <w:pPr>
        <w:autoSpaceDE w:val="0"/>
        <w:autoSpaceDN w:val="0"/>
        <w:adjustRightInd w:val="0"/>
        <w:spacing w:after="0" w:line="360" w:lineRule="auto"/>
        <w:jc w:val="both"/>
        <w:rPr>
          <w:rFonts w:ascii="Arial" w:eastAsia="Times New Roman" w:hAnsi="Arial" w:cs="Arial"/>
          <w:b/>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p w:rsidR="00B853E3" w:rsidRDefault="00B853E3" w:rsidP="00E02076">
      <w:pPr>
        <w:autoSpaceDE w:val="0"/>
        <w:autoSpaceDN w:val="0"/>
        <w:adjustRightInd w:val="0"/>
        <w:spacing w:after="0" w:line="360" w:lineRule="auto"/>
        <w:jc w:val="both"/>
        <w:rPr>
          <w:rFonts w:ascii="Arial" w:eastAsia="Times New Roman" w:hAnsi="Arial" w:cs="Arial"/>
          <w:sz w:val="24"/>
          <w:szCs w:val="24"/>
        </w:rPr>
      </w:pPr>
    </w:p>
    <w:sectPr w:rsidR="00B853E3" w:rsidSect="00EE419D">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F1" w:rsidRDefault="005A67F1" w:rsidP="00541A8B">
      <w:pPr>
        <w:spacing w:after="0" w:line="240" w:lineRule="auto"/>
      </w:pPr>
      <w:r>
        <w:separator/>
      </w:r>
    </w:p>
  </w:endnote>
  <w:endnote w:type="continuationSeparator" w:id="0">
    <w:p w:rsidR="005A67F1" w:rsidRDefault="005A67F1"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8C" w:rsidRDefault="0021638C">
    <w:pPr>
      <w:pStyle w:val="Footer"/>
      <w:jc w:val="right"/>
    </w:pPr>
  </w:p>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F1" w:rsidRDefault="005A67F1" w:rsidP="00541A8B">
      <w:pPr>
        <w:spacing w:after="0" w:line="240" w:lineRule="auto"/>
      </w:pPr>
      <w:r>
        <w:separator/>
      </w:r>
    </w:p>
  </w:footnote>
  <w:footnote w:type="continuationSeparator" w:id="0">
    <w:p w:rsidR="005A67F1" w:rsidRDefault="005A67F1" w:rsidP="00541A8B">
      <w:pPr>
        <w:spacing w:after="0" w:line="240" w:lineRule="auto"/>
      </w:pPr>
      <w:r>
        <w:continuationSeparator/>
      </w:r>
    </w:p>
  </w:footnote>
  <w:footnote w:id="1">
    <w:p w:rsidR="00B43861" w:rsidRPr="00EE419D" w:rsidRDefault="00B43861" w:rsidP="00B43861">
      <w:pPr>
        <w:pStyle w:val="FootnoteText"/>
        <w:rPr>
          <w:rFonts w:ascii="Arial" w:hAnsi="Arial" w:cs="Arial"/>
        </w:rPr>
      </w:pPr>
      <w:r w:rsidRPr="00EE419D">
        <w:rPr>
          <w:rStyle w:val="FootnoteReference"/>
          <w:rFonts w:ascii="Arial" w:hAnsi="Arial" w:cs="Arial"/>
        </w:rPr>
        <w:footnoteRef/>
      </w:r>
      <w:r w:rsidRPr="00EE419D">
        <w:rPr>
          <w:rFonts w:ascii="Arial" w:hAnsi="Arial" w:cs="Arial"/>
        </w:rPr>
        <w:t xml:space="preserve"> 2013 (2) NR 504 (SC)</w:t>
      </w:r>
    </w:p>
  </w:footnote>
  <w:footnote w:id="2">
    <w:p w:rsidR="00B43861" w:rsidRPr="00EE419D" w:rsidRDefault="00B43861" w:rsidP="00B43861">
      <w:pPr>
        <w:pStyle w:val="FootnoteText"/>
        <w:rPr>
          <w:rFonts w:ascii="Arial" w:hAnsi="Arial" w:cs="Arial"/>
        </w:rPr>
      </w:pPr>
      <w:r w:rsidRPr="00EE419D">
        <w:rPr>
          <w:rStyle w:val="FootnoteReference"/>
          <w:rFonts w:ascii="Arial" w:hAnsi="Arial" w:cs="Arial"/>
        </w:rPr>
        <w:footnoteRef/>
      </w:r>
      <w:r w:rsidRPr="00EE419D">
        <w:rPr>
          <w:rFonts w:ascii="Arial" w:hAnsi="Arial" w:cs="Arial"/>
        </w:rPr>
        <w:t xml:space="preserve"> 1973 (1) SA 765 (A) at 766H</w:t>
      </w:r>
    </w:p>
  </w:footnote>
  <w:footnote w:id="3">
    <w:p w:rsidR="0028759A" w:rsidRPr="00EE419D" w:rsidRDefault="0028759A">
      <w:pPr>
        <w:pStyle w:val="FootnoteText"/>
        <w:rPr>
          <w:rFonts w:ascii="Arial" w:hAnsi="Arial" w:cs="Arial"/>
        </w:rPr>
      </w:pPr>
      <w:r w:rsidRPr="00EE419D">
        <w:rPr>
          <w:rStyle w:val="FootnoteReference"/>
          <w:rFonts w:ascii="Arial" w:hAnsi="Arial" w:cs="Arial"/>
        </w:rPr>
        <w:footnoteRef/>
      </w:r>
      <w:r w:rsidRPr="00EE419D">
        <w:rPr>
          <w:rFonts w:ascii="Arial" w:hAnsi="Arial" w:cs="Arial"/>
        </w:rPr>
        <w:t xml:space="preserve"> Case no CC6/2002</w:t>
      </w:r>
      <w:r w:rsidR="00167F77" w:rsidRPr="00EE419D">
        <w:rPr>
          <w:rFonts w:ascii="Arial" w:hAnsi="Arial" w:cs="Arial"/>
        </w:rPr>
        <w:t xml:space="preserve"> HC</w:t>
      </w:r>
      <w:r w:rsidRPr="00EE419D">
        <w:rPr>
          <w:rFonts w:ascii="Arial" w:hAnsi="Arial" w:cs="Arial"/>
        </w:rPr>
        <w:t>, delivered of 15 October 2002</w:t>
      </w:r>
      <w:r w:rsidR="00EE419D">
        <w:rPr>
          <w:rFonts w:ascii="Arial" w:hAnsi="Arial" w:cs="Arial"/>
        </w:rPr>
        <w:t>.</w:t>
      </w:r>
    </w:p>
  </w:footnote>
  <w:footnote w:id="4">
    <w:p w:rsidR="00FA5B1F" w:rsidRPr="00EE419D" w:rsidRDefault="00FA5B1F">
      <w:pPr>
        <w:pStyle w:val="FootnoteText"/>
        <w:rPr>
          <w:rFonts w:ascii="Arial" w:hAnsi="Arial" w:cs="Arial"/>
        </w:rPr>
      </w:pPr>
      <w:r w:rsidRPr="00EE419D">
        <w:rPr>
          <w:rStyle w:val="FootnoteReference"/>
          <w:rFonts w:ascii="Arial" w:hAnsi="Arial" w:cs="Arial"/>
        </w:rPr>
        <w:footnoteRef/>
      </w:r>
      <w:r w:rsidRPr="00EE419D">
        <w:rPr>
          <w:rFonts w:ascii="Arial" w:hAnsi="Arial" w:cs="Arial"/>
        </w:rPr>
        <w:t xml:space="preserve"> </w:t>
      </w:r>
      <w:r w:rsidRPr="00EE419D">
        <w:rPr>
          <w:rFonts w:ascii="Arial" w:hAnsi="Arial" w:cs="Arial"/>
          <w:i/>
        </w:rPr>
        <w:t>(sentence delivered on 18 October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09758"/>
      <w:docPartObj>
        <w:docPartGallery w:val="Page Numbers (Top of Page)"/>
        <w:docPartUnique/>
      </w:docPartObj>
    </w:sdtPr>
    <w:sdtEndPr>
      <w:rPr>
        <w:noProof/>
      </w:rPr>
    </w:sdtEndPr>
    <w:sdtContent>
      <w:p w:rsidR="00EE419D" w:rsidRDefault="00EE419D">
        <w:pPr>
          <w:pStyle w:val="Header"/>
          <w:jc w:val="right"/>
        </w:pPr>
        <w:r>
          <w:fldChar w:fldCharType="begin"/>
        </w:r>
        <w:r>
          <w:instrText xml:space="preserve"> PAGE   \* MERGEFORMAT </w:instrText>
        </w:r>
        <w:r>
          <w:fldChar w:fldCharType="separate"/>
        </w:r>
        <w:r w:rsidR="00E4000B">
          <w:rPr>
            <w:noProof/>
          </w:rPr>
          <w:t>2</w:t>
        </w:r>
        <w:r>
          <w:rPr>
            <w:noProof/>
          </w:rPr>
          <w:fldChar w:fldCharType="end"/>
        </w:r>
      </w:p>
    </w:sdtContent>
  </w:sdt>
  <w:p w:rsidR="00EE419D" w:rsidRDefault="00EE4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51319"/>
    <w:multiLevelType w:val="hybridMultilevel"/>
    <w:tmpl w:val="9F2AABDA"/>
    <w:lvl w:ilvl="0" w:tplc="06FE8292">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313162E4"/>
    <w:multiLevelType w:val="hybridMultilevel"/>
    <w:tmpl w:val="EAD81F64"/>
    <w:lvl w:ilvl="0" w:tplc="46E2D78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391EFF"/>
    <w:multiLevelType w:val="hybridMultilevel"/>
    <w:tmpl w:val="ED78A88E"/>
    <w:lvl w:ilvl="0" w:tplc="07DA780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3FB678A5"/>
    <w:multiLevelType w:val="hybridMultilevel"/>
    <w:tmpl w:val="92AA0AD0"/>
    <w:lvl w:ilvl="0" w:tplc="504E23C4">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B23688A"/>
    <w:multiLevelType w:val="hybridMultilevel"/>
    <w:tmpl w:val="ABCAF48A"/>
    <w:lvl w:ilvl="0" w:tplc="A81A748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A17"/>
    <w:rsid w:val="00024CB1"/>
    <w:rsid w:val="00043718"/>
    <w:rsid w:val="0004512C"/>
    <w:rsid w:val="00062914"/>
    <w:rsid w:val="000663E4"/>
    <w:rsid w:val="000668AF"/>
    <w:rsid w:val="000A644F"/>
    <w:rsid w:val="000D0A88"/>
    <w:rsid w:val="000D38F0"/>
    <w:rsid w:val="000E5F6D"/>
    <w:rsid w:val="000F0FEB"/>
    <w:rsid w:val="000F1F0B"/>
    <w:rsid w:val="0011059C"/>
    <w:rsid w:val="00145FC9"/>
    <w:rsid w:val="00150DB7"/>
    <w:rsid w:val="00155F8A"/>
    <w:rsid w:val="0016309A"/>
    <w:rsid w:val="00167F77"/>
    <w:rsid w:val="001719E5"/>
    <w:rsid w:val="001825B9"/>
    <w:rsid w:val="001B32B6"/>
    <w:rsid w:val="001C7BAB"/>
    <w:rsid w:val="0021638C"/>
    <w:rsid w:val="00232CB3"/>
    <w:rsid w:val="002338D7"/>
    <w:rsid w:val="00241A58"/>
    <w:rsid w:val="00257425"/>
    <w:rsid w:val="00270700"/>
    <w:rsid w:val="0028759A"/>
    <w:rsid w:val="002A1843"/>
    <w:rsid w:val="002D3D3D"/>
    <w:rsid w:val="002F405B"/>
    <w:rsid w:val="00302DE4"/>
    <w:rsid w:val="00305FF1"/>
    <w:rsid w:val="00321BFA"/>
    <w:rsid w:val="003238A2"/>
    <w:rsid w:val="00332FC3"/>
    <w:rsid w:val="00341AF1"/>
    <w:rsid w:val="00356A15"/>
    <w:rsid w:val="00390F35"/>
    <w:rsid w:val="00393984"/>
    <w:rsid w:val="003B03A1"/>
    <w:rsid w:val="003D3146"/>
    <w:rsid w:val="003E706A"/>
    <w:rsid w:val="003F4039"/>
    <w:rsid w:val="00410A9E"/>
    <w:rsid w:val="0042228F"/>
    <w:rsid w:val="00432CF5"/>
    <w:rsid w:val="00464240"/>
    <w:rsid w:val="00485EEC"/>
    <w:rsid w:val="004976F5"/>
    <w:rsid w:val="004B2F9B"/>
    <w:rsid w:val="00501F2E"/>
    <w:rsid w:val="005370C6"/>
    <w:rsid w:val="00541A8B"/>
    <w:rsid w:val="00564F0A"/>
    <w:rsid w:val="00580AB1"/>
    <w:rsid w:val="00582E75"/>
    <w:rsid w:val="005A1069"/>
    <w:rsid w:val="005A2244"/>
    <w:rsid w:val="005A67F1"/>
    <w:rsid w:val="005B0BB5"/>
    <w:rsid w:val="005F2984"/>
    <w:rsid w:val="00606BE8"/>
    <w:rsid w:val="00622EBF"/>
    <w:rsid w:val="006478AE"/>
    <w:rsid w:val="00666C05"/>
    <w:rsid w:val="006779D2"/>
    <w:rsid w:val="00684E45"/>
    <w:rsid w:val="00687E2A"/>
    <w:rsid w:val="006C5CAB"/>
    <w:rsid w:val="006D090F"/>
    <w:rsid w:val="006D42D8"/>
    <w:rsid w:val="0070028E"/>
    <w:rsid w:val="0071023B"/>
    <w:rsid w:val="0071221A"/>
    <w:rsid w:val="0071384A"/>
    <w:rsid w:val="007170DA"/>
    <w:rsid w:val="007266A0"/>
    <w:rsid w:val="0073420F"/>
    <w:rsid w:val="0074504C"/>
    <w:rsid w:val="007766F1"/>
    <w:rsid w:val="00786AC6"/>
    <w:rsid w:val="00796EE0"/>
    <w:rsid w:val="007C1C03"/>
    <w:rsid w:val="007C7FCA"/>
    <w:rsid w:val="007F40D8"/>
    <w:rsid w:val="007F5CCB"/>
    <w:rsid w:val="008159B5"/>
    <w:rsid w:val="0084625C"/>
    <w:rsid w:val="00847752"/>
    <w:rsid w:val="0084797D"/>
    <w:rsid w:val="0085423C"/>
    <w:rsid w:val="0086340B"/>
    <w:rsid w:val="0086421E"/>
    <w:rsid w:val="00871C56"/>
    <w:rsid w:val="0087233B"/>
    <w:rsid w:val="008D5159"/>
    <w:rsid w:val="008F144B"/>
    <w:rsid w:val="00900946"/>
    <w:rsid w:val="009031E0"/>
    <w:rsid w:val="00912ABD"/>
    <w:rsid w:val="00916312"/>
    <w:rsid w:val="009832E7"/>
    <w:rsid w:val="0098368A"/>
    <w:rsid w:val="00986C97"/>
    <w:rsid w:val="0099273F"/>
    <w:rsid w:val="009B693E"/>
    <w:rsid w:val="009C148A"/>
    <w:rsid w:val="009C1E80"/>
    <w:rsid w:val="009C1FE2"/>
    <w:rsid w:val="009C2EB7"/>
    <w:rsid w:val="009C73BA"/>
    <w:rsid w:val="009D320D"/>
    <w:rsid w:val="009D5A7C"/>
    <w:rsid w:val="009E1841"/>
    <w:rsid w:val="009F09E0"/>
    <w:rsid w:val="00A22EFD"/>
    <w:rsid w:val="00A37C89"/>
    <w:rsid w:val="00A4200F"/>
    <w:rsid w:val="00A55AC6"/>
    <w:rsid w:val="00A72C7D"/>
    <w:rsid w:val="00A94055"/>
    <w:rsid w:val="00AA20B5"/>
    <w:rsid w:val="00AD7688"/>
    <w:rsid w:val="00AF2935"/>
    <w:rsid w:val="00B20045"/>
    <w:rsid w:val="00B33B9F"/>
    <w:rsid w:val="00B36150"/>
    <w:rsid w:val="00B43861"/>
    <w:rsid w:val="00B54DFC"/>
    <w:rsid w:val="00B825F7"/>
    <w:rsid w:val="00B853E3"/>
    <w:rsid w:val="00B879B3"/>
    <w:rsid w:val="00B95291"/>
    <w:rsid w:val="00BA147B"/>
    <w:rsid w:val="00BB0F42"/>
    <w:rsid w:val="00BD18F1"/>
    <w:rsid w:val="00BF5429"/>
    <w:rsid w:val="00C11503"/>
    <w:rsid w:val="00C473A5"/>
    <w:rsid w:val="00C556F2"/>
    <w:rsid w:val="00C71FAA"/>
    <w:rsid w:val="00C91635"/>
    <w:rsid w:val="00C93DC4"/>
    <w:rsid w:val="00CA065C"/>
    <w:rsid w:val="00CC7F58"/>
    <w:rsid w:val="00CE0805"/>
    <w:rsid w:val="00CE084B"/>
    <w:rsid w:val="00D25B89"/>
    <w:rsid w:val="00D47528"/>
    <w:rsid w:val="00D75F0B"/>
    <w:rsid w:val="00D81996"/>
    <w:rsid w:val="00D8374B"/>
    <w:rsid w:val="00DB08AF"/>
    <w:rsid w:val="00DE47B3"/>
    <w:rsid w:val="00DE7BC8"/>
    <w:rsid w:val="00E02076"/>
    <w:rsid w:val="00E15801"/>
    <w:rsid w:val="00E4000B"/>
    <w:rsid w:val="00E404B4"/>
    <w:rsid w:val="00E477C5"/>
    <w:rsid w:val="00E53AA4"/>
    <w:rsid w:val="00E614BD"/>
    <w:rsid w:val="00E95552"/>
    <w:rsid w:val="00EB0CEB"/>
    <w:rsid w:val="00ED5ED4"/>
    <w:rsid w:val="00EE419D"/>
    <w:rsid w:val="00F35A9A"/>
    <w:rsid w:val="00F4135B"/>
    <w:rsid w:val="00F56C0A"/>
    <w:rsid w:val="00F707A8"/>
    <w:rsid w:val="00F7298C"/>
    <w:rsid w:val="00F82292"/>
    <w:rsid w:val="00F8337A"/>
    <w:rsid w:val="00FA181D"/>
    <w:rsid w:val="00FA5B1F"/>
    <w:rsid w:val="00FA7AA9"/>
    <w:rsid w:val="00FF0C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E80799A-FEB6-4259-8B76-9C63A852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nhideWhenUsed/>
    <w:rsid w:val="00541A8B"/>
    <w:pPr>
      <w:spacing w:after="0" w:line="240" w:lineRule="auto"/>
    </w:pPr>
    <w:rPr>
      <w:sz w:val="20"/>
      <w:szCs w:val="20"/>
    </w:rPr>
  </w:style>
  <w:style w:type="character" w:customStyle="1" w:styleId="FootnoteTextChar">
    <w:name w:val="Footnote Text Char"/>
    <w:basedOn w:val="DefaultParagraphFont"/>
    <w:link w:val="FootnoteText"/>
    <w:rsid w:val="00541A8B"/>
    <w:rPr>
      <w:sz w:val="20"/>
      <w:szCs w:val="20"/>
    </w:rPr>
  </w:style>
  <w:style w:type="character" w:styleId="FootnoteReference">
    <w:name w:val="footnote reference"/>
    <w:basedOn w:val="DefaultParagraphFont"/>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CA065C"/>
    <w:pPr>
      <w:ind w:left="720"/>
      <w:contextualSpacing/>
    </w:pPr>
  </w:style>
  <w:style w:type="paragraph" w:styleId="BodyText">
    <w:name w:val="Body Text"/>
    <w:basedOn w:val="Normal"/>
    <w:link w:val="BodyTextChar"/>
    <w:rsid w:val="00E1580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15801"/>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E15801"/>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E1580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2017-09-11T18:30:00+00:00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A9DE-0239-4841-86F6-378B0C361A54}">
  <ds:schemaRefs>
    <ds:schemaRef ds:uri="http://schemas.microsoft.com/sharepoint/v3/contenttype/forms"/>
  </ds:schemaRefs>
</ds:datastoreItem>
</file>

<file path=customXml/itemProps2.xml><?xml version="1.0" encoding="utf-8"?>
<ds:datastoreItem xmlns:ds="http://schemas.openxmlformats.org/officeDocument/2006/customXml" ds:itemID="{3CED3C35-AD57-41AF-8DA1-4E6B1B77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36CC0-46A8-41B9-A0CF-0D5D22237E5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7a0f4bd-1162-49ac-b85f-dfe96a90bc01"/>
    <ds:schemaRef ds:uri="http://purl.org/dc/terms/"/>
    <ds:schemaRef ds:uri="http://schemas.openxmlformats.org/package/2006/metadata/core-properties"/>
    <ds:schemaRef ds:uri="a036617c-f1b0-4353-ab0a-456b3885ee3b"/>
    <ds:schemaRef ds:uri="http://www.w3.org/XML/1998/namespace"/>
  </ds:schemaRefs>
</ds:datastoreItem>
</file>

<file path=customXml/itemProps4.xml><?xml version="1.0" encoding="utf-8"?>
<ds:datastoreItem xmlns:ds="http://schemas.openxmlformats.org/officeDocument/2006/customXml" ds:itemID="{EBA786CC-3A28-4097-9423-6672F675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NamibLII</cp:lastModifiedBy>
  <cp:revision>2</cp:revision>
  <cp:lastPrinted>2017-09-12T12:19:00Z</cp:lastPrinted>
  <dcterms:created xsi:type="dcterms:W3CDTF">2017-09-21T06:46:00Z</dcterms:created>
  <dcterms:modified xsi:type="dcterms:W3CDTF">2017-09-21T06:46:00Z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