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13" w:rsidRDefault="00554F13" w:rsidP="00554F13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“ANNEXURE 11”</w:t>
      </w:r>
    </w:p>
    <w:p w:rsidR="004D2038" w:rsidRDefault="004D2038" w:rsidP="00554F1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54F13" w:rsidRDefault="00554F13" w:rsidP="00554F13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 THE HIGH COURT OF NAMIBIA</w:t>
      </w:r>
      <w:r w:rsidR="005D4698">
        <w:rPr>
          <w:rFonts w:ascii="Arial Narrow" w:hAnsi="Arial Narrow" w:cs="Arial"/>
          <w:b/>
          <w:sz w:val="24"/>
          <w:szCs w:val="24"/>
        </w:rPr>
        <w:t xml:space="preserve"> MAIN DIVISION</w:t>
      </w:r>
    </w:p>
    <w:p w:rsidR="00554F13" w:rsidRDefault="00554F13" w:rsidP="00554F13"/>
    <w:tbl>
      <w:tblPr>
        <w:tblStyle w:val="TableGrid"/>
        <w:tblW w:w="9938" w:type="dxa"/>
        <w:tblInd w:w="-162" w:type="dxa"/>
        <w:tblLook w:val="04A0" w:firstRow="1" w:lastRow="0" w:firstColumn="1" w:lastColumn="0" w:noHBand="0" w:noVBand="1"/>
      </w:tblPr>
      <w:tblGrid>
        <w:gridCol w:w="4670"/>
        <w:gridCol w:w="280"/>
        <w:gridCol w:w="4988"/>
      </w:tblGrid>
      <w:tr w:rsidR="00554F13" w:rsidTr="00806FE0"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53" w:rsidRDefault="00554F13" w:rsidP="00B40F5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554F13" w:rsidRPr="00B40F53" w:rsidRDefault="00554F13" w:rsidP="00BB654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The State </w:t>
            </w:r>
            <w:r w:rsidR="00B40F5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v </w:t>
            </w:r>
            <w:r w:rsidR="00BB654F">
              <w:rPr>
                <w:rFonts w:ascii="Arial" w:hAnsi="Arial" w:cs="Arial"/>
                <w:i/>
                <w:sz w:val="24"/>
                <w:szCs w:val="24"/>
                <w:lang w:val="en-US"/>
              </w:rPr>
              <w:t>Tobias Erwens Hansa Haiduwa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7" w:rsidRPr="00AE6BF7" w:rsidRDefault="00AE6BF7" w:rsidP="00BB654F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6BF7">
              <w:rPr>
                <w:rFonts w:ascii="Arial" w:hAnsi="Arial" w:cs="Arial"/>
                <w:b/>
                <w:sz w:val="24"/>
                <w:szCs w:val="24"/>
                <w:lang w:val="en-US"/>
              </w:rPr>
              <w:t>Case no:</w:t>
            </w:r>
          </w:p>
          <w:p w:rsidR="00554F13" w:rsidRDefault="003568BB" w:rsidP="00BB654F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CC</w:t>
            </w:r>
            <w:r w:rsidR="00554F1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B654F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  <w:r w:rsidR="00CF30FD">
              <w:rPr>
                <w:rFonts w:ascii="Arial" w:hAnsi="Arial" w:cs="Arial"/>
                <w:sz w:val="24"/>
                <w:szCs w:val="24"/>
                <w:lang w:val="en-US"/>
              </w:rPr>
              <w:t>/201</w:t>
            </w:r>
            <w:r w:rsidR="00BB654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554F13" w:rsidTr="00806FE0"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13" w:rsidRDefault="00554F13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554F13" w:rsidRDefault="00B40F53" w:rsidP="00B40F5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Northern Local </w:t>
            </w:r>
            <w:r w:rsidR="00554F13">
              <w:rPr>
                <w:rFonts w:ascii="Arial" w:hAnsi="Arial" w:cs="Arial"/>
                <w:sz w:val="24"/>
                <w:szCs w:val="24"/>
                <w:lang w:val="en-US"/>
              </w:rPr>
              <w:t>Division</w:t>
            </w:r>
          </w:p>
        </w:tc>
      </w:tr>
      <w:tr w:rsidR="00554F13" w:rsidTr="00806FE0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293220" w:rsidRPr="00AA2423" w:rsidRDefault="00AE6BF7" w:rsidP="002932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r w:rsidR="00554F13"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</w:t>
            </w:r>
            <w:r w:rsidR="00CF7D1B">
              <w:rPr>
                <w:rFonts w:ascii="Arial" w:hAnsi="Arial" w:cs="Arial"/>
                <w:sz w:val="24"/>
                <w:szCs w:val="24"/>
                <w:lang w:val="en-US"/>
              </w:rPr>
              <w:t xml:space="preserve">Tommasi </w:t>
            </w:r>
            <w:r w:rsidR="00554F13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="00AA24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  <w:p w:rsidR="00554F13" w:rsidRPr="00AA2423" w:rsidRDefault="00554F13" w:rsidP="00AA24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Delivered on:  </w:t>
            </w:r>
          </w:p>
          <w:p w:rsidR="00554F13" w:rsidRDefault="00BB65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 February 2020</w:t>
            </w:r>
          </w:p>
          <w:p w:rsidR="00AE6BF7" w:rsidRDefault="00AE6B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6BF7" w:rsidRPr="00AE6BF7" w:rsidRDefault="00AE6BF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6BF7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delivered on:</w:t>
            </w:r>
          </w:p>
          <w:p w:rsidR="00AE6BF7" w:rsidRDefault="00AE6B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06 March 2020</w:t>
            </w: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Tr="00806FE0"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7" w:rsidRDefault="00AE6BF7" w:rsidP="00BB654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54F13" w:rsidRPr="00AA2423" w:rsidRDefault="00AE6BF7" w:rsidP="005074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Neutral citation: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</w:t>
            </w:r>
            <w:r w:rsidR="00602A8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B40F5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v </w:t>
            </w:r>
            <w:r w:rsidR="00BB654F">
              <w:rPr>
                <w:rFonts w:ascii="Arial" w:hAnsi="Arial" w:cs="Arial"/>
                <w:i/>
                <w:sz w:val="24"/>
                <w:szCs w:val="24"/>
                <w:lang w:val="en-US"/>
              </w:rPr>
              <w:t>Ha</w:t>
            </w:r>
            <w:r w:rsidR="00806FE0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r w:rsidR="00BB654F">
              <w:rPr>
                <w:rFonts w:ascii="Arial" w:hAnsi="Arial" w:cs="Arial"/>
                <w:i/>
                <w:sz w:val="24"/>
                <w:szCs w:val="24"/>
                <w:lang w:val="en-US"/>
              </w:rPr>
              <w:t>duwa</w:t>
            </w:r>
            <w:r w:rsidR="00AA24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554F1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293220">
              <w:rPr>
                <w:rFonts w:ascii="Arial" w:hAnsi="Arial" w:cs="Arial"/>
                <w:sz w:val="24"/>
                <w:szCs w:val="24"/>
                <w:lang w:val="en-US"/>
              </w:rPr>
              <w:t>(CC</w:t>
            </w:r>
            <w:r w:rsidR="005074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B654F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  <w:r w:rsidR="00AA2423">
              <w:rPr>
                <w:rFonts w:ascii="Arial" w:hAnsi="Arial" w:cs="Arial"/>
                <w:sz w:val="24"/>
                <w:szCs w:val="24"/>
                <w:lang w:val="en-US"/>
              </w:rPr>
              <w:t>/201</w:t>
            </w:r>
            <w:r w:rsidR="00BB654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50747B">
              <w:rPr>
                <w:rFonts w:ascii="Arial" w:hAnsi="Arial" w:cs="Arial"/>
                <w:sz w:val="24"/>
                <w:szCs w:val="24"/>
                <w:lang w:val="en-US"/>
              </w:rPr>
              <w:t>) [2020</w:t>
            </w:r>
            <w:bookmarkStart w:id="0" w:name="_GoBack"/>
            <w:bookmarkEnd w:id="0"/>
            <w:r w:rsidR="00AA2423">
              <w:rPr>
                <w:rFonts w:ascii="Arial" w:hAnsi="Arial" w:cs="Arial"/>
                <w:sz w:val="24"/>
                <w:szCs w:val="24"/>
                <w:lang w:val="en-US"/>
              </w:rPr>
              <w:t xml:space="preserve">] </w:t>
            </w:r>
            <w:r w:rsidR="009C4525" w:rsidRPr="009C4525">
              <w:rPr>
                <w:rFonts w:ascii="Arial" w:hAnsi="Arial" w:cs="Arial"/>
                <w:sz w:val="24"/>
                <w:szCs w:val="24"/>
              </w:rPr>
              <w:t>NAHCNLD</w:t>
            </w:r>
            <w:r w:rsidR="00AA24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B03B3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  <w:r w:rsidR="00AA2423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BE7D08">
              <w:rPr>
                <w:rFonts w:ascii="Arial" w:hAnsi="Arial" w:cs="Arial"/>
                <w:sz w:val="24"/>
                <w:szCs w:val="24"/>
                <w:lang w:val="en-US"/>
              </w:rPr>
              <w:t>06 March</w:t>
            </w:r>
            <w:r w:rsidR="00BB654F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 w:rsidR="00554F1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554F13" w:rsidTr="00806FE0"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7" w:rsidRDefault="00AE6BF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54F13" w:rsidRDefault="00554F1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order: </w:t>
            </w:r>
          </w:p>
          <w:p w:rsidR="00BB654F" w:rsidRDefault="009B2C80" w:rsidP="00811D1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2C8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The applicant is granted leave to appeal against the court’s </w:t>
            </w:r>
            <w:r w:rsidR="00A22CDD">
              <w:rPr>
                <w:rFonts w:ascii="Arial" w:hAnsi="Arial" w:cs="Arial"/>
                <w:sz w:val="24"/>
                <w:szCs w:val="24"/>
                <w:lang w:val="en-US"/>
              </w:rPr>
              <w:t>decision</w:t>
            </w:r>
            <w:r w:rsidR="00AE6BF7">
              <w:rPr>
                <w:rFonts w:ascii="Arial" w:hAnsi="Arial" w:cs="Arial"/>
                <w:sz w:val="24"/>
                <w:szCs w:val="24"/>
                <w:lang w:val="en-US"/>
              </w:rPr>
              <w:t xml:space="preserve"> on 0</w:t>
            </w:r>
            <w:r w:rsidR="00BB654F">
              <w:rPr>
                <w:rFonts w:ascii="Arial" w:hAnsi="Arial" w:cs="Arial"/>
                <w:sz w:val="24"/>
                <w:szCs w:val="24"/>
                <w:lang w:val="en-US"/>
              </w:rPr>
              <w:t>5 November 2018</w:t>
            </w:r>
            <w:r w:rsidR="00A22CDD">
              <w:rPr>
                <w:rFonts w:ascii="Arial" w:hAnsi="Arial" w:cs="Arial"/>
                <w:sz w:val="24"/>
                <w:szCs w:val="24"/>
                <w:lang w:val="en-US"/>
              </w:rPr>
              <w:t xml:space="preserve"> i.e. </w:t>
            </w:r>
            <w:r w:rsidR="00BB654F">
              <w:rPr>
                <w:rFonts w:ascii="Arial" w:hAnsi="Arial" w:cs="Arial"/>
                <w:sz w:val="24"/>
                <w:szCs w:val="24"/>
                <w:lang w:val="en-US"/>
              </w:rPr>
              <w:t xml:space="preserve">that the warning statement made by the accused is ruled inadmissible </w:t>
            </w:r>
            <w:r w:rsidR="00A22CDD">
              <w:rPr>
                <w:rFonts w:ascii="Arial" w:hAnsi="Arial" w:cs="Arial"/>
                <w:sz w:val="24"/>
                <w:szCs w:val="24"/>
                <w:lang w:val="en-US"/>
              </w:rPr>
              <w:t xml:space="preserve">as </w:t>
            </w:r>
            <w:r w:rsidR="00BB654F">
              <w:rPr>
                <w:rFonts w:ascii="Arial" w:hAnsi="Arial" w:cs="Arial"/>
                <w:sz w:val="24"/>
                <w:szCs w:val="24"/>
                <w:lang w:val="en-US"/>
              </w:rPr>
              <w:t>evidence in the main trial;</w:t>
            </w:r>
          </w:p>
          <w:p w:rsidR="00BB654F" w:rsidRDefault="00BB654F" w:rsidP="00811D1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Leave to appeal against the court’s decision on </w:t>
            </w:r>
            <w:r w:rsidR="00AE6BF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 March 2019 to acquit the accused on a charge of murder</w:t>
            </w:r>
            <w:r w:rsidR="00A22CDD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is refuse</w:t>
            </w:r>
            <w:r w:rsidR="007703D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7703D4" w:rsidRDefault="007703D4" w:rsidP="00811D11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Leave to appeal against the court’s decision on </w:t>
            </w:r>
            <w:r w:rsidR="00AE6BF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 March 2019 to acquit the accused on a charge of robbery</w:t>
            </w:r>
            <w:r w:rsidR="00A22CDD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is refused; and </w:t>
            </w:r>
          </w:p>
          <w:p w:rsidR="00CF7D1B" w:rsidRPr="00536CCE" w:rsidRDefault="007703D4" w:rsidP="00CB320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applicant </w:t>
            </w:r>
            <w:r w:rsidR="009B2C80" w:rsidRPr="00536CCE">
              <w:rPr>
                <w:rFonts w:ascii="Arial" w:hAnsi="Arial" w:cs="Arial"/>
                <w:sz w:val="24"/>
                <w:szCs w:val="24"/>
                <w:lang w:val="en-US"/>
              </w:rPr>
              <w:t xml:space="preserve">is granted leave to appeal against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forfeiture order made </w:t>
            </w:r>
            <w:r w:rsidR="005B61FB">
              <w:rPr>
                <w:rFonts w:ascii="Arial" w:hAnsi="Arial" w:cs="Arial"/>
                <w:sz w:val="24"/>
                <w:szCs w:val="24"/>
                <w:lang w:val="en-US"/>
              </w:rPr>
              <w:t xml:space="preserve">in respect of the amount of U$2025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on 30 August 2019</w:t>
            </w:r>
            <w:r w:rsidR="009B2C80" w:rsidRPr="00536CC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554F13" w:rsidRPr="00536C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A2423" w:rsidRPr="00536CCE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  <w:p w:rsidR="00554F13" w:rsidRDefault="00554F13" w:rsidP="00AA2423">
            <w:pPr>
              <w:spacing w:line="360" w:lineRule="auto"/>
              <w:ind w:left="28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54F13" w:rsidTr="00806FE0"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7" w:rsidRDefault="00AE6BF7" w:rsidP="00AE6BF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Reasons for order:</w:t>
            </w:r>
          </w:p>
          <w:p w:rsidR="009133B2" w:rsidRDefault="009133B2" w:rsidP="00F31F55">
            <w:pPr>
              <w:spacing w:line="48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54F13" w:rsidRDefault="00CF7D1B" w:rsidP="00F31F55">
            <w:pPr>
              <w:spacing w:line="48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TOMMASI </w:t>
            </w:r>
            <w:r w:rsidR="00AE6BF7">
              <w:rPr>
                <w:rFonts w:ascii="Arial" w:hAnsi="Arial" w:cs="Arial"/>
                <w:sz w:val="24"/>
                <w:szCs w:val="24"/>
                <w:lang w:val="en-US"/>
              </w:rPr>
              <w:t>J,</w:t>
            </w:r>
          </w:p>
          <w:p w:rsidR="00AD5755" w:rsidRPr="00602A83" w:rsidRDefault="00602A83" w:rsidP="009133B2">
            <w:pPr>
              <w:spacing w:line="360" w:lineRule="auto"/>
              <w:ind w:left="777" w:hanging="77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[1]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8B1035">
              <w:rPr>
                <w:rFonts w:ascii="Arial" w:hAnsi="Arial" w:cs="Arial"/>
                <w:sz w:val="24"/>
                <w:szCs w:val="24"/>
                <w:lang w:val="en-US"/>
              </w:rPr>
              <w:t>The applicant applied for leave to appeal the decision of the court’s refusal to admit into evidence the warning statement made by the accused, the acquittal of the accused on a count of murder and robbery, and against a forfeiture order made in terms of section 35(4) of the Criminal Procedure Act, 51 of 1977. The application was opposed by the Respondent/accused.</w:t>
            </w:r>
          </w:p>
          <w:p w:rsidR="00536CCE" w:rsidRDefault="00536CCE" w:rsidP="00536CCE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33B2" w:rsidRDefault="00602A83" w:rsidP="009133B2">
            <w:pPr>
              <w:spacing w:line="360" w:lineRule="auto"/>
              <w:ind w:left="687" w:hanging="687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8B1035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5C08E4" w:rsidRPr="00602A83">
              <w:rPr>
                <w:rFonts w:ascii="Arial" w:hAnsi="Arial" w:cs="Arial"/>
                <w:sz w:val="24"/>
                <w:szCs w:val="24"/>
                <w:lang w:val="en-US"/>
              </w:rPr>
              <w:t>he</w:t>
            </w:r>
            <w:r w:rsidR="0016656E">
              <w:rPr>
                <w:rFonts w:ascii="Arial" w:hAnsi="Arial" w:cs="Arial"/>
                <w:sz w:val="24"/>
                <w:szCs w:val="24"/>
                <w:lang w:val="en-US"/>
              </w:rPr>
              <w:t xml:space="preserve"> test to be applied </w:t>
            </w:r>
            <w:r w:rsidR="004215D9">
              <w:rPr>
                <w:rFonts w:ascii="Arial" w:hAnsi="Arial" w:cs="Arial"/>
                <w:sz w:val="24"/>
                <w:szCs w:val="24"/>
                <w:lang w:val="en-US"/>
              </w:rPr>
              <w:t xml:space="preserve">has been clearly stated in </w:t>
            </w:r>
            <w:r w:rsidR="004215D9" w:rsidRPr="004215D9">
              <w:rPr>
                <w:rFonts w:ascii="Arial" w:hAnsi="Arial" w:cs="Arial"/>
                <w:i/>
                <w:sz w:val="24"/>
                <w:szCs w:val="24"/>
                <w:lang w:val="en-US"/>
              </w:rPr>
              <w:t>S v Ningisa and Others 2013 (2) NR 504 (SC)</w:t>
            </w:r>
            <w:r w:rsidR="004215D9">
              <w:rPr>
                <w:rFonts w:ascii="Arial" w:hAnsi="Arial" w:cs="Arial"/>
                <w:sz w:val="24"/>
                <w:szCs w:val="24"/>
                <w:lang w:val="en-US"/>
              </w:rPr>
              <w:t xml:space="preserve"> as follows:</w:t>
            </w:r>
            <w:r w:rsidR="004215D9" w:rsidRPr="004215D9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  <w:p w:rsidR="009133B2" w:rsidRDefault="009133B2" w:rsidP="009133B2">
            <w:pPr>
              <w:spacing w:line="360" w:lineRule="auto"/>
              <w:ind w:left="687" w:hanging="687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4215D9" w:rsidRDefault="004215D9" w:rsidP="009133B2">
            <w:pPr>
              <w:spacing w:line="360" w:lineRule="auto"/>
              <w:ind w:left="1047" w:hanging="104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133B2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  <w:r w:rsidRPr="004215D9">
              <w:rPr>
                <w:rFonts w:ascii="Arial" w:hAnsi="Arial" w:cs="Arial"/>
                <w:lang w:val="en-US"/>
              </w:rPr>
              <w:t>‘In determining whether or not to grant a convicted person leave to appeal, the dominant criterion is whether or not the applicant will have a reasonable prospect of success on appeal …</w:t>
            </w:r>
            <w:r w:rsidRPr="004215D9">
              <w:t xml:space="preserve"> </w:t>
            </w:r>
            <w:r w:rsidRPr="004215D9">
              <w:rPr>
                <w:rFonts w:ascii="Arial" w:hAnsi="Arial" w:cs="Arial"/>
                <w:lang w:val="en-US"/>
              </w:rPr>
              <w:t>As regards the latter, difficult though it may be for a trial judge to disabuse his/her mind of the fact that he/she has himself/herself found the state case to be proved beyond reasonable doubt, he/she must, both in relation to questions of fact and of law, direct himself/herself specifically to the enquiry of 'whether there is a reasonable prospect that the Judges of Appeal will take a different view</w:t>
            </w:r>
            <w:r>
              <w:rPr>
                <w:rFonts w:ascii="Arial" w:hAnsi="Arial" w:cs="Arial"/>
                <w:lang w:val="en-US"/>
              </w:rPr>
              <w:t>.’</w:t>
            </w:r>
          </w:p>
          <w:p w:rsidR="00536CCE" w:rsidRPr="00536CCE" w:rsidRDefault="004215D9" w:rsidP="00C61C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CD12D2" w:rsidRDefault="002122E1" w:rsidP="009133B2">
            <w:pPr>
              <w:spacing w:line="360" w:lineRule="auto"/>
              <w:ind w:left="687" w:hanging="68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</w:t>
            </w:r>
            <w:r w:rsidR="00602A83" w:rsidRPr="00C61CF9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  <w:r w:rsidR="00602A83" w:rsidRPr="00C61CF9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CD12D2" w:rsidRPr="00C61CF9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="00C61CF9">
              <w:rPr>
                <w:rFonts w:ascii="Arial" w:hAnsi="Arial" w:cs="Arial"/>
                <w:sz w:val="24"/>
                <w:szCs w:val="24"/>
                <w:lang w:val="en-US"/>
              </w:rPr>
              <w:t xml:space="preserve">have </w:t>
            </w:r>
            <w:r w:rsidR="00CD12D2" w:rsidRPr="00C61CF9">
              <w:rPr>
                <w:rFonts w:ascii="Arial" w:hAnsi="Arial" w:cs="Arial"/>
                <w:sz w:val="24"/>
                <w:szCs w:val="24"/>
                <w:lang w:val="en-US"/>
              </w:rPr>
              <w:t xml:space="preserve">considered </w:t>
            </w:r>
            <w:r w:rsidR="00C61CF9">
              <w:rPr>
                <w:rFonts w:ascii="Arial" w:hAnsi="Arial" w:cs="Arial"/>
                <w:sz w:val="24"/>
                <w:szCs w:val="24"/>
                <w:lang w:val="en-US"/>
              </w:rPr>
              <w:t xml:space="preserve">the grounds raised in respect of the court’s ruling not to admit the warning statement of the accused into evidence in the main action and I am of the </w:t>
            </w:r>
            <w:r w:rsidR="00CD12D2" w:rsidRPr="00C61CF9">
              <w:rPr>
                <w:rFonts w:ascii="Arial" w:hAnsi="Arial" w:cs="Arial"/>
                <w:sz w:val="24"/>
                <w:szCs w:val="24"/>
                <w:lang w:val="en-US"/>
              </w:rPr>
              <w:t xml:space="preserve">view that </w:t>
            </w:r>
            <w:r w:rsidR="004215D9" w:rsidRPr="00C61CF9">
              <w:rPr>
                <w:rFonts w:ascii="Arial" w:hAnsi="Arial" w:cs="Arial"/>
                <w:sz w:val="24"/>
                <w:szCs w:val="24"/>
                <w:lang w:val="en-US"/>
              </w:rPr>
              <w:t>there are reasonable prospects that the applicant may succeed</w:t>
            </w:r>
            <w:r w:rsidR="00C61CF9">
              <w:rPr>
                <w:rFonts w:ascii="Arial" w:hAnsi="Arial" w:cs="Arial"/>
                <w:sz w:val="24"/>
                <w:szCs w:val="24"/>
                <w:lang w:val="en-US"/>
              </w:rPr>
              <w:t xml:space="preserve"> on those grounds. </w:t>
            </w:r>
            <w:r w:rsidR="004215D9" w:rsidRPr="00C61C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C61CF9" w:rsidRDefault="00C61CF9" w:rsidP="00C61C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33B2" w:rsidRDefault="00C61CF9" w:rsidP="009133B2">
            <w:pPr>
              <w:spacing w:line="360" w:lineRule="auto"/>
              <w:ind w:left="597" w:hanging="59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="002122E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]   The </w:t>
            </w:r>
            <w:r w:rsidR="009A7FA1">
              <w:rPr>
                <w:rFonts w:ascii="Arial" w:hAnsi="Arial" w:cs="Arial"/>
                <w:sz w:val="24"/>
                <w:szCs w:val="24"/>
                <w:lang w:val="en-US"/>
              </w:rPr>
              <w:t xml:space="preserve">grounds raised </w:t>
            </w:r>
            <w:r w:rsidR="00D14A58">
              <w:rPr>
                <w:rFonts w:ascii="Arial" w:hAnsi="Arial" w:cs="Arial"/>
                <w:sz w:val="24"/>
                <w:szCs w:val="24"/>
                <w:lang w:val="en-US"/>
              </w:rPr>
              <w:t xml:space="preserve">in respect of </w:t>
            </w:r>
            <w:r w:rsidR="009A7FA1">
              <w:rPr>
                <w:rFonts w:ascii="Arial" w:hAnsi="Arial" w:cs="Arial"/>
                <w:sz w:val="24"/>
                <w:szCs w:val="24"/>
                <w:lang w:val="en-US"/>
              </w:rPr>
              <w:t xml:space="preserve">the verdict on murder </w:t>
            </w:r>
            <w:r w:rsidR="003751C6">
              <w:rPr>
                <w:rFonts w:ascii="Arial" w:hAnsi="Arial" w:cs="Arial"/>
                <w:sz w:val="24"/>
                <w:szCs w:val="24"/>
                <w:lang w:val="en-US"/>
              </w:rPr>
              <w:t>deal</w:t>
            </w:r>
            <w:r w:rsidR="00D14A58">
              <w:rPr>
                <w:rFonts w:ascii="Arial" w:hAnsi="Arial" w:cs="Arial"/>
                <w:sz w:val="24"/>
                <w:szCs w:val="24"/>
                <w:lang w:val="en-US"/>
              </w:rPr>
              <w:t>s primarily</w:t>
            </w:r>
            <w:r w:rsidR="003751C6">
              <w:rPr>
                <w:rFonts w:ascii="Arial" w:hAnsi="Arial" w:cs="Arial"/>
                <w:sz w:val="24"/>
                <w:szCs w:val="24"/>
                <w:lang w:val="en-US"/>
              </w:rPr>
              <w:t xml:space="preserve"> with the fact that the court erred in finding that it is reasonably possibly true that the accused was stabbed by the accused</w:t>
            </w:r>
            <w:r w:rsidR="00D14A58">
              <w:rPr>
                <w:rFonts w:ascii="Arial" w:hAnsi="Arial" w:cs="Arial"/>
                <w:sz w:val="24"/>
                <w:szCs w:val="24"/>
                <w:lang w:val="en-US"/>
              </w:rPr>
              <w:t xml:space="preserve"> and or acted in self defence</w:t>
            </w:r>
            <w:r w:rsidR="003751C6">
              <w:rPr>
                <w:rFonts w:ascii="Arial" w:hAnsi="Arial" w:cs="Arial"/>
                <w:sz w:val="24"/>
                <w:szCs w:val="24"/>
                <w:lang w:val="en-US"/>
              </w:rPr>
              <w:t>. The court extensively dealt with facts and properly considered the onus which rest on the applicant to prove the guilt of the respondent beyond reasonable doubt. This</w:t>
            </w:r>
            <w:r w:rsidR="009133B2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3751C6">
              <w:rPr>
                <w:rFonts w:ascii="Arial" w:hAnsi="Arial" w:cs="Arial"/>
                <w:sz w:val="24"/>
                <w:szCs w:val="24"/>
                <w:lang w:val="en-US"/>
              </w:rPr>
              <w:t xml:space="preserve"> the applicant dismally failed to do. </w:t>
            </w:r>
          </w:p>
          <w:p w:rsidR="009133B2" w:rsidRDefault="009133B2" w:rsidP="00C61C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14A58" w:rsidRDefault="009133B2" w:rsidP="009133B2">
            <w:pPr>
              <w:spacing w:line="360" w:lineRule="auto"/>
              <w:ind w:left="507" w:hanging="5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[5]    Whilst the court did not deal with each one of the elements of robbery, common sense dictates that once the court concluded that the respondent was not the aggressor,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robbery could not have taken place in the manner described by the applicant in the indictment.</w:t>
            </w:r>
          </w:p>
          <w:p w:rsidR="00D14A58" w:rsidRDefault="00D14A58" w:rsidP="009133B2">
            <w:pPr>
              <w:spacing w:line="360" w:lineRule="auto"/>
              <w:ind w:left="507" w:hanging="5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33B2" w:rsidRDefault="00D14A58" w:rsidP="009133B2">
            <w:pPr>
              <w:spacing w:line="360" w:lineRule="auto"/>
              <w:ind w:left="507" w:hanging="5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[6]   </w:t>
            </w:r>
            <w:r w:rsidR="009133B2">
              <w:rPr>
                <w:rFonts w:ascii="Arial" w:hAnsi="Arial" w:cs="Arial"/>
                <w:sz w:val="24"/>
                <w:szCs w:val="24"/>
                <w:lang w:val="en-US"/>
              </w:rPr>
              <w:t>This court properly weighed and considered the evidence and there are no reasonable prospects that the applicant would succeed on the grounds raised in its application for leave to appeal.</w:t>
            </w:r>
          </w:p>
          <w:p w:rsidR="009133B2" w:rsidRDefault="009133B2" w:rsidP="009133B2">
            <w:pPr>
              <w:spacing w:line="360" w:lineRule="auto"/>
              <w:ind w:left="507" w:hanging="50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B2C80" w:rsidRPr="00602A83" w:rsidRDefault="002122E1" w:rsidP="009133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="00D14A5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]  </w:t>
            </w:r>
            <w:r w:rsidR="009133B2">
              <w:rPr>
                <w:rFonts w:ascii="Arial" w:hAnsi="Arial" w:cs="Arial"/>
                <w:sz w:val="24"/>
                <w:szCs w:val="24"/>
                <w:lang w:val="en-US"/>
              </w:rPr>
              <w:t xml:space="preserve">In the result the following order </w:t>
            </w:r>
            <w:r w:rsidR="009B2C80" w:rsidRPr="00602A83">
              <w:rPr>
                <w:rFonts w:ascii="Arial" w:hAnsi="Arial" w:cs="Arial"/>
                <w:sz w:val="24"/>
                <w:szCs w:val="24"/>
                <w:lang w:val="en-US"/>
              </w:rPr>
              <w:t>is made:</w:t>
            </w:r>
          </w:p>
          <w:p w:rsidR="00CD3746" w:rsidRPr="00CD3746" w:rsidRDefault="00602A83" w:rsidP="009133B2">
            <w:pPr>
              <w:pStyle w:val="ListParagraph"/>
              <w:spacing w:line="360" w:lineRule="auto"/>
              <w:ind w:left="1317" w:hanging="59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D3746">
              <w:rPr>
                <w:rFonts w:ascii="Arial" w:hAnsi="Arial" w:cs="Arial"/>
                <w:sz w:val="24"/>
                <w:szCs w:val="24"/>
                <w:lang w:val="en-US"/>
              </w:rPr>
              <w:t xml:space="preserve">.   </w:t>
            </w:r>
            <w:r w:rsidR="00CD3746" w:rsidRPr="00CD3746">
              <w:rPr>
                <w:rFonts w:ascii="Arial" w:hAnsi="Arial" w:cs="Arial"/>
                <w:sz w:val="24"/>
                <w:szCs w:val="24"/>
                <w:lang w:val="en-US"/>
              </w:rPr>
              <w:t xml:space="preserve">The applicant is granted leave to appeal against the court’s </w:t>
            </w:r>
            <w:r w:rsidR="00806FE0" w:rsidRPr="00CD3746">
              <w:rPr>
                <w:rFonts w:ascii="Arial" w:hAnsi="Arial" w:cs="Arial"/>
                <w:sz w:val="24"/>
                <w:szCs w:val="24"/>
                <w:lang w:val="en-US"/>
              </w:rPr>
              <w:t>decision</w:t>
            </w:r>
            <w:r w:rsidR="00CD3746" w:rsidRPr="00CD3746">
              <w:rPr>
                <w:rFonts w:ascii="Arial" w:hAnsi="Arial" w:cs="Arial"/>
                <w:sz w:val="24"/>
                <w:szCs w:val="24"/>
                <w:lang w:val="en-US"/>
              </w:rPr>
              <w:t xml:space="preserve"> on  5 November 2018 that, the warning statement made by the accused is ruled inadmissible evidence in the main trial;</w:t>
            </w:r>
          </w:p>
          <w:p w:rsidR="00CD3746" w:rsidRPr="00CD3746" w:rsidRDefault="00CD3746" w:rsidP="009133B2">
            <w:pPr>
              <w:pStyle w:val="ListParagraph"/>
              <w:spacing w:line="360" w:lineRule="auto"/>
              <w:ind w:left="1317" w:hanging="59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3746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 w:rsidRPr="00CD3746">
              <w:rPr>
                <w:rFonts w:ascii="Arial" w:hAnsi="Arial" w:cs="Arial"/>
                <w:sz w:val="24"/>
                <w:szCs w:val="24"/>
                <w:lang w:val="en-US"/>
              </w:rPr>
              <w:tab/>
              <w:t>Leave to appeal against the court’s decision on 1 March 2019 to acquit the accused on a charge of murder is refused;</w:t>
            </w:r>
          </w:p>
          <w:p w:rsidR="00CD3746" w:rsidRPr="00CD3746" w:rsidRDefault="00CD3746" w:rsidP="00D14A58">
            <w:pPr>
              <w:pStyle w:val="ListParagraph"/>
              <w:spacing w:line="360" w:lineRule="auto"/>
              <w:ind w:left="1317" w:hanging="63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3746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 w:rsidRPr="00CD3746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Leave to appeal against the court’s decision on 1 March 2019 to acquit the accused on a charge of robbery is refused; and </w:t>
            </w:r>
          </w:p>
          <w:p w:rsidR="000470C3" w:rsidRPr="00375F2F" w:rsidRDefault="00D14A58" w:rsidP="00D14A58">
            <w:pPr>
              <w:pStyle w:val="ListParagraph"/>
              <w:spacing w:line="360" w:lineRule="auto"/>
              <w:ind w:left="1317" w:hanging="119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 w:rsidR="00CD3746" w:rsidRPr="00CD3746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 w:rsidR="00CD3746" w:rsidRPr="00CD3746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The applicant is granted leave to appeal against the forfeiture order made in terms of section 35(4) of the Criminal Procedure Act, 51 of 1977 (CPA) on 30 August 2019.    </w:t>
            </w:r>
          </w:p>
        </w:tc>
      </w:tr>
      <w:tr w:rsidR="00806FE0" w:rsidRPr="00630B28" w:rsidTr="00806FE0">
        <w:tc>
          <w:tcPr>
            <w:tcW w:w="4950" w:type="dxa"/>
            <w:gridSpan w:val="2"/>
          </w:tcPr>
          <w:p w:rsidR="00806FE0" w:rsidRPr="00630B28" w:rsidRDefault="00806FE0" w:rsidP="00E06B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B28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Judge’s signature</w:t>
            </w:r>
          </w:p>
        </w:tc>
        <w:tc>
          <w:tcPr>
            <w:tcW w:w="4988" w:type="dxa"/>
          </w:tcPr>
          <w:p w:rsidR="00806FE0" w:rsidRPr="00630B28" w:rsidRDefault="00806FE0" w:rsidP="00E06B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B28">
              <w:rPr>
                <w:rFonts w:ascii="Arial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806FE0" w:rsidRPr="00630B28" w:rsidTr="00806FE0">
        <w:trPr>
          <w:trHeight w:val="1114"/>
        </w:trPr>
        <w:tc>
          <w:tcPr>
            <w:tcW w:w="4950" w:type="dxa"/>
            <w:gridSpan w:val="2"/>
          </w:tcPr>
          <w:p w:rsidR="00806FE0" w:rsidRPr="00630B28" w:rsidRDefault="00806FE0" w:rsidP="00E06B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6FE0" w:rsidRPr="00630B28" w:rsidRDefault="00806FE0" w:rsidP="00E06B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6FE0" w:rsidRPr="00630B28" w:rsidRDefault="00806FE0" w:rsidP="00E06B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</w:tcPr>
          <w:p w:rsidR="00806FE0" w:rsidRPr="00630B28" w:rsidRDefault="00806FE0" w:rsidP="00E06B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77F">
              <w:rPr>
                <w:rFonts w:ascii="Arial" w:hAnsi="Arial" w:cs="Arial"/>
                <w:sz w:val="24"/>
                <w:szCs w:val="24"/>
              </w:rPr>
              <w:lastRenderedPageBreak/>
              <w:t>These reasons should be lodged together with the appeal to the Supreme Court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6FE0" w:rsidRPr="00630B28" w:rsidTr="00806FE0">
        <w:tc>
          <w:tcPr>
            <w:tcW w:w="9938" w:type="dxa"/>
            <w:gridSpan w:val="3"/>
          </w:tcPr>
          <w:p w:rsidR="00806FE0" w:rsidRPr="00630B28" w:rsidRDefault="00806FE0" w:rsidP="00E06B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B28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806FE0" w:rsidRPr="00630B28" w:rsidTr="00806FE0">
        <w:tc>
          <w:tcPr>
            <w:tcW w:w="4950" w:type="dxa"/>
            <w:gridSpan w:val="2"/>
          </w:tcPr>
          <w:p w:rsidR="00806FE0" w:rsidRPr="00630B28" w:rsidRDefault="00806FE0" w:rsidP="00E06B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B28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4988" w:type="dxa"/>
          </w:tcPr>
          <w:p w:rsidR="00806FE0" w:rsidRPr="00630B28" w:rsidRDefault="00806FE0" w:rsidP="00E06B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B28">
              <w:rPr>
                <w:rFonts w:ascii="Arial" w:hAnsi="Arial" w:cs="Arial"/>
                <w:b/>
                <w:sz w:val="24"/>
                <w:szCs w:val="24"/>
              </w:rPr>
              <w:t xml:space="preserve"> Respondent</w:t>
            </w:r>
          </w:p>
        </w:tc>
      </w:tr>
      <w:tr w:rsidR="00806FE0" w:rsidRPr="00630B28" w:rsidTr="00806FE0">
        <w:tc>
          <w:tcPr>
            <w:tcW w:w="4950" w:type="dxa"/>
            <w:gridSpan w:val="2"/>
          </w:tcPr>
          <w:p w:rsidR="00806FE0" w:rsidRPr="009B0CBE" w:rsidRDefault="009B0CBE" w:rsidP="00806FE0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Mr. J Mudamburi </w:t>
            </w:r>
          </w:p>
          <w:p w:rsidR="00806FE0" w:rsidRPr="009B0CBE" w:rsidRDefault="00806FE0" w:rsidP="00806FE0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B0CBE">
              <w:rPr>
                <w:rFonts w:ascii="Arial" w:hAnsi="Arial" w:cs="Arial"/>
                <w:i/>
                <w:sz w:val="24"/>
                <w:szCs w:val="24"/>
              </w:rPr>
              <w:t xml:space="preserve">of </w:t>
            </w:r>
          </w:p>
          <w:p w:rsidR="00806FE0" w:rsidRPr="009B0CBE" w:rsidRDefault="00806FE0" w:rsidP="00806FE0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B0CBE">
              <w:rPr>
                <w:rFonts w:ascii="Arial" w:hAnsi="Arial" w:cs="Arial"/>
                <w:i/>
                <w:sz w:val="24"/>
                <w:szCs w:val="24"/>
              </w:rPr>
              <w:t xml:space="preserve">The Office of the Prosecutor General </w:t>
            </w:r>
          </w:p>
          <w:p w:rsidR="00806FE0" w:rsidRPr="00630B28" w:rsidRDefault="00806FE0" w:rsidP="00806F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CBE">
              <w:rPr>
                <w:rFonts w:ascii="Arial" w:hAnsi="Arial" w:cs="Arial"/>
                <w:i/>
                <w:sz w:val="24"/>
                <w:szCs w:val="24"/>
              </w:rPr>
              <w:t>Oshakati</w:t>
            </w:r>
          </w:p>
        </w:tc>
        <w:tc>
          <w:tcPr>
            <w:tcW w:w="4988" w:type="dxa"/>
          </w:tcPr>
          <w:p w:rsidR="00806FE0" w:rsidRPr="00930D89" w:rsidRDefault="00930D89" w:rsidP="00806FE0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Mr. P Grusshaber</w:t>
            </w:r>
          </w:p>
          <w:p w:rsidR="00806FE0" w:rsidRPr="00930D89" w:rsidRDefault="00806FE0" w:rsidP="00E06B1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0D89">
              <w:rPr>
                <w:rFonts w:ascii="Arial" w:hAnsi="Arial" w:cs="Arial"/>
                <w:i/>
                <w:sz w:val="24"/>
                <w:szCs w:val="24"/>
              </w:rPr>
              <w:t xml:space="preserve">of </w:t>
            </w:r>
          </w:p>
          <w:p w:rsidR="00806FE0" w:rsidRPr="00930D89" w:rsidRDefault="00930D89" w:rsidP="00806FE0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Legal Aid</w:t>
            </w:r>
          </w:p>
          <w:p w:rsidR="00806FE0" w:rsidRPr="00630B28" w:rsidRDefault="00806FE0" w:rsidP="00806F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D89">
              <w:rPr>
                <w:rFonts w:ascii="Arial" w:hAnsi="Arial" w:cs="Arial"/>
                <w:i/>
                <w:sz w:val="24"/>
                <w:szCs w:val="24"/>
              </w:rPr>
              <w:t>Windhoek/Oshakati</w:t>
            </w:r>
          </w:p>
        </w:tc>
      </w:tr>
    </w:tbl>
    <w:p w:rsidR="00554F13" w:rsidRDefault="00554F13" w:rsidP="00554F13"/>
    <w:p w:rsidR="00554F13" w:rsidRDefault="00554F13" w:rsidP="00554F13"/>
    <w:p w:rsidR="00D608CA" w:rsidRDefault="00D608CA"/>
    <w:sectPr w:rsidR="00D6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2E" w:rsidRDefault="00E6512E" w:rsidP="00BA35BA">
      <w:pPr>
        <w:spacing w:after="0" w:line="240" w:lineRule="auto"/>
      </w:pPr>
      <w:r>
        <w:separator/>
      </w:r>
    </w:p>
  </w:endnote>
  <w:endnote w:type="continuationSeparator" w:id="0">
    <w:p w:rsidR="00E6512E" w:rsidRDefault="00E6512E" w:rsidP="00BA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2E" w:rsidRDefault="00E6512E" w:rsidP="00BA35BA">
      <w:pPr>
        <w:spacing w:after="0" w:line="240" w:lineRule="auto"/>
      </w:pPr>
      <w:r>
        <w:separator/>
      </w:r>
    </w:p>
  </w:footnote>
  <w:footnote w:type="continuationSeparator" w:id="0">
    <w:p w:rsidR="00E6512E" w:rsidRDefault="00E6512E" w:rsidP="00BA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AF9"/>
    <w:multiLevelType w:val="hybridMultilevel"/>
    <w:tmpl w:val="927C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4E2B"/>
    <w:multiLevelType w:val="hybridMultilevel"/>
    <w:tmpl w:val="EE4ED5C0"/>
    <w:lvl w:ilvl="0" w:tplc="A2E49870">
      <w:start w:val="1"/>
      <w:numFmt w:val="decimal"/>
      <w:lvlText w:val="[%1]"/>
      <w:lvlJc w:val="left"/>
      <w:pPr>
        <w:ind w:left="7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73" w:hanging="360"/>
      </w:pPr>
    </w:lvl>
    <w:lvl w:ilvl="2" w:tplc="1C09001B" w:tentative="1">
      <w:start w:val="1"/>
      <w:numFmt w:val="lowerRoman"/>
      <w:lvlText w:val="%3."/>
      <w:lvlJc w:val="right"/>
      <w:pPr>
        <w:ind w:left="2193" w:hanging="180"/>
      </w:pPr>
    </w:lvl>
    <w:lvl w:ilvl="3" w:tplc="1C09000F" w:tentative="1">
      <w:start w:val="1"/>
      <w:numFmt w:val="decimal"/>
      <w:lvlText w:val="%4."/>
      <w:lvlJc w:val="left"/>
      <w:pPr>
        <w:ind w:left="2913" w:hanging="360"/>
      </w:pPr>
    </w:lvl>
    <w:lvl w:ilvl="4" w:tplc="1C090019" w:tentative="1">
      <w:start w:val="1"/>
      <w:numFmt w:val="lowerLetter"/>
      <w:lvlText w:val="%5."/>
      <w:lvlJc w:val="left"/>
      <w:pPr>
        <w:ind w:left="3633" w:hanging="360"/>
      </w:pPr>
    </w:lvl>
    <w:lvl w:ilvl="5" w:tplc="1C09001B" w:tentative="1">
      <w:start w:val="1"/>
      <w:numFmt w:val="lowerRoman"/>
      <w:lvlText w:val="%6."/>
      <w:lvlJc w:val="right"/>
      <w:pPr>
        <w:ind w:left="4353" w:hanging="180"/>
      </w:pPr>
    </w:lvl>
    <w:lvl w:ilvl="6" w:tplc="1C09000F" w:tentative="1">
      <w:start w:val="1"/>
      <w:numFmt w:val="decimal"/>
      <w:lvlText w:val="%7."/>
      <w:lvlJc w:val="left"/>
      <w:pPr>
        <w:ind w:left="5073" w:hanging="360"/>
      </w:pPr>
    </w:lvl>
    <w:lvl w:ilvl="7" w:tplc="1C090019" w:tentative="1">
      <w:start w:val="1"/>
      <w:numFmt w:val="lowerLetter"/>
      <w:lvlText w:val="%8."/>
      <w:lvlJc w:val="left"/>
      <w:pPr>
        <w:ind w:left="5793" w:hanging="360"/>
      </w:pPr>
    </w:lvl>
    <w:lvl w:ilvl="8" w:tplc="1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49AC7FEC"/>
    <w:multiLevelType w:val="hybridMultilevel"/>
    <w:tmpl w:val="DA94EB48"/>
    <w:lvl w:ilvl="0" w:tplc="0506F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B741B"/>
    <w:multiLevelType w:val="hybridMultilevel"/>
    <w:tmpl w:val="F88E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13"/>
    <w:rsid w:val="00043211"/>
    <w:rsid w:val="000470C3"/>
    <w:rsid w:val="000D6D6F"/>
    <w:rsid w:val="0016656E"/>
    <w:rsid w:val="00197E48"/>
    <w:rsid w:val="002122E1"/>
    <w:rsid w:val="00214026"/>
    <w:rsid w:val="002272A8"/>
    <w:rsid w:val="00246ABB"/>
    <w:rsid w:val="0025166A"/>
    <w:rsid w:val="00256030"/>
    <w:rsid w:val="00281E52"/>
    <w:rsid w:val="00293220"/>
    <w:rsid w:val="00294753"/>
    <w:rsid w:val="002C68B9"/>
    <w:rsid w:val="003568BB"/>
    <w:rsid w:val="00370C15"/>
    <w:rsid w:val="003751C6"/>
    <w:rsid w:val="00375F2F"/>
    <w:rsid w:val="003A4021"/>
    <w:rsid w:val="00416CA6"/>
    <w:rsid w:val="004215D9"/>
    <w:rsid w:val="00482B2C"/>
    <w:rsid w:val="00494546"/>
    <w:rsid w:val="004D2038"/>
    <w:rsid w:val="0050747B"/>
    <w:rsid w:val="00534909"/>
    <w:rsid w:val="00536CCE"/>
    <w:rsid w:val="00554F13"/>
    <w:rsid w:val="00562E59"/>
    <w:rsid w:val="005933EE"/>
    <w:rsid w:val="005B61FB"/>
    <w:rsid w:val="005C08E4"/>
    <w:rsid w:val="005D4698"/>
    <w:rsid w:val="00602A83"/>
    <w:rsid w:val="0061764C"/>
    <w:rsid w:val="0062457B"/>
    <w:rsid w:val="0066048F"/>
    <w:rsid w:val="00663FD5"/>
    <w:rsid w:val="006A79B5"/>
    <w:rsid w:val="007148F6"/>
    <w:rsid w:val="00742BD0"/>
    <w:rsid w:val="007605BE"/>
    <w:rsid w:val="007703D4"/>
    <w:rsid w:val="00787984"/>
    <w:rsid w:val="007908CC"/>
    <w:rsid w:val="00797851"/>
    <w:rsid w:val="007F1403"/>
    <w:rsid w:val="00806FE0"/>
    <w:rsid w:val="008421A3"/>
    <w:rsid w:val="008B1035"/>
    <w:rsid w:val="008D12A6"/>
    <w:rsid w:val="008E74A0"/>
    <w:rsid w:val="008F4D60"/>
    <w:rsid w:val="0090419C"/>
    <w:rsid w:val="009133B2"/>
    <w:rsid w:val="00917410"/>
    <w:rsid w:val="00930D89"/>
    <w:rsid w:val="00944776"/>
    <w:rsid w:val="009A7FA1"/>
    <w:rsid w:val="009B0CBE"/>
    <w:rsid w:val="009B2C80"/>
    <w:rsid w:val="009B4A69"/>
    <w:rsid w:val="009C4525"/>
    <w:rsid w:val="00A22CDD"/>
    <w:rsid w:val="00A31D01"/>
    <w:rsid w:val="00A57FC4"/>
    <w:rsid w:val="00A660B6"/>
    <w:rsid w:val="00AA2423"/>
    <w:rsid w:val="00AC46F9"/>
    <w:rsid w:val="00AD5755"/>
    <w:rsid w:val="00AE6BF7"/>
    <w:rsid w:val="00B40F53"/>
    <w:rsid w:val="00B879E5"/>
    <w:rsid w:val="00BA35BA"/>
    <w:rsid w:val="00BB654F"/>
    <w:rsid w:val="00BD4274"/>
    <w:rsid w:val="00BE7D08"/>
    <w:rsid w:val="00C07157"/>
    <w:rsid w:val="00C529A7"/>
    <w:rsid w:val="00C61CF9"/>
    <w:rsid w:val="00C66F62"/>
    <w:rsid w:val="00C728F9"/>
    <w:rsid w:val="00C77516"/>
    <w:rsid w:val="00CD12D2"/>
    <w:rsid w:val="00CD3746"/>
    <w:rsid w:val="00CF30FD"/>
    <w:rsid w:val="00CF7D1B"/>
    <w:rsid w:val="00D14A58"/>
    <w:rsid w:val="00D552DC"/>
    <w:rsid w:val="00D608CA"/>
    <w:rsid w:val="00D81055"/>
    <w:rsid w:val="00E21708"/>
    <w:rsid w:val="00E31E80"/>
    <w:rsid w:val="00E6512E"/>
    <w:rsid w:val="00EB03B3"/>
    <w:rsid w:val="00ED6025"/>
    <w:rsid w:val="00F31F55"/>
    <w:rsid w:val="00F92CCB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4FAEE-A8AA-4B66-BC3B-977223BB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13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13"/>
    <w:pPr>
      <w:ind w:left="720"/>
      <w:contextualSpacing/>
    </w:pPr>
  </w:style>
  <w:style w:type="table" w:styleId="TableGrid">
    <w:name w:val="Table Grid"/>
    <w:basedOn w:val="TableNormal"/>
    <w:uiPriority w:val="39"/>
    <w:rsid w:val="00554F1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A3"/>
    <w:rPr>
      <w:rFonts w:ascii="Segoe UI" w:hAnsi="Segoe UI" w:cs="Segoe UI"/>
      <w:sz w:val="18"/>
      <w:szCs w:val="18"/>
      <w:lang w:val="en-ZA"/>
    </w:rPr>
  </w:style>
  <w:style w:type="paragraph" w:styleId="FootnoteText">
    <w:name w:val="footnote text"/>
    <w:basedOn w:val="Normal"/>
    <w:link w:val="FootnoteTextChar"/>
    <w:uiPriority w:val="99"/>
    <w:unhideWhenUsed/>
    <w:rsid w:val="00BA35B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35B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BA3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2020-03-05T18:30:00+00:00</Judgment_x0020_Date>
  </documentManagement>
</p:properties>
</file>

<file path=customXml/itemProps1.xml><?xml version="1.0" encoding="utf-8"?>
<ds:datastoreItem xmlns:ds="http://schemas.openxmlformats.org/officeDocument/2006/customXml" ds:itemID="{B554A68F-ED4F-4DB6-AF27-45020DDE360D}"/>
</file>

<file path=customXml/itemProps2.xml><?xml version="1.0" encoding="utf-8"?>
<ds:datastoreItem xmlns:ds="http://schemas.openxmlformats.org/officeDocument/2006/customXml" ds:itemID="{19F12893-72FB-438F-B7B8-10FD5844FA6C}"/>
</file>

<file path=customXml/itemProps3.xml><?xml version="1.0" encoding="utf-8"?>
<ds:datastoreItem xmlns:ds="http://schemas.openxmlformats.org/officeDocument/2006/customXml" ds:itemID="{CBAABD77-6323-47DE-BF7C-22CA45253DD3}"/>
</file>

<file path=customXml/itemProps4.xml><?xml version="1.0" encoding="utf-8"?>
<ds:datastoreItem xmlns:ds="http://schemas.openxmlformats.org/officeDocument/2006/customXml" ds:itemID="{42831003-817C-4F2C-B1A4-123D4AACA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Kuugongelwa</dc:creator>
  <cp:lastModifiedBy>Lotta N. Ambunda</cp:lastModifiedBy>
  <cp:revision>3</cp:revision>
  <cp:lastPrinted>2020-02-28T08:29:00Z</cp:lastPrinted>
  <dcterms:created xsi:type="dcterms:W3CDTF">2020-03-10T07:22:00Z</dcterms:created>
  <dcterms:modified xsi:type="dcterms:W3CDTF">2020-03-10T07:22:00Z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