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C6" w:rsidRPr="00E43BC6" w:rsidRDefault="00E43BC6" w:rsidP="00E43BC6">
      <w:pPr>
        <w:spacing w:after="0" w:line="360" w:lineRule="auto"/>
        <w:jc w:val="center"/>
        <w:rPr>
          <w:rFonts w:ascii="Arial" w:eastAsiaTheme="minorEastAsia" w:hAnsi="Arial" w:cs="Arial"/>
          <w:b/>
          <w:sz w:val="24"/>
          <w:szCs w:val="24"/>
          <w:lang w:eastAsia="en-ZA"/>
        </w:rPr>
      </w:pPr>
      <w:r w:rsidRPr="00E43BC6">
        <w:rPr>
          <w:rFonts w:eastAsiaTheme="minorEastAsia" w:cs="Times New Roman"/>
          <w:noProof/>
          <w:lang w:val="en-US"/>
        </w:rPr>
        <mc:AlternateContent>
          <mc:Choice Requires="wps">
            <w:drawing>
              <wp:anchor distT="0" distB="0" distL="114300" distR="114300" simplePos="0" relativeHeight="251659264" behindDoc="0" locked="0" layoutInCell="1" allowOverlap="1" wp14:anchorId="768438D3" wp14:editId="4984E75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43BC6" w:rsidRDefault="00E43BC6" w:rsidP="00E43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438D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43BC6" w:rsidRDefault="00E43BC6" w:rsidP="00E43BC6"/>
                  </w:txbxContent>
                </v:textbox>
              </v:shape>
            </w:pict>
          </mc:Fallback>
        </mc:AlternateContent>
      </w:r>
      <w:r w:rsidRPr="00E43BC6">
        <w:rPr>
          <w:rFonts w:ascii="Arial" w:eastAsiaTheme="minorEastAsia" w:hAnsi="Arial" w:cs="Arial"/>
          <w:b/>
          <w:sz w:val="24"/>
          <w:szCs w:val="24"/>
          <w:lang w:eastAsia="en-ZA"/>
        </w:rPr>
        <w:t>REPUBLIC OF NAMIBIA</w:t>
      </w:r>
    </w:p>
    <w:p w:rsidR="00E43BC6" w:rsidRPr="00E43BC6" w:rsidRDefault="00E43BC6" w:rsidP="00E43BC6">
      <w:pPr>
        <w:spacing w:after="0" w:line="360" w:lineRule="auto"/>
        <w:jc w:val="center"/>
        <w:rPr>
          <w:rFonts w:eastAsiaTheme="minorEastAsia" w:cs="Times New Roman"/>
          <w:b/>
          <w:sz w:val="32"/>
          <w:szCs w:val="32"/>
          <w:lang w:eastAsia="en-ZA"/>
        </w:rPr>
      </w:pPr>
      <w:r w:rsidRPr="00E43BC6">
        <w:rPr>
          <w:rFonts w:eastAsiaTheme="minorEastAsia" w:cs="Times New Roman"/>
          <w:b/>
          <w:noProof/>
          <w:sz w:val="32"/>
          <w:szCs w:val="32"/>
          <w:lang w:val="en-US"/>
        </w:rPr>
        <w:drawing>
          <wp:inline distT="0" distB="0" distL="0" distR="0" wp14:anchorId="0AABFC01" wp14:editId="02EF6E76">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E43BC6" w:rsidRPr="00E43BC6" w:rsidRDefault="00E43BC6" w:rsidP="00E43BC6">
      <w:pPr>
        <w:spacing w:after="0" w:line="360" w:lineRule="auto"/>
        <w:jc w:val="center"/>
        <w:rPr>
          <w:rFonts w:ascii="Arial" w:eastAsiaTheme="minorEastAsia" w:hAnsi="Arial" w:cs="Arial"/>
          <w:b/>
          <w:sz w:val="28"/>
          <w:szCs w:val="32"/>
          <w:lang w:eastAsia="en-ZA"/>
        </w:rPr>
      </w:pPr>
    </w:p>
    <w:p w:rsidR="00844DAB" w:rsidRPr="00844DAB" w:rsidRDefault="00844DAB" w:rsidP="00844DAB">
      <w:pPr>
        <w:spacing w:after="0" w:line="360" w:lineRule="auto"/>
        <w:jc w:val="center"/>
        <w:rPr>
          <w:rFonts w:ascii="Arial" w:hAnsi="Arial" w:cs="Arial"/>
          <w:bCs/>
          <w:sz w:val="24"/>
          <w:szCs w:val="24"/>
          <w:lang w:val="en-US"/>
        </w:rPr>
      </w:pPr>
      <w:r w:rsidRPr="00844DAB">
        <w:rPr>
          <w:rFonts w:ascii="Arial" w:hAnsi="Arial" w:cs="Arial"/>
          <w:b/>
          <w:sz w:val="24"/>
          <w:szCs w:val="24"/>
          <w:lang w:val="en-US"/>
        </w:rPr>
        <w:t>HIGH COURT OF NAMIBIA NORTHERN LOCAL DIVISION, OSHAKATI</w:t>
      </w:r>
    </w:p>
    <w:p w:rsidR="00E43BC6" w:rsidRPr="00E43BC6" w:rsidRDefault="00E43BC6" w:rsidP="00E43BC6">
      <w:pPr>
        <w:spacing w:after="0" w:line="360" w:lineRule="auto"/>
        <w:jc w:val="center"/>
        <w:rPr>
          <w:rFonts w:ascii="Arial" w:eastAsiaTheme="minorEastAsia" w:hAnsi="Arial" w:cs="Arial"/>
          <w:b/>
          <w:sz w:val="24"/>
          <w:szCs w:val="24"/>
          <w:lang w:eastAsia="en-ZA"/>
        </w:rPr>
      </w:pPr>
    </w:p>
    <w:p w:rsidR="00E43BC6" w:rsidRPr="00E43BC6" w:rsidRDefault="00F01015" w:rsidP="00E43BC6">
      <w:pPr>
        <w:spacing w:after="0" w:line="360" w:lineRule="auto"/>
        <w:jc w:val="center"/>
        <w:rPr>
          <w:rFonts w:ascii="Arial" w:eastAsiaTheme="minorEastAsia" w:hAnsi="Arial" w:cs="Arial"/>
          <w:b/>
          <w:sz w:val="24"/>
          <w:szCs w:val="24"/>
          <w:lang w:eastAsia="en-ZA"/>
        </w:rPr>
      </w:pPr>
      <w:r>
        <w:rPr>
          <w:rFonts w:ascii="Arial" w:eastAsiaTheme="minorEastAsia" w:hAnsi="Arial" w:cs="Arial"/>
          <w:b/>
          <w:sz w:val="24"/>
          <w:szCs w:val="24"/>
          <w:lang w:eastAsia="en-ZA"/>
        </w:rPr>
        <w:t>REASONS</w:t>
      </w:r>
    </w:p>
    <w:p w:rsidR="00E43BC6" w:rsidRPr="00F01015" w:rsidRDefault="00E43BC6" w:rsidP="00E43BC6">
      <w:pPr>
        <w:spacing w:after="0" w:line="360" w:lineRule="auto"/>
        <w:jc w:val="center"/>
        <w:rPr>
          <w:rFonts w:ascii="Arial" w:eastAsiaTheme="minorEastAsia" w:hAnsi="Arial" w:cs="Arial"/>
          <w:sz w:val="24"/>
          <w:szCs w:val="24"/>
          <w:lang w:eastAsia="en-ZA"/>
        </w:rPr>
      </w:pPr>
    </w:p>
    <w:p w:rsidR="00E43BC6" w:rsidRPr="00F01015" w:rsidRDefault="00E43BC6" w:rsidP="00E43BC6">
      <w:pPr>
        <w:tabs>
          <w:tab w:val="right" w:pos="9360"/>
        </w:tabs>
        <w:spacing w:after="0" w:line="360" w:lineRule="auto"/>
        <w:jc w:val="center"/>
        <w:rPr>
          <w:rFonts w:ascii="Arial" w:eastAsiaTheme="minorEastAsia" w:hAnsi="Arial" w:cs="Arial"/>
          <w:sz w:val="24"/>
          <w:szCs w:val="24"/>
          <w:lang w:eastAsia="en-ZA"/>
        </w:rPr>
      </w:pPr>
      <w:r w:rsidRPr="00F01015">
        <w:rPr>
          <w:rFonts w:ascii="Arial" w:eastAsiaTheme="minorEastAsia" w:hAnsi="Arial" w:cs="Arial"/>
          <w:sz w:val="24"/>
          <w:szCs w:val="24"/>
          <w:lang w:eastAsia="en-ZA"/>
        </w:rPr>
        <w:tab/>
        <w:t>Case No: HC-NLD-CIV-ACT-DEL-201</w:t>
      </w:r>
      <w:r w:rsidR="007A404F" w:rsidRPr="00F01015">
        <w:rPr>
          <w:rFonts w:ascii="Arial" w:eastAsiaTheme="minorEastAsia" w:hAnsi="Arial" w:cs="Arial"/>
          <w:sz w:val="24"/>
          <w:szCs w:val="24"/>
          <w:lang w:eastAsia="en-ZA"/>
        </w:rPr>
        <w:t>7</w:t>
      </w:r>
      <w:r w:rsidRPr="00F01015">
        <w:rPr>
          <w:rFonts w:ascii="Arial" w:eastAsiaTheme="minorEastAsia" w:hAnsi="Arial" w:cs="Arial"/>
          <w:sz w:val="24"/>
          <w:szCs w:val="24"/>
          <w:lang w:eastAsia="en-ZA"/>
        </w:rPr>
        <w:t>/000</w:t>
      </w:r>
      <w:r w:rsidR="007A404F" w:rsidRPr="00F01015">
        <w:rPr>
          <w:rFonts w:ascii="Arial" w:eastAsiaTheme="minorEastAsia" w:hAnsi="Arial" w:cs="Arial"/>
          <w:sz w:val="24"/>
          <w:szCs w:val="24"/>
          <w:lang w:eastAsia="en-ZA"/>
        </w:rPr>
        <w:t>95</w:t>
      </w:r>
    </w:p>
    <w:p w:rsidR="00E43BC6" w:rsidRPr="00E43BC6" w:rsidRDefault="00E43BC6" w:rsidP="00E43BC6">
      <w:pPr>
        <w:spacing w:after="0" w:line="360" w:lineRule="auto"/>
        <w:rPr>
          <w:rFonts w:ascii="Arial" w:eastAsiaTheme="minorEastAsia" w:hAnsi="Arial" w:cs="Arial"/>
          <w:sz w:val="24"/>
          <w:szCs w:val="24"/>
          <w:lang w:eastAsia="en-ZA"/>
        </w:rPr>
      </w:pPr>
      <w:r w:rsidRPr="00E43BC6">
        <w:rPr>
          <w:rFonts w:ascii="Arial" w:eastAsiaTheme="minorEastAsia" w:hAnsi="Arial" w:cs="Arial"/>
          <w:sz w:val="24"/>
          <w:szCs w:val="24"/>
          <w:lang w:eastAsia="en-ZA"/>
        </w:rPr>
        <w:t>In the matter between:</w:t>
      </w:r>
    </w:p>
    <w:p w:rsidR="00E43BC6" w:rsidRPr="00E43BC6" w:rsidRDefault="00E43BC6" w:rsidP="00E43BC6">
      <w:pPr>
        <w:keepNext/>
        <w:tabs>
          <w:tab w:val="right" w:pos="9360"/>
        </w:tabs>
        <w:spacing w:after="0" w:line="360" w:lineRule="auto"/>
        <w:jc w:val="both"/>
        <w:outlineLvl w:val="3"/>
        <w:rPr>
          <w:rFonts w:ascii="Arial" w:eastAsiaTheme="minorEastAsia" w:hAnsi="Arial" w:cs="Arial"/>
          <w:sz w:val="24"/>
          <w:szCs w:val="24"/>
          <w:lang w:eastAsia="en-ZA"/>
        </w:rPr>
      </w:pPr>
    </w:p>
    <w:p w:rsidR="00E43BC6" w:rsidRPr="00E43BC6" w:rsidRDefault="007A404F" w:rsidP="00E43BC6">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eastAsia="en-ZA"/>
        </w:rPr>
        <w:t>HILYA MWENENI SHIIMI</w:t>
      </w:r>
      <w:r w:rsidR="00F01015">
        <w:rPr>
          <w:rFonts w:ascii="Arial" w:eastAsia="Times New Roman" w:hAnsi="Arial" w:cs="Arial"/>
          <w:b/>
          <w:sz w:val="24"/>
          <w:szCs w:val="24"/>
          <w:lang w:val="en-GB"/>
        </w:rPr>
        <w:tab/>
        <w:t>APPLICANT</w:t>
      </w:r>
    </w:p>
    <w:p w:rsidR="00E43BC6" w:rsidRPr="00E43BC6" w:rsidRDefault="00E43BC6" w:rsidP="00E43BC6">
      <w:pPr>
        <w:keepNext/>
        <w:tabs>
          <w:tab w:val="right" w:pos="9000"/>
        </w:tabs>
        <w:spacing w:after="0" w:line="360" w:lineRule="auto"/>
        <w:jc w:val="both"/>
        <w:outlineLvl w:val="3"/>
        <w:rPr>
          <w:rFonts w:ascii="Arial" w:eastAsia="Times New Roman" w:hAnsi="Arial" w:cs="Arial"/>
          <w:b/>
          <w:sz w:val="24"/>
          <w:szCs w:val="24"/>
          <w:lang w:val="en-GB"/>
        </w:rPr>
      </w:pPr>
      <w:r w:rsidRPr="00E43BC6">
        <w:rPr>
          <w:rFonts w:ascii="Arial" w:eastAsia="Times New Roman" w:hAnsi="Arial" w:cs="Arial"/>
          <w:b/>
          <w:sz w:val="24"/>
          <w:szCs w:val="24"/>
          <w:lang w:val="en-GB"/>
        </w:rPr>
        <w:tab/>
      </w:r>
    </w:p>
    <w:p w:rsidR="00E43BC6" w:rsidRPr="00E43BC6" w:rsidRDefault="00E43BC6" w:rsidP="00E43BC6">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and</w:t>
      </w:r>
    </w:p>
    <w:p w:rsidR="00E43BC6" w:rsidRPr="00E43BC6" w:rsidRDefault="00E43BC6" w:rsidP="00E43BC6">
      <w:pPr>
        <w:tabs>
          <w:tab w:val="right" w:pos="9000"/>
        </w:tabs>
        <w:spacing w:after="0" w:line="360" w:lineRule="auto"/>
        <w:jc w:val="both"/>
        <w:rPr>
          <w:rFonts w:ascii="Arial" w:eastAsiaTheme="minorEastAsia" w:hAnsi="Arial" w:cs="Arial"/>
          <w:b/>
          <w:sz w:val="24"/>
          <w:szCs w:val="24"/>
          <w:lang w:eastAsia="en-ZA"/>
        </w:rPr>
      </w:pPr>
    </w:p>
    <w:p w:rsidR="00E43BC6" w:rsidRDefault="007A404F" w:rsidP="00E43BC6">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MINISTER OF SAFETY AND SECURITY</w:t>
      </w:r>
      <w:r w:rsidR="00F01015">
        <w:rPr>
          <w:rFonts w:ascii="Arial" w:eastAsiaTheme="minorEastAsia" w:hAnsi="Arial" w:cs="Arial"/>
          <w:b/>
          <w:sz w:val="24"/>
          <w:szCs w:val="24"/>
          <w:lang w:eastAsia="en-ZA"/>
        </w:rPr>
        <w:tab/>
        <w:t>FIRST RESPONDENT</w:t>
      </w:r>
    </w:p>
    <w:p w:rsidR="00F01015" w:rsidRDefault="00F01015" w:rsidP="00E43BC6">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STAPHANUS KLEOPAS </w:t>
      </w:r>
      <w:r>
        <w:rPr>
          <w:rFonts w:ascii="Arial" w:eastAsiaTheme="minorEastAsia" w:hAnsi="Arial" w:cs="Arial"/>
          <w:b/>
          <w:sz w:val="24"/>
          <w:szCs w:val="24"/>
          <w:lang w:eastAsia="en-ZA"/>
        </w:rPr>
        <w:tab/>
        <w:t>SECOND RESPONDENT</w:t>
      </w:r>
    </w:p>
    <w:p w:rsidR="00F01015" w:rsidRDefault="00F01015" w:rsidP="00E43BC6">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PAULINA KAULUWASHA </w:t>
      </w:r>
      <w:r>
        <w:rPr>
          <w:rFonts w:ascii="Arial" w:eastAsiaTheme="minorEastAsia" w:hAnsi="Arial" w:cs="Arial"/>
          <w:b/>
          <w:sz w:val="24"/>
          <w:szCs w:val="24"/>
          <w:lang w:eastAsia="en-ZA"/>
        </w:rPr>
        <w:tab/>
        <w:t>THIRD RESPONDENT</w:t>
      </w:r>
    </w:p>
    <w:p w:rsidR="00F01015" w:rsidRDefault="00F01015" w:rsidP="00E43BC6">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SARGENT ASINO</w:t>
      </w:r>
      <w:r>
        <w:rPr>
          <w:rFonts w:ascii="Arial" w:eastAsiaTheme="minorEastAsia" w:hAnsi="Arial" w:cs="Arial"/>
          <w:b/>
          <w:sz w:val="24"/>
          <w:szCs w:val="24"/>
          <w:lang w:eastAsia="en-ZA"/>
        </w:rPr>
        <w:tab/>
        <w:t>FOURTH RESPONDENT</w:t>
      </w:r>
    </w:p>
    <w:p w:rsidR="00E43BC6" w:rsidRPr="00E43BC6" w:rsidRDefault="00E43BC6" w:rsidP="00E43BC6">
      <w:pPr>
        <w:tabs>
          <w:tab w:val="right" w:pos="9360"/>
        </w:tabs>
        <w:spacing w:after="0" w:line="360" w:lineRule="auto"/>
        <w:jc w:val="both"/>
        <w:rPr>
          <w:rFonts w:ascii="Arial" w:eastAsiaTheme="minorEastAsia" w:hAnsi="Arial" w:cs="Arial"/>
          <w:b/>
          <w:sz w:val="24"/>
          <w:szCs w:val="24"/>
          <w:lang w:eastAsia="en-ZA"/>
        </w:rPr>
      </w:pPr>
    </w:p>
    <w:p w:rsidR="00E43BC6" w:rsidRPr="00E43BC6" w:rsidRDefault="00E43BC6" w:rsidP="00E43BC6">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 xml:space="preserve">Neutral </w:t>
      </w:r>
      <w:r w:rsidRPr="00E43BC6">
        <w:rPr>
          <w:rFonts w:ascii="Arial" w:eastAsiaTheme="minorEastAsia" w:hAnsi="Arial" w:cs="Arial"/>
          <w:b/>
          <w:sz w:val="24"/>
          <w:szCs w:val="24"/>
          <w:lang w:eastAsia="en-ZA"/>
        </w:rPr>
        <w:t>citation</w:t>
      </w:r>
      <w:r w:rsidRPr="00E43BC6">
        <w:rPr>
          <w:rFonts w:ascii="Arial" w:eastAsiaTheme="minorEastAsia" w:hAnsi="Arial" w:cs="Arial"/>
          <w:i/>
          <w:sz w:val="24"/>
          <w:szCs w:val="24"/>
          <w:lang w:eastAsia="en-ZA"/>
        </w:rPr>
        <w:t xml:space="preserve">: </w:t>
      </w:r>
      <w:r w:rsidR="007A404F">
        <w:rPr>
          <w:rFonts w:ascii="Arial" w:eastAsiaTheme="minorEastAsia" w:hAnsi="Arial" w:cs="Arial"/>
          <w:i/>
          <w:sz w:val="24"/>
          <w:szCs w:val="24"/>
          <w:lang w:eastAsia="en-ZA"/>
        </w:rPr>
        <w:t>Shiimi</w:t>
      </w:r>
      <w:r>
        <w:rPr>
          <w:rFonts w:ascii="Arial" w:eastAsiaTheme="minorEastAsia" w:hAnsi="Arial" w:cs="Arial"/>
          <w:i/>
          <w:sz w:val="24"/>
          <w:szCs w:val="24"/>
          <w:lang w:eastAsia="en-ZA"/>
        </w:rPr>
        <w:t xml:space="preserve"> v </w:t>
      </w:r>
      <w:r w:rsidR="007A404F">
        <w:rPr>
          <w:rFonts w:ascii="Arial" w:eastAsiaTheme="minorEastAsia" w:hAnsi="Arial" w:cs="Arial"/>
          <w:i/>
          <w:sz w:val="24"/>
          <w:szCs w:val="24"/>
          <w:lang w:eastAsia="en-ZA"/>
        </w:rPr>
        <w:t>Minister of Safety and Security</w:t>
      </w:r>
      <w:r w:rsidRPr="00E43BC6">
        <w:rPr>
          <w:rFonts w:ascii="Arial" w:eastAsiaTheme="minorEastAsia" w:hAnsi="Arial" w:cs="Arial"/>
          <w:i/>
          <w:sz w:val="24"/>
          <w:szCs w:val="24"/>
          <w:lang w:eastAsia="en-ZA"/>
        </w:rPr>
        <w:t xml:space="preserve"> </w:t>
      </w:r>
      <w:r w:rsidRPr="00E43BC6">
        <w:rPr>
          <w:rFonts w:ascii="Arial" w:eastAsiaTheme="minorEastAsia" w:hAnsi="Arial" w:cs="Arial"/>
          <w:sz w:val="24"/>
          <w:szCs w:val="24"/>
          <w:lang w:eastAsia="en-ZA"/>
        </w:rPr>
        <w:t>(HC-NLD-CIV-ACT-DEL-201</w:t>
      </w:r>
      <w:r w:rsidR="007A404F">
        <w:rPr>
          <w:rFonts w:ascii="Arial" w:eastAsiaTheme="minorEastAsia" w:hAnsi="Arial" w:cs="Arial"/>
          <w:sz w:val="24"/>
          <w:szCs w:val="24"/>
          <w:lang w:eastAsia="en-ZA"/>
        </w:rPr>
        <w:t>7/00095</w:t>
      </w:r>
      <w:r w:rsidRPr="00E43BC6">
        <w:rPr>
          <w:rFonts w:ascii="Arial" w:eastAsiaTheme="minorEastAsia" w:hAnsi="Arial" w:cs="Arial"/>
          <w:sz w:val="24"/>
          <w:szCs w:val="24"/>
          <w:lang w:eastAsia="en-ZA"/>
        </w:rPr>
        <w:t xml:space="preserve">) </w:t>
      </w:r>
      <w:r>
        <w:rPr>
          <w:rFonts w:ascii="Arial" w:eastAsiaTheme="minorEastAsia" w:hAnsi="Arial" w:cs="Arial"/>
          <w:sz w:val="24"/>
          <w:szCs w:val="24"/>
          <w:lang w:eastAsia="en-ZA"/>
        </w:rPr>
        <w:t>[2020</w:t>
      </w:r>
      <w:r w:rsidRPr="00E43BC6">
        <w:rPr>
          <w:rFonts w:ascii="Arial" w:eastAsiaTheme="minorEastAsia" w:hAnsi="Arial" w:cs="Arial"/>
          <w:sz w:val="24"/>
          <w:szCs w:val="24"/>
          <w:lang w:eastAsia="en-ZA"/>
        </w:rPr>
        <w:t xml:space="preserve">] </w:t>
      </w:r>
      <w:r w:rsidR="00F01015" w:rsidRPr="00E43BC6">
        <w:rPr>
          <w:rFonts w:ascii="Arial" w:eastAsiaTheme="minorEastAsia" w:hAnsi="Arial" w:cs="Arial"/>
          <w:sz w:val="24"/>
          <w:szCs w:val="24"/>
          <w:lang w:eastAsia="en-ZA"/>
        </w:rPr>
        <w:t>NAHC</w:t>
      </w:r>
      <w:r w:rsidR="00F01015">
        <w:rPr>
          <w:rFonts w:ascii="Arial" w:eastAsiaTheme="minorEastAsia" w:hAnsi="Arial" w:cs="Arial"/>
          <w:sz w:val="24"/>
          <w:szCs w:val="24"/>
          <w:lang w:eastAsia="en-ZA"/>
        </w:rPr>
        <w:t>NL</w:t>
      </w:r>
      <w:r w:rsidR="00F01015" w:rsidRPr="00E43BC6">
        <w:rPr>
          <w:rFonts w:ascii="Arial" w:eastAsiaTheme="minorEastAsia" w:hAnsi="Arial" w:cs="Arial"/>
          <w:sz w:val="24"/>
          <w:szCs w:val="24"/>
          <w:lang w:eastAsia="en-ZA"/>
        </w:rPr>
        <w:t>D</w:t>
      </w:r>
      <w:r w:rsidR="00F01015">
        <w:rPr>
          <w:rFonts w:ascii="Arial" w:eastAsiaTheme="minorEastAsia" w:hAnsi="Arial" w:cs="Arial"/>
          <w:sz w:val="24"/>
          <w:szCs w:val="24"/>
          <w:lang w:eastAsia="en-ZA"/>
        </w:rPr>
        <w:t xml:space="preserve"> 78 (</w:t>
      </w:r>
      <w:r w:rsidR="007A404F">
        <w:rPr>
          <w:rFonts w:ascii="Arial" w:eastAsiaTheme="minorEastAsia" w:hAnsi="Arial" w:cs="Arial"/>
          <w:sz w:val="24"/>
          <w:szCs w:val="24"/>
          <w:lang w:eastAsia="en-ZA"/>
        </w:rPr>
        <w:t>30</w:t>
      </w:r>
      <w:r w:rsidR="00CC66E2">
        <w:rPr>
          <w:rFonts w:ascii="Arial" w:eastAsiaTheme="minorEastAsia" w:hAnsi="Arial" w:cs="Arial"/>
          <w:sz w:val="24"/>
          <w:szCs w:val="24"/>
          <w:lang w:eastAsia="en-ZA"/>
        </w:rPr>
        <w:t xml:space="preserve"> June </w:t>
      </w:r>
      <w:r w:rsidR="007D48DF">
        <w:rPr>
          <w:rFonts w:ascii="Arial" w:eastAsiaTheme="minorEastAsia" w:hAnsi="Arial" w:cs="Arial"/>
          <w:sz w:val="24"/>
          <w:szCs w:val="24"/>
          <w:lang w:eastAsia="en-ZA"/>
        </w:rPr>
        <w:t>2020</w:t>
      </w:r>
      <w:r w:rsidRPr="00E43BC6">
        <w:rPr>
          <w:rFonts w:ascii="Arial" w:eastAsiaTheme="minorEastAsia" w:hAnsi="Arial" w:cs="Arial"/>
          <w:i/>
          <w:sz w:val="24"/>
          <w:szCs w:val="24"/>
          <w:lang w:eastAsia="en-ZA"/>
        </w:rPr>
        <w:t>)</w:t>
      </w:r>
    </w:p>
    <w:p w:rsidR="00E43BC6" w:rsidRPr="00E43BC6" w:rsidRDefault="00E43BC6" w:rsidP="00E43BC6">
      <w:pPr>
        <w:spacing w:after="0" w:line="360" w:lineRule="auto"/>
        <w:ind w:left="2160" w:hanging="2160"/>
        <w:jc w:val="both"/>
        <w:rPr>
          <w:rFonts w:ascii="Arial" w:eastAsiaTheme="minorEastAsia" w:hAnsi="Arial" w:cs="Arial"/>
          <w:sz w:val="24"/>
          <w:szCs w:val="24"/>
          <w:lang w:eastAsia="en-ZA"/>
        </w:rPr>
      </w:pPr>
    </w:p>
    <w:p w:rsidR="00E43BC6" w:rsidRPr="00E43BC6" w:rsidRDefault="00E43BC6" w:rsidP="00E43BC6">
      <w:pPr>
        <w:spacing w:after="0" w:line="360" w:lineRule="auto"/>
        <w:ind w:left="1440" w:hanging="1440"/>
        <w:jc w:val="both"/>
        <w:rPr>
          <w:rFonts w:ascii="Arial" w:eastAsiaTheme="minorEastAsia" w:hAnsi="Arial" w:cs="Arial"/>
          <w:sz w:val="24"/>
          <w:szCs w:val="24"/>
          <w:lang w:eastAsia="en-ZA"/>
        </w:rPr>
      </w:pPr>
      <w:r w:rsidRPr="00E43BC6">
        <w:rPr>
          <w:rFonts w:ascii="Arial" w:eastAsiaTheme="minorEastAsia" w:hAnsi="Arial" w:cs="Arial"/>
          <w:b/>
          <w:sz w:val="24"/>
          <w:szCs w:val="24"/>
          <w:lang w:eastAsia="en-ZA"/>
        </w:rPr>
        <w:t>Coram</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 xml:space="preserve">DIERGAARDT, </w:t>
      </w:r>
      <w:r w:rsidR="006E7519">
        <w:rPr>
          <w:rFonts w:ascii="Arial" w:eastAsiaTheme="minorEastAsia" w:hAnsi="Arial" w:cs="Arial"/>
          <w:sz w:val="24"/>
          <w:szCs w:val="24"/>
          <w:lang w:eastAsia="en-ZA"/>
        </w:rPr>
        <w:t>A</w:t>
      </w:r>
      <w:r w:rsidRPr="00E43BC6">
        <w:rPr>
          <w:rFonts w:ascii="Arial" w:eastAsiaTheme="minorEastAsia" w:hAnsi="Arial" w:cs="Arial"/>
          <w:sz w:val="24"/>
          <w:szCs w:val="24"/>
          <w:lang w:eastAsia="en-ZA"/>
        </w:rPr>
        <w:t>J</w:t>
      </w:r>
    </w:p>
    <w:p w:rsidR="00E43BC6" w:rsidRP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Heard</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r>
      <w:r w:rsidR="00F01015" w:rsidRPr="00F01015">
        <w:rPr>
          <w:rFonts w:ascii="Arial" w:eastAsiaTheme="minorEastAsia" w:hAnsi="Arial" w:cs="Arial"/>
          <w:b/>
          <w:sz w:val="24"/>
          <w:szCs w:val="24"/>
          <w:lang w:eastAsia="en-ZA"/>
        </w:rPr>
        <w:t>26</w:t>
      </w:r>
      <w:r w:rsidR="00F01015">
        <w:rPr>
          <w:rFonts w:ascii="Arial" w:eastAsiaTheme="minorEastAsia" w:hAnsi="Arial" w:cs="Arial"/>
          <w:sz w:val="24"/>
          <w:szCs w:val="24"/>
          <w:lang w:eastAsia="en-ZA"/>
        </w:rPr>
        <w:t xml:space="preserve"> </w:t>
      </w:r>
      <w:r>
        <w:rPr>
          <w:rFonts w:ascii="Arial" w:eastAsiaTheme="minorEastAsia" w:hAnsi="Arial" w:cs="Arial"/>
          <w:b/>
          <w:sz w:val="24"/>
          <w:szCs w:val="24"/>
          <w:lang w:eastAsia="en-ZA"/>
        </w:rPr>
        <w:t>June 2020</w:t>
      </w:r>
    </w:p>
    <w:p w:rsid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Delivered</w:t>
      </w:r>
      <w:r w:rsidRPr="00E43BC6">
        <w:rPr>
          <w:rFonts w:ascii="Arial" w:eastAsiaTheme="minorEastAsia" w:hAnsi="Arial" w:cs="Arial"/>
          <w:b/>
          <w:sz w:val="24"/>
          <w:szCs w:val="24"/>
          <w:lang w:eastAsia="en-ZA"/>
        </w:rPr>
        <w:t>:</w:t>
      </w:r>
      <w:r w:rsidRPr="00E43BC6">
        <w:rPr>
          <w:rFonts w:ascii="Arial" w:eastAsiaTheme="minorEastAsia" w:hAnsi="Arial" w:cs="Arial"/>
          <w:b/>
          <w:sz w:val="24"/>
          <w:szCs w:val="24"/>
          <w:lang w:eastAsia="en-ZA"/>
        </w:rPr>
        <w:tab/>
      </w:r>
      <w:r w:rsidR="00F01015">
        <w:rPr>
          <w:rFonts w:ascii="Arial" w:eastAsiaTheme="minorEastAsia" w:hAnsi="Arial" w:cs="Arial"/>
          <w:b/>
          <w:sz w:val="24"/>
          <w:szCs w:val="24"/>
          <w:lang w:eastAsia="en-ZA"/>
        </w:rPr>
        <w:t>26</w:t>
      </w:r>
      <w:r w:rsidR="008863A5">
        <w:rPr>
          <w:rFonts w:ascii="Arial" w:eastAsiaTheme="minorEastAsia" w:hAnsi="Arial" w:cs="Arial"/>
          <w:b/>
          <w:sz w:val="24"/>
          <w:szCs w:val="24"/>
          <w:lang w:eastAsia="en-ZA"/>
        </w:rPr>
        <w:t xml:space="preserve"> June </w:t>
      </w:r>
      <w:r>
        <w:rPr>
          <w:rFonts w:ascii="Arial" w:eastAsiaTheme="minorEastAsia" w:hAnsi="Arial" w:cs="Arial"/>
          <w:b/>
          <w:sz w:val="24"/>
          <w:szCs w:val="24"/>
          <w:lang w:eastAsia="en-ZA"/>
        </w:rPr>
        <w:t>2020</w:t>
      </w:r>
    </w:p>
    <w:p w:rsidR="00F01015" w:rsidRPr="00E43BC6" w:rsidRDefault="00F01015" w:rsidP="00E43BC6">
      <w:pPr>
        <w:spacing w:after="0" w:line="360" w:lineRule="auto"/>
        <w:rPr>
          <w:rFonts w:ascii="Arial" w:eastAsiaTheme="minorEastAsia" w:hAnsi="Arial" w:cs="Arial"/>
          <w:b/>
          <w:sz w:val="24"/>
          <w:szCs w:val="24"/>
          <w:lang w:eastAsia="en-ZA"/>
        </w:rPr>
      </w:pPr>
      <w:r>
        <w:rPr>
          <w:rFonts w:ascii="Arial" w:eastAsiaTheme="minorEastAsia" w:hAnsi="Arial" w:cs="Arial"/>
          <w:b/>
          <w:sz w:val="24"/>
          <w:szCs w:val="24"/>
          <w:lang w:eastAsia="en-ZA"/>
        </w:rPr>
        <w:t>Released:</w:t>
      </w:r>
      <w:r>
        <w:rPr>
          <w:rFonts w:ascii="Arial" w:eastAsiaTheme="minorEastAsia" w:hAnsi="Arial" w:cs="Arial"/>
          <w:b/>
          <w:sz w:val="24"/>
          <w:szCs w:val="24"/>
          <w:lang w:eastAsia="en-ZA"/>
        </w:rPr>
        <w:tab/>
        <w:t>30 June 2020</w:t>
      </w:r>
    </w:p>
    <w:p w:rsidR="00E43BC6" w:rsidRPr="00E43BC6" w:rsidRDefault="00E43BC6" w:rsidP="00E43BC6">
      <w:pPr>
        <w:spacing w:after="0" w:line="360" w:lineRule="auto"/>
        <w:rPr>
          <w:rFonts w:ascii="Arial" w:eastAsiaTheme="minorEastAsia" w:hAnsi="Arial" w:cs="Arial"/>
          <w:sz w:val="24"/>
          <w:szCs w:val="24"/>
          <w:lang w:eastAsia="en-ZA"/>
        </w:rPr>
      </w:pPr>
    </w:p>
    <w:p w:rsidR="00830ECF" w:rsidRPr="00A22735" w:rsidRDefault="003B11EE" w:rsidP="00B53500">
      <w:pPr>
        <w:pStyle w:val="NormalWeb"/>
        <w:shd w:val="clear" w:color="auto" w:fill="FFFFFF"/>
        <w:spacing w:before="0" w:beforeAutospacing="0" w:after="150" w:afterAutospacing="0" w:line="360" w:lineRule="auto"/>
        <w:jc w:val="both"/>
        <w:rPr>
          <w:rFonts w:ascii="Arial" w:hAnsi="Arial" w:cs="Arial"/>
        </w:rPr>
      </w:pPr>
      <w:r>
        <w:rPr>
          <w:rFonts w:ascii="Arial" w:eastAsiaTheme="minorEastAsia" w:hAnsi="Arial" w:cs="Arial"/>
          <w:b/>
        </w:rPr>
        <w:lastRenderedPageBreak/>
        <w:t>Flynote</w:t>
      </w:r>
      <w:r w:rsidRPr="00A22735">
        <w:rPr>
          <w:rFonts w:ascii="Arial" w:eastAsiaTheme="minorEastAsia" w:hAnsi="Arial" w:cs="Arial"/>
          <w:b/>
        </w:rPr>
        <w:t>:</w:t>
      </w:r>
      <w:r w:rsidR="004F23AF">
        <w:rPr>
          <w:rFonts w:ascii="Arial" w:hAnsi="Arial" w:cs="Arial"/>
        </w:rPr>
        <w:tab/>
      </w:r>
      <w:r w:rsidR="000B01C4" w:rsidRPr="000B01C4">
        <w:rPr>
          <w:rFonts w:ascii="Arial" w:hAnsi="Arial" w:cs="Arial"/>
        </w:rPr>
        <w:t>Practice – Applications – Stay of Proceedings – An application for stay of civil proceedings – The High Court has inherent jurisdiction to stay civil proceedings pending the outcome of criminal proceedings – Requirements restated - Exceptional circumstances must be present for the Court to grant such an order – Prejudice to the opposing party is a consideration</w:t>
      </w:r>
    </w:p>
    <w:p w:rsidR="008863A5" w:rsidRPr="00A22735" w:rsidRDefault="008863A5" w:rsidP="00B53500">
      <w:pPr>
        <w:spacing w:after="0" w:line="360" w:lineRule="auto"/>
        <w:jc w:val="both"/>
        <w:rPr>
          <w:rFonts w:ascii="Arial" w:eastAsiaTheme="minorEastAsia" w:hAnsi="Arial" w:cs="Arial"/>
          <w:b/>
          <w:sz w:val="24"/>
          <w:szCs w:val="24"/>
          <w:lang w:eastAsia="en-ZA"/>
        </w:rPr>
      </w:pPr>
    </w:p>
    <w:p w:rsidR="000B01C4" w:rsidRPr="000B01C4" w:rsidRDefault="004F23AF"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Summary:</w:t>
      </w:r>
      <w:r>
        <w:rPr>
          <w:rFonts w:ascii="Arial" w:eastAsiaTheme="minorEastAsia" w:hAnsi="Arial" w:cs="Arial"/>
          <w:b/>
          <w:sz w:val="24"/>
          <w:szCs w:val="24"/>
          <w:lang w:eastAsia="en-ZA"/>
        </w:rPr>
        <w:tab/>
      </w:r>
      <w:r w:rsidR="000B01C4" w:rsidRPr="000B01C4">
        <w:rPr>
          <w:rFonts w:ascii="Arial" w:eastAsiaTheme="minorEastAsia" w:hAnsi="Arial" w:cs="Arial"/>
          <w:sz w:val="24"/>
          <w:szCs w:val="24"/>
          <w:lang w:eastAsia="en-ZA"/>
        </w:rPr>
        <w:t>I have before me an application for stay of proceedings. The applicant sought an order for staying the civil litigation issued under case number HC-NLD-CIV-ACT-DEL-2017/00095 pending the finalization of the criminal proceedings currently pending before the Oshakati Magistrate’s Court under case number OSH-SCR-2119/2018.Some of the respondents are defendants in the civil action pending before this court.</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ORDER</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0B01C4" w:rsidRDefault="000B01C4" w:rsidP="00E43BC6">
      <w:pPr>
        <w:spacing w:after="0" w:line="360" w:lineRule="auto"/>
        <w:jc w:val="both"/>
        <w:rPr>
          <w:rFonts w:ascii="Arial" w:hAnsi="Arial" w:cs="Arial"/>
          <w:sz w:val="24"/>
          <w:szCs w:val="24"/>
          <w:lang w:val="en-US"/>
        </w:rPr>
      </w:pPr>
    </w:p>
    <w:p w:rsidR="000B01C4" w:rsidRDefault="00F01015" w:rsidP="00F01015">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 xml:space="preserve">The point </w:t>
      </w:r>
      <w:r w:rsidRPr="00D66BD4">
        <w:rPr>
          <w:rFonts w:ascii="Arial" w:hAnsi="Arial" w:cs="Arial"/>
          <w:i/>
          <w:sz w:val="24"/>
          <w:szCs w:val="24"/>
          <w:lang w:val="en-US"/>
        </w:rPr>
        <w:t>in limine</w:t>
      </w:r>
      <w:r>
        <w:rPr>
          <w:rFonts w:ascii="Arial" w:hAnsi="Arial" w:cs="Arial"/>
          <w:sz w:val="24"/>
          <w:szCs w:val="24"/>
          <w:lang w:val="en-US"/>
        </w:rPr>
        <w:t xml:space="preserve"> is dismissed;</w:t>
      </w:r>
    </w:p>
    <w:p w:rsidR="00F01015" w:rsidRDefault="00F01015" w:rsidP="00F01015">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Application to stay civil proceedings has been granted, pending the finalization of the criminal proceedings;</w:t>
      </w:r>
    </w:p>
    <w:p w:rsidR="00F01015" w:rsidRDefault="00F01015" w:rsidP="00F01015">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Costs to be costs in the cause;</w:t>
      </w:r>
    </w:p>
    <w:p w:rsidR="00F01015" w:rsidRDefault="00F01015" w:rsidP="00F01015">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Reasons to be released 30 June 2020;</w:t>
      </w:r>
    </w:p>
    <w:p w:rsidR="000B01C4" w:rsidRPr="00F01015" w:rsidRDefault="00F01015" w:rsidP="00E43BC6">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The matter is removed from the roll.</w:t>
      </w:r>
    </w:p>
    <w:p w:rsidR="00E43BC6" w:rsidRPr="00E43BC6" w:rsidRDefault="00E43BC6" w:rsidP="00E43BC6">
      <w:pPr>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JUDGMENT</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E43BC6" w:rsidRPr="00E43BC6" w:rsidRDefault="001C32FB" w:rsidP="00E43BC6">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1C32FB">
        <w:rPr>
          <w:rFonts w:ascii="Arial" w:eastAsiaTheme="minorEastAsia" w:hAnsi="Arial" w:cs="Arial"/>
          <w:sz w:val="24"/>
          <w:szCs w:val="24"/>
          <w:lang w:eastAsia="en-ZA"/>
        </w:rPr>
        <w:t xml:space="preserve">DIERGAARDT </w:t>
      </w:r>
      <w:r w:rsidR="000C4740">
        <w:rPr>
          <w:rFonts w:ascii="Arial" w:eastAsiaTheme="minorEastAsia" w:hAnsi="Arial" w:cs="Arial"/>
          <w:sz w:val="24"/>
          <w:szCs w:val="24"/>
          <w:lang w:eastAsia="en-ZA"/>
        </w:rPr>
        <w:t>A</w:t>
      </w:r>
      <w:r w:rsidRPr="001C32FB">
        <w:rPr>
          <w:rFonts w:ascii="Arial" w:eastAsiaTheme="minorEastAsia" w:hAnsi="Arial" w:cs="Arial"/>
          <w:sz w:val="24"/>
          <w:szCs w:val="24"/>
          <w:lang w:eastAsia="en-ZA"/>
        </w:rPr>
        <w:t>J</w:t>
      </w:r>
      <w:r w:rsidR="00E43BC6" w:rsidRPr="00E43BC6">
        <w:rPr>
          <w:rFonts w:ascii="Arial" w:eastAsiaTheme="minorEastAsia" w:hAnsi="Arial" w:cs="Arial"/>
          <w:sz w:val="24"/>
          <w:szCs w:val="24"/>
          <w:lang w:eastAsia="en-ZA"/>
        </w:rPr>
        <w:t>:</w:t>
      </w:r>
    </w:p>
    <w:p w:rsidR="00EC29F3" w:rsidRDefault="00EC29F3" w:rsidP="000B01C4">
      <w:pPr>
        <w:spacing w:after="0" w:line="360" w:lineRule="auto"/>
        <w:jc w:val="both"/>
        <w:rPr>
          <w:rFonts w:ascii="Arial" w:eastAsiaTheme="minorEastAsia" w:hAnsi="Arial" w:cs="Arial"/>
          <w:sz w:val="24"/>
          <w:szCs w:val="24"/>
          <w:lang w:eastAsia="en-ZA"/>
        </w:rPr>
      </w:pPr>
    </w:p>
    <w:p w:rsidR="00EC29F3" w:rsidRDefault="00F01015" w:rsidP="000B01C4">
      <w:pPr>
        <w:spacing w:after="0" w:line="360" w:lineRule="auto"/>
        <w:jc w:val="both"/>
        <w:rPr>
          <w:rFonts w:ascii="Arial" w:eastAsiaTheme="minorEastAsia" w:hAnsi="Arial" w:cs="Arial"/>
          <w:i/>
          <w:sz w:val="24"/>
          <w:szCs w:val="24"/>
          <w:lang w:eastAsia="en-ZA"/>
        </w:rPr>
      </w:pPr>
      <w:r>
        <w:rPr>
          <w:rFonts w:ascii="Arial" w:eastAsiaTheme="minorEastAsia" w:hAnsi="Arial" w:cs="Arial"/>
          <w:i/>
          <w:sz w:val="24"/>
          <w:szCs w:val="24"/>
          <w:lang w:eastAsia="en-ZA"/>
        </w:rPr>
        <w:t>Introduction</w:t>
      </w:r>
    </w:p>
    <w:p w:rsidR="00F01015" w:rsidRPr="00EC29F3" w:rsidRDefault="00F01015" w:rsidP="000B01C4">
      <w:pPr>
        <w:spacing w:after="0" w:line="360" w:lineRule="auto"/>
        <w:jc w:val="both"/>
        <w:rPr>
          <w:rFonts w:ascii="Arial" w:eastAsiaTheme="minorEastAsia" w:hAnsi="Arial" w:cs="Arial"/>
          <w:i/>
          <w:sz w:val="24"/>
          <w:szCs w:val="24"/>
          <w:lang w:eastAsia="en-ZA"/>
        </w:rPr>
      </w:pPr>
    </w:p>
    <w:p w:rsidR="000B01C4" w:rsidRPr="000B01C4" w:rsidRDefault="00EC29F3"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lastRenderedPageBreak/>
        <w:t>[1]</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The matter emanates f</w:t>
      </w:r>
      <w:r w:rsidR="00F01015">
        <w:rPr>
          <w:rFonts w:ascii="Arial" w:eastAsiaTheme="minorEastAsia" w:hAnsi="Arial" w:cs="Arial"/>
          <w:sz w:val="24"/>
          <w:szCs w:val="24"/>
          <w:lang w:eastAsia="en-ZA"/>
        </w:rPr>
        <w:t xml:space="preserve">rom an </w:t>
      </w:r>
      <w:r w:rsidR="004F23AF">
        <w:rPr>
          <w:rFonts w:ascii="Arial" w:eastAsiaTheme="minorEastAsia" w:hAnsi="Arial" w:cs="Arial"/>
          <w:sz w:val="24"/>
          <w:szCs w:val="24"/>
          <w:lang w:eastAsia="en-ZA"/>
        </w:rPr>
        <w:t xml:space="preserve">incident that occurred between </w:t>
      </w:r>
      <w:r w:rsidR="00F01015">
        <w:rPr>
          <w:rFonts w:ascii="Arial" w:eastAsiaTheme="minorEastAsia" w:hAnsi="Arial" w:cs="Arial"/>
          <w:sz w:val="24"/>
          <w:szCs w:val="24"/>
          <w:lang w:eastAsia="en-ZA"/>
        </w:rPr>
        <w:t>9 September 2016 to 12 September 2016.</w:t>
      </w:r>
      <w:r w:rsidR="000B01C4" w:rsidRPr="000B01C4">
        <w:rPr>
          <w:rFonts w:ascii="Arial" w:eastAsiaTheme="minorEastAsia" w:hAnsi="Arial" w:cs="Arial"/>
          <w:sz w:val="24"/>
          <w:szCs w:val="24"/>
          <w:lang w:eastAsia="en-ZA"/>
        </w:rPr>
        <w:t xml:space="preserve"> </w:t>
      </w:r>
      <w:r w:rsidR="00F01015">
        <w:rPr>
          <w:rFonts w:ascii="Arial" w:eastAsiaTheme="minorEastAsia" w:hAnsi="Arial" w:cs="Arial"/>
          <w:sz w:val="24"/>
          <w:szCs w:val="24"/>
          <w:lang w:eastAsia="en-ZA"/>
        </w:rPr>
        <w:t>Applicant (plaintiff in the main action)</w:t>
      </w:r>
      <w:r w:rsidR="000B01C4" w:rsidRPr="000B01C4">
        <w:rPr>
          <w:rFonts w:ascii="Arial" w:eastAsiaTheme="minorEastAsia" w:hAnsi="Arial" w:cs="Arial"/>
          <w:sz w:val="24"/>
          <w:szCs w:val="24"/>
          <w:lang w:eastAsia="en-ZA"/>
        </w:rPr>
        <w:t xml:space="preserve"> allege</w:t>
      </w:r>
      <w:r w:rsidR="00F01015">
        <w:rPr>
          <w:rFonts w:ascii="Arial" w:eastAsiaTheme="minorEastAsia" w:hAnsi="Arial" w:cs="Arial"/>
          <w:sz w:val="24"/>
          <w:szCs w:val="24"/>
          <w:lang w:eastAsia="en-ZA"/>
        </w:rPr>
        <w:t>s</w:t>
      </w:r>
      <w:r w:rsidR="000B01C4" w:rsidRPr="000B01C4">
        <w:rPr>
          <w:rFonts w:ascii="Arial" w:eastAsiaTheme="minorEastAsia" w:hAnsi="Arial" w:cs="Arial"/>
          <w:sz w:val="24"/>
          <w:szCs w:val="24"/>
          <w:lang w:eastAsia="en-ZA"/>
        </w:rPr>
        <w:t xml:space="preserve"> that she was wrongfully arrested</w:t>
      </w:r>
      <w:r w:rsidR="00F01015">
        <w:rPr>
          <w:rFonts w:ascii="Arial" w:eastAsiaTheme="minorEastAsia" w:hAnsi="Arial" w:cs="Arial"/>
          <w:sz w:val="24"/>
          <w:szCs w:val="24"/>
          <w:lang w:eastAsia="en-ZA"/>
        </w:rPr>
        <w:t xml:space="preserve"> and assaulted by the respondents (first to fourth defendants in the main action)</w:t>
      </w:r>
      <w:r w:rsidR="000B01C4" w:rsidRPr="000B01C4">
        <w:rPr>
          <w:rFonts w:ascii="Arial" w:eastAsiaTheme="minorEastAsia" w:hAnsi="Arial" w:cs="Arial"/>
          <w:sz w:val="24"/>
          <w:szCs w:val="24"/>
          <w:lang w:eastAsia="en-ZA"/>
        </w:rPr>
        <w:t xml:space="preserve"> </w:t>
      </w:r>
      <w:r w:rsidR="006B68B7">
        <w:rPr>
          <w:rFonts w:ascii="Arial" w:eastAsiaTheme="minorEastAsia" w:hAnsi="Arial" w:cs="Arial"/>
          <w:sz w:val="24"/>
          <w:szCs w:val="24"/>
          <w:lang w:eastAsia="en-ZA"/>
        </w:rPr>
        <w:t>and thus instituted civil action aga</w:t>
      </w:r>
      <w:r w:rsidR="000B01C4" w:rsidRPr="000B01C4">
        <w:rPr>
          <w:rFonts w:ascii="Arial" w:eastAsiaTheme="minorEastAsia" w:hAnsi="Arial" w:cs="Arial"/>
          <w:sz w:val="24"/>
          <w:szCs w:val="24"/>
          <w:lang w:eastAsia="en-ZA"/>
        </w:rPr>
        <w:t>in</w:t>
      </w:r>
      <w:r w:rsidR="00F01015">
        <w:rPr>
          <w:rFonts w:ascii="Arial" w:eastAsiaTheme="minorEastAsia" w:hAnsi="Arial" w:cs="Arial"/>
          <w:sz w:val="24"/>
          <w:szCs w:val="24"/>
          <w:lang w:eastAsia="en-ZA"/>
        </w:rPr>
        <w:t xml:space="preserve">st the respondents. The applicant </w:t>
      </w:r>
      <w:r w:rsidR="000B01C4" w:rsidRPr="000B01C4">
        <w:rPr>
          <w:rFonts w:ascii="Arial" w:eastAsiaTheme="minorEastAsia" w:hAnsi="Arial" w:cs="Arial"/>
          <w:sz w:val="24"/>
          <w:szCs w:val="24"/>
          <w:lang w:eastAsia="en-ZA"/>
        </w:rPr>
        <w:t>was criminally charged with s</w:t>
      </w:r>
      <w:r w:rsidR="00F01015">
        <w:rPr>
          <w:rFonts w:ascii="Arial" w:eastAsiaTheme="minorEastAsia" w:hAnsi="Arial" w:cs="Arial"/>
          <w:sz w:val="24"/>
          <w:szCs w:val="24"/>
          <w:lang w:eastAsia="en-ZA"/>
        </w:rPr>
        <w:t>ix counts in the Oshakati Magistrate’s court</w:t>
      </w:r>
      <w:r w:rsidR="000B01C4" w:rsidRPr="000B01C4">
        <w:rPr>
          <w:rFonts w:ascii="Arial" w:eastAsiaTheme="minorEastAsia" w:hAnsi="Arial" w:cs="Arial"/>
          <w:sz w:val="24"/>
          <w:szCs w:val="24"/>
          <w:lang w:eastAsia="en-ZA"/>
        </w:rPr>
        <w:t xml:space="preserve">. </w:t>
      </w:r>
    </w:p>
    <w:p w:rsidR="00FA2CEC" w:rsidRDefault="00FA2CEC" w:rsidP="000B01C4">
      <w:pPr>
        <w:spacing w:after="0" w:line="360" w:lineRule="auto"/>
        <w:jc w:val="both"/>
        <w:rPr>
          <w:rFonts w:ascii="Arial" w:eastAsiaTheme="minorEastAsia" w:hAnsi="Arial" w:cs="Arial"/>
          <w:sz w:val="24"/>
          <w:szCs w:val="24"/>
          <w:lang w:eastAsia="en-ZA"/>
        </w:rPr>
      </w:pPr>
    </w:p>
    <w:p w:rsidR="000B01C4" w:rsidRPr="000B01C4" w:rsidRDefault="00FA2CEC"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w:t>
      </w:r>
      <w:r>
        <w:rPr>
          <w:rFonts w:ascii="Arial" w:eastAsiaTheme="minorEastAsia" w:hAnsi="Arial" w:cs="Arial"/>
          <w:sz w:val="24"/>
          <w:szCs w:val="24"/>
          <w:lang w:eastAsia="en-ZA"/>
        </w:rPr>
        <w:tab/>
      </w:r>
      <w:r w:rsidR="006551BE">
        <w:rPr>
          <w:rFonts w:ascii="Arial" w:eastAsiaTheme="minorEastAsia" w:hAnsi="Arial" w:cs="Arial"/>
          <w:sz w:val="24"/>
          <w:szCs w:val="24"/>
          <w:lang w:eastAsia="en-ZA"/>
        </w:rPr>
        <w:t>On or about 31 March 2017, s</w:t>
      </w:r>
      <w:r w:rsidR="000B01C4" w:rsidRPr="000B01C4">
        <w:rPr>
          <w:rFonts w:ascii="Arial" w:eastAsiaTheme="minorEastAsia" w:hAnsi="Arial" w:cs="Arial"/>
          <w:sz w:val="24"/>
          <w:szCs w:val="24"/>
          <w:lang w:eastAsia="en-ZA"/>
        </w:rPr>
        <w:t>ummons was issued out of th</w:t>
      </w:r>
      <w:r w:rsidR="006551BE">
        <w:rPr>
          <w:rFonts w:ascii="Arial" w:eastAsiaTheme="minorEastAsia" w:hAnsi="Arial" w:cs="Arial"/>
          <w:sz w:val="24"/>
          <w:szCs w:val="24"/>
          <w:lang w:eastAsia="en-ZA"/>
        </w:rPr>
        <w:t>is Honourable Court.  The respondents</w:t>
      </w:r>
      <w:r w:rsidR="000B01C4" w:rsidRPr="000B01C4">
        <w:rPr>
          <w:rFonts w:ascii="Arial" w:eastAsiaTheme="minorEastAsia" w:hAnsi="Arial" w:cs="Arial"/>
          <w:sz w:val="24"/>
          <w:szCs w:val="24"/>
          <w:lang w:eastAsia="en-ZA"/>
        </w:rPr>
        <w:t xml:space="preserve"> duly filed a notice to defend and the matter proceeded</w:t>
      </w:r>
      <w:r w:rsidR="006551BE">
        <w:rPr>
          <w:rFonts w:ascii="Arial" w:eastAsiaTheme="minorEastAsia" w:hAnsi="Arial" w:cs="Arial"/>
          <w:sz w:val="24"/>
          <w:szCs w:val="24"/>
          <w:lang w:eastAsia="en-ZA"/>
        </w:rPr>
        <w:t xml:space="preserve"> accordingly.  Both parties</w:t>
      </w:r>
      <w:r w:rsidR="000B01C4" w:rsidRPr="000B01C4">
        <w:rPr>
          <w:rFonts w:ascii="Arial" w:eastAsiaTheme="minorEastAsia" w:hAnsi="Arial" w:cs="Arial"/>
          <w:sz w:val="24"/>
          <w:szCs w:val="24"/>
          <w:lang w:eastAsia="en-ZA"/>
        </w:rPr>
        <w:t xml:space="preserve"> filed their respective pleadings, discovery, further discovery and witness statements. During the c</w:t>
      </w:r>
      <w:r w:rsidR="006551BE">
        <w:rPr>
          <w:rFonts w:ascii="Arial" w:eastAsiaTheme="minorEastAsia" w:hAnsi="Arial" w:cs="Arial"/>
          <w:sz w:val="24"/>
          <w:szCs w:val="24"/>
          <w:lang w:eastAsia="en-ZA"/>
        </w:rPr>
        <w:t>ourse of the civil litigation, applicant</w:t>
      </w:r>
      <w:r w:rsidR="000B01C4" w:rsidRPr="000B01C4">
        <w:rPr>
          <w:rFonts w:ascii="Arial" w:eastAsiaTheme="minorEastAsia" w:hAnsi="Arial" w:cs="Arial"/>
          <w:sz w:val="24"/>
          <w:szCs w:val="24"/>
          <w:lang w:eastAsia="en-ZA"/>
        </w:rPr>
        <w:t xml:space="preserve"> received a criminal summons informing her that the prosecutor general has decided to prosecute Plaintiff for various alleged criminal offences, relating </w:t>
      </w:r>
      <w:r w:rsidR="00DD1B77">
        <w:rPr>
          <w:rFonts w:ascii="Arial" w:eastAsiaTheme="minorEastAsia" w:hAnsi="Arial" w:cs="Arial"/>
          <w:sz w:val="24"/>
          <w:szCs w:val="24"/>
          <w:lang w:eastAsia="en-ZA"/>
        </w:rPr>
        <w:t>to the current civil litigation</w:t>
      </w:r>
      <w:r w:rsidR="000B01C4" w:rsidRPr="000B01C4">
        <w:rPr>
          <w:rFonts w:ascii="Arial" w:eastAsiaTheme="minorEastAsia" w:hAnsi="Arial" w:cs="Arial"/>
          <w:sz w:val="24"/>
          <w:szCs w:val="24"/>
          <w:lang w:eastAsia="en-ZA"/>
        </w:rPr>
        <w:t>.</w:t>
      </w:r>
      <w:r w:rsidR="00DD1B77">
        <w:rPr>
          <w:rFonts w:ascii="Arial" w:eastAsiaTheme="minorEastAsia" w:hAnsi="Arial" w:cs="Arial"/>
          <w:sz w:val="24"/>
          <w:szCs w:val="24"/>
          <w:lang w:eastAsia="en-ZA"/>
        </w:rPr>
        <w:t xml:space="preserve"> On the 15</w:t>
      </w:r>
      <w:r w:rsidR="00DD1B77" w:rsidRPr="00DD1B77">
        <w:rPr>
          <w:rFonts w:ascii="Arial" w:eastAsiaTheme="minorEastAsia" w:hAnsi="Arial" w:cs="Arial"/>
          <w:sz w:val="24"/>
          <w:szCs w:val="24"/>
          <w:vertAlign w:val="superscript"/>
          <w:lang w:eastAsia="en-ZA"/>
        </w:rPr>
        <w:t>th</w:t>
      </w:r>
      <w:r w:rsidR="00DD1B77">
        <w:rPr>
          <w:rFonts w:ascii="Arial" w:eastAsiaTheme="minorEastAsia" w:hAnsi="Arial" w:cs="Arial"/>
          <w:sz w:val="24"/>
          <w:szCs w:val="24"/>
          <w:lang w:eastAsia="en-ZA"/>
        </w:rPr>
        <w:t xml:space="preserve"> </w:t>
      </w:r>
      <w:r w:rsidR="00DD1B77" w:rsidRPr="000B01C4">
        <w:rPr>
          <w:rFonts w:ascii="Arial" w:eastAsiaTheme="minorEastAsia" w:hAnsi="Arial" w:cs="Arial"/>
          <w:sz w:val="24"/>
          <w:szCs w:val="24"/>
          <w:lang w:eastAsia="en-ZA"/>
        </w:rPr>
        <w:t>of</w:t>
      </w:r>
      <w:r w:rsidR="00DD1B77">
        <w:rPr>
          <w:rFonts w:ascii="Arial" w:eastAsiaTheme="minorEastAsia" w:hAnsi="Arial" w:cs="Arial"/>
          <w:sz w:val="24"/>
          <w:szCs w:val="24"/>
          <w:lang w:eastAsia="en-ZA"/>
        </w:rPr>
        <w:t xml:space="preserve"> March 2019, applicant </w:t>
      </w:r>
      <w:r w:rsidR="000B01C4" w:rsidRPr="000B01C4">
        <w:rPr>
          <w:rFonts w:ascii="Arial" w:eastAsiaTheme="minorEastAsia" w:hAnsi="Arial" w:cs="Arial"/>
          <w:sz w:val="24"/>
          <w:szCs w:val="24"/>
          <w:lang w:eastAsia="en-ZA"/>
        </w:rPr>
        <w:t>instituted the present interlocutory application to stay the civil proceedings pending the finalization of the criminal matter against her, institute</w:t>
      </w:r>
      <w:r w:rsidR="00DD1B77">
        <w:rPr>
          <w:rFonts w:ascii="Arial" w:eastAsiaTheme="minorEastAsia" w:hAnsi="Arial" w:cs="Arial"/>
          <w:sz w:val="24"/>
          <w:szCs w:val="24"/>
          <w:lang w:eastAsia="en-ZA"/>
        </w:rPr>
        <w:t>d in the Oshakati Magistrate’s c</w:t>
      </w:r>
      <w:r w:rsidR="000B01C4" w:rsidRPr="000B01C4">
        <w:rPr>
          <w:rFonts w:ascii="Arial" w:eastAsiaTheme="minorEastAsia" w:hAnsi="Arial" w:cs="Arial"/>
          <w:sz w:val="24"/>
          <w:szCs w:val="24"/>
          <w:lang w:eastAsia="en-ZA"/>
        </w:rPr>
        <w:t>ourt. The application is opposed by the respondents.</w:t>
      </w:r>
      <w:r w:rsidR="00DD1B77">
        <w:rPr>
          <w:rFonts w:ascii="Arial" w:eastAsiaTheme="minorEastAsia" w:hAnsi="Arial" w:cs="Arial"/>
          <w:sz w:val="24"/>
          <w:szCs w:val="24"/>
          <w:lang w:eastAsia="en-ZA"/>
        </w:rPr>
        <w:t xml:space="preserve"> I delivered the ruling on the 26</w:t>
      </w:r>
      <w:r w:rsidR="00DD1B77" w:rsidRPr="00DD1B77">
        <w:rPr>
          <w:rFonts w:ascii="Arial" w:eastAsiaTheme="minorEastAsia" w:hAnsi="Arial" w:cs="Arial"/>
          <w:sz w:val="24"/>
          <w:szCs w:val="24"/>
          <w:vertAlign w:val="superscript"/>
          <w:lang w:eastAsia="en-ZA"/>
        </w:rPr>
        <w:t>th</w:t>
      </w:r>
      <w:r w:rsidR="00DD1B77">
        <w:rPr>
          <w:rFonts w:ascii="Arial" w:eastAsiaTheme="minorEastAsia" w:hAnsi="Arial" w:cs="Arial"/>
          <w:sz w:val="24"/>
          <w:szCs w:val="24"/>
          <w:lang w:eastAsia="en-ZA"/>
        </w:rPr>
        <w:t xml:space="preserve"> of June 2020, what follows herein are the reasons.</w:t>
      </w:r>
    </w:p>
    <w:p w:rsidR="00A95762" w:rsidRDefault="00A95762" w:rsidP="000B01C4">
      <w:pPr>
        <w:spacing w:after="0" w:line="360" w:lineRule="auto"/>
        <w:jc w:val="both"/>
        <w:rPr>
          <w:rFonts w:ascii="Arial" w:eastAsiaTheme="minorEastAsia" w:hAnsi="Arial" w:cs="Arial"/>
          <w:sz w:val="24"/>
          <w:szCs w:val="24"/>
          <w:lang w:eastAsia="en-ZA"/>
        </w:rPr>
      </w:pPr>
    </w:p>
    <w:p w:rsidR="000B01C4" w:rsidRDefault="00DD1B77" w:rsidP="000B01C4">
      <w:pPr>
        <w:spacing w:after="0" w:line="360" w:lineRule="auto"/>
        <w:jc w:val="both"/>
        <w:rPr>
          <w:rFonts w:ascii="Arial" w:eastAsiaTheme="minorEastAsia" w:hAnsi="Arial" w:cs="Arial"/>
          <w:i/>
          <w:sz w:val="24"/>
          <w:szCs w:val="24"/>
          <w:lang w:eastAsia="en-ZA"/>
        </w:rPr>
      </w:pPr>
      <w:r>
        <w:rPr>
          <w:rFonts w:ascii="Arial" w:eastAsiaTheme="minorEastAsia" w:hAnsi="Arial" w:cs="Arial"/>
          <w:i/>
          <w:sz w:val="24"/>
          <w:szCs w:val="24"/>
          <w:lang w:eastAsia="en-ZA"/>
        </w:rPr>
        <w:t>Ad the point</w:t>
      </w:r>
      <w:r w:rsidR="00D66BD4">
        <w:rPr>
          <w:rFonts w:ascii="Arial" w:eastAsiaTheme="minorEastAsia" w:hAnsi="Arial" w:cs="Arial"/>
          <w:i/>
          <w:sz w:val="24"/>
          <w:szCs w:val="24"/>
          <w:lang w:eastAsia="en-ZA"/>
        </w:rPr>
        <w:t xml:space="preserve"> in l</w:t>
      </w:r>
      <w:r w:rsidR="000B01C4" w:rsidRPr="00A95762">
        <w:rPr>
          <w:rFonts w:ascii="Arial" w:eastAsiaTheme="minorEastAsia" w:hAnsi="Arial" w:cs="Arial"/>
          <w:i/>
          <w:sz w:val="24"/>
          <w:szCs w:val="24"/>
          <w:lang w:eastAsia="en-ZA"/>
        </w:rPr>
        <w:t>im</w:t>
      </w:r>
      <w:r w:rsidR="00D66BD4">
        <w:rPr>
          <w:rFonts w:ascii="Arial" w:eastAsiaTheme="minorEastAsia" w:hAnsi="Arial" w:cs="Arial"/>
          <w:i/>
          <w:sz w:val="24"/>
          <w:szCs w:val="24"/>
          <w:lang w:eastAsia="en-ZA"/>
        </w:rPr>
        <w:t>in</w:t>
      </w:r>
      <w:r w:rsidR="000B01C4" w:rsidRPr="00A95762">
        <w:rPr>
          <w:rFonts w:ascii="Arial" w:eastAsiaTheme="minorEastAsia" w:hAnsi="Arial" w:cs="Arial"/>
          <w:i/>
          <w:sz w:val="24"/>
          <w:szCs w:val="24"/>
          <w:lang w:eastAsia="en-ZA"/>
        </w:rPr>
        <w:t>e</w:t>
      </w:r>
    </w:p>
    <w:p w:rsidR="00DD1B77" w:rsidRDefault="00DD1B77" w:rsidP="000B01C4">
      <w:pPr>
        <w:spacing w:after="0" w:line="360" w:lineRule="auto"/>
        <w:jc w:val="both"/>
        <w:rPr>
          <w:rFonts w:ascii="Arial" w:eastAsiaTheme="minorEastAsia" w:hAnsi="Arial" w:cs="Arial"/>
          <w:i/>
          <w:sz w:val="24"/>
          <w:szCs w:val="24"/>
          <w:lang w:eastAsia="en-ZA"/>
        </w:rPr>
      </w:pPr>
    </w:p>
    <w:p w:rsidR="000B01C4" w:rsidRPr="000B01C4" w:rsidRDefault="00A95762"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[3]</w:t>
      </w:r>
      <w:r>
        <w:rPr>
          <w:rFonts w:ascii="Arial" w:eastAsiaTheme="minorEastAsia" w:hAnsi="Arial" w:cs="Arial"/>
          <w:sz w:val="24"/>
          <w:szCs w:val="24"/>
          <w:lang w:eastAsia="en-ZA"/>
        </w:rPr>
        <w:tab/>
      </w:r>
      <w:r w:rsidR="006B68B7" w:rsidRPr="00DD1B77">
        <w:rPr>
          <w:rFonts w:ascii="Arial" w:hAnsi="Arial" w:cs="Arial"/>
          <w:sz w:val="24"/>
          <w:szCs w:val="24"/>
          <w:shd w:val="clear" w:color="auto" w:fill="FFFFFF"/>
        </w:rPr>
        <w:t>At the resumption of the hearing the</w:t>
      </w:r>
      <w:r w:rsidR="000B01C4" w:rsidRPr="00DD1B77">
        <w:rPr>
          <w:rFonts w:ascii="Arial" w:eastAsiaTheme="minorEastAsia" w:hAnsi="Arial" w:cs="Arial"/>
          <w:sz w:val="24"/>
          <w:szCs w:val="24"/>
          <w:lang w:eastAsia="en-ZA"/>
        </w:rPr>
        <w:t xml:space="preserve"> </w:t>
      </w:r>
      <w:r w:rsidR="00DD1B77">
        <w:rPr>
          <w:rFonts w:ascii="Arial" w:eastAsiaTheme="minorEastAsia" w:hAnsi="Arial" w:cs="Arial"/>
          <w:sz w:val="24"/>
          <w:szCs w:val="24"/>
          <w:lang w:eastAsia="en-ZA"/>
        </w:rPr>
        <w:t>applicant</w:t>
      </w:r>
      <w:r w:rsidR="000B01C4" w:rsidRPr="000B01C4">
        <w:rPr>
          <w:rFonts w:ascii="Arial" w:eastAsiaTheme="minorEastAsia" w:hAnsi="Arial" w:cs="Arial"/>
          <w:sz w:val="24"/>
          <w:szCs w:val="24"/>
          <w:lang w:eastAsia="en-ZA"/>
        </w:rPr>
        <w:t xml:space="preserve"> raised a point in </w:t>
      </w:r>
      <w:r w:rsidR="000B01C4" w:rsidRPr="00C6035C">
        <w:rPr>
          <w:rFonts w:ascii="Arial" w:eastAsiaTheme="minorEastAsia" w:hAnsi="Arial" w:cs="Arial"/>
          <w:sz w:val="24"/>
          <w:szCs w:val="24"/>
          <w:lang w:eastAsia="en-ZA"/>
        </w:rPr>
        <w:t xml:space="preserve">limine </w:t>
      </w:r>
      <w:r w:rsidR="006B68B7" w:rsidRPr="000B01C4">
        <w:rPr>
          <w:rFonts w:ascii="Arial" w:eastAsiaTheme="minorEastAsia" w:hAnsi="Arial" w:cs="Arial"/>
          <w:sz w:val="24"/>
          <w:szCs w:val="24"/>
          <w:lang w:eastAsia="en-ZA"/>
        </w:rPr>
        <w:t xml:space="preserve">that </w:t>
      </w:r>
      <w:r w:rsidR="006B68B7">
        <w:rPr>
          <w:rFonts w:ascii="Arial" w:eastAsiaTheme="minorEastAsia" w:hAnsi="Arial" w:cs="Arial"/>
          <w:sz w:val="24"/>
          <w:szCs w:val="24"/>
          <w:lang w:eastAsia="en-ZA"/>
        </w:rPr>
        <w:t>the deponent in the opposing affidavit did not have the necessary power of attor</w:t>
      </w:r>
      <w:r w:rsidR="00D44CBC">
        <w:rPr>
          <w:rFonts w:ascii="Arial" w:eastAsiaTheme="minorEastAsia" w:hAnsi="Arial" w:cs="Arial"/>
          <w:sz w:val="24"/>
          <w:szCs w:val="24"/>
          <w:lang w:eastAsia="en-ZA"/>
        </w:rPr>
        <w:t xml:space="preserve">ney. Mr Greyling submitted that </w:t>
      </w:r>
      <w:r w:rsidR="000B01C4" w:rsidRPr="000B01C4">
        <w:rPr>
          <w:rFonts w:ascii="Arial" w:eastAsiaTheme="minorEastAsia" w:hAnsi="Arial" w:cs="Arial"/>
          <w:sz w:val="24"/>
          <w:szCs w:val="24"/>
          <w:lang w:eastAsia="en-ZA"/>
        </w:rPr>
        <w:t xml:space="preserve">the </w:t>
      </w:r>
      <w:r w:rsidR="006B68B7" w:rsidRPr="000B01C4">
        <w:rPr>
          <w:rFonts w:ascii="Arial" w:eastAsiaTheme="minorEastAsia" w:hAnsi="Arial" w:cs="Arial"/>
          <w:sz w:val="24"/>
          <w:szCs w:val="24"/>
          <w:lang w:eastAsia="en-ZA"/>
        </w:rPr>
        <w:t xml:space="preserve">opposing </w:t>
      </w:r>
      <w:r w:rsidR="00D44CBC">
        <w:rPr>
          <w:rFonts w:ascii="Arial" w:eastAsiaTheme="minorEastAsia" w:hAnsi="Arial" w:cs="Arial"/>
          <w:sz w:val="24"/>
          <w:szCs w:val="24"/>
          <w:lang w:eastAsia="en-ZA"/>
        </w:rPr>
        <w:t xml:space="preserve">affidavit </w:t>
      </w:r>
      <w:r w:rsidR="006B68B7" w:rsidRPr="000B01C4">
        <w:rPr>
          <w:rFonts w:ascii="Arial" w:eastAsiaTheme="minorEastAsia" w:hAnsi="Arial" w:cs="Arial"/>
          <w:sz w:val="24"/>
          <w:szCs w:val="24"/>
          <w:lang w:eastAsia="en-ZA"/>
        </w:rPr>
        <w:t>was</w:t>
      </w:r>
      <w:r w:rsidR="004F23AF">
        <w:rPr>
          <w:rFonts w:ascii="Arial" w:eastAsiaTheme="minorEastAsia" w:hAnsi="Arial" w:cs="Arial"/>
          <w:sz w:val="24"/>
          <w:szCs w:val="24"/>
          <w:lang w:eastAsia="en-ZA"/>
        </w:rPr>
        <w:t xml:space="preserve"> deposed to by</w:t>
      </w:r>
      <w:r w:rsidR="006B68B7" w:rsidRPr="000B01C4">
        <w:rPr>
          <w:rFonts w:ascii="Arial" w:eastAsiaTheme="minorEastAsia" w:hAnsi="Arial" w:cs="Arial"/>
          <w:sz w:val="24"/>
          <w:szCs w:val="24"/>
          <w:lang w:eastAsia="en-ZA"/>
        </w:rPr>
        <w:t xml:space="preserve"> Ephraim</w:t>
      </w:r>
      <w:r w:rsidR="000B01C4" w:rsidRPr="000B01C4">
        <w:rPr>
          <w:rFonts w:ascii="Arial" w:eastAsiaTheme="minorEastAsia" w:hAnsi="Arial" w:cs="Arial"/>
          <w:sz w:val="24"/>
          <w:szCs w:val="24"/>
          <w:lang w:eastAsia="en-ZA"/>
        </w:rPr>
        <w:t xml:space="preserve"> Angombe Shikongo (hereinafter referred to as the deponent). It appears further </w:t>
      </w:r>
      <w:r w:rsidR="000B01C4" w:rsidRPr="00C6035C">
        <w:rPr>
          <w:rFonts w:ascii="Arial" w:eastAsiaTheme="minorEastAsia" w:hAnsi="Arial" w:cs="Arial"/>
          <w:sz w:val="24"/>
          <w:szCs w:val="24"/>
          <w:lang w:eastAsia="en-ZA"/>
        </w:rPr>
        <w:t>ex facie</w:t>
      </w:r>
      <w:r w:rsidR="00D44CBC">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 xml:space="preserve">that the deponent is not a party to the present proceedings, nor does it appear from </w:t>
      </w:r>
      <w:r w:rsidR="00D44CBC">
        <w:rPr>
          <w:rFonts w:ascii="Arial" w:eastAsiaTheme="minorEastAsia" w:hAnsi="Arial" w:cs="Arial"/>
          <w:sz w:val="24"/>
          <w:szCs w:val="24"/>
          <w:lang w:eastAsia="en-ZA"/>
        </w:rPr>
        <w:t xml:space="preserve">the respondents’ </w:t>
      </w:r>
      <w:r w:rsidR="000B01C4" w:rsidRPr="000B01C4">
        <w:rPr>
          <w:rFonts w:ascii="Arial" w:eastAsiaTheme="minorEastAsia" w:hAnsi="Arial" w:cs="Arial"/>
          <w:sz w:val="24"/>
          <w:szCs w:val="24"/>
          <w:lang w:eastAsia="en-ZA"/>
        </w:rPr>
        <w:t>list of witnesses that he is a witness in the present proceedings. It is the</w:t>
      </w:r>
      <w:r w:rsidR="00D44CBC">
        <w:rPr>
          <w:rFonts w:ascii="Arial" w:eastAsiaTheme="minorEastAsia" w:hAnsi="Arial" w:cs="Arial"/>
          <w:sz w:val="24"/>
          <w:szCs w:val="24"/>
          <w:lang w:eastAsia="en-ZA"/>
        </w:rPr>
        <w:t xml:space="preserve"> applicant’</w:t>
      </w:r>
      <w:r w:rsidR="000B01C4" w:rsidRPr="000B01C4">
        <w:rPr>
          <w:rFonts w:ascii="Arial" w:eastAsiaTheme="minorEastAsia" w:hAnsi="Arial" w:cs="Arial"/>
          <w:sz w:val="24"/>
          <w:szCs w:val="24"/>
          <w:lang w:eastAsia="en-ZA"/>
        </w:rPr>
        <w:t>s contention that the deponent does not have the nec</w:t>
      </w:r>
      <w:r w:rsidR="00D44CBC">
        <w:rPr>
          <w:rFonts w:ascii="Arial" w:eastAsiaTheme="minorEastAsia" w:hAnsi="Arial" w:cs="Arial"/>
          <w:sz w:val="24"/>
          <w:szCs w:val="24"/>
          <w:lang w:eastAsia="en-ZA"/>
        </w:rPr>
        <w:t>essary authority to depose of the affidavit.</w:t>
      </w:r>
    </w:p>
    <w:p w:rsidR="004A2F86" w:rsidRDefault="004A2F86" w:rsidP="000B01C4">
      <w:pPr>
        <w:spacing w:after="0" w:line="360" w:lineRule="auto"/>
        <w:jc w:val="both"/>
        <w:rPr>
          <w:rFonts w:ascii="Arial" w:eastAsiaTheme="minorEastAsia" w:hAnsi="Arial" w:cs="Arial"/>
          <w:sz w:val="24"/>
          <w:szCs w:val="24"/>
          <w:lang w:eastAsia="en-ZA"/>
        </w:rPr>
      </w:pPr>
    </w:p>
    <w:p w:rsidR="000B01C4" w:rsidRDefault="004A2F86"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[4]</w:t>
      </w:r>
      <w:r>
        <w:rPr>
          <w:rFonts w:ascii="Arial" w:eastAsiaTheme="minorEastAsia" w:hAnsi="Arial" w:cs="Arial"/>
          <w:sz w:val="24"/>
          <w:szCs w:val="24"/>
          <w:lang w:eastAsia="en-ZA"/>
        </w:rPr>
        <w:tab/>
      </w:r>
      <w:r w:rsidR="00C6035C">
        <w:rPr>
          <w:rFonts w:ascii="Arial" w:eastAsiaTheme="minorEastAsia" w:hAnsi="Arial" w:cs="Arial"/>
          <w:sz w:val="24"/>
          <w:szCs w:val="24"/>
          <w:lang w:eastAsia="en-ZA"/>
        </w:rPr>
        <w:t>It is applicant’</w:t>
      </w:r>
      <w:r w:rsidR="000B01C4" w:rsidRPr="000B01C4">
        <w:rPr>
          <w:rFonts w:ascii="Arial" w:eastAsiaTheme="minorEastAsia" w:hAnsi="Arial" w:cs="Arial"/>
          <w:sz w:val="24"/>
          <w:szCs w:val="24"/>
          <w:lang w:eastAsia="en-ZA"/>
        </w:rPr>
        <w:t>s</w:t>
      </w:r>
      <w:r w:rsidR="006B68B7">
        <w:rPr>
          <w:rFonts w:ascii="Arial" w:eastAsiaTheme="minorEastAsia" w:hAnsi="Arial" w:cs="Arial"/>
          <w:sz w:val="24"/>
          <w:szCs w:val="24"/>
          <w:lang w:eastAsia="en-ZA"/>
        </w:rPr>
        <w:t xml:space="preserve"> further </w:t>
      </w:r>
      <w:r w:rsidR="006B68B7" w:rsidRPr="000B01C4">
        <w:rPr>
          <w:rFonts w:ascii="Arial" w:eastAsiaTheme="minorEastAsia" w:hAnsi="Arial" w:cs="Arial"/>
          <w:sz w:val="24"/>
          <w:szCs w:val="24"/>
          <w:lang w:eastAsia="en-ZA"/>
        </w:rPr>
        <w:t>contention</w:t>
      </w:r>
      <w:r w:rsidR="000B01C4" w:rsidRPr="000B01C4">
        <w:rPr>
          <w:rFonts w:ascii="Arial" w:eastAsiaTheme="minorEastAsia" w:hAnsi="Arial" w:cs="Arial"/>
          <w:sz w:val="24"/>
          <w:szCs w:val="24"/>
          <w:lang w:eastAsia="en-ZA"/>
        </w:rPr>
        <w:t xml:space="preserve">, as stated in her replying affidavit that same is not sufficient to vest the deponent with the necessary locus standi to oppose the present </w:t>
      </w:r>
      <w:r w:rsidR="000B01C4" w:rsidRPr="000B01C4">
        <w:rPr>
          <w:rFonts w:ascii="Arial" w:eastAsiaTheme="minorEastAsia" w:hAnsi="Arial" w:cs="Arial"/>
          <w:sz w:val="24"/>
          <w:szCs w:val="24"/>
          <w:lang w:eastAsia="en-ZA"/>
        </w:rPr>
        <w:lastRenderedPageBreak/>
        <w:t>application</w:t>
      </w:r>
      <w:r w:rsidR="00C6035C">
        <w:rPr>
          <w:rFonts w:ascii="Arial" w:eastAsiaTheme="minorEastAsia" w:hAnsi="Arial" w:cs="Arial"/>
          <w:sz w:val="24"/>
          <w:szCs w:val="24"/>
          <w:lang w:eastAsia="en-ZA"/>
        </w:rPr>
        <w:t xml:space="preserve"> for and on behalf of the respondents</w:t>
      </w:r>
      <w:r w:rsidR="000B01C4" w:rsidRPr="000B01C4">
        <w:rPr>
          <w:rFonts w:ascii="Arial" w:eastAsiaTheme="minorEastAsia" w:hAnsi="Arial" w:cs="Arial"/>
          <w:sz w:val="24"/>
          <w:szCs w:val="24"/>
          <w:lang w:eastAsia="en-ZA"/>
        </w:rPr>
        <w:t>. It is the applica</w:t>
      </w:r>
      <w:r w:rsidR="00C6035C">
        <w:rPr>
          <w:rFonts w:ascii="Arial" w:eastAsiaTheme="minorEastAsia" w:hAnsi="Arial" w:cs="Arial"/>
          <w:sz w:val="24"/>
          <w:szCs w:val="24"/>
          <w:lang w:eastAsia="en-ZA"/>
        </w:rPr>
        <w:t>nt’s prayer that the respondents’ opposition must be dismissed.</w:t>
      </w:r>
    </w:p>
    <w:p w:rsidR="00976BA4" w:rsidRPr="000B01C4" w:rsidRDefault="00976BA4" w:rsidP="000B01C4">
      <w:pPr>
        <w:spacing w:after="0" w:line="360" w:lineRule="auto"/>
        <w:jc w:val="both"/>
        <w:rPr>
          <w:rFonts w:ascii="Arial" w:eastAsiaTheme="minorEastAsia" w:hAnsi="Arial" w:cs="Arial"/>
          <w:sz w:val="24"/>
          <w:szCs w:val="24"/>
          <w:lang w:eastAsia="en-ZA"/>
        </w:rPr>
      </w:pPr>
    </w:p>
    <w:p w:rsidR="000B01C4" w:rsidRPr="00FC06C5" w:rsidRDefault="00976BA4" w:rsidP="00FC06C5">
      <w:pPr>
        <w:spacing w:after="0" w:line="360" w:lineRule="auto"/>
        <w:jc w:val="both"/>
        <w:rPr>
          <w:rFonts w:ascii="Arial" w:eastAsiaTheme="minorEastAsia" w:hAnsi="Arial" w:cs="Arial"/>
          <w:lang w:eastAsia="en-ZA"/>
        </w:rPr>
      </w:pPr>
      <w:r>
        <w:rPr>
          <w:rFonts w:ascii="Arial" w:eastAsiaTheme="minorEastAsia" w:hAnsi="Arial" w:cs="Arial"/>
          <w:sz w:val="24"/>
          <w:szCs w:val="24"/>
          <w:lang w:eastAsia="en-ZA"/>
        </w:rPr>
        <w:t>[5]</w:t>
      </w:r>
      <w:r>
        <w:rPr>
          <w:rFonts w:ascii="Arial" w:eastAsiaTheme="minorEastAsia" w:hAnsi="Arial" w:cs="Arial"/>
          <w:sz w:val="24"/>
          <w:szCs w:val="24"/>
          <w:lang w:eastAsia="en-ZA"/>
        </w:rPr>
        <w:tab/>
      </w:r>
      <w:r w:rsidR="00EC6555">
        <w:rPr>
          <w:rFonts w:ascii="Arial" w:eastAsiaTheme="minorEastAsia" w:hAnsi="Arial" w:cs="Arial"/>
          <w:sz w:val="24"/>
          <w:szCs w:val="24"/>
          <w:lang w:eastAsia="en-ZA"/>
        </w:rPr>
        <w:t>Mr Tibinyane</w:t>
      </w:r>
      <w:r w:rsidR="006B68B7">
        <w:rPr>
          <w:rFonts w:ascii="Arial" w:eastAsiaTheme="minorEastAsia" w:hAnsi="Arial" w:cs="Arial"/>
          <w:sz w:val="24"/>
          <w:szCs w:val="24"/>
          <w:lang w:eastAsia="en-ZA"/>
        </w:rPr>
        <w:t xml:space="preserve"> vehemently responded to Mr Greyling’s submission </w:t>
      </w:r>
      <w:r w:rsidR="004F23AF">
        <w:rPr>
          <w:rFonts w:ascii="Arial" w:eastAsiaTheme="minorEastAsia" w:hAnsi="Arial" w:cs="Arial"/>
          <w:sz w:val="24"/>
          <w:szCs w:val="24"/>
          <w:lang w:eastAsia="en-ZA"/>
        </w:rPr>
        <w:t>and replied</w:t>
      </w:r>
      <w:r w:rsidR="000B01C4" w:rsidRPr="00EC6555">
        <w:rPr>
          <w:rFonts w:ascii="Arial" w:eastAsiaTheme="minorEastAsia" w:hAnsi="Arial" w:cs="Arial"/>
          <w:sz w:val="24"/>
          <w:szCs w:val="24"/>
          <w:lang w:eastAsia="en-ZA"/>
        </w:rPr>
        <w:t xml:space="preserve"> </w:t>
      </w:r>
      <w:r w:rsidR="00EC6555">
        <w:rPr>
          <w:rFonts w:ascii="Arial" w:eastAsiaTheme="minorEastAsia" w:hAnsi="Arial" w:cs="Arial"/>
          <w:sz w:val="24"/>
          <w:szCs w:val="24"/>
          <w:lang w:eastAsia="en-ZA"/>
        </w:rPr>
        <w:t xml:space="preserve">that </w:t>
      </w:r>
      <w:r w:rsidR="000B01C4" w:rsidRPr="000B01C4">
        <w:rPr>
          <w:rFonts w:ascii="Arial" w:eastAsiaTheme="minorEastAsia" w:hAnsi="Arial" w:cs="Arial"/>
          <w:sz w:val="24"/>
          <w:szCs w:val="24"/>
          <w:lang w:eastAsia="en-ZA"/>
        </w:rPr>
        <w:t xml:space="preserve">Deputy Commissioner Shikongo is </w:t>
      </w:r>
      <w:r w:rsidR="006B68B7">
        <w:rPr>
          <w:rFonts w:ascii="Arial" w:eastAsiaTheme="minorEastAsia" w:hAnsi="Arial" w:cs="Arial"/>
          <w:sz w:val="24"/>
          <w:szCs w:val="24"/>
          <w:lang w:eastAsia="en-ZA"/>
        </w:rPr>
        <w:t xml:space="preserve">not only </w:t>
      </w:r>
      <w:r w:rsidR="000B01C4" w:rsidRPr="000B01C4">
        <w:rPr>
          <w:rFonts w:ascii="Arial" w:eastAsiaTheme="minorEastAsia" w:hAnsi="Arial" w:cs="Arial"/>
          <w:sz w:val="24"/>
          <w:szCs w:val="24"/>
          <w:lang w:eastAsia="en-ZA"/>
        </w:rPr>
        <w:t xml:space="preserve">a member of the Namibian police </w:t>
      </w:r>
      <w:r w:rsidR="004F23AF">
        <w:rPr>
          <w:rFonts w:ascii="Arial" w:eastAsiaTheme="minorEastAsia" w:hAnsi="Arial" w:cs="Arial"/>
          <w:sz w:val="24"/>
          <w:szCs w:val="24"/>
          <w:lang w:eastAsia="en-ZA"/>
        </w:rPr>
        <w:t>but</w:t>
      </w:r>
      <w:r w:rsidR="000B01C4" w:rsidRPr="000B01C4">
        <w:rPr>
          <w:rFonts w:ascii="Arial" w:eastAsiaTheme="minorEastAsia" w:hAnsi="Arial" w:cs="Arial"/>
          <w:sz w:val="24"/>
          <w:szCs w:val="24"/>
          <w:lang w:eastAsia="en-ZA"/>
        </w:rPr>
        <w:t xml:space="preserve"> also a representative of the Namibia police </w:t>
      </w:r>
      <w:r w:rsidR="006B68B7">
        <w:rPr>
          <w:rFonts w:ascii="Arial" w:eastAsiaTheme="minorEastAsia" w:hAnsi="Arial" w:cs="Arial"/>
          <w:sz w:val="24"/>
          <w:szCs w:val="24"/>
          <w:lang w:eastAsia="en-ZA"/>
        </w:rPr>
        <w:t>.He further argued that the deponent indeed</w:t>
      </w:r>
      <w:r w:rsidR="000B01C4" w:rsidRPr="000B01C4">
        <w:rPr>
          <w:rFonts w:ascii="Arial" w:eastAsiaTheme="minorEastAsia" w:hAnsi="Arial" w:cs="Arial"/>
          <w:sz w:val="24"/>
          <w:szCs w:val="24"/>
          <w:lang w:eastAsia="en-ZA"/>
        </w:rPr>
        <w:t xml:space="preserve"> stated in his affidavit that he was duly authorised. Mr Tibinyane further submitted that that complainant at no stage objected to </w:t>
      </w:r>
      <w:r w:rsidR="006B68B7">
        <w:rPr>
          <w:rFonts w:ascii="Arial" w:eastAsiaTheme="minorEastAsia" w:hAnsi="Arial" w:cs="Arial"/>
          <w:sz w:val="24"/>
          <w:szCs w:val="24"/>
          <w:lang w:eastAsia="en-ZA"/>
        </w:rPr>
        <w:t xml:space="preserve">such </w:t>
      </w:r>
      <w:r w:rsidR="006B68B7" w:rsidRPr="000B01C4">
        <w:rPr>
          <w:rFonts w:ascii="Arial" w:eastAsiaTheme="minorEastAsia" w:hAnsi="Arial" w:cs="Arial"/>
          <w:sz w:val="24"/>
          <w:szCs w:val="24"/>
          <w:lang w:eastAsia="en-ZA"/>
        </w:rPr>
        <w:t>affidavit</w:t>
      </w:r>
      <w:r w:rsidR="006B68B7">
        <w:rPr>
          <w:rFonts w:ascii="Arial" w:eastAsiaTheme="minorEastAsia" w:hAnsi="Arial" w:cs="Arial"/>
          <w:sz w:val="24"/>
          <w:szCs w:val="24"/>
          <w:lang w:eastAsia="en-ZA"/>
        </w:rPr>
        <w:t>.</w:t>
      </w:r>
      <w:r w:rsidR="00EC6555">
        <w:rPr>
          <w:rFonts w:ascii="Arial" w:eastAsiaTheme="minorEastAsia" w:hAnsi="Arial" w:cs="Arial"/>
          <w:sz w:val="24"/>
          <w:szCs w:val="24"/>
          <w:lang w:eastAsia="en-ZA"/>
        </w:rPr>
        <w:t xml:space="preserve"> </w:t>
      </w:r>
      <w:r w:rsidR="006B68B7" w:rsidRPr="00EC6555">
        <w:rPr>
          <w:rFonts w:ascii="Arial" w:hAnsi="Arial" w:cs="Arial"/>
          <w:sz w:val="24"/>
          <w:szCs w:val="24"/>
          <w:shd w:val="clear" w:color="auto" w:fill="FFFFFF"/>
        </w:rPr>
        <w:t>It is therefore necessary to first deal with the point </w:t>
      </w:r>
      <w:r w:rsidR="006B68B7" w:rsidRPr="00EC6555">
        <w:rPr>
          <w:rFonts w:ascii="Arial" w:hAnsi="Arial" w:cs="Arial"/>
          <w:iCs/>
          <w:sz w:val="24"/>
          <w:szCs w:val="24"/>
          <w:shd w:val="clear" w:color="auto" w:fill="FFFFFF"/>
        </w:rPr>
        <w:t>in limine</w:t>
      </w:r>
      <w:r w:rsidR="006B68B7" w:rsidRPr="00EC6555">
        <w:rPr>
          <w:rFonts w:ascii="Arial" w:hAnsi="Arial" w:cs="Arial"/>
          <w:sz w:val="24"/>
          <w:szCs w:val="24"/>
          <w:shd w:val="clear" w:color="auto" w:fill="FFFFFF"/>
        </w:rPr>
        <w:t xml:space="preserve">. </w:t>
      </w:r>
      <w:r w:rsidR="000F25C2" w:rsidRPr="00EC6555">
        <w:rPr>
          <w:rFonts w:ascii="Arial" w:hAnsi="Arial" w:cs="Arial"/>
          <w:sz w:val="24"/>
          <w:szCs w:val="24"/>
          <w:shd w:val="clear" w:color="auto" w:fill="FFFFFF"/>
        </w:rPr>
        <w:t xml:space="preserve">The </w:t>
      </w:r>
      <w:r w:rsidR="00EC6555">
        <w:rPr>
          <w:rFonts w:ascii="Arial" w:hAnsi="Arial" w:cs="Arial"/>
          <w:sz w:val="24"/>
          <w:szCs w:val="24"/>
          <w:shd w:val="clear" w:color="auto" w:fill="FFFFFF"/>
        </w:rPr>
        <w:t>Honourable Angul</w:t>
      </w:r>
      <w:r w:rsidR="00EC6555" w:rsidRPr="00EC6555">
        <w:rPr>
          <w:rFonts w:ascii="Arial" w:hAnsi="Arial" w:cs="Arial"/>
          <w:sz w:val="24"/>
          <w:szCs w:val="24"/>
          <w:shd w:val="clear" w:color="auto" w:fill="FFFFFF"/>
        </w:rPr>
        <w:t>a</w:t>
      </w:r>
      <w:r w:rsidR="00FC06C5">
        <w:rPr>
          <w:rFonts w:ascii="Arial" w:hAnsi="Arial" w:cs="Arial"/>
          <w:sz w:val="24"/>
          <w:szCs w:val="24"/>
          <w:shd w:val="clear" w:color="auto" w:fill="FFFFFF"/>
        </w:rPr>
        <w:t xml:space="preserve"> A</w:t>
      </w:r>
      <w:r w:rsidR="000F25C2" w:rsidRPr="00EC6555">
        <w:rPr>
          <w:rFonts w:ascii="Arial" w:hAnsi="Arial" w:cs="Arial"/>
          <w:sz w:val="24"/>
          <w:szCs w:val="24"/>
          <w:shd w:val="clear" w:color="auto" w:fill="FFFFFF"/>
        </w:rPr>
        <w:t xml:space="preserve">J </w:t>
      </w:r>
      <w:r w:rsidR="00FC06C5">
        <w:rPr>
          <w:rFonts w:ascii="Arial" w:hAnsi="Arial" w:cs="Arial"/>
          <w:sz w:val="24"/>
          <w:szCs w:val="24"/>
          <w:shd w:val="clear" w:color="auto" w:fill="FFFFFF"/>
        </w:rPr>
        <w:t xml:space="preserve">(as he then was) </w:t>
      </w:r>
      <w:r w:rsidR="000F25C2" w:rsidRPr="00EC6555">
        <w:rPr>
          <w:rFonts w:ascii="Arial" w:hAnsi="Arial" w:cs="Arial"/>
          <w:sz w:val="24"/>
          <w:szCs w:val="24"/>
          <w:shd w:val="clear" w:color="auto" w:fill="FFFFFF"/>
        </w:rPr>
        <w:t xml:space="preserve">stated </w:t>
      </w:r>
      <w:r w:rsidR="00FC06C5">
        <w:rPr>
          <w:rFonts w:ascii="Arial" w:hAnsi="Arial" w:cs="Arial"/>
          <w:sz w:val="24"/>
          <w:szCs w:val="24"/>
          <w:shd w:val="clear" w:color="auto" w:fill="FFFFFF"/>
        </w:rPr>
        <w:t>i</w:t>
      </w:r>
      <w:r w:rsidR="000F25C2" w:rsidRPr="00EC6555">
        <w:rPr>
          <w:rFonts w:ascii="Arial" w:hAnsi="Arial" w:cs="Arial"/>
          <w:sz w:val="24"/>
          <w:szCs w:val="24"/>
          <w:shd w:val="clear" w:color="auto" w:fill="FFFFFF"/>
        </w:rPr>
        <w:t>n</w:t>
      </w:r>
      <w:r w:rsidR="00FC06C5">
        <w:rPr>
          <w:rFonts w:ascii="Arial" w:hAnsi="Arial" w:cs="Arial"/>
          <w:sz w:val="24"/>
          <w:szCs w:val="24"/>
          <w:shd w:val="clear" w:color="auto" w:fill="FFFFFF"/>
        </w:rPr>
        <w:t xml:space="preserve"> </w:t>
      </w:r>
      <w:r w:rsidR="00FC06C5" w:rsidRPr="00FC06C5">
        <w:rPr>
          <w:rFonts w:ascii="Arial" w:hAnsi="Arial" w:cs="Arial"/>
          <w:i/>
          <w:sz w:val="24"/>
          <w:szCs w:val="24"/>
          <w:shd w:val="clear" w:color="auto" w:fill="FFFFFF"/>
        </w:rPr>
        <w:t xml:space="preserve">Shoprite Namibia (Pty) Ltd v Hamutele </w:t>
      </w:r>
      <w:r w:rsidR="00FC06C5" w:rsidRPr="00FC06C5">
        <w:rPr>
          <w:rFonts w:ascii="Arial" w:hAnsi="Arial" w:cs="Arial"/>
          <w:sz w:val="24"/>
          <w:szCs w:val="24"/>
          <w:shd w:val="clear" w:color="auto" w:fill="FFFFFF"/>
        </w:rPr>
        <w:t>(LC 172/2013) [2014] NALCMD 43 (20 October 2014)</w:t>
      </w:r>
      <w:r w:rsidR="00FC06C5">
        <w:rPr>
          <w:rFonts w:ascii="Arial" w:hAnsi="Arial" w:cs="Arial"/>
          <w:sz w:val="24"/>
          <w:szCs w:val="24"/>
          <w:shd w:val="clear" w:color="auto" w:fill="FFFFFF"/>
        </w:rPr>
        <w:t xml:space="preserve"> ‘…</w:t>
      </w:r>
      <w:r w:rsidR="000F25C2" w:rsidRPr="00FC06C5">
        <w:rPr>
          <w:rFonts w:ascii="Arial" w:hAnsi="Arial" w:cs="Arial"/>
          <w:shd w:val="clear" w:color="auto" w:fill="FFFFFF"/>
        </w:rPr>
        <w:t>It has long been held that the rules do not contain a provision that a power of attorney is required in application proceedings. The rational for the absence of the requirement to file a power of attorney in application proceedings appears to be that unlike in action proceedings where the pleadings are drafted and signed by the legal representative for the party.</w:t>
      </w:r>
      <w:r w:rsidR="00FC06C5" w:rsidRPr="00FC06C5">
        <w:rPr>
          <w:rFonts w:ascii="Arial" w:hAnsi="Arial" w:cs="Arial"/>
          <w:shd w:val="clear" w:color="auto" w:fill="FFFFFF"/>
        </w:rPr>
        <w:t>’</w:t>
      </w:r>
      <w:r w:rsidR="00FC06C5">
        <w:rPr>
          <w:rFonts w:ascii="Arial" w:eastAsiaTheme="minorEastAsia" w:hAnsi="Arial" w:cs="Arial"/>
          <w:lang w:eastAsia="en-ZA"/>
        </w:rPr>
        <w:t xml:space="preserve"> </w:t>
      </w:r>
      <w:r w:rsidR="000F25C2" w:rsidRPr="00EC6555">
        <w:rPr>
          <w:rFonts w:ascii="Arial" w:eastAsiaTheme="minorEastAsia" w:hAnsi="Arial" w:cs="Arial"/>
          <w:sz w:val="24"/>
          <w:szCs w:val="24"/>
          <w:lang w:eastAsia="en-ZA"/>
        </w:rPr>
        <w:t>For this reason I find no merit in the point in limine and the point is dismissed</w:t>
      </w:r>
      <w:r w:rsidR="004F23AF">
        <w:rPr>
          <w:rFonts w:ascii="Arial" w:eastAsiaTheme="minorEastAsia" w:hAnsi="Arial" w:cs="Arial"/>
          <w:sz w:val="24"/>
          <w:szCs w:val="24"/>
          <w:lang w:eastAsia="en-ZA"/>
        </w:rPr>
        <w:t>.</w:t>
      </w:r>
    </w:p>
    <w:p w:rsidR="000B01C4" w:rsidRPr="00EC6555" w:rsidRDefault="000B01C4" w:rsidP="000B01C4">
      <w:pPr>
        <w:spacing w:after="0" w:line="360" w:lineRule="auto"/>
        <w:jc w:val="both"/>
        <w:rPr>
          <w:rFonts w:ascii="Arial" w:eastAsiaTheme="minorEastAsia" w:hAnsi="Arial" w:cs="Arial"/>
          <w:sz w:val="24"/>
          <w:szCs w:val="24"/>
          <w:lang w:eastAsia="en-ZA"/>
        </w:rPr>
      </w:pPr>
    </w:p>
    <w:p w:rsidR="000B01C4" w:rsidRDefault="000B01C4" w:rsidP="000B01C4">
      <w:pPr>
        <w:spacing w:after="0" w:line="360" w:lineRule="auto"/>
        <w:jc w:val="both"/>
        <w:rPr>
          <w:rFonts w:ascii="Arial" w:eastAsiaTheme="minorEastAsia" w:hAnsi="Arial" w:cs="Arial"/>
          <w:sz w:val="24"/>
          <w:szCs w:val="24"/>
          <w:lang w:eastAsia="en-ZA"/>
        </w:rPr>
      </w:pPr>
      <w:r w:rsidRPr="00207CAF">
        <w:rPr>
          <w:rFonts w:ascii="Arial" w:eastAsiaTheme="minorEastAsia" w:hAnsi="Arial" w:cs="Arial"/>
          <w:i/>
          <w:sz w:val="24"/>
          <w:szCs w:val="24"/>
          <w:lang w:eastAsia="en-ZA"/>
        </w:rPr>
        <w:t xml:space="preserve">AD </w:t>
      </w:r>
      <w:r w:rsidR="00207CAF" w:rsidRPr="00207CAF">
        <w:rPr>
          <w:rFonts w:ascii="Arial" w:eastAsiaTheme="minorEastAsia" w:hAnsi="Arial" w:cs="Arial"/>
          <w:i/>
          <w:sz w:val="24"/>
          <w:szCs w:val="24"/>
          <w:lang w:eastAsia="en-ZA"/>
        </w:rPr>
        <w:t>the merits</w:t>
      </w:r>
      <w:r w:rsidR="00FC06C5">
        <w:rPr>
          <w:rFonts w:ascii="Arial" w:eastAsiaTheme="minorEastAsia" w:hAnsi="Arial" w:cs="Arial"/>
          <w:i/>
          <w:sz w:val="24"/>
          <w:szCs w:val="24"/>
          <w:lang w:eastAsia="en-ZA"/>
        </w:rPr>
        <w:t xml:space="preserve"> of the application</w:t>
      </w:r>
    </w:p>
    <w:p w:rsidR="00DE02CB" w:rsidRDefault="00DE02CB" w:rsidP="000B01C4">
      <w:pPr>
        <w:spacing w:after="0" w:line="360" w:lineRule="auto"/>
        <w:jc w:val="both"/>
        <w:rPr>
          <w:rFonts w:ascii="Arial" w:eastAsiaTheme="minorEastAsia" w:hAnsi="Arial" w:cs="Arial"/>
          <w:sz w:val="24"/>
          <w:szCs w:val="24"/>
          <w:lang w:eastAsia="en-ZA"/>
        </w:rPr>
      </w:pPr>
    </w:p>
    <w:p w:rsidR="000B01C4" w:rsidRDefault="00DE02CB"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[6]</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The plaintiff was arrested by the Namibian police on the 9th of September 2016 and was released on the 12th of September 2016. Plaintiff instituted civil proceedings against Defendants on the 31st of March 2017, prior to receiving a criminal summons during May 2018</w:t>
      </w:r>
      <w:r w:rsidR="004477FB">
        <w:rPr>
          <w:rFonts w:ascii="Arial" w:eastAsiaTheme="minorEastAsia" w:hAnsi="Arial" w:cs="Arial"/>
          <w:sz w:val="24"/>
          <w:szCs w:val="24"/>
          <w:lang w:eastAsia="en-ZA"/>
        </w:rPr>
        <w:t>.</w:t>
      </w:r>
    </w:p>
    <w:p w:rsidR="00FC06C5" w:rsidRPr="000B01C4" w:rsidRDefault="00FC06C5" w:rsidP="000B01C4">
      <w:pPr>
        <w:spacing w:after="0" w:line="360" w:lineRule="auto"/>
        <w:jc w:val="both"/>
        <w:rPr>
          <w:rFonts w:ascii="Arial" w:eastAsiaTheme="minorEastAsia" w:hAnsi="Arial" w:cs="Arial"/>
          <w:sz w:val="24"/>
          <w:szCs w:val="24"/>
          <w:lang w:eastAsia="en-ZA"/>
        </w:rPr>
      </w:pPr>
    </w:p>
    <w:p w:rsidR="000B01C4" w:rsidRDefault="004477FB"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[7]</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The applicant’s contention is that she intends to prove her claim for damages against the four defendants on a preponderance of probability alleging wrongful and unlawful conduct</w:t>
      </w:r>
      <w:r w:rsidR="00784F4F">
        <w:rPr>
          <w:rFonts w:ascii="Arial" w:eastAsiaTheme="minorEastAsia" w:hAnsi="Arial" w:cs="Arial"/>
          <w:sz w:val="24"/>
          <w:szCs w:val="24"/>
          <w:lang w:eastAsia="en-ZA"/>
        </w:rPr>
        <w:t xml:space="preserve"> by the police</w:t>
      </w:r>
      <w:r w:rsidR="007D1D40">
        <w:rPr>
          <w:rFonts w:ascii="Arial" w:eastAsiaTheme="minorEastAsia" w:hAnsi="Arial" w:cs="Arial"/>
          <w:sz w:val="24"/>
          <w:szCs w:val="24"/>
          <w:lang w:eastAsia="en-ZA"/>
        </w:rPr>
        <w:t xml:space="preserve"> on her person</w:t>
      </w:r>
      <w:r w:rsidR="000B01C4" w:rsidRPr="000B01C4">
        <w:rPr>
          <w:rFonts w:ascii="Arial" w:eastAsiaTheme="minorEastAsia" w:hAnsi="Arial" w:cs="Arial"/>
          <w:sz w:val="24"/>
          <w:szCs w:val="24"/>
          <w:lang w:eastAsia="en-ZA"/>
        </w:rPr>
        <w:t>.</w:t>
      </w:r>
    </w:p>
    <w:p w:rsidR="00784F4F" w:rsidRPr="000B01C4" w:rsidRDefault="00784F4F" w:rsidP="000B01C4">
      <w:pPr>
        <w:spacing w:after="0" w:line="360" w:lineRule="auto"/>
        <w:jc w:val="both"/>
        <w:rPr>
          <w:rFonts w:ascii="Arial" w:eastAsiaTheme="minorEastAsia" w:hAnsi="Arial" w:cs="Arial"/>
          <w:sz w:val="24"/>
          <w:szCs w:val="24"/>
          <w:lang w:eastAsia="en-ZA"/>
        </w:rPr>
      </w:pPr>
    </w:p>
    <w:p w:rsidR="007D1D40" w:rsidRPr="004F23AF" w:rsidRDefault="00784F4F"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[8]</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It is not in dispute that the criminal proceedings as registered in the Oshakati Magistrate’s Court relate directly to the present civil proceedings and include the same facts and allegations as the present proceedings. It is not in dispute that the same witnesses might be utilised in both proceedings. </w:t>
      </w:r>
    </w:p>
    <w:p w:rsidR="000B01C4" w:rsidRPr="00B63320" w:rsidRDefault="000F25C2" w:rsidP="000B01C4">
      <w:pPr>
        <w:spacing w:after="0" w:line="360" w:lineRule="auto"/>
        <w:jc w:val="both"/>
        <w:rPr>
          <w:rFonts w:ascii="Arial" w:eastAsiaTheme="minorEastAsia" w:hAnsi="Arial" w:cs="Arial"/>
          <w:i/>
          <w:sz w:val="24"/>
          <w:szCs w:val="24"/>
          <w:lang w:eastAsia="en-ZA"/>
        </w:rPr>
      </w:pPr>
      <w:r w:rsidRPr="00B63320">
        <w:rPr>
          <w:rFonts w:ascii="Arial" w:eastAsiaTheme="minorEastAsia" w:hAnsi="Arial" w:cs="Arial"/>
          <w:i/>
          <w:sz w:val="24"/>
          <w:szCs w:val="24"/>
          <w:lang w:eastAsia="en-ZA"/>
        </w:rPr>
        <w:lastRenderedPageBreak/>
        <w:t>Applicant’s</w:t>
      </w:r>
      <w:r w:rsidR="000B01C4" w:rsidRPr="00B63320">
        <w:rPr>
          <w:rFonts w:ascii="Arial" w:eastAsiaTheme="minorEastAsia" w:hAnsi="Arial" w:cs="Arial"/>
          <w:i/>
          <w:sz w:val="24"/>
          <w:szCs w:val="24"/>
          <w:lang w:eastAsia="en-ZA"/>
        </w:rPr>
        <w:t xml:space="preserve"> case</w:t>
      </w:r>
    </w:p>
    <w:p w:rsidR="00746627" w:rsidRDefault="00746627" w:rsidP="000B01C4">
      <w:pPr>
        <w:spacing w:after="0" w:line="360" w:lineRule="auto"/>
        <w:jc w:val="both"/>
        <w:rPr>
          <w:rFonts w:ascii="Arial" w:eastAsiaTheme="minorEastAsia" w:hAnsi="Arial" w:cs="Arial"/>
          <w:sz w:val="24"/>
          <w:szCs w:val="24"/>
          <w:lang w:eastAsia="en-ZA"/>
        </w:rPr>
      </w:pPr>
    </w:p>
    <w:p w:rsidR="000B01C4" w:rsidRPr="000B01C4" w:rsidRDefault="00746627"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[9]</w:t>
      </w:r>
      <w:r>
        <w:rPr>
          <w:rFonts w:ascii="Arial" w:eastAsiaTheme="minorEastAsia" w:hAnsi="Arial" w:cs="Arial"/>
          <w:sz w:val="24"/>
          <w:szCs w:val="24"/>
          <w:lang w:eastAsia="en-ZA"/>
        </w:rPr>
        <w:tab/>
      </w:r>
      <w:r w:rsidR="007D1D40">
        <w:rPr>
          <w:rFonts w:ascii="Arial" w:eastAsiaTheme="minorEastAsia" w:hAnsi="Arial" w:cs="Arial"/>
          <w:sz w:val="24"/>
          <w:szCs w:val="24"/>
          <w:lang w:eastAsia="en-ZA"/>
        </w:rPr>
        <w:t>Applicant in her founding a</w:t>
      </w:r>
      <w:r w:rsidR="000B01C4" w:rsidRPr="000B01C4">
        <w:rPr>
          <w:rFonts w:ascii="Arial" w:eastAsiaTheme="minorEastAsia" w:hAnsi="Arial" w:cs="Arial"/>
          <w:sz w:val="24"/>
          <w:szCs w:val="24"/>
          <w:lang w:eastAsia="en-ZA"/>
        </w:rPr>
        <w:t>ffidavit stated the followi</w:t>
      </w:r>
      <w:r w:rsidR="007D1D40">
        <w:rPr>
          <w:rFonts w:ascii="Arial" w:eastAsiaTheme="minorEastAsia" w:hAnsi="Arial" w:cs="Arial"/>
          <w:sz w:val="24"/>
          <w:szCs w:val="24"/>
          <w:lang w:eastAsia="en-ZA"/>
        </w:rPr>
        <w:t xml:space="preserve">ng as the basis for the present application. </w:t>
      </w:r>
      <w:r w:rsidR="000B01C4" w:rsidRPr="000B01C4">
        <w:rPr>
          <w:rFonts w:ascii="Arial" w:eastAsiaTheme="minorEastAsia" w:hAnsi="Arial" w:cs="Arial"/>
          <w:sz w:val="24"/>
          <w:szCs w:val="24"/>
          <w:lang w:eastAsia="en-ZA"/>
        </w:rPr>
        <w:t>At the time of instituting the present civil proceedings, she had not been aware nor was she informed that she will and/or may be prosecuted for any alleged criminal offence.  Plaintiff commenced with the present civil litigation on the 31st of March 2017 whilst only receiving the criminal summons during May of 2018.</w:t>
      </w:r>
      <w:r w:rsidR="00BD56D2">
        <w:rPr>
          <w:rFonts w:ascii="Arial" w:eastAsiaTheme="minorEastAsia" w:hAnsi="Arial" w:cs="Arial"/>
          <w:sz w:val="24"/>
          <w:szCs w:val="24"/>
          <w:lang w:eastAsia="en-ZA"/>
        </w:rPr>
        <w:t xml:space="preserve"> The applicant </w:t>
      </w:r>
      <w:r w:rsidR="000B01C4" w:rsidRPr="000B01C4">
        <w:rPr>
          <w:rFonts w:ascii="Arial" w:eastAsiaTheme="minorEastAsia" w:hAnsi="Arial" w:cs="Arial"/>
          <w:sz w:val="24"/>
          <w:szCs w:val="24"/>
          <w:lang w:eastAsia="en-ZA"/>
        </w:rPr>
        <w:t xml:space="preserve">is facing various and serious criminal charges in the Oshakati Magistrate’s Court. </w:t>
      </w:r>
      <w:r w:rsidR="00BD56D2">
        <w:rPr>
          <w:rFonts w:ascii="Arial" w:eastAsiaTheme="minorEastAsia" w:hAnsi="Arial" w:cs="Arial"/>
          <w:sz w:val="24"/>
          <w:szCs w:val="24"/>
          <w:lang w:eastAsia="en-ZA"/>
        </w:rPr>
        <w:t xml:space="preserve">She further stated that there are </w:t>
      </w:r>
      <w:r w:rsidR="000B01C4" w:rsidRPr="000B01C4">
        <w:rPr>
          <w:rFonts w:ascii="Arial" w:eastAsiaTheme="minorEastAsia" w:hAnsi="Arial" w:cs="Arial"/>
          <w:sz w:val="24"/>
          <w:szCs w:val="24"/>
          <w:lang w:eastAsia="en-ZA"/>
        </w:rPr>
        <w:t>c</w:t>
      </w:r>
      <w:r w:rsidR="00BD56D2">
        <w:rPr>
          <w:rFonts w:ascii="Arial" w:eastAsiaTheme="minorEastAsia" w:hAnsi="Arial" w:cs="Arial"/>
          <w:sz w:val="24"/>
          <w:szCs w:val="24"/>
          <w:lang w:eastAsia="en-ZA"/>
        </w:rPr>
        <w:t xml:space="preserve">ertain witnesses that she </w:t>
      </w:r>
      <w:r w:rsidR="000B01C4" w:rsidRPr="000B01C4">
        <w:rPr>
          <w:rFonts w:ascii="Arial" w:eastAsiaTheme="minorEastAsia" w:hAnsi="Arial" w:cs="Arial"/>
          <w:sz w:val="24"/>
          <w:szCs w:val="24"/>
          <w:lang w:eastAsia="en-ZA"/>
        </w:rPr>
        <w:t xml:space="preserve">wished to utilize for the present civil litigation or at least be able to consult with to ascertain if the witnesses may be useful to her matter, which may be utilized by the State during the criminal proceedings and accordingly she would require permission from the prosecutor attending to the matter to consult with and utilize the said witnesses. Despite numerous correspondences and personal attendance to the prosecutor no response was received. Accordingly it has been deemed that Plaintiff and/or her legal practitioner may not consult with and/or utilize the said witnesses for the present civil proceedings. </w:t>
      </w:r>
    </w:p>
    <w:p w:rsidR="00F72232" w:rsidRDefault="00F72232" w:rsidP="000B01C4">
      <w:pPr>
        <w:spacing w:after="0" w:line="360" w:lineRule="auto"/>
        <w:jc w:val="both"/>
        <w:rPr>
          <w:rFonts w:ascii="Arial" w:eastAsiaTheme="minorEastAsia" w:hAnsi="Arial" w:cs="Arial"/>
          <w:sz w:val="24"/>
          <w:szCs w:val="24"/>
          <w:u w:val="single"/>
          <w:lang w:eastAsia="en-ZA"/>
        </w:rPr>
      </w:pPr>
    </w:p>
    <w:p w:rsidR="000B01C4" w:rsidRPr="00ED4FC7" w:rsidRDefault="000B01C4" w:rsidP="000B01C4">
      <w:pPr>
        <w:spacing w:after="0" w:line="360" w:lineRule="auto"/>
        <w:jc w:val="both"/>
        <w:rPr>
          <w:rFonts w:ascii="Arial" w:eastAsiaTheme="minorEastAsia" w:hAnsi="Arial" w:cs="Arial"/>
          <w:i/>
          <w:sz w:val="24"/>
          <w:szCs w:val="24"/>
          <w:lang w:eastAsia="en-ZA"/>
        </w:rPr>
      </w:pPr>
      <w:r w:rsidRPr="00ED4FC7">
        <w:rPr>
          <w:rFonts w:ascii="Arial" w:eastAsiaTheme="minorEastAsia" w:hAnsi="Arial" w:cs="Arial"/>
          <w:i/>
          <w:sz w:val="24"/>
          <w:szCs w:val="24"/>
          <w:lang w:eastAsia="en-ZA"/>
        </w:rPr>
        <w:t>The Respondents’ opposition to the application</w:t>
      </w:r>
    </w:p>
    <w:p w:rsidR="00F72232" w:rsidRPr="000B01C4" w:rsidRDefault="00F72232" w:rsidP="000B01C4">
      <w:pPr>
        <w:spacing w:after="0" w:line="360" w:lineRule="auto"/>
        <w:jc w:val="both"/>
        <w:rPr>
          <w:rFonts w:ascii="Arial" w:eastAsiaTheme="minorEastAsia" w:hAnsi="Arial" w:cs="Arial"/>
          <w:sz w:val="24"/>
          <w:szCs w:val="24"/>
          <w:lang w:eastAsia="en-ZA"/>
        </w:rPr>
      </w:pPr>
    </w:p>
    <w:p w:rsidR="000B01C4" w:rsidRDefault="00F72232"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[10]</w:t>
      </w:r>
      <w:r>
        <w:rPr>
          <w:rFonts w:ascii="Arial" w:eastAsiaTheme="minorEastAsia" w:hAnsi="Arial" w:cs="Arial"/>
          <w:sz w:val="24"/>
          <w:szCs w:val="24"/>
          <w:lang w:eastAsia="en-ZA"/>
        </w:rPr>
        <w:tab/>
      </w:r>
      <w:r w:rsidR="00ED4FC7">
        <w:rPr>
          <w:rFonts w:ascii="Arial" w:eastAsiaTheme="minorEastAsia" w:hAnsi="Arial" w:cs="Arial"/>
          <w:sz w:val="24"/>
          <w:szCs w:val="24"/>
          <w:lang w:eastAsia="en-ZA"/>
        </w:rPr>
        <w:t xml:space="preserve"> Counsel for the respondents’</w:t>
      </w:r>
      <w:r w:rsidR="000B01C4" w:rsidRPr="000B01C4">
        <w:rPr>
          <w:rFonts w:ascii="Arial" w:eastAsiaTheme="minorEastAsia" w:hAnsi="Arial" w:cs="Arial"/>
          <w:sz w:val="24"/>
          <w:szCs w:val="24"/>
          <w:lang w:eastAsia="en-ZA"/>
        </w:rPr>
        <w:t xml:space="preserve"> argument is that it would be convenient and appropriate </w:t>
      </w:r>
      <w:r w:rsidR="00ED4FC7">
        <w:rPr>
          <w:rFonts w:ascii="Arial" w:eastAsiaTheme="minorEastAsia" w:hAnsi="Arial" w:cs="Arial"/>
          <w:sz w:val="24"/>
          <w:szCs w:val="24"/>
          <w:lang w:eastAsia="en-ZA"/>
        </w:rPr>
        <w:t>for the applicant to stay her</w:t>
      </w:r>
      <w:r w:rsidR="000B01C4" w:rsidRPr="000B01C4">
        <w:rPr>
          <w:rFonts w:ascii="Arial" w:eastAsiaTheme="minorEastAsia" w:hAnsi="Arial" w:cs="Arial"/>
          <w:sz w:val="24"/>
          <w:szCs w:val="24"/>
          <w:lang w:eastAsia="en-ZA"/>
        </w:rPr>
        <w:t xml:space="preserve"> civil claim</w:t>
      </w:r>
      <w:r w:rsidR="00ED4FC7">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s</w:t>
      </w:r>
      <w:r w:rsidR="00ED4FC7">
        <w:rPr>
          <w:rFonts w:ascii="Arial" w:eastAsiaTheme="minorEastAsia" w:hAnsi="Arial" w:cs="Arial"/>
          <w:sz w:val="24"/>
          <w:szCs w:val="24"/>
          <w:lang w:eastAsia="en-ZA"/>
        </w:rPr>
        <w:t>) against the respondents</w:t>
      </w:r>
      <w:r w:rsidR="000B01C4" w:rsidRPr="000B01C4">
        <w:rPr>
          <w:rFonts w:ascii="Arial" w:eastAsiaTheme="minorEastAsia" w:hAnsi="Arial" w:cs="Arial"/>
          <w:sz w:val="24"/>
          <w:szCs w:val="24"/>
          <w:lang w:eastAsia="en-ZA"/>
        </w:rPr>
        <w:t xml:space="preserve"> so as not to interfere with the criminal process</w:t>
      </w:r>
      <w:r w:rsidR="00ED4FC7">
        <w:rPr>
          <w:rFonts w:ascii="Arial" w:eastAsiaTheme="minorEastAsia" w:hAnsi="Arial" w:cs="Arial"/>
          <w:sz w:val="24"/>
          <w:szCs w:val="24"/>
          <w:lang w:eastAsia="en-ZA"/>
        </w:rPr>
        <w:t xml:space="preserve"> that is still not complete. He further stated that </w:t>
      </w:r>
      <w:r w:rsidR="000B01C4" w:rsidRPr="000B01C4">
        <w:rPr>
          <w:rFonts w:ascii="Arial" w:eastAsiaTheme="minorEastAsia" w:hAnsi="Arial" w:cs="Arial"/>
          <w:sz w:val="24"/>
          <w:szCs w:val="24"/>
          <w:lang w:eastAsia="en-ZA"/>
        </w:rPr>
        <w:t>to allow the civil claim</w:t>
      </w:r>
      <w:r w:rsidR="00ED4FC7">
        <w:rPr>
          <w:rFonts w:ascii="Arial" w:eastAsiaTheme="minorEastAsia" w:hAnsi="Arial" w:cs="Arial"/>
          <w:sz w:val="24"/>
          <w:szCs w:val="24"/>
          <w:lang w:eastAsia="en-ZA"/>
        </w:rPr>
        <w:t>(s)</w:t>
      </w:r>
      <w:r w:rsidR="000B01C4" w:rsidRPr="000B01C4">
        <w:rPr>
          <w:rFonts w:ascii="Arial" w:eastAsiaTheme="minorEastAsia" w:hAnsi="Arial" w:cs="Arial"/>
          <w:sz w:val="24"/>
          <w:szCs w:val="24"/>
          <w:lang w:eastAsia="en-ZA"/>
        </w:rPr>
        <w:t xml:space="preserve"> to proceed would esse</w:t>
      </w:r>
      <w:r w:rsidR="00ED4FC7">
        <w:rPr>
          <w:rFonts w:ascii="Arial" w:eastAsiaTheme="minorEastAsia" w:hAnsi="Arial" w:cs="Arial"/>
          <w:sz w:val="24"/>
          <w:szCs w:val="24"/>
          <w:lang w:eastAsia="en-ZA"/>
        </w:rPr>
        <w:t>ntially open the doors for that case</w:t>
      </w:r>
      <w:r w:rsidR="000B01C4" w:rsidRPr="000B01C4">
        <w:rPr>
          <w:rFonts w:ascii="Arial" w:eastAsiaTheme="minorEastAsia" w:hAnsi="Arial" w:cs="Arial"/>
          <w:sz w:val="24"/>
          <w:szCs w:val="24"/>
          <w:lang w:eastAsia="en-ZA"/>
        </w:rPr>
        <w:t xml:space="preserve"> to prejudice the outcome of the criminal proceedings. He f</w:t>
      </w:r>
      <w:r w:rsidR="00ED4FC7">
        <w:rPr>
          <w:rFonts w:ascii="Arial" w:eastAsiaTheme="minorEastAsia" w:hAnsi="Arial" w:cs="Arial"/>
          <w:sz w:val="24"/>
          <w:szCs w:val="24"/>
          <w:lang w:eastAsia="en-ZA"/>
        </w:rPr>
        <w:t>urther argued that the applicant</w:t>
      </w:r>
      <w:r w:rsidR="000B01C4" w:rsidRPr="000B01C4">
        <w:rPr>
          <w:rFonts w:ascii="Arial" w:eastAsiaTheme="minorEastAsia" w:hAnsi="Arial" w:cs="Arial"/>
          <w:sz w:val="24"/>
          <w:szCs w:val="24"/>
          <w:lang w:eastAsia="en-ZA"/>
        </w:rPr>
        <w:t xml:space="preserve"> was given disclosure of docket and therefore has insight in</w:t>
      </w:r>
      <w:r w:rsidR="00ED4FC7">
        <w:rPr>
          <w:rFonts w:ascii="Arial" w:eastAsiaTheme="minorEastAsia" w:hAnsi="Arial" w:cs="Arial"/>
          <w:sz w:val="24"/>
          <w:szCs w:val="24"/>
          <w:lang w:eastAsia="en-ZA"/>
        </w:rPr>
        <w:t xml:space="preserve">to the </w:t>
      </w:r>
      <w:r w:rsidR="000B01C4" w:rsidRPr="000B01C4">
        <w:rPr>
          <w:rFonts w:ascii="Arial" w:eastAsiaTheme="minorEastAsia" w:hAnsi="Arial" w:cs="Arial"/>
          <w:sz w:val="24"/>
          <w:szCs w:val="24"/>
          <w:lang w:eastAsia="en-ZA"/>
        </w:rPr>
        <w:t>witness</w:t>
      </w:r>
      <w:r w:rsidR="00ED4FC7">
        <w:rPr>
          <w:rFonts w:ascii="Arial" w:eastAsiaTheme="minorEastAsia" w:hAnsi="Arial" w:cs="Arial"/>
          <w:sz w:val="24"/>
          <w:szCs w:val="24"/>
          <w:lang w:eastAsia="en-ZA"/>
        </w:rPr>
        <w:t>es</w:t>
      </w:r>
      <w:r w:rsidR="000B01C4" w:rsidRPr="000B01C4">
        <w:rPr>
          <w:rFonts w:ascii="Arial" w:eastAsiaTheme="minorEastAsia" w:hAnsi="Arial" w:cs="Arial"/>
          <w:sz w:val="24"/>
          <w:szCs w:val="24"/>
          <w:lang w:eastAsia="en-ZA"/>
        </w:rPr>
        <w:t xml:space="preserve">. He </w:t>
      </w:r>
      <w:r w:rsidR="00ED4FC7">
        <w:rPr>
          <w:rFonts w:ascii="Arial" w:eastAsiaTheme="minorEastAsia" w:hAnsi="Arial" w:cs="Arial"/>
          <w:sz w:val="24"/>
          <w:szCs w:val="24"/>
          <w:lang w:eastAsia="en-ZA"/>
        </w:rPr>
        <w:t xml:space="preserve">argued that the applicant had the </w:t>
      </w:r>
      <w:r w:rsidR="000B01C4" w:rsidRPr="000B01C4">
        <w:rPr>
          <w:rFonts w:ascii="Arial" w:eastAsiaTheme="minorEastAsia" w:hAnsi="Arial" w:cs="Arial"/>
          <w:sz w:val="24"/>
          <w:szCs w:val="24"/>
          <w:lang w:eastAsia="en-ZA"/>
        </w:rPr>
        <w:t>right to</w:t>
      </w:r>
      <w:r w:rsidR="00AC5EF9">
        <w:rPr>
          <w:rFonts w:ascii="Arial" w:eastAsiaTheme="minorEastAsia" w:hAnsi="Arial" w:cs="Arial"/>
          <w:sz w:val="24"/>
          <w:szCs w:val="24"/>
          <w:lang w:eastAsia="en-ZA"/>
        </w:rPr>
        <w:t xml:space="preserve"> silence is at</w:t>
      </w:r>
      <w:r w:rsidR="000B01C4" w:rsidRPr="000B01C4">
        <w:rPr>
          <w:rFonts w:ascii="Arial" w:eastAsiaTheme="minorEastAsia" w:hAnsi="Arial" w:cs="Arial"/>
          <w:sz w:val="24"/>
          <w:szCs w:val="24"/>
          <w:lang w:eastAsia="en-ZA"/>
        </w:rPr>
        <w:t xml:space="preserve"> </w:t>
      </w:r>
      <w:r w:rsidR="00ED4FC7">
        <w:rPr>
          <w:rFonts w:ascii="Arial" w:eastAsiaTheme="minorEastAsia" w:hAnsi="Arial" w:cs="Arial"/>
          <w:sz w:val="24"/>
          <w:szCs w:val="24"/>
          <w:lang w:eastAsia="en-ZA"/>
        </w:rPr>
        <w:t xml:space="preserve">her </w:t>
      </w:r>
      <w:r w:rsidR="000B01C4" w:rsidRPr="000B01C4">
        <w:rPr>
          <w:rFonts w:ascii="Arial" w:eastAsiaTheme="minorEastAsia" w:hAnsi="Arial" w:cs="Arial"/>
          <w:sz w:val="24"/>
          <w:szCs w:val="24"/>
          <w:lang w:eastAsia="en-ZA"/>
        </w:rPr>
        <w:t>disposal</w:t>
      </w:r>
      <w:r w:rsidR="00AC5EF9">
        <w:rPr>
          <w:rFonts w:ascii="Arial" w:eastAsiaTheme="minorEastAsia" w:hAnsi="Arial" w:cs="Arial"/>
          <w:sz w:val="24"/>
          <w:szCs w:val="24"/>
          <w:lang w:eastAsia="en-ZA"/>
        </w:rPr>
        <w:t>.</w:t>
      </w:r>
    </w:p>
    <w:p w:rsidR="00AC5EF9" w:rsidRPr="000B01C4" w:rsidRDefault="00AC5EF9" w:rsidP="000B01C4">
      <w:pPr>
        <w:spacing w:after="0" w:line="360" w:lineRule="auto"/>
        <w:jc w:val="both"/>
        <w:rPr>
          <w:rFonts w:ascii="Arial" w:eastAsiaTheme="minorEastAsia" w:hAnsi="Arial" w:cs="Arial"/>
          <w:sz w:val="24"/>
          <w:szCs w:val="24"/>
          <w:lang w:eastAsia="en-ZA"/>
        </w:rPr>
      </w:pPr>
    </w:p>
    <w:p w:rsidR="000B01C4" w:rsidRPr="00ED4FC7" w:rsidRDefault="000B01C4" w:rsidP="000B01C4">
      <w:pPr>
        <w:spacing w:after="0" w:line="360" w:lineRule="auto"/>
        <w:jc w:val="both"/>
        <w:rPr>
          <w:rFonts w:ascii="Arial" w:eastAsiaTheme="minorEastAsia" w:hAnsi="Arial" w:cs="Arial"/>
          <w:i/>
          <w:sz w:val="24"/>
          <w:szCs w:val="24"/>
          <w:lang w:eastAsia="en-ZA"/>
        </w:rPr>
      </w:pPr>
      <w:r w:rsidRPr="00ED4FC7">
        <w:rPr>
          <w:rFonts w:ascii="Arial" w:eastAsiaTheme="minorEastAsia" w:hAnsi="Arial" w:cs="Arial"/>
          <w:i/>
          <w:sz w:val="24"/>
          <w:szCs w:val="24"/>
          <w:lang w:eastAsia="en-ZA"/>
        </w:rPr>
        <w:t>Issues for determination</w:t>
      </w:r>
    </w:p>
    <w:p w:rsidR="00AC5EF9" w:rsidRDefault="00AC5EF9" w:rsidP="000B01C4">
      <w:pPr>
        <w:spacing w:after="0" w:line="360" w:lineRule="auto"/>
        <w:jc w:val="both"/>
        <w:rPr>
          <w:rFonts w:ascii="Arial" w:eastAsiaTheme="minorEastAsia" w:hAnsi="Arial" w:cs="Arial"/>
          <w:sz w:val="24"/>
          <w:szCs w:val="24"/>
          <w:lang w:eastAsia="en-ZA"/>
        </w:rPr>
      </w:pPr>
    </w:p>
    <w:p w:rsidR="000B01C4" w:rsidRPr="000B01C4" w:rsidRDefault="00AC5EF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[11]</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In cases of this nature there are two main issues to decide: Firstly, whether there are criminal proceedings on going o</w:t>
      </w:r>
      <w:r w:rsidR="00ED4FC7">
        <w:rPr>
          <w:rFonts w:ascii="Arial" w:eastAsiaTheme="minorEastAsia" w:hAnsi="Arial" w:cs="Arial"/>
          <w:sz w:val="24"/>
          <w:szCs w:val="24"/>
          <w:lang w:eastAsia="en-ZA"/>
        </w:rPr>
        <w:t>r pending against the applicant (S</w:t>
      </w:r>
      <w:r w:rsidR="000B01C4" w:rsidRPr="000B01C4">
        <w:rPr>
          <w:rFonts w:ascii="Arial" w:eastAsiaTheme="minorEastAsia" w:hAnsi="Arial" w:cs="Arial"/>
          <w:sz w:val="24"/>
          <w:szCs w:val="24"/>
          <w:lang w:eastAsia="en-ZA"/>
        </w:rPr>
        <w:t xml:space="preserve">ee Damaseb JP in </w:t>
      </w:r>
      <w:r w:rsidR="000B01C4" w:rsidRPr="000B01C4">
        <w:rPr>
          <w:rFonts w:ascii="Arial" w:eastAsiaTheme="minorEastAsia" w:hAnsi="Arial" w:cs="Arial"/>
          <w:sz w:val="24"/>
          <w:szCs w:val="24"/>
          <w:lang w:eastAsia="en-ZA"/>
        </w:rPr>
        <w:lastRenderedPageBreak/>
        <w:t>the matter of </w:t>
      </w:r>
      <w:r w:rsidR="000B01C4" w:rsidRPr="000B01C4">
        <w:rPr>
          <w:rFonts w:ascii="Arial" w:eastAsiaTheme="minorEastAsia" w:hAnsi="Arial" w:cs="Arial"/>
          <w:i/>
          <w:iCs/>
          <w:sz w:val="24"/>
          <w:szCs w:val="24"/>
          <w:lang w:eastAsia="en-ZA"/>
        </w:rPr>
        <w:t>Akuake v Jansen Van Rensburg</w:t>
      </w:r>
      <w:r w:rsidR="000B49A6">
        <w:rPr>
          <w:rFonts w:ascii="Arial" w:eastAsiaTheme="minorEastAsia" w:hAnsi="Arial" w:cs="Arial"/>
          <w:i/>
          <w:iCs/>
          <w:sz w:val="24"/>
          <w:szCs w:val="24"/>
          <w:lang w:eastAsia="en-ZA"/>
        </w:rPr>
        <w:t xml:space="preserve"> </w:t>
      </w:r>
      <w:r w:rsidR="000B49A6" w:rsidRPr="000B49A6">
        <w:rPr>
          <w:rFonts w:ascii="Arial" w:eastAsiaTheme="minorEastAsia" w:hAnsi="Arial" w:cs="Arial"/>
          <w:iCs/>
          <w:sz w:val="24"/>
          <w:szCs w:val="24"/>
          <w:lang w:eastAsia="en-ZA"/>
        </w:rPr>
        <w:t>(I</w:t>
      </w:r>
      <w:r w:rsidR="000B49A6">
        <w:rPr>
          <w:rFonts w:ascii="Arial" w:eastAsiaTheme="minorEastAsia" w:hAnsi="Arial" w:cs="Arial"/>
          <w:sz w:val="24"/>
          <w:szCs w:val="24"/>
          <w:lang w:eastAsia="en-ZA"/>
        </w:rPr>
        <w:t xml:space="preserve"> 2619/2006) [2009] NAHC 12 (09 February 2009).</w:t>
      </w:r>
      <w:r w:rsidR="000B49A6" w:rsidRPr="000B49A6">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Secondly, whether the circumstances relied upon by the applicant can be construed as except</w:t>
      </w:r>
      <w:r w:rsidR="004F23AF">
        <w:rPr>
          <w:rFonts w:ascii="Arial" w:eastAsiaTheme="minorEastAsia" w:hAnsi="Arial" w:cs="Arial"/>
          <w:sz w:val="24"/>
          <w:szCs w:val="24"/>
          <w:lang w:eastAsia="en-ZA"/>
        </w:rPr>
        <w:t xml:space="preserve">ional circumstances. </w:t>
      </w:r>
      <w:bookmarkStart w:id="0" w:name="_GoBack"/>
      <w:bookmarkEnd w:id="0"/>
    </w:p>
    <w:p w:rsidR="00BF442A" w:rsidRDefault="00BF442A" w:rsidP="000B01C4">
      <w:pPr>
        <w:spacing w:after="0" w:line="360" w:lineRule="auto"/>
        <w:jc w:val="both"/>
        <w:rPr>
          <w:rFonts w:ascii="Arial" w:eastAsiaTheme="minorEastAsia" w:hAnsi="Arial" w:cs="Arial"/>
          <w:sz w:val="24"/>
          <w:szCs w:val="24"/>
          <w:lang w:eastAsia="en-ZA"/>
        </w:rPr>
      </w:pPr>
    </w:p>
    <w:p w:rsidR="000B01C4" w:rsidRPr="000B01C4" w:rsidRDefault="00BF442A"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[12]</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In </w:t>
      </w:r>
      <w:r w:rsidR="000B01C4" w:rsidRPr="00BF442A">
        <w:rPr>
          <w:rFonts w:ascii="Arial" w:eastAsiaTheme="minorEastAsia" w:hAnsi="Arial" w:cs="Arial"/>
          <w:i/>
          <w:sz w:val="24"/>
          <w:szCs w:val="24"/>
          <w:lang w:eastAsia="en-ZA"/>
        </w:rPr>
        <w:t>casu</w:t>
      </w:r>
      <w:r w:rsidR="000B01C4" w:rsidRPr="000B01C4">
        <w:rPr>
          <w:rFonts w:ascii="Arial" w:eastAsiaTheme="minorEastAsia" w:hAnsi="Arial" w:cs="Arial"/>
          <w:sz w:val="24"/>
          <w:szCs w:val="24"/>
          <w:lang w:eastAsia="en-ZA"/>
        </w:rPr>
        <w:t xml:space="preserve"> both applicant and respondent c</w:t>
      </w:r>
      <w:r w:rsidR="000B49A6">
        <w:rPr>
          <w:rFonts w:ascii="Arial" w:eastAsiaTheme="minorEastAsia" w:hAnsi="Arial" w:cs="Arial"/>
          <w:sz w:val="24"/>
          <w:szCs w:val="24"/>
          <w:lang w:eastAsia="en-ZA"/>
        </w:rPr>
        <w:t>oncede that the first issue has</w:t>
      </w:r>
      <w:r w:rsidR="000B01C4" w:rsidRPr="000B01C4">
        <w:rPr>
          <w:rFonts w:ascii="Arial" w:eastAsiaTheme="minorEastAsia" w:hAnsi="Arial" w:cs="Arial"/>
          <w:sz w:val="24"/>
          <w:szCs w:val="24"/>
          <w:lang w:eastAsia="en-ZA"/>
        </w:rPr>
        <w:t xml:space="preserve"> been satisfied.</w:t>
      </w:r>
      <w:r w:rsidR="002340EA">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My concentration is thus only on the second issue.</w:t>
      </w:r>
    </w:p>
    <w:p w:rsidR="002340EA" w:rsidRDefault="002340EA" w:rsidP="000B01C4">
      <w:pPr>
        <w:spacing w:after="0" w:line="360" w:lineRule="auto"/>
        <w:jc w:val="both"/>
        <w:rPr>
          <w:rFonts w:ascii="Arial" w:eastAsiaTheme="minorEastAsia" w:hAnsi="Arial" w:cs="Arial"/>
          <w:sz w:val="24"/>
          <w:szCs w:val="24"/>
          <w:lang w:eastAsia="en-ZA"/>
        </w:rPr>
      </w:pPr>
    </w:p>
    <w:p w:rsidR="000B01C4" w:rsidRDefault="000B01C4" w:rsidP="000B01C4">
      <w:pPr>
        <w:spacing w:after="0" w:line="360" w:lineRule="auto"/>
        <w:jc w:val="both"/>
        <w:rPr>
          <w:rFonts w:ascii="Arial" w:eastAsiaTheme="minorEastAsia" w:hAnsi="Arial" w:cs="Arial"/>
          <w:i/>
          <w:sz w:val="24"/>
          <w:szCs w:val="24"/>
          <w:lang w:eastAsia="en-ZA"/>
        </w:rPr>
      </w:pPr>
      <w:r w:rsidRPr="002340EA">
        <w:rPr>
          <w:rFonts w:ascii="Arial" w:eastAsiaTheme="minorEastAsia" w:hAnsi="Arial" w:cs="Arial"/>
          <w:i/>
          <w:sz w:val="24"/>
          <w:szCs w:val="24"/>
          <w:lang w:eastAsia="en-ZA"/>
        </w:rPr>
        <w:t>Applicable legal principles</w:t>
      </w:r>
    </w:p>
    <w:p w:rsidR="000B49A6" w:rsidRPr="002340EA" w:rsidRDefault="000B49A6" w:rsidP="000B01C4">
      <w:pPr>
        <w:spacing w:after="0" w:line="360" w:lineRule="auto"/>
        <w:jc w:val="both"/>
        <w:rPr>
          <w:rFonts w:ascii="Arial" w:eastAsiaTheme="minorEastAsia" w:hAnsi="Arial" w:cs="Arial"/>
          <w:i/>
          <w:sz w:val="24"/>
          <w:szCs w:val="24"/>
          <w:lang w:eastAsia="en-ZA"/>
        </w:rPr>
      </w:pPr>
    </w:p>
    <w:p w:rsidR="000B01C4" w:rsidRPr="000B01C4" w:rsidRDefault="002340EA" w:rsidP="000B01C4">
      <w:pPr>
        <w:spacing w:after="0" w:line="360" w:lineRule="auto"/>
        <w:jc w:val="both"/>
        <w:rPr>
          <w:rFonts w:ascii="Arial" w:eastAsiaTheme="minorEastAsia" w:hAnsi="Arial" w:cs="Arial"/>
          <w:sz w:val="24"/>
          <w:szCs w:val="24"/>
          <w:u w:val="single"/>
          <w:lang w:eastAsia="en-ZA"/>
        </w:rPr>
      </w:pPr>
      <w:r>
        <w:rPr>
          <w:rFonts w:ascii="Arial" w:eastAsiaTheme="minorEastAsia" w:hAnsi="Arial" w:cs="Arial"/>
          <w:sz w:val="24"/>
          <w:szCs w:val="24"/>
          <w:lang w:eastAsia="en-ZA"/>
        </w:rPr>
        <w:t>[13]</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In the matter of </w:t>
      </w:r>
      <w:r w:rsidR="000B01C4" w:rsidRPr="002340EA">
        <w:rPr>
          <w:rFonts w:ascii="Arial" w:eastAsiaTheme="minorEastAsia" w:hAnsi="Arial" w:cs="Arial"/>
          <w:i/>
          <w:sz w:val="24"/>
          <w:szCs w:val="24"/>
          <w:lang w:eastAsia="en-ZA"/>
        </w:rPr>
        <w:t>The Prosecutor-General v Mwananyambe</w:t>
      </w:r>
      <w:r w:rsidR="000B01C4" w:rsidRPr="000B01C4">
        <w:rPr>
          <w:rFonts w:ascii="Arial" w:eastAsiaTheme="minorEastAsia" w:hAnsi="Arial" w:cs="Arial"/>
          <w:sz w:val="24"/>
          <w:szCs w:val="24"/>
          <w:lang w:eastAsia="en-ZA"/>
        </w:rPr>
        <w:t xml:space="preserve"> (I 18/2014) [2017] NAHCMD 48 (24 February 2017) ad par</w:t>
      </w:r>
      <w:r w:rsidR="000B49A6">
        <w:rPr>
          <w:rFonts w:ascii="Arial" w:eastAsiaTheme="minorEastAsia" w:hAnsi="Arial" w:cs="Arial"/>
          <w:sz w:val="24"/>
          <w:szCs w:val="24"/>
          <w:lang w:eastAsia="en-ZA"/>
        </w:rPr>
        <w:t>a</w:t>
      </w:r>
      <w:r w:rsidR="000B01C4" w:rsidRPr="000B01C4">
        <w:rPr>
          <w:rFonts w:ascii="Arial" w:eastAsiaTheme="minorEastAsia" w:hAnsi="Arial" w:cs="Arial"/>
          <w:sz w:val="24"/>
          <w:szCs w:val="24"/>
          <w:lang w:eastAsia="en-ZA"/>
        </w:rPr>
        <w:t xml:space="preserve"> 24, the court held that: ‘</w:t>
      </w:r>
      <w:r w:rsidR="000B01C4" w:rsidRPr="00257345">
        <w:rPr>
          <w:rFonts w:ascii="Arial" w:eastAsiaTheme="minorEastAsia" w:hAnsi="Arial" w:cs="Arial"/>
          <w:lang w:eastAsia="en-ZA"/>
        </w:rPr>
        <w:t>the main purpose for the stay of civil proceedings is to protect the uprightness of the criminal justice system and to avoid any prejudice against the accused’</w:t>
      </w:r>
      <w:r w:rsidR="000B49A6">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this court is not in position to speculate or imagine what prejudice the applicant will suffer. The court will only order a stay in order to prevent an injustice taking place but will only do so provided the applicant can show that there is a real danger and not a</w:t>
      </w:r>
      <w:r w:rsidR="000B49A6">
        <w:rPr>
          <w:rFonts w:ascii="Arial" w:eastAsiaTheme="minorEastAsia" w:hAnsi="Arial" w:cs="Arial"/>
          <w:sz w:val="24"/>
          <w:szCs w:val="24"/>
          <w:lang w:eastAsia="en-ZA"/>
        </w:rPr>
        <w:t>n imaginary or speculative one.</w:t>
      </w:r>
    </w:p>
    <w:p w:rsidR="002340EA" w:rsidRDefault="002340EA" w:rsidP="000B01C4">
      <w:pPr>
        <w:spacing w:after="0" w:line="360" w:lineRule="auto"/>
        <w:jc w:val="both"/>
        <w:rPr>
          <w:rFonts w:ascii="Arial" w:eastAsiaTheme="minorEastAsia" w:hAnsi="Arial" w:cs="Arial"/>
          <w:sz w:val="24"/>
          <w:szCs w:val="24"/>
          <w:lang w:eastAsia="en-ZA"/>
        </w:rPr>
      </w:pPr>
    </w:p>
    <w:p w:rsidR="004F23AF" w:rsidRDefault="002340EA"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[14]</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The court further stated</w:t>
      </w:r>
      <w:r w:rsidR="000B49A6">
        <w:rPr>
          <w:rFonts w:ascii="Arial" w:eastAsiaTheme="minorEastAsia" w:hAnsi="Arial" w:cs="Arial"/>
          <w:sz w:val="24"/>
          <w:szCs w:val="24"/>
          <w:lang w:eastAsia="en-ZA"/>
        </w:rPr>
        <w:t xml:space="preserve"> in</w:t>
      </w:r>
      <w:r w:rsidR="000B49A6" w:rsidRPr="000B49A6">
        <w:t xml:space="preserve"> </w:t>
      </w:r>
      <w:r w:rsidR="000B49A6" w:rsidRPr="000B49A6">
        <w:rPr>
          <w:rFonts w:ascii="Arial" w:eastAsiaTheme="minorEastAsia" w:hAnsi="Arial" w:cs="Arial"/>
          <w:i/>
          <w:sz w:val="24"/>
          <w:szCs w:val="24"/>
          <w:lang w:eastAsia="en-ZA"/>
        </w:rPr>
        <w:t>The Prosecutor-General v Mwananyambe</w:t>
      </w:r>
      <w:r w:rsidR="000B49A6">
        <w:rPr>
          <w:rFonts w:ascii="Arial" w:eastAsiaTheme="minorEastAsia" w:hAnsi="Arial" w:cs="Arial"/>
          <w:sz w:val="24"/>
          <w:szCs w:val="24"/>
          <w:lang w:eastAsia="en-ZA"/>
        </w:rPr>
        <w:t xml:space="preserve"> </w:t>
      </w:r>
      <w:r w:rsidR="000B49A6" w:rsidRPr="000B01C4">
        <w:rPr>
          <w:rFonts w:ascii="Arial" w:eastAsiaTheme="minorEastAsia" w:hAnsi="Arial" w:cs="Arial"/>
          <w:sz w:val="24"/>
          <w:szCs w:val="24"/>
          <w:lang w:eastAsia="en-ZA"/>
        </w:rPr>
        <w:t>the</w:t>
      </w:r>
      <w:r w:rsidR="000B01C4" w:rsidRPr="000B01C4">
        <w:rPr>
          <w:rFonts w:ascii="Arial" w:eastAsiaTheme="minorEastAsia" w:hAnsi="Arial" w:cs="Arial"/>
          <w:sz w:val="24"/>
          <w:szCs w:val="24"/>
          <w:lang w:eastAsia="en-ZA"/>
        </w:rPr>
        <w:t xml:space="preserve"> following</w:t>
      </w:r>
      <w:r w:rsidR="000B49A6">
        <w:rPr>
          <w:rFonts w:ascii="Arial" w:eastAsiaTheme="minorEastAsia" w:hAnsi="Arial" w:cs="Arial"/>
          <w:sz w:val="24"/>
          <w:szCs w:val="24"/>
          <w:lang w:eastAsia="en-ZA"/>
        </w:rPr>
        <w:t xml:space="preserve">; </w:t>
      </w:r>
    </w:p>
    <w:p w:rsidR="004F23AF" w:rsidRDefault="004F23AF" w:rsidP="004F23AF">
      <w:pPr>
        <w:spacing w:after="0" w:line="360" w:lineRule="auto"/>
        <w:ind w:firstLine="720"/>
        <w:jc w:val="both"/>
        <w:rPr>
          <w:rFonts w:ascii="Arial" w:eastAsiaTheme="minorEastAsia" w:hAnsi="Arial" w:cs="Arial"/>
          <w:sz w:val="24"/>
          <w:szCs w:val="24"/>
          <w:lang w:eastAsia="en-ZA"/>
        </w:rPr>
      </w:pPr>
    </w:p>
    <w:p w:rsidR="000B01C4" w:rsidRDefault="000B49A6" w:rsidP="004F23AF">
      <w:pPr>
        <w:spacing w:after="0" w:line="360" w:lineRule="auto"/>
        <w:ind w:firstLine="720"/>
        <w:jc w:val="both"/>
        <w:rPr>
          <w:rFonts w:ascii="Arial" w:eastAsiaTheme="minorEastAsia" w:hAnsi="Arial" w:cs="Arial"/>
          <w:sz w:val="24"/>
          <w:szCs w:val="24"/>
          <w:lang w:eastAsia="en-ZA"/>
        </w:rPr>
      </w:pPr>
      <w:r w:rsidRPr="000B49A6">
        <w:rPr>
          <w:rFonts w:ascii="Arial" w:eastAsiaTheme="minorEastAsia" w:hAnsi="Arial" w:cs="Arial"/>
          <w:lang w:eastAsia="en-ZA"/>
        </w:rPr>
        <w:t>‘</w:t>
      </w:r>
      <w:r w:rsidR="000B01C4" w:rsidRPr="000B49A6">
        <w:rPr>
          <w:rFonts w:ascii="Arial" w:eastAsiaTheme="minorEastAsia" w:hAnsi="Arial" w:cs="Arial"/>
          <w:lang w:eastAsia="en-ZA"/>
        </w:rPr>
        <w:t>It would appear to me that in most cases, applications for stay of proceedings are made in respect of civil proceedings where both criminal as well as civil proceedings are based on the same facts. In such cases, the main purpose for the stay of civil proceedings is to protect the integrity of the criminal justice system and to avoid an</w:t>
      </w:r>
      <w:r w:rsidRPr="000B49A6">
        <w:rPr>
          <w:rFonts w:ascii="Arial" w:eastAsiaTheme="minorEastAsia" w:hAnsi="Arial" w:cs="Arial"/>
          <w:lang w:eastAsia="en-ZA"/>
        </w:rPr>
        <w:t>y prejudice against the accused…’</w:t>
      </w:r>
      <w:r w:rsidR="000B01C4" w:rsidRPr="000B01C4">
        <w:rPr>
          <w:rFonts w:ascii="Arial" w:eastAsiaTheme="minorEastAsia" w:hAnsi="Arial" w:cs="Arial"/>
          <w:sz w:val="24"/>
          <w:szCs w:val="24"/>
          <w:lang w:eastAsia="en-ZA"/>
        </w:rPr>
        <w:t xml:space="preserve"> </w:t>
      </w:r>
    </w:p>
    <w:p w:rsidR="00B033E9" w:rsidRPr="000B01C4" w:rsidRDefault="00B033E9" w:rsidP="000B01C4">
      <w:pPr>
        <w:spacing w:after="0" w:line="360" w:lineRule="auto"/>
        <w:jc w:val="both"/>
        <w:rPr>
          <w:rFonts w:ascii="Arial" w:eastAsiaTheme="minorEastAsia" w:hAnsi="Arial" w:cs="Arial"/>
          <w:sz w:val="24"/>
          <w:szCs w:val="24"/>
          <w:lang w:eastAsia="en-ZA"/>
        </w:rPr>
      </w:pPr>
    </w:p>
    <w:p w:rsidR="000B01C4" w:rsidRPr="000B01C4" w:rsidRDefault="00B033E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[15]</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w:t>
      </w:r>
      <w:r w:rsidR="00D62443">
        <w:rPr>
          <w:rFonts w:ascii="Arial" w:eastAsiaTheme="minorEastAsia" w:hAnsi="Arial" w:cs="Arial"/>
          <w:sz w:val="24"/>
          <w:szCs w:val="24"/>
          <w:lang w:eastAsia="en-ZA"/>
        </w:rPr>
        <w:t xml:space="preserve"> share the same sentiment with </w:t>
      </w:r>
      <w:r w:rsidR="000B01C4" w:rsidRPr="000B01C4">
        <w:rPr>
          <w:rFonts w:ascii="Arial" w:eastAsiaTheme="minorEastAsia" w:hAnsi="Arial" w:cs="Arial"/>
          <w:sz w:val="24"/>
          <w:szCs w:val="24"/>
          <w:lang w:eastAsia="en-ZA"/>
        </w:rPr>
        <w:t xml:space="preserve">Masuku J </w:t>
      </w:r>
      <w:r w:rsidR="009A33AC" w:rsidRPr="000B01C4">
        <w:rPr>
          <w:rFonts w:ascii="Arial" w:eastAsiaTheme="minorEastAsia" w:hAnsi="Arial" w:cs="Arial"/>
          <w:sz w:val="24"/>
          <w:szCs w:val="24"/>
          <w:lang w:eastAsia="en-ZA"/>
        </w:rPr>
        <w:t>in</w:t>
      </w:r>
      <w:r w:rsidR="000B01C4" w:rsidRPr="000B01C4">
        <w:rPr>
          <w:rFonts w:ascii="Arial" w:eastAsiaTheme="minorEastAsia" w:hAnsi="Arial" w:cs="Arial"/>
          <w:sz w:val="24"/>
          <w:szCs w:val="24"/>
          <w:lang w:eastAsia="en-ZA"/>
        </w:rPr>
        <w:t xml:space="preserve"> </w:t>
      </w:r>
      <w:r w:rsidR="000B01C4" w:rsidRPr="00B033E9">
        <w:rPr>
          <w:rFonts w:ascii="Arial" w:eastAsiaTheme="minorEastAsia" w:hAnsi="Arial" w:cs="Arial"/>
          <w:i/>
          <w:sz w:val="24"/>
          <w:szCs w:val="24"/>
          <w:lang w:eastAsia="en-ZA"/>
        </w:rPr>
        <w:t>Mouton v Gaoseb</w:t>
      </w:r>
      <w:r w:rsidR="000B01C4" w:rsidRPr="000B01C4">
        <w:rPr>
          <w:rFonts w:ascii="Arial" w:eastAsiaTheme="minorEastAsia" w:hAnsi="Arial" w:cs="Arial"/>
          <w:sz w:val="24"/>
          <w:szCs w:val="24"/>
          <w:lang w:eastAsia="en-ZA"/>
        </w:rPr>
        <w:t xml:space="preserve"> </w:t>
      </w:r>
      <w:r w:rsidR="009A33AC">
        <w:rPr>
          <w:rFonts w:ascii="Arial" w:eastAsiaTheme="minorEastAsia" w:hAnsi="Arial" w:cs="Arial"/>
          <w:sz w:val="24"/>
          <w:szCs w:val="24"/>
          <w:lang w:eastAsia="en-ZA"/>
        </w:rPr>
        <w:t>(I 4215</w:t>
      </w:r>
      <w:r w:rsidR="009A33AC" w:rsidRPr="009A33AC">
        <w:rPr>
          <w:rFonts w:ascii="Arial" w:eastAsiaTheme="minorEastAsia" w:hAnsi="Arial" w:cs="Arial"/>
          <w:sz w:val="24"/>
          <w:szCs w:val="24"/>
          <w:lang w:eastAsia="en-ZA"/>
        </w:rPr>
        <w:t>/2011</w:t>
      </w:r>
      <w:r w:rsidR="009A33AC">
        <w:rPr>
          <w:rFonts w:ascii="Arial" w:eastAsiaTheme="minorEastAsia" w:hAnsi="Arial" w:cs="Arial"/>
          <w:sz w:val="24"/>
          <w:szCs w:val="24"/>
          <w:lang w:eastAsia="en-ZA"/>
        </w:rPr>
        <w:t xml:space="preserve">) </w:t>
      </w:r>
      <w:r w:rsidR="009A33AC" w:rsidRPr="009A33AC">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2015] NAHCMD 257</w:t>
      </w:r>
      <w:r w:rsidR="009A33AC">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28 October 2015) para 20, where he held that: ‘</w:t>
      </w:r>
      <w:r w:rsidR="000B01C4" w:rsidRPr="009A33AC">
        <w:rPr>
          <w:rFonts w:ascii="Arial" w:eastAsiaTheme="minorEastAsia" w:hAnsi="Arial" w:cs="Arial"/>
          <w:lang w:eastAsia="en-ZA"/>
        </w:rPr>
        <w:t>It thus becomes clear that applications for stay of proceedings are not granted lightly and merely for the asking. It would seem that exceptional circumstances must be proved to be extant before the court may resort to this measure</w:t>
      </w:r>
      <w:r w:rsidR="000B01C4" w:rsidRPr="000B01C4">
        <w:rPr>
          <w:rFonts w:ascii="Arial" w:eastAsiaTheme="minorEastAsia" w:hAnsi="Arial" w:cs="Arial"/>
          <w:sz w:val="24"/>
          <w:szCs w:val="24"/>
          <w:lang w:eastAsia="en-ZA"/>
        </w:rPr>
        <w:t>.</w:t>
      </w:r>
      <w:r w:rsidR="009A33AC">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 xml:space="preserve"> </w:t>
      </w:r>
    </w:p>
    <w:p w:rsidR="00B033E9" w:rsidRDefault="00B033E9" w:rsidP="000B01C4">
      <w:pPr>
        <w:spacing w:after="0" w:line="360" w:lineRule="auto"/>
        <w:jc w:val="both"/>
        <w:rPr>
          <w:rFonts w:ascii="Arial" w:eastAsiaTheme="minorEastAsia" w:hAnsi="Arial" w:cs="Arial"/>
          <w:sz w:val="24"/>
          <w:szCs w:val="24"/>
          <w:lang w:eastAsia="en-ZA"/>
        </w:rPr>
      </w:pPr>
    </w:p>
    <w:p w:rsidR="000B01C4" w:rsidRPr="000B01C4" w:rsidRDefault="00B033E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[16]</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It is trite that the High Court have a discretion to suspend civil proceedings where there are criminal proceedings pending in respect of the same issues.</w:t>
      </w:r>
      <w:r w:rsidR="009A33AC">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 xml:space="preserve">In exercising its </w:t>
      </w:r>
      <w:r w:rsidR="000B01C4" w:rsidRPr="000B01C4">
        <w:rPr>
          <w:rFonts w:ascii="Arial" w:eastAsiaTheme="minorEastAsia" w:hAnsi="Arial" w:cs="Arial"/>
          <w:sz w:val="24"/>
          <w:szCs w:val="24"/>
          <w:lang w:eastAsia="en-ZA"/>
        </w:rPr>
        <w:lastRenderedPageBreak/>
        <w:t>discretion the court will have regard to inter alia the extent to which the person’s right to a fair trial might be implicated if the civil proceedings are allowed to proceed prio</w:t>
      </w:r>
      <w:r w:rsidR="009A33AC">
        <w:rPr>
          <w:rFonts w:ascii="Arial" w:eastAsiaTheme="minorEastAsia" w:hAnsi="Arial" w:cs="Arial"/>
          <w:sz w:val="24"/>
          <w:szCs w:val="24"/>
          <w:lang w:eastAsia="en-ZA"/>
        </w:rPr>
        <w:t>r to the criminal proceedings.</w:t>
      </w:r>
    </w:p>
    <w:p w:rsidR="00B033E9" w:rsidRDefault="00B033E9" w:rsidP="000B01C4">
      <w:pPr>
        <w:spacing w:after="0" w:line="360" w:lineRule="auto"/>
        <w:jc w:val="both"/>
        <w:rPr>
          <w:rFonts w:ascii="Arial" w:eastAsiaTheme="minorEastAsia" w:hAnsi="Arial" w:cs="Arial"/>
          <w:sz w:val="24"/>
          <w:szCs w:val="24"/>
          <w:lang w:eastAsia="en-ZA"/>
        </w:rPr>
      </w:pPr>
    </w:p>
    <w:p w:rsidR="000B01C4" w:rsidRPr="000B01C4" w:rsidRDefault="00B033E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[17]</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 am of the view that the court must be satisfied that there is a danger that the accused might be prejudiced in the conduct of her defence in the criminal matter if the civil case is allowed to proceed before the finalisation </w:t>
      </w:r>
      <w:r w:rsidR="009A33AC">
        <w:rPr>
          <w:rFonts w:ascii="Arial" w:eastAsiaTheme="minorEastAsia" w:hAnsi="Arial" w:cs="Arial"/>
          <w:sz w:val="24"/>
          <w:szCs w:val="24"/>
          <w:lang w:eastAsia="en-ZA"/>
        </w:rPr>
        <w:t>of the criminal case against her.</w:t>
      </w:r>
    </w:p>
    <w:p w:rsidR="00B033E9" w:rsidRDefault="00B033E9" w:rsidP="000B01C4">
      <w:pPr>
        <w:spacing w:after="0" w:line="360" w:lineRule="auto"/>
        <w:jc w:val="both"/>
        <w:rPr>
          <w:rFonts w:ascii="Arial" w:eastAsiaTheme="minorEastAsia" w:hAnsi="Arial" w:cs="Arial"/>
          <w:sz w:val="24"/>
          <w:szCs w:val="24"/>
          <w:u w:val="single"/>
          <w:lang w:eastAsia="en-ZA"/>
        </w:rPr>
      </w:pPr>
    </w:p>
    <w:p w:rsidR="000B01C4" w:rsidRDefault="000B01C4" w:rsidP="000B01C4">
      <w:pPr>
        <w:spacing w:after="0" w:line="360" w:lineRule="auto"/>
        <w:jc w:val="both"/>
        <w:rPr>
          <w:rFonts w:ascii="Arial" w:eastAsiaTheme="minorEastAsia" w:hAnsi="Arial" w:cs="Arial"/>
          <w:i/>
          <w:sz w:val="24"/>
          <w:szCs w:val="24"/>
          <w:lang w:eastAsia="en-ZA"/>
        </w:rPr>
      </w:pPr>
      <w:r w:rsidRPr="009A33AC">
        <w:rPr>
          <w:rFonts w:ascii="Arial" w:eastAsiaTheme="minorEastAsia" w:hAnsi="Arial" w:cs="Arial"/>
          <w:i/>
          <w:sz w:val="24"/>
          <w:szCs w:val="24"/>
          <w:lang w:eastAsia="en-ZA"/>
        </w:rPr>
        <w:t>The parties’ respective submissions and merits considered</w:t>
      </w:r>
    </w:p>
    <w:p w:rsidR="009A33AC" w:rsidRPr="009A33AC" w:rsidRDefault="009A33AC" w:rsidP="000B01C4">
      <w:pPr>
        <w:spacing w:after="0" w:line="360" w:lineRule="auto"/>
        <w:jc w:val="both"/>
        <w:rPr>
          <w:rFonts w:ascii="Arial" w:eastAsiaTheme="minorEastAsia" w:hAnsi="Arial" w:cs="Arial"/>
          <w:i/>
          <w:sz w:val="24"/>
          <w:szCs w:val="24"/>
          <w:lang w:eastAsia="en-ZA"/>
        </w:rPr>
      </w:pPr>
    </w:p>
    <w:p w:rsidR="000B01C4" w:rsidRPr="000B01C4" w:rsidRDefault="00B033E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[18]</w:t>
      </w:r>
      <w:r>
        <w:rPr>
          <w:rFonts w:ascii="Arial" w:eastAsiaTheme="minorEastAsia" w:hAnsi="Arial" w:cs="Arial"/>
          <w:sz w:val="24"/>
          <w:szCs w:val="24"/>
          <w:lang w:eastAsia="en-ZA"/>
        </w:rPr>
        <w:tab/>
      </w:r>
      <w:r w:rsidR="00F63272">
        <w:rPr>
          <w:rFonts w:ascii="Arial" w:eastAsiaTheme="minorEastAsia" w:hAnsi="Arial" w:cs="Arial"/>
          <w:sz w:val="24"/>
          <w:szCs w:val="24"/>
          <w:lang w:eastAsia="en-ZA"/>
        </w:rPr>
        <w:t>The applicant’</w:t>
      </w:r>
      <w:r w:rsidR="000B01C4" w:rsidRPr="000B01C4">
        <w:rPr>
          <w:rFonts w:ascii="Arial" w:eastAsiaTheme="minorEastAsia" w:hAnsi="Arial" w:cs="Arial"/>
          <w:sz w:val="24"/>
          <w:szCs w:val="24"/>
          <w:lang w:eastAsia="en-ZA"/>
        </w:rPr>
        <w:t>s submissions supplemented her founding affidavit where she</w:t>
      </w:r>
      <w:r w:rsidR="00B61010">
        <w:rPr>
          <w:rFonts w:ascii="Arial" w:eastAsiaTheme="minorEastAsia" w:hAnsi="Arial" w:cs="Arial"/>
          <w:sz w:val="24"/>
          <w:szCs w:val="24"/>
          <w:lang w:eastAsia="en-ZA"/>
        </w:rPr>
        <w:t xml:space="preserve"> stated that she </w:t>
      </w:r>
      <w:r w:rsidR="000B01C4" w:rsidRPr="000B01C4">
        <w:rPr>
          <w:rFonts w:ascii="Arial" w:eastAsiaTheme="minorEastAsia" w:hAnsi="Arial" w:cs="Arial"/>
          <w:sz w:val="24"/>
          <w:szCs w:val="24"/>
          <w:lang w:eastAsia="en-ZA"/>
        </w:rPr>
        <w:t xml:space="preserve">did </w:t>
      </w:r>
      <w:r w:rsidR="00F63272">
        <w:rPr>
          <w:rFonts w:ascii="Arial" w:eastAsiaTheme="minorEastAsia" w:hAnsi="Arial" w:cs="Arial"/>
          <w:sz w:val="24"/>
          <w:szCs w:val="24"/>
          <w:lang w:eastAsia="en-ZA"/>
        </w:rPr>
        <w:t>not receive any reply from the S</w:t>
      </w:r>
      <w:r w:rsidR="000B01C4" w:rsidRPr="000B01C4">
        <w:rPr>
          <w:rFonts w:ascii="Arial" w:eastAsiaTheme="minorEastAsia" w:hAnsi="Arial" w:cs="Arial"/>
          <w:sz w:val="24"/>
          <w:szCs w:val="24"/>
          <w:lang w:eastAsia="en-ZA"/>
        </w:rPr>
        <w:t>tate up</w:t>
      </w:r>
      <w:r>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 xml:space="preserve">to date and therefor she has no witnesses. Would the civil proceedings commence she would be obligated to testify and place her version of events before the Court to prove her claim and she will be burdened with the possibility of a severe cost order. </w:t>
      </w:r>
    </w:p>
    <w:p w:rsidR="00B033E9" w:rsidRDefault="00B033E9" w:rsidP="000B01C4">
      <w:pPr>
        <w:spacing w:after="0" w:line="360" w:lineRule="auto"/>
        <w:jc w:val="both"/>
        <w:rPr>
          <w:rFonts w:ascii="Arial" w:eastAsiaTheme="minorEastAsia" w:hAnsi="Arial" w:cs="Arial"/>
          <w:sz w:val="24"/>
          <w:szCs w:val="24"/>
          <w:lang w:eastAsia="en-ZA"/>
        </w:rPr>
      </w:pPr>
    </w:p>
    <w:p w:rsidR="000B01C4" w:rsidRPr="000B01C4" w:rsidRDefault="00B033E9"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[19]</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 </w:t>
      </w:r>
      <w:r w:rsidR="00F63272">
        <w:rPr>
          <w:rFonts w:ascii="Arial" w:eastAsiaTheme="minorEastAsia" w:hAnsi="Arial" w:cs="Arial"/>
          <w:sz w:val="24"/>
          <w:szCs w:val="24"/>
          <w:lang w:eastAsia="en-ZA"/>
        </w:rPr>
        <w:t xml:space="preserve">take cognisance of the applicant’s above-mentioned argument as well as her submission </w:t>
      </w:r>
      <w:r w:rsidR="000B01C4" w:rsidRPr="000B01C4">
        <w:rPr>
          <w:rFonts w:ascii="Arial" w:eastAsiaTheme="minorEastAsia" w:hAnsi="Arial" w:cs="Arial"/>
          <w:sz w:val="24"/>
          <w:szCs w:val="24"/>
          <w:lang w:eastAsia="en-ZA"/>
        </w:rPr>
        <w:t xml:space="preserve">that she would then run the risk </w:t>
      </w:r>
      <w:r w:rsidR="00866078">
        <w:rPr>
          <w:rFonts w:ascii="Arial" w:eastAsiaTheme="minorEastAsia" w:hAnsi="Arial" w:cs="Arial"/>
          <w:sz w:val="24"/>
          <w:szCs w:val="24"/>
          <w:lang w:eastAsia="en-ZA"/>
        </w:rPr>
        <w:t xml:space="preserve">of </w:t>
      </w:r>
      <w:r w:rsidR="00B61010">
        <w:rPr>
          <w:rFonts w:ascii="Arial" w:eastAsiaTheme="minorEastAsia" w:hAnsi="Arial" w:cs="Arial"/>
          <w:sz w:val="24"/>
          <w:szCs w:val="24"/>
          <w:lang w:eastAsia="en-ZA"/>
        </w:rPr>
        <w:t>contradicting herself</w:t>
      </w:r>
      <w:r w:rsidR="00F63272">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 xml:space="preserve"> alternatively tender evidence either in main examination and/or cross-examination which, although not relevant to the civil dispute, may have a severe impact upon her criminal matter.  </w:t>
      </w:r>
    </w:p>
    <w:p w:rsidR="00915E4E" w:rsidRDefault="00915E4E" w:rsidP="000B01C4">
      <w:pPr>
        <w:spacing w:after="0" w:line="360" w:lineRule="auto"/>
        <w:jc w:val="both"/>
        <w:rPr>
          <w:rFonts w:ascii="Arial" w:eastAsiaTheme="minorEastAsia" w:hAnsi="Arial" w:cs="Arial"/>
          <w:sz w:val="24"/>
          <w:szCs w:val="24"/>
          <w:lang w:eastAsia="en-ZA"/>
        </w:rPr>
      </w:pPr>
    </w:p>
    <w:p w:rsid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[20]</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The respondent’s argument is that the plaintiff will suffer no prejudice as she has insight in all witness statements.</w:t>
      </w:r>
    </w:p>
    <w:p w:rsidR="00453E5F" w:rsidRPr="000B01C4" w:rsidRDefault="00453E5F" w:rsidP="000B01C4">
      <w:pPr>
        <w:spacing w:after="0" w:line="360" w:lineRule="auto"/>
        <w:jc w:val="both"/>
        <w:rPr>
          <w:rFonts w:ascii="Arial" w:eastAsiaTheme="minorEastAsia" w:hAnsi="Arial" w:cs="Arial"/>
          <w:sz w:val="24"/>
          <w:szCs w:val="24"/>
          <w:lang w:eastAsia="en-ZA"/>
        </w:rPr>
      </w:pPr>
    </w:p>
    <w:p w:rsidR="000B01C4" w:rsidRP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[21]</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 I am of the view that the state being </w:t>
      </w:r>
      <w:r w:rsidR="000B01C4" w:rsidRPr="000B01C4">
        <w:rPr>
          <w:rFonts w:ascii="Arial" w:eastAsiaTheme="minorEastAsia" w:hAnsi="Arial" w:cs="Arial"/>
          <w:i/>
          <w:sz w:val="24"/>
          <w:szCs w:val="24"/>
          <w:lang w:eastAsia="en-ZA"/>
        </w:rPr>
        <w:t>dominius litis</w:t>
      </w:r>
      <w:r w:rsidR="000B01C4" w:rsidRPr="000B01C4">
        <w:rPr>
          <w:rFonts w:ascii="Arial" w:eastAsiaTheme="minorEastAsia" w:hAnsi="Arial" w:cs="Arial"/>
          <w:sz w:val="24"/>
          <w:szCs w:val="24"/>
          <w:lang w:eastAsia="en-ZA"/>
        </w:rPr>
        <w:t xml:space="preserve"> is not bound by witness statements. </w:t>
      </w:r>
    </w:p>
    <w:p w:rsidR="00915E4E" w:rsidRDefault="00915E4E" w:rsidP="000B01C4">
      <w:pPr>
        <w:spacing w:after="0" w:line="360" w:lineRule="auto"/>
        <w:jc w:val="both"/>
        <w:rPr>
          <w:rFonts w:ascii="Arial" w:eastAsiaTheme="minorEastAsia" w:hAnsi="Arial" w:cs="Arial"/>
          <w:sz w:val="24"/>
          <w:szCs w:val="24"/>
          <w:lang w:eastAsia="en-ZA"/>
        </w:rPr>
      </w:pPr>
    </w:p>
    <w:p w:rsid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[22]</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It is also important not</w:t>
      </w:r>
      <w:r w:rsidR="00453E5F">
        <w:rPr>
          <w:rFonts w:ascii="Arial" w:eastAsiaTheme="minorEastAsia" w:hAnsi="Arial" w:cs="Arial"/>
          <w:sz w:val="24"/>
          <w:szCs w:val="24"/>
          <w:lang w:eastAsia="en-ZA"/>
        </w:rPr>
        <w:t xml:space="preserve"> to</w:t>
      </w:r>
      <w:r w:rsidR="000B01C4" w:rsidRPr="000B01C4">
        <w:rPr>
          <w:rFonts w:ascii="Arial" w:eastAsiaTheme="minorEastAsia" w:hAnsi="Arial" w:cs="Arial"/>
          <w:sz w:val="24"/>
          <w:szCs w:val="24"/>
          <w:lang w:eastAsia="en-ZA"/>
        </w:rPr>
        <w:t xml:space="preserve"> lose sight of the fact </w:t>
      </w:r>
      <w:r w:rsidR="00453E5F">
        <w:rPr>
          <w:rFonts w:ascii="Arial" w:eastAsiaTheme="minorEastAsia" w:hAnsi="Arial" w:cs="Arial"/>
          <w:sz w:val="24"/>
          <w:szCs w:val="24"/>
          <w:lang w:eastAsia="en-ZA"/>
        </w:rPr>
        <w:t>that the criminal proceedings are not</w:t>
      </w:r>
      <w:r w:rsidR="000B01C4" w:rsidRPr="000B01C4">
        <w:rPr>
          <w:rFonts w:ascii="Arial" w:eastAsiaTheme="minorEastAsia" w:hAnsi="Arial" w:cs="Arial"/>
          <w:sz w:val="24"/>
          <w:szCs w:val="24"/>
          <w:lang w:eastAsia="en-ZA"/>
        </w:rPr>
        <w:t xml:space="preserve"> under </w:t>
      </w:r>
      <w:r w:rsidR="00380CC8">
        <w:rPr>
          <w:rFonts w:ascii="Arial" w:eastAsiaTheme="minorEastAsia" w:hAnsi="Arial" w:cs="Arial"/>
          <w:sz w:val="24"/>
          <w:szCs w:val="24"/>
          <w:lang w:eastAsia="en-ZA"/>
        </w:rPr>
        <w:t xml:space="preserve">the </w:t>
      </w:r>
      <w:r w:rsidR="000B01C4" w:rsidRPr="000B01C4">
        <w:rPr>
          <w:rFonts w:ascii="Arial" w:eastAsiaTheme="minorEastAsia" w:hAnsi="Arial" w:cs="Arial"/>
          <w:sz w:val="24"/>
          <w:szCs w:val="24"/>
          <w:lang w:eastAsia="en-ZA"/>
        </w:rPr>
        <w:t xml:space="preserve">judicial case management of this court. The state is thus not prohibited to lead evidence in the manner they deem </w:t>
      </w:r>
      <w:r w:rsidR="00380CC8">
        <w:rPr>
          <w:rFonts w:ascii="Arial" w:eastAsiaTheme="minorEastAsia" w:hAnsi="Arial" w:cs="Arial"/>
          <w:sz w:val="24"/>
          <w:szCs w:val="24"/>
          <w:lang w:eastAsia="en-ZA"/>
        </w:rPr>
        <w:t xml:space="preserve">fit, </w:t>
      </w:r>
      <w:r w:rsidR="000B01C4" w:rsidRPr="000B01C4">
        <w:rPr>
          <w:rFonts w:ascii="Arial" w:eastAsiaTheme="minorEastAsia" w:hAnsi="Arial" w:cs="Arial"/>
          <w:sz w:val="24"/>
          <w:szCs w:val="24"/>
          <w:lang w:eastAsia="en-ZA"/>
        </w:rPr>
        <w:t>which includes the prerogative to add witnesses as the case progress</w:t>
      </w:r>
      <w:r w:rsidR="00380CC8">
        <w:rPr>
          <w:rFonts w:ascii="Arial" w:eastAsiaTheme="minorEastAsia" w:hAnsi="Arial" w:cs="Arial"/>
          <w:sz w:val="24"/>
          <w:szCs w:val="24"/>
          <w:lang w:eastAsia="en-ZA"/>
        </w:rPr>
        <w:t>es</w:t>
      </w:r>
      <w:r>
        <w:rPr>
          <w:rFonts w:ascii="Arial" w:eastAsiaTheme="minorEastAsia" w:hAnsi="Arial" w:cs="Arial"/>
          <w:sz w:val="24"/>
          <w:szCs w:val="24"/>
          <w:lang w:eastAsia="en-ZA"/>
        </w:rPr>
        <w:t>.</w:t>
      </w:r>
    </w:p>
    <w:p w:rsidR="00915E4E" w:rsidRPr="000B01C4" w:rsidRDefault="00915E4E" w:rsidP="000B01C4">
      <w:pPr>
        <w:spacing w:after="0" w:line="360" w:lineRule="auto"/>
        <w:jc w:val="both"/>
        <w:rPr>
          <w:rFonts w:ascii="Arial" w:eastAsiaTheme="minorEastAsia" w:hAnsi="Arial" w:cs="Arial"/>
          <w:sz w:val="24"/>
          <w:szCs w:val="24"/>
          <w:lang w:eastAsia="en-ZA"/>
        </w:rPr>
      </w:pPr>
    </w:p>
    <w:p w:rsid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[23]</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The respondent further </w:t>
      </w:r>
      <w:r w:rsidR="00380CC8" w:rsidRPr="000B01C4">
        <w:rPr>
          <w:rFonts w:ascii="Arial" w:eastAsiaTheme="minorEastAsia" w:hAnsi="Arial" w:cs="Arial"/>
          <w:sz w:val="24"/>
          <w:szCs w:val="24"/>
          <w:lang w:eastAsia="en-ZA"/>
        </w:rPr>
        <w:t>argued</w:t>
      </w:r>
      <w:r w:rsidR="000B01C4" w:rsidRPr="000B01C4">
        <w:rPr>
          <w:rFonts w:ascii="Arial" w:eastAsiaTheme="minorEastAsia" w:hAnsi="Arial" w:cs="Arial"/>
          <w:sz w:val="24"/>
          <w:szCs w:val="24"/>
          <w:lang w:eastAsia="en-ZA"/>
        </w:rPr>
        <w:t xml:space="preserve"> that the plaintiff may exercise her constitutional right to remain silent.</w:t>
      </w:r>
    </w:p>
    <w:p w:rsidR="00915E4E" w:rsidRPr="000B01C4" w:rsidRDefault="00915E4E" w:rsidP="000B01C4">
      <w:pPr>
        <w:spacing w:after="0" w:line="360" w:lineRule="auto"/>
        <w:jc w:val="both"/>
        <w:rPr>
          <w:rFonts w:ascii="Arial" w:eastAsiaTheme="minorEastAsia" w:hAnsi="Arial" w:cs="Arial"/>
          <w:sz w:val="24"/>
          <w:szCs w:val="24"/>
          <w:lang w:eastAsia="en-ZA"/>
        </w:rPr>
      </w:pPr>
    </w:p>
    <w:p w:rsidR="000B01C4" w:rsidRP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[24]</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 xml:space="preserve">In this </w:t>
      </w:r>
      <w:r w:rsidR="00380CC8" w:rsidRPr="000B01C4">
        <w:rPr>
          <w:rFonts w:ascii="Arial" w:eastAsiaTheme="minorEastAsia" w:hAnsi="Arial" w:cs="Arial"/>
          <w:sz w:val="24"/>
          <w:szCs w:val="24"/>
          <w:lang w:eastAsia="en-ZA"/>
        </w:rPr>
        <w:t>regard I</w:t>
      </w:r>
      <w:r w:rsidR="000B01C4" w:rsidRPr="000B01C4">
        <w:rPr>
          <w:rFonts w:ascii="Arial" w:eastAsiaTheme="minorEastAsia" w:hAnsi="Arial" w:cs="Arial"/>
          <w:sz w:val="24"/>
          <w:szCs w:val="24"/>
          <w:lang w:eastAsia="en-ZA"/>
        </w:rPr>
        <w:t xml:space="preserve"> turn to </w:t>
      </w:r>
      <w:r w:rsidR="00380CC8" w:rsidRPr="000B01C4">
        <w:rPr>
          <w:rFonts w:ascii="Arial" w:eastAsiaTheme="minorEastAsia" w:hAnsi="Arial" w:cs="Arial"/>
          <w:sz w:val="24"/>
          <w:szCs w:val="24"/>
          <w:lang w:eastAsia="en-ZA"/>
        </w:rPr>
        <w:t>the remarks</w:t>
      </w:r>
      <w:r w:rsidR="000B01C4" w:rsidRPr="000B01C4">
        <w:rPr>
          <w:rFonts w:ascii="Arial" w:eastAsiaTheme="minorEastAsia" w:hAnsi="Arial" w:cs="Arial"/>
          <w:sz w:val="24"/>
          <w:szCs w:val="24"/>
          <w:lang w:eastAsia="en-ZA"/>
        </w:rPr>
        <w:t xml:space="preserve"> made by Naidu, AJ in </w:t>
      </w:r>
      <w:r w:rsidR="000B01C4" w:rsidRPr="000B01C4">
        <w:rPr>
          <w:rFonts w:ascii="Arial" w:eastAsiaTheme="minorEastAsia" w:hAnsi="Arial" w:cs="Arial"/>
          <w:i/>
          <w:iCs/>
          <w:sz w:val="24"/>
          <w:szCs w:val="24"/>
          <w:lang w:eastAsia="en-ZA"/>
        </w:rPr>
        <w:t>S v Sidzija &amp; Others</w:t>
      </w:r>
      <w:r w:rsidR="00380CC8">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1995</w:t>
      </w:r>
      <w:r w:rsidR="00380CC8">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 xml:space="preserve">(12) BCLR 1626 (Dk) at 1648I to </w:t>
      </w:r>
      <w:r w:rsidR="00380CC8" w:rsidRPr="000B01C4">
        <w:rPr>
          <w:rFonts w:ascii="Arial" w:eastAsiaTheme="minorEastAsia" w:hAnsi="Arial" w:cs="Arial"/>
          <w:sz w:val="24"/>
          <w:szCs w:val="24"/>
          <w:lang w:eastAsia="en-ZA"/>
        </w:rPr>
        <w:t>1649B:</w:t>
      </w:r>
    </w:p>
    <w:p w:rsidR="000B01C4" w:rsidRPr="000B01C4" w:rsidRDefault="000B01C4" w:rsidP="000B01C4">
      <w:pPr>
        <w:spacing w:after="0" w:line="360" w:lineRule="auto"/>
        <w:jc w:val="both"/>
        <w:rPr>
          <w:rFonts w:ascii="Arial" w:eastAsiaTheme="minorEastAsia" w:hAnsi="Arial" w:cs="Arial"/>
          <w:sz w:val="24"/>
          <w:szCs w:val="24"/>
          <w:lang w:eastAsia="en-ZA"/>
        </w:rPr>
      </w:pPr>
    </w:p>
    <w:p w:rsidR="000B01C4" w:rsidRPr="000B01C4" w:rsidRDefault="00915E4E"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ab/>
        <w:t>‘</w:t>
      </w:r>
      <w:r>
        <w:rPr>
          <w:rFonts w:ascii="Arial" w:eastAsiaTheme="minorEastAsia" w:hAnsi="Arial" w:cs="Arial"/>
          <w:lang w:eastAsia="en-ZA"/>
        </w:rPr>
        <w:t xml:space="preserve">The </w:t>
      </w:r>
      <w:r w:rsidR="000F25C2">
        <w:rPr>
          <w:rFonts w:ascii="Arial" w:eastAsiaTheme="minorEastAsia" w:hAnsi="Arial" w:cs="Arial"/>
          <w:lang w:eastAsia="en-ZA"/>
        </w:rPr>
        <w:t>right  ...</w:t>
      </w:r>
      <w:r w:rsidR="000B01C4" w:rsidRPr="00915E4E">
        <w:rPr>
          <w:rFonts w:ascii="Arial" w:eastAsiaTheme="minorEastAsia" w:hAnsi="Arial" w:cs="Arial"/>
          <w:lang w:eastAsia="en-ZA"/>
        </w:rPr>
        <w:t xml:space="preserve"> means no more </w:t>
      </w:r>
      <w:r w:rsidR="000F25C2" w:rsidRPr="00915E4E">
        <w:rPr>
          <w:rFonts w:ascii="Arial" w:eastAsiaTheme="minorEastAsia" w:hAnsi="Arial" w:cs="Arial"/>
          <w:lang w:eastAsia="en-ZA"/>
        </w:rPr>
        <w:t>tha</w:t>
      </w:r>
      <w:r w:rsidR="000F25C2">
        <w:rPr>
          <w:rFonts w:ascii="Arial" w:eastAsiaTheme="minorEastAsia" w:hAnsi="Arial" w:cs="Arial"/>
          <w:lang w:eastAsia="en-ZA"/>
        </w:rPr>
        <w:t>t</w:t>
      </w:r>
      <w:r w:rsidR="000B01C4" w:rsidRPr="00915E4E">
        <w:rPr>
          <w:rFonts w:ascii="Arial" w:eastAsiaTheme="minorEastAsia" w:hAnsi="Arial" w:cs="Arial"/>
          <w:lang w:eastAsia="en-ZA"/>
        </w:rPr>
        <w:t xml:space="preserve"> an accused person has the right of election whether or not to say anything during the plea proceedings or during the stage when he may testify in his defence. The exercise of this right like the exercise of any other must involve the appreciation of the risks which may confront any person who has to make an election. Inasmuch as skilful cross-examination could present obvious dangers to an accused should he elect to testify, there is no sound basis for reasoning that, if he elects to remain silent, no infe</w:t>
      </w:r>
      <w:r>
        <w:rPr>
          <w:rFonts w:ascii="Arial" w:eastAsiaTheme="minorEastAsia" w:hAnsi="Arial" w:cs="Arial"/>
          <w:lang w:eastAsia="en-ZA"/>
        </w:rPr>
        <w:t>rence can be drawn against him.’</w:t>
      </w:r>
    </w:p>
    <w:p w:rsidR="000B01C4" w:rsidRPr="000B01C4" w:rsidRDefault="000B01C4" w:rsidP="000B01C4">
      <w:pPr>
        <w:spacing w:after="0" w:line="360" w:lineRule="auto"/>
        <w:jc w:val="both"/>
        <w:rPr>
          <w:rFonts w:ascii="Arial" w:eastAsiaTheme="minorEastAsia" w:hAnsi="Arial" w:cs="Arial"/>
          <w:sz w:val="24"/>
          <w:szCs w:val="24"/>
          <w:lang w:eastAsia="en-ZA"/>
        </w:rPr>
      </w:pPr>
    </w:p>
    <w:p w:rsidR="004F23AF" w:rsidRDefault="009D3828"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[25]</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In</w:t>
      </w:r>
      <w:r w:rsidR="00380CC8">
        <w:rPr>
          <w:rFonts w:ascii="Arial" w:eastAsiaTheme="minorEastAsia" w:hAnsi="Arial" w:cs="Arial"/>
          <w:sz w:val="24"/>
          <w:szCs w:val="24"/>
          <w:lang w:eastAsia="en-ZA"/>
        </w:rPr>
        <w:t xml:space="preserve"> </w:t>
      </w:r>
      <w:r w:rsidR="00380CC8" w:rsidRPr="00380CC8">
        <w:rPr>
          <w:rFonts w:ascii="Arial" w:eastAsiaTheme="minorEastAsia" w:hAnsi="Arial" w:cs="Arial"/>
          <w:i/>
          <w:sz w:val="24"/>
          <w:szCs w:val="24"/>
          <w:lang w:eastAsia="en-ZA"/>
        </w:rPr>
        <w:t>S v Katari</w:t>
      </w:r>
      <w:r w:rsidR="00380CC8">
        <w:rPr>
          <w:rFonts w:ascii="Arial" w:eastAsiaTheme="minorEastAsia" w:hAnsi="Arial" w:cs="Arial"/>
          <w:sz w:val="24"/>
          <w:szCs w:val="24"/>
          <w:lang w:eastAsia="en-ZA"/>
        </w:rPr>
        <w:t xml:space="preserve"> (</w:t>
      </w:r>
      <w:r w:rsidR="000B01C4" w:rsidRPr="009D3828">
        <w:rPr>
          <w:rFonts w:ascii="Arial" w:eastAsiaTheme="minorEastAsia" w:hAnsi="Arial" w:cs="Arial"/>
          <w:sz w:val="24"/>
          <w:szCs w:val="24"/>
          <w:lang w:eastAsia="en-ZA"/>
        </w:rPr>
        <w:t>CA 124/2004</w:t>
      </w:r>
      <w:r w:rsidR="00380CC8">
        <w:rPr>
          <w:rFonts w:ascii="Arial" w:eastAsiaTheme="minorEastAsia" w:hAnsi="Arial" w:cs="Arial"/>
          <w:sz w:val="24"/>
          <w:szCs w:val="24"/>
          <w:lang w:eastAsia="en-ZA"/>
        </w:rPr>
        <w:t xml:space="preserve">) [2005] </w:t>
      </w:r>
      <w:r w:rsidR="00380CC8" w:rsidRPr="000B01C4">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2005/06/16</w:t>
      </w:r>
      <w:r w:rsidR="00380CC8">
        <w:rPr>
          <w:rFonts w:ascii="Arial" w:eastAsiaTheme="minorEastAsia" w:hAnsi="Arial" w:cs="Arial"/>
          <w:sz w:val="24"/>
          <w:szCs w:val="24"/>
          <w:lang w:eastAsia="en-ZA"/>
        </w:rPr>
        <w:t>) Maritz</w:t>
      </w:r>
      <w:r w:rsidR="000B01C4" w:rsidRPr="000B01C4">
        <w:rPr>
          <w:rFonts w:ascii="Arial" w:eastAsiaTheme="minorEastAsia" w:hAnsi="Arial" w:cs="Arial"/>
          <w:sz w:val="24"/>
          <w:szCs w:val="24"/>
          <w:lang w:eastAsia="en-ZA"/>
        </w:rPr>
        <w:t xml:space="preserve"> J</w:t>
      </w:r>
      <w:r>
        <w:rPr>
          <w:rFonts w:ascii="Arial" w:eastAsiaTheme="minorEastAsia" w:hAnsi="Arial" w:cs="Arial"/>
          <w:sz w:val="24"/>
          <w:szCs w:val="24"/>
          <w:lang w:eastAsia="en-ZA"/>
        </w:rPr>
        <w:t xml:space="preserve"> </w:t>
      </w:r>
      <w:r w:rsidR="000B01C4" w:rsidRPr="000B01C4">
        <w:rPr>
          <w:rFonts w:ascii="Arial" w:eastAsiaTheme="minorEastAsia" w:hAnsi="Arial" w:cs="Arial"/>
          <w:sz w:val="24"/>
          <w:szCs w:val="24"/>
          <w:lang w:eastAsia="en-ZA"/>
        </w:rPr>
        <w:t xml:space="preserve">(as he then was) </w:t>
      </w:r>
      <w:r w:rsidR="00380CC8" w:rsidRPr="000B01C4">
        <w:rPr>
          <w:rFonts w:ascii="Arial" w:eastAsiaTheme="minorEastAsia" w:hAnsi="Arial" w:cs="Arial"/>
          <w:sz w:val="24"/>
          <w:szCs w:val="24"/>
          <w:lang w:eastAsia="en-ZA"/>
        </w:rPr>
        <w:t xml:space="preserve">stated </w:t>
      </w:r>
    </w:p>
    <w:p w:rsidR="004F23AF" w:rsidRDefault="004F23AF" w:rsidP="000B01C4">
      <w:pPr>
        <w:spacing w:after="0" w:line="360" w:lineRule="auto"/>
        <w:jc w:val="both"/>
        <w:rPr>
          <w:rFonts w:ascii="Arial" w:eastAsiaTheme="minorEastAsia" w:hAnsi="Arial" w:cs="Arial"/>
          <w:sz w:val="24"/>
          <w:szCs w:val="24"/>
          <w:lang w:eastAsia="en-ZA"/>
        </w:rPr>
      </w:pPr>
    </w:p>
    <w:p w:rsidR="000B01C4" w:rsidRPr="000B01C4" w:rsidRDefault="00380CC8" w:rsidP="004F23AF">
      <w:pPr>
        <w:spacing w:after="0" w:line="360" w:lineRule="auto"/>
        <w:ind w:firstLine="720"/>
        <w:jc w:val="both"/>
        <w:rPr>
          <w:rFonts w:ascii="Arial" w:eastAsiaTheme="minorEastAsia" w:hAnsi="Arial" w:cs="Arial"/>
          <w:sz w:val="24"/>
          <w:szCs w:val="24"/>
          <w:lang w:eastAsia="en-ZA"/>
        </w:rPr>
      </w:pPr>
      <w:r w:rsidRPr="00380CC8">
        <w:rPr>
          <w:rFonts w:ascii="Arial" w:eastAsiaTheme="minorEastAsia" w:hAnsi="Arial" w:cs="Arial"/>
          <w:lang w:eastAsia="en-ZA"/>
        </w:rPr>
        <w:t>‘When</w:t>
      </w:r>
      <w:r w:rsidR="000B01C4" w:rsidRPr="00380CC8">
        <w:rPr>
          <w:rFonts w:ascii="Arial" w:eastAsiaTheme="minorEastAsia" w:hAnsi="Arial" w:cs="Arial"/>
          <w:lang w:eastAsia="en-ZA"/>
        </w:rPr>
        <w:t xml:space="preserve"> the State has established a </w:t>
      </w:r>
      <w:r w:rsidR="000B01C4" w:rsidRPr="00380CC8">
        <w:rPr>
          <w:rFonts w:ascii="Arial" w:eastAsiaTheme="minorEastAsia" w:hAnsi="Arial" w:cs="Arial"/>
          <w:i/>
          <w:iCs/>
          <w:lang w:eastAsia="en-ZA"/>
        </w:rPr>
        <w:t>prima facie </w:t>
      </w:r>
      <w:r w:rsidR="000B01C4" w:rsidRPr="00380CC8">
        <w:rPr>
          <w:rFonts w:ascii="Arial" w:eastAsiaTheme="minorEastAsia" w:hAnsi="Arial" w:cs="Arial"/>
          <w:lang w:eastAsia="en-ZA"/>
        </w:rPr>
        <w:t xml:space="preserve">case against an accused which remains </w:t>
      </w:r>
      <w:r w:rsidR="000F25C2" w:rsidRPr="00380CC8">
        <w:rPr>
          <w:rFonts w:ascii="Arial" w:eastAsiaTheme="minorEastAsia" w:hAnsi="Arial" w:cs="Arial"/>
          <w:lang w:eastAsia="en-ZA"/>
        </w:rPr>
        <w:t>un</w:t>
      </w:r>
      <w:r w:rsidR="000B01C4" w:rsidRPr="00380CC8">
        <w:rPr>
          <w:rFonts w:ascii="Arial" w:eastAsiaTheme="minorEastAsia" w:hAnsi="Arial" w:cs="Arial"/>
          <w:lang w:eastAsia="en-ZA"/>
        </w:rPr>
        <w:t>contradicted, the Court may, unless the accused’s silence is reasonably explicable on other grounds, in appropriate circumstances conclude that the </w:t>
      </w:r>
      <w:r w:rsidR="000B01C4" w:rsidRPr="00380CC8">
        <w:rPr>
          <w:rFonts w:ascii="Arial" w:eastAsiaTheme="minorEastAsia" w:hAnsi="Arial" w:cs="Arial"/>
          <w:i/>
          <w:iCs/>
          <w:lang w:eastAsia="en-ZA"/>
        </w:rPr>
        <w:t>prima facie </w:t>
      </w:r>
      <w:r w:rsidR="000B01C4" w:rsidRPr="00380CC8">
        <w:rPr>
          <w:rFonts w:ascii="Arial" w:eastAsiaTheme="minorEastAsia" w:hAnsi="Arial" w:cs="Arial"/>
          <w:lang w:eastAsia="en-ZA"/>
        </w:rPr>
        <w:t>evidence has become conclusive of his or her guilt</w:t>
      </w:r>
      <w:r>
        <w:rPr>
          <w:rFonts w:ascii="Arial" w:eastAsiaTheme="minorEastAsia" w:hAnsi="Arial" w:cs="Arial"/>
          <w:lang w:eastAsia="en-ZA"/>
        </w:rPr>
        <w:t>…’</w:t>
      </w:r>
    </w:p>
    <w:p w:rsidR="000B01C4" w:rsidRPr="000B01C4" w:rsidRDefault="000B01C4" w:rsidP="000B01C4">
      <w:pPr>
        <w:spacing w:after="0" w:line="360" w:lineRule="auto"/>
        <w:jc w:val="both"/>
        <w:rPr>
          <w:rFonts w:ascii="Arial" w:eastAsiaTheme="minorEastAsia" w:hAnsi="Arial" w:cs="Arial"/>
          <w:sz w:val="24"/>
          <w:szCs w:val="24"/>
          <w:lang w:eastAsia="en-ZA"/>
        </w:rPr>
      </w:pPr>
    </w:p>
    <w:p w:rsidR="000B01C4" w:rsidRPr="000B01C4" w:rsidRDefault="002E3A24"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[26]</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 a</w:t>
      </w:r>
      <w:r w:rsidR="00B63320">
        <w:rPr>
          <w:rFonts w:ascii="Arial" w:eastAsiaTheme="minorEastAsia" w:hAnsi="Arial" w:cs="Arial"/>
          <w:sz w:val="24"/>
          <w:szCs w:val="24"/>
          <w:lang w:eastAsia="en-ZA"/>
        </w:rPr>
        <w:t xml:space="preserve">m of the view that the applicant </w:t>
      </w:r>
      <w:r w:rsidR="000B01C4" w:rsidRPr="000B01C4">
        <w:rPr>
          <w:rFonts w:ascii="Arial" w:eastAsiaTheme="minorEastAsia" w:hAnsi="Arial" w:cs="Arial"/>
          <w:sz w:val="24"/>
          <w:szCs w:val="24"/>
          <w:lang w:eastAsia="en-ZA"/>
        </w:rPr>
        <w:t xml:space="preserve">indeed runs a huge risk of self-incrimination if she </w:t>
      </w:r>
      <w:r w:rsidR="00E96FE6">
        <w:rPr>
          <w:rFonts w:ascii="Arial" w:eastAsiaTheme="minorEastAsia" w:hAnsi="Arial" w:cs="Arial"/>
          <w:sz w:val="24"/>
          <w:szCs w:val="24"/>
          <w:lang w:eastAsia="en-ZA"/>
        </w:rPr>
        <w:t xml:space="preserve">is </w:t>
      </w:r>
      <w:r w:rsidR="00E96FE6" w:rsidRPr="000B01C4">
        <w:rPr>
          <w:rFonts w:ascii="Arial" w:eastAsiaTheme="minorEastAsia" w:hAnsi="Arial" w:cs="Arial"/>
          <w:sz w:val="24"/>
          <w:szCs w:val="24"/>
          <w:lang w:eastAsia="en-ZA"/>
        </w:rPr>
        <w:t>compelled</w:t>
      </w:r>
      <w:r w:rsidR="000B01C4" w:rsidRPr="000B01C4">
        <w:rPr>
          <w:rFonts w:ascii="Arial" w:eastAsiaTheme="minorEastAsia" w:hAnsi="Arial" w:cs="Arial"/>
          <w:sz w:val="24"/>
          <w:szCs w:val="24"/>
          <w:lang w:eastAsia="en-ZA"/>
        </w:rPr>
        <w:t xml:space="preserve"> to remain silent in </w:t>
      </w:r>
      <w:r>
        <w:rPr>
          <w:rFonts w:ascii="Arial" w:eastAsiaTheme="minorEastAsia" w:hAnsi="Arial" w:cs="Arial"/>
          <w:sz w:val="24"/>
          <w:szCs w:val="24"/>
          <w:lang w:eastAsia="en-ZA"/>
        </w:rPr>
        <w:t>the face of six serious charges</w:t>
      </w:r>
      <w:r w:rsidR="000B01C4" w:rsidRPr="000B01C4">
        <w:rPr>
          <w:rFonts w:ascii="Arial" w:eastAsiaTheme="minorEastAsia" w:hAnsi="Arial" w:cs="Arial"/>
          <w:sz w:val="24"/>
          <w:szCs w:val="24"/>
          <w:lang w:eastAsia="en-ZA"/>
        </w:rPr>
        <w:t>. The respondent</w:t>
      </w:r>
      <w:r w:rsidR="00B63320">
        <w:rPr>
          <w:rFonts w:ascii="Arial" w:eastAsiaTheme="minorEastAsia" w:hAnsi="Arial" w:cs="Arial"/>
          <w:sz w:val="24"/>
          <w:szCs w:val="24"/>
          <w:lang w:eastAsia="en-ZA"/>
        </w:rPr>
        <w:t xml:space="preserve"> further advanced the argument i</w:t>
      </w:r>
      <w:r w:rsidR="000B01C4" w:rsidRPr="000B01C4">
        <w:rPr>
          <w:rFonts w:ascii="Arial" w:eastAsiaTheme="minorEastAsia" w:hAnsi="Arial" w:cs="Arial"/>
          <w:sz w:val="24"/>
          <w:szCs w:val="24"/>
          <w:lang w:eastAsia="en-ZA"/>
        </w:rPr>
        <w:t>t will not be in the best interest of the respondents for the matter to be stay</w:t>
      </w:r>
      <w:r w:rsidR="00B63320">
        <w:rPr>
          <w:rFonts w:ascii="Arial" w:eastAsiaTheme="minorEastAsia" w:hAnsi="Arial" w:cs="Arial"/>
          <w:sz w:val="24"/>
          <w:szCs w:val="24"/>
          <w:lang w:eastAsia="en-ZA"/>
        </w:rPr>
        <w:t>ed</w:t>
      </w:r>
      <w:r w:rsidR="000B01C4" w:rsidRPr="000B01C4">
        <w:rPr>
          <w:rFonts w:ascii="Arial" w:eastAsiaTheme="minorEastAsia" w:hAnsi="Arial" w:cs="Arial"/>
          <w:sz w:val="24"/>
          <w:szCs w:val="24"/>
          <w:lang w:eastAsia="en-ZA"/>
        </w:rPr>
        <w:t xml:space="preserve"> considering that the second to the fourth respondent</w:t>
      </w:r>
      <w:r w:rsidR="00B63320">
        <w:rPr>
          <w:rFonts w:ascii="Arial" w:eastAsiaTheme="minorEastAsia" w:hAnsi="Arial" w:cs="Arial"/>
          <w:sz w:val="24"/>
          <w:szCs w:val="24"/>
          <w:lang w:eastAsia="en-ZA"/>
        </w:rPr>
        <w:t>s</w:t>
      </w:r>
      <w:r w:rsidR="000B01C4" w:rsidRPr="000B01C4">
        <w:rPr>
          <w:rFonts w:ascii="Arial" w:eastAsiaTheme="minorEastAsia" w:hAnsi="Arial" w:cs="Arial"/>
          <w:sz w:val="24"/>
          <w:szCs w:val="24"/>
          <w:lang w:eastAsia="en-ZA"/>
        </w:rPr>
        <w:t xml:space="preserve"> will not be eligible for promotion and the all proceedings should be finalized within a reasonable time</w:t>
      </w:r>
      <w:r w:rsidR="00B63320">
        <w:rPr>
          <w:rFonts w:ascii="Arial" w:eastAsiaTheme="minorEastAsia" w:hAnsi="Arial" w:cs="Arial"/>
          <w:sz w:val="24"/>
          <w:szCs w:val="24"/>
          <w:lang w:eastAsia="en-ZA"/>
        </w:rPr>
        <w:t>.</w:t>
      </w:r>
    </w:p>
    <w:p w:rsidR="000B01C4" w:rsidRDefault="000B01C4" w:rsidP="000B01C4">
      <w:pPr>
        <w:spacing w:after="0" w:line="360" w:lineRule="auto"/>
        <w:jc w:val="both"/>
        <w:rPr>
          <w:rFonts w:ascii="Arial" w:eastAsiaTheme="minorEastAsia" w:hAnsi="Arial" w:cs="Arial"/>
          <w:sz w:val="24"/>
          <w:szCs w:val="24"/>
          <w:lang w:eastAsia="en-ZA"/>
        </w:rPr>
      </w:pPr>
      <w:r w:rsidRPr="000B01C4">
        <w:rPr>
          <w:rFonts w:ascii="Arial" w:eastAsiaTheme="minorEastAsia" w:hAnsi="Arial" w:cs="Arial"/>
          <w:sz w:val="24"/>
          <w:szCs w:val="24"/>
          <w:lang w:eastAsia="en-ZA"/>
        </w:rPr>
        <w:t>Against the background of the legal principles outlined above, I then turn to consider the facts of the present application. </w:t>
      </w:r>
    </w:p>
    <w:p w:rsidR="002E3A24" w:rsidRPr="000B01C4" w:rsidRDefault="002E3A24" w:rsidP="000B01C4">
      <w:pPr>
        <w:spacing w:after="0" w:line="360" w:lineRule="auto"/>
        <w:jc w:val="both"/>
        <w:rPr>
          <w:rFonts w:ascii="Arial" w:eastAsiaTheme="minorEastAsia" w:hAnsi="Arial" w:cs="Arial"/>
          <w:sz w:val="24"/>
          <w:szCs w:val="24"/>
          <w:lang w:eastAsia="en-ZA"/>
        </w:rPr>
      </w:pPr>
    </w:p>
    <w:p w:rsidR="000B01C4" w:rsidRPr="000B01C4" w:rsidRDefault="002E3A24"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 xml:space="preserve">[27] </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 am of the view that t</w:t>
      </w:r>
      <w:r w:rsidR="00B63320">
        <w:rPr>
          <w:rFonts w:ascii="Arial" w:eastAsiaTheme="minorEastAsia" w:hAnsi="Arial" w:cs="Arial"/>
          <w:sz w:val="24"/>
          <w:szCs w:val="24"/>
          <w:lang w:eastAsia="en-ZA"/>
        </w:rPr>
        <w:t>he mere fact that the applicant</w:t>
      </w:r>
      <w:r w:rsidR="000B01C4" w:rsidRPr="000B01C4">
        <w:rPr>
          <w:rFonts w:ascii="Arial" w:eastAsiaTheme="minorEastAsia" w:hAnsi="Arial" w:cs="Arial"/>
          <w:sz w:val="24"/>
          <w:szCs w:val="24"/>
          <w:lang w:eastAsia="en-ZA"/>
        </w:rPr>
        <w:t xml:space="preserve"> is unable to consult with witnesses places</w:t>
      </w:r>
      <w:r w:rsidR="00B63320">
        <w:rPr>
          <w:rFonts w:ascii="Arial" w:eastAsiaTheme="minorEastAsia" w:hAnsi="Arial" w:cs="Arial"/>
          <w:sz w:val="24"/>
          <w:szCs w:val="24"/>
          <w:lang w:eastAsia="en-ZA"/>
        </w:rPr>
        <w:t xml:space="preserve"> her preparation of her case already </w:t>
      </w:r>
      <w:r w:rsidR="000F25C2">
        <w:rPr>
          <w:rFonts w:ascii="Arial" w:eastAsiaTheme="minorEastAsia" w:hAnsi="Arial" w:cs="Arial"/>
          <w:sz w:val="24"/>
          <w:szCs w:val="24"/>
          <w:lang w:eastAsia="en-ZA"/>
        </w:rPr>
        <w:t xml:space="preserve">in </w:t>
      </w:r>
      <w:r w:rsidR="00E96FE6" w:rsidRPr="000B01C4">
        <w:rPr>
          <w:rFonts w:ascii="Arial" w:eastAsiaTheme="minorEastAsia" w:hAnsi="Arial" w:cs="Arial"/>
          <w:sz w:val="24"/>
          <w:szCs w:val="24"/>
          <w:lang w:eastAsia="en-ZA"/>
        </w:rPr>
        <w:t>a</w:t>
      </w:r>
      <w:r w:rsidR="000B01C4" w:rsidRPr="000B01C4">
        <w:rPr>
          <w:rFonts w:ascii="Arial" w:eastAsiaTheme="minorEastAsia" w:hAnsi="Arial" w:cs="Arial"/>
          <w:sz w:val="24"/>
          <w:szCs w:val="24"/>
          <w:lang w:eastAsia="en-ZA"/>
        </w:rPr>
        <w:t xml:space="preserve"> less fortunate position</w:t>
      </w:r>
      <w:r w:rsidR="000F25C2">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 xml:space="preserve"> In the </w:t>
      </w:r>
      <w:r w:rsidR="000B01C4" w:rsidRPr="000B01C4">
        <w:rPr>
          <w:rFonts w:ascii="Arial" w:eastAsiaTheme="minorEastAsia" w:hAnsi="Arial" w:cs="Arial"/>
          <w:sz w:val="24"/>
          <w:szCs w:val="24"/>
          <w:lang w:eastAsia="en-ZA"/>
        </w:rPr>
        <w:lastRenderedPageBreak/>
        <w:t xml:space="preserve">context of the consideration of potential prejudice to the respondents if the proceedings are delayed it is evident  that Mr Tibinyanes submission pertaining to </w:t>
      </w:r>
      <w:r w:rsidR="00B63320">
        <w:rPr>
          <w:rFonts w:ascii="Arial" w:eastAsiaTheme="minorEastAsia" w:hAnsi="Arial" w:cs="Arial"/>
          <w:sz w:val="24"/>
          <w:szCs w:val="24"/>
          <w:lang w:eastAsia="en-ZA"/>
        </w:rPr>
        <w:t xml:space="preserve">a </w:t>
      </w:r>
      <w:r w:rsidR="000B01C4" w:rsidRPr="000B01C4">
        <w:rPr>
          <w:rFonts w:ascii="Arial" w:eastAsiaTheme="minorEastAsia" w:hAnsi="Arial" w:cs="Arial"/>
          <w:sz w:val="24"/>
          <w:szCs w:val="24"/>
          <w:lang w:eastAsia="en-ZA"/>
        </w:rPr>
        <w:t>police officer not being eligible for promotion while civil proceedings are present  was unsubstantiated</w:t>
      </w:r>
      <w:r w:rsidR="00E96FE6">
        <w:rPr>
          <w:rFonts w:ascii="Arial" w:eastAsiaTheme="minorEastAsia" w:hAnsi="Arial" w:cs="Arial"/>
          <w:sz w:val="24"/>
          <w:szCs w:val="24"/>
          <w:lang w:eastAsia="en-ZA"/>
        </w:rPr>
        <w:t>.</w:t>
      </w:r>
      <w:r w:rsidR="000B01C4" w:rsidRPr="000B01C4">
        <w:rPr>
          <w:rFonts w:ascii="Arial" w:eastAsiaTheme="minorEastAsia" w:hAnsi="Arial" w:cs="Arial"/>
          <w:sz w:val="24"/>
          <w:szCs w:val="24"/>
          <w:lang w:eastAsia="en-ZA"/>
        </w:rPr>
        <w:t xml:space="preserve"> It is clear that this policy only applies to criminal and departmental proceedings   </w:t>
      </w:r>
    </w:p>
    <w:p w:rsidR="002E3A24" w:rsidRDefault="002E3A24" w:rsidP="000B01C4">
      <w:pPr>
        <w:spacing w:after="0" w:line="360" w:lineRule="auto"/>
        <w:jc w:val="both"/>
        <w:rPr>
          <w:rFonts w:ascii="Arial" w:eastAsiaTheme="minorEastAsia" w:hAnsi="Arial" w:cs="Arial"/>
          <w:sz w:val="24"/>
          <w:szCs w:val="24"/>
          <w:lang w:eastAsia="en-ZA"/>
        </w:rPr>
      </w:pPr>
    </w:p>
    <w:p w:rsidR="00B63320" w:rsidRDefault="002E3A24"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[28]</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Having considered all the relevant factors I am  satisfied that the applicant has made out a case that exceptional circumstances exist to move this court to exercise its inherent jurisdiction to grant the stay of the ongoing c</w:t>
      </w:r>
      <w:r w:rsidR="00B63320">
        <w:rPr>
          <w:rFonts w:ascii="Arial" w:eastAsiaTheme="minorEastAsia" w:hAnsi="Arial" w:cs="Arial"/>
          <w:sz w:val="24"/>
          <w:szCs w:val="24"/>
          <w:lang w:eastAsia="en-ZA"/>
        </w:rPr>
        <w:t>ivil proceedings.</w:t>
      </w:r>
    </w:p>
    <w:p w:rsidR="000B01C4" w:rsidRPr="000B01C4" w:rsidRDefault="00B63320" w:rsidP="000B01C4">
      <w:pPr>
        <w:spacing w:after="0" w:line="360" w:lineRule="auto"/>
        <w:jc w:val="both"/>
        <w:rPr>
          <w:rFonts w:ascii="Arial" w:eastAsiaTheme="minorEastAsia" w:hAnsi="Arial" w:cs="Arial"/>
          <w:sz w:val="24"/>
          <w:szCs w:val="24"/>
          <w:lang w:eastAsia="en-ZA"/>
        </w:rPr>
      </w:pPr>
      <w:r w:rsidRPr="000B01C4">
        <w:rPr>
          <w:rFonts w:ascii="Arial" w:eastAsiaTheme="minorEastAsia" w:hAnsi="Arial" w:cs="Arial"/>
          <w:sz w:val="24"/>
          <w:szCs w:val="24"/>
          <w:lang w:eastAsia="en-ZA"/>
        </w:rPr>
        <w:t xml:space="preserve"> </w:t>
      </w:r>
    </w:p>
    <w:p w:rsidR="000B01C4" w:rsidRDefault="002E3A24" w:rsidP="000B01C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[29]</w:t>
      </w:r>
      <w:r>
        <w:rPr>
          <w:rFonts w:ascii="Arial" w:eastAsiaTheme="minorEastAsia" w:hAnsi="Arial" w:cs="Arial"/>
          <w:sz w:val="24"/>
          <w:szCs w:val="24"/>
          <w:lang w:eastAsia="en-ZA"/>
        </w:rPr>
        <w:tab/>
      </w:r>
      <w:r w:rsidR="000B01C4" w:rsidRPr="000B01C4">
        <w:rPr>
          <w:rFonts w:ascii="Arial" w:eastAsiaTheme="minorEastAsia" w:hAnsi="Arial" w:cs="Arial"/>
          <w:sz w:val="24"/>
          <w:szCs w:val="24"/>
          <w:lang w:eastAsia="en-ZA"/>
        </w:rPr>
        <w:t>In the r</w:t>
      </w:r>
      <w:r w:rsidR="00B63320">
        <w:rPr>
          <w:rFonts w:ascii="Arial" w:eastAsiaTheme="minorEastAsia" w:hAnsi="Arial" w:cs="Arial"/>
          <w:sz w:val="24"/>
          <w:szCs w:val="24"/>
          <w:lang w:eastAsia="en-ZA"/>
        </w:rPr>
        <w:t>esult the order was made</w:t>
      </w:r>
      <w:r w:rsidR="000B01C4" w:rsidRPr="000B01C4">
        <w:rPr>
          <w:rFonts w:ascii="Arial" w:eastAsiaTheme="minorEastAsia" w:hAnsi="Arial" w:cs="Arial"/>
          <w:sz w:val="24"/>
          <w:szCs w:val="24"/>
          <w:lang w:eastAsia="en-ZA"/>
        </w:rPr>
        <w:t>:</w:t>
      </w:r>
    </w:p>
    <w:p w:rsidR="00B63320" w:rsidRPr="000B01C4" w:rsidRDefault="00B63320" w:rsidP="000B01C4">
      <w:pPr>
        <w:spacing w:after="0" w:line="360" w:lineRule="auto"/>
        <w:jc w:val="both"/>
        <w:rPr>
          <w:rFonts w:ascii="Arial" w:eastAsiaTheme="minorEastAsia" w:hAnsi="Arial" w:cs="Arial"/>
          <w:sz w:val="24"/>
          <w:szCs w:val="24"/>
          <w:lang w:eastAsia="en-ZA"/>
        </w:rPr>
      </w:pPr>
    </w:p>
    <w:p w:rsidR="00B63320" w:rsidRDefault="00B63320" w:rsidP="00B63320">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 xml:space="preserve">The point </w:t>
      </w:r>
      <w:r w:rsidRPr="00D66BD4">
        <w:rPr>
          <w:rFonts w:ascii="Arial" w:hAnsi="Arial" w:cs="Arial"/>
          <w:i/>
          <w:sz w:val="24"/>
          <w:szCs w:val="24"/>
          <w:lang w:val="en-US"/>
        </w:rPr>
        <w:t>in limine</w:t>
      </w:r>
      <w:r>
        <w:rPr>
          <w:rFonts w:ascii="Arial" w:hAnsi="Arial" w:cs="Arial"/>
          <w:sz w:val="24"/>
          <w:szCs w:val="24"/>
          <w:lang w:val="en-US"/>
        </w:rPr>
        <w:t xml:space="preserve"> is dismissed;</w:t>
      </w:r>
    </w:p>
    <w:p w:rsidR="00B63320" w:rsidRDefault="00B63320" w:rsidP="00B63320">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Application to stay civil proceedings has been granted, pending the finalization of the criminal proceedings;</w:t>
      </w:r>
    </w:p>
    <w:p w:rsidR="00B63320" w:rsidRDefault="00B63320" w:rsidP="00B63320">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Costs to be costs in the cause;</w:t>
      </w:r>
    </w:p>
    <w:p w:rsidR="00B63320" w:rsidRDefault="00B63320" w:rsidP="00B63320">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Reasons to be released 30 June 2020;</w:t>
      </w:r>
    </w:p>
    <w:p w:rsidR="00B63320" w:rsidRPr="00F01015" w:rsidRDefault="00B63320" w:rsidP="00B63320">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The matter is removed from the roll.</w:t>
      </w:r>
    </w:p>
    <w:p w:rsidR="00EE4115" w:rsidRDefault="00EE4115" w:rsidP="006F436C">
      <w:pPr>
        <w:pStyle w:val="NormalWeb"/>
        <w:shd w:val="clear" w:color="auto" w:fill="FFFFFF"/>
        <w:spacing w:before="0" w:beforeAutospacing="0" w:after="0" w:afterAutospacing="0" w:line="360" w:lineRule="auto"/>
        <w:jc w:val="right"/>
        <w:rPr>
          <w:rFonts w:ascii="Arial" w:hAnsi="Arial" w:cs="Arial"/>
        </w:rPr>
      </w:pPr>
    </w:p>
    <w:p w:rsidR="00EE4115" w:rsidRPr="001D20E8" w:rsidRDefault="00EE4115" w:rsidP="006F436C">
      <w:pPr>
        <w:pStyle w:val="NormalWeb"/>
        <w:shd w:val="clear" w:color="auto" w:fill="FFFFFF"/>
        <w:spacing w:before="0" w:beforeAutospacing="0" w:after="0" w:afterAutospacing="0" w:line="360" w:lineRule="auto"/>
        <w:jc w:val="right"/>
        <w:rPr>
          <w:rFonts w:ascii="Arial" w:hAnsi="Arial" w:cs="Arial"/>
          <w:lang w:val="en-US"/>
        </w:rPr>
      </w:pPr>
    </w:p>
    <w:p w:rsidR="00E43BC6" w:rsidRPr="00E43BC6" w:rsidRDefault="00E43BC6" w:rsidP="006F436C">
      <w:pPr>
        <w:spacing w:after="0" w:line="360" w:lineRule="auto"/>
        <w:jc w:val="right"/>
        <w:rPr>
          <w:rFonts w:ascii="Arial" w:hAnsi="Arial" w:cs="Arial"/>
          <w:sz w:val="24"/>
          <w:szCs w:val="24"/>
          <w:lang w:val="en-US"/>
        </w:rPr>
      </w:pPr>
    </w:p>
    <w:p w:rsidR="00E43BC6" w:rsidRPr="00E43BC6" w:rsidRDefault="00E43BC6" w:rsidP="00E43BC6">
      <w:pPr>
        <w:tabs>
          <w:tab w:val="left" w:pos="1440"/>
        </w:tabs>
        <w:spacing w:after="0" w:line="360" w:lineRule="auto"/>
        <w:ind w:left="720"/>
        <w:jc w:val="right"/>
        <w:rPr>
          <w:rFonts w:ascii="Arial" w:eastAsia="Arial" w:hAnsi="Arial" w:cs="Arial"/>
          <w:color w:val="000000"/>
          <w:sz w:val="24"/>
          <w:szCs w:val="24"/>
          <w:lang w:eastAsia="en-ZA"/>
        </w:rPr>
      </w:pPr>
      <w:r w:rsidRPr="00E43BC6">
        <w:rPr>
          <w:rFonts w:ascii="Arial" w:eastAsia="Arial" w:hAnsi="Arial" w:cs="Arial"/>
          <w:color w:val="000000"/>
          <w:sz w:val="24"/>
          <w:szCs w:val="24"/>
          <w:lang w:eastAsia="en-ZA"/>
        </w:rPr>
        <w:t>___________________________</w:t>
      </w:r>
    </w:p>
    <w:p w:rsidR="00E43BC6" w:rsidRPr="00E43BC6" w:rsidRDefault="007638A9" w:rsidP="00E43BC6">
      <w:pPr>
        <w:tabs>
          <w:tab w:val="left" w:pos="1440"/>
        </w:tabs>
        <w:spacing w:after="0" w:line="360" w:lineRule="auto"/>
        <w:ind w:left="720"/>
        <w:jc w:val="right"/>
        <w:rPr>
          <w:rFonts w:ascii="Arial" w:eastAsia="Arial" w:hAnsi="Arial" w:cs="Arial"/>
          <w:color w:val="000000"/>
          <w:sz w:val="24"/>
          <w:szCs w:val="24"/>
          <w:lang w:eastAsia="en-ZA"/>
        </w:rPr>
      </w:pPr>
      <w:r>
        <w:rPr>
          <w:rFonts w:ascii="Arial" w:eastAsia="Arial" w:hAnsi="Arial" w:cs="Arial"/>
          <w:color w:val="000000"/>
          <w:sz w:val="24"/>
          <w:szCs w:val="24"/>
          <w:lang w:eastAsia="en-ZA"/>
        </w:rPr>
        <w:t>A DIERGAARDT</w:t>
      </w:r>
    </w:p>
    <w:p w:rsidR="00D9444F" w:rsidRDefault="007638A9" w:rsidP="001D20E8">
      <w:pPr>
        <w:tabs>
          <w:tab w:val="left" w:pos="1440"/>
        </w:tabs>
        <w:spacing w:after="0" w:line="360" w:lineRule="auto"/>
        <w:ind w:left="720"/>
        <w:jc w:val="right"/>
        <w:rPr>
          <w:rFonts w:ascii="Arial" w:eastAsia="Arial" w:hAnsi="Arial" w:cs="Arial"/>
          <w:color w:val="000000"/>
          <w:sz w:val="24"/>
          <w:szCs w:val="24"/>
          <w:lang w:eastAsia="en-ZA"/>
        </w:rPr>
      </w:pPr>
      <w:r>
        <w:rPr>
          <w:rFonts w:ascii="Arial" w:eastAsia="Arial" w:hAnsi="Arial" w:cs="Arial"/>
          <w:color w:val="000000"/>
          <w:sz w:val="24"/>
          <w:szCs w:val="24"/>
          <w:lang w:eastAsia="en-ZA"/>
        </w:rPr>
        <w:t>ACTING JUDGE</w:t>
      </w:r>
      <w:r w:rsidR="00D9444F">
        <w:rPr>
          <w:rFonts w:ascii="Arial" w:eastAsia="Arial" w:hAnsi="Arial" w:cs="Arial"/>
          <w:color w:val="000000"/>
          <w:sz w:val="24"/>
          <w:szCs w:val="24"/>
          <w:lang w:eastAsia="en-ZA"/>
        </w:rPr>
        <w:br w:type="page"/>
      </w:r>
    </w:p>
    <w:p w:rsidR="001D20E8" w:rsidRDefault="001D20E8" w:rsidP="001D20E8">
      <w:pPr>
        <w:tabs>
          <w:tab w:val="left" w:pos="1440"/>
        </w:tabs>
        <w:spacing w:after="0" w:line="360" w:lineRule="auto"/>
        <w:ind w:left="720"/>
        <w:jc w:val="right"/>
        <w:rPr>
          <w:rFonts w:ascii="Arial" w:eastAsia="Arial" w:hAnsi="Arial" w:cs="Arial"/>
          <w:color w:val="000000"/>
          <w:sz w:val="24"/>
          <w:szCs w:val="24"/>
          <w:lang w:eastAsia="en-ZA"/>
        </w:rPr>
      </w:pPr>
    </w:p>
    <w:p w:rsidR="00E43BC6" w:rsidRDefault="00E43BC6" w:rsidP="001D20E8">
      <w:pPr>
        <w:tabs>
          <w:tab w:val="left" w:pos="1440"/>
        </w:tabs>
        <w:spacing w:after="0" w:line="360" w:lineRule="auto"/>
        <w:rPr>
          <w:rFonts w:ascii="Arial" w:eastAsia="Arial" w:hAnsi="Arial" w:cs="Arial"/>
          <w:color w:val="000000"/>
          <w:sz w:val="24"/>
          <w:lang w:eastAsia="en-ZA"/>
        </w:rPr>
      </w:pPr>
      <w:r w:rsidRPr="00E43BC6">
        <w:rPr>
          <w:rFonts w:ascii="Arial" w:eastAsia="Arial" w:hAnsi="Arial" w:cs="Arial"/>
          <w:color w:val="000000"/>
          <w:sz w:val="24"/>
          <w:lang w:eastAsia="en-ZA"/>
        </w:rPr>
        <w:t>APPEARANCES</w:t>
      </w:r>
      <w:r w:rsidRPr="00E43BC6">
        <w:rPr>
          <w:rFonts w:ascii="Arial" w:eastAsia="Arial" w:hAnsi="Arial" w:cs="Arial"/>
          <w:color w:val="000000"/>
          <w:sz w:val="24"/>
          <w:lang w:eastAsia="en-ZA"/>
        </w:rPr>
        <w:tab/>
        <w:t xml:space="preserve"> </w:t>
      </w:r>
    </w:p>
    <w:p w:rsidR="001D20E8" w:rsidRDefault="001D20E8" w:rsidP="001D20E8">
      <w:pPr>
        <w:tabs>
          <w:tab w:val="left" w:pos="1440"/>
        </w:tabs>
        <w:spacing w:after="0" w:line="360" w:lineRule="auto"/>
        <w:rPr>
          <w:rFonts w:ascii="Arial" w:eastAsia="Arial" w:hAnsi="Arial" w:cs="Arial"/>
          <w:color w:val="000000"/>
          <w:sz w:val="24"/>
          <w:lang w:eastAsia="en-ZA"/>
        </w:rPr>
      </w:pPr>
    </w:p>
    <w:p w:rsidR="00E47A72" w:rsidRDefault="00B63320" w:rsidP="00E43BC6">
      <w:pPr>
        <w:spacing w:after="0" w:line="360" w:lineRule="auto"/>
        <w:ind w:left="-15"/>
        <w:rPr>
          <w:rFonts w:ascii="Arial" w:eastAsia="Arial" w:hAnsi="Arial" w:cs="Arial"/>
          <w:color w:val="000000"/>
          <w:sz w:val="24"/>
          <w:lang w:eastAsia="en-ZA"/>
        </w:rPr>
      </w:pPr>
      <w:r>
        <w:rPr>
          <w:rFonts w:ascii="Arial" w:eastAsia="Arial" w:hAnsi="Arial" w:cs="Arial"/>
          <w:color w:val="000000"/>
          <w:sz w:val="24"/>
          <w:lang w:eastAsia="en-ZA"/>
        </w:rPr>
        <w:t>FOR THE APPLICANT</w:t>
      </w:r>
      <w:r w:rsidR="00E43BC6" w:rsidRPr="00E43BC6">
        <w:rPr>
          <w:rFonts w:ascii="Arial" w:eastAsia="Arial" w:hAnsi="Arial" w:cs="Arial"/>
          <w:color w:val="000000"/>
          <w:sz w:val="24"/>
          <w:lang w:eastAsia="en-ZA"/>
        </w:rPr>
        <w:t>:</w:t>
      </w:r>
      <w:r w:rsidR="00E43BC6" w:rsidRPr="00E43BC6">
        <w:rPr>
          <w:rFonts w:ascii="Arial" w:eastAsia="Arial" w:hAnsi="Arial" w:cs="Arial"/>
          <w:color w:val="000000"/>
          <w:sz w:val="24"/>
          <w:lang w:eastAsia="en-ZA"/>
        </w:rPr>
        <w:tab/>
      </w:r>
      <w:r w:rsidR="00E43BC6" w:rsidRPr="00E43BC6">
        <w:rPr>
          <w:rFonts w:ascii="Arial" w:eastAsia="Arial" w:hAnsi="Arial" w:cs="Arial"/>
          <w:i/>
          <w:color w:val="000000"/>
          <w:sz w:val="24"/>
          <w:lang w:eastAsia="en-ZA"/>
        </w:rPr>
        <w:t xml:space="preserve"> </w:t>
      </w:r>
      <w:r w:rsidR="00E43BC6" w:rsidRPr="00E43BC6">
        <w:rPr>
          <w:rFonts w:ascii="Arial" w:eastAsia="Arial" w:hAnsi="Arial" w:cs="Arial"/>
          <w:i/>
          <w:color w:val="000000"/>
          <w:sz w:val="24"/>
          <w:lang w:eastAsia="en-ZA"/>
        </w:rPr>
        <w:tab/>
      </w:r>
      <w:r w:rsidR="00E43BC6" w:rsidRPr="00E43BC6">
        <w:rPr>
          <w:rFonts w:ascii="Arial" w:eastAsia="Arial" w:hAnsi="Arial" w:cs="Arial"/>
          <w:i/>
          <w:color w:val="000000"/>
          <w:sz w:val="24"/>
          <w:lang w:eastAsia="en-ZA"/>
        </w:rPr>
        <w:tab/>
      </w:r>
      <w:r>
        <w:rPr>
          <w:rFonts w:ascii="Arial" w:eastAsia="Arial" w:hAnsi="Arial" w:cs="Arial"/>
          <w:color w:val="000000"/>
          <w:sz w:val="24"/>
          <w:lang w:eastAsia="en-ZA"/>
        </w:rPr>
        <w:t xml:space="preserve">Mr P Greyling </w:t>
      </w:r>
    </w:p>
    <w:p w:rsidR="00D66BD4" w:rsidRDefault="00E47A72" w:rsidP="00B63320">
      <w:pPr>
        <w:spacing w:after="0" w:line="360" w:lineRule="auto"/>
        <w:ind w:left="3585" w:firstLine="735"/>
        <w:rPr>
          <w:rFonts w:ascii="Arial" w:eastAsia="Arial" w:hAnsi="Arial" w:cs="Arial"/>
          <w:color w:val="000000"/>
          <w:sz w:val="24"/>
          <w:lang w:eastAsia="en-ZA"/>
        </w:rPr>
      </w:pPr>
      <w:r>
        <w:rPr>
          <w:rFonts w:ascii="Arial" w:eastAsia="Arial" w:hAnsi="Arial" w:cs="Arial"/>
          <w:color w:val="000000"/>
          <w:sz w:val="24"/>
          <w:lang w:eastAsia="en-ZA"/>
        </w:rPr>
        <w:t xml:space="preserve">Of </w:t>
      </w:r>
      <w:r w:rsidR="00D66BD4">
        <w:rPr>
          <w:rFonts w:ascii="Arial" w:eastAsia="Arial" w:hAnsi="Arial" w:cs="Arial"/>
          <w:color w:val="000000"/>
          <w:sz w:val="24"/>
          <w:lang w:eastAsia="en-ZA"/>
        </w:rPr>
        <w:t>Greyling &amp; Associates</w:t>
      </w:r>
      <w:r w:rsidR="00B63320">
        <w:rPr>
          <w:rFonts w:ascii="Arial" w:eastAsia="Arial" w:hAnsi="Arial" w:cs="Arial"/>
          <w:color w:val="000000"/>
          <w:sz w:val="24"/>
          <w:lang w:eastAsia="en-ZA"/>
        </w:rPr>
        <w:t xml:space="preserve"> </w:t>
      </w:r>
    </w:p>
    <w:p w:rsidR="00E43BC6" w:rsidRDefault="00B63320" w:rsidP="00B63320">
      <w:pPr>
        <w:spacing w:after="0" w:line="360" w:lineRule="auto"/>
        <w:ind w:left="3585" w:firstLine="735"/>
        <w:rPr>
          <w:rFonts w:ascii="Arial" w:eastAsia="Arial" w:hAnsi="Arial" w:cs="Arial"/>
          <w:color w:val="000000"/>
          <w:sz w:val="24"/>
          <w:lang w:eastAsia="en-ZA"/>
        </w:rPr>
      </w:pPr>
      <w:r>
        <w:rPr>
          <w:rFonts w:ascii="Arial" w:eastAsia="Arial" w:hAnsi="Arial" w:cs="Arial"/>
          <w:color w:val="000000"/>
          <w:sz w:val="24"/>
          <w:lang w:eastAsia="en-ZA"/>
        </w:rPr>
        <w:t>Oshakati</w:t>
      </w:r>
    </w:p>
    <w:p w:rsidR="00B63320" w:rsidRDefault="00B63320" w:rsidP="00B63320">
      <w:pPr>
        <w:spacing w:after="0" w:line="360" w:lineRule="auto"/>
        <w:ind w:left="3585" w:firstLine="735"/>
        <w:rPr>
          <w:rFonts w:ascii="Arial" w:eastAsia="Arial" w:hAnsi="Arial" w:cs="Arial"/>
          <w:color w:val="000000"/>
          <w:sz w:val="24"/>
          <w:lang w:eastAsia="en-ZA"/>
        </w:rPr>
      </w:pPr>
    </w:p>
    <w:p w:rsidR="00B63320" w:rsidRPr="00E43BC6" w:rsidRDefault="00B63320" w:rsidP="00B63320">
      <w:pPr>
        <w:spacing w:after="0" w:line="360" w:lineRule="auto"/>
        <w:ind w:left="3585" w:firstLine="735"/>
        <w:rPr>
          <w:rFonts w:ascii="Arial" w:eastAsia="Times New Roman" w:hAnsi="Arial" w:cs="Arial"/>
          <w:sz w:val="24"/>
          <w:szCs w:val="24"/>
          <w:lang w:val="en-US"/>
        </w:rPr>
      </w:pPr>
    </w:p>
    <w:p w:rsidR="00E47A72" w:rsidRDefault="00B63320" w:rsidP="00E47A72">
      <w:pPr>
        <w:spacing w:after="0" w:line="360" w:lineRule="auto"/>
        <w:ind w:left="-15"/>
        <w:rPr>
          <w:rFonts w:ascii="Arial" w:eastAsia="Arial" w:hAnsi="Arial" w:cs="Arial"/>
          <w:color w:val="000000"/>
          <w:sz w:val="24"/>
          <w:lang w:eastAsia="en-ZA"/>
        </w:rPr>
      </w:pPr>
      <w:r>
        <w:rPr>
          <w:rFonts w:ascii="Arial" w:eastAsia="Arial" w:hAnsi="Arial" w:cs="Arial"/>
          <w:color w:val="000000"/>
          <w:sz w:val="24"/>
          <w:lang w:eastAsia="en-ZA"/>
        </w:rPr>
        <w:t>FOR THE RESPONDENT</w:t>
      </w:r>
      <w:r w:rsidR="00296846" w:rsidRPr="00E43BC6">
        <w:rPr>
          <w:rFonts w:ascii="Arial" w:eastAsia="Arial" w:hAnsi="Arial" w:cs="Arial"/>
          <w:color w:val="000000"/>
          <w:sz w:val="24"/>
          <w:lang w:eastAsia="en-ZA"/>
        </w:rPr>
        <w:t xml:space="preserve">: </w:t>
      </w:r>
      <w:r w:rsidR="00E43BC6" w:rsidRPr="00E43BC6">
        <w:rPr>
          <w:rFonts w:ascii="Arial" w:eastAsia="Arial" w:hAnsi="Arial" w:cs="Arial"/>
          <w:color w:val="000000"/>
          <w:sz w:val="24"/>
          <w:lang w:eastAsia="en-ZA"/>
        </w:rPr>
        <w:tab/>
      </w:r>
      <w:r w:rsidR="00E43BC6" w:rsidRPr="00E43BC6">
        <w:rPr>
          <w:rFonts w:ascii="Arial" w:eastAsia="Arial" w:hAnsi="Arial" w:cs="Arial"/>
          <w:color w:val="000000"/>
          <w:sz w:val="24"/>
          <w:lang w:eastAsia="en-ZA"/>
        </w:rPr>
        <w:tab/>
      </w:r>
      <w:r>
        <w:rPr>
          <w:rFonts w:ascii="Arial" w:eastAsia="Arial" w:hAnsi="Arial" w:cs="Arial"/>
          <w:color w:val="000000"/>
          <w:sz w:val="24"/>
          <w:lang w:eastAsia="en-ZA"/>
        </w:rPr>
        <w:t>Mr L Tibinyane</w:t>
      </w:r>
    </w:p>
    <w:p w:rsidR="00D66BD4" w:rsidRDefault="00B63320" w:rsidP="00E47A72">
      <w:pPr>
        <w:spacing w:after="0" w:line="360" w:lineRule="auto"/>
        <w:ind w:left="-15"/>
        <w:rPr>
          <w:rFonts w:ascii="Arial" w:eastAsia="Arial" w:hAnsi="Arial" w:cs="Arial"/>
          <w:color w:val="000000"/>
          <w:sz w:val="24"/>
          <w:lang w:eastAsia="en-ZA"/>
        </w:rPr>
      </w:pP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t xml:space="preserve">Government Attorneys, </w:t>
      </w:r>
    </w:p>
    <w:p w:rsidR="00B63320" w:rsidRPr="00E47A72" w:rsidRDefault="00B63320" w:rsidP="00D66BD4">
      <w:pPr>
        <w:spacing w:after="0" w:line="360" w:lineRule="auto"/>
        <w:ind w:left="3585" w:firstLine="735"/>
        <w:rPr>
          <w:rFonts w:ascii="Arial" w:eastAsia="Arial" w:hAnsi="Arial" w:cs="Arial"/>
          <w:color w:val="000000"/>
          <w:sz w:val="24"/>
          <w:lang w:eastAsia="en-ZA"/>
        </w:rPr>
      </w:pPr>
      <w:r>
        <w:rPr>
          <w:rFonts w:ascii="Arial" w:eastAsia="Arial" w:hAnsi="Arial" w:cs="Arial"/>
          <w:color w:val="000000"/>
          <w:sz w:val="24"/>
          <w:lang w:eastAsia="en-ZA"/>
        </w:rPr>
        <w:t>Windhoek</w:t>
      </w:r>
    </w:p>
    <w:sectPr w:rsidR="00B63320" w:rsidRPr="00E47A72"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4D" w:rsidRDefault="0036144D" w:rsidP="00E43BC6">
      <w:pPr>
        <w:spacing w:after="0" w:line="240" w:lineRule="auto"/>
      </w:pPr>
      <w:r>
        <w:separator/>
      </w:r>
    </w:p>
  </w:endnote>
  <w:endnote w:type="continuationSeparator" w:id="0">
    <w:p w:rsidR="0036144D" w:rsidRDefault="0036144D" w:rsidP="00E4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4D" w:rsidRDefault="0036144D" w:rsidP="00E43BC6">
      <w:pPr>
        <w:spacing w:after="0" w:line="240" w:lineRule="auto"/>
      </w:pPr>
      <w:r>
        <w:separator/>
      </w:r>
    </w:p>
  </w:footnote>
  <w:footnote w:type="continuationSeparator" w:id="0">
    <w:p w:rsidR="0036144D" w:rsidRDefault="0036144D" w:rsidP="00E4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8379CB" w:rsidRDefault="006108BB">
        <w:pPr>
          <w:pStyle w:val="Header"/>
          <w:jc w:val="right"/>
        </w:pPr>
        <w:r>
          <w:fldChar w:fldCharType="begin"/>
        </w:r>
        <w:r>
          <w:instrText xml:space="preserve"> PAGE   \* MERGEFORMAT </w:instrText>
        </w:r>
        <w:r>
          <w:fldChar w:fldCharType="separate"/>
        </w:r>
        <w:r w:rsidR="004F23AF">
          <w:rPr>
            <w:noProof/>
          </w:rPr>
          <w:t>2</w:t>
        </w:r>
        <w:r>
          <w:rPr>
            <w:noProof/>
          </w:rPr>
          <w:fldChar w:fldCharType="end"/>
        </w:r>
      </w:p>
    </w:sdtContent>
  </w:sdt>
  <w:p w:rsidR="008379CB" w:rsidRDefault="0036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2B6C"/>
    <w:multiLevelType w:val="hybridMultilevel"/>
    <w:tmpl w:val="D490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20FB3"/>
    <w:multiLevelType w:val="hybridMultilevel"/>
    <w:tmpl w:val="F6523D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6400"/>
    <w:multiLevelType w:val="hybridMultilevel"/>
    <w:tmpl w:val="D490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3DEC54E0"/>
    <w:multiLevelType w:val="hybridMultilevel"/>
    <w:tmpl w:val="3E34D4E4"/>
    <w:lvl w:ilvl="0" w:tplc="B890089C">
      <w:start w:val="1"/>
      <w:numFmt w:val="decimal"/>
      <w:lvlText w:val="%1."/>
      <w:lvlJc w:val="left"/>
      <w:pPr>
        <w:ind w:left="1440" w:hanging="360"/>
      </w:pPr>
      <w:rPr>
        <w:rFonts w:ascii="Arial" w:eastAsiaTheme="minorEastAsia"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87A7AA8"/>
    <w:multiLevelType w:val="hybridMultilevel"/>
    <w:tmpl w:val="2CB6880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9D255F"/>
    <w:multiLevelType w:val="hybridMultilevel"/>
    <w:tmpl w:val="E1283742"/>
    <w:lvl w:ilvl="0" w:tplc="0EAAD7C2">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8977DE"/>
    <w:multiLevelType w:val="hybridMultilevel"/>
    <w:tmpl w:val="D490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9"/>
  </w:num>
  <w:num w:numId="6">
    <w:abstractNumId w:val="3"/>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6"/>
    <w:rsid w:val="00013484"/>
    <w:rsid w:val="00016F35"/>
    <w:rsid w:val="000504E6"/>
    <w:rsid w:val="00070807"/>
    <w:rsid w:val="000B01C4"/>
    <w:rsid w:val="000B49A6"/>
    <w:rsid w:val="000C4740"/>
    <w:rsid w:val="000F25C2"/>
    <w:rsid w:val="00130CD9"/>
    <w:rsid w:val="00141D21"/>
    <w:rsid w:val="0014206C"/>
    <w:rsid w:val="001629C8"/>
    <w:rsid w:val="00186252"/>
    <w:rsid w:val="001A797F"/>
    <w:rsid w:val="001C32FB"/>
    <w:rsid w:val="001D20E8"/>
    <w:rsid w:val="001D2AF7"/>
    <w:rsid w:val="001E4FDE"/>
    <w:rsid w:val="00207CAF"/>
    <w:rsid w:val="00212934"/>
    <w:rsid w:val="002340EA"/>
    <w:rsid w:val="00240B8B"/>
    <w:rsid w:val="00251B5C"/>
    <w:rsid w:val="00257345"/>
    <w:rsid w:val="002714A8"/>
    <w:rsid w:val="00273E0C"/>
    <w:rsid w:val="00281EDF"/>
    <w:rsid w:val="0028417B"/>
    <w:rsid w:val="00285786"/>
    <w:rsid w:val="00296846"/>
    <w:rsid w:val="002A294B"/>
    <w:rsid w:val="002A645F"/>
    <w:rsid w:val="002C3E66"/>
    <w:rsid w:val="002D1265"/>
    <w:rsid w:val="002E3A24"/>
    <w:rsid w:val="00303EC2"/>
    <w:rsid w:val="00320D22"/>
    <w:rsid w:val="0036144D"/>
    <w:rsid w:val="00380CC8"/>
    <w:rsid w:val="00392F76"/>
    <w:rsid w:val="003933EA"/>
    <w:rsid w:val="003A281F"/>
    <w:rsid w:val="003A2FB0"/>
    <w:rsid w:val="003A5BE1"/>
    <w:rsid w:val="003B11EE"/>
    <w:rsid w:val="003B6992"/>
    <w:rsid w:val="003E3E32"/>
    <w:rsid w:val="00423BD2"/>
    <w:rsid w:val="00426F13"/>
    <w:rsid w:val="004477FB"/>
    <w:rsid w:val="00453E5F"/>
    <w:rsid w:val="004746D2"/>
    <w:rsid w:val="00485CEC"/>
    <w:rsid w:val="00491AB4"/>
    <w:rsid w:val="00492117"/>
    <w:rsid w:val="004A2F86"/>
    <w:rsid w:val="004A7F30"/>
    <w:rsid w:val="004E10AE"/>
    <w:rsid w:val="004F23AF"/>
    <w:rsid w:val="005063ED"/>
    <w:rsid w:val="00522E1C"/>
    <w:rsid w:val="00523C3F"/>
    <w:rsid w:val="0053010B"/>
    <w:rsid w:val="00560A0D"/>
    <w:rsid w:val="00561C1D"/>
    <w:rsid w:val="005942E8"/>
    <w:rsid w:val="005B2FD8"/>
    <w:rsid w:val="005B52AC"/>
    <w:rsid w:val="005D210C"/>
    <w:rsid w:val="005F2F83"/>
    <w:rsid w:val="006108BB"/>
    <w:rsid w:val="00623C93"/>
    <w:rsid w:val="00646FDF"/>
    <w:rsid w:val="006551BE"/>
    <w:rsid w:val="006A36CD"/>
    <w:rsid w:val="006B0F8F"/>
    <w:rsid w:val="006B68B7"/>
    <w:rsid w:val="006E3D03"/>
    <w:rsid w:val="006E7519"/>
    <w:rsid w:val="006F436C"/>
    <w:rsid w:val="00746627"/>
    <w:rsid w:val="007638A9"/>
    <w:rsid w:val="00784F4F"/>
    <w:rsid w:val="007A404F"/>
    <w:rsid w:val="007B79CE"/>
    <w:rsid w:val="007D1D40"/>
    <w:rsid w:val="007D48DF"/>
    <w:rsid w:val="007E5398"/>
    <w:rsid w:val="00830ECF"/>
    <w:rsid w:val="00844DAB"/>
    <w:rsid w:val="00855A70"/>
    <w:rsid w:val="008652EF"/>
    <w:rsid w:val="00866078"/>
    <w:rsid w:val="00876D8E"/>
    <w:rsid w:val="00877187"/>
    <w:rsid w:val="008863A5"/>
    <w:rsid w:val="00892119"/>
    <w:rsid w:val="008A0CF0"/>
    <w:rsid w:val="008E045B"/>
    <w:rsid w:val="008E7D9A"/>
    <w:rsid w:val="00915E4E"/>
    <w:rsid w:val="00960380"/>
    <w:rsid w:val="00972B23"/>
    <w:rsid w:val="00976BA4"/>
    <w:rsid w:val="0099595B"/>
    <w:rsid w:val="009A0DE4"/>
    <w:rsid w:val="009A1423"/>
    <w:rsid w:val="009A33AC"/>
    <w:rsid w:val="009A430C"/>
    <w:rsid w:val="009C0EC7"/>
    <w:rsid w:val="009D3828"/>
    <w:rsid w:val="009E5A2B"/>
    <w:rsid w:val="009E7142"/>
    <w:rsid w:val="00A03CB8"/>
    <w:rsid w:val="00A22735"/>
    <w:rsid w:val="00A3127D"/>
    <w:rsid w:val="00A67D02"/>
    <w:rsid w:val="00A92EC0"/>
    <w:rsid w:val="00A95762"/>
    <w:rsid w:val="00AB0585"/>
    <w:rsid w:val="00AB797B"/>
    <w:rsid w:val="00AC5EF9"/>
    <w:rsid w:val="00AD0C90"/>
    <w:rsid w:val="00B033E9"/>
    <w:rsid w:val="00B059F1"/>
    <w:rsid w:val="00B12B59"/>
    <w:rsid w:val="00B13FAA"/>
    <w:rsid w:val="00B2218B"/>
    <w:rsid w:val="00B35B92"/>
    <w:rsid w:val="00B427C9"/>
    <w:rsid w:val="00B44FF0"/>
    <w:rsid w:val="00B459C1"/>
    <w:rsid w:val="00B53500"/>
    <w:rsid w:val="00B61010"/>
    <w:rsid w:val="00B63320"/>
    <w:rsid w:val="00B82B68"/>
    <w:rsid w:val="00BB08BA"/>
    <w:rsid w:val="00BD2487"/>
    <w:rsid w:val="00BD56D2"/>
    <w:rsid w:val="00BF442A"/>
    <w:rsid w:val="00C0766D"/>
    <w:rsid w:val="00C07FBA"/>
    <w:rsid w:val="00C6035C"/>
    <w:rsid w:val="00CB1C90"/>
    <w:rsid w:val="00CB72DF"/>
    <w:rsid w:val="00CC66E2"/>
    <w:rsid w:val="00CD57C8"/>
    <w:rsid w:val="00CE1137"/>
    <w:rsid w:val="00D11C10"/>
    <w:rsid w:val="00D27087"/>
    <w:rsid w:val="00D40956"/>
    <w:rsid w:val="00D44CBC"/>
    <w:rsid w:val="00D57B58"/>
    <w:rsid w:val="00D62443"/>
    <w:rsid w:val="00D66BD4"/>
    <w:rsid w:val="00D67348"/>
    <w:rsid w:val="00D747D5"/>
    <w:rsid w:val="00D8022F"/>
    <w:rsid w:val="00D9444F"/>
    <w:rsid w:val="00DC67D6"/>
    <w:rsid w:val="00DD0744"/>
    <w:rsid w:val="00DD1B77"/>
    <w:rsid w:val="00DD3858"/>
    <w:rsid w:val="00DE02CB"/>
    <w:rsid w:val="00E43BC6"/>
    <w:rsid w:val="00E450C4"/>
    <w:rsid w:val="00E47566"/>
    <w:rsid w:val="00E47A72"/>
    <w:rsid w:val="00E56588"/>
    <w:rsid w:val="00E8469D"/>
    <w:rsid w:val="00E96FE6"/>
    <w:rsid w:val="00EC1BD5"/>
    <w:rsid w:val="00EC29F3"/>
    <w:rsid w:val="00EC6555"/>
    <w:rsid w:val="00EC6F6E"/>
    <w:rsid w:val="00ED0C18"/>
    <w:rsid w:val="00ED4FC7"/>
    <w:rsid w:val="00EE4115"/>
    <w:rsid w:val="00EF0812"/>
    <w:rsid w:val="00EF4743"/>
    <w:rsid w:val="00F01015"/>
    <w:rsid w:val="00F225BB"/>
    <w:rsid w:val="00F37AD6"/>
    <w:rsid w:val="00F51251"/>
    <w:rsid w:val="00F5692D"/>
    <w:rsid w:val="00F63272"/>
    <w:rsid w:val="00F72232"/>
    <w:rsid w:val="00F902A3"/>
    <w:rsid w:val="00FA2CEC"/>
    <w:rsid w:val="00FB2DF4"/>
    <w:rsid w:val="00FC06C5"/>
    <w:rsid w:val="00FC09FF"/>
    <w:rsid w:val="00FD1DA3"/>
    <w:rsid w:val="00FF5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9FF8A-7100-4B66-8461-BA6F12B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B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BC6"/>
  </w:style>
  <w:style w:type="paragraph" w:styleId="FootnoteText">
    <w:name w:val="footnote text"/>
    <w:basedOn w:val="Normal"/>
    <w:link w:val="FootnoteTextChar"/>
    <w:uiPriority w:val="99"/>
    <w:semiHidden/>
    <w:unhideWhenUsed/>
    <w:rsid w:val="00E43B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E43B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43BC6"/>
    <w:rPr>
      <w:rFonts w:cs="Times New Roman"/>
      <w:vertAlign w:val="superscript"/>
    </w:rPr>
  </w:style>
  <w:style w:type="paragraph" w:styleId="NormalWeb">
    <w:name w:val="Normal (Web)"/>
    <w:basedOn w:val="Normal"/>
    <w:uiPriority w:val="99"/>
    <w:unhideWhenUsed/>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3858"/>
    <w:rPr>
      <w:i/>
      <w:iCs/>
    </w:rPr>
  </w:style>
  <w:style w:type="character" w:styleId="Strong">
    <w:name w:val="Strong"/>
    <w:basedOn w:val="DefaultParagraphFont"/>
    <w:uiPriority w:val="22"/>
    <w:qFormat/>
    <w:rsid w:val="00DD3858"/>
    <w:rPr>
      <w:b/>
      <w:bCs/>
    </w:rPr>
  </w:style>
  <w:style w:type="paragraph" w:styleId="ListParagraph">
    <w:name w:val="List Paragraph"/>
    <w:basedOn w:val="Normal"/>
    <w:uiPriority w:val="34"/>
    <w:qFormat/>
    <w:rsid w:val="003E3E32"/>
    <w:pPr>
      <w:ind w:left="720"/>
      <w:contextualSpacing/>
    </w:pPr>
  </w:style>
  <w:style w:type="paragraph" w:styleId="BalloonText">
    <w:name w:val="Balloon Text"/>
    <w:basedOn w:val="Normal"/>
    <w:link w:val="BalloonTextChar"/>
    <w:uiPriority w:val="99"/>
    <w:semiHidden/>
    <w:unhideWhenUsed/>
    <w:rsid w:val="00CC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2671">
      <w:bodyDiv w:val="1"/>
      <w:marLeft w:val="0"/>
      <w:marRight w:val="0"/>
      <w:marTop w:val="0"/>
      <w:marBottom w:val="0"/>
      <w:divBdr>
        <w:top w:val="none" w:sz="0" w:space="0" w:color="auto"/>
        <w:left w:val="none" w:sz="0" w:space="0" w:color="auto"/>
        <w:bottom w:val="none" w:sz="0" w:space="0" w:color="auto"/>
        <w:right w:val="none" w:sz="0" w:space="0" w:color="auto"/>
      </w:divBdr>
    </w:div>
    <w:div w:id="1985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c1afb1bd-f2fb-40fd-9abb-aea55b4d7662">2020</Year>
  </documentManagement>
</p:properties>
</file>

<file path=customXml/itemProps1.xml><?xml version="1.0" encoding="utf-8"?>
<ds:datastoreItem xmlns:ds="http://schemas.openxmlformats.org/officeDocument/2006/customXml" ds:itemID="{21794F41-3782-4225-A496-670E3FC9B4B5}"/>
</file>

<file path=customXml/itemProps2.xml><?xml version="1.0" encoding="utf-8"?>
<ds:datastoreItem xmlns:ds="http://schemas.openxmlformats.org/officeDocument/2006/customXml" ds:itemID="{39337C1C-AF74-47A6-B172-09CACC047DCA}"/>
</file>

<file path=customXml/itemProps3.xml><?xml version="1.0" encoding="utf-8"?>
<ds:datastoreItem xmlns:ds="http://schemas.openxmlformats.org/officeDocument/2006/customXml" ds:itemID="{9762DFC2-55FB-4EB8-96A0-8142082686D0}"/>
</file>

<file path=customXml/itemProps4.xml><?xml version="1.0" encoding="utf-8"?>
<ds:datastoreItem xmlns:ds="http://schemas.openxmlformats.org/officeDocument/2006/customXml" ds:itemID="{A72A37A9-E833-4B80-BAB2-360728C78E04}"/>
</file>

<file path=docProps/app.xml><?xml version="1.0" encoding="utf-8"?>
<Properties xmlns="http://schemas.openxmlformats.org/officeDocument/2006/extended-properties" xmlns:vt="http://schemas.openxmlformats.org/officeDocument/2006/docPropsVTypes">
  <Template>Normal</Template>
  <TotalTime>0</TotalTime>
  <Pages>10</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hiimi v Minister of Safety and Security (HC-NLD-CIV-ACT-DEL-2017-00095) [2020] NAHCNLD 78 (30 June 2020)</dc:title>
  <dc:subject/>
  <dc:creator>Helvi Hilifilwa</dc:creator>
  <cp:keywords/>
  <dc:description/>
  <cp:lastModifiedBy>Administrator</cp:lastModifiedBy>
  <cp:revision>2</cp:revision>
  <cp:lastPrinted>2020-06-30T09:05:00Z</cp:lastPrinted>
  <dcterms:created xsi:type="dcterms:W3CDTF">2020-07-13T06:46:00Z</dcterms:created>
  <dcterms:modified xsi:type="dcterms:W3CDTF">2020-07-13T06:46:00Z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