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A3C" w:rsidRPr="00B95415" w:rsidRDefault="002F5A3C" w:rsidP="002F5A3C">
      <w:pPr>
        <w:spacing w:line="252" w:lineRule="auto"/>
        <w:jc w:val="center"/>
        <w:rPr>
          <w:rFonts w:ascii="Arial" w:hAnsi="Arial" w:cs="Arial"/>
          <w:b/>
          <w:sz w:val="24"/>
          <w:szCs w:val="24"/>
        </w:rPr>
      </w:pPr>
      <w:r w:rsidRPr="00B95415">
        <w:rPr>
          <w:rFonts w:ascii="Arial" w:hAnsi="Arial" w:cs="Arial"/>
          <w:b/>
          <w:sz w:val="24"/>
          <w:szCs w:val="24"/>
        </w:rPr>
        <w:t>REPUBLIC OF NAMIBIA</w:t>
      </w:r>
    </w:p>
    <w:p w:rsidR="002F5A3C" w:rsidRPr="00B876E9" w:rsidRDefault="002F5A3C" w:rsidP="002F5A3C">
      <w:pPr>
        <w:spacing w:line="252" w:lineRule="auto"/>
        <w:jc w:val="center"/>
        <w:rPr>
          <w:rFonts w:ascii="Arial" w:hAnsi="Arial" w:cs="Arial"/>
          <w:b/>
          <w:sz w:val="24"/>
          <w:szCs w:val="24"/>
        </w:rPr>
      </w:pPr>
      <w:r w:rsidRPr="00B876E9">
        <w:rPr>
          <w:rFonts w:ascii="Arial" w:hAnsi="Arial" w:cs="Arial"/>
          <w:b/>
          <w:noProof/>
          <w:sz w:val="24"/>
          <w:szCs w:val="24"/>
        </w:rPr>
        <w:drawing>
          <wp:inline distT="0" distB="0" distL="0" distR="0" wp14:anchorId="3880750D" wp14:editId="33173A9B">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2F5A3C" w:rsidRPr="00B876E9" w:rsidRDefault="002F5A3C" w:rsidP="00F9633D">
      <w:pPr>
        <w:spacing w:line="240" w:lineRule="auto"/>
        <w:jc w:val="center"/>
        <w:rPr>
          <w:rFonts w:ascii="Arial" w:hAnsi="Arial" w:cs="Arial"/>
          <w:b/>
          <w:sz w:val="24"/>
          <w:szCs w:val="24"/>
        </w:rPr>
      </w:pPr>
      <w:r w:rsidRPr="00B876E9">
        <w:rPr>
          <w:rFonts w:ascii="Arial" w:hAnsi="Arial" w:cs="Arial"/>
          <w:b/>
          <w:sz w:val="24"/>
          <w:szCs w:val="24"/>
        </w:rPr>
        <w:t>IN THE HIGH COURT OF NAMIBIA, NORTHERN LOCAL DIVISION, OSHAKATI</w:t>
      </w:r>
    </w:p>
    <w:p w:rsidR="002F5A3C" w:rsidRPr="00B876E9" w:rsidRDefault="002F5A3C" w:rsidP="00F9633D">
      <w:pPr>
        <w:spacing w:line="240" w:lineRule="auto"/>
        <w:jc w:val="center"/>
        <w:rPr>
          <w:rFonts w:ascii="Arial" w:hAnsi="Arial" w:cs="Arial"/>
          <w:b/>
          <w:sz w:val="24"/>
          <w:szCs w:val="24"/>
        </w:rPr>
      </w:pPr>
    </w:p>
    <w:p w:rsidR="002F5A3C" w:rsidRDefault="002F5A3C" w:rsidP="00F9633D">
      <w:pPr>
        <w:spacing w:line="240" w:lineRule="auto"/>
        <w:jc w:val="center"/>
        <w:rPr>
          <w:rFonts w:ascii="Arial" w:hAnsi="Arial" w:cs="Arial"/>
          <w:b/>
          <w:sz w:val="24"/>
          <w:szCs w:val="24"/>
        </w:rPr>
      </w:pPr>
      <w:r w:rsidRPr="00B876E9">
        <w:rPr>
          <w:rFonts w:ascii="Arial" w:hAnsi="Arial" w:cs="Arial"/>
          <w:b/>
          <w:sz w:val="24"/>
          <w:szCs w:val="24"/>
        </w:rPr>
        <w:t xml:space="preserve">REVIEW JUDGMENT </w:t>
      </w:r>
    </w:p>
    <w:p w:rsidR="00F9633D" w:rsidRPr="00B876E9" w:rsidRDefault="00F9633D" w:rsidP="00F9633D">
      <w:pPr>
        <w:spacing w:line="240" w:lineRule="auto"/>
        <w:jc w:val="center"/>
        <w:rPr>
          <w:rFonts w:ascii="Arial" w:hAnsi="Arial" w:cs="Arial"/>
          <w:b/>
          <w:sz w:val="24"/>
          <w:szCs w:val="24"/>
        </w:rPr>
      </w:pPr>
      <w:r>
        <w:rPr>
          <w:rFonts w:ascii="Arial" w:hAnsi="Arial" w:cs="Arial"/>
          <w:b/>
          <w:sz w:val="24"/>
          <w:szCs w:val="24"/>
        </w:rPr>
        <w:t>“ANNEXURE 11”</w:t>
      </w:r>
      <w:bookmarkStart w:id="0" w:name="_GoBack"/>
      <w:bookmarkEnd w:id="0"/>
    </w:p>
    <w:p w:rsidR="002F5A3C" w:rsidRPr="00EA634B" w:rsidRDefault="002F5A3C" w:rsidP="002F5A3C">
      <w:pPr>
        <w:spacing w:line="254" w:lineRule="auto"/>
        <w:rPr>
          <w:lang w:val="en-ZA"/>
        </w:rPr>
      </w:pPr>
    </w:p>
    <w:tbl>
      <w:tblPr>
        <w:tblStyle w:val="TableGrid"/>
        <w:tblW w:w="10207" w:type="dxa"/>
        <w:tblInd w:w="-147" w:type="dxa"/>
        <w:tblLayout w:type="fixed"/>
        <w:tblLook w:val="04A0" w:firstRow="1" w:lastRow="0" w:firstColumn="1" w:lastColumn="0" w:noHBand="0" w:noVBand="1"/>
      </w:tblPr>
      <w:tblGrid>
        <w:gridCol w:w="4276"/>
        <w:gridCol w:w="330"/>
        <w:gridCol w:w="5601"/>
      </w:tblGrid>
      <w:tr w:rsidR="002F5A3C" w:rsidRPr="00EA634B" w:rsidTr="00BF1067">
        <w:tc>
          <w:tcPr>
            <w:tcW w:w="4276" w:type="dxa"/>
            <w:vMerge w:val="restart"/>
            <w:tcBorders>
              <w:top w:val="single" w:sz="4" w:space="0" w:color="auto"/>
              <w:left w:val="single" w:sz="4" w:space="0" w:color="auto"/>
              <w:bottom w:val="single" w:sz="4" w:space="0" w:color="auto"/>
              <w:right w:val="single" w:sz="4" w:space="0" w:color="auto"/>
            </w:tcBorders>
            <w:hideMark/>
          </w:tcPr>
          <w:p w:rsidR="002F5A3C" w:rsidRPr="00EA634B" w:rsidRDefault="002F5A3C" w:rsidP="00BF1067">
            <w:pPr>
              <w:spacing w:line="360" w:lineRule="auto"/>
              <w:jc w:val="both"/>
              <w:rPr>
                <w:rFonts w:ascii="Arial" w:hAnsi="Arial" w:cs="Arial"/>
                <w:b/>
                <w:sz w:val="24"/>
                <w:szCs w:val="24"/>
                <w:lang w:val="en-ZA"/>
              </w:rPr>
            </w:pPr>
            <w:r w:rsidRPr="00EA634B">
              <w:rPr>
                <w:rFonts w:ascii="Arial" w:hAnsi="Arial" w:cs="Arial"/>
                <w:b/>
                <w:sz w:val="24"/>
                <w:szCs w:val="24"/>
                <w:lang w:val="en-ZA"/>
              </w:rPr>
              <w:t>Case Title:</w:t>
            </w:r>
          </w:p>
          <w:p w:rsidR="002F5A3C" w:rsidRDefault="002F5A3C" w:rsidP="002F5A3C">
            <w:pPr>
              <w:spacing w:line="360" w:lineRule="auto"/>
              <w:jc w:val="both"/>
              <w:rPr>
                <w:rFonts w:ascii="Arial" w:hAnsi="Arial" w:cs="Arial"/>
                <w:i/>
                <w:sz w:val="24"/>
                <w:szCs w:val="24"/>
                <w:lang w:val="en-ZA"/>
              </w:rPr>
            </w:pPr>
            <w:r w:rsidRPr="00EA634B">
              <w:rPr>
                <w:rFonts w:ascii="Arial" w:hAnsi="Arial" w:cs="Arial"/>
                <w:i/>
                <w:sz w:val="24"/>
                <w:szCs w:val="24"/>
                <w:lang w:val="en-ZA"/>
              </w:rPr>
              <w:t xml:space="preserve">The State v </w:t>
            </w:r>
            <w:r w:rsidR="00104FD8">
              <w:rPr>
                <w:rFonts w:ascii="Arial" w:hAnsi="Arial" w:cs="Arial"/>
                <w:i/>
                <w:sz w:val="24"/>
                <w:szCs w:val="24"/>
                <w:lang w:val="en-ZA"/>
              </w:rPr>
              <w:t xml:space="preserve">Paulus </w:t>
            </w:r>
            <w:proofErr w:type="spellStart"/>
            <w:r w:rsidR="00B21E73">
              <w:rPr>
                <w:rFonts w:ascii="Arial" w:hAnsi="Arial" w:cs="Arial"/>
                <w:i/>
                <w:sz w:val="24"/>
                <w:szCs w:val="24"/>
                <w:lang w:val="en-ZA"/>
              </w:rPr>
              <w:t>Nghiningwesha</w:t>
            </w:r>
            <w:proofErr w:type="spellEnd"/>
            <w:r w:rsidR="00B21E73">
              <w:rPr>
                <w:rFonts w:ascii="Arial" w:hAnsi="Arial" w:cs="Arial"/>
                <w:i/>
                <w:sz w:val="24"/>
                <w:szCs w:val="24"/>
                <w:lang w:val="en-ZA"/>
              </w:rPr>
              <w:t xml:space="preserve"> </w:t>
            </w:r>
            <w:proofErr w:type="spellStart"/>
            <w:r w:rsidR="00104FD8">
              <w:rPr>
                <w:rFonts w:ascii="Arial" w:hAnsi="Arial" w:cs="Arial"/>
                <w:i/>
                <w:sz w:val="24"/>
                <w:szCs w:val="24"/>
                <w:lang w:val="en-ZA"/>
              </w:rPr>
              <w:t>Kashidulika</w:t>
            </w:r>
            <w:proofErr w:type="spellEnd"/>
            <w:r w:rsidR="00BE00D7">
              <w:rPr>
                <w:rFonts w:ascii="Arial" w:hAnsi="Arial" w:cs="Arial"/>
                <w:i/>
                <w:sz w:val="24"/>
                <w:szCs w:val="24"/>
                <w:lang w:val="en-ZA"/>
              </w:rPr>
              <w:t>; The State v</w:t>
            </w:r>
            <w:r w:rsidR="0089259D">
              <w:rPr>
                <w:rFonts w:ascii="Arial" w:hAnsi="Arial" w:cs="Arial"/>
                <w:i/>
                <w:sz w:val="24"/>
                <w:szCs w:val="24"/>
                <w:lang w:val="en-ZA"/>
              </w:rPr>
              <w:t xml:space="preserve"> Linea </w:t>
            </w:r>
            <w:proofErr w:type="spellStart"/>
            <w:r w:rsidR="0089259D">
              <w:rPr>
                <w:rFonts w:ascii="Arial" w:hAnsi="Arial" w:cs="Arial"/>
                <w:i/>
                <w:sz w:val="24"/>
                <w:szCs w:val="24"/>
                <w:lang w:val="en-ZA"/>
              </w:rPr>
              <w:t>Kaungodi</w:t>
            </w:r>
            <w:proofErr w:type="spellEnd"/>
            <w:r w:rsidR="0089259D">
              <w:rPr>
                <w:rFonts w:ascii="Arial" w:hAnsi="Arial" w:cs="Arial"/>
                <w:i/>
                <w:sz w:val="24"/>
                <w:szCs w:val="24"/>
                <w:lang w:val="en-ZA"/>
              </w:rPr>
              <w:t xml:space="preserve"> </w:t>
            </w:r>
            <w:proofErr w:type="spellStart"/>
            <w:r w:rsidR="0089259D">
              <w:rPr>
                <w:rFonts w:ascii="Arial" w:hAnsi="Arial" w:cs="Arial"/>
                <w:i/>
                <w:sz w:val="24"/>
                <w:szCs w:val="24"/>
                <w:lang w:val="en-ZA"/>
              </w:rPr>
              <w:t>Kalingodi</w:t>
            </w:r>
            <w:proofErr w:type="spellEnd"/>
          </w:p>
          <w:p w:rsidR="002F5A3C" w:rsidRDefault="002F5A3C" w:rsidP="002F5A3C">
            <w:pPr>
              <w:spacing w:line="360" w:lineRule="auto"/>
              <w:jc w:val="both"/>
              <w:rPr>
                <w:rFonts w:ascii="Arial" w:hAnsi="Arial" w:cs="Arial"/>
                <w:i/>
                <w:sz w:val="24"/>
                <w:szCs w:val="24"/>
                <w:lang w:val="en-ZA"/>
              </w:rPr>
            </w:pPr>
          </w:p>
          <w:p w:rsidR="002F5A3C" w:rsidRPr="00EA634B" w:rsidRDefault="002F5A3C" w:rsidP="002F5A3C">
            <w:pPr>
              <w:spacing w:line="360" w:lineRule="auto"/>
              <w:jc w:val="both"/>
              <w:rPr>
                <w:rFonts w:ascii="Arial" w:hAnsi="Arial" w:cs="Arial"/>
                <w:i/>
                <w:sz w:val="24"/>
                <w:szCs w:val="24"/>
                <w:lang w:val="en-ZA"/>
              </w:rPr>
            </w:pPr>
          </w:p>
        </w:tc>
        <w:tc>
          <w:tcPr>
            <w:tcW w:w="5931" w:type="dxa"/>
            <w:gridSpan w:val="2"/>
            <w:tcBorders>
              <w:top w:val="single" w:sz="4" w:space="0" w:color="auto"/>
              <w:left w:val="single" w:sz="4" w:space="0" w:color="auto"/>
              <w:bottom w:val="single" w:sz="4" w:space="0" w:color="auto"/>
              <w:right w:val="single" w:sz="4" w:space="0" w:color="auto"/>
            </w:tcBorders>
          </w:tcPr>
          <w:p w:rsidR="002F5A3C" w:rsidRDefault="002F5A3C" w:rsidP="00A27D95">
            <w:pPr>
              <w:spacing w:line="360" w:lineRule="auto"/>
              <w:ind w:left="2183" w:hanging="2126"/>
              <w:jc w:val="both"/>
              <w:rPr>
                <w:rFonts w:ascii="Arial" w:hAnsi="Arial" w:cs="Arial"/>
                <w:sz w:val="24"/>
                <w:szCs w:val="24"/>
                <w:lang w:val="en-ZA"/>
              </w:rPr>
            </w:pPr>
            <w:r w:rsidRPr="00AB0C80">
              <w:rPr>
                <w:rFonts w:ascii="Arial" w:hAnsi="Arial" w:cs="Arial"/>
                <w:b/>
                <w:sz w:val="24"/>
                <w:szCs w:val="24"/>
                <w:lang w:val="en-ZA"/>
              </w:rPr>
              <w:t>CR No</w:t>
            </w:r>
            <w:r>
              <w:rPr>
                <w:rFonts w:ascii="Arial" w:hAnsi="Arial" w:cs="Arial"/>
                <w:sz w:val="24"/>
                <w:szCs w:val="24"/>
                <w:lang w:val="en-ZA"/>
              </w:rPr>
              <w:t>.</w:t>
            </w:r>
            <w:r w:rsidRPr="00EA634B">
              <w:rPr>
                <w:rFonts w:ascii="Arial" w:hAnsi="Arial" w:cs="Arial"/>
                <w:sz w:val="24"/>
                <w:szCs w:val="24"/>
                <w:lang w:val="en-ZA"/>
              </w:rPr>
              <w:t>:</w:t>
            </w:r>
            <w:r>
              <w:rPr>
                <w:rFonts w:ascii="Arial" w:hAnsi="Arial" w:cs="Arial"/>
                <w:sz w:val="24"/>
                <w:szCs w:val="24"/>
                <w:lang w:val="en-ZA"/>
              </w:rPr>
              <w:t xml:space="preserve"> </w:t>
            </w:r>
            <w:r w:rsidR="00445CA9">
              <w:rPr>
                <w:rFonts w:ascii="Arial" w:hAnsi="Arial" w:cs="Arial"/>
                <w:sz w:val="24"/>
                <w:szCs w:val="24"/>
                <w:lang w:val="en-ZA"/>
              </w:rPr>
              <w:t>38</w:t>
            </w:r>
            <w:r w:rsidR="00B21E73">
              <w:rPr>
                <w:rFonts w:ascii="Arial" w:hAnsi="Arial" w:cs="Arial"/>
                <w:sz w:val="24"/>
                <w:szCs w:val="24"/>
                <w:lang w:val="en-ZA"/>
              </w:rPr>
              <w:t>/2020</w:t>
            </w:r>
          </w:p>
          <w:p w:rsidR="00B21E73" w:rsidRDefault="00B21E73" w:rsidP="00A27D95">
            <w:pPr>
              <w:spacing w:line="360" w:lineRule="auto"/>
              <w:ind w:left="2183" w:hanging="2126"/>
              <w:jc w:val="both"/>
              <w:rPr>
                <w:rFonts w:ascii="Arial" w:hAnsi="Arial" w:cs="Arial"/>
                <w:sz w:val="24"/>
                <w:szCs w:val="24"/>
                <w:lang w:val="en-ZA"/>
              </w:rPr>
            </w:pPr>
            <w:r w:rsidRPr="00B21E73">
              <w:rPr>
                <w:rFonts w:ascii="Arial" w:hAnsi="Arial" w:cs="Arial"/>
                <w:sz w:val="24"/>
                <w:szCs w:val="24"/>
                <w:lang w:val="en-ZA"/>
              </w:rPr>
              <w:t>Case No.</w:t>
            </w:r>
            <w:r>
              <w:rPr>
                <w:rFonts w:ascii="Arial" w:hAnsi="Arial" w:cs="Arial"/>
                <w:sz w:val="24"/>
                <w:szCs w:val="24"/>
                <w:lang w:val="en-ZA"/>
              </w:rPr>
              <w:t>: EENHANA 25/2020</w:t>
            </w:r>
          </w:p>
          <w:p w:rsidR="00B21E73" w:rsidRPr="00EA634B" w:rsidRDefault="00B21E73" w:rsidP="00A27D95">
            <w:pPr>
              <w:spacing w:line="360" w:lineRule="auto"/>
              <w:ind w:left="2183" w:hanging="2126"/>
              <w:jc w:val="both"/>
              <w:rPr>
                <w:rFonts w:ascii="Arial" w:hAnsi="Arial" w:cs="Arial"/>
                <w:sz w:val="24"/>
                <w:szCs w:val="24"/>
                <w:lang w:val="en-ZA"/>
              </w:rPr>
            </w:pPr>
            <w:r>
              <w:rPr>
                <w:rFonts w:ascii="Arial" w:hAnsi="Arial" w:cs="Arial"/>
                <w:sz w:val="24"/>
                <w:szCs w:val="24"/>
                <w:lang w:val="en-ZA"/>
              </w:rPr>
              <w:t>Case No.: EENHANA 29/2020</w:t>
            </w:r>
          </w:p>
        </w:tc>
      </w:tr>
      <w:tr w:rsidR="002F5A3C" w:rsidRPr="00EA634B" w:rsidTr="00BF1067">
        <w:tc>
          <w:tcPr>
            <w:tcW w:w="4276" w:type="dxa"/>
            <w:vMerge/>
            <w:tcBorders>
              <w:top w:val="single" w:sz="4" w:space="0" w:color="auto"/>
              <w:left w:val="single" w:sz="4" w:space="0" w:color="auto"/>
              <w:bottom w:val="single" w:sz="4" w:space="0" w:color="auto"/>
              <w:right w:val="single" w:sz="4" w:space="0" w:color="auto"/>
            </w:tcBorders>
            <w:vAlign w:val="center"/>
            <w:hideMark/>
          </w:tcPr>
          <w:p w:rsidR="002F5A3C" w:rsidRPr="00EA634B" w:rsidRDefault="002F5A3C" w:rsidP="00BF1067">
            <w:pPr>
              <w:rPr>
                <w:rFonts w:ascii="Arial" w:hAnsi="Arial" w:cs="Arial"/>
                <w:i/>
                <w:sz w:val="24"/>
                <w:szCs w:val="24"/>
                <w:lang w:val="en-ZA"/>
              </w:rPr>
            </w:pPr>
          </w:p>
        </w:tc>
        <w:tc>
          <w:tcPr>
            <w:tcW w:w="5931" w:type="dxa"/>
            <w:gridSpan w:val="2"/>
            <w:tcBorders>
              <w:top w:val="single" w:sz="4" w:space="0" w:color="auto"/>
              <w:left w:val="single" w:sz="4" w:space="0" w:color="auto"/>
              <w:bottom w:val="single" w:sz="4" w:space="0" w:color="auto"/>
              <w:right w:val="single" w:sz="4" w:space="0" w:color="auto"/>
            </w:tcBorders>
            <w:hideMark/>
          </w:tcPr>
          <w:p w:rsidR="002F5A3C" w:rsidRPr="00EA634B" w:rsidRDefault="002F5A3C" w:rsidP="00BF1067">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Division of Court: </w:t>
            </w:r>
          </w:p>
          <w:p w:rsidR="002F5A3C" w:rsidRPr="00EA634B" w:rsidRDefault="002F5A3C" w:rsidP="00BF1067">
            <w:pPr>
              <w:spacing w:line="360" w:lineRule="auto"/>
              <w:jc w:val="both"/>
              <w:rPr>
                <w:rFonts w:ascii="Arial" w:hAnsi="Arial" w:cs="Arial"/>
                <w:sz w:val="24"/>
                <w:szCs w:val="24"/>
                <w:lang w:val="en-ZA"/>
              </w:rPr>
            </w:pPr>
            <w:r w:rsidRPr="00EA634B">
              <w:rPr>
                <w:rFonts w:ascii="Arial" w:hAnsi="Arial" w:cs="Arial"/>
                <w:sz w:val="24"/>
                <w:szCs w:val="24"/>
                <w:lang w:val="en-ZA"/>
              </w:rPr>
              <w:t>Northern Local Division</w:t>
            </w:r>
          </w:p>
        </w:tc>
      </w:tr>
      <w:tr w:rsidR="002F5A3C" w:rsidRPr="00EA634B" w:rsidTr="00BF1067">
        <w:tc>
          <w:tcPr>
            <w:tcW w:w="4276" w:type="dxa"/>
            <w:tcBorders>
              <w:top w:val="single" w:sz="4" w:space="0" w:color="auto"/>
              <w:left w:val="single" w:sz="4" w:space="0" w:color="auto"/>
              <w:bottom w:val="single" w:sz="4" w:space="0" w:color="auto"/>
              <w:right w:val="single" w:sz="4" w:space="0" w:color="auto"/>
            </w:tcBorders>
          </w:tcPr>
          <w:p w:rsidR="002F5A3C" w:rsidRPr="00EA634B" w:rsidRDefault="002F5A3C" w:rsidP="00BF1067">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Heard before:  </w:t>
            </w:r>
          </w:p>
          <w:p w:rsidR="002F5A3C" w:rsidRPr="00EA634B" w:rsidRDefault="0017110E" w:rsidP="00BF1067">
            <w:pPr>
              <w:spacing w:line="360" w:lineRule="auto"/>
              <w:jc w:val="both"/>
              <w:rPr>
                <w:rFonts w:ascii="Arial" w:hAnsi="Arial" w:cs="Arial"/>
                <w:sz w:val="24"/>
                <w:szCs w:val="24"/>
                <w:lang w:val="en-ZA"/>
              </w:rPr>
            </w:pPr>
            <w:r>
              <w:rPr>
                <w:rFonts w:ascii="Arial" w:hAnsi="Arial" w:cs="Arial"/>
                <w:sz w:val="24"/>
                <w:szCs w:val="24"/>
                <w:lang w:val="en-ZA"/>
              </w:rPr>
              <w:t xml:space="preserve">Honourable Mr. Justice </w:t>
            </w:r>
            <w:r w:rsidR="002F5A3C" w:rsidRPr="00EA634B">
              <w:rPr>
                <w:rFonts w:ascii="Arial" w:hAnsi="Arial" w:cs="Arial"/>
                <w:sz w:val="24"/>
                <w:szCs w:val="24"/>
                <w:lang w:val="en-ZA"/>
              </w:rPr>
              <w:t xml:space="preserve">January J </w:t>
            </w:r>
            <w:r w:rsidR="002F5A3C" w:rsidRPr="00EA634B">
              <w:rPr>
                <w:rFonts w:ascii="Arial" w:hAnsi="Arial" w:cs="Arial"/>
                <w:i/>
                <w:sz w:val="24"/>
                <w:szCs w:val="24"/>
                <w:lang w:val="en-ZA"/>
              </w:rPr>
              <w:t>et</w:t>
            </w:r>
          </w:p>
          <w:p w:rsidR="002F5A3C" w:rsidRPr="00EA634B" w:rsidRDefault="002F5A3C" w:rsidP="00D05C0E">
            <w:pPr>
              <w:spacing w:line="360" w:lineRule="auto"/>
              <w:jc w:val="both"/>
              <w:rPr>
                <w:rFonts w:ascii="Arial" w:hAnsi="Arial" w:cs="Arial"/>
                <w:b/>
                <w:sz w:val="24"/>
                <w:szCs w:val="24"/>
                <w:lang w:val="en-ZA"/>
              </w:rPr>
            </w:pPr>
            <w:r w:rsidRPr="00EA634B">
              <w:rPr>
                <w:rFonts w:ascii="Arial" w:hAnsi="Arial" w:cs="Arial"/>
                <w:sz w:val="24"/>
                <w:szCs w:val="24"/>
                <w:lang w:val="en-ZA"/>
              </w:rPr>
              <w:t>Honourable Ms</w:t>
            </w:r>
            <w:r w:rsidR="00BE0D9A">
              <w:rPr>
                <w:rFonts w:ascii="Arial" w:hAnsi="Arial" w:cs="Arial"/>
                <w:sz w:val="24"/>
                <w:szCs w:val="24"/>
                <w:lang w:val="en-ZA"/>
              </w:rPr>
              <w:t>.</w:t>
            </w:r>
            <w:r w:rsidRPr="00EA634B">
              <w:rPr>
                <w:rFonts w:ascii="Arial" w:hAnsi="Arial" w:cs="Arial"/>
                <w:sz w:val="24"/>
                <w:szCs w:val="24"/>
                <w:lang w:val="en-ZA"/>
              </w:rPr>
              <w:t xml:space="preserve"> Justice </w:t>
            </w:r>
            <w:r w:rsidR="00E01F81">
              <w:rPr>
                <w:rFonts w:ascii="Arial" w:hAnsi="Arial" w:cs="Arial"/>
                <w:sz w:val="24"/>
                <w:szCs w:val="24"/>
                <w:lang w:val="en-ZA"/>
              </w:rPr>
              <w:t>Diergaardt A</w:t>
            </w:r>
            <w:r w:rsidRPr="00EA634B">
              <w:rPr>
                <w:rFonts w:ascii="Arial" w:hAnsi="Arial" w:cs="Arial"/>
                <w:sz w:val="24"/>
                <w:szCs w:val="24"/>
                <w:lang w:val="en-ZA"/>
              </w:rPr>
              <w:t>J</w:t>
            </w:r>
          </w:p>
        </w:tc>
        <w:tc>
          <w:tcPr>
            <w:tcW w:w="5931" w:type="dxa"/>
            <w:gridSpan w:val="2"/>
            <w:tcBorders>
              <w:top w:val="single" w:sz="4" w:space="0" w:color="auto"/>
              <w:left w:val="single" w:sz="4" w:space="0" w:color="auto"/>
              <w:bottom w:val="single" w:sz="4" w:space="0" w:color="auto"/>
              <w:right w:val="single" w:sz="4" w:space="0" w:color="auto"/>
            </w:tcBorders>
          </w:tcPr>
          <w:p w:rsidR="002F5A3C" w:rsidRPr="009D2874" w:rsidRDefault="009D2874" w:rsidP="00BF1067">
            <w:pPr>
              <w:spacing w:line="360" w:lineRule="auto"/>
              <w:jc w:val="both"/>
              <w:rPr>
                <w:rFonts w:ascii="Arial" w:hAnsi="Arial" w:cs="Arial"/>
                <w:sz w:val="24"/>
                <w:szCs w:val="24"/>
                <w:lang w:val="en-ZA"/>
              </w:rPr>
            </w:pPr>
            <w:r>
              <w:rPr>
                <w:rFonts w:ascii="Arial" w:hAnsi="Arial" w:cs="Arial"/>
                <w:b/>
                <w:sz w:val="24"/>
                <w:szCs w:val="24"/>
                <w:lang w:val="en-ZA"/>
              </w:rPr>
              <w:t>Delivered on</w:t>
            </w:r>
            <w:r>
              <w:rPr>
                <w:rFonts w:ascii="Arial" w:hAnsi="Arial" w:cs="Arial"/>
                <w:sz w:val="24"/>
                <w:szCs w:val="24"/>
                <w:lang w:val="en-ZA"/>
              </w:rPr>
              <w:t>:</w:t>
            </w:r>
          </w:p>
          <w:p w:rsidR="002F5A3C" w:rsidRPr="00EA634B" w:rsidRDefault="00445CA9" w:rsidP="00363361">
            <w:pPr>
              <w:spacing w:line="360" w:lineRule="auto"/>
              <w:jc w:val="both"/>
              <w:rPr>
                <w:rFonts w:ascii="Arial" w:hAnsi="Arial" w:cs="Arial"/>
                <w:sz w:val="24"/>
                <w:szCs w:val="24"/>
                <w:lang w:val="en-ZA"/>
              </w:rPr>
            </w:pPr>
            <w:r>
              <w:rPr>
                <w:rFonts w:ascii="Arial" w:hAnsi="Arial" w:cs="Arial"/>
                <w:sz w:val="24"/>
                <w:szCs w:val="24"/>
                <w:lang w:val="en-ZA"/>
              </w:rPr>
              <w:t>30</w:t>
            </w:r>
            <w:r w:rsidR="0017110E">
              <w:rPr>
                <w:rFonts w:ascii="Arial" w:hAnsi="Arial" w:cs="Arial"/>
                <w:sz w:val="24"/>
                <w:szCs w:val="24"/>
                <w:lang w:val="en-ZA"/>
              </w:rPr>
              <w:t xml:space="preserve"> </w:t>
            </w:r>
            <w:r w:rsidR="00BE0D9A">
              <w:rPr>
                <w:rFonts w:ascii="Arial" w:hAnsi="Arial" w:cs="Arial"/>
                <w:sz w:val="24"/>
                <w:szCs w:val="24"/>
                <w:lang w:val="en-ZA"/>
              </w:rPr>
              <w:t>June 2020</w:t>
            </w:r>
          </w:p>
        </w:tc>
      </w:tr>
      <w:tr w:rsidR="002F5A3C" w:rsidRPr="00EA634B" w:rsidTr="00BF1067">
        <w:tc>
          <w:tcPr>
            <w:tcW w:w="10207" w:type="dxa"/>
            <w:gridSpan w:val="3"/>
            <w:tcBorders>
              <w:top w:val="single" w:sz="4" w:space="0" w:color="auto"/>
              <w:left w:val="single" w:sz="4" w:space="0" w:color="auto"/>
              <w:bottom w:val="single" w:sz="4" w:space="0" w:color="auto"/>
              <w:right w:val="single" w:sz="4" w:space="0" w:color="auto"/>
            </w:tcBorders>
          </w:tcPr>
          <w:p w:rsidR="002F5A3C" w:rsidRPr="00EA634B" w:rsidRDefault="002F5A3C" w:rsidP="00047594">
            <w:pPr>
              <w:spacing w:line="360" w:lineRule="auto"/>
              <w:jc w:val="both"/>
              <w:rPr>
                <w:rFonts w:ascii="Arial" w:hAnsi="Arial" w:cs="Arial"/>
                <w:sz w:val="24"/>
                <w:szCs w:val="24"/>
                <w:lang w:val="en-ZA"/>
              </w:rPr>
            </w:pPr>
            <w:r w:rsidRPr="00EA634B">
              <w:rPr>
                <w:rFonts w:ascii="Arial" w:hAnsi="Arial" w:cs="Arial"/>
                <w:b/>
                <w:sz w:val="24"/>
                <w:szCs w:val="24"/>
                <w:lang w:val="en-ZA"/>
              </w:rPr>
              <w:t>Neutral citation</w:t>
            </w:r>
            <w:r w:rsidR="00967526">
              <w:rPr>
                <w:rFonts w:ascii="Arial" w:hAnsi="Arial" w:cs="Arial"/>
                <w:sz w:val="24"/>
                <w:szCs w:val="24"/>
                <w:lang w:val="en-ZA"/>
              </w:rPr>
              <w:t>:</w:t>
            </w:r>
            <w:r w:rsidRPr="00EA634B">
              <w:rPr>
                <w:rFonts w:ascii="Arial" w:hAnsi="Arial" w:cs="Arial"/>
                <w:b/>
                <w:sz w:val="24"/>
                <w:szCs w:val="24"/>
                <w:lang w:val="en-ZA"/>
              </w:rPr>
              <w:t xml:space="preserve"> </w:t>
            </w:r>
            <w:r w:rsidRPr="00EA634B">
              <w:rPr>
                <w:rFonts w:ascii="Arial" w:hAnsi="Arial" w:cs="Arial"/>
                <w:i/>
                <w:sz w:val="24"/>
                <w:szCs w:val="24"/>
                <w:lang w:val="en-ZA"/>
              </w:rPr>
              <w:t xml:space="preserve">S v </w:t>
            </w:r>
            <w:proofErr w:type="spellStart"/>
            <w:r w:rsidR="00104FD8">
              <w:rPr>
                <w:rFonts w:ascii="Arial" w:hAnsi="Arial" w:cs="Arial"/>
                <w:i/>
                <w:sz w:val="24"/>
                <w:szCs w:val="24"/>
                <w:lang w:val="en-ZA"/>
              </w:rPr>
              <w:t>Kashidulika</w:t>
            </w:r>
            <w:proofErr w:type="spellEnd"/>
            <w:r w:rsidR="0089259D">
              <w:rPr>
                <w:rFonts w:ascii="Arial" w:hAnsi="Arial" w:cs="Arial"/>
                <w:i/>
                <w:sz w:val="24"/>
                <w:szCs w:val="24"/>
                <w:lang w:val="en-ZA"/>
              </w:rPr>
              <w:t xml:space="preserve">; S v </w:t>
            </w:r>
            <w:proofErr w:type="spellStart"/>
            <w:r w:rsidR="0089259D">
              <w:rPr>
                <w:rFonts w:ascii="Arial" w:hAnsi="Arial" w:cs="Arial"/>
                <w:i/>
                <w:sz w:val="24"/>
                <w:szCs w:val="24"/>
                <w:lang w:val="en-ZA"/>
              </w:rPr>
              <w:t>Kalingodi</w:t>
            </w:r>
            <w:proofErr w:type="spellEnd"/>
            <w:r>
              <w:rPr>
                <w:rFonts w:ascii="Arial" w:hAnsi="Arial" w:cs="Arial"/>
                <w:i/>
                <w:sz w:val="24"/>
                <w:szCs w:val="24"/>
                <w:lang w:val="en-ZA"/>
              </w:rPr>
              <w:t xml:space="preserve"> </w:t>
            </w:r>
            <w:r w:rsidRPr="00EA634B">
              <w:rPr>
                <w:rFonts w:ascii="Arial" w:hAnsi="Arial" w:cs="Arial"/>
                <w:sz w:val="24"/>
                <w:szCs w:val="24"/>
                <w:lang w:val="en-ZA"/>
              </w:rPr>
              <w:t>(CR</w:t>
            </w:r>
            <w:r w:rsidR="00634708">
              <w:rPr>
                <w:rFonts w:ascii="Arial" w:hAnsi="Arial" w:cs="Arial"/>
                <w:sz w:val="24"/>
                <w:szCs w:val="24"/>
                <w:lang w:val="en-ZA"/>
              </w:rPr>
              <w:t xml:space="preserve"> </w:t>
            </w:r>
            <w:r w:rsidR="00445CA9">
              <w:rPr>
                <w:rFonts w:ascii="Arial" w:hAnsi="Arial" w:cs="Arial"/>
                <w:sz w:val="24"/>
                <w:szCs w:val="24"/>
                <w:lang w:val="en-ZA"/>
              </w:rPr>
              <w:t>38</w:t>
            </w:r>
            <w:r w:rsidR="0089259D">
              <w:rPr>
                <w:rFonts w:ascii="Arial" w:hAnsi="Arial" w:cs="Arial"/>
                <w:sz w:val="24"/>
                <w:szCs w:val="24"/>
                <w:lang w:val="en-ZA"/>
              </w:rPr>
              <w:t>/2020)</w:t>
            </w:r>
            <w:r w:rsidRPr="00EA634B">
              <w:rPr>
                <w:rFonts w:ascii="Arial" w:hAnsi="Arial" w:cs="Arial"/>
                <w:sz w:val="24"/>
                <w:szCs w:val="24"/>
                <w:lang w:val="en-ZA"/>
              </w:rPr>
              <w:t xml:space="preserve"> [20</w:t>
            </w:r>
            <w:r>
              <w:rPr>
                <w:rFonts w:ascii="Arial" w:hAnsi="Arial" w:cs="Arial"/>
                <w:sz w:val="24"/>
                <w:szCs w:val="24"/>
                <w:lang w:val="en-ZA"/>
              </w:rPr>
              <w:t>20</w:t>
            </w:r>
            <w:r w:rsidRPr="00EA634B">
              <w:rPr>
                <w:rFonts w:ascii="Arial" w:hAnsi="Arial" w:cs="Arial"/>
                <w:sz w:val="24"/>
                <w:szCs w:val="24"/>
                <w:lang w:val="en-ZA"/>
              </w:rPr>
              <w:t xml:space="preserve">] NAHCNLD </w:t>
            </w:r>
            <w:r w:rsidR="00047594">
              <w:rPr>
                <w:rFonts w:ascii="Arial" w:hAnsi="Arial" w:cs="Arial"/>
                <w:sz w:val="24"/>
                <w:szCs w:val="24"/>
                <w:lang w:val="en-ZA"/>
              </w:rPr>
              <w:t>79 (30</w:t>
            </w:r>
            <w:r w:rsidR="0089259D">
              <w:rPr>
                <w:rFonts w:ascii="Arial" w:hAnsi="Arial" w:cs="Arial"/>
                <w:sz w:val="24"/>
                <w:szCs w:val="24"/>
                <w:lang w:val="en-ZA"/>
              </w:rPr>
              <w:t xml:space="preserve"> June 2020)</w:t>
            </w:r>
          </w:p>
        </w:tc>
      </w:tr>
      <w:tr w:rsidR="002F5A3C" w:rsidRPr="00EA634B" w:rsidTr="00BF1067">
        <w:tc>
          <w:tcPr>
            <w:tcW w:w="10207" w:type="dxa"/>
            <w:gridSpan w:val="3"/>
            <w:tcBorders>
              <w:top w:val="single" w:sz="4" w:space="0" w:color="auto"/>
              <w:left w:val="single" w:sz="4" w:space="0" w:color="auto"/>
              <w:bottom w:val="single" w:sz="4" w:space="0" w:color="auto"/>
              <w:right w:val="single" w:sz="4" w:space="0" w:color="auto"/>
            </w:tcBorders>
          </w:tcPr>
          <w:p w:rsidR="002F5A3C" w:rsidRDefault="002F5A3C" w:rsidP="00BF1067">
            <w:pPr>
              <w:spacing w:line="360" w:lineRule="auto"/>
              <w:jc w:val="both"/>
              <w:rPr>
                <w:rFonts w:ascii="Arial" w:hAnsi="Arial" w:cs="Arial"/>
                <w:sz w:val="24"/>
                <w:szCs w:val="24"/>
                <w:lang w:val="en-ZA"/>
              </w:rPr>
            </w:pPr>
            <w:r w:rsidRPr="00EA634B">
              <w:rPr>
                <w:rFonts w:ascii="Arial" w:hAnsi="Arial" w:cs="Arial"/>
                <w:b/>
                <w:sz w:val="24"/>
                <w:szCs w:val="24"/>
                <w:lang w:val="en-ZA"/>
              </w:rPr>
              <w:t>The order</w:t>
            </w:r>
            <w:r w:rsidR="00967526">
              <w:rPr>
                <w:rFonts w:ascii="Arial" w:hAnsi="Arial" w:cs="Arial"/>
                <w:sz w:val="24"/>
                <w:szCs w:val="24"/>
                <w:lang w:val="en-ZA"/>
              </w:rPr>
              <w:t>:</w:t>
            </w:r>
          </w:p>
          <w:p w:rsidR="00104FD8" w:rsidRDefault="002F5A3C" w:rsidP="00104FD8">
            <w:pPr>
              <w:numPr>
                <w:ilvl w:val="0"/>
                <w:numId w:val="1"/>
              </w:numPr>
              <w:spacing w:line="360" w:lineRule="auto"/>
              <w:jc w:val="both"/>
              <w:rPr>
                <w:rFonts w:ascii="Arial" w:hAnsi="Arial" w:cs="Arial"/>
                <w:sz w:val="24"/>
                <w:szCs w:val="24"/>
                <w:lang w:val="en-ZA"/>
              </w:rPr>
            </w:pPr>
            <w:r w:rsidRPr="00104FD8">
              <w:rPr>
                <w:rFonts w:ascii="Arial" w:hAnsi="Arial" w:cs="Arial"/>
                <w:sz w:val="24"/>
                <w:szCs w:val="24"/>
                <w:lang w:val="en-ZA"/>
              </w:rPr>
              <w:t xml:space="preserve">The conviction and sentence of </w:t>
            </w:r>
            <w:r w:rsidR="00104FD8">
              <w:rPr>
                <w:rFonts w:ascii="Arial" w:hAnsi="Arial" w:cs="Arial"/>
                <w:sz w:val="24"/>
                <w:szCs w:val="24"/>
                <w:lang w:val="en-ZA"/>
              </w:rPr>
              <w:t>Housebreaking with intent to steal and theft</w:t>
            </w:r>
            <w:r w:rsidR="0089259D">
              <w:rPr>
                <w:rFonts w:ascii="Arial" w:hAnsi="Arial" w:cs="Arial"/>
                <w:sz w:val="24"/>
                <w:szCs w:val="24"/>
                <w:lang w:val="en-ZA"/>
              </w:rPr>
              <w:t xml:space="preserve"> in both cases</w:t>
            </w:r>
            <w:r w:rsidR="00363361">
              <w:rPr>
                <w:rFonts w:ascii="Arial" w:hAnsi="Arial" w:cs="Arial"/>
                <w:sz w:val="24"/>
                <w:szCs w:val="24"/>
                <w:lang w:val="en-ZA"/>
              </w:rPr>
              <w:t xml:space="preserve"> are</w:t>
            </w:r>
            <w:r w:rsidR="00104FD8">
              <w:rPr>
                <w:rFonts w:ascii="Arial" w:hAnsi="Arial" w:cs="Arial"/>
                <w:sz w:val="24"/>
                <w:szCs w:val="24"/>
                <w:lang w:val="en-ZA"/>
              </w:rPr>
              <w:t xml:space="preserve"> set aside</w:t>
            </w:r>
            <w:r w:rsidR="008F19FA">
              <w:rPr>
                <w:rFonts w:ascii="Arial" w:hAnsi="Arial" w:cs="Arial"/>
                <w:sz w:val="24"/>
                <w:szCs w:val="24"/>
                <w:lang w:val="en-ZA"/>
              </w:rPr>
              <w:t>;</w:t>
            </w:r>
          </w:p>
          <w:p w:rsidR="00855F63" w:rsidRPr="00104FD8" w:rsidRDefault="004B6922" w:rsidP="00104FD8">
            <w:pPr>
              <w:numPr>
                <w:ilvl w:val="0"/>
                <w:numId w:val="1"/>
              </w:numPr>
              <w:spacing w:line="360" w:lineRule="auto"/>
              <w:jc w:val="both"/>
              <w:rPr>
                <w:rFonts w:ascii="Arial" w:hAnsi="Arial" w:cs="Arial"/>
                <w:sz w:val="24"/>
                <w:szCs w:val="24"/>
                <w:lang w:val="en-ZA"/>
              </w:rPr>
            </w:pPr>
            <w:r>
              <w:rPr>
                <w:rFonts w:ascii="Arial" w:hAnsi="Arial" w:cs="Arial"/>
                <w:sz w:val="24"/>
                <w:szCs w:val="24"/>
              </w:rPr>
              <w:t>The matter</w:t>
            </w:r>
            <w:r w:rsidR="00F96147">
              <w:rPr>
                <w:rFonts w:ascii="Arial" w:hAnsi="Arial" w:cs="Arial"/>
                <w:sz w:val="24"/>
                <w:szCs w:val="24"/>
              </w:rPr>
              <w:t xml:space="preserve"> </w:t>
            </w:r>
            <w:r w:rsidR="00104FD8">
              <w:rPr>
                <w:rFonts w:ascii="Arial" w:hAnsi="Arial" w:cs="Arial"/>
                <w:sz w:val="24"/>
                <w:szCs w:val="24"/>
              </w:rPr>
              <w:t>is</w:t>
            </w:r>
            <w:r>
              <w:rPr>
                <w:rFonts w:ascii="Arial" w:hAnsi="Arial" w:cs="Arial"/>
                <w:sz w:val="24"/>
                <w:szCs w:val="24"/>
              </w:rPr>
              <w:t xml:space="preserve"> remitted to the magistrate to </w:t>
            </w:r>
            <w:r w:rsidR="00104FD8">
              <w:rPr>
                <w:rFonts w:ascii="Arial" w:hAnsi="Arial" w:cs="Arial"/>
                <w:sz w:val="24"/>
                <w:szCs w:val="24"/>
              </w:rPr>
              <w:t>question the accused properly and correctly in terms of section 112(1)(</w:t>
            </w:r>
            <w:r w:rsidR="00104FD8" w:rsidRPr="008F19FA">
              <w:rPr>
                <w:rFonts w:ascii="Arial" w:hAnsi="Arial" w:cs="Arial"/>
                <w:i/>
                <w:sz w:val="24"/>
                <w:szCs w:val="24"/>
              </w:rPr>
              <w:t>b</w:t>
            </w:r>
            <w:r w:rsidR="00104FD8">
              <w:rPr>
                <w:rFonts w:ascii="Arial" w:hAnsi="Arial" w:cs="Arial"/>
                <w:sz w:val="24"/>
                <w:szCs w:val="24"/>
              </w:rPr>
              <w:t>) of Act no 51 of 1977 without sugges</w:t>
            </w:r>
            <w:r w:rsidR="008F19FA">
              <w:rPr>
                <w:rFonts w:ascii="Arial" w:hAnsi="Arial" w:cs="Arial"/>
                <w:sz w:val="24"/>
                <w:szCs w:val="24"/>
              </w:rPr>
              <w:t>ting any answers to the accused;</w:t>
            </w:r>
          </w:p>
          <w:p w:rsidR="00104FD8" w:rsidRPr="005D33DF" w:rsidRDefault="00104FD8" w:rsidP="00104FD8">
            <w:pPr>
              <w:numPr>
                <w:ilvl w:val="0"/>
                <w:numId w:val="1"/>
              </w:numPr>
              <w:spacing w:line="360" w:lineRule="auto"/>
              <w:jc w:val="both"/>
              <w:rPr>
                <w:rFonts w:ascii="Arial" w:hAnsi="Arial" w:cs="Arial"/>
                <w:sz w:val="24"/>
                <w:szCs w:val="24"/>
                <w:lang w:val="en-ZA"/>
              </w:rPr>
            </w:pPr>
            <w:r>
              <w:rPr>
                <w:rFonts w:ascii="Arial" w:hAnsi="Arial" w:cs="Arial"/>
                <w:sz w:val="24"/>
                <w:szCs w:val="24"/>
              </w:rPr>
              <w:t xml:space="preserve">If the magistrate is satisfied that the accused </w:t>
            </w:r>
            <w:r w:rsidR="008F19FA">
              <w:rPr>
                <w:rFonts w:ascii="Arial" w:hAnsi="Arial" w:cs="Arial"/>
                <w:sz w:val="24"/>
                <w:szCs w:val="24"/>
              </w:rPr>
              <w:t xml:space="preserve">in both cases </w:t>
            </w:r>
            <w:r>
              <w:rPr>
                <w:rFonts w:ascii="Arial" w:hAnsi="Arial" w:cs="Arial"/>
                <w:sz w:val="24"/>
                <w:szCs w:val="24"/>
              </w:rPr>
              <w:t xml:space="preserve">admits to all elements of the offence </w:t>
            </w:r>
            <w:r w:rsidR="00EE72F3">
              <w:rPr>
                <w:rFonts w:ascii="Arial" w:hAnsi="Arial" w:cs="Arial"/>
                <w:sz w:val="24"/>
                <w:szCs w:val="24"/>
              </w:rPr>
              <w:t xml:space="preserve">the magistrate should </w:t>
            </w:r>
            <w:r>
              <w:rPr>
                <w:rFonts w:ascii="Arial" w:hAnsi="Arial" w:cs="Arial"/>
                <w:sz w:val="24"/>
                <w:szCs w:val="24"/>
              </w:rPr>
              <w:t>convict and s</w:t>
            </w:r>
            <w:r w:rsidR="005C20E5">
              <w:rPr>
                <w:rFonts w:ascii="Arial" w:hAnsi="Arial" w:cs="Arial"/>
                <w:sz w:val="24"/>
                <w:szCs w:val="24"/>
              </w:rPr>
              <w:t xml:space="preserve">entence the accused accordingly. If </w:t>
            </w:r>
            <w:r>
              <w:rPr>
                <w:rFonts w:ascii="Arial" w:hAnsi="Arial" w:cs="Arial"/>
                <w:sz w:val="24"/>
                <w:szCs w:val="24"/>
              </w:rPr>
              <w:t>magistrate is not satisfied to enter a plea of not guilty in terms of section 113 of Act</w:t>
            </w:r>
            <w:r w:rsidR="005C20E5">
              <w:rPr>
                <w:rFonts w:ascii="Arial" w:hAnsi="Arial" w:cs="Arial"/>
                <w:sz w:val="24"/>
                <w:szCs w:val="24"/>
              </w:rPr>
              <w:t xml:space="preserve"> </w:t>
            </w:r>
            <w:r>
              <w:rPr>
                <w:rFonts w:ascii="Arial" w:hAnsi="Arial" w:cs="Arial"/>
                <w:sz w:val="24"/>
                <w:szCs w:val="24"/>
              </w:rPr>
              <w:t>no 51 of 1977</w:t>
            </w:r>
            <w:r w:rsidR="008D23CF">
              <w:rPr>
                <w:rFonts w:ascii="Arial" w:hAnsi="Arial" w:cs="Arial"/>
                <w:sz w:val="24"/>
                <w:szCs w:val="24"/>
              </w:rPr>
              <w:t xml:space="preserve"> and proceed with the trial;</w:t>
            </w:r>
          </w:p>
          <w:p w:rsidR="005D33DF" w:rsidRPr="00EA634B" w:rsidRDefault="005D33DF" w:rsidP="008D23CF">
            <w:pPr>
              <w:numPr>
                <w:ilvl w:val="0"/>
                <w:numId w:val="1"/>
              </w:numPr>
              <w:spacing w:line="360" w:lineRule="auto"/>
              <w:jc w:val="both"/>
              <w:rPr>
                <w:rFonts w:ascii="Arial" w:hAnsi="Arial" w:cs="Arial"/>
                <w:sz w:val="24"/>
                <w:szCs w:val="24"/>
                <w:lang w:val="en-ZA"/>
              </w:rPr>
            </w:pPr>
            <w:r>
              <w:rPr>
                <w:rFonts w:ascii="Arial" w:hAnsi="Arial" w:cs="Arial"/>
                <w:sz w:val="24"/>
                <w:szCs w:val="24"/>
              </w:rPr>
              <w:lastRenderedPageBreak/>
              <w:t xml:space="preserve">As a result of the frequent </w:t>
            </w:r>
            <w:r w:rsidR="008D23CF">
              <w:rPr>
                <w:rFonts w:ascii="Arial" w:hAnsi="Arial" w:cs="Arial"/>
                <w:sz w:val="24"/>
                <w:szCs w:val="24"/>
              </w:rPr>
              <w:t>occurrence</w:t>
            </w:r>
            <w:r>
              <w:rPr>
                <w:rFonts w:ascii="Arial" w:hAnsi="Arial" w:cs="Arial"/>
                <w:sz w:val="24"/>
                <w:szCs w:val="24"/>
              </w:rPr>
              <w:t xml:space="preserve"> of errors of this nature The Registrar of the High C</w:t>
            </w:r>
            <w:r w:rsidR="007D0709">
              <w:rPr>
                <w:rFonts w:ascii="Arial" w:hAnsi="Arial" w:cs="Arial"/>
                <w:sz w:val="24"/>
                <w:szCs w:val="24"/>
              </w:rPr>
              <w:t xml:space="preserve">ourt is directed to forward </w:t>
            </w:r>
            <w:r w:rsidR="008D23CF">
              <w:rPr>
                <w:rFonts w:ascii="Arial" w:hAnsi="Arial" w:cs="Arial"/>
                <w:sz w:val="24"/>
                <w:szCs w:val="24"/>
              </w:rPr>
              <w:t>this judgment</w:t>
            </w:r>
            <w:r w:rsidR="00F177A4">
              <w:rPr>
                <w:rFonts w:ascii="Arial" w:hAnsi="Arial" w:cs="Arial"/>
                <w:sz w:val="24"/>
                <w:szCs w:val="24"/>
              </w:rPr>
              <w:t xml:space="preserve"> to</w:t>
            </w:r>
            <w:r>
              <w:rPr>
                <w:rFonts w:ascii="Arial" w:hAnsi="Arial" w:cs="Arial"/>
                <w:sz w:val="24"/>
                <w:szCs w:val="24"/>
              </w:rPr>
              <w:t xml:space="preserve"> the </w:t>
            </w:r>
            <w:r w:rsidR="00EE72F3">
              <w:rPr>
                <w:rFonts w:ascii="Arial" w:hAnsi="Arial" w:cs="Arial"/>
                <w:sz w:val="24"/>
                <w:szCs w:val="24"/>
              </w:rPr>
              <w:t xml:space="preserve">Division/Magistrate of </w:t>
            </w:r>
            <w:proofErr w:type="spellStart"/>
            <w:r w:rsidR="00EE72F3">
              <w:rPr>
                <w:rFonts w:ascii="Arial" w:hAnsi="Arial" w:cs="Arial"/>
                <w:sz w:val="24"/>
                <w:szCs w:val="24"/>
              </w:rPr>
              <w:t>Ohangwena</w:t>
            </w:r>
            <w:proofErr w:type="spellEnd"/>
            <w:r w:rsidR="00EE72F3">
              <w:rPr>
                <w:rFonts w:ascii="Arial" w:hAnsi="Arial" w:cs="Arial"/>
                <w:sz w:val="24"/>
                <w:szCs w:val="24"/>
              </w:rPr>
              <w:t xml:space="preserve"> Region. </w:t>
            </w:r>
            <w:r w:rsidR="00F177A4">
              <w:rPr>
                <w:rFonts w:ascii="Arial" w:hAnsi="Arial" w:cs="Arial"/>
                <w:sz w:val="24"/>
                <w:szCs w:val="24"/>
              </w:rPr>
              <w:t>.</w:t>
            </w:r>
          </w:p>
        </w:tc>
      </w:tr>
      <w:tr w:rsidR="002F5A3C" w:rsidRPr="00F07E31" w:rsidTr="00BF1067">
        <w:tc>
          <w:tcPr>
            <w:tcW w:w="10207" w:type="dxa"/>
            <w:gridSpan w:val="3"/>
          </w:tcPr>
          <w:p w:rsidR="002F5A3C" w:rsidRDefault="002F5A3C" w:rsidP="00BF1067">
            <w:pPr>
              <w:spacing w:line="360" w:lineRule="auto"/>
              <w:contextualSpacing/>
              <w:jc w:val="both"/>
              <w:rPr>
                <w:rFonts w:ascii="Arial" w:hAnsi="Arial" w:cs="Arial"/>
                <w:b/>
                <w:sz w:val="24"/>
                <w:szCs w:val="24"/>
                <w:lang w:val="en-ZA"/>
              </w:rPr>
            </w:pPr>
          </w:p>
          <w:p w:rsidR="002F5A3C" w:rsidRDefault="002F5A3C" w:rsidP="00BF1067">
            <w:pPr>
              <w:spacing w:line="360" w:lineRule="auto"/>
              <w:contextualSpacing/>
              <w:jc w:val="both"/>
              <w:rPr>
                <w:rFonts w:ascii="Arial" w:hAnsi="Arial" w:cs="Arial"/>
                <w:b/>
                <w:sz w:val="24"/>
                <w:szCs w:val="24"/>
                <w:lang w:val="en-ZA"/>
              </w:rPr>
            </w:pPr>
            <w:r w:rsidRPr="0047521D">
              <w:rPr>
                <w:rFonts w:ascii="Arial" w:hAnsi="Arial" w:cs="Arial"/>
                <w:b/>
                <w:sz w:val="24"/>
                <w:szCs w:val="24"/>
                <w:lang w:val="en-ZA"/>
              </w:rPr>
              <w:t>Reasons for the order</w:t>
            </w:r>
          </w:p>
          <w:p w:rsidR="002F5A3C" w:rsidRPr="0047521D" w:rsidRDefault="002F5A3C" w:rsidP="00BF1067">
            <w:pPr>
              <w:spacing w:line="360" w:lineRule="auto"/>
              <w:contextualSpacing/>
              <w:jc w:val="both"/>
              <w:rPr>
                <w:rFonts w:ascii="Arial" w:hAnsi="Arial" w:cs="Arial"/>
                <w:b/>
                <w:sz w:val="24"/>
                <w:szCs w:val="24"/>
                <w:lang w:val="en-ZA"/>
              </w:rPr>
            </w:pPr>
          </w:p>
        </w:tc>
      </w:tr>
      <w:tr w:rsidR="002F5A3C" w:rsidRPr="00EA634B" w:rsidTr="00BF1067">
        <w:tc>
          <w:tcPr>
            <w:tcW w:w="10207" w:type="dxa"/>
            <w:gridSpan w:val="3"/>
            <w:tcBorders>
              <w:top w:val="single" w:sz="4" w:space="0" w:color="auto"/>
              <w:left w:val="single" w:sz="4" w:space="0" w:color="auto"/>
              <w:bottom w:val="single" w:sz="4" w:space="0" w:color="auto"/>
              <w:right w:val="single" w:sz="4" w:space="0" w:color="auto"/>
            </w:tcBorders>
            <w:hideMark/>
          </w:tcPr>
          <w:p w:rsidR="00B77F6E" w:rsidRPr="00AF1F1B" w:rsidRDefault="00B77F6E" w:rsidP="00B77F6E">
            <w:pPr>
              <w:spacing w:line="360" w:lineRule="auto"/>
              <w:jc w:val="both"/>
              <w:rPr>
                <w:rFonts w:ascii="Arial" w:hAnsi="Arial" w:cs="Arial"/>
                <w:sz w:val="24"/>
                <w:szCs w:val="24"/>
                <w:lang w:val="en-ZA"/>
              </w:rPr>
            </w:pPr>
            <w:r>
              <w:rPr>
                <w:rFonts w:ascii="Arial" w:hAnsi="Arial" w:cs="Arial"/>
                <w:sz w:val="24"/>
                <w:szCs w:val="24"/>
                <w:lang w:val="en-ZA"/>
              </w:rPr>
              <w:t>Diergaardt AJ (January J concurring):</w:t>
            </w:r>
          </w:p>
          <w:p w:rsidR="002F5A3C" w:rsidRPr="00AF1F1B" w:rsidRDefault="002F5A3C" w:rsidP="00BF1067">
            <w:pPr>
              <w:spacing w:line="360" w:lineRule="auto"/>
              <w:jc w:val="both"/>
              <w:rPr>
                <w:rFonts w:ascii="Arial" w:hAnsi="Arial" w:cs="Arial"/>
                <w:sz w:val="24"/>
                <w:szCs w:val="24"/>
                <w:lang w:val="en-ZA"/>
              </w:rPr>
            </w:pPr>
          </w:p>
          <w:p w:rsidR="00BE00D7" w:rsidRDefault="002F5A3C" w:rsidP="00BE00D7">
            <w:pPr>
              <w:spacing w:line="360" w:lineRule="auto"/>
              <w:contextualSpacing/>
              <w:jc w:val="both"/>
              <w:rPr>
                <w:rFonts w:ascii="Arial" w:hAnsi="Arial" w:cs="Arial"/>
                <w:sz w:val="24"/>
                <w:szCs w:val="24"/>
                <w:lang w:val="en-ZA"/>
              </w:rPr>
            </w:pPr>
            <w:r>
              <w:rPr>
                <w:rFonts w:ascii="Arial" w:hAnsi="Arial" w:cs="Arial"/>
                <w:sz w:val="24"/>
                <w:szCs w:val="24"/>
                <w:lang w:val="en-ZA"/>
              </w:rPr>
              <w:t>[1]</w:t>
            </w:r>
            <w:r w:rsidR="00B77F6E">
              <w:rPr>
                <w:rFonts w:ascii="Arial" w:hAnsi="Arial" w:cs="Arial"/>
                <w:sz w:val="24"/>
                <w:szCs w:val="24"/>
                <w:lang w:val="en-ZA"/>
              </w:rPr>
              <w:tab/>
            </w:r>
            <w:r w:rsidR="00BE00D7">
              <w:rPr>
                <w:rFonts w:ascii="Arial" w:hAnsi="Arial" w:cs="Arial"/>
                <w:sz w:val="24"/>
                <w:szCs w:val="24"/>
                <w:lang w:val="en-ZA"/>
              </w:rPr>
              <w:t xml:space="preserve">The matter came before me as </w:t>
            </w:r>
            <w:r w:rsidR="007603FB">
              <w:rPr>
                <w:rFonts w:ascii="Arial" w:hAnsi="Arial" w:cs="Arial"/>
                <w:sz w:val="24"/>
                <w:szCs w:val="24"/>
                <w:lang w:val="en-ZA"/>
              </w:rPr>
              <w:t xml:space="preserve">automatic </w:t>
            </w:r>
            <w:r w:rsidR="00BE00D7">
              <w:rPr>
                <w:rFonts w:ascii="Arial" w:hAnsi="Arial" w:cs="Arial"/>
                <w:sz w:val="24"/>
                <w:szCs w:val="24"/>
                <w:lang w:val="en-ZA"/>
              </w:rPr>
              <w:t>review in terms of section 304 of Act no 51 of 1977.</w:t>
            </w:r>
          </w:p>
          <w:p w:rsidR="00BE00D7" w:rsidRDefault="00BE00D7" w:rsidP="00A27D95">
            <w:pPr>
              <w:spacing w:line="360" w:lineRule="auto"/>
              <w:ind w:left="34" w:hanging="34"/>
              <w:contextualSpacing/>
              <w:jc w:val="both"/>
              <w:rPr>
                <w:rFonts w:ascii="Arial" w:hAnsi="Arial" w:cs="Arial"/>
                <w:sz w:val="24"/>
                <w:szCs w:val="24"/>
                <w:lang w:val="en-ZA"/>
              </w:rPr>
            </w:pPr>
          </w:p>
          <w:p w:rsidR="005E21F3" w:rsidRDefault="00BE00D7" w:rsidP="00A27D95">
            <w:pPr>
              <w:spacing w:line="360" w:lineRule="auto"/>
              <w:ind w:left="34" w:hanging="34"/>
              <w:contextualSpacing/>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sidR="00A27D95">
              <w:rPr>
                <w:rFonts w:ascii="Arial" w:hAnsi="Arial" w:cs="Arial"/>
                <w:sz w:val="24"/>
                <w:szCs w:val="24"/>
                <w:lang w:val="en-ZA"/>
              </w:rPr>
              <w:t xml:space="preserve">The accused was charged with </w:t>
            </w:r>
            <w:r w:rsidR="00726726">
              <w:rPr>
                <w:rFonts w:ascii="Arial" w:hAnsi="Arial" w:cs="Arial"/>
                <w:sz w:val="24"/>
                <w:szCs w:val="24"/>
                <w:lang w:val="en-ZA"/>
              </w:rPr>
              <w:t>Housebreaking with intent to steal and theft</w:t>
            </w:r>
            <w:r w:rsidR="0089259D">
              <w:rPr>
                <w:rFonts w:ascii="Arial" w:hAnsi="Arial" w:cs="Arial"/>
                <w:sz w:val="24"/>
                <w:szCs w:val="24"/>
                <w:lang w:val="en-ZA"/>
              </w:rPr>
              <w:t xml:space="preserve"> in both cases</w:t>
            </w:r>
            <w:r w:rsidR="00726726">
              <w:rPr>
                <w:rFonts w:ascii="Arial" w:hAnsi="Arial" w:cs="Arial"/>
                <w:sz w:val="24"/>
                <w:szCs w:val="24"/>
                <w:lang w:val="en-ZA"/>
              </w:rPr>
              <w:t xml:space="preserve"> and the magistrate correctly </w:t>
            </w:r>
            <w:r w:rsidR="00A27D95">
              <w:rPr>
                <w:rFonts w:ascii="Arial" w:hAnsi="Arial" w:cs="Arial"/>
                <w:sz w:val="24"/>
                <w:szCs w:val="24"/>
                <w:lang w:val="en-ZA"/>
              </w:rPr>
              <w:t>proceeded to question the accused in terms of section 112(1)</w:t>
            </w:r>
            <w:r w:rsidR="00324D9D">
              <w:rPr>
                <w:rFonts w:ascii="Arial" w:hAnsi="Arial" w:cs="Arial"/>
                <w:sz w:val="24"/>
                <w:szCs w:val="24"/>
                <w:lang w:val="en-ZA"/>
              </w:rPr>
              <w:t xml:space="preserve"> </w:t>
            </w:r>
            <w:r w:rsidR="00A27D95">
              <w:rPr>
                <w:rFonts w:ascii="Arial" w:hAnsi="Arial" w:cs="Arial"/>
                <w:sz w:val="24"/>
                <w:szCs w:val="24"/>
                <w:lang w:val="en-ZA"/>
              </w:rPr>
              <w:t>(</w:t>
            </w:r>
            <w:r w:rsidR="00A27D95" w:rsidRPr="00A268C4">
              <w:rPr>
                <w:rFonts w:ascii="Arial" w:hAnsi="Arial" w:cs="Arial"/>
                <w:i/>
                <w:sz w:val="24"/>
                <w:szCs w:val="24"/>
                <w:lang w:val="en-ZA"/>
              </w:rPr>
              <w:t>b</w:t>
            </w:r>
            <w:r w:rsidR="00A27D95">
              <w:rPr>
                <w:rFonts w:ascii="Arial" w:hAnsi="Arial" w:cs="Arial"/>
                <w:sz w:val="24"/>
                <w:szCs w:val="24"/>
                <w:lang w:val="en-ZA"/>
              </w:rPr>
              <w:t>) of Act 51 of 1977</w:t>
            </w:r>
            <w:r w:rsidR="00A268C4">
              <w:rPr>
                <w:rFonts w:ascii="Arial" w:hAnsi="Arial" w:cs="Arial"/>
                <w:sz w:val="24"/>
                <w:szCs w:val="24"/>
                <w:lang w:val="en-ZA"/>
              </w:rPr>
              <w:t>.</w:t>
            </w:r>
          </w:p>
          <w:p w:rsidR="00345485" w:rsidRDefault="00345485" w:rsidP="00345485">
            <w:pPr>
              <w:spacing w:line="360" w:lineRule="auto"/>
              <w:ind w:left="34" w:hanging="34"/>
              <w:contextualSpacing/>
              <w:jc w:val="both"/>
              <w:rPr>
                <w:rFonts w:ascii="Arial" w:hAnsi="Arial" w:cs="Arial"/>
                <w:sz w:val="24"/>
                <w:szCs w:val="24"/>
                <w:lang w:val="en-ZA"/>
              </w:rPr>
            </w:pPr>
          </w:p>
          <w:p w:rsidR="00A27D95" w:rsidRDefault="00A957D4" w:rsidP="00345485">
            <w:pPr>
              <w:spacing w:line="360" w:lineRule="auto"/>
              <w:ind w:left="34" w:hanging="34"/>
              <w:contextualSpacing/>
              <w:jc w:val="both"/>
              <w:rPr>
                <w:rFonts w:ascii="Arial" w:hAnsi="Arial" w:cs="Arial"/>
                <w:sz w:val="24"/>
                <w:szCs w:val="24"/>
                <w:lang w:val="en-ZA"/>
              </w:rPr>
            </w:pPr>
            <w:r>
              <w:rPr>
                <w:rFonts w:ascii="Arial" w:hAnsi="Arial" w:cs="Arial"/>
                <w:sz w:val="24"/>
                <w:szCs w:val="24"/>
                <w:lang w:val="en-ZA"/>
              </w:rPr>
              <w:t>[</w:t>
            </w:r>
            <w:r w:rsidR="005526F3">
              <w:rPr>
                <w:rFonts w:ascii="Arial" w:hAnsi="Arial" w:cs="Arial"/>
                <w:sz w:val="24"/>
                <w:szCs w:val="24"/>
                <w:lang w:val="en-ZA"/>
              </w:rPr>
              <w:t>3</w:t>
            </w:r>
            <w:r>
              <w:rPr>
                <w:rFonts w:ascii="Arial" w:hAnsi="Arial" w:cs="Arial"/>
                <w:sz w:val="24"/>
                <w:szCs w:val="24"/>
                <w:lang w:val="en-ZA"/>
              </w:rPr>
              <w:t>]</w:t>
            </w:r>
            <w:r w:rsidR="00A268C4">
              <w:rPr>
                <w:rFonts w:ascii="Arial" w:hAnsi="Arial" w:cs="Arial"/>
                <w:sz w:val="24"/>
                <w:szCs w:val="24"/>
                <w:lang w:val="en-ZA"/>
              </w:rPr>
              <w:tab/>
            </w:r>
            <w:r w:rsidR="00A27D95">
              <w:rPr>
                <w:rFonts w:ascii="Arial" w:hAnsi="Arial" w:cs="Arial"/>
                <w:sz w:val="24"/>
                <w:szCs w:val="24"/>
                <w:lang w:val="en-ZA"/>
              </w:rPr>
              <w:t xml:space="preserve">Despite the fact that the </w:t>
            </w:r>
            <w:r w:rsidR="00726726">
              <w:rPr>
                <w:rFonts w:ascii="Arial" w:hAnsi="Arial" w:cs="Arial"/>
                <w:sz w:val="24"/>
                <w:szCs w:val="24"/>
                <w:lang w:val="en-ZA"/>
              </w:rPr>
              <w:t>magistrate have been cautioned on various occasions by this court</w:t>
            </w:r>
            <w:r w:rsidR="00104FD8">
              <w:rPr>
                <w:rFonts w:ascii="Arial" w:hAnsi="Arial" w:cs="Arial"/>
                <w:sz w:val="24"/>
                <w:szCs w:val="24"/>
                <w:lang w:val="en-ZA"/>
              </w:rPr>
              <w:t xml:space="preserve"> to refrain from asking suggestive questions </w:t>
            </w:r>
            <w:r w:rsidR="00726726">
              <w:rPr>
                <w:rFonts w:ascii="Arial" w:hAnsi="Arial" w:cs="Arial"/>
                <w:sz w:val="24"/>
                <w:szCs w:val="24"/>
                <w:lang w:val="en-ZA"/>
              </w:rPr>
              <w:t xml:space="preserve">she proceeded to ask suggestive questions to the accused </w:t>
            </w:r>
            <w:r w:rsidR="00781DDA">
              <w:rPr>
                <w:rFonts w:ascii="Arial" w:hAnsi="Arial" w:cs="Arial"/>
                <w:sz w:val="24"/>
                <w:szCs w:val="24"/>
                <w:lang w:val="en-ZA"/>
              </w:rPr>
              <w:t xml:space="preserve">in both cases </w:t>
            </w:r>
            <w:r w:rsidR="00726726">
              <w:rPr>
                <w:rFonts w:ascii="Arial" w:hAnsi="Arial" w:cs="Arial"/>
                <w:sz w:val="24"/>
                <w:szCs w:val="24"/>
                <w:lang w:val="en-ZA"/>
              </w:rPr>
              <w:t xml:space="preserve">and </w:t>
            </w:r>
            <w:r w:rsidR="00C96147">
              <w:rPr>
                <w:rFonts w:ascii="Arial" w:hAnsi="Arial" w:cs="Arial"/>
                <w:sz w:val="24"/>
                <w:szCs w:val="24"/>
                <w:lang w:val="en-ZA"/>
              </w:rPr>
              <w:t>convinced</w:t>
            </w:r>
            <w:r w:rsidR="00726726">
              <w:rPr>
                <w:rFonts w:ascii="Arial" w:hAnsi="Arial" w:cs="Arial"/>
                <w:sz w:val="24"/>
                <w:szCs w:val="24"/>
                <w:lang w:val="en-ZA"/>
              </w:rPr>
              <w:t xml:space="preserve"> herself </w:t>
            </w:r>
            <w:r w:rsidR="00C96147">
              <w:rPr>
                <w:rFonts w:ascii="Arial" w:hAnsi="Arial" w:cs="Arial"/>
                <w:sz w:val="24"/>
                <w:szCs w:val="24"/>
                <w:lang w:val="en-ZA"/>
              </w:rPr>
              <w:t>that the accused admits</w:t>
            </w:r>
            <w:r w:rsidR="00726726">
              <w:rPr>
                <w:rFonts w:ascii="Arial" w:hAnsi="Arial" w:cs="Arial"/>
                <w:sz w:val="24"/>
                <w:szCs w:val="24"/>
                <w:lang w:val="en-ZA"/>
              </w:rPr>
              <w:t xml:space="preserve"> to all elements of the offence</w:t>
            </w:r>
            <w:r w:rsidR="00781DDA">
              <w:rPr>
                <w:rFonts w:ascii="Arial" w:hAnsi="Arial" w:cs="Arial"/>
                <w:sz w:val="24"/>
                <w:szCs w:val="24"/>
                <w:lang w:val="en-ZA"/>
              </w:rPr>
              <w:t>.</w:t>
            </w:r>
          </w:p>
          <w:p w:rsidR="00726726" w:rsidRDefault="00726726" w:rsidP="00345485">
            <w:pPr>
              <w:spacing w:line="360" w:lineRule="auto"/>
              <w:ind w:left="34" w:hanging="34"/>
              <w:contextualSpacing/>
              <w:jc w:val="both"/>
              <w:rPr>
                <w:rFonts w:ascii="Arial" w:hAnsi="Arial" w:cs="Arial"/>
                <w:sz w:val="24"/>
                <w:szCs w:val="24"/>
                <w:lang w:val="en-ZA"/>
              </w:rPr>
            </w:pPr>
          </w:p>
          <w:p w:rsidR="002F5A3C" w:rsidRDefault="00F90527" w:rsidP="00726726">
            <w:pPr>
              <w:spacing w:line="360" w:lineRule="auto"/>
              <w:ind w:left="34" w:hanging="34"/>
              <w:contextualSpacing/>
              <w:jc w:val="both"/>
              <w:rPr>
                <w:rFonts w:ascii="Arial" w:hAnsi="Arial" w:cs="Arial"/>
                <w:sz w:val="24"/>
                <w:szCs w:val="24"/>
                <w:lang w:val="en-ZA"/>
              </w:rPr>
            </w:pPr>
            <w:r>
              <w:rPr>
                <w:rFonts w:ascii="Arial" w:hAnsi="Arial" w:cs="Arial"/>
                <w:sz w:val="24"/>
                <w:szCs w:val="24"/>
                <w:lang w:val="en-ZA"/>
              </w:rPr>
              <w:t>[</w:t>
            </w:r>
            <w:r w:rsidR="005526F3">
              <w:rPr>
                <w:rFonts w:ascii="Arial" w:hAnsi="Arial" w:cs="Arial"/>
                <w:sz w:val="24"/>
                <w:szCs w:val="24"/>
                <w:lang w:val="en-ZA"/>
              </w:rPr>
              <w:t>4</w:t>
            </w:r>
            <w:r>
              <w:rPr>
                <w:rFonts w:ascii="Arial" w:hAnsi="Arial" w:cs="Arial"/>
                <w:sz w:val="24"/>
                <w:szCs w:val="24"/>
                <w:lang w:val="en-ZA"/>
              </w:rPr>
              <w:t>]</w:t>
            </w:r>
            <w:r w:rsidR="00CF207A">
              <w:rPr>
                <w:rFonts w:ascii="Arial" w:hAnsi="Arial" w:cs="Arial"/>
                <w:sz w:val="24"/>
                <w:szCs w:val="24"/>
                <w:lang w:val="en-ZA"/>
              </w:rPr>
              <w:tab/>
            </w:r>
            <w:r w:rsidR="00FC1C8A">
              <w:rPr>
                <w:rFonts w:ascii="Arial" w:hAnsi="Arial" w:cs="Arial"/>
                <w:sz w:val="24"/>
                <w:szCs w:val="24"/>
                <w:lang w:val="en-ZA"/>
              </w:rPr>
              <w:t xml:space="preserve">I will highlight a few of the questions. </w:t>
            </w:r>
            <w:r w:rsidR="00726726">
              <w:rPr>
                <w:rFonts w:ascii="Arial" w:hAnsi="Arial" w:cs="Arial"/>
                <w:sz w:val="24"/>
                <w:szCs w:val="24"/>
                <w:lang w:val="en-ZA"/>
              </w:rPr>
              <w:t xml:space="preserve">In question no1 she starts off </w:t>
            </w:r>
            <w:r w:rsidR="002158F7">
              <w:rPr>
                <w:rFonts w:ascii="Arial" w:hAnsi="Arial" w:cs="Arial"/>
                <w:sz w:val="24"/>
                <w:szCs w:val="24"/>
                <w:lang w:val="en-ZA"/>
              </w:rPr>
              <w:t xml:space="preserve">in both cases </w:t>
            </w:r>
            <w:r w:rsidR="00726726">
              <w:rPr>
                <w:rFonts w:ascii="Arial" w:hAnsi="Arial" w:cs="Arial"/>
                <w:sz w:val="24"/>
                <w:szCs w:val="24"/>
                <w:lang w:val="en-ZA"/>
              </w:rPr>
              <w:t xml:space="preserve">by </w:t>
            </w:r>
            <w:r w:rsidR="00104FD8">
              <w:rPr>
                <w:rFonts w:ascii="Arial" w:hAnsi="Arial" w:cs="Arial"/>
                <w:sz w:val="24"/>
                <w:szCs w:val="24"/>
                <w:lang w:val="en-ZA"/>
              </w:rPr>
              <w:t>suggesting the</w:t>
            </w:r>
            <w:r w:rsidR="00726726">
              <w:rPr>
                <w:rFonts w:ascii="Arial" w:hAnsi="Arial" w:cs="Arial"/>
                <w:sz w:val="24"/>
                <w:szCs w:val="24"/>
                <w:lang w:val="en-ZA"/>
              </w:rPr>
              <w:t xml:space="preserve"> date when </w:t>
            </w:r>
            <w:r w:rsidR="00047AC7">
              <w:rPr>
                <w:rFonts w:ascii="Arial" w:hAnsi="Arial" w:cs="Arial"/>
                <w:sz w:val="24"/>
                <w:szCs w:val="24"/>
                <w:lang w:val="en-ZA"/>
              </w:rPr>
              <w:t>the allegedly</w:t>
            </w:r>
            <w:r w:rsidR="00726726">
              <w:rPr>
                <w:rFonts w:ascii="Arial" w:hAnsi="Arial" w:cs="Arial"/>
                <w:sz w:val="24"/>
                <w:szCs w:val="24"/>
                <w:lang w:val="en-ZA"/>
              </w:rPr>
              <w:t xml:space="preserve"> offence was committed.</w:t>
            </w:r>
            <w:r w:rsidR="00FC1C8A">
              <w:rPr>
                <w:rFonts w:ascii="Arial" w:hAnsi="Arial" w:cs="Arial"/>
                <w:sz w:val="24"/>
                <w:szCs w:val="24"/>
                <w:lang w:val="en-ZA"/>
              </w:rPr>
              <w:t xml:space="preserve"> In the matter of </w:t>
            </w:r>
            <w:r w:rsidR="005E41D9" w:rsidRPr="005E41D9">
              <w:rPr>
                <w:rFonts w:ascii="Arial" w:hAnsi="Arial" w:cs="Arial"/>
                <w:sz w:val="24"/>
                <w:szCs w:val="24"/>
                <w:lang w:val="en-ZA"/>
              </w:rPr>
              <w:t xml:space="preserve">Paulus </w:t>
            </w:r>
            <w:proofErr w:type="spellStart"/>
            <w:r w:rsidR="005E41D9" w:rsidRPr="005E41D9">
              <w:rPr>
                <w:rFonts w:ascii="Arial" w:hAnsi="Arial" w:cs="Arial"/>
                <w:sz w:val="24"/>
                <w:szCs w:val="24"/>
                <w:lang w:val="en-ZA"/>
              </w:rPr>
              <w:t>Nghiningwesha</w:t>
            </w:r>
            <w:proofErr w:type="spellEnd"/>
            <w:r w:rsidR="005E41D9" w:rsidRPr="005E41D9">
              <w:rPr>
                <w:rFonts w:ascii="Arial" w:hAnsi="Arial" w:cs="Arial"/>
                <w:sz w:val="24"/>
                <w:szCs w:val="24"/>
                <w:lang w:val="en-ZA"/>
              </w:rPr>
              <w:t xml:space="preserve"> </w:t>
            </w:r>
            <w:proofErr w:type="spellStart"/>
            <w:r w:rsidR="005E41D9" w:rsidRPr="005E41D9">
              <w:rPr>
                <w:rFonts w:ascii="Arial" w:hAnsi="Arial" w:cs="Arial"/>
                <w:sz w:val="24"/>
                <w:szCs w:val="24"/>
                <w:lang w:val="en-ZA"/>
              </w:rPr>
              <w:t>Kashidulika</w:t>
            </w:r>
            <w:proofErr w:type="spellEnd"/>
            <w:r w:rsidR="00FC1C8A">
              <w:rPr>
                <w:rFonts w:ascii="Arial" w:hAnsi="Arial" w:cs="Arial"/>
                <w:sz w:val="24"/>
                <w:szCs w:val="24"/>
                <w:lang w:val="en-ZA"/>
              </w:rPr>
              <w:t>, s</w:t>
            </w:r>
            <w:r w:rsidR="00726726">
              <w:rPr>
                <w:rFonts w:ascii="Arial" w:hAnsi="Arial" w:cs="Arial"/>
                <w:sz w:val="24"/>
                <w:szCs w:val="24"/>
                <w:lang w:val="en-ZA"/>
              </w:rPr>
              <w:t>he proceeds to suggest that the accused was not influenced to plea</w:t>
            </w:r>
            <w:r w:rsidR="00104FD8">
              <w:rPr>
                <w:rFonts w:ascii="Arial" w:hAnsi="Arial" w:cs="Arial"/>
                <w:sz w:val="24"/>
                <w:szCs w:val="24"/>
                <w:lang w:val="en-ZA"/>
              </w:rPr>
              <w:t>d guilty.</w:t>
            </w:r>
          </w:p>
          <w:p w:rsidR="00104FD8" w:rsidRDefault="00104FD8" w:rsidP="00726726">
            <w:pPr>
              <w:spacing w:line="360" w:lineRule="auto"/>
              <w:ind w:left="34" w:hanging="34"/>
              <w:contextualSpacing/>
              <w:jc w:val="both"/>
              <w:rPr>
                <w:rFonts w:ascii="Arial" w:hAnsi="Arial" w:cs="Arial"/>
                <w:sz w:val="24"/>
                <w:szCs w:val="24"/>
                <w:lang w:val="en-ZA"/>
              </w:rPr>
            </w:pPr>
          </w:p>
          <w:p w:rsidR="00726726" w:rsidRDefault="005526F3" w:rsidP="00726726">
            <w:pPr>
              <w:spacing w:line="360" w:lineRule="auto"/>
              <w:ind w:left="34" w:hanging="34"/>
              <w:contextualSpacing/>
              <w:jc w:val="both"/>
              <w:rPr>
                <w:rFonts w:ascii="Arial" w:hAnsi="Arial" w:cs="Arial"/>
                <w:sz w:val="24"/>
                <w:szCs w:val="24"/>
                <w:lang w:val="en-ZA"/>
              </w:rPr>
            </w:pPr>
            <w:r>
              <w:rPr>
                <w:rFonts w:ascii="Arial" w:hAnsi="Arial" w:cs="Arial"/>
                <w:sz w:val="24"/>
                <w:szCs w:val="24"/>
                <w:lang w:val="en-ZA"/>
              </w:rPr>
              <w:t>[5</w:t>
            </w:r>
            <w:r w:rsidR="00104FD8">
              <w:rPr>
                <w:rFonts w:ascii="Arial" w:hAnsi="Arial" w:cs="Arial"/>
                <w:sz w:val="24"/>
                <w:szCs w:val="24"/>
                <w:lang w:val="en-ZA"/>
              </w:rPr>
              <w:t>]</w:t>
            </w:r>
            <w:r w:rsidR="001018E1">
              <w:rPr>
                <w:rFonts w:ascii="Arial" w:hAnsi="Arial" w:cs="Arial"/>
                <w:sz w:val="24"/>
                <w:szCs w:val="24"/>
                <w:lang w:val="en-ZA"/>
              </w:rPr>
              <w:tab/>
            </w:r>
            <w:r w:rsidR="00FC1C8A">
              <w:rPr>
                <w:rFonts w:ascii="Arial" w:hAnsi="Arial" w:cs="Arial"/>
                <w:sz w:val="24"/>
                <w:szCs w:val="24"/>
                <w:lang w:val="en-ZA"/>
              </w:rPr>
              <w:t>In both cases in</w:t>
            </w:r>
            <w:r w:rsidR="00726726">
              <w:rPr>
                <w:rFonts w:ascii="Arial" w:hAnsi="Arial" w:cs="Arial"/>
                <w:sz w:val="24"/>
                <w:szCs w:val="24"/>
                <w:lang w:val="en-ZA"/>
              </w:rPr>
              <w:t xml:space="preserve"> question no 2 she further suggests </w:t>
            </w:r>
            <w:r w:rsidR="00104FD8">
              <w:rPr>
                <w:rFonts w:ascii="Arial" w:hAnsi="Arial" w:cs="Arial"/>
                <w:sz w:val="24"/>
                <w:szCs w:val="24"/>
                <w:lang w:val="en-ZA"/>
              </w:rPr>
              <w:t>the particulars</w:t>
            </w:r>
            <w:r w:rsidR="00726726">
              <w:rPr>
                <w:rFonts w:ascii="Arial" w:hAnsi="Arial" w:cs="Arial"/>
                <w:sz w:val="24"/>
                <w:szCs w:val="24"/>
                <w:lang w:val="en-ZA"/>
              </w:rPr>
              <w:t xml:space="preserve"> as per the </w:t>
            </w:r>
            <w:r w:rsidR="00C96147">
              <w:rPr>
                <w:rFonts w:ascii="Arial" w:hAnsi="Arial" w:cs="Arial"/>
                <w:sz w:val="24"/>
                <w:szCs w:val="24"/>
                <w:lang w:val="en-ZA"/>
              </w:rPr>
              <w:t>charge sheet</w:t>
            </w:r>
            <w:r w:rsidR="00104FD8">
              <w:rPr>
                <w:rFonts w:ascii="Arial" w:hAnsi="Arial" w:cs="Arial"/>
                <w:sz w:val="24"/>
                <w:szCs w:val="24"/>
                <w:lang w:val="en-ZA"/>
              </w:rPr>
              <w:t>.</w:t>
            </w:r>
          </w:p>
          <w:p w:rsidR="006247A3" w:rsidRDefault="006247A3" w:rsidP="00726726">
            <w:pPr>
              <w:spacing w:line="360" w:lineRule="auto"/>
              <w:ind w:left="34" w:hanging="34"/>
              <w:contextualSpacing/>
              <w:jc w:val="both"/>
              <w:rPr>
                <w:rFonts w:ascii="Arial" w:hAnsi="Arial" w:cs="Arial"/>
                <w:sz w:val="24"/>
                <w:szCs w:val="24"/>
                <w:lang w:val="en-ZA"/>
              </w:rPr>
            </w:pPr>
          </w:p>
          <w:p w:rsidR="00726726" w:rsidRDefault="005526F3" w:rsidP="00726726">
            <w:pPr>
              <w:spacing w:line="360" w:lineRule="auto"/>
              <w:ind w:left="34" w:hanging="34"/>
              <w:contextualSpacing/>
              <w:jc w:val="both"/>
              <w:rPr>
                <w:rFonts w:ascii="Arial" w:hAnsi="Arial" w:cs="Arial"/>
                <w:sz w:val="24"/>
                <w:szCs w:val="24"/>
                <w:lang w:val="en-ZA"/>
              </w:rPr>
            </w:pPr>
            <w:r>
              <w:rPr>
                <w:rFonts w:ascii="Arial" w:hAnsi="Arial" w:cs="Arial"/>
                <w:sz w:val="24"/>
                <w:szCs w:val="24"/>
                <w:lang w:val="en-ZA"/>
              </w:rPr>
              <w:t>[6</w:t>
            </w:r>
            <w:r w:rsidR="001018E1">
              <w:rPr>
                <w:rFonts w:ascii="Arial" w:hAnsi="Arial" w:cs="Arial"/>
                <w:sz w:val="24"/>
                <w:szCs w:val="24"/>
                <w:lang w:val="en-ZA"/>
              </w:rPr>
              <w:t xml:space="preserve">] </w:t>
            </w:r>
            <w:r w:rsidR="001018E1">
              <w:rPr>
                <w:rFonts w:ascii="Arial" w:hAnsi="Arial" w:cs="Arial"/>
                <w:sz w:val="24"/>
                <w:szCs w:val="24"/>
                <w:lang w:val="en-ZA"/>
              </w:rPr>
              <w:tab/>
            </w:r>
            <w:r w:rsidR="00FC1C8A" w:rsidRPr="005E41D9">
              <w:rPr>
                <w:rFonts w:ascii="Arial" w:hAnsi="Arial" w:cs="Arial"/>
                <w:sz w:val="24"/>
                <w:szCs w:val="24"/>
                <w:lang w:val="en-ZA"/>
              </w:rPr>
              <w:t xml:space="preserve">In S v </w:t>
            </w:r>
            <w:r w:rsidR="005E41D9" w:rsidRPr="005E41D9">
              <w:rPr>
                <w:rFonts w:ascii="Arial" w:hAnsi="Arial" w:cs="Arial"/>
                <w:sz w:val="24"/>
                <w:szCs w:val="24"/>
                <w:lang w:val="en-ZA"/>
              </w:rPr>
              <w:t xml:space="preserve">Paulus </w:t>
            </w:r>
            <w:proofErr w:type="spellStart"/>
            <w:r w:rsidR="005E41D9" w:rsidRPr="005E41D9">
              <w:rPr>
                <w:rFonts w:ascii="Arial" w:hAnsi="Arial" w:cs="Arial"/>
                <w:sz w:val="24"/>
                <w:szCs w:val="24"/>
                <w:lang w:val="en-ZA"/>
              </w:rPr>
              <w:t>Nghiningwesha</w:t>
            </w:r>
            <w:proofErr w:type="spellEnd"/>
            <w:r w:rsidR="005E41D9" w:rsidRPr="005E41D9">
              <w:rPr>
                <w:rFonts w:ascii="Arial" w:hAnsi="Arial" w:cs="Arial"/>
                <w:sz w:val="24"/>
                <w:szCs w:val="24"/>
                <w:lang w:val="en-ZA"/>
              </w:rPr>
              <w:t xml:space="preserve"> </w:t>
            </w:r>
            <w:proofErr w:type="spellStart"/>
            <w:r w:rsidR="005E41D9" w:rsidRPr="005E41D9">
              <w:rPr>
                <w:rFonts w:ascii="Arial" w:hAnsi="Arial" w:cs="Arial"/>
                <w:sz w:val="24"/>
                <w:szCs w:val="24"/>
                <w:lang w:val="en-ZA"/>
              </w:rPr>
              <w:t>Kashidulika</w:t>
            </w:r>
            <w:proofErr w:type="spellEnd"/>
            <w:r w:rsidR="005E41D9" w:rsidRPr="005E41D9">
              <w:rPr>
                <w:rFonts w:ascii="Arial" w:hAnsi="Arial" w:cs="Arial"/>
                <w:sz w:val="24"/>
                <w:szCs w:val="24"/>
                <w:lang w:val="en-ZA"/>
              </w:rPr>
              <w:t xml:space="preserve"> </w:t>
            </w:r>
            <w:r w:rsidR="00B564FD">
              <w:rPr>
                <w:rFonts w:ascii="Arial" w:hAnsi="Arial" w:cs="Arial"/>
                <w:sz w:val="24"/>
                <w:szCs w:val="24"/>
                <w:lang w:val="en-ZA"/>
              </w:rPr>
              <w:t>i</w:t>
            </w:r>
            <w:r w:rsidR="00726726">
              <w:rPr>
                <w:rFonts w:ascii="Arial" w:hAnsi="Arial" w:cs="Arial"/>
                <w:sz w:val="24"/>
                <w:szCs w:val="24"/>
                <w:lang w:val="en-ZA"/>
              </w:rPr>
              <w:t>n question no</w:t>
            </w:r>
            <w:r w:rsidR="00C96147">
              <w:rPr>
                <w:rFonts w:ascii="Arial" w:hAnsi="Arial" w:cs="Arial"/>
                <w:sz w:val="24"/>
                <w:szCs w:val="24"/>
                <w:lang w:val="en-ZA"/>
              </w:rPr>
              <w:t xml:space="preserve"> 3 the accused answers that he cut the </w:t>
            </w:r>
            <w:proofErr w:type="spellStart"/>
            <w:r w:rsidR="00C96147">
              <w:rPr>
                <w:rFonts w:ascii="Arial" w:hAnsi="Arial" w:cs="Arial"/>
                <w:sz w:val="24"/>
                <w:szCs w:val="24"/>
                <w:lang w:val="en-ZA"/>
              </w:rPr>
              <w:t>zink</w:t>
            </w:r>
            <w:proofErr w:type="spellEnd"/>
            <w:r w:rsidR="001018E1">
              <w:rPr>
                <w:rFonts w:ascii="Arial" w:hAnsi="Arial" w:cs="Arial"/>
                <w:sz w:val="24"/>
                <w:szCs w:val="24"/>
                <w:lang w:val="en-ZA"/>
              </w:rPr>
              <w:t>,</w:t>
            </w:r>
            <w:r w:rsidR="00104FD8">
              <w:rPr>
                <w:rFonts w:ascii="Arial" w:hAnsi="Arial" w:cs="Arial"/>
                <w:sz w:val="24"/>
                <w:szCs w:val="24"/>
                <w:lang w:val="en-ZA"/>
              </w:rPr>
              <w:t xml:space="preserve"> but the</w:t>
            </w:r>
            <w:r w:rsidR="00C96147">
              <w:rPr>
                <w:rFonts w:ascii="Arial" w:hAnsi="Arial" w:cs="Arial"/>
                <w:sz w:val="24"/>
                <w:szCs w:val="24"/>
                <w:lang w:val="en-ZA"/>
              </w:rPr>
              <w:t xml:space="preserve"> magistrate does not inquire </w:t>
            </w:r>
            <w:r w:rsidR="00104FD8">
              <w:rPr>
                <w:rFonts w:ascii="Arial" w:hAnsi="Arial" w:cs="Arial"/>
                <w:sz w:val="24"/>
                <w:szCs w:val="24"/>
                <w:lang w:val="en-ZA"/>
              </w:rPr>
              <w:t>further to satisfy herself as to how entrance was gained.</w:t>
            </w:r>
          </w:p>
          <w:p w:rsidR="00D05C0E" w:rsidRDefault="00D05C0E" w:rsidP="00203075">
            <w:pPr>
              <w:spacing w:line="360" w:lineRule="auto"/>
              <w:contextualSpacing/>
              <w:jc w:val="both"/>
              <w:rPr>
                <w:rFonts w:ascii="Arial" w:hAnsi="Arial" w:cs="Arial"/>
                <w:lang w:val="en-ZA"/>
              </w:rPr>
            </w:pPr>
          </w:p>
          <w:p w:rsidR="005863AD" w:rsidRDefault="00DA1A19" w:rsidP="00726726">
            <w:pPr>
              <w:spacing w:line="360" w:lineRule="auto"/>
              <w:contextualSpacing/>
              <w:jc w:val="both"/>
              <w:rPr>
                <w:rFonts w:ascii="Arial" w:hAnsi="Arial" w:cs="Arial"/>
                <w:sz w:val="24"/>
                <w:szCs w:val="24"/>
                <w:lang w:val="en-ZA"/>
              </w:rPr>
            </w:pPr>
            <w:r>
              <w:rPr>
                <w:rFonts w:ascii="Arial" w:hAnsi="Arial" w:cs="Arial"/>
                <w:lang w:val="en-ZA"/>
              </w:rPr>
              <w:lastRenderedPageBreak/>
              <w:t>[</w:t>
            </w:r>
            <w:r w:rsidR="005526F3">
              <w:rPr>
                <w:rFonts w:ascii="Arial" w:hAnsi="Arial" w:cs="Arial"/>
                <w:lang w:val="en-ZA"/>
              </w:rPr>
              <w:t>7</w:t>
            </w:r>
            <w:r w:rsidR="00C21D7D">
              <w:rPr>
                <w:rFonts w:ascii="Arial" w:hAnsi="Arial" w:cs="Arial"/>
                <w:sz w:val="24"/>
                <w:szCs w:val="24"/>
                <w:lang w:val="en-ZA"/>
              </w:rPr>
              <w:t>]</w:t>
            </w:r>
            <w:r w:rsidR="001018E1">
              <w:rPr>
                <w:rFonts w:ascii="Arial" w:hAnsi="Arial" w:cs="Arial"/>
                <w:sz w:val="24"/>
                <w:szCs w:val="24"/>
                <w:lang w:val="en-ZA"/>
              </w:rPr>
              <w:tab/>
            </w:r>
            <w:r w:rsidR="00104FD8">
              <w:rPr>
                <w:rFonts w:ascii="Arial" w:hAnsi="Arial" w:cs="Arial"/>
                <w:sz w:val="24"/>
                <w:szCs w:val="24"/>
                <w:lang w:val="en-ZA"/>
              </w:rPr>
              <w:t>I am of the view that t</w:t>
            </w:r>
            <w:r w:rsidR="00C96147">
              <w:rPr>
                <w:rFonts w:ascii="Arial" w:hAnsi="Arial" w:cs="Arial"/>
                <w:sz w:val="24"/>
                <w:szCs w:val="24"/>
                <w:lang w:val="en-ZA"/>
              </w:rPr>
              <w:t>he magistrate can surely not say that she was satisfied that the accused person</w:t>
            </w:r>
            <w:r w:rsidR="00B564FD">
              <w:rPr>
                <w:rFonts w:ascii="Arial" w:hAnsi="Arial" w:cs="Arial"/>
                <w:sz w:val="24"/>
                <w:szCs w:val="24"/>
                <w:lang w:val="en-ZA"/>
              </w:rPr>
              <w:t>s</w:t>
            </w:r>
            <w:r w:rsidR="00C96147">
              <w:rPr>
                <w:rFonts w:ascii="Arial" w:hAnsi="Arial" w:cs="Arial"/>
                <w:sz w:val="24"/>
                <w:szCs w:val="24"/>
                <w:lang w:val="en-ZA"/>
              </w:rPr>
              <w:t xml:space="preserve"> pleaded guilty freely and voluntarily </w:t>
            </w:r>
            <w:r w:rsidR="001018E1">
              <w:rPr>
                <w:rFonts w:ascii="Arial" w:hAnsi="Arial" w:cs="Arial"/>
                <w:sz w:val="24"/>
                <w:szCs w:val="24"/>
                <w:lang w:val="en-ZA"/>
              </w:rPr>
              <w:t xml:space="preserve">in both cases </w:t>
            </w:r>
            <w:r w:rsidR="00C96147">
              <w:rPr>
                <w:rFonts w:ascii="Arial" w:hAnsi="Arial" w:cs="Arial"/>
                <w:sz w:val="24"/>
                <w:szCs w:val="24"/>
                <w:lang w:val="en-ZA"/>
              </w:rPr>
              <w:t>and that she was satisfied that the accused indeed admitted to all the elements of the offence.</w:t>
            </w:r>
            <w:r w:rsidR="001018E1">
              <w:rPr>
                <w:rFonts w:ascii="Arial" w:hAnsi="Arial" w:cs="Arial"/>
                <w:sz w:val="24"/>
                <w:szCs w:val="24"/>
                <w:lang w:val="en-ZA"/>
              </w:rPr>
              <w:t xml:space="preserve"> I am of the view that on review</w:t>
            </w:r>
            <w:r w:rsidR="00BB4E82">
              <w:rPr>
                <w:rFonts w:ascii="Arial" w:hAnsi="Arial" w:cs="Arial"/>
                <w:sz w:val="24"/>
                <w:szCs w:val="24"/>
                <w:lang w:val="en-ZA"/>
              </w:rPr>
              <w:t xml:space="preserve"> a convicted accused is a “fortiori</w:t>
            </w:r>
            <w:r w:rsidR="002309FA">
              <w:rPr>
                <w:rFonts w:ascii="Arial" w:hAnsi="Arial" w:cs="Arial"/>
                <w:sz w:val="24"/>
                <w:szCs w:val="24"/>
                <w:lang w:val="en-ZA"/>
              </w:rPr>
              <w:t>”</w:t>
            </w:r>
            <w:r w:rsidR="00BB4E82">
              <w:rPr>
                <w:rFonts w:ascii="Arial" w:hAnsi="Arial" w:cs="Arial"/>
                <w:sz w:val="24"/>
                <w:szCs w:val="24"/>
                <w:lang w:val="en-ZA"/>
              </w:rPr>
              <w:t xml:space="preserve"> </w:t>
            </w:r>
            <w:r w:rsidR="001018E1">
              <w:rPr>
                <w:rFonts w:ascii="Arial" w:hAnsi="Arial" w:cs="Arial"/>
                <w:sz w:val="24"/>
                <w:szCs w:val="24"/>
                <w:lang w:val="en-ZA"/>
              </w:rPr>
              <w:t xml:space="preserve">entitled to the benefit </w:t>
            </w:r>
            <w:r w:rsidR="00BB4E82">
              <w:rPr>
                <w:rFonts w:ascii="Arial" w:hAnsi="Arial" w:cs="Arial"/>
                <w:sz w:val="24"/>
                <w:szCs w:val="24"/>
                <w:lang w:val="en-ZA"/>
              </w:rPr>
              <w:t xml:space="preserve">of doubt where reasonable grounds exist for a belief that a recorded admission, necessary for a </w:t>
            </w:r>
            <w:r w:rsidR="001018E1">
              <w:rPr>
                <w:rFonts w:ascii="Arial" w:hAnsi="Arial" w:cs="Arial"/>
                <w:sz w:val="24"/>
                <w:szCs w:val="24"/>
                <w:lang w:val="en-ZA"/>
              </w:rPr>
              <w:t xml:space="preserve">conviction, was not made at all. </w:t>
            </w:r>
            <w:r w:rsidR="005E21F3">
              <w:rPr>
                <w:rFonts w:ascii="Arial" w:hAnsi="Arial" w:cs="Arial"/>
                <w:sz w:val="24"/>
                <w:szCs w:val="24"/>
                <w:lang w:val="en-ZA"/>
              </w:rPr>
              <w:t>In the case of</w:t>
            </w:r>
            <w:r w:rsidR="001018E1">
              <w:t xml:space="preserve"> </w:t>
            </w:r>
            <w:r w:rsidR="005E21F3" w:rsidRPr="001018E1">
              <w:rPr>
                <w:rFonts w:ascii="Arial" w:hAnsi="Arial" w:cs="Arial"/>
                <w:i/>
                <w:sz w:val="24"/>
                <w:szCs w:val="24"/>
                <w:lang w:val="en-ZA"/>
              </w:rPr>
              <w:t xml:space="preserve">S v </w:t>
            </w:r>
            <w:proofErr w:type="spellStart"/>
            <w:r w:rsidR="005E21F3" w:rsidRPr="001018E1">
              <w:rPr>
                <w:rFonts w:ascii="Arial" w:hAnsi="Arial" w:cs="Arial"/>
                <w:i/>
                <w:sz w:val="24"/>
                <w:szCs w:val="24"/>
                <w:lang w:val="en-ZA"/>
              </w:rPr>
              <w:t>V</w:t>
            </w:r>
            <w:r w:rsidR="00C70C7D">
              <w:rPr>
                <w:rFonts w:ascii="Arial" w:hAnsi="Arial" w:cs="Arial"/>
                <w:i/>
                <w:sz w:val="24"/>
                <w:szCs w:val="24"/>
                <w:lang w:val="en-ZA"/>
              </w:rPr>
              <w:t>alede</w:t>
            </w:r>
            <w:proofErr w:type="spellEnd"/>
            <w:r w:rsidR="005E21F3" w:rsidRPr="005E21F3">
              <w:rPr>
                <w:rFonts w:ascii="Arial" w:hAnsi="Arial" w:cs="Arial"/>
                <w:sz w:val="24"/>
                <w:szCs w:val="24"/>
                <w:lang w:val="en-ZA"/>
              </w:rPr>
              <w:t xml:space="preserve"> </w:t>
            </w:r>
            <w:r w:rsidR="00324D9D" w:rsidRPr="00A63809">
              <w:rPr>
                <w:rFonts w:ascii="Arial" w:hAnsi="Arial" w:cs="Arial"/>
                <w:i/>
                <w:sz w:val="24"/>
                <w:szCs w:val="24"/>
                <w:lang w:val="en-ZA"/>
              </w:rPr>
              <w:t>and Others</w:t>
            </w:r>
            <w:r w:rsidR="00324D9D" w:rsidRPr="005E21F3">
              <w:rPr>
                <w:rFonts w:ascii="Arial" w:hAnsi="Arial" w:cs="Arial"/>
                <w:sz w:val="24"/>
                <w:szCs w:val="24"/>
                <w:lang w:val="en-ZA"/>
              </w:rPr>
              <w:t xml:space="preserve"> </w:t>
            </w:r>
            <w:r w:rsidR="005E21F3" w:rsidRPr="005E21F3">
              <w:rPr>
                <w:rFonts w:ascii="Arial" w:hAnsi="Arial" w:cs="Arial"/>
                <w:sz w:val="24"/>
                <w:szCs w:val="24"/>
                <w:lang w:val="en-ZA"/>
              </w:rPr>
              <w:t>1990 NR 81 (HC)</w:t>
            </w:r>
            <w:r w:rsidR="005E21F3">
              <w:t xml:space="preserve"> </w:t>
            </w:r>
            <w:r w:rsidR="005E21F3" w:rsidRPr="005E21F3">
              <w:rPr>
                <w:rFonts w:ascii="Arial" w:hAnsi="Arial" w:cs="Arial"/>
                <w:sz w:val="24"/>
                <w:szCs w:val="24"/>
                <w:lang w:val="en-ZA"/>
              </w:rPr>
              <w:t>Levy J</w:t>
            </w:r>
            <w:r w:rsidR="001018E1">
              <w:rPr>
                <w:rFonts w:ascii="Arial" w:hAnsi="Arial" w:cs="Arial"/>
                <w:sz w:val="24"/>
                <w:szCs w:val="24"/>
                <w:lang w:val="en-ZA"/>
              </w:rPr>
              <w:t xml:space="preserve"> </w:t>
            </w:r>
            <w:r w:rsidR="002309FA">
              <w:rPr>
                <w:rFonts w:ascii="Arial" w:hAnsi="Arial" w:cs="Arial"/>
                <w:sz w:val="24"/>
                <w:szCs w:val="24"/>
                <w:lang w:val="en-ZA"/>
              </w:rPr>
              <w:t xml:space="preserve">(as he was then) pointed out </w:t>
            </w:r>
            <w:r w:rsidR="005E21F3">
              <w:rPr>
                <w:rFonts w:ascii="Arial" w:hAnsi="Arial" w:cs="Arial"/>
                <w:sz w:val="24"/>
                <w:szCs w:val="24"/>
                <w:lang w:val="en-ZA"/>
              </w:rPr>
              <w:t>the following:</w:t>
            </w:r>
            <w:r w:rsidR="00324D9D">
              <w:rPr>
                <w:rFonts w:ascii="Arial" w:hAnsi="Arial" w:cs="Arial"/>
                <w:sz w:val="24"/>
                <w:szCs w:val="24"/>
                <w:lang w:val="en-ZA"/>
              </w:rPr>
              <w:t xml:space="preserve"> </w:t>
            </w:r>
          </w:p>
          <w:p w:rsidR="00104FD8" w:rsidRDefault="005863AD" w:rsidP="00726726">
            <w:pPr>
              <w:spacing w:line="360" w:lineRule="auto"/>
              <w:contextualSpacing/>
              <w:jc w:val="both"/>
              <w:rPr>
                <w:rFonts w:ascii="Arial" w:hAnsi="Arial" w:cs="Arial"/>
                <w:sz w:val="24"/>
                <w:szCs w:val="24"/>
                <w:lang w:val="en-ZA"/>
              </w:rPr>
            </w:pPr>
            <w:r>
              <w:rPr>
                <w:rFonts w:ascii="Arial" w:hAnsi="Arial" w:cs="Arial"/>
                <w:sz w:val="24"/>
                <w:szCs w:val="24"/>
                <w:lang w:val="en-ZA"/>
              </w:rPr>
              <w:tab/>
            </w:r>
            <w:r w:rsidR="005E21F3" w:rsidRPr="00324D9D">
              <w:rPr>
                <w:rFonts w:ascii="Arial" w:hAnsi="Arial" w:cs="Arial"/>
                <w:lang w:val="en-ZA"/>
              </w:rPr>
              <w:t xml:space="preserve">’The magistrate is fully aware of the elements of the crime with which the accused is charged and these elements must be </w:t>
            </w:r>
            <w:r w:rsidR="00324D9D">
              <w:rPr>
                <w:rFonts w:ascii="Arial" w:hAnsi="Arial" w:cs="Arial"/>
                <w:lang w:val="en-ZA"/>
              </w:rPr>
              <w:t xml:space="preserve">pertinently put to an accused. </w:t>
            </w:r>
            <w:r w:rsidR="005E21F3" w:rsidRPr="00324D9D">
              <w:rPr>
                <w:rFonts w:ascii="Arial" w:hAnsi="Arial" w:cs="Arial"/>
                <w:b/>
                <w:lang w:val="en-ZA"/>
              </w:rPr>
              <w:t>The charge itself must not be rephrased by the magistrate and then put to the accused.</w:t>
            </w:r>
            <w:r w:rsidR="00324D9D">
              <w:rPr>
                <w:rFonts w:ascii="Arial" w:hAnsi="Arial" w:cs="Arial"/>
                <w:lang w:val="en-ZA"/>
              </w:rPr>
              <w:t xml:space="preserve"> </w:t>
            </w:r>
            <w:r w:rsidR="005E21F3" w:rsidRPr="00324D9D">
              <w:rPr>
                <w:rFonts w:ascii="Arial" w:hAnsi="Arial" w:cs="Arial"/>
                <w:lang w:val="en-ZA"/>
              </w:rPr>
              <w:t>Consequently, where an accused is charged with theft in that he stole certain goods and has pleaded guilty to such charge, it is purposeless to ask him again 'Did you steal those goods?'</w:t>
            </w:r>
            <w:r w:rsidR="005E21F3" w:rsidRPr="005E21F3">
              <w:rPr>
                <w:rFonts w:ascii="Arial" w:hAnsi="Arial" w:cs="Arial"/>
                <w:sz w:val="24"/>
                <w:szCs w:val="24"/>
                <w:lang w:val="en-ZA"/>
              </w:rPr>
              <w:t xml:space="preserve"> If the accused answers that question in the affirmative, the magistrate is in no better position in ascertaining whether the accused admits the elements of the crime.</w:t>
            </w:r>
          </w:p>
          <w:p w:rsidR="004C7865" w:rsidRDefault="004C7865" w:rsidP="00726726">
            <w:pPr>
              <w:spacing w:line="360" w:lineRule="auto"/>
              <w:contextualSpacing/>
              <w:jc w:val="both"/>
              <w:rPr>
                <w:rFonts w:ascii="Arial" w:hAnsi="Arial" w:cs="Arial"/>
                <w:sz w:val="24"/>
                <w:szCs w:val="24"/>
                <w:lang w:val="en-ZA"/>
              </w:rPr>
            </w:pPr>
          </w:p>
          <w:p w:rsidR="005E21F3" w:rsidRDefault="00C96147" w:rsidP="002A05A9">
            <w:pPr>
              <w:spacing w:line="360" w:lineRule="auto"/>
              <w:ind w:left="34" w:hanging="34"/>
              <w:contextualSpacing/>
              <w:jc w:val="both"/>
              <w:rPr>
                <w:rFonts w:ascii="Arial" w:hAnsi="Arial" w:cs="Arial"/>
                <w:sz w:val="24"/>
                <w:szCs w:val="24"/>
                <w:lang w:val="en-ZA"/>
              </w:rPr>
            </w:pPr>
            <w:r>
              <w:rPr>
                <w:rFonts w:ascii="Arial" w:hAnsi="Arial" w:cs="Arial"/>
                <w:sz w:val="24"/>
                <w:szCs w:val="24"/>
                <w:lang w:val="en-ZA"/>
              </w:rPr>
              <w:t>[</w:t>
            </w:r>
            <w:r w:rsidR="005526F3">
              <w:rPr>
                <w:rFonts w:ascii="Arial" w:hAnsi="Arial" w:cs="Arial"/>
                <w:sz w:val="24"/>
                <w:szCs w:val="24"/>
                <w:lang w:val="en-ZA"/>
              </w:rPr>
              <w:t>8</w:t>
            </w:r>
            <w:r>
              <w:rPr>
                <w:rFonts w:ascii="Arial" w:hAnsi="Arial" w:cs="Arial"/>
                <w:sz w:val="24"/>
                <w:szCs w:val="24"/>
                <w:lang w:val="en-ZA"/>
              </w:rPr>
              <w:t>]</w:t>
            </w:r>
            <w:r w:rsidR="005C689D">
              <w:rPr>
                <w:rFonts w:ascii="Arial" w:hAnsi="Arial" w:cs="Arial"/>
                <w:sz w:val="24"/>
                <w:szCs w:val="24"/>
                <w:lang w:val="en-ZA"/>
              </w:rPr>
              <w:t xml:space="preserve"> </w:t>
            </w:r>
            <w:r w:rsidR="004C7865">
              <w:rPr>
                <w:rFonts w:ascii="Arial" w:hAnsi="Arial" w:cs="Arial"/>
                <w:sz w:val="24"/>
                <w:szCs w:val="24"/>
                <w:lang w:val="en-ZA"/>
              </w:rPr>
              <w:tab/>
            </w:r>
            <w:r w:rsidR="005E21F3" w:rsidRPr="00A006FB">
              <w:rPr>
                <w:rFonts w:ascii="Arial" w:hAnsi="Arial" w:cs="Arial"/>
                <w:sz w:val="24"/>
                <w:szCs w:val="24"/>
                <w:lang w:val="en-ZA"/>
              </w:rPr>
              <w:t>I am of the view</w:t>
            </w:r>
            <w:r w:rsidR="005C689D" w:rsidRPr="00A006FB">
              <w:rPr>
                <w:rFonts w:ascii="Arial" w:hAnsi="Arial" w:cs="Arial"/>
                <w:sz w:val="24"/>
                <w:szCs w:val="24"/>
                <w:lang w:val="en-ZA"/>
              </w:rPr>
              <w:t xml:space="preserve"> </w:t>
            </w:r>
            <w:r w:rsidR="005C689D" w:rsidRPr="0089259D">
              <w:rPr>
                <w:rFonts w:ascii="Arial" w:hAnsi="Arial" w:cs="Arial"/>
                <w:sz w:val="24"/>
                <w:szCs w:val="24"/>
                <w:lang w:val="en-ZA"/>
              </w:rPr>
              <w:t>in</w:t>
            </w:r>
            <w:r w:rsidR="005C689D" w:rsidRPr="005C689D">
              <w:rPr>
                <w:rFonts w:ascii="Arial" w:hAnsi="Arial" w:cs="Arial"/>
                <w:i/>
                <w:sz w:val="24"/>
                <w:szCs w:val="24"/>
                <w:lang w:val="en-ZA"/>
              </w:rPr>
              <w:t xml:space="preserve"> </w:t>
            </w:r>
            <w:r w:rsidR="0089259D" w:rsidRPr="0089259D">
              <w:rPr>
                <w:rFonts w:ascii="Arial" w:hAnsi="Arial" w:cs="Arial"/>
                <w:sz w:val="24"/>
                <w:szCs w:val="24"/>
                <w:lang w:val="en-ZA"/>
              </w:rPr>
              <w:t>both cases</w:t>
            </w:r>
            <w:r w:rsidR="0089259D">
              <w:rPr>
                <w:rFonts w:ascii="Arial" w:hAnsi="Arial" w:cs="Arial"/>
                <w:i/>
                <w:sz w:val="24"/>
                <w:szCs w:val="24"/>
                <w:lang w:val="en-ZA"/>
              </w:rPr>
              <w:t xml:space="preserve"> </w:t>
            </w:r>
            <w:r w:rsidR="005E21F3">
              <w:rPr>
                <w:rFonts w:ascii="Arial" w:hAnsi="Arial" w:cs="Arial"/>
                <w:sz w:val="24"/>
                <w:szCs w:val="24"/>
                <w:lang w:val="en-ZA"/>
              </w:rPr>
              <w:t>that c</w:t>
            </w:r>
            <w:r w:rsidR="005E21F3" w:rsidRPr="00BB4E82">
              <w:rPr>
                <w:rFonts w:ascii="Arial" w:hAnsi="Arial" w:cs="Arial"/>
                <w:sz w:val="24"/>
                <w:szCs w:val="24"/>
                <w:lang w:val="en-ZA"/>
              </w:rPr>
              <w:t xml:space="preserve">ertain procedural irregularities had occurred in the court </w:t>
            </w:r>
            <w:r w:rsidR="005E21F3" w:rsidRPr="002A05A9">
              <w:rPr>
                <w:rFonts w:ascii="Arial" w:hAnsi="Arial" w:cs="Arial"/>
                <w:i/>
                <w:sz w:val="24"/>
                <w:szCs w:val="24"/>
                <w:lang w:val="en-ZA"/>
              </w:rPr>
              <w:t>a quo</w:t>
            </w:r>
            <w:r w:rsidR="005E21F3">
              <w:rPr>
                <w:rFonts w:ascii="Arial" w:hAnsi="Arial" w:cs="Arial"/>
                <w:sz w:val="24"/>
                <w:szCs w:val="24"/>
                <w:lang w:val="en-ZA"/>
              </w:rPr>
              <w:t xml:space="preserve"> when the magistrate</w:t>
            </w:r>
            <w:r w:rsidR="005C689D">
              <w:rPr>
                <w:rFonts w:ascii="Arial" w:hAnsi="Arial" w:cs="Arial"/>
                <w:sz w:val="24"/>
                <w:szCs w:val="24"/>
                <w:lang w:val="en-ZA"/>
              </w:rPr>
              <w:t xml:space="preserve"> Mrs </w:t>
            </w:r>
            <w:proofErr w:type="spellStart"/>
            <w:r w:rsidR="005C689D">
              <w:rPr>
                <w:rFonts w:ascii="Arial" w:hAnsi="Arial" w:cs="Arial"/>
                <w:sz w:val="24"/>
                <w:szCs w:val="24"/>
                <w:lang w:val="en-ZA"/>
              </w:rPr>
              <w:t>Shilemba</w:t>
            </w:r>
            <w:proofErr w:type="spellEnd"/>
            <w:r w:rsidR="005C689D">
              <w:rPr>
                <w:rFonts w:ascii="Arial" w:hAnsi="Arial" w:cs="Arial"/>
                <w:sz w:val="24"/>
                <w:szCs w:val="24"/>
                <w:lang w:val="en-ZA"/>
              </w:rPr>
              <w:t xml:space="preserve"> suggested answers to the accused whilst purported</w:t>
            </w:r>
            <w:r w:rsidR="005E21F3">
              <w:rPr>
                <w:rFonts w:ascii="Arial" w:hAnsi="Arial" w:cs="Arial"/>
                <w:sz w:val="24"/>
                <w:szCs w:val="24"/>
                <w:lang w:val="en-ZA"/>
              </w:rPr>
              <w:t xml:space="preserve"> to question the accused in terms of section 112(1)</w:t>
            </w:r>
            <w:r w:rsidR="002A05A9">
              <w:rPr>
                <w:rFonts w:ascii="Arial" w:hAnsi="Arial" w:cs="Arial"/>
                <w:sz w:val="24"/>
                <w:szCs w:val="24"/>
                <w:lang w:val="en-ZA"/>
              </w:rPr>
              <w:t xml:space="preserve"> </w:t>
            </w:r>
            <w:r w:rsidR="005E21F3">
              <w:rPr>
                <w:rFonts w:ascii="Arial" w:hAnsi="Arial" w:cs="Arial"/>
                <w:sz w:val="24"/>
                <w:szCs w:val="24"/>
                <w:lang w:val="en-ZA"/>
              </w:rPr>
              <w:t>(</w:t>
            </w:r>
            <w:r w:rsidR="005E21F3" w:rsidRPr="002A05A9">
              <w:rPr>
                <w:rFonts w:ascii="Arial" w:hAnsi="Arial" w:cs="Arial"/>
                <w:i/>
                <w:sz w:val="24"/>
                <w:szCs w:val="24"/>
                <w:lang w:val="en-ZA"/>
              </w:rPr>
              <w:t>b</w:t>
            </w:r>
            <w:r w:rsidR="005E21F3">
              <w:rPr>
                <w:rFonts w:ascii="Arial" w:hAnsi="Arial" w:cs="Arial"/>
                <w:sz w:val="24"/>
                <w:szCs w:val="24"/>
                <w:lang w:val="en-ZA"/>
              </w:rPr>
              <w:t>)</w:t>
            </w:r>
            <w:r w:rsidR="005E21F3" w:rsidRPr="00BB4E82">
              <w:rPr>
                <w:rFonts w:ascii="Arial" w:hAnsi="Arial" w:cs="Arial"/>
                <w:sz w:val="24"/>
                <w:szCs w:val="24"/>
                <w:lang w:val="en-ZA"/>
              </w:rPr>
              <w:t>.</w:t>
            </w:r>
            <w:r w:rsidR="00A006FB">
              <w:rPr>
                <w:rFonts w:ascii="Arial" w:hAnsi="Arial" w:cs="Arial"/>
                <w:sz w:val="24"/>
                <w:szCs w:val="24"/>
                <w:lang w:val="en-ZA"/>
              </w:rPr>
              <w:t xml:space="preserve"> When questioning an accused the</w:t>
            </w:r>
            <w:r w:rsidR="00A006FB" w:rsidRPr="005E21F3">
              <w:rPr>
                <w:rFonts w:ascii="Arial" w:hAnsi="Arial" w:cs="Arial"/>
                <w:sz w:val="24"/>
                <w:szCs w:val="24"/>
                <w:lang w:val="en-ZA"/>
              </w:rPr>
              <w:t xml:space="preserve"> questions must be directed to ascertaining whether </w:t>
            </w:r>
            <w:r w:rsidR="00A006FB">
              <w:rPr>
                <w:rFonts w:ascii="Arial" w:hAnsi="Arial" w:cs="Arial"/>
                <w:sz w:val="24"/>
                <w:szCs w:val="24"/>
                <w:lang w:val="en-ZA"/>
              </w:rPr>
              <w:t>the elements of the offence are present without suggesting anything</w:t>
            </w:r>
            <w:r w:rsidR="00A006FB" w:rsidRPr="005E21F3">
              <w:rPr>
                <w:rFonts w:ascii="Arial" w:hAnsi="Arial" w:cs="Arial"/>
                <w:sz w:val="24"/>
                <w:szCs w:val="24"/>
                <w:lang w:val="en-ZA"/>
              </w:rPr>
              <w:t>.</w:t>
            </w:r>
          </w:p>
          <w:p w:rsidR="005C689D" w:rsidRDefault="005C689D" w:rsidP="00726726">
            <w:pPr>
              <w:spacing w:line="360" w:lineRule="auto"/>
              <w:contextualSpacing/>
              <w:jc w:val="both"/>
              <w:rPr>
                <w:rFonts w:ascii="Arial" w:hAnsi="Arial" w:cs="Arial"/>
                <w:sz w:val="24"/>
                <w:szCs w:val="24"/>
                <w:lang w:val="en-ZA"/>
              </w:rPr>
            </w:pPr>
          </w:p>
          <w:p w:rsidR="00170361" w:rsidRDefault="00B438F6" w:rsidP="00726726">
            <w:pPr>
              <w:spacing w:line="360" w:lineRule="auto"/>
              <w:contextualSpacing/>
              <w:jc w:val="both"/>
              <w:rPr>
                <w:rFonts w:ascii="Arial" w:hAnsi="Arial" w:cs="Arial"/>
                <w:sz w:val="24"/>
                <w:szCs w:val="24"/>
                <w:lang w:val="en-ZA"/>
              </w:rPr>
            </w:pPr>
            <w:r>
              <w:rPr>
                <w:rFonts w:ascii="Arial" w:hAnsi="Arial" w:cs="Arial"/>
                <w:sz w:val="24"/>
                <w:szCs w:val="24"/>
                <w:lang w:val="en-ZA"/>
              </w:rPr>
              <w:t>[</w:t>
            </w:r>
            <w:r w:rsidR="005526F3">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5C689D">
              <w:rPr>
                <w:rFonts w:ascii="Arial" w:hAnsi="Arial" w:cs="Arial"/>
                <w:sz w:val="24"/>
                <w:szCs w:val="24"/>
                <w:lang w:val="en-ZA"/>
              </w:rPr>
              <w:t>I further noticed in mitigation</w:t>
            </w:r>
            <w:r w:rsidR="0089259D">
              <w:rPr>
                <w:rFonts w:ascii="Arial" w:hAnsi="Arial" w:cs="Arial"/>
                <w:sz w:val="24"/>
                <w:szCs w:val="24"/>
                <w:lang w:val="en-ZA"/>
              </w:rPr>
              <w:t xml:space="preserve"> in both cases</w:t>
            </w:r>
            <w:r w:rsidR="00BB4E82">
              <w:rPr>
                <w:rFonts w:ascii="Arial" w:hAnsi="Arial" w:cs="Arial"/>
                <w:sz w:val="24"/>
                <w:szCs w:val="24"/>
                <w:lang w:val="en-ZA"/>
              </w:rPr>
              <w:t xml:space="preserve"> t</w:t>
            </w:r>
            <w:r w:rsidR="00C96147">
              <w:rPr>
                <w:rFonts w:ascii="Arial" w:hAnsi="Arial" w:cs="Arial"/>
                <w:sz w:val="24"/>
                <w:szCs w:val="24"/>
                <w:lang w:val="en-ZA"/>
              </w:rPr>
              <w:t>he magistrate only asked the accused</w:t>
            </w:r>
            <w:r w:rsidR="0089259D">
              <w:rPr>
                <w:rFonts w:ascii="Arial" w:hAnsi="Arial" w:cs="Arial"/>
                <w:sz w:val="24"/>
                <w:szCs w:val="24"/>
                <w:lang w:val="en-ZA"/>
              </w:rPr>
              <w:t xml:space="preserve"> a few</w:t>
            </w:r>
            <w:r w:rsidR="00C96147">
              <w:rPr>
                <w:rFonts w:ascii="Arial" w:hAnsi="Arial" w:cs="Arial"/>
                <w:sz w:val="24"/>
                <w:szCs w:val="24"/>
                <w:lang w:val="en-ZA"/>
              </w:rPr>
              <w:t xml:space="preserve"> questions </w:t>
            </w:r>
            <w:r w:rsidR="00BB4E82">
              <w:rPr>
                <w:rFonts w:ascii="Arial" w:hAnsi="Arial" w:cs="Arial"/>
                <w:sz w:val="24"/>
                <w:szCs w:val="24"/>
                <w:lang w:val="en-ZA"/>
              </w:rPr>
              <w:t>that seemed to</w:t>
            </w:r>
            <w:r w:rsidR="00047AC7">
              <w:rPr>
                <w:rFonts w:ascii="Arial" w:hAnsi="Arial" w:cs="Arial"/>
                <w:sz w:val="24"/>
                <w:szCs w:val="24"/>
                <w:lang w:val="en-ZA"/>
              </w:rPr>
              <w:t xml:space="preserve"> satisf</w:t>
            </w:r>
            <w:r w:rsidR="00BB4E82">
              <w:rPr>
                <w:rFonts w:ascii="Arial" w:hAnsi="Arial" w:cs="Arial"/>
                <w:sz w:val="24"/>
                <w:szCs w:val="24"/>
                <w:lang w:val="en-ZA"/>
              </w:rPr>
              <w:t>y</w:t>
            </w:r>
            <w:r w:rsidR="00047AC7">
              <w:rPr>
                <w:rFonts w:ascii="Arial" w:hAnsi="Arial" w:cs="Arial"/>
                <w:sz w:val="24"/>
                <w:szCs w:val="24"/>
                <w:lang w:val="en-ZA"/>
              </w:rPr>
              <w:t xml:space="preserve"> her</w:t>
            </w:r>
            <w:r w:rsidR="00E53FFB">
              <w:rPr>
                <w:rFonts w:ascii="Arial" w:hAnsi="Arial" w:cs="Arial"/>
                <w:sz w:val="24"/>
                <w:szCs w:val="24"/>
                <w:lang w:val="en-ZA"/>
              </w:rPr>
              <w:t>.</w:t>
            </w:r>
            <w:r w:rsidR="00047AC7">
              <w:rPr>
                <w:rFonts w:ascii="Arial" w:hAnsi="Arial" w:cs="Arial"/>
                <w:sz w:val="24"/>
                <w:szCs w:val="24"/>
                <w:lang w:val="en-ZA"/>
              </w:rPr>
              <w:t xml:space="preserve"> </w:t>
            </w:r>
            <w:r w:rsidR="005C689D">
              <w:rPr>
                <w:rFonts w:ascii="Arial" w:hAnsi="Arial" w:cs="Arial"/>
                <w:sz w:val="24"/>
                <w:szCs w:val="24"/>
                <w:lang w:val="en-ZA"/>
              </w:rPr>
              <w:t xml:space="preserve">In </w:t>
            </w:r>
            <w:r w:rsidR="00B94B4A" w:rsidRPr="007854E9">
              <w:rPr>
                <w:rFonts w:ascii="Arial" w:hAnsi="Arial" w:cs="Arial"/>
                <w:i/>
                <w:sz w:val="24"/>
                <w:szCs w:val="24"/>
                <w:lang w:val="en-ZA"/>
              </w:rPr>
              <w:t xml:space="preserve">S v </w:t>
            </w:r>
            <w:proofErr w:type="spellStart"/>
            <w:r w:rsidR="00B94B4A" w:rsidRPr="007854E9">
              <w:rPr>
                <w:rFonts w:ascii="Arial" w:hAnsi="Arial" w:cs="Arial"/>
                <w:i/>
                <w:sz w:val="24"/>
                <w:szCs w:val="24"/>
                <w:lang w:val="en-ZA"/>
              </w:rPr>
              <w:t>Kundiatuka</w:t>
            </w:r>
            <w:proofErr w:type="spellEnd"/>
            <w:r w:rsidR="005C689D" w:rsidRPr="005C689D">
              <w:rPr>
                <w:rFonts w:ascii="Arial" w:hAnsi="Arial" w:cs="Arial"/>
                <w:sz w:val="24"/>
                <w:szCs w:val="24"/>
                <w:lang w:val="en-ZA"/>
              </w:rPr>
              <w:t xml:space="preserve"> 2018 (3) NR 699 (NLD)</w:t>
            </w:r>
            <w:r w:rsidR="005C689D">
              <w:rPr>
                <w:rFonts w:ascii="Arial" w:hAnsi="Arial" w:cs="Arial"/>
                <w:sz w:val="24"/>
                <w:szCs w:val="24"/>
                <w:lang w:val="en-ZA"/>
              </w:rPr>
              <w:t xml:space="preserve"> Cheda</w:t>
            </w:r>
            <w:r w:rsidR="00B94B4A">
              <w:rPr>
                <w:rFonts w:ascii="Arial" w:hAnsi="Arial" w:cs="Arial"/>
                <w:sz w:val="24"/>
                <w:szCs w:val="24"/>
                <w:lang w:val="en-ZA"/>
              </w:rPr>
              <w:t xml:space="preserve"> J stated</w:t>
            </w:r>
            <w:r w:rsidR="005D33DF">
              <w:rPr>
                <w:rFonts w:ascii="Arial" w:hAnsi="Arial" w:cs="Arial"/>
                <w:sz w:val="24"/>
                <w:szCs w:val="24"/>
                <w:lang w:val="en-ZA"/>
              </w:rPr>
              <w:t>:</w:t>
            </w:r>
            <w:r w:rsidR="00B94B4A">
              <w:rPr>
                <w:rFonts w:ascii="Arial" w:hAnsi="Arial" w:cs="Arial"/>
                <w:sz w:val="24"/>
                <w:szCs w:val="24"/>
                <w:lang w:val="en-ZA"/>
              </w:rPr>
              <w:t xml:space="preserve"> </w:t>
            </w:r>
          </w:p>
          <w:p w:rsidR="002F4902" w:rsidRDefault="00170361" w:rsidP="00726726">
            <w:pPr>
              <w:spacing w:line="360" w:lineRule="auto"/>
              <w:contextualSpacing/>
              <w:jc w:val="both"/>
              <w:rPr>
                <w:rFonts w:ascii="Arial" w:hAnsi="Arial" w:cs="Arial"/>
                <w:sz w:val="24"/>
                <w:szCs w:val="24"/>
                <w:lang w:val="en-ZA"/>
              </w:rPr>
            </w:pPr>
            <w:r>
              <w:rPr>
                <w:rFonts w:ascii="Arial" w:hAnsi="Arial" w:cs="Arial"/>
                <w:sz w:val="24"/>
                <w:szCs w:val="24"/>
                <w:lang w:val="en-ZA"/>
              </w:rPr>
              <w:tab/>
            </w:r>
            <w:r w:rsidR="005D33DF" w:rsidRPr="00B94B4A">
              <w:rPr>
                <w:rFonts w:ascii="Arial" w:hAnsi="Arial" w:cs="Arial"/>
                <w:lang w:val="en-ZA"/>
              </w:rPr>
              <w:t>’</w:t>
            </w:r>
            <w:r w:rsidR="005C689D" w:rsidRPr="00B94B4A">
              <w:rPr>
                <w:rFonts w:ascii="Arial" w:hAnsi="Arial" w:cs="Arial"/>
                <w:lang w:val="en-ZA"/>
              </w:rPr>
              <w:t xml:space="preserve">The object of mitigation is to persuade the court to exercise its leniency. It is for that reason that they should be relevant to the aspects of the case. It is the personal circumstances of the accused which should persuade the court to impose a lenient sentence. Further it is for that reason that the court must ensure that such evidence is placed before it in order for it to pass a realistic sentence. It is not enough for the court to state that I </w:t>
            </w:r>
            <w:r w:rsidR="005D33DF" w:rsidRPr="00B94B4A">
              <w:rPr>
                <w:rFonts w:ascii="Arial" w:hAnsi="Arial" w:cs="Arial"/>
                <w:lang w:val="en-ZA"/>
              </w:rPr>
              <w:t xml:space="preserve">have </w:t>
            </w:r>
            <w:r w:rsidR="005C689D" w:rsidRPr="00B94B4A">
              <w:rPr>
                <w:rFonts w:ascii="Arial" w:hAnsi="Arial" w:cs="Arial"/>
                <w:lang w:val="en-ZA"/>
              </w:rPr>
              <w:t xml:space="preserve">  taken into account the accused's mitigating features when in fact there is nothing in the record to show for it</w:t>
            </w:r>
            <w:r w:rsidR="00B94B4A">
              <w:rPr>
                <w:rFonts w:ascii="Arial" w:hAnsi="Arial" w:cs="Arial"/>
                <w:lang w:val="en-ZA"/>
              </w:rPr>
              <w:t>.</w:t>
            </w:r>
            <w:r w:rsidR="005D33DF">
              <w:rPr>
                <w:rFonts w:ascii="Arial" w:hAnsi="Arial" w:cs="Arial"/>
                <w:sz w:val="24"/>
                <w:szCs w:val="24"/>
                <w:lang w:val="en-ZA"/>
              </w:rPr>
              <w:t>’</w:t>
            </w:r>
            <w:r>
              <w:rPr>
                <w:rFonts w:ascii="Arial" w:hAnsi="Arial" w:cs="Arial"/>
                <w:sz w:val="24"/>
                <w:szCs w:val="24"/>
                <w:lang w:val="en-ZA"/>
              </w:rPr>
              <w:t xml:space="preserve"> </w:t>
            </w:r>
          </w:p>
          <w:p w:rsidR="00170361" w:rsidRDefault="005D33DF" w:rsidP="00726726">
            <w:pPr>
              <w:spacing w:line="360" w:lineRule="auto"/>
              <w:contextualSpacing/>
              <w:jc w:val="both"/>
              <w:rPr>
                <w:rFonts w:ascii="Arial" w:hAnsi="Arial" w:cs="Arial"/>
                <w:sz w:val="24"/>
                <w:szCs w:val="24"/>
                <w:lang w:val="en-ZA"/>
              </w:rPr>
            </w:pPr>
            <w:r>
              <w:rPr>
                <w:rFonts w:ascii="Arial" w:hAnsi="Arial" w:cs="Arial"/>
                <w:sz w:val="24"/>
                <w:szCs w:val="24"/>
                <w:lang w:val="en-ZA"/>
              </w:rPr>
              <w:t>Cheda J further state:</w:t>
            </w:r>
          </w:p>
          <w:p w:rsidR="005D33DF" w:rsidRDefault="00170361" w:rsidP="00726726">
            <w:pPr>
              <w:spacing w:line="360" w:lineRule="auto"/>
              <w:contextualSpacing/>
              <w:jc w:val="both"/>
              <w:rPr>
                <w:rFonts w:ascii="Arial" w:hAnsi="Arial" w:cs="Arial"/>
                <w:sz w:val="24"/>
                <w:szCs w:val="24"/>
                <w:lang w:val="en-ZA"/>
              </w:rPr>
            </w:pPr>
            <w:r>
              <w:rPr>
                <w:rFonts w:ascii="Arial" w:hAnsi="Arial" w:cs="Arial"/>
                <w:sz w:val="24"/>
                <w:szCs w:val="24"/>
                <w:lang w:val="en-ZA"/>
              </w:rPr>
              <w:tab/>
            </w:r>
            <w:r w:rsidR="00A63809">
              <w:rPr>
                <w:rFonts w:ascii="Arial" w:hAnsi="Arial" w:cs="Arial"/>
                <w:i/>
                <w:sz w:val="24"/>
                <w:szCs w:val="24"/>
                <w:lang w:val="en-ZA"/>
              </w:rPr>
              <w:t>‘</w:t>
            </w:r>
            <w:r w:rsidR="005D33DF" w:rsidRPr="005D33DF">
              <w:rPr>
                <w:rFonts w:ascii="Arial" w:hAnsi="Arial" w:cs="Arial"/>
                <w:i/>
                <w:sz w:val="24"/>
                <w:szCs w:val="24"/>
                <w:lang w:val="en-ZA"/>
              </w:rPr>
              <w:t xml:space="preserve"> </w:t>
            </w:r>
            <w:r w:rsidR="005C689D" w:rsidRPr="005D33DF">
              <w:rPr>
                <w:rFonts w:ascii="Arial" w:hAnsi="Arial" w:cs="Arial"/>
                <w:i/>
                <w:sz w:val="24"/>
                <w:szCs w:val="24"/>
                <w:lang w:val="en-ZA"/>
              </w:rPr>
              <w:t xml:space="preserve"> </w:t>
            </w:r>
            <w:r w:rsidR="005C689D" w:rsidRPr="00716B9A">
              <w:rPr>
                <w:rFonts w:ascii="Arial" w:hAnsi="Arial" w:cs="Arial"/>
                <w:lang w:val="en-ZA"/>
              </w:rPr>
              <w:t>To enable the court to arrive at an appropriate sentence, the court must invite the accused to submit suc</w:t>
            </w:r>
            <w:r w:rsidR="00716B9A">
              <w:rPr>
                <w:rFonts w:ascii="Arial" w:hAnsi="Arial" w:cs="Arial"/>
                <w:lang w:val="en-ZA"/>
              </w:rPr>
              <w:t xml:space="preserve">h features or at least ask the </w:t>
            </w:r>
            <w:r w:rsidR="005C689D" w:rsidRPr="00716B9A">
              <w:rPr>
                <w:rFonts w:ascii="Arial" w:hAnsi="Arial" w:cs="Arial"/>
                <w:lang w:val="en-ZA"/>
              </w:rPr>
              <w:t>accused relevant questions relating to his/her personal circumstances. This is even more important where the accused is a self-actor.</w:t>
            </w:r>
            <w:r w:rsidR="005D33DF" w:rsidRPr="00716B9A">
              <w:rPr>
                <w:rFonts w:ascii="Arial" w:hAnsi="Arial" w:cs="Arial"/>
                <w:lang w:val="en-ZA"/>
              </w:rPr>
              <w:t>’</w:t>
            </w:r>
            <w:r w:rsidR="005C689D" w:rsidRPr="005C689D">
              <w:rPr>
                <w:rFonts w:ascii="Arial" w:hAnsi="Arial" w:cs="Arial"/>
                <w:sz w:val="24"/>
                <w:szCs w:val="24"/>
                <w:lang w:val="en-ZA"/>
              </w:rPr>
              <w:t xml:space="preserve"> </w:t>
            </w:r>
          </w:p>
          <w:p w:rsidR="00A462F6" w:rsidRDefault="00A462F6" w:rsidP="00726726">
            <w:pPr>
              <w:spacing w:line="360" w:lineRule="auto"/>
              <w:contextualSpacing/>
              <w:jc w:val="both"/>
              <w:rPr>
                <w:rFonts w:ascii="Arial" w:hAnsi="Arial" w:cs="Arial"/>
                <w:sz w:val="24"/>
                <w:szCs w:val="24"/>
                <w:lang w:val="en-ZA"/>
              </w:rPr>
            </w:pPr>
          </w:p>
          <w:p w:rsidR="00BB4E82" w:rsidRDefault="00A462F6" w:rsidP="00726726">
            <w:pPr>
              <w:spacing w:line="360" w:lineRule="auto"/>
              <w:contextualSpacing/>
              <w:jc w:val="both"/>
              <w:rPr>
                <w:rFonts w:ascii="Arial" w:hAnsi="Arial" w:cs="Arial"/>
                <w:sz w:val="24"/>
                <w:szCs w:val="24"/>
                <w:lang w:val="en-ZA"/>
              </w:rPr>
            </w:pPr>
            <w:r>
              <w:rPr>
                <w:rFonts w:ascii="Arial" w:hAnsi="Arial" w:cs="Arial"/>
                <w:sz w:val="24"/>
                <w:szCs w:val="24"/>
                <w:lang w:val="en-ZA"/>
              </w:rPr>
              <w:t>[</w:t>
            </w:r>
            <w:r w:rsidR="005526F3">
              <w:rPr>
                <w:rFonts w:ascii="Arial" w:hAnsi="Arial" w:cs="Arial"/>
                <w:sz w:val="24"/>
                <w:szCs w:val="24"/>
                <w:lang w:val="en-ZA"/>
              </w:rPr>
              <w:t>10</w:t>
            </w:r>
            <w:r>
              <w:rPr>
                <w:rFonts w:ascii="Arial" w:hAnsi="Arial" w:cs="Arial"/>
                <w:sz w:val="24"/>
                <w:szCs w:val="24"/>
                <w:lang w:val="en-ZA"/>
              </w:rPr>
              <w:t>]</w:t>
            </w:r>
            <w:r>
              <w:rPr>
                <w:rFonts w:ascii="Arial" w:hAnsi="Arial" w:cs="Arial"/>
                <w:sz w:val="24"/>
                <w:szCs w:val="24"/>
                <w:lang w:val="en-ZA"/>
              </w:rPr>
              <w:tab/>
            </w:r>
            <w:r w:rsidR="005D33DF">
              <w:rPr>
                <w:rFonts w:ascii="Arial" w:hAnsi="Arial" w:cs="Arial"/>
                <w:sz w:val="24"/>
                <w:szCs w:val="24"/>
                <w:lang w:val="en-ZA"/>
              </w:rPr>
              <w:t xml:space="preserve">I concur that if the accused is not invited </w:t>
            </w:r>
            <w:r w:rsidR="005D33DF" w:rsidRPr="005C689D">
              <w:rPr>
                <w:rFonts w:ascii="Arial" w:hAnsi="Arial" w:cs="Arial"/>
                <w:sz w:val="24"/>
                <w:szCs w:val="24"/>
                <w:lang w:val="en-ZA"/>
              </w:rPr>
              <w:t>to</w:t>
            </w:r>
            <w:r w:rsidR="005C689D" w:rsidRPr="005C689D">
              <w:rPr>
                <w:rFonts w:ascii="Arial" w:hAnsi="Arial" w:cs="Arial"/>
                <w:sz w:val="24"/>
                <w:szCs w:val="24"/>
                <w:lang w:val="en-ZA"/>
              </w:rPr>
              <w:t xml:space="preserve"> submit mitigating factors </w:t>
            </w:r>
            <w:r w:rsidR="005D33DF">
              <w:rPr>
                <w:rFonts w:ascii="Arial" w:hAnsi="Arial" w:cs="Arial"/>
                <w:sz w:val="24"/>
                <w:szCs w:val="24"/>
                <w:lang w:val="en-ZA"/>
              </w:rPr>
              <w:t>the</w:t>
            </w:r>
            <w:r w:rsidR="005C689D" w:rsidRPr="005C689D">
              <w:rPr>
                <w:rFonts w:ascii="Arial" w:hAnsi="Arial" w:cs="Arial"/>
                <w:sz w:val="24"/>
                <w:szCs w:val="24"/>
                <w:lang w:val="en-ZA"/>
              </w:rPr>
              <w:t xml:space="preserve"> court</w:t>
            </w:r>
            <w:r w:rsidR="005D33DF">
              <w:rPr>
                <w:rFonts w:ascii="Arial" w:hAnsi="Arial" w:cs="Arial"/>
                <w:sz w:val="24"/>
                <w:szCs w:val="24"/>
                <w:lang w:val="en-ZA"/>
              </w:rPr>
              <w:t xml:space="preserve"> is </w:t>
            </w:r>
            <w:r w:rsidR="005D33DF" w:rsidRPr="005526F3">
              <w:rPr>
                <w:rFonts w:ascii="Arial" w:hAnsi="Arial" w:cs="Arial"/>
                <w:sz w:val="24"/>
                <w:szCs w:val="24"/>
                <w:lang w:val="en-ZA"/>
              </w:rPr>
              <w:t>necessitated</w:t>
            </w:r>
            <w:r w:rsidR="005C689D" w:rsidRPr="005C689D">
              <w:rPr>
                <w:rFonts w:ascii="Arial" w:hAnsi="Arial" w:cs="Arial"/>
                <w:sz w:val="24"/>
                <w:szCs w:val="24"/>
                <w:lang w:val="en-ZA"/>
              </w:rPr>
              <w:t xml:space="preserve"> </w:t>
            </w:r>
            <w:r w:rsidR="005D33DF">
              <w:rPr>
                <w:rFonts w:ascii="Arial" w:hAnsi="Arial" w:cs="Arial"/>
                <w:sz w:val="24"/>
                <w:szCs w:val="24"/>
                <w:lang w:val="en-ZA"/>
              </w:rPr>
              <w:t xml:space="preserve">to </w:t>
            </w:r>
            <w:r w:rsidR="005D33DF" w:rsidRPr="005C689D">
              <w:rPr>
                <w:rFonts w:ascii="Arial" w:hAnsi="Arial" w:cs="Arial"/>
                <w:sz w:val="24"/>
                <w:szCs w:val="24"/>
                <w:lang w:val="en-ZA"/>
              </w:rPr>
              <w:t>question</w:t>
            </w:r>
            <w:r w:rsidR="005C689D" w:rsidRPr="005C689D">
              <w:rPr>
                <w:rFonts w:ascii="Arial" w:hAnsi="Arial" w:cs="Arial"/>
                <w:sz w:val="24"/>
                <w:szCs w:val="24"/>
                <w:lang w:val="en-ZA"/>
              </w:rPr>
              <w:t xml:space="preserve"> him/her about personal </w:t>
            </w:r>
            <w:r w:rsidR="005D33DF" w:rsidRPr="005C689D">
              <w:rPr>
                <w:rFonts w:ascii="Arial" w:hAnsi="Arial" w:cs="Arial"/>
                <w:sz w:val="24"/>
                <w:szCs w:val="24"/>
                <w:lang w:val="en-ZA"/>
              </w:rPr>
              <w:t>circumstances to</w:t>
            </w:r>
            <w:r w:rsidR="005C689D" w:rsidRPr="005C689D">
              <w:rPr>
                <w:rFonts w:ascii="Arial" w:hAnsi="Arial" w:cs="Arial"/>
                <w:sz w:val="24"/>
                <w:szCs w:val="24"/>
                <w:lang w:val="en-ZA"/>
              </w:rPr>
              <w:t xml:space="preserve"> pass approp</w:t>
            </w:r>
            <w:r w:rsidR="00104FB1">
              <w:rPr>
                <w:rFonts w:ascii="Arial" w:hAnsi="Arial" w:cs="Arial"/>
                <w:sz w:val="24"/>
                <w:szCs w:val="24"/>
                <w:lang w:val="en-ZA"/>
              </w:rPr>
              <w:t xml:space="preserve">riate and realistic sentence. </w:t>
            </w:r>
            <w:r w:rsidR="00C96147">
              <w:rPr>
                <w:rFonts w:ascii="Arial" w:hAnsi="Arial" w:cs="Arial"/>
                <w:sz w:val="24"/>
                <w:szCs w:val="24"/>
                <w:lang w:val="en-ZA"/>
              </w:rPr>
              <w:t xml:space="preserve">I </w:t>
            </w:r>
            <w:r w:rsidR="00047AC7">
              <w:rPr>
                <w:rFonts w:ascii="Arial" w:hAnsi="Arial" w:cs="Arial"/>
                <w:sz w:val="24"/>
                <w:szCs w:val="24"/>
                <w:lang w:val="en-ZA"/>
              </w:rPr>
              <w:t xml:space="preserve">respectfully submit that no reasonable court will be </w:t>
            </w:r>
            <w:r w:rsidR="00C96147">
              <w:rPr>
                <w:rFonts w:ascii="Arial" w:hAnsi="Arial" w:cs="Arial"/>
                <w:sz w:val="24"/>
                <w:szCs w:val="24"/>
                <w:lang w:val="en-ZA"/>
              </w:rPr>
              <w:t>satis</w:t>
            </w:r>
            <w:r w:rsidR="00104FB1">
              <w:rPr>
                <w:rFonts w:ascii="Arial" w:hAnsi="Arial" w:cs="Arial"/>
                <w:sz w:val="24"/>
                <w:szCs w:val="24"/>
                <w:lang w:val="en-ZA"/>
              </w:rPr>
              <w:t xml:space="preserve">fied with such insufficient </w:t>
            </w:r>
            <w:r w:rsidR="00C96147">
              <w:rPr>
                <w:rFonts w:ascii="Arial" w:hAnsi="Arial" w:cs="Arial"/>
                <w:sz w:val="24"/>
                <w:szCs w:val="24"/>
                <w:lang w:val="en-ZA"/>
              </w:rPr>
              <w:t xml:space="preserve">mitigating factors, more specifically the level of education of the </w:t>
            </w:r>
            <w:r w:rsidR="00104FD8">
              <w:rPr>
                <w:rFonts w:ascii="Arial" w:hAnsi="Arial" w:cs="Arial"/>
                <w:sz w:val="24"/>
                <w:szCs w:val="24"/>
                <w:lang w:val="en-ZA"/>
              </w:rPr>
              <w:t>accused when</w:t>
            </w:r>
            <w:r w:rsidR="00047AC7">
              <w:rPr>
                <w:rFonts w:ascii="Arial" w:hAnsi="Arial" w:cs="Arial"/>
                <w:sz w:val="24"/>
                <w:szCs w:val="24"/>
                <w:lang w:val="en-ZA"/>
              </w:rPr>
              <w:t xml:space="preserve"> such court intends </w:t>
            </w:r>
            <w:r w:rsidR="00C96147">
              <w:rPr>
                <w:rFonts w:ascii="Arial" w:hAnsi="Arial" w:cs="Arial"/>
                <w:sz w:val="24"/>
                <w:szCs w:val="24"/>
                <w:lang w:val="en-ZA"/>
              </w:rPr>
              <w:t xml:space="preserve">to impose a custodial sentence on and </w:t>
            </w:r>
            <w:r w:rsidR="00104FD8">
              <w:rPr>
                <w:rFonts w:ascii="Arial" w:hAnsi="Arial" w:cs="Arial"/>
                <w:sz w:val="24"/>
                <w:szCs w:val="24"/>
                <w:lang w:val="en-ZA"/>
              </w:rPr>
              <w:t>accused.</w:t>
            </w:r>
          </w:p>
          <w:p w:rsidR="004D5E6B" w:rsidRDefault="004D5E6B" w:rsidP="00BF3D62">
            <w:pPr>
              <w:spacing w:line="360" w:lineRule="auto"/>
              <w:contextualSpacing/>
              <w:jc w:val="both"/>
              <w:rPr>
                <w:rFonts w:ascii="Arial" w:hAnsi="Arial" w:cs="Arial"/>
                <w:sz w:val="24"/>
                <w:szCs w:val="24"/>
                <w:lang w:val="en-ZA"/>
              </w:rPr>
            </w:pPr>
          </w:p>
          <w:p w:rsidR="00D65C2E" w:rsidRDefault="005526F3" w:rsidP="0017110E">
            <w:pPr>
              <w:spacing w:line="360" w:lineRule="auto"/>
              <w:contextualSpacing/>
              <w:jc w:val="both"/>
              <w:rPr>
                <w:rFonts w:ascii="Arial" w:hAnsi="Arial" w:cs="Arial"/>
                <w:sz w:val="24"/>
                <w:szCs w:val="24"/>
                <w:lang w:val="en-ZA"/>
              </w:rPr>
            </w:pPr>
            <w:r>
              <w:rPr>
                <w:rFonts w:ascii="Arial" w:hAnsi="Arial" w:cs="Arial"/>
                <w:sz w:val="24"/>
                <w:szCs w:val="24"/>
                <w:lang w:val="en-ZA"/>
              </w:rPr>
              <w:t>[11</w:t>
            </w:r>
            <w:r w:rsidR="004D5E6B">
              <w:rPr>
                <w:rFonts w:ascii="Arial" w:hAnsi="Arial" w:cs="Arial"/>
                <w:sz w:val="24"/>
                <w:szCs w:val="24"/>
                <w:lang w:val="en-ZA"/>
              </w:rPr>
              <w:t>]</w:t>
            </w:r>
            <w:r w:rsidR="004D5E6B">
              <w:rPr>
                <w:rFonts w:ascii="Arial" w:hAnsi="Arial" w:cs="Arial"/>
                <w:sz w:val="24"/>
                <w:szCs w:val="24"/>
                <w:lang w:val="en-ZA"/>
              </w:rPr>
              <w:tab/>
            </w:r>
            <w:r w:rsidR="00BF3D62" w:rsidRPr="00C70C7D">
              <w:rPr>
                <w:rFonts w:ascii="Arial" w:hAnsi="Arial" w:cs="Arial"/>
                <w:sz w:val="24"/>
                <w:szCs w:val="24"/>
                <w:lang w:val="en-ZA"/>
              </w:rPr>
              <w:t xml:space="preserve">The conviction and sentences in relation to </w:t>
            </w:r>
            <w:r w:rsidR="00203075" w:rsidRPr="00C70C7D">
              <w:rPr>
                <w:rFonts w:ascii="Arial" w:hAnsi="Arial" w:cs="Arial"/>
                <w:sz w:val="24"/>
                <w:szCs w:val="24"/>
                <w:lang w:val="en-ZA"/>
              </w:rPr>
              <w:t>the</w:t>
            </w:r>
            <w:r w:rsidR="00BF3D62" w:rsidRPr="00C70C7D">
              <w:rPr>
                <w:rFonts w:ascii="Arial" w:hAnsi="Arial" w:cs="Arial"/>
                <w:sz w:val="24"/>
                <w:szCs w:val="24"/>
                <w:lang w:val="en-ZA"/>
              </w:rPr>
              <w:t xml:space="preserve"> charge can therefore not be allowed to stand.</w:t>
            </w:r>
          </w:p>
          <w:p w:rsidR="0017110E" w:rsidRPr="00EA634B" w:rsidRDefault="0017110E" w:rsidP="0017110E">
            <w:pPr>
              <w:spacing w:line="360" w:lineRule="auto"/>
              <w:contextualSpacing/>
              <w:jc w:val="both"/>
              <w:rPr>
                <w:rFonts w:ascii="Arial" w:hAnsi="Arial" w:cs="Arial"/>
                <w:lang w:val="en-ZA"/>
              </w:rPr>
            </w:pPr>
          </w:p>
        </w:tc>
      </w:tr>
      <w:tr w:rsidR="002F5A3C" w:rsidRPr="00B876E9" w:rsidTr="00BF1067">
        <w:trPr>
          <w:trHeight w:val="576"/>
        </w:trPr>
        <w:tc>
          <w:tcPr>
            <w:tcW w:w="4606" w:type="dxa"/>
            <w:gridSpan w:val="2"/>
            <w:tcBorders>
              <w:top w:val="single" w:sz="4" w:space="0" w:color="auto"/>
              <w:left w:val="single" w:sz="4" w:space="0" w:color="auto"/>
              <w:bottom w:val="single" w:sz="4" w:space="0" w:color="auto"/>
              <w:right w:val="single" w:sz="4" w:space="0" w:color="auto"/>
            </w:tcBorders>
          </w:tcPr>
          <w:p w:rsidR="002F5A3C" w:rsidRPr="00482EC8" w:rsidRDefault="002F5A3C" w:rsidP="00BF1067">
            <w:pPr>
              <w:spacing w:line="360" w:lineRule="auto"/>
              <w:rPr>
                <w:rFonts w:ascii="Arial" w:hAnsi="Arial" w:cs="Arial"/>
                <w:b/>
                <w:sz w:val="24"/>
                <w:szCs w:val="24"/>
              </w:rPr>
            </w:pPr>
            <w:r>
              <w:rPr>
                <w:rFonts w:ascii="Arial" w:hAnsi="Arial" w:cs="Arial"/>
                <w:b/>
                <w:sz w:val="24"/>
                <w:szCs w:val="24"/>
              </w:rPr>
              <w:lastRenderedPageBreak/>
              <w:t>Judge(s) signature</w:t>
            </w:r>
          </w:p>
        </w:tc>
        <w:tc>
          <w:tcPr>
            <w:tcW w:w="5601" w:type="dxa"/>
            <w:tcBorders>
              <w:top w:val="single" w:sz="4" w:space="0" w:color="auto"/>
              <w:left w:val="single" w:sz="4" w:space="0" w:color="auto"/>
              <w:bottom w:val="single" w:sz="4" w:space="0" w:color="auto"/>
              <w:right w:val="single" w:sz="4" w:space="0" w:color="auto"/>
            </w:tcBorders>
          </w:tcPr>
          <w:p w:rsidR="002F5A3C" w:rsidRPr="00482EC8" w:rsidRDefault="002F5A3C" w:rsidP="00BF1067">
            <w:pPr>
              <w:spacing w:line="360" w:lineRule="auto"/>
              <w:rPr>
                <w:rFonts w:ascii="Arial" w:hAnsi="Arial" w:cs="Arial"/>
                <w:sz w:val="24"/>
                <w:szCs w:val="24"/>
              </w:rPr>
            </w:pPr>
            <w:r w:rsidRPr="00482EC8">
              <w:rPr>
                <w:rFonts w:ascii="Arial" w:hAnsi="Arial" w:cs="Arial"/>
                <w:b/>
                <w:sz w:val="24"/>
                <w:szCs w:val="24"/>
              </w:rPr>
              <w:t>Comments:</w:t>
            </w:r>
            <w:r>
              <w:rPr>
                <w:rFonts w:ascii="Arial" w:hAnsi="Arial" w:cs="Arial"/>
                <w:sz w:val="24"/>
                <w:szCs w:val="24"/>
              </w:rPr>
              <w:t xml:space="preserve">  </w:t>
            </w:r>
          </w:p>
        </w:tc>
      </w:tr>
      <w:tr w:rsidR="002F5A3C" w:rsidRPr="00B876E9" w:rsidTr="00BF1067">
        <w:trPr>
          <w:trHeight w:val="860"/>
        </w:trPr>
        <w:tc>
          <w:tcPr>
            <w:tcW w:w="4606" w:type="dxa"/>
            <w:gridSpan w:val="2"/>
            <w:tcBorders>
              <w:top w:val="single" w:sz="4" w:space="0" w:color="auto"/>
              <w:left w:val="single" w:sz="4" w:space="0" w:color="auto"/>
              <w:bottom w:val="single" w:sz="4" w:space="0" w:color="auto"/>
              <w:right w:val="single" w:sz="4" w:space="0" w:color="auto"/>
            </w:tcBorders>
          </w:tcPr>
          <w:p w:rsidR="002F5A3C" w:rsidRPr="00AC190B" w:rsidRDefault="005D33DF" w:rsidP="00BF1067">
            <w:pPr>
              <w:spacing w:line="360" w:lineRule="auto"/>
              <w:rPr>
                <w:rFonts w:ascii="Arial" w:hAnsi="Arial" w:cs="Arial"/>
                <w:sz w:val="24"/>
                <w:szCs w:val="24"/>
              </w:rPr>
            </w:pPr>
            <w:r>
              <w:rPr>
                <w:rFonts w:ascii="Arial" w:hAnsi="Arial" w:cs="Arial"/>
                <w:sz w:val="24"/>
                <w:szCs w:val="24"/>
              </w:rPr>
              <w:t>Diergaardt A</w:t>
            </w:r>
            <w:r w:rsidR="002F5A3C" w:rsidRPr="00AC190B">
              <w:rPr>
                <w:rFonts w:ascii="Arial" w:hAnsi="Arial" w:cs="Arial"/>
                <w:sz w:val="24"/>
                <w:szCs w:val="24"/>
              </w:rPr>
              <w:t>J:</w:t>
            </w:r>
          </w:p>
        </w:tc>
        <w:tc>
          <w:tcPr>
            <w:tcW w:w="5601" w:type="dxa"/>
            <w:tcBorders>
              <w:top w:val="single" w:sz="4" w:space="0" w:color="auto"/>
              <w:left w:val="single" w:sz="4" w:space="0" w:color="auto"/>
              <w:bottom w:val="single" w:sz="4" w:space="0" w:color="auto"/>
              <w:right w:val="single" w:sz="4" w:space="0" w:color="auto"/>
            </w:tcBorders>
          </w:tcPr>
          <w:p w:rsidR="002F5A3C" w:rsidRDefault="002F5A3C" w:rsidP="00BF1067">
            <w:pPr>
              <w:spacing w:line="360" w:lineRule="auto"/>
              <w:rPr>
                <w:rFonts w:ascii="Arial" w:hAnsi="Arial" w:cs="Arial"/>
                <w:sz w:val="24"/>
                <w:szCs w:val="24"/>
              </w:rPr>
            </w:pPr>
          </w:p>
          <w:p w:rsidR="002F5A3C" w:rsidRPr="00AC190B" w:rsidRDefault="002F5A3C" w:rsidP="00BF1067">
            <w:pPr>
              <w:spacing w:line="360" w:lineRule="auto"/>
              <w:rPr>
                <w:rFonts w:ascii="Arial" w:hAnsi="Arial" w:cs="Arial"/>
                <w:sz w:val="24"/>
                <w:szCs w:val="24"/>
              </w:rPr>
            </w:pPr>
          </w:p>
        </w:tc>
      </w:tr>
      <w:tr w:rsidR="002F5A3C" w:rsidRPr="00B876E9" w:rsidTr="00BF1067">
        <w:trPr>
          <w:trHeight w:val="984"/>
        </w:trPr>
        <w:tc>
          <w:tcPr>
            <w:tcW w:w="4606" w:type="dxa"/>
            <w:gridSpan w:val="2"/>
            <w:tcBorders>
              <w:top w:val="single" w:sz="4" w:space="0" w:color="auto"/>
              <w:left w:val="single" w:sz="4" w:space="0" w:color="auto"/>
              <w:bottom w:val="single" w:sz="4" w:space="0" w:color="auto"/>
              <w:right w:val="single" w:sz="4" w:space="0" w:color="auto"/>
            </w:tcBorders>
          </w:tcPr>
          <w:p w:rsidR="00203075" w:rsidRPr="00482EC8" w:rsidRDefault="00203075" w:rsidP="00BF1067">
            <w:pPr>
              <w:spacing w:line="360" w:lineRule="auto"/>
              <w:rPr>
                <w:rFonts w:ascii="Arial" w:hAnsi="Arial" w:cs="Arial"/>
                <w:sz w:val="24"/>
                <w:szCs w:val="24"/>
              </w:rPr>
            </w:pPr>
            <w:r w:rsidRPr="00AC190B">
              <w:rPr>
                <w:rFonts w:ascii="Arial" w:hAnsi="Arial" w:cs="Arial"/>
                <w:sz w:val="24"/>
                <w:szCs w:val="24"/>
              </w:rPr>
              <w:t>January J:</w:t>
            </w:r>
          </w:p>
        </w:tc>
        <w:tc>
          <w:tcPr>
            <w:tcW w:w="5601" w:type="dxa"/>
            <w:tcBorders>
              <w:top w:val="single" w:sz="4" w:space="0" w:color="auto"/>
              <w:left w:val="single" w:sz="4" w:space="0" w:color="auto"/>
              <w:bottom w:val="single" w:sz="4" w:space="0" w:color="auto"/>
              <w:right w:val="single" w:sz="4" w:space="0" w:color="auto"/>
            </w:tcBorders>
          </w:tcPr>
          <w:p w:rsidR="002F5A3C" w:rsidRPr="00482EC8" w:rsidRDefault="002F5A3C" w:rsidP="00BF1067">
            <w:pPr>
              <w:spacing w:line="360" w:lineRule="auto"/>
              <w:rPr>
                <w:rFonts w:ascii="Arial" w:hAnsi="Arial" w:cs="Arial"/>
                <w:sz w:val="24"/>
                <w:szCs w:val="24"/>
              </w:rPr>
            </w:pPr>
          </w:p>
        </w:tc>
      </w:tr>
    </w:tbl>
    <w:p w:rsidR="00B02640" w:rsidRPr="002F5A3C" w:rsidRDefault="00B02640">
      <w:pPr>
        <w:rPr>
          <w:rFonts w:ascii="Arial" w:hAnsi="Arial" w:cs="Arial"/>
          <w:sz w:val="24"/>
          <w:szCs w:val="24"/>
        </w:rPr>
      </w:pPr>
    </w:p>
    <w:sectPr w:rsidR="00B02640" w:rsidRPr="002F5A3C" w:rsidSect="00855F63">
      <w:headerReference w:type="default" r:id="rId9"/>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71F" w:rsidRDefault="0043771F" w:rsidP="004063E7">
      <w:pPr>
        <w:spacing w:after="0" w:line="240" w:lineRule="auto"/>
      </w:pPr>
      <w:r>
        <w:separator/>
      </w:r>
    </w:p>
  </w:endnote>
  <w:endnote w:type="continuationSeparator" w:id="0">
    <w:p w:rsidR="0043771F" w:rsidRDefault="0043771F" w:rsidP="0040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71F" w:rsidRDefault="0043771F" w:rsidP="004063E7">
      <w:pPr>
        <w:spacing w:after="0" w:line="240" w:lineRule="auto"/>
      </w:pPr>
      <w:r>
        <w:separator/>
      </w:r>
    </w:p>
  </w:footnote>
  <w:footnote w:type="continuationSeparator" w:id="0">
    <w:p w:rsidR="0043771F" w:rsidRDefault="0043771F" w:rsidP="00406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197642"/>
      <w:docPartObj>
        <w:docPartGallery w:val="Page Numbers (Top of Page)"/>
        <w:docPartUnique/>
      </w:docPartObj>
    </w:sdtPr>
    <w:sdtEndPr>
      <w:rPr>
        <w:noProof/>
      </w:rPr>
    </w:sdtEndPr>
    <w:sdtContent>
      <w:p w:rsidR="00D05C0E" w:rsidRDefault="00D05C0E">
        <w:pPr>
          <w:pStyle w:val="Header"/>
          <w:jc w:val="right"/>
        </w:pPr>
        <w:r>
          <w:fldChar w:fldCharType="begin"/>
        </w:r>
        <w:r>
          <w:instrText xml:space="preserve"> PAGE   \* MERGEFORMAT </w:instrText>
        </w:r>
        <w:r>
          <w:fldChar w:fldCharType="separate"/>
        </w:r>
        <w:r w:rsidR="00F9633D">
          <w:rPr>
            <w:noProof/>
          </w:rPr>
          <w:t>4</w:t>
        </w:r>
        <w:r>
          <w:rPr>
            <w:noProof/>
          </w:rPr>
          <w:fldChar w:fldCharType="end"/>
        </w:r>
      </w:p>
    </w:sdtContent>
  </w:sdt>
  <w:p w:rsidR="00D05C0E" w:rsidRDefault="00D05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72EA8"/>
    <w:multiLevelType w:val="hybridMultilevel"/>
    <w:tmpl w:val="DBE6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A34C6"/>
    <w:multiLevelType w:val="hybridMultilevel"/>
    <w:tmpl w:val="09C0876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3C"/>
    <w:rsid w:val="00047594"/>
    <w:rsid w:val="00047AC7"/>
    <w:rsid w:val="000A0064"/>
    <w:rsid w:val="000C07B6"/>
    <w:rsid w:val="001018E1"/>
    <w:rsid w:val="00104FB1"/>
    <w:rsid w:val="00104FD8"/>
    <w:rsid w:val="001051BA"/>
    <w:rsid w:val="0011016A"/>
    <w:rsid w:val="001417E6"/>
    <w:rsid w:val="00170361"/>
    <w:rsid w:val="0017110E"/>
    <w:rsid w:val="00203075"/>
    <w:rsid w:val="002158F7"/>
    <w:rsid w:val="00215C8B"/>
    <w:rsid w:val="00221D2A"/>
    <w:rsid w:val="002309FA"/>
    <w:rsid w:val="00241979"/>
    <w:rsid w:val="00262F23"/>
    <w:rsid w:val="002635E5"/>
    <w:rsid w:val="00272927"/>
    <w:rsid w:val="002A05A9"/>
    <w:rsid w:val="002B54A5"/>
    <w:rsid w:val="002F4902"/>
    <w:rsid w:val="002F5A3C"/>
    <w:rsid w:val="00324D9D"/>
    <w:rsid w:val="00345485"/>
    <w:rsid w:val="00363361"/>
    <w:rsid w:val="003845AA"/>
    <w:rsid w:val="003B23F5"/>
    <w:rsid w:val="003D539D"/>
    <w:rsid w:val="003F4148"/>
    <w:rsid w:val="004063E7"/>
    <w:rsid w:val="00417E36"/>
    <w:rsid w:val="0043771F"/>
    <w:rsid w:val="00445CA9"/>
    <w:rsid w:val="004B6922"/>
    <w:rsid w:val="004C003D"/>
    <w:rsid w:val="004C7865"/>
    <w:rsid w:val="004D5E6B"/>
    <w:rsid w:val="00546029"/>
    <w:rsid w:val="00547ACA"/>
    <w:rsid w:val="005526F3"/>
    <w:rsid w:val="005863AD"/>
    <w:rsid w:val="00592A9C"/>
    <w:rsid w:val="005C20E5"/>
    <w:rsid w:val="005C5559"/>
    <w:rsid w:val="005C689D"/>
    <w:rsid w:val="005D33DF"/>
    <w:rsid w:val="005E21F3"/>
    <w:rsid w:val="005E41D9"/>
    <w:rsid w:val="005E56B9"/>
    <w:rsid w:val="006049D2"/>
    <w:rsid w:val="006247A3"/>
    <w:rsid w:val="0063310D"/>
    <w:rsid w:val="00634708"/>
    <w:rsid w:val="006721F0"/>
    <w:rsid w:val="00681F5F"/>
    <w:rsid w:val="00692646"/>
    <w:rsid w:val="006B6666"/>
    <w:rsid w:val="006C0644"/>
    <w:rsid w:val="006D3F49"/>
    <w:rsid w:val="00716B9A"/>
    <w:rsid w:val="00717F5B"/>
    <w:rsid w:val="00726726"/>
    <w:rsid w:val="007603FB"/>
    <w:rsid w:val="00781710"/>
    <w:rsid w:val="00781DDA"/>
    <w:rsid w:val="007854E9"/>
    <w:rsid w:val="00790D56"/>
    <w:rsid w:val="007D0709"/>
    <w:rsid w:val="007D5CB7"/>
    <w:rsid w:val="007E4EB3"/>
    <w:rsid w:val="00855F63"/>
    <w:rsid w:val="008671BB"/>
    <w:rsid w:val="00890A62"/>
    <w:rsid w:val="0089259D"/>
    <w:rsid w:val="008D23CF"/>
    <w:rsid w:val="008F19FA"/>
    <w:rsid w:val="009420CE"/>
    <w:rsid w:val="00967526"/>
    <w:rsid w:val="009D2874"/>
    <w:rsid w:val="00A006FB"/>
    <w:rsid w:val="00A268C4"/>
    <w:rsid w:val="00A2694E"/>
    <w:rsid w:val="00A27D95"/>
    <w:rsid w:val="00A30AC8"/>
    <w:rsid w:val="00A462F6"/>
    <w:rsid w:val="00A63809"/>
    <w:rsid w:val="00A8782B"/>
    <w:rsid w:val="00A957D4"/>
    <w:rsid w:val="00AB4570"/>
    <w:rsid w:val="00AB7ADC"/>
    <w:rsid w:val="00AC64F9"/>
    <w:rsid w:val="00B02640"/>
    <w:rsid w:val="00B21E73"/>
    <w:rsid w:val="00B438F6"/>
    <w:rsid w:val="00B564FD"/>
    <w:rsid w:val="00B6340B"/>
    <w:rsid w:val="00B77F6E"/>
    <w:rsid w:val="00B94B4A"/>
    <w:rsid w:val="00BB4E82"/>
    <w:rsid w:val="00BE00D7"/>
    <w:rsid w:val="00BE0D9A"/>
    <w:rsid w:val="00BE50DE"/>
    <w:rsid w:val="00BF3D62"/>
    <w:rsid w:val="00C11B2B"/>
    <w:rsid w:val="00C21D7D"/>
    <w:rsid w:val="00C70C7D"/>
    <w:rsid w:val="00C96147"/>
    <w:rsid w:val="00CB58EC"/>
    <w:rsid w:val="00CD34C0"/>
    <w:rsid w:val="00CF207A"/>
    <w:rsid w:val="00D039A8"/>
    <w:rsid w:val="00D05C0E"/>
    <w:rsid w:val="00D269AC"/>
    <w:rsid w:val="00D30313"/>
    <w:rsid w:val="00D3101E"/>
    <w:rsid w:val="00D413C5"/>
    <w:rsid w:val="00D61AA8"/>
    <w:rsid w:val="00D65C2E"/>
    <w:rsid w:val="00DA1A19"/>
    <w:rsid w:val="00DE579D"/>
    <w:rsid w:val="00E01F81"/>
    <w:rsid w:val="00E53FFB"/>
    <w:rsid w:val="00EA54E7"/>
    <w:rsid w:val="00EE72F3"/>
    <w:rsid w:val="00F177A4"/>
    <w:rsid w:val="00F25D40"/>
    <w:rsid w:val="00F27CEC"/>
    <w:rsid w:val="00F74283"/>
    <w:rsid w:val="00F87CC9"/>
    <w:rsid w:val="00F90527"/>
    <w:rsid w:val="00F96147"/>
    <w:rsid w:val="00F9633D"/>
    <w:rsid w:val="00FC1C8A"/>
    <w:rsid w:val="00FC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3D75C-C950-4FA1-9534-2E3443F7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A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A3C"/>
    <w:pPr>
      <w:ind w:left="720"/>
      <w:contextualSpacing/>
    </w:pPr>
  </w:style>
  <w:style w:type="paragraph" w:styleId="FootnoteText">
    <w:name w:val="footnote text"/>
    <w:basedOn w:val="Normal"/>
    <w:link w:val="FootnoteTextChar"/>
    <w:uiPriority w:val="99"/>
    <w:semiHidden/>
    <w:unhideWhenUsed/>
    <w:rsid w:val="004063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3E7"/>
    <w:rPr>
      <w:sz w:val="20"/>
      <w:szCs w:val="20"/>
    </w:rPr>
  </w:style>
  <w:style w:type="character" w:styleId="FootnoteReference">
    <w:name w:val="footnote reference"/>
    <w:basedOn w:val="DefaultParagraphFont"/>
    <w:uiPriority w:val="99"/>
    <w:semiHidden/>
    <w:unhideWhenUsed/>
    <w:rsid w:val="004063E7"/>
    <w:rPr>
      <w:vertAlign w:val="superscript"/>
    </w:rPr>
  </w:style>
  <w:style w:type="paragraph" w:styleId="BalloonText">
    <w:name w:val="Balloon Text"/>
    <w:basedOn w:val="Normal"/>
    <w:link w:val="BalloonTextChar"/>
    <w:uiPriority w:val="99"/>
    <w:semiHidden/>
    <w:unhideWhenUsed/>
    <w:rsid w:val="00F96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47"/>
    <w:rPr>
      <w:rFonts w:ascii="Segoe UI" w:hAnsi="Segoe UI" w:cs="Segoe UI"/>
      <w:sz w:val="18"/>
      <w:szCs w:val="18"/>
    </w:rPr>
  </w:style>
  <w:style w:type="paragraph" w:styleId="Header">
    <w:name w:val="header"/>
    <w:basedOn w:val="Normal"/>
    <w:link w:val="HeaderChar"/>
    <w:uiPriority w:val="99"/>
    <w:unhideWhenUsed/>
    <w:rsid w:val="00D05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C0E"/>
  </w:style>
  <w:style w:type="paragraph" w:styleId="Footer">
    <w:name w:val="footer"/>
    <w:basedOn w:val="Normal"/>
    <w:link w:val="FooterChar"/>
    <w:uiPriority w:val="99"/>
    <w:unhideWhenUsed/>
    <w:rsid w:val="00D05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2020-06-29T18:30:00+00:00</Judgment_x0020_Date>
    <Year xmlns="a036617c-f1b0-4353-ab0a-456b3885ee3b">2020</Year>
  </documentManagement>
</p:properties>
</file>

<file path=customXml/itemProps1.xml><?xml version="1.0" encoding="utf-8"?>
<ds:datastoreItem xmlns:ds="http://schemas.openxmlformats.org/officeDocument/2006/customXml" ds:itemID="{2992FE40-C785-4616-AD2E-EF1E645E5210}"/>
</file>

<file path=customXml/itemProps2.xml><?xml version="1.0" encoding="utf-8"?>
<ds:datastoreItem xmlns:ds="http://schemas.openxmlformats.org/officeDocument/2006/customXml" ds:itemID="{907F4AB7-4F22-400E-9D07-155E60895FF5}"/>
</file>

<file path=customXml/itemProps3.xml><?xml version="1.0" encoding="utf-8"?>
<ds:datastoreItem xmlns:ds="http://schemas.openxmlformats.org/officeDocument/2006/customXml" ds:itemID="{2C1AE84A-66E9-40D0-9A58-2A6F95E32B40}"/>
</file>

<file path=customXml/itemProps4.xml><?xml version="1.0" encoding="utf-8"?>
<ds:datastoreItem xmlns:ds="http://schemas.openxmlformats.org/officeDocument/2006/customXml" ds:itemID="{D49A2CC0-448A-4D14-9B7F-13362F49FC19}"/>
</file>

<file path=docProps/app.xml><?xml version="1.0" encoding="utf-8"?>
<Properties xmlns="http://schemas.openxmlformats.org/officeDocument/2006/extended-properties" xmlns:vt="http://schemas.openxmlformats.org/officeDocument/2006/docPropsVTypes">
  <Template>Normal</Template>
  <TotalTime>2</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Kashidulika (CR 38-2020) [2020] NAHCNLD 79 (30 June 2020)</dc:title>
  <dc:subject/>
  <dc:creator>Herman C. January</dc:creator>
  <cp:keywords/>
  <dc:description/>
  <cp:lastModifiedBy>Administrator</cp:lastModifiedBy>
  <cp:revision>3</cp:revision>
  <cp:lastPrinted>2020-05-18T10:20:00Z</cp:lastPrinted>
  <dcterms:created xsi:type="dcterms:W3CDTF">2020-07-03T06:49:00Z</dcterms:created>
  <dcterms:modified xsi:type="dcterms:W3CDTF">2020-07-03T06:50:00Z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