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A0" w:rsidRPr="003F02A0" w:rsidRDefault="003F02A0" w:rsidP="003F02A0">
      <w:pPr>
        <w:spacing w:line="252" w:lineRule="auto"/>
        <w:jc w:val="center"/>
        <w:rPr>
          <w:rFonts w:ascii="Arial" w:hAnsi="Arial" w:cs="Arial"/>
          <w:b/>
          <w:sz w:val="24"/>
          <w:szCs w:val="24"/>
        </w:rPr>
      </w:pPr>
      <w:r w:rsidRPr="003F02A0">
        <w:rPr>
          <w:rFonts w:ascii="Arial" w:hAnsi="Arial" w:cs="Arial"/>
          <w:b/>
          <w:sz w:val="24"/>
          <w:szCs w:val="24"/>
        </w:rPr>
        <w:t>REPUBLIC OF NAMIBIA</w:t>
      </w:r>
    </w:p>
    <w:p w:rsidR="003F02A0" w:rsidRPr="003F02A0" w:rsidRDefault="003F02A0" w:rsidP="003F02A0">
      <w:pPr>
        <w:spacing w:line="252" w:lineRule="auto"/>
        <w:jc w:val="center"/>
        <w:rPr>
          <w:rFonts w:ascii="Arial" w:hAnsi="Arial" w:cs="Arial"/>
          <w:b/>
          <w:sz w:val="24"/>
          <w:szCs w:val="24"/>
        </w:rPr>
      </w:pPr>
      <w:r w:rsidRPr="003F02A0">
        <w:rPr>
          <w:rFonts w:ascii="Arial" w:hAnsi="Arial" w:cs="Arial"/>
          <w:b/>
          <w:noProof/>
          <w:sz w:val="24"/>
          <w:szCs w:val="24"/>
        </w:rPr>
        <w:drawing>
          <wp:inline distT="0" distB="0" distL="0" distR="0" wp14:anchorId="6D9A188D" wp14:editId="4BACD6F4">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3F02A0" w:rsidRPr="003F02A0" w:rsidRDefault="003F02A0" w:rsidP="003F02A0">
      <w:pPr>
        <w:spacing w:line="252" w:lineRule="auto"/>
        <w:jc w:val="center"/>
        <w:rPr>
          <w:rFonts w:ascii="Arial" w:hAnsi="Arial" w:cs="Arial"/>
          <w:b/>
          <w:sz w:val="24"/>
          <w:szCs w:val="24"/>
        </w:rPr>
      </w:pPr>
      <w:r w:rsidRPr="003F02A0">
        <w:rPr>
          <w:rFonts w:ascii="Arial" w:hAnsi="Arial" w:cs="Arial"/>
          <w:b/>
          <w:sz w:val="24"/>
          <w:szCs w:val="24"/>
        </w:rPr>
        <w:t>IN THE HIGH COURT OF NAMIBIA, NORTHERN LOCAL DIVISION, OSHAKATI</w:t>
      </w:r>
    </w:p>
    <w:p w:rsidR="00BE6A5C" w:rsidRDefault="00BE6A5C" w:rsidP="00BE6A5C">
      <w:pPr>
        <w:jc w:val="center"/>
        <w:rPr>
          <w:rFonts w:ascii="Arial" w:hAnsi="Arial" w:cs="Arial"/>
          <w:b/>
          <w:sz w:val="24"/>
          <w:szCs w:val="24"/>
        </w:rPr>
      </w:pPr>
      <w:r w:rsidRPr="00BE6A5C">
        <w:rPr>
          <w:rFonts w:ascii="Arial" w:hAnsi="Arial" w:cs="Arial"/>
          <w:b/>
          <w:sz w:val="24"/>
          <w:szCs w:val="24"/>
        </w:rPr>
        <w:t>LEAVE TO APPEAL</w:t>
      </w:r>
    </w:p>
    <w:p w:rsidR="0089447D" w:rsidRDefault="0089447D" w:rsidP="00BE6A5C">
      <w:pPr>
        <w:jc w:val="center"/>
        <w:rPr>
          <w:rFonts w:ascii="Arial" w:hAnsi="Arial" w:cs="Arial"/>
          <w:b/>
          <w:sz w:val="24"/>
          <w:szCs w:val="24"/>
        </w:rPr>
      </w:pPr>
      <w:bookmarkStart w:id="0" w:name="_GoBack"/>
      <w:bookmarkEnd w:id="0"/>
    </w:p>
    <w:p w:rsidR="0089447D" w:rsidRPr="00BE6A5C" w:rsidRDefault="0089447D" w:rsidP="00BE6A5C">
      <w:pPr>
        <w:jc w:val="center"/>
        <w:rPr>
          <w:rFonts w:ascii="Arial" w:hAnsi="Arial" w:cs="Arial"/>
          <w:b/>
          <w:sz w:val="24"/>
          <w:szCs w:val="24"/>
        </w:rPr>
      </w:pPr>
      <w:r>
        <w:rPr>
          <w:rFonts w:ascii="Arial" w:hAnsi="Arial" w:cs="Arial"/>
          <w:b/>
          <w:sz w:val="24"/>
          <w:szCs w:val="24"/>
        </w:rPr>
        <w:t>“ANNEXURE 11”</w:t>
      </w:r>
    </w:p>
    <w:tbl>
      <w:tblPr>
        <w:tblStyle w:val="TableGrid"/>
        <w:tblW w:w="9720" w:type="dxa"/>
        <w:tblInd w:w="-275" w:type="dxa"/>
        <w:tblLook w:val="04A0" w:firstRow="1" w:lastRow="0" w:firstColumn="1" w:lastColumn="0" w:noHBand="0" w:noVBand="1"/>
      </w:tblPr>
      <w:tblGrid>
        <w:gridCol w:w="4770"/>
        <w:gridCol w:w="627"/>
        <w:gridCol w:w="4323"/>
      </w:tblGrid>
      <w:tr w:rsidR="00BE6A5C" w:rsidRPr="00BE6A5C" w:rsidTr="005447D3">
        <w:trPr>
          <w:trHeight w:val="1088"/>
        </w:trPr>
        <w:tc>
          <w:tcPr>
            <w:tcW w:w="5397" w:type="dxa"/>
            <w:gridSpan w:val="2"/>
            <w:tcBorders>
              <w:top w:val="single" w:sz="4" w:space="0" w:color="auto"/>
              <w:left w:val="single" w:sz="4" w:space="0" w:color="auto"/>
              <w:bottom w:val="single" w:sz="4" w:space="0" w:color="auto"/>
              <w:right w:val="single" w:sz="4" w:space="0" w:color="auto"/>
            </w:tcBorders>
            <w:hideMark/>
          </w:tcPr>
          <w:p w:rsidR="00BE6A5C" w:rsidRPr="003F02A0" w:rsidRDefault="00BE6A5C">
            <w:pPr>
              <w:spacing w:line="360" w:lineRule="auto"/>
              <w:jc w:val="both"/>
              <w:rPr>
                <w:rFonts w:ascii="Arial" w:hAnsi="Arial" w:cs="Arial"/>
                <w:sz w:val="24"/>
                <w:szCs w:val="24"/>
              </w:rPr>
            </w:pPr>
            <w:r w:rsidRPr="00BE6A5C">
              <w:rPr>
                <w:rFonts w:ascii="Arial" w:hAnsi="Arial" w:cs="Arial"/>
                <w:b/>
                <w:sz w:val="24"/>
                <w:szCs w:val="24"/>
              </w:rPr>
              <w:t>Case Title:</w:t>
            </w:r>
            <w:r w:rsidR="003F02A0">
              <w:rPr>
                <w:rFonts w:ascii="Arial" w:hAnsi="Arial" w:cs="Arial"/>
                <w:b/>
                <w:sz w:val="24"/>
                <w:szCs w:val="24"/>
              </w:rPr>
              <w:t xml:space="preserve"> </w:t>
            </w:r>
            <w:r w:rsidRPr="00BE6A5C">
              <w:rPr>
                <w:rFonts w:ascii="Arial" w:hAnsi="Arial" w:cs="Arial"/>
                <w:i/>
                <w:sz w:val="24"/>
                <w:szCs w:val="24"/>
              </w:rPr>
              <w:t>The State</w:t>
            </w:r>
            <w:r w:rsidR="00737C6B">
              <w:rPr>
                <w:rFonts w:ascii="Arial" w:hAnsi="Arial" w:cs="Arial"/>
                <w:i/>
                <w:sz w:val="24"/>
                <w:szCs w:val="24"/>
              </w:rPr>
              <w:t xml:space="preserve"> v</w:t>
            </w:r>
            <w:r w:rsidR="004D4A28">
              <w:rPr>
                <w:rFonts w:ascii="Arial" w:hAnsi="Arial" w:cs="Arial"/>
                <w:i/>
                <w:sz w:val="24"/>
                <w:szCs w:val="24"/>
              </w:rPr>
              <w:t xml:space="preserve"> </w:t>
            </w:r>
            <w:proofErr w:type="spellStart"/>
            <w:r w:rsidR="00737C6B">
              <w:rPr>
                <w:rFonts w:ascii="Arial" w:hAnsi="Arial" w:cs="Arial"/>
                <w:i/>
                <w:sz w:val="24"/>
                <w:szCs w:val="24"/>
              </w:rPr>
              <w:t>Maurus</w:t>
            </w:r>
            <w:proofErr w:type="spellEnd"/>
            <w:r w:rsidR="00737C6B">
              <w:rPr>
                <w:rFonts w:ascii="Arial" w:hAnsi="Arial" w:cs="Arial"/>
                <w:i/>
                <w:sz w:val="24"/>
                <w:szCs w:val="24"/>
              </w:rPr>
              <w:t xml:space="preserve"> </w:t>
            </w:r>
            <w:proofErr w:type="spellStart"/>
            <w:r w:rsidR="00737C6B">
              <w:rPr>
                <w:rFonts w:ascii="Arial" w:hAnsi="Arial" w:cs="Arial"/>
                <w:i/>
                <w:sz w:val="24"/>
                <w:szCs w:val="24"/>
              </w:rPr>
              <w:t>Valombola</w:t>
            </w:r>
            <w:proofErr w:type="spellEnd"/>
          </w:p>
        </w:tc>
        <w:tc>
          <w:tcPr>
            <w:tcW w:w="4323" w:type="dxa"/>
            <w:tcBorders>
              <w:top w:val="single" w:sz="4" w:space="0" w:color="auto"/>
              <w:left w:val="single" w:sz="4" w:space="0" w:color="auto"/>
              <w:bottom w:val="single" w:sz="4" w:space="0" w:color="auto"/>
              <w:right w:val="single" w:sz="4" w:space="0" w:color="auto"/>
            </w:tcBorders>
            <w:hideMark/>
          </w:tcPr>
          <w:p w:rsidR="00BE6A5C" w:rsidRPr="00BE6A5C" w:rsidRDefault="00BE6A5C">
            <w:pPr>
              <w:spacing w:line="360" w:lineRule="auto"/>
              <w:jc w:val="both"/>
              <w:rPr>
                <w:rFonts w:ascii="Arial" w:hAnsi="Arial" w:cs="Arial"/>
                <w:b/>
                <w:sz w:val="24"/>
                <w:szCs w:val="24"/>
              </w:rPr>
            </w:pPr>
            <w:r w:rsidRPr="00BE6A5C">
              <w:rPr>
                <w:rFonts w:ascii="Arial" w:hAnsi="Arial" w:cs="Arial"/>
                <w:b/>
                <w:sz w:val="24"/>
                <w:szCs w:val="24"/>
              </w:rPr>
              <w:t>Case No:</w:t>
            </w:r>
          </w:p>
          <w:p w:rsidR="00BE6A5C" w:rsidRPr="00BE6A5C" w:rsidRDefault="00F24361" w:rsidP="00BE6A5C">
            <w:pPr>
              <w:spacing w:line="360" w:lineRule="auto"/>
              <w:jc w:val="both"/>
              <w:rPr>
                <w:rFonts w:ascii="Arial" w:hAnsi="Arial" w:cs="Arial"/>
                <w:sz w:val="24"/>
                <w:szCs w:val="24"/>
              </w:rPr>
            </w:pPr>
            <w:r>
              <w:rPr>
                <w:rFonts w:ascii="Arial" w:hAnsi="Arial" w:cs="Arial"/>
                <w:sz w:val="24"/>
                <w:szCs w:val="24"/>
              </w:rPr>
              <w:t>CC 15</w:t>
            </w:r>
            <w:r w:rsidR="00BE6A5C" w:rsidRPr="00BE6A5C">
              <w:rPr>
                <w:rFonts w:ascii="Arial" w:hAnsi="Arial" w:cs="Arial"/>
                <w:sz w:val="24"/>
                <w:szCs w:val="24"/>
              </w:rPr>
              <w:t>/2013</w:t>
            </w:r>
          </w:p>
        </w:tc>
      </w:tr>
      <w:tr w:rsidR="00BE6A5C" w:rsidRPr="00BE6A5C" w:rsidTr="005447D3">
        <w:trPr>
          <w:trHeight w:val="872"/>
        </w:trPr>
        <w:tc>
          <w:tcPr>
            <w:tcW w:w="5397" w:type="dxa"/>
            <w:gridSpan w:val="2"/>
            <w:tcBorders>
              <w:top w:val="single" w:sz="4" w:space="0" w:color="auto"/>
              <w:left w:val="single" w:sz="4" w:space="0" w:color="auto"/>
              <w:bottom w:val="single" w:sz="4" w:space="0" w:color="auto"/>
              <w:right w:val="single" w:sz="4" w:space="0" w:color="auto"/>
            </w:tcBorders>
            <w:hideMark/>
          </w:tcPr>
          <w:p w:rsidR="00BE6A5C" w:rsidRPr="00BE6A5C" w:rsidRDefault="003F02A0">
            <w:pPr>
              <w:spacing w:line="360" w:lineRule="auto"/>
              <w:jc w:val="both"/>
              <w:rPr>
                <w:rFonts w:ascii="Arial" w:hAnsi="Arial" w:cs="Arial"/>
                <w:b/>
                <w:sz w:val="24"/>
                <w:szCs w:val="24"/>
              </w:rPr>
            </w:pPr>
            <w:r>
              <w:rPr>
                <w:rFonts w:ascii="Arial" w:hAnsi="Arial" w:cs="Arial"/>
                <w:b/>
                <w:sz w:val="24"/>
                <w:szCs w:val="24"/>
              </w:rPr>
              <w:t>Ruling on Application for L</w:t>
            </w:r>
            <w:r w:rsidR="00BE6A5C" w:rsidRPr="00BE6A5C">
              <w:rPr>
                <w:rFonts w:ascii="Arial" w:hAnsi="Arial" w:cs="Arial"/>
                <w:b/>
                <w:sz w:val="24"/>
                <w:szCs w:val="24"/>
              </w:rPr>
              <w:t>eave to Appeal</w:t>
            </w:r>
          </w:p>
        </w:tc>
        <w:tc>
          <w:tcPr>
            <w:tcW w:w="4323" w:type="dxa"/>
            <w:tcBorders>
              <w:top w:val="single" w:sz="4" w:space="0" w:color="auto"/>
              <w:left w:val="single" w:sz="4" w:space="0" w:color="auto"/>
              <w:bottom w:val="single" w:sz="4" w:space="0" w:color="auto"/>
              <w:right w:val="single" w:sz="4" w:space="0" w:color="auto"/>
            </w:tcBorders>
            <w:hideMark/>
          </w:tcPr>
          <w:p w:rsidR="00BE6A5C" w:rsidRPr="00BE6A5C" w:rsidRDefault="00BE6A5C">
            <w:pPr>
              <w:spacing w:line="360" w:lineRule="auto"/>
              <w:jc w:val="both"/>
              <w:rPr>
                <w:rFonts w:ascii="Arial" w:hAnsi="Arial" w:cs="Arial"/>
                <w:sz w:val="24"/>
                <w:szCs w:val="24"/>
              </w:rPr>
            </w:pPr>
            <w:r w:rsidRPr="00BE6A5C">
              <w:rPr>
                <w:rFonts w:ascii="Arial" w:hAnsi="Arial" w:cs="Arial"/>
                <w:b/>
                <w:sz w:val="24"/>
                <w:szCs w:val="24"/>
              </w:rPr>
              <w:t>Division of Court:</w:t>
            </w:r>
          </w:p>
          <w:p w:rsidR="00BE6A5C" w:rsidRPr="00BE6A5C" w:rsidRDefault="00BE6A5C">
            <w:pPr>
              <w:spacing w:line="360" w:lineRule="auto"/>
              <w:jc w:val="both"/>
              <w:rPr>
                <w:rFonts w:ascii="Arial" w:hAnsi="Arial" w:cs="Arial"/>
                <w:sz w:val="24"/>
                <w:szCs w:val="24"/>
              </w:rPr>
            </w:pPr>
            <w:r w:rsidRPr="00BE6A5C">
              <w:rPr>
                <w:rFonts w:ascii="Arial" w:hAnsi="Arial" w:cs="Arial"/>
                <w:sz w:val="24"/>
                <w:szCs w:val="24"/>
              </w:rPr>
              <w:t>Northern Local Division</w:t>
            </w:r>
          </w:p>
        </w:tc>
      </w:tr>
      <w:tr w:rsidR="00BE6A5C" w:rsidRPr="00BE6A5C" w:rsidTr="005447D3">
        <w:trPr>
          <w:trHeight w:val="1052"/>
        </w:trPr>
        <w:tc>
          <w:tcPr>
            <w:tcW w:w="5397" w:type="dxa"/>
            <w:gridSpan w:val="2"/>
            <w:tcBorders>
              <w:top w:val="single" w:sz="4" w:space="0" w:color="auto"/>
              <w:left w:val="single" w:sz="4" w:space="0" w:color="auto"/>
              <w:bottom w:val="single" w:sz="4" w:space="0" w:color="auto"/>
              <w:right w:val="single" w:sz="4" w:space="0" w:color="auto"/>
            </w:tcBorders>
            <w:hideMark/>
          </w:tcPr>
          <w:p w:rsidR="00BE6A5C" w:rsidRPr="00BE6A5C" w:rsidRDefault="00BE6A5C">
            <w:pPr>
              <w:spacing w:line="360" w:lineRule="auto"/>
              <w:jc w:val="both"/>
              <w:rPr>
                <w:rFonts w:ascii="Arial" w:hAnsi="Arial" w:cs="Arial"/>
                <w:b/>
                <w:sz w:val="24"/>
                <w:szCs w:val="24"/>
              </w:rPr>
            </w:pPr>
            <w:r w:rsidRPr="00BE6A5C">
              <w:rPr>
                <w:rFonts w:ascii="Arial" w:hAnsi="Arial" w:cs="Arial"/>
                <w:b/>
                <w:sz w:val="24"/>
                <w:szCs w:val="24"/>
              </w:rPr>
              <w:t>Heard before:</w:t>
            </w:r>
          </w:p>
          <w:p w:rsidR="00BE6A5C" w:rsidRPr="00BE6A5C" w:rsidRDefault="009F3CCC" w:rsidP="00BE6A5C">
            <w:pPr>
              <w:spacing w:line="360" w:lineRule="auto"/>
              <w:jc w:val="both"/>
              <w:rPr>
                <w:rFonts w:ascii="Arial" w:hAnsi="Arial" w:cs="Arial"/>
                <w:i/>
                <w:sz w:val="24"/>
                <w:szCs w:val="24"/>
              </w:rPr>
            </w:pPr>
            <w:r>
              <w:rPr>
                <w:rFonts w:ascii="Arial" w:hAnsi="Arial" w:cs="Arial"/>
                <w:sz w:val="24"/>
                <w:szCs w:val="24"/>
              </w:rPr>
              <w:t xml:space="preserve">Honourable </w:t>
            </w:r>
            <w:r w:rsidR="00BE6A5C" w:rsidRPr="00BE6A5C">
              <w:rPr>
                <w:rFonts w:ascii="Arial" w:hAnsi="Arial" w:cs="Arial"/>
                <w:sz w:val="24"/>
                <w:szCs w:val="24"/>
              </w:rPr>
              <w:t>Mr</w:t>
            </w:r>
            <w:r w:rsidR="003F02A0">
              <w:rPr>
                <w:rFonts w:ascii="Arial" w:hAnsi="Arial" w:cs="Arial"/>
                <w:sz w:val="24"/>
                <w:szCs w:val="24"/>
              </w:rPr>
              <w:t>.</w:t>
            </w:r>
            <w:r w:rsidR="00BE6A5C" w:rsidRPr="00BE6A5C">
              <w:rPr>
                <w:rFonts w:ascii="Arial" w:hAnsi="Arial" w:cs="Arial"/>
                <w:sz w:val="24"/>
                <w:szCs w:val="24"/>
              </w:rPr>
              <w:t xml:space="preserve"> Justice January </w:t>
            </w:r>
          </w:p>
        </w:tc>
        <w:tc>
          <w:tcPr>
            <w:tcW w:w="4323" w:type="dxa"/>
            <w:tcBorders>
              <w:top w:val="single" w:sz="4" w:space="0" w:color="auto"/>
              <w:left w:val="single" w:sz="4" w:space="0" w:color="auto"/>
              <w:bottom w:val="single" w:sz="4" w:space="0" w:color="auto"/>
              <w:right w:val="single" w:sz="4" w:space="0" w:color="auto"/>
            </w:tcBorders>
            <w:hideMark/>
          </w:tcPr>
          <w:p w:rsidR="003F02A0" w:rsidRPr="003F02A0" w:rsidRDefault="003F02A0">
            <w:pPr>
              <w:spacing w:line="360" w:lineRule="auto"/>
              <w:jc w:val="both"/>
              <w:rPr>
                <w:rFonts w:ascii="Arial" w:hAnsi="Arial" w:cs="Arial"/>
                <w:sz w:val="24"/>
                <w:szCs w:val="24"/>
              </w:rPr>
            </w:pPr>
            <w:r>
              <w:rPr>
                <w:rFonts w:ascii="Arial" w:hAnsi="Arial" w:cs="Arial"/>
                <w:b/>
                <w:sz w:val="24"/>
                <w:szCs w:val="24"/>
              </w:rPr>
              <w:t xml:space="preserve">Heard on: </w:t>
            </w:r>
            <w:r w:rsidRPr="003F02A0">
              <w:rPr>
                <w:rFonts w:ascii="Arial" w:hAnsi="Arial" w:cs="Arial"/>
                <w:sz w:val="24"/>
                <w:szCs w:val="24"/>
              </w:rPr>
              <w:t>22 June 2020</w:t>
            </w:r>
          </w:p>
          <w:p w:rsidR="00BE6A5C" w:rsidRPr="003F02A0" w:rsidRDefault="003F02A0">
            <w:pPr>
              <w:spacing w:line="360" w:lineRule="auto"/>
              <w:jc w:val="both"/>
              <w:rPr>
                <w:rFonts w:ascii="Arial" w:hAnsi="Arial" w:cs="Arial"/>
                <w:b/>
                <w:sz w:val="24"/>
                <w:szCs w:val="24"/>
              </w:rPr>
            </w:pPr>
            <w:r>
              <w:rPr>
                <w:rFonts w:ascii="Arial" w:hAnsi="Arial" w:cs="Arial"/>
                <w:b/>
                <w:sz w:val="24"/>
                <w:szCs w:val="24"/>
              </w:rPr>
              <w:t xml:space="preserve">Delivered on:  </w:t>
            </w:r>
            <w:r w:rsidR="00BE6A5C" w:rsidRPr="00BE6A5C">
              <w:rPr>
                <w:rFonts w:ascii="Arial" w:hAnsi="Arial" w:cs="Arial"/>
                <w:sz w:val="24"/>
                <w:szCs w:val="24"/>
              </w:rPr>
              <w:t>06 July 2020</w:t>
            </w:r>
          </w:p>
        </w:tc>
      </w:tr>
      <w:tr w:rsidR="00BE6A5C" w:rsidRPr="00BE6A5C" w:rsidTr="005447D3">
        <w:tc>
          <w:tcPr>
            <w:tcW w:w="9720" w:type="dxa"/>
            <w:gridSpan w:val="3"/>
            <w:tcBorders>
              <w:top w:val="single" w:sz="4" w:space="0" w:color="auto"/>
              <w:left w:val="single" w:sz="4" w:space="0" w:color="auto"/>
              <w:bottom w:val="single" w:sz="4" w:space="0" w:color="auto"/>
              <w:right w:val="single" w:sz="4" w:space="0" w:color="auto"/>
            </w:tcBorders>
          </w:tcPr>
          <w:p w:rsidR="00BE6A5C" w:rsidRPr="00BE6A5C" w:rsidRDefault="00BE6A5C">
            <w:pPr>
              <w:spacing w:line="360" w:lineRule="auto"/>
              <w:jc w:val="both"/>
              <w:rPr>
                <w:rFonts w:ascii="Arial" w:hAnsi="Arial" w:cs="Arial"/>
                <w:sz w:val="24"/>
                <w:szCs w:val="24"/>
              </w:rPr>
            </w:pPr>
            <w:r w:rsidRPr="00BE6A5C">
              <w:rPr>
                <w:rFonts w:ascii="Arial" w:hAnsi="Arial" w:cs="Arial"/>
                <w:b/>
                <w:sz w:val="24"/>
                <w:szCs w:val="24"/>
              </w:rPr>
              <w:t xml:space="preserve">Neutral citation: </w:t>
            </w:r>
            <w:r w:rsidRPr="00BE6A5C">
              <w:rPr>
                <w:rFonts w:ascii="Arial" w:hAnsi="Arial" w:cs="Arial"/>
                <w:i/>
                <w:sz w:val="24"/>
                <w:szCs w:val="24"/>
              </w:rPr>
              <w:t xml:space="preserve">S v </w:t>
            </w:r>
            <w:proofErr w:type="spellStart"/>
            <w:r w:rsidRPr="00BE6A5C">
              <w:rPr>
                <w:rFonts w:ascii="Arial" w:hAnsi="Arial" w:cs="Arial"/>
                <w:i/>
                <w:sz w:val="24"/>
                <w:szCs w:val="24"/>
              </w:rPr>
              <w:t>Valombola</w:t>
            </w:r>
            <w:proofErr w:type="spellEnd"/>
            <w:r w:rsidRPr="00BE6A5C">
              <w:rPr>
                <w:rFonts w:ascii="Arial" w:hAnsi="Arial" w:cs="Arial"/>
                <w:i/>
                <w:sz w:val="24"/>
                <w:szCs w:val="24"/>
              </w:rPr>
              <w:t xml:space="preserve"> </w:t>
            </w:r>
            <w:r w:rsidRPr="00BE6A5C">
              <w:rPr>
                <w:rFonts w:ascii="Arial" w:hAnsi="Arial" w:cs="Arial"/>
                <w:sz w:val="24"/>
                <w:szCs w:val="24"/>
              </w:rPr>
              <w:t xml:space="preserve">(CC </w:t>
            </w:r>
            <w:r w:rsidR="003F02A0">
              <w:rPr>
                <w:rFonts w:ascii="Arial" w:hAnsi="Arial" w:cs="Arial"/>
                <w:sz w:val="24"/>
                <w:szCs w:val="24"/>
              </w:rPr>
              <w:t>15</w:t>
            </w:r>
            <w:r w:rsidRPr="00BE6A5C">
              <w:rPr>
                <w:rFonts w:ascii="Arial" w:hAnsi="Arial" w:cs="Arial"/>
                <w:sz w:val="24"/>
                <w:szCs w:val="24"/>
              </w:rPr>
              <w:t>/2013) [2020] NAHC</w:t>
            </w:r>
            <w:r w:rsidR="003F02A0">
              <w:rPr>
                <w:rFonts w:ascii="Arial" w:hAnsi="Arial" w:cs="Arial"/>
                <w:sz w:val="24"/>
                <w:szCs w:val="24"/>
              </w:rPr>
              <w:t>NLD</w:t>
            </w:r>
            <w:r w:rsidRPr="00BE6A5C">
              <w:rPr>
                <w:rFonts w:ascii="Arial" w:hAnsi="Arial" w:cs="Arial"/>
                <w:sz w:val="24"/>
                <w:szCs w:val="24"/>
              </w:rPr>
              <w:t xml:space="preserve"> </w:t>
            </w:r>
            <w:r w:rsidR="009F3CCC">
              <w:rPr>
                <w:rFonts w:ascii="Arial" w:hAnsi="Arial" w:cs="Arial"/>
                <w:sz w:val="24"/>
                <w:szCs w:val="24"/>
              </w:rPr>
              <w:t>83</w:t>
            </w:r>
            <w:r w:rsidR="003F02A0">
              <w:rPr>
                <w:rFonts w:ascii="Arial" w:hAnsi="Arial" w:cs="Arial"/>
                <w:sz w:val="24"/>
                <w:szCs w:val="24"/>
              </w:rPr>
              <w:t xml:space="preserve"> </w:t>
            </w:r>
            <w:r w:rsidR="0089447D">
              <w:rPr>
                <w:rFonts w:ascii="Arial" w:hAnsi="Arial" w:cs="Arial"/>
                <w:sz w:val="24"/>
                <w:szCs w:val="24"/>
              </w:rPr>
              <w:t>(</w:t>
            </w:r>
            <w:r w:rsidRPr="00BE6A5C">
              <w:rPr>
                <w:rFonts w:ascii="Arial" w:hAnsi="Arial" w:cs="Arial"/>
                <w:sz w:val="24"/>
                <w:szCs w:val="24"/>
              </w:rPr>
              <w:t>6 July 2020)</w:t>
            </w:r>
          </w:p>
          <w:p w:rsidR="00BE6A5C" w:rsidRPr="00BE6A5C" w:rsidRDefault="00BE6A5C">
            <w:pPr>
              <w:spacing w:line="360" w:lineRule="auto"/>
              <w:jc w:val="both"/>
              <w:rPr>
                <w:rFonts w:ascii="Arial" w:hAnsi="Arial" w:cs="Arial"/>
                <w:b/>
                <w:sz w:val="24"/>
                <w:szCs w:val="24"/>
              </w:rPr>
            </w:pPr>
          </w:p>
        </w:tc>
      </w:tr>
      <w:tr w:rsidR="00BE6A5C" w:rsidRPr="00BE6A5C" w:rsidTr="005447D3">
        <w:tc>
          <w:tcPr>
            <w:tcW w:w="9720" w:type="dxa"/>
            <w:gridSpan w:val="3"/>
            <w:tcBorders>
              <w:top w:val="single" w:sz="4" w:space="0" w:color="auto"/>
              <w:left w:val="single" w:sz="4" w:space="0" w:color="auto"/>
              <w:bottom w:val="single" w:sz="4" w:space="0" w:color="auto"/>
              <w:right w:val="single" w:sz="4" w:space="0" w:color="auto"/>
            </w:tcBorders>
          </w:tcPr>
          <w:p w:rsidR="00BE6A5C" w:rsidRPr="00BE6A5C" w:rsidRDefault="00BE6A5C">
            <w:pPr>
              <w:spacing w:line="360" w:lineRule="auto"/>
              <w:jc w:val="both"/>
              <w:rPr>
                <w:rFonts w:ascii="Arial" w:hAnsi="Arial" w:cs="Arial"/>
                <w:b/>
                <w:sz w:val="24"/>
                <w:szCs w:val="24"/>
              </w:rPr>
            </w:pPr>
            <w:r w:rsidRPr="00BE6A5C">
              <w:rPr>
                <w:rFonts w:ascii="Arial" w:hAnsi="Arial" w:cs="Arial"/>
                <w:b/>
                <w:sz w:val="24"/>
                <w:szCs w:val="24"/>
              </w:rPr>
              <w:t>The order:</w:t>
            </w:r>
          </w:p>
          <w:p w:rsidR="00E340A8" w:rsidRDefault="00E340A8" w:rsidP="00E340A8">
            <w:pPr>
              <w:pStyle w:val="ListParagraph"/>
              <w:spacing w:line="360" w:lineRule="auto"/>
              <w:ind w:left="540"/>
              <w:jc w:val="both"/>
              <w:rPr>
                <w:rFonts w:ascii="Arial" w:hAnsi="Arial" w:cs="Arial"/>
                <w:color w:val="000000" w:themeColor="text1"/>
                <w:sz w:val="24"/>
                <w:szCs w:val="24"/>
              </w:rPr>
            </w:pPr>
          </w:p>
          <w:p w:rsidR="00E340A8" w:rsidRPr="009F3CCC" w:rsidRDefault="00E340A8" w:rsidP="009F3CCC">
            <w:pPr>
              <w:pStyle w:val="ListParagraph"/>
              <w:numPr>
                <w:ilvl w:val="1"/>
                <w:numId w:val="2"/>
              </w:numPr>
              <w:spacing w:line="360" w:lineRule="auto"/>
              <w:ind w:left="588" w:hanging="568"/>
              <w:jc w:val="both"/>
              <w:rPr>
                <w:rFonts w:ascii="Arial" w:hAnsi="Arial" w:cs="Arial"/>
                <w:sz w:val="24"/>
                <w:szCs w:val="24"/>
              </w:rPr>
            </w:pPr>
            <w:r w:rsidRPr="009F3CCC">
              <w:rPr>
                <w:rFonts w:ascii="Arial" w:hAnsi="Arial" w:cs="Arial"/>
                <w:sz w:val="24"/>
                <w:szCs w:val="24"/>
              </w:rPr>
              <w:t>Condonation for the late filing of the application for leave to appeal and  heads of argument of the respondent is granted;</w:t>
            </w:r>
          </w:p>
          <w:p w:rsidR="00E340A8" w:rsidRDefault="00E340A8" w:rsidP="003F02A0">
            <w:pPr>
              <w:pStyle w:val="ListParagraph"/>
              <w:numPr>
                <w:ilvl w:val="1"/>
                <w:numId w:val="2"/>
              </w:numPr>
              <w:spacing w:line="360" w:lineRule="auto"/>
              <w:ind w:left="588" w:hanging="568"/>
              <w:jc w:val="both"/>
              <w:rPr>
                <w:rFonts w:ascii="Arial" w:hAnsi="Arial" w:cs="Arial"/>
                <w:sz w:val="24"/>
                <w:szCs w:val="24"/>
              </w:rPr>
            </w:pPr>
            <w:r w:rsidRPr="00492E74">
              <w:rPr>
                <w:rFonts w:ascii="Arial" w:hAnsi="Arial" w:cs="Arial"/>
                <w:sz w:val="24"/>
                <w:szCs w:val="24"/>
              </w:rPr>
              <w:t>Leave to appeal against the conviction and sentence for culpable homicide is granted;</w:t>
            </w:r>
          </w:p>
          <w:p w:rsidR="00E340A8" w:rsidRPr="00492E74" w:rsidRDefault="00E340A8" w:rsidP="003F02A0">
            <w:pPr>
              <w:pStyle w:val="ListParagraph"/>
              <w:numPr>
                <w:ilvl w:val="1"/>
                <w:numId w:val="2"/>
              </w:numPr>
              <w:spacing w:line="360" w:lineRule="auto"/>
              <w:ind w:left="588" w:hanging="568"/>
              <w:jc w:val="both"/>
              <w:rPr>
                <w:rFonts w:ascii="Arial" w:hAnsi="Arial" w:cs="Arial"/>
                <w:sz w:val="24"/>
                <w:szCs w:val="24"/>
              </w:rPr>
            </w:pPr>
            <w:r>
              <w:rPr>
                <w:rFonts w:ascii="Arial" w:hAnsi="Arial" w:cs="Arial"/>
                <w:sz w:val="24"/>
                <w:szCs w:val="24"/>
              </w:rPr>
              <w:t xml:space="preserve">Leave to appeal against the acquittal of contravening section 38(1)(o) read with sections 1, 38(2) and 39 of the Arms and Ammunition Act, Act 7 of 1996-discharging a fire arm in or on any public place or public road is refused; </w:t>
            </w:r>
          </w:p>
          <w:p w:rsidR="009F3CCC" w:rsidRDefault="00E340A8" w:rsidP="009F3CCC">
            <w:pPr>
              <w:pStyle w:val="ListParagraph"/>
              <w:numPr>
                <w:ilvl w:val="1"/>
                <w:numId w:val="2"/>
              </w:numPr>
              <w:spacing w:line="360" w:lineRule="auto"/>
              <w:ind w:left="588" w:hanging="568"/>
              <w:jc w:val="both"/>
              <w:rPr>
                <w:rFonts w:ascii="Arial" w:hAnsi="Arial" w:cs="Arial"/>
                <w:sz w:val="24"/>
                <w:szCs w:val="24"/>
              </w:rPr>
            </w:pPr>
            <w:r w:rsidRPr="00492E74">
              <w:rPr>
                <w:rFonts w:ascii="Arial" w:hAnsi="Arial" w:cs="Arial"/>
                <w:sz w:val="24"/>
                <w:szCs w:val="24"/>
              </w:rPr>
              <w:t>Leave to appeal against the conviction of culpable homicide is refused;</w:t>
            </w:r>
          </w:p>
          <w:p w:rsidR="00BE6A5C" w:rsidRPr="009F3CCC" w:rsidRDefault="00E340A8" w:rsidP="009F3CCC">
            <w:pPr>
              <w:pStyle w:val="ListParagraph"/>
              <w:numPr>
                <w:ilvl w:val="1"/>
                <w:numId w:val="2"/>
              </w:numPr>
              <w:spacing w:line="360" w:lineRule="auto"/>
              <w:ind w:left="588" w:hanging="568"/>
              <w:jc w:val="both"/>
              <w:rPr>
                <w:rFonts w:ascii="Arial" w:hAnsi="Arial" w:cs="Arial"/>
                <w:sz w:val="24"/>
                <w:szCs w:val="24"/>
              </w:rPr>
            </w:pPr>
            <w:r w:rsidRPr="009F3CCC">
              <w:rPr>
                <w:rFonts w:ascii="Arial" w:hAnsi="Arial" w:cs="Arial"/>
                <w:sz w:val="24"/>
                <w:szCs w:val="24"/>
              </w:rPr>
              <w:t>Leave to appeal against the order of non- forfeiture of the motor vehicle in question is refused</w:t>
            </w:r>
            <w:r w:rsidR="003F02A0" w:rsidRPr="009F3CCC">
              <w:rPr>
                <w:rFonts w:ascii="Arial" w:hAnsi="Arial" w:cs="Arial"/>
                <w:sz w:val="24"/>
                <w:szCs w:val="24"/>
              </w:rPr>
              <w:t>.</w:t>
            </w:r>
          </w:p>
          <w:p w:rsidR="003F02A0" w:rsidRDefault="003F02A0" w:rsidP="003F02A0">
            <w:pPr>
              <w:spacing w:line="360" w:lineRule="auto"/>
              <w:ind w:left="588" w:hanging="568"/>
              <w:jc w:val="both"/>
              <w:rPr>
                <w:rFonts w:ascii="Arial" w:hAnsi="Arial" w:cs="Arial"/>
                <w:sz w:val="24"/>
                <w:szCs w:val="24"/>
              </w:rPr>
            </w:pPr>
          </w:p>
          <w:p w:rsidR="003F02A0" w:rsidRPr="005B7D80" w:rsidRDefault="003F02A0" w:rsidP="003F02A0">
            <w:pPr>
              <w:spacing w:line="360" w:lineRule="auto"/>
              <w:ind w:left="588" w:hanging="568"/>
              <w:jc w:val="both"/>
              <w:rPr>
                <w:rFonts w:ascii="Arial" w:hAnsi="Arial" w:cs="Arial"/>
                <w:sz w:val="24"/>
                <w:szCs w:val="24"/>
              </w:rPr>
            </w:pPr>
          </w:p>
        </w:tc>
      </w:tr>
      <w:tr w:rsidR="00BE6A5C" w:rsidTr="005447D3">
        <w:tc>
          <w:tcPr>
            <w:tcW w:w="9720" w:type="dxa"/>
            <w:gridSpan w:val="3"/>
            <w:tcBorders>
              <w:top w:val="single" w:sz="4" w:space="0" w:color="auto"/>
              <w:left w:val="single" w:sz="4" w:space="0" w:color="auto"/>
              <w:bottom w:val="single" w:sz="4" w:space="0" w:color="auto"/>
              <w:right w:val="single" w:sz="4" w:space="0" w:color="auto"/>
            </w:tcBorders>
            <w:hideMark/>
          </w:tcPr>
          <w:p w:rsidR="00BE6A5C" w:rsidRPr="003F02A0" w:rsidRDefault="00BE6A5C" w:rsidP="003F02A0">
            <w:pPr>
              <w:spacing w:line="360" w:lineRule="auto"/>
              <w:jc w:val="both"/>
              <w:rPr>
                <w:rFonts w:ascii="Arial" w:hAnsi="Arial" w:cs="Arial"/>
                <w:b/>
                <w:sz w:val="24"/>
                <w:szCs w:val="24"/>
              </w:rPr>
            </w:pPr>
            <w:r w:rsidRPr="003F02A0">
              <w:rPr>
                <w:rFonts w:ascii="Arial" w:hAnsi="Arial" w:cs="Arial"/>
                <w:b/>
                <w:sz w:val="24"/>
                <w:szCs w:val="24"/>
              </w:rPr>
              <w:lastRenderedPageBreak/>
              <w:t xml:space="preserve">Reasons for </w:t>
            </w:r>
            <w:r w:rsidR="003F02A0">
              <w:rPr>
                <w:rFonts w:ascii="Arial" w:hAnsi="Arial" w:cs="Arial"/>
                <w:b/>
                <w:sz w:val="24"/>
                <w:szCs w:val="24"/>
              </w:rPr>
              <w:t>Order</w:t>
            </w:r>
            <w:r w:rsidRPr="003F02A0">
              <w:rPr>
                <w:rFonts w:ascii="Arial" w:hAnsi="Arial" w:cs="Arial"/>
                <w:b/>
                <w:sz w:val="24"/>
                <w:szCs w:val="24"/>
              </w:rPr>
              <w:t>:</w:t>
            </w:r>
          </w:p>
        </w:tc>
      </w:tr>
      <w:tr w:rsidR="00BE6A5C" w:rsidRPr="00E85A5C" w:rsidTr="005447D3">
        <w:tc>
          <w:tcPr>
            <w:tcW w:w="9720" w:type="dxa"/>
            <w:gridSpan w:val="3"/>
            <w:tcBorders>
              <w:top w:val="single" w:sz="4" w:space="0" w:color="auto"/>
              <w:left w:val="single" w:sz="4" w:space="0" w:color="auto"/>
              <w:bottom w:val="single" w:sz="4" w:space="0" w:color="auto"/>
              <w:right w:val="single" w:sz="4" w:space="0" w:color="auto"/>
            </w:tcBorders>
          </w:tcPr>
          <w:p w:rsidR="003F02A0" w:rsidRDefault="00BE6A5C">
            <w:pPr>
              <w:spacing w:line="360" w:lineRule="auto"/>
              <w:jc w:val="both"/>
              <w:rPr>
                <w:rFonts w:ascii="Arial" w:hAnsi="Arial" w:cs="Arial"/>
                <w:color w:val="000000" w:themeColor="text1"/>
                <w:sz w:val="24"/>
                <w:szCs w:val="24"/>
              </w:rPr>
            </w:pPr>
            <w:r w:rsidRPr="003F02A0">
              <w:rPr>
                <w:rFonts w:ascii="Arial" w:hAnsi="Arial" w:cs="Arial"/>
                <w:color w:val="000000" w:themeColor="text1"/>
                <w:sz w:val="24"/>
                <w:szCs w:val="24"/>
              </w:rPr>
              <w:t>JANUARY J</w:t>
            </w:r>
          </w:p>
          <w:p w:rsidR="003F02A0" w:rsidRDefault="003F02A0">
            <w:pPr>
              <w:spacing w:line="360" w:lineRule="auto"/>
              <w:jc w:val="both"/>
              <w:rPr>
                <w:rFonts w:ascii="Arial" w:hAnsi="Arial" w:cs="Arial"/>
                <w:color w:val="000000" w:themeColor="text1"/>
                <w:sz w:val="24"/>
                <w:szCs w:val="24"/>
              </w:rPr>
            </w:pPr>
          </w:p>
          <w:p w:rsidR="005C2A48" w:rsidRPr="003F02A0" w:rsidRDefault="005C2A48">
            <w:pPr>
              <w:spacing w:line="360" w:lineRule="auto"/>
              <w:jc w:val="both"/>
              <w:rPr>
                <w:rFonts w:ascii="Arial" w:hAnsi="Arial" w:cs="Arial"/>
                <w:color w:val="000000" w:themeColor="text1"/>
                <w:sz w:val="24"/>
                <w:szCs w:val="24"/>
              </w:rPr>
            </w:pPr>
            <w:r w:rsidRPr="00E85A5C">
              <w:rPr>
                <w:rFonts w:ascii="Arial" w:hAnsi="Arial" w:cs="Arial"/>
                <w:i/>
                <w:color w:val="000000" w:themeColor="text1"/>
                <w:sz w:val="24"/>
                <w:szCs w:val="24"/>
              </w:rPr>
              <w:t>Introduction.</w:t>
            </w:r>
          </w:p>
          <w:p w:rsidR="00E54F71" w:rsidRPr="003F02A0" w:rsidRDefault="003F02A0" w:rsidP="003F02A0">
            <w:pPr>
              <w:spacing w:line="360" w:lineRule="auto"/>
              <w:ind w:left="588" w:hanging="588"/>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BE6A5C" w:rsidRPr="003F02A0">
              <w:rPr>
                <w:rFonts w:ascii="Arial" w:hAnsi="Arial" w:cs="Arial"/>
                <w:color w:val="000000" w:themeColor="text1"/>
                <w:sz w:val="24"/>
                <w:szCs w:val="24"/>
              </w:rPr>
              <w:t xml:space="preserve">The </w:t>
            </w:r>
            <w:r w:rsidR="00737C6B" w:rsidRPr="003F02A0">
              <w:rPr>
                <w:rFonts w:ascii="Arial" w:hAnsi="Arial" w:cs="Arial"/>
                <w:color w:val="000000" w:themeColor="text1"/>
                <w:sz w:val="24"/>
                <w:szCs w:val="24"/>
              </w:rPr>
              <w:t>respondent</w:t>
            </w:r>
            <w:r w:rsidR="00BE6A5C" w:rsidRPr="003F02A0">
              <w:rPr>
                <w:rFonts w:ascii="Arial" w:hAnsi="Arial" w:cs="Arial"/>
                <w:color w:val="000000" w:themeColor="text1"/>
                <w:sz w:val="24"/>
                <w:szCs w:val="24"/>
              </w:rPr>
              <w:t xml:space="preserve"> in this matter was convicted on </w:t>
            </w:r>
            <w:r w:rsidR="00737C6B" w:rsidRPr="003F02A0">
              <w:rPr>
                <w:rFonts w:ascii="Arial" w:hAnsi="Arial" w:cs="Arial"/>
                <w:color w:val="000000" w:themeColor="text1"/>
                <w:sz w:val="24"/>
                <w:szCs w:val="24"/>
              </w:rPr>
              <w:t>26 March 2020 for Culpable Homicide, a competent verdict on a charge of murder for which he was indicted. He pleaded not guilty. He was acquitted on a charge of contravening section 38(1</w:t>
            </w:r>
            <w:proofErr w:type="gramStart"/>
            <w:r w:rsidR="00737C6B" w:rsidRPr="003F02A0">
              <w:rPr>
                <w:rFonts w:ascii="Arial" w:hAnsi="Arial" w:cs="Arial"/>
                <w:color w:val="000000" w:themeColor="text1"/>
                <w:sz w:val="24"/>
                <w:szCs w:val="24"/>
              </w:rPr>
              <w:t>)(</w:t>
            </w:r>
            <w:proofErr w:type="gramEnd"/>
            <w:r w:rsidR="00737C6B" w:rsidRPr="003F02A0">
              <w:rPr>
                <w:rFonts w:ascii="Arial" w:hAnsi="Arial" w:cs="Arial"/>
                <w:color w:val="000000" w:themeColor="text1"/>
                <w:sz w:val="24"/>
                <w:szCs w:val="24"/>
              </w:rPr>
              <w:t>o) read with sections 1, 38(2) and 39 of the Arms and Ammunition Act, Act 7 of 1996</w:t>
            </w:r>
            <w:r w:rsidR="005C2A48" w:rsidRPr="003F02A0">
              <w:rPr>
                <w:rFonts w:ascii="Arial" w:hAnsi="Arial" w:cs="Arial"/>
                <w:color w:val="000000" w:themeColor="text1"/>
                <w:sz w:val="24"/>
                <w:szCs w:val="24"/>
              </w:rPr>
              <w:t>, discharging a firearm in or on any public place or public road</w:t>
            </w:r>
            <w:r w:rsidR="00BE6A5C" w:rsidRPr="003F02A0">
              <w:rPr>
                <w:rFonts w:ascii="Arial" w:hAnsi="Arial" w:cs="Arial"/>
                <w:color w:val="000000" w:themeColor="text1"/>
                <w:sz w:val="24"/>
                <w:szCs w:val="24"/>
              </w:rPr>
              <w:t xml:space="preserve"> He was thereafter sentenced on </w:t>
            </w:r>
            <w:r w:rsidR="00737C6B" w:rsidRPr="003F02A0">
              <w:rPr>
                <w:rFonts w:ascii="Arial" w:hAnsi="Arial" w:cs="Arial"/>
                <w:color w:val="000000" w:themeColor="text1"/>
                <w:sz w:val="24"/>
                <w:szCs w:val="24"/>
              </w:rPr>
              <w:t>14 June 2020</w:t>
            </w:r>
            <w:r w:rsidR="00BE6A5C" w:rsidRPr="003F02A0">
              <w:rPr>
                <w:rFonts w:ascii="Arial" w:hAnsi="Arial" w:cs="Arial"/>
                <w:color w:val="000000" w:themeColor="text1"/>
                <w:sz w:val="24"/>
                <w:szCs w:val="24"/>
              </w:rPr>
              <w:t xml:space="preserve"> to </w:t>
            </w:r>
            <w:r w:rsidR="00737C6B" w:rsidRPr="003F02A0">
              <w:rPr>
                <w:rFonts w:ascii="Arial" w:hAnsi="Arial" w:cs="Arial"/>
                <w:color w:val="000000" w:themeColor="text1"/>
                <w:sz w:val="24"/>
                <w:szCs w:val="24"/>
              </w:rPr>
              <w:t xml:space="preserve">9 years imprisonment of which 6 years were suspended for 5 years on condition that </w:t>
            </w:r>
            <w:r w:rsidR="005C2A48" w:rsidRPr="003F02A0">
              <w:rPr>
                <w:rFonts w:ascii="Arial" w:hAnsi="Arial" w:cs="Arial"/>
                <w:color w:val="000000" w:themeColor="text1"/>
                <w:sz w:val="24"/>
                <w:szCs w:val="24"/>
              </w:rPr>
              <w:t>that accused is not convicted for culpable homicide committed during the period of suspension.</w:t>
            </w:r>
          </w:p>
          <w:p w:rsidR="003934FB" w:rsidRPr="008E42EC" w:rsidRDefault="003934FB" w:rsidP="003F02A0">
            <w:pPr>
              <w:pStyle w:val="ListParagraph"/>
              <w:spacing w:line="360" w:lineRule="auto"/>
              <w:ind w:left="540" w:hanging="540"/>
              <w:jc w:val="both"/>
              <w:rPr>
                <w:rFonts w:ascii="Arial" w:hAnsi="Arial" w:cs="Arial"/>
                <w:color w:val="000000" w:themeColor="text1"/>
                <w:sz w:val="24"/>
                <w:szCs w:val="24"/>
              </w:rPr>
            </w:pPr>
          </w:p>
          <w:p w:rsidR="00E54F71" w:rsidRDefault="00E54F71" w:rsidP="003F02A0">
            <w:pPr>
              <w:pStyle w:val="ListParagraph"/>
              <w:numPr>
                <w:ilvl w:val="0"/>
                <w:numId w:val="2"/>
              </w:numPr>
              <w:spacing w:line="360" w:lineRule="auto"/>
              <w:ind w:hanging="540"/>
              <w:jc w:val="both"/>
              <w:rPr>
                <w:rFonts w:ascii="Arial" w:hAnsi="Arial" w:cs="Arial"/>
                <w:color w:val="000000" w:themeColor="text1"/>
                <w:sz w:val="24"/>
                <w:szCs w:val="24"/>
              </w:rPr>
            </w:pPr>
            <w:r w:rsidRPr="008E42EC">
              <w:rPr>
                <w:rFonts w:ascii="Arial" w:hAnsi="Arial" w:cs="Arial"/>
                <w:color w:val="000000" w:themeColor="text1"/>
                <w:sz w:val="24"/>
                <w:szCs w:val="24"/>
              </w:rPr>
              <w:t xml:space="preserve">Mr </w:t>
            </w:r>
            <w:proofErr w:type="spellStart"/>
            <w:r w:rsidRPr="008E42EC">
              <w:rPr>
                <w:rFonts w:ascii="Arial" w:hAnsi="Arial" w:cs="Arial"/>
                <w:color w:val="000000" w:themeColor="text1"/>
                <w:sz w:val="24"/>
                <w:szCs w:val="24"/>
              </w:rPr>
              <w:t>Matota</w:t>
            </w:r>
            <w:proofErr w:type="spellEnd"/>
            <w:r w:rsidRPr="008E42EC">
              <w:rPr>
                <w:rFonts w:ascii="Arial" w:hAnsi="Arial" w:cs="Arial"/>
                <w:color w:val="000000" w:themeColor="text1"/>
                <w:sz w:val="24"/>
                <w:szCs w:val="24"/>
              </w:rPr>
              <w:t xml:space="preserve"> is representing the applicant and Mr </w:t>
            </w:r>
            <w:proofErr w:type="spellStart"/>
            <w:r w:rsidRPr="008E42EC">
              <w:rPr>
                <w:rFonts w:ascii="Arial" w:hAnsi="Arial" w:cs="Arial"/>
                <w:color w:val="000000" w:themeColor="text1"/>
                <w:sz w:val="24"/>
                <w:szCs w:val="24"/>
              </w:rPr>
              <w:t>Greyling</w:t>
            </w:r>
            <w:proofErr w:type="spellEnd"/>
            <w:r w:rsidR="003F02A0">
              <w:rPr>
                <w:rFonts w:ascii="Arial" w:hAnsi="Arial" w:cs="Arial"/>
                <w:color w:val="000000" w:themeColor="text1"/>
                <w:sz w:val="24"/>
                <w:szCs w:val="24"/>
              </w:rPr>
              <w:t xml:space="preserve"> is representing</w:t>
            </w:r>
            <w:r w:rsidRPr="008E42EC">
              <w:rPr>
                <w:rFonts w:ascii="Arial" w:hAnsi="Arial" w:cs="Arial"/>
                <w:color w:val="000000" w:themeColor="text1"/>
                <w:sz w:val="24"/>
                <w:szCs w:val="24"/>
              </w:rPr>
              <w:t xml:space="preserve"> the respondent.</w:t>
            </w:r>
          </w:p>
          <w:p w:rsidR="00F24361" w:rsidRPr="008E42EC" w:rsidRDefault="00F24361" w:rsidP="003F02A0">
            <w:pPr>
              <w:pStyle w:val="ListParagraph"/>
              <w:spacing w:line="360" w:lineRule="auto"/>
              <w:ind w:left="540" w:hanging="540"/>
              <w:jc w:val="both"/>
              <w:rPr>
                <w:rFonts w:ascii="Arial" w:hAnsi="Arial" w:cs="Arial"/>
                <w:color w:val="000000" w:themeColor="text1"/>
                <w:sz w:val="24"/>
                <w:szCs w:val="24"/>
              </w:rPr>
            </w:pPr>
          </w:p>
          <w:p w:rsidR="00BE6A5C" w:rsidRPr="008E42EC" w:rsidRDefault="005C2A48" w:rsidP="003F02A0">
            <w:pPr>
              <w:pStyle w:val="ListParagraph"/>
              <w:numPr>
                <w:ilvl w:val="0"/>
                <w:numId w:val="2"/>
              </w:numPr>
              <w:spacing w:line="360" w:lineRule="auto"/>
              <w:ind w:hanging="540"/>
              <w:jc w:val="both"/>
              <w:rPr>
                <w:rFonts w:ascii="Arial" w:hAnsi="Arial" w:cs="Arial"/>
                <w:color w:val="000000" w:themeColor="text1"/>
                <w:sz w:val="24"/>
                <w:szCs w:val="24"/>
              </w:rPr>
            </w:pPr>
            <w:r w:rsidRPr="008E42EC">
              <w:rPr>
                <w:rFonts w:ascii="Arial" w:hAnsi="Arial" w:cs="Arial"/>
                <w:color w:val="000000" w:themeColor="text1"/>
                <w:sz w:val="24"/>
                <w:szCs w:val="24"/>
              </w:rPr>
              <w:t>The applicant filed an application for leave to appeal against the acquittal on the charge of murder and a charge of contravening section 38(1)(o) read with sections 1, 38(2) and 39 of the Arms and Ammunition Act, Act 7 of 1996, discharging a firearm in or on any public place or public road. An application for leave to appeal is also filed against the sentence</w:t>
            </w:r>
            <w:r w:rsidR="00E54F71" w:rsidRPr="008E42EC">
              <w:rPr>
                <w:rFonts w:ascii="Arial" w:hAnsi="Arial" w:cs="Arial"/>
                <w:color w:val="000000" w:themeColor="text1"/>
                <w:sz w:val="24"/>
                <w:szCs w:val="24"/>
              </w:rPr>
              <w:t xml:space="preserve"> and an order that a motor vehicle which is the instrumentality of the crime should not be forfeited to the State.</w:t>
            </w:r>
          </w:p>
          <w:p w:rsidR="00E54F71" w:rsidRPr="00E85A5C" w:rsidRDefault="00E54F71" w:rsidP="003F02A0">
            <w:pPr>
              <w:pStyle w:val="ListParagraph"/>
              <w:spacing w:line="360" w:lineRule="auto"/>
              <w:ind w:left="540" w:hanging="540"/>
              <w:jc w:val="both"/>
              <w:rPr>
                <w:rFonts w:ascii="Arial" w:hAnsi="Arial" w:cs="Arial"/>
                <w:i/>
                <w:color w:val="000000" w:themeColor="text1"/>
                <w:sz w:val="24"/>
                <w:szCs w:val="24"/>
              </w:rPr>
            </w:pPr>
          </w:p>
          <w:p w:rsidR="00BE6A5C" w:rsidRPr="008E42EC" w:rsidRDefault="00C5120B" w:rsidP="003F02A0">
            <w:pPr>
              <w:pStyle w:val="ListParagraph"/>
              <w:numPr>
                <w:ilvl w:val="0"/>
                <w:numId w:val="2"/>
              </w:numPr>
              <w:spacing w:line="360" w:lineRule="auto"/>
              <w:ind w:hanging="540"/>
              <w:jc w:val="both"/>
              <w:rPr>
                <w:rFonts w:ascii="Arial" w:hAnsi="Arial" w:cs="Arial"/>
                <w:color w:val="000000" w:themeColor="text1"/>
                <w:sz w:val="24"/>
                <w:szCs w:val="24"/>
              </w:rPr>
            </w:pPr>
            <w:r w:rsidRPr="008E42EC">
              <w:rPr>
                <w:rFonts w:ascii="Arial" w:hAnsi="Arial" w:cs="Arial"/>
                <w:color w:val="000000" w:themeColor="text1"/>
                <w:sz w:val="24"/>
                <w:szCs w:val="24"/>
              </w:rPr>
              <w:t>The respondent filed a cross- application for leave to appeal against the conviction for culpable homicide</w:t>
            </w:r>
            <w:r w:rsidR="00E54F71" w:rsidRPr="008E42EC">
              <w:rPr>
                <w:rFonts w:ascii="Arial" w:hAnsi="Arial" w:cs="Arial"/>
                <w:color w:val="000000" w:themeColor="text1"/>
                <w:sz w:val="24"/>
                <w:szCs w:val="24"/>
              </w:rPr>
              <w:t xml:space="preserve"> and opposed the application for leave to appeal against the order of non-forfeiture</w:t>
            </w:r>
            <w:r w:rsidRPr="008E42EC">
              <w:rPr>
                <w:rFonts w:ascii="Arial" w:hAnsi="Arial" w:cs="Arial"/>
                <w:color w:val="000000" w:themeColor="text1"/>
                <w:sz w:val="24"/>
                <w:szCs w:val="24"/>
              </w:rPr>
              <w:t>.</w:t>
            </w:r>
          </w:p>
          <w:p w:rsidR="003E6288" w:rsidRPr="00E85A5C" w:rsidRDefault="003E6288" w:rsidP="003F02A0">
            <w:pPr>
              <w:pStyle w:val="ListParagraph"/>
              <w:spacing w:line="360" w:lineRule="auto"/>
              <w:ind w:left="540" w:hanging="540"/>
              <w:jc w:val="both"/>
              <w:rPr>
                <w:rFonts w:ascii="Arial" w:hAnsi="Arial" w:cs="Arial"/>
                <w:i/>
                <w:color w:val="000000" w:themeColor="text1"/>
                <w:sz w:val="24"/>
                <w:szCs w:val="24"/>
              </w:rPr>
            </w:pPr>
          </w:p>
          <w:p w:rsidR="003E6288" w:rsidRPr="00E85A5C" w:rsidRDefault="003E6288" w:rsidP="003F02A0">
            <w:pPr>
              <w:pStyle w:val="ListParagraph"/>
              <w:spacing w:line="360" w:lineRule="auto"/>
              <w:ind w:left="540" w:hanging="540"/>
              <w:jc w:val="both"/>
              <w:rPr>
                <w:rFonts w:ascii="Arial" w:hAnsi="Arial" w:cs="Arial"/>
                <w:i/>
                <w:color w:val="000000" w:themeColor="text1"/>
                <w:sz w:val="24"/>
                <w:szCs w:val="24"/>
              </w:rPr>
            </w:pPr>
            <w:r w:rsidRPr="00E85A5C">
              <w:rPr>
                <w:rFonts w:ascii="Arial" w:hAnsi="Arial" w:cs="Arial"/>
                <w:i/>
                <w:color w:val="000000" w:themeColor="text1"/>
                <w:sz w:val="24"/>
                <w:szCs w:val="24"/>
              </w:rPr>
              <w:t>The</w:t>
            </w:r>
            <w:r w:rsidR="008E42EC">
              <w:rPr>
                <w:rFonts w:ascii="Arial" w:hAnsi="Arial" w:cs="Arial"/>
                <w:i/>
                <w:color w:val="000000" w:themeColor="text1"/>
                <w:sz w:val="24"/>
                <w:szCs w:val="24"/>
              </w:rPr>
              <w:t xml:space="preserve"> applicant’s</w:t>
            </w:r>
            <w:r w:rsidRPr="00E85A5C">
              <w:rPr>
                <w:rFonts w:ascii="Arial" w:hAnsi="Arial" w:cs="Arial"/>
                <w:i/>
                <w:color w:val="000000" w:themeColor="text1"/>
                <w:sz w:val="24"/>
                <w:szCs w:val="24"/>
              </w:rPr>
              <w:t xml:space="preserve"> grounds </w:t>
            </w:r>
          </w:p>
          <w:p w:rsidR="001B6593" w:rsidRPr="00E85A5C" w:rsidRDefault="001B6593" w:rsidP="003F02A0">
            <w:pPr>
              <w:pStyle w:val="ListParagraph"/>
              <w:spacing w:line="360" w:lineRule="auto"/>
              <w:ind w:left="540" w:hanging="540"/>
              <w:jc w:val="both"/>
              <w:rPr>
                <w:rFonts w:ascii="Arial" w:hAnsi="Arial" w:cs="Arial"/>
                <w:i/>
                <w:color w:val="000000" w:themeColor="text1"/>
                <w:sz w:val="24"/>
                <w:szCs w:val="24"/>
              </w:rPr>
            </w:pPr>
            <w:r w:rsidRPr="00E85A5C">
              <w:rPr>
                <w:rFonts w:ascii="Arial" w:hAnsi="Arial" w:cs="Arial"/>
                <w:i/>
                <w:color w:val="000000" w:themeColor="text1"/>
                <w:sz w:val="24"/>
                <w:szCs w:val="24"/>
              </w:rPr>
              <w:t>Murder</w:t>
            </w:r>
          </w:p>
          <w:p w:rsidR="001B6593" w:rsidRPr="008E42EC" w:rsidRDefault="003E6288" w:rsidP="003F02A0">
            <w:pPr>
              <w:pStyle w:val="ListParagraph"/>
              <w:numPr>
                <w:ilvl w:val="0"/>
                <w:numId w:val="2"/>
              </w:numPr>
              <w:spacing w:line="360" w:lineRule="auto"/>
              <w:ind w:hanging="540"/>
              <w:jc w:val="both"/>
              <w:rPr>
                <w:rFonts w:ascii="Arial" w:hAnsi="Arial" w:cs="Arial"/>
                <w:color w:val="000000" w:themeColor="text1"/>
                <w:sz w:val="24"/>
                <w:szCs w:val="24"/>
              </w:rPr>
            </w:pPr>
            <w:r w:rsidRPr="008E42EC">
              <w:rPr>
                <w:rFonts w:ascii="Arial" w:hAnsi="Arial" w:cs="Arial"/>
                <w:color w:val="000000" w:themeColor="text1"/>
                <w:sz w:val="24"/>
                <w:szCs w:val="24"/>
              </w:rPr>
              <w:lastRenderedPageBreak/>
              <w:t>The applicant submitted that the court erred in law by finding: that there is no direct evidence</w:t>
            </w:r>
            <w:r w:rsidR="00F24361">
              <w:rPr>
                <w:rFonts w:ascii="Arial" w:hAnsi="Arial" w:cs="Arial"/>
                <w:color w:val="000000" w:themeColor="text1"/>
                <w:sz w:val="24"/>
                <w:szCs w:val="24"/>
              </w:rPr>
              <w:t xml:space="preserve"> o</w:t>
            </w:r>
            <w:r w:rsidRPr="008E42EC">
              <w:rPr>
                <w:rFonts w:ascii="Arial" w:hAnsi="Arial" w:cs="Arial"/>
                <w:color w:val="000000" w:themeColor="text1"/>
                <w:sz w:val="24"/>
                <w:szCs w:val="24"/>
              </w:rPr>
              <w:t>f the intention to kill; that the court had doubt that the accused intended to kill as he was in possession of a pistol</w:t>
            </w:r>
            <w:r w:rsidR="001B6593" w:rsidRPr="008E42EC">
              <w:rPr>
                <w:rFonts w:ascii="Arial" w:hAnsi="Arial" w:cs="Arial"/>
                <w:color w:val="000000" w:themeColor="text1"/>
                <w:sz w:val="24"/>
                <w:szCs w:val="24"/>
              </w:rPr>
              <w:t>, could have shot the deceased</w:t>
            </w:r>
            <w:r w:rsidRPr="008E42EC">
              <w:rPr>
                <w:rFonts w:ascii="Arial" w:hAnsi="Arial" w:cs="Arial"/>
                <w:color w:val="000000" w:themeColor="text1"/>
                <w:sz w:val="24"/>
                <w:szCs w:val="24"/>
              </w:rPr>
              <w:t xml:space="preserve"> and could have driven over the deceased if he intended to kill;</w:t>
            </w:r>
            <w:r w:rsidR="001B6593" w:rsidRPr="008E42EC">
              <w:rPr>
                <w:rFonts w:ascii="Arial" w:hAnsi="Arial" w:cs="Arial"/>
                <w:color w:val="000000" w:themeColor="text1"/>
                <w:sz w:val="24"/>
                <w:szCs w:val="24"/>
              </w:rPr>
              <w:t xml:space="preserve"> not finding that the accused subjectively considered that death is a possible consequence but recklessly acted; the court erred in law and/or on facts by not attaching more weight to the medical evidence of witnesses as relevant factors in determining that the accused had the requisite intention in the form of </w:t>
            </w:r>
            <w:proofErr w:type="spellStart"/>
            <w:r w:rsidR="001B6593" w:rsidRPr="00F24361">
              <w:rPr>
                <w:rFonts w:ascii="Arial" w:hAnsi="Arial" w:cs="Arial"/>
                <w:i/>
                <w:color w:val="000000" w:themeColor="text1"/>
                <w:sz w:val="24"/>
                <w:szCs w:val="24"/>
              </w:rPr>
              <w:t>dolus</w:t>
            </w:r>
            <w:proofErr w:type="spellEnd"/>
            <w:r w:rsidR="001B6593" w:rsidRPr="00F24361">
              <w:rPr>
                <w:rFonts w:ascii="Arial" w:hAnsi="Arial" w:cs="Arial"/>
                <w:i/>
                <w:color w:val="000000" w:themeColor="text1"/>
                <w:sz w:val="24"/>
                <w:szCs w:val="24"/>
              </w:rPr>
              <w:t xml:space="preserve"> </w:t>
            </w:r>
            <w:proofErr w:type="spellStart"/>
            <w:r w:rsidR="001B6593" w:rsidRPr="00F24361">
              <w:rPr>
                <w:rFonts w:ascii="Arial" w:hAnsi="Arial" w:cs="Arial"/>
                <w:i/>
                <w:color w:val="000000" w:themeColor="text1"/>
                <w:sz w:val="24"/>
                <w:szCs w:val="24"/>
              </w:rPr>
              <w:t>eventualis</w:t>
            </w:r>
            <w:proofErr w:type="spellEnd"/>
            <w:r w:rsidR="001B6593" w:rsidRPr="008E42EC">
              <w:rPr>
                <w:rFonts w:ascii="Arial" w:hAnsi="Arial" w:cs="Arial"/>
                <w:color w:val="000000" w:themeColor="text1"/>
                <w:sz w:val="24"/>
                <w:szCs w:val="24"/>
              </w:rPr>
              <w:t xml:space="preserve"> to kill the deceased.</w:t>
            </w:r>
          </w:p>
          <w:p w:rsidR="001B6593" w:rsidRPr="00E85A5C" w:rsidRDefault="001B6593" w:rsidP="003F02A0">
            <w:pPr>
              <w:pStyle w:val="ListParagraph"/>
              <w:spacing w:line="360" w:lineRule="auto"/>
              <w:ind w:left="540" w:hanging="540"/>
              <w:jc w:val="both"/>
              <w:rPr>
                <w:rFonts w:ascii="Arial" w:hAnsi="Arial" w:cs="Arial"/>
                <w:i/>
                <w:color w:val="000000" w:themeColor="text1"/>
                <w:sz w:val="24"/>
                <w:szCs w:val="24"/>
              </w:rPr>
            </w:pPr>
          </w:p>
          <w:p w:rsidR="001B6593" w:rsidRPr="00E85A5C" w:rsidRDefault="001B6593" w:rsidP="003F02A0">
            <w:pPr>
              <w:pStyle w:val="ListParagraph"/>
              <w:spacing w:line="360" w:lineRule="auto"/>
              <w:ind w:left="540" w:hanging="540"/>
              <w:jc w:val="both"/>
              <w:rPr>
                <w:rFonts w:ascii="Arial" w:hAnsi="Arial" w:cs="Arial"/>
                <w:i/>
                <w:color w:val="000000" w:themeColor="text1"/>
                <w:sz w:val="24"/>
                <w:szCs w:val="24"/>
              </w:rPr>
            </w:pPr>
            <w:r w:rsidRPr="00E85A5C">
              <w:rPr>
                <w:rFonts w:ascii="Arial" w:hAnsi="Arial" w:cs="Arial"/>
                <w:i/>
                <w:color w:val="000000" w:themeColor="text1"/>
                <w:sz w:val="24"/>
                <w:szCs w:val="24"/>
              </w:rPr>
              <w:t>Discharging a fire arm in a public place or on a public road</w:t>
            </w:r>
          </w:p>
          <w:p w:rsidR="001E6EDA" w:rsidRDefault="009025F7" w:rsidP="003F02A0">
            <w:pPr>
              <w:pStyle w:val="ListParagraph"/>
              <w:numPr>
                <w:ilvl w:val="0"/>
                <w:numId w:val="2"/>
              </w:numPr>
              <w:spacing w:line="360" w:lineRule="auto"/>
              <w:ind w:hanging="540"/>
              <w:jc w:val="both"/>
              <w:rPr>
                <w:rFonts w:ascii="Arial" w:hAnsi="Arial" w:cs="Arial"/>
                <w:i/>
                <w:color w:val="000000" w:themeColor="text1"/>
                <w:sz w:val="24"/>
                <w:szCs w:val="24"/>
              </w:rPr>
            </w:pPr>
            <w:r w:rsidRPr="008E42EC">
              <w:rPr>
                <w:rFonts w:ascii="Arial" w:hAnsi="Arial" w:cs="Arial"/>
                <w:color w:val="000000" w:themeColor="text1"/>
                <w:sz w:val="24"/>
                <w:szCs w:val="24"/>
              </w:rPr>
              <w:t>The court erred in law and on facts by finding</w:t>
            </w:r>
            <w:r w:rsidR="001A5E37" w:rsidRPr="008E42EC">
              <w:rPr>
                <w:rFonts w:ascii="Arial" w:hAnsi="Arial" w:cs="Arial"/>
                <w:color w:val="000000" w:themeColor="text1"/>
                <w:sz w:val="24"/>
                <w:szCs w:val="24"/>
              </w:rPr>
              <w:t>;</w:t>
            </w:r>
            <w:r w:rsidRPr="008E42EC">
              <w:rPr>
                <w:rFonts w:ascii="Arial" w:hAnsi="Arial" w:cs="Arial"/>
                <w:color w:val="000000" w:themeColor="text1"/>
                <w:sz w:val="24"/>
                <w:szCs w:val="24"/>
              </w:rPr>
              <w:t xml:space="preserve"> that the accused </w:t>
            </w:r>
            <w:r w:rsidR="001A5E37" w:rsidRPr="008E42EC">
              <w:rPr>
                <w:rFonts w:ascii="Arial" w:hAnsi="Arial" w:cs="Arial"/>
                <w:color w:val="000000" w:themeColor="text1"/>
                <w:sz w:val="24"/>
                <w:szCs w:val="24"/>
              </w:rPr>
              <w:t>fired the shot in private defence; that the deceased was armed, was the aggressor and assaulted the deceased; that the accused did harvest the belief and foresaw that he was acting within the boundaries of self-</w:t>
            </w:r>
            <w:r w:rsidR="001E6EDA" w:rsidRPr="008E42EC">
              <w:rPr>
                <w:rFonts w:ascii="Arial" w:hAnsi="Arial" w:cs="Arial"/>
                <w:color w:val="000000" w:themeColor="text1"/>
                <w:sz w:val="24"/>
                <w:szCs w:val="24"/>
              </w:rPr>
              <w:t>def</w:t>
            </w:r>
            <w:r w:rsidR="001A5E37" w:rsidRPr="008E42EC">
              <w:rPr>
                <w:rFonts w:ascii="Arial" w:hAnsi="Arial" w:cs="Arial"/>
                <w:color w:val="000000" w:themeColor="text1"/>
                <w:sz w:val="24"/>
                <w:szCs w:val="24"/>
              </w:rPr>
              <w:t>ence;</w:t>
            </w:r>
            <w:r w:rsidR="001E6EDA" w:rsidRPr="008E42EC">
              <w:rPr>
                <w:rFonts w:ascii="Arial" w:hAnsi="Arial" w:cs="Arial"/>
                <w:color w:val="000000" w:themeColor="text1"/>
                <w:sz w:val="24"/>
                <w:szCs w:val="24"/>
              </w:rPr>
              <w:t xml:space="preserve"> alternatively that the accused acted in self-defence without any requirements of self-defence outlined in the case of</w:t>
            </w:r>
            <w:r w:rsidR="001E6EDA" w:rsidRPr="00E85A5C">
              <w:rPr>
                <w:rFonts w:ascii="Arial" w:hAnsi="Arial" w:cs="Arial"/>
                <w:i/>
                <w:color w:val="000000" w:themeColor="text1"/>
                <w:sz w:val="24"/>
                <w:szCs w:val="24"/>
              </w:rPr>
              <w:t xml:space="preserve"> S v Lukas 2014 (2) NR 374 (HC) at 374.</w:t>
            </w:r>
          </w:p>
          <w:p w:rsidR="00F24361" w:rsidRPr="00E85A5C" w:rsidRDefault="00F24361" w:rsidP="003F02A0">
            <w:pPr>
              <w:pStyle w:val="ListParagraph"/>
              <w:spacing w:line="360" w:lineRule="auto"/>
              <w:ind w:left="540" w:hanging="540"/>
              <w:jc w:val="both"/>
              <w:rPr>
                <w:rFonts w:ascii="Arial" w:hAnsi="Arial" w:cs="Arial"/>
                <w:i/>
                <w:color w:val="000000" w:themeColor="text1"/>
                <w:sz w:val="24"/>
                <w:szCs w:val="24"/>
              </w:rPr>
            </w:pPr>
          </w:p>
          <w:p w:rsidR="001E6EDA" w:rsidRPr="00E85A5C" w:rsidRDefault="001E6EDA" w:rsidP="003F02A0">
            <w:pPr>
              <w:pStyle w:val="ListParagraph"/>
              <w:spacing w:line="360" w:lineRule="auto"/>
              <w:ind w:left="540" w:hanging="540"/>
              <w:jc w:val="both"/>
              <w:rPr>
                <w:rFonts w:ascii="Arial" w:hAnsi="Arial" w:cs="Arial"/>
                <w:i/>
                <w:color w:val="000000" w:themeColor="text1"/>
                <w:sz w:val="24"/>
                <w:szCs w:val="24"/>
              </w:rPr>
            </w:pPr>
            <w:r w:rsidRPr="00E85A5C">
              <w:rPr>
                <w:rFonts w:ascii="Arial" w:hAnsi="Arial" w:cs="Arial"/>
                <w:i/>
                <w:color w:val="000000" w:themeColor="text1"/>
                <w:sz w:val="24"/>
                <w:szCs w:val="24"/>
              </w:rPr>
              <w:t>Ad sentence</w:t>
            </w:r>
          </w:p>
          <w:p w:rsidR="00E85A5C" w:rsidRPr="008E42EC" w:rsidRDefault="001E6EDA" w:rsidP="003F02A0">
            <w:pPr>
              <w:pStyle w:val="ListParagraph"/>
              <w:numPr>
                <w:ilvl w:val="0"/>
                <w:numId w:val="2"/>
              </w:numPr>
              <w:spacing w:line="360" w:lineRule="auto"/>
              <w:ind w:hanging="540"/>
              <w:jc w:val="both"/>
              <w:rPr>
                <w:rFonts w:ascii="Arial" w:hAnsi="Arial" w:cs="Arial"/>
                <w:color w:val="000000" w:themeColor="text1"/>
                <w:sz w:val="24"/>
                <w:szCs w:val="24"/>
              </w:rPr>
            </w:pPr>
            <w:r w:rsidRPr="008E42EC">
              <w:rPr>
                <w:rFonts w:ascii="Arial" w:hAnsi="Arial" w:cs="Arial"/>
                <w:color w:val="000000" w:themeColor="text1"/>
                <w:sz w:val="24"/>
                <w:szCs w:val="24"/>
              </w:rPr>
              <w:t>It is submitted that the court erred by imposing a sentence</w:t>
            </w:r>
            <w:r w:rsidR="00E85A5C" w:rsidRPr="008E42EC">
              <w:rPr>
                <w:rFonts w:ascii="Arial" w:hAnsi="Arial" w:cs="Arial"/>
                <w:color w:val="000000" w:themeColor="text1"/>
                <w:sz w:val="24"/>
                <w:szCs w:val="24"/>
              </w:rPr>
              <w:t xml:space="preserve"> that is shockingly lenient by; overemphasizing the time of pre-trial incarceration of the accused; failing to consider that respondent was convicted of a crime of violence and that the court should attach more weight to the deterrent aim of punishment; failing to attach more weight to the fact that respondent showed no remorse; failing to adequately consider that the respondent</w:t>
            </w:r>
            <w:r w:rsidR="003934FB">
              <w:rPr>
                <w:rFonts w:ascii="Arial" w:hAnsi="Arial" w:cs="Arial"/>
                <w:color w:val="000000" w:themeColor="text1"/>
                <w:sz w:val="24"/>
                <w:szCs w:val="24"/>
              </w:rPr>
              <w:t xml:space="preserve"> is</w:t>
            </w:r>
            <w:r w:rsidR="00E85A5C" w:rsidRPr="008E42EC">
              <w:rPr>
                <w:rFonts w:ascii="Arial" w:hAnsi="Arial" w:cs="Arial"/>
                <w:color w:val="000000" w:themeColor="text1"/>
                <w:sz w:val="24"/>
                <w:szCs w:val="24"/>
              </w:rPr>
              <w:t xml:space="preserve"> a repeat offender for a crime of violence; failing to find that the aggravating factors outweighs the personal circumstances.</w:t>
            </w:r>
          </w:p>
          <w:p w:rsidR="00E85A5C" w:rsidRPr="008E42EC" w:rsidRDefault="00E85A5C" w:rsidP="003F02A0">
            <w:pPr>
              <w:pStyle w:val="ListParagraph"/>
              <w:spacing w:line="360" w:lineRule="auto"/>
              <w:ind w:left="540" w:hanging="540"/>
              <w:jc w:val="both"/>
              <w:rPr>
                <w:rFonts w:ascii="Arial" w:hAnsi="Arial" w:cs="Arial"/>
                <w:color w:val="000000" w:themeColor="text1"/>
                <w:sz w:val="24"/>
                <w:szCs w:val="24"/>
              </w:rPr>
            </w:pPr>
          </w:p>
          <w:p w:rsidR="00E85A5C" w:rsidRPr="003F02A0" w:rsidRDefault="00E85A5C" w:rsidP="003F02A0">
            <w:pPr>
              <w:pStyle w:val="ListParagraph"/>
              <w:spacing w:line="360" w:lineRule="auto"/>
              <w:ind w:left="540" w:hanging="540"/>
              <w:jc w:val="both"/>
              <w:rPr>
                <w:rFonts w:ascii="Arial" w:hAnsi="Arial" w:cs="Arial"/>
                <w:i/>
                <w:color w:val="000000" w:themeColor="text1"/>
                <w:sz w:val="24"/>
                <w:szCs w:val="24"/>
              </w:rPr>
            </w:pPr>
            <w:proofErr w:type="spellStart"/>
            <w:r w:rsidRPr="003F02A0">
              <w:rPr>
                <w:rFonts w:ascii="Arial" w:hAnsi="Arial" w:cs="Arial"/>
                <w:i/>
                <w:color w:val="000000" w:themeColor="text1"/>
                <w:sz w:val="24"/>
                <w:szCs w:val="24"/>
              </w:rPr>
              <w:t>Ad</w:t>
            </w:r>
            <w:proofErr w:type="spellEnd"/>
            <w:r w:rsidRPr="003F02A0">
              <w:rPr>
                <w:rFonts w:ascii="Arial" w:hAnsi="Arial" w:cs="Arial"/>
                <w:i/>
                <w:color w:val="000000" w:themeColor="text1"/>
                <w:sz w:val="24"/>
                <w:szCs w:val="24"/>
              </w:rPr>
              <w:t xml:space="preserve"> the order in terms of section 34(1)(b) of the CPA</w:t>
            </w:r>
          </w:p>
          <w:p w:rsidR="00E85A5C" w:rsidRDefault="00E85A5C" w:rsidP="003F02A0">
            <w:pPr>
              <w:pStyle w:val="ListParagraph"/>
              <w:numPr>
                <w:ilvl w:val="0"/>
                <w:numId w:val="2"/>
              </w:numPr>
              <w:spacing w:line="360" w:lineRule="auto"/>
              <w:ind w:hanging="540"/>
              <w:jc w:val="both"/>
              <w:rPr>
                <w:rFonts w:ascii="Arial" w:hAnsi="Arial" w:cs="Arial"/>
                <w:color w:val="000000" w:themeColor="text1"/>
                <w:sz w:val="24"/>
                <w:szCs w:val="24"/>
              </w:rPr>
            </w:pPr>
            <w:r w:rsidRPr="008E42EC">
              <w:rPr>
                <w:rFonts w:ascii="Arial" w:hAnsi="Arial" w:cs="Arial"/>
                <w:color w:val="000000" w:themeColor="text1"/>
                <w:sz w:val="24"/>
                <w:szCs w:val="24"/>
              </w:rPr>
              <w:t>Applicant submits that the court erred in law</w:t>
            </w:r>
            <w:r w:rsidR="008E42EC" w:rsidRPr="008E42EC">
              <w:rPr>
                <w:rFonts w:ascii="Arial" w:hAnsi="Arial" w:cs="Arial"/>
                <w:color w:val="000000" w:themeColor="text1"/>
                <w:sz w:val="24"/>
                <w:szCs w:val="24"/>
              </w:rPr>
              <w:t>;</w:t>
            </w:r>
            <w:r w:rsidRPr="008E42EC">
              <w:rPr>
                <w:rFonts w:ascii="Arial" w:hAnsi="Arial" w:cs="Arial"/>
                <w:color w:val="000000" w:themeColor="text1"/>
                <w:sz w:val="24"/>
                <w:szCs w:val="24"/>
              </w:rPr>
              <w:t xml:space="preserve"> in making an order that</w:t>
            </w:r>
            <w:r w:rsidR="008E42EC" w:rsidRPr="008E42EC">
              <w:rPr>
                <w:rFonts w:ascii="Arial" w:hAnsi="Arial" w:cs="Arial"/>
                <w:color w:val="000000" w:themeColor="text1"/>
                <w:sz w:val="24"/>
                <w:szCs w:val="24"/>
              </w:rPr>
              <w:t xml:space="preserve"> the motor vehicle must be returned to the lawful owner; failing to forfeit the said motor vehicle to the State.</w:t>
            </w:r>
          </w:p>
          <w:p w:rsidR="00E7423C" w:rsidRDefault="00E7423C" w:rsidP="003F02A0">
            <w:pPr>
              <w:pStyle w:val="ListParagraph"/>
              <w:spacing w:line="360" w:lineRule="auto"/>
              <w:ind w:left="540" w:hanging="540"/>
              <w:jc w:val="both"/>
              <w:rPr>
                <w:rFonts w:ascii="Arial" w:hAnsi="Arial" w:cs="Arial"/>
                <w:color w:val="000000" w:themeColor="text1"/>
                <w:sz w:val="24"/>
                <w:szCs w:val="24"/>
              </w:rPr>
            </w:pPr>
          </w:p>
          <w:p w:rsidR="0039497C" w:rsidRPr="0089447D" w:rsidRDefault="0039497C" w:rsidP="0089447D">
            <w:pPr>
              <w:spacing w:line="360" w:lineRule="auto"/>
              <w:jc w:val="both"/>
              <w:rPr>
                <w:rFonts w:ascii="Arial" w:hAnsi="Arial" w:cs="Arial"/>
                <w:color w:val="000000" w:themeColor="text1"/>
                <w:sz w:val="24"/>
                <w:szCs w:val="24"/>
              </w:rPr>
            </w:pPr>
          </w:p>
          <w:p w:rsidR="00E7423C" w:rsidRDefault="00E7423C" w:rsidP="003F02A0">
            <w:pPr>
              <w:pStyle w:val="ListParagraph"/>
              <w:spacing w:line="360" w:lineRule="auto"/>
              <w:ind w:left="540" w:hanging="540"/>
              <w:jc w:val="both"/>
              <w:rPr>
                <w:rFonts w:ascii="Arial" w:hAnsi="Arial" w:cs="Arial"/>
                <w:i/>
                <w:color w:val="000000" w:themeColor="text1"/>
                <w:sz w:val="24"/>
                <w:szCs w:val="24"/>
              </w:rPr>
            </w:pPr>
            <w:r w:rsidRPr="008E42EC">
              <w:rPr>
                <w:rFonts w:ascii="Arial" w:hAnsi="Arial" w:cs="Arial"/>
                <w:i/>
                <w:color w:val="000000" w:themeColor="text1"/>
                <w:sz w:val="24"/>
                <w:szCs w:val="24"/>
              </w:rPr>
              <w:t>The respondent’s grounds</w:t>
            </w:r>
          </w:p>
          <w:p w:rsidR="00E7423C" w:rsidRDefault="00E7423C" w:rsidP="003F02A0">
            <w:pPr>
              <w:pStyle w:val="ListParagraph"/>
              <w:spacing w:line="360" w:lineRule="auto"/>
              <w:ind w:left="540" w:hanging="540"/>
              <w:jc w:val="both"/>
              <w:rPr>
                <w:rFonts w:ascii="Arial" w:hAnsi="Arial" w:cs="Arial"/>
                <w:color w:val="000000" w:themeColor="text1"/>
                <w:sz w:val="24"/>
                <w:szCs w:val="24"/>
              </w:rPr>
            </w:pPr>
          </w:p>
          <w:p w:rsidR="00E7423C" w:rsidRDefault="00E7423C" w:rsidP="003F02A0">
            <w:pPr>
              <w:pStyle w:val="ListParagraph"/>
              <w:numPr>
                <w:ilvl w:val="0"/>
                <w:numId w:val="2"/>
              </w:numPr>
              <w:spacing w:line="360" w:lineRule="auto"/>
              <w:ind w:hanging="540"/>
              <w:jc w:val="both"/>
              <w:rPr>
                <w:rFonts w:ascii="Arial" w:hAnsi="Arial" w:cs="Arial"/>
                <w:color w:val="000000" w:themeColor="text1"/>
                <w:sz w:val="24"/>
                <w:szCs w:val="24"/>
              </w:rPr>
            </w:pPr>
            <w:r>
              <w:rPr>
                <w:rFonts w:ascii="Arial" w:hAnsi="Arial" w:cs="Arial"/>
                <w:color w:val="000000" w:themeColor="text1"/>
                <w:sz w:val="24"/>
                <w:szCs w:val="24"/>
              </w:rPr>
              <w:t xml:space="preserve">Respondent filed their application for leave to appeal late. </w:t>
            </w:r>
            <w:r w:rsidR="003B71EF">
              <w:rPr>
                <w:rFonts w:ascii="Arial" w:hAnsi="Arial" w:cs="Arial"/>
                <w:color w:val="000000" w:themeColor="text1"/>
                <w:sz w:val="24"/>
                <w:szCs w:val="24"/>
              </w:rPr>
              <w:t xml:space="preserve">Mr </w:t>
            </w:r>
            <w:proofErr w:type="spellStart"/>
            <w:r w:rsidR="003B71EF">
              <w:rPr>
                <w:rFonts w:ascii="Arial" w:hAnsi="Arial" w:cs="Arial"/>
                <w:color w:val="000000" w:themeColor="text1"/>
                <w:sz w:val="24"/>
                <w:szCs w:val="24"/>
              </w:rPr>
              <w:t>Greyling</w:t>
            </w:r>
            <w:proofErr w:type="spellEnd"/>
            <w:r>
              <w:rPr>
                <w:rFonts w:ascii="Arial" w:hAnsi="Arial" w:cs="Arial"/>
                <w:color w:val="000000" w:themeColor="text1"/>
                <w:sz w:val="24"/>
                <w:szCs w:val="24"/>
              </w:rPr>
              <w:t xml:space="preserve"> filed an application for condonation with a supporting affidavit. </w:t>
            </w:r>
            <w:r w:rsidR="003B71EF">
              <w:rPr>
                <w:rFonts w:ascii="Arial" w:hAnsi="Arial" w:cs="Arial"/>
                <w:color w:val="000000" w:themeColor="text1"/>
                <w:sz w:val="24"/>
                <w:szCs w:val="24"/>
              </w:rPr>
              <w:t xml:space="preserve">Mr </w:t>
            </w:r>
            <w:proofErr w:type="spellStart"/>
            <w:r w:rsidR="003B71EF">
              <w:rPr>
                <w:rFonts w:ascii="Arial" w:hAnsi="Arial" w:cs="Arial"/>
                <w:color w:val="000000" w:themeColor="text1"/>
                <w:sz w:val="24"/>
                <w:szCs w:val="24"/>
              </w:rPr>
              <w:t>Matota</w:t>
            </w:r>
            <w:proofErr w:type="spellEnd"/>
            <w:r w:rsidR="003B71EF">
              <w:rPr>
                <w:rFonts w:ascii="Arial" w:hAnsi="Arial" w:cs="Arial"/>
                <w:color w:val="000000" w:themeColor="text1"/>
                <w:sz w:val="24"/>
                <w:szCs w:val="24"/>
              </w:rPr>
              <w:t xml:space="preserve"> did not oppose the application. Mr </w:t>
            </w:r>
            <w:proofErr w:type="spellStart"/>
            <w:r w:rsidR="003B71EF">
              <w:rPr>
                <w:rFonts w:ascii="Arial" w:hAnsi="Arial" w:cs="Arial"/>
                <w:color w:val="000000" w:themeColor="text1"/>
                <w:sz w:val="24"/>
                <w:szCs w:val="24"/>
              </w:rPr>
              <w:t>Greyling</w:t>
            </w:r>
            <w:proofErr w:type="spellEnd"/>
            <w:r w:rsidR="003B71EF">
              <w:rPr>
                <w:rFonts w:ascii="Arial" w:hAnsi="Arial" w:cs="Arial"/>
                <w:color w:val="000000" w:themeColor="text1"/>
                <w:sz w:val="24"/>
                <w:szCs w:val="24"/>
              </w:rPr>
              <w:t xml:space="preserve"> provided a reasonable explanation for the delay. The judgement on conviction is quite bulky and due to other commitments, he could not finalize the necessary documents in preparation of the appeal. I allowed both parties to prosecute their applications.</w:t>
            </w:r>
          </w:p>
          <w:p w:rsidR="003B71EF" w:rsidRDefault="003B71EF" w:rsidP="003F02A0">
            <w:pPr>
              <w:pStyle w:val="ListParagraph"/>
              <w:spacing w:line="360" w:lineRule="auto"/>
              <w:ind w:left="540" w:hanging="540"/>
              <w:jc w:val="both"/>
              <w:rPr>
                <w:rFonts w:ascii="Arial" w:hAnsi="Arial" w:cs="Arial"/>
                <w:color w:val="000000" w:themeColor="text1"/>
                <w:sz w:val="24"/>
                <w:szCs w:val="24"/>
              </w:rPr>
            </w:pPr>
          </w:p>
          <w:p w:rsidR="003B71EF" w:rsidRDefault="003B71EF" w:rsidP="003F02A0">
            <w:pPr>
              <w:pStyle w:val="ListParagraph"/>
              <w:numPr>
                <w:ilvl w:val="0"/>
                <w:numId w:val="2"/>
              </w:numPr>
              <w:spacing w:line="360" w:lineRule="auto"/>
              <w:ind w:hanging="540"/>
              <w:jc w:val="both"/>
              <w:rPr>
                <w:rFonts w:ascii="Arial" w:hAnsi="Arial" w:cs="Arial"/>
                <w:color w:val="000000" w:themeColor="text1"/>
                <w:sz w:val="24"/>
                <w:szCs w:val="24"/>
              </w:rPr>
            </w:pPr>
            <w:r>
              <w:rPr>
                <w:rFonts w:ascii="Arial" w:hAnsi="Arial" w:cs="Arial"/>
                <w:color w:val="000000" w:themeColor="text1"/>
                <w:sz w:val="24"/>
                <w:szCs w:val="24"/>
              </w:rPr>
              <w:t xml:space="preserve">Mr </w:t>
            </w:r>
            <w:proofErr w:type="spellStart"/>
            <w:r>
              <w:rPr>
                <w:rFonts w:ascii="Arial" w:hAnsi="Arial" w:cs="Arial"/>
                <w:color w:val="000000" w:themeColor="text1"/>
                <w:sz w:val="24"/>
                <w:szCs w:val="24"/>
              </w:rPr>
              <w:t>Greyling</w:t>
            </w:r>
            <w:proofErr w:type="spellEnd"/>
            <w:r>
              <w:rPr>
                <w:rFonts w:ascii="Arial" w:hAnsi="Arial" w:cs="Arial"/>
                <w:color w:val="000000" w:themeColor="text1"/>
                <w:sz w:val="24"/>
                <w:szCs w:val="24"/>
              </w:rPr>
              <w:t xml:space="preserve"> contented that the court erred and/or misdirected itself in fact and/or </w:t>
            </w:r>
            <w:r w:rsidR="0094317D">
              <w:rPr>
                <w:rFonts w:ascii="Arial" w:hAnsi="Arial" w:cs="Arial"/>
                <w:color w:val="000000" w:themeColor="text1"/>
                <w:sz w:val="24"/>
                <w:szCs w:val="24"/>
              </w:rPr>
              <w:t>in law</w:t>
            </w:r>
            <w:r w:rsidR="0050183B">
              <w:rPr>
                <w:rFonts w:ascii="Arial" w:hAnsi="Arial" w:cs="Arial"/>
                <w:color w:val="000000" w:themeColor="text1"/>
                <w:sz w:val="24"/>
                <w:szCs w:val="24"/>
              </w:rPr>
              <w:t>;</w:t>
            </w:r>
            <w:r w:rsidR="0094317D">
              <w:rPr>
                <w:rFonts w:ascii="Arial" w:hAnsi="Arial" w:cs="Arial"/>
                <w:color w:val="000000" w:themeColor="text1"/>
                <w:sz w:val="24"/>
                <w:szCs w:val="24"/>
              </w:rPr>
              <w:t xml:space="preserve"> in the evaluation of evidence of different witnesses by finding that minute discrepancies were immaterial to the adjudication of the case; by finding that evidence is reliable despite discrepancies in their evidence compared to their witness statements; by failing to have the cross-examination of a witness, Leonard </w:t>
            </w:r>
            <w:proofErr w:type="spellStart"/>
            <w:r w:rsidR="0094317D">
              <w:rPr>
                <w:rFonts w:ascii="Arial" w:hAnsi="Arial" w:cs="Arial"/>
                <w:color w:val="000000" w:themeColor="text1"/>
                <w:sz w:val="24"/>
                <w:szCs w:val="24"/>
              </w:rPr>
              <w:t>Kamwandi</w:t>
            </w:r>
            <w:proofErr w:type="spellEnd"/>
            <w:r w:rsidR="0094317D">
              <w:rPr>
                <w:rFonts w:ascii="Arial" w:hAnsi="Arial" w:cs="Arial"/>
                <w:color w:val="000000" w:themeColor="text1"/>
                <w:sz w:val="24"/>
                <w:szCs w:val="24"/>
              </w:rPr>
              <w:t xml:space="preserve"> stood over; by failing to consider the accumulative effect</w:t>
            </w:r>
            <w:r w:rsidR="0050183B">
              <w:rPr>
                <w:rFonts w:ascii="Arial" w:hAnsi="Arial" w:cs="Arial"/>
                <w:color w:val="000000" w:themeColor="text1"/>
                <w:sz w:val="24"/>
                <w:szCs w:val="24"/>
              </w:rPr>
              <w:t xml:space="preserve"> of discrepancies of witnesses; by finding that the motor vehicle in question and the deceased were present at the location of the crime scene; finding that the said motor vehicle bumped the deceased; that the deceased sustained fatal injuries as a result of being bumped by the motor vehicle; finding that the deceased died as a result of such injuries sustained; in finding that the </w:t>
            </w:r>
            <w:r w:rsidR="009C4FAB">
              <w:rPr>
                <w:rFonts w:ascii="Arial" w:hAnsi="Arial" w:cs="Arial"/>
                <w:color w:val="000000" w:themeColor="text1"/>
                <w:sz w:val="24"/>
                <w:szCs w:val="24"/>
              </w:rPr>
              <w:t>State proved the cause of death; the court erred/misdirected itself in rejecting the appellant’s evidence that he did not bump the deceased and/or caused the fatal injuries.</w:t>
            </w:r>
          </w:p>
          <w:p w:rsidR="009C4FAB" w:rsidRDefault="009C4FAB" w:rsidP="009C4FAB">
            <w:pPr>
              <w:pStyle w:val="ListParagraph"/>
              <w:spacing w:line="360" w:lineRule="auto"/>
              <w:ind w:left="540"/>
              <w:jc w:val="both"/>
              <w:rPr>
                <w:rFonts w:ascii="Arial" w:hAnsi="Arial" w:cs="Arial"/>
                <w:color w:val="000000" w:themeColor="text1"/>
                <w:sz w:val="24"/>
                <w:szCs w:val="24"/>
              </w:rPr>
            </w:pPr>
          </w:p>
          <w:p w:rsidR="009C4FAB" w:rsidRPr="009C4FAB" w:rsidRDefault="009C4FAB" w:rsidP="009C4FAB">
            <w:pPr>
              <w:pStyle w:val="ListParagraph"/>
              <w:spacing w:line="360" w:lineRule="auto"/>
              <w:ind w:left="540"/>
              <w:jc w:val="both"/>
              <w:rPr>
                <w:rFonts w:ascii="Arial" w:hAnsi="Arial" w:cs="Arial"/>
                <w:i/>
                <w:color w:val="000000" w:themeColor="text1"/>
                <w:sz w:val="24"/>
                <w:szCs w:val="24"/>
              </w:rPr>
            </w:pPr>
            <w:r w:rsidRPr="009C4FAB">
              <w:rPr>
                <w:rFonts w:ascii="Arial" w:hAnsi="Arial" w:cs="Arial"/>
                <w:i/>
                <w:color w:val="000000" w:themeColor="text1"/>
                <w:sz w:val="24"/>
                <w:szCs w:val="24"/>
              </w:rPr>
              <w:t>Non-compliance with Rules of court</w:t>
            </w:r>
          </w:p>
          <w:p w:rsidR="00797948" w:rsidRDefault="008D7295" w:rsidP="00797948">
            <w:pPr>
              <w:pStyle w:val="ListParagraph"/>
              <w:spacing w:line="360" w:lineRule="auto"/>
              <w:ind w:left="540"/>
              <w:jc w:val="both"/>
              <w:rPr>
                <w:rFonts w:ascii="Arial" w:hAnsi="Arial" w:cs="Arial"/>
                <w:color w:val="000000" w:themeColor="text1"/>
                <w:sz w:val="24"/>
                <w:szCs w:val="24"/>
              </w:rPr>
            </w:pPr>
            <w:r>
              <w:rPr>
                <w:rFonts w:ascii="Arial" w:hAnsi="Arial" w:cs="Arial"/>
                <w:color w:val="000000" w:themeColor="text1"/>
                <w:sz w:val="24"/>
                <w:szCs w:val="24"/>
              </w:rPr>
              <w:t xml:space="preserve">Rule </w:t>
            </w:r>
            <w:r w:rsidR="001D45AA">
              <w:rPr>
                <w:rFonts w:ascii="Arial" w:hAnsi="Arial" w:cs="Arial"/>
                <w:color w:val="000000" w:themeColor="text1"/>
                <w:sz w:val="24"/>
                <w:szCs w:val="24"/>
              </w:rPr>
              <w:t>131 (1) stipulates as</w:t>
            </w:r>
            <w:r>
              <w:rPr>
                <w:rFonts w:ascii="Arial" w:hAnsi="Arial" w:cs="Arial"/>
                <w:color w:val="000000" w:themeColor="text1"/>
                <w:sz w:val="24"/>
                <w:szCs w:val="24"/>
              </w:rPr>
              <w:t xml:space="preserve"> follows:</w:t>
            </w:r>
          </w:p>
          <w:p w:rsidR="00797948" w:rsidRPr="001D45AA" w:rsidRDefault="00797948" w:rsidP="00797948">
            <w:pPr>
              <w:pStyle w:val="ListParagraph"/>
              <w:spacing w:line="360" w:lineRule="auto"/>
              <w:ind w:left="540"/>
              <w:jc w:val="both"/>
              <w:rPr>
                <w:rFonts w:ascii="Arial" w:hAnsi="Arial" w:cs="Arial"/>
                <w:b/>
                <w:color w:val="000000" w:themeColor="text1"/>
              </w:rPr>
            </w:pPr>
            <w:r>
              <w:rPr>
                <w:rFonts w:ascii="Arial" w:hAnsi="Arial" w:cs="Arial"/>
                <w:color w:val="000000" w:themeColor="text1"/>
                <w:sz w:val="24"/>
                <w:szCs w:val="24"/>
              </w:rPr>
              <w:t xml:space="preserve"> </w:t>
            </w:r>
            <w:r w:rsidRPr="001D45AA">
              <w:rPr>
                <w:rFonts w:ascii="Arial" w:hAnsi="Arial" w:cs="Arial"/>
                <w:b/>
                <w:color w:val="000000" w:themeColor="text1"/>
              </w:rPr>
              <w:t>‘131</w:t>
            </w:r>
            <w:r w:rsidRPr="001D45AA">
              <w:rPr>
                <w:rFonts w:ascii="Arial" w:hAnsi="Arial" w:cs="Arial"/>
                <w:b/>
                <w:color w:val="000000" w:themeColor="text1"/>
              </w:rPr>
              <w:tab/>
              <w:t>Preparation of court documents</w:t>
            </w:r>
          </w:p>
          <w:p w:rsidR="00797948" w:rsidRPr="001D45AA" w:rsidRDefault="00797948" w:rsidP="00797948">
            <w:pPr>
              <w:pStyle w:val="ListParagraph"/>
              <w:spacing w:line="360" w:lineRule="auto"/>
              <w:ind w:left="540"/>
              <w:jc w:val="both"/>
              <w:rPr>
                <w:rFonts w:ascii="Arial" w:hAnsi="Arial" w:cs="Arial"/>
                <w:color w:val="000000" w:themeColor="text1"/>
              </w:rPr>
            </w:pPr>
            <w:r w:rsidRPr="001D45AA">
              <w:rPr>
                <w:rFonts w:ascii="Arial" w:hAnsi="Arial" w:cs="Arial"/>
                <w:color w:val="000000" w:themeColor="text1"/>
              </w:rPr>
              <w:tab/>
              <w:t xml:space="preserve">(1) All typed pleadings, notices and other court documents must comply with the following </w:t>
            </w:r>
            <w:r w:rsidR="003F02A0">
              <w:rPr>
                <w:rFonts w:ascii="Arial" w:hAnsi="Arial" w:cs="Arial"/>
                <w:color w:val="000000" w:themeColor="text1"/>
              </w:rPr>
              <w:tab/>
            </w:r>
            <w:r w:rsidRPr="001D45AA">
              <w:rPr>
                <w:rFonts w:ascii="Arial" w:hAnsi="Arial" w:cs="Arial"/>
                <w:color w:val="000000" w:themeColor="text1"/>
              </w:rPr>
              <w:t>typing style-</w:t>
            </w:r>
          </w:p>
          <w:p w:rsidR="00797948" w:rsidRPr="001D45AA" w:rsidRDefault="00797948" w:rsidP="00797948">
            <w:pPr>
              <w:pStyle w:val="ListParagraph"/>
              <w:spacing w:line="360" w:lineRule="auto"/>
              <w:ind w:left="540"/>
              <w:jc w:val="both"/>
              <w:rPr>
                <w:rFonts w:ascii="Arial" w:hAnsi="Arial" w:cs="Arial"/>
                <w:color w:val="000000" w:themeColor="text1"/>
              </w:rPr>
            </w:pPr>
            <w:r w:rsidRPr="001D45AA">
              <w:rPr>
                <w:rFonts w:ascii="Arial" w:hAnsi="Arial" w:cs="Arial"/>
                <w:color w:val="000000" w:themeColor="text1"/>
              </w:rPr>
              <w:tab/>
              <w:t>(a)</w:t>
            </w:r>
            <w:r w:rsidRPr="001D45AA">
              <w:rPr>
                <w:rFonts w:ascii="Arial" w:hAnsi="Arial" w:cs="Arial"/>
                <w:color w:val="000000" w:themeColor="text1"/>
              </w:rPr>
              <w:tab/>
              <w:t>line spacing, including line spacing of quotations must be 1.5;</w:t>
            </w:r>
          </w:p>
          <w:p w:rsidR="00797948" w:rsidRPr="00797948" w:rsidRDefault="00797948" w:rsidP="00797948">
            <w:pPr>
              <w:pStyle w:val="ListParagraph"/>
              <w:spacing w:line="360" w:lineRule="auto"/>
              <w:ind w:left="540"/>
              <w:jc w:val="both"/>
              <w:rPr>
                <w:rFonts w:ascii="Arial" w:hAnsi="Arial" w:cs="Arial"/>
                <w:b/>
                <w:color w:val="000000" w:themeColor="text1"/>
              </w:rPr>
            </w:pPr>
            <w:r w:rsidRPr="001D45AA">
              <w:rPr>
                <w:rFonts w:ascii="Arial" w:hAnsi="Arial" w:cs="Arial"/>
                <w:color w:val="000000" w:themeColor="text1"/>
              </w:rPr>
              <w:tab/>
              <w:t>(b)</w:t>
            </w:r>
            <w:r w:rsidRPr="001D45AA">
              <w:rPr>
                <w:rFonts w:ascii="Arial" w:hAnsi="Arial" w:cs="Arial"/>
                <w:color w:val="000000" w:themeColor="text1"/>
              </w:rPr>
              <w:tab/>
            </w:r>
            <w:r w:rsidRPr="00797948">
              <w:rPr>
                <w:rFonts w:ascii="Arial" w:hAnsi="Arial" w:cs="Arial"/>
                <w:b/>
                <w:color w:val="000000" w:themeColor="text1"/>
              </w:rPr>
              <w:t>text must be typed in the Arial (regular) font 12 points;</w:t>
            </w:r>
          </w:p>
          <w:p w:rsidR="00797948" w:rsidRPr="00797948" w:rsidRDefault="00797948" w:rsidP="00797948">
            <w:pPr>
              <w:pStyle w:val="ListParagraph"/>
              <w:spacing w:line="360" w:lineRule="auto"/>
              <w:ind w:left="540"/>
              <w:jc w:val="both"/>
              <w:rPr>
                <w:rFonts w:ascii="Arial" w:hAnsi="Arial" w:cs="Arial"/>
                <w:b/>
                <w:color w:val="000000" w:themeColor="text1"/>
              </w:rPr>
            </w:pPr>
            <w:r w:rsidRPr="00797948">
              <w:rPr>
                <w:rFonts w:ascii="Arial" w:hAnsi="Arial" w:cs="Arial"/>
                <w:b/>
                <w:color w:val="000000" w:themeColor="text1"/>
              </w:rPr>
              <w:lastRenderedPageBreak/>
              <w:tab/>
            </w:r>
            <w:r w:rsidRPr="00797948">
              <w:rPr>
                <w:rFonts w:ascii="Arial" w:hAnsi="Arial" w:cs="Arial"/>
                <w:color w:val="000000" w:themeColor="text1"/>
              </w:rPr>
              <w:t>(c)</w:t>
            </w:r>
            <w:r w:rsidRPr="00797948">
              <w:rPr>
                <w:rFonts w:ascii="Arial" w:hAnsi="Arial" w:cs="Arial"/>
                <w:b/>
                <w:color w:val="000000" w:themeColor="text1"/>
              </w:rPr>
              <w:tab/>
              <w:t>quotations must be typed in the Arial (regular) font 11 points;</w:t>
            </w:r>
          </w:p>
          <w:p w:rsidR="00797948" w:rsidRPr="001D45AA" w:rsidRDefault="00797948" w:rsidP="00797948">
            <w:pPr>
              <w:pStyle w:val="ListParagraph"/>
              <w:spacing w:line="360" w:lineRule="auto"/>
              <w:ind w:left="540"/>
              <w:jc w:val="both"/>
              <w:rPr>
                <w:rFonts w:ascii="Arial" w:hAnsi="Arial" w:cs="Arial"/>
                <w:color w:val="000000" w:themeColor="text1"/>
              </w:rPr>
            </w:pPr>
            <w:r w:rsidRPr="00797948">
              <w:rPr>
                <w:rFonts w:ascii="Arial" w:hAnsi="Arial" w:cs="Arial"/>
                <w:b/>
                <w:color w:val="000000" w:themeColor="text1"/>
              </w:rPr>
              <w:tab/>
            </w:r>
            <w:r w:rsidRPr="00797948">
              <w:rPr>
                <w:rFonts w:ascii="Arial" w:hAnsi="Arial" w:cs="Arial"/>
                <w:color w:val="000000" w:themeColor="text1"/>
              </w:rPr>
              <w:t>(d)</w:t>
            </w:r>
            <w:r w:rsidRPr="00797948">
              <w:rPr>
                <w:rFonts w:ascii="Arial" w:hAnsi="Arial" w:cs="Arial"/>
                <w:b/>
                <w:color w:val="000000" w:themeColor="text1"/>
              </w:rPr>
              <w:tab/>
              <w:t>footnotes must be typed in the Arial (regular) font 10 points;</w:t>
            </w:r>
          </w:p>
          <w:p w:rsidR="00797948" w:rsidRPr="001D45AA" w:rsidRDefault="00797948" w:rsidP="00797948">
            <w:pPr>
              <w:pStyle w:val="ListParagraph"/>
              <w:spacing w:line="360" w:lineRule="auto"/>
              <w:ind w:left="540"/>
              <w:jc w:val="both"/>
              <w:rPr>
                <w:rFonts w:ascii="Arial" w:hAnsi="Arial" w:cs="Arial"/>
                <w:color w:val="000000" w:themeColor="text1"/>
              </w:rPr>
            </w:pPr>
            <w:r w:rsidRPr="001D45AA">
              <w:rPr>
                <w:rFonts w:ascii="Arial" w:hAnsi="Arial" w:cs="Arial"/>
                <w:color w:val="000000" w:themeColor="text1"/>
              </w:rPr>
              <w:tab/>
              <w:t>(e)</w:t>
            </w:r>
            <w:r w:rsidRPr="001D45AA">
              <w:rPr>
                <w:rFonts w:ascii="Arial" w:hAnsi="Arial" w:cs="Arial"/>
                <w:color w:val="000000" w:themeColor="text1"/>
              </w:rPr>
              <w:tab/>
              <w:t xml:space="preserve">short quotations forming part of a sentence must be typed the same as the text and </w:t>
            </w:r>
            <w:r w:rsidR="003F02A0">
              <w:rPr>
                <w:rFonts w:ascii="Arial" w:hAnsi="Arial" w:cs="Arial"/>
                <w:color w:val="000000" w:themeColor="text1"/>
              </w:rPr>
              <w:tab/>
            </w:r>
            <w:r w:rsidR="003F02A0">
              <w:rPr>
                <w:rFonts w:ascii="Arial" w:hAnsi="Arial" w:cs="Arial"/>
                <w:color w:val="000000" w:themeColor="text1"/>
              </w:rPr>
              <w:tab/>
            </w:r>
            <w:r w:rsidRPr="001D45AA">
              <w:rPr>
                <w:rFonts w:ascii="Arial" w:hAnsi="Arial" w:cs="Arial"/>
                <w:color w:val="000000" w:themeColor="text1"/>
              </w:rPr>
              <w:t>must comply with paragraph (b);</w:t>
            </w:r>
          </w:p>
          <w:p w:rsidR="00797948" w:rsidRPr="001D45AA" w:rsidRDefault="00797948" w:rsidP="00797948">
            <w:pPr>
              <w:pStyle w:val="ListParagraph"/>
              <w:spacing w:line="360" w:lineRule="auto"/>
              <w:ind w:left="540"/>
              <w:jc w:val="both"/>
              <w:rPr>
                <w:rFonts w:ascii="Arial" w:hAnsi="Arial" w:cs="Arial"/>
                <w:color w:val="000000" w:themeColor="text1"/>
              </w:rPr>
            </w:pPr>
            <w:r w:rsidRPr="001D45AA">
              <w:rPr>
                <w:rFonts w:ascii="Arial" w:hAnsi="Arial" w:cs="Arial"/>
                <w:color w:val="000000" w:themeColor="text1"/>
              </w:rPr>
              <w:tab/>
              <w:t>(f)</w:t>
            </w:r>
            <w:r w:rsidRPr="001D45AA">
              <w:rPr>
                <w:rFonts w:ascii="Arial" w:hAnsi="Arial" w:cs="Arial"/>
                <w:color w:val="000000" w:themeColor="text1"/>
              </w:rPr>
              <w:tab/>
              <w:t xml:space="preserve">the justification of the text of typed pleadings, notices and other court documents </w:t>
            </w:r>
            <w:r w:rsidR="003F02A0">
              <w:rPr>
                <w:rFonts w:ascii="Arial" w:hAnsi="Arial" w:cs="Arial"/>
                <w:color w:val="000000" w:themeColor="text1"/>
              </w:rPr>
              <w:tab/>
            </w:r>
            <w:r w:rsidR="003F02A0">
              <w:rPr>
                <w:rFonts w:ascii="Arial" w:hAnsi="Arial" w:cs="Arial"/>
                <w:color w:val="000000" w:themeColor="text1"/>
              </w:rPr>
              <w:tab/>
            </w:r>
            <w:r w:rsidR="003F02A0">
              <w:rPr>
                <w:rFonts w:ascii="Arial" w:hAnsi="Arial" w:cs="Arial"/>
                <w:color w:val="000000" w:themeColor="text1"/>
              </w:rPr>
              <w:tab/>
            </w:r>
            <w:r w:rsidRPr="001D45AA">
              <w:rPr>
                <w:rFonts w:ascii="Arial" w:hAnsi="Arial" w:cs="Arial"/>
                <w:color w:val="000000" w:themeColor="text1"/>
              </w:rPr>
              <w:t>must be set to full justification;</w:t>
            </w:r>
          </w:p>
          <w:p w:rsidR="00797948" w:rsidRPr="001D45AA" w:rsidRDefault="00797948" w:rsidP="00797948">
            <w:pPr>
              <w:pStyle w:val="ListParagraph"/>
              <w:spacing w:line="360" w:lineRule="auto"/>
              <w:ind w:left="540"/>
              <w:jc w:val="both"/>
              <w:rPr>
                <w:rFonts w:ascii="Arial" w:hAnsi="Arial" w:cs="Arial"/>
                <w:color w:val="000000" w:themeColor="text1"/>
              </w:rPr>
            </w:pPr>
            <w:r w:rsidRPr="001D45AA">
              <w:rPr>
                <w:rFonts w:ascii="Arial" w:hAnsi="Arial" w:cs="Arial"/>
                <w:color w:val="000000" w:themeColor="text1"/>
              </w:rPr>
              <w:tab/>
              <w:t>(g)</w:t>
            </w:r>
            <w:r w:rsidRPr="001D45AA">
              <w:rPr>
                <w:rFonts w:ascii="Arial" w:hAnsi="Arial" w:cs="Arial"/>
                <w:color w:val="000000" w:themeColor="text1"/>
              </w:rPr>
              <w:tab/>
              <w:t xml:space="preserve">all pleadings, notices and other court documents should bear page numbers, except </w:t>
            </w:r>
            <w:r w:rsidR="003F02A0">
              <w:rPr>
                <w:rFonts w:ascii="Arial" w:hAnsi="Arial" w:cs="Arial"/>
                <w:color w:val="000000" w:themeColor="text1"/>
              </w:rPr>
              <w:tab/>
            </w:r>
            <w:r w:rsidR="003F02A0">
              <w:rPr>
                <w:rFonts w:ascii="Arial" w:hAnsi="Arial" w:cs="Arial"/>
                <w:color w:val="000000" w:themeColor="text1"/>
              </w:rPr>
              <w:tab/>
            </w:r>
            <w:r w:rsidRPr="001D45AA">
              <w:rPr>
                <w:rFonts w:ascii="Arial" w:hAnsi="Arial" w:cs="Arial"/>
                <w:color w:val="000000" w:themeColor="text1"/>
              </w:rPr>
              <w:t>that the covering page may not be numbered;</w:t>
            </w:r>
          </w:p>
          <w:p w:rsidR="00797948" w:rsidRPr="001D45AA" w:rsidRDefault="00797948" w:rsidP="00797948">
            <w:pPr>
              <w:pStyle w:val="ListParagraph"/>
              <w:spacing w:line="360" w:lineRule="auto"/>
              <w:ind w:left="540"/>
              <w:jc w:val="both"/>
              <w:rPr>
                <w:rFonts w:ascii="Arial" w:hAnsi="Arial" w:cs="Arial"/>
                <w:color w:val="000000" w:themeColor="text1"/>
              </w:rPr>
            </w:pPr>
            <w:r w:rsidRPr="001D45AA">
              <w:rPr>
                <w:rFonts w:ascii="Arial" w:hAnsi="Arial" w:cs="Arial"/>
                <w:color w:val="000000" w:themeColor="text1"/>
              </w:rPr>
              <w:tab/>
              <w:t>(h)</w:t>
            </w:r>
            <w:r w:rsidRPr="001D45AA">
              <w:rPr>
                <w:rFonts w:ascii="Arial" w:hAnsi="Arial" w:cs="Arial"/>
                <w:color w:val="000000" w:themeColor="text1"/>
              </w:rPr>
              <w:tab/>
            </w:r>
            <w:r w:rsidRPr="00797948">
              <w:rPr>
                <w:rFonts w:ascii="Arial" w:hAnsi="Arial" w:cs="Arial"/>
                <w:b/>
                <w:color w:val="000000" w:themeColor="text1"/>
              </w:rPr>
              <w:t>page numbers must be at the right hand side at the top of the page; and</w:t>
            </w:r>
          </w:p>
          <w:p w:rsidR="00797948" w:rsidRPr="00797948" w:rsidRDefault="00797948" w:rsidP="00797948">
            <w:pPr>
              <w:pStyle w:val="ListParagraph"/>
              <w:spacing w:line="360" w:lineRule="auto"/>
              <w:ind w:left="540"/>
              <w:jc w:val="both"/>
              <w:rPr>
                <w:rFonts w:ascii="Arial" w:hAnsi="Arial" w:cs="Arial"/>
                <w:b/>
                <w:color w:val="000000" w:themeColor="text1"/>
                <w:sz w:val="24"/>
                <w:szCs w:val="24"/>
              </w:rPr>
            </w:pPr>
            <w:r w:rsidRPr="001D45AA">
              <w:rPr>
                <w:rFonts w:ascii="Arial" w:hAnsi="Arial" w:cs="Arial"/>
                <w:color w:val="000000" w:themeColor="text1"/>
              </w:rPr>
              <w:tab/>
              <w:t>(</w:t>
            </w:r>
            <w:proofErr w:type="spellStart"/>
            <w:proofErr w:type="gramStart"/>
            <w:r w:rsidRPr="001D45AA">
              <w:rPr>
                <w:rFonts w:ascii="Arial" w:hAnsi="Arial" w:cs="Arial"/>
                <w:color w:val="000000" w:themeColor="text1"/>
              </w:rPr>
              <w:t>i</w:t>
            </w:r>
            <w:proofErr w:type="spellEnd"/>
            <w:proofErr w:type="gramEnd"/>
            <w:r w:rsidRPr="001D45AA">
              <w:rPr>
                <w:rFonts w:ascii="Arial" w:hAnsi="Arial" w:cs="Arial"/>
                <w:color w:val="000000" w:themeColor="text1"/>
              </w:rPr>
              <w:t>)</w:t>
            </w:r>
            <w:r w:rsidRPr="001D45AA">
              <w:rPr>
                <w:rFonts w:ascii="Arial" w:hAnsi="Arial" w:cs="Arial"/>
                <w:color w:val="000000" w:themeColor="text1"/>
              </w:rPr>
              <w:tab/>
            </w:r>
            <w:r w:rsidRPr="00797948">
              <w:rPr>
                <w:rFonts w:ascii="Arial" w:hAnsi="Arial" w:cs="Arial"/>
                <w:b/>
                <w:color w:val="000000" w:themeColor="text1"/>
              </w:rPr>
              <w:t xml:space="preserve">the second line of a paragraph should not be indented.’ </w:t>
            </w:r>
            <w:r w:rsidRPr="00797948">
              <w:rPr>
                <w:rFonts w:ascii="Arial" w:hAnsi="Arial" w:cs="Arial"/>
                <w:b/>
                <w:color w:val="000000" w:themeColor="text1"/>
                <w:sz w:val="24"/>
                <w:szCs w:val="24"/>
              </w:rPr>
              <w:t>(my emphasis)</w:t>
            </w:r>
          </w:p>
          <w:p w:rsidR="00797948" w:rsidRPr="00797948" w:rsidRDefault="00797948" w:rsidP="00797948">
            <w:pPr>
              <w:pStyle w:val="ListParagraph"/>
              <w:spacing w:line="360" w:lineRule="auto"/>
              <w:ind w:left="540"/>
              <w:jc w:val="both"/>
              <w:rPr>
                <w:rFonts w:ascii="Arial" w:hAnsi="Arial" w:cs="Arial"/>
                <w:b/>
                <w:color w:val="000000" w:themeColor="text1"/>
                <w:sz w:val="24"/>
                <w:szCs w:val="24"/>
              </w:rPr>
            </w:pPr>
          </w:p>
          <w:p w:rsidR="00B86088" w:rsidRPr="00B86088" w:rsidRDefault="00797948" w:rsidP="00E60735">
            <w:pPr>
              <w:pStyle w:val="ListParagraph"/>
              <w:numPr>
                <w:ilvl w:val="0"/>
                <w:numId w:val="2"/>
              </w:numPr>
              <w:spacing w:line="360" w:lineRule="auto"/>
              <w:ind w:hanging="540"/>
              <w:jc w:val="both"/>
              <w:rPr>
                <w:rFonts w:ascii="Arial" w:hAnsi="Arial" w:cs="Arial"/>
                <w:color w:val="000000" w:themeColor="text1"/>
              </w:rPr>
            </w:pPr>
            <w:r>
              <w:rPr>
                <w:rFonts w:ascii="Arial" w:hAnsi="Arial" w:cs="Arial"/>
                <w:color w:val="000000" w:themeColor="text1"/>
                <w:sz w:val="24"/>
                <w:szCs w:val="24"/>
              </w:rPr>
              <w:t>Both counsel’s head</w:t>
            </w:r>
            <w:r w:rsidR="00E60735">
              <w:rPr>
                <w:rFonts w:ascii="Arial" w:hAnsi="Arial" w:cs="Arial"/>
                <w:color w:val="000000" w:themeColor="text1"/>
                <w:sz w:val="24"/>
                <w:szCs w:val="24"/>
              </w:rPr>
              <w:t>s of argument are not typed in A</w:t>
            </w:r>
            <w:r>
              <w:rPr>
                <w:rFonts w:ascii="Arial" w:hAnsi="Arial" w:cs="Arial"/>
                <w:color w:val="000000" w:themeColor="text1"/>
                <w:sz w:val="24"/>
                <w:szCs w:val="24"/>
              </w:rPr>
              <w:t xml:space="preserve">rial font. In addition, Mr </w:t>
            </w:r>
            <w:r w:rsidR="00E60735">
              <w:rPr>
                <w:rFonts w:ascii="Arial" w:hAnsi="Arial" w:cs="Arial"/>
                <w:color w:val="000000" w:themeColor="text1"/>
                <w:sz w:val="24"/>
                <w:szCs w:val="24"/>
              </w:rPr>
              <w:t>Grayling’s</w:t>
            </w:r>
            <w:r>
              <w:rPr>
                <w:rFonts w:ascii="Arial" w:hAnsi="Arial" w:cs="Arial"/>
                <w:color w:val="000000" w:themeColor="text1"/>
                <w:sz w:val="24"/>
                <w:szCs w:val="24"/>
              </w:rPr>
              <w:t xml:space="preserve"> notice of motion documents also do not comply with the rules.</w:t>
            </w:r>
            <w:r w:rsidR="00BB799E">
              <w:rPr>
                <w:rFonts w:ascii="Arial" w:hAnsi="Arial" w:cs="Arial"/>
                <w:color w:val="000000" w:themeColor="text1"/>
                <w:sz w:val="24"/>
                <w:szCs w:val="24"/>
              </w:rPr>
              <w:t xml:space="preserve"> Non-compliance of the rules may lead to the matter to be struck from the roll. I have however decided to entertain both applications because this matter is dragging without finalization since 2013.</w:t>
            </w:r>
          </w:p>
          <w:p w:rsidR="00B86088" w:rsidRDefault="00B86088" w:rsidP="00B86088">
            <w:pPr>
              <w:pStyle w:val="ListParagraph"/>
              <w:spacing w:line="360" w:lineRule="auto"/>
              <w:ind w:left="540"/>
              <w:jc w:val="both"/>
              <w:rPr>
                <w:rFonts w:ascii="Arial" w:hAnsi="Arial" w:cs="Arial"/>
                <w:color w:val="000000" w:themeColor="text1"/>
                <w:sz w:val="24"/>
                <w:szCs w:val="24"/>
              </w:rPr>
            </w:pPr>
          </w:p>
          <w:p w:rsidR="00B86088" w:rsidRPr="00E60735" w:rsidRDefault="00B86088" w:rsidP="00E60735">
            <w:pPr>
              <w:pStyle w:val="ListParagraph"/>
              <w:spacing w:line="360" w:lineRule="auto"/>
              <w:ind w:left="540"/>
              <w:jc w:val="both"/>
              <w:rPr>
                <w:rFonts w:ascii="Arial" w:hAnsi="Arial" w:cs="Arial"/>
                <w:i/>
                <w:color w:val="000000" w:themeColor="text1"/>
              </w:rPr>
            </w:pPr>
            <w:r w:rsidRPr="00B86088">
              <w:rPr>
                <w:rFonts w:ascii="Arial" w:hAnsi="Arial" w:cs="Arial"/>
                <w:i/>
                <w:color w:val="000000" w:themeColor="text1"/>
                <w:sz w:val="24"/>
                <w:szCs w:val="24"/>
              </w:rPr>
              <w:t>The merits</w:t>
            </w:r>
          </w:p>
          <w:p w:rsidR="00B86088" w:rsidRPr="00B86088" w:rsidRDefault="00B86088" w:rsidP="00E60735">
            <w:pPr>
              <w:pStyle w:val="ListParagraph"/>
              <w:numPr>
                <w:ilvl w:val="0"/>
                <w:numId w:val="2"/>
              </w:numPr>
              <w:spacing w:line="360" w:lineRule="auto"/>
              <w:ind w:hanging="540"/>
              <w:jc w:val="both"/>
              <w:rPr>
                <w:rFonts w:ascii="Arial" w:hAnsi="Arial" w:cs="Arial"/>
                <w:color w:val="000000" w:themeColor="text1"/>
              </w:rPr>
            </w:pPr>
            <w:r>
              <w:rPr>
                <w:rFonts w:ascii="Arial" w:hAnsi="Arial" w:cs="Arial"/>
                <w:color w:val="000000" w:themeColor="text1"/>
                <w:sz w:val="24"/>
                <w:szCs w:val="24"/>
              </w:rPr>
              <w:t>I will first deal with the cross-application for leave to appeal against the conviction of culpable homicide. More specifically with the reasons for conviction. I have extensively dealt with the facts in my judgement on conviction and only highlight material facts in this judgment.</w:t>
            </w:r>
          </w:p>
          <w:p w:rsidR="00B86088" w:rsidRPr="00B86088" w:rsidRDefault="00B86088" w:rsidP="00B86088">
            <w:pPr>
              <w:pStyle w:val="ListParagraph"/>
              <w:spacing w:line="360" w:lineRule="auto"/>
              <w:ind w:left="540"/>
              <w:jc w:val="both"/>
              <w:rPr>
                <w:rFonts w:ascii="Arial" w:hAnsi="Arial" w:cs="Arial"/>
                <w:color w:val="000000" w:themeColor="text1"/>
              </w:rPr>
            </w:pPr>
            <w:r>
              <w:rPr>
                <w:rFonts w:ascii="Arial" w:hAnsi="Arial" w:cs="Arial"/>
                <w:color w:val="000000" w:themeColor="text1"/>
                <w:sz w:val="24"/>
                <w:szCs w:val="24"/>
              </w:rPr>
              <w:t xml:space="preserve"> </w:t>
            </w:r>
          </w:p>
          <w:p w:rsidR="009C4FAB" w:rsidRPr="00BB799E" w:rsidRDefault="00B86088" w:rsidP="00E60735">
            <w:pPr>
              <w:pStyle w:val="ListParagraph"/>
              <w:numPr>
                <w:ilvl w:val="0"/>
                <w:numId w:val="2"/>
              </w:numPr>
              <w:spacing w:line="360" w:lineRule="auto"/>
              <w:ind w:hanging="520"/>
              <w:jc w:val="both"/>
              <w:rPr>
                <w:rFonts w:ascii="Arial" w:hAnsi="Arial" w:cs="Arial"/>
                <w:color w:val="000000" w:themeColor="text1"/>
              </w:rPr>
            </w:pPr>
            <w:r>
              <w:rPr>
                <w:rFonts w:ascii="Arial" w:hAnsi="Arial" w:cs="Arial"/>
                <w:color w:val="000000" w:themeColor="text1"/>
                <w:sz w:val="24"/>
                <w:szCs w:val="24"/>
              </w:rPr>
              <w:t xml:space="preserve">The appellant admitted that on the night of the incident he was at MK </w:t>
            </w:r>
            <w:r w:rsidR="00B4020E">
              <w:rPr>
                <w:rFonts w:ascii="Arial" w:hAnsi="Arial" w:cs="Arial"/>
                <w:color w:val="000000" w:themeColor="text1"/>
                <w:sz w:val="24"/>
                <w:szCs w:val="24"/>
              </w:rPr>
              <w:t>Special</w:t>
            </w:r>
            <w:r>
              <w:rPr>
                <w:rFonts w:ascii="Arial" w:hAnsi="Arial" w:cs="Arial"/>
                <w:color w:val="000000" w:themeColor="text1"/>
                <w:sz w:val="24"/>
                <w:szCs w:val="24"/>
              </w:rPr>
              <w:t xml:space="preserve"> feeling bar of which he is the owner. </w:t>
            </w:r>
            <w:r w:rsidR="00B4020E">
              <w:rPr>
                <w:rFonts w:ascii="Arial" w:hAnsi="Arial" w:cs="Arial"/>
                <w:color w:val="000000" w:themeColor="text1"/>
                <w:sz w:val="24"/>
                <w:szCs w:val="24"/>
              </w:rPr>
              <w:t xml:space="preserve">He confirmed evidence of various witnesses that at some stage he had an altercation with the deceased eventually leading him to fire a shot in self-defence. He testified that the deceased threw stones at him. Witnesses confirmed that stones landed on the roof of the bar. </w:t>
            </w:r>
          </w:p>
          <w:p w:rsidR="00BB799E" w:rsidRPr="00797948" w:rsidRDefault="00BB799E" w:rsidP="00BB799E">
            <w:pPr>
              <w:pStyle w:val="ListParagraph"/>
              <w:spacing w:line="360" w:lineRule="auto"/>
              <w:ind w:left="540"/>
              <w:jc w:val="both"/>
              <w:rPr>
                <w:rFonts w:ascii="Arial" w:hAnsi="Arial" w:cs="Arial"/>
                <w:color w:val="000000" w:themeColor="text1"/>
              </w:rPr>
            </w:pPr>
          </w:p>
          <w:p w:rsidR="0001543C" w:rsidRDefault="00B4020E" w:rsidP="00E60735">
            <w:pPr>
              <w:pStyle w:val="ListParagraph"/>
              <w:numPr>
                <w:ilvl w:val="0"/>
                <w:numId w:val="2"/>
              </w:numPr>
              <w:spacing w:line="360" w:lineRule="auto"/>
              <w:ind w:hanging="540"/>
              <w:jc w:val="both"/>
              <w:rPr>
                <w:rFonts w:ascii="Arial" w:hAnsi="Arial" w:cs="Arial"/>
                <w:color w:val="000000" w:themeColor="text1"/>
                <w:sz w:val="24"/>
                <w:szCs w:val="24"/>
              </w:rPr>
            </w:pPr>
            <w:r w:rsidRPr="00B4020E">
              <w:rPr>
                <w:rFonts w:ascii="Arial" w:hAnsi="Arial" w:cs="Arial"/>
                <w:color w:val="000000" w:themeColor="text1"/>
                <w:sz w:val="24"/>
                <w:szCs w:val="24"/>
              </w:rPr>
              <w:t>Appellant further in his plea e</w:t>
            </w:r>
            <w:r>
              <w:rPr>
                <w:rFonts w:ascii="Arial" w:hAnsi="Arial" w:cs="Arial"/>
                <w:color w:val="000000" w:themeColor="text1"/>
                <w:sz w:val="24"/>
                <w:szCs w:val="24"/>
              </w:rPr>
              <w:t>x</w:t>
            </w:r>
            <w:r w:rsidRPr="00B4020E">
              <w:rPr>
                <w:rFonts w:ascii="Arial" w:hAnsi="Arial" w:cs="Arial"/>
                <w:color w:val="000000" w:themeColor="text1"/>
                <w:sz w:val="24"/>
                <w:szCs w:val="24"/>
              </w:rPr>
              <w:t>planation</w:t>
            </w:r>
            <w:r>
              <w:rPr>
                <w:rFonts w:ascii="Arial" w:hAnsi="Arial" w:cs="Arial"/>
                <w:color w:val="000000" w:themeColor="text1"/>
                <w:sz w:val="24"/>
                <w:szCs w:val="24"/>
              </w:rPr>
              <w:t xml:space="preserve"> and testimony made the following admissions</w:t>
            </w:r>
            <w:r w:rsidR="00ED42A4">
              <w:rPr>
                <w:rFonts w:ascii="Arial" w:hAnsi="Arial" w:cs="Arial"/>
                <w:color w:val="000000" w:themeColor="text1"/>
                <w:sz w:val="24"/>
                <w:szCs w:val="24"/>
              </w:rPr>
              <w:t>: that after the incident at the bar he encounter</w:t>
            </w:r>
            <w:r w:rsidR="004B6EB2">
              <w:rPr>
                <w:rFonts w:ascii="Arial" w:hAnsi="Arial" w:cs="Arial"/>
                <w:color w:val="000000" w:themeColor="text1"/>
                <w:sz w:val="24"/>
                <w:szCs w:val="24"/>
              </w:rPr>
              <w:t>ed</w:t>
            </w:r>
            <w:r w:rsidR="00ED42A4">
              <w:rPr>
                <w:rFonts w:ascii="Arial" w:hAnsi="Arial" w:cs="Arial"/>
                <w:color w:val="000000" w:themeColor="text1"/>
                <w:sz w:val="24"/>
                <w:szCs w:val="24"/>
              </w:rPr>
              <w:t xml:space="preserve"> the deceased on a road; he recognized the deceased as the person he had the altercation</w:t>
            </w:r>
            <w:r w:rsidR="004B6EB2">
              <w:rPr>
                <w:rFonts w:ascii="Arial" w:hAnsi="Arial" w:cs="Arial"/>
                <w:color w:val="000000" w:themeColor="text1"/>
                <w:sz w:val="24"/>
                <w:szCs w:val="24"/>
              </w:rPr>
              <w:t xml:space="preserve"> with</w:t>
            </w:r>
            <w:r w:rsidR="00ED42A4">
              <w:rPr>
                <w:rFonts w:ascii="Arial" w:hAnsi="Arial" w:cs="Arial"/>
                <w:color w:val="000000" w:themeColor="text1"/>
                <w:sz w:val="24"/>
                <w:szCs w:val="24"/>
              </w:rPr>
              <w:t xml:space="preserve"> at the bar </w:t>
            </w:r>
            <w:r w:rsidR="00ED42A4">
              <w:rPr>
                <w:rFonts w:ascii="Arial" w:hAnsi="Arial" w:cs="Arial"/>
                <w:color w:val="000000" w:themeColor="text1"/>
                <w:sz w:val="24"/>
                <w:szCs w:val="24"/>
              </w:rPr>
              <w:lastRenderedPageBreak/>
              <w:t>earlier; he applied brakes, swerved out of the road and confronted the deceased about the earlier confrontation.</w:t>
            </w:r>
            <w:r w:rsidR="0001543C">
              <w:rPr>
                <w:rFonts w:ascii="Arial" w:hAnsi="Arial" w:cs="Arial"/>
                <w:color w:val="000000" w:themeColor="text1"/>
                <w:sz w:val="24"/>
                <w:szCs w:val="24"/>
              </w:rPr>
              <w:t xml:space="preserve"> </w:t>
            </w:r>
          </w:p>
          <w:p w:rsidR="0001543C" w:rsidRDefault="00ED42A4" w:rsidP="0001543C">
            <w:pPr>
              <w:pStyle w:val="ListParagraph"/>
              <w:spacing w:line="360" w:lineRule="auto"/>
              <w:ind w:left="54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797948" w:rsidRDefault="0001543C" w:rsidP="00E60735">
            <w:pPr>
              <w:pStyle w:val="ListParagraph"/>
              <w:numPr>
                <w:ilvl w:val="0"/>
                <w:numId w:val="2"/>
              </w:numPr>
              <w:spacing w:line="360" w:lineRule="auto"/>
              <w:ind w:hanging="520"/>
              <w:jc w:val="both"/>
              <w:rPr>
                <w:rFonts w:ascii="Arial" w:hAnsi="Arial" w:cs="Arial"/>
                <w:color w:val="000000" w:themeColor="text1"/>
                <w:sz w:val="24"/>
                <w:szCs w:val="24"/>
              </w:rPr>
            </w:pPr>
            <w:r>
              <w:rPr>
                <w:rFonts w:ascii="Arial" w:hAnsi="Arial" w:cs="Arial"/>
                <w:color w:val="000000" w:themeColor="text1"/>
                <w:sz w:val="24"/>
                <w:szCs w:val="24"/>
              </w:rPr>
              <w:t>Photos that</w:t>
            </w:r>
            <w:r w:rsidR="00ED42A4">
              <w:rPr>
                <w:rFonts w:ascii="Arial" w:hAnsi="Arial" w:cs="Arial"/>
                <w:color w:val="000000" w:themeColor="text1"/>
                <w:sz w:val="24"/>
                <w:szCs w:val="24"/>
              </w:rPr>
              <w:t xml:space="preserve"> </w:t>
            </w:r>
            <w:r>
              <w:rPr>
                <w:rFonts w:ascii="Arial" w:hAnsi="Arial" w:cs="Arial"/>
                <w:color w:val="000000" w:themeColor="text1"/>
                <w:sz w:val="24"/>
                <w:szCs w:val="24"/>
              </w:rPr>
              <w:t>were handed up in court depict tyre tracks of a vehicle with skid marks on a tar road with the skid marks continuing onto gravel next to the road followed by tyre track</w:t>
            </w:r>
            <w:r w:rsidR="00E36D0E">
              <w:rPr>
                <w:rFonts w:ascii="Arial" w:hAnsi="Arial" w:cs="Arial"/>
                <w:color w:val="000000" w:themeColor="text1"/>
                <w:sz w:val="24"/>
                <w:szCs w:val="24"/>
              </w:rPr>
              <w:t>s</w:t>
            </w:r>
            <w:r>
              <w:rPr>
                <w:rFonts w:ascii="Arial" w:hAnsi="Arial" w:cs="Arial"/>
                <w:color w:val="000000" w:themeColor="text1"/>
                <w:sz w:val="24"/>
                <w:szCs w:val="24"/>
              </w:rPr>
              <w:t xml:space="preserve"> turning toward</w:t>
            </w:r>
            <w:r w:rsidR="00E36D0E">
              <w:rPr>
                <w:rFonts w:ascii="Arial" w:hAnsi="Arial" w:cs="Arial"/>
                <w:color w:val="000000" w:themeColor="text1"/>
                <w:sz w:val="24"/>
                <w:szCs w:val="24"/>
              </w:rPr>
              <w:t>s</w:t>
            </w:r>
            <w:r>
              <w:rPr>
                <w:rFonts w:ascii="Arial" w:hAnsi="Arial" w:cs="Arial"/>
                <w:color w:val="000000" w:themeColor="text1"/>
                <w:sz w:val="24"/>
                <w:szCs w:val="24"/>
              </w:rPr>
              <w:t xml:space="preserve"> a gravel road, across it and towards an area where small bushes are depicted. The tracks </w:t>
            </w:r>
            <w:r w:rsidR="00D22636">
              <w:rPr>
                <w:rFonts w:ascii="Arial" w:hAnsi="Arial" w:cs="Arial"/>
                <w:color w:val="000000" w:themeColor="text1"/>
                <w:sz w:val="24"/>
                <w:szCs w:val="24"/>
              </w:rPr>
              <w:t>lead to some of the bushes where the tracks overran some of them as was testified by the witness who took the photos. The tracks stopped in front of one of the bushes. A sandal or sandals later identified belonging to the deceased were found close to the bush where it seems the motor vehicle came to stop.</w:t>
            </w:r>
          </w:p>
          <w:p w:rsidR="00D22636" w:rsidRDefault="00D22636" w:rsidP="00D22636">
            <w:pPr>
              <w:pStyle w:val="ListParagraph"/>
              <w:spacing w:line="360" w:lineRule="auto"/>
              <w:ind w:left="540"/>
              <w:jc w:val="both"/>
              <w:rPr>
                <w:rFonts w:ascii="Arial" w:hAnsi="Arial" w:cs="Arial"/>
                <w:color w:val="000000" w:themeColor="text1"/>
                <w:sz w:val="24"/>
                <w:szCs w:val="24"/>
              </w:rPr>
            </w:pPr>
          </w:p>
          <w:p w:rsidR="00D22636" w:rsidRDefault="00D22636" w:rsidP="00E60735">
            <w:pPr>
              <w:pStyle w:val="ListParagraph"/>
              <w:numPr>
                <w:ilvl w:val="0"/>
                <w:numId w:val="2"/>
              </w:numPr>
              <w:spacing w:line="360" w:lineRule="auto"/>
              <w:ind w:hanging="520"/>
              <w:jc w:val="both"/>
              <w:rPr>
                <w:rFonts w:ascii="Arial" w:hAnsi="Arial" w:cs="Arial"/>
                <w:color w:val="000000" w:themeColor="text1"/>
                <w:sz w:val="24"/>
                <w:szCs w:val="24"/>
              </w:rPr>
            </w:pPr>
            <w:r>
              <w:rPr>
                <w:rFonts w:ascii="Arial" w:hAnsi="Arial" w:cs="Arial"/>
                <w:color w:val="000000" w:themeColor="text1"/>
                <w:sz w:val="24"/>
                <w:szCs w:val="24"/>
              </w:rPr>
              <w:t>From this scene footprints were followed to where the deceased were found with injuries and not able to stand or walk.</w:t>
            </w:r>
            <w:r w:rsidR="00C43880">
              <w:rPr>
                <w:rFonts w:ascii="Arial" w:hAnsi="Arial" w:cs="Arial"/>
                <w:color w:val="000000" w:themeColor="text1"/>
                <w:sz w:val="24"/>
                <w:szCs w:val="24"/>
              </w:rPr>
              <w:t xml:space="preserve"> The appellant admitted that he at some stage searched for the deceased.</w:t>
            </w:r>
            <w:r w:rsidR="00A22749">
              <w:rPr>
                <w:rFonts w:ascii="Arial" w:hAnsi="Arial" w:cs="Arial"/>
                <w:color w:val="000000" w:themeColor="text1"/>
                <w:sz w:val="24"/>
                <w:szCs w:val="24"/>
              </w:rPr>
              <w:t xml:space="preserve"> He further admitted that he at some stage had to drive over bushes and that pieces of bark found on the motor vehicle could be as a result thereof.</w:t>
            </w:r>
            <w:r w:rsidR="00C43880">
              <w:rPr>
                <w:rFonts w:ascii="Arial" w:hAnsi="Arial" w:cs="Arial"/>
                <w:color w:val="000000" w:themeColor="text1"/>
                <w:sz w:val="24"/>
                <w:szCs w:val="24"/>
              </w:rPr>
              <w:t xml:space="preserve"> This is consistent with tracks found at the scene.</w:t>
            </w:r>
            <w:r w:rsidR="00F776A3">
              <w:rPr>
                <w:rFonts w:ascii="Arial" w:hAnsi="Arial" w:cs="Arial"/>
                <w:color w:val="000000" w:themeColor="text1"/>
                <w:sz w:val="24"/>
                <w:szCs w:val="24"/>
              </w:rPr>
              <w:t xml:space="preserve"> In my view, the only inference from these facts is that this scene is where the </w:t>
            </w:r>
            <w:r w:rsidR="00667432">
              <w:rPr>
                <w:rFonts w:ascii="Arial" w:hAnsi="Arial" w:cs="Arial"/>
                <w:color w:val="000000" w:themeColor="text1"/>
                <w:sz w:val="24"/>
                <w:szCs w:val="24"/>
              </w:rPr>
              <w:t>appellant</w:t>
            </w:r>
            <w:r w:rsidR="00F776A3">
              <w:rPr>
                <w:rFonts w:ascii="Arial" w:hAnsi="Arial" w:cs="Arial"/>
                <w:color w:val="000000" w:themeColor="text1"/>
                <w:sz w:val="24"/>
                <w:szCs w:val="24"/>
              </w:rPr>
              <w:t xml:space="preserve"> found the deceased. On these facts, no other court may come to a different conclusion.</w:t>
            </w:r>
          </w:p>
          <w:p w:rsidR="00C43880" w:rsidRDefault="00C43880" w:rsidP="00C43880">
            <w:pPr>
              <w:pStyle w:val="ListParagraph"/>
              <w:spacing w:line="360" w:lineRule="auto"/>
              <w:ind w:left="540"/>
              <w:jc w:val="both"/>
              <w:rPr>
                <w:rFonts w:ascii="Arial" w:hAnsi="Arial" w:cs="Arial"/>
                <w:color w:val="000000" w:themeColor="text1"/>
                <w:sz w:val="24"/>
                <w:szCs w:val="24"/>
              </w:rPr>
            </w:pPr>
          </w:p>
          <w:p w:rsidR="00695DD5" w:rsidRDefault="00231BD4" w:rsidP="00E60735">
            <w:pPr>
              <w:pStyle w:val="ListParagraph"/>
              <w:numPr>
                <w:ilvl w:val="0"/>
                <w:numId w:val="2"/>
              </w:numPr>
              <w:spacing w:line="360" w:lineRule="auto"/>
              <w:ind w:hanging="520"/>
              <w:jc w:val="both"/>
              <w:rPr>
                <w:rFonts w:ascii="Arial" w:hAnsi="Arial" w:cs="Arial"/>
                <w:color w:val="000000" w:themeColor="text1"/>
                <w:sz w:val="24"/>
                <w:szCs w:val="24"/>
              </w:rPr>
            </w:pPr>
            <w:r>
              <w:rPr>
                <w:rFonts w:ascii="Arial" w:hAnsi="Arial" w:cs="Arial"/>
                <w:color w:val="000000" w:themeColor="text1"/>
                <w:sz w:val="24"/>
                <w:szCs w:val="24"/>
              </w:rPr>
              <w:t>The scene of crime officer testified that he observed sandal imprints indicative of a person running. He also observed visible tyre tracks in the direction of where the person was running up to the point where the sandal or sandals were found.</w:t>
            </w:r>
            <w:r w:rsidR="00695DD5">
              <w:rPr>
                <w:rFonts w:ascii="Arial" w:hAnsi="Arial" w:cs="Arial"/>
                <w:color w:val="000000" w:themeColor="text1"/>
                <w:sz w:val="24"/>
                <w:szCs w:val="24"/>
              </w:rPr>
              <w:t xml:space="preserve"> The inference from these facts is that the motor vehicle chased or pursued the person running.</w:t>
            </w:r>
          </w:p>
          <w:p w:rsidR="00695DD5" w:rsidRDefault="00695DD5" w:rsidP="00695DD5">
            <w:pPr>
              <w:pStyle w:val="ListParagraph"/>
              <w:spacing w:line="360" w:lineRule="auto"/>
              <w:ind w:left="540"/>
              <w:jc w:val="both"/>
              <w:rPr>
                <w:rFonts w:ascii="Arial" w:hAnsi="Arial" w:cs="Arial"/>
                <w:color w:val="000000" w:themeColor="text1"/>
                <w:sz w:val="24"/>
                <w:szCs w:val="24"/>
              </w:rPr>
            </w:pPr>
          </w:p>
          <w:p w:rsidR="00695DD5" w:rsidRDefault="00231BD4" w:rsidP="00E60735">
            <w:pPr>
              <w:pStyle w:val="ListParagraph"/>
              <w:numPr>
                <w:ilvl w:val="0"/>
                <w:numId w:val="2"/>
              </w:numPr>
              <w:spacing w:line="360" w:lineRule="auto"/>
              <w:ind w:hanging="520"/>
              <w:jc w:val="both"/>
              <w:rPr>
                <w:rFonts w:ascii="Arial" w:hAnsi="Arial" w:cs="Arial"/>
                <w:color w:val="000000" w:themeColor="text1"/>
                <w:sz w:val="24"/>
                <w:szCs w:val="24"/>
              </w:rPr>
            </w:pPr>
            <w:r>
              <w:rPr>
                <w:rFonts w:ascii="Arial" w:hAnsi="Arial" w:cs="Arial"/>
                <w:color w:val="000000" w:themeColor="text1"/>
                <w:sz w:val="24"/>
                <w:szCs w:val="24"/>
              </w:rPr>
              <w:t xml:space="preserve"> One of the photos depicts a broken branch of a Mopani tree. The officer traced shoe prints from the broken branch to a place where a person must have been sitting or crawling. The appellant admitted in his plea explanation that when he encountered the deceased that they were in a physical struggle. This entails that the a</w:t>
            </w:r>
            <w:r w:rsidR="00695DD5">
              <w:rPr>
                <w:rFonts w:ascii="Arial" w:hAnsi="Arial" w:cs="Arial"/>
                <w:color w:val="000000" w:themeColor="text1"/>
                <w:sz w:val="24"/>
                <w:szCs w:val="24"/>
              </w:rPr>
              <w:t>ppellant must ha</w:t>
            </w:r>
            <w:r>
              <w:rPr>
                <w:rFonts w:ascii="Arial" w:hAnsi="Arial" w:cs="Arial"/>
                <w:color w:val="000000" w:themeColor="text1"/>
                <w:sz w:val="24"/>
                <w:szCs w:val="24"/>
              </w:rPr>
              <w:t>ve dise</w:t>
            </w:r>
            <w:r w:rsidR="00695DD5">
              <w:rPr>
                <w:rFonts w:ascii="Arial" w:hAnsi="Arial" w:cs="Arial"/>
                <w:color w:val="000000" w:themeColor="text1"/>
                <w:sz w:val="24"/>
                <w:szCs w:val="24"/>
              </w:rPr>
              <w:t>m</w:t>
            </w:r>
            <w:r>
              <w:rPr>
                <w:rFonts w:ascii="Arial" w:hAnsi="Arial" w:cs="Arial"/>
                <w:color w:val="000000" w:themeColor="text1"/>
                <w:sz w:val="24"/>
                <w:szCs w:val="24"/>
              </w:rPr>
              <w:t>barked</w:t>
            </w:r>
            <w:r w:rsidR="00695DD5">
              <w:rPr>
                <w:rFonts w:ascii="Arial" w:hAnsi="Arial" w:cs="Arial"/>
                <w:color w:val="000000" w:themeColor="text1"/>
                <w:sz w:val="24"/>
                <w:szCs w:val="24"/>
              </w:rPr>
              <w:t xml:space="preserve"> from the motor vehicle. In my view this is but one of the examples </w:t>
            </w:r>
            <w:r w:rsidR="00695DD5">
              <w:rPr>
                <w:rFonts w:ascii="Arial" w:hAnsi="Arial" w:cs="Arial"/>
                <w:color w:val="000000" w:themeColor="text1"/>
                <w:sz w:val="24"/>
                <w:szCs w:val="24"/>
              </w:rPr>
              <w:lastRenderedPageBreak/>
              <w:t>where the appellant downplayed his involvement with the deceased. There is therefore only one inference that the appellant ca</w:t>
            </w:r>
            <w:r w:rsidR="00E36D0E">
              <w:rPr>
                <w:rFonts w:ascii="Arial" w:hAnsi="Arial" w:cs="Arial"/>
                <w:color w:val="000000" w:themeColor="text1"/>
                <w:sz w:val="24"/>
                <w:szCs w:val="24"/>
              </w:rPr>
              <w:t>u</w:t>
            </w:r>
            <w:r w:rsidR="00695DD5">
              <w:rPr>
                <w:rFonts w:ascii="Arial" w:hAnsi="Arial" w:cs="Arial"/>
                <w:color w:val="000000" w:themeColor="text1"/>
                <w:sz w:val="24"/>
                <w:szCs w:val="24"/>
              </w:rPr>
              <w:t>sed the injuries to the deceased from which he eventually died.</w:t>
            </w:r>
          </w:p>
          <w:p w:rsidR="00695DD5" w:rsidRDefault="00695DD5" w:rsidP="00695DD5">
            <w:pPr>
              <w:pStyle w:val="ListParagraph"/>
              <w:spacing w:line="360" w:lineRule="auto"/>
              <w:ind w:left="540"/>
              <w:jc w:val="both"/>
              <w:rPr>
                <w:rFonts w:ascii="Arial" w:hAnsi="Arial" w:cs="Arial"/>
                <w:color w:val="000000" w:themeColor="text1"/>
                <w:sz w:val="24"/>
                <w:szCs w:val="24"/>
              </w:rPr>
            </w:pPr>
          </w:p>
          <w:p w:rsidR="00C43880" w:rsidRDefault="00F9284E" w:rsidP="00E60735">
            <w:pPr>
              <w:pStyle w:val="ListParagraph"/>
              <w:numPr>
                <w:ilvl w:val="0"/>
                <w:numId w:val="2"/>
              </w:numPr>
              <w:spacing w:line="360" w:lineRule="auto"/>
              <w:ind w:hanging="540"/>
              <w:jc w:val="both"/>
              <w:rPr>
                <w:rFonts w:ascii="Arial" w:hAnsi="Arial" w:cs="Arial"/>
                <w:color w:val="000000" w:themeColor="text1"/>
                <w:sz w:val="24"/>
                <w:szCs w:val="24"/>
              </w:rPr>
            </w:pPr>
            <w:r>
              <w:rPr>
                <w:rFonts w:ascii="Arial" w:hAnsi="Arial" w:cs="Arial"/>
                <w:color w:val="000000" w:themeColor="text1"/>
                <w:sz w:val="24"/>
                <w:szCs w:val="24"/>
              </w:rPr>
              <w:t>In the circumstances on the above highlighted facts I am not convinced that another court</w:t>
            </w:r>
            <w:r w:rsidR="00695DD5">
              <w:rPr>
                <w:rFonts w:ascii="Arial" w:hAnsi="Arial" w:cs="Arial"/>
                <w:color w:val="000000" w:themeColor="text1"/>
                <w:sz w:val="24"/>
                <w:szCs w:val="24"/>
              </w:rPr>
              <w:t xml:space="preserve"> </w:t>
            </w:r>
            <w:r>
              <w:rPr>
                <w:rFonts w:ascii="Arial" w:hAnsi="Arial" w:cs="Arial"/>
                <w:color w:val="000000" w:themeColor="text1"/>
                <w:sz w:val="24"/>
                <w:szCs w:val="24"/>
              </w:rPr>
              <w:t>may arrive at a different conclusion that the appellant should be acquitted. The counter application by the respondent therefore stands to be refused.</w:t>
            </w:r>
          </w:p>
          <w:p w:rsidR="00F9284E" w:rsidRDefault="00F9284E" w:rsidP="00F9284E">
            <w:pPr>
              <w:pStyle w:val="ListParagraph"/>
              <w:spacing w:line="360" w:lineRule="auto"/>
              <w:ind w:left="540"/>
              <w:jc w:val="both"/>
              <w:rPr>
                <w:rFonts w:ascii="Arial" w:hAnsi="Arial" w:cs="Arial"/>
                <w:color w:val="000000" w:themeColor="text1"/>
                <w:sz w:val="24"/>
                <w:szCs w:val="24"/>
              </w:rPr>
            </w:pPr>
          </w:p>
          <w:p w:rsidR="00247CFB" w:rsidRDefault="00F9284E" w:rsidP="00E60735">
            <w:pPr>
              <w:pStyle w:val="ListParagraph"/>
              <w:numPr>
                <w:ilvl w:val="0"/>
                <w:numId w:val="2"/>
              </w:numPr>
              <w:spacing w:line="360" w:lineRule="auto"/>
              <w:ind w:hanging="540"/>
              <w:jc w:val="both"/>
              <w:rPr>
                <w:rFonts w:ascii="Arial" w:hAnsi="Arial" w:cs="Arial"/>
                <w:color w:val="000000" w:themeColor="text1"/>
                <w:sz w:val="24"/>
                <w:szCs w:val="24"/>
              </w:rPr>
            </w:pPr>
            <w:r>
              <w:rPr>
                <w:rFonts w:ascii="Arial" w:hAnsi="Arial" w:cs="Arial"/>
                <w:color w:val="000000" w:themeColor="text1"/>
                <w:sz w:val="24"/>
                <w:szCs w:val="24"/>
              </w:rPr>
              <w:t xml:space="preserve">The appellant was convicted </w:t>
            </w:r>
            <w:r w:rsidR="00247CFB">
              <w:rPr>
                <w:rFonts w:ascii="Arial" w:hAnsi="Arial" w:cs="Arial"/>
                <w:color w:val="000000" w:themeColor="text1"/>
                <w:sz w:val="24"/>
                <w:szCs w:val="24"/>
              </w:rPr>
              <w:t>for culpable homicide on circumstantial evidence. There was no direct evidence. This court arrived to the conclusion by inferential reasoning. In my view another court may come to a different conclusion on the proven facts.</w:t>
            </w:r>
          </w:p>
          <w:p w:rsidR="00247CFB" w:rsidRDefault="00247CFB" w:rsidP="00247CFB">
            <w:pPr>
              <w:pStyle w:val="ListParagraph"/>
              <w:spacing w:line="360" w:lineRule="auto"/>
              <w:ind w:left="540"/>
              <w:jc w:val="both"/>
              <w:rPr>
                <w:rFonts w:ascii="Arial" w:hAnsi="Arial" w:cs="Arial"/>
                <w:color w:val="000000" w:themeColor="text1"/>
                <w:sz w:val="24"/>
                <w:szCs w:val="24"/>
              </w:rPr>
            </w:pPr>
          </w:p>
          <w:p w:rsidR="00D33ABC" w:rsidRDefault="00247CFB" w:rsidP="00E60735">
            <w:pPr>
              <w:pStyle w:val="ListParagraph"/>
              <w:numPr>
                <w:ilvl w:val="0"/>
                <w:numId w:val="2"/>
              </w:numPr>
              <w:spacing w:line="360" w:lineRule="auto"/>
              <w:ind w:hanging="520"/>
              <w:jc w:val="both"/>
              <w:rPr>
                <w:rFonts w:ascii="Arial" w:hAnsi="Arial" w:cs="Arial"/>
                <w:color w:val="000000" w:themeColor="text1"/>
                <w:sz w:val="24"/>
                <w:szCs w:val="24"/>
              </w:rPr>
            </w:pPr>
            <w:r>
              <w:rPr>
                <w:rFonts w:ascii="Arial" w:hAnsi="Arial" w:cs="Arial"/>
                <w:color w:val="000000" w:themeColor="text1"/>
                <w:sz w:val="24"/>
                <w:szCs w:val="24"/>
              </w:rPr>
              <w:t>On the charge of discharging a fire arm in a public place or on a public road</w:t>
            </w:r>
            <w:r w:rsidR="005F3696">
              <w:rPr>
                <w:rFonts w:ascii="Arial" w:hAnsi="Arial" w:cs="Arial"/>
                <w:color w:val="000000" w:themeColor="text1"/>
                <w:sz w:val="24"/>
                <w:szCs w:val="24"/>
              </w:rPr>
              <w:t>, the accused testified that he acted in self-defence as the deceased was throwing stones and bottles at him. He was to an extent corroborated by State witnesses that stones indeed landed on the roof of the bar. I am not convinced that another court will find that the appellant did not act in self-defence.</w:t>
            </w:r>
          </w:p>
          <w:p w:rsidR="00F9284E" w:rsidRDefault="00247CFB" w:rsidP="00D33ABC">
            <w:pPr>
              <w:pStyle w:val="ListParagraph"/>
              <w:spacing w:line="360" w:lineRule="auto"/>
              <w:ind w:left="54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B55A3" w:rsidRDefault="00D33ABC" w:rsidP="00E60735">
            <w:pPr>
              <w:pStyle w:val="ListParagraph"/>
              <w:numPr>
                <w:ilvl w:val="0"/>
                <w:numId w:val="2"/>
              </w:numPr>
              <w:spacing w:line="360" w:lineRule="auto"/>
              <w:ind w:hanging="540"/>
              <w:jc w:val="both"/>
              <w:rPr>
                <w:rFonts w:ascii="Arial" w:hAnsi="Arial" w:cs="Arial"/>
                <w:color w:val="000000" w:themeColor="text1"/>
                <w:sz w:val="24"/>
                <w:szCs w:val="24"/>
              </w:rPr>
            </w:pPr>
            <w:r>
              <w:rPr>
                <w:rFonts w:ascii="Arial" w:hAnsi="Arial" w:cs="Arial"/>
                <w:color w:val="000000" w:themeColor="text1"/>
                <w:sz w:val="24"/>
                <w:szCs w:val="24"/>
              </w:rPr>
              <w:t xml:space="preserve">In conclusion I have to comment on the respondent’s bulky heads of argument consisting of 114 pages. </w:t>
            </w:r>
            <w:r w:rsidR="008C5C00">
              <w:rPr>
                <w:rFonts w:ascii="Arial" w:hAnsi="Arial" w:cs="Arial"/>
                <w:color w:val="000000" w:themeColor="text1"/>
                <w:sz w:val="24"/>
                <w:szCs w:val="24"/>
              </w:rPr>
              <w:t>Almost every f</w:t>
            </w:r>
            <w:r w:rsidR="008C5C00" w:rsidRPr="008C5C00">
              <w:rPr>
                <w:rFonts w:ascii="Arial" w:hAnsi="Arial" w:cs="Arial"/>
                <w:color w:val="000000" w:themeColor="text1"/>
                <w:sz w:val="24"/>
                <w:szCs w:val="24"/>
              </w:rPr>
              <w:t>inding of this court is attacked despite material admissions</w:t>
            </w:r>
            <w:r w:rsidR="00BB55A3">
              <w:rPr>
                <w:rFonts w:ascii="Arial" w:hAnsi="Arial" w:cs="Arial"/>
                <w:color w:val="000000" w:themeColor="text1"/>
                <w:sz w:val="24"/>
                <w:szCs w:val="24"/>
              </w:rPr>
              <w:t xml:space="preserve"> from </w:t>
            </w:r>
            <w:r w:rsidR="008C5C00">
              <w:rPr>
                <w:rFonts w:ascii="Arial" w:hAnsi="Arial" w:cs="Arial"/>
                <w:color w:val="000000" w:themeColor="text1"/>
                <w:sz w:val="24"/>
                <w:szCs w:val="24"/>
              </w:rPr>
              <w:t>the appellant</w:t>
            </w:r>
            <w:r w:rsidR="00492E74">
              <w:rPr>
                <w:rFonts w:ascii="Arial" w:hAnsi="Arial" w:cs="Arial"/>
                <w:color w:val="000000" w:themeColor="text1"/>
                <w:sz w:val="24"/>
                <w:szCs w:val="24"/>
              </w:rPr>
              <w:t xml:space="preserve"> and facts that are common cause.</w:t>
            </w:r>
          </w:p>
          <w:p w:rsidR="00D33ABC" w:rsidRDefault="008C5C00" w:rsidP="00BB55A3">
            <w:pPr>
              <w:pStyle w:val="ListParagraph"/>
              <w:spacing w:line="360" w:lineRule="auto"/>
              <w:ind w:left="54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C0FF2" w:rsidRDefault="00EC0FF2" w:rsidP="00E60735">
            <w:pPr>
              <w:pStyle w:val="ListParagraph"/>
              <w:numPr>
                <w:ilvl w:val="0"/>
                <w:numId w:val="2"/>
              </w:numPr>
              <w:spacing w:line="360" w:lineRule="auto"/>
              <w:ind w:hanging="520"/>
              <w:jc w:val="both"/>
              <w:rPr>
                <w:rFonts w:ascii="Arial" w:hAnsi="Arial" w:cs="Arial"/>
                <w:color w:val="000000" w:themeColor="text1"/>
                <w:sz w:val="24"/>
                <w:szCs w:val="24"/>
              </w:rPr>
            </w:pPr>
            <w:r>
              <w:rPr>
                <w:rFonts w:ascii="Arial" w:hAnsi="Arial" w:cs="Arial"/>
                <w:color w:val="000000" w:themeColor="text1"/>
                <w:sz w:val="24"/>
                <w:szCs w:val="24"/>
              </w:rPr>
              <w:t>Rule 17 (7) of the Supreme Court stipulates amongst other:</w:t>
            </w:r>
          </w:p>
          <w:p w:rsidR="00EC0FF2" w:rsidRPr="00EC0FF2" w:rsidRDefault="00EC0FF2" w:rsidP="00EC0FF2">
            <w:pPr>
              <w:pStyle w:val="ListParagraph"/>
              <w:spacing w:line="360" w:lineRule="auto"/>
              <w:ind w:left="540"/>
              <w:jc w:val="both"/>
              <w:rPr>
                <w:rFonts w:ascii="Arial" w:hAnsi="Arial" w:cs="Arial"/>
                <w:b/>
                <w:color w:val="000000" w:themeColor="text1"/>
              </w:rPr>
            </w:pPr>
            <w:r w:rsidRPr="00EC0FF2">
              <w:rPr>
                <w:rFonts w:ascii="Arial" w:hAnsi="Arial" w:cs="Arial"/>
                <w:b/>
                <w:color w:val="000000" w:themeColor="text1"/>
              </w:rPr>
              <w:t>(7) Heads of argument filed with the court in terms of these Rules must-</w:t>
            </w:r>
          </w:p>
          <w:p w:rsidR="00EC0FF2" w:rsidRPr="00EC0FF2" w:rsidRDefault="00EC0FF2" w:rsidP="00EC0FF2">
            <w:pPr>
              <w:pStyle w:val="ListParagraph"/>
              <w:spacing w:line="360" w:lineRule="auto"/>
              <w:ind w:left="540"/>
              <w:jc w:val="both"/>
              <w:rPr>
                <w:rFonts w:ascii="Arial" w:hAnsi="Arial" w:cs="Arial"/>
                <w:color w:val="000000" w:themeColor="text1"/>
              </w:rPr>
            </w:pPr>
          </w:p>
          <w:p w:rsidR="00EC0FF2" w:rsidRPr="00EC0FF2" w:rsidRDefault="00E60735" w:rsidP="00E60735">
            <w:pPr>
              <w:pStyle w:val="ListParagraph"/>
              <w:spacing w:line="360" w:lineRule="auto"/>
              <w:ind w:left="1155" w:hanging="615"/>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t>…</w:t>
            </w:r>
            <w:r w:rsidR="00EC0FF2" w:rsidRPr="00EC0FF2">
              <w:rPr>
                <w:rFonts w:ascii="Arial" w:hAnsi="Arial" w:cs="Arial"/>
                <w:color w:val="000000" w:themeColor="text1"/>
              </w:rPr>
              <w:t>;</w:t>
            </w:r>
          </w:p>
          <w:p w:rsidR="00EC0FF2" w:rsidRPr="00EC0FF2" w:rsidRDefault="00EC0FF2" w:rsidP="00E60735">
            <w:pPr>
              <w:pStyle w:val="ListParagraph"/>
              <w:spacing w:line="360" w:lineRule="auto"/>
              <w:ind w:left="1155" w:hanging="615"/>
              <w:jc w:val="both"/>
              <w:rPr>
                <w:rFonts w:ascii="Arial" w:hAnsi="Arial" w:cs="Arial"/>
                <w:color w:val="000000" w:themeColor="text1"/>
              </w:rPr>
            </w:pPr>
            <w:r w:rsidRPr="00EC0FF2">
              <w:rPr>
                <w:rFonts w:ascii="Arial" w:hAnsi="Arial" w:cs="Arial"/>
                <w:color w:val="000000" w:themeColor="text1"/>
              </w:rPr>
              <w:t>(b)</w:t>
            </w:r>
            <w:r w:rsidR="00E60735">
              <w:rPr>
                <w:rFonts w:ascii="Arial" w:hAnsi="Arial" w:cs="Arial"/>
                <w:color w:val="000000" w:themeColor="text1"/>
              </w:rPr>
              <w:tab/>
            </w:r>
            <w:r w:rsidRPr="00EC0FF2">
              <w:rPr>
                <w:rFonts w:ascii="Arial" w:hAnsi="Arial" w:cs="Arial"/>
                <w:b/>
                <w:color w:val="000000" w:themeColor="text1"/>
              </w:rPr>
              <w:t>be clear and concise and must not contain unnecessary elaboration</w:t>
            </w:r>
            <w:r w:rsidRPr="00EC0FF2">
              <w:rPr>
                <w:rFonts w:ascii="Arial" w:hAnsi="Arial" w:cs="Arial"/>
                <w:color w:val="000000" w:themeColor="text1"/>
              </w:rPr>
              <w:t>;</w:t>
            </w:r>
          </w:p>
          <w:p w:rsidR="00EC0FF2" w:rsidRPr="00EC0FF2" w:rsidRDefault="00EC0FF2" w:rsidP="00E60735">
            <w:pPr>
              <w:pStyle w:val="ListParagraph"/>
              <w:spacing w:line="360" w:lineRule="auto"/>
              <w:ind w:left="1155" w:hanging="615"/>
              <w:jc w:val="both"/>
              <w:rPr>
                <w:rFonts w:ascii="Arial" w:hAnsi="Arial" w:cs="Arial"/>
                <w:color w:val="000000" w:themeColor="text1"/>
              </w:rPr>
            </w:pPr>
            <w:r w:rsidRPr="00EC0FF2">
              <w:rPr>
                <w:rFonts w:ascii="Arial" w:hAnsi="Arial" w:cs="Arial"/>
                <w:color w:val="000000" w:themeColor="text1"/>
              </w:rPr>
              <w:t>(</w:t>
            </w:r>
            <w:proofErr w:type="gramStart"/>
            <w:r w:rsidRPr="00EC0FF2">
              <w:rPr>
                <w:rFonts w:ascii="Arial" w:hAnsi="Arial" w:cs="Arial"/>
                <w:color w:val="000000" w:themeColor="text1"/>
              </w:rPr>
              <w:t>c</w:t>
            </w:r>
            <w:proofErr w:type="gramEnd"/>
            <w:r w:rsidRPr="00EC0FF2">
              <w:rPr>
                <w:rFonts w:ascii="Arial" w:hAnsi="Arial" w:cs="Arial"/>
                <w:color w:val="000000" w:themeColor="text1"/>
              </w:rPr>
              <w:t>)</w:t>
            </w:r>
            <w:r w:rsidR="00E60735">
              <w:rPr>
                <w:rFonts w:ascii="Arial" w:hAnsi="Arial" w:cs="Arial"/>
                <w:color w:val="000000" w:themeColor="text1"/>
              </w:rPr>
              <w:tab/>
              <w:t>…;</w:t>
            </w:r>
            <w:r w:rsidRPr="00EC0FF2">
              <w:rPr>
                <w:rFonts w:ascii="Arial" w:hAnsi="Arial" w:cs="Arial"/>
                <w:color w:val="000000" w:themeColor="text1"/>
              </w:rPr>
              <w:tab/>
            </w:r>
          </w:p>
          <w:p w:rsidR="00EC0FF2" w:rsidRDefault="00EC0FF2" w:rsidP="00E60735">
            <w:pPr>
              <w:pStyle w:val="ListParagraph"/>
              <w:spacing w:line="360" w:lineRule="auto"/>
              <w:ind w:left="1155" w:hanging="615"/>
              <w:jc w:val="both"/>
              <w:rPr>
                <w:rFonts w:ascii="Arial" w:hAnsi="Arial" w:cs="Arial"/>
                <w:color w:val="000000" w:themeColor="text1"/>
              </w:rPr>
            </w:pPr>
            <w:r w:rsidRPr="00EC0FF2">
              <w:rPr>
                <w:rFonts w:ascii="Arial" w:hAnsi="Arial" w:cs="Arial"/>
                <w:color w:val="000000" w:themeColor="text1"/>
              </w:rPr>
              <w:t>(</w:t>
            </w:r>
            <w:proofErr w:type="gramStart"/>
            <w:r w:rsidRPr="00EC0FF2">
              <w:rPr>
                <w:rFonts w:ascii="Arial" w:hAnsi="Arial" w:cs="Arial"/>
                <w:color w:val="000000" w:themeColor="text1"/>
              </w:rPr>
              <w:t>d</w:t>
            </w:r>
            <w:proofErr w:type="gramEnd"/>
            <w:r w:rsidR="00E60735">
              <w:rPr>
                <w:rFonts w:ascii="Arial" w:hAnsi="Arial" w:cs="Arial"/>
                <w:color w:val="000000" w:themeColor="text1"/>
              </w:rPr>
              <w:tab/>
              <w:t>….</w:t>
            </w:r>
          </w:p>
          <w:p w:rsidR="00492E74" w:rsidRPr="00492E74" w:rsidRDefault="00492E74" w:rsidP="00EC0FF2">
            <w:pPr>
              <w:pStyle w:val="ListParagraph"/>
              <w:spacing w:line="360" w:lineRule="auto"/>
              <w:ind w:left="540"/>
              <w:jc w:val="both"/>
              <w:rPr>
                <w:rFonts w:ascii="Arial" w:hAnsi="Arial" w:cs="Arial"/>
                <w:color w:val="000000" w:themeColor="text1"/>
                <w:sz w:val="24"/>
                <w:szCs w:val="24"/>
              </w:rPr>
            </w:pPr>
            <w:r>
              <w:rPr>
                <w:rFonts w:ascii="Arial" w:hAnsi="Arial" w:cs="Arial"/>
                <w:color w:val="000000" w:themeColor="text1"/>
                <w:sz w:val="24"/>
                <w:szCs w:val="24"/>
              </w:rPr>
              <w:t xml:space="preserve">Rule </w:t>
            </w:r>
            <w:r w:rsidR="007564D2">
              <w:rPr>
                <w:rFonts w:ascii="Arial" w:hAnsi="Arial" w:cs="Arial"/>
                <w:color w:val="000000" w:themeColor="text1"/>
                <w:sz w:val="24"/>
                <w:szCs w:val="24"/>
              </w:rPr>
              <w:t>118</w:t>
            </w:r>
            <w:r>
              <w:rPr>
                <w:rFonts w:ascii="Arial" w:hAnsi="Arial" w:cs="Arial"/>
                <w:color w:val="000000" w:themeColor="text1"/>
                <w:sz w:val="24"/>
                <w:szCs w:val="24"/>
              </w:rPr>
              <w:t xml:space="preserve"> of the Rules of the High Court</w:t>
            </w:r>
            <w:r w:rsidR="00E36D0E">
              <w:rPr>
                <w:rFonts w:ascii="Arial" w:hAnsi="Arial" w:cs="Arial"/>
                <w:color w:val="000000" w:themeColor="text1"/>
                <w:sz w:val="24"/>
                <w:szCs w:val="24"/>
              </w:rPr>
              <w:t xml:space="preserve"> in relation to appeals</w:t>
            </w:r>
            <w:r w:rsidR="007564D2">
              <w:rPr>
                <w:rFonts w:ascii="Arial" w:hAnsi="Arial" w:cs="Arial"/>
                <w:color w:val="000000" w:themeColor="text1"/>
                <w:sz w:val="24"/>
                <w:szCs w:val="24"/>
              </w:rPr>
              <w:t xml:space="preserve"> likewise stipulates that </w:t>
            </w:r>
            <w:r w:rsidR="007564D2" w:rsidRPr="007564D2">
              <w:rPr>
                <w:rFonts w:ascii="Arial" w:hAnsi="Arial" w:cs="Arial"/>
                <w:color w:val="000000" w:themeColor="text1"/>
                <w:sz w:val="24"/>
                <w:szCs w:val="24"/>
              </w:rPr>
              <w:t>a concise statement, without elaboration</w:t>
            </w:r>
            <w:r w:rsidR="007564D2">
              <w:rPr>
                <w:rFonts w:ascii="Arial" w:hAnsi="Arial" w:cs="Arial"/>
                <w:color w:val="000000" w:themeColor="text1"/>
                <w:sz w:val="24"/>
                <w:szCs w:val="24"/>
              </w:rPr>
              <w:t xml:space="preserve"> must be filed.</w:t>
            </w:r>
            <w:r w:rsidR="005B7D80">
              <w:rPr>
                <w:rFonts w:ascii="Arial" w:hAnsi="Arial" w:cs="Arial"/>
                <w:color w:val="000000" w:themeColor="text1"/>
                <w:sz w:val="24"/>
                <w:szCs w:val="24"/>
              </w:rPr>
              <w:t xml:space="preserve"> In my view the principle is </w:t>
            </w:r>
            <w:r w:rsidR="005B7D80">
              <w:rPr>
                <w:rFonts w:ascii="Arial" w:hAnsi="Arial" w:cs="Arial"/>
                <w:color w:val="000000" w:themeColor="text1"/>
                <w:sz w:val="24"/>
                <w:szCs w:val="24"/>
              </w:rPr>
              <w:lastRenderedPageBreak/>
              <w:t>likewise applicable to heads of argument for applications of leave to appeal.</w:t>
            </w:r>
            <w:r w:rsidR="00E36D0E">
              <w:rPr>
                <w:rFonts w:ascii="Arial" w:hAnsi="Arial" w:cs="Arial"/>
                <w:color w:val="000000" w:themeColor="text1"/>
                <w:sz w:val="24"/>
                <w:szCs w:val="24"/>
              </w:rPr>
              <w:t xml:space="preserve"> Non-compliance may lead the court not to entertain such applications.</w:t>
            </w:r>
          </w:p>
          <w:p w:rsidR="00EC0FF2" w:rsidRDefault="00EC0FF2" w:rsidP="00EC0FF2">
            <w:pPr>
              <w:pStyle w:val="ListParagraph"/>
              <w:spacing w:line="360" w:lineRule="auto"/>
              <w:ind w:left="540"/>
              <w:jc w:val="both"/>
              <w:rPr>
                <w:rFonts w:ascii="Arial" w:hAnsi="Arial" w:cs="Arial"/>
                <w:color w:val="000000" w:themeColor="text1"/>
              </w:rPr>
            </w:pPr>
          </w:p>
          <w:p w:rsidR="00EC0FF2" w:rsidRPr="00EC0FF2" w:rsidRDefault="00EC0FF2" w:rsidP="00EC0FF2">
            <w:pPr>
              <w:pStyle w:val="ListParagraph"/>
              <w:spacing w:line="360" w:lineRule="auto"/>
              <w:ind w:left="540"/>
              <w:jc w:val="both"/>
              <w:rPr>
                <w:rFonts w:ascii="Arial" w:hAnsi="Arial" w:cs="Arial"/>
                <w:color w:val="000000" w:themeColor="text1"/>
              </w:rPr>
            </w:pPr>
            <w:r w:rsidRPr="00EC0FF2">
              <w:rPr>
                <w:rFonts w:ascii="Arial" w:hAnsi="Arial" w:cs="Arial"/>
                <w:color w:val="000000" w:themeColor="text1"/>
              </w:rPr>
              <w:tab/>
            </w:r>
          </w:p>
          <w:p w:rsidR="00EC0FF2" w:rsidRDefault="00492E74" w:rsidP="001E048D">
            <w:pPr>
              <w:pStyle w:val="ListParagraph"/>
              <w:numPr>
                <w:ilvl w:val="0"/>
                <w:numId w:val="2"/>
              </w:numPr>
              <w:spacing w:line="360" w:lineRule="auto"/>
              <w:ind w:hanging="540"/>
              <w:jc w:val="both"/>
              <w:rPr>
                <w:rFonts w:ascii="Arial" w:hAnsi="Arial" w:cs="Arial"/>
                <w:color w:val="000000" w:themeColor="text1"/>
                <w:sz w:val="24"/>
                <w:szCs w:val="24"/>
              </w:rPr>
            </w:pPr>
            <w:r>
              <w:rPr>
                <w:rFonts w:ascii="Arial" w:hAnsi="Arial" w:cs="Arial"/>
                <w:color w:val="000000" w:themeColor="text1"/>
                <w:sz w:val="24"/>
                <w:szCs w:val="24"/>
              </w:rPr>
              <w:t>In the result:</w:t>
            </w:r>
          </w:p>
          <w:p w:rsidR="00492E74" w:rsidRPr="00492E74" w:rsidRDefault="00492E74" w:rsidP="00E60735">
            <w:pPr>
              <w:pStyle w:val="ListParagraph"/>
              <w:numPr>
                <w:ilvl w:val="1"/>
                <w:numId w:val="2"/>
              </w:numPr>
              <w:spacing w:line="360" w:lineRule="auto"/>
              <w:ind w:hanging="531"/>
              <w:jc w:val="both"/>
              <w:rPr>
                <w:rFonts w:ascii="Arial" w:hAnsi="Arial" w:cs="Arial"/>
                <w:sz w:val="24"/>
                <w:szCs w:val="24"/>
              </w:rPr>
            </w:pPr>
            <w:r w:rsidRPr="00492E74">
              <w:rPr>
                <w:rFonts w:ascii="Arial" w:hAnsi="Arial" w:cs="Arial"/>
                <w:sz w:val="24"/>
                <w:szCs w:val="24"/>
              </w:rPr>
              <w:t>Condonation for the late filing</w:t>
            </w:r>
            <w:r w:rsidR="00E340A8">
              <w:rPr>
                <w:rFonts w:ascii="Arial" w:hAnsi="Arial" w:cs="Arial"/>
                <w:sz w:val="24"/>
                <w:szCs w:val="24"/>
              </w:rPr>
              <w:t xml:space="preserve"> of the application for leave to appeal and </w:t>
            </w:r>
            <w:r w:rsidRPr="00492E74">
              <w:rPr>
                <w:rFonts w:ascii="Arial" w:hAnsi="Arial" w:cs="Arial"/>
                <w:sz w:val="24"/>
                <w:szCs w:val="24"/>
              </w:rPr>
              <w:t xml:space="preserve"> heads of argument of the respondent is granted;</w:t>
            </w:r>
          </w:p>
          <w:p w:rsidR="00492E74" w:rsidRDefault="00492E74" w:rsidP="00E60735">
            <w:pPr>
              <w:pStyle w:val="ListParagraph"/>
              <w:numPr>
                <w:ilvl w:val="1"/>
                <w:numId w:val="2"/>
              </w:numPr>
              <w:spacing w:line="360" w:lineRule="auto"/>
              <w:ind w:hanging="531"/>
              <w:jc w:val="both"/>
              <w:rPr>
                <w:rFonts w:ascii="Arial" w:hAnsi="Arial" w:cs="Arial"/>
                <w:sz w:val="24"/>
                <w:szCs w:val="24"/>
              </w:rPr>
            </w:pPr>
            <w:r w:rsidRPr="00492E74">
              <w:rPr>
                <w:rFonts w:ascii="Arial" w:hAnsi="Arial" w:cs="Arial"/>
                <w:sz w:val="24"/>
                <w:szCs w:val="24"/>
              </w:rPr>
              <w:t>Leave to appeal against the conviction and sentence for culpable homicide is granted;</w:t>
            </w:r>
          </w:p>
          <w:p w:rsidR="00E340A8" w:rsidRPr="00492E74" w:rsidRDefault="00E340A8" w:rsidP="00E60735">
            <w:pPr>
              <w:pStyle w:val="ListParagraph"/>
              <w:numPr>
                <w:ilvl w:val="1"/>
                <w:numId w:val="2"/>
              </w:numPr>
              <w:spacing w:line="360" w:lineRule="auto"/>
              <w:ind w:hanging="531"/>
              <w:jc w:val="both"/>
              <w:rPr>
                <w:rFonts w:ascii="Arial" w:hAnsi="Arial" w:cs="Arial"/>
                <w:sz w:val="24"/>
                <w:szCs w:val="24"/>
              </w:rPr>
            </w:pPr>
            <w:r>
              <w:rPr>
                <w:rFonts w:ascii="Arial" w:hAnsi="Arial" w:cs="Arial"/>
                <w:sz w:val="24"/>
                <w:szCs w:val="24"/>
              </w:rPr>
              <w:t xml:space="preserve">Leave to appeal against the acquittal of contravening section 38(1)(o) read with sections 1, 38(2) and 39 of the Arms and Ammunition Act, Act 7 of 1996-discharging a fire arm in or on any public place or public road is refused; </w:t>
            </w:r>
          </w:p>
          <w:p w:rsidR="00492E74" w:rsidRPr="00492E74" w:rsidRDefault="00492E74" w:rsidP="00E60735">
            <w:pPr>
              <w:pStyle w:val="ListParagraph"/>
              <w:numPr>
                <w:ilvl w:val="1"/>
                <w:numId w:val="2"/>
              </w:numPr>
              <w:spacing w:line="360" w:lineRule="auto"/>
              <w:ind w:hanging="531"/>
              <w:jc w:val="both"/>
              <w:rPr>
                <w:rFonts w:ascii="Arial" w:hAnsi="Arial" w:cs="Arial"/>
                <w:sz w:val="24"/>
                <w:szCs w:val="24"/>
              </w:rPr>
            </w:pPr>
            <w:r w:rsidRPr="00492E74">
              <w:rPr>
                <w:rFonts w:ascii="Arial" w:hAnsi="Arial" w:cs="Arial"/>
                <w:sz w:val="24"/>
                <w:szCs w:val="24"/>
              </w:rPr>
              <w:t>Leave to appeal against the conviction of culpable homicide is refused;</w:t>
            </w:r>
          </w:p>
          <w:p w:rsidR="00492E74" w:rsidRPr="00492E74" w:rsidRDefault="00492E74" w:rsidP="00E60735">
            <w:pPr>
              <w:pStyle w:val="ListParagraph"/>
              <w:numPr>
                <w:ilvl w:val="1"/>
                <w:numId w:val="2"/>
              </w:numPr>
              <w:spacing w:line="360" w:lineRule="auto"/>
              <w:ind w:hanging="531"/>
              <w:jc w:val="both"/>
              <w:rPr>
                <w:rFonts w:ascii="Arial" w:hAnsi="Arial" w:cs="Arial"/>
                <w:sz w:val="24"/>
                <w:szCs w:val="24"/>
              </w:rPr>
            </w:pPr>
            <w:r w:rsidRPr="00492E74">
              <w:rPr>
                <w:rFonts w:ascii="Arial" w:hAnsi="Arial" w:cs="Arial"/>
                <w:sz w:val="24"/>
                <w:szCs w:val="24"/>
              </w:rPr>
              <w:t>Leave to appeal against the order of non- forfeiture of the motor vehicle in question is refused</w:t>
            </w:r>
            <w:r w:rsidR="00E340A8">
              <w:rPr>
                <w:rFonts w:ascii="Arial" w:hAnsi="Arial" w:cs="Arial"/>
                <w:sz w:val="24"/>
                <w:szCs w:val="24"/>
              </w:rPr>
              <w:t>.</w:t>
            </w:r>
          </w:p>
          <w:p w:rsidR="00BE6A5C" w:rsidRPr="00492E74" w:rsidRDefault="00BE6A5C" w:rsidP="00492E74">
            <w:pPr>
              <w:spacing w:line="360" w:lineRule="auto"/>
              <w:jc w:val="both"/>
              <w:rPr>
                <w:rFonts w:ascii="Arial Narrow" w:hAnsi="Arial Narrow" w:cs="Arial"/>
                <w:i/>
                <w:color w:val="FF0000"/>
                <w:sz w:val="24"/>
                <w:szCs w:val="24"/>
              </w:rPr>
            </w:pPr>
          </w:p>
        </w:tc>
      </w:tr>
      <w:tr w:rsidR="005447D3" w:rsidRPr="00482EC8" w:rsidTr="005447D3">
        <w:trPr>
          <w:trHeight w:val="576"/>
        </w:trPr>
        <w:tc>
          <w:tcPr>
            <w:tcW w:w="4770" w:type="dxa"/>
          </w:tcPr>
          <w:p w:rsidR="005447D3" w:rsidRPr="00482EC8" w:rsidRDefault="005447D3" w:rsidP="00DB0417">
            <w:pPr>
              <w:spacing w:line="360" w:lineRule="auto"/>
              <w:rPr>
                <w:rFonts w:ascii="Arial" w:hAnsi="Arial" w:cs="Arial"/>
                <w:b/>
                <w:sz w:val="24"/>
                <w:szCs w:val="24"/>
              </w:rPr>
            </w:pPr>
            <w:r>
              <w:rPr>
                <w:rFonts w:ascii="Arial" w:hAnsi="Arial" w:cs="Arial"/>
                <w:b/>
                <w:sz w:val="24"/>
                <w:szCs w:val="24"/>
              </w:rPr>
              <w:lastRenderedPageBreak/>
              <w:t>Judge(s) signature</w:t>
            </w:r>
          </w:p>
        </w:tc>
        <w:tc>
          <w:tcPr>
            <w:tcW w:w="4950" w:type="dxa"/>
            <w:gridSpan w:val="2"/>
          </w:tcPr>
          <w:p w:rsidR="005447D3" w:rsidRPr="00482EC8" w:rsidRDefault="005447D3" w:rsidP="00DB0417">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5447D3" w:rsidRPr="00AC190B" w:rsidTr="005447D3">
        <w:trPr>
          <w:trHeight w:val="860"/>
        </w:trPr>
        <w:tc>
          <w:tcPr>
            <w:tcW w:w="4770" w:type="dxa"/>
          </w:tcPr>
          <w:p w:rsidR="005447D3" w:rsidRPr="00AC190B" w:rsidRDefault="005447D3" w:rsidP="00DB0417">
            <w:pPr>
              <w:spacing w:line="360" w:lineRule="auto"/>
              <w:rPr>
                <w:rFonts w:ascii="Arial" w:hAnsi="Arial" w:cs="Arial"/>
                <w:sz w:val="24"/>
                <w:szCs w:val="24"/>
              </w:rPr>
            </w:pPr>
            <w:r>
              <w:rPr>
                <w:rFonts w:ascii="Arial" w:hAnsi="Arial" w:cs="Arial"/>
                <w:sz w:val="24"/>
                <w:szCs w:val="24"/>
              </w:rPr>
              <w:t>January J</w:t>
            </w:r>
          </w:p>
        </w:tc>
        <w:tc>
          <w:tcPr>
            <w:tcW w:w="4950" w:type="dxa"/>
            <w:gridSpan w:val="2"/>
          </w:tcPr>
          <w:p w:rsidR="005447D3" w:rsidRPr="00E60735" w:rsidRDefault="005447D3" w:rsidP="005447D3">
            <w:pPr>
              <w:spacing w:line="360" w:lineRule="auto"/>
              <w:jc w:val="both"/>
              <w:rPr>
                <w:rFonts w:ascii="Arial" w:hAnsi="Arial" w:cs="Arial"/>
                <w:b/>
              </w:rPr>
            </w:pPr>
            <w:r w:rsidRPr="00E60735">
              <w:rPr>
                <w:rFonts w:ascii="Arial" w:hAnsi="Arial" w:cs="Arial"/>
                <w:b/>
              </w:rPr>
              <w:t>NOTE TO THE PARTIES</w:t>
            </w:r>
          </w:p>
          <w:p w:rsidR="005447D3" w:rsidRPr="00AC190B" w:rsidRDefault="005447D3" w:rsidP="005447D3">
            <w:pPr>
              <w:spacing w:line="360" w:lineRule="auto"/>
              <w:rPr>
                <w:rFonts w:ascii="Arial" w:hAnsi="Arial" w:cs="Arial"/>
                <w:sz w:val="24"/>
                <w:szCs w:val="24"/>
              </w:rPr>
            </w:pPr>
            <w:r w:rsidRPr="00E60735">
              <w:rPr>
                <w:rFonts w:ascii="Arial" w:hAnsi="Arial" w:cs="Arial"/>
                <w:b/>
              </w:rPr>
              <w:t>The reason(s) hereby provided should be lodged together with any Petition made to the Chief Justice of the Supreme Court</w:t>
            </w:r>
            <w:r w:rsidR="00B95B46">
              <w:rPr>
                <w:rFonts w:ascii="Arial" w:hAnsi="Arial" w:cs="Arial"/>
                <w:b/>
              </w:rPr>
              <w:t>.</w:t>
            </w:r>
          </w:p>
        </w:tc>
      </w:tr>
      <w:tr w:rsidR="005447D3" w:rsidRPr="00482EC8" w:rsidTr="00FD2CEE">
        <w:trPr>
          <w:trHeight w:val="770"/>
        </w:trPr>
        <w:tc>
          <w:tcPr>
            <w:tcW w:w="9720" w:type="dxa"/>
            <w:gridSpan w:val="3"/>
          </w:tcPr>
          <w:p w:rsidR="005447D3" w:rsidRDefault="0039497C" w:rsidP="00DB0417">
            <w:pPr>
              <w:spacing w:line="360" w:lineRule="auto"/>
              <w:rPr>
                <w:rFonts w:ascii="Arial" w:hAnsi="Arial" w:cs="Arial"/>
                <w:sz w:val="24"/>
                <w:szCs w:val="24"/>
              </w:rPr>
            </w:pPr>
            <w:r>
              <w:rPr>
                <w:rFonts w:ascii="Arial" w:hAnsi="Arial" w:cs="Arial"/>
                <w:b/>
                <w:sz w:val="24"/>
                <w:szCs w:val="24"/>
              </w:rPr>
              <w:t xml:space="preserve">                                                             </w:t>
            </w:r>
            <w:r w:rsidR="005447D3" w:rsidRPr="005447D3">
              <w:rPr>
                <w:rFonts w:ascii="Arial" w:hAnsi="Arial" w:cs="Arial"/>
                <w:b/>
                <w:sz w:val="24"/>
                <w:szCs w:val="24"/>
              </w:rPr>
              <w:t>Counsel:</w:t>
            </w:r>
          </w:p>
        </w:tc>
      </w:tr>
      <w:tr w:rsidR="005447D3" w:rsidRPr="00482EC8" w:rsidTr="005447D3">
        <w:trPr>
          <w:trHeight w:val="550"/>
        </w:trPr>
        <w:tc>
          <w:tcPr>
            <w:tcW w:w="4770" w:type="dxa"/>
          </w:tcPr>
          <w:p w:rsidR="005447D3" w:rsidRPr="00482EC8" w:rsidRDefault="00B95B46" w:rsidP="00DB0417">
            <w:pPr>
              <w:spacing w:line="360" w:lineRule="auto"/>
              <w:rPr>
                <w:rFonts w:ascii="Arial" w:hAnsi="Arial" w:cs="Arial"/>
                <w:b/>
                <w:sz w:val="24"/>
                <w:szCs w:val="24"/>
              </w:rPr>
            </w:pPr>
            <w:r>
              <w:rPr>
                <w:rFonts w:ascii="Arial" w:hAnsi="Arial" w:cs="Arial"/>
                <w:b/>
                <w:sz w:val="24"/>
                <w:szCs w:val="24"/>
              </w:rPr>
              <w:t>Applicant</w:t>
            </w:r>
          </w:p>
        </w:tc>
        <w:tc>
          <w:tcPr>
            <w:tcW w:w="4950" w:type="dxa"/>
            <w:gridSpan w:val="2"/>
          </w:tcPr>
          <w:p w:rsidR="005447D3" w:rsidRPr="00482EC8" w:rsidRDefault="005447D3" w:rsidP="00DB0417">
            <w:pPr>
              <w:spacing w:line="360" w:lineRule="auto"/>
              <w:rPr>
                <w:rFonts w:ascii="Arial" w:hAnsi="Arial" w:cs="Arial"/>
                <w:b/>
                <w:sz w:val="24"/>
                <w:szCs w:val="24"/>
              </w:rPr>
            </w:pPr>
            <w:r w:rsidRPr="00482EC8">
              <w:rPr>
                <w:rFonts w:ascii="Arial" w:hAnsi="Arial" w:cs="Arial"/>
                <w:b/>
                <w:sz w:val="24"/>
                <w:szCs w:val="24"/>
              </w:rPr>
              <w:t>Respondent</w:t>
            </w:r>
          </w:p>
        </w:tc>
      </w:tr>
      <w:tr w:rsidR="005447D3" w:rsidRPr="00482EC8" w:rsidTr="005447D3">
        <w:trPr>
          <w:trHeight w:val="798"/>
        </w:trPr>
        <w:tc>
          <w:tcPr>
            <w:tcW w:w="4770" w:type="dxa"/>
          </w:tcPr>
          <w:p w:rsidR="005447D3" w:rsidRDefault="00B95B46" w:rsidP="00DB0417">
            <w:pPr>
              <w:spacing w:line="360" w:lineRule="auto"/>
              <w:rPr>
                <w:rFonts w:ascii="Arial" w:hAnsi="Arial" w:cs="Arial"/>
                <w:sz w:val="24"/>
                <w:szCs w:val="24"/>
              </w:rPr>
            </w:pPr>
            <w:r>
              <w:rPr>
                <w:rFonts w:ascii="Arial" w:hAnsi="Arial" w:cs="Arial"/>
                <w:sz w:val="24"/>
                <w:szCs w:val="24"/>
              </w:rPr>
              <w:t xml:space="preserve">Mr P </w:t>
            </w:r>
            <w:proofErr w:type="spellStart"/>
            <w:r>
              <w:rPr>
                <w:rFonts w:ascii="Arial" w:hAnsi="Arial" w:cs="Arial"/>
                <w:sz w:val="24"/>
                <w:szCs w:val="24"/>
              </w:rPr>
              <w:t>Greyling</w:t>
            </w:r>
            <w:proofErr w:type="spellEnd"/>
          </w:p>
          <w:p w:rsidR="0089447D" w:rsidRDefault="005447D3" w:rsidP="00B95B46">
            <w:pPr>
              <w:spacing w:line="360" w:lineRule="auto"/>
              <w:rPr>
                <w:rFonts w:ascii="Arial" w:hAnsi="Arial" w:cs="Arial"/>
                <w:sz w:val="24"/>
                <w:szCs w:val="24"/>
              </w:rPr>
            </w:pPr>
            <w:r>
              <w:rPr>
                <w:rFonts w:ascii="Arial" w:hAnsi="Arial" w:cs="Arial"/>
                <w:sz w:val="24"/>
                <w:szCs w:val="24"/>
              </w:rPr>
              <w:t xml:space="preserve">Of </w:t>
            </w:r>
            <w:proofErr w:type="spellStart"/>
            <w:r w:rsidR="00B95B46">
              <w:rPr>
                <w:rFonts w:ascii="Arial" w:hAnsi="Arial" w:cs="Arial"/>
                <w:sz w:val="24"/>
                <w:szCs w:val="24"/>
              </w:rPr>
              <w:t>Greyling</w:t>
            </w:r>
            <w:proofErr w:type="spellEnd"/>
            <w:r>
              <w:rPr>
                <w:rFonts w:ascii="Arial" w:hAnsi="Arial" w:cs="Arial"/>
                <w:sz w:val="24"/>
                <w:szCs w:val="24"/>
              </w:rPr>
              <w:t xml:space="preserve"> &amp; Associates</w:t>
            </w:r>
          </w:p>
          <w:p w:rsidR="0089447D" w:rsidRPr="00482EC8" w:rsidRDefault="0089447D" w:rsidP="00B95B46">
            <w:pPr>
              <w:spacing w:line="360" w:lineRule="auto"/>
              <w:rPr>
                <w:rFonts w:ascii="Arial" w:hAnsi="Arial" w:cs="Arial"/>
                <w:sz w:val="24"/>
                <w:szCs w:val="24"/>
              </w:rPr>
            </w:pPr>
            <w:proofErr w:type="spellStart"/>
            <w:r>
              <w:rPr>
                <w:rFonts w:ascii="Arial" w:hAnsi="Arial" w:cs="Arial"/>
                <w:sz w:val="24"/>
                <w:szCs w:val="24"/>
              </w:rPr>
              <w:t>Oshakati</w:t>
            </w:r>
            <w:proofErr w:type="spellEnd"/>
          </w:p>
        </w:tc>
        <w:tc>
          <w:tcPr>
            <w:tcW w:w="4950" w:type="dxa"/>
            <w:gridSpan w:val="2"/>
          </w:tcPr>
          <w:p w:rsidR="005447D3" w:rsidRDefault="00B95B46" w:rsidP="00DB0417">
            <w:pPr>
              <w:spacing w:line="360" w:lineRule="auto"/>
              <w:rPr>
                <w:rFonts w:ascii="Arial" w:hAnsi="Arial" w:cs="Arial"/>
                <w:sz w:val="24"/>
                <w:szCs w:val="24"/>
              </w:rPr>
            </w:pPr>
            <w:r>
              <w:rPr>
                <w:rFonts w:ascii="Arial" w:hAnsi="Arial" w:cs="Arial"/>
                <w:sz w:val="24"/>
                <w:szCs w:val="24"/>
              </w:rPr>
              <w:t xml:space="preserve">Mr L </w:t>
            </w:r>
            <w:proofErr w:type="spellStart"/>
            <w:r>
              <w:rPr>
                <w:rFonts w:ascii="Arial" w:hAnsi="Arial" w:cs="Arial"/>
                <w:sz w:val="24"/>
                <w:szCs w:val="24"/>
              </w:rPr>
              <w:t>Matota</w:t>
            </w:r>
            <w:proofErr w:type="spellEnd"/>
          </w:p>
          <w:p w:rsidR="005447D3" w:rsidRDefault="005447D3" w:rsidP="00DB0417">
            <w:pPr>
              <w:spacing w:line="360" w:lineRule="auto"/>
              <w:rPr>
                <w:rFonts w:ascii="Arial" w:hAnsi="Arial" w:cs="Arial"/>
                <w:sz w:val="24"/>
                <w:szCs w:val="24"/>
              </w:rPr>
            </w:pPr>
            <w:r>
              <w:rPr>
                <w:rFonts w:ascii="Arial" w:hAnsi="Arial" w:cs="Arial"/>
                <w:sz w:val="24"/>
                <w:szCs w:val="24"/>
              </w:rPr>
              <w:t>Of Office of the Prosecutor-General</w:t>
            </w:r>
          </w:p>
          <w:p w:rsidR="0089447D" w:rsidRPr="00482EC8" w:rsidRDefault="0089447D" w:rsidP="00DB0417">
            <w:pPr>
              <w:spacing w:line="360" w:lineRule="auto"/>
              <w:rPr>
                <w:rFonts w:ascii="Arial" w:hAnsi="Arial" w:cs="Arial"/>
                <w:sz w:val="24"/>
                <w:szCs w:val="24"/>
              </w:rPr>
            </w:pPr>
            <w:proofErr w:type="spellStart"/>
            <w:r>
              <w:rPr>
                <w:rFonts w:ascii="Arial" w:hAnsi="Arial" w:cs="Arial"/>
                <w:sz w:val="24"/>
                <w:szCs w:val="24"/>
              </w:rPr>
              <w:t>Oshakati</w:t>
            </w:r>
            <w:proofErr w:type="spellEnd"/>
          </w:p>
        </w:tc>
      </w:tr>
    </w:tbl>
    <w:p w:rsidR="00AA558C" w:rsidRPr="00BE6A5C" w:rsidRDefault="00AA558C" w:rsidP="00FC0C41">
      <w:pPr>
        <w:rPr>
          <w:rFonts w:ascii="Arial" w:hAnsi="Arial" w:cs="Arial"/>
          <w:color w:val="FF0000"/>
          <w:sz w:val="24"/>
          <w:szCs w:val="24"/>
        </w:rPr>
      </w:pPr>
    </w:p>
    <w:sectPr w:rsidR="00AA558C" w:rsidRPr="00BE6A5C" w:rsidSect="003F02A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B5" w:rsidRDefault="008266B5" w:rsidP="00BE6A5C">
      <w:pPr>
        <w:spacing w:after="0" w:line="240" w:lineRule="auto"/>
      </w:pPr>
      <w:r>
        <w:separator/>
      </w:r>
    </w:p>
  </w:endnote>
  <w:endnote w:type="continuationSeparator" w:id="0">
    <w:p w:rsidR="008266B5" w:rsidRDefault="008266B5" w:rsidP="00BE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B5" w:rsidRDefault="008266B5" w:rsidP="00BE6A5C">
      <w:pPr>
        <w:spacing w:after="0" w:line="240" w:lineRule="auto"/>
      </w:pPr>
      <w:r>
        <w:separator/>
      </w:r>
    </w:p>
  </w:footnote>
  <w:footnote w:type="continuationSeparator" w:id="0">
    <w:p w:rsidR="008266B5" w:rsidRDefault="008266B5" w:rsidP="00BE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18102"/>
      <w:docPartObj>
        <w:docPartGallery w:val="Page Numbers (Top of Page)"/>
        <w:docPartUnique/>
      </w:docPartObj>
    </w:sdtPr>
    <w:sdtEndPr>
      <w:rPr>
        <w:noProof/>
      </w:rPr>
    </w:sdtEndPr>
    <w:sdtContent>
      <w:p w:rsidR="00F02691" w:rsidRDefault="00F02691">
        <w:pPr>
          <w:pStyle w:val="Header"/>
          <w:jc w:val="right"/>
        </w:pPr>
        <w:r>
          <w:fldChar w:fldCharType="begin"/>
        </w:r>
        <w:r>
          <w:instrText xml:space="preserve"> PAGE   \* MERGEFORMAT </w:instrText>
        </w:r>
        <w:r>
          <w:fldChar w:fldCharType="separate"/>
        </w:r>
        <w:r w:rsidR="0089447D">
          <w:rPr>
            <w:noProof/>
          </w:rPr>
          <w:t>2</w:t>
        </w:r>
        <w:r>
          <w:rPr>
            <w:noProof/>
          </w:rPr>
          <w:fldChar w:fldCharType="end"/>
        </w:r>
      </w:p>
    </w:sdtContent>
  </w:sdt>
  <w:p w:rsidR="00F02691" w:rsidRDefault="00F02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39EB"/>
    <w:multiLevelType w:val="hybridMultilevel"/>
    <w:tmpl w:val="F8E86B18"/>
    <w:lvl w:ilvl="0" w:tplc="E4841BB0">
      <w:start w:val="1"/>
      <w:numFmt w:val="decimal"/>
      <w:lvlText w:val="[%1]"/>
      <w:lvlJc w:val="left"/>
      <w:pPr>
        <w:ind w:left="540" w:hanging="360"/>
      </w:pPr>
      <w:rPr>
        <w:i w:val="0"/>
        <w:sz w:val="24"/>
        <w:szCs w:val="24"/>
      </w:rPr>
    </w:lvl>
    <w:lvl w:ilvl="1" w:tplc="00E6EC5C">
      <w:start w:val="1"/>
      <w:numFmt w:val="decimal"/>
      <w:lvlText w:val="%2."/>
      <w:lvlJc w:val="left"/>
      <w:pPr>
        <w:ind w:left="1260" w:hanging="360"/>
      </w:pPr>
      <w:rPr>
        <w:rFonts w:ascii="Arial" w:eastAsiaTheme="minorHAnsi" w:hAnsi="Arial" w:cs="Arial"/>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6D3D1340"/>
    <w:multiLevelType w:val="hybridMultilevel"/>
    <w:tmpl w:val="15BACDA6"/>
    <w:lvl w:ilvl="0" w:tplc="8CE8352E">
      <w:start w:val="1"/>
      <w:numFmt w:val="decimal"/>
      <w:lvlText w:val="[%1]"/>
      <w:lvlJc w:val="left"/>
      <w:pPr>
        <w:ind w:left="540" w:hanging="360"/>
      </w:pPr>
      <w:rPr>
        <w:sz w:val="24"/>
        <w:szCs w:val="24"/>
      </w:rPr>
    </w:lvl>
    <w:lvl w:ilvl="1" w:tplc="04090017">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5C"/>
    <w:rsid w:val="0001543C"/>
    <w:rsid w:val="0012472A"/>
    <w:rsid w:val="001912A9"/>
    <w:rsid w:val="001A5E37"/>
    <w:rsid w:val="001B6593"/>
    <w:rsid w:val="001D45AA"/>
    <w:rsid w:val="001E048D"/>
    <w:rsid w:val="001E6EDA"/>
    <w:rsid w:val="00231BD4"/>
    <w:rsid w:val="00247CFB"/>
    <w:rsid w:val="002D2841"/>
    <w:rsid w:val="0034144C"/>
    <w:rsid w:val="003934FB"/>
    <w:rsid w:val="0039497C"/>
    <w:rsid w:val="003B5300"/>
    <w:rsid w:val="003B71EF"/>
    <w:rsid w:val="003C451A"/>
    <w:rsid w:val="003E6288"/>
    <w:rsid w:val="003F02A0"/>
    <w:rsid w:val="003F3B3E"/>
    <w:rsid w:val="00492E74"/>
    <w:rsid w:val="004B6EB2"/>
    <w:rsid w:val="004D4A28"/>
    <w:rsid w:val="0050183B"/>
    <w:rsid w:val="005447D3"/>
    <w:rsid w:val="005B7D80"/>
    <w:rsid w:val="005C2A48"/>
    <w:rsid w:val="005F3696"/>
    <w:rsid w:val="00667432"/>
    <w:rsid w:val="00695DD5"/>
    <w:rsid w:val="006B2C14"/>
    <w:rsid w:val="00737C6B"/>
    <w:rsid w:val="007564D2"/>
    <w:rsid w:val="00795A60"/>
    <w:rsid w:val="00797948"/>
    <w:rsid w:val="008266B5"/>
    <w:rsid w:val="0089447D"/>
    <w:rsid w:val="008C5C00"/>
    <w:rsid w:val="008D7295"/>
    <w:rsid w:val="008E42EC"/>
    <w:rsid w:val="009025F7"/>
    <w:rsid w:val="0094317D"/>
    <w:rsid w:val="009C4FAB"/>
    <w:rsid w:val="009F1AEB"/>
    <w:rsid w:val="009F3CCC"/>
    <w:rsid w:val="00A22749"/>
    <w:rsid w:val="00AA558C"/>
    <w:rsid w:val="00B4020E"/>
    <w:rsid w:val="00B86088"/>
    <w:rsid w:val="00B95B46"/>
    <w:rsid w:val="00BB55A3"/>
    <w:rsid w:val="00BB799E"/>
    <w:rsid w:val="00BE6A5C"/>
    <w:rsid w:val="00C43880"/>
    <w:rsid w:val="00C5120B"/>
    <w:rsid w:val="00CC5319"/>
    <w:rsid w:val="00D07EF9"/>
    <w:rsid w:val="00D22636"/>
    <w:rsid w:val="00D33ABC"/>
    <w:rsid w:val="00D36E1E"/>
    <w:rsid w:val="00D515D1"/>
    <w:rsid w:val="00E340A8"/>
    <w:rsid w:val="00E36D0E"/>
    <w:rsid w:val="00E54F71"/>
    <w:rsid w:val="00E60735"/>
    <w:rsid w:val="00E7423C"/>
    <w:rsid w:val="00E85A5C"/>
    <w:rsid w:val="00EC0FF2"/>
    <w:rsid w:val="00ED42A4"/>
    <w:rsid w:val="00EE0427"/>
    <w:rsid w:val="00F02691"/>
    <w:rsid w:val="00F231F9"/>
    <w:rsid w:val="00F24361"/>
    <w:rsid w:val="00F66EA3"/>
    <w:rsid w:val="00F776A3"/>
    <w:rsid w:val="00F9284E"/>
    <w:rsid w:val="00FC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E9E78-B748-49AD-87D5-7EC73BA3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6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A5C"/>
    <w:rPr>
      <w:sz w:val="20"/>
      <w:szCs w:val="20"/>
    </w:rPr>
  </w:style>
  <w:style w:type="paragraph" w:styleId="ListParagraph">
    <w:name w:val="List Paragraph"/>
    <w:basedOn w:val="Normal"/>
    <w:uiPriority w:val="34"/>
    <w:qFormat/>
    <w:rsid w:val="00BE6A5C"/>
    <w:pPr>
      <w:ind w:left="720"/>
      <w:contextualSpacing/>
    </w:pPr>
  </w:style>
  <w:style w:type="character" w:styleId="FootnoteReference">
    <w:name w:val="footnote reference"/>
    <w:basedOn w:val="DefaultParagraphFont"/>
    <w:uiPriority w:val="99"/>
    <w:semiHidden/>
    <w:unhideWhenUsed/>
    <w:rsid w:val="00BE6A5C"/>
    <w:rPr>
      <w:vertAlign w:val="superscript"/>
    </w:rPr>
  </w:style>
  <w:style w:type="table" w:styleId="TableGrid">
    <w:name w:val="Table Grid"/>
    <w:basedOn w:val="TableNormal"/>
    <w:uiPriority w:val="39"/>
    <w:rsid w:val="00BE6A5C"/>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A3"/>
    <w:rPr>
      <w:rFonts w:ascii="Segoe UI" w:hAnsi="Segoe UI" w:cs="Segoe UI"/>
      <w:sz w:val="18"/>
      <w:szCs w:val="18"/>
    </w:rPr>
  </w:style>
  <w:style w:type="paragraph" w:styleId="Header">
    <w:name w:val="header"/>
    <w:basedOn w:val="Normal"/>
    <w:link w:val="HeaderChar"/>
    <w:uiPriority w:val="99"/>
    <w:unhideWhenUsed/>
    <w:rsid w:val="00F0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91"/>
  </w:style>
  <w:style w:type="paragraph" w:styleId="Footer">
    <w:name w:val="footer"/>
    <w:basedOn w:val="Normal"/>
    <w:link w:val="FooterChar"/>
    <w:uiPriority w:val="99"/>
    <w:unhideWhenUsed/>
    <w:rsid w:val="00F0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51">
      <w:bodyDiv w:val="1"/>
      <w:marLeft w:val="0"/>
      <w:marRight w:val="0"/>
      <w:marTop w:val="0"/>
      <w:marBottom w:val="0"/>
      <w:divBdr>
        <w:top w:val="none" w:sz="0" w:space="0" w:color="auto"/>
        <w:left w:val="none" w:sz="0" w:space="0" w:color="auto"/>
        <w:bottom w:val="none" w:sz="0" w:space="0" w:color="auto"/>
        <w:right w:val="none" w:sz="0" w:space="0" w:color="auto"/>
      </w:divBdr>
    </w:div>
    <w:div w:id="17399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2020-07-05T18:30:00+00:00</Judgment_x0020_Date>
  </documentManagement>
</p:properties>
</file>

<file path=customXml/itemProps1.xml><?xml version="1.0" encoding="utf-8"?>
<ds:datastoreItem xmlns:ds="http://schemas.openxmlformats.org/officeDocument/2006/customXml" ds:itemID="{EC6244BB-7FC8-45CF-A7B1-4549843A1AAD}"/>
</file>

<file path=customXml/itemProps2.xml><?xml version="1.0" encoding="utf-8"?>
<ds:datastoreItem xmlns:ds="http://schemas.openxmlformats.org/officeDocument/2006/customXml" ds:itemID="{12E8B0BB-5DA5-4946-8215-C09A4594620E}"/>
</file>

<file path=customXml/itemProps3.xml><?xml version="1.0" encoding="utf-8"?>
<ds:datastoreItem xmlns:ds="http://schemas.openxmlformats.org/officeDocument/2006/customXml" ds:itemID="{FB754D08-1347-49C7-A8D2-6F9406995FD7}"/>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Valombola (CC 15-2013) [2020] NAHCNLD 83 (6 July 2020)</dc:title>
  <dc:subject/>
  <dc:creator>Herman C. January</dc:creator>
  <cp:keywords/>
  <dc:description/>
  <cp:lastModifiedBy>Administrator</cp:lastModifiedBy>
  <cp:revision>2</cp:revision>
  <cp:lastPrinted>2020-07-06T09:29:00Z</cp:lastPrinted>
  <dcterms:created xsi:type="dcterms:W3CDTF">2020-07-13T11:50:00Z</dcterms:created>
  <dcterms:modified xsi:type="dcterms:W3CDTF">2020-07-13T11:50:00Z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