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99" w:rsidRPr="006356FD" w:rsidRDefault="002D6099" w:rsidP="002D6099">
      <w:pPr>
        <w:spacing w:after="200" w:line="360" w:lineRule="auto"/>
        <w:jc w:val="center"/>
        <w:rPr>
          <w:rFonts w:ascii="Arial" w:hAnsi="Arial" w:cs="Arial"/>
          <w:b/>
          <w:sz w:val="24"/>
          <w:szCs w:val="24"/>
        </w:rPr>
      </w:pPr>
      <w:bookmarkStart w:id="0" w:name="_GoBack"/>
      <w:r w:rsidRPr="006356FD">
        <w:rPr>
          <w:rFonts w:ascii="Arial" w:hAnsi="Arial" w:cs="Arial"/>
          <w:b/>
          <w:sz w:val="24"/>
          <w:szCs w:val="24"/>
        </w:rPr>
        <w:t>REPUBLIC OF NAMIBIA</w:t>
      </w:r>
    </w:p>
    <w:p w:rsidR="002D6099" w:rsidRPr="006356FD" w:rsidRDefault="002D6099" w:rsidP="002D6099">
      <w:pPr>
        <w:spacing w:after="200" w:line="360" w:lineRule="auto"/>
        <w:jc w:val="center"/>
        <w:rPr>
          <w:rFonts w:ascii="Arial" w:hAnsi="Arial" w:cs="Arial"/>
          <w:b/>
          <w:sz w:val="24"/>
          <w:szCs w:val="24"/>
        </w:rPr>
      </w:pPr>
      <w:r w:rsidRPr="006356FD">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4143375</wp:posOffset>
                </wp:positionH>
                <wp:positionV relativeFrom="paragraph">
                  <wp:posOffset>337185</wp:posOffset>
                </wp:positionV>
                <wp:extent cx="17621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2D6099" w:rsidRPr="00BB5FC3" w:rsidRDefault="002D6099" w:rsidP="002D609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2D6099" w:rsidRPr="00BB5FC3" w:rsidRDefault="002D6099" w:rsidP="002D6099">
                      <w:pPr>
                        <w:rPr>
                          <w:rFonts w:cs="Arial"/>
                        </w:rPr>
                      </w:pPr>
                    </w:p>
                  </w:txbxContent>
                </v:textbox>
              </v:shape>
            </w:pict>
          </mc:Fallback>
        </mc:AlternateContent>
      </w:r>
      <w:r w:rsidRPr="006356FD">
        <w:rPr>
          <w:rFonts w:ascii="Arial" w:hAnsi="Arial" w:cs="Arial"/>
          <w:b/>
          <w:noProof/>
          <w:sz w:val="24"/>
          <w:szCs w:val="24"/>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D6099" w:rsidRPr="006356FD" w:rsidRDefault="002D6099" w:rsidP="002D6099">
      <w:pPr>
        <w:tabs>
          <w:tab w:val="center" w:pos="4153"/>
          <w:tab w:val="right" w:pos="8306"/>
        </w:tabs>
        <w:spacing w:after="200" w:line="360" w:lineRule="auto"/>
        <w:jc w:val="center"/>
        <w:rPr>
          <w:rFonts w:ascii="Arial" w:hAnsi="Arial" w:cs="Arial"/>
          <w:bCs/>
          <w:sz w:val="24"/>
          <w:szCs w:val="24"/>
        </w:rPr>
      </w:pPr>
      <w:r w:rsidRPr="006356FD">
        <w:rPr>
          <w:rFonts w:ascii="Arial" w:hAnsi="Arial" w:cs="Arial"/>
          <w:b/>
          <w:sz w:val="24"/>
          <w:szCs w:val="24"/>
        </w:rPr>
        <w:t>IN THE HIGH COURT OF NAMIBIA, NORTHERN LOCAL DIVISION, OSHAKATI</w:t>
      </w:r>
    </w:p>
    <w:p w:rsidR="002D6099" w:rsidRPr="006356FD" w:rsidRDefault="002D6099" w:rsidP="002D6099">
      <w:pPr>
        <w:tabs>
          <w:tab w:val="center" w:pos="4680"/>
          <w:tab w:val="left" w:pos="7680"/>
        </w:tabs>
        <w:spacing w:after="200" w:line="360" w:lineRule="auto"/>
        <w:rPr>
          <w:rFonts w:ascii="Arial" w:hAnsi="Arial" w:cs="Arial"/>
          <w:b/>
          <w:sz w:val="24"/>
          <w:szCs w:val="24"/>
        </w:rPr>
      </w:pPr>
      <w:r w:rsidRPr="006356FD">
        <w:rPr>
          <w:rFonts w:ascii="Arial" w:hAnsi="Arial" w:cs="Arial"/>
          <w:b/>
          <w:sz w:val="24"/>
          <w:szCs w:val="24"/>
        </w:rPr>
        <w:tab/>
        <w:t>REVIEW JUDGMENT</w:t>
      </w:r>
      <w:r w:rsidRPr="006356FD">
        <w:rPr>
          <w:rFonts w:ascii="Arial" w:hAnsi="Arial" w:cs="Arial"/>
          <w:b/>
          <w:sz w:val="24"/>
          <w:szCs w:val="24"/>
        </w:rPr>
        <w:tab/>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3A62AC" w:rsidRPr="006356FD" w:rsidTr="00294556">
        <w:trPr>
          <w:trHeight w:val="744"/>
        </w:trPr>
        <w:tc>
          <w:tcPr>
            <w:tcW w:w="5397" w:type="dxa"/>
            <w:gridSpan w:val="2"/>
            <w:shd w:val="clear" w:color="auto" w:fill="auto"/>
          </w:tcPr>
          <w:p w:rsidR="002D6099" w:rsidRPr="006356FD" w:rsidRDefault="002D6099" w:rsidP="00294556">
            <w:pPr>
              <w:spacing w:line="240" w:lineRule="auto"/>
              <w:jc w:val="both"/>
              <w:rPr>
                <w:rFonts w:ascii="Arial" w:hAnsi="Arial" w:cs="Arial"/>
                <w:sz w:val="24"/>
                <w:szCs w:val="24"/>
                <w:lang w:val="en-ZA"/>
              </w:rPr>
            </w:pPr>
            <w:r w:rsidRPr="006356FD">
              <w:rPr>
                <w:rFonts w:ascii="Arial" w:hAnsi="Arial" w:cs="Arial"/>
                <w:b/>
                <w:sz w:val="24"/>
                <w:szCs w:val="24"/>
                <w:lang w:val="en-ZA"/>
              </w:rPr>
              <w:t>Case Title:</w:t>
            </w:r>
          </w:p>
          <w:p w:rsidR="002D6099" w:rsidRPr="006356FD" w:rsidRDefault="002D6099" w:rsidP="00294556">
            <w:pPr>
              <w:spacing w:line="240" w:lineRule="auto"/>
              <w:jc w:val="both"/>
              <w:rPr>
                <w:rFonts w:ascii="Arial" w:hAnsi="Arial" w:cs="Arial"/>
                <w:i/>
                <w:sz w:val="24"/>
                <w:szCs w:val="24"/>
                <w:lang w:val="en-ZA"/>
              </w:rPr>
            </w:pPr>
            <w:r w:rsidRPr="006356FD">
              <w:rPr>
                <w:rFonts w:ascii="Arial" w:hAnsi="Arial" w:cs="Arial"/>
                <w:i/>
                <w:sz w:val="24"/>
                <w:szCs w:val="24"/>
                <w:lang w:val="en-ZA"/>
              </w:rPr>
              <w:t xml:space="preserve">The State </w:t>
            </w:r>
            <w:r w:rsidR="000A0278" w:rsidRPr="006356FD">
              <w:rPr>
                <w:rFonts w:ascii="Arial" w:hAnsi="Arial" w:cs="Arial"/>
                <w:i/>
                <w:sz w:val="24"/>
                <w:szCs w:val="24"/>
                <w:lang w:val="en-ZA"/>
              </w:rPr>
              <w:t xml:space="preserve"> v Rehabeam Natangwe Kapelema</w:t>
            </w:r>
          </w:p>
        </w:tc>
        <w:tc>
          <w:tcPr>
            <w:tcW w:w="4323" w:type="dxa"/>
            <w:shd w:val="clear" w:color="auto" w:fill="auto"/>
          </w:tcPr>
          <w:p w:rsidR="002D6099" w:rsidRPr="006356FD" w:rsidRDefault="002D6099" w:rsidP="002D6099">
            <w:pPr>
              <w:spacing w:line="240" w:lineRule="auto"/>
              <w:jc w:val="both"/>
              <w:rPr>
                <w:rFonts w:ascii="Arial" w:hAnsi="Arial" w:cs="Arial"/>
                <w:b/>
                <w:sz w:val="24"/>
                <w:szCs w:val="24"/>
                <w:lang w:val="en-ZA"/>
              </w:rPr>
            </w:pPr>
            <w:r w:rsidRPr="006356FD">
              <w:rPr>
                <w:rFonts w:ascii="Arial" w:hAnsi="Arial" w:cs="Arial"/>
                <w:b/>
                <w:sz w:val="24"/>
                <w:szCs w:val="24"/>
                <w:lang w:val="en-ZA"/>
              </w:rPr>
              <w:t>Case No:</w:t>
            </w:r>
            <w:r w:rsidR="000A0278" w:rsidRPr="006356FD">
              <w:rPr>
                <w:rFonts w:ascii="Arial" w:hAnsi="Arial" w:cs="Arial"/>
                <w:b/>
                <w:sz w:val="24"/>
                <w:szCs w:val="24"/>
                <w:lang w:val="en-ZA"/>
              </w:rPr>
              <w:t xml:space="preserve"> </w:t>
            </w:r>
            <w:r w:rsidRPr="006356FD">
              <w:rPr>
                <w:rFonts w:ascii="Arial" w:hAnsi="Arial" w:cs="Arial"/>
                <w:sz w:val="24"/>
                <w:szCs w:val="24"/>
                <w:lang w:val="en-ZA"/>
              </w:rPr>
              <w:t xml:space="preserve">CR </w:t>
            </w:r>
            <w:r w:rsidR="00A51B1C" w:rsidRPr="006356FD">
              <w:rPr>
                <w:rFonts w:ascii="Arial" w:hAnsi="Arial" w:cs="Arial"/>
                <w:sz w:val="24"/>
                <w:szCs w:val="24"/>
                <w:lang w:val="en-ZA"/>
              </w:rPr>
              <w:t>61</w:t>
            </w:r>
            <w:r w:rsidRPr="006356FD">
              <w:rPr>
                <w:rFonts w:ascii="Arial" w:hAnsi="Arial" w:cs="Arial"/>
                <w:sz w:val="24"/>
                <w:szCs w:val="24"/>
                <w:lang w:val="en-ZA"/>
              </w:rPr>
              <w:t>/2022</w:t>
            </w:r>
          </w:p>
        </w:tc>
      </w:tr>
      <w:tr w:rsidR="003A62AC" w:rsidRPr="006356FD" w:rsidTr="00294556">
        <w:trPr>
          <w:trHeight w:val="844"/>
        </w:trPr>
        <w:tc>
          <w:tcPr>
            <w:tcW w:w="5397" w:type="dxa"/>
            <w:gridSpan w:val="2"/>
            <w:shd w:val="clear" w:color="auto" w:fill="auto"/>
          </w:tcPr>
          <w:p w:rsidR="002D6099" w:rsidRPr="006356FD" w:rsidRDefault="002D6099" w:rsidP="00294556">
            <w:pPr>
              <w:spacing w:line="240" w:lineRule="auto"/>
              <w:jc w:val="both"/>
              <w:rPr>
                <w:rFonts w:ascii="Arial" w:hAnsi="Arial" w:cs="Arial"/>
                <w:b/>
                <w:sz w:val="24"/>
                <w:szCs w:val="24"/>
                <w:lang w:val="en-ZA"/>
              </w:rPr>
            </w:pPr>
          </w:p>
          <w:p w:rsidR="002D6099" w:rsidRPr="006356FD" w:rsidRDefault="002D6099" w:rsidP="00294556">
            <w:pPr>
              <w:spacing w:line="240" w:lineRule="auto"/>
              <w:jc w:val="both"/>
              <w:rPr>
                <w:rFonts w:ascii="Arial" w:hAnsi="Arial" w:cs="Arial"/>
                <w:b/>
                <w:sz w:val="24"/>
                <w:szCs w:val="24"/>
                <w:lang w:val="en-ZA"/>
              </w:rPr>
            </w:pPr>
            <w:r w:rsidRPr="006356FD">
              <w:rPr>
                <w:rFonts w:ascii="Arial" w:hAnsi="Arial" w:cs="Arial"/>
                <w:b/>
                <w:sz w:val="24"/>
                <w:szCs w:val="24"/>
                <w:lang w:val="en-ZA"/>
              </w:rPr>
              <w:t>High Court NLD Review No:</w:t>
            </w:r>
          </w:p>
          <w:p w:rsidR="002D6099" w:rsidRPr="006356FD" w:rsidRDefault="000A0278" w:rsidP="000A0278">
            <w:pPr>
              <w:spacing w:line="240" w:lineRule="auto"/>
              <w:jc w:val="both"/>
              <w:rPr>
                <w:rFonts w:ascii="Arial" w:hAnsi="Arial" w:cs="Arial"/>
                <w:sz w:val="24"/>
                <w:szCs w:val="24"/>
                <w:lang w:val="en-ZA"/>
              </w:rPr>
            </w:pPr>
            <w:r w:rsidRPr="006356FD">
              <w:rPr>
                <w:rFonts w:ascii="Arial" w:hAnsi="Arial" w:cs="Arial"/>
                <w:sz w:val="24"/>
                <w:szCs w:val="24"/>
                <w:lang w:val="en-ZA"/>
              </w:rPr>
              <w:t xml:space="preserve"> 356/2022</w:t>
            </w:r>
          </w:p>
        </w:tc>
        <w:tc>
          <w:tcPr>
            <w:tcW w:w="4323" w:type="dxa"/>
            <w:shd w:val="clear" w:color="auto" w:fill="auto"/>
          </w:tcPr>
          <w:p w:rsidR="002D6099" w:rsidRPr="006356FD" w:rsidRDefault="002D6099" w:rsidP="00294556">
            <w:pPr>
              <w:spacing w:line="240" w:lineRule="auto"/>
              <w:jc w:val="both"/>
              <w:rPr>
                <w:rFonts w:ascii="Arial" w:hAnsi="Arial" w:cs="Arial"/>
                <w:b/>
                <w:sz w:val="24"/>
                <w:szCs w:val="24"/>
                <w:lang w:val="en-ZA"/>
              </w:rPr>
            </w:pPr>
          </w:p>
          <w:p w:rsidR="002D6099" w:rsidRPr="006356FD" w:rsidRDefault="002D6099" w:rsidP="00294556">
            <w:pPr>
              <w:spacing w:line="240" w:lineRule="auto"/>
              <w:jc w:val="both"/>
              <w:rPr>
                <w:rFonts w:ascii="Arial" w:hAnsi="Arial" w:cs="Arial"/>
                <w:sz w:val="24"/>
                <w:szCs w:val="24"/>
                <w:lang w:val="en-ZA"/>
              </w:rPr>
            </w:pPr>
            <w:r w:rsidRPr="006356FD">
              <w:rPr>
                <w:rFonts w:ascii="Arial" w:hAnsi="Arial" w:cs="Arial"/>
                <w:b/>
                <w:sz w:val="24"/>
                <w:szCs w:val="24"/>
                <w:lang w:val="en-ZA"/>
              </w:rPr>
              <w:t>Division of Court:</w:t>
            </w:r>
          </w:p>
          <w:p w:rsidR="002D6099" w:rsidRPr="006356FD" w:rsidRDefault="002D6099" w:rsidP="00294556">
            <w:pPr>
              <w:spacing w:line="240" w:lineRule="auto"/>
              <w:jc w:val="both"/>
              <w:rPr>
                <w:rFonts w:ascii="Arial" w:hAnsi="Arial" w:cs="Arial"/>
                <w:sz w:val="24"/>
                <w:szCs w:val="24"/>
                <w:lang w:val="en-ZA"/>
              </w:rPr>
            </w:pPr>
            <w:r w:rsidRPr="006356FD">
              <w:rPr>
                <w:rFonts w:ascii="Arial" w:hAnsi="Arial" w:cs="Arial"/>
                <w:sz w:val="24"/>
                <w:szCs w:val="24"/>
                <w:lang w:val="en-ZA"/>
              </w:rPr>
              <w:t>Northern Local Division</w:t>
            </w:r>
          </w:p>
        </w:tc>
      </w:tr>
      <w:tr w:rsidR="003A62AC" w:rsidRPr="006356FD" w:rsidTr="00294556">
        <w:trPr>
          <w:trHeight w:val="1662"/>
        </w:trPr>
        <w:tc>
          <w:tcPr>
            <w:tcW w:w="5397" w:type="dxa"/>
            <w:gridSpan w:val="2"/>
            <w:shd w:val="clear" w:color="auto" w:fill="auto"/>
          </w:tcPr>
          <w:p w:rsidR="002D6099" w:rsidRPr="006356FD" w:rsidRDefault="002D6099" w:rsidP="00294556">
            <w:pPr>
              <w:spacing w:line="240" w:lineRule="auto"/>
              <w:jc w:val="both"/>
              <w:rPr>
                <w:rFonts w:ascii="Arial" w:hAnsi="Arial" w:cs="Arial"/>
                <w:b/>
                <w:sz w:val="24"/>
                <w:szCs w:val="24"/>
                <w:lang w:val="en-ZA"/>
              </w:rPr>
            </w:pPr>
            <w:r w:rsidRPr="006356FD">
              <w:rPr>
                <w:rFonts w:ascii="Arial" w:hAnsi="Arial" w:cs="Arial"/>
                <w:b/>
                <w:sz w:val="24"/>
                <w:szCs w:val="24"/>
                <w:lang w:val="en-ZA"/>
              </w:rPr>
              <w:t>Heard before:</w:t>
            </w:r>
          </w:p>
          <w:p w:rsidR="002D6099" w:rsidRPr="006356FD" w:rsidRDefault="000A0278" w:rsidP="00294556">
            <w:pPr>
              <w:spacing w:line="240" w:lineRule="auto"/>
              <w:jc w:val="both"/>
              <w:rPr>
                <w:rFonts w:ascii="Arial" w:hAnsi="Arial" w:cs="Arial"/>
                <w:i/>
                <w:sz w:val="24"/>
                <w:szCs w:val="24"/>
                <w:lang w:val="en-ZA"/>
              </w:rPr>
            </w:pPr>
            <w:r w:rsidRPr="006356FD">
              <w:rPr>
                <w:rFonts w:ascii="Arial" w:hAnsi="Arial" w:cs="Arial"/>
                <w:sz w:val="24"/>
                <w:szCs w:val="24"/>
                <w:lang w:val="en-ZA"/>
              </w:rPr>
              <w:t>The Honourable Lady</w:t>
            </w:r>
            <w:r w:rsidR="002D6099" w:rsidRPr="006356FD">
              <w:rPr>
                <w:rFonts w:ascii="Arial" w:hAnsi="Arial" w:cs="Arial"/>
                <w:sz w:val="24"/>
                <w:szCs w:val="24"/>
                <w:lang w:val="en-ZA"/>
              </w:rPr>
              <w:t xml:space="preserve"> Justice</w:t>
            </w:r>
            <w:r w:rsidRPr="006356FD">
              <w:rPr>
                <w:rFonts w:ascii="Arial" w:hAnsi="Arial" w:cs="Arial"/>
                <w:sz w:val="24"/>
                <w:szCs w:val="24"/>
                <w:lang w:val="en-ZA"/>
              </w:rPr>
              <w:t xml:space="preserve"> Salionga</w:t>
            </w:r>
            <w:r w:rsidR="002D6099" w:rsidRPr="006356FD">
              <w:rPr>
                <w:rFonts w:ascii="Arial" w:hAnsi="Arial" w:cs="Arial"/>
                <w:sz w:val="24"/>
                <w:szCs w:val="24"/>
                <w:lang w:val="en-ZA"/>
              </w:rPr>
              <w:t xml:space="preserve"> </w:t>
            </w:r>
            <w:r w:rsidRPr="006356FD">
              <w:rPr>
                <w:rFonts w:ascii="Arial" w:hAnsi="Arial" w:cs="Arial"/>
                <w:sz w:val="24"/>
                <w:szCs w:val="24"/>
                <w:lang w:val="en-ZA"/>
              </w:rPr>
              <w:t>J</w:t>
            </w:r>
            <w:r w:rsidR="00A51B1C" w:rsidRPr="006356FD">
              <w:rPr>
                <w:rFonts w:ascii="Arial" w:hAnsi="Arial" w:cs="Arial"/>
                <w:sz w:val="24"/>
                <w:szCs w:val="24"/>
                <w:lang w:val="en-ZA"/>
              </w:rPr>
              <w:t xml:space="preserve"> </w:t>
            </w:r>
            <w:r w:rsidR="002D6099" w:rsidRPr="006356FD">
              <w:rPr>
                <w:rFonts w:ascii="Arial" w:hAnsi="Arial" w:cs="Arial"/>
                <w:i/>
                <w:sz w:val="24"/>
                <w:szCs w:val="24"/>
                <w:lang w:val="en-ZA"/>
              </w:rPr>
              <w:t>et</w:t>
            </w:r>
          </w:p>
          <w:p w:rsidR="002D6099" w:rsidRPr="006356FD" w:rsidRDefault="000A0278" w:rsidP="00294556">
            <w:pPr>
              <w:spacing w:line="240" w:lineRule="auto"/>
              <w:jc w:val="both"/>
              <w:rPr>
                <w:rFonts w:ascii="Arial" w:hAnsi="Arial" w:cs="Arial"/>
                <w:sz w:val="24"/>
                <w:szCs w:val="24"/>
                <w:lang w:val="en-ZA"/>
              </w:rPr>
            </w:pPr>
            <w:r w:rsidRPr="006356FD">
              <w:rPr>
                <w:rFonts w:ascii="Arial" w:hAnsi="Arial" w:cs="Arial"/>
                <w:sz w:val="24"/>
                <w:szCs w:val="24"/>
                <w:lang w:val="en-ZA"/>
              </w:rPr>
              <w:t>The Honourable Mr Justice Kesslau AJ</w:t>
            </w:r>
          </w:p>
        </w:tc>
        <w:tc>
          <w:tcPr>
            <w:tcW w:w="4323" w:type="dxa"/>
            <w:shd w:val="clear" w:color="auto" w:fill="auto"/>
          </w:tcPr>
          <w:p w:rsidR="002D6099" w:rsidRPr="006356FD" w:rsidRDefault="002D6099" w:rsidP="00294556">
            <w:pPr>
              <w:spacing w:line="240" w:lineRule="auto"/>
              <w:jc w:val="both"/>
              <w:rPr>
                <w:rFonts w:ascii="Arial" w:hAnsi="Arial" w:cs="Arial"/>
                <w:b/>
                <w:sz w:val="24"/>
                <w:szCs w:val="24"/>
                <w:lang w:val="en-ZA"/>
              </w:rPr>
            </w:pPr>
            <w:r w:rsidRPr="006356FD">
              <w:rPr>
                <w:rFonts w:ascii="Arial" w:hAnsi="Arial" w:cs="Arial"/>
                <w:b/>
                <w:sz w:val="24"/>
                <w:szCs w:val="24"/>
                <w:lang w:val="en-ZA"/>
              </w:rPr>
              <w:t>Delivered on:</w:t>
            </w:r>
          </w:p>
          <w:p w:rsidR="002D6099" w:rsidRPr="006356FD" w:rsidRDefault="00A51B1C" w:rsidP="00294556">
            <w:pPr>
              <w:spacing w:line="240" w:lineRule="auto"/>
              <w:jc w:val="both"/>
              <w:rPr>
                <w:rFonts w:ascii="Arial" w:hAnsi="Arial" w:cs="Arial"/>
                <w:b/>
                <w:sz w:val="24"/>
                <w:szCs w:val="24"/>
                <w:lang w:val="en-ZA"/>
              </w:rPr>
            </w:pPr>
            <w:r w:rsidRPr="006356FD">
              <w:rPr>
                <w:rFonts w:ascii="Arial" w:hAnsi="Arial" w:cs="Arial"/>
                <w:sz w:val="24"/>
                <w:szCs w:val="24"/>
                <w:lang w:val="en-ZA"/>
              </w:rPr>
              <w:t>03 November</w:t>
            </w:r>
            <w:r w:rsidR="000A0278" w:rsidRPr="006356FD">
              <w:rPr>
                <w:rFonts w:ascii="Arial" w:hAnsi="Arial" w:cs="Arial"/>
                <w:sz w:val="24"/>
                <w:szCs w:val="24"/>
                <w:lang w:val="en-ZA"/>
              </w:rPr>
              <w:t xml:space="preserve"> 2022</w:t>
            </w:r>
          </w:p>
        </w:tc>
      </w:tr>
      <w:tr w:rsidR="003A62AC" w:rsidRPr="006356FD" w:rsidTr="00294556">
        <w:tc>
          <w:tcPr>
            <w:tcW w:w="9720" w:type="dxa"/>
            <w:gridSpan w:val="3"/>
            <w:shd w:val="clear" w:color="auto" w:fill="auto"/>
          </w:tcPr>
          <w:p w:rsidR="002D6099" w:rsidRPr="006356FD" w:rsidRDefault="002D6099" w:rsidP="00294556">
            <w:pPr>
              <w:spacing w:line="240" w:lineRule="auto"/>
              <w:jc w:val="both"/>
              <w:rPr>
                <w:rFonts w:ascii="Arial" w:hAnsi="Arial" w:cs="Arial"/>
                <w:b/>
                <w:sz w:val="24"/>
                <w:szCs w:val="24"/>
                <w:lang w:val="en-ZA"/>
              </w:rPr>
            </w:pPr>
          </w:p>
          <w:p w:rsidR="002D6099" w:rsidRPr="006356FD" w:rsidRDefault="002D6099" w:rsidP="000A0278">
            <w:pPr>
              <w:spacing w:line="240" w:lineRule="auto"/>
              <w:jc w:val="both"/>
              <w:rPr>
                <w:rFonts w:ascii="Arial" w:hAnsi="Arial" w:cs="Arial"/>
                <w:sz w:val="24"/>
                <w:szCs w:val="24"/>
                <w:lang w:val="en-ZA"/>
              </w:rPr>
            </w:pPr>
            <w:r w:rsidRPr="006356FD">
              <w:rPr>
                <w:rFonts w:ascii="Arial" w:hAnsi="Arial" w:cs="Arial"/>
                <w:b/>
                <w:sz w:val="24"/>
                <w:szCs w:val="24"/>
                <w:lang w:val="en-ZA"/>
              </w:rPr>
              <w:t xml:space="preserve">Neutral citation: </w:t>
            </w:r>
            <w:r w:rsidR="000A0278" w:rsidRPr="006356FD">
              <w:rPr>
                <w:rFonts w:ascii="Arial" w:hAnsi="Arial" w:cs="Arial"/>
                <w:i/>
                <w:sz w:val="24"/>
                <w:szCs w:val="24"/>
                <w:lang w:val="en-ZA"/>
              </w:rPr>
              <w:t>S v Kapelema</w:t>
            </w:r>
            <w:r w:rsidRPr="006356FD">
              <w:rPr>
                <w:rFonts w:ascii="Arial" w:hAnsi="Arial" w:cs="Arial"/>
                <w:i/>
                <w:sz w:val="24"/>
                <w:szCs w:val="24"/>
                <w:lang w:val="en-ZA"/>
              </w:rPr>
              <w:t xml:space="preserve"> </w:t>
            </w:r>
            <w:r w:rsidR="00A51B1C" w:rsidRPr="006356FD">
              <w:rPr>
                <w:rFonts w:ascii="Arial" w:hAnsi="Arial" w:cs="Arial"/>
                <w:sz w:val="24"/>
                <w:szCs w:val="24"/>
                <w:lang w:val="en-ZA"/>
              </w:rPr>
              <w:t>(CR 61</w:t>
            </w:r>
            <w:r w:rsidRPr="006356FD">
              <w:rPr>
                <w:rFonts w:ascii="Arial" w:hAnsi="Arial" w:cs="Arial"/>
                <w:sz w:val="24"/>
                <w:szCs w:val="24"/>
                <w:lang w:val="en-ZA"/>
              </w:rPr>
              <w:t>/202</w:t>
            </w:r>
            <w:r w:rsidR="000A0278" w:rsidRPr="006356FD">
              <w:rPr>
                <w:rFonts w:ascii="Arial" w:hAnsi="Arial" w:cs="Arial"/>
                <w:sz w:val="24"/>
                <w:szCs w:val="24"/>
                <w:lang w:val="en-ZA"/>
              </w:rPr>
              <w:t>2</w:t>
            </w:r>
            <w:r w:rsidRPr="006356FD">
              <w:rPr>
                <w:rFonts w:ascii="Arial" w:hAnsi="Arial" w:cs="Arial"/>
                <w:sz w:val="24"/>
                <w:szCs w:val="24"/>
                <w:lang w:val="en-ZA"/>
              </w:rPr>
              <w:t>) [202</w:t>
            </w:r>
            <w:r w:rsidR="00B4410F" w:rsidRPr="006356FD">
              <w:rPr>
                <w:rFonts w:ascii="Arial" w:hAnsi="Arial" w:cs="Arial"/>
                <w:sz w:val="24"/>
                <w:szCs w:val="24"/>
                <w:lang w:val="en-ZA"/>
              </w:rPr>
              <w:t>2] NAHCNLD 119</w:t>
            </w:r>
            <w:r w:rsidR="000A0278" w:rsidRPr="006356FD">
              <w:rPr>
                <w:rFonts w:ascii="Arial" w:hAnsi="Arial" w:cs="Arial"/>
                <w:sz w:val="24"/>
                <w:szCs w:val="24"/>
                <w:lang w:val="en-ZA"/>
              </w:rPr>
              <w:t xml:space="preserve"> </w:t>
            </w:r>
            <w:r w:rsidRPr="006356FD">
              <w:rPr>
                <w:rFonts w:ascii="Arial" w:hAnsi="Arial" w:cs="Arial"/>
                <w:sz w:val="24"/>
                <w:szCs w:val="24"/>
                <w:lang w:val="en-ZA"/>
              </w:rPr>
              <w:t>(</w:t>
            </w:r>
            <w:r w:rsidR="00A51B1C" w:rsidRPr="006356FD">
              <w:rPr>
                <w:rFonts w:ascii="Arial" w:hAnsi="Arial" w:cs="Arial"/>
                <w:sz w:val="24"/>
                <w:szCs w:val="24"/>
                <w:lang w:val="en-ZA"/>
              </w:rPr>
              <w:t>03 November</w:t>
            </w:r>
            <w:r w:rsidR="000A0278" w:rsidRPr="006356FD">
              <w:rPr>
                <w:rFonts w:ascii="Arial" w:hAnsi="Arial" w:cs="Arial"/>
                <w:sz w:val="24"/>
                <w:szCs w:val="24"/>
                <w:lang w:val="en-ZA"/>
              </w:rPr>
              <w:t xml:space="preserve"> 2022</w:t>
            </w:r>
            <w:r w:rsidRPr="006356FD">
              <w:rPr>
                <w:rFonts w:ascii="Arial" w:hAnsi="Arial" w:cs="Arial"/>
                <w:sz w:val="24"/>
                <w:szCs w:val="24"/>
                <w:lang w:val="en-ZA"/>
              </w:rPr>
              <w:t>)</w:t>
            </w:r>
          </w:p>
        </w:tc>
      </w:tr>
      <w:tr w:rsidR="003A62AC" w:rsidRPr="006356FD" w:rsidTr="00294556">
        <w:tc>
          <w:tcPr>
            <w:tcW w:w="9720" w:type="dxa"/>
            <w:gridSpan w:val="3"/>
            <w:shd w:val="clear" w:color="auto" w:fill="auto"/>
          </w:tcPr>
          <w:p w:rsidR="002D6099" w:rsidRPr="006356FD" w:rsidRDefault="002D6099" w:rsidP="00294556">
            <w:pPr>
              <w:spacing w:line="360" w:lineRule="auto"/>
              <w:jc w:val="both"/>
              <w:rPr>
                <w:rFonts w:ascii="Arial" w:hAnsi="Arial" w:cs="Arial"/>
                <w:b/>
                <w:sz w:val="24"/>
                <w:szCs w:val="24"/>
                <w:lang w:val="en-ZA"/>
              </w:rPr>
            </w:pPr>
          </w:p>
          <w:p w:rsidR="002D6099" w:rsidRPr="006356FD" w:rsidRDefault="002D6099" w:rsidP="00294556">
            <w:pPr>
              <w:spacing w:line="360" w:lineRule="auto"/>
              <w:jc w:val="both"/>
              <w:rPr>
                <w:rFonts w:ascii="Arial" w:hAnsi="Arial" w:cs="Arial"/>
                <w:b/>
                <w:sz w:val="24"/>
                <w:szCs w:val="24"/>
                <w:lang w:val="en-ZA"/>
              </w:rPr>
            </w:pPr>
            <w:r w:rsidRPr="006356FD">
              <w:rPr>
                <w:rFonts w:ascii="Arial" w:hAnsi="Arial" w:cs="Arial"/>
                <w:b/>
                <w:sz w:val="24"/>
                <w:szCs w:val="24"/>
                <w:lang w:val="en-ZA"/>
              </w:rPr>
              <w:t>It is hereby ordered that:</w:t>
            </w:r>
          </w:p>
          <w:p w:rsidR="000A0278" w:rsidRPr="006356FD" w:rsidRDefault="003A62AC" w:rsidP="00294556">
            <w:pPr>
              <w:pStyle w:val="AS-P1"/>
              <w:spacing w:line="360" w:lineRule="auto"/>
              <w:ind w:firstLine="0"/>
              <w:rPr>
                <w:rFonts w:ascii="Arial" w:hAnsi="Arial" w:cs="Arial"/>
                <w:noProof w:val="0"/>
                <w:sz w:val="24"/>
                <w:szCs w:val="24"/>
                <w:lang w:val="en-ZA"/>
              </w:rPr>
            </w:pPr>
            <w:r w:rsidRPr="006356FD">
              <w:rPr>
                <w:rFonts w:ascii="Arial" w:hAnsi="Arial" w:cs="Arial"/>
                <w:noProof w:val="0"/>
                <w:sz w:val="24"/>
                <w:szCs w:val="24"/>
                <w:lang w:val="en-ZA"/>
              </w:rPr>
              <w:t xml:space="preserve">1. </w:t>
            </w:r>
            <w:r w:rsidR="002D6099" w:rsidRPr="006356FD">
              <w:rPr>
                <w:rFonts w:ascii="Arial" w:hAnsi="Arial" w:cs="Arial"/>
                <w:noProof w:val="0"/>
                <w:sz w:val="24"/>
                <w:szCs w:val="24"/>
                <w:lang w:val="en-ZA"/>
              </w:rPr>
              <w:t xml:space="preserve">The conviction and sentence are </w:t>
            </w:r>
            <w:r w:rsidR="000A0278" w:rsidRPr="006356FD">
              <w:rPr>
                <w:rFonts w:ascii="Arial" w:hAnsi="Arial" w:cs="Arial"/>
                <w:noProof w:val="0"/>
                <w:sz w:val="24"/>
                <w:szCs w:val="24"/>
                <w:lang w:val="en-ZA"/>
              </w:rPr>
              <w:t>confirmed.</w:t>
            </w:r>
          </w:p>
          <w:p w:rsidR="000A0278" w:rsidRPr="006356FD" w:rsidRDefault="003A62AC" w:rsidP="00294556">
            <w:pPr>
              <w:pStyle w:val="AS-P1"/>
              <w:spacing w:line="360" w:lineRule="auto"/>
              <w:ind w:firstLine="0"/>
              <w:rPr>
                <w:rFonts w:ascii="Arial" w:hAnsi="Arial" w:cs="Arial"/>
                <w:noProof w:val="0"/>
                <w:sz w:val="24"/>
                <w:szCs w:val="24"/>
                <w:lang w:val="en-ZA"/>
              </w:rPr>
            </w:pPr>
            <w:r w:rsidRPr="006356FD">
              <w:rPr>
                <w:rFonts w:ascii="Arial" w:hAnsi="Arial" w:cs="Arial"/>
                <w:noProof w:val="0"/>
                <w:sz w:val="24"/>
                <w:szCs w:val="24"/>
                <w:lang w:val="en-ZA"/>
              </w:rPr>
              <w:t xml:space="preserve">2. </w:t>
            </w:r>
            <w:r w:rsidR="000A0278" w:rsidRPr="006356FD">
              <w:rPr>
                <w:rFonts w:ascii="Arial" w:hAnsi="Arial" w:cs="Arial"/>
                <w:noProof w:val="0"/>
                <w:sz w:val="24"/>
                <w:szCs w:val="24"/>
                <w:lang w:val="en-ZA"/>
              </w:rPr>
              <w:t>The order declaring accused unfit to possess a firearm is set aside.</w:t>
            </w:r>
          </w:p>
          <w:p w:rsidR="002D6099" w:rsidRPr="006356FD" w:rsidRDefault="003A62AC" w:rsidP="00F14C36">
            <w:pPr>
              <w:pStyle w:val="AS-P1"/>
              <w:spacing w:line="360" w:lineRule="auto"/>
              <w:ind w:firstLine="0"/>
              <w:rPr>
                <w:rFonts w:ascii="Arial" w:hAnsi="Arial" w:cs="Arial"/>
                <w:noProof w:val="0"/>
                <w:sz w:val="24"/>
                <w:szCs w:val="24"/>
                <w:lang w:val="en-ZA"/>
              </w:rPr>
            </w:pPr>
            <w:r w:rsidRPr="006356FD">
              <w:rPr>
                <w:rFonts w:ascii="Arial" w:hAnsi="Arial" w:cs="Arial"/>
                <w:noProof w:val="0"/>
                <w:sz w:val="24"/>
                <w:szCs w:val="24"/>
                <w:lang w:val="en-ZA"/>
              </w:rPr>
              <w:t xml:space="preserve">3. </w:t>
            </w:r>
            <w:r w:rsidR="000A0278" w:rsidRPr="006356FD">
              <w:rPr>
                <w:rFonts w:ascii="Arial" w:hAnsi="Arial" w:cs="Arial"/>
                <w:noProof w:val="0"/>
                <w:sz w:val="24"/>
                <w:szCs w:val="24"/>
                <w:lang w:val="en-ZA"/>
              </w:rPr>
              <w:t>The matter is remitted to the trial Magistrate to properly apply section 10 of Act 7 of 1996</w:t>
            </w:r>
            <w:r w:rsidR="002D6099" w:rsidRPr="006356FD">
              <w:rPr>
                <w:rFonts w:ascii="Arial" w:hAnsi="Arial" w:cs="Arial"/>
                <w:noProof w:val="0"/>
                <w:sz w:val="24"/>
                <w:szCs w:val="24"/>
                <w:lang w:val="en-ZA"/>
              </w:rPr>
              <w:t>.</w:t>
            </w:r>
          </w:p>
        </w:tc>
      </w:tr>
      <w:tr w:rsidR="003A62AC" w:rsidRPr="006356FD" w:rsidTr="00294556">
        <w:tc>
          <w:tcPr>
            <w:tcW w:w="9720" w:type="dxa"/>
            <w:gridSpan w:val="3"/>
            <w:shd w:val="clear" w:color="auto" w:fill="auto"/>
          </w:tcPr>
          <w:p w:rsidR="002D6099" w:rsidRPr="006356FD" w:rsidRDefault="002D6099" w:rsidP="00294556">
            <w:pPr>
              <w:spacing w:line="240" w:lineRule="auto"/>
              <w:jc w:val="both"/>
              <w:rPr>
                <w:rFonts w:ascii="Arial" w:hAnsi="Arial" w:cs="Arial"/>
                <w:b/>
                <w:sz w:val="24"/>
                <w:szCs w:val="24"/>
                <w:lang w:val="en-ZA"/>
              </w:rPr>
            </w:pPr>
          </w:p>
          <w:p w:rsidR="002D6099" w:rsidRPr="006356FD" w:rsidRDefault="002D6099" w:rsidP="00294556">
            <w:pPr>
              <w:spacing w:line="240" w:lineRule="auto"/>
              <w:jc w:val="both"/>
              <w:rPr>
                <w:rFonts w:ascii="Arial" w:hAnsi="Arial" w:cs="Arial"/>
                <w:b/>
                <w:sz w:val="24"/>
                <w:szCs w:val="24"/>
                <w:lang w:val="en-ZA"/>
              </w:rPr>
            </w:pPr>
            <w:r w:rsidRPr="006356FD">
              <w:rPr>
                <w:rFonts w:ascii="Arial" w:hAnsi="Arial" w:cs="Arial"/>
                <w:b/>
                <w:sz w:val="24"/>
                <w:szCs w:val="24"/>
                <w:lang w:val="en-ZA"/>
              </w:rPr>
              <w:t>Reasons for the order:</w:t>
            </w:r>
          </w:p>
        </w:tc>
      </w:tr>
      <w:tr w:rsidR="003A62AC" w:rsidRPr="006356FD" w:rsidTr="00294556">
        <w:tc>
          <w:tcPr>
            <w:tcW w:w="9720" w:type="dxa"/>
            <w:gridSpan w:val="3"/>
            <w:shd w:val="clear" w:color="auto" w:fill="auto"/>
          </w:tcPr>
          <w:p w:rsidR="002D6099" w:rsidRPr="006356FD" w:rsidRDefault="00A51B1C" w:rsidP="00294556">
            <w:pPr>
              <w:spacing w:line="240" w:lineRule="auto"/>
              <w:jc w:val="both"/>
              <w:rPr>
                <w:rFonts w:ascii="Arial" w:hAnsi="Arial" w:cs="Arial"/>
                <w:sz w:val="24"/>
                <w:szCs w:val="24"/>
                <w:lang w:val="en-ZA"/>
              </w:rPr>
            </w:pPr>
            <w:r w:rsidRPr="006356FD">
              <w:rPr>
                <w:rFonts w:ascii="Arial" w:hAnsi="Arial" w:cs="Arial"/>
                <w:sz w:val="24"/>
                <w:szCs w:val="24"/>
                <w:lang w:val="en-ZA"/>
              </w:rPr>
              <w:lastRenderedPageBreak/>
              <w:t xml:space="preserve">SALIONGA J (KESSLAU AJ </w:t>
            </w:r>
            <w:r w:rsidR="003A62AC" w:rsidRPr="006356FD">
              <w:rPr>
                <w:rFonts w:ascii="Arial" w:hAnsi="Arial" w:cs="Arial"/>
                <w:sz w:val="24"/>
                <w:szCs w:val="24"/>
                <w:lang w:val="en-ZA"/>
              </w:rPr>
              <w:t>concurring</w:t>
            </w:r>
            <w:r w:rsidRPr="006356FD">
              <w:rPr>
                <w:rFonts w:ascii="Arial" w:hAnsi="Arial" w:cs="Arial"/>
                <w:sz w:val="24"/>
                <w:szCs w:val="24"/>
                <w:lang w:val="en-ZA"/>
              </w:rPr>
              <w:t>)</w:t>
            </w:r>
            <w:r w:rsidR="003A62AC" w:rsidRPr="006356FD">
              <w:rPr>
                <w:rFonts w:ascii="Arial" w:hAnsi="Arial" w:cs="Arial"/>
                <w:sz w:val="24"/>
                <w:szCs w:val="24"/>
                <w:lang w:val="en-ZA"/>
              </w:rPr>
              <w:t>:</w:t>
            </w:r>
          </w:p>
          <w:p w:rsidR="00A51B1C" w:rsidRPr="006356FD" w:rsidRDefault="00A51B1C" w:rsidP="00294556">
            <w:pPr>
              <w:spacing w:line="240" w:lineRule="auto"/>
              <w:jc w:val="both"/>
              <w:rPr>
                <w:rFonts w:ascii="Arial" w:hAnsi="Arial" w:cs="Arial"/>
                <w:sz w:val="24"/>
                <w:szCs w:val="24"/>
                <w:lang w:val="en-ZA"/>
              </w:rPr>
            </w:pPr>
          </w:p>
          <w:p w:rsidR="002D6099" w:rsidRPr="006356FD" w:rsidRDefault="00D76976" w:rsidP="00F14C36">
            <w:pPr>
              <w:pStyle w:val="ListParagraph"/>
              <w:numPr>
                <w:ilvl w:val="0"/>
                <w:numId w:val="1"/>
              </w:numPr>
              <w:tabs>
                <w:tab w:val="left" w:pos="851"/>
              </w:tabs>
              <w:spacing w:after="0" w:line="360" w:lineRule="auto"/>
              <w:ind w:left="0" w:hanging="11"/>
              <w:jc w:val="both"/>
              <w:rPr>
                <w:rFonts w:ascii="Arial" w:hAnsi="Arial" w:cs="Arial"/>
                <w:b/>
                <w:sz w:val="24"/>
                <w:szCs w:val="24"/>
                <w:lang w:val="en-ZA"/>
              </w:rPr>
            </w:pPr>
            <w:r w:rsidRPr="006356FD">
              <w:rPr>
                <w:rFonts w:ascii="Arial" w:hAnsi="Arial" w:cs="Arial"/>
                <w:sz w:val="24"/>
                <w:szCs w:val="24"/>
                <w:lang w:val="en-ZA"/>
              </w:rPr>
              <w:t>This</w:t>
            </w:r>
            <w:r w:rsidR="002D6099" w:rsidRPr="006356FD">
              <w:rPr>
                <w:rFonts w:ascii="Arial" w:hAnsi="Arial" w:cs="Arial"/>
                <w:sz w:val="24"/>
                <w:szCs w:val="24"/>
                <w:lang w:val="en-ZA"/>
              </w:rPr>
              <w:t xml:space="preserve"> matter</w:t>
            </w:r>
            <w:r w:rsidRPr="006356FD">
              <w:rPr>
                <w:rFonts w:ascii="Arial" w:hAnsi="Arial" w:cs="Arial"/>
                <w:sz w:val="24"/>
                <w:szCs w:val="24"/>
                <w:lang w:val="en-ZA"/>
              </w:rPr>
              <w:t xml:space="preserve"> came before me</w:t>
            </w:r>
            <w:r w:rsidR="002D6099" w:rsidRPr="006356FD">
              <w:rPr>
                <w:rFonts w:ascii="Arial" w:hAnsi="Arial" w:cs="Arial"/>
                <w:sz w:val="24"/>
                <w:szCs w:val="24"/>
                <w:lang w:val="en-ZA"/>
              </w:rPr>
              <w:t xml:space="preserve"> </w:t>
            </w:r>
            <w:r w:rsidR="00305CC2" w:rsidRPr="006356FD">
              <w:rPr>
                <w:rFonts w:ascii="Arial" w:hAnsi="Arial" w:cs="Arial"/>
                <w:sz w:val="24"/>
                <w:szCs w:val="24"/>
                <w:lang w:val="en-ZA"/>
              </w:rPr>
              <w:t xml:space="preserve">on review </w:t>
            </w:r>
            <w:r w:rsidR="002D6099" w:rsidRPr="006356FD">
              <w:rPr>
                <w:rFonts w:ascii="Arial" w:hAnsi="Arial" w:cs="Arial"/>
                <w:sz w:val="24"/>
                <w:szCs w:val="24"/>
                <w:lang w:val="en-ZA"/>
              </w:rPr>
              <w:t>in terms of section 302 (1) of the Criminal Procedure Act 51 of 1977</w:t>
            </w:r>
            <w:r w:rsidR="00394BA8" w:rsidRPr="006356FD">
              <w:rPr>
                <w:rFonts w:ascii="Arial" w:hAnsi="Arial" w:cs="Arial"/>
                <w:sz w:val="24"/>
                <w:szCs w:val="24"/>
                <w:lang w:val="en-ZA"/>
              </w:rPr>
              <w:t xml:space="preserve"> (CPA)</w:t>
            </w:r>
            <w:r w:rsidR="002D6099" w:rsidRPr="006356FD">
              <w:rPr>
                <w:rFonts w:ascii="Arial" w:hAnsi="Arial" w:cs="Arial"/>
                <w:sz w:val="24"/>
                <w:szCs w:val="24"/>
                <w:lang w:val="en-ZA"/>
              </w:rPr>
              <w:t>.</w:t>
            </w:r>
            <w:r w:rsidR="00F14C36" w:rsidRPr="006356FD">
              <w:rPr>
                <w:rFonts w:ascii="Arial" w:hAnsi="Arial" w:cs="Arial"/>
                <w:b/>
                <w:sz w:val="24"/>
                <w:szCs w:val="24"/>
                <w:lang w:val="en-ZA"/>
              </w:rPr>
              <w:t xml:space="preserve"> </w:t>
            </w:r>
            <w:r w:rsidR="002D6099" w:rsidRPr="006356FD">
              <w:rPr>
                <w:rFonts w:ascii="Arial" w:hAnsi="Arial" w:cs="Arial"/>
                <w:sz w:val="24"/>
                <w:szCs w:val="24"/>
                <w:lang w:val="en-ZA"/>
              </w:rPr>
              <w:t xml:space="preserve">The </w:t>
            </w:r>
            <w:r w:rsidR="00394BA8" w:rsidRPr="006356FD">
              <w:rPr>
                <w:rFonts w:ascii="Arial" w:hAnsi="Arial" w:cs="Arial"/>
                <w:sz w:val="24"/>
                <w:szCs w:val="24"/>
                <w:lang w:val="en-ZA"/>
              </w:rPr>
              <w:t xml:space="preserve">unrepresented </w:t>
            </w:r>
            <w:r w:rsidR="002D6099" w:rsidRPr="006356FD">
              <w:rPr>
                <w:rFonts w:ascii="Arial" w:hAnsi="Arial" w:cs="Arial"/>
                <w:sz w:val="24"/>
                <w:szCs w:val="24"/>
                <w:lang w:val="en-ZA"/>
              </w:rPr>
              <w:t>accused appeared in the magistrate’s c</w:t>
            </w:r>
            <w:r w:rsidR="00770650" w:rsidRPr="006356FD">
              <w:rPr>
                <w:rFonts w:ascii="Arial" w:hAnsi="Arial" w:cs="Arial"/>
                <w:sz w:val="24"/>
                <w:szCs w:val="24"/>
                <w:lang w:val="en-ZA"/>
              </w:rPr>
              <w:t>ourt for the district of Outapi, held at Ruacana</w:t>
            </w:r>
            <w:r w:rsidR="002D6099" w:rsidRPr="006356FD">
              <w:rPr>
                <w:rFonts w:ascii="Arial" w:hAnsi="Arial" w:cs="Arial"/>
                <w:sz w:val="24"/>
                <w:szCs w:val="24"/>
                <w:lang w:val="en-ZA"/>
              </w:rPr>
              <w:t xml:space="preserve">, on a charge of </w:t>
            </w:r>
            <w:r w:rsidR="00770650" w:rsidRPr="006356FD">
              <w:rPr>
                <w:rFonts w:ascii="Arial" w:hAnsi="Arial" w:cs="Arial"/>
                <w:sz w:val="24"/>
                <w:szCs w:val="24"/>
                <w:lang w:val="en-ZA"/>
              </w:rPr>
              <w:t>contravening section 2 read with section 1, 38(2) and 39 of Act 7 of 1996 as amended- possession of a firearm without a licence where</w:t>
            </w:r>
            <w:r w:rsidR="002D6099" w:rsidRPr="006356FD">
              <w:rPr>
                <w:rFonts w:ascii="Arial" w:hAnsi="Arial" w:cs="Arial"/>
                <w:sz w:val="24"/>
                <w:szCs w:val="24"/>
                <w:lang w:val="en-ZA"/>
              </w:rPr>
              <w:t xml:space="preserve"> he pleaded guilty and </w:t>
            </w:r>
            <w:r w:rsidR="00394BA8" w:rsidRPr="006356FD">
              <w:rPr>
                <w:rFonts w:ascii="Arial" w:hAnsi="Arial" w:cs="Arial"/>
                <w:sz w:val="24"/>
                <w:szCs w:val="24"/>
                <w:lang w:val="en-ZA"/>
              </w:rPr>
              <w:t xml:space="preserve">was </w:t>
            </w:r>
            <w:r w:rsidR="002D6099" w:rsidRPr="006356FD">
              <w:rPr>
                <w:rFonts w:ascii="Arial" w:hAnsi="Arial" w:cs="Arial"/>
                <w:sz w:val="24"/>
                <w:szCs w:val="24"/>
                <w:lang w:val="en-ZA"/>
              </w:rPr>
              <w:t>convicted in terms of section 112 (1</w:t>
            </w:r>
            <w:r w:rsidR="00770650" w:rsidRPr="006356FD">
              <w:rPr>
                <w:rFonts w:ascii="Arial" w:hAnsi="Arial" w:cs="Arial"/>
                <w:sz w:val="24"/>
                <w:szCs w:val="24"/>
                <w:lang w:val="en-ZA"/>
              </w:rPr>
              <w:t>) (</w:t>
            </w:r>
            <w:r w:rsidR="002D6099" w:rsidRPr="006356FD">
              <w:rPr>
                <w:rFonts w:ascii="Arial" w:hAnsi="Arial" w:cs="Arial"/>
                <w:sz w:val="24"/>
                <w:szCs w:val="24"/>
                <w:lang w:val="en-ZA"/>
              </w:rPr>
              <w:t>b) of the Criminal Procedure Act 51 of 1977 (the C</w:t>
            </w:r>
            <w:r w:rsidR="00770650" w:rsidRPr="006356FD">
              <w:rPr>
                <w:rFonts w:ascii="Arial" w:hAnsi="Arial" w:cs="Arial"/>
                <w:sz w:val="24"/>
                <w:szCs w:val="24"/>
                <w:lang w:val="en-ZA"/>
              </w:rPr>
              <w:t>PA). He was then sentenced and the matter finalised.</w:t>
            </w:r>
            <w:r w:rsidR="00394BA8" w:rsidRPr="006356FD">
              <w:rPr>
                <w:rFonts w:ascii="Arial" w:hAnsi="Arial" w:cs="Arial"/>
                <w:sz w:val="24"/>
                <w:szCs w:val="24"/>
                <w:lang w:val="en-ZA"/>
              </w:rPr>
              <w:t xml:space="preserve"> The conviction and sentence are proper</w:t>
            </w:r>
            <w:r w:rsidRPr="006356FD">
              <w:rPr>
                <w:rFonts w:ascii="Arial" w:hAnsi="Arial" w:cs="Arial"/>
                <w:sz w:val="24"/>
                <w:szCs w:val="24"/>
                <w:lang w:val="en-ZA"/>
              </w:rPr>
              <w:t xml:space="preserve"> and will be confirmed</w:t>
            </w:r>
            <w:r w:rsidR="00394BA8" w:rsidRPr="006356FD">
              <w:rPr>
                <w:rFonts w:ascii="Arial" w:hAnsi="Arial" w:cs="Arial"/>
                <w:sz w:val="24"/>
                <w:szCs w:val="24"/>
                <w:lang w:val="en-ZA"/>
              </w:rPr>
              <w:t>.</w:t>
            </w:r>
          </w:p>
          <w:p w:rsidR="002D6099" w:rsidRPr="006356FD" w:rsidRDefault="002D6099" w:rsidP="00294556">
            <w:pPr>
              <w:pStyle w:val="ListParagraph"/>
              <w:tabs>
                <w:tab w:val="left" w:pos="851"/>
              </w:tabs>
              <w:spacing w:after="0" w:line="360" w:lineRule="auto"/>
              <w:ind w:left="0"/>
              <w:jc w:val="both"/>
              <w:rPr>
                <w:rFonts w:ascii="Arial" w:hAnsi="Arial" w:cs="Arial"/>
                <w:b/>
                <w:sz w:val="24"/>
                <w:szCs w:val="24"/>
                <w:lang w:val="en-ZA"/>
              </w:rPr>
            </w:pPr>
          </w:p>
          <w:p w:rsidR="002D6099" w:rsidRPr="006356FD" w:rsidRDefault="00394BA8" w:rsidP="00294556">
            <w:pPr>
              <w:pStyle w:val="ListParagraph"/>
              <w:numPr>
                <w:ilvl w:val="0"/>
                <w:numId w:val="1"/>
              </w:numPr>
              <w:tabs>
                <w:tab w:val="left" w:pos="851"/>
              </w:tabs>
              <w:spacing w:after="0" w:line="360" w:lineRule="auto"/>
              <w:ind w:left="0" w:hanging="11"/>
              <w:jc w:val="both"/>
              <w:rPr>
                <w:rFonts w:ascii="Arial" w:hAnsi="Arial" w:cs="Arial"/>
                <w:b/>
                <w:sz w:val="24"/>
                <w:szCs w:val="24"/>
                <w:lang w:val="en-ZA"/>
              </w:rPr>
            </w:pPr>
            <w:r w:rsidRPr="006356FD">
              <w:rPr>
                <w:rFonts w:ascii="Arial" w:hAnsi="Arial" w:cs="Arial"/>
                <w:sz w:val="24"/>
                <w:szCs w:val="24"/>
                <w:lang w:val="en-ZA"/>
              </w:rPr>
              <w:t>Upon receiving this matter I</w:t>
            </w:r>
            <w:r w:rsidR="00770650" w:rsidRPr="006356FD">
              <w:rPr>
                <w:rFonts w:ascii="Arial" w:hAnsi="Arial" w:cs="Arial"/>
                <w:sz w:val="24"/>
                <w:szCs w:val="24"/>
                <w:lang w:val="en-ZA"/>
              </w:rPr>
              <w:t xml:space="preserve"> observed that two issues needed clar</w:t>
            </w:r>
            <w:r w:rsidR="00D76976" w:rsidRPr="006356FD">
              <w:rPr>
                <w:rFonts w:ascii="Arial" w:hAnsi="Arial" w:cs="Arial"/>
                <w:sz w:val="24"/>
                <w:szCs w:val="24"/>
                <w:lang w:val="en-ZA"/>
              </w:rPr>
              <w:t xml:space="preserve">ity. Firstly I noticed that </w:t>
            </w:r>
            <w:r w:rsidR="00770650" w:rsidRPr="006356FD">
              <w:rPr>
                <w:rFonts w:ascii="Arial" w:hAnsi="Arial" w:cs="Arial"/>
                <w:sz w:val="24"/>
                <w:szCs w:val="24"/>
                <w:lang w:val="en-ZA"/>
              </w:rPr>
              <w:t xml:space="preserve">not only did the annexure </w:t>
            </w:r>
            <w:r w:rsidRPr="006356FD">
              <w:rPr>
                <w:rFonts w:ascii="Arial" w:hAnsi="Arial" w:cs="Arial"/>
                <w:sz w:val="24"/>
                <w:szCs w:val="24"/>
                <w:lang w:val="en-ZA"/>
              </w:rPr>
              <w:t>allege the unlawful possession of a firearm, it further alle</w:t>
            </w:r>
            <w:r w:rsidR="00770650" w:rsidRPr="006356FD">
              <w:rPr>
                <w:rFonts w:ascii="Arial" w:hAnsi="Arial" w:cs="Arial"/>
                <w:sz w:val="24"/>
                <w:szCs w:val="24"/>
                <w:lang w:val="en-ZA"/>
              </w:rPr>
              <w:t xml:space="preserve">ged </w:t>
            </w:r>
            <w:r w:rsidRPr="006356FD">
              <w:rPr>
                <w:rFonts w:ascii="Arial" w:hAnsi="Arial" w:cs="Arial"/>
                <w:sz w:val="24"/>
                <w:szCs w:val="24"/>
                <w:lang w:val="en-ZA"/>
              </w:rPr>
              <w:t xml:space="preserve">that </w:t>
            </w:r>
            <w:r w:rsidR="00770650" w:rsidRPr="006356FD">
              <w:rPr>
                <w:rFonts w:ascii="Arial" w:hAnsi="Arial" w:cs="Arial"/>
                <w:sz w:val="24"/>
                <w:szCs w:val="24"/>
                <w:lang w:val="en-ZA"/>
              </w:rPr>
              <w:t>the accused</w:t>
            </w:r>
            <w:r w:rsidR="00D76976" w:rsidRPr="006356FD">
              <w:rPr>
                <w:rFonts w:ascii="Arial" w:hAnsi="Arial" w:cs="Arial"/>
                <w:sz w:val="24"/>
                <w:szCs w:val="24"/>
                <w:lang w:val="en-ZA"/>
              </w:rPr>
              <w:t xml:space="preserve"> also possessed 3 lives round of</w:t>
            </w:r>
            <w:r w:rsidR="00770650" w:rsidRPr="006356FD">
              <w:rPr>
                <w:rFonts w:ascii="Arial" w:hAnsi="Arial" w:cs="Arial"/>
                <w:sz w:val="24"/>
                <w:szCs w:val="24"/>
                <w:lang w:val="en-ZA"/>
              </w:rPr>
              <w:t xml:space="preserve"> ammunition. The possession of ammunition is an offence of its own genre and should always be individually charged</w:t>
            </w:r>
            <w:r w:rsidR="005557B5" w:rsidRPr="006356FD">
              <w:rPr>
                <w:rFonts w:ascii="Arial" w:hAnsi="Arial" w:cs="Arial"/>
                <w:sz w:val="24"/>
                <w:szCs w:val="24"/>
                <w:lang w:val="en-ZA"/>
              </w:rPr>
              <w:t xml:space="preserve"> in terms of section 33 of Act 7 of 1996- Arms and Ammunitions Act</w:t>
            </w:r>
            <w:r w:rsidR="00770650" w:rsidRPr="006356FD">
              <w:rPr>
                <w:rFonts w:ascii="Arial" w:hAnsi="Arial" w:cs="Arial"/>
                <w:sz w:val="24"/>
                <w:szCs w:val="24"/>
                <w:lang w:val="en-ZA"/>
              </w:rPr>
              <w:t>. I</w:t>
            </w:r>
            <w:r w:rsidR="00D76976" w:rsidRPr="006356FD">
              <w:rPr>
                <w:rFonts w:ascii="Arial" w:hAnsi="Arial" w:cs="Arial"/>
                <w:sz w:val="24"/>
                <w:szCs w:val="24"/>
                <w:lang w:val="en-ZA"/>
              </w:rPr>
              <w:t xml:space="preserve"> however</w:t>
            </w:r>
            <w:r w:rsidR="00770650" w:rsidRPr="006356FD">
              <w:rPr>
                <w:rFonts w:ascii="Arial" w:hAnsi="Arial" w:cs="Arial"/>
                <w:sz w:val="24"/>
                <w:szCs w:val="24"/>
                <w:lang w:val="en-ZA"/>
              </w:rPr>
              <w:t xml:space="preserve"> </w:t>
            </w:r>
            <w:r w:rsidR="005557B5" w:rsidRPr="006356FD">
              <w:rPr>
                <w:rFonts w:ascii="Arial" w:hAnsi="Arial" w:cs="Arial"/>
                <w:sz w:val="24"/>
                <w:szCs w:val="24"/>
                <w:lang w:val="en-ZA"/>
              </w:rPr>
              <w:t>did not take</w:t>
            </w:r>
            <w:r w:rsidR="00770650" w:rsidRPr="006356FD">
              <w:rPr>
                <w:rFonts w:ascii="Arial" w:hAnsi="Arial" w:cs="Arial"/>
                <w:sz w:val="24"/>
                <w:szCs w:val="24"/>
                <w:lang w:val="en-ZA"/>
              </w:rPr>
              <w:t xml:space="preserve"> this issue up with the Magistrate because I was satisfied with his</w:t>
            </w:r>
            <w:r w:rsidRPr="006356FD">
              <w:rPr>
                <w:rFonts w:ascii="Arial" w:hAnsi="Arial" w:cs="Arial"/>
                <w:sz w:val="24"/>
                <w:szCs w:val="24"/>
                <w:lang w:val="en-ZA"/>
              </w:rPr>
              <w:t>/her</w:t>
            </w:r>
            <w:r w:rsidR="00770650" w:rsidRPr="006356FD">
              <w:rPr>
                <w:rFonts w:ascii="Arial" w:hAnsi="Arial" w:cs="Arial"/>
                <w:sz w:val="24"/>
                <w:szCs w:val="24"/>
                <w:lang w:val="en-ZA"/>
              </w:rPr>
              <w:t xml:space="preserve"> questioning on the offence of unlawful possession of a firearm. I highlight this issue here for the benef</w:t>
            </w:r>
            <w:r w:rsidRPr="006356FD">
              <w:rPr>
                <w:rFonts w:ascii="Arial" w:hAnsi="Arial" w:cs="Arial"/>
                <w:sz w:val="24"/>
                <w:szCs w:val="24"/>
                <w:lang w:val="en-ZA"/>
              </w:rPr>
              <w:t>it of the P</w:t>
            </w:r>
            <w:r w:rsidR="00770650" w:rsidRPr="006356FD">
              <w:rPr>
                <w:rFonts w:ascii="Arial" w:hAnsi="Arial" w:cs="Arial"/>
                <w:sz w:val="24"/>
                <w:szCs w:val="24"/>
                <w:lang w:val="en-ZA"/>
              </w:rPr>
              <w:t xml:space="preserve">rosecutors and Magistrates </w:t>
            </w:r>
            <w:r w:rsidR="005557B5" w:rsidRPr="006356FD">
              <w:rPr>
                <w:rFonts w:ascii="Arial" w:hAnsi="Arial" w:cs="Arial"/>
                <w:sz w:val="24"/>
                <w:szCs w:val="24"/>
                <w:lang w:val="en-ZA"/>
              </w:rPr>
              <w:t xml:space="preserve">to make it clear that these two offences cannot be compounded into a single charge. </w:t>
            </w:r>
            <w:r w:rsidR="00770650" w:rsidRPr="006356FD">
              <w:rPr>
                <w:rFonts w:ascii="Arial" w:hAnsi="Arial" w:cs="Arial"/>
                <w:sz w:val="24"/>
                <w:szCs w:val="24"/>
                <w:lang w:val="en-ZA"/>
              </w:rPr>
              <w:t xml:space="preserve"> </w:t>
            </w:r>
          </w:p>
          <w:p w:rsidR="005557B5" w:rsidRPr="006356FD" w:rsidRDefault="005557B5" w:rsidP="005557B5">
            <w:pPr>
              <w:pStyle w:val="ListParagraph"/>
              <w:rPr>
                <w:rFonts w:ascii="Arial" w:hAnsi="Arial" w:cs="Arial"/>
                <w:b/>
                <w:sz w:val="24"/>
                <w:szCs w:val="24"/>
                <w:lang w:val="en-ZA"/>
              </w:rPr>
            </w:pPr>
          </w:p>
          <w:p w:rsidR="005557B5" w:rsidRPr="006356FD" w:rsidRDefault="005557B5" w:rsidP="005557B5">
            <w:pPr>
              <w:pStyle w:val="ListParagraph"/>
              <w:numPr>
                <w:ilvl w:val="0"/>
                <w:numId w:val="1"/>
              </w:numPr>
              <w:tabs>
                <w:tab w:val="left" w:pos="851"/>
              </w:tabs>
              <w:spacing w:line="360" w:lineRule="auto"/>
              <w:ind w:left="0" w:hanging="11"/>
              <w:rPr>
                <w:rFonts w:ascii="Arial" w:hAnsi="Arial" w:cs="Arial"/>
                <w:lang w:val="en-GB"/>
              </w:rPr>
            </w:pPr>
            <w:r w:rsidRPr="006356FD">
              <w:rPr>
                <w:rFonts w:ascii="Arial" w:hAnsi="Arial" w:cs="Arial"/>
                <w:sz w:val="24"/>
                <w:szCs w:val="24"/>
                <w:lang w:val="en-ZA"/>
              </w:rPr>
              <w:t xml:space="preserve">The </w:t>
            </w:r>
            <w:r w:rsidR="00F132FC" w:rsidRPr="006356FD">
              <w:rPr>
                <w:rFonts w:ascii="Arial" w:hAnsi="Arial" w:cs="Arial"/>
                <w:sz w:val="24"/>
                <w:szCs w:val="24"/>
                <w:lang w:val="en-ZA"/>
              </w:rPr>
              <w:t>second issue in this matter was addressed in the following query</w:t>
            </w:r>
            <w:r w:rsidRPr="006356FD">
              <w:rPr>
                <w:rFonts w:ascii="Arial" w:hAnsi="Arial" w:cs="Arial"/>
                <w:sz w:val="24"/>
                <w:szCs w:val="24"/>
                <w:lang w:val="en-ZA"/>
              </w:rPr>
              <w:t xml:space="preserve"> directed to the Magistrate</w:t>
            </w:r>
            <w:r w:rsidRPr="006356FD">
              <w:rPr>
                <w:rFonts w:ascii="Arial" w:hAnsi="Arial" w:cs="Arial"/>
                <w:lang w:val="en-ZA"/>
              </w:rPr>
              <w:t>:</w:t>
            </w:r>
          </w:p>
          <w:p w:rsidR="003A62AC" w:rsidRPr="006356FD" w:rsidRDefault="003A62AC" w:rsidP="003A62AC">
            <w:pPr>
              <w:pStyle w:val="ListParagraph"/>
              <w:tabs>
                <w:tab w:val="left" w:pos="851"/>
              </w:tabs>
              <w:spacing w:line="360" w:lineRule="auto"/>
              <w:ind w:left="0"/>
              <w:rPr>
                <w:rFonts w:ascii="Arial" w:hAnsi="Arial" w:cs="Arial"/>
                <w:lang w:val="en-GB"/>
              </w:rPr>
            </w:pPr>
          </w:p>
          <w:p w:rsidR="005557B5" w:rsidRPr="006356FD" w:rsidRDefault="005557B5" w:rsidP="005557B5">
            <w:pPr>
              <w:pStyle w:val="ListParagraph"/>
              <w:tabs>
                <w:tab w:val="left" w:pos="851"/>
              </w:tabs>
              <w:spacing w:line="360" w:lineRule="auto"/>
              <w:jc w:val="both"/>
              <w:rPr>
                <w:rFonts w:ascii="Arial" w:hAnsi="Arial" w:cs="Arial"/>
              </w:rPr>
            </w:pPr>
            <w:r w:rsidRPr="006356FD">
              <w:rPr>
                <w:rFonts w:ascii="Arial" w:hAnsi="Arial" w:cs="Arial"/>
                <w:lang w:val="en-ZA"/>
              </w:rPr>
              <w:t xml:space="preserve"> ‘</w:t>
            </w:r>
            <w:r w:rsidRPr="006356FD">
              <w:rPr>
                <w:rFonts w:ascii="Arial" w:hAnsi="Arial" w:cs="Arial"/>
                <w:lang w:val="en-GB"/>
              </w:rPr>
              <w:t xml:space="preserve">Explain whether </w:t>
            </w:r>
            <w:r w:rsidRPr="006356FD">
              <w:rPr>
                <w:rFonts w:ascii="Arial" w:hAnsi="Arial" w:cs="Arial"/>
              </w:rPr>
              <w:t>the provisions of both section 10 (6) and 10 (7) of the Arms and Ammunitions Act 7 of 1996 were brought to the attention of the accused and whether he was afforded an opportunity to advance reasons and present evidence why he should not be declared or deemed to be declared unfit to possess an arm after conviction.’</w:t>
            </w:r>
          </w:p>
          <w:p w:rsidR="00F132FC" w:rsidRPr="006356FD" w:rsidRDefault="00F132FC" w:rsidP="005557B5">
            <w:pPr>
              <w:pStyle w:val="ListParagraph"/>
              <w:tabs>
                <w:tab w:val="left" w:pos="851"/>
              </w:tabs>
              <w:spacing w:line="360" w:lineRule="auto"/>
              <w:jc w:val="both"/>
              <w:rPr>
                <w:rFonts w:ascii="Arial" w:hAnsi="Arial" w:cs="Arial"/>
                <w:lang w:val="en-GB"/>
              </w:rPr>
            </w:pPr>
          </w:p>
          <w:p w:rsidR="00F14C36" w:rsidRPr="006356FD" w:rsidRDefault="005557B5" w:rsidP="00F14C36">
            <w:pPr>
              <w:pStyle w:val="ListParagraph"/>
              <w:numPr>
                <w:ilvl w:val="0"/>
                <w:numId w:val="1"/>
              </w:numPr>
              <w:tabs>
                <w:tab w:val="left" w:pos="851"/>
              </w:tabs>
              <w:spacing w:after="0" w:line="360" w:lineRule="auto"/>
              <w:ind w:left="0" w:hanging="11"/>
              <w:jc w:val="both"/>
              <w:rPr>
                <w:rFonts w:ascii="Arial" w:hAnsi="Arial" w:cs="Arial"/>
                <w:b/>
                <w:sz w:val="24"/>
                <w:szCs w:val="24"/>
                <w:lang w:val="en-ZA"/>
              </w:rPr>
            </w:pPr>
            <w:r w:rsidRPr="006356FD">
              <w:rPr>
                <w:rFonts w:ascii="Arial" w:hAnsi="Arial" w:cs="Arial"/>
                <w:sz w:val="24"/>
                <w:szCs w:val="24"/>
                <w:lang w:val="en-ZA"/>
              </w:rPr>
              <w:t xml:space="preserve">To the above query the Magistrate </w:t>
            </w:r>
            <w:r w:rsidR="00EA315B" w:rsidRPr="006356FD">
              <w:rPr>
                <w:rFonts w:ascii="Arial" w:hAnsi="Arial" w:cs="Arial"/>
                <w:sz w:val="24"/>
                <w:szCs w:val="24"/>
                <w:lang w:val="en-ZA"/>
              </w:rPr>
              <w:t>responded</w:t>
            </w:r>
            <w:r w:rsidRPr="006356FD">
              <w:rPr>
                <w:rFonts w:ascii="Arial" w:hAnsi="Arial" w:cs="Arial"/>
                <w:sz w:val="24"/>
                <w:szCs w:val="24"/>
                <w:lang w:val="en-ZA"/>
              </w:rPr>
              <w:t xml:space="preserve"> that: </w:t>
            </w:r>
            <w:r w:rsidRPr="006356FD">
              <w:rPr>
                <w:rFonts w:ascii="Arial" w:hAnsi="Arial" w:cs="Arial"/>
                <w:lang w:val="en-ZA"/>
              </w:rPr>
              <w:t>‘…</w:t>
            </w:r>
            <w:r w:rsidR="00F132FC" w:rsidRPr="006356FD">
              <w:rPr>
                <w:rFonts w:ascii="Arial" w:hAnsi="Arial" w:cs="Arial"/>
                <w:lang w:val="en-ZA"/>
              </w:rPr>
              <w:t xml:space="preserve"> regarding the application of Section 10(6) and 10 (7) of the Act 7 of 1966, such query was done in court, the issue is that the Magistrate failed to reflect such on record.</w:t>
            </w:r>
            <w:r w:rsidR="00394BA8" w:rsidRPr="006356FD">
              <w:rPr>
                <w:rFonts w:ascii="Arial" w:hAnsi="Arial" w:cs="Arial"/>
                <w:lang w:val="en-ZA"/>
              </w:rPr>
              <w:t>’</w:t>
            </w:r>
            <w:r w:rsidR="00F132FC" w:rsidRPr="006356FD">
              <w:rPr>
                <w:rFonts w:ascii="Arial" w:hAnsi="Arial" w:cs="Arial"/>
                <w:lang w:val="en-ZA"/>
              </w:rPr>
              <w:t xml:space="preserve"> (SIC) </w:t>
            </w:r>
            <w:r w:rsidR="00F132FC" w:rsidRPr="006356FD">
              <w:rPr>
                <w:rFonts w:ascii="Arial" w:hAnsi="Arial" w:cs="Arial"/>
                <w:sz w:val="24"/>
                <w:szCs w:val="24"/>
                <w:lang w:val="en-ZA"/>
              </w:rPr>
              <w:t xml:space="preserve">With this reply I also acknowledge the Magistrates apology for the late reply to the query. </w:t>
            </w:r>
          </w:p>
          <w:p w:rsidR="00F14C36" w:rsidRPr="006356FD" w:rsidRDefault="00F14C36" w:rsidP="00F14C36">
            <w:pPr>
              <w:pStyle w:val="ListParagraph"/>
              <w:tabs>
                <w:tab w:val="left" w:pos="851"/>
              </w:tabs>
              <w:spacing w:after="0" w:line="360" w:lineRule="auto"/>
              <w:ind w:left="0"/>
              <w:jc w:val="both"/>
              <w:rPr>
                <w:rFonts w:ascii="Arial" w:hAnsi="Arial" w:cs="Arial"/>
                <w:b/>
                <w:sz w:val="24"/>
                <w:szCs w:val="24"/>
                <w:lang w:val="en-ZA"/>
              </w:rPr>
            </w:pPr>
          </w:p>
          <w:p w:rsidR="00BA1FD4" w:rsidRPr="006356FD" w:rsidRDefault="00394BA8" w:rsidP="00F14C36">
            <w:pPr>
              <w:pStyle w:val="ListParagraph"/>
              <w:numPr>
                <w:ilvl w:val="0"/>
                <w:numId w:val="1"/>
              </w:numPr>
              <w:tabs>
                <w:tab w:val="left" w:pos="851"/>
              </w:tabs>
              <w:spacing w:after="0" w:line="360" w:lineRule="auto"/>
              <w:ind w:left="0" w:hanging="11"/>
              <w:jc w:val="both"/>
              <w:rPr>
                <w:rFonts w:ascii="Arial" w:hAnsi="Arial" w:cs="Arial"/>
                <w:b/>
                <w:sz w:val="24"/>
                <w:szCs w:val="24"/>
                <w:lang w:val="en-ZA"/>
              </w:rPr>
            </w:pPr>
            <w:r w:rsidRPr="006356FD">
              <w:rPr>
                <w:rFonts w:ascii="Arial" w:hAnsi="Arial" w:cs="Arial"/>
                <w:sz w:val="24"/>
                <w:szCs w:val="24"/>
                <w:lang w:val="en-ZA"/>
              </w:rPr>
              <w:t>Apart from the P</w:t>
            </w:r>
            <w:r w:rsidR="00F132FC" w:rsidRPr="006356FD">
              <w:rPr>
                <w:rFonts w:ascii="Arial" w:hAnsi="Arial" w:cs="Arial"/>
                <w:sz w:val="24"/>
                <w:szCs w:val="24"/>
                <w:lang w:val="en-ZA"/>
              </w:rPr>
              <w:t>rosecutor’s application that the accused should be declared unfit to possess a firearm the</w:t>
            </w:r>
            <w:r w:rsidR="00BA1FD4" w:rsidRPr="006356FD">
              <w:rPr>
                <w:rFonts w:ascii="Arial" w:hAnsi="Arial" w:cs="Arial"/>
                <w:sz w:val="24"/>
                <w:szCs w:val="24"/>
                <w:lang w:val="en-ZA"/>
              </w:rPr>
              <w:t xml:space="preserve">re is no indication on the case record that such inquiry was conducted by the Magistrate. </w:t>
            </w:r>
            <w:r w:rsidR="00F132FC" w:rsidRPr="006356FD">
              <w:rPr>
                <w:rFonts w:ascii="Arial" w:hAnsi="Arial" w:cs="Arial"/>
                <w:sz w:val="24"/>
                <w:szCs w:val="24"/>
                <w:lang w:val="en-ZA"/>
              </w:rPr>
              <w:t xml:space="preserve"> </w:t>
            </w:r>
            <w:r w:rsidR="00A7029B" w:rsidRPr="006356FD">
              <w:rPr>
                <w:rFonts w:ascii="Arial" w:hAnsi="Arial" w:cs="Arial"/>
                <w:sz w:val="24"/>
                <w:szCs w:val="24"/>
                <w:lang w:val="en-ZA"/>
              </w:rPr>
              <w:t>Both the provisions of Section 10(6) and 10(7) of the Arms of Ammunitions Act, 7 of 1996 provides as follows:</w:t>
            </w:r>
          </w:p>
          <w:p w:rsidR="003A62AC" w:rsidRPr="006356FD" w:rsidRDefault="003A62AC" w:rsidP="003A62AC">
            <w:pPr>
              <w:pStyle w:val="ListParagraph"/>
              <w:tabs>
                <w:tab w:val="left" w:pos="851"/>
              </w:tabs>
              <w:spacing w:after="0" w:line="360" w:lineRule="auto"/>
              <w:ind w:left="0"/>
              <w:jc w:val="both"/>
              <w:rPr>
                <w:rFonts w:ascii="Arial" w:hAnsi="Arial" w:cs="Arial"/>
                <w:b/>
                <w:sz w:val="24"/>
                <w:szCs w:val="24"/>
                <w:lang w:val="en-ZA"/>
              </w:rPr>
            </w:pPr>
          </w:p>
          <w:p w:rsidR="00BA1FD4" w:rsidRPr="006356FD" w:rsidRDefault="00394BA8" w:rsidP="00BA1FD4">
            <w:pPr>
              <w:autoSpaceDE w:val="0"/>
              <w:autoSpaceDN w:val="0"/>
              <w:adjustRightInd w:val="0"/>
              <w:spacing w:after="0" w:line="360" w:lineRule="auto"/>
              <w:jc w:val="both"/>
              <w:rPr>
                <w:rFonts w:ascii="Arial" w:eastAsiaTheme="minorHAnsi" w:hAnsi="Arial" w:cs="Arial"/>
              </w:rPr>
            </w:pPr>
            <w:r w:rsidRPr="006356FD">
              <w:rPr>
                <w:rFonts w:ascii="Arial" w:eastAsiaTheme="minorHAnsi" w:hAnsi="Arial" w:cs="Arial"/>
                <w:sz w:val="18"/>
                <w:szCs w:val="18"/>
              </w:rPr>
              <w:t>‘</w:t>
            </w:r>
            <w:r w:rsidR="00BA1FD4" w:rsidRPr="006356FD">
              <w:rPr>
                <w:rFonts w:ascii="Arial" w:eastAsiaTheme="minorHAnsi" w:hAnsi="Arial" w:cs="Arial"/>
              </w:rPr>
              <w:t>(6)       Subject to subsection (7), a person who is convicted by a court of -</w:t>
            </w:r>
          </w:p>
          <w:p w:rsidR="00BA1FD4" w:rsidRPr="006356FD" w:rsidRDefault="00BA1FD4" w:rsidP="00BA1FD4">
            <w:pPr>
              <w:autoSpaceDE w:val="0"/>
              <w:autoSpaceDN w:val="0"/>
              <w:adjustRightInd w:val="0"/>
              <w:spacing w:after="0" w:line="360" w:lineRule="auto"/>
              <w:jc w:val="both"/>
              <w:rPr>
                <w:rFonts w:ascii="Arial" w:eastAsiaTheme="minorHAnsi" w:hAnsi="Arial" w:cs="Arial"/>
              </w:rPr>
            </w:pPr>
            <w:r w:rsidRPr="006356FD">
              <w:rPr>
                <w:rFonts w:ascii="Arial" w:eastAsiaTheme="minorHAnsi" w:hAnsi="Arial" w:cs="Arial"/>
              </w:rPr>
              <w:t xml:space="preserve">       </w:t>
            </w:r>
            <w:r w:rsidR="00A7029B" w:rsidRPr="006356FD">
              <w:rPr>
                <w:rFonts w:ascii="Arial" w:eastAsiaTheme="minorHAnsi" w:hAnsi="Arial" w:cs="Arial"/>
              </w:rPr>
              <w:t>(a)</w:t>
            </w:r>
            <w:r w:rsidRPr="006356FD">
              <w:rPr>
                <w:rFonts w:ascii="Arial" w:eastAsiaTheme="minorHAnsi" w:hAnsi="Arial" w:cs="Arial"/>
              </w:rPr>
              <w:t xml:space="preserve"> </w:t>
            </w:r>
            <w:r w:rsidR="003A62AC" w:rsidRPr="006356FD">
              <w:rPr>
                <w:rFonts w:ascii="Arial" w:eastAsiaTheme="minorHAnsi" w:hAnsi="Arial" w:cs="Arial"/>
              </w:rPr>
              <w:t xml:space="preserve">   </w:t>
            </w:r>
            <w:r w:rsidRPr="006356FD">
              <w:rPr>
                <w:rFonts w:ascii="Arial" w:eastAsiaTheme="minorHAnsi" w:hAnsi="Arial" w:cs="Arial"/>
              </w:rPr>
              <w:t>a contravention of a provision of this Act relating to the unlawful possession of an arm</w:t>
            </w:r>
          </w:p>
          <w:p w:rsidR="00BA1FD4" w:rsidRPr="006356FD" w:rsidRDefault="00BA1FD4" w:rsidP="00BA1FD4">
            <w:pPr>
              <w:autoSpaceDE w:val="0"/>
              <w:autoSpaceDN w:val="0"/>
              <w:adjustRightInd w:val="0"/>
              <w:spacing w:after="0" w:line="360" w:lineRule="auto"/>
              <w:jc w:val="both"/>
              <w:rPr>
                <w:rFonts w:ascii="Arial" w:eastAsiaTheme="minorHAnsi" w:hAnsi="Arial" w:cs="Arial"/>
              </w:rPr>
            </w:pPr>
            <w:r w:rsidRPr="006356FD">
              <w:rPr>
                <w:rFonts w:ascii="Arial" w:eastAsiaTheme="minorHAnsi" w:hAnsi="Arial" w:cs="Arial"/>
              </w:rPr>
              <w:t xml:space="preserve">               without the required licence, permit or other authorization, or of section 38(1)(i), (j), (k),</w:t>
            </w:r>
          </w:p>
          <w:p w:rsidR="00BA1FD4" w:rsidRPr="006356FD" w:rsidRDefault="00BA1FD4" w:rsidP="00BA1FD4">
            <w:pPr>
              <w:autoSpaceDE w:val="0"/>
              <w:autoSpaceDN w:val="0"/>
              <w:adjustRightInd w:val="0"/>
              <w:spacing w:after="0" w:line="360" w:lineRule="auto"/>
              <w:jc w:val="both"/>
              <w:rPr>
                <w:rFonts w:ascii="Arial" w:eastAsiaTheme="minorHAnsi" w:hAnsi="Arial" w:cs="Arial"/>
              </w:rPr>
            </w:pPr>
            <w:r w:rsidRPr="006356FD">
              <w:rPr>
                <w:rFonts w:ascii="Arial" w:eastAsiaTheme="minorHAnsi" w:hAnsi="Arial" w:cs="Arial"/>
              </w:rPr>
              <w:t xml:space="preserve">              </w:t>
            </w:r>
            <w:r w:rsidR="003A62AC" w:rsidRPr="006356FD">
              <w:rPr>
                <w:rFonts w:ascii="Arial" w:eastAsiaTheme="minorHAnsi" w:hAnsi="Arial" w:cs="Arial"/>
              </w:rPr>
              <w:t xml:space="preserve"> </w:t>
            </w:r>
            <w:r w:rsidRPr="006356FD">
              <w:rPr>
                <w:rFonts w:ascii="Arial" w:eastAsiaTheme="minorHAnsi" w:hAnsi="Arial" w:cs="Arial"/>
              </w:rPr>
              <w:t>(l) or (m), or of any other offence in the commission of which an arm was used (excluding</w:t>
            </w:r>
          </w:p>
          <w:p w:rsidR="00BA1FD4" w:rsidRPr="006356FD" w:rsidRDefault="00BA1FD4" w:rsidP="00BA1FD4">
            <w:pPr>
              <w:autoSpaceDE w:val="0"/>
              <w:autoSpaceDN w:val="0"/>
              <w:adjustRightInd w:val="0"/>
              <w:spacing w:after="0" w:line="360" w:lineRule="auto"/>
              <w:jc w:val="both"/>
              <w:rPr>
                <w:rFonts w:ascii="Arial" w:eastAsiaTheme="minorHAnsi" w:hAnsi="Arial" w:cs="Arial"/>
              </w:rPr>
            </w:pPr>
            <w:r w:rsidRPr="006356FD">
              <w:rPr>
                <w:rFonts w:ascii="Arial" w:eastAsiaTheme="minorHAnsi" w:hAnsi="Arial" w:cs="Arial"/>
              </w:rPr>
              <w:t xml:space="preserve">             </w:t>
            </w:r>
            <w:r w:rsidR="003A62AC" w:rsidRPr="006356FD">
              <w:rPr>
                <w:rFonts w:ascii="Arial" w:eastAsiaTheme="minorHAnsi" w:hAnsi="Arial" w:cs="Arial"/>
              </w:rPr>
              <w:t xml:space="preserve">  </w:t>
            </w:r>
            <w:r w:rsidRPr="006356FD">
              <w:rPr>
                <w:rFonts w:ascii="Arial" w:eastAsiaTheme="minorHAnsi" w:hAnsi="Arial" w:cs="Arial"/>
              </w:rPr>
              <w:t>any such conviction following upon the payment of an admission of guilt fine in terms</w:t>
            </w:r>
          </w:p>
          <w:p w:rsidR="00BA1FD4" w:rsidRPr="006356FD" w:rsidRDefault="00BA1FD4" w:rsidP="00BA1FD4">
            <w:pPr>
              <w:autoSpaceDE w:val="0"/>
              <w:autoSpaceDN w:val="0"/>
              <w:adjustRightInd w:val="0"/>
              <w:spacing w:after="0" w:line="360" w:lineRule="auto"/>
              <w:jc w:val="both"/>
              <w:rPr>
                <w:rFonts w:ascii="Arial" w:eastAsiaTheme="minorHAnsi" w:hAnsi="Arial" w:cs="Arial"/>
              </w:rPr>
            </w:pPr>
            <w:r w:rsidRPr="006356FD">
              <w:rPr>
                <w:rFonts w:ascii="Arial" w:eastAsiaTheme="minorHAnsi" w:hAnsi="Arial" w:cs="Arial"/>
              </w:rPr>
              <w:t xml:space="preserve">             </w:t>
            </w:r>
            <w:r w:rsidR="003A62AC" w:rsidRPr="006356FD">
              <w:rPr>
                <w:rFonts w:ascii="Arial" w:eastAsiaTheme="minorHAnsi" w:hAnsi="Arial" w:cs="Arial"/>
              </w:rPr>
              <w:t xml:space="preserve"> </w:t>
            </w:r>
            <w:r w:rsidRPr="006356FD">
              <w:rPr>
                <w:rFonts w:ascii="Arial" w:eastAsiaTheme="minorHAnsi" w:hAnsi="Arial" w:cs="Arial"/>
              </w:rPr>
              <w:t xml:space="preserve"> of section 57 of the said Criminal Procedure Act, 1977), is deemed to be declared unfit to</w:t>
            </w:r>
          </w:p>
          <w:p w:rsidR="00BA1FD4" w:rsidRPr="006356FD" w:rsidRDefault="00BA1FD4" w:rsidP="00BA1FD4">
            <w:pPr>
              <w:autoSpaceDE w:val="0"/>
              <w:autoSpaceDN w:val="0"/>
              <w:adjustRightInd w:val="0"/>
              <w:spacing w:after="0" w:line="360" w:lineRule="auto"/>
              <w:jc w:val="both"/>
              <w:rPr>
                <w:rFonts w:ascii="Arial" w:eastAsiaTheme="minorHAnsi" w:hAnsi="Arial" w:cs="Arial"/>
              </w:rPr>
            </w:pPr>
            <w:r w:rsidRPr="006356FD">
              <w:rPr>
                <w:rFonts w:ascii="Arial" w:eastAsiaTheme="minorHAnsi" w:hAnsi="Arial" w:cs="Arial"/>
              </w:rPr>
              <w:t xml:space="preserve">             </w:t>
            </w:r>
            <w:r w:rsidR="003A62AC" w:rsidRPr="006356FD">
              <w:rPr>
                <w:rFonts w:ascii="Arial" w:eastAsiaTheme="minorHAnsi" w:hAnsi="Arial" w:cs="Arial"/>
              </w:rPr>
              <w:t xml:space="preserve">  </w:t>
            </w:r>
            <w:r w:rsidRPr="006356FD">
              <w:rPr>
                <w:rFonts w:ascii="Arial" w:eastAsiaTheme="minorHAnsi" w:hAnsi="Arial" w:cs="Arial"/>
              </w:rPr>
              <w:t>possess an arm, unless the court determines otherwise;</w:t>
            </w:r>
          </w:p>
          <w:p w:rsidR="00BA1FD4" w:rsidRPr="006356FD" w:rsidRDefault="00BA1FD4" w:rsidP="00BA1FD4">
            <w:pPr>
              <w:autoSpaceDE w:val="0"/>
              <w:autoSpaceDN w:val="0"/>
              <w:adjustRightInd w:val="0"/>
              <w:spacing w:after="0" w:line="360" w:lineRule="auto"/>
              <w:jc w:val="both"/>
              <w:rPr>
                <w:rFonts w:ascii="Arial" w:eastAsiaTheme="minorHAnsi" w:hAnsi="Arial" w:cs="Arial"/>
              </w:rPr>
            </w:pPr>
            <w:r w:rsidRPr="006356FD">
              <w:rPr>
                <w:rFonts w:ascii="Arial" w:eastAsiaTheme="minorHAnsi" w:hAnsi="Arial" w:cs="Arial"/>
              </w:rPr>
              <w:t xml:space="preserve">      (b) </w:t>
            </w:r>
            <w:r w:rsidR="003A62AC" w:rsidRPr="006356FD">
              <w:rPr>
                <w:rFonts w:ascii="Arial" w:eastAsiaTheme="minorHAnsi" w:hAnsi="Arial" w:cs="Arial"/>
              </w:rPr>
              <w:t xml:space="preserve">   </w:t>
            </w:r>
            <w:r w:rsidRPr="006356FD">
              <w:rPr>
                <w:rFonts w:ascii="Arial" w:eastAsiaTheme="minorHAnsi" w:hAnsi="Arial" w:cs="Arial"/>
              </w:rPr>
              <w:t>an offence referred to in Schedule 1 of this Act in the commission of which an arm was</w:t>
            </w:r>
          </w:p>
          <w:p w:rsidR="00BA1FD4" w:rsidRPr="006356FD" w:rsidRDefault="00BA1FD4" w:rsidP="00BA1FD4">
            <w:pPr>
              <w:autoSpaceDE w:val="0"/>
              <w:autoSpaceDN w:val="0"/>
              <w:adjustRightInd w:val="0"/>
              <w:spacing w:after="0" w:line="360" w:lineRule="auto"/>
              <w:jc w:val="both"/>
              <w:rPr>
                <w:rFonts w:ascii="Arial" w:eastAsiaTheme="minorHAnsi" w:hAnsi="Arial" w:cs="Arial"/>
              </w:rPr>
            </w:pPr>
            <w:r w:rsidRPr="006356FD">
              <w:rPr>
                <w:rFonts w:ascii="Arial" w:eastAsiaTheme="minorHAnsi" w:hAnsi="Arial" w:cs="Arial"/>
              </w:rPr>
              <w:t xml:space="preserve">             </w:t>
            </w:r>
            <w:r w:rsidR="003A62AC" w:rsidRPr="006356FD">
              <w:rPr>
                <w:rFonts w:ascii="Arial" w:eastAsiaTheme="minorHAnsi" w:hAnsi="Arial" w:cs="Arial"/>
              </w:rPr>
              <w:t xml:space="preserve"> </w:t>
            </w:r>
            <w:r w:rsidRPr="006356FD">
              <w:rPr>
                <w:rFonts w:ascii="Arial" w:eastAsiaTheme="minorHAnsi" w:hAnsi="Arial" w:cs="Arial"/>
              </w:rPr>
              <w:t>not used, may except in the case where such a conviction follows upon the payment of an</w:t>
            </w:r>
          </w:p>
          <w:p w:rsidR="003A62AC" w:rsidRPr="006356FD" w:rsidRDefault="003A62AC" w:rsidP="00BA1FD4">
            <w:pPr>
              <w:autoSpaceDE w:val="0"/>
              <w:autoSpaceDN w:val="0"/>
              <w:adjustRightInd w:val="0"/>
              <w:spacing w:after="0" w:line="360" w:lineRule="auto"/>
              <w:ind w:left="787"/>
              <w:jc w:val="both"/>
              <w:rPr>
                <w:rFonts w:ascii="Arial" w:eastAsiaTheme="minorHAnsi" w:hAnsi="Arial" w:cs="Arial"/>
              </w:rPr>
            </w:pPr>
            <w:r w:rsidRPr="006356FD">
              <w:rPr>
                <w:rFonts w:ascii="Arial" w:eastAsiaTheme="minorHAnsi" w:hAnsi="Arial" w:cs="Arial"/>
              </w:rPr>
              <w:t xml:space="preserve"> </w:t>
            </w:r>
            <w:r w:rsidR="00BA1FD4" w:rsidRPr="006356FD">
              <w:rPr>
                <w:rFonts w:ascii="Arial" w:eastAsiaTheme="minorHAnsi" w:hAnsi="Arial" w:cs="Arial"/>
              </w:rPr>
              <w:t xml:space="preserve">admission of a guilt fine referred to in paragraph (a), be declared unfit to possess an arm    </w:t>
            </w:r>
            <w:r w:rsidRPr="006356FD">
              <w:rPr>
                <w:rFonts w:ascii="Arial" w:eastAsiaTheme="minorHAnsi" w:hAnsi="Arial" w:cs="Arial"/>
              </w:rPr>
              <w:t xml:space="preserve">    </w:t>
            </w:r>
          </w:p>
          <w:p w:rsidR="00BA1FD4" w:rsidRPr="006356FD" w:rsidRDefault="003A62AC" w:rsidP="00BA1FD4">
            <w:pPr>
              <w:autoSpaceDE w:val="0"/>
              <w:autoSpaceDN w:val="0"/>
              <w:adjustRightInd w:val="0"/>
              <w:spacing w:after="0" w:line="360" w:lineRule="auto"/>
              <w:ind w:left="787"/>
              <w:jc w:val="both"/>
              <w:rPr>
                <w:rFonts w:ascii="Arial" w:eastAsiaTheme="minorHAnsi" w:hAnsi="Arial" w:cs="Arial"/>
              </w:rPr>
            </w:pPr>
            <w:r w:rsidRPr="006356FD">
              <w:rPr>
                <w:rFonts w:ascii="Arial" w:eastAsiaTheme="minorHAnsi" w:hAnsi="Arial" w:cs="Arial"/>
              </w:rPr>
              <w:t xml:space="preserve"> </w:t>
            </w:r>
            <w:r w:rsidR="00BA1FD4" w:rsidRPr="006356FD">
              <w:rPr>
                <w:rFonts w:ascii="Arial" w:eastAsiaTheme="minorHAnsi" w:hAnsi="Arial" w:cs="Arial"/>
              </w:rPr>
              <w:t>in the discretion of the court concerned.</w:t>
            </w:r>
          </w:p>
          <w:p w:rsidR="002D6099" w:rsidRPr="006356FD" w:rsidRDefault="00BA1FD4" w:rsidP="00A7029B">
            <w:pPr>
              <w:autoSpaceDE w:val="0"/>
              <w:autoSpaceDN w:val="0"/>
              <w:adjustRightInd w:val="0"/>
              <w:spacing w:after="0" w:line="360" w:lineRule="auto"/>
              <w:ind w:left="607" w:hanging="630"/>
              <w:rPr>
                <w:rFonts w:ascii="Arial" w:eastAsiaTheme="minorHAnsi" w:hAnsi="Arial" w:cs="Arial"/>
                <w:sz w:val="24"/>
                <w:szCs w:val="24"/>
              </w:rPr>
            </w:pPr>
            <w:r w:rsidRPr="006356FD">
              <w:rPr>
                <w:rFonts w:ascii="Arial" w:eastAsiaTheme="minorHAnsi" w:hAnsi="Arial" w:cs="Arial"/>
              </w:rPr>
              <w:t xml:space="preserve">(7) </w:t>
            </w:r>
            <w:r w:rsidR="003A62AC" w:rsidRPr="006356FD">
              <w:rPr>
                <w:rFonts w:ascii="Arial" w:eastAsiaTheme="minorHAnsi" w:hAnsi="Arial" w:cs="Arial"/>
              </w:rPr>
              <w:t xml:space="preserve">   </w:t>
            </w:r>
            <w:r w:rsidR="00A7029B" w:rsidRPr="006356FD">
              <w:rPr>
                <w:rFonts w:ascii="Arial" w:eastAsiaTheme="minorHAnsi" w:hAnsi="Arial" w:cs="Arial"/>
              </w:rPr>
              <w:t xml:space="preserve"> </w:t>
            </w:r>
            <w:r w:rsidRPr="006356FD">
              <w:rPr>
                <w:rFonts w:ascii="Arial" w:eastAsiaTheme="minorHAnsi" w:hAnsi="Arial" w:cs="Arial"/>
              </w:rPr>
              <w:t xml:space="preserve">The court shall upon convicting any person referred to in paragraph (a) of subsection (6)     of where the court exercises a discretion as referred to in paragraph (b) of that subsection, </w:t>
            </w:r>
            <w:r w:rsidR="00A7029B" w:rsidRPr="006356FD">
              <w:rPr>
                <w:rFonts w:ascii="Arial" w:eastAsiaTheme="minorHAnsi" w:hAnsi="Arial" w:cs="Arial"/>
              </w:rPr>
              <w:t xml:space="preserve">  </w:t>
            </w:r>
            <w:r w:rsidRPr="006356FD">
              <w:rPr>
                <w:rFonts w:ascii="Arial" w:eastAsiaTheme="minorHAnsi" w:hAnsi="Arial" w:cs="Arial"/>
                <w:u w:val="single"/>
              </w:rPr>
              <w:t>bring the provisions of the paragraph concerned to the notice of su</w:t>
            </w:r>
            <w:r w:rsidR="00A7029B" w:rsidRPr="006356FD">
              <w:rPr>
                <w:rFonts w:ascii="Arial" w:eastAsiaTheme="minorHAnsi" w:hAnsi="Arial" w:cs="Arial"/>
                <w:u w:val="single"/>
              </w:rPr>
              <w:t xml:space="preserve">ch person and afford him or her </w:t>
            </w:r>
            <w:r w:rsidRPr="006356FD">
              <w:rPr>
                <w:rFonts w:ascii="Arial" w:eastAsiaTheme="minorHAnsi" w:hAnsi="Arial" w:cs="Arial"/>
                <w:u w:val="single"/>
              </w:rPr>
              <w:t>an opportunity to advance reasons and present evidence</w:t>
            </w:r>
            <w:r w:rsidRPr="006356FD">
              <w:rPr>
                <w:rFonts w:ascii="Arial" w:eastAsiaTheme="minorHAnsi" w:hAnsi="Arial" w:cs="Arial"/>
              </w:rPr>
              <w:t xml:space="preserve"> why he or she should not be declared or deemed to be declared unfit to possess an arm.</w:t>
            </w:r>
            <w:r w:rsidR="00394BA8" w:rsidRPr="006356FD">
              <w:rPr>
                <w:rFonts w:ascii="Arial" w:eastAsiaTheme="minorHAnsi" w:hAnsi="Arial" w:cs="Arial"/>
              </w:rPr>
              <w:t xml:space="preserve">’ </w:t>
            </w:r>
            <w:r w:rsidR="00394BA8" w:rsidRPr="006356FD">
              <w:rPr>
                <w:rFonts w:ascii="Arial" w:eastAsiaTheme="minorHAnsi" w:hAnsi="Arial" w:cs="Arial"/>
                <w:sz w:val="24"/>
                <w:szCs w:val="24"/>
              </w:rPr>
              <w:t>(Emphasis added)</w:t>
            </w:r>
          </w:p>
          <w:p w:rsidR="00F132FC" w:rsidRPr="006356FD" w:rsidRDefault="00F132FC" w:rsidP="00294556">
            <w:pPr>
              <w:pStyle w:val="ListParagraph"/>
              <w:rPr>
                <w:rFonts w:ascii="Arial" w:hAnsi="Arial" w:cs="Arial"/>
                <w:sz w:val="24"/>
                <w:szCs w:val="24"/>
                <w:lang w:val="en-ZA"/>
              </w:rPr>
            </w:pPr>
          </w:p>
          <w:p w:rsidR="002D6099" w:rsidRPr="006356FD" w:rsidRDefault="00A7029B" w:rsidP="00294556">
            <w:pPr>
              <w:pStyle w:val="ListParagraph"/>
              <w:numPr>
                <w:ilvl w:val="0"/>
                <w:numId w:val="1"/>
              </w:numPr>
              <w:tabs>
                <w:tab w:val="left" w:pos="851"/>
              </w:tabs>
              <w:spacing w:after="0" w:line="360" w:lineRule="auto"/>
              <w:ind w:left="0" w:hanging="11"/>
              <w:jc w:val="both"/>
              <w:rPr>
                <w:rFonts w:ascii="Arial" w:hAnsi="Arial" w:cs="Arial"/>
                <w:b/>
                <w:sz w:val="24"/>
                <w:szCs w:val="24"/>
                <w:lang w:val="en-ZA"/>
              </w:rPr>
            </w:pPr>
            <w:r w:rsidRPr="006356FD">
              <w:rPr>
                <w:rFonts w:ascii="Arial" w:hAnsi="Arial" w:cs="Arial"/>
                <w:sz w:val="24"/>
                <w:szCs w:val="24"/>
                <w:lang w:val="en-ZA"/>
              </w:rPr>
              <w:t xml:space="preserve">The above provisions and specifically 10(7) is peremptory and places a duty on the Magistrate to hold an </w:t>
            </w:r>
            <w:r w:rsidR="00394BA8" w:rsidRPr="006356FD">
              <w:rPr>
                <w:rFonts w:ascii="Arial" w:hAnsi="Arial" w:cs="Arial"/>
                <w:sz w:val="24"/>
                <w:szCs w:val="24"/>
                <w:lang w:val="en-ZA"/>
              </w:rPr>
              <w:t>i</w:t>
            </w:r>
            <w:r w:rsidRPr="006356FD">
              <w:rPr>
                <w:rFonts w:ascii="Arial" w:hAnsi="Arial" w:cs="Arial"/>
                <w:sz w:val="24"/>
                <w:szCs w:val="24"/>
                <w:lang w:val="en-ZA"/>
              </w:rPr>
              <w:t xml:space="preserve">nquiry before an accused is deemed or declared unfit to possess a firearm in terms of section 10(6) above. These </w:t>
            </w:r>
            <w:r w:rsidR="00394BA8" w:rsidRPr="006356FD">
              <w:rPr>
                <w:rFonts w:ascii="Arial" w:hAnsi="Arial" w:cs="Arial"/>
                <w:sz w:val="24"/>
                <w:szCs w:val="24"/>
                <w:lang w:val="en-ZA"/>
              </w:rPr>
              <w:t>two provisions not only place</w:t>
            </w:r>
            <w:r w:rsidRPr="006356FD">
              <w:rPr>
                <w:rFonts w:ascii="Arial" w:hAnsi="Arial" w:cs="Arial"/>
                <w:sz w:val="24"/>
                <w:szCs w:val="24"/>
                <w:lang w:val="en-ZA"/>
              </w:rPr>
              <w:t xml:space="preserve"> a duty </w:t>
            </w:r>
            <w:r w:rsidR="00D76976" w:rsidRPr="006356FD">
              <w:rPr>
                <w:rFonts w:ascii="Arial" w:hAnsi="Arial" w:cs="Arial"/>
                <w:sz w:val="24"/>
                <w:szCs w:val="24"/>
                <w:lang w:val="en-ZA"/>
              </w:rPr>
              <w:t>on the Magistrate but create</w:t>
            </w:r>
            <w:r w:rsidRPr="006356FD">
              <w:rPr>
                <w:rFonts w:ascii="Arial" w:hAnsi="Arial" w:cs="Arial"/>
                <w:sz w:val="24"/>
                <w:szCs w:val="24"/>
                <w:lang w:val="en-ZA"/>
              </w:rPr>
              <w:t xml:space="preserve"> rights and choices for the accused that has been convicted to either just advance reasons or give evidence why he/she should not be declared or deemed as aforesaid. Evidence maybe adduced in different ways. Where </w:t>
            </w:r>
            <w:r w:rsidR="00394BA8" w:rsidRPr="006356FD">
              <w:rPr>
                <w:rFonts w:ascii="Arial" w:hAnsi="Arial" w:cs="Arial"/>
                <w:sz w:val="24"/>
                <w:szCs w:val="24"/>
                <w:lang w:val="en-ZA"/>
              </w:rPr>
              <w:t>an accused person has a right that he has to</w:t>
            </w:r>
            <w:r w:rsidRPr="006356FD">
              <w:rPr>
                <w:rFonts w:ascii="Arial" w:hAnsi="Arial" w:cs="Arial"/>
                <w:sz w:val="24"/>
                <w:szCs w:val="24"/>
                <w:lang w:val="en-ZA"/>
              </w:rPr>
              <w:t xml:space="preserve"> exercise</w:t>
            </w:r>
            <w:r w:rsidR="00394BA8" w:rsidRPr="006356FD">
              <w:rPr>
                <w:rFonts w:ascii="Arial" w:hAnsi="Arial" w:cs="Arial"/>
                <w:sz w:val="24"/>
                <w:szCs w:val="24"/>
                <w:lang w:val="en-ZA"/>
              </w:rPr>
              <w:t>,</w:t>
            </w:r>
            <w:r w:rsidRPr="006356FD">
              <w:rPr>
                <w:rFonts w:ascii="Arial" w:hAnsi="Arial" w:cs="Arial"/>
                <w:sz w:val="24"/>
                <w:szCs w:val="24"/>
                <w:lang w:val="en-ZA"/>
              </w:rPr>
              <w:t xml:space="preserve"> it is very important that </w:t>
            </w:r>
            <w:r w:rsidR="00394BA8" w:rsidRPr="006356FD">
              <w:rPr>
                <w:rFonts w:ascii="Arial" w:hAnsi="Arial" w:cs="Arial"/>
                <w:sz w:val="24"/>
                <w:szCs w:val="24"/>
                <w:lang w:val="en-ZA"/>
              </w:rPr>
              <w:t>such right is</w:t>
            </w:r>
            <w:r w:rsidRPr="006356FD">
              <w:rPr>
                <w:rFonts w:ascii="Arial" w:hAnsi="Arial" w:cs="Arial"/>
                <w:sz w:val="24"/>
                <w:szCs w:val="24"/>
                <w:lang w:val="en-ZA"/>
              </w:rPr>
              <w:t xml:space="preserve"> brought to his/her attention and the manner in which such a right is to be exercised should equally be explained</w:t>
            </w:r>
            <w:r w:rsidR="00394BA8" w:rsidRPr="006356FD">
              <w:rPr>
                <w:rFonts w:ascii="Arial" w:hAnsi="Arial" w:cs="Arial"/>
                <w:sz w:val="24"/>
                <w:szCs w:val="24"/>
                <w:lang w:val="en-ZA"/>
              </w:rPr>
              <w:t xml:space="preserve"> and reflected </w:t>
            </w:r>
            <w:r w:rsidR="00394BA8" w:rsidRPr="006356FD">
              <w:rPr>
                <w:rFonts w:ascii="Arial" w:hAnsi="Arial" w:cs="Arial"/>
                <w:i/>
                <w:sz w:val="24"/>
                <w:szCs w:val="24"/>
                <w:lang w:val="en-ZA"/>
              </w:rPr>
              <w:t>ex facie</w:t>
            </w:r>
            <w:r w:rsidR="00394BA8" w:rsidRPr="006356FD">
              <w:rPr>
                <w:rFonts w:ascii="Arial" w:hAnsi="Arial" w:cs="Arial"/>
                <w:sz w:val="24"/>
                <w:szCs w:val="24"/>
                <w:lang w:val="en-ZA"/>
              </w:rPr>
              <w:t xml:space="preserve"> on the record.</w:t>
            </w:r>
            <w:r w:rsidRPr="006356FD">
              <w:rPr>
                <w:rFonts w:ascii="Arial" w:hAnsi="Arial" w:cs="Arial"/>
                <w:sz w:val="24"/>
                <w:szCs w:val="24"/>
                <w:lang w:val="en-ZA"/>
              </w:rPr>
              <w:t xml:space="preserve"> </w:t>
            </w:r>
          </w:p>
          <w:p w:rsidR="00F14C36" w:rsidRPr="006356FD" w:rsidRDefault="00F14C36" w:rsidP="00F14C36">
            <w:pPr>
              <w:pStyle w:val="ListParagraph"/>
              <w:tabs>
                <w:tab w:val="left" w:pos="851"/>
              </w:tabs>
              <w:spacing w:after="0" w:line="360" w:lineRule="auto"/>
              <w:ind w:left="0"/>
              <w:jc w:val="both"/>
              <w:rPr>
                <w:rFonts w:ascii="Arial" w:hAnsi="Arial" w:cs="Arial"/>
                <w:b/>
                <w:sz w:val="24"/>
                <w:szCs w:val="24"/>
                <w:lang w:val="en-ZA"/>
              </w:rPr>
            </w:pPr>
          </w:p>
          <w:p w:rsidR="00F721F2" w:rsidRPr="006356FD" w:rsidRDefault="004D63DF" w:rsidP="00D76976">
            <w:pPr>
              <w:pStyle w:val="ListParagraph"/>
              <w:numPr>
                <w:ilvl w:val="0"/>
                <w:numId w:val="1"/>
              </w:numPr>
              <w:tabs>
                <w:tab w:val="left" w:pos="851"/>
              </w:tabs>
              <w:spacing w:after="0" w:line="360" w:lineRule="auto"/>
              <w:ind w:left="0" w:hanging="11"/>
              <w:jc w:val="both"/>
              <w:rPr>
                <w:rFonts w:ascii="Arial" w:hAnsi="Arial" w:cs="Arial"/>
                <w:b/>
                <w:sz w:val="24"/>
                <w:szCs w:val="24"/>
                <w:lang w:val="en-ZA"/>
              </w:rPr>
            </w:pPr>
            <w:r w:rsidRPr="006356FD">
              <w:rPr>
                <w:rFonts w:ascii="Arial" w:hAnsi="Arial" w:cs="Arial"/>
                <w:sz w:val="24"/>
                <w:szCs w:val="24"/>
                <w:lang w:val="en-ZA"/>
              </w:rPr>
              <w:t>It is trite that M</w:t>
            </w:r>
            <w:r w:rsidR="0087242F" w:rsidRPr="006356FD">
              <w:rPr>
                <w:rFonts w:ascii="Arial" w:hAnsi="Arial" w:cs="Arial"/>
                <w:sz w:val="24"/>
                <w:szCs w:val="24"/>
                <w:lang w:val="en-ZA"/>
              </w:rPr>
              <w:t>agistrate’s courts are courts of record.</w:t>
            </w:r>
            <w:r w:rsidR="00394BA8" w:rsidRPr="006356FD">
              <w:rPr>
                <w:rStyle w:val="FootnoteReference"/>
                <w:rFonts w:ascii="Arial" w:hAnsi="Arial" w:cs="Arial"/>
                <w:sz w:val="24"/>
                <w:szCs w:val="24"/>
                <w:lang w:val="en-ZA"/>
              </w:rPr>
              <w:footnoteReference w:id="1"/>
            </w:r>
            <w:r w:rsidR="0087242F" w:rsidRPr="006356FD">
              <w:rPr>
                <w:rFonts w:ascii="Arial" w:hAnsi="Arial" w:cs="Arial"/>
                <w:sz w:val="24"/>
                <w:szCs w:val="24"/>
                <w:lang w:val="en-ZA"/>
              </w:rPr>
              <w:t xml:space="preserve"> It cannot be emphasized </w:t>
            </w:r>
            <w:r w:rsidRPr="006356FD">
              <w:rPr>
                <w:rFonts w:ascii="Arial" w:hAnsi="Arial" w:cs="Arial"/>
                <w:sz w:val="24"/>
                <w:szCs w:val="24"/>
                <w:lang w:val="en-ZA"/>
              </w:rPr>
              <w:t>enough that it is incumbent on M</w:t>
            </w:r>
            <w:r w:rsidR="0087242F" w:rsidRPr="006356FD">
              <w:rPr>
                <w:rFonts w:ascii="Arial" w:hAnsi="Arial" w:cs="Arial"/>
                <w:sz w:val="24"/>
                <w:szCs w:val="24"/>
                <w:lang w:val="en-ZA"/>
              </w:rPr>
              <w:t xml:space="preserve">agistrates to keep proper records of proceedings. As Shivute J and January J when addressing the need for proper record keeping in Magistrates Court put it in </w:t>
            </w:r>
            <w:r w:rsidR="0087242F" w:rsidRPr="006356FD">
              <w:rPr>
                <w:rFonts w:ascii="Arial" w:hAnsi="Arial" w:cs="Arial"/>
                <w:i/>
                <w:sz w:val="24"/>
                <w:szCs w:val="24"/>
                <w:lang w:val="en-ZA"/>
              </w:rPr>
              <w:t>S v Hanse</w:t>
            </w:r>
            <w:r w:rsidR="0087242F" w:rsidRPr="006356FD">
              <w:rPr>
                <w:rStyle w:val="FootnoteReference"/>
                <w:rFonts w:ascii="Arial" w:hAnsi="Arial" w:cs="Arial"/>
                <w:i/>
                <w:sz w:val="24"/>
                <w:szCs w:val="24"/>
                <w:lang w:val="en-ZA"/>
              </w:rPr>
              <w:footnoteReference w:id="2"/>
            </w:r>
            <w:r w:rsidR="0087242F" w:rsidRPr="006356FD">
              <w:rPr>
                <w:rFonts w:ascii="Arial" w:hAnsi="Arial" w:cs="Arial"/>
                <w:i/>
                <w:sz w:val="24"/>
                <w:szCs w:val="24"/>
                <w:lang w:val="en-ZA"/>
              </w:rPr>
              <w:t xml:space="preserve"> </w:t>
            </w:r>
            <w:r w:rsidR="0087242F" w:rsidRPr="006356FD">
              <w:rPr>
                <w:rFonts w:ascii="Arial" w:hAnsi="Arial" w:cs="Arial"/>
                <w:sz w:val="24"/>
                <w:szCs w:val="24"/>
                <w:lang w:val="en-ZA"/>
              </w:rPr>
              <w:t xml:space="preserve">that: </w:t>
            </w:r>
            <w:r w:rsidR="0087242F" w:rsidRPr="006356FD">
              <w:rPr>
                <w:rFonts w:ascii="Arial" w:hAnsi="Arial" w:cs="Arial"/>
                <w:lang w:val="en-ZA"/>
              </w:rPr>
              <w:t xml:space="preserve">‘It serves in review matters to properly inform the reviewing judges of the facts and principles to determine if the matter was disposed of in accordance with justice.’ </w:t>
            </w:r>
            <w:r w:rsidR="0087242F" w:rsidRPr="006356FD">
              <w:rPr>
                <w:rFonts w:ascii="Arial" w:hAnsi="Arial" w:cs="Arial"/>
                <w:sz w:val="24"/>
                <w:szCs w:val="24"/>
                <w:lang w:val="en-ZA"/>
              </w:rPr>
              <w:t xml:space="preserve">Inquiries such as that envisaged in section 10 above are conducted to determine issues of substance that borders on individuals rights and have to be conducted in terms of specific procedures to minimise any prejudice that may result from any resultant order thereof. </w:t>
            </w:r>
            <w:r w:rsidR="00D76976" w:rsidRPr="006356FD">
              <w:rPr>
                <w:rFonts w:ascii="Arial" w:hAnsi="Arial" w:cs="Arial"/>
                <w:sz w:val="24"/>
                <w:szCs w:val="24"/>
                <w:lang w:val="en-ZA"/>
              </w:rPr>
              <w:t>N</w:t>
            </w:r>
            <w:r w:rsidR="00F721F2" w:rsidRPr="006356FD">
              <w:rPr>
                <w:rFonts w:ascii="Arial" w:hAnsi="Arial" w:cs="Arial"/>
                <w:sz w:val="24"/>
                <w:szCs w:val="24"/>
                <w:lang w:val="en-ZA"/>
              </w:rPr>
              <w:t>o explanation was recorded of the accused’s rights in terms of this section despite the allegation that this was made. His response</w:t>
            </w:r>
            <w:r w:rsidR="00D76976" w:rsidRPr="006356FD">
              <w:rPr>
                <w:rFonts w:ascii="Arial" w:hAnsi="Arial" w:cs="Arial"/>
                <w:sz w:val="24"/>
                <w:szCs w:val="24"/>
                <w:lang w:val="en-ZA"/>
              </w:rPr>
              <w:t xml:space="preserve"> to the explanation or choice is also not recorded. Strangely there is no single trace of the whole inquiry</w:t>
            </w:r>
            <w:r w:rsidR="00F721F2" w:rsidRPr="006356FD">
              <w:rPr>
                <w:rFonts w:ascii="Arial" w:hAnsi="Arial" w:cs="Arial"/>
                <w:sz w:val="24"/>
                <w:szCs w:val="24"/>
                <w:lang w:val="en-ZA"/>
              </w:rPr>
              <w:t xml:space="preserve"> on the</w:t>
            </w:r>
            <w:r w:rsidRPr="006356FD">
              <w:rPr>
                <w:rFonts w:ascii="Arial" w:hAnsi="Arial" w:cs="Arial"/>
                <w:sz w:val="24"/>
                <w:szCs w:val="24"/>
                <w:lang w:val="en-ZA"/>
              </w:rPr>
              <w:t xml:space="preserve"> case</w:t>
            </w:r>
            <w:r w:rsidR="00F721F2" w:rsidRPr="006356FD">
              <w:rPr>
                <w:rFonts w:ascii="Arial" w:hAnsi="Arial" w:cs="Arial"/>
                <w:sz w:val="24"/>
                <w:szCs w:val="24"/>
                <w:lang w:val="en-ZA"/>
              </w:rPr>
              <w:t xml:space="preserve"> record apa</w:t>
            </w:r>
            <w:r w:rsidRPr="006356FD">
              <w:rPr>
                <w:rFonts w:ascii="Arial" w:hAnsi="Arial" w:cs="Arial"/>
                <w:sz w:val="24"/>
                <w:szCs w:val="24"/>
                <w:lang w:val="en-ZA"/>
              </w:rPr>
              <w:t>rt from the application by the P</w:t>
            </w:r>
            <w:r w:rsidR="00F721F2" w:rsidRPr="006356FD">
              <w:rPr>
                <w:rFonts w:ascii="Arial" w:hAnsi="Arial" w:cs="Arial"/>
                <w:sz w:val="24"/>
                <w:szCs w:val="24"/>
                <w:lang w:val="en-ZA"/>
              </w:rPr>
              <w:t>rosecutor and the declaratory order.</w:t>
            </w:r>
          </w:p>
          <w:p w:rsidR="00A7029B" w:rsidRPr="006356FD" w:rsidRDefault="00F721F2" w:rsidP="00F721F2">
            <w:pPr>
              <w:tabs>
                <w:tab w:val="left" w:pos="851"/>
              </w:tabs>
              <w:spacing w:after="0" w:line="360" w:lineRule="auto"/>
              <w:jc w:val="both"/>
              <w:rPr>
                <w:rFonts w:ascii="Arial" w:hAnsi="Arial" w:cs="Arial"/>
                <w:b/>
                <w:sz w:val="24"/>
                <w:szCs w:val="24"/>
                <w:lang w:val="en-ZA"/>
              </w:rPr>
            </w:pPr>
            <w:r w:rsidRPr="006356FD">
              <w:rPr>
                <w:rFonts w:ascii="Arial" w:hAnsi="Arial" w:cs="Arial"/>
                <w:sz w:val="24"/>
                <w:szCs w:val="24"/>
                <w:lang w:val="en-ZA"/>
              </w:rPr>
              <w:t xml:space="preserve">  </w:t>
            </w:r>
          </w:p>
          <w:p w:rsidR="00FE4628" w:rsidRPr="006356FD" w:rsidRDefault="008429B4" w:rsidP="00FE4628">
            <w:pPr>
              <w:pStyle w:val="ListParagraph"/>
              <w:numPr>
                <w:ilvl w:val="0"/>
                <w:numId w:val="1"/>
              </w:numPr>
              <w:tabs>
                <w:tab w:val="left" w:pos="851"/>
              </w:tabs>
              <w:spacing w:after="0" w:line="360" w:lineRule="auto"/>
              <w:ind w:left="0" w:hanging="11"/>
              <w:jc w:val="both"/>
              <w:rPr>
                <w:rFonts w:ascii="Arial" w:hAnsi="Arial" w:cs="Arial"/>
                <w:sz w:val="24"/>
                <w:szCs w:val="24"/>
                <w:lang w:val="en-ZA"/>
              </w:rPr>
            </w:pPr>
            <w:r w:rsidRPr="006356FD">
              <w:rPr>
                <w:rFonts w:ascii="Arial" w:hAnsi="Arial" w:cs="Arial"/>
                <w:sz w:val="24"/>
                <w:szCs w:val="24"/>
                <w:lang w:val="en-ZA"/>
              </w:rPr>
              <w:t>In</w:t>
            </w:r>
            <w:r w:rsidR="004D63DF" w:rsidRPr="006356FD">
              <w:rPr>
                <w:rFonts w:ascii="Arial" w:hAnsi="Arial" w:cs="Arial"/>
                <w:sz w:val="24"/>
                <w:szCs w:val="24"/>
                <w:lang w:val="en-ZA"/>
              </w:rPr>
              <w:t xml:space="preserve"> relation to the duty of a M</w:t>
            </w:r>
            <w:r w:rsidRPr="006356FD">
              <w:rPr>
                <w:rFonts w:ascii="Arial" w:hAnsi="Arial" w:cs="Arial"/>
                <w:sz w:val="24"/>
                <w:szCs w:val="24"/>
                <w:lang w:val="en-ZA"/>
              </w:rPr>
              <w:t xml:space="preserve">agistrate to ensure a proper and comprehensive record of the court proceedings as they transpired, </w:t>
            </w:r>
            <w:r w:rsidR="004D63DF" w:rsidRPr="006356FD">
              <w:rPr>
                <w:rFonts w:ascii="Arial" w:hAnsi="Arial" w:cs="Arial"/>
                <w:sz w:val="24"/>
                <w:szCs w:val="24"/>
                <w:lang w:val="en-ZA"/>
              </w:rPr>
              <w:t>I refer to</w:t>
            </w:r>
            <w:r w:rsidRPr="006356FD">
              <w:rPr>
                <w:rFonts w:ascii="Arial" w:hAnsi="Arial" w:cs="Arial"/>
                <w:i/>
                <w:sz w:val="24"/>
                <w:szCs w:val="24"/>
                <w:lang w:val="en-ZA"/>
              </w:rPr>
              <w:t xml:space="preserve"> S v Frederick</w:t>
            </w:r>
            <w:r w:rsidRPr="006356FD">
              <w:rPr>
                <w:rStyle w:val="FootnoteReference"/>
                <w:rFonts w:ascii="Arial" w:hAnsi="Arial" w:cs="Arial"/>
                <w:i/>
                <w:sz w:val="24"/>
                <w:szCs w:val="24"/>
                <w:lang w:val="en-ZA"/>
              </w:rPr>
              <w:footnoteReference w:id="3"/>
            </w:r>
            <w:r w:rsidRPr="006356FD">
              <w:rPr>
                <w:rFonts w:ascii="Arial" w:hAnsi="Arial" w:cs="Arial"/>
                <w:sz w:val="24"/>
                <w:szCs w:val="24"/>
                <w:lang w:val="en-ZA"/>
              </w:rPr>
              <w:t xml:space="preserve"> </w:t>
            </w:r>
            <w:r w:rsidR="004D63DF" w:rsidRPr="006356FD">
              <w:rPr>
                <w:rFonts w:ascii="Arial" w:hAnsi="Arial" w:cs="Arial"/>
                <w:sz w:val="24"/>
                <w:szCs w:val="24"/>
                <w:lang w:val="en-ZA"/>
              </w:rPr>
              <w:t>where it was held that a M</w:t>
            </w:r>
            <w:r w:rsidRPr="006356FD">
              <w:rPr>
                <w:rFonts w:ascii="Arial" w:hAnsi="Arial" w:cs="Arial"/>
                <w:sz w:val="24"/>
                <w:szCs w:val="24"/>
                <w:lang w:val="en-ZA"/>
              </w:rPr>
              <w:t>agistrate has a duty to keep an unrepresented accused informed of procedural rights and to keep record thereof.</w:t>
            </w:r>
            <w:r w:rsidRPr="006356FD">
              <w:rPr>
                <w:rFonts w:ascii="Arial" w:hAnsi="Arial" w:cs="Arial"/>
                <w:vertAlign w:val="superscript"/>
                <w:lang w:val="en-ZA"/>
              </w:rPr>
              <w:footnoteReference w:id="4"/>
            </w:r>
            <w:r w:rsidRPr="006356FD">
              <w:rPr>
                <w:rFonts w:ascii="Arial" w:hAnsi="Arial" w:cs="Arial"/>
                <w:sz w:val="24"/>
                <w:szCs w:val="24"/>
                <w:lang w:val="en-ZA"/>
              </w:rPr>
              <w:t xml:space="preserve"> In that case, the magistrate failed to record the explanations of the procedural rights, </w:t>
            </w:r>
            <w:r w:rsidR="004D63DF" w:rsidRPr="006356FD">
              <w:rPr>
                <w:rFonts w:ascii="Arial" w:hAnsi="Arial" w:cs="Arial"/>
                <w:sz w:val="24"/>
                <w:szCs w:val="24"/>
                <w:lang w:val="en-ZA"/>
              </w:rPr>
              <w:t xml:space="preserve">but </w:t>
            </w:r>
            <w:r w:rsidRPr="006356FD">
              <w:rPr>
                <w:rFonts w:ascii="Arial" w:hAnsi="Arial" w:cs="Arial"/>
                <w:sz w:val="24"/>
                <w:szCs w:val="24"/>
                <w:lang w:val="en-ZA"/>
              </w:rPr>
              <w:t>merely record</w:t>
            </w:r>
            <w:r w:rsidR="004D63DF" w:rsidRPr="006356FD">
              <w:rPr>
                <w:rFonts w:ascii="Arial" w:hAnsi="Arial" w:cs="Arial"/>
                <w:sz w:val="24"/>
                <w:szCs w:val="24"/>
                <w:lang w:val="en-ZA"/>
              </w:rPr>
              <w:t>ed</w:t>
            </w:r>
            <w:r w:rsidRPr="006356FD">
              <w:rPr>
                <w:rFonts w:ascii="Arial" w:hAnsi="Arial" w:cs="Arial"/>
                <w:sz w:val="24"/>
                <w:szCs w:val="24"/>
                <w:lang w:val="en-ZA"/>
              </w:rPr>
              <w:t xml:space="preserve"> that rights in cross-examination, mitigation rights, and review and appeal rights were explained to the accused, without recording or stating the exact and detailed explanation given to the accused. In that case it was held that the details of the explanations should appear </w:t>
            </w:r>
            <w:r w:rsidRPr="006356FD">
              <w:rPr>
                <w:rFonts w:ascii="Arial" w:hAnsi="Arial" w:cs="Arial"/>
                <w:i/>
                <w:sz w:val="24"/>
                <w:szCs w:val="24"/>
                <w:lang w:val="en-ZA"/>
              </w:rPr>
              <w:t>ex facie</w:t>
            </w:r>
            <w:r w:rsidRPr="006356FD">
              <w:rPr>
                <w:rFonts w:ascii="Arial" w:hAnsi="Arial" w:cs="Arial"/>
                <w:sz w:val="24"/>
                <w:szCs w:val="24"/>
                <w:lang w:val="en-ZA"/>
              </w:rPr>
              <w:t xml:space="preserve"> the record,</w:t>
            </w:r>
            <w:r w:rsidRPr="006356FD">
              <w:rPr>
                <w:rFonts w:ascii="Arial" w:hAnsi="Arial" w:cs="Arial"/>
                <w:vertAlign w:val="superscript"/>
                <w:lang w:val="en-ZA"/>
              </w:rPr>
              <w:footnoteReference w:id="5"/>
            </w:r>
            <w:r w:rsidRPr="006356FD">
              <w:rPr>
                <w:rFonts w:ascii="Arial" w:hAnsi="Arial" w:cs="Arial"/>
                <w:sz w:val="24"/>
                <w:szCs w:val="24"/>
                <w:lang w:val="en-ZA"/>
              </w:rPr>
              <w:t xml:space="preserve"> which was not properly done in that matter and</w:t>
            </w:r>
            <w:r w:rsidR="004D63DF" w:rsidRPr="006356FD">
              <w:rPr>
                <w:rFonts w:ascii="Arial" w:hAnsi="Arial" w:cs="Arial"/>
                <w:sz w:val="24"/>
                <w:szCs w:val="24"/>
                <w:lang w:val="en-ZA"/>
              </w:rPr>
              <w:t xml:space="preserve"> the court found that it amounted</w:t>
            </w:r>
            <w:r w:rsidRPr="006356FD">
              <w:rPr>
                <w:rFonts w:ascii="Arial" w:hAnsi="Arial" w:cs="Arial"/>
                <w:sz w:val="24"/>
                <w:szCs w:val="24"/>
                <w:lang w:val="en-ZA"/>
              </w:rPr>
              <w:t xml:space="preserve"> to a</w:t>
            </w:r>
            <w:r w:rsidR="004D63DF" w:rsidRPr="006356FD">
              <w:rPr>
                <w:rFonts w:ascii="Arial" w:hAnsi="Arial" w:cs="Arial"/>
                <w:sz w:val="24"/>
                <w:szCs w:val="24"/>
                <w:lang w:val="en-ZA"/>
              </w:rPr>
              <w:t>n</w:t>
            </w:r>
            <w:r w:rsidRPr="006356FD">
              <w:rPr>
                <w:rFonts w:ascii="Arial" w:hAnsi="Arial" w:cs="Arial"/>
                <w:sz w:val="24"/>
                <w:szCs w:val="24"/>
                <w:lang w:val="en-ZA"/>
              </w:rPr>
              <w:t xml:space="preserve"> irregularity.</w:t>
            </w:r>
          </w:p>
          <w:p w:rsidR="00FE4628" w:rsidRPr="006356FD" w:rsidRDefault="00FE4628" w:rsidP="00FE4628">
            <w:pPr>
              <w:pStyle w:val="ListParagraph"/>
              <w:tabs>
                <w:tab w:val="left" w:pos="851"/>
              </w:tabs>
              <w:spacing w:after="0" w:line="360" w:lineRule="auto"/>
              <w:ind w:left="0"/>
              <w:jc w:val="both"/>
              <w:rPr>
                <w:rFonts w:ascii="Arial" w:hAnsi="Arial" w:cs="Arial"/>
                <w:sz w:val="24"/>
                <w:szCs w:val="24"/>
                <w:lang w:val="en-ZA"/>
              </w:rPr>
            </w:pPr>
          </w:p>
          <w:p w:rsidR="002D6099" w:rsidRPr="006356FD" w:rsidRDefault="008429B4" w:rsidP="00FE4628">
            <w:pPr>
              <w:pStyle w:val="ListParagraph"/>
              <w:numPr>
                <w:ilvl w:val="0"/>
                <w:numId w:val="1"/>
              </w:numPr>
              <w:tabs>
                <w:tab w:val="left" w:pos="851"/>
              </w:tabs>
              <w:spacing w:after="0" w:line="360" w:lineRule="auto"/>
              <w:ind w:left="0" w:hanging="11"/>
              <w:jc w:val="both"/>
              <w:rPr>
                <w:rFonts w:ascii="Arial" w:hAnsi="Arial" w:cs="Arial"/>
                <w:sz w:val="24"/>
                <w:szCs w:val="24"/>
                <w:lang w:val="en-ZA"/>
              </w:rPr>
            </w:pPr>
            <w:r w:rsidRPr="006356FD">
              <w:rPr>
                <w:rFonts w:ascii="Arial" w:hAnsi="Arial" w:cs="Arial"/>
                <w:sz w:val="24"/>
                <w:szCs w:val="24"/>
                <w:lang w:val="en-ZA"/>
              </w:rPr>
              <w:t xml:space="preserve">The above principles are sound in </w:t>
            </w:r>
            <w:r w:rsidR="004D63DF" w:rsidRPr="006356FD">
              <w:rPr>
                <w:rFonts w:ascii="Arial" w:hAnsi="Arial" w:cs="Arial"/>
                <w:sz w:val="24"/>
                <w:szCs w:val="24"/>
                <w:lang w:val="en-ZA"/>
              </w:rPr>
              <w:t xml:space="preserve">both </w:t>
            </w:r>
            <w:r w:rsidRPr="006356FD">
              <w:rPr>
                <w:rFonts w:ascii="Arial" w:hAnsi="Arial" w:cs="Arial"/>
                <w:sz w:val="24"/>
                <w:szCs w:val="24"/>
                <w:lang w:val="en-ZA"/>
              </w:rPr>
              <w:t>law and logic. Although not specifically dealing with the issu</w:t>
            </w:r>
            <w:r w:rsidR="00305CC2" w:rsidRPr="006356FD">
              <w:rPr>
                <w:rFonts w:ascii="Arial" w:hAnsi="Arial" w:cs="Arial"/>
                <w:sz w:val="24"/>
                <w:szCs w:val="24"/>
                <w:lang w:val="en-ZA"/>
              </w:rPr>
              <w:t>es of procedural rights</w:t>
            </w:r>
            <w:r w:rsidR="004D63DF" w:rsidRPr="006356FD">
              <w:rPr>
                <w:rFonts w:ascii="Arial" w:hAnsi="Arial" w:cs="Arial"/>
                <w:sz w:val="24"/>
                <w:szCs w:val="24"/>
                <w:lang w:val="en-ZA"/>
              </w:rPr>
              <w:t xml:space="preserve"> as above</w:t>
            </w:r>
            <w:r w:rsidRPr="006356FD">
              <w:rPr>
                <w:rFonts w:ascii="Arial" w:hAnsi="Arial" w:cs="Arial"/>
                <w:sz w:val="24"/>
                <w:szCs w:val="24"/>
                <w:lang w:val="en-ZA"/>
              </w:rPr>
              <w:t xml:space="preserve">, it cannot </w:t>
            </w:r>
            <w:r w:rsidR="004D63DF" w:rsidRPr="006356FD">
              <w:rPr>
                <w:rFonts w:ascii="Arial" w:hAnsi="Arial" w:cs="Arial"/>
                <w:sz w:val="24"/>
                <w:szCs w:val="24"/>
                <w:lang w:val="en-ZA"/>
              </w:rPr>
              <w:t xml:space="preserve">equally </w:t>
            </w:r>
            <w:r w:rsidRPr="006356FD">
              <w:rPr>
                <w:rFonts w:ascii="Arial" w:hAnsi="Arial" w:cs="Arial"/>
                <w:sz w:val="24"/>
                <w:szCs w:val="24"/>
                <w:lang w:val="en-ZA"/>
              </w:rPr>
              <w:t>be assumed</w:t>
            </w:r>
            <w:r w:rsidR="00090079" w:rsidRPr="006356FD">
              <w:rPr>
                <w:rFonts w:ascii="Arial" w:hAnsi="Arial" w:cs="Arial"/>
                <w:sz w:val="24"/>
                <w:szCs w:val="24"/>
                <w:lang w:val="en-ZA"/>
              </w:rPr>
              <w:t xml:space="preserve"> by this court that an</w:t>
            </w:r>
            <w:r w:rsidRPr="006356FD">
              <w:rPr>
                <w:rFonts w:ascii="Arial" w:hAnsi="Arial" w:cs="Arial"/>
                <w:sz w:val="24"/>
                <w:szCs w:val="24"/>
                <w:lang w:val="en-ZA"/>
              </w:rPr>
              <w:t xml:space="preserve"> explanation was properly given</w:t>
            </w:r>
            <w:r w:rsidR="00090079" w:rsidRPr="006356FD">
              <w:rPr>
                <w:rFonts w:ascii="Arial" w:hAnsi="Arial" w:cs="Arial"/>
                <w:sz w:val="24"/>
                <w:szCs w:val="24"/>
                <w:lang w:val="en-ZA"/>
              </w:rPr>
              <w:t xml:space="preserve"> and in what terms</w:t>
            </w:r>
            <w:r w:rsidR="004D63DF" w:rsidRPr="006356FD">
              <w:rPr>
                <w:rFonts w:ascii="Arial" w:hAnsi="Arial" w:cs="Arial"/>
                <w:sz w:val="24"/>
                <w:szCs w:val="24"/>
                <w:lang w:val="en-ZA"/>
              </w:rPr>
              <w:t xml:space="preserve"> in this specific matter</w:t>
            </w:r>
            <w:r w:rsidR="00090079" w:rsidRPr="006356FD">
              <w:rPr>
                <w:rFonts w:ascii="Arial" w:hAnsi="Arial" w:cs="Arial"/>
                <w:sz w:val="24"/>
                <w:szCs w:val="24"/>
                <w:lang w:val="en-ZA"/>
              </w:rPr>
              <w:t xml:space="preserve">. This </w:t>
            </w:r>
            <w:r w:rsidR="00090079" w:rsidRPr="006356FD">
              <w:rPr>
                <w:rFonts w:ascii="Arial" w:hAnsi="Arial" w:cs="Arial"/>
                <w:sz w:val="24"/>
                <w:szCs w:val="24"/>
                <w:lang w:val="en-ZA"/>
              </w:rPr>
              <w:lastRenderedPageBreak/>
              <w:t xml:space="preserve">court cannot assume facts which are not part of the record and </w:t>
            </w:r>
            <w:r w:rsidR="00305CC2" w:rsidRPr="006356FD">
              <w:rPr>
                <w:rFonts w:ascii="Arial" w:hAnsi="Arial" w:cs="Arial"/>
                <w:sz w:val="24"/>
                <w:szCs w:val="24"/>
                <w:lang w:val="en-ZA"/>
              </w:rPr>
              <w:t xml:space="preserve">consequently </w:t>
            </w:r>
            <w:r w:rsidR="00090079" w:rsidRPr="006356FD">
              <w:rPr>
                <w:rFonts w:ascii="Arial" w:hAnsi="Arial" w:cs="Arial"/>
                <w:sz w:val="24"/>
                <w:szCs w:val="24"/>
                <w:lang w:val="en-ZA"/>
              </w:rPr>
              <w:t xml:space="preserve">I will </w:t>
            </w:r>
            <w:r w:rsidR="00305CC2" w:rsidRPr="006356FD">
              <w:rPr>
                <w:rFonts w:ascii="Arial" w:hAnsi="Arial" w:cs="Arial"/>
                <w:sz w:val="24"/>
                <w:szCs w:val="24"/>
                <w:lang w:val="en-ZA"/>
              </w:rPr>
              <w:t xml:space="preserve">have to </w:t>
            </w:r>
            <w:r w:rsidR="00090079" w:rsidRPr="006356FD">
              <w:rPr>
                <w:rFonts w:ascii="Arial" w:hAnsi="Arial" w:cs="Arial"/>
                <w:sz w:val="24"/>
                <w:szCs w:val="24"/>
                <w:lang w:val="en-ZA"/>
              </w:rPr>
              <w:t xml:space="preserve">lean more towards a finding that the provisions of section 10 were not properly </w:t>
            </w:r>
            <w:r w:rsidR="00305CC2" w:rsidRPr="006356FD">
              <w:rPr>
                <w:rFonts w:ascii="Arial" w:hAnsi="Arial" w:cs="Arial"/>
                <w:sz w:val="24"/>
                <w:szCs w:val="24"/>
                <w:lang w:val="en-ZA"/>
              </w:rPr>
              <w:t xml:space="preserve">applied. For the aforesaid reasons </w:t>
            </w:r>
            <w:r w:rsidR="00090079" w:rsidRPr="006356FD">
              <w:rPr>
                <w:rFonts w:ascii="Arial" w:hAnsi="Arial" w:cs="Arial"/>
                <w:sz w:val="24"/>
                <w:szCs w:val="24"/>
                <w:lang w:val="en-ZA"/>
              </w:rPr>
              <w:t xml:space="preserve">the matter has to be remitted for the Magistrate to properly apply and conduct the said enquiry.  </w:t>
            </w:r>
          </w:p>
          <w:p w:rsidR="008429B4" w:rsidRPr="006356FD" w:rsidRDefault="008429B4" w:rsidP="00F14C36">
            <w:pPr>
              <w:pStyle w:val="ListParagraph"/>
              <w:tabs>
                <w:tab w:val="left" w:pos="851"/>
              </w:tabs>
              <w:spacing w:after="0" w:line="360" w:lineRule="auto"/>
              <w:ind w:left="0"/>
              <w:jc w:val="both"/>
              <w:rPr>
                <w:rFonts w:ascii="Arial" w:hAnsi="Arial" w:cs="Arial"/>
                <w:b/>
                <w:sz w:val="24"/>
                <w:szCs w:val="24"/>
                <w:lang w:val="en-ZA"/>
              </w:rPr>
            </w:pPr>
          </w:p>
          <w:p w:rsidR="00090079" w:rsidRPr="006356FD" w:rsidRDefault="002D6099" w:rsidP="00F14C36">
            <w:pPr>
              <w:pStyle w:val="ListParagraph"/>
              <w:numPr>
                <w:ilvl w:val="0"/>
                <w:numId w:val="1"/>
              </w:numPr>
              <w:tabs>
                <w:tab w:val="left" w:pos="851"/>
              </w:tabs>
              <w:spacing w:line="360" w:lineRule="auto"/>
              <w:ind w:left="0" w:hanging="11"/>
              <w:rPr>
                <w:rFonts w:ascii="Arial" w:hAnsi="Arial" w:cs="Arial"/>
                <w:sz w:val="24"/>
                <w:szCs w:val="24"/>
                <w:lang w:val="en-ZA"/>
              </w:rPr>
            </w:pPr>
            <w:r w:rsidRPr="006356FD">
              <w:rPr>
                <w:rFonts w:ascii="Arial" w:hAnsi="Arial" w:cs="Arial"/>
                <w:sz w:val="24"/>
                <w:szCs w:val="24"/>
                <w:lang w:val="en-ZA"/>
              </w:rPr>
              <w:t xml:space="preserve">In the result, </w:t>
            </w:r>
            <w:r w:rsidR="00090079" w:rsidRPr="006356FD">
              <w:rPr>
                <w:rFonts w:ascii="Arial" w:eastAsia="Times New Roman" w:hAnsi="Arial" w:cs="Arial"/>
                <w:sz w:val="24"/>
                <w:szCs w:val="24"/>
                <w:lang w:val="en-ZA" w:eastAsia="en-GB"/>
              </w:rPr>
              <w:t xml:space="preserve"> </w:t>
            </w:r>
          </w:p>
          <w:p w:rsidR="00090079" w:rsidRPr="006356FD" w:rsidRDefault="00FE4628" w:rsidP="00F14C36">
            <w:pPr>
              <w:pStyle w:val="ListParagraph"/>
              <w:tabs>
                <w:tab w:val="left" w:pos="851"/>
              </w:tabs>
              <w:spacing w:line="360" w:lineRule="auto"/>
              <w:rPr>
                <w:rFonts w:ascii="Arial" w:hAnsi="Arial" w:cs="Arial"/>
                <w:sz w:val="24"/>
                <w:szCs w:val="24"/>
                <w:lang w:val="en-ZA"/>
              </w:rPr>
            </w:pPr>
            <w:r w:rsidRPr="006356FD">
              <w:rPr>
                <w:rFonts w:ascii="Arial" w:hAnsi="Arial" w:cs="Arial"/>
                <w:sz w:val="24"/>
                <w:szCs w:val="24"/>
                <w:lang w:val="en-ZA"/>
              </w:rPr>
              <w:t xml:space="preserve">1. </w:t>
            </w:r>
            <w:r w:rsidR="00090079" w:rsidRPr="006356FD">
              <w:rPr>
                <w:rFonts w:ascii="Arial" w:hAnsi="Arial" w:cs="Arial"/>
                <w:sz w:val="24"/>
                <w:szCs w:val="24"/>
                <w:lang w:val="en-ZA"/>
              </w:rPr>
              <w:t>The conviction and sentence are confirmed.</w:t>
            </w:r>
          </w:p>
          <w:p w:rsidR="00090079" w:rsidRPr="006356FD" w:rsidRDefault="00FE4628" w:rsidP="00F14C36">
            <w:pPr>
              <w:pStyle w:val="ListParagraph"/>
              <w:tabs>
                <w:tab w:val="left" w:pos="851"/>
              </w:tabs>
              <w:spacing w:line="360" w:lineRule="auto"/>
              <w:rPr>
                <w:rFonts w:ascii="Arial" w:hAnsi="Arial" w:cs="Arial"/>
                <w:sz w:val="24"/>
                <w:szCs w:val="24"/>
                <w:lang w:val="en-ZA"/>
              </w:rPr>
            </w:pPr>
            <w:r w:rsidRPr="006356FD">
              <w:rPr>
                <w:rFonts w:ascii="Arial" w:hAnsi="Arial" w:cs="Arial"/>
                <w:sz w:val="24"/>
                <w:szCs w:val="24"/>
                <w:lang w:val="en-ZA"/>
              </w:rPr>
              <w:t xml:space="preserve">2. </w:t>
            </w:r>
            <w:r w:rsidR="00090079" w:rsidRPr="006356FD">
              <w:rPr>
                <w:rFonts w:ascii="Arial" w:hAnsi="Arial" w:cs="Arial"/>
                <w:sz w:val="24"/>
                <w:szCs w:val="24"/>
                <w:lang w:val="en-ZA"/>
              </w:rPr>
              <w:t>The order declaring accused unfit to possess a firearm is set aside.</w:t>
            </w:r>
          </w:p>
          <w:p w:rsidR="00090079" w:rsidRPr="006356FD" w:rsidRDefault="00FE4628" w:rsidP="00F14C36">
            <w:pPr>
              <w:pStyle w:val="ListParagraph"/>
              <w:tabs>
                <w:tab w:val="left" w:pos="851"/>
              </w:tabs>
              <w:spacing w:after="0" w:line="360" w:lineRule="auto"/>
              <w:jc w:val="both"/>
              <w:rPr>
                <w:rFonts w:ascii="Arial" w:hAnsi="Arial" w:cs="Arial"/>
                <w:sz w:val="24"/>
                <w:szCs w:val="24"/>
                <w:lang w:val="en-ZA"/>
              </w:rPr>
            </w:pPr>
            <w:r w:rsidRPr="006356FD">
              <w:rPr>
                <w:rFonts w:ascii="Arial" w:hAnsi="Arial" w:cs="Arial"/>
                <w:sz w:val="24"/>
                <w:szCs w:val="24"/>
                <w:lang w:val="en-ZA"/>
              </w:rPr>
              <w:t xml:space="preserve">3. </w:t>
            </w:r>
            <w:r w:rsidR="00090079" w:rsidRPr="006356FD">
              <w:rPr>
                <w:rFonts w:ascii="Arial" w:hAnsi="Arial" w:cs="Arial"/>
                <w:sz w:val="24"/>
                <w:szCs w:val="24"/>
                <w:lang w:val="en-ZA"/>
              </w:rPr>
              <w:t>The matter is remitted to the trial Magistrate to properly apply section 10 of Act 7 of 1996.</w:t>
            </w:r>
          </w:p>
        </w:tc>
      </w:tr>
      <w:tr w:rsidR="003A62AC" w:rsidRPr="006356FD" w:rsidTr="00294556">
        <w:tc>
          <w:tcPr>
            <w:tcW w:w="4770" w:type="dxa"/>
            <w:shd w:val="clear" w:color="auto" w:fill="auto"/>
          </w:tcPr>
          <w:p w:rsidR="002D6099" w:rsidRPr="006356FD" w:rsidRDefault="002D6099" w:rsidP="00294556">
            <w:pPr>
              <w:spacing w:line="240" w:lineRule="auto"/>
              <w:rPr>
                <w:rFonts w:ascii="Arial" w:hAnsi="Arial" w:cs="Arial"/>
                <w:b/>
                <w:sz w:val="24"/>
                <w:szCs w:val="24"/>
                <w:lang w:val="en-ZA"/>
              </w:rPr>
            </w:pPr>
          </w:p>
          <w:p w:rsidR="002D6099" w:rsidRPr="006356FD" w:rsidRDefault="002D6099" w:rsidP="00294556">
            <w:pPr>
              <w:spacing w:line="240" w:lineRule="auto"/>
              <w:rPr>
                <w:rFonts w:ascii="Arial" w:hAnsi="Arial" w:cs="Arial"/>
                <w:b/>
                <w:sz w:val="24"/>
                <w:szCs w:val="24"/>
                <w:lang w:val="en-ZA"/>
              </w:rPr>
            </w:pPr>
          </w:p>
        </w:tc>
        <w:tc>
          <w:tcPr>
            <w:tcW w:w="4950" w:type="dxa"/>
            <w:gridSpan w:val="2"/>
            <w:shd w:val="clear" w:color="auto" w:fill="auto"/>
          </w:tcPr>
          <w:p w:rsidR="002D6099" w:rsidRPr="006356FD" w:rsidRDefault="002D6099" w:rsidP="00294556">
            <w:pPr>
              <w:spacing w:line="240" w:lineRule="auto"/>
              <w:rPr>
                <w:rFonts w:ascii="Arial" w:hAnsi="Arial" w:cs="Arial"/>
                <w:b/>
                <w:sz w:val="24"/>
                <w:szCs w:val="24"/>
                <w:lang w:val="en-ZA"/>
              </w:rPr>
            </w:pPr>
          </w:p>
        </w:tc>
      </w:tr>
      <w:tr w:rsidR="003A62AC" w:rsidRPr="006356FD" w:rsidTr="00294556">
        <w:trPr>
          <w:trHeight w:val="827"/>
        </w:trPr>
        <w:tc>
          <w:tcPr>
            <w:tcW w:w="4770" w:type="dxa"/>
            <w:shd w:val="clear" w:color="auto" w:fill="auto"/>
          </w:tcPr>
          <w:p w:rsidR="002D6099" w:rsidRPr="006356FD" w:rsidRDefault="00090079" w:rsidP="00294556">
            <w:pPr>
              <w:spacing w:line="240" w:lineRule="auto"/>
              <w:jc w:val="center"/>
              <w:rPr>
                <w:rFonts w:ascii="Arial" w:hAnsi="Arial" w:cs="Arial"/>
                <w:b/>
                <w:sz w:val="24"/>
                <w:szCs w:val="24"/>
                <w:lang w:val="en-ZA"/>
              </w:rPr>
            </w:pPr>
            <w:r w:rsidRPr="006356FD">
              <w:rPr>
                <w:rFonts w:ascii="Arial" w:hAnsi="Arial" w:cs="Arial"/>
                <w:b/>
                <w:sz w:val="24"/>
                <w:szCs w:val="24"/>
                <w:lang w:val="en-ZA"/>
              </w:rPr>
              <w:t>J</w:t>
            </w:r>
            <w:r w:rsidR="00F14C36" w:rsidRPr="006356FD">
              <w:rPr>
                <w:rFonts w:ascii="Arial" w:hAnsi="Arial" w:cs="Arial"/>
                <w:b/>
                <w:sz w:val="24"/>
                <w:szCs w:val="24"/>
                <w:lang w:val="en-ZA"/>
              </w:rPr>
              <w:t>.</w:t>
            </w:r>
            <w:r w:rsidR="00FE4628" w:rsidRPr="006356FD">
              <w:rPr>
                <w:rFonts w:ascii="Arial" w:hAnsi="Arial" w:cs="Arial"/>
                <w:b/>
                <w:sz w:val="24"/>
                <w:szCs w:val="24"/>
                <w:lang w:val="en-ZA"/>
              </w:rPr>
              <w:t xml:space="preserve"> </w:t>
            </w:r>
            <w:r w:rsidR="00F14C36" w:rsidRPr="006356FD">
              <w:rPr>
                <w:rFonts w:ascii="Arial" w:hAnsi="Arial" w:cs="Arial"/>
                <w:b/>
                <w:sz w:val="24"/>
                <w:szCs w:val="24"/>
                <w:lang w:val="en-ZA"/>
              </w:rPr>
              <w:t>T. SALIONGA</w:t>
            </w:r>
          </w:p>
          <w:p w:rsidR="002D6099" w:rsidRPr="006356FD" w:rsidRDefault="002D6099" w:rsidP="00294556">
            <w:pPr>
              <w:spacing w:line="240" w:lineRule="auto"/>
              <w:jc w:val="center"/>
              <w:rPr>
                <w:rFonts w:ascii="Arial" w:hAnsi="Arial" w:cs="Arial"/>
                <w:b/>
                <w:sz w:val="24"/>
                <w:szCs w:val="24"/>
                <w:lang w:val="en-ZA"/>
              </w:rPr>
            </w:pPr>
            <w:r w:rsidRPr="006356FD">
              <w:rPr>
                <w:rFonts w:ascii="Arial" w:hAnsi="Arial" w:cs="Arial"/>
                <w:b/>
                <w:sz w:val="24"/>
                <w:szCs w:val="24"/>
                <w:lang w:val="en-ZA"/>
              </w:rPr>
              <w:t>JUDGE</w:t>
            </w:r>
          </w:p>
        </w:tc>
        <w:tc>
          <w:tcPr>
            <w:tcW w:w="4950" w:type="dxa"/>
            <w:gridSpan w:val="2"/>
            <w:shd w:val="clear" w:color="auto" w:fill="auto"/>
          </w:tcPr>
          <w:p w:rsidR="002D6099" w:rsidRPr="006356FD" w:rsidRDefault="00090079" w:rsidP="00294556">
            <w:pPr>
              <w:spacing w:line="240" w:lineRule="auto"/>
              <w:jc w:val="center"/>
              <w:rPr>
                <w:rFonts w:ascii="Arial" w:hAnsi="Arial" w:cs="Arial"/>
                <w:b/>
                <w:sz w:val="24"/>
                <w:szCs w:val="24"/>
                <w:lang w:val="en-ZA"/>
              </w:rPr>
            </w:pPr>
            <w:r w:rsidRPr="006356FD">
              <w:rPr>
                <w:rFonts w:ascii="Arial" w:hAnsi="Arial" w:cs="Arial"/>
                <w:b/>
                <w:sz w:val="24"/>
                <w:szCs w:val="24"/>
                <w:lang w:val="en-ZA"/>
              </w:rPr>
              <w:t>E.</w:t>
            </w:r>
            <w:r w:rsidR="00FE4628" w:rsidRPr="006356FD">
              <w:rPr>
                <w:rFonts w:ascii="Arial" w:hAnsi="Arial" w:cs="Arial"/>
                <w:b/>
                <w:sz w:val="24"/>
                <w:szCs w:val="24"/>
                <w:lang w:val="en-ZA"/>
              </w:rPr>
              <w:t xml:space="preserve"> </w:t>
            </w:r>
            <w:r w:rsidRPr="006356FD">
              <w:rPr>
                <w:rFonts w:ascii="Arial" w:hAnsi="Arial" w:cs="Arial"/>
                <w:b/>
                <w:sz w:val="24"/>
                <w:szCs w:val="24"/>
                <w:lang w:val="en-ZA"/>
              </w:rPr>
              <w:t>E. KESSLAU</w:t>
            </w:r>
          </w:p>
          <w:p w:rsidR="002D6099" w:rsidRPr="006356FD" w:rsidRDefault="00090079" w:rsidP="00294556">
            <w:pPr>
              <w:spacing w:line="240" w:lineRule="auto"/>
              <w:jc w:val="center"/>
              <w:rPr>
                <w:rFonts w:ascii="Arial" w:hAnsi="Arial" w:cs="Arial"/>
                <w:b/>
                <w:sz w:val="24"/>
                <w:szCs w:val="24"/>
                <w:lang w:val="en-ZA"/>
              </w:rPr>
            </w:pPr>
            <w:r w:rsidRPr="006356FD">
              <w:rPr>
                <w:rFonts w:ascii="Arial" w:hAnsi="Arial" w:cs="Arial"/>
                <w:b/>
                <w:sz w:val="24"/>
                <w:szCs w:val="24"/>
                <w:lang w:val="en-ZA"/>
              </w:rPr>
              <w:t xml:space="preserve">ACTING </w:t>
            </w:r>
            <w:r w:rsidR="002D6099" w:rsidRPr="006356FD">
              <w:rPr>
                <w:rFonts w:ascii="Arial" w:hAnsi="Arial" w:cs="Arial"/>
                <w:b/>
                <w:sz w:val="24"/>
                <w:szCs w:val="24"/>
                <w:lang w:val="en-ZA"/>
              </w:rPr>
              <w:t>JUDGE</w:t>
            </w:r>
          </w:p>
        </w:tc>
      </w:tr>
    </w:tbl>
    <w:p w:rsidR="002D6099" w:rsidRPr="006356FD" w:rsidRDefault="002D6099" w:rsidP="002D6099">
      <w:pPr>
        <w:rPr>
          <w:rFonts w:ascii="Arial" w:hAnsi="Arial" w:cs="Arial"/>
        </w:rPr>
      </w:pPr>
    </w:p>
    <w:bookmarkEnd w:id="0"/>
    <w:p w:rsidR="00677A2C" w:rsidRPr="006356FD" w:rsidRDefault="00677A2C">
      <w:pPr>
        <w:rPr>
          <w:rFonts w:ascii="Arial" w:hAnsi="Arial" w:cs="Arial"/>
        </w:rPr>
      </w:pPr>
    </w:p>
    <w:sectPr w:rsidR="00677A2C" w:rsidRPr="006356FD" w:rsidSect="002006A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85" w:rsidRDefault="001C4185" w:rsidP="002D6099">
      <w:pPr>
        <w:spacing w:after="0" w:line="240" w:lineRule="auto"/>
      </w:pPr>
      <w:r>
        <w:separator/>
      </w:r>
    </w:p>
  </w:endnote>
  <w:endnote w:type="continuationSeparator" w:id="0">
    <w:p w:rsidR="001C4185" w:rsidRDefault="001C4185" w:rsidP="002D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85" w:rsidRDefault="001C4185" w:rsidP="002D6099">
      <w:pPr>
        <w:spacing w:after="0" w:line="240" w:lineRule="auto"/>
      </w:pPr>
      <w:r>
        <w:separator/>
      </w:r>
    </w:p>
  </w:footnote>
  <w:footnote w:type="continuationSeparator" w:id="0">
    <w:p w:rsidR="001C4185" w:rsidRDefault="001C4185" w:rsidP="002D6099">
      <w:pPr>
        <w:spacing w:after="0" w:line="240" w:lineRule="auto"/>
      </w:pPr>
      <w:r>
        <w:continuationSeparator/>
      </w:r>
    </w:p>
  </w:footnote>
  <w:footnote w:id="1">
    <w:p w:rsidR="00394BA8" w:rsidRPr="003A62AC" w:rsidRDefault="00394BA8">
      <w:pPr>
        <w:pStyle w:val="FootnoteText"/>
        <w:rPr>
          <w:rFonts w:ascii="Arial" w:hAnsi="Arial" w:cs="Arial"/>
        </w:rPr>
      </w:pPr>
      <w:r>
        <w:rPr>
          <w:rStyle w:val="FootnoteReference"/>
        </w:rPr>
        <w:footnoteRef/>
      </w:r>
      <w:r>
        <w:t xml:space="preserve"> </w:t>
      </w:r>
      <w:r w:rsidRPr="003A62AC">
        <w:rPr>
          <w:rFonts w:ascii="Arial" w:hAnsi="Arial" w:cs="Arial"/>
        </w:rPr>
        <w:t>Section 4(1) of Magistrates Court Act No 32 of 1944 as amended</w:t>
      </w:r>
    </w:p>
  </w:footnote>
  <w:footnote w:id="2">
    <w:p w:rsidR="0087242F" w:rsidRPr="003A62AC" w:rsidRDefault="0087242F">
      <w:pPr>
        <w:pStyle w:val="FootnoteText"/>
        <w:rPr>
          <w:rFonts w:ascii="Arial" w:hAnsi="Arial" w:cs="Arial"/>
        </w:rPr>
      </w:pPr>
      <w:r w:rsidRPr="003A62AC">
        <w:rPr>
          <w:rStyle w:val="FootnoteReference"/>
          <w:rFonts w:ascii="Arial" w:hAnsi="Arial" w:cs="Arial"/>
        </w:rPr>
        <w:footnoteRef/>
      </w:r>
      <w:r w:rsidRPr="003A62AC">
        <w:rPr>
          <w:rFonts w:ascii="Arial" w:hAnsi="Arial" w:cs="Arial"/>
        </w:rPr>
        <w:t xml:space="preserve"> </w:t>
      </w:r>
      <w:r w:rsidRPr="003A62AC">
        <w:rPr>
          <w:rFonts w:ascii="Arial" w:hAnsi="Arial" w:cs="Arial"/>
          <w:lang w:val="en-ZA"/>
        </w:rPr>
        <w:t>(CR 105/2021) [2021] NAHCMD 521 (09 November 2021)</w:t>
      </w:r>
    </w:p>
  </w:footnote>
  <w:footnote w:id="3">
    <w:p w:rsidR="008429B4" w:rsidRPr="003A62AC" w:rsidRDefault="008429B4" w:rsidP="008429B4">
      <w:pPr>
        <w:pStyle w:val="FootnoteText"/>
        <w:spacing w:line="276" w:lineRule="auto"/>
        <w:rPr>
          <w:rFonts w:ascii="Arial" w:hAnsi="Arial" w:cs="Arial"/>
        </w:rPr>
      </w:pPr>
      <w:r w:rsidRPr="003A62AC">
        <w:rPr>
          <w:rStyle w:val="FootnoteReference"/>
          <w:rFonts w:ascii="Arial" w:hAnsi="Arial" w:cs="Arial"/>
        </w:rPr>
        <w:footnoteRef/>
      </w:r>
      <w:r w:rsidRPr="003A62AC">
        <w:rPr>
          <w:rFonts w:ascii="Arial" w:hAnsi="Arial" w:cs="Arial"/>
        </w:rPr>
        <w:t xml:space="preserve"> </w:t>
      </w:r>
      <w:r w:rsidRPr="003A62AC">
        <w:rPr>
          <w:rFonts w:ascii="Arial" w:hAnsi="Arial" w:cs="Arial"/>
          <w:i/>
        </w:rPr>
        <w:t xml:space="preserve">S v Frederick </w:t>
      </w:r>
      <w:r w:rsidRPr="003A62AC">
        <w:rPr>
          <w:rFonts w:ascii="Arial" w:hAnsi="Arial" w:cs="Arial"/>
        </w:rPr>
        <w:t>(CR 76/2020) [2020] NAHCMD 459 (6 October 2020).</w:t>
      </w:r>
    </w:p>
  </w:footnote>
  <w:footnote w:id="4">
    <w:p w:rsidR="008429B4" w:rsidRPr="003A62AC" w:rsidRDefault="008429B4" w:rsidP="008429B4">
      <w:pPr>
        <w:pStyle w:val="FootnoteText"/>
        <w:spacing w:line="276" w:lineRule="auto"/>
        <w:rPr>
          <w:rFonts w:ascii="Arial" w:hAnsi="Arial" w:cs="Arial"/>
        </w:rPr>
      </w:pPr>
      <w:r w:rsidRPr="003A62AC">
        <w:rPr>
          <w:rStyle w:val="FootnoteReference"/>
          <w:rFonts w:ascii="Arial" w:hAnsi="Arial" w:cs="Arial"/>
        </w:rPr>
        <w:footnoteRef/>
      </w:r>
      <w:r w:rsidRPr="003A62AC">
        <w:rPr>
          <w:rFonts w:ascii="Arial" w:hAnsi="Arial" w:cs="Arial"/>
        </w:rPr>
        <w:t xml:space="preserve"> S</w:t>
      </w:r>
      <w:r w:rsidR="004D63DF" w:rsidRPr="003A62AC">
        <w:rPr>
          <w:rFonts w:ascii="Arial" w:hAnsi="Arial" w:cs="Arial"/>
        </w:rPr>
        <w:t>ee footnote 1 supra providing that every Magistrates Court shall be a court of record</w:t>
      </w:r>
    </w:p>
  </w:footnote>
  <w:footnote w:id="5">
    <w:p w:rsidR="008429B4" w:rsidRPr="003F5D27" w:rsidRDefault="008429B4" w:rsidP="008429B4">
      <w:pPr>
        <w:pStyle w:val="FootnoteText"/>
        <w:spacing w:line="276" w:lineRule="auto"/>
        <w:rPr>
          <w:rFonts w:ascii="Arial" w:hAnsi="Arial" w:cs="Arial"/>
        </w:rPr>
      </w:pPr>
      <w:r w:rsidRPr="003A62AC">
        <w:rPr>
          <w:rStyle w:val="FootnoteReference"/>
          <w:rFonts w:ascii="Arial" w:hAnsi="Arial" w:cs="Arial"/>
        </w:rPr>
        <w:footnoteRef/>
      </w:r>
      <w:r w:rsidRPr="003A62AC">
        <w:rPr>
          <w:rFonts w:ascii="Arial" w:hAnsi="Arial" w:cs="Arial"/>
        </w:rPr>
        <w:t xml:space="preserve"> </w:t>
      </w:r>
      <w:r w:rsidRPr="003A62AC">
        <w:rPr>
          <w:rFonts w:ascii="Arial" w:hAnsi="Arial" w:cs="Arial"/>
          <w:i/>
        </w:rPr>
        <w:t xml:space="preserve">S v Daniels </w:t>
      </w:r>
      <w:r w:rsidRPr="003A62AC">
        <w:rPr>
          <w:rFonts w:ascii="Arial" w:hAnsi="Arial" w:cs="Arial"/>
        </w:rPr>
        <w:t>1983 (3) SA 275 A</w:t>
      </w:r>
      <w:r w:rsidRPr="003F5D27">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5C2" w:rsidRDefault="00AE5A7E">
    <w:pPr>
      <w:pStyle w:val="Header"/>
      <w:jc w:val="right"/>
    </w:pPr>
    <w:r>
      <w:fldChar w:fldCharType="begin"/>
    </w:r>
    <w:r>
      <w:instrText xml:space="preserve"> PAGE   \* MERGEFORMAT </w:instrText>
    </w:r>
    <w:r>
      <w:fldChar w:fldCharType="separate"/>
    </w:r>
    <w:r w:rsidR="006356FD">
      <w:rPr>
        <w:noProof/>
      </w:rPr>
      <w:t>5</w:t>
    </w:r>
    <w:r>
      <w:rPr>
        <w:noProof/>
      </w:rPr>
      <w:fldChar w:fldCharType="end"/>
    </w:r>
  </w:p>
  <w:p w:rsidR="004F05C2" w:rsidRDefault="001C4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C4E2B"/>
    <w:multiLevelType w:val="hybridMultilevel"/>
    <w:tmpl w:val="2C923F2C"/>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
    <w:nsid w:val="26386A9F"/>
    <w:multiLevelType w:val="hybridMultilevel"/>
    <w:tmpl w:val="0B843936"/>
    <w:lvl w:ilvl="0" w:tplc="21AE61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99"/>
    <w:rsid w:val="00090079"/>
    <w:rsid w:val="000A0278"/>
    <w:rsid w:val="001C4185"/>
    <w:rsid w:val="002445F1"/>
    <w:rsid w:val="002D6099"/>
    <w:rsid w:val="00305CC2"/>
    <w:rsid w:val="00394BA8"/>
    <w:rsid w:val="003A62AC"/>
    <w:rsid w:val="00416172"/>
    <w:rsid w:val="00463A3B"/>
    <w:rsid w:val="004D63DF"/>
    <w:rsid w:val="005557B5"/>
    <w:rsid w:val="006356FD"/>
    <w:rsid w:val="00677A2C"/>
    <w:rsid w:val="00770650"/>
    <w:rsid w:val="008429B4"/>
    <w:rsid w:val="0087242F"/>
    <w:rsid w:val="009A187D"/>
    <w:rsid w:val="009B7841"/>
    <w:rsid w:val="00A51B1C"/>
    <w:rsid w:val="00A7029B"/>
    <w:rsid w:val="00AE5A7E"/>
    <w:rsid w:val="00B4410F"/>
    <w:rsid w:val="00B70222"/>
    <w:rsid w:val="00BA1FD4"/>
    <w:rsid w:val="00D76976"/>
    <w:rsid w:val="00EA315B"/>
    <w:rsid w:val="00F009A2"/>
    <w:rsid w:val="00F132FC"/>
    <w:rsid w:val="00F14C36"/>
    <w:rsid w:val="00F721F2"/>
    <w:rsid w:val="00FE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A26F2-F548-4047-8779-E52A1654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0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6099"/>
    <w:pPr>
      <w:ind w:left="720"/>
      <w:contextualSpacing/>
    </w:pPr>
  </w:style>
  <w:style w:type="paragraph" w:styleId="FootnoteText">
    <w:name w:val="footnote text"/>
    <w:aliases w:val="Footnote Text Char1,Footnote Text Char Char,Footnote Text Char1 Char,Footnote Text Char Char Char,Footnote Text Char Char1"/>
    <w:basedOn w:val="Normal"/>
    <w:link w:val="FootnoteTextChar"/>
    <w:uiPriority w:val="99"/>
    <w:unhideWhenUsed/>
    <w:rsid w:val="002D6099"/>
    <w:pPr>
      <w:spacing w:after="0" w:line="240" w:lineRule="auto"/>
    </w:pPr>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
    <w:basedOn w:val="DefaultParagraphFont"/>
    <w:link w:val="FootnoteText"/>
    <w:uiPriority w:val="99"/>
    <w:rsid w:val="002D6099"/>
    <w:rPr>
      <w:rFonts w:ascii="Calibri" w:eastAsia="Calibri" w:hAnsi="Calibri" w:cs="Times New Roman"/>
      <w:sz w:val="20"/>
      <w:szCs w:val="20"/>
    </w:rPr>
  </w:style>
  <w:style w:type="character" w:styleId="FootnoteReference">
    <w:name w:val="footnote reference"/>
    <w:uiPriority w:val="99"/>
    <w:unhideWhenUsed/>
    <w:rsid w:val="002D6099"/>
    <w:rPr>
      <w:vertAlign w:val="superscript"/>
    </w:rPr>
  </w:style>
  <w:style w:type="paragraph" w:styleId="Header">
    <w:name w:val="header"/>
    <w:basedOn w:val="Normal"/>
    <w:link w:val="HeaderChar"/>
    <w:uiPriority w:val="99"/>
    <w:unhideWhenUsed/>
    <w:rsid w:val="002D6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099"/>
    <w:rPr>
      <w:rFonts w:ascii="Calibri" w:eastAsia="Calibri" w:hAnsi="Calibri" w:cs="Times New Roman"/>
    </w:rPr>
  </w:style>
  <w:style w:type="paragraph" w:customStyle="1" w:styleId="AS-P1">
    <w:name w:val="AS-P(1)"/>
    <w:basedOn w:val="Normal"/>
    <w:link w:val="AS-P1Char"/>
    <w:qFormat/>
    <w:rsid w:val="002D6099"/>
    <w:pPr>
      <w:suppressAutoHyphens/>
      <w:spacing w:after="0" w:line="240" w:lineRule="auto"/>
      <w:ind w:right="-7" w:firstLine="567"/>
      <w:jc w:val="both"/>
    </w:pPr>
    <w:rPr>
      <w:rFonts w:ascii="Times New Roman" w:eastAsia="Times New Roman" w:hAnsi="Times New Roman"/>
      <w:noProof/>
      <w:lang w:val="en-GB" w:eastAsia="en-GB"/>
    </w:rPr>
  </w:style>
  <w:style w:type="character" w:customStyle="1" w:styleId="AS-P1Char">
    <w:name w:val="AS-P(1) Char"/>
    <w:link w:val="AS-P1"/>
    <w:rsid w:val="002D6099"/>
    <w:rPr>
      <w:rFonts w:ascii="Times New Roman" w:eastAsia="Times New Roman" w:hAnsi="Times New Roman" w:cs="Times New Roman"/>
      <w:noProof/>
      <w:lang w:val="en-GB" w:eastAsia="en-GB"/>
    </w:rPr>
  </w:style>
  <w:style w:type="character" w:customStyle="1" w:styleId="ListParagraphChar">
    <w:name w:val="List Paragraph Char"/>
    <w:basedOn w:val="DefaultParagraphFont"/>
    <w:link w:val="ListParagraph"/>
    <w:uiPriority w:val="34"/>
    <w:rsid w:val="002D6099"/>
    <w:rPr>
      <w:rFonts w:ascii="Calibri" w:eastAsia="Calibri" w:hAnsi="Calibri" w:cs="Times New Roman"/>
    </w:rPr>
  </w:style>
  <w:style w:type="paragraph" w:styleId="NoSpacing">
    <w:name w:val="No Spacing"/>
    <w:uiPriority w:val="1"/>
    <w:qFormat/>
    <w:rsid w:val="002D609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14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C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2022</Year>
    <Judgment_x0020_Date xmlns="17a0f4bd-1162-49ac-b85f-dfe96a90bc01">2022-11-02T18:30:00+00:00</Judgment_x0020_Date>
  </documentManagement>
</p:properties>
</file>

<file path=customXml/itemProps1.xml><?xml version="1.0" encoding="utf-8"?>
<ds:datastoreItem xmlns:ds="http://schemas.openxmlformats.org/officeDocument/2006/customXml" ds:itemID="{F9B4D92E-163E-4FCB-8821-0A661AA4499E}"/>
</file>

<file path=customXml/itemProps2.xml><?xml version="1.0" encoding="utf-8"?>
<ds:datastoreItem xmlns:ds="http://schemas.openxmlformats.org/officeDocument/2006/customXml" ds:itemID="{72AC3398-2924-423A-A617-837F3BD3CF42}"/>
</file>

<file path=customXml/itemProps3.xml><?xml version="1.0" encoding="utf-8"?>
<ds:datastoreItem xmlns:ds="http://schemas.openxmlformats.org/officeDocument/2006/customXml" ds:itemID="{275DC7A4-7FFF-41E6-A756-34DADEADE162}"/>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Kapelema (CR 61-2022) [2022] NAHCNLD 119 (03 November 2022)</dc:title>
  <dc:subject/>
  <dc:creator>Billy M. Lutaka</dc:creator>
  <cp:keywords/>
  <dc:description/>
  <cp:lastModifiedBy>Microsoft account</cp:lastModifiedBy>
  <cp:revision>2</cp:revision>
  <cp:lastPrinted>2022-10-27T06:32:00Z</cp:lastPrinted>
  <dcterms:created xsi:type="dcterms:W3CDTF">2022-11-24T13:54:00Z</dcterms:created>
  <dcterms:modified xsi:type="dcterms:W3CDTF">2022-11-24T13:54:00Z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