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E3" w:rsidRPr="0070740F" w:rsidRDefault="00AF24E3" w:rsidP="00AF24E3">
      <w:pPr>
        <w:spacing w:line="360" w:lineRule="auto"/>
        <w:jc w:val="center"/>
        <w:rPr>
          <w:rFonts w:ascii="Arial" w:hAnsi="Arial"/>
          <w:b/>
        </w:rPr>
      </w:pPr>
      <w:bookmarkStart w:id="0" w:name="_GoBack"/>
      <w:bookmarkEnd w:id="0"/>
      <w:r w:rsidRPr="0070740F">
        <w:rPr>
          <w:rFonts w:ascii="Arial" w:hAnsi="Arial"/>
          <w:b/>
        </w:rPr>
        <w:t>REPUBLIC OF NAMIBIA</w:t>
      </w:r>
    </w:p>
    <w:p w:rsidR="00AF24E3" w:rsidRPr="00456884" w:rsidRDefault="00AF24E3" w:rsidP="00501A9D">
      <w:pPr>
        <w:tabs>
          <w:tab w:val="right" w:pos="8222"/>
        </w:tabs>
        <w:spacing w:line="360" w:lineRule="auto"/>
        <w:jc w:val="center"/>
        <w:rPr>
          <w:rFonts w:ascii="Arial" w:hAnsi="Arial"/>
          <w:b/>
        </w:rPr>
      </w:pPr>
      <w:r w:rsidRPr="00456884">
        <w:rPr>
          <w:rFonts w:ascii="Arial" w:hAnsi="Arial"/>
          <w:b/>
          <w:noProof/>
          <w:lang w:val="en-ZA" w:eastAsia="en-ZA"/>
        </w:rPr>
        <w:drawing>
          <wp:inline distT="0" distB="0" distL="0" distR="0" wp14:anchorId="5D621092" wp14:editId="1622941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6E486A" w:rsidRDefault="00865907" w:rsidP="00865907">
      <w:pPr>
        <w:jc w:val="center"/>
        <w:rPr>
          <w:rFonts w:ascii="Arial" w:hAnsi="Arial"/>
          <w:b/>
        </w:rPr>
      </w:pPr>
      <w:r>
        <w:rPr>
          <w:rFonts w:ascii="Arial" w:hAnsi="Arial"/>
          <w:b/>
        </w:rPr>
        <w:t xml:space="preserve">HIGH COURT OF NAMIBIA, </w:t>
      </w:r>
      <w:r w:rsidR="00F21119">
        <w:rPr>
          <w:rFonts w:ascii="Arial" w:hAnsi="Arial"/>
          <w:b/>
        </w:rPr>
        <w:t>NORTHERN LOCAL DIVISION</w:t>
      </w:r>
    </w:p>
    <w:p w:rsidR="00865907" w:rsidRDefault="00865907" w:rsidP="00865907">
      <w:pPr>
        <w:jc w:val="center"/>
        <w:rPr>
          <w:rFonts w:ascii="Arial" w:hAnsi="Arial"/>
          <w:b/>
        </w:rPr>
      </w:pPr>
    </w:p>
    <w:p w:rsidR="00865907" w:rsidRDefault="00865907" w:rsidP="00865907">
      <w:pPr>
        <w:jc w:val="center"/>
        <w:rPr>
          <w:rFonts w:ascii="Arial" w:hAnsi="Arial"/>
          <w:b/>
        </w:rPr>
      </w:pPr>
      <w:r>
        <w:rPr>
          <w:rFonts w:ascii="Arial" w:hAnsi="Arial"/>
          <w:b/>
        </w:rPr>
        <w:t>RULING</w:t>
      </w:r>
    </w:p>
    <w:p w:rsidR="00865907" w:rsidRDefault="00865907" w:rsidP="00865907">
      <w:pPr>
        <w:jc w:val="center"/>
        <w:rPr>
          <w:rFonts w:ascii="Arial" w:hAnsi="Arial"/>
          <w:b/>
        </w:rPr>
      </w:pPr>
    </w:p>
    <w:p w:rsidR="00865907" w:rsidRDefault="007F5B67" w:rsidP="00865907">
      <w:pPr>
        <w:jc w:val="right"/>
        <w:rPr>
          <w:rFonts w:ascii="Arial" w:hAnsi="Arial"/>
        </w:rPr>
      </w:pPr>
      <w:r>
        <w:rPr>
          <w:rFonts w:ascii="Arial" w:hAnsi="Arial"/>
        </w:rPr>
        <w:t xml:space="preserve">Case no: </w:t>
      </w:r>
      <w:r w:rsidR="00865907">
        <w:rPr>
          <w:rFonts w:ascii="Arial" w:hAnsi="Arial"/>
        </w:rPr>
        <w:t>HC-</w:t>
      </w:r>
      <w:r w:rsidR="00F21119">
        <w:rPr>
          <w:rFonts w:ascii="Arial" w:hAnsi="Arial"/>
        </w:rPr>
        <w:t>NLD-CIV-ACT-CON-2021/00218</w:t>
      </w:r>
    </w:p>
    <w:p w:rsidR="00865907" w:rsidRDefault="00865907" w:rsidP="00865907">
      <w:pPr>
        <w:jc w:val="right"/>
        <w:rPr>
          <w:rFonts w:ascii="Arial" w:hAnsi="Arial"/>
        </w:rPr>
      </w:pPr>
    </w:p>
    <w:p w:rsidR="00865907" w:rsidRDefault="00865907" w:rsidP="00865907">
      <w:pPr>
        <w:rPr>
          <w:rFonts w:ascii="Arial" w:hAnsi="Arial"/>
        </w:rPr>
      </w:pPr>
      <w:r>
        <w:rPr>
          <w:rFonts w:ascii="Arial" w:hAnsi="Arial"/>
        </w:rPr>
        <w:t>In the matter between:</w:t>
      </w:r>
    </w:p>
    <w:p w:rsidR="00865907" w:rsidRDefault="00865907" w:rsidP="00865907">
      <w:pPr>
        <w:rPr>
          <w:rFonts w:ascii="Arial" w:hAnsi="Arial"/>
        </w:rPr>
      </w:pPr>
    </w:p>
    <w:p w:rsidR="00865907" w:rsidRDefault="00865907" w:rsidP="00865907">
      <w:pPr>
        <w:rPr>
          <w:rFonts w:ascii="Arial" w:hAnsi="Arial"/>
        </w:rPr>
      </w:pPr>
    </w:p>
    <w:p w:rsidR="00865907" w:rsidRDefault="00F21119" w:rsidP="00865907">
      <w:pPr>
        <w:rPr>
          <w:rFonts w:ascii="Arial" w:hAnsi="Arial"/>
          <w:b/>
        </w:rPr>
      </w:pPr>
      <w:r>
        <w:rPr>
          <w:rFonts w:ascii="Arial" w:hAnsi="Arial"/>
          <w:b/>
        </w:rPr>
        <w:t>LEONARD KONDJASHILI SHIHEPO</w:t>
      </w:r>
      <w:r>
        <w:rPr>
          <w:rFonts w:ascii="Arial" w:hAnsi="Arial"/>
          <w:b/>
        </w:rPr>
        <w:tab/>
      </w:r>
      <w:r>
        <w:rPr>
          <w:rFonts w:ascii="Arial" w:hAnsi="Arial"/>
          <w:b/>
        </w:rPr>
        <w:tab/>
      </w:r>
      <w:r>
        <w:rPr>
          <w:rFonts w:ascii="Arial" w:hAnsi="Arial"/>
          <w:b/>
        </w:rPr>
        <w:tab/>
      </w:r>
      <w:r>
        <w:rPr>
          <w:rFonts w:ascii="Arial" w:hAnsi="Arial"/>
          <w:b/>
        </w:rPr>
        <w:tab/>
      </w:r>
      <w:r w:rsidR="00865907">
        <w:rPr>
          <w:rFonts w:ascii="Arial" w:hAnsi="Arial"/>
          <w:b/>
        </w:rPr>
        <w:t xml:space="preserve">    </w:t>
      </w:r>
      <w:r>
        <w:rPr>
          <w:rFonts w:ascii="Arial" w:hAnsi="Arial"/>
          <w:b/>
        </w:rPr>
        <w:t>PLAINTIFF</w:t>
      </w:r>
    </w:p>
    <w:p w:rsidR="00865907" w:rsidRDefault="00865907" w:rsidP="00865907">
      <w:pPr>
        <w:rPr>
          <w:rFonts w:ascii="Arial" w:hAnsi="Arial"/>
          <w:b/>
        </w:rPr>
      </w:pPr>
    </w:p>
    <w:p w:rsidR="00FE7F9E" w:rsidRDefault="00FE7F9E" w:rsidP="00865907">
      <w:pPr>
        <w:rPr>
          <w:rFonts w:ascii="Arial" w:hAnsi="Arial"/>
          <w:b/>
        </w:rPr>
      </w:pPr>
    </w:p>
    <w:p w:rsidR="00FE7F9E" w:rsidRDefault="00FE7F9E" w:rsidP="00865907">
      <w:pPr>
        <w:rPr>
          <w:rFonts w:ascii="Arial" w:hAnsi="Arial"/>
        </w:rPr>
      </w:pPr>
      <w:r>
        <w:rPr>
          <w:rFonts w:ascii="Arial" w:hAnsi="Arial"/>
        </w:rPr>
        <w:t>and</w:t>
      </w:r>
    </w:p>
    <w:p w:rsidR="00FE7F9E" w:rsidRDefault="00FE7F9E" w:rsidP="00865907">
      <w:pPr>
        <w:rPr>
          <w:rFonts w:ascii="Arial" w:hAnsi="Arial"/>
        </w:rPr>
      </w:pPr>
    </w:p>
    <w:p w:rsidR="00FE7F9E" w:rsidRDefault="00F21119" w:rsidP="00865907">
      <w:pPr>
        <w:rPr>
          <w:rFonts w:ascii="Arial" w:hAnsi="Arial"/>
          <w:b/>
        </w:rPr>
      </w:pPr>
      <w:r>
        <w:rPr>
          <w:rFonts w:ascii="Arial" w:hAnsi="Arial"/>
          <w:b/>
        </w:rPr>
        <w:t>PROJECT HOPE NAMIBIA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DEFENDANT</w:t>
      </w:r>
    </w:p>
    <w:p w:rsidR="00FE7F9E" w:rsidRDefault="00FE7F9E" w:rsidP="00865907">
      <w:pPr>
        <w:rPr>
          <w:rFonts w:ascii="Arial" w:hAnsi="Arial"/>
          <w:b/>
        </w:rPr>
      </w:pPr>
    </w:p>
    <w:p w:rsidR="00FE7F9E" w:rsidRDefault="00FE7F9E" w:rsidP="00865907">
      <w:pPr>
        <w:rPr>
          <w:rFonts w:ascii="Arial" w:hAnsi="Arial"/>
          <w:b/>
        </w:rPr>
      </w:pPr>
    </w:p>
    <w:p w:rsidR="00FE7F9E" w:rsidRPr="00F21119" w:rsidRDefault="00FE7F9E" w:rsidP="009C4C94">
      <w:pPr>
        <w:spacing w:line="360" w:lineRule="auto"/>
        <w:jc w:val="both"/>
        <w:rPr>
          <w:rFonts w:ascii="Arial" w:hAnsi="Arial"/>
          <w:b/>
        </w:rPr>
      </w:pPr>
      <w:r w:rsidRPr="00FE7F9E">
        <w:rPr>
          <w:rFonts w:ascii="Arial" w:hAnsi="Arial"/>
          <w:b/>
        </w:rPr>
        <w:t>Neutral Citation:</w:t>
      </w:r>
      <w:r>
        <w:rPr>
          <w:rFonts w:ascii="Arial" w:hAnsi="Arial"/>
          <w:b/>
        </w:rPr>
        <w:tab/>
      </w:r>
      <w:r w:rsidR="00F21119">
        <w:rPr>
          <w:rFonts w:ascii="Arial" w:hAnsi="Arial"/>
          <w:i/>
        </w:rPr>
        <w:t>Shihepo</w:t>
      </w:r>
      <w:r>
        <w:rPr>
          <w:rFonts w:ascii="Arial" w:hAnsi="Arial"/>
          <w:i/>
        </w:rPr>
        <w:t xml:space="preserve"> v </w:t>
      </w:r>
      <w:r w:rsidR="00F21119">
        <w:rPr>
          <w:rFonts w:ascii="Arial" w:hAnsi="Arial"/>
          <w:i/>
        </w:rPr>
        <w:t xml:space="preserve">Project Hope Namibia </w:t>
      </w:r>
      <w:r>
        <w:rPr>
          <w:rFonts w:ascii="Arial" w:hAnsi="Arial"/>
        </w:rPr>
        <w:t>(</w:t>
      </w:r>
      <w:r w:rsidR="00F21119">
        <w:rPr>
          <w:rFonts w:ascii="Arial" w:hAnsi="Arial"/>
        </w:rPr>
        <w:t>HC-NLD-CIV-ACT-CON-2021/00218</w:t>
      </w:r>
      <w:r w:rsidR="00A50074">
        <w:rPr>
          <w:rFonts w:ascii="Arial" w:hAnsi="Arial"/>
        </w:rPr>
        <w:t xml:space="preserve"> [202</w:t>
      </w:r>
      <w:r w:rsidR="00F21119">
        <w:rPr>
          <w:rFonts w:ascii="Arial" w:hAnsi="Arial"/>
        </w:rPr>
        <w:t>2</w:t>
      </w:r>
      <w:r w:rsidR="00A50074">
        <w:rPr>
          <w:rFonts w:ascii="Arial" w:hAnsi="Arial"/>
        </w:rPr>
        <w:t>] NAHC</w:t>
      </w:r>
      <w:r w:rsidR="00F21119">
        <w:rPr>
          <w:rFonts w:ascii="Arial" w:hAnsi="Arial"/>
        </w:rPr>
        <w:t>NLD</w:t>
      </w:r>
      <w:r w:rsidR="00A50074">
        <w:rPr>
          <w:rFonts w:ascii="Arial" w:hAnsi="Arial"/>
        </w:rPr>
        <w:t xml:space="preserve"> </w:t>
      </w:r>
      <w:r w:rsidR="002F0D72">
        <w:rPr>
          <w:rFonts w:ascii="Arial" w:hAnsi="Arial"/>
        </w:rPr>
        <w:t>61</w:t>
      </w:r>
      <w:r w:rsidR="00F21119">
        <w:rPr>
          <w:rFonts w:ascii="Arial" w:hAnsi="Arial"/>
        </w:rPr>
        <w:t xml:space="preserve"> </w:t>
      </w:r>
      <w:r w:rsidR="00413B94">
        <w:rPr>
          <w:rFonts w:ascii="Arial" w:hAnsi="Arial"/>
        </w:rPr>
        <w:t>(</w:t>
      </w:r>
      <w:r w:rsidR="00F21119">
        <w:rPr>
          <w:rFonts w:ascii="Arial" w:hAnsi="Arial"/>
        </w:rPr>
        <w:t>13</w:t>
      </w:r>
      <w:r w:rsidR="00413B94">
        <w:rPr>
          <w:rFonts w:ascii="Arial" w:hAnsi="Arial"/>
        </w:rPr>
        <w:t xml:space="preserve"> Ju</w:t>
      </w:r>
      <w:r w:rsidR="00F21119">
        <w:rPr>
          <w:rFonts w:ascii="Arial" w:hAnsi="Arial"/>
        </w:rPr>
        <w:t>ne</w:t>
      </w:r>
      <w:r w:rsidR="00413B94">
        <w:rPr>
          <w:rFonts w:ascii="Arial" w:hAnsi="Arial"/>
        </w:rPr>
        <w:t xml:space="preserve"> 202</w:t>
      </w:r>
      <w:r w:rsidR="00F21119">
        <w:rPr>
          <w:rFonts w:ascii="Arial" w:hAnsi="Arial"/>
        </w:rPr>
        <w:t>2</w:t>
      </w:r>
      <w:r w:rsidR="00413B94">
        <w:rPr>
          <w:rFonts w:ascii="Arial" w:hAnsi="Arial"/>
        </w:rPr>
        <w:t>)</w:t>
      </w:r>
    </w:p>
    <w:p w:rsidR="009126DA" w:rsidRDefault="009126DA" w:rsidP="009C4C94">
      <w:pPr>
        <w:spacing w:line="360" w:lineRule="auto"/>
        <w:jc w:val="both"/>
        <w:rPr>
          <w:rFonts w:ascii="Arial" w:hAnsi="Arial"/>
        </w:rPr>
      </w:pPr>
    </w:p>
    <w:p w:rsidR="009126DA" w:rsidRPr="00843925" w:rsidRDefault="009126DA" w:rsidP="009126DA">
      <w:pPr>
        <w:spacing w:line="360" w:lineRule="auto"/>
        <w:rPr>
          <w:rFonts w:ascii="Arial" w:hAnsi="Arial" w:cs="Arial"/>
        </w:rPr>
      </w:pPr>
      <w:r>
        <w:rPr>
          <w:rFonts w:ascii="Arial" w:hAnsi="Arial" w:cs="Arial"/>
          <w:b/>
        </w:rPr>
        <w:t>CORAM:</w:t>
      </w:r>
      <w:r>
        <w:rPr>
          <w:rFonts w:ascii="Arial" w:hAnsi="Arial" w:cs="Arial"/>
          <w:b/>
        </w:rPr>
        <w:tab/>
      </w:r>
      <w:r w:rsidRPr="00843925">
        <w:rPr>
          <w:rFonts w:ascii="Arial" w:hAnsi="Arial" w:cs="Arial"/>
        </w:rPr>
        <w:t>M</w:t>
      </w:r>
      <w:r w:rsidR="00F21119" w:rsidRPr="00843925">
        <w:rPr>
          <w:rFonts w:ascii="Arial" w:hAnsi="Arial" w:cs="Arial"/>
        </w:rPr>
        <w:t xml:space="preserve">UNSU </w:t>
      </w:r>
      <w:r w:rsidR="00173700" w:rsidRPr="00843925">
        <w:rPr>
          <w:rFonts w:ascii="Arial" w:hAnsi="Arial" w:cs="Arial"/>
        </w:rPr>
        <w:t>A</w:t>
      </w:r>
      <w:r w:rsidR="00F21119" w:rsidRPr="00843925">
        <w:rPr>
          <w:rFonts w:ascii="Arial" w:hAnsi="Arial" w:cs="Arial"/>
        </w:rPr>
        <w:t>J</w:t>
      </w:r>
    </w:p>
    <w:p w:rsidR="009126DA" w:rsidRDefault="009126DA" w:rsidP="009126DA">
      <w:pPr>
        <w:spacing w:line="360" w:lineRule="auto"/>
        <w:rPr>
          <w:rFonts w:ascii="Arial" w:hAnsi="Arial" w:cs="Arial"/>
        </w:rPr>
      </w:pPr>
      <w:r>
        <w:rPr>
          <w:rFonts w:ascii="Arial" w:hAnsi="Arial" w:cs="Arial"/>
          <w:b/>
        </w:rPr>
        <w:t>Heard:</w:t>
      </w:r>
      <w:r>
        <w:rPr>
          <w:rFonts w:ascii="Arial" w:hAnsi="Arial" w:cs="Arial"/>
          <w:b/>
        </w:rPr>
        <w:tab/>
      </w:r>
      <w:r w:rsidR="008447FB">
        <w:rPr>
          <w:rFonts w:ascii="Arial" w:hAnsi="Arial" w:cs="Arial"/>
          <w:b/>
        </w:rPr>
        <w:t>23 May 2022</w:t>
      </w:r>
    </w:p>
    <w:p w:rsidR="009126DA" w:rsidRDefault="009126DA" w:rsidP="009126DA">
      <w:pPr>
        <w:spacing w:line="360" w:lineRule="auto"/>
        <w:rPr>
          <w:rFonts w:ascii="Arial" w:hAnsi="Arial" w:cs="Arial"/>
        </w:rPr>
      </w:pPr>
      <w:r>
        <w:rPr>
          <w:rFonts w:ascii="Arial" w:hAnsi="Arial" w:cs="Arial"/>
          <w:b/>
        </w:rPr>
        <w:t>Delivered:</w:t>
      </w:r>
      <w:r w:rsidRPr="00413B94">
        <w:rPr>
          <w:rFonts w:ascii="Arial" w:hAnsi="Arial" w:cs="Arial"/>
          <w:b/>
        </w:rPr>
        <w:tab/>
      </w:r>
      <w:r w:rsidR="00F21119">
        <w:rPr>
          <w:rFonts w:ascii="Arial" w:hAnsi="Arial" w:cs="Arial"/>
          <w:b/>
        </w:rPr>
        <w:t>13 June 2022</w:t>
      </w:r>
    </w:p>
    <w:p w:rsidR="00C82F83" w:rsidRDefault="00C82F83" w:rsidP="00FE7F9E">
      <w:pPr>
        <w:spacing w:line="360" w:lineRule="auto"/>
        <w:jc w:val="both"/>
        <w:rPr>
          <w:rFonts w:ascii="Arial" w:hAnsi="Arial"/>
          <w:b/>
        </w:rPr>
      </w:pPr>
    </w:p>
    <w:p w:rsidR="00FE7F9E" w:rsidRPr="000307B6" w:rsidRDefault="00FE7F9E" w:rsidP="00FE7F9E">
      <w:pPr>
        <w:spacing w:line="360" w:lineRule="auto"/>
        <w:jc w:val="both"/>
        <w:rPr>
          <w:rFonts w:ascii="Arial" w:hAnsi="Arial"/>
        </w:rPr>
      </w:pPr>
      <w:r>
        <w:rPr>
          <w:rFonts w:ascii="Arial" w:hAnsi="Arial"/>
          <w:b/>
        </w:rPr>
        <w:t>Flynote:</w:t>
      </w:r>
      <w:r w:rsidR="00F21119">
        <w:rPr>
          <w:rFonts w:ascii="Arial" w:hAnsi="Arial"/>
          <w:b/>
        </w:rPr>
        <w:tab/>
      </w:r>
      <w:r w:rsidR="00F21119">
        <w:rPr>
          <w:rFonts w:ascii="Arial" w:hAnsi="Arial"/>
          <w:bCs/>
        </w:rPr>
        <w:t xml:space="preserve">Interlocutory application - </w:t>
      </w:r>
      <w:r w:rsidR="000307B6">
        <w:rPr>
          <w:rFonts w:ascii="Arial" w:hAnsi="Arial"/>
        </w:rPr>
        <w:t>condonation for non-compliance with court order – requiremen</w:t>
      </w:r>
      <w:r w:rsidR="00572620">
        <w:rPr>
          <w:rFonts w:ascii="Arial" w:hAnsi="Arial"/>
        </w:rPr>
        <w:t xml:space="preserve">ts for condonation considered– </w:t>
      </w:r>
      <w:r w:rsidR="000307B6">
        <w:rPr>
          <w:rFonts w:ascii="Arial" w:hAnsi="Arial"/>
        </w:rPr>
        <w:t>Rule 32(9) and (10) – whether applicable to application</w:t>
      </w:r>
      <w:r w:rsidR="008447FB">
        <w:rPr>
          <w:rFonts w:ascii="Arial" w:hAnsi="Arial"/>
        </w:rPr>
        <w:t>s for condonation</w:t>
      </w:r>
      <w:r w:rsidR="000307B6">
        <w:rPr>
          <w:rFonts w:ascii="Arial" w:hAnsi="Arial"/>
        </w:rPr>
        <w:t xml:space="preserve"> – propriety of legal practitioners deposing </w:t>
      </w:r>
      <w:r w:rsidR="008447FB">
        <w:rPr>
          <w:rFonts w:ascii="Arial" w:hAnsi="Arial"/>
        </w:rPr>
        <w:t>to affidavits.</w:t>
      </w:r>
      <w:r w:rsidR="000307B6">
        <w:rPr>
          <w:rFonts w:ascii="Arial" w:hAnsi="Arial"/>
        </w:rPr>
        <w:t xml:space="preserve"> </w:t>
      </w:r>
    </w:p>
    <w:p w:rsidR="00FE7F9E" w:rsidRDefault="00FE7F9E" w:rsidP="00FE7F9E">
      <w:pPr>
        <w:spacing w:line="360" w:lineRule="auto"/>
        <w:jc w:val="both"/>
        <w:rPr>
          <w:rFonts w:ascii="Arial" w:hAnsi="Arial"/>
          <w:b/>
        </w:rPr>
      </w:pPr>
    </w:p>
    <w:p w:rsidR="00567729" w:rsidRDefault="00567729" w:rsidP="00567729">
      <w:pPr>
        <w:spacing w:line="360" w:lineRule="auto"/>
        <w:jc w:val="both"/>
        <w:rPr>
          <w:rFonts w:ascii="Arial" w:hAnsi="Arial"/>
        </w:rPr>
      </w:pPr>
      <w:r w:rsidRPr="00C56F77">
        <w:rPr>
          <w:rFonts w:ascii="Arial" w:hAnsi="Arial"/>
          <w:b/>
          <w:bCs/>
        </w:rPr>
        <w:t>Summary:</w:t>
      </w:r>
      <w:r>
        <w:rPr>
          <w:rFonts w:ascii="Arial" w:hAnsi="Arial"/>
          <w:b/>
          <w:bCs/>
        </w:rPr>
        <w:t xml:space="preserve"> </w:t>
      </w:r>
      <w:r>
        <w:rPr>
          <w:rFonts w:ascii="Arial" w:hAnsi="Arial"/>
        </w:rPr>
        <w:t>Before this court is a condonation application which stems from the defendant’s default to comply with a court order. The defendant was directed to file a discovery affidavit of which he omitted to do on the stipulated date. The application is opposed. The defendant’s non-compliance was as a result of his failure to properly diarise the</w:t>
      </w:r>
      <w:r w:rsidR="00A278E9">
        <w:rPr>
          <w:rFonts w:ascii="Arial" w:hAnsi="Arial"/>
        </w:rPr>
        <w:t xml:space="preserve"> dates for filing. He argues that the </w:t>
      </w:r>
      <w:r w:rsidR="007E3703">
        <w:rPr>
          <w:rFonts w:ascii="Arial" w:hAnsi="Arial"/>
        </w:rPr>
        <w:t xml:space="preserve">non-compliance is miniature and </w:t>
      </w:r>
      <w:r w:rsidR="00A278E9">
        <w:rPr>
          <w:rFonts w:ascii="Arial" w:hAnsi="Arial"/>
        </w:rPr>
        <w:t xml:space="preserve">not </w:t>
      </w:r>
      <w:r w:rsidR="007E3703">
        <w:rPr>
          <w:rFonts w:ascii="Arial" w:hAnsi="Arial"/>
        </w:rPr>
        <w:t>prejudicial to the plaintiff, also</w:t>
      </w:r>
      <w:r w:rsidR="00A278E9">
        <w:rPr>
          <w:rFonts w:ascii="Arial" w:hAnsi="Arial"/>
        </w:rPr>
        <w:t xml:space="preserve"> that the</w:t>
      </w:r>
      <w:r>
        <w:rPr>
          <w:rFonts w:ascii="Arial" w:hAnsi="Arial"/>
        </w:rPr>
        <w:t xml:space="preserve"> matter will </w:t>
      </w:r>
      <w:r w:rsidR="00A278E9">
        <w:rPr>
          <w:rFonts w:ascii="Arial" w:hAnsi="Arial"/>
        </w:rPr>
        <w:t xml:space="preserve">still </w:t>
      </w:r>
      <w:r>
        <w:rPr>
          <w:rFonts w:ascii="Arial" w:hAnsi="Arial"/>
        </w:rPr>
        <w:t xml:space="preserve">proceed as per the timelines set forth regardless. </w:t>
      </w:r>
      <w:r>
        <w:rPr>
          <w:rFonts w:ascii="Arial" w:hAnsi="Arial"/>
        </w:rPr>
        <w:lastRenderedPageBreak/>
        <w:t>In setting out the prospects of success, the defendant merely states that such prospects are in existence</w:t>
      </w:r>
      <w:r w:rsidR="00091AC7">
        <w:rPr>
          <w:rFonts w:ascii="Arial" w:hAnsi="Arial"/>
        </w:rPr>
        <w:t xml:space="preserve"> and that there are several witnesses in support of his case</w:t>
      </w:r>
      <w:r>
        <w:rPr>
          <w:rFonts w:ascii="Arial" w:hAnsi="Arial"/>
        </w:rPr>
        <w:t>. In opposition the plaintiff contended that the application b</w:t>
      </w:r>
      <w:r w:rsidR="00952215">
        <w:rPr>
          <w:rFonts w:ascii="Arial" w:hAnsi="Arial"/>
        </w:rPr>
        <w:t>r</w:t>
      </w:r>
      <w:r>
        <w:rPr>
          <w:rFonts w:ascii="Arial" w:hAnsi="Arial"/>
        </w:rPr>
        <w:t xml:space="preserve">ought by the defendant is </w:t>
      </w:r>
      <w:r w:rsidR="00091AC7">
        <w:rPr>
          <w:rFonts w:ascii="Arial" w:hAnsi="Arial"/>
        </w:rPr>
        <w:t>improper</w:t>
      </w:r>
      <w:r>
        <w:rPr>
          <w:rFonts w:ascii="Arial" w:hAnsi="Arial"/>
        </w:rPr>
        <w:t xml:space="preserve"> because </w:t>
      </w:r>
      <w:r w:rsidR="00091AC7">
        <w:rPr>
          <w:rFonts w:ascii="Arial" w:hAnsi="Arial"/>
        </w:rPr>
        <w:t>t</w:t>
      </w:r>
      <w:r>
        <w:rPr>
          <w:rFonts w:ascii="Arial" w:hAnsi="Arial"/>
        </w:rPr>
        <w:t xml:space="preserve">he </w:t>
      </w:r>
      <w:r w:rsidR="00091AC7">
        <w:rPr>
          <w:rFonts w:ascii="Arial" w:hAnsi="Arial"/>
        </w:rPr>
        <w:t xml:space="preserve">defendant is </w:t>
      </w:r>
      <w:r w:rsidR="00091AC7">
        <w:rPr>
          <w:rFonts w:ascii="Arial" w:hAnsi="Arial"/>
          <w:i/>
        </w:rPr>
        <w:t xml:space="preserve">ipso facto </w:t>
      </w:r>
      <w:r>
        <w:rPr>
          <w:rFonts w:ascii="Arial" w:hAnsi="Arial"/>
        </w:rPr>
        <w:t xml:space="preserve">barred and ought to have brought an application for the upliftment of such bar. The plaintiff </w:t>
      </w:r>
      <w:r w:rsidR="00333F92">
        <w:rPr>
          <w:rFonts w:ascii="Arial" w:hAnsi="Arial"/>
        </w:rPr>
        <w:t xml:space="preserve">argues </w:t>
      </w:r>
      <w:r>
        <w:rPr>
          <w:rFonts w:ascii="Arial" w:hAnsi="Arial"/>
        </w:rPr>
        <w:t xml:space="preserve">that there is no proper application before this court and </w:t>
      </w:r>
      <w:r w:rsidR="00333F92">
        <w:rPr>
          <w:rFonts w:ascii="Arial" w:hAnsi="Arial"/>
        </w:rPr>
        <w:t xml:space="preserve">that he </w:t>
      </w:r>
      <w:r>
        <w:rPr>
          <w:rFonts w:ascii="Arial" w:hAnsi="Arial"/>
        </w:rPr>
        <w:t xml:space="preserve">would shed more light on this </w:t>
      </w:r>
      <w:r w:rsidR="00333F92">
        <w:rPr>
          <w:rFonts w:ascii="Arial" w:hAnsi="Arial"/>
        </w:rPr>
        <w:t>aspect in his heads of argument</w:t>
      </w:r>
      <w:r>
        <w:rPr>
          <w:rFonts w:ascii="Arial" w:hAnsi="Arial"/>
        </w:rPr>
        <w:t>.</w:t>
      </w:r>
    </w:p>
    <w:p w:rsidR="00567729" w:rsidRDefault="00567729" w:rsidP="00567729">
      <w:pPr>
        <w:spacing w:line="360" w:lineRule="auto"/>
        <w:jc w:val="both"/>
        <w:rPr>
          <w:rFonts w:ascii="Arial" w:hAnsi="Arial"/>
        </w:rPr>
      </w:pPr>
    </w:p>
    <w:p w:rsidR="00567729" w:rsidRDefault="00567729" w:rsidP="00567729">
      <w:pPr>
        <w:spacing w:line="360" w:lineRule="auto"/>
        <w:jc w:val="both"/>
        <w:rPr>
          <w:rFonts w:ascii="Arial" w:hAnsi="Arial"/>
        </w:rPr>
      </w:pPr>
      <w:r w:rsidRPr="004B3503">
        <w:rPr>
          <w:rFonts w:ascii="Arial" w:hAnsi="Arial"/>
          <w:i/>
        </w:rPr>
        <w:t>Held</w:t>
      </w:r>
      <w:r>
        <w:rPr>
          <w:rFonts w:ascii="Arial" w:hAnsi="Arial"/>
        </w:rPr>
        <w:t>:</w:t>
      </w:r>
      <w:r w:rsidRPr="00711025">
        <w:rPr>
          <w:rFonts w:ascii="Arial" w:hAnsi="Arial"/>
        </w:rPr>
        <w:t xml:space="preserve"> </w:t>
      </w:r>
      <w:r w:rsidR="005D10CB">
        <w:rPr>
          <w:rFonts w:ascii="Arial" w:hAnsi="Arial"/>
        </w:rPr>
        <w:t>that</w:t>
      </w:r>
      <w:r>
        <w:rPr>
          <w:rFonts w:ascii="Arial" w:hAnsi="Arial"/>
        </w:rPr>
        <w:t xml:space="preserve"> a discovery affidavit is not a pleading and </w:t>
      </w:r>
      <w:r w:rsidR="005D10CB">
        <w:rPr>
          <w:rFonts w:ascii="Arial" w:hAnsi="Arial"/>
        </w:rPr>
        <w:t xml:space="preserve">as such, </w:t>
      </w:r>
      <w:r>
        <w:rPr>
          <w:rFonts w:ascii="Arial" w:hAnsi="Arial"/>
        </w:rPr>
        <w:t xml:space="preserve">an </w:t>
      </w:r>
      <w:r w:rsidRPr="00895840">
        <w:rPr>
          <w:rFonts w:ascii="Arial" w:hAnsi="Arial"/>
        </w:rPr>
        <w:t>omission to file a</w:t>
      </w:r>
      <w:r>
        <w:rPr>
          <w:rFonts w:ascii="Arial" w:hAnsi="Arial"/>
        </w:rPr>
        <w:t xml:space="preserve"> discovery</w:t>
      </w:r>
      <w:r w:rsidRPr="00895840">
        <w:rPr>
          <w:rFonts w:ascii="Arial" w:hAnsi="Arial"/>
        </w:rPr>
        <w:t xml:space="preserve"> affidavit </w:t>
      </w:r>
      <w:r>
        <w:rPr>
          <w:rFonts w:ascii="Arial" w:hAnsi="Arial"/>
        </w:rPr>
        <w:t>and to timel</w:t>
      </w:r>
      <w:r w:rsidR="005D10CB">
        <w:rPr>
          <w:rFonts w:ascii="Arial" w:hAnsi="Arial"/>
        </w:rPr>
        <w:t xml:space="preserve">y exchange discovery bundles </w:t>
      </w:r>
      <w:r w:rsidR="00D65CD8">
        <w:rPr>
          <w:rFonts w:ascii="Arial" w:hAnsi="Arial"/>
        </w:rPr>
        <w:t>can</w:t>
      </w:r>
      <w:r w:rsidR="005D10CB">
        <w:rPr>
          <w:rFonts w:ascii="Arial" w:hAnsi="Arial"/>
        </w:rPr>
        <w:t>not</w:t>
      </w:r>
      <w:r w:rsidR="00D65CD8">
        <w:rPr>
          <w:rFonts w:ascii="Arial" w:hAnsi="Arial"/>
        </w:rPr>
        <w:t xml:space="preserve"> be</w:t>
      </w:r>
      <w:r>
        <w:rPr>
          <w:rFonts w:ascii="Arial" w:hAnsi="Arial"/>
        </w:rPr>
        <w:t xml:space="preserve"> </w:t>
      </w:r>
      <w:r w:rsidRPr="00895840">
        <w:rPr>
          <w:rFonts w:ascii="Arial" w:hAnsi="Arial"/>
        </w:rPr>
        <w:t>subject to barring</w:t>
      </w:r>
      <w:r>
        <w:rPr>
          <w:rFonts w:ascii="Arial" w:hAnsi="Arial"/>
        </w:rPr>
        <w:t>.</w:t>
      </w:r>
    </w:p>
    <w:p w:rsidR="00567729" w:rsidRDefault="00567729" w:rsidP="00567729">
      <w:pPr>
        <w:spacing w:line="360" w:lineRule="auto"/>
        <w:jc w:val="both"/>
        <w:rPr>
          <w:rFonts w:ascii="Arial" w:hAnsi="Arial"/>
        </w:rPr>
      </w:pPr>
    </w:p>
    <w:p w:rsidR="00567729" w:rsidRDefault="00567729" w:rsidP="00567729">
      <w:pPr>
        <w:spacing w:line="360" w:lineRule="auto"/>
        <w:jc w:val="both"/>
        <w:rPr>
          <w:rFonts w:ascii="Arial" w:hAnsi="Arial"/>
        </w:rPr>
      </w:pPr>
      <w:r w:rsidRPr="004B3503">
        <w:rPr>
          <w:rFonts w:ascii="Arial" w:hAnsi="Arial"/>
          <w:i/>
        </w:rPr>
        <w:t>Held that</w:t>
      </w:r>
      <w:r>
        <w:rPr>
          <w:rFonts w:ascii="Arial" w:hAnsi="Arial"/>
        </w:rPr>
        <w:t>:</w:t>
      </w:r>
      <w:r w:rsidRPr="00711025">
        <w:rPr>
          <w:rFonts w:ascii="Arial" w:hAnsi="Arial"/>
        </w:rPr>
        <w:t xml:space="preserve"> </w:t>
      </w:r>
      <w:r>
        <w:rPr>
          <w:rFonts w:ascii="Arial" w:hAnsi="Arial"/>
        </w:rPr>
        <w:t>non-compliance with the directions given by this court can never be a minor transgression irrespective of how miniature it may appear to be.</w:t>
      </w:r>
    </w:p>
    <w:p w:rsidR="00567729" w:rsidRDefault="00567729" w:rsidP="00567729">
      <w:pPr>
        <w:spacing w:line="360" w:lineRule="auto"/>
        <w:jc w:val="both"/>
        <w:rPr>
          <w:rFonts w:ascii="Arial" w:hAnsi="Arial"/>
        </w:rPr>
      </w:pPr>
    </w:p>
    <w:p w:rsidR="00567729" w:rsidRDefault="00567729" w:rsidP="00567729">
      <w:pPr>
        <w:spacing w:line="360" w:lineRule="auto"/>
        <w:jc w:val="both"/>
        <w:rPr>
          <w:rFonts w:ascii="Arial" w:hAnsi="Arial"/>
        </w:rPr>
      </w:pPr>
      <w:r w:rsidRPr="004B3503">
        <w:rPr>
          <w:rFonts w:ascii="Arial" w:hAnsi="Arial"/>
          <w:i/>
        </w:rPr>
        <w:t>Held further that</w:t>
      </w:r>
      <w:r>
        <w:rPr>
          <w:rFonts w:ascii="Arial" w:hAnsi="Arial"/>
        </w:rPr>
        <w:t>:</w:t>
      </w:r>
      <w:r w:rsidRPr="00EB4F3F">
        <w:rPr>
          <w:rFonts w:ascii="Arial" w:hAnsi="Arial"/>
        </w:rPr>
        <w:t xml:space="preserve"> </w:t>
      </w:r>
      <w:r w:rsidR="007114BE">
        <w:rPr>
          <w:rFonts w:ascii="Arial" w:hAnsi="Arial"/>
        </w:rPr>
        <w:t>an affidavit is</w:t>
      </w:r>
      <w:r>
        <w:rPr>
          <w:rFonts w:ascii="Arial" w:hAnsi="Arial"/>
        </w:rPr>
        <w:t xml:space="preserve"> the backbone of </w:t>
      </w:r>
      <w:r w:rsidR="008E5136">
        <w:rPr>
          <w:rFonts w:ascii="Arial" w:hAnsi="Arial"/>
        </w:rPr>
        <w:t>a litigant’s case</w:t>
      </w:r>
      <w:r w:rsidR="003B290C">
        <w:rPr>
          <w:rFonts w:ascii="Arial" w:hAnsi="Arial"/>
        </w:rPr>
        <w:t>,</w:t>
      </w:r>
      <w:r>
        <w:rPr>
          <w:rFonts w:ascii="Arial" w:hAnsi="Arial"/>
        </w:rPr>
        <w:t xml:space="preserve"> and in this instance the plaintiff failed to set out his opposition properly in his answering papers.</w:t>
      </w:r>
    </w:p>
    <w:p w:rsidR="00567729" w:rsidRDefault="00567729" w:rsidP="00567729">
      <w:pPr>
        <w:spacing w:line="360" w:lineRule="auto"/>
        <w:jc w:val="both"/>
        <w:rPr>
          <w:rFonts w:ascii="Arial" w:hAnsi="Arial"/>
        </w:rPr>
      </w:pPr>
    </w:p>
    <w:p w:rsidR="00567729" w:rsidRDefault="00567729" w:rsidP="00567729">
      <w:pPr>
        <w:spacing w:line="360" w:lineRule="auto"/>
        <w:jc w:val="both"/>
        <w:rPr>
          <w:rFonts w:ascii="Arial" w:hAnsi="Arial"/>
        </w:rPr>
      </w:pPr>
      <w:r w:rsidRPr="004B3503">
        <w:rPr>
          <w:rFonts w:ascii="Arial" w:hAnsi="Arial"/>
          <w:i/>
        </w:rPr>
        <w:t>Held</w:t>
      </w:r>
      <w:r>
        <w:rPr>
          <w:rFonts w:ascii="Arial" w:hAnsi="Arial"/>
        </w:rPr>
        <w:t>:</w:t>
      </w:r>
      <w:r w:rsidRPr="00BE3F5D">
        <w:rPr>
          <w:rFonts w:ascii="Arial" w:hAnsi="Arial"/>
        </w:rPr>
        <w:t xml:space="preserve"> </w:t>
      </w:r>
      <w:r>
        <w:rPr>
          <w:rFonts w:ascii="Arial" w:hAnsi="Arial"/>
        </w:rPr>
        <w:t>that in applications</w:t>
      </w:r>
      <w:r w:rsidR="008E5136">
        <w:rPr>
          <w:rFonts w:ascii="Arial" w:hAnsi="Arial"/>
        </w:rPr>
        <w:t xml:space="preserve"> </w:t>
      </w:r>
      <w:r>
        <w:rPr>
          <w:rFonts w:ascii="Arial" w:hAnsi="Arial"/>
        </w:rPr>
        <w:t>for condonation</w:t>
      </w:r>
      <w:r w:rsidR="008E5136">
        <w:rPr>
          <w:rFonts w:ascii="Arial" w:hAnsi="Arial"/>
        </w:rPr>
        <w:t>,</w:t>
      </w:r>
      <w:r>
        <w:rPr>
          <w:rFonts w:ascii="Arial" w:hAnsi="Arial"/>
        </w:rPr>
        <w:t xml:space="preserve"> the court must be placed in a position to be able to assess the prospects of success</w:t>
      </w:r>
      <w:r w:rsidR="001D3924">
        <w:rPr>
          <w:rFonts w:ascii="Arial" w:hAnsi="Arial"/>
        </w:rPr>
        <w:t>,</w:t>
      </w:r>
      <w:r>
        <w:rPr>
          <w:rFonts w:ascii="Arial" w:hAnsi="Arial"/>
        </w:rPr>
        <w:t xml:space="preserve"> which requires the applicant to set forth essential information ‘briefly’ and ‘succinctly’.</w:t>
      </w:r>
    </w:p>
    <w:p w:rsidR="00567729" w:rsidRDefault="00567729" w:rsidP="00567729">
      <w:pPr>
        <w:spacing w:line="360" w:lineRule="auto"/>
        <w:jc w:val="both"/>
        <w:rPr>
          <w:rFonts w:ascii="Arial" w:hAnsi="Arial"/>
        </w:rPr>
      </w:pPr>
    </w:p>
    <w:p w:rsidR="00567729" w:rsidRDefault="00567729" w:rsidP="00567729">
      <w:pPr>
        <w:spacing w:line="360" w:lineRule="auto"/>
        <w:jc w:val="both"/>
        <w:rPr>
          <w:rFonts w:ascii="Arial" w:hAnsi="Arial"/>
        </w:rPr>
      </w:pPr>
      <w:r w:rsidRPr="004B3503">
        <w:rPr>
          <w:rFonts w:ascii="Arial" w:hAnsi="Arial"/>
          <w:i/>
        </w:rPr>
        <w:t>Held that</w:t>
      </w:r>
      <w:r>
        <w:rPr>
          <w:rFonts w:ascii="Arial" w:hAnsi="Arial"/>
        </w:rPr>
        <w:t>:</w:t>
      </w:r>
      <w:r w:rsidRPr="00BE3F5D">
        <w:rPr>
          <w:rFonts w:ascii="Arial" w:hAnsi="Arial"/>
        </w:rPr>
        <w:t xml:space="preserve"> </w:t>
      </w:r>
      <w:r>
        <w:rPr>
          <w:rFonts w:ascii="Arial" w:hAnsi="Arial"/>
        </w:rPr>
        <w:t xml:space="preserve">legal practitioners must desist from deposing to affidavits on behalf of their clients, save for exceptional </w:t>
      </w:r>
      <w:r w:rsidR="008E5136">
        <w:rPr>
          <w:rFonts w:ascii="Arial" w:hAnsi="Arial"/>
        </w:rPr>
        <w:t xml:space="preserve">and compelling reasons. Such reasons </w:t>
      </w:r>
      <w:r>
        <w:rPr>
          <w:rFonts w:ascii="Arial" w:hAnsi="Arial"/>
        </w:rPr>
        <w:t>are to be</w:t>
      </w:r>
      <w:r w:rsidR="001D3924">
        <w:rPr>
          <w:rFonts w:ascii="Arial" w:hAnsi="Arial"/>
        </w:rPr>
        <w:t xml:space="preserve"> disclosed in that</w:t>
      </w:r>
      <w:r>
        <w:rPr>
          <w:rFonts w:ascii="Arial" w:hAnsi="Arial"/>
        </w:rPr>
        <w:t xml:space="preserve"> very affidavit and </w:t>
      </w:r>
      <w:r w:rsidR="008E5136">
        <w:rPr>
          <w:rFonts w:ascii="Arial" w:hAnsi="Arial"/>
        </w:rPr>
        <w:t xml:space="preserve">must be </w:t>
      </w:r>
      <w:r>
        <w:rPr>
          <w:rFonts w:ascii="Arial" w:hAnsi="Arial"/>
        </w:rPr>
        <w:t>exceptional</w:t>
      </w:r>
      <w:r w:rsidR="008E5136">
        <w:rPr>
          <w:rFonts w:ascii="Arial" w:hAnsi="Arial"/>
        </w:rPr>
        <w:t>.</w:t>
      </w:r>
    </w:p>
    <w:p w:rsidR="00567729" w:rsidRDefault="00567729" w:rsidP="007F5B67">
      <w:pPr>
        <w:spacing w:line="360" w:lineRule="auto"/>
        <w:jc w:val="both"/>
        <w:rPr>
          <w:rFonts w:ascii="Arial" w:hAnsi="Arial"/>
        </w:rPr>
      </w:pPr>
    </w:p>
    <w:p w:rsidR="00567729" w:rsidRDefault="00567729" w:rsidP="007F5B67">
      <w:pPr>
        <w:spacing w:line="360" w:lineRule="auto"/>
        <w:jc w:val="both"/>
        <w:rPr>
          <w:rFonts w:ascii="Arial" w:hAnsi="Arial"/>
        </w:rPr>
      </w:pPr>
      <w:r>
        <w:rPr>
          <w:rFonts w:ascii="Arial" w:hAnsi="Arial"/>
        </w:rPr>
        <w:t>The court found that the explanation</w:t>
      </w:r>
      <w:r w:rsidR="008E5136">
        <w:rPr>
          <w:rFonts w:ascii="Arial" w:hAnsi="Arial"/>
        </w:rPr>
        <w:t xml:space="preserve"> was reasonable</w:t>
      </w:r>
      <w:r>
        <w:rPr>
          <w:rFonts w:ascii="Arial" w:hAnsi="Arial"/>
        </w:rPr>
        <w:t xml:space="preserve"> and granted the application with costs in favour of the plaintiff.</w:t>
      </w:r>
    </w:p>
    <w:p w:rsidR="007F5B67" w:rsidRDefault="007F5B67" w:rsidP="007F5B67">
      <w:pPr>
        <w:spacing w:line="360" w:lineRule="auto"/>
        <w:jc w:val="both"/>
        <w:rPr>
          <w:rFonts w:ascii="Arial" w:hAnsi="Arial"/>
        </w:rPr>
      </w:pPr>
    </w:p>
    <w:p w:rsidR="009C4C94" w:rsidRDefault="009C4C94" w:rsidP="007F5B67">
      <w:pPr>
        <w:spacing w:line="360" w:lineRule="auto"/>
        <w:jc w:val="both"/>
        <w:rPr>
          <w:rFonts w:ascii="Arial" w:hAnsi="Arial"/>
        </w:rPr>
      </w:pPr>
    </w:p>
    <w:p w:rsidR="007F5B67" w:rsidRDefault="007F5B67" w:rsidP="007F5B67">
      <w:pPr>
        <w:spacing w:line="360" w:lineRule="auto"/>
        <w:jc w:val="both"/>
        <w:rPr>
          <w:rFonts w:ascii="Arial" w:hAnsi="Arial"/>
        </w:rPr>
      </w:pPr>
    </w:p>
    <w:p w:rsidR="007F5B67" w:rsidRDefault="007F5B67" w:rsidP="007F5B67">
      <w:pPr>
        <w:pBdr>
          <w:bottom w:val="single" w:sz="6" w:space="1" w:color="auto"/>
        </w:pBdr>
        <w:jc w:val="both"/>
        <w:rPr>
          <w:rFonts w:ascii="Arial" w:hAnsi="Arial"/>
        </w:rPr>
      </w:pPr>
    </w:p>
    <w:p w:rsidR="00567729" w:rsidRDefault="00567729" w:rsidP="007F5B67">
      <w:pPr>
        <w:jc w:val="both"/>
        <w:rPr>
          <w:rFonts w:ascii="Arial" w:hAnsi="Arial"/>
          <w:b/>
        </w:rPr>
      </w:pPr>
    </w:p>
    <w:p w:rsidR="008A2DC6" w:rsidRDefault="007F5B67" w:rsidP="007F5B67">
      <w:pPr>
        <w:pBdr>
          <w:bottom w:val="single" w:sz="6" w:space="1" w:color="auto"/>
        </w:pBdr>
        <w:jc w:val="both"/>
        <w:rPr>
          <w:rFonts w:ascii="Arial" w:hAnsi="Arial"/>
          <w:b/>
        </w:rPr>
      </w:pPr>
      <w:r>
        <w:rPr>
          <w:rFonts w:ascii="Arial" w:hAnsi="Arial"/>
        </w:rPr>
        <w:t xml:space="preserve">                                              </w:t>
      </w:r>
      <w:r w:rsidRPr="007F5B67">
        <w:rPr>
          <w:rFonts w:ascii="Arial" w:hAnsi="Arial"/>
          <w:b/>
        </w:rPr>
        <w:t xml:space="preserve"> ORDER</w:t>
      </w:r>
    </w:p>
    <w:p w:rsidR="007F5B67" w:rsidRPr="007F5B67" w:rsidRDefault="007F5B67" w:rsidP="007F5B67">
      <w:pPr>
        <w:pBdr>
          <w:bottom w:val="single" w:sz="6" w:space="1" w:color="auto"/>
        </w:pBdr>
        <w:jc w:val="both"/>
        <w:rPr>
          <w:rFonts w:ascii="Arial" w:hAnsi="Arial"/>
          <w:b/>
        </w:rPr>
      </w:pPr>
    </w:p>
    <w:p w:rsidR="00FE7F9E" w:rsidRDefault="00FE7F9E" w:rsidP="007F5B67">
      <w:pPr>
        <w:jc w:val="center"/>
        <w:rPr>
          <w:rFonts w:ascii="Arial" w:hAnsi="Arial"/>
          <w:b/>
        </w:rPr>
      </w:pPr>
    </w:p>
    <w:p w:rsidR="00FE7F9E" w:rsidRDefault="00FE7F9E" w:rsidP="007F5B67">
      <w:pPr>
        <w:spacing w:line="360" w:lineRule="auto"/>
        <w:rPr>
          <w:rFonts w:ascii="Arial" w:hAnsi="Arial"/>
          <w:b/>
        </w:rPr>
      </w:pPr>
    </w:p>
    <w:p w:rsidR="00F47581" w:rsidRPr="00B62417" w:rsidRDefault="00C058C9" w:rsidP="00F47581">
      <w:pPr>
        <w:pStyle w:val="ListParagraph"/>
        <w:numPr>
          <w:ilvl w:val="0"/>
          <w:numId w:val="2"/>
        </w:numPr>
        <w:spacing w:line="360" w:lineRule="auto"/>
        <w:jc w:val="both"/>
        <w:rPr>
          <w:rFonts w:ascii="Arial" w:hAnsi="Arial"/>
        </w:rPr>
      </w:pPr>
      <w:r>
        <w:rPr>
          <w:rFonts w:ascii="Arial" w:hAnsi="Arial"/>
        </w:rPr>
        <w:lastRenderedPageBreak/>
        <w:t>The application for condonation for</w:t>
      </w:r>
      <w:r w:rsidR="00F47581" w:rsidRPr="00B62417">
        <w:rPr>
          <w:rFonts w:ascii="Arial" w:hAnsi="Arial"/>
        </w:rPr>
        <w:t xml:space="preserve"> </w:t>
      </w:r>
      <w:r w:rsidR="002437B8">
        <w:rPr>
          <w:rFonts w:ascii="Arial" w:hAnsi="Arial"/>
        </w:rPr>
        <w:t xml:space="preserve">the </w:t>
      </w:r>
      <w:r>
        <w:rPr>
          <w:rFonts w:ascii="Arial" w:hAnsi="Arial"/>
        </w:rPr>
        <w:t xml:space="preserve">late filing of the </w:t>
      </w:r>
      <w:r w:rsidR="002437B8">
        <w:rPr>
          <w:rFonts w:ascii="Arial" w:hAnsi="Arial"/>
        </w:rPr>
        <w:t>discovery affidavit</w:t>
      </w:r>
      <w:r w:rsidR="00F47581">
        <w:rPr>
          <w:rFonts w:ascii="Arial" w:hAnsi="Arial"/>
        </w:rPr>
        <w:t xml:space="preserve"> is hereby granted.</w:t>
      </w:r>
    </w:p>
    <w:p w:rsidR="00F47581" w:rsidRDefault="00F47581" w:rsidP="00F47581">
      <w:pPr>
        <w:pStyle w:val="ListParagraph"/>
        <w:numPr>
          <w:ilvl w:val="0"/>
          <w:numId w:val="2"/>
        </w:numPr>
        <w:spacing w:line="360" w:lineRule="auto"/>
        <w:jc w:val="both"/>
        <w:rPr>
          <w:rFonts w:ascii="Arial" w:hAnsi="Arial"/>
        </w:rPr>
      </w:pPr>
      <w:r>
        <w:rPr>
          <w:rFonts w:ascii="Arial" w:hAnsi="Arial"/>
        </w:rPr>
        <w:t>The discovery affidavit filed of record stands as filed.</w:t>
      </w:r>
    </w:p>
    <w:p w:rsidR="002437B8" w:rsidRPr="002437B8" w:rsidRDefault="002437B8" w:rsidP="00F47581">
      <w:pPr>
        <w:pStyle w:val="ListParagraph"/>
        <w:numPr>
          <w:ilvl w:val="0"/>
          <w:numId w:val="2"/>
        </w:numPr>
        <w:spacing w:line="360" w:lineRule="auto"/>
        <w:jc w:val="both"/>
        <w:rPr>
          <w:rFonts w:ascii="Arial" w:hAnsi="Arial"/>
        </w:rPr>
      </w:pPr>
      <w:r>
        <w:rPr>
          <w:rFonts w:ascii="Arial" w:hAnsi="Arial"/>
        </w:rPr>
        <w:t>The defendant is ordered to pa</w:t>
      </w:r>
      <w:r w:rsidR="003B290C">
        <w:rPr>
          <w:rFonts w:ascii="Arial" w:hAnsi="Arial"/>
        </w:rPr>
        <w:t xml:space="preserve">y the costs of this application which shall be subject to rule 32(11). </w:t>
      </w:r>
      <w:r w:rsidRPr="002437B8">
        <w:rPr>
          <w:rFonts w:ascii="Arial" w:hAnsi="Arial"/>
        </w:rPr>
        <w:t xml:space="preserve"> </w:t>
      </w:r>
    </w:p>
    <w:p w:rsidR="00F47581" w:rsidRPr="002437B8" w:rsidRDefault="00C62B79" w:rsidP="00F47581">
      <w:pPr>
        <w:pStyle w:val="ListParagraph"/>
        <w:numPr>
          <w:ilvl w:val="0"/>
          <w:numId w:val="2"/>
        </w:numPr>
        <w:spacing w:line="360" w:lineRule="auto"/>
        <w:jc w:val="both"/>
        <w:rPr>
          <w:rFonts w:ascii="Arial" w:hAnsi="Arial"/>
        </w:rPr>
      </w:pPr>
      <w:r>
        <w:rPr>
          <w:rFonts w:ascii="Arial" w:hAnsi="Arial"/>
        </w:rPr>
        <w:t>The matter is postponed to 18</w:t>
      </w:r>
      <w:r w:rsidR="00F47581" w:rsidRPr="002437B8">
        <w:rPr>
          <w:rFonts w:ascii="Arial" w:hAnsi="Arial"/>
        </w:rPr>
        <w:t xml:space="preserve"> July 2022 for a case management conference.</w:t>
      </w:r>
    </w:p>
    <w:p w:rsidR="00F47581" w:rsidRPr="002437B8" w:rsidRDefault="00F47581" w:rsidP="00F47581">
      <w:pPr>
        <w:pStyle w:val="ListParagraph"/>
        <w:numPr>
          <w:ilvl w:val="0"/>
          <w:numId w:val="2"/>
        </w:numPr>
        <w:spacing w:line="360" w:lineRule="auto"/>
        <w:jc w:val="both"/>
        <w:rPr>
          <w:rFonts w:ascii="Arial" w:hAnsi="Arial"/>
        </w:rPr>
      </w:pPr>
      <w:r w:rsidRPr="002437B8">
        <w:rPr>
          <w:rFonts w:ascii="Arial" w:hAnsi="Arial"/>
        </w:rPr>
        <w:t>The parties are to file a joint case management report on or</w:t>
      </w:r>
      <w:r w:rsidR="00C62B79">
        <w:rPr>
          <w:rFonts w:ascii="Arial" w:hAnsi="Arial"/>
        </w:rPr>
        <w:t xml:space="preserve"> before </w:t>
      </w:r>
      <w:r w:rsidRPr="002437B8">
        <w:rPr>
          <w:rFonts w:ascii="Arial" w:hAnsi="Arial"/>
        </w:rPr>
        <w:t>1</w:t>
      </w:r>
      <w:r w:rsidR="00C62B79">
        <w:rPr>
          <w:rFonts w:ascii="Arial" w:hAnsi="Arial"/>
        </w:rPr>
        <w:t>3</w:t>
      </w:r>
      <w:r w:rsidRPr="002437B8">
        <w:rPr>
          <w:rFonts w:ascii="Arial" w:hAnsi="Arial"/>
        </w:rPr>
        <w:t xml:space="preserve"> July 2022.</w:t>
      </w:r>
    </w:p>
    <w:p w:rsidR="00475723" w:rsidRDefault="00475723" w:rsidP="00475723">
      <w:pPr>
        <w:pBdr>
          <w:bottom w:val="single" w:sz="6" w:space="1" w:color="auto"/>
        </w:pBdr>
        <w:spacing w:line="360" w:lineRule="auto"/>
        <w:jc w:val="both"/>
        <w:rPr>
          <w:rFonts w:ascii="Arial" w:hAnsi="Arial"/>
        </w:rPr>
      </w:pPr>
    </w:p>
    <w:p w:rsidR="00475723" w:rsidRDefault="00475723" w:rsidP="00AF24E3">
      <w:pPr>
        <w:jc w:val="both"/>
        <w:rPr>
          <w:rFonts w:ascii="Arial" w:hAnsi="Arial"/>
        </w:rPr>
      </w:pPr>
    </w:p>
    <w:p w:rsidR="00475723" w:rsidRDefault="00475723" w:rsidP="00AF24E3">
      <w:pPr>
        <w:jc w:val="center"/>
        <w:rPr>
          <w:rFonts w:ascii="Arial" w:hAnsi="Arial"/>
          <w:b/>
        </w:rPr>
      </w:pPr>
      <w:r>
        <w:rPr>
          <w:rFonts w:ascii="Arial" w:hAnsi="Arial"/>
          <w:b/>
        </w:rPr>
        <w:t>RULING</w:t>
      </w:r>
    </w:p>
    <w:p w:rsidR="00475723" w:rsidRDefault="00475723" w:rsidP="00AF24E3">
      <w:pPr>
        <w:pBdr>
          <w:bottom w:val="single" w:sz="6" w:space="1" w:color="auto"/>
        </w:pBdr>
        <w:jc w:val="center"/>
        <w:rPr>
          <w:rFonts w:ascii="Arial" w:hAnsi="Arial"/>
          <w:b/>
        </w:rPr>
      </w:pPr>
    </w:p>
    <w:p w:rsidR="00475723" w:rsidRDefault="00475723" w:rsidP="00475723">
      <w:pPr>
        <w:spacing w:line="360" w:lineRule="auto"/>
        <w:rPr>
          <w:rFonts w:ascii="Arial" w:hAnsi="Arial"/>
        </w:rPr>
      </w:pPr>
    </w:p>
    <w:p w:rsidR="00475723" w:rsidRDefault="00475723" w:rsidP="00475723">
      <w:pPr>
        <w:spacing w:line="360" w:lineRule="auto"/>
        <w:rPr>
          <w:rFonts w:ascii="Arial" w:hAnsi="Arial"/>
          <w:b/>
        </w:rPr>
      </w:pPr>
      <w:r>
        <w:rPr>
          <w:rFonts w:ascii="Arial" w:hAnsi="Arial"/>
          <w:b/>
        </w:rPr>
        <w:t>M</w:t>
      </w:r>
      <w:r w:rsidR="00173700">
        <w:rPr>
          <w:rFonts w:ascii="Arial" w:hAnsi="Arial"/>
          <w:b/>
        </w:rPr>
        <w:t>UNSU A</w:t>
      </w:r>
      <w:r>
        <w:rPr>
          <w:rFonts w:ascii="Arial" w:hAnsi="Arial"/>
          <w:b/>
        </w:rPr>
        <w:t>J:</w:t>
      </w:r>
    </w:p>
    <w:p w:rsidR="00475723" w:rsidRDefault="00475723" w:rsidP="00475723">
      <w:pPr>
        <w:spacing w:line="360" w:lineRule="auto"/>
        <w:rPr>
          <w:rFonts w:ascii="Arial" w:hAnsi="Arial"/>
          <w:b/>
        </w:rPr>
      </w:pPr>
    </w:p>
    <w:p w:rsidR="00475723" w:rsidRDefault="00475723" w:rsidP="00475723">
      <w:pPr>
        <w:spacing w:line="360" w:lineRule="auto"/>
        <w:rPr>
          <w:rFonts w:ascii="Arial" w:hAnsi="Arial"/>
          <w:u w:val="single"/>
        </w:rPr>
      </w:pPr>
      <w:r>
        <w:rPr>
          <w:rFonts w:ascii="Arial" w:hAnsi="Arial"/>
          <w:u w:val="single"/>
        </w:rPr>
        <w:t>Introduction</w:t>
      </w:r>
    </w:p>
    <w:p w:rsidR="00F47581" w:rsidRDefault="00F47581" w:rsidP="00475723">
      <w:pPr>
        <w:spacing w:line="360" w:lineRule="auto"/>
        <w:rPr>
          <w:rFonts w:ascii="Arial" w:hAnsi="Arial"/>
          <w:u w:val="single"/>
        </w:rPr>
      </w:pPr>
    </w:p>
    <w:p w:rsidR="00475723" w:rsidRDefault="00475723" w:rsidP="00475723">
      <w:pPr>
        <w:spacing w:line="360" w:lineRule="auto"/>
        <w:jc w:val="both"/>
        <w:rPr>
          <w:rFonts w:ascii="Arial" w:hAnsi="Arial"/>
        </w:rPr>
      </w:pPr>
      <w:r>
        <w:rPr>
          <w:rFonts w:ascii="Arial" w:hAnsi="Arial"/>
        </w:rPr>
        <w:t>[1]</w:t>
      </w:r>
      <w:r>
        <w:rPr>
          <w:rFonts w:ascii="Arial" w:hAnsi="Arial"/>
        </w:rPr>
        <w:tab/>
      </w:r>
      <w:r w:rsidR="00173700">
        <w:rPr>
          <w:rFonts w:ascii="Arial" w:hAnsi="Arial"/>
        </w:rPr>
        <w:t>Before this court</w:t>
      </w:r>
      <w:r>
        <w:rPr>
          <w:rFonts w:ascii="Arial" w:hAnsi="Arial"/>
        </w:rPr>
        <w:t xml:space="preserve"> is an opposed interlocutory application moved by the </w:t>
      </w:r>
      <w:r w:rsidR="00EA42B3">
        <w:rPr>
          <w:rFonts w:ascii="Arial" w:hAnsi="Arial"/>
        </w:rPr>
        <w:t>defendant</w:t>
      </w:r>
      <w:r w:rsidR="00322776">
        <w:rPr>
          <w:rFonts w:ascii="Arial" w:hAnsi="Arial"/>
        </w:rPr>
        <w:t xml:space="preserve"> for</w:t>
      </w:r>
      <w:r>
        <w:rPr>
          <w:rFonts w:ascii="Arial" w:hAnsi="Arial"/>
        </w:rPr>
        <w:t xml:space="preserve"> condonation of the late filing of </w:t>
      </w:r>
      <w:r w:rsidR="00173700">
        <w:rPr>
          <w:rFonts w:ascii="Arial" w:hAnsi="Arial"/>
        </w:rPr>
        <w:t xml:space="preserve">the discovery affidavit and bundles as per this court’s order dated 22 January 2022. </w:t>
      </w:r>
      <w:r w:rsidR="00481EC8">
        <w:rPr>
          <w:rFonts w:ascii="Arial" w:hAnsi="Arial"/>
        </w:rPr>
        <w:t>The defendant</w:t>
      </w:r>
      <w:r w:rsidR="00EA42B3">
        <w:rPr>
          <w:rFonts w:ascii="Arial" w:hAnsi="Arial"/>
        </w:rPr>
        <w:t xml:space="preserve"> </w:t>
      </w:r>
      <w:r w:rsidR="00481EC8">
        <w:rPr>
          <w:rFonts w:ascii="Arial" w:hAnsi="Arial"/>
        </w:rPr>
        <w:t>pray</w:t>
      </w:r>
      <w:r w:rsidR="00EA42B3">
        <w:rPr>
          <w:rFonts w:ascii="Arial" w:hAnsi="Arial"/>
        </w:rPr>
        <w:t>s</w:t>
      </w:r>
      <w:r w:rsidR="00481EC8">
        <w:rPr>
          <w:rFonts w:ascii="Arial" w:hAnsi="Arial"/>
        </w:rPr>
        <w:t xml:space="preserve"> that the discovery affidavit already filed be accepted and form part of the matter.</w:t>
      </w:r>
      <w:r w:rsidR="00173700">
        <w:rPr>
          <w:rFonts w:ascii="Arial" w:hAnsi="Arial"/>
        </w:rPr>
        <w:t xml:space="preserve"> </w:t>
      </w:r>
    </w:p>
    <w:p w:rsidR="00475723" w:rsidRDefault="00475723" w:rsidP="00475723">
      <w:pPr>
        <w:spacing w:line="360" w:lineRule="auto"/>
        <w:jc w:val="both"/>
        <w:rPr>
          <w:rFonts w:ascii="Arial" w:hAnsi="Arial"/>
        </w:rPr>
      </w:pPr>
    </w:p>
    <w:p w:rsidR="00475723" w:rsidRDefault="00026FE1" w:rsidP="00475723">
      <w:pPr>
        <w:spacing w:line="360" w:lineRule="auto"/>
        <w:jc w:val="both"/>
        <w:rPr>
          <w:rFonts w:ascii="Arial" w:hAnsi="Arial"/>
          <w:u w:val="single"/>
        </w:rPr>
      </w:pPr>
      <w:r>
        <w:rPr>
          <w:rFonts w:ascii="Arial" w:hAnsi="Arial"/>
          <w:u w:val="single"/>
        </w:rPr>
        <w:t>Background</w:t>
      </w:r>
    </w:p>
    <w:p w:rsidR="00026FE1" w:rsidRDefault="00026FE1" w:rsidP="00475723">
      <w:pPr>
        <w:spacing w:line="360" w:lineRule="auto"/>
        <w:jc w:val="both"/>
        <w:rPr>
          <w:rFonts w:ascii="Arial" w:hAnsi="Arial"/>
          <w:u w:val="single"/>
        </w:rPr>
      </w:pPr>
    </w:p>
    <w:p w:rsidR="00BA2473" w:rsidRDefault="00BA2473" w:rsidP="00475723">
      <w:pPr>
        <w:spacing w:line="360" w:lineRule="auto"/>
        <w:jc w:val="both"/>
        <w:rPr>
          <w:rFonts w:ascii="Arial" w:hAnsi="Arial"/>
        </w:rPr>
      </w:pPr>
      <w:r>
        <w:rPr>
          <w:rFonts w:ascii="Arial" w:hAnsi="Arial"/>
        </w:rPr>
        <w:t>[2]</w:t>
      </w:r>
      <w:r>
        <w:rPr>
          <w:rFonts w:ascii="Arial" w:hAnsi="Arial"/>
        </w:rPr>
        <w:tab/>
      </w:r>
      <w:r w:rsidR="00481EC8">
        <w:rPr>
          <w:rFonts w:ascii="Arial" w:hAnsi="Arial"/>
        </w:rPr>
        <w:t>The affidavit in support of the application for condonation is deposed to by th</w:t>
      </w:r>
      <w:r w:rsidR="00D67550">
        <w:rPr>
          <w:rFonts w:ascii="Arial" w:hAnsi="Arial"/>
        </w:rPr>
        <w:t>e defendant’s legal representative</w:t>
      </w:r>
      <w:r w:rsidR="00481EC8">
        <w:rPr>
          <w:rFonts w:ascii="Arial" w:hAnsi="Arial"/>
        </w:rPr>
        <w:t xml:space="preserve"> of record. The only reason </w:t>
      </w:r>
      <w:r w:rsidR="001E528B">
        <w:rPr>
          <w:rFonts w:ascii="Arial" w:hAnsi="Arial"/>
        </w:rPr>
        <w:t>advanced</w:t>
      </w:r>
      <w:r w:rsidR="00EA42B3">
        <w:rPr>
          <w:rFonts w:ascii="Arial" w:hAnsi="Arial"/>
        </w:rPr>
        <w:t xml:space="preserve"> </w:t>
      </w:r>
      <w:r w:rsidR="00A07C21">
        <w:rPr>
          <w:rFonts w:ascii="Arial" w:hAnsi="Arial"/>
        </w:rPr>
        <w:t xml:space="preserve">for </w:t>
      </w:r>
      <w:r w:rsidR="00322776">
        <w:rPr>
          <w:rFonts w:ascii="Arial" w:hAnsi="Arial"/>
        </w:rPr>
        <w:t>having been</w:t>
      </w:r>
      <w:r w:rsidR="00A07C21">
        <w:rPr>
          <w:rFonts w:ascii="Arial" w:hAnsi="Arial"/>
        </w:rPr>
        <w:t xml:space="preserve"> in </w:t>
      </w:r>
      <w:r w:rsidR="00D335BE">
        <w:rPr>
          <w:rFonts w:ascii="Arial" w:hAnsi="Arial"/>
        </w:rPr>
        <w:t>default of</w:t>
      </w:r>
      <w:r w:rsidR="00481EC8">
        <w:rPr>
          <w:rFonts w:ascii="Arial" w:hAnsi="Arial"/>
        </w:rPr>
        <w:t xml:space="preserve"> the court order </w:t>
      </w:r>
      <w:r w:rsidR="00B83703">
        <w:rPr>
          <w:rFonts w:ascii="Arial" w:hAnsi="Arial"/>
        </w:rPr>
        <w:t>is an administrative oversight</w:t>
      </w:r>
      <w:r w:rsidR="00A07C21">
        <w:rPr>
          <w:rFonts w:ascii="Arial" w:hAnsi="Arial"/>
        </w:rPr>
        <w:t xml:space="preserve"> on the part of the defend</w:t>
      </w:r>
      <w:r w:rsidR="00D335BE">
        <w:rPr>
          <w:rFonts w:ascii="Arial" w:hAnsi="Arial"/>
        </w:rPr>
        <w:t>ant’s counsel. This is that he</w:t>
      </w:r>
      <w:r w:rsidR="00A07C21">
        <w:rPr>
          <w:rFonts w:ascii="Arial" w:hAnsi="Arial"/>
        </w:rPr>
        <w:t xml:space="preserve"> erroneously diarised the dates for filing to a further date.</w:t>
      </w:r>
    </w:p>
    <w:p w:rsidR="00BA2473" w:rsidRPr="00BA2473" w:rsidRDefault="00BA2473" w:rsidP="00475723">
      <w:pPr>
        <w:spacing w:line="360" w:lineRule="auto"/>
        <w:jc w:val="both"/>
        <w:rPr>
          <w:rFonts w:ascii="Arial" w:hAnsi="Arial"/>
        </w:rPr>
      </w:pPr>
    </w:p>
    <w:p w:rsidR="000F6428" w:rsidRDefault="003E3C8C" w:rsidP="00475723">
      <w:pPr>
        <w:spacing w:line="360" w:lineRule="auto"/>
        <w:jc w:val="both"/>
        <w:rPr>
          <w:rFonts w:ascii="Arial" w:hAnsi="Arial"/>
        </w:rPr>
      </w:pPr>
      <w:r>
        <w:rPr>
          <w:rFonts w:ascii="Arial" w:hAnsi="Arial"/>
        </w:rPr>
        <w:t>[3</w:t>
      </w:r>
      <w:r w:rsidR="00BA2473">
        <w:rPr>
          <w:rFonts w:ascii="Arial" w:hAnsi="Arial"/>
        </w:rPr>
        <w:t>]</w:t>
      </w:r>
      <w:r w:rsidR="00BA2473">
        <w:rPr>
          <w:rFonts w:ascii="Arial" w:hAnsi="Arial"/>
        </w:rPr>
        <w:tab/>
      </w:r>
      <w:r w:rsidR="0086473D">
        <w:rPr>
          <w:rFonts w:ascii="Arial" w:hAnsi="Arial"/>
        </w:rPr>
        <w:t>In his very brief explanation c</w:t>
      </w:r>
      <w:r w:rsidR="00210589">
        <w:rPr>
          <w:rFonts w:ascii="Arial" w:hAnsi="Arial"/>
        </w:rPr>
        <w:t>ou</w:t>
      </w:r>
      <w:r w:rsidR="00D335BE">
        <w:rPr>
          <w:rFonts w:ascii="Arial" w:hAnsi="Arial"/>
        </w:rPr>
        <w:t>nsel for the defendant states</w:t>
      </w:r>
      <w:r w:rsidR="00210589">
        <w:rPr>
          <w:rFonts w:ascii="Arial" w:hAnsi="Arial"/>
        </w:rPr>
        <w:t xml:space="preserve"> that his non-compliance is minimal in nature and </w:t>
      </w:r>
      <w:r w:rsidR="0086473D">
        <w:rPr>
          <w:rFonts w:ascii="Arial" w:hAnsi="Arial"/>
        </w:rPr>
        <w:t>d</w:t>
      </w:r>
      <w:r w:rsidR="00342567">
        <w:rPr>
          <w:rFonts w:ascii="Arial" w:hAnsi="Arial"/>
        </w:rPr>
        <w:t>id</w:t>
      </w:r>
      <w:r w:rsidR="00210589">
        <w:rPr>
          <w:rFonts w:ascii="Arial" w:hAnsi="Arial"/>
        </w:rPr>
        <w:t xml:space="preserve"> not materially prejudice the plaintif</w:t>
      </w:r>
      <w:r w:rsidR="008B18C6">
        <w:rPr>
          <w:rFonts w:ascii="Arial" w:hAnsi="Arial"/>
        </w:rPr>
        <w:t>f. This is because</w:t>
      </w:r>
      <w:r w:rsidR="00210589">
        <w:rPr>
          <w:rFonts w:ascii="Arial" w:hAnsi="Arial"/>
        </w:rPr>
        <w:t xml:space="preserve"> the discovery affidavit was filed one day late and</w:t>
      </w:r>
      <w:r w:rsidR="0086473D">
        <w:rPr>
          <w:rFonts w:ascii="Arial" w:hAnsi="Arial"/>
        </w:rPr>
        <w:t xml:space="preserve"> that</w:t>
      </w:r>
      <w:r w:rsidR="00210589">
        <w:rPr>
          <w:rFonts w:ascii="Arial" w:hAnsi="Arial"/>
        </w:rPr>
        <w:t xml:space="preserve"> the matter will </w:t>
      </w:r>
      <w:r w:rsidR="00B83703">
        <w:rPr>
          <w:rFonts w:ascii="Arial" w:hAnsi="Arial"/>
        </w:rPr>
        <w:t xml:space="preserve">still </w:t>
      </w:r>
      <w:r w:rsidR="00210589">
        <w:rPr>
          <w:rFonts w:ascii="Arial" w:hAnsi="Arial"/>
        </w:rPr>
        <w:t>proceed as intended in terms of the timelines set forth regardless.</w:t>
      </w:r>
    </w:p>
    <w:p w:rsidR="002467C4" w:rsidRDefault="002467C4" w:rsidP="00475723">
      <w:pPr>
        <w:spacing w:line="360" w:lineRule="auto"/>
        <w:jc w:val="both"/>
        <w:rPr>
          <w:rFonts w:ascii="Arial" w:hAnsi="Arial"/>
        </w:rPr>
      </w:pPr>
    </w:p>
    <w:p w:rsidR="002467C4" w:rsidRDefault="003E3C8C" w:rsidP="00475723">
      <w:pPr>
        <w:spacing w:line="360" w:lineRule="auto"/>
        <w:jc w:val="both"/>
        <w:rPr>
          <w:rFonts w:ascii="Arial" w:hAnsi="Arial"/>
        </w:rPr>
      </w:pPr>
      <w:r>
        <w:rPr>
          <w:rFonts w:ascii="Arial" w:hAnsi="Arial"/>
        </w:rPr>
        <w:t>[</w:t>
      </w:r>
      <w:r w:rsidR="0074337E">
        <w:rPr>
          <w:rFonts w:ascii="Arial" w:hAnsi="Arial"/>
        </w:rPr>
        <w:t>4</w:t>
      </w:r>
      <w:r w:rsidR="002467C4">
        <w:rPr>
          <w:rFonts w:ascii="Arial" w:hAnsi="Arial"/>
        </w:rPr>
        <w:t>]</w:t>
      </w:r>
      <w:r w:rsidR="002467C4">
        <w:rPr>
          <w:rFonts w:ascii="Arial" w:hAnsi="Arial"/>
        </w:rPr>
        <w:tab/>
      </w:r>
      <w:r w:rsidR="000B361B">
        <w:rPr>
          <w:rFonts w:ascii="Arial" w:hAnsi="Arial"/>
        </w:rPr>
        <w:t>In his</w:t>
      </w:r>
      <w:r w:rsidR="00D2461D">
        <w:rPr>
          <w:rFonts w:ascii="Arial" w:hAnsi="Arial"/>
        </w:rPr>
        <w:t xml:space="preserve"> brief</w:t>
      </w:r>
      <w:r w:rsidR="00DB0334">
        <w:rPr>
          <w:rFonts w:ascii="Arial" w:hAnsi="Arial"/>
        </w:rPr>
        <w:t xml:space="preserve"> answering affidavit, t</w:t>
      </w:r>
      <w:r w:rsidR="002467C4">
        <w:rPr>
          <w:rFonts w:ascii="Arial" w:hAnsi="Arial"/>
        </w:rPr>
        <w:t xml:space="preserve">he </w:t>
      </w:r>
      <w:r w:rsidR="0074337E">
        <w:rPr>
          <w:rFonts w:ascii="Arial" w:hAnsi="Arial"/>
        </w:rPr>
        <w:t>plaintiff</w:t>
      </w:r>
      <w:r w:rsidR="00D2461D">
        <w:rPr>
          <w:rFonts w:ascii="Arial" w:hAnsi="Arial"/>
        </w:rPr>
        <w:t xml:space="preserve"> </w:t>
      </w:r>
      <w:r w:rsidR="00BF37F0">
        <w:rPr>
          <w:rFonts w:ascii="Arial" w:hAnsi="Arial"/>
        </w:rPr>
        <w:t>takes the view that the application</w:t>
      </w:r>
      <w:r w:rsidR="002467C4">
        <w:rPr>
          <w:rFonts w:ascii="Arial" w:hAnsi="Arial"/>
        </w:rPr>
        <w:t xml:space="preserve"> for</w:t>
      </w:r>
      <w:r w:rsidR="00BF37F0">
        <w:rPr>
          <w:rFonts w:ascii="Arial" w:hAnsi="Arial"/>
        </w:rPr>
        <w:t xml:space="preserve"> condonation </w:t>
      </w:r>
      <w:r w:rsidR="001D4DD4">
        <w:rPr>
          <w:rFonts w:ascii="Arial" w:hAnsi="Arial"/>
        </w:rPr>
        <w:t>does not meet t</w:t>
      </w:r>
      <w:r w:rsidR="0031392A">
        <w:rPr>
          <w:rFonts w:ascii="Arial" w:hAnsi="Arial"/>
        </w:rPr>
        <w:t>he required standard</w:t>
      </w:r>
      <w:r w:rsidR="002467C4">
        <w:rPr>
          <w:rFonts w:ascii="Arial" w:hAnsi="Arial"/>
        </w:rPr>
        <w:t xml:space="preserve">. </w:t>
      </w:r>
      <w:r w:rsidR="0074337E">
        <w:rPr>
          <w:rFonts w:ascii="Arial" w:hAnsi="Arial"/>
        </w:rPr>
        <w:t xml:space="preserve">The </w:t>
      </w:r>
      <w:r w:rsidR="00DB0334">
        <w:rPr>
          <w:rFonts w:ascii="Arial" w:hAnsi="Arial"/>
        </w:rPr>
        <w:t>plaintiff</w:t>
      </w:r>
      <w:r w:rsidR="0074337E">
        <w:rPr>
          <w:rFonts w:ascii="Arial" w:hAnsi="Arial"/>
        </w:rPr>
        <w:t xml:space="preserve"> is of the view that there is </w:t>
      </w:r>
      <w:r w:rsidR="0074337E">
        <w:rPr>
          <w:rFonts w:ascii="Arial" w:hAnsi="Arial"/>
        </w:rPr>
        <w:lastRenderedPageBreak/>
        <w:t>no application</w:t>
      </w:r>
      <w:r w:rsidR="0013232E">
        <w:rPr>
          <w:rFonts w:ascii="Arial" w:hAnsi="Arial"/>
        </w:rPr>
        <w:t xml:space="preserve"> before this court to enable him</w:t>
      </w:r>
      <w:r w:rsidR="0074337E">
        <w:rPr>
          <w:rFonts w:ascii="Arial" w:hAnsi="Arial"/>
        </w:rPr>
        <w:t xml:space="preserve"> to answer </w:t>
      </w:r>
      <w:r w:rsidR="0013232E">
        <w:rPr>
          <w:rFonts w:ascii="Arial" w:hAnsi="Arial"/>
        </w:rPr>
        <w:t xml:space="preserve">to </w:t>
      </w:r>
      <w:r w:rsidR="0074337E">
        <w:rPr>
          <w:rFonts w:ascii="Arial" w:hAnsi="Arial"/>
        </w:rPr>
        <w:t xml:space="preserve">the allegations contained </w:t>
      </w:r>
      <w:r w:rsidR="00DB0334">
        <w:rPr>
          <w:rFonts w:ascii="Arial" w:hAnsi="Arial"/>
        </w:rPr>
        <w:t>in the affidavit as it does not</w:t>
      </w:r>
      <w:r w:rsidR="00867C7E">
        <w:rPr>
          <w:rFonts w:ascii="Arial" w:hAnsi="Arial"/>
        </w:rPr>
        <w:t xml:space="preserve"> comply with the rules of this c</w:t>
      </w:r>
      <w:r w:rsidR="00DB0334">
        <w:rPr>
          <w:rFonts w:ascii="Arial" w:hAnsi="Arial"/>
        </w:rPr>
        <w:t xml:space="preserve">ourt. </w:t>
      </w:r>
      <w:r w:rsidR="009E040A">
        <w:rPr>
          <w:rFonts w:ascii="Arial" w:hAnsi="Arial"/>
        </w:rPr>
        <w:t>This position was to a lager exten</w:t>
      </w:r>
      <w:r w:rsidR="00DC19FF">
        <w:rPr>
          <w:rFonts w:ascii="Arial" w:hAnsi="Arial"/>
        </w:rPr>
        <w:t>t</w:t>
      </w:r>
      <w:r w:rsidR="0013232E">
        <w:rPr>
          <w:rFonts w:ascii="Arial" w:hAnsi="Arial"/>
        </w:rPr>
        <w:t xml:space="preserve"> amplified on</w:t>
      </w:r>
      <w:r w:rsidR="009E040A">
        <w:rPr>
          <w:rFonts w:ascii="Arial" w:hAnsi="Arial"/>
        </w:rPr>
        <w:t xml:space="preserve"> in rather</w:t>
      </w:r>
      <w:r w:rsidR="00C469A4">
        <w:rPr>
          <w:rFonts w:ascii="Arial" w:hAnsi="Arial"/>
        </w:rPr>
        <w:t xml:space="preserve"> detailed heads of argument</w:t>
      </w:r>
      <w:r w:rsidR="009E040A">
        <w:rPr>
          <w:rFonts w:ascii="Arial" w:hAnsi="Arial"/>
        </w:rPr>
        <w:t>.</w:t>
      </w:r>
      <w:r w:rsidR="000B361B">
        <w:rPr>
          <w:rFonts w:ascii="Arial" w:hAnsi="Arial"/>
        </w:rPr>
        <w:t xml:space="preserve"> </w:t>
      </w:r>
    </w:p>
    <w:p w:rsidR="002467C4" w:rsidRDefault="002467C4" w:rsidP="00475723">
      <w:pPr>
        <w:spacing w:line="360" w:lineRule="auto"/>
        <w:jc w:val="both"/>
        <w:rPr>
          <w:rFonts w:ascii="Arial" w:hAnsi="Arial"/>
        </w:rPr>
      </w:pPr>
    </w:p>
    <w:p w:rsidR="002467C4" w:rsidRDefault="003E3C8C" w:rsidP="00475723">
      <w:pPr>
        <w:spacing w:line="360" w:lineRule="auto"/>
        <w:jc w:val="both"/>
        <w:rPr>
          <w:rFonts w:ascii="Arial" w:hAnsi="Arial"/>
        </w:rPr>
      </w:pPr>
      <w:r>
        <w:rPr>
          <w:rFonts w:ascii="Arial" w:hAnsi="Arial"/>
        </w:rPr>
        <w:t>[</w:t>
      </w:r>
      <w:r w:rsidR="009839FD">
        <w:rPr>
          <w:rFonts w:ascii="Arial" w:hAnsi="Arial"/>
        </w:rPr>
        <w:t>5</w:t>
      </w:r>
      <w:r w:rsidR="002467C4">
        <w:rPr>
          <w:rFonts w:ascii="Arial" w:hAnsi="Arial"/>
        </w:rPr>
        <w:t xml:space="preserve">] </w:t>
      </w:r>
      <w:r w:rsidR="002467C4">
        <w:rPr>
          <w:rFonts w:ascii="Arial" w:hAnsi="Arial"/>
        </w:rPr>
        <w:tab/>
      </w:r>
      <w:r w:rsidR="0013232E">
        <w:rPr>
          <w:rFonts w:ascii="Arial" w:hAnsi="Arial"/>
        </w:rPr>
        <w:t>T</w:t>
      </w:r>
      <w:r w:rsidR="00457618">
        <w:rPr>
          <w:rFonts w:ascii="Arial" w:hAnsi="Arial"/>
        </w:rPr>
        <w:t xml:space="preserve">he </w:t>
      </w:r>
      <w:r w:rsidR="00455FD2">
        <w:rPr>
          <w:rFonts w:ascii="Arial" w:hAnsi="Arial"/>
        </w:rPr>
        <w:t xml:space="preserve">plaintiff </w:t>
      </w:r>
      <w:r w:rsidR="00D7588B">
        <w:rPr>
          <w:rFonts w:ascii="Arial" w:hAnsi="Arial"/>
        </w:rPr>
        <w:t xml:space="preserve">contends that the </w:t>
      </w:r>
      <w:r w:rsidR="0013232E">
        <w:rPr>
          <w:rFonts w:ascii="Arial" w:hAnsi="Arial"/>
        </w:rPr>
        <w:t xml:space="preserve">defendant </w:t>
      </w:r>
      <w:r w:rsidR="00455FD2">
        <w:rPr>
          <w:rFonts w:ascii="Arial" w:hAnsi="Arial"/>
        </w:rPr>
        <w:t xml:space="preserve">ought to have brought an application </w:t>
      </w:r>
      <w:r w:rsidR="00D7588B">
        <w:rPr>
          <w:rFonts w:ascii="Arial" w:hAnsi="Arial"/>
        </w:rPr>
        <w:t xml:space="preserve">for the </w:t>
      </w:r>
      <w:r w:rsidR="00793560">
        <w:rPr>
          <w:rFonts w:ascii="Arial" w:hAnsi="Arial"/>
        </w:rPr>
        <w:t>upliftment</w:t>
      </w:r>
      <w:r w:rsidR="00D7588B">
        <w:rPr>
          <w:rFonts w:ascii="Arial" w:hAnsi="Arial"/>
        </w:rPr>
        <w:t xml:space="preserve"> of bar as opposed to a condonation application</w:t>
      </w:r>
      <w:r w:rsidR="00310D86">
        <w:rPr>
          <w:rFonts w:ascii="Arial" w:hAnsi="Arial"/>
        </w:rPr>
        <w:t xml:space="preserve">. The plaintiff argued that the defendant </w:t>
      </w:r>
      <w:r w:rsidR="00D7588B">
        <w:rPr>
          <w:rFonts w:ascii="Arial" w:hAnsi="Arial"/>
        </w:rPr>
        <w:t>is no</w:t>
      </w:r>
      <w:r w:rsidR="00310D86">
        <w:rPr>
          <w:rFonts w:ascii="Arial" w:hAnsi="Arial"/>
        </w:rPr>
        <w:t xml:space="preserve">w barred in terms of rule 54(3), which reads </w:t>
      </w:r>
      <w:r w:rsidR="00D7588B">
        <w:rPr>
          <w:rFonts w:ascii="Arial" w:hAnsi="Arial"/>
        </w:rPr>
        <w:t>as follows:</w:t>
      </w:r>
    </w:p>
    <w:p w:rsidR="00DC19FF" w:rsidRDefault="00DC19FF" w:rsidP="00475723">
      <w:pPr>
        <w:spacing w:line="360" w:lineRule="auto"/>
        <w:jc w:val="both"/>
        <w:rPr>
          <w:rFonts w:ascii="Arial" w:hAnsi="Arial"/>
        </w:rPr>
      </w:pPr>
    </w:p>
    <w:p w:rsidR="00D7588B" w:rsidRPr="00D7588B" w:rsidRDefault="00D7588B" w:rsidP="00D7588B">
      <w:pPr>
        <w:spacing w:line="360" w:lineRule="auto"/>
        <w:ind w:left="720"/>
        <w:jc w:val="both"/>
        <w:rPr>
          <w:rFonts w:ascii="Arial" w:hAnsi="Arial"/>
          <w:sz w:val="22"/>
          <w:szCs w:val="22"/>
        </w:rPr>
      </w:pPr>
      <w:r>
        <w:rPr>
          <w:rFonts w:ascii="Arial" w:hAnsi="Arial"/>
          <w:sz w:val="22"/>
          <w:szCs w:val="22"/>
        </w:rPr>
        <w:t>‘[3]</w:t>
      </w:r>
      <w:r>
        <w:rPr>
          <w:rFonts w:ascii="Arial" w:hAnsi="Arial"/>
          <w:sz w:val="22"/>
          <w:szCs w:val="22"/>
        </w:rPr>
        <w:tab/>
        <w:t xml:space="preserve">Where a party fails to deliver a pleading within the time stated in the case plan order or within any </w:t>
      </w:r>
      <w:r w:rsidR="006A00EC">
        <w:rPr>
          <w:rFonts w:ascii="Arial" w:hAnsi="Arial"/>
          <w:sz w:val="22"/>
          <w:szCs w:val="22"/>
        </w:rPr>
        <w:t>extended</w:t>
      </w:r>
      <w:r>
        <w:rPr>
          <w:rFonts w:ascii="Arial" w:hAnsi="Arial"/>
          <w:sz w:val="22"/>
          <w:szCs w:val="22"/>
        </w:rPr>
        <w:t xml:space="preserve"> time allowed by the managing judge, that party </w:t>
      </w:r>
      <w:r w:rsidR="006A00EC">
        <w:rPr>
          <w:rFonts w:ascii="Arial" w:hAnsi="Arial"/>
          <w:sz w:val="22"/>
          <w:szCs w:val="22"/>
        </w:rPr>
        <w:t xml:space="preserve">is in default of filing such pleading and is </w:t>
      </w:r>
      <w:r w:rsidR="006A00EC" w:rsidRPr="006A00EC">
        <w:rPr>
          <w:rFonts w:ascii="Arial" w:hAnsi="Arial"/>
          <w:sz w:val="22"/>
          <w:szCs w:val="22"/>
        </w:rPr>
        <w:t>by that very fact barred</w:t>
      </w:r>
      <w:r w:rsidR="006A00EC">
        <w:rPr>
          <w:rFonts w:ascii="Arial" w:hAnsi="Arial"/>
          <w:sz w:val="22"/>
          <w:szCs w:val="22"/>
        </w:rPr>
        <w:t>.’</w:t>
      </w:r>
    </w:p>
    <w:p w:rsidR="00DB0334" w:rsidRDefault="00DB0334" w:rsidP="00475723">
      <w:pPr>
        <w:spacing w:line="360" w:lineRule="auto"/>
        <w:jc w:val="both"/>
        <w:rPr>
          <w:rFonts w:ascii="Arial" w:hAnsi="Arial"/>
        </w:rPr>
      </w:pPr>
    </w:p>
    <w:p w:rsidR="00793560" w:rsidRDefault="003E3C8C" w:rsidP="00475723">
      <w:pPr>
        <w:spacing w:line="360" w:lineRule="auto"/>
        <w:jc w:val="both"/>
        <w:rPr>
          <w:rFonts w:ascii="Arial" w:hAnsi="Arial"/>
        </w:rPr>
      </w:pPr>
      <w:r>
        <w:rPr>
          <w:rFonts w:ascii="Arial" w:hAnsi="Arial"/>
        </w:rPr>
        <w:t>[</w:t>
      </w:r>
      <w:r w:rsidR="009839FD">
        <w:rPr>
          <w:rFonts w:ascii="Arial" w:hAnsi="Arial"/>
        </w:rPr>
        <w:t>6</w:t>
      </w:r>
      <w:r w:rsidR="002467C4">
        <w:rPr>
          <w:rFonts w:ascii="Arial" w:hAnsi="Arial"/>
        </w:rPr>
        <w:t>]</w:t>
      </w:r>
      <w:r w:rsidR="002467C4">
        <w:rPr>
          <w:rFonts w:ascii="Arial" w:hAnsi="Arial"/>
        </w:rPr>
        <w:tab/>
      </w:r>
      <w:r w:rsidR="00820F52">
        <w:rPr>
          <w:rFonts w:ascii="Arial" w:hAnsi="Arial"/>
        </w:rPr>
        <w:t>It is</w:t>
      </w:r>
      <w:r w:rsidR="00441D31" w:rsidRPr="00441D31">
        <w:rPr>
          <w:rFonts w:ascii="Arial" w:hAnsi="Arial"/>
        </w:rPr>
        <w:t xml:space="preserve"> appro</w:t>
      </w:r>
      <w:r w:rsidR="00820F52">
        <w:rPr>
          <w:rFonts w:ascii="Arial" w:hAnsi="Arial"/>
        </w:rPr>
        <w:t xml:space="preserve">priate at this stage to determine </w:t>
      </w:r>
      <w:r w:rsidR="00441D31" w:rsidRPr="00441D31">
        <w:rPr>
          <w:rFonts w:ascii="Arial" w:hAnsi="Arial"/>
        </w:rPr>
        <w:t>whether or</w:t>
      </w:r>
      <w:r w:rsidR="004349CE">
        <w:rPr>
          <w:rFonts w:ascii="Arial" w:hAnsi="Arial"/>
        </w:rPr>
        <w:t xml:space="preserve"> not a discovery affidavit </w:t>
      </w:r>
      <w:r w:rsidR="00C03E11">
        <w:rPr>
          <w:rFonts w:ascii="Arial" w:hAnsi="Arial"/>
        </w:rPr>
        <w:t xml:space="preserve">is </w:t>
      </w:r>
      <w:r w:rsidR="004349CE">
        <w:rPr>
          <w:rFonts w:ascii="Arial" w:hAnsi="Arial"/>
        </w:rPr>
        <w:t xml:space="preserve">a pleading and </w:t>
      </w:r>
      <w:r w:rsidR="00441D31" w:rsidRPr="00441D31">
        <w:rPr>
          <w:rFonts w:ascii="Arial" w:hAnsi="Arial"/>
        </w:rPr>
        <w:t>whether it is susceptible to the rule relating to barring.</w:t>
      </w:r>
    </w:p>
    <w:p w:rsidR="00441D31" w:rsidRDefault="00441D31" w:rsidP="00475723">
      <w:pPr>
        <w:spacing w:line="360" w:lineRule="auto"/>
        <w:jc w:val="both"/>
        <w:rPr>
          <w:rFonts w:ascii="Arial" w:hAnsi="Arial"/>
        </w:rPr>
      </w:pPr>
    </w:p>
    <w:p w:rsidR="00441D31" w:rsidRDefault="00DE223A" w:rsidP="00475723">
      <w:pPr>
        <w:spacing w:line="360" w:lineRule="auto"/>
        <w:jc w:val="both"/>
        <w:rPr>
          <w:rFonts w:ascii="Arial" w:hAnsi="Arial"/>
        </w:rPr>
      </w:pPr>
      <w:r>
        <w:rPr>
          <w:rFonts w:ascii="Arial" w:hAnsi="Arial"/>
        </w:rPr>
        <w:t>[</w:t>
      </w:r>
      <w:r w:rsidR="009839FD">
        <w:rPr>
          <w:rFonts w:ascii="Arial" w:hAnsi="Arial"/>
        </w:rPr>
        <w:t>7</w:t>
      </w:r>
      <w:r>
        <w:rPr>
          <w:rFonts w:ascii="Arial" w:hAnsi="Arial"/>
        </w:rPr>
        <w:t>]</w:t>
      </w:r>
      <w:r>
        <w:rPr>
          <w:rFonts w:ascii="Arial" w:hAnsi="Arial"/>
        </w:rPr>
        <w:tab/>
      </w:r>
      <w:r w:rsidRPr="00DE223A">
        <w:rPr>
          <w:rFonts w:ascii="Arial" w:hAnsi="Arial"/>
        </w:rPr>
        <w:t>Unfortunately, the r</w:t>
      </w:r>
      <w:r w:rsidR="00FF4591">
        <w:rPr>
          <w:rFonts w:ascii="Arial" w:hAnsi="Arial"/>
        </w:rPr>
        <w:t>ules of court do not define the word</w:t>
      </w:r>
      <w:r w:rsidR="0013232E">
        <w:rPr>
          <w:rFonts w:ascii="Arial" w:hAnsi="Arial"/>
        </w:rPr>
        <w:t xml:space="preserve"> "pleading</w:t>
      </w:r>
      <w:r w:rsidRPr="00DE223A">
        <w:rPr>
          <w:rFonts w:ascii="Arial" w:hAnsi="Arial"/>
        </w:rPr>
        <w:t>." However, the nature and purpose of pleadings can be discerned simpl</w:t>
      </w:r>
      <w:r w:rsidR="00FF4591">
        <w:rPr>
          <w:rFonts w:ascii="Arial" w:hAnsi="Arial"/>
        </w:rPr>
        <w:t>y by reading the requirements under</w:t>
      </w:r>
      <w:r w:rsidRPr="00DE223A">
        <w:rPr>
          <w:rFonts w:ascii="Arial" w:hAnsi="Arial"/>
        </w:rPr>
        <w:t xml:space="preserve"> rule 45</w:t>
      </w:r>
      <w:r w:rsidR="00FF4591">
        <w:rPr>
          <w:rFonts w:ascii="Arial" w:hAnsi="Arial"/>
        </w:rPr>
        <w:t>. In terms of this rule,</w:t>
      </w:r>
      <w:r>
        <w:rPr>
          <w:rFonts w:ascii="Arial" w:hAnsi="Arial"/>
        </w:rPr>
        <w:t xml:space="preserve"> pleadings must be clear and concise and </w:t>
      </w:r>
      <w:r w:rsidRPr="00DE223A">
        <w:rPr>
          <w:rFonts w:ascii="Arial" w:hAnsi="Arial"/>
        </w:rPr>
        <w:t xml:space="preserve">must state forth the material facts on which a claim or </w:t>
      </w:r>
      <w:r w:rsidR="00B03904" w:rsidRPr="00DE223A">
        <w:rPr>
          <w:rFonts w:ascii="Arial" w:hAnsi="Arial"/>
        </w:rPr>
        <w:t>defence</w:t>
      </w:r>
      <w:r w:rsidRPr="00DE223A">
        <w:rPr>
          <w:rFonts w:ascii="Arial" w:hAnsi="Arial"/>
        </w:rPr>
        <w:t xml:space="preserve"> is dependent</w:t>
      </w:r>
      <w:r w:rsidR="00DE6CF6">
        <w:rPr>
          <w:rFonts w:ascii="Arial" w:hAnsi="Arial"/>
        </w:rPr>
        <w:t>.</w:t>
      </w:r>
      <w:r w:rsidR="008C226F">
        <w:rPr>
          <w:rFonts w:ascii="Arial" w:hAnsi="Arial"/>
        </w:rPr>
        <w:t xml:space="preserve">   </w:t>
      </w:r>
    </w:p>
    <w:p w:rsidR="00DE223A" w:rsidRDefault="00DE223A" w:rsidP="00475723">
      <w:pPr>
        <w:spacing w:line="360" w:lineRule="auto"/>
        <w:jc w:val="both"/>
        <w:rPr>
          <w:rFonts w:ascii="Arial" w:hAnsi="Arial"/>
        </w:rPr>
      </w:pPr>
    </w:p>
    <w:p w:rsidR="009620E5" w:rsidRDefault="00B03904" w:rsidP="00475723">
      <w:pPr>
        <w:spacing w:line="360" w:lineRule="auto"/>
        <w:jc w:val="both"/>
        <w:rPr>
          <w:rFonts w:ascii="Arial" w:hAnsi="Arial" w:cs="Arial"/>
        </w:rPr>
      </w:pPr>
      <w:r>
        <w:rPr>
          <w:rFonts w:ascii="Arial" w:hAnsi="Arial"/>
        </w:rPr>
        <w:t>[</w:t>
      </w:r>
      <w:r w:rsidR="009839FD">
        <w:rPr>
          <w:rFonts w:ascii="Arial" w:hAnsi="Arial"/>
        </w:rPr>
        <w:t>8</w:t>
      </w:r>
      <w:r>
        <w:rPr>
          <w:rFonts w:ascii="Arial" w:hAnsi="Arial"/>
        </w:rPr>
        <w:t>]</w:t>
      </w:r>
      <w:r>
        <w:rPr>
          <w:rFonts w:ascii="Arial" w:hAnsi="Arial"/>
        </w:rPr>
        <w:tab/>
      </w:r>
      <w:r w:rsidRPr="00322120">
        <w:rPr>
          <w:rFonts w:ascii="Arial" w:hAnsi="Arial" w:cs="Arial"/>
        </w:rPr>
        <w:t>The learned authors Herbstein and Van Winsen</w:t>
      </w:r>
      <w:r w:rsidRPr="00322120">
        <w:rPr>
          <w:rStyle w:val="FootnoteReference"/>
          <w:rFonts w:ascii="Arial" w:hAnsi="Arial" w:cs="Arial"/>
        </w:rPr>
        <w:footnoteReference w:id="1"/>
      </w:r>
      <w:r w:rsidR="009620E5">
        <w:rPr>
          <w:rFonts w:ascii="Arial" w:hAnsi="Arial" w:cs="Arial"/>
        </w:rPr>
        <w:t xml:space="preserve"> m</w:t>
      </w:r>
      <w:r w:rsidR="00F02084">
        <w:rPr>
          <w:rFonts w:ascii="Arial" w:hAnsi="Arial" w:cs="Arial"/>
        </w:rPr>
        <w:t>ake it clear that:</w:t>
      </w:r>
    </w:p>
    <w:p w:rsidR="00F02084" w:rsidRDefault="00F02084" w:rsidP="00475723">
      <w:pPr>
        <w:spacing w:line="360" w:lineRule="auto"/>
        <w:jc w:val="both"/>
        <w:rPr>
          <w:rFonts w:ascii="Arial" w:hAnsi="Arial" w:cs="Arial"/>
        </w:rPr>
      </w:pPr>
    </w:p>
    <w:p w:rsidR="009620E5" w:rsidRDefault="009620E5" w:rsidP="00475723">
      <w:pPr>
        <w:spacing w:line="360" w:lineRule="auto"/>
        <w:jc w:val="both"/>
        <w:rPr>
          <w:rFonts w:ascii="Arial" w:hAnsi="Arial" w:cs="Arial"/>
          <w:sz w:val="22"/>
          <w:szCs w:val="22"/>
        </w:rPr>
      </w:pPr>
      <w:r>
        <w:rPr>
          <w:rFonts w:ascii="Arial" w:hAnsi="Arial" w:cs="Arial"/>
        </w:rPr>
        <w:t xml:space="preserve">          </w:t>
      </w:r>
      <w:r w:rsidRPr="009620E5">
        <w:rPr>
          <w:rFonts w:ascii="Arial" w:hAnsi="Arial" w:cs="Arial"/>
          <w:sz w:val="22"/>
          <w:szCs w:val="22"/>
        </w:rPr>
        <w:t xml:space="preserve">‘The term ‘pleading’ is used in civil cases </w:t>
      </w:r>
      <w:r w:rsidR="00B03904" w:rsidRPr="009620E5">
        <w:rPr>
          <w:rFonts w:ascii="Arial" w:hAnsi="Arial" w:cs="Arial"/>
          <w:sz w:val="22"/>
          <w:szCs w:val="22"/>
        </w:rPr>
        <w:t>‘to denote a document in which a party to proceedings in a court of first instance is required by law to formulate in writing his case or part of his case</w:t>
      </w:r>
      <w:r>
        <w:rPr>
          <w:rFonts w:ascii="Arial" w:hAnsi="Arial" w:cs="Arial"/>
          <w:sz w:val="22"/>
          <w:szCs w:val="22"/>
        </w:rPr>
        <w:t xml:space="preserve"> in preparation for the hearing</w:t>
      </w:r>
      <w:r w:rsidR="00B03904" w:rsidRPr="009620E5">
        <w:rPr>
          <w:rFonts w:ascii="Arial" w:hAnsi="Arial" w:cs="Arial"/>
          <w:sz w:val="22"/>
          <w:szCs w:val="22"/>
        </w:rPr>
        <w:t xml:space="preserve">. </w:t>
      </w:r>
    </w:p>
    <w:p w:rsidR="009620E5" w:rsidRDefault="009620E5" w:rsidP="00475723">
      <w:pPr>
        <w:spacing w:line="360" w:lineRule="auto"/>
        <w:jc w:val="both"/>
        <w:rPr>
          <w:rFonts w:ascii="Arial" w:hAnsi="Arial" w:cs="Arial"/>
          <w:sz w:val="22"/>
          <w:szCs w:val="22"/>
        </w:rPr>
      </w:pPr>
    </w:p>
    <w:p w:rsidR="009620E5" w:rsidRPr="009620E5" w:rsidRDefault="00F02084" w:rsidP="00475723">
      <w:pPr>
        <w:spacing w:line="360" w:lineRule="auto"/>
        <w:jc w:val="both"/>
        <w:rPr>
          <w:rFonts w:ascii="Arial" w:hAnsi="Arial" w:cs="Arial"/>
        </w:rPr>
      </w:pPr>
      <w:r>
        <w:rPr>
          <w:rFonts w:ascii="Arial" w:hAnsi="Arial" w:cs="Arial"/>
        </w:rPr>
        <w:t>[9</w:t>
      </w:r>
      <w:r w:rsidR="009620E5" w:rsidRPr="009620E5">
        <w:rPr>
          <w:rFonts w:ascii="Arial" w:hAnsi="Arial" w:cs="Arial"/>
        </w:rPr>
        <w:t xml:space="preserve">]    The authors further states that: </w:t>
      </w:r>
    </w:p>
    <w:p w:rsidR="009620E5" w:rsidRDefault="009620E5" w:rsidP="00475723">
      <w:pPr>
        <w:spacing w:line="360" w:lineRule="auto"/>
        <w:jc w:val="both"/>
        <w:rPr>
          <w:rFonts w:ascii="Arial" w:hAnsi="Arial" w:cs="Arial"/>
          <w:sz w:val="22"/>
          <w:szCs w:val="22"/>
        </w:rPr>
      </w:pPr>
    </w:p>
    <w:p w:rsidR="00ED3E39" w:rsidRPr="009620E5" w:rsidRDefault="009620E5" w:rsidP="009620E5">
      <w:pPr>
        <w:spacing w:line="360" w:lineRule="auto"/>
        <w:ind w:firstLine="720"/>
        <w:jc w:val="both"/>
        <w:rPr>
          <w:rFonts w:ascii="Arial" w:hAnsi="Arial" w:cs="Arial"/>
          <w:sz w:val="22"/>
          <w:szCs w:val="22"/>
        </w:rPr>
      </w:pPr>
      <w:r>
        <w:rPr>
          <w:rFonts w:ascii="Arial" w:hAnsi="Arial" w:cs="Arial"/>
          <w:sz w:val="22"/>
          <w:szCs w:val="22"/>
        </w:rPr>
        <w:t>‘</w:t>
      </w:r>
      <w:r w:rsidR="00B03904" w:rsidRPr="009620E5">
        <w:rPr>
          <w:rFonts w:ascii="Arial" w:hAnsi="Arial" w:cs="Arial"/>
          <w:sz w:val="22"/>
          <w:szCs w:val="22"/>
        </w:rPr>
        <w:t>In South Africa the term “pleading” is used in a more restricted sense and does not include documents such as petitions, notices of motion, affidavits, simple summonses, provisional sentence summonses or writs of arrest.’</w:t>
      </w:r>
      <w:r>
        <w:rPr>
          <w:rStyle w:val="FootnoteReference"/>
          <w:rFonts w:ascii="Arial" w:hAnsi="Arial" w:cs="Arial"/>
          <w:sz w:val="22"/>
          <w:szCs w:val="22"/>
        </w:rPr>
        <w:footnoteReference w:id="2"/>
      </w:r>
      <w:r w:rsidR="00B03904" w:rsidRPr="009620E5">
        <w:rPr>
          <w:rFonts w:ascii="Arial" w:hAnsi="Arial" w:cs="Arial"/>
          <w:sz w:val="22"/>
          <w:szCs w:val="22"/>
        </w:rPr>
        <w:t xml:space="preserve">  </w:t>
      </w:r>
    </w:p>
    <w:p w:rsidR="00ED3E39" w:rsidRDefault="00ED3E39" w:rsidP="00475723">
      <w:pPr>
        <w:spacing w:line="360" w:lineRule="auto"/>
        <w:jc w:val="both"/>
        <w:rPr>
          <w:rFonts w:ascii="Arial" w:hAnsi="Arial" w:cs="Arial"/>
        </w:rPr>
      </w:pPr>
    </w:p>
    <w:p w:rsidR="00DE223A" w:rsidRDefault="00BA4B76" w:rsidP="00475723">
      <w:pPr>
        <w:spacing w:line="360" w:lineRule="auto"/>
        <w:jc w:val="both"/>
        <w:rPr>
          <w:rFonts w:ascii="Arial" w:hAnsi="Arial"/>
        </w:rPr>
      </w:pPr>
      <w:r>
        <w:rPr>
          <w:rFonts w:ascii="Arial" w:hAnsi="Arial" w:cs="Arial"/>
        </w:rPr>
        <w:lastRenderedPageBreak/>
        <w:t>[10</w:t>
      </w:r>
      <w:r w:rsidR="00195E8A">
        <w:rPr>
          <w:rFonts w:ascii="Arial" w:hAnsi="Arial" w:cs="Arial"/>
        </w:rPr>
        <w:t xml:space="preserve">]     </w:t>
      </w:r>
      <w:r w:rsidR="00B03904" w:rsidRPr="00322120">
        <w:rPr>
          <w:rFonts w:ascii="Arial" w:hAnsi="Arial" w:cs="Arial"/>
        </w:rPr>
        <w:t xml:space="preserve">At page 559, the learned authors posit that among its other functions, a pleading serves </w:t>
      </w:r>
      <w:r w:rsidR="00355F14">
        <w:rPr>
          <w:rFonts w:ascii="Arial" w:hAnsi="Arial" w:cs="Arial"/>
        </w:rPr>
        <w:t xml:space="preserve">to define the issues upon which the court will be called upon to adjudicate; to enable the parties to prepare for trial on the issues as defined; to serve </w:t>
      </w:r>
      <w:r w:rsidR="00B03904" w:rsidRPr="00322120">
        <w:rPr>
          <w:rFonts w:ascii="Arial" w:hAnsi="Arial" w:cs="Arial"/>
        </w:rPr>
        <w:t>as a record of the respective parties’ claims, counterclaims, admissions and defences which may be relevant in any other future</w:t>
      </w:r>
      <w:r w:rsidR="00355F14">
        <w:rPr>
          <w:rFonts w:ascii="Arial" w:hAnsi="Arial" w:cs="Arial"/>
        </w:rPr>
        <w:t xml:space="preserve"> litigation between the parties; to set the parameters within which the proceedings will be conducted and evidence admitted or excluded; and to determine the burden of the onus of adducing evidence and the right (or duty) to begin.</w:t>
      </w:r>
    </w:p>
    <w:p w:rsidR="00B03904" w:rsidRDefault="00B03904" w:rsidP="00475723">
      <w:pPr>
        <w:spacing w:line="360" w:lineRule="auto"/>
        <w:jc w:val="both"/>
        <w:rPr>
          <w:rFonts w:ascii="Arial" w:hAnsi="Arial"/>
        </w:rPr>
      </w:pPr>
    </w:p>
    <w:p w:rsidR="00555852" w:rsidRDefault="00555852" w:rsidP="00475723">
      <w:pPr>
        <w:spacing w:line="360" w:lineRule="auto"/>
        <w:jc w:val="both"/>
        <w:rPr>
          <w:rFonts w:ascii="Arial" w:hAnsi="Arial"/>
        </w:rPr>
      </w:pPr>
      <w:r>
        <w:rPr>
          <w:rFonts w:ascii="Arial" w:hAnsi="Arial"/>
        </w:rPr>
        <w:t>[</w:t>
      </w:r>
      <w:r w:rsidR="008C7D0E">
        <w:rPr>
          <w:rFonts w:ascii="Arial" w:hAnsi="Arial"/>
        </w:rPr>
        <w:t>11</w:t>
      </w:r>
      <w:r>
        <w:rPr>
          <w:rFonts w:ascii="Arial" w:hAnsi="Arial"/>
        </w:rPr>
        <w:t>]</w:t>
      </w:r>
      <w:r>
        <w:rPr>
          <w:rFonts w:ascii="Arial" w:hAnsi="Arial"/>
        </w:rPr>
        <w:tab/>
        <w:t xml:space="preserve">In the context of the above, I am of the considered view that </w:t>
      </w:r>
      <w:r w:rsidR="00895840">
        <w:rPr>
          <w:rFonts w:ascii="Arial" w:hAnsi="Arial"/>
        </w:rPr>
        <w:t xml:space="preserve">a discovery affidavit cannot be regarded as a pleading. </w:t>
      </w:r>
      <w:r w:rsidR="00CF3BD9">
        <w:rPr>
          <w:rFonts w:ascii="Arial" w:hAnsi="Arial"/>
        </w:rPr>
        <w:t>For this reason</w:t>
      </w:r>
      <w:r w:rsidR="00895840" w:rsidRPr="00895840">
        <w:rPr>
          <w:rFonts w:ascii="Arial" w:hAnsi="Arial"/>
        </w:rPr>
        <w:t>, it seems to me that the omission to file a</w:t>
      </w:r>
      <w:r w:rsidR="00F12B3D">
        <w:rPr>
          <w:rFonts w:ascii="Arial" w:hAnsi="Arial"/>
        </w:rPr>
        <w:t xml:space="preserve"> discovery</w:t>
      </w:r>
      <w:r w:rsidR="00895840" w:rsidRPr="00895840">
        <w:rPr>
          <w:rFonts w:ascii="Arial" w:hAnsi="Arial"/>
        </w:rPr>
        <w:t xml:space="preserve"> affidavit </w:t>
      </w:r>
      <w:r w:rsidR="00F12B3D">
        <w:rPr>
          <w:rFonts w:ascii="Arial" w:hAnsi="Arial"/>
        </w:rPr>
        <w:t>and to timely exchange discovery bundles can</w:t>
      </w:r>
      <w:r w:rsidR="00895840" w:rsidRPr="00895840">
        <w:rPr>
          <w:rFonts w:ascii="Arial" w:hAnsi="Arial"/>
        </w:rPr>
        <w:t xml:space="preserve">not </w:t>
      </w:r>
      <w:r w:rsidR="00F12B3D">
        <w:rPr>
          <w:rFonts w:ascii="Arial" w:hAnsi="Arial"/>
        </w:rPr>
        <w:t xml:space="preserve">be </w:t>
      </w:r>
      <w:r w:rsidR="00895840" w:rsidRPr="00895840">
        <w:rPr>
          <w:rFonts w:ascii="Arial" w:hAnsi="Arial"/>
        </w:rPr>
        <w:t>subject to barring</w:t>
      </w:r>
      <w:r w:rsidR="003C2F82">
        <w:rPr>
          <w:rFonts w:ascii="Arial" w:hAnsi="Arial"/>
        </w:rPr>
        <w:t>.</w:t>
      </w:r>
      <w:r w:rsidR="00EA1194">
        <w:rPr>
          <w:rStyle w:val="FootnoteReference"/>
          <w:rFonts w:ascii="Arial" w:hAnsi="Arial"/>
        </w:rPr>
        <w:footnoteReference w:id="3"/>
      </w:r>
      <w:r w:rsidR="00F12B3D">
        <w:rPr>
          <w:rFonts w:ascii="Arial" w:hAnsi="Arial"/>
        </w:rPr>
        <w:t xml:space="preserve"> Thus</w:t>
      </w:r>
      <w:r w:rsidR="003C2F82">
        <w:rPr>
          <w:rFonts w:ascii="Arial" w:hAnsi="Arial"/>
        </w:rPr>
        <w:t>,</w:t>
      </w:r>
      <w:r w:rsidR="00F12B3D">
        <w:rPr>
          <w:rFonts w:ascii="Arial" w:hAnsi="Arial"/>
        </w:rPr>
        <w:t xml:space="preserve"> I find that the provisions of rule 54(3) do not apply. </w:t>
      </w:r>
    </w:p>
    <w:p w:rsidR="007C5DCE" w:rsidRDefault="007C5DCE" w:rsidP="00475723">
      <w:pPr>
        <w:spacing w:line="360" w:lineRule="auto"/>
        <w:jc w:val="both"/>
        <w:rPr>
          <w:rFonts w:ascii="Arial" w:hAnsi="Arial"/>
        </w:rPr>
      </w:pPr>
    </w:p>
    <w:p w:rsidR="007C5DCE" w:rsidRDefault="007C5DCE" w:rsidP="00475723">
      <w:pPr>
        <w:spacing w:line="360" w:lineRule="auto"/>
        <w:jc w:val="both"/>
        <w:rPr>
          <w:rFonts w:ascii="Arial" w:hAnsi="Arial"/>
        </w:rPr>
      </w:pPr>
      <w:r>
        <w:rPr>
          <w:rFonts w:ascii="Arial" w:hAnsi="Arial"/>
        </w:rPr>
        <w:t>[1</w:t>
      </w:r>
      <w:r w:rsidR="00460CF1">
        <w:rPr>
          <w:rFonts w:ascii="Arial" w:hAnsi="Arial"/>
        </w:rPr>
        <w:t>2</w:t>
      </w:r>
      <w:r w:rsidR="002962D7">
        <w:rPr>
          <w:rFonts w:ascii="Arial" w:hAnsi="Arial"/>
        </w:rPr>
        <w:t>]</w:t>
      </w:r>
      <w:r w:rsidR="002962D7">
        <w:rPr>
          <w:rFonts w:ascii="Arial" w:hAnsi="Arial"/>
        </w:rPr>
        <w:tab/>
        <w:t xml:space="preserve"> </w:t>
      </w:r>
      <w:r>
        <w:rPr>
          <w:rFonts w:ascii="Arial" w:hAnsi="Arial"/>
        </w:rPr>
        <w:t xml:space="preserve">I now turn to deal with the issue of condonation. </w:t>
      </w:r>
    </w:p>
    <w:p w:rsidR="00895840" w:rsidRDefault="00895840" w:rsidP="00475723">
      <w:pPr>
        <w:spacing w:line="360" w:lineRule="auto"/>
        <w:jc w:val="both"/>
        <w:rPr>
          <w:rFonts w:ascii="Arial" w:hAnsi="Arial"/>
        </w:rPr>
      </w:pPr>
    </w:p>
    <w:p w:rsidR="00572755" w:rsidRDefault="007C5DCE" w:rsidP="00475723">
      <w:pPr>
        <w:spacing w:line="360" w:lineRule="auto"/>
        <w:jc w:val="both"/>
        <w:rPr>
          <w:rFonts w:ascii="Arial" w:hAnsi="Arial"/>
        </w:rPr>
      </w:pPr>
      <w:r>
        <w:rPr>
          <w:rFonts w:ascii="Arial" w:hAnsi="Arial"/>
        </w:rPr>
        <w:t>[1</w:t>
      </w:r>
      <w:r w:rsidR="00460CF1">
        <w:rPr>
          <w:rFonts w:ascii="Arial" w:hAnsi="Arial"/>
        </w:rPr>
        <w:t>3</w:t>
      </w:r>
      <w:r>
        <w:rPr>
          <w:rFonts w:ascii="Arial" w:hAnsi="Arial"/>
        </w:rPr>
        <w:t xml:space="preserve">] </w:t>
      </w:r>
      <w:r>
        <w:rPr>
          <w:rFonts w:ascii="Arial" w:hAnsi="Arial"/>
        </w:rPr>
        <w:tab/>
        <w:t xml:space="preserve">The law regarding condonation applications is trite. </w:t>
      </w:r>
      <w:r w:rsidR="00572755">
        <w:rPr>
          <w:rFonts w:ascii="Arial" w:hAnsi="Arial"/>
        </w:rPr>
        <w:t xml:space="preserve">In </w:t>
      </w:r>
      <w:r w:rsidR="00572755">
        <w:rPr>
          <w:rFonts w:ascii="Arial" w:hAnsi="Arial"/>
          <w:i/>
        </w:rPr>
        <w:t>Minister of Health and Social Services v Amakali Matheus</w:t>
      </w:r>
      <w:r w:rsidR="00572755" w:rsidRPr="00572755">
        <w:rPr>
          <w:rStyle w:val="FootnoteReference"/>
          <w:rFonts w:ascii="Arial" w:hAnsi="Arial"/>
        </w:rPr>
        <w:footnoteReference w:id="4"/>
      </w:r>
      <w:r w:rsidR="00572755">
        <w:rPr>
          <w:rFonts w:ascii="Arial" w:hAnsi="Arial"/>
          <w:i/>
        </w:rPr>
        <w:t xml:space="preserve"> </w:t>
      </w:r>
      <w:r w:rsidR="00572755">
        <w:rPr>
          <w:rFonts w:ascii="Arial" w:hAnsi="Arial"/>
        </w:rPr>
        <w:t>the Supreme Court set out the requirem</w:t>
      </w:r>
      <w:r w:rsidR="00405EFA">
        <w:rPr>
          <w:rFonts w:ascii="Arial" w:hAnsi="Arial"/>
        </w:rPr>
        <w:t>ents for condonation as follows:</w:t>
      </w:r>
      <w:r w:rsidR="00572755">
        <w:rPr>
          <w:rFonts w:ascii="Arial" w:hAnsi="Arial"/>
        </w:rPr>
        <w:t xml:space="preserve"> </w:t>
      </w:r>
    </w:p>
    <w:p w:rsidR="007C5DCE" w:rsidRPr="005C1BBE" w:rsidRDefault="005C1BBE" w:rsidP="005C1BBE">
      <w:pPr>
        <w:spacing w:line="360" w:lineRule="auto"/>
        <w:ind w:firstLine="720"/>
        <w:jc w:val="both"/>
        <w:rPr>
          <w:rFonts w:ascii="Arial" w:hAnsi="Arial"/>
          <w:sz w:val="22"/>
          <w:szCs w:val="22"/>
        </w:rPr>
      </w:pPr>
      <w:r w:rsidRPr="005C1BBE">
        <w:rPr>
          <w:rFonts w:ascii="Arial" w:hAnsi="Arial" w:cs="Arial"/>
          <w:sz w:val="22"/>
          <w:szCs w:val="22"/>
        </w:rPr>
        <w:t>‘</w:t>
      </w:r>
      <w:r w:rsidR="00572755" w:rsidRPr="005C1BBE">
        <w:rPr>
          <w:rFonts w:ascii="Arial" w:hAnsi="Arial" w:cs="Arial"/>
          <w:sz w:val="22"/>
          <w:szCs w:val="22"/>
        </w:rPr>
        <w:t>He or she must provide a reasonable, acceptable and bona fide explanation for non-compliance with the rules. The application must be lodged without delay, and must provide a full, detailed and accurate explanation for the entire period of the delay, including the timing of the application for condonation.</w:t>
      </w:r>
      <w:r w:rsidR="00572755" w:rsidRPr="005C1BBE">
        <w:rPr>
          <w:rStyle w:val="FootnoteReference"/>
          <w:rFonts w:ascii="Arial" w:hAnsi="Arial" w:cs="Arial"/>
          <w:sz w:val="22"/>
          <w:szCs w:val="22"/>
        </w:rPr>
        <w:footnoteReference w:id="5"/>
      </w:r>
      <w:r w:rsidR="00572755" w:rsidRPr="005C1BBE">
        <w:rPr>
          <w:rFonts w:ascii="Arial" w:hAnsi="Arial" w:cs="Arial"/>
          <w:sz w:val="22"/>
          <w:szCs w:val="22"/>
        </w:rPr>
        <w:t xml:space="preserve"> Lastly, the applicant must satisfy the court that there are reasonable prospects of success on appeal.</w:t>
      </w:r>
      <w:r w:rsidRPr="005C1BBE">
        <w:rPr>
          <w:rFonts w:ascii="Arial" w:hAnsi="Arial" w:cs="Arial"/>
          <w:sz w:val="22"/>
          <w:szCs w:val="22"/>
        </w:rPr>
        <w:t>’</w:t>
      </w:r>
      <w:r w:rsidR="000E52B0" w:rsidRPr="005C1BBE">
        <w:rPr>
          <w:rStyle w:val="FootnoteReference"/>
          <w:rFonts w:ascii="Arial" w:hAnsi="Arial"/>
          <w:sz w:val="22"/>
          <w:szCs w:val="22"/>
        </w:rPr>
        <w:footnoteReference w:id="6"/>
      </w:r>
    </w:p>
    <w:p w:rsidR="00C46A07" w:rsidRPr="00401906" w:rsidRDefault="00C46A07" w:rsidP="00475723">
      <w:pPr>
        <w:spacing w:line="360" w:lineRule="auto"/>
        <w:jc w:val="both"/>
        <w:rPr>
          <w:rFonts w:ascii="Arial" w:hAnsi="Arial"/>
          <w:sz w:val="22"/>
          <w:szCs w:val="22"/>
        </w:rPr>
      </w:pPr>
    </w:p>
    <w:p w:rsidR="00C1413B" w:rsidRDefault="003E3C8C" w:rsidP="00475723">
      <w:pPr>
        <w:spacing w:line="360" w:lineRule="auto"/>
        <w:jc w:val="both"/>
        <w:rPr>
          <w:rFonts w:ascii="Arial" w:hAnsi="Arial"/>
        </w:rPr>
      </w:pPr>
      <w:r>
        <w:rPr>
          <w:rFonts w:ascii="Arial" w:hAnsi="Arial"/>
        </w:rPr>
        <w:t>[1</w:t>
      </w:r>
      <w:r w:rsidR="004217C4">
        <w:rPr>
          <w:rFonts w:ascii="Arial" w:hAnsi="Arial"/>
        </w:rPr>
        <w:t>4</w:t>
      </w:r>
      <w:r w:rsidR="00C46A07">
        <w:rPr>
          <w:rFonts w:ascii="Arial" w:hAnsi="Arial"/>
        </w:rPr>
        <w:t>]</w:t>
      </w:r>
      <w:r w:rsidR="00C46A07">
        <w:rPr>
          <w:rFonts w:ascii="Arial" w:hAnsi="Arial"/>
        </w:rPr>
        <w:tab/>
      </w:r>
      <w:r w:rsidR="000E52B0">
        <w:rPr>
          <w:rFonts w:ascii="Arial" w:hAnsi="Arial"/>
        </w:rPr>
        <w:t xml:space="preserve">The </w:t>
      </w:r>
      <w:r w:rsidR="00C1413B">
        <w:rPr>
          <w:rFonts w:ascii="Arial" w:hAnsi="Arial"/>
        </w:rPr>
        <w:t>reason</w:t>
      </w:r>
      <w:r w:rsidR="007C2BEF">
        <w:rPr>
          <w:rFonts w:ascii="Arial" w:hAnsi="Arial"/>
        </w:rPr>
        <w:t xml:space="preserve"> for non-compliance as mentioned</w:t>
      </w:r>
      <w:r w:rsidR="00C1413B">
        <w:rPr>
          <w:rFonts w:ascii="Arial" w:hAnsi="Arial"/>
        </w:rPr>
        <w:t xml:space="preserve"> in the </w:t>
      </w:r>
      <w:r w:rsidR="00E006F2">
        <w:rPr>
          <w:rFonts w:ascii="Arial" w:hAnsi="Arial"/>
        </w:rPr>
        <w:t>preceding</w:t>
      </w:r>
      <w:r w:rsidR="001A1771">
        <w:rPr>
          <w:rFonts w:ascii="Arial" w:hAnsi="Arial"/>
        </w:rPr>
        <w:t xml:space="preserve"> paragraphs was</w:t>
      </w:r>
      <w:r w:rsidR="00C1413B">
        <w:rPr>
          <w:rFonts w:ascii="Arial" w:hAnsi="Arial"/>
        </w:rPr>
        <w:t xml:space="preserve"> </w:t>
      </w:r>
      <w:r w:rsidR="00CB7A42">
        <w:rPr>
          <w:rFonts w:ascii="Arial" w:hAnsi="Arial"/>
        </w:rPr>
        <w:t xml:space="preserve">due to </w:t>
      </w:r>
      <w:r w:rsidR="00C1413B">
        <w:rPr>
          <w:rFonts w:ascii="Arial" w:hAnsi="Arial"/>
        </w:rPr>
        <w:t xml:space="preserve">a </w:t>
      </w:r>
      <w:r w:rsidR="00CB7A42">
        <w:rPr>
          <w:rFonts w:ascii="Arial" w:hAnsi="Arial"/>
        </w:rPr>
        <w:t xml:space="preserve">failure on the part of the defendant’s legal representative to properly diarise the matter. </w:t>
      </w:r>
      <w:r w:rsidR="001A1771">
        <w:rPr>
          <w:rFonts w:ascii="Arial" w:hAnsi="Arial"/>
        </w:rPr>
        <w:t>The defendant’s legal representative</w:t>
      </w:r>
      <w:r w:rsidR="00F31D72">
        <w:rPr>
          <w:rFonts w:ascii="Arial" w:hAnsi="Arial"/>
        </w:rPr>
        <w:t xml:space="preserve"> placed emphasis </w:t>
      </w:r>
      <w:r w:rsidR="00C1413B">
        <w:rPr>
          <w:rFonts w:ascii="Arial" w:hAnsi="Arial"/>
        </w:rPr>
        <w:t xml:space="preserve">on the fact that </w:t>
      </w:r>
      <w:r w:rsidR="00F31D72">
        <w:rPr>
          <w:rFonts w:ascii="Arial" w:hAnsi="Arial"/>
        </w:rPr>
        <w:t xml:space="preserve">the non-compliance in the matter </w:t>
      </w:r>
      <w:r w:rsidR="00F3683F">
        <w:rPr>
          <w:rFonts w:ascii="Arial" w:hAnsi="Arial"/>
        </w:rPr>
        <w:t xml:space="preserve">is </w:t>
      </w:r>
      <w:r w:rsidR="00102BDB">
        <w:rPr>
          <w:rFonts w:ascii="Arial" w:hAnsi="Arial"/>
        </w:rPr>
        <w:t>nominal</w:t>
      </w:r>
      <w:r w:rsidR="00F31D72">
        <w:rPr>
          <w:rFonts w:ascii="Arial" w:hAnsi="Arial"/>
        </w:rPr>
        <w:t>.</w:t>
      </w:r>
      <w:r w:rsidR="00F3683F">
        <w:rPr>
          <w:rFonts w:ascii="Arial" w:hAnsi="Arial"/>
        </w:rPr>
        <w:t xml:space="preserve"> </w:t>
      </w:r>
      <w:r w:rsidR="00CB7A42">
        <w:rPr>
          <w:rFonts w:ascii="Arial" w:hAnsi="Arial"/>
        </w:rPr>
        <w:t>He said the following:</w:t>
      </w:r>
    </w:p>
    <w:p w:rsidR="00C1413B" w:rsidRDefault="00C1413B" w:rsidP="00E326B9">
      <w:pPr>
        <w:spacing w:line="360" w:lineRule="auto"/>
        <w:jc w:val="both"/>
        <w:rPr>
          <w:rFonts w:ascii="Arial" w:hAnsi="Arial"/>
        </w:rPr>
      </w:pPr>
    </w:p>
    <w:p w:rsidR="00E326B9" w:rsidRPr="00C1413B" w:rsidRDefault="00C1413B" w:rsidP="00E326B9">
      <w:pPr>
        <w:spacing w:line="360" w:lineRule="auto"/>
        <w:jc w:val="both"/>
        <w:rPr>
          <w:rFonts w:ascii="Arial" w:hAnsi="Arial"/>
          <w:sz w:val="22"/>
          <w:szCs w:val="22"/>
        </w:rPr>
      </w:pPr>
      <w:r>
        <w:rPr>
          <w:rFonts w:ascii="Arial" w:hAnsi="Arial"/>
        </w:rPr>
        <w:lastRenderedPageBreak/>
        <w:tab/>
      </w:r>
      <w:r w:rsidR="00CB7A42">
        <w:rPr>
          <w:rFonts w:ascii="Arial" w:hAnsi="Arial"/>
          <w:sz w:val="22"/>
          <w:szCs w:val="22"/>
        </w:rPr>
        <w:t>‘[6]</w:t>
      </w:r>
      <w:r>
        <w:rPr>
          <w:rFonts w:ascii="Arial" w:hAnsi="Arial"/>
          <w:sz w:val="22"/>
          <w:szCs w:val="22"/>
        </w:rPr>
        <w:t xml:space="preserve">…I further submit that the non-compliance </w:t>
      </w:r>
      <w:r w:rsidR="00E326B9">
        <w:rPr>
          <w:rFonts w:ascii="Arial" w:hAnsi="Arial"/>
          <w:sz w:val="22"/>
          <w:szCs w:val="22"/>
        </w:rPr>
        <w:t>is minimal in nature and that the Plaintiff is not materially prejudiced by this unfortunate oversight…[7] I further respectfully submit that this is the first instance of non-compliance in this matter and that it is minor in nature.’</w:t>
      </w:r>
    </w:p>
    <w:p w:rsidR="00C1413B" w:rsidRDefault="00C1413B" w:rsidP="00475723">
      <w:pPr>
        <w:spacing w:line="360" w:lineRule="auto"/>
        <w:jc w:val="both"/>
        <w:rPr>
          <w:rFonts w:ascii="Arial" w:hAnsi="Arial"/>
        </w:rPr>
      </w:pPr>
    </w:p>
    <w:p w:rsidR="00E326B9" w:rsidRPr="00D1127A" w:rsidRDefault="00E326B9" w:rsidP="00475723">
      <w:pPr>
        <w:spacing w:line="360" w:lineRule="auto"/>
        <w:jc w:val="both"/>
        <w:rPr>
          <w:rFonts w:ascii="Arial" w:hAnsi="Arial"/>
        </w:rPr>
      </w:pPr>
      <w:r>
        <w:rPr>
          <w:rFonts w:ascii="Arial" w:hAnsi="Arial"/>
        </w:rPr>
        <w:t>[1</w:t>
      </w:r>
      <w:r w:rsidR="004E054B">
        <w:rPr>
          <w:rFonts w:ascii="Arial" w:hAnsi="Arial"/>
        </w:rPr>
        <w:t>5</w:t>
      </w:r>
      <w:r>
        <w:rPr>
          <w:rFonts w:ascii="Arial" w:hAnsi="Arial"/>
        </w:rPr>
        <w:t xml:space="preserve">] </w:t>
      </w:r>
      <w:r>
        <w:rPr>
          <w:rFonts w:ascii="Arial" w:hAnsi="Arial"/>
        </w:rPr>
        <w:tab/>
        <w:t xml:space="preserve">Non-compliance with the directions given by this court </w:t>
      </w:r>
      <w:r w:rsidR="00DB3DDD">
        <w:rPr>
          <w:rFonts w:ascii="Arial" w:hAnsi="Arial"/>
        </w:rPr>
        <w:t>can never be</w:t>
      </w:r>
      <w:r>
        <w:rPr>
          <w:rFonts w:ascii="Arial" w:hAnsi="Arial"/>
        </w:rPr>
        <w:t xml:space="preserve"> </w:t>
      </w:r>
      <w:r w:rsidR="00DB3DDD">
        <w:rPr>
          <w:rFonts w:ascii="Arial" w:hAnsi="Arial"/>
        </w:rPr>
        <w:t xml:space="preserve">a </w:t>
      </w:r>
      <w:r>
        <w:rPr>
          <w:rFonts w:ascii="Arial" w:hAnsi="Arial"/>
        </w:rPr>
        <w:t>minor</w:t>
      </w:r>
      <w:r w:rsidR="00DB3DDD">
        <w:rPr>
          <w:rFonts w:ascii="Arial" w:hAnsi="Arial"/>
        </w:rPr>
        <w:t xml:space="preserve"> transgression </w:t>
      </w:r>
      <w:r w:rsidR="00F73CA0">
        <w:rPr>
          <w:rFonts w:ascii="Arial" w:hAnsi="Arial"/>
        </w:rPr>
        <w:t>irrespective</w:t>
      </w:r>
      <w:r>
        <w:rPr>
          <w:rFonts w:ascii="Arial" w:hAnsi="Arial"/>
        </w:rPr>
        <w:t xml:space="preserve"> of how m</w:t>
      </w:r>
      <w:r w:rsidR="00396228">
        <w:rPr>
          <w:rFonts w:ascii="Arial" w:hAnsi="Arial"/>
        </w:rPr>
        <w:t xml:space="preserve">iniature it may appear to be. </w:t>
      </w:r>
    </w:p>
    <w:p w:rsidR="00396228" w:rsidRDefault="00396228" w:rsidP="00475723">
      <w:pPr>
        <w:spacing w:line="360" w:lineRule="auto"/>
        <w:jc w:val="both"/>
        <w:rPr>
          <w:rFonts w:ascii="Arial" w:hAnsi="Arial"/>
        </w:rPr>
      </w:pPr>
    </w:p>
    <w:p w:rsidR="001A1771" w:rsidRDefault="00B84335" w:rsidP="001A1771">
      <w:pPr>
        <w:spacing w:line="360" w:lineRule="auto"/>
        <w:jc w:val="both"/>
        <w:rPr>
          <w:rFonts w:ascii="Arial" w:hAnsi="Arial"/>
        </w:rPr>
      </w:pPr>
      <w:r>
        <w:rPr>
          <w:rFonts w:ascii="Arial" w:hAnsi="Arial"/>
        </w:rPr>
        <w:t>[16</w:t>
      </w:r>
      <w:r w:rsidR="001A1771">
        <w:rPr>
          <w:rFonts w:ascii="Arial" w:hAnsi="Arial"/>
        </w:rPr>
        <w:t>]</w:t>
      </w:r>
      <w:r w:rsidR="001A1771" w:rsidRPr="001A1771">
        <w:rPr>
          <w:rFonts w:ascii="Arial" w:hAnsi="Arial"/>
        </w:rPr>
        <w:t xml:space="preserve"> </w:t>
      </w:r>
      <w:r w:rsidR="001A1771">
        <w:rPr>
          <w:rFonts w:ascii="Arial" w:hAnsi="Arial"/>
        </w:rPr>
        <w:t xml:space="preserve">   On the other hand, the plaintiff did not explicitly set out his case in his answering affidavit. He explains as follows: </w:t>
      </w:r>
    </w:p>
    <w:p w:rsidR="00397D7A" w:rsidRDefault="00397D7A" w:rsidP="001A1771">
      <w:pPr>
        <w:spacing w:line="360" w:lineRule="auto"/>
        <w:jc w:val="both"/>
        <w:rPr>
          <w:rFonts w:ascii="Arial" w:hAnsi="Arial"/>
        </w:rPr>
      </w:pPr>
    </w:p>
    <w:p w:rsidR="001A1771" w:rsidRDefault="001A1771" w:rsidP="001A1771">
      <w:pPr>
        <w:spacing w:line="360" w:lineRule="auto"/>
        <w:ind w:left="720"/>
        <w:jc w:val="both"/>
        <w:rPr>
          <w:rFonts w:ascii="Arial" w:hAnsi="Arial"/>
          <w:sz w:val="22"/>
          <w:szCs w:val="22"/>
        </w:rPr>
      </w:pPr>
      <w:r>
        <w:rPr>
          <w:rFonts w:ascii="Arial" w:hAnsi="Arial"/>
          <w:sz w:val="22"/>
          <w:szCs w:val="22"/>
        </w:rPr>
        <w:t>‘I am advised by my legal practitioner of record that there is no application before this Honourable Court from the defendants to enable me to answer to the allegations contained in the Condonation Affidavit as the said affidavit does not comply with the rules of this honourable Court for an application to be considered.</w:t>
      </w:r>
    </w:p>
    <w:p w:rsidR="001A1771" w:rsidRDefault="001A1771" w:rsidP="001A1771">
      <w:pPr>
        <w:spacing w:line="360" w:lineRule="auto"/>
        <w:ind w:left="720"/>
        <w:jc w:val="both"/>
        <w:rPr>
          <w:rFonts w:ascii="Arial" w:hAnsi="Arial"/>
          <w:sz w:val="22"/>
          <w:szCs w:val="22"/>
        </w:rPr>
      </w:pPr>
      <w:r>
        <w:rPr>
          <w:rFonts w:ascii="Arial" w:hAnsi="Arial"/>
          <w:sz w:val="22"/>
          <w:szCs w:val="22"/>
        </w:rPr>
        <w:t>…</w:t>
      </w:r>
    </w:p>
    <w:p w:rsidR="001A1771" w:rsidRDefault="001A1771" w:rsidP="00650E1F">
      <w:pPr>
        <w:spacing w:line="360" w:lineRule="auto"/>
        <w:ind w:left="720"/>
        <w:jc w:val="both"/>
        <w:rPr>
          <w:rFonts w:ascii="Arial" w:hAnsi="Arial"/>
          <w:sz w:val="22"/>
          <w:szCs w:val="22"/>
        </w:rPr>
      </w:pPr>
      <w:r>
        <w:rPr>
          <w:rFonts w:ascii="Arial" w:hAnsi="Arial"/>
          <w:sz w:val="22"/>
          <w:szCs w:val="22"/>
        </w:rPr>
        <w:t xml:space="preserve">I further state that I shall address these allegations further in my heads of </w:t>
      </w:r>
      <w:r w:rsidR="00650E1F">
        <w:rPr>
          <w:rFonts w:ascii="Arial" w:hAnsi="Arial"/>
          <w:sz w:val="22"/>
          <w:szCs w:val="22"/>
        </w:rPr>
        <w:t>argument</w:t>
      </w:r>
      <w:r>
        <w:rPr>
          <w:rFonts w:ascii="Arial" w:hAnsi="Arial"/>
          <w:sz w:val="22"/>
          <w:szCs w:val="22"/>
        </w:rPr>
        <w:t xml:space="preserve"> to be filed in accordance with the order of this Honourable Court dated 28 March 2022.’</w:t>
      </w:r>
    </w:p>
    <w:p w:rsidR="001A1771" w:rsidRDefault="001A1771" w:rsidP="001A1771">
      <w:pPr>
        <w:spacing w:line="360" w:lineRule="auto"/>
        <w:jc w:val="both"/>
        <w:rPr>
          <w:rFonts w:ascii="Arial" w:hAnsi="Arial"/>
          <w:sz w:val="22"/>
          <w:szCs w:val="22"/>
        </w:rPr>
      </w:pPr>
    </w:p>
    <w:p w:rsidR="001A1771" w:rsidRDefault="001A1771" w:rsidP="001A1771">
      <w:pPr>
        <w:spacing w:line="360" w:lineRule="auto"/>
        <w:jc w:val="both"/>
        <w:rPr>
          <w:rFonts w:ascii="Arial" w:hAnsi="Arial"/>
        </w:rPr>
      </w:pPr>
      <w:r>
        <w:rPr>
          <w:rFonts w:ascii="Arial" w:hAnsi="Arial"/>
        </w:rPr>
        <w:t>[</w:t>
      </w:r>
      <w:r w:rsidR="00DC7B6B">
        <w:rPr>
          <w:rFonts w:ascii="Arial" w:hAnsi="Arial"/>
        </w:rPr>
        <w:t>17</w:t>
      </w:r>
      <w:r>
        <w:rPr>
          <w:rFonts w:ascii="Arial" w:hAnsi="Arial"/>
        </w:rPr>
        <w:t>]</w:t>
      </w:r>
      <w:r>
        <w:rPr>
          <w:rFonts w:ascii="Arial" w:hAnsi="Arial"/>
        </w:rPr>
        <w:tab/>
        <w:t xml:space="preserve">This is the only </w:t>
      </w:r>
      <w:r w:rsidR="00650E1F">
        <w:rPr>
          <w:rFonts w:ascii="Arial" w:hAnsi="Arial"/>
        </w:rPr>
        <w:t xml:space="preserve">detailed </w:t>
      </w:r>
      <w:r>
        <w:rPr>
          <w:rFonts w:ascii="Arial" w:hAnsi="Arial"/>
        </w:rPr>
        <w:t xml:space="preserve">ground of opposition </w:t>
      </w:r>
      <w:r w:rsidR="00650E1F">
        <w:rPr>
          <w:rFonts w:ascii="Arial" w:hAnsi="Arial"/>
        </w:rPr>
        <w:t>in the answering affidavit by the plaintiff.</w:t>
      </w:r>
      <w:r>
        <w:rPr>
          <w:rFonts w:ascii="Arial" w:hAnsi="Arial"/>
        </w:rPr>
        <w:t xml:space="preserve"> </w:t>
      </w:r>
      <w:r w:rsidR="00C82D3C">
        <w:rPr>
          <w:rFonts w:ascii="Arial" w:hAnsi="Arial"/>
        </w:rPr>
        <w:t>Interestingly, i</w:t>
      </w:r>
      <w:r>
        <w:rPr>
          <w:rFonts w:ascii="Arial" w:hAnsi="Arial"/>
        </w:rPr>
        <w:t>n his heads of argument</w:t>
      </w:r>
      <w:r w:rsidR="00650E1F">
        <w:rPr>
          <w:rFonts w:ascii="Arial" w:hAnsi="Arial"/>
        </w:rPr>
        <w:t>,</w:t>
      </w:r>
      <w:r>
        <w:rPr>
          <w:rFonts w:ascii="Arial" w:hAnsi="Arial"/>
        </w:rPr>
        <w:t xml:space="preserve"> </w:t>
      </w:r>
      <w:r w:rsidR="00C82D3C">
        <w:rPr>
          <w:rFonts w:ascii="Arial" w:hAnsi="Arial"/>
        </w:rPr>
        <w:t>t</w:t>
      </w:r>
      <w:r w:rsidR="00313455">
        <w:rPr>
          <w:rFonts w:ascii="Arial" w:hAnsi="Arial"/>
        </w:rPr>
        <w:t>he</w:t>
      </w:r>
      <w:r w:rsidR="00650E1F">
        <w:rPr>
          <w:rFonts w:ascii="Arial" w:hAnsi="Arial"/>
        </w:rPr>
        <w:t xml:space="preserve"> </w:t>
      </w:r>
      <w:r w:rsidR="00C82D3C">
        <w:rPr>
          <w:rFonts w:ascii="Arial" w:hAnsi="Arial"/>
        </w:rPr>
        <w:t xml:space="preserve">plaintiff </w:t>
      </w:r>
      <w:r w:rsidR="00650E1F">
        <w:rPr>
          <w:rFonts w:ascii="Arial" w:hAnsi="Arial"/>
        </w:rPr>
        <w:t>went on to set</w:t>
      </w:r>
      <w:r w:rsidR="00FE2637">
        <w:rPr>
          <w:rFonts w:ascii="Arial" w:hAnsi="Arial"/>
        </w:rPr>
        <w:t xml:space="preserve"> out </w:t>
      </w:r>
      <w:r w:rsidR="00650E1F">
        <w:rPr>
          <w:rFonts w:ascii="Arial" w:hAnsi="Arial"/>
        </w:rPr>
        <w:t>numerous points</w:t>
      </w:r>
      <w:r>
        <w:rPr>
          <w:rFonts w:ascii="Arial" w:hAnsi="Arial"/>
        </w:rPr>
        <w:t xml:space="preserve"> in</w:t>
      </w:r>
      <w:r w:rsidRPr="003064A3">
        <w:rPr>
          <w:rFonts w:ascii="Arial" w:hAnsi="Arial"/>
          <w:i/>
          <w:iCs/>
        </w:rPr>
        <w:t xml:space="preserve"> limine</w:t>
      </w:r>
      <w:r>
        <w:rPr>
          <w:rFonts w:ascii="Arial" w:hAnsi="Arial"/>
          <w:i/>
          <w:iCs/>
        </w:rPr>
        <w:t xml:space="preserve"> </w:t>
      </w:r>
      <w:r w:rsidR="00FE2637">
        <w:rPr>
          <w:rFonts w:ascii="Arial" w:hAnsi="Arial"/>
          <w:iCs/>
        </w:rPr>
        <w:t xml:space="preserve">which are not intimated in his answering affidavit as the basis upon </w:t>
      </w:r>
      <w:r>
        <w:rPr>
          <w:rFonts w:ascii="Arial" w:hAnsi="Arial"/>
        </w:rPr>
        <w:t xml:space="preserve">which </w:t>
      </w:r>
      <w:r w:rsidR="00650E1F">
        <w:rPr>
          <w:rFonts w:ascii="Arial" w:hAnsi="Arial"/>
        </w:rPr>
        <w:t xml:space="preserve">his opposition is premised. </w:t>
      </w:r>
      <w:r w:rsidR="00C82D3C">
        <w:rPr>
          <w:rFonts w:ascii="Arial" w:hAnsi="Arial"/>
        </w:rPr>
        <w:t>Suffice it to say that in applications, affidavits are the backbone of litigant’s respective cases. It is my view that the</w:t>
      </w:r>
      <w:r w:rsidR="00B41E1F">
        <w:rPr>
          <w:rFonts w:ascii="Arial" w:hAnsi="Arial"/>
        </w:rPr>
        <w:t xml:space="preserve"> plaintiff failed to make out a proper</w:t>
      </w:r>
      <w:r w:rsidR="00C82D3C">
        <w:rPr>
          <w:rFonts w:ascii="Arial" w:hAnsi="Arial"/>
        </w:rPr>
        <w:t xml:space="preserve"> opposition in this matter and I do not find it necessary to deal with the points raised in the heads of argument. </w:t>
      </w:r>
    </w:p>
    <w:p w:rsidR="001A1771" w:rsidRDefault="001A1771" w:rsidP="001A1771">
      <w:pPr>
        <w:spacing w:line="360" w:lineRule="auto"/>
        <w:jc w:val="both"/>
        <w:rPr>
          <w:rFonts w:ascii="Arial" w:hAnsi="Arial"/>
        </w:rPr>
      </w:pPr>
    </w:p>
    <w:p w:rsidR="00F73CA0" w:rsidRDefault="00A05947" w:rsidP="00475723">
      <w:pPr>
        <w:spacing w:line="360" w:lineRule="auto"/>
        <w:jc w:val="both"/>
        <w:rPr>
          <w:rFonts w:ascii="Arial" w:hAnsi="Arial"/>
        </w:rPr>
      </w:pPr>
      <w:r>
        <w:rPr>
          <w:rFonts w:ascii="Arial" w:hAnsi="Arial"/>
        </w:rPr>
        <w:t>[18</w:t>
      </w:r>
      <w:r w:rsidR="00F73CA0">
        <w:rPr>
          <w:rFonts w:ascii="Arial" w:hAnsi="Arial"/>
        </w:rPr>
        <w:t>]</w:t>
      </w:r>
      <w:r w:rsidR="00397D7A">
        <w:rPr>
          <w:rFonts w:ascii="Arial" w:hAnsi="Arial"/>
        </w:rPr>
        <w:tab/>
      </w:r>
      <w:r w:rsidR="008D7FBB">
        <w:rPr>
          <w:rFonts w:ascii="Arial" w:hAnsi="Arial" w:cs="Arial"/>
        </w:rPr>
        <w:t xml:space="preserve">In determining whether the </w:t>
      </w:r>
      <w:r w:rsidR="00F73CA0" w:rsidRPr="002C2162">
        <w:rPr>
          <w:rFonts w:ascii="Arial" w:hAnsi="Arial" w:cs="Arial"/>
        </w:rPr>
        <w:t xml:space="preserve">application for condonation </w:t>
      </w:r>
      <w:r w:rsidR="008D7FBB">
        <w:rPr>
          <w:rFonts w:ascii="Arial" w:hAnsi="Arial" w:cs="Arial"/>
        </w:rPr>
        <w:t xml:space="preserve">should be granted, I take into account the extent of the </w:t>
      </w:r>
      <w:r w:rsidR="00F73CA0" w:rsidRPr="002C2162">
        <w:rPr>
          <w:rFonts w:ascii="Arial" w:hAnsi="Arial" w:cs="Arial"/>
        </w:rPr>
        <w:t>non-compliance</w:t>
      </w:r>
      <w:r w:rsidR="008D7FBB">
        <w:rPr>
          <w:rFonts w:ascii="Arial" w:hAnsi="Arial" w:cs="Arial"/>
        </w:rPr>
        <w:t xml:space="preserve">, </w:t>
      </w:r>
      <w:r w:rsidR="00F73CA0" w:rsidRPr="002C2162">
        <w:rPr>
          <w:rFonts w:ascii="Arial" w:hAnsi="Arial" w:cs="Arial"/>
        </w:rPr>
        <w:t>the reasonableness of the explanation offered for the non-compliance, the bona fides of the application, the prospects of success on the merits, the prejudice</w:t>
      </w:r>
      <w:r w:rsidR="009542B9">
        <w:rPr>
          <w:rFonts w:ascii="Arial" w:hAnsi="Arial" w:cs="Arial"/>
        </w:rPr>
        <w:t xml:space="preserve"> suffered by the plaintiff</w:t>
      </w:r>
      <w:r w:rsidR="00F73CA0" w:rsidRPr="002C2162">
        <w:rPr>
          <w:rFonts w:ascii="Arial" w:hAnsi="Arial" w:cs="Arial"/>
        </w:rPr>
        <w:t xml:space="preserve"> as a result of the non-compliance, the convenience of the court and the avoidance of unnecessary delay in</w:t>
      </w:r>
      <w:r w:rsidR="009542B9">
        <w:rPr>
          <w:rFonts w:ascii="Arial" w:hAnsi="Arial" w:cs="Arial"/>
        </w:rPr>
        <w:t xml:space="preserve"> the administration of justice</w:t>
      </w:r>
      <w:r w:rsidR="00F73CA0">
        <w:rPr>
          <w:rFonts w:ascii="Arial" w:hAnsi="Arial" w:cs="Arial"/>
        </w:rPr>
        <w:t>.</w:t>
      </w:r>
      <w:r w:rsidR="009542B9">
        <w:rPr>
          <w:rStyle w:val="FootnoteReference"/>
          <w:rFonts w:ascii="Arial" w:hAnsi="Arial" w:cs="Arial"/>
        </w:rPr>
        <w:footnoteReference w:id="7"/>
      </w:r>
    </w:p>
    <w:p w:rsidR="00F73CA0" w:rsidRDefault="00F73CA0" w:rsidP="00475723">
      <w:pPr>
        <w:spacing w:line="360" w:lineRule="auto"/>
        <w:jc w:val="both"/>
        <w:rPr>
          <w:rFonts w:ascii="Arial" w:hAnsi="Arial"/>
        </w:rPr>
      </w:pPr>
    </w:p>
    <w:p w:rsidR="00CD0796" w:rsidRDefault="00396228" w:rsidP="00475723">
      <w:pPr>
        <w:spacing w:line="360" w:lineRule="auto"/>
        <w:jc w:val="both"/>
        <w:rPr>
          <w:rFonts w:ascii="Arial" w:hAnsi="Arial"/>
        </w:rPr>
      </w:pPr>
      <w:r>
        <w:rPr>
          <w:rFonts w:ascii="Arial" w:hAnsi="Arial"/>
        </w:rPr>
        <w:lastRenderedPageBreak/>
        <w:t>[1</w:t>
      </w:r>
      <w:r w:rsidR="00B66935">
        <w:rPr>
          <w:rFonts w:ascii="Arial" w:hAnsi="Arial"/>
        </w:rPr>
        <w:t>9</w:t>
      </w:r>
      <w:r w:rsidR="00397D7A">
        <w:rPr>
          <w:rFonts w:ascii="Arial" w:hAnsi="Arial"/>
        </w:rPr>
        <w:t>]</w:t>
      </w:r>
      <w:r w:rsidR="00397D7A">
        <w:rPr>
          <w:rFonts w:ascii="Arial" w:hAnsi="Arial"/>
        </w:rPr>
        <w:tab/>
      </w:r>
      <w:r w:rsidR="006F3989">
        <w:rPr>
          <w:rFonts w:ascii="Arial" w:hAnsi="Arial"/>
        </w:rPr>
        <w:t xml:space="preserve">Counsel </w:t>
      </w:r>
      <w:r w:rsidR="00B75A4E">
        <w:rPr>
          <w:rFonts w:ascii="Arial" w:hAnsi="Arial"/>
        </w:rPr>
        <w:t xml:space="preserve">for the defendant </w:t>
      </w:r>
      <w:r w:rsidR="006F3989">
        <w:rPr>
          <w:rFonts w:ascii="Arial" w:hAnsi="Arial"/>
        </w:rPr>
        <w:t xml:space="preserve">explains that he became aware of the default on the day </w:t>
      </w:r>
      <w:r w:rsidR="00B75A4E">
        <w:rPr>
          <w:rFonts w:ascii="Arial" w:hAnsi="Arial"/>
        </w:rPr>
        <w:t>t</w:t>
      </w:r>
      <w:r w:rsidR="006F3989">
        <w:rPr>
          <w:rFonts w:ascii="Arial" w:hAnsi="Arial"/>
        </w:rPr>
        <w:t xml:space="preserve">he </w:t>
      </w:r>
      <w:r w:rsidR="00B75A4E">
        <w:rPr>
          <w:rFonts w:ascii="Arial" w:hAnsi="Arial"/>
        </w:rPr>
        <w:t>parties were</w:t>
      </w:r>
      <w:r w:rsidR="006F3989">
        <w:rPr>
          <w:rFonts w:ascii="Arial" w:hAnsi="Arial"/>
        </w:rPr>
        <w:t xml:space="preserve"> </w:t>
      </w:r>
      <w:r w:rsidR="00B75A4E">
        <w:rPr>
          <w:rFonts w:ascii="Arial" w:hAnsi="Arial"/>
        </w:rPr>
        <w:t>supposed</w:t>
      </w:r>
      <w:r w:rsidR="006F3989">
        <w:rPr>
          <w:rFonts w:ascii="Arial" w:hAnsi="Arial"/>
        </w:rPr>
        <w:t xml:space="preserve"> to file the</w:t>
      </w:r>
      <w:r w:rsidR="00B75A4E">
        <w:rPr>
          <w:rFonts w:ascii="Arial" w:hAnsi="Arial"/>
        </w:rPr>
        <w:t>ir</w:t>
      </w:r>
      <w:r w:rsidR="006F3989">
        <w:rPr>
          <w:rFonts w:ascii="Arial" w:hAnsi="Arial"/>
        </w:rPr>
        <w:t xml:space="preserve"> discovery affidavit</w:t>
      </w:r>
      <w:r w:rsidR="00B75A4E">
        <w:rPr>
          <w:rFonts w:ascii="Arial" w:hAnsi="Arial"/>
        </w:rPr>
        <w:t>s</w:t>
      </w:r>
      <w:r w:rsidR="006F3989">
        <w:rPr>
          <w:rFonts w:ascii="Arial" w:hAnsi="Arial"/>
        </w:rPr>
        <w:t xml:space="preserve"> </w:t>
      </w:r>
      <w:r w:rsidR="00B75A4E">
        <w:rPr>
          <w:rFonts w:ascii="Arial" w:hAnsi="Arial"/>
        </w:rPr>
        <w:t xml:space="preserve">(as per the court order) </w:t>
      </w:r>
      <w:r w:rsidR="006F3989">
        <w:rPr>
          <w:rFonts w:ascii="Arial" w:hAnsi="Arial"/>
        </w:rPr>
        <w:t>when he received the plaintiff’s discovery affidavit. Immediately, he consulted the defendant and the next day he attended to file the defendant’</w:t>
      </w:r>
      <w:r w:rsidR="00771EFD">
        <w:rPr>
          <w:rFonts w:ascii="Arial" w:hAnsi="Arial"/>
        </w:rPr>
        <w:t>s discovery bundle together with this application</w:t>
      </w:r>
      <w:r w:rsidR="006F3989">
        <w:rPr>
          <w:rFonts w:ascii="Arial" w:hAnsi="Arial"/>
        </w:rPr>
        <w:t xml:space="preserve">.  </w:t>
      </w:r>
      <w:r w:rsidR="00B75A4E">
        <w:rPr>
          <w:rFonts w:ascii="Arial" w:hAnsi="Arial"/>
        </w:rPr>
        <w:t>Although not without fault, I find the explanation tendered by the defendant to be reasonable.</w:t>
      </w:r>
      <w:r w:rsidR="00B75A4E">
        <w:rPr>
          <w:rStyle w:val="FootnoteReference"/>
          <w:rFonts w:ascii="Arial" w:hAnsi="Arial"/>
        </w:rPr>
        <w:footnoteReference w:id="8"/>
      </w:r>
      <w:r w:rsidR="00B75A4E">
        <w:rPr>
          <w:rFonts w:ascii="Arial" w:hAnsi="Arial"/>
        </w:rPr>
        <w:t xml:space="preserve"> </w:t>
      </w:r>
      <w:r w:rsidR="00224357">
        <w:rPr>
          <w:rFonts w:ascii="Arial" w:hAnsi="Arial"/>
        </w:rPr>
        <w:t xml:space="preserve">The non-compliance was rectified immediately, </w:t>
      </w:r>
      <w:r w:rsidR="009A20E4">
        <w:rPr>
          <w:rFonts w:ascii="Arial" w:hAnsi="Arial"/>
        </w:rPr>
        <w:t>thereby reducing the likelihood</w:t>
      </w:r>
      <w:r w:rsidR="00224357">
        <w:rPr>
          <w:rFonts w:ascii="Arial" w:hAnsi="Arial"/>
        </w:rPr>
        <w:t xml:space="preserve"> of prejudice. </w:t>
      </w:r>
    </w:p>
    <w:p w:rsidR="00CD0796" w:rsidRDefault="00CD0796" w:rsidP="00475723">
      <w:pPr>
        <w:spacing w:line="360" w:lineRule="auto"/>
        <w:jc w:val="both"/>
        <w:rPr>
          <w:rFonts w:ascii="Arial" w:hAnsi="Arial"/>
        </w:rPr>
      </w:pPr>
    </w:p>
    <w:p w:rsidR="00673D9F" w:rsidRDefault="0004771A" w:rsidP="00475723">
      <w:pPr>
        <w:spacing w:line="360" w:lineRule="auto"/>
        <w:jc w:val="both"/>
        <w:rPr>
          <w:rFonts w:ascii="Arial" w:hAnsi="Arial"/>
        </w:rPr>
      </w:pPr>
      <w:r>
        <w:rPr>
          <w:rFonts w:ascii="Arial" w:hAnsi="Arial"/>
        </w:rPr>
        <w:t>[20</w:t>
      </w:r>
      <w:r w:rsidR="00CD0796">
        <w:rPr>
          <w:rFonts w:ascii="Arial" w:hAnsi="Arial"/>
        </w:rPr>
        <w:t>]</w:t>
      </w:r>
      <w:r w:rsidR="00397D7A">
        <w:rPr>
          <w:rFonts w:ascii="Arial" w:hAnsi="Arial"/>
        </w:rPr>
        <w:tab/>
      </w:r>
      <w:r w:rsidR="00CD0796">
        <w:rPr>
          <w:rFonts w:ascii="Arial" w:hAnsi="Arial"/>
        </w:rPr>
        <w:t>H</w:t>
      </w:r>
      <w:r w:rsidR="00396228">
        <w:rPr>
          <w:rFonts w:ascii="Arial" w:hAnsi="Arial"/>
        </w:rPr>
        <w:t>owever</w:t>
      </w:r>
      <w:r w:rsidR="00CD0796">
        <w:rPr>
          <w:rFonts w:ascii="Arial" w:hAnsi="Arial"/>
        </w:rPr>
        <w:t>, what is</w:t>
      </w:r>
      <w:r w:rsidR="00396228">
        <w:rPr>
          <w:rFonts w:ascii="Arial" w:hAnsi="Arial"/>
        </w:rPr>
        <w:t xml:space="preserve"> </w:t>
      </w:r>
      <w:r w:rsidR="009E46A2">
        <w:rPr>
          <w:rFonts w:ascii="Arial" w:hAnsi="Arial"/>
        </w:rPr>
        <w:t xml:space="preserve">not </w:t>
      </w:r>
      <w:r w:rsidR="00396228">
        <w:rPr>
          <w:rFonts w:ascii="Arial" w:hAnsi="Arial"/>
        </w:rPr>
        <w:t xml:space="preserve">properly explained </w:t>
      </w:r>
      <w:r w:rsidR="009E46A2">
        <w:rPr>
          <w:rFonts w:ascii="Arial" w:hAnsi="Arial"/>
        </w:rPr>
        <w:t xml:space="preserve">is </w:t>
      </w:r>
      <w:r w:rsidR="00396228">
        <w:rPr>
          <w:rFonts w:ascii="Arial" w:hAnsi="Arial"/>
        </w:rPr>
        <w:t xml:space="preserve">the second leg to </w:t>
      </w:r>
      <w:r w:rsidR="009E46A2">
        <w:rPr>
          <w:rFonts w:ascii="Arial" w:hAnsi="Arial"/>
        </w:rPr>
        <w:t xml:space="preserve">the application of this nature, being the prospects of success that the </w:t>
      </w:r>
      <w:r w:rsidR="009B052A">
        <w:rPr>
          <w:rFonts w:ascii="Arial" w:hAnsi="Arial"/>
        </w:rPr>
        <w:t xml:space="preserve">party in default </w:t>
      </w:r>
      <w:r w:rsidR="009E46A2">
        <w:rPr>
          <w:rFonts w:ascii="Arial" w:hAnsi="Arial"/>
        </w:rPr>
        <w:t xml:space="preserve">enjoys. </w:t>
      </w:r>
      <w:r w:rsidR="00673D9F">
        <w:rPr>
          <w:rFonts w:ascii="Arial" w:hAnsi="Arial"/>
        </w:rPr>
        <w:t>In respect to this, the defendant says the following:</w:t>
      </w:r>
    </w:p>
    <w:p w:rsidR="00673D9F" w:rsidRDefault="00673D9F" w:rsidP="00475723">
      <w:pPr>
        <w:spacing w:line="360" w:lineRule="auto"/>
        <w:jc w:val="both"/>
        <w:rPr>
          <w:rFonts w:ascii="Arial" w:hAnsi="Arial"/>
        </w:rPr>
      </w:pPr>
    </w:p>
    <w:p w:rsidR="00673D9F" w:rsidRDefault="00673D9F" w:rsidP="00475723">
      <w:pPr>
        <w:spacing w:line="360" w:lineRule="auto"/>
        <w:jc w:val="both"/>
        <w:rPr>
          <w:rFonts w:ascii="Arial" w:hAnsi="Arial"/>
          <w:sz w:val="22"/>
          <w:szCs w:val="22"/>
        </w:rPr>
      </w:pPr>
      <w:r>
        <w:rPr>
          <w:rFonts w:ascii="Arial" w:hAnsi="Arial"/>
        </w:rPr>
        <w:tab/>
      </w:r>
      <w:r w:rsidR="00C07D09">
        <w:rPr>
          <w:rFonts w:ascii="Arial" w:hAnsi="Arial"/>
          <w:sz w:val="22"/>
          <w:szCs w:val="22"/>
        </w:rPr>
        <w:t xml:space="preserve">‘[7] </w:t>
      </w:r>
      <w:r>
        <w:rPr>
          <w:rFonts w:ascii="Arial" w:hAnsi="Arial"/>
          <w:sz w:val="22"/>
          <w:szCs w:val="22"/>
        </w:rPr>
        <w:t>I submit that the defendant enjoys reasonable prospects of success in terms of defending the matter and that there are several witnesses that shall be brought to court in support thereof.’</w:t>
      </w:r>
    </w:p>
    <w:p w:rsidR="00673D9F" w:rsidRDefault="00673D9F" w:rsidP="00475723">
      <w:pPr>
        <w:spacing w:line="360" w:lineRule="auto"/>
        <w:jc w:val="both"/>
        <w:rPr>
          <w:rFonts w:ascii="Arial" w:hAnsi="Arial"/>
          <w:sz w:val="22"/>
          <w:szCs w:val="22"/>
        </w:rPr>
      </w:pPr>
    </w:p>
    <w:p w:rsidR="00673D9F" w:rsidRDefault="00673D9F" w:rsidP="00475723">
      <w:pPr>
        <w:spacing w:line="360" w:lineRule="auto"/>
        <w:jc w:val="both"/>
        <w:rPr>
          <w:rFonts w:ascii="Arial" w:hAnsi="Arial"/>
        </w:rPr>
      </w:pPr>
      <w:r>
        <w:rPr>
          <w:rFonts w:ascii="Arial" w:hAnsi="Arial"/>
        </w:rPr>
        <w:t>[</w:t>
      </w:r>
      <w:r w:rsidR="00C07D09">
        <w:rPr>
          <w:rFonts w:ascii="Arial" w:hAnsi="Arial"/>
        </w:rPr>
        <w:t>21</w:t>
      </w:r>
      <w:r>
        <w:rPr>
          <w:rFonts w:ascii="Arial" w:hAnsi="Arial"/>
        </w:rPr>
        <w:t>]</w:t>
      </w:r>
      <w:r>
        <w:rPr>
          <w:rFonts w:ascii="Arial" w:hAnsi="Arial"/>
        </w:rPr>
        <w:tab/>
      </w:r>
      <w:r w:rsidR="009958B0">
        <w:rPr>
          <w:rFonts w:ascii="Arial" w:hAnsi="Arial"/>
        </w:rPr>
        <w:t xml:space="preserve">The law requires the applicant to satisfy the court that he enjoys reasonable prospects of success on the merits. </w:t>
      </w:r>
      <w:r w:rsidR="00780190">
        <w:rPr>
          <w:rFonts w:ascii="Arial" w:hAnsi="Arial"/>
        </w:rPr>
        <w:t xml:space="preserve">Thus, </w:t>
      </w:r>
      <w:r w:rsidR="009958B0">
        <w:rPr>
          <w:rFonts w:ascii="Arial" w:hAnsi="Arial"/>
        </w:rPr>
        <w:t xml:space="preserve">the court must be placed in a position to be able to assess the prospects of success. This requires the applicant to </w:t>
      </w:r>
      <w:r w:rsidR="000A1931">
        <w:rPr>
          <w:rFonts w:ascii="Arial" w:hAnsi="Arial"/>
        </w:rPr>
        <w:t>set forth essential information ‘briefly’ and ‘succinctly’ i.e. without verbosity or argument.</w:t>
      </w:r>
      <w:r w:rsidR="000A1931">
        <w:rPr>
          <w:rStyle w:val="FootnoteReference"/>
          <w:rFonts w:ascii="Arial" w:hAnsi="Arial"/>
        </w:rPr>
        <w:footnoteReference w:id="9"/>
      </w:r>
      <w:r w:rsidR="000A1931">
        <w:rPr>
          <w:rFonts w:ascii="Arial" w:hAnsi="Arial"/>
        </w:rPr>
        <w:t xml:space="preserve"> </w:t>
      </w:r>
      <w:r w:rsidR="004679E0">
        <w:rPr>
          <w:rFonts w:ascii="Arial" w:hAnsi="Arial"/>
        </w:rPr>
        <w:t xml:space="preserve">This, the defendant failed to do. However, it can be gleaned from the defendant’s plea that he has an arguable case. </w:t>
      </w:r>
    </w:p>
    <w:p w:rsidR="006C1D42" w:rsidRDefault="006C1D42" w:rsidP="00990DF3">
      <w:pPr>
        <w:spacing w:line="360" w:lineRule="auto"/>
        <w:jc w:val="both"/>
        <w:rPr>
          <w:rFonts w:ascii="Arial" w:hAnsi="Arial"/>
        </w:rPr>
      </w:pPr>
    </w:p>
    <w:p w:rsidR="00B17979" w:rsidRDefault="008A2DC6" w:rsidP="00990DF3">
      <w:pPr>
        <w:spacing w:line="360" w:lineRule="auto"/>
        <w:jc w:val="both"/>
        <w:rPr>
          <w:rFonts w:ascii="Arial" w:hAnsi="Arial"/>
        </w:rPr>
      </w:pPr>
      <w:r>
        <w:rPr>
          <w:rFonts w:ascii="Arial" w:hAnsi="Arial"/>
        </w:rPr>
        <w:t>[</w:t>
      </w:r>
      <w:r w:rsidR="009B56ED">
        <w:rPr>
          <w:rFonts w:ascii="Arial" w:hAnsi="Arial"/>
        </w:rPr>
        <w:t>22</w:t>
      </w:r>
      <w:r w:rsidR="00B17979">
        <w:rPr>
          <w:rFonts w:ascii="Arial" w:hAnsi="Arial"/>
        </w:rPr>
        <w:t>]</w:t>
      </w:r>
      <w:r w:rsidR="00B17979">
        <w:rPr>
          <w:rFonts w:ascii="Arial" w:hAnsi="Arial"/>
        </w:rPr>
        <w:tab/>
      </w:r>
      <w:r w:rsidR="006C1D42">
        <w:rPr>
          <w:rFonts w:ascii="Arial" w:hAnsi="Arial"/>
        </w:rPr>
        <w:t>I have</w:t>
      </w:r>
      <w:r w:rsidR="0096365C">
        <w:rPr>
          <w:rFonts w:ascii="Arial" w:hAnsi="Arial"/>
        </w:rPr>
        <w:t xml:space="preserve"> observed that the defe</w:t>
      </w:r>
      <w:r w:rsidR="006C1D42">
        <w:rPr>
          <w:rFonts w:ascii="Arial" w:hAnsi="Arial"/>
        </w:rPr>
        <w:t>ndant’s legal representative</w:t>
      </w:r>
      <w:r w:rsidR="00B93DB6">
        <w:rPr>
          <w:rFonts w:ascii="Arial" w:hAnsi="Arial"/>
        </w:rPr>
        <w:t xml:space="preserve"> deposed to the affidavit in support of this application. </w:t>
      </w:r>
      <w:r w:rsidR="007A04A0">
        <w:rPr>
          <w:rFonts w:ascii="Arial" w:hAnsi="Arial"/>
        </w:rPr>
        <w:t xml:space="preserve">It </w:t>
      </w:r>
      <w:r w:rsidR="006C1D42">
        <w:rPr>
          <w:rFonts w:ascii="Arial" w:hAnsi="Arial"/>
        </w:rPr>
        <w:t>is necessary to emphasise that the practice of legal practitioners deposing to affidavits in matters in which they appear is not advisable and is strongly discouraged.</w:t>
      </w:r>
      <w:r w:rsidR="006C1D42">
        <w:rPr>
          <w:rStyle w:val="FootnoteReference"/>
          <w:rFonts w:ascii="Arial" w:hAnsi="Arial"/>
        </w:rPr>
        <w:footnoteReference w:id="10"/>
      </w:r>
      <w:r w:rsidR="00990DF3">
        <w:rPr>
          <w:rFonts w:ascii="Arial" w:hAnsi="Arial"/>
        </w:rPr>
        <w:t xml:space="preserve"> </w:t>
      </w:r>
    </w:p>
    <w:p w:rsidR="00B17979" w:rsidRDefault="00B17979" w:rsidP="00475723">
      <w:pPr>
        <w:spacing w:line="360" w:lineRule="auto"/>
        <w:jc w:val="both"/>
        <w:rPr>
          <w:rFonts w:ascii="Arial" w:hAnsi="Arial"/>
        </w:rPr>
      </w:pPr>
    </w:p>
    <w:p w:rsidR="00430E84" w:rsidRDefault="008A2DC6" w:rsidP="00475723">
      <w:pPr>
        <w:spacing w:line="360" w:lineRule="auto"/>
        <w:jc w:val="both"/>
        <w:rPr>
          <w:rFonts w:ascii="Arial" w:hAnsi="Arial"/>
        </w:rPr>
      </w:pPr>
      <w:r>
        <w:rPr>
          <w:rFonts w:ascii="Arial" w:hAnsi="Arial"/>
        </w:rPr>
        <w:t>[</w:t>
      </w:r>
      <w:r w:rsidR="005D47F6">
        <w:rPr>
          <w:rFonts w:ascii="Arial" w:hAnsi="Arial"/>
        </w:rPr>
        <w:t>23</w:t>
      </w:r>
      <w:r w:rsidR="00B17979">
        <w:rPr>
          <w:rFonts w:ascii="Arial" w:hAnsi="Arial"/>
        </w:rPr>
        <w:t>]</w:t>
      </w:r>
      <w:r w:rsidR="00B17979">
        <w:rPr>
          <w:rFonts w:ascii="Arial" w:hAnsi="Arial"/>
        </w:rPr>
        <w:tab/>
      </w:r>
      <w:r w:rsidR="00A54E70">
        <w:rPr>
          <w:rFonts w:ascii="Arial" w:hAnsi="Arial"/>
        </w:rPr>
        <w:t>I</w:t>
      </w:r>
      <w:r w:rsidR="00B17979">
        <w:rPr>
          <w:rFonts w:ascii="Arial" w:hAnsi="Arial"/>
        </w:rPr>
        <w:t xml:space="preserve">n </w:t>
      </w:r>
      <w:r w:rsidR="00430E84">
        <w:rPr>
          <w:rFonts w:ascii="Arial" w:hAnsi="Arial"/>
          <w:i/>
        </w:rPr>
        <w:t>Prosecutor-General v Paulo and Another</w:t>
      </w:r>
      <w:r w:rsidR="00A54E70">
        <w:rPr>
          <w:rFonts w:ascii="Arial" w:hAnsi="Arial"/>
          <w:i/>
        </w:rPr>
        <w:t>,</w:t>
      </w:r>
      <w:r w:rsidR="00B17979" w:rsidRPr="00A54E70">
        <w:rPr>
          <w:rStyle w:val="FootnoteReference"/>
          <w:rFonts w:ascii="Arial" w:hAnsi="Arial"/>
        </w:rPr>
        <w:footnoteReference w:id="11"/>
      </w:r>
      <w:r w:rsidR="00430E84">
        <w:rPr>
          <w:rFonts w:ascii="Arial" w:hAnsi="Arial"/>
          <w:i/>
        </w:rPr>
        <w:t xml:space="preserve"> </w:t>
      </w:r>
      <w:r w:rsidR="00A54E70">
        <w:rPr>
          <w:rFonts w:ascii="Arial" w:hAnsi="Arial"/>
        </w:rPr>
        <w:t xml:space="preserve">Angula DJP </w:t>
      </w:r>
      <w:r w:rsidR="00AE0A4E">
        <w:rPr>
          <w:rFonts w:ascii="Arial" w:hAnsi="Arial"/>
        </w:rPr>
        <w:t>said the following</w:t>
      </w:r>
      <w:r w:rsidR="00430E84">
        <w:rPr>
          <w:rFonts w:ascii="Arial" w:hAnsi="Arial"/>
        </w:rPr>
        <w:t>:</w:t>
      </w:r>
    </w:p>
    <w:p w:rsidR="00397D7A" w:rsidRDefault="00397D7A" w:rsidP="00475723">
      <w:pPr>
        <w:spacing w:line="360" w:lineRule="auto"/>
        <w:jc w:val="both"/>
        <w:rPr>
          <w:rFonts w:ascii="Arial" w:hAnsi="Arial"/>
        </w:rPr>
      </w:pPr>
    </w:p>
    <w:p w:rsidR="00430E84" w:rsidRDefault="00430E84" w:rsidP="00475723">
      <w:pPr>
        <w:spacing w:line="360" w:lineRule="auto"/>
        <w:jc w:val="both"/>
        <w:rPr>
          <w:rFonts w:ascii="Arial" w:hAnsi="Arial"/>
        </w:rPr>
      </w:pPr>
      <w:r>
        <w:rPr>
          <w:rFonts w:ascii="Arial" w:hAnsi="Arial"/>
        </w:rPr>
        <w:lastRenderedPageBreak/>
        <w:tab/>
        <w:t>‘</w:t>
      </w:r>
      <w:r w:rsidRPr="004D3C93">
        <w:rPr>
          <w:rFonts w:ascii="Arial" w:hAnsi="Arial"/>
          <w:sz w:val="22"/>
          <w:szCs w:val="22"/>
        </w:rPr>
        <w:t>I feel obliged to make an observation here that this practice by legal practitioners of filing an affidavit on behalf of a client should be discouraged and desisted from. It should only be resorted to in exceptional circumstances</w:t>
      </w:r>
      <w:r w:rsidR="00C95880" w:rsidRPr="004D3C93">
        <w:rPr>
          <w:rFonts w:ascii="Arial" w:hAnsi="Arial"/>
          <w:sz w:val="22"/>
          <w:szCs w:val="22"/>
        </w:rPr>
        <w:t xml:space="preserve"> for instance where the party to the proceedings is for compelling reasons unable to depose to an affidavit. Such reason must be disclosed in the affidavit deposed to by the legal practitioner. . . In the event of disputes of facts in affidavits arising which cannot be resolved by the approach to resolving disputes in motion proceedings commonly referred to as the </w:t>
      </w:r>
      <w:r w:rsidR="00C95880" w:rsidRPr="004D3C93">
        <w:rPr>
          <w:rFonts w:ascii="Arial" w:hAnsi="Arial"/>
          <w:i/>
          <w:sz w:val="22"/>
          <w:szCs w:val="22"/>
        </w:rPr>
        <w:t xml:space="preserve">Plascon-Evans </w:t>
      </w:r>
      <w:r w:rsidR="00C95880" w:rsidRPr="004D3C93">
        <w:rPr>
          <w:rFonts w:ascii="Arial" w:hAnsi="Arial"/>
          <w:sz w:val="22"/>
          <w:szCs w:val="22"/>
        </w:rPr>
        <w:t>rule and the matter has to be referred to oral evidence, in such event the legal practitioner will have to become a witness. Such a scenario would be undesirable. It is further undesirable</w:t>
      </w:r>
      <w:r w:rsidR="004D3C93" w:rsidRPr="004D3C93">
        <w:rPr>
          <w:rFonts w:ascii="Arial" w:hAnsi="Arial"/>
          <w:sz w:val="22"/>
          <w:szCs w:val="22"/>
        </w:rPr>
        <w:t xml:space="preserve"> for a legal practitioner to depose to an affidavit on behalf of a client dealing with factual issues. A legal practitioner cannot be astride two horses at the same time, namely be a witness and also a legal practitioner subject to ethical rules of conduct.’ </w:t>
      </w:r>
      <w:r w:rsidR="00C95880" w:rsidRPr="004D3C93">
        <w:rPr>
          <w:rFonts w:ascii="Arial" w:hAnsi="Arial"/>
          <w:sz w:val="22"/>
          <w:szCs w:val="22"/>
        </w:rPr>
        <w:t xml:space="preserve"> </w:t>
      </w:r>
    </w:p>
    <w:p w:rsidR="004D3C93" w:rsidRDefault="004D3C93" w:rsidP="00475723">
      <w:pPr>
        <w:spacing w:line="360" w:lineRule="auto"/>
        <w:jc w:val="both"/>
        <w:rPr>
          <w:rFonts w:ascii="Arial" w:hAnsi="Arial"/>
        </w:rPr>
      </w:pPr>
    </w:p>
    <w:p w:rsidR="00BE01B0" w:rsidRDefault="008A2DC6" w:rsidP="00475723">
      <w:pPr>
        <w:spacing w:line="360" w:lineRule="auto"/>
        <w:jc w:val="both"/>
        <w:rPr>
          <w:rFonts w:ascii="Arial" w:hAnsi="Arial"/>
        </w:rPr>
      </w:pPr>
      <w:r>
        <w:rPr>
          <w:rFonts w:ascii="Arial" w:hAnsi="Arial"/>
        </w:rPr>
        <w:t>[</w:t>
      </w:r>
      <w:r w:rsidR="00802673">
        <w:rPr>
          <w:rFonts w:ascii="Arial" w:hAnsi="Arial"/>
        </w:rPr>
        <w:t>24</w:t>
      </w:r>
      <w:r w:rsidR="004D3C93">
        <w:rPr>
          <w:rFonts w:ascii="Arial" w:hAnsi="Arial"/>
        </w:rPr>
        <w:t>]</w:t>
      </w:r>
      <w:r w:rsidR="004D3C93">
        <w:rPr>
          <w:rFonts w:ascii="Arial" w:hAnsi="Arial"/>
        </w:rPr>
        <w:tab/>
      </w:r>
      <w:r w:rsidR="00A25514">
        <w:rPr>
          <w:rFonts w:ascii="Arial" w:hAnsi="Arial"/>
        </w:rPr>
        <w:t>Cou</w:t>
      </w:r>
      <w:r w:rsidR="00770B51">
        <w:rPr>
          <w:rFonts w:ascii="Arial" w:hAnsi="Arial"/>
        </w:rPr>
        <w:t>nsel for the defendant argued</w:t>
      </w:r>
      <w:r w:rsidR="00A25514">
        <w:rPr>
          <w:rFonts w:ascii="Arial" w:hAnsi="Arial"/>
        </w:rPr>
        <w:t xml:space="preserve"> that the failure to properly diarise the matter was an error on his part, henc</w:t>
      </w:r>
      <w:r w:rsidR="00C65B13">
        <w:rPr>
          <w:rFonts w:ascii="Arial" w:hAnsi="Arial"/>
        </w:rPr>
        <w:t>e the ne</w:t>
      </w:r>
      <w:r w:rsidR="00500DB2">
        <w:rPr>
          <w:rFonts w:ascii="Arial" w:hAnsi="Arial"/>
        </w:rPr>
        <w:t>ed</w:t>
      </w:r>
      <w:r w:rsidR="0036272F">
        <w:rPr>
          <w:rFonts w:ascii="Arial" w:hAnsi="Arial"/>
        </w:rPr>
        <w:t xml:space="preserve"> for him to depose to</w:t>
      </w:r>
      <w:r w:rsidR="005D17F0">
        <w:rPr>
          <w:rFonts w:ascii="Arial" w:hAnsi="Arial"/>
        </w:rPr>
        <w:t xml:space="preserve"> the </w:t>
      </w:r>
      <w:r w:rsidR="00A25514">
        <w:rPr>
          <w:rFonts w:ascii="Arial" w:hAnsi="Arial"/>
        </w:rPr>
        <w:t xml:space="preserve">affidavit. Considering the </w:t>
      </w:r>
      <w:r w:rsidR="00A25514">
        <w:rPr>
          <w:rFonts w:ascii="Arial" w:hAnsi="Arial"/>
          <w:i/>
        </w:rPr>
        <w:t xml:space="preserve">Paulo </w:t>
      </w:r>
      <w:r w:rsidR="00A25514">
        <w:rPr>
          <w:rFonts w:ascii="Arial" w:hAnsi="Arial"/>
        </w:rPr>
        <w:t xml:space="preserve">matter above, it is abundantly clear that </w:t>
      </w:r>
      <w:r w:rsidR="0036272F">
        <w:rPr>
          <w:rFonts w:ascii="Arial" w:hAnsi="Arial"/>
        </w:rPr>
        <w:t>the reason</w:t>
      </w:r>
      <w:r w:rsidR="00D70551">
        <w:rPr>
          <w:rFonts w:ascii="Arial" w:hAnsi="Arial"/>
        </w:rPr>
        <w:t xml:space="preserve"> that made </w:t>
      </w:r>
      <w:r w:rsidR="00C57258">
        <w:rPr>
          <w:rFonts w:ascii="Arial" w:hAnsi="Arial"/>
        </w:rPr>
        <w:t xml:space="preserve">it </w:t>
      </w:r>
      <w:r w:rsidR="00E8170B">
        <w:rPr>
          <w:rFonts w:ascii="Arial" w:hAnsi="Arial"/>
        </w:rPr>
        <w:t>necessary for counsel</w:t>
      </w:r>
      <w:r w:rsidR="00D70551">
        <w:rPr>
          <w:rFonts w:ascii="Arial" w:hAnsi="Arial"/>
        </w:rPr>
        <w:t xml:space="preserve"> to d</w:t>
      </w:r>
      <w:r w:rsidR="0036272F">
        <w:rPr>
          <w:rFonts w:ascii="Arial" w:hAnsi="Arial"/>
        </w:rPr>
        <w:t>epose to</w:t>
      </w:r>
      <w:r w:rsidR="007C14B4">
        <w:rPr>
          <w:rFonts w:ascii="Arial" w:hAnsi="Arial"/>
        </w:rPr>
        <w:t xml:space="preserve"> an</w:t>
      </w:r>
      <w:r w:rsidR="00D70551">
        <w:rPr>
          <w:rFonts w:ascii="Arial" w:hAnsi="Arial"/>
        </w:rPr>
        <w:t xml:space="preserve"> affidavit must </w:t>
      </w:r>
      <w:r w:rsidR="00770B51">
        <w:rPr>
          <w:rFonts w:ascii="Arial" w:hAnsi="Arial"/>
        </w:rPr>
        <w:t xml:space="preserve">be </w:t>
      </w:r>
      <w:r w:rsidR="005A7067">
        <w:rPr>
          <w:rFonts w:ascii="Arial" w:hAnsi="Arial"/>
        </w:rPr>
        <w:t>disclosed</w:t>
      </w:r>
      <w:r w:rsidR="00D70551">
        <w:rPr>
          <w:rFonts w:ascii="Arial" w:hAnsi="Arial"/>
        </w:rPr>
        <w:t xml:space="preserve"> </w:t>
      </w:r>
      <w:r w:rsidR="007C7316">
        <w:rPr>
          <w:rFonts w:ascii="Arial" w:hAnsi="Arial"/>
        </w:rPr>
        <w:t>in that very</w:t>
      </w:r>
      <w:r w:rsidR="00307FAE">
        <w:rPr>
          <w:rFonts w:ascii="Arial" w:hAnsi="Arial"/>
        </w:rPr>
        <w:t xml:space="preserve"> affidavit </w:t>
      </w:r>
      <w:r w:rsidR="00770B51">
        <w:rPr>
          <w:rFonts w:ascii="Arial" w:hAnsi="Arial"/>
        </w:rPr>
        <w:t>and such</w:t>
      </w:r>
      <w:r w:rsidR="007C14B4">
        <w:rPr>
          <w:rFonts w:ascii="Arial" w:hAnsi="Arial"/>
        </w:rPr>
        <w:t xml:space="preserve"> reason</w:t>
      </w:r>
      <w:r w:rsidR="00D70551">
        <w:rPr>
          <w:rFonts w:ascii="Arial" w:hAnsi="Arial"/>
        </w:rPr>
        <w:t xml:space="preserve"> </w:t>
      </w:r>
      <w:r w:rsidR="00770B51">
        <w:rPr>
          <w:rFonts w:ascii="Arial" w:hAnsi="Arial"/>
        </w:rPr>
        <w:t xml:space="preserve">must be </w:t>
      </w:r>
      <w:r w:rsidR="00D70551">
        <w:rPr>
          <w:rFonts w:ascii="Arial" w:hAnsi="Arial"/>
        </w:rPr>
        <w:t xml:space="preserve">exceptional and compelling.  </w:t>
      </w:r>
      <w:r w:rsidR="00C0444F">
        <w:rPr>
          <w:rFonts w:ascii="Arial" w:hAnsi="Arial"/>
        </w:rPr>
        <w:t xml:space="preserve">There is </w:t>
      </w:r>
      <w:r w:rsidR="002F4CBE">
        <w:rPr>
          <w:rFonts w:ascii="Arial" w:hAnsi="Arial"/>
        </w:rPr>
        <w:t xml:space="preserve">no </w:t>
      </w:r>
      <w:r w:rsidR="007C14B4">
        <w:rPr>
          <w:rFonts w:ascii="Arial" w:hAnsi="Arial"/>
        </w:rPr>
        <w:t>reason</w:t>
      </w:r>
      <w:r w:rsidR="00F915EF">
        <w:rPr>
          <w:rFonts w:ascii="Arial" w:hAnsi="Arial"/>
        </w:rPr>
        <w:t xml:space="preserve"> </w:t>
      </w:r>
      <w:r w:rsidR="00C0444F">
        <w:rPr>
          <w:rFonts w:ascii="Arial" w:hAnsi="Arial"/>
        </w:rPr>
        <w:t xml:space="preserve">disclosed </w:t>
      </w:r>
      <w:r w:rsidR="00F915EF">
        <w:rPr>
          <w:rFonts w:ascii="Arial" w:hAnsi="Arial"/>
        </w:rPr>
        <w:t>in the affidavit</w:t>
      </w:r>
      <w:r w:rsidR="007C14B4">
        <w:rPr>
          <w:rFonts w:ascii="Arial" w:hAnsi="Arial"/>
        </w:rPr>
        <w:t xml:space="preserve">. </w:t>
      </w:r>
      <w:r w:rsidR="00235284">
        <w:rPr>
          <w:rFonts w:ascii="Arial" w:hAnsi="Arial"/>
        </w:rPr>
        <w:t xml:space="preserve">Also, </w:t>
      </w:r>
      <w:r w:rsidR="00B36A8B">
        <w:rPr>
          <w:rFonts w:ascii="Arial" w:hAnsi="Arial"/>
        </w:rPr>
        <w:t xml:space="preserve">I find that </w:t>
      </w:r>
      <w:r w:rsidR="00235284">
        <w:rPr>
          <w:rFonts w:ascii="Arial" w:hAnsi="Arial"/>
        </w:rPr>
        <w:t>t</w:t>
      </w:r>
      <w:r w:rsidR="007C14B4">
        <w:rPr>
          <w:rFonts w:ascii="Arial" w:hAnsi="Arial"/>
        </w:rPr>
        <w:t xml:space="preserve">he explanation tendered in </w:t>
      </w:r>
      <w:r w:rsidR="00C0444F">
        <w:rPr>
          <w:rFonts w:ascii="Arial" w:hAnsi="Arial"/>
        </w:rPr>
        <w:t>arguments is</w:t>
      </w:r>
      <w:r w:rsidR="00F915EF">
        <w:rPr>
          <w:rFonts w:ascii="Arial" w:hAnsi="Arial"/>
        </w:rPr>
        <w:t xml:space="preserve"> </w:t>
      </w:r>
      <w:r w:rsidR="00235284">
        <w:rPr>
          <w:rFonts w:ascii="Arial" w:hAnsi="Arial"/>
        </w:rPr>
        <w:t>equally</w:t>
      </w:r>
      <w:r w:rsidR="007C14B4">
        <w:rPr>
          <w:rFonts w:ascii="Arial" w:hAnsi="Arial"/>
        </w:rPr>
        <w:t xml:space="preserve"> </w:t>
      </w:r>
      <w:r w:rsidR="00235284">
        <w:rPr>
          <w:rFonts w:ascii="Arial" w:hAnsi="Arial"/>
        </w:rPr>
        <w:t>not exceptional.</w:t>
      </w:r>
      <w:r w:rsidR="00F915EF">
        <w:rPr>
          <w:rFonts w:ascii="Arial" w:hAnsi="Arial"/>
        </w:rPr>
        <w:t xml:space="preserve"> </w:t>
      </w:r>
    </w:p>
    <w:p w:rsidR="00BE01B0" w:rsidRDefault="00BE01B0" w:rsidP="00475723">
      <w:pPr>
        <w:spacing w:line="360" w:lineRule="auto"/>
        <w:jc w:val="both"/>
        <w:rPr>
          <w:rFonts w:ascii="Arial" w:hAnsi="Arial"/>
        </w:rPr>
      </w:pPr>
      <w:r>
        <w:rPr>
          <w:rFonts w:ascii="Arial" w:hAnsi="Arial"/>
        </w:rPr>
        <w:t xml:space="preserve"> </w:t>
      </w:r>
    </w:p>
    <w:p w:rsidR="00BE01B0" w:rsidRDefault="00BE01B0" w:rsidP="00475723">
      <w:pPr>
        <w:spacing w:line="360" w:lineRule="auto"/>
        <w:jc w:val="both"/>
        <w:rPr>
          <w:rFonts w:ascii="Arial" w:hAnsi="Arial"/>
          <w:u w:val="single"/>
        </w:rPr>
      </w:pPr>
      <w:r>
        <w:rPr>
          <w:rFonts w:ascii="Arial" w:hAnsi="Arial"/>
          <w:u w:val="single"/>
        </w:rPr>
        <w:t>Conclusion</w:t>
      </w:r>
    </w:p>
    <w:p w:rsidR="00BE01B0" w:rsidRDefault="00BE01B0" w:rsidP="00475723">
      <w:pPr>
        <w:spacing w:line="360" w:lineRule="auto"/>
        <w:jc w:val="both"/>
        <w:rPr>
          <w:rFonts w:ascii="Arial" w:hAnsi="Arial"/>
          <w:u w:val="single"/>
        </w:rPr>
      </w:pPr>
    </w:p>
    <w:p w:rsidR="00BE01B0" w:rsidRDefault="00882E1B" w:rsidP="00475723">
      <w:pPr>
        <w:spacing w:line="360" w:lineRule="auto"/>
        <w:jc w:val="both"/>
        <w:rPr>
          <w:rFonts w:ascii="Arial" w:hAnsi="Arial"/>
        </w:rPr>
      </w:pPr>
      <w:r>
        <w:rPr>
          <w:rFonts w:ascii="Arial" w:hAnsi="Arial"/>
        </w:rPr>
        <w:t>[</w:t>
      </w:r>
      <w:r w:rsidR="0040510D">
        <w:rPr>
          <w:rFonts w:ascii="Arial" w:hAnsi="Arial"/>
        </w:rPr>
        <w:t>2</w:t>
      </w:r>
      <w:r w:rsidR="004D1145">
        <w:rPr>
          <w:rFonts w:ascii="Arial" w:hAnsi="Arial"/>
        </w:rPr>
        <w:t>5</w:t>
      </w:r>
      <w:r w:rsidR="0017207F">
        <w:rPr>
          <w:rFonts w:ascii="Arial" w:hAnsi="Arial"/>
        </w:rPr>
        <w:t>]</w:t>
      </w:r>
      <w:r w:rsidR="0017207F">
        <w:rPr>
          <w:rFonts w:ascii="Arial" w:hAnsi="Arial"/>
        </w:rPr>
        <w:tab/>
        <w:t xml:space="preserve">Having </w:t>
      </w:r>
      <w:r w:rsidR="00BE01B0">
        <w:rPr>
          <w:rFonts w:ascii="Arial" w:hAnsi="Arial"/>
        </w:rPr>
        <w:t xml:space="preserve">considered the papers </w:t>
      </w:r>
      <w:r w:rsidR="0017207F">
        <w:rPr>
          <w:rFonts w:ascii="Arial" w:hAnsi="Arial"/>
        </w:rPr>
        <w:t xml:space="preserve">as well as </w:t>
      </w:r>
      <w:r w:rsidR="008A2DC6">
        <w:rPr>
          <w:rFonts w:ascii="Arial" w:hAnsi="Arial"/>
        </w:rPr>
        <w:t>the argument</w:t>
      </w:r>
      <w:r w:rsidR="0017207F">
        <w:rPr>
          <w:rFonts w:ascii="Arial" w:hAnsi="Arial"/>
        </w:rPr>
        <w:t>s</w:t>
      </w:r>
      <w:r w:rsidR="008A2DC6">
        <w:rPr>
          <w:rFonts w:ascii="Arial" w:hAnsi="Arial"/>
        </w:rPr>
        <w:t xml:space="preserve"> presented on behalf</w:t>
      </w:r>
      <w:r w:rsidR="0017207F">
        <w:rPr>
          <w:rFonts w:ascii="Arial" w:hAnsi="Arial"/>
        </w:rPr>
        <w:t xml:space="preserve"> of </w:t>
      </w:r>
      <w:r w:rsidR="00BE01B0">
        <w:rPr>
          <w:rFonts w:ascii="Arial" w:hAnsi="Arial"/>
        </w:rPr>
        <w:t>the p</w:t>
      </w:r>
      <w:r w:rsidR="00B93DB6">
        <w:rPr>
          <w:rFonts w:ascii="Arial" w:hAnsi="Arial"/>
        </w:rPr>
        <w:t>arties</w:t>
      </w:r>
      <w:r w:rsidR="00BE01B0">
        <w:rPr>
          <w:rFonts w:ascii="Arial" w:hAnsi="Arial"/>
        </w:rPr>
        <w:t xml:space="preserve">, I </w:t>
      </w:r>
      <w:r w:rsidR="00B93DB6">
        <w:rPr>
          <w:rFonts w:ascii="Arial" w:hAnsi="Arial"/>
        </w:rPr>
        <w:t xml:space="preserve">grudgingly grant </w:t>
      </w:r>
      <w:r w:rsidR="008A04AE" w:rsidRPr="0017207F">
        <w:rPr>
          <w:rFonts w:ascii="Arial" w:hAnsi="Arial"/>
        </w:rPr>
        <w:t>the application for condonation</w:t>
      </w:r>
      <w:r w:rsidR="0017207F" w:rsidRPr="0017207F">
        <w:rPr>
          <w:rFonts w:ascii="Arial" w:hAnsi="Arial"/>
        </w:rPr>
        <w:t>.</w:t>
      </w:r>
      <w:r w:rsidR="004C59F2">
        <w:rPr>
          <w:rFonts w:ascii="Arial" w:hAnsi="Arial"/>
        </w:rPr>
        <w:t xml:space="preserve"> </w:t>
      </w:r>
    </w:p>
    <w:p w:rsidR="004C59F2" w:rsidRDefault="004C59F2" w:rsidP="00475723">
      <w:pPr>
        <w:spacing w:line="360" w:lineRule="auto"/>
        <w:jc w:val="both"/>
        <w:rPr>
          <w:rFonts w:ascii="Arial" w:hAnsi="Arial"/>
        </w:rPr>
      </w:pPr>
    </w:p>
    <w:p w:rsidR="004C59F2" w:rsidRDefault="004C59F2" w:rsidP="00475723">
      <w:pPr>
        <w:spacing w:line="360" w:lineRule="auto"/>
        <w:jc w:val="both"/>
        <w:rPr>
          <w:rFonts w:ascii="Arial" w:hAnsi="Arial"/>
          <w:u w:val="single"/>
        </w:rPr>
      </w:pPr>
      <w:r>
        <w:rPr>
          <w:rFonts w:ascii="Arial" w:hAnsi="Arial"/>
          <w:u w:val="single"/>
        </w:rPr>
        <w:t>Costs</w:t>
      </w:r>
    </w:p>
    <w:p w:rsidR="004C59F2" w:rsidRDefault="004C59F2" w:rsidP="00475723">
      <w:pPr>
        <w:spacing w:line="360" w:lineRule="auto"/>
        <w:jc w:val="both"/>
        <w:rPr>
          <w:rFonts w:ascii="Arial" w:hAnsi="Arial"/>
          <w:u w:val="single"/>
        </w:rPr>
      </w:pPr>
    </w:p>
    <w:p w:rsidR="004C59F2" w:rsidRPr="00F47581" w:rsidRDefault="008A2DC6" w:rsidP="00475723">
      <w:pPr>
        <w:spacing w:line="360" w:lineRule="auto"/>
        <w:jc w:val="both"/>
        <w:rPr>
          <w:rFonts w:ascii="Arial" w:hAnsi="Arial"/>
          <w:lang w:val="en-US"/>
        </w:rPr>
      </w:pPr>
      <w:r>
        <w:rPr>
          <w:rFonts w:ascii="Arial" w:hAnsi="Arial"/>
        </w:rPr>
        <w:t>[</w:t>
      </w:r>
      <w:r w:rsidR="004D1145">
        <w:rPr>
          <w:rFonts w:ascii="Arial" w:hAnsi="Arial"/>
        </w:rPr>
        <w:t>26</w:t>
      </w:r>
      <w:r w:rsidR="003E3C8C">
        <w:rPr>
          <w:rFonts w:ascii="Arial" w:hAnsi="Arial"/>
        </w:rPr>
        <w:t>]</w:t>
      </w:r>
      <w:r w:rsidR="003E3C8C">
        <w:rPr>
          <w:rFonts w:ascii="Arial" w:hAnsi="Arial"/>
        </w:rPr>
        <w:tab/>
        <w:t xml:space="preserve"> </w:t>
      </w:r>
      <w:r w:rsidR="00F47581" w:rsidRPr="00F47581">
        <w:rPr>
          <w:rFonts w:ascii="Arial" w:eastAsia="Times New Roman" w:hAnsi="Arial" w:cs="Arial"/>
          <w:color w:val="000000" w:themeColor="text1"/>
          <w:shd w:val="clear" w:color="auto" w:fill="FFFFFF"/>
          <w:lang w:eastAsia="en-GB"/>
        </w:rPr>
        <w:t xml:space="preserve">It is common </w:t>
      </w:r>
      <w:r w:rsidR="00F47581">
        <w:rPr>
          <w:rFonts w:ascii="Arial" w:eastAsia="Times New Roman" w:hAnsi="Arial" w:cs="Arial"/>
          <w:color w:val="000000" w:themeColor="text1"/>
          <w:shd w:val="clear" w:color="auto" w:fill="FFFFFF"/>
          <w:lang w:val="en-US" w:eastAsia="en-GB"/>
        </w:rPr>
        <w:t>cause</w:t>
      </w:r>
      <w:r w:rsidR="00A5019F">
        <w:rPr>
          <w:rFonts w:ascii="Arial" w:eastAsia="Times New Roman" w:hAnsi="Arial" w:cs="Arial"/>
          <w:color w:val="000000" w:themeColor="text1"/>
          <w:shd w:val="clear" w:color="auto" w:fill="FFFFFF"/>
          <w:lang w:eastAsia="en-GB"/>
        </w:rPr>
        <w:t xml:space="preserve"> that a party that</w:t>
      </w:r>
      <w:r w:rsidR="00F47581" w:rsidRPr="00F47581">
        <w:rPr>
          <w:rFonts w:ascii="Arial" w:eastAsia="Times New Roman" w:hAnsi="Arial" w:cs="Arial"/>
          <w:color w:val="000000" w:themeColor="text1"/>
          <w:shd w:val="clear" w:color="auto" w:fill="FFFFFF"/>
          <w:lang w:eastAsia="en-GB"/>
        </w:rPr>
        <w:t xml:space="preserve"> petitions the court for condonation is, in essence, pleading for the court's indulgence. After </w:t>
      </w:r>
      <w:r w:rsidR="00A5019F">
        <w:rPr>
          <w:rFonts w:ascii="Arial" w:eastAsia="Times New Roman" w:hAnsi="Arial" w:cs="Arial"/>
          <w:color w:val="000000" w:themeColor="text1"/>
          <w:shd w:val="clear" w:color="auto" w:fill="FFFFFF"/>
          <w:lang w:eastAsia="en-GB"/>
        </w:rPr>
        <w:t xml:space="preserve">considering </w:t>
      </w:r>
      <w:r w:rsidR="00540562">
        <w:rPr>
          <w:rFonts w:ascii="Arial" w:eastAsia="Times New Roman" w:hAnsi="Arial" w:cs="Arial"/>
          <w:color w:val="000000" w:themeColor="text1"/>
          <w:shd w:val="clear" w:color="auto" w:fill="FFFFFF"/>
          <w:lang w:eastAsia="en-GB"/>
        </w:rPr>
        <w:t>the entire</w:t>
      </w:r>
      <w:r w:rsidR="00A5019F">
        <w:rPr>
          <w:rFonts w:ascii="Arial" w:eastAsia="Times New Roman" w:hAnsi="Arial" w:cs="Arial"/>
          <w:color w:val="000000" w:themeColor="text1"/>
          <w:shd w:val="clear" w:color="auto" w:fill="FFFFFF"/>
          <w:lang w:eastAsia="en-GB"/>
        </w:rPr>
        <w:t xml:space="preserve"> circumstances attendant to this matter, </w:t>
      </w:r>
      <w:r w:rsidR="00F47581" w:rsidRPr="00F47581">
        <w:rPr>
          <w:rFonts w:ascii="Arial" w:eastAsia="Times New Roman" w:hAnsi="Arial" w:cs="Arial"/>
          <w:color w:val="000000" w:themeColor="text1"/>
          <w:shd w:val="clear" w:color="auto" w:fill="FFFFFF"/>
          <w:lang w:eastAsia="en-GB"/>
        </w:rPr>
        <w:t xml:space="preserve">I have come to the conclusion that the opposition raised by the </w:t>
      </w:r>
      <w:r w:rsidR="00EE16F4">
        <w:rPr>
          <w:rFonts w:ascii="Arial" w:eastAsia="Times New Roman" w:hAnsi="Arial" w:cs="Arial"/>
          <w:color w:val="000000" w:themeColor="text1"/>
          <w:shd w:val="clear" w:color="auto" w:fill="FFFFFF"/>
          <w:lang w:eastAsia="en-GB"/>
        </w:rPr>
        <w:t>plaintiff</w:t>
      </w:r>
      <w:r w:rsidR="00F47581" w:rsidRPr="00F47581">
        <w:rPr>
          <w:rFonts w:ascii="Arial" w:eastAsia="Times New Roman" w:hAnsi="Arial" w:cs="Arial"/>
          <w:color w:val="000000" w:themeColor="text1"/>
          <w:shd w:val="clear" w:color="auto" w:fill="FFFFFF"/>
          <w:lang w:eastAsia="en-GB"/>
        </w:rPr>
        <w:t xml:space="preserve"> was not unwarranted. In light of this, the defendant</w:t>
      </w:r>
      <w:r w:rsidR="00EE16F4">
        <w:rPr>
          <w:rFonts w:ascii="Arial" w:eastAsia="Times New Roman" w:hAnsi="Arial" w:cs="Arial"/>
          <w:color w:val="000000" w:themeColor="text1"/>
          <w:shd w:val="clear" w:color="auto" w:fill="FFFFFF"/>
          <w:lang w:eastAsia="en-GB"/>
        </w:rPr>
        <w:t xml:space="preserve"> </w:t>
      </w:r>
      <w:r w:rsidR="00EE16F4">
        <w:rPr>
          <w:rFonts w:ascii="Arial" w:eastAsia="Times New Roman" w:hAnsi="Arial" w:cs="Arial"/>
          <w:color w:val="000000" w:themeColor="text1"/>
          <w:shd w:val="clear" w:color="auto" w:fill="FFFFFF"/>
          <w:lang w:val="en-US" w:eastAsia="en-GB"/>
        </w:rPr>
        <w:t>is</w:t>
      </w:r>
      <w:r w:rsidR="00F47581" w:rsidRPr="00F47581">
        <w:rPr>
          <w:rFonts w:ascii="Arial" w:eastAsia="Times New Roman" w:hAnsi="Arial" w:cs="Arial"/>
          <w:color w:val="000000" w:themeColor="text1"/>
          <w:shd w:val="clear" w:color="auto" w:fill="FFFFFF"/>
          <w:lang w:eastAsia="en-GB"/>
        </w:rPr>
        <w:t xml:space="preserve"> to pay the </w:t>
      </w:r>
      <w:r w:rsidR="00F47581">
        <w:rPr>
          <w:rFonts w:ascii="Arial" w:eastAsia="Times New Roman" w:hAnsi="Arial" w:cs="Arial"/>
          <w:color w:val="000000" w:themeColor="text1"/>
          <w:shd w:val="clear" w:color="auto" w:fill="FFFFFF"/>
          <w:lang w:val="en-US" w:eastAsia="en-GB"/>
        </w:rPr>
        <w:t>costs</w:t>
      </w:r>
      <w:r w:rsidR="00F47581" w:rsidRPr="00F47581">
        <w:rPr>
          <w:rFonts w:ascii="Arial" w:eastAsia="Times New Roman" w:hAnsi="Arial" w:cs="Arial"/>
          <w:color w:val="000000" w:themeColor="text1"/>
          <w:shd w:val="clear" w:color="auto" w:fill="FFFFFF"/>
          <w:lang w:eastAsia="en-GB"/>
        </w:rPr>
        <w:t xml:space="preserve"> of this application, pursuant to the terms of rule 32(11)</w:t>
      </w:r>
      <w:r w:rsidR="00F47581">
        <w:rPr>
          <w:rFonts w:ascii="Arial" w:eastAsia="Times New Roman" w:hAnsi="Arial" w:cs="Arial"/>
          <w:color w:val="000000" w:themeColor="text1"/>
          <w:shd w:val="clear" w:color="auto" w:fill="FFFFFF"/>
          <w:lang w:val="en-US" w:eastAsia="en-GB"/>
        </w:rPr>
        <w:t>.</w:t>
      </w:r>
    </w:p>
    <w:p w:rsidR="004C59F2" w:rsidRDefault="004C59F2" w:rsidP="00475723">
      <w:pPr>
        <w:spacing w:line="360" w:lineRule="auto"/>
        <w:jc w:val="both"/>
        <w:rPr>
          <w:rFonts w:ascii="Arial" w:hAnsi="Arial"/>
        </w:rPr>
      </w:pPr>
    </w:p>
    <w:p w:rsidR="007A60D6" w:rsidRDefault="007A60D6" w:rsidP="00475723">
      <w:pPr>
        <w:spacing w:line="360" w:lineRule="auto"/>
        <w:jc w:val="both"/>
        <w:rPr>
          <w:rFonts w:ascii="Arial" w:hAnsi="Arial"/>
        </w:rPr>
      </w:pPr>
    </w:p>
    <w:p w:rsidR="007A60D6" w:rsidRDefault="007A60D6" w:rsidP="00475723">
      <w:pPr>
        <w:spacing w:line="360" w:lineRule="auto"/>
        <w:jc w:val="both"/>
        <w:rPr>
          <w:rFonts w:ascii="Arial" w:hAnsi="Arial"/>
        </w:rPr>
      </w:pPr>
    </w:p>
    <w:p w:rsidR="007A60D6" w:rsidRDefault="007A60D6" w:rsidP="00475723">
      <w:pPr>
        <w:spacing w:line="360" w:lineRule="auto"/>
        <w:jc w:val="both"/>
        <w:rPr>
          <w:rFonts w:ascii="Arial" w:hAnsi="Arial"/>
        </w:rPr>
      </w:pPr>
    </w:p>
    <w:p w:rsidR="007A60D6" w:rsidRDefault="007A60D6" w:rsidP="00475723">
      <w:pPr>
        <w:spacing w:line="360" w:lineRule="auto"/>
        <w:jc w:val="both"/>
        <w:rPr>
          <w:rFonts w:ascii="Arial" w:hAnsi="Arial"/>
        </w:rPr>
      </w:pPr>
    </w:p>
    <w:p w:rsidR="004C59F2" w:rsidRDefault="004C59F2" w:rsidP="00475723">
      <w:pPr>
        <w:spacing w:line="360" w:lineRule="auto"/>
        <w:jc w:val="both"/>
        <w:rPr>
          <w:rFonts w:ascii="Arial" w:hAnsi="Arial"/>
          <w:u w:val="single"/>
        </w:rPr>
      </w:pPr>
      <w:r w:rsidRPr="004C59F2">
        <w:rPr>
          <w:rFonts w:ascii="Arial" w:hAnsi="Arial"/>
          <w:u w:val="single"/>
        </w:rPr>
        <w:t>Order</w:t>
      </w:r>
    </w:p>
    <w:p w:rsidR="004C59F2" w:rsidRDefault="004C59F2" w:rsidP="00475723">
      <w:pPr>
        <w:spacing w:line="360" w:lineRule="auto"/>
        <w:jc w:val="both"/>
        <w:rPr>
          <w:rFonts w:ascii="Arial" w:hAnsi="Arial"/>
          <w:u w:val="single"/>
        </w:rPr>
      </w:pPr>
    </w:p>
    <w:p w:rsidR="004C59F2" w:rsidRDefault="008A2DC6" w:rsidP="00475723">
      <w:pPr>
        <w:spacing w:line="360" w:lineRule="auto"/>
        <w:jc w:val="both"/>
        <w:rPr>
          <w:rFonts w:ascii="Arial" w:hAnsi="Arial"/>
        </w:rPr>
      </w:pPr>
      <w:r>
        <w:rPr>
          <w:rFonts w:ascii="Arial" w:hAnsi="Arial"/>
        </w:rPr>
        <w:t>[</w:t>
      </w:r>
      <w:r w:rsidR="00632F3D">
        <w:rPr>
          <w:rFonts w:ascii="Arial" w:hAnsi="Arial"/>
        </w:rPr>
        <w:t>27</w:t>
      </w:r>
      <w:r w:rsidR="004C59F2">
        <w:rPr>
          <w:rFonts w:ascii="Arial" w:hAnsi="Arial"/>
        </w:rPr>
        <w:t>]</w:t>
      </w:r>
      <w:r w:rsidR="004C59F2">
        <w:rPr>
          <w:rFonts w:ascii="Arial" w:hAnsi="Arial"/>
        </w:rPr>
        <w:tab/>
        <w:t>In view of the considerations recorded above, the following</w:t>
      </w:r>
      <w:r w:rsidR="00632F3D">
        <w:rPr>
          <w:rFonts w:ascii="Arial" w:hAnsi="Arial"/>
        </w:rPr>
        <w:t xml:space="preserve"> order is </w:t>
      </w:r>
      <w:r w:rsidR="004C59F2">
        <w:rPr>
          <w:rFonts w:ascii="Arial" w:hAnsi="Arial"/>
        </w:rPr>
        <w:t>appropriate in the circumstances:</w:t>
      </w:r>
    </w:p>
    <w:p w:rsidR="00B62417" w:rsidRDefault="00B62417" w:rsidP="00475723">
      <w:pPr>
        <w:spacing w:line="360" w:lineRule="auto"/>
        <w:jc w:val="both"/>
        <w:rPr>
          <w:rFonts w:ascii="Arial" w:hAnsi="Arial"/>
        </w:rPr>
      </w:pPr>
    </w:p>
    <w:p w:rsidR="00B62417" w:rsidRPr="009839FD" w:rsidRDefault="00272463" w:rsidP="009839FD">
      <w:pPr>
        <w:pStyle w:val="ListParagraph"/>
        <w:numPr>
          <w:ilvl w:val="0"/>
          <w:numId w:val="3"/>
        </w:numPr>
        <w:spacing w:line="360" w:lineRule="auto"/>
        <w:jc w:val="both"/>
        <w:rPr>
          <w:rFonts w:ascii="Arial" w:hAnsi="Arial"/>
        </w:rPr>
      </w:pPr>
      <w:r>
        <w:rPr>
          <w:rFonts w:ascii="Arial" w:hAnsi="Arial"/>
        </w:rPr>
        <w:t xml:space="preserve">The application for </w:t>
      </w:r>
      <w:r w:rsidR="00B62417" w:rsidRPr="009839FD">
        <w:rPr>
          <w:rFonts w:ascii="Arial" w:hAnsi="Arial"/>
        </w:rPr>
        <w:t>cond</w:t>
      </w:r>
      <w:r>
        <w:rPr>
          <w:rFonts w:ascii="Arial" w:hAnsi="Arial"/>
        </w:rPr>
        <w:t>onation for</w:t>
      </w:r>
      <w:r w:rsidR="00B62417" w:rsidRPr="009839FD">
        <w:rPr>
          <w:rFonts w:ascii="Arial" w:hAnsi="Arial"/>
        </w:rPr>
        <w:t xml:space="preserve"> </w:t>
      </w:r>
      <w:r w:rsidR="00F47581" w:rsidRPr="009839FD">
        <w:rPr>
          <w:rFonts w:ascii="Arial" w:hAnsi="Arial"/>
        </w:rPr>
        <w:t xml:space="preserve">the </w:t>
      </w:r>
      <w:r>
        <w:rPr>
          <w:rFonts w:ascii="Arial" w:hAnsi="Arial"/>
        </w:rPr>
        <w:t xml:space="preserve">late filing of the discovery affidavit is </w:t>
      </w:r>
      <w:r w:rsidR="00F47581" w:rsidRPr="009839FD">
        <w:rPr>
          <w:rFonts w:ascii="Arial" w:hAnsi="Arial"/>
        </w:rPr>
        <w:t>hereby granted.</w:t>
      </w:r>
    </w:p>
    <w:p w:rsidR="00B62417" w:rsidRDefault="00F47581" w:rsidP="009839FD">
      <w:pPr>
        <w:pStyle w:val="ListParagraph"/>
        <w:numPr>
          <w:ilvl w:val="0"/>
          <w:numId w:val="3"/>
        </w:numPr>
        <w:spacing w:line="360" w:lineRule="auto"/>
        <w:jc w:val="both"/>
        <w:rPr>
          <w:rFonts w:ascii="Arial" w:hAnsi="Arial"/>
        </w:rPr>
      </w:pPr>
      <w:r>
        <w:rPr>
          <w:rFonts w:ascii="Arial" w:hAnsi="Arial"/>
        </w:rPr>
        <w:t>The discovery affidavit filed of record stands as filed.</w:t>
      </w:r>
    </w:p>
    <w:p w:rsidR="006D48A3" w:rsidRDefault="006D48A3" w:rsidP="009839FD">
      <w:pPr>
        <w:pStyle w:val="ListParagraph"/>
        <w:numPr>
          <w:ilvl w:val="0"/>
          <w:numId w:val="3"/>
        </w:numPr>
        <w:spacing w:line="360" w:lineRule="auto"/>
        <w:jc w:val="both"/>
        <w:rPr>
          <w:rFonts w:ascii="Arial" w:hAnsi="Arial"/>
        </w:rPr>
      </w:pPr>
      <w:r>
        <w:rPr>
          <w:rFonts w:ascii="Arial" w:hAnsi="Arial"/>
        </w:rPr>
        <w:t>The defendant is ordered to pay</w:t>
      </w:r>
      <w:r w:rsidR="00524B45">
        <w:rPr>
          <w:rFonts w:ascii="Arial" w:hAnsi="Arial"/>
        </w:rPr>
        <w:t xml:space="preserve"> the costs of this application which shall be subject to rule 32(11).</w:t>
      </w:r>
    </w:p>
    <w:p w:rsidR="001F375B" w:rsidRPr="006D48A3" w:rsidRDefault="009B56ED" w:rsidP="009839FD">
      <w:pPr>
        <w:pStyle w:val="ListParagraph"/>
        <w:numPr>
          <w:ilvl w:val="0"/>
          <w:numId w:val="3"/>
        </w:numPr>
        <w:spacing w:line="360" w:lineRule="auto"/>
        <w:jc w:val="both"/>
        <w:rPr>
          <w:rFonts w:ascii="Arial" w:hAnsi="Arial"/>
        </w:rPr>
      </w:pPr>
      <w:r>
        <w:rPr>
          <w:rFonts w:ascii="Arial" w:hAnsi="Arial"/>
        </w:rPr>
        <w:t>The matter is postponed to 18</w:t>
      </w:r>
      <w:r w:rsidR="00F47581" w:rsidRPr="006D48A3">
        <w:rPr>
          <w:rFonts w:ascii="Arial" w:hAnsi="Arial"/>
        </w:rPr>
        <w:t xml:space="preserve"> July 2022 for a case management conference.</w:t>
      </w:r>
    </w:p>
    <w:p w:rsidR="00B62417" w:rsidRPr="006D48A3" w:rsidRDefault="00A50074" w:rsidP="009839FD">
      <w:pPr>
        <w:pStyle w:val="ListParagraph"/>
        <w:numPr>
          <w:ilvl w:val="0"/>
          <w:numId w:val="3"/>
        </w:numPr>
        <w:spacing w:line="360" w:lineRule="auto"/>
        <w:jc w:val="both"/>
        <w:rPr>
          <w:rFonts w:ascii="Arial" w:hAnsi="Arial"/>
        </w:rPr>
      </w:pPr>
      <w:r w:rsidRPr="006D48A3">
        <w:rPr>
          <w:rFonts w:ascii="Arial" w:hAnsi="Arial"/>
        </w:rPr>
        <w:t xml:space="preserve">The </w:t>
      </w:r>
      <w:r w:rsidR="00F47581" w:rsidRPr="006D48A3">
        <w:rPr>
          <w:rFonts w:ascii="Arial" w:hAnsi="Arial"/>
        </w:rPr>
        <w:t xml:space="preserve">parties are to file a joint case management report on or </w:t>
      </w:r>
      <w:r w:rsidR="00945D90">
        <w:rPr>
          <w:rFonts w:ascii="Arial" w:hAnsi="Arial"/>
        </w:rPr>
        <w:t xml:space="preserve">before </w:t>
      </w:r>
      <w:r w:rsidR="00F47581" w:rsidRPr="006D48A3">
        <w:rPr>
          <w:rFonts w:ascii="Arial" w:hAnsi="Arial"/>
        </w:rPr>
        <w:t>1</w:t>
      </w:r>
      <w:r w:rsidR="00945D90">
        <w:rPr>
          <w:rFonts w:ascii="Arial" w:hAnsi="Arial"/>
        </w:rPr>
        <w:t>3</w:t>
      </w:r>
      <w:r w:rsidR="00F47581" w:rsidRPr="006D48A3">
        <w:rPr>
          <w:rFonts w:ascii="Arial" w:hAnsi="Arial"/>
        </w:rPr>
        <w:t xml:space="preserve"> July 2022.</w:t>
      </w:r>
    </w:p>
    <w:p w:rsidR="00382030" w:rsidRPr="006D48A3" w:rsidRDefault="00382030" w:rsidP="00382030">
      <w:pPr>
        <w:spacing w:line="360" w:lineRule="auto"/>
        <w:jc w:val="both"/>
        <w:rPr>
          <w:rFonts w:ascii="Arial" w:hAnsi="Arial"/>
        </w:rPr>
      </w:pPr>
    </w:p>
    <w:p w:rsidR="005D59FF" w:rsidRDefault="005D59FF" w:rsidP="00382030">
      <w:pPr>
        <w:spacing w:line="360" w:lineRule="auto"/>
        <w:jc w:val="right"/>
        <w:rPr>
          <w:rFonts w:ascii="Arial" w:hAnsi="Arial" w:cs="Arial"/>
        </w:rPr>
      </w:pPr>
    </w:p>
    <w:p w:rsidR="005D59FF" w:rsidRDefault="005D59FF" w:rsidP="00382030">
      <w:pPr>
        <w:spacing w:line="360" w:lineRule="auto"/>
        <w:jc w:val="right"/>
        <w:rPr>
          <w:rFonts w:ascii="Arial" w:hAnsi="Arial" w:cs="Arial"/>
        </w:rPr>
      </w:pPr>
    </w:p>
    <w:p w:rsidR="005D59FF" w:rsidRDefault="005D59FF" w:rsidP="00382030">
      <w:pPr>
        <w:spacing w:line="360" w:lineRule="auto"/>
        <w:jc w:val="right"/>
        <w:rPr>
          <w:rFonts w:ascii="Arial" w:hAnsi="Arial" w:cs="Arial"/>
        </w:rPr>
      </w:pPr>
    </w:p>
    <w:p w:rsidR="005336CE" w:rsidRDefault="005336CE" w:rsidP="00382030">
      <w:pPr>
        <w:spacing w:line="360" w:lineRule="auto"/>
        <w:jc w:val="right"/>
        <w:rPr>
          <w:rFonts w:ascii="Arial" w:hAnsi="Arial" w:cs="Arial"/>
        </w:rPr>
      </w:pPr>
    </w:p>
    <w:p w:rsidR="005336CE" w:rsidRDefault="005336CE" w:rsidP="00382030">
      <w:pPr>
        <w:spacing w:line="360" w:lineRule="auto"/>
        <w:jc w:val="right"/>
        <w:rPr>
          <w:rFonts w:ascii="Arial" w:hAnsi="Arial" w:cs="Arial"/>
        </w:rPr>
      </w:pPr>
    </w:p>
    <w:p w:rsidR="005336CE" w:rsidRDefault="005336CE" w:rsidP="00382030">
      <w:pPr>
        <w:spacing w:line="360" w:lineRule="auto"/>
        <w:jc w:val="right"/>
        <w:rPr>
          <w:rFonts w:ascii="Arial" w:hAnsi="Arial" w:cs="Arial"/>
        </w:rPr>
      </w:pPr>
    </w:p>
    <w:p w:rsidR="00382030" w:rsidRPr="008D67C9" w:rsidRDefault="005D59FF" w:rsidP="00382030">
      <w:pPr>
        <w:spacing w:line="360" w:lineRule="auto"/>
        <w:jc w:val="right"/>
        <w:rPr>
          <w:rFonts w:ascii="Arial" w:hAnsi="Arial" w:cs="Arial"/>
        </w:rPr>
      </w:pPr>
      <w:r>
        <w:rPr>
          <w:rFonts w:ascii="Arial" w:hAnsi="Arial" w:cs="Arial"/>
        </w:rPr>
        <w:t>____________</w:t>
      </w:r>
    </w:p>
    <w:p w:rsidR="00382030" w:rsidRPr="008D67C9" w:rsidRDefault="00632F3D" w:rsidP="00382030">
      <w:pPr>
        <w:spacing w:line="360" w:lineRule="auto"/>
        <w:jc w:val="right"/>
        <w:rPr>
          <w:rFonts w:ascii="Arial" w:hAnsi="Arial" w:cs="Arial"/>
        </w:rPr>
      </w:pPr>
      <w:r>
        <w:rPr>
          <w:rFonts w:ascii="Arial" w:hAnsi="Arial" w:cs="Arial"/>
        </w:rPr>
        <w:t>D.</w:t>
      </w:r>
      <w:r w:rsidR="00397D7A">
        <w:rPr>
          <w:rFonts w:ascii="Arial" w:hAnsi="Arial" w:cs="Arial"/>
        </w:rPr>
        <w:t xml:space="preserve"> </w:t>
      </w:r>
      <w:r>
        <w:rPr>
          <w:rFonts w:ascii="Arial" w:hAnsi="Arial" w:cs="Arial"/>
        </w:rPr>
        <w:t>C</w:t>
      </w:r>
      <w:r w:rsidR="00397D7A">
        <w:rPr>
          <w:rFonts w:ascii="Arial" w:hAnsi="Arial" w:cs="Arial"/>
        </w:rPr>
        <w:t xml:space="preserve">. </w:t>
      </w:r>
      <w:r>
        <w:rPr>
          <w:rFonts w:ascii="Arial" w:hAnsi="Arial" w:cs="Arial"/>
        </w:rPr>
        <w:t>MUNSU</w:t>
      </w:r>
    </w:p>
    <w:p w:rsidR="00382030" w:rsidRPr="008D67C9" w:rsidRDefault="00632F3D" w:rsidP="00382030">
      <w:pPr>
        <w:spacing w:line="360" w:lineRule="auto"/>
        <w:jc w:val="right"/>
        <w:rPr>
          <w:rFonts w:ascii="Arial" w:hAnsi="Arial" w:cs="Arial"/>
        </w:rPr>
      </w:pPr>
      <w:r>
        <w:rPr>
          <w:rFonts w:ascii="Arial" w:hAnsi="Arial" w:cs="Arial"/>
        </w:rPr>
        <w:t>ACTING JUDGE</w:t>
      </w:r>
    </w:p>
    <w:p w:rsidR="00382030" w:rsidRDefault="00632F3D" w:rsidP="00EF24F4">
      <w:pPr>
        <w:rPr>
          <w:rFonts w:ascii="Arial" w:hAnsi="Arial"/>
        </w:rPr>
      </w:pPr>
      <w:r>
        <w:rPr>
          <w:rFonts w:ascii="Arial" w:hAnsi="Arial"/>
        </w:rPr>
        <w:br w:type="page"/>
      </w:r>
      <w:r w:rsidR="00382030">
        <w:rPr>
          <w:rFonts w:ascii="Arial" w:hAnsi="Arial"/>
        </w:rPr>
        <w:lastRenderedPageBreak/>
        <w:t>APPEARANCES:</w:t>
      </w:r>
    </w:p>
    <w:p w:rsidR="00382030" w:rsidRDefault="00382030" w:rsidP="00382030">
      <w:pPr>
        <w:spacing w:line="360" w:lineRule="auto"/>
        <w:jc w:val="both"/>
        <w:rPr>
          <w:rFonts w:ascii="Arial" w:hAnsi="Arial"/>
        </w:rPr>
      </w:pPr>
    </w:p>
    <w:p w:rsidR="00397D7A" w:rsidRDefault="00397D7A" w:rsidP="00382030">
      <w:pPr>
        <w:spacing w:line="360" w:lineRule="auto"/>
        <w:jc w:val="both"/>
        <w:rPr>
          <w:rFonts w:ascii="Arial" w:hAnsi="Arial"/>
        </w:rPr>
      </w:pPr>
    </w:p>
    <w:p w:rsidR="00382030" w:rsidRDefault="00F47581" w:rsidP="00382030">
      <w:pPr>
        <w:spacing w:line="360" w:lineRule="auto"/>
        <w:jc w:val="both"/>
        <w:rPr>
          <w:rFonts w:ascii="Arial" w:hAnsi="Arial"/>
        </w:rPr>
      </w:pPr>
      <w:r>
        <w:rPr>
          <w:rFonts w:ascii="Arial" w:hAnsi="Arial"/>
        </w:rPr>
        <w:t>PLAINTIFFS</w:t>
      </w:r>
      <w:r>
        <w:rPr>
          <w:rFonts w:ascii="Arial" w:hAnsi="Arial"/>
        </w:rPr>
        <w:tab/>
      </w:r>
      <w:r w:rsidR="000F156F">
        <w:rPr>
          <w:rFonts w:ascii="Arial" w:hAnsi="Arial"/>
        </w:rPr>
        <w:tab/>
      </w:r>
      <w:r w:rsidR="000F156F">
        <w:rPr>
          <w:rFonts w:ascii="Arial" w:hAnsi="Arial"/>
        </w:rPr>
        <w:tab/>
      </w:r>
      <w:r w:rsidR="000F156F">
        <w:rPr>
          <w:rFonts w:ascii="Arial" w:hAnsi="Arial"/>
        </w:rPr>
        <w:tab/>
      </w:r>
      <w:r w:rsidR="009839FD">
        <w:rPr>
          <w:rFonts w:ascii="Arial" w:hAnsi="Arial"/>
        </w:rPr>
        <w:t>G. Mugaviri</w:t>
      </w:r>
    </w:p>
    <w:p w:rsidR="00382030" w:rsidRDefault="00413B94" w:rsidP="00413B94">
      <w:pPr>
        <w:spacing w:line="360" w:lineRule="auto"/>
        <w:ind w:left="2880" w:firstLine="720"/>
        <w:jc w:val="both"/>
        <w:rPr>
          <w:rFonts w:ascii="Arial" w:hAnsi="Arial"/>
        </w:rPr>
      </w:pPr>
      <w:r>
        <w:rPr>
          <w:rFonts w:ascii="Arial" w:hAnsi="Arial"/>
        </w:rPr>
        <w:t>O</w:t>
      </w:r>
      <w:r w:rsidR="004D419F">
        <w:rPr>
          <w:rFonts w:ascii="Arial" w:hAnsi="Arial"/>
        </w:rPr>
        <w:t xml:space="preserve">f </w:t>
      </w:r>
      <w:r w:rsidR="009839FD">
        <w:rPr>
          <w:rFonts w:ascii="Arial" w:hAnsi="Arial"/>
        </w:rPr>
        <w:t>Mugaviri</w:t>
      </w:r>
      <w:r w:rsidR="004D419F">
        <w:rPr>
          <w:rFonts w:ascii="Arial" w:hAnsi="Arial"/>
        </w:rPr>
        <w:t xml:space="preserve"> Attorneys</w:t>
      </w:r>
      <w:r w:rsidR="00397D7A">
        <w:rPr>
          <w:rFonts w:ascii="Arial" w:hAnsi="Arial"/>
        </w:rPr>
        <w:t>, Oshakati</w:t>
      </w:r>
    </w:p>
    <w:p w:rsidR="00382030" w:rsidRDefault="00382030" w:rsidP="00382030">
      <w:pPr>
        <w:spacing w:line="360" w:lineRule="auto"/>
        <w:jc w:val="both"/>
        <w:rPr>
          <w:rFonts w:ascii="Arial" w:hAnsi="Arial"/>
        </w:rPr>
      </w:pPr>
    </w:p>
    <w:p w:rsidR="00397D7A" w:rsidRDefault="00397D7A" w:rsidP="00382030">
      <w:pPr>
        <w:spacing w:line="360" w:lineRule="auto"/>
        <w:jc w:val="both"/>
        <w:rPr>
          <w:rFonts w:ascii="Arial" w:hAnsi="Arial"/>
        </w:rPr>
      </w:pPr>
    </w:p>
    <w:p w:rsidR="004D419F" w:rsidRDefault="009839FD" w:rsidP="00382030">
      <w:pPr>
        <w:spacing w:line="360" w:lineRule="auto"/>
        <w:jc w:val="both"/>
        <w:rPr>
          <w:rFonts w:ascii="Arial" w:hAnsi="Arial"/>
        </w:rPr>
      </w:pPr>
      <w:r>
        <w:rPr>
          <w:rFonts w:ascii="Arial" w:hAnsi="Arial"/>
        </w:rPr>
        <w:t>DEFENDANTS</w:t>
      </w:r>
      <w:r w:rsidR="000F156F">
        <w:rPr>
          <w:rFonts w:ascii="Arial" w:hAnsi="Arial"/>
        </w:rPr>
        <w:tab/>
      </w:r>
      <w:r w:rsidR="000F156F">
        <w:rPr>
          <w:rFonts w:ascii="Arial" w:hAnsi="Arial"/>
        </w:rPr>
        <w:tab/>
      </w:r>
      <w:r w:rsidR="000F156F">
        <w:rPr>
          <w:rFonts w:ascii="Arial" w:hAnsi="Arial"/>
        </w:rPr>
        <w:tab/>
      </w:r>
      <w:r w:rsidR="004709A0">
        <w:rPr>
          <w:rFonts w:ascii="Arial" w:hAnsi="Arial"/>
        </w:rPr>
        <w:t>J.</w:t>
      </w:r>
      <w:r w:rsidR="00397D7A">
        <w:rPr>
          <w:rFonts w:ascii="Arial" w:hAnsi="Arial"/>
        </w:rPr>
        <w:t xml:space="preserve"> </w:t>
      </w:r>
      <w:r w:rsidR="004709A0">
        <w:rPr>
          <w:rFonts w:ascii="Arial" w:hAnsi="Arial"/>
        </w:rPr>
        <w:t>L</w:t>
      </w:r>
      <w:r>
        <w:rPr>
          <w:rFonts w:ascii="Arial" w:hAnsi="Arial"/>
        </w:rPr>
        <w:t>. Matheus</w:t>
      </w:r>
      <w:r w:rsidR="004D419F">
        <w:rPr>
          <w:rFonts w:ascii="Arial" w:hAnsi="Arial"/>
        </w:rPr>
        <w:t xml:space="preserve"> </w:t>
      </w:r>
    </w:p>
    <w:p w:rsidR="004D419F" w:rsidRPr="00382030" w:rsidRDefault="009839FD" w:rsidP="00413B94">
      <w:pPr>
        <w:spacing w:line="360" w:lineRule="auto"/>
        <w:ind w:left="2880" w:firstLine="720"/>
        <w:jc w:val="both"/>
        <w:rPr>
          <w:rFonts w:ascii="Arial" w:hAnsi="Arial"/>
        </w:rPr>
      </w:pPr>
      <w:r>
        <w:rPr>
          <w:rFonts w:ascii="Arial" w:hAnsi="Arial"/>
        </w:rPr>
        <w:t>Of Slogan Matheus &amp; Associates</w:t>
      </w:r>
      <w:r w:rsidR="00397D7A">
        <w:rPr>
          <w:rFonts w:ascii="Arial" w:hAnsi="Arial"/>
        </w:rPr>
        <w:t xml:space="preserve">, </w:t>
      </w:r>
      <w:r w:rsidR="00397D7A">
        <w:rPr>
          <w:rFonts w:ascii="Arial" w:hAnsi="Arial"/>
        </w:rPr>
        <w:tab/>
        <w:t>Ongwediva</w:t>
      </w:r>
    </w:p>
    <w:sectPr w:rsidR="004D419F" w:rsidRPr="00382030" w:rsidSect="007A60D6">
      <w:headerReference w:type="even" r:id="rId12"/>
      <w:headerReference w:type="default" r:id="rId13"/>
      <w:pgSz w:w="11900" w:h="16840"/>
      <w:pgMar w:top="1134" w:right="1268"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0D" w:rsidRDefault="000D770D" w:rsidP="00C46A07">
      <w:r>
        <w:separator/>
      </w:r>
    </w:p>
  </w:endnote>
  <w:endnote w:type="continuationSeparator" w:id="0">
    <w:p w:rsidR="000D770D" w:rsidRDefault="000D770D" w:rsidP="00C4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0D" w:rsidRDefault="000D770D" w:rsidP="00C46A07">
      <w:r>
        <w:separator/>
      </w:r>
    </w:p>
  </w:footnote>
  <w:footnote w:type="continuationSeparator" w:id="0">
    <w:p w:rsidR="000D770D" w:rsidRDefault="000D770D" w:rsidP="00C46A07">
      <w:r>
        <w:continuationSeparator/>
      </w:r>
    </w:p>
  </w:footnote>
  <w:footnote w:id="1">
    <w:p w:rsidR="00B03904" w:rsidRPr="00634A39" w:rsidRDefault="00B03904" w:rsidP="00634A39">
      <w:pPr>
        <w:pStyle w:val="FootnoteText"/>
        <w:jc w:val="both"/>
        <w:rPr>
          <w:rFonts w:ascii="Arial" w:hAnsi="Arial" w:cs="Arial"/>
          <w:sz w:val="20"/>
          <w:szCs w:val="20"/>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Pr="00397D7A">
        <w:rPr>
          <w:rFonts w:ascii="Arial" w:hAnsi="Arial" w:cs="Arial"/>
          <w:i/>
          <w:sz w:val="20"/>
          <w:szCs w:val="20"/>
        </w:rPr>
        <w:t>The Civil Practice of the High Courts of South Africa</w:t>
      </w:r>
      <w:r w:rsidRPr="00397D7A">
        <w:rPr>
          <w:rFonts w:ascii="Arial" w:hAnsi="Arial" w:cs="Arial"/>
          <w:sz w:val="20"/>
          <w:szCs w:val="20"/>
        </w:rPr>
        <w:t>, 5</w:t>
      </w:r>
      <w:r w:rsidRPr="00397D7A">
        <w:rPr>
          <w:rFonts w:ascii="Arial" w:hAnsi="Arial" w:cs="Arial"/>
          <w:sz w:val="20"/>
          <w:szCs w:val="20"/>
          <w:vertAlign w:val="superscript"/>
        </w:rPr>
        <w:t>th</w:t>
      </w:r>
      <w:r w:rsidRPr="00634A39">
        <w:rPr>
          <w:rFonts w:ascii="Arial" w:hAnsi="Arial" w:cs="Arial"/>
          <w:sz w:val="20"/>
          <w:szCs w:val="20"/>
        </w:rPr>
        <w:t xml:space="preserve"> edition, Vol I, page 558.</w:t>
      </w:r>
    </w:p>
  </w:footnote>
  <w:footnote w:id="2">
    <w:p w:rsidR="009620E5" w:rsidRPr="00634A39" w:rsidRDefault="009620E5"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Ibid.</w:t>
      </w:r>
    </w:p>
  </w:footnote>
  <w:footnote w:id="3">
    <w:p w:rsidR="00EA1194" w:rsidRPr="00634A39" w:rsidRDefault="00EA1194"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Pr="00634A39">
        <w:rPr>
          <w:rFonts w:ascii="Arial" w:hAnsi="Arial" w:cs="Arial"/>
          <w:sz w:val="20"/>
          <w:szCs w:val="20"/>
          <w:lang w:val="en-US"/>
        </w:rPr>
        <w:t>This is not to say that there are no consequences for such failure as the</w:t>
      </w:r>
      <w:r w:rsidR="00CD2774">
        <w:rPr>
          <w:rFonts w:ascii="Arial" w:hAnsi="Arial" w:cs="Arial"/>
          <w:sz w:val="20"/>
          <w:szCs w:val="20"/>
          <w:lang w:val="en-US"/>
        </w:rPr>
        <w:t>re are</w:t>
      </w:r>
      <w:r w:rsidRPr="00634A39">
        <w:rPr>
          <w:rFonts w:ascii="Arial" w:hAnsi="Arial" w:cs="Arial"/>
          <w:sz w:val="20"/>
          <w:szCs w:val="20"/>
          <w:lang w:val="en-US"/>
        </w:rPr>
        <w:t xml:space="preserve"> provisions on sanctions. </w:t>
      </w:r>
    </w:p>
  </w:footnote>
  <w:footnote w:id="4">
    <w:p w:rsidR="00572755" w:rsidRPr="00634A39" w:rsidRDefault="00572755"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Pr="00634A39">
        <w:rPr>
          <w:rFonts w:ascii="Arial" w:hAnsi="Arial" w:cs="Arial"/>
          <w:i/>
          <w:sz w:val="20"/>
          <w:szCs w:val="20"/>
          <w:lang w:val="en-US"/>
        </w:rPr>
        <w:t xml:space="preserve">Minister of Health and Social Services v Amakali Matheus </w:t>
      </w:r>
      <w:r w:rsidRPr="00634A39">
        <w:rPr>
          <w:rFonts w:ascii="Arial" w:hAnsi="Arial" w:cs="Arial"/>
          <w:sz w:val="20"/>
          <w:szCs w:val="20"/>
          <w:lang w:val="en-US"/>
        </w:rPr>
        <w:t xml:space="preserve">Case no: (SA-2017/4) [2018] NASC 413 (06 December 2018). </w:t>
      </w:r>
    </w:p>
  </w:footnote>
  <w:footnote w:id="5">
    <w:p w:rsidR="00572755" w:rsidRPr="00634A39" w:rsidRDefault="00572755" w:rsidP="00634A39">
      <w:pPr>
        <w:pStyle w:val="FootnoteText"/>
        <w:jc w:val="both"/>
        <w:rPr>
          <w:rFonts w:ascii="Arial" w:hAnsi="Arial" w:cs="Arial"/>
          <w:sz w:val="20"/>
          <w:szCs w:val="20"/>
        </w:rPr>
      </w:pPr>
      <w:r w:rsidRPr="00634A39">
        <w:rPr>
          <w:rStyle w:val="FootnoteReference"/>
          <w:rFonts w:ascii="Arial" w:hAnsi="Arial" w:cs="Arial"/>
          <w:sz w:val="20"/>
          <w:szCs w:val="20"/>
        </w:rPr>
        <w:footnoteRef/>
      </w:r>
      <w:r w:rsidRPr="00634A39">
        <w:rPr>
          <w:rFonts w:ascii="Arial" w:hAnsi="Arial" w:cs="Arial"/>
          <w:sz w:val="20"/>
          <w:szCs w:val="20"/>
        </w:rPr>
        <w:t xml:space="preserve"> See </w:t>
      </w:r>
      <w:r w:rsidRPr="00634A39">
        <w:rPr>
          <w:rFonts w:ascii="Arial" w:hAnsi="Arial" w:cs="Arial"/>
          <w:i/>
          <w:sz w:val="20"/>
          <w:szCs w:val="20"/>
        </w:rPr>
        <w:t>Arangies t/a Auto Tech v Quick Build</w:t>
      </w:r>
      <w:r w:rsidRPr="00634A39">
        <w:rPr>
          <w:rFonts w:ascii="Arial" w:hAnsi="Arial" w:cs="Arial"/>
          <w:sz w:val="20"/>
          <w:szCs w:val="20"/>
        </w:rPr>
        <w:t xml:space="preserve"> 2014 (1) NR 187 (SC) para 5; </w:t>
      </w:r>
      <w:r w:rsidRPr="00634A39">
        <w:rPr>
          <w:rFonts w:ascii="Arial" w:hAnsi="Arial" w:cs="Arial"/>
          <w:i/>
          <w:sz w:val="20"/>
          <w:szCs w:val="20"/>
        </w:rPr>
        <w:t>Primedia Outdoor Namibia (Pty) Ltd v Kauluma</w:t>
      </w:r>
      <w:r w:rsidRPr="00634A39">
        <w:rPr>
          <w:rFonts w:ascii="Arial" w:hAnsi="Arial" w:cs="Arial"/>
          <w:sz w:val="20"/>
          <w:szCs w:val="20"/>
        </w:rPr>
        <w:t xml:space="preserve"> (LCA 95-2011) [2014] NALCMD 41 (17 October 2014).</w:t>
      </w:r>
    </w:p>
  </w:footnote>
  <w:footnote w:id="6">
    <w:p w:rsidR="000E52B0" w:rsidRPr="00634A39" w:rsidRDefault="000E52B0"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00572755" w:rsidRPr="00634A39">
        <w:rPr>
          <w:rFonts w:ascii="Arial" w:hAnsi="Arial" w:cs="Arial"/>
          <w:sz w:val="20"/>
          <w:szCs w:val="20"/>
        </w:rPr>
        <w:t xml:space="preserve">See also </w:t>
      </w:r>
      <w:r w:rsidRPr="00634A39">
        <w:rPr>
          <w:rFonts w:ascii="Arial" w:hAnsi="Arial" w:cs="Arial"/>
          <w:i/>
          <w:sz w:val="20"/>
          <w:szCs w:val="20"/>
          <w:lang w:val="en-US"/>
        </w:rPr>
        <w:t>Petrus v Roman Catholic Archdiocese</w:t>
      </w:r>
      <w:r w:rsidRPr="00634A39">
        <w:rPr>
          <w:rFonts w:ascii="Arial" w:hAnsi="Arial" w:cs="Arial"/>
          <w:sz w:val="20"/>
          <w:szCs w:val="20"/>
          <w:lang w:val="en-US"/>
        </w:rPr>
        <w:t xml:space="preserve"> 201</w:t>
      </w:r>
      <w:r w:rsidR="002B4A34" w:rsidRPr="00634A39">
        <w:rPr>
          <w:rFonts w:ascii="Arial" w:hAnsi="Arial" w:cs="Arial"/>
          <w:sz w:val="20"/>
          <w:szCs w:val="20"/>
          <w:lang w:val="en-US"/>
        </w:rPr>
        <w:t>1 (2) NR 637 (SC), p</w:t>
      </w:r>
      <w:r w:rsidR="00397D7A">
        <w:rPr>
          <w:rFonts w:ascii="Arial" w:hAnsi="Arial" w:cs="Arial"/>
          <w:sz w:val="20"/>
          <w:szCs w:val="20"/>
          <w:lang w:val="en-US"/>
        </w:rPr>
        <w:t xml:space="preserve"> </w:t>
      </w:r>
      <w:r w:rsidR="002B4A34" w:rsidRPr="00634A39">
        <w:rPr>
          <w:rFonts w:ascii="Arial" w:hAnsi="Arial" w:cs="Arial"/>
          <w:sz w:val="20"/>
          <w:szCs w:val="20"/>
          <w:lang w:val="en-US"/>
        </w:rPr>
        <w:t xml:space="preserve">640 para 10; </w:t>
      </w:r>
      <w:r w:rsidR="002B4A34" w:rsidRPr="00634A39">
        <w:rPr>
          <w:rFonts w:ascii="Arial" w:hAnsi="Arial" w:cs="Arial"/>
          <w:i/>
          <w:sz w:val="20"/>
          <w:szCs w:val="20"/>
          <w:lang w:val="en-US"/>
        </w:rPr>
        <w:t xml:space="preserve">Minister of Health and Social Services v Amakali </w:t>
      </w:r>
      <w:r w:rsidR="002B4A34" w:rsidRPr="00634A39">
        <w:rPr>
          <w:rFonts w:ascii="Arial" w:hAnsi="Arial" w:cs="Arial"/>
          <w:sz w:val="20"/>
          <w:szCs w:val="20"/>
          <w:lang w:val="en-US"/>
        </w:rPr>
        <w:t>2019 (1) NR 262 (SC) p 267 para 17 – 19.</w:t>
      </w:r>
      <w:r w:rsidR="005C1BBE" w:rsidRPr="00634A39">
        <w:rPr>
          <w:rFonts w:ascii="Arial" w:hAnsi="Arial" w:cs="Arial"/>
          <w:i/>
          <w:sz w:val="20"/>
          <w:szCs w:val="20"/>
          <w:lang w:val="en-ZA"/>
        </w:rPr>
        <w:t xml:space="preserve"> Balzer v Vries</w:t>
      </w:r>
      <w:r w:rsidR="005C1BBE" w:rsidRPr="00634A39">
        <w:rPr>
          <w:rFonts w:ascii="Arial" w:hAnsi="Arial" w:cs="Arial"/>
          <w:sz w:val="20"/>
          <w:szCs w:val="20"/>
          <w:lang w:val="en-ZA"/>
        </w:rPr>
        <w:t xml:space="preserve"> 2015 (2) NR 547 (SC) at 551J-552F and </w:t>
      </w:r>
      <w:r w:rsidR="005C1BBE" w:rsidRPr="00634A39">
        <w:rPr>
          <w:rFonts w:ascii="Arial" w:hAnsi="Arial" w:cs="Arial"/>
          <w:i/>
          <w:sz w:val="20"/>
          <w:szCs w:val="20"/>
          <w:lang w:val="en-ZA"/>
        </w:rPr>
        <w:t>Jossop v The State</w:t>
      </w:r>
      <w:r w:rsidR="005C1BBE" w:rsidRPr="00634A39">
        <w:rPr>
          <w:rFonts w:ascii="Arial" w:hAnsi="Arial" w:cs="Arial"/>
          <w:sz w:val="20"/>
          <w:szCs w:val="20"/>
          <w:lang w:val="en-ZA"/>
        </w:rPr>
        <w:t xml:space="preserve"> (SA 44/2016) NASC (30 August 2017).</w:t>
      </w:r>
    </w:p>
  </w:footnote>
  <w:footnote w:id="7">
    <w:p w:rsidR="009542B9" w:rsidRPr="00634A39" w:rsidRDefault="009542B9"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Pr="00634A39">
        <w:rPr>
          <w:rFonts w:ascii="Arial" w:hAnsi="Arial" w:cs="Arial"/>
          <w:sz w:val="20"/>
          <w:szCs w:val="20"/>
          <w:lang w:val="en-US"/>
        </w:rPr>
        <w:t xml:space="preserve">See </w:t>
      </w:r>
      <w:r w:rsidRPr="00634A39">
        <w:rPr>
          <w:rFonts w:ascii="Arial" w:hAnsi="Arial" w:cs="Arial"/>
          <w:i/>
          <w:sz w:val="20"/>
          <w:szCs w:val="20"/>
          <w:lang w:val="en-US"/>
        </w:rPr>
        <w:t xml:space="preserve">Minister of Health and Social Services v Amakali Matheus </w:t>
      </w:r>
      <w:r w:rsidRPr="00634A39">
        <w:rPr>
          <w:rFonts w:ascii="Arial" w:hAnsi="Arial" w:cs="Arial"/>
          <w:sz w:val="20"/>
          <w:szCs w:val="20"/>
          <w:lang w:val="en-US"/>
        </w:rPr>
        <w:t xml:space="preserve">supra. </w:t>
      </w:r>
    </w:p>
  </w:footnote>
  <w:footnote w:id="8">
    <w:p w:rsidR="00B75A4E" w:rsidRPr="00634A39" w:rsidRDefault="00B75A4E"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Pr="00634A39">
        <w:rPr>
          <w:rFonts w:ascii="Arial" w:hAnsi="Arial" w:cs="Arial"/>
          <w:i/>
          <w:sz w:val="20"/>
          <w:szCs w:val="20"/>
          <w:lang w:val="en-US"/>
        </w:rPr>
        <w:t xml:space="preserve">See The Zambezi Communal Land Board v Simataa </w:t>
      </w:r>
      <w:r w:rsidRPr="00634A39">
        <w:rPr>
          <w:rFonts w:ascii="Arial" w:hAnsi="Arial" w:cs="Arial"/>
          <w:sz w:val="20"/>
          <w:szCs w:val="20"/>
          <w:lang w:val="en-US"/>
        </w:rPr>
        <w:t xml:space="preserve">(HC-MD-CIV-ACT-CON-2019/03818) [2021] NAHCMD 10 (22 January 2021). </w:t>
      </w:r>
    </w:p>
  </w:footnote>
  <w:footnote w:id="9">
    <w:p w:rsidR="000A1931" w:rsidRPr="00634A39" w:rsidRDefault="000A1931"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Pr="00634A39">
        <w:rPr>
          <w:rFonts w:ascii="Arial" w:hAnsi="Arial" w:cs="Arial"/>
          <w:sz w:val="20"/>
          <w:szCs w:val="20"/>
          <w:lang w:val="en-US"/>
        </w:rPr>
        <w:t xml:space="preserve">See </w:t>
      </w:r>
      <w:r w:rsidRPr="00634A39">
        <w:rPr>
          <w:rFonts w:ascii="Arial" w:hAnsi="Arial" w:cs="Arial"/>
          <w:i/>
          <w:sz w:val="20"/>
          <w:szCs w:val="20"/>
          <w:lang w:val="en-US"/>
        </w:rPr>
        <w:t xml:space="preserve">RS Brick Factory Close Corporation v Radial Truss Industries (Pty) Ltd </w:t>
      </w:r>
      <w:r w:rsidRPr="00634A39">
        <w:rPr>
          <w:rFonts w:ascii="Arial" w:hAnsi="Arial" w:cs="Arial"/>
          <w:sz w:val="20"/>
          <w:szCs w:val="20"/>
          <w:lang w:val="en-US"/>
        </w:rPr>
        <w:t xml:space="preserve">(HC-MD-CIV-ACT-CON-2019/00728 [2020] NAHCMD 601 (23 December 2020). </w:t>
      </w:r>
    </w:p>
  </w:footnote>
  <w:footnote w:id="10">
    <w:p w:rsidR="006C1D42" w:rsidRPr="00634A39" w:rsidRDefault="006C1D42" w:rsidP="00634A39">
      <w:pPr>
        <w:pStyle w:val="FootnoteText"/>
        <w:jc w:val="both"/>
        <w:rPr>
          <w:rFonts w:ascii="Arial" w:hAnsi="Arial" w:cs="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00424113" w:rsidRPr="00634A39">
        <w:rPr>
          <w:rFonts w:ascii="Arial" w:hAnsi="Arial" w:cs="Arial"/>
          <w:sz w:val="20"/>
          <w:szCs w:val="20"/>
        </w:rPr>
        <w:t xml:space="preserve">See </w:t>
      </w:r>
      <w:r w:rsidR="00424113" w:rsidRPr="00634A39">
        <w:rPr>
          <w:rFonts w:ascii="Arial" w:hAnsi="Arial" w:cs="Arial"/>
          <w:i/>
          <w:sz w:val="20"/>
          <w:szCs w:val="20"/>
        </w:rPr>
        <w:t xml:space="preserve">RS Brick Factory Close Corporation v Radial Truss Industries (Pty) Ltd </w:t>
      </w:r>
      <w:r w:rsidR="003317CB">
        <w:rPr>
          <w:rFonts w:ascii="Arial" w:hAnsi="Arial" w:cs="Arial"/>
          <w:sz w:val="20"/>
          <w:szCs w:val="20"/>
          <w:lang w:val="en-US"/>
        </w:rPr>
        <w:t xml:space="preserve">Ibid para 18. </w:t>
      </w:r>
    </w:p>
  </w:footnote>
  <w:footnote w:id="11">
    <w:p w:rsidR="00F6542E" w:rsidRPr="00B17979" w:rsidRDefault="00F6542E" w:rsidP="00634A39">
      <w:pPr>
        <w:pStyle w:val="FootnoteText"/>
        <w:jc w:val="both"/>
        <w:rPr>
          <w:rFonts w:ascii="Arial" w:hAnsi="Arial"/>
          <w:sz w:val="20"/>
          <w:szCs w:val="20"/>
          <w:lang w:val="en-US"/>
        </w:rPr>
      </w:pPr>
      <w:r w:rsidRPr="00634A39">
        <w:rPr>
          <w:rStyle w:val="FootnoteReference"/>
          <w:rFonts w:ascii="Arial" w:hAnsi="Arial" w:cs="Arial"/>
          <w:sz w:val="20"/>
          <w:szCs w:val="20"/>
        </w:rPr>
        <w:footnoteRef/>
      </w:r>
      <w:r w:rsidRPr="00634A39">
        <w:rPr>
          <w:rFonts w:ascii="Arial" w:hAnsi="Arial" w:cs="Arial"/>
          <w:sz w:val="20"/>
          <w:szCs w:val="20"/>
        </w:rPr>
        <w:t xml:space="preserve"> </w:t>
      </w:r>
      <w:r w:rsidR="00B93DB6" w:rsidRPr="00634A39">
        <w:rPr>
          <w:rFonts w:ascii="Arial" w:hAnsi="Arial" w:cs="Arial"/>
          <w:i/>
          <w:sz w:val="20"/>
          <w:szCs w:val="20"/>
        </w:rPr>
        <w:t>Prosecutor-General v Paulo and Another</w:t>
      </w:r>
      <w:r w:rsidR="00B93DB6" w:rsidRPr="00634A39">
        <w:rPr>
          <w:rFonts w:ascii="Arial" w:hAnsi="Arial" w:cs="Arial"/>
          <w:sz w:val="20"/>
          <w:szCs w:val="20"/>
          <w:lang w:val="en-US"/>
        </w:rPr>
        <w:t xml:space="preserve"> </w:t>
      </w:r>
      <w:r w:rsidRPr="00634A39">
        <w:rPr>
          <w:rFonts w:ascii="Arial" w:hAnsi="Arial" w:cs="Arial"/>
          <w:sz w:val="20"/>
          <w:szCs w:val="20"/>
          <w:lang w:val="en-US"/>
        </w:rPr>
        <w:t>2017 (1) NR 178 (HC), at p.184,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2E" w:rsidRDefault="00F6542E" w:rsidP="002E3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42E" w:rsidRDefault="00F6542E" w:rsidP="002E3D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2E" w:rsidRDefault="00F6542E" w:rsidP="002E3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75C">
      <w:rPr>
        <w:rStyle w:val="PageNumber"/>
        <w:noProof/>
      </w:rPr>
      <w:t>10</w:t>
    </w:r>
    <w:r>
      <w:rPr>
        <w:rStyle w:val="PageNumber"/>
      </w:rPr>
      <w:fldChar w:fldCharType="end"/>
    </w:r>
  </w:p>
  <w:p w:rsidR="00F6542E" w:rsidRDefault="00F6542E" w:rsidP="002E3D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1C7"/>
    <w:multiLevelType w:val="hybridMultilevel"/>
    <w:tmpl w:val="7834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41A1C"/>
    <w:multiLevelType w:val="hybridMultilevel"/>
    <w:tmpl w:val="B656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D3736"/>
    <w:multiLevelType w:val="hybridMultilevel"/>
    <w:tmpl w:val="938AA2DA"/>
    <w:lvl w:ilvl="0" w:tplc="F05EF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7"/>
    <w:rsid w:val="00026FE1"/>
    <w:rsid w:val="000307B6"/>
    <w:rsid w:val="0004771A"/>
    <w:rsid w:val="00072EA9"/>
    <w:rsid w:val="00091AC7"/>
    <w:rsid w:val="000A1931"/>
    <w:rsid w:val="000A3DAF"/>
    <w:rsid w:val="000B361B"/>
    <w:rsid w:val="000B59DE"/>
    <w:rsid w:val="000D41D2"/>
    <w:rsid w:val="000D770D"/>
    <w:rsid w:val="000E52B0"/>
    <w:rsid w:val="000F156F"/>
    <w:rsid w:val="000F2CA5"/>
    <w:rsid w:val="000F6428"/>
    <w:rsid w:val="00102BDB"/>
    <w:rsid w:val="0013232E"/>
    <w:rsid w:val="00134472"/>
    <w:rsid w:val="00147F9F"/>
    <w:rsid w:val="001673EA"/>
    <w:rsid w:val="0017207F"/>
    <w:rsid w:val="00173700"/>
    <w:rsid w:val="001747E3"/>
    <w:rsid w:val="00195E8A"/>
    <w:rsid w:val="001A1771"/>
    <w:rsid w:val="001D3924"/>
    <w:rsid w:val="001D4DD4"/>
    <w:rsid w:val="001E528B"/>
    <w:rsid w:val="001F375B"/>
    <w:rsid w:val="0020121E"/>
    <w:rsid w:val="00210589"/>
    <w:rsid w:val="00214E55"/>
    <w:rsid w:val="00224357"/>
    <w:rsid w:val="00227184"/>
    <w:rsid w:val="00235284"/>
    <w:rsid w:val="002437B8"/>
    <w:rsid w:val="002467C4"/>
    <w:rsid w:val="00272463"/>
    <w:rsid w:val="002962D7"/>
    <w:rsid w:val="002B4A34"/>
    <w:rsid w:val="002B7FE1"/>
    <w:rsid w:val="002D226B"/>
    <w:rsid w:val="002E175C"/>
    <w:rsid w:val="002E3DC8"/>
    <w:rsid w:val="002F0D72"/>
    <w:rsid w:val="002F4CBE"/>
    <w:rsid w:val="003064A3"/>
    <w:rsid w:val="00307FAE"/>
    <w:rsid w:val="00310D86"/>
    <w:rsid w:val="003114C4"/>
    <w:rsid w:val="00313455"/>
    <w:rsid w:val="0031392A"/>
    <w:rsid w:val="00322776"/>
    <w:rsid w:val="0032557D"/>
    <w:rsid w:val="003317CB"/>
    <w:rsid w:val="00333F92"/>
    <w:rsid w:val="00334680"/>
    <w:rsid w:val="003400EA"/>
    <w:rsid w:val="00342567"/>
    <w:rsid w:val="00345E27"/>
    <w:rsid w:val="003538F2"/>
    <w:rsid w:val="00355F14"/>
    <w:rsid w:val="0036272F"/>
    <w:rsid w:val="003649F7"/>
    <w:rsid w:val="0036756B"/>
    <w:rsid w:val="003719AE"/>
    <w:rsid w:val="00372B4A"/>
    <w:rsid w:val="00382030"/>
    <w:rsid w:val="00396228"/>
    <w:rsid w:val="00397D7A"/>
    <w:rsid w:val="003A2094"/>
    <w:rsid w:val="003B290C"/>
    <w:rsid w:val="003C2649"/>
    <w:rsid w:val="003C2F82"/>
    <w:rsid w:val="003E3C8C"/>
    <w:rsid w:val="003E5C8C"/>
    <w:rsid w:val="003F24BD"/>
    <w:rsid w:val="00401906"/>
    <w:rsid w:val="0040510D"/>
    <w:rsid w:val="00405EFA"/>
    <w:rsid w:val="00413B94"/>
    <w:rsid w:val="004217C4"/>
    <w:rsid w:val="00424113"/>
    <w:rsid w:val="00430E84"/>
    <w:rsid w:val="004349CE"/>
    <w:rsid w:val="00441D31"/>
    <w:rsid w:val="00455FD2"/>
    <w:rsid w:val="00457618"/>
    <w:rsid w:val="00460CF1"/>
    <w:rsid w:val="004679E0"/>
    <w:rsid w:val="004709A0"/>
    <w:rsid w:val="004735B7"/>
    <w:rsid w:val="00475723"/>
    <w:rsid w:val="0047720A"/>
    <w:rsid w:val="00481EC8"/>
    <w:rsid w:val="004B3503"/>
    <w:rsid w:val="004B5BD0"/>
    <w:rsid w:val="004C59C1"/>
    <w:rsid w:val="004C59F2"/>
    <w:rsid w:val="004D0D51"/>
    <w:rsid w:val="004D1145"/>
    <w:rsid w:val="004D3C93"/>
    <w:rsid w:val="004D419F"/>
    <w:rsid w:val="004E054B"/>
    <w:rsid w:val="00500DB2"/>
    <w:rsid w:val="00501A9D"/>
    <w:rsid w:val="0051185E"/>
    <w:rsid w:val="00524B45"/>
    <w:rsid w:val="005336CE"/>
    <w:rsid w:val="00540562"/>
    <w:rsid w:val="0055260A"/>
    <w:rsid w:val="00555852"/>
    <w:rsid w:val="00555FE3"/>
    <w:rsid w:val="005569BB"/>
    <w:rsid w:val="00567729"/>
    <w:rsid w:val="00570E2C"/>
    <w:rsid w:val="00572620"/>
    <w:rsid w:val="00572755"/>
    <w:rsid w:val="005A7067"/>
    <w:rsid w:val="005A7EC8"/>
    <w:rsid w:val="005C1BBE"/>
    <w:rsid w:val="005D10CB"/>
    <w:rsid w:val="005D17F0"/>
    <w:rsid w:val="005D222D"/>
    <w:rsid w:val="005D47F6"/>
    <w:rsid w:val="005D59FF"/>
    <w:rsid w:val="005F25B3"/>
    <w:rsid w:val="005F2AC4"/>
    <w:rsid w:val="00605D2D"/>
    <w:rsid w:val="00607448"/>
    <w:rsid w:val="00613E14"/>
    <w:rsid w:val="00632F3D"/>
    <w:rsid w:val="00634A39"/>
    <w:rsid w:val="00650E1F"/>
    <w:rsid w:val="00653044"/>
    <w:rsid w:val="00673D9F"/>
    <w:rsid w:val="006A00EC"/>
    <w:rsid w:val="006A0C00"/>
    <w:rsid w:val="006C1D42"/>
    <w:rsid w:val="006D0931"/>
    <w:rsid w:val="006D48A3"/>
    <w:rsid w:val="006E486A"/>
    <w:rsid w:val="006F3335"/>
    <w:rsid w:val="006F395B"/>
    <w:rsid w:val="006F3989"/>
    <w:rsid w:val="007114BE"/>
    <w:rsid w:val="00715510"/>
    <w:rsid w:val="0074337E"/>
    <w:rsid w:val="0075590D"/>
    <w:rsid w:val="0076443A"/>
    <w:rsid w:val="00770B51"/>
    <w:rsid w:val="00771EFD"/>
    <w:rsid w:val="007743BA"/>
    <w:rsid w:val="00780190"/>
    <w:rsid w:val="0078608F"/>
    <w:rsid w:val="00793560"/>
    <w:rsid w:val="007A04A0"/>
    <w:rsid w:val="007A1CF2"/>
    <w:rsid w:val="007A60D6"/>
    <w:rsid w:val="007C14B4"/>
    <w:rsid w:val="007C2BEF"/>
    <w:rsid w:val="007C2E97"/>
    <w:rsid w:val="007C5DCE"/>
    <w:rsid w:val="007C7316"/>
    <w:rsid w:val="007E3703"/>
    <w:rsid w:val="007F5B67"/>
    <w:rsid w:val="00802673"/>
    <w:rsid w:val="00820F52"/>
    <w:rsid w:val="00826F94"/>
    <w:rsid w:val="00843925"/>
    <w:rsid w:val="008447FB"/>
    <w:rsid w:val="00853675"/>
    <w:rsid w:val="00861D7D"/>
    <w:rsid w:val="0086473D"/>
    <w:rsid w:val="00865907"/>
    <w:rsid w:val="00867C7E"/>
    <w:rsid w:val="00882E1B"/>
    <w:rsid w:val="00893C91"/>
    <w:rsid w:val="00895840"/>
    <w:rsid w:val="008A04AE"/>
    <w:rsid w:val="008A2DC6"/>
    <w:rsid w:val="008A6879"/>
    <w:rsid w:val="008B18C6"/>
    <w:rsid w:val="008B4B4C"/>
    <w:rsid w:val="008C226F"/>
    <w:rsid w:val="008C7D0E"/>
    <w:rsid w:val="008D2AD3"/>
    <w:rsid w:val="008D5408"/>
    <w:rsid w:val="008D7FBB"/>
    <w:rsid w:val="008E5136"/>
    <w:rsid w:val="008F454F"/>
    <w:rsid w:val="009034DC"/>
    <w:rsid w:val="009126DA"/>
    <w:rsid w:val="00917BD7"/>
    <w:rsid w:val="00920484"/>
    <w:rsid w:val="00921D86"/>
    <w:rsid w:val="00943950"/>
    <w:rsid w:val="00945D90"/>
    <w:rsid w:val="00952215"/>
    <w:rsid w:val="00953A45"/>
    <w:rsid w:val="009542B9"/>
    <w:rsid w:val="0095438F"/>
    <w:rsid w:val="00955A51"/>
    <w:rsid w:val="009620E5"/>
    <w:rsid w:val="0096365C"/>
    <w:rsid w:val="00972B45"/>
    <w:rsid w:val="009839FD"/>
    <w:rsid w:val="00990DF3"/>
    <w:rsid w:val="009958B0"/>
    <w:rsid w:val="009A20E4"/>
    <w:rsid w:val="009B052A"/>
    <w:rsid w:val="009B56ED"/>
    <w:rsid w:val="009C4C94"/>
    <w:rsid w:val="009C5085"/>
    <w:rsid w:val="009D65EE"/>
    <w:rsid w:val="009E040A"/>
    <w:rsid w:val="009E46A2"/>
    <w:rsid w:val="00A05947"/>
    <w:rsid w:val="00A07C21"/>
    <w:rsid w:val="00A25514"/>
    <w:rsid w:val="00A278E9"/>
    <w:rsid w:val="00A50074"/>
    <w:rsid w:val="00A50147"/>
    <w:rsid w:val="00A5019F"/>
    <w:rsid w:val="00A54E70"/>
    <w:rsid w:val="00A87683"/>
    <w:rsid w:val="00AA7C38"/>
    <w:rsid w:val="00AC2CFF"/>
    <w:rsid w:val="00AD088A"/>
    <w:rsid w:val="00AD4228"/>
    <w:rsid w:val="00AE0A4E"/>
    <w:rsid w:val="00AF2206"/>
    <w:rsid w:val="00AF24E3"/>
    <w:rsid w:val="00B03904"/>
    <w:rsid w:val="00B17979"/>
    <w:rsid w:val="00B17F98"/>
    <w:rsid w:val="00B36A8B"/>
    <w:rsid w:val="00B41E1F"/>
    <w:rsid w:val="00B456C4"/>
    <w:rsid w:val="00B47FE7"/>
    <w:rsid w:val="00B53408"/>
    <w:rsid w:val="00B605BE"/>
    <w:rsid w:val="00B62417"/>
    <w:rsid w:val="00B66935"/>
    <w:rsid w:val="00B701E8"/>
    <w:rsid w:val="00B75A4E"/>
    <w:rsid w:val="00B81431"/>
    <w:rsid w:val="00B83703"/>
    <w:rsid w:val="00B84335"/>
    <w:rsid w:val="00B93DB6"/>
    <w:rsid w:val="00BA2473"/>
    <w:rsid w:val="00BA4B76"/>
    <w:rsid w:val="00BE00CB"/>
    <w:rsid w:val="00BE01B0"/>
    <w:rsid w:val="00BE269A"/>
    <w:rsid w:val="00BF37F0"/>
    <w:rsid w:val="00C03E11"/>
    <w:rsid w:val="00C0444F"/>
    <w:rsid w:val="00C058C9"/>
    <w:rsid w:val="00C07D09"/>
    <w:rsid w:val="00C1413B"/>
    <w:rsid w:val="00C469A4"/>
    <w:rsid w:val="00C46A07"/>
    <w:rsid w:val="00C57258"/>
    <w:rsid w:val="00C62B79"/>
    <w:rsid w:val="00C65B13"/>
    <w:rsid w:val="00C73C6E"/>
    <w:rsid w:val="00C82D3C"/>
    <w:rsid w:val="00C82F83"/>
    <w:rsid w:val="00C86B06"/>
    <w:rsid w:val="00C95880"/>
    <w:rsid w:val="00CB7A42"/>
    <w:rsid w:val="00CD0796"/>
    <w:rsid w:val="00CD2774"/>
    <w:rsid w:val="00CF14F9"/>
    <w:rsid w:val="00CF3BD9"/>
    <w:rsid w:val="00CF56AD"/>
    <w:rsid w:val="00D1127A"/>
    <w:rsid w:val="00D22410"/>
    <w:rsid w:val="00D2461D"/>
    <w:rsid w:val="00D335BE"/>
    <w:rsid w:val="00D63D03"/>
    <w:rsid w:val="00D65CD8"/>
    <w:rsid w:val="00D67550"/>
    <w:rsid w:val="00D70551"/>
    <w:rsid w:val="00D7588B"/>
    <w:rsid w:val="00D847AC"/>
    <w:rsid w:val="00DB0334"/>
    <w:rsid w:val="00DB0C7C"/>
    <w:rsid w:val="00DB3DDD"/>
    <w:rsid w:val="00DB486D"/>
    <w:rsid w:val="00DC19FF"/>
    <w:rsid w:val="00DC7B6B"/>
    <w:rsid w:val="00DE223A"/>
    <w:rsid w:val="00DE6CF6"/>
    <w:rsid w:val="00E006F2"/>
    <w:rsid w:val="00E20677"/>
    <w:rsid w:val="00E309FA"/>
    <w:rsid w:val="00E326B9"/>
    <w:rsid w:val="00E35D14"/>
    <w:rsid w:val="00E4256A"/>
    <w:rsid w:val="00E8170B"/>
    <w:rsid w:val="00E855BA"/>
    <w:rsid w:val="00E93E23"/>
    <w:rsid w:val="00E9402A"/>
    <w:rsid w:val="00E94C0F"/>
    <w:rsid w:val="00EA1194"/>
    <w:rsid w:val="00EA42B3"/>
    <w:rsid w:val="00EA464B"/>
    <w:rsid w:val="00ED359F"/>
    <w:rsid w:val="00ED3E39"/>
    <w:rsid w:val="00EE16F4"/>
    <w:rsid w:val="00EF24F4"/>
    <w:rsid w:val="00F02084"/>
    <w:rsid w:val="00F12B3D"/>
    <w:rsid w:val="00F21119"/>
    <w:rsid w:val="00F31D72"/>
    <w:rsid w:val="00F3683F"/>
    <w:rsid w:val="00F47581"/>
    <w:rsid w:val="00F475E1"/>
    <w:rsid w:val="00F50EEA"/>
    <w:rsid w:val="00F6542E"/>
    <w:rsid w:val="00F73CA0"/>
    <w:rsid w:val="00F75131"/>
    <w:rsid w:val="00F915EF"/>
    <w:rsid w:val="00F97BF1"/>
    <w:rsid w:val="00FB731A"/>
    <w:rsid w:val="00FC6151"/>
    <w:rsid w:val="00FE2637"/>
    <w:rsid w:val="00FE7F9E"/>
    <w:rsid w:val="00FF0EAE"/>
    <w:rsid w:val="00FF4591"/>
    <w:rsid w:val="00FF7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5F18CB4-29FE-4A12-8268-AD7D50F2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9E"/>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C46A07"/>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C46A07"/>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C46A07"/>
    <w:rPr>
      <w:vertAlign w:val="superscript"/>
    </w:rPr>
  </w:style>
  <w:style w:type="paragraph" w:styleId="Header">
    <w:name w:val="header"/>
    <w:basedOn w:val="Normal"/>
    <w:link w:val="HeaderChar"/>
    <w:uiPriority w:val="99"/>
    <w:unhideWhenUsed/>
    <w:rsid w:val="002E3DC8"/>
    <w:pPr>
      <w:tabs>
        <w:tab w:val="center" w:pos="4320"/>
        <w:tab w:val="right" w:pos="8640"/>
      </w:tabs>
    </w:pPr>
  </w:style>
  <w:style w:type="character" w:customStyle="1" w:styleId="HeaderChar">
    <w:name w:val="Header Char"/>
    <w:basedOn w:val="DefaultParagraphFont"/>
    <w:link w:val="Header"/>
    <w:uiPriority w:val="99"/>
    <w:rsid w:val="002E3DC8"/>
  </w:style>
  <w:style w:type="character" w:styleId="PageNumber">
    <w:name w:val="page number"/>
    <w:basedOn w:val="DefaultParagraphFont"/>
    <w:uiPriority w:val="99"/>
    <w:semiHidden/>
    <w:unhideWhenUsed/>
    <w:rsid w:val="002E3DC8"/>
  </w:style>
  <w:style w:type="paragraph" w:styleId="Footer">
    <w:name w:val="footer"/>
    <w:basedOn w:val="Normal"/>
    <w:link w:val="FooterChar"/>
    <w:uiPriority w:val="99"/>
    <w:unhideWhenUsed/>
    <w:rsid w:val="00AF24E3"/>
    <w:pPr>
      <w:tabs>
        <w:tab w:val="center" w:pos="4513"/>
        <w:tab w:val="right" w:pos="9026"/>
      </w:tabs>
    </w:pPr>
  </w:style>
  <w:style w:type="character" w:customStyle="1" w:styleId="FooterChar">
    <w:name w:val="Footer Char"/>
    <w:basedOn w:val="DefaultParagraphFont"/>
    <w:link w:val="Footer"/>
    <w:uiPriority w:val="99"/>
    <w:rsid w:val="00AF24E3"/>
  </w:style>
  <w:style w:type="paragraph" w:styleId="BalloonText">
    <w:name w:val="Balloon Text"/>
    <w:basedOn w:val="Normal"/>
    <w:link w:val="BalloonTextChar"/>
    <w:uiPriority w:val="99"/>
    <w:semiHidden/>
    <w:unhideWhenUsed/>
    <w:rsid w:val="00BA2473"/>
    <w:rPr>
      <w:rFonts w:ascii="Lucida Grande" w:hAnsi="Lucida Grande"/>
      <w:sz w:val="18"/>
      <w:szCs w:val="18"/>
    </w:rPr>
  </w:style>
  <w:style w:type="character" w:customStyle="1" w:styleId="BalloonTextChar">
    <w:name w:val="Balloon Text Char"/>
    <w:basedOn w:val="DefaultParagraphFont"/>
    <w:link w:val="BalloonText"/>
    <w:uiPriority w:val="99"/>
    <w:semiHidden/>
    <w:rsid w:val="00BA24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8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2022-06-12T18:30:00+00:00</Judgment_x0020_Date>
    <Year xmlns="c1afb1bd-f2fb-40fd-9abb-aea55b4d7662">2022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A0A6-4C80-4130-9A93-B0E086189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CCD86-2694-46ED-B635-89B2AF1E540A}">
  <ds:schemaRefs>
    <ds:schemaRef ds:uri="http://schemas.microsoft.com/sharepoint/v3/contenttype/forms"/>
  </ds:schemaRefs>
</ds:datastoreItem>
</file>

<file path=customXml/itemProps3.xml><?xml version="1.0" encoding="utf-8"?>
<ds:datastoreItem xmlns:ds="http://schemas.openxmlformats.org/officeDocument/2006/customXml" ds:itemID="{8B5042D6-5906-49A9-8464-F0F4612B32E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1F0AAA86-09AB-47C5-935F-BE204FEB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Shihepo v Project Hope Namibia (HC-NLD-CIV-ACT-CON-2021-00218) [2022] NAHCNLD 61 (13 June 2022)</vt:lpstr>
    </vt:vector>
  </TitlesOfParts>
  <Company>High Court of Namibia</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Shihepo v Project Hope Namibia (HC-NLD-CIV-ACT-CON-2021-00218) [2022] NAHCNLD 61 (13 June 2022)</dc:title>
  <dc:creator>Thomas Masuku</dc:creator>
  <cp:lastModifiedBy>HOME</cp:lastModifiedBy>
  <cp:revision>2</cp:revision>
  <cp:lastPrinted>2020-07-09T14:16:00Z</cp:lastPrinted>
  <dcterms:created xsi:type="dcterms:W3CDTF">2022-06-25T15:30:00Z</dcterms:created>
  <dcterms:modified xsi:type="dcterms:W3CDTF">2022-06-25T15:30:00Z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