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BC" w:rsidRPr="00C15594" w:rsidRDefault="003562BC" w:rsidP="003562BC">
      <w:pPr>
        <w:spacing w:line="252" w:lineRule="auto"/>
        <w:jc w:val="center"/>
        <w:rPr>
          <w:rFonts w:ascii="Arial" w:hAnsi="Arial" w:cs="Arial"/>
          <w:b/>
          <w:sz w:val="24"/>
          <w:szCs w:val="24"/>
        </w:rPr>
      </w:pPr>
      <w:r w:rsidRPr="00C15594">
        <w:rPr>
          <w:rFonts w:ascii="Arial" w:hAnsi="Arial" w:cs="Arial"/>
          <w:b/>
          <w:sz w:val="24"/>
          <w:szCs w:val="24"/>
        </w:rPr>
        <w:t>REPUBLIC OF NAMIBIA</w:t>
      </w:r>
    </w:p>
    <w:p w:rsidR="003562BC" w:rsidRPr="000A3432" w:rsidRDefault="003562BC" w:rsidP="003562BC">
      <w:pPr>
        <w:spacing w:line="252" w:lineRule="auto"/>
        <w:jc w:val="center"/>
        <w:rPr>
          <w:rFonts w:ascii="Arial" w:hAnsi="Arial" w:cs="Arial"/>
          <w:b/>
          <w:sz w:val="24"/>
          <w:szCs w:val="24"/>
          <w:lang w:val="en-GB"/>
        </w:rPr>
      </w:pPr>
      <w:r w:rsidRPr="000A3432">
        <w:rPr>
          <w:rFonts w:ascii="Arial" w:hAnsi="Arial" w:cs="Arial"/>
          <w:b/>
          <w:noProof/>
          <w:sz w:val="24"/>
          <w:szCs w:val="24"/>
          <w:lang w:val="en-ZA" w:eastAsia="en-ZA"/>
        </w:rPr>
        <w:drawing>
          <wp:inline distT="0" distB="0" distL="0" distR="0" wp14:anchorId="109C49E8" wp14:editId="56CBFFE7">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3562BC" w:rsidRPr="000A3432" w:rsidRDefault="003562BC" w:rsidP="003562BC">
      <w:pPr>
        <w:spacing w:line="252" w:lineRule="auto"/>
        <w:jc w:val="center"/>
        <w:rPr>
          <w:rFonts w:ascii="Arial" w:hAnsi="Arial" w:cs="Arial"/>
          <w:b/>
          <w:sz w:val="24"/>
          <w:szCs w:val="24"/>
          <w:lang w:val="en-GB"/>
        </w:rPr>
      </w:pPr>
      <w:r w:rsidRPr="000A3432">
        <w:rPr>
          <w:rFonts w:ascii="Arial" w:hAnsi="Arial" w:cs="Arial"/>
          <w:b/>
          <w:sz w:val="24"/>
          <w:szCs w:val="24"/>
          <w:lang w:val="en-GB"/>
        </w:rPr>
        <w:t>IN THE HIGH COURT OF NAMIBIA, NORTHERN LOCAL DIVISION</w:t>
      </w:r>
    </w:p>
    <w:p w:rsidR="003562BC" w:rsidRPr="000A3432" w:rsidRDefault="003562BC" w:rsidP="003562BC">
      <w:pPr>
        <w:spacing w:line="252" w:lineRule="auto"/>
        <w:jc w:val="center"/>
        <w:rPr>
          <w:rFonts w:ascii="Arial" w:hAnsi="Arial" w:cs="Arial"/>
          <w:b/>
          <w:sz w:val="24"/>
          <w:szCs w:val="24"/>
          <w:lang w:val="en-GB"/>
        </w:rPr>
      </w:pPr>
    </w:p>
    <w:p w:rsidR="003562BC" w:rsidRPr="000A3432" w:rsidRDefault="003562BC" w:rsidP="003562BC">
      <w:pPr>
        <w:spacing w:line="252" w:lineRule="auto"/>
        <w:jc w:val="center"/>
        <w:rPr>
          <w:rFonts w:ascii="Arial" w:hAnsi="Arial" w:cs="Arial"/>
          <w:b/>
          <w:sz w:val="24"/>
          <w:szCs w:val="24"/>
          <w:lang w:val="en-GB"/>
        </w:rPr>
      </w:pPr>
      <w:r w:rsidRPr="000A3432">
        <w:rPr>
          <w:rFonts w:ascii="Arial" w:hAnsi="Arial" w:cs="Arial"/>
          <w:b/>
          <w:sz w:val="24"/>
          <w:szCs w:val="24"/>
          <w:lang w:val="en-GB"/>
        </w:rPr>
        <w:t>HELD AT OSHAKATI</w:t>
      </w:r>
    </w:p>
    <w:p w:rsidR="003562BC" w:rsidRPr="000A3432" w:rsidRDefault="003562BC" w:rsidP="003562BC">
      <w:pPr>
        <w:spacing w:line="252" w:lineRule="auto"/>
        <w:jc w:val="center"/>
        <w:rPr>
          <w:rFonts w:ascii="Arial" w:hAnsi="Arial" w:cs="Arial"/>
          <w:b/>
          <w:sz w:val="24"/>
          <w:szCs w:val="24"/>
          <w:lang w:val="en-GB"/>
        </w:rPr>
      </w:pPr>
    </w:p>
    <w:p w:rsidR="003562BC" w:rsidRPr="000A3432" w:rsidRDefault="003562BC" w:rsidP="003562BC">
      <w:pPr>
        <w:spacing w:line="252" w:lineRule="auto"/>
        <w:jc w:val="center"/>
        <w:rPr>
          <w:rFonts w:ascii="Arial" w:hAnsi="Arial" w:cs="Arial"/>
          <w:b/>
          <w:sz w:val="24"/>
          <w:szCs w:val="24"/>
          <w:lang w:val="en-GB"/>
        </w:rPr>
      </w:pPr>
      <w:r w:rsidRPr="000A3432">
        <w:rPr>
          <w:rFonts w:ascii="Arial" w:hAnsi="Arial" w:cs="Arial"/>
          <w:b/>
          <w:sz w:val="24"/>
          <w:szCs w:val="24"/>
          <w:lang w:val="en-GB"/>
        </w:rPr>
        <w:t>APPEAL JUDGEMENT</w:t>
      </w:r>
    </w:p>
    <w:p w:rsidR="003562BC" w:rsidRPr="000A3432" w:rsidRDefault="003562BC" w:rsidP="003562BC">
      <w:pPr>
        <w:spacing w:line="252" w:lineRule="auto"/>
        <w:jc w:val="both"/>
        <w:rPr>
          <w:rFonts w:ascii="Arial" w:hAnsi="Arial" w:cs="Arial"/>
          <w:sz w:val="24"/>
          <w:szCs w:val="24"/>
          <w:lang w:val="en-GB"/>
        </w:rPr>
      </w:pPr>
    </w:p>
    <w:tbl>
      <w:tblPr>
        <w:tblStyle w:val="TableGrid"/>
        <w:tblW w:w="10051" w:type="dxa"/>
        <w:tblInd w:w="-275" w:type="dxa"/>
        <w:tblLook w:val="04A0" w:firstRow="1" w:lastRow="0" w:firstColumn="1" w:lastColumn="0" w:noHBand="0" w:noVBand="1"/>
      </w:tblPr>
      <w:tblGrid>
        <w:gridCol w:w="4783"/>
        <w:gridCol w:w="306"/>
        <w:gridCol w:w="4962"/>
      </w:tblGrid>
      <w:tr w:rsidR="003562BC" w:rsidRPr="000A3432" w:rsidTr="00DA6876">
        <w:tc>
          <w:tcPr>
            <w:tcW w:w="4783" w:type="dxa"/>
            <w:vMerge w:val="restart"/>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b/>
                <w:sz w:val="24"/>
                <w:szCs w:val="24"/>
                <w:lang w:val="en-GB"/>
              </w:rPr>
            </w:pPr>
            <w:r w:rsidRPr="000A3432">
              <w:rPr>
                <w:rFonts w:ascii="Arial" w:hAnsi="Arial" w:cs="Arial"/>
                <w:b/>
                <w:sz w:val="24"/>
                <w:szCs w:val="24"/>
                <w:lang w:val="en-GB"/>
              </w:rPr>
              <w:t>Case Title:</w:t>
            </w:r>
          </w:p>
          <w:p w:rsidR="003562BC" w:rsidRPr="000A3432" w:rsidRDefault="003562BC" w:rsidP="00DA6876">
            <w:pPr>
              <w:spacing w:line="360" w:lineRule="auto"/>
              <w:jc w:val="both"/>
              <w:rPr>
                <w:rFonts w:ascii="Arial" w:hAnsi="Arial" w:cs="Arial"/>
                <w:sz w:val="24"/>
                <w:szCs w:val="24"/>
                <w:lang w:val="en-GB"/>
              </w:rPr>
            </w:pPr>
            <w:proofErr w:type="spellStart"/>
            <w:r w:rsidRPr="000A3432">
              <w:rPr>
                <w:rFonts w:ascii="Arial" w:hAnsi="Arial" w:cs="Arial"/>
                <w:sz w:val="24"/>
                <w:szCs w:val="24"/>
                <w:lang w:val="en-GB"/>
              </w:rPr>
              <w:t>Loide</w:t>
            </w:r>
            <w:proofErr w:type="spellEnd"/>
            <w:r w:rsidRPr="000A3432">
              <w:rPr>
                <w:rFonts w:ascii="Arial" w:hAnsi="Arial" w:cs="Arial"/>
                <w:sz w:val="24"/>
                <w:szCs w:val="24"/>
                <w:lang w:val="en-GB"/>
              </w:rPr>
              <w:t xml:space="preserve"> </w:t>
            </w:r>
            <w:proofErr w:type="spellStart"/>
            <w:r w:rsidRPr="000A3432">
              <w:rPr>
                <w:rFonts w:ascii="Arial" w:hAnsi="Arial" w:cs="Arial"/>
                <w:sz w:val="24"/>
                <w:szCs w:val="24"/>
                <w:lang w:val="en-GB"/>
              </w:rPr>
              <w:t>Phillipus</w:t>
            </w:r>
            <w:proofErr w:type="spellEnd"/>
            <w:r w:rsidRPr="000A3432">
              <w:rPr>
                <w:rFonts w:ascii="Arial" w:hAnsi="Arial" w:cs="Arial"/>
                <w:sz w:val="24"/>
                <w:szCs w:val="24"/>
                <w:lang w:val="en-GB"/>
              </w:rPr>
              <w:t xml:space="preserve">  v The State</w:t>
            </w:r>
          </w:p>
          <w:p w:rsidR="003562BC" w:rsidRPr="000A3432" w:rsidRDefault="003562BC" w:rsidP="00DA6876">
            <w:pPr>
              <w:spacing w:line="360" w:lineRule="auto"/>
              <w:jc w:val="both"/>
              <w:rPr>
                <w:rFonts w:ascii="Arial" w:hAnsi="Arial" w:cs="Arial"/>
                <w:i/>
                <w:sz w:val="24"/>
                <w:szCs w:val="24"/>
                <w:lang w:val="en-GB"/>
              </w:rPr>
            </w:pPr>
            <w:r w:rsidRPr="000A3432">
              <w:rPr>
                <w:rFonts w:ascii="Arial" w:hAnsi="Arial" w:cs="Arial"/>
                <w:i/>
                <w:sz w:val="24"/>
                <w:szCs w:val="24"/>
                <w:lang w:val="en-GB"/>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3562BC" w:rsidRPr="000A3432" w:rsidRDefault="005E567C" w:rsidP="00DA6876">
            <w:pPr>
              <w:spacing w:line="360" w:lineRule="auto"/>
              <w:jc w:val="both"/>
              <w:rPr>
                <w:rFonts w:ascii="Arial" w:hAnsi="Arial" w:cs="Arial"/>
                <w:sz w:val="24"/>
                <w:szCs w:val="24"/>
                <w:lang w:val="en-GB"/>
              </w:rPr>
            </w:pPr>
            <w:r>
              <w:rPr>
                <w:rFonts w:ascii="Arial" w:hAnsi="Arial" w:cs="Arial"/>
                <w:sz w:val="24"/>
                <w:szCs w:val="24"/>
                <w:lang w:val="en-GB"/>
              </w:rPr>
              <w:t>Case n</w:t>
            </w:r>
            <w:r w:rsidR="003562BC" w:rsidRPr="005E567C">
              <w:rPr>
                <w:rFonts w:ascii="Arial" w:hAnsi="Arial" w:cs="Arial"/>
                <w:sz w:val="24"/>
                <w:szCs w:val="24"/>
                <w:lang w:val="en-GB"/>
              </w:rPr>
              <w:t>o.:</w:t>
            </w:r>
            <w:r w:rsidR="003562BC" w:rsidRPr="005E567C">
              <w:rPr>
                <w:rFonts w:ascii="Arial" w:eastAsia="Times New Roman" w:hAnsi="Arial" w:cs="Arial"/>
                <w:sz w:val="24"/>
                <w:szCs w:val="24"/>
                <w:lang w:val="en-GB" w:eastAsia="en-GB"/>
              </w:rPr>
              <w:t>HC</w:t>
            </w:r>
            <w:r w:rsidR="003562BC" w:rsidRPr="000A3432">
              <w:rPr>
                <w:rFonts w:ascii="Arial" w:eastAsia="Times New Roman" w:hAnsi="Arial" w:cs="Arial"/>
                <w:sz w:val="24"/>
                <w:szCs w:val="24"/>
                <w:lang w:val="en-GB" w:eastAsia="en-GB"/>
              </w:rPr>
              <w:t>-NLD-CRI-APP-CAL-2022/00037</w:t>
            </w:r>
          </w:p>
          <w:p w:rsidR="003562BC" w:rsidRPr="000A3432" w:rsidRDefault="003562BC" w:rsidP="00DA6876">
            <w:pPr>
              <w:spacing w:line="360" w:lineRule="auto"/>
              <w:jc w:val="both"/>
              <w:rPr>
                <w:rFonts w:ascii="Arial" w:hAnsi="Arial" w:cs="Arial"/>
                <w:sz w:val="24"/>
                <w:szCs w:val="24"/>
                <w:lang w:val="en-GB"/>
              </w:rPr>
            </w:pPr>
          </w:p>
        </w:tc>
      </w:tr>
      <w:tr w:rsidR="003562BC" w:rsidRPr="000A3432" w:rsidTr="00DA6876">
        <w:tc>
          <w:tcPr>
            <w:tcW w:w="0" w:type="auto"/>
            <w:vMerge/>
            <w:tcBorders>
              <w:top w:val="single" w:sz="4" w:space="0" w:color="auto"/>
              <w:left w:val="single" w:sz="4" w:space="0" w:color="auto"/>
              <w:bottom w:val="single" w:sz="4" w:space="0" w:color="auto"/>
              <w:right w:val="single" w:sz="4" w:space="0" w:color="auto"/>
            </w:tcBorders>
            <w:vAlign w:val="center"/>
            <w:hideMark/>
          </w:tcPr>
          <w:p w:rsidR="003562BC" w:rsidRPr="000A3432" w:rsidRDefault="003562BC" w:rsidP="00DA6876">
            <w:pPr>
              <w:spacing w:line="240" w:lineRule="auto"/>
              <w:rPr>
                <w:rFonts w:ascii="Arial" w:hAnsi="Arial" w:cs="Arial"/>
                <w:i/>
                <w:sz w:val="24"/>
                <w:szCs w:val="24"/>
                <w:lang w:val="en-GB"/>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b/>
                <w:sz w:val="24"/>
                <w:szCs w:val="24"/>
                <w:lang w:val="en-GB"/>
              </w:rPr>
            </w:pPr>
            <w:r w:rsidRPr="000A3432">
              <w:rPr>
                <w:rFonts w:ascii="Arial" w:hAnsi="Arial" w:cs="Arial"/>
                <w:b/>
                <w:sz w:val="24"/>
                <w:szCs w:val="24"/>
                <w:lang w:val="en-GB"/>
              </w:rPr>
              <w:t xml:space="preserve">Division of Court: </w:t>
            </w:r>
          </w:p>
          <w:p w:rsidR="003562BC" w:rsidRPr="000A3432" w:rsidRDefault="003562BC" w:rsidP="00DA6876">
            <w:pPr>
              <w:spacing w:line="360" w:lineRule="auto"/>
              <w:jc w:val="both"/>
              <w:rPr>
                <w:rFonts w:ascii="Arial" w:hAnsi="Arial" w:cs="Arial"/>
                <w:sz w:val="24"/>
                <w:szCs w:val="24"/>
                <w:lang w:val="en-GB"/>
              </w:rPr>
            </w:pPr>
            <w:r w:rsidRPr="000A3432">
              <w:rPr>
                <w:rFonts w:ascii="Arial" w:hAnsi="Arial" w:cs="Arial"/>
                <w:sz w:val="24"/>
                <w:szCs w:val="24"/>
                <w:lang w:val="en-GB"/>
              </w:rPr>
              <w:t>Northern Local Division</w:t>
            </w:r>
          </w:p>
        </w:tc>
      </w:tr>
      <w:tr w:rsidR="003562BC" w:rsidRPr="000A3432" w:rsidTr="00C15594">
        <w:trPr>
          <w:trHeight w:val="1565"/>
        </w:trPr>
        <w:tc>
          <w:tcPr>
            <w:tcW w:w="4783" w:type="dxa"/>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b/>
                <w:sz w:val="24"/>
                <w:szCs w:val="24"/>
                <w:lang w:val="en-GB"/>
              </w:rPr>
            </w:pPr>
            <w:r w:rsidRPr="000A3432">
              <w:rPr>
                <w:rFonts w:ascii="Arial" w:hAnsi="Arial" w:cs="Arial"/>
                <w:b/>
                <w:sz w:val="24"/>
                <w:szCs w:val="24"/>
                <w:lang w:val="en-GB"/>
              </w:rPr>
              <w:t xml:space="preserve">Heard before:  </w:t>
            </w:r>
          </w:p>
          <w:p w:rsidR="003562BC" w:rsidRPr="000A3432" w:rsidRDefault="003562BC" w:rsidP="00DA6876">
            <w:pPr>
              <w:spacing w:line="360" w:lineRule="auto"/>
              <w:jc w:val="both"/>
              <w:rPr>
                <w:rFonts w:ascii="Arial" w:hAnsi="Arial" w:cs="Arial"/>
                <w:sz w:val="24"/>
                <w:szCs w:val="24"/>
                <w:lang w:val="en-GB"/>
              </w:rPr>
            </w:pPr>
            <w:r w:rsidRPr="000A3432">
              <w:rPr>
                <w:rFonts w:ascii="Arial" w:hAnsi="Arial" w:cs="Arial"/>
                <w:sz w:val="24"/>
                <w:szCs w:val="24"/>
                <w:lang w:val="en-GB"/>
              </w:rPr>
              <w:t xml:space="preserve">Honourable Lady Justice </w:t>
            </w:r>
            <w:proofErr w:type="spellStart"/>
            <w:r w:rsidRPr="000A3432">
              <w:rPr>
                <w:rFonts w:ascii="Arial" w:hAnsi="Arial" w:cs="Arial"/>
                <w:sz w:val="24"/>
                <w:szCs w:val="24"/>
                <w:lang w:val="en-GB"/>
              </w:rPr>
              <w:t>Salionga</w:t>
            </w:r>
            <w:proofErr w:type="spellEnd"/>
            <w:r w:rsidRPr="000A3432">
              <w:rPr>
                <w:rFonts w:ascii="Arial" w:hAnsi="Arial" w:cs="Arial"/>
                <w:sz w:val="24"/>
                <w:szCs w:val="24"/>
                <w:lang w:val="en-GB"/>
              </w:rPr>
              <w:t xml:space="preserve"> J et</w:t>
            </w:r>
          </w:p>
          <w:p w:rsidR="003562BC" w:rsidRPr="000A3432" w:rsidRDefault="003562BC" w:rsidP="003562BC">
            <w:pPr>
              <w:spacing w:line="360" w:lineRule="auto"/>
              <w:jc w:val="both"/>
              <w:rPr>
                <w:rFonts w:ascii="Arial" w:hAnsi="Arial" w:cs="Arial"/>
                <w:sz w:val="24"/>
                <w:szCs w:val="24"/>
                <w:lang w:val="en-GB"/>
              </w:rPr>
            </w:pPr>
            <w:r w:rsidRPr="000A3432">
              <w:rPr>
                <w:rFonts w:ascii="Arial" w:hAnsi="Arial" w:cs="Arial"/>
                <w:sz w:val="24"/>
                <w:szCs w:val="24"/>
                <w:lang w:val="en-GB"/>
              </w:rPr>
              <w:t xml:space="preserve">Honourable </w:t>
            </w:r>
            <w:r w:rsidR="000A3432" w:rsidRPr="000A3432">
              <w:rPr>
                <w:rFonts w:ascii="Arial" w:hAnsi="Arial" w:cs="Arial"/>
                <w:sz w:val="24"/>
                <w:szCs w:val="24"/>
                <w:lang w:val="en-GB"/>
              </w:rPr>
              <w:t>Mr</w:t>
            </w:r>
            <w:r w:rsidRPr="000A3432">
              <w:rPr>
                <w:rFonts w:ascii="Arial" w:hAnsi="Arial" w:cs="Arial"/>
                <w:sz w:val="24"/>
                <w:szCs w:val="24"/>
                <w:lang w:val="en-GB"/>
              </w:rPr>
              <w:t xml:space="preserve"> Justice </w:t>
            </w:r>
            <w:proofErr w:type="spellStart"/>
            <w:r w:rsidRPr="000A3432">
              <w:rPr>
                <w:rFonts w:ascii="Arial" w:hAnsi="Arial" w:cs="Arial"/>
                <w:sz w:val="24"/>
                <w:szCs w:val="24"/>
                <w:lang w:val="en-GB"/>
              </w:rPr>
              <w:t>Kesslau</w:t>
            </w:r>
            <w:proofErr w:type="spellEnd"/>
            <w:r w:rsidRPr="000A3432">
              <w:rPr>
                <w:rFonts w:ascii="Arial" w:hAnsi="Arial" w:cs="Arial"/>
                <w:sz w:val="24"/>
                <w:szCs w:val="24"/>
                <w:lang w:val="en-GB"/>
              </w:rPr>
              <w:t xml:space="preserve"> J</w:t>
            </w:r>
          </w:p>
        </w:tc>
        <w:tc>
          <w:tcPr>
            <w:tcW w:w="5268" w:type="dxa"/>
            <w:gridSpan w:val="2"/>
            <w:tcBorders>
              <w:top w:val="single" w:sz="4" w:space="0" w:color="auto"/>
              <w:left w:val="single" w:sz="4" w:space="0" w:color="auto"/>
              <w:bottom w:val="single" w:sz="4" w:space="0" w:color="auto"/>
              <w:right w:val="single" w:sz="4" w:space="0" w:color="auto"/>
            </w:tcBorders>
          </w:tcPr>
          <w:p w:rsidR="003562BC" w:rsidRPr="000A3432" w:rsidRDefault="005E567C" w:rsidP="00DA6876">
            <w:pPr>
              <w:spacing w:line="360" w:lineRule="auto"/>
              <w:jc w:val="both"/>
              <w:rPr>
                <w:rFonts w:ascii="Arial" w:hAnsi="Arial" w:cs="Arial"/>
                <w:sz w:val="24"/>
                <w:szCs w:val="24"/>
                <w:lang w:val="en-GB"/>
              </w:rPr>
            </w:pPr>
            <w:r>
              <w:rPr>
                <w:rFonts w:ascii="Arial" w:hAnsi="Arial" w:cs="Arial"/>
                <w:b/>
                <w:sz w:val="24"/>
                <w:szCs w:val="24"/>
                <w:lang w:val="en-GB"/>
              </w:rPr>
              <w:t>Heard</w:t>
            </w:r>
            <w:r w:rsidR="003562BC" w:rsidRPr="005E567C">
              <w:rPr>
                <w:rFonts w:ascii="Arial" w:hAnsi="Arial" w:cs="Arial"/>
                <w:b/>
                <w:sz w:val="24"/>
                <w:szCs w:val="24"/>
                <w:lang w:val="en-GB"/>
              </w:rPr>
              <w:t>:</w:t>
            </w:r>
            <w:r w:rsidR="003562BC" w:rsidRPr="000A3432">
              <w:rPr>
                <w:rFonts w:ascii="Arial" w:hAnsi="Arial" w:cs="Arial"/>
                <w:sz w:val="24"/>
                <w:szCs w:val="24"/>
                <w:lang w:val="en-GB"/>
              </w:rPr>
              <w:t xml:space="preserve"> 16 June 2023</w:t>
            </w:r>
          </w:p>
          <w:p w:rsidR="003562BC" w:rsidRPr="000A3432" w:rsidRDefault="005E567C" w:rsidP="00DA6876">
            <w:pPr>
              <w:spacing w:line="360" w:lineRule="auto"/>
              <w:jc w:val="both"/>
              <w:rPr>
                <w:rFonts w:ascii="Arial" w:hAnsi="Arial" w:cs="Arial"/>
                <w:b/>
                <w:sz w:val="24"/>
                <w:szCs w:val="24"/>
                <w:lang w:val="en-GB"/>
              </w:rPr>
            </w:pPr>
            <w:r>
              <w:rPr>
                <w:rFonts w:ascii="Arial" w:hAnsi="Arial" w:cs="Arial"/>
                <w:b/>
                <w:sz w:val="24"/>
                <w:szCs w:val="24"/>
                <w:lang w:val="en-GB"/>
              </w:rPr>
              <w:t>Delivered</w:t>
            </w:r>
            <w:r w:rsidR="003562BC" w:rsidRPr="005E567C">
              <w:rPr>
                <w:rFonts w:ascii="Arial" w:hAnsi="Arial" w:cs="Arial"/>
                <w:b/>
                <w:sz w:val="24"/>
                <w:szCs w:val="24"/>
                <w:lang w:val="en-GB"/>
              </w:rPr>
              <w:t>:</w:t>
            </w:r>
            <w:r w:rsidR="003562BC" w:rsidRPr="000A3432">
              <w:rPr>
                <w:rFonts w:ascii="Arial" w:hAnsi="Arial" w:cs="Arial"/>
                <w:sz w:val="24"/>
                <w:szCs w:val="24"/>
                <w:lang w:val="en-GB"/>
              </w:rPr>
              <w:t xml:space="preserve">  11 August  2023</w:t>
            </w:r>
          </w:p>
          <w:p w:rsidR="003562BC" w:rsidRPr="000A3432" w:rsidRDefault="003562BC" w:rsidP="00DA6876">
            <w:pPr>
              <w:spacing w:line="360" w:lineRule="auto"/>
              <w:jc w:val="both"/>
              <w:rPr>
                <w:rFonts w:ascii="Arial" w:hAnsi="Arial" w:cs="Arial"/>
                <w:b/>
                <w:sz w:val="24"/>
                <w:szCs w:val="24"/>
                <w:lang w:val="en-GB"/>
              </w:rPr>
            </w:pPr>
          </w:p>
        </w:tc>
      </w:tr>
      <w:tr w:rsidR="003562BC" w:rsidRPr="000A3432" w:rsidTr="00DA6876">
        <w:tc>
          <w:tcPr>
            <w:tcW w:w="10051" w:type="dxa"/>
            <w:gridSpan w:val="3"/>
            <w:tcBorders>
              <w:top w:val="single" w:sz="4" w:space="0" w:color="auto"/>
              <w:left w:val="single" w:sz="4" w:space="0" w:color="auto"/>
              <w:bottom w:val="single" w:sz="4" w:space="0" w:color="auto"/>
              <w:right w:val="single" w:sz="4" w:space="0" w:color="auto"/>
            </w:tcBorders>
          </w:tcPr>
          <w:p w:rsidR="003562BC" w:rsidRPr="000A3432" w:rsidRDefault="003562BC" w:rsidP="00DA6876">
            <w:pPr>
              <w:spacing w:line="360" w:lineRule="auto"/>
              <w:jc w:val="both"/>
              <w:rPr>
                <w:rFonts w:ascii="Arial" w:eastAsia="Times New Roman" w:hAnsi="Arial" w:cs="Arial"/>
                <w:sz w:val="24"/>
                <w:szCs w:val="24"/>
                <w:lang w:val="en-GB" w:eastAsia="en-GB"/>
              </w:rPr>
            </w:pPr>
            <w:r w:rsidRPr="000A3432">
              <w:rPr>
                <w:rFonts w:ascii="Arial" w:hAnsi="Arial" w:cs="Arial"/>
                <w:b/>
                <w:sz w:val="24"/>
                <w:szCs w:val="24"/>
                <w:lang w:val="en-GB"/>
              </w:rPr>
              <w:t>Neutral citation</w:t>
            </w:r>
            <w:r w:rsidRPr="000A3432">
              <w:rPr>
                <w:rFonts w:ascii="Arial" w:eastAsia="Times New Roman" w:hAnsi="Arial" w:cs="Arial"/>
                <w:i/>
                <w:sz w:val="24"/>
                <w:szCs w:val="24"/>
                <w:lang w:val="en-GB" w:eastAsia="en-GB"/>
              </w:rPr>
              <w:t xml:space="preserve"> </w:t>
            </w:r>
            <w:proofErr w:type="spellStart"/>
            <w:r w:rsidRPr="000A3432">
              <w:rPr>
                <w:rFonts w:ascii="Arial" w:eastAsia="Times New Roman" w:hAnsi="Arial" w:cs="Arial"/>
                <w:i/>
                <w:sz w:val="24"/>
                <w:szCs w:val="24"/>
                <w:lang w:val="en-GB" w:eastAsia="en-GB"/>
              </w:rPr>
              <w:t>Phillipus</w:t>
            </w:r>
            <w:proofErr w:type="spellEnd"/>
            <w:r w:rsidRPr="000A3432">
              <w:rPr>
                <w:rFonts w:ascii="Arial" w:eastAsia="Times New Roman" w:hAnsi="Arial" w:cs="Arial"/>
                <w:i/>
                <w:sz w:val="24"/>
                <w:szCs w:val="24"/>
                <w:lang w:val="en-GB" w:eastAsia="en-GB"/>
              </w:rPr>
              <w:t xml:space="preserve"> v S </w:t>
            </w:r>
            <w:r w:rsidRPr="000A3432">
              <w:rPr>
                <w:rFonts w:ascii="Arial" w:eastAsia="Times New Roman" w:hAnsi="Arial" w:cs="Arial"/>
                <w:sz w:val="24"/>
                <w:szCs w:val="24"/>
                <w:lang w:val="en-GB" w:eastAsia="en-GB"/>
              </w:rPr>
              <w:t>(</w:t>
            </w:r>
            <w:r w:rsidR="00091D38">
              <w:rPr>
                <w:rFonts w:ascii="Arial" w:eastAsia="Times New Roman" w:hAnsi="Arial" w:cs="Arial"/>
                <w:sz w:val="24"/>
                <w:szCs w:val="24"/>
                <w:lang w:val="en-GB" w:eastAsia="en-GB"/>
              </w:rPr>
              <w:t>H</w:t>
            </w:r>
            <w:r w:rsidR="00B53FA7">
              <w:rPr>
                <w:rFonts w:ascii="Arial" w:eastAsia="Times New Roman" w:hAnsi="Arial" w:cs="Arial"/>
                <w:sz w:val="24"/>
                <w:szCs w:val="24"/>
                <w:lang w:val="en-GB" w:eastAsia="en-GB"/>
              </w:rPr>
              <w:t xml:space="preserve">C-NLD-CRI-APP-CAL-2022/00037) </w:t>
            </w:r>
            <w:r w:rsidRPr="000A3432">
              <w:rPr>
                <w:rFonts w:ascii="Arial" w:eastAsia="Times New Roman" w:hAnsi="Arial" w:cs="Arial"/>
                <w:sz w:val="24"/>
                <w:szCs w:val="24"/>
                <w:lang w:val="en-GB" w:eastAsia="en-GB"/>
              </w:rPr>
              <w:t>[2023] NAHCNLD</w:t>
            </w:r>
            <w:r w:rsidR="00B53FA7">
              <w:rPr>
                <w:rFonts w:ascii="Arial" w:eastAsia="Times New Roman" w:hAnsi="Arial" w:cs="Arial"/>
                <w:sz w:val="24"/>
                <w:szCs w:val="24"/>
                <w:lang w:val="en-GB" w:eastAsia="en-GB"/>
              </w:rPr>
              <w:t xml:space="preserve"> 80</w:t>
            </w:r>
            <w:r w:rsidRPr="000A3432">
              <w:rPr>
                <w:rFonts w:ascii="Arial" w:eastAsia="Times New Roman" w:hAnsi="Arial" w:cs="Arial"/>
                <w:sz w:val="24"/>
                <w:szCs w:val="24"/>
                <w:lang w:val="en-GB" w:eastAsia="en-GB"/>
              </w:rPr>
              <w:t xml:space="preserve"> (11 August 2023)</w:t>
            </w:r>
          </w:p>
        </w:tc>
      </w:tr>
      <w:tr w:rsidR="003562BC" w:rsidRPr="000A3432" w:rsidTr="00DA6876">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3562BC" w:rsidRPr="000A3432" w:rsidRDefault="003562BC" w:rsidP="00DA6876">
            <w:pPr>
              <w:spacing w:line="360" w:lineRule="auto"/>
              <w:jc w:val="both"/>
              <w:rPr>
                <w:rFonts w:ascii="Arial" w:hAnsi="Arial" w:cs="Arial"/>
                <w:b/>
                <w:sz w:val="24"/>
                <w:szCs w:val="24"/>
                <w:lang w:val="en-GB"/>
              </w:rPr>
            </w:pPr>
            <w:r w:rsidRPr="000A3432">
              <w:rPr>
                <w:rFonts w:ascii="Arial" w:hAnsi="Arial" w:cs="Arial"/>
                <w:b/>
                <w:sz w:val="24"/>
                <w:szCs w:val="24"/>
                <w:lang w:val="en-GB"/>
              </w:rPr>
              <w:t>The order:</w:t>
            </w:r>
          </w:p>
          <w:p w:rsidR="003562BC" w:rsidRPr="000A3432" w:rsidRDefault="003562BC" w:rsidP="00DA6876">
            <w:pPr>
              <w:spacing w:line="360" w:lineRule="auto"/>
              <w:jc w:val="both"/>
              <w:rPr>
                <w:rFonts w:ascii="Arial" w:hAnsi="Arial" w:cs="Arial"/>
                <w:b/>
                <w:sz w:val="24"/>
                <w:szCs w:val="24"/>
                <w:lang w:val="en-GB"/>
              </w:rPr>
            </w:pPr>
          </w:p>
          <w:p w:rsidR="00E70EB0" w:rsidRPr="000A3432" w:rsidRDefault="003562BC" w:rsidP="00E70EB0">
            <w:pPr>
              <w:spacing w:line="360" w:lineRule="auto"/>
              <w:ind w:left="612" w:hanging="612"/>
              <w:jc w:val="both"/>
              <w:rPr>
                <w:rFonts w:ascii="Arial" w:eastAsia="Calibri" w:hAnsi="Arial" w:cs="Arial"/>
                <w:sz w:val="24"/>
                <w:szCs w:val="24"/>
                <w:lang w:val="en-GB"/>
              </w:rPr>
            </w:pPr>
            <w:r w:rsidRPr="000A3432">
              <w:rPr>
                <w:rFonts w:ascii="Arial" w:hAnsi="Arial" w:cs="Arial"/>
                <w:sz w:val="24"/>
                <w:szCs w:val="24"/>
                <w:lang w:val="en-GB"/>
              </w:rPr>
              <w:t xml:space="preserve">1.  </w:t>
            </w:r>
            <w:r w:rsidR="00C15594" w:rsidRPr="000A3432">
              <w:rPr>
                <w:rFonts w:ascii="Arial" w:hAnsi="Arial" w:cs="Arial"/>
                <w:sz w:val="24"/>
                <w:szCs w:val="24"/>
                <w:lang w:val="en-GB"/>
              </w:rPr>
              <w:tab/>
            </w:r>
            <w:r w:rsidR="00E70EB0" w:rsidRPr="000A3432">
              <w:rPr>
                <w:rFonts w:ascii="Arial" w:eastAsia="Calibri" w:hAnsi="Arial" w:cs="Arial"/>
                <w:sz w:val="24"/>
                <w:szCs w:val="24"/>
                <w:lang w:val="en-GB"/>
              </w:rPr>
              <w:t xml:space="preserve">The appeal is upheld and the conviction and sentence </w:t>
            </w:r>
            <w:r w:rsidR="00AE6B68" w:rsidRPr="000A3432">
              <w:rPr>
                <w:rFonts w:ascii="Arial" w:eastAsia="Calibri" w:hAnsi="Arial" w:cs="Arial"/>
                <w:sz w:val="24"/>
                <w:szCs w:val="24"/>
                <w:lang w:val="en-GB"/>
              </w:rPr>
              <w:t xml:space="preserve">are </w:t>
            </w:r>
            <w:r w:rsidR="00E70EB0" w:rsidRPr="000A3432">
              <w:rPr>
                <w:rFonts w:ascii="Arial" w:eastAsia="Calibri" w:hAnsi="Arial" w:cs="Arial"/>
                <w:sz w:val="24"/>
                <w:szCs w:val="24"/>
                <w:lang w:val="en-GB"/>
              </w:rPr>
              <w:t>set aside.</w:t>
            </w:r>
          </w:p>
          <w:p w:rsidR="00E70EB0" w:rsidRPr="000A3432" w:rsidRDefault="00E70EB0" w:rsidP="00E70EB0">
            <w:pPr>
              <w:spacing w:line="360" w:lineRule="auto"/>
              <w:ind w:left="612" w:hanging="612"/>
              <w:jc w:val="both"/>
              <w:rPr>
                <w:rFonts w:ascii="Arial" w:eastAsia="Calibri" w:hAnsi="Arial" w:cs="Arial"/>
                <w:sz w:val="24"/>
                <w:szCs w:val="24"/>
                <w:lang w:val="en-GB"/>
              </w:rPr>
            </w:pPr>
            <w:r w:rsidRPr="000A3432">
              <w:rPr>
                <w:rFonts w:ascii="Arial" w:eastAsia="Calibri" w:hAnsi="Arial" w:cs="Arial"/>
                <w:sz w:val="24"/>
                <w:szCs w:val="24"/>
                <w:lang w:val="en-GB"/>
              </w:rPr>
              <w:t>2.</w:t>
            </w:r>
            <w:r w:rsidRPr="000A3432">
              <w:rPr>
                <w:rFonts w:ascii="Arial" w:eastAsia="Calibri" w:hAnsi="Arial" w:cs="Arial"/>
                <w:sz w:val="24"/>
                <w:szCs w:val="24"/>
                <w:lang w:val="en-GB"/>
              </w:rPr>
              <w:tab/>
              <w:t>In terms of s</w:t>
            </w:r>
            <w:r w:rsidR="00E40DB6">
              <w:rPr>
                <w:rFonts w:ascii="Arial" w:eastAsia="Calibri" w:hAnsi="Arial" w:cs="Arial"/>
                <w:sz w:val="24"/>
                <w:szCs w:val="24"/>
                <w:lang w:val="en-GB"/>
              </w:rPr>
              <w:t>ection</w:t>
            </w:r>
            <w:r w:rsidRPr="000A3432">
              <w:rPr>
                <w:rFonts w:ascii="Arial" w:eastAsia="Calibri" w:hAnsi="Arial" w:cs="Arial"/>
                <w:sz w:val="24"/>
                <w:szCs w:val="24"/>
                <w:lang w:val="en-GB"/>
              </w:rPr>
              <w:t xml:space="preserve"> 3</w:t>
            </w:r>
            <w:r w:rsidR="00E40DB6">
              <w:rPr>
                <w:rFonts w:ascii="Arial" w:eastAsia="Calibri" w:hAnsi="Arial" w:cs="Arial"/>
                <w:sz w:val="24"/>
                <w:szCs w:val="24"/>
                <w:lang w:val="en-GB"/>
              </w:rPr>
              <w:t>09(3)</w:t>
            </w:r>
            <w:r w:rsidRPr="000A3432">
              <w:rPr>
                <w:rFonts w:ascii="Arial" w:eastAsia="Calibri" w:hAnsi="Arial" w:cs="Arial"/>
                <w:sz w:val="24"/>
                <w:szCs w:val="24"/>
                <w:lang w:val="en-GB"/>
              </w:rPr>
              <w:t xml:space="preserve"> read with s</w:t>
            </w:r>
            <w:r w:rsidR="00E40DB6">
              <w:rPr>
                <w:rFonts w:ascii="Arial" w:eastAsia="Calibri" w:hAnsi="Arial" w:cs="Arial"/>
                <w:sz w:val="24"/>
                <w:szCs w:val="24"/>
                <w:lang w:val="en-GB"/>
              </w:rPr>
              <w:t>ection</w:t>
            </w:r>
            <w:r w:rsidRPr="000A3432">
              <w:rPr>
                <w:rFonts w:ascii="Arial" w:eastAsia="Calibri" w:hAnsi="Arial" w:cs="Arial"/>
                <w:sz w:val="24"/>
                <w:szCs w:val="24"/>
                <w:lang w:val="en-GB"/>
              </w:rPr>
              <w:t xml:space="preserve"> 304(2) of the Criminal Procedure Act 51 of 1977 as amended, the matter is remitted to the </w:t>
            </w:r>
            <w:proofErr w:type="spellStart"/>
            <w:r w:rsidRPr="000A3432">
              <w:rPr>
                <w:rFonts w:ascii="Arial" w:eastAsia="Calibri" w:hAnsi="Arial" w:cs="Arial"/>
                <w:sz w:val="24"/>
                <w:szCs w:val="24"/>
                <w:lang w:val="en-GB"/>
              </w:rPr>
              <w:t>Ondangwa</w:t>
            </w:r>
            <w:proofErr w:type="spellEnd"/>
            <w:r w:rsidRPr="000A3432">
              <w:rPr>
                <w:rFonts w:ascii="Arial" w:eastAsia="Calibri" w:hAnsi="Arial" w:cs="Arial"/>
                <w:sz w:val="24"/>
                <w:szCs w:val="24"/>
                <w:lang w:val="en-GB"/>
              </w:rPr>
              <w:t xml:space="preserve"> Magistrates’ Court for proceedings to start </w:t>
            </w:r>
            <w:r w:rsidRPr="000A3432">
              <w:rPr>
                <w:rFonts w:ascii="Arial" w:eastAsia="Calibri" w:hAnsi="Arial" w:cs="Arial"/>
                <w:i/>
                <w:sz w:val="24"/>
                <w:szCs w:val="24"/>
                <w:lang w:val="en-GB"/>
              </w:rPr>
              <w:t>de novo</w:t>
            </w:r>
            <w:r w:rsidRPr="000A3432">
              <w:rPr>
                <w:rFonts w:ascii="Arial" w:eastAsia="Calibri" w:hAnsi="Arial" w:cs="Arial"/>
                <w:sz w:val="24"/>
                <w:szCs w:val="24"/>
                <w:lang w:val="en-GB"/>
              </w:rPr>
              <w:t xml:space="preserve"> before another magistrate.</w:t>
            </w:r>
          </w:p>
          <w:p w:rsidR="00E70EB0" w:rsidRPr="000A3432" w:rsidRDefault="00E70EB0" w:rsidP="00E70EB0">
            <w:pPr>
              <w:spacing w:line="360" w:lineRule="auto"/>
              <w:ind w:left="612" w:hanging="612"/>
              <w:jc w:val="both"/>
              <w:rPr>
                <w:rFonts w:ascii="Arial" w:eastAsia="Calibri" w:hAnsi="Arial" w:cs="Arial"/>
                <w:sz w:val="24"/>
                <w:szCs w:val="24"/>
                <w:lang w:val="en-GB"/>
              </w:rPr>
            </w:pPr>
            <w:r w:rsidRPr="000A3432">
              <w:rPr>
                <w:rFonts w:ascii="Arial" w:eastAsia="Calibri" w:hAnsi="Arial" w:cs="Arial"/>
                <w:sz w:val="24"/>
                <w:szCs w:val="24"/>
                <w:lang w:val="en-GB"/>
              </w:rPr>
              <w:t>3.</w:t>
            </w:r>
            <w:r w:rsidRPr="000A3432">
              <w:rPr>
                <w:rFonts w:ascii="Arial" w:eastAsia="Calibri" w:hAnsi="Arial" w:cs="Arial"/>
                <w:sz w:val="24"/>
                <w:szCs w:val="24"/>
                <w:lang w:val="en-GB"/>
              </w:rPr>
              <w:tab/>
              <w:t>If the a</w:t>
            </w:r>
            <w:r w:rsidR="000A3432">
              <w:rPr>
                <w:rFonts w:ascii="Arial" w:eastAsia="Calibri" w:hAnsi="Arial" w:cs="Arial"/>
                <w:sz w:val="24"/>
                <w:szCs w:val="24"/>
                <w:lang w:val="en-GB"/>
              </w:rPr>
              <w:t>ppellant</w:t>
            </w:r>
            <w:r w:rsidRPr="000A3432">
              <w:rPr>
                <w:rFonts w:ascii="Arial" w:eastAsia="Calibri" w:hAnsi="Arial" w:cs="Arial"/>
                <w:sz w:val="24"/>
                <w:szCs w:val="24"/>
                <w:lang w:val="en-GB"/>
              </w:rPr>
              <w:t xml:space="preserve"> is convicted again, the time served for this matter should be considered during sentencing.</w:t>
            </w:r>
          </w:p>
          <w:p w:rsidR="003562BC" w:rsidRPr="000A3432" w:rsidRDefault="00E70EB0" w:rsidP="00E70EB0">
            <w:pPr>
              <w:spacing w:line="360" w:lineRule="auto"/>
              <w:ind w:left="612" w:hanging="612"/>
              <w:jc w:val="both"/>
              <w:rPr>
                <w:rFonts w:ascii="Arial" w:eastAsia="Calibri" w:hAnsi="Arial" w:cs="Arial"/>
                <w:sz w:val="24"/>
                <w:szCs w:val="24"/>
                <w:lang w:val="en-GB"/>
              </w:rPr>
            </w:pPr>
            <w:r w:rsidRPr="000A3432">
              <w:rPr>
                <w:rFonts w:ascii="Arial" w:eastAsia="Calibri" w:hAnsi="Arial" w:cs="Arial"/>
                <w:sz w:val="24"/>
                <w:szCs w:val="24"/>
                <w:lang w:val="en-GB"/>
              </w:rPr>
              <w:lastRenderedPageBreak/>
              <w:t>4.</w:t>
            </w:r>
            <w:r w:rsidRPr="000A3432">
              <w:rPr>
                <w:rFonts w:ascii="Arial" w:eastAsia="Calibri" w:hAnsi="Arial" w:cs="Arial"/>
                <w:sz w:val="24"/>
                <w:szCs w:val="24"/>
                <w:lang w:val="en-GB"/>
              </w:rPr>
              <w:tab/>
              <w:t>The a</w:t>
            </w:r>
            <w:r w:rsidR="000A3432">
              <w:rPr>
                <w:rFonts w:ascii="Arial" w:eastAsia="Calibri" w:hAnsi="Arial" w:cs="Arial"/>
                <w:sz w:val="24"/>
                <w:szCs w:val="24"/>
                <w:lang w:val="en-GB"/>
              </w:rPr>
              <w:t>ppellant</w:t>
            </w:r>
            <w:r w:rsidRPr="000A3432">
              <w:rPr>
                <w:rFonts w:ascii="Arial" w:eastAsia="Calibri" w:hAnsi="Arial" w:cs="Arial"/>
                <w:sz w:val="24"/>
                <w:szCs w:val="24"/>
                <w:lang w:val="en-GB"/>
              </w:rPr>
              <w:t xml:space="preserve"> is granted bail in the amount of N$ </w:t>
            </w:r>
            <w:r w:rsidR="00E40DB6">
              <w:rPr>
                <w:rFonts w:ascii="Arial" w:eastAsia="Calibri" w:hAnsi="Arial" w:cs="Arial"/>
                <w:sz w:val="24"/>
                <w:szCs w:val="24"/>
                <w:lang w:val="en-GB"/>
              </w:rPr>
              <w:t xml:space="preserve">1 </w:t>
            </w:r>
            <w:r w:rsidRPr="000A3432">
              <w:rPr>
                <w:rFonts w:ascii="Arial" w:eastAsia="Calibri" w:hAnsi="Arial" w:cs="Arial"/>
                <w:sz w:val="24"/>
                <w:szCs w:val="24"/>
                <w:lang w:val="en-GB"/>
              </w:rPr>
              <w:t xml:space="preserve">000 on the condition that she is not allowed any direct or indirect contact with the complainant. If bail is paid, the appellant is warned to appear at the </w:t>
            </w:r>
            <w:proofErr w:type="spellStart"/>
            <w:r w:rsidRPr="000A3432">
              <w:rPr>
                <w:rFonts w:ascii="Arial" w:eastAsia="Calibri" w:hAnsi="Arial" w:cs="Arial"/>
                <w:sz w:val="24"/>
                <w:szCs w:val="24"/>
                <w:lang w:val="en-GB"/>
              </w:rPr>
              <w:t>Ondangwa</w:t>
            </w:r>
            <w:proofErr w:type="spellEnd"/>
            <w:r w:rsidRPr="000A3432">
              <w:rPr>
                <w:rFonts w:ascii="Arial" w:eastAsia="Calibri" w:hAnsi="Arial" w:cs="Arial"/>
                <w:sz w:val="24"/>
                <w:szCs w:val="24"/>
                <w:lang w:val="en-GB"/>
              </w:rPr>
              <w:t xml:space="preserve"> Magistrates</w:t>
            </w:r>
            <w:r w:rsidR="00CF2A38" w:rsidRPr="000A3432">
              <w:rPr>
                <w:rFonts w:ascii="Arial" w:eastAsia="Calibri" w:hAnsi="Arial" w:cs="Arial"/>
                <w:sz w:val="24"/>
                <w:szCs w:val="24"/>
                <w:lang w:val="en-GB"/>
              </w:rPr>
              <w:t>’</w:t>
            </w:r>
            <w:r w:rsidRPr="000A3432">
              <w:rPr>
                <w:rFonts w:ascii="Arial" w:eastAsia="Calibri" w:hAnsi="Arial" w:cs="Arial"/>
                <w:sz w:val="24"/>
                <w:szCs w:val="24"/>
                <w:lang w:val="en-GB"/>
              </w:rPr>
              <w:t xml:space="preserve"> Court (A Court) on the 12 September 2023 and furthermore warned that if she fails to appear in court</w:t>
            </w:r>
            <w:r w:rsidR="0009472E">
              <w:rPr>
                <w:rFonts w:ascii="Arial" w:eastAsia="Calibri" w:hAnsi="Arial" w:cs="Arial"/>
                <w:sz w:val="24"/>
                <w:szCs w:val="24"/>
                <w:lang w:val="en-GB"/>
              </w:rPr>
              <w:t>,</w:t>
            </w:r>
            <w:r w:rsidRPr="000A3432">
              <w:rPr>
                <w:rFonts w:ascii="Arial" w:eastAsia="Calibri" w:hAnsi="Arial" w:cs="Arial"/>
                <w:sz w:val="24"/>
                <w:szCs w:val="24"/>
                <w:lang w:val="en-GB"/>
              </w:rPr>
              <w:t xml:space="preserve"> a warrant for her arrest may be issued against her, her bail money will be provisionally</w:t>
            </w:r>
            <w:r w:rsidR="0009472E">
              <w:rPr>
                <w:rFonts w:ascii="Arial" w:eastAsia="Calibri" w:hAnsi="Arial" w:cs="Arial"/>
                <w:sz w:val="24"/>
                <w:szCs w:val="24"/>
                <w:lang w:val="en-GB"/>
              </w:rPr>
              <w:t xml:space="preserve"> </w:t>
            </w:r>
            <w:r w:rsidRPr="000A3432">
              <w:rPr>
                <w:rFonts w:ascii="Arial" w:eastAsia="Calibri" w:hAnsi="Arial" w:cs="Arial"/>
                <w:sz w:val="24"/>
                <w:szCs w:val="24"/>
                <w:lang w:val="en-GB"/>
              </w:rPr>
              <w:t>cancelled and the bail money will be provisionally forfeited to the State pending an enquiry into her absence.</w:t>
            </w:r>
          </w:p>
          <w:p w:rsidR="003562BC" w:rsidRPr="000A3432" w:rsidRDefault="003562BC" w:rsidP="00DA6876">
            <w:pPr>
              <w:spacing w:line="360" w:lineRule="auto"/>
              <w:ind w:left="1140"/>
              <w:contextualSpacing/>
              <w:jc w:val="both"/>
              <w:rPr>
                <w:rFonts w:ascii="Arial" w:hAnsi="Arial" w:cs="Arial"/>
                <w:b/>
                <w:sz w:val="24"/>
                <w:szCs w:val="24"/>
                <w:lang w:val="en-GB"/>
              </w:rPr>
            </w:pPr>
          </w:p>
        </w:tc>
      </w:tr>
      <w:tr w:rsidR="003562BC" w:rsidRPr="000A3432" w:rsidTr="00DA6876">
        <w:tc>
          <w:tcPr>
            <w:tcW w:w="10051" w:type="dxa"/>
            <w:gridSpan w:val="3"/>
            <w:tcBorders>
              <w:top w:val="single" w:sz="4" w:space="0" w:color="auto"/>
              <w:left w:val="single" w:sz="4" w:space="0" w:color="auto"/>
              <w:bottom w:val="single" w:sz="4" w:space="0" w:color="auto"/>
              <w:right w:val="single" w:sz="4" w:space="0" w:color="auto"/>
            </w:tcBorders>
          </w:tcPr>
          <w:p w:rsidR="003562BC" w:rsidRPr="000A3432" w:rsidRDefault="00E70EB0" w:rsidP="00DA6876">
            <w:pPr>
              <w:spacing w:line="360" w:lineRule="auto"/>
              <w:jc w:val="both"/>
              <w:rPr>
                <w:rFonts w:ascii="Arial" w:hAnsi="Arial" w:cs="Arial"/>
                <w:b/>
                <w:sz w:val="24"/>
                <w:szCs w:val="24"/>
                <w:lang w:val="en-GB"/>
              </w:rPr>
            </w:pPr>
            <w:r w:rsidRPr="000A3432">
              <w:rPr>
                <w:rFonts w:ascii="Arial" w:hAnsi="Arial" w:cs="Arial"/>
                <w:b/>
                <w:sz w:val="24"/>
                <w:szCs w:val="24"/>
                <w:lang w:val="en-GB"/>
              </w:rPr>
              <w:lastRenderedPageBreak/>
              <w:t>Reasons for the order:</w:t>
            </w:r>
          </w:p>
          <w:p w:rsidR="00C15594" w:rsidRPr="000A3432" w:rsidRDefault="00C15594" w:rsidP="00DA6876">
            <w:pPr>
              <w:spacing w:line="360" w:lineRule="auto"/>
              <w:jc w:val="both"/>
              <w:rPr>
                <w:rFonts w:ascii="Arial" w:hAnsi="Arial" w:cs="Arial"/>
                <w:b/>
                <w:sz w:val="24"/>
                <w:szCs w:val="24"/>
                <w:lang w:val="en-GB"/>
              </w:rPr>
            </w:pPr>
          </w:p>
        </w:tc>
      </w:tr>
      <w:tr w:rsidR="003562BC" w:rsidRPr="000A3432" w:rsidTr="00DA6876">
        <w:tc>
          <w:tcPr>
            <w:tcW w:w="10051" w:type="dxa"/>
            <w:gridSpan w:val="3"/>
            <w:tcBorders>
              <w:top w:val="single" w:sz="4" w:space="0" w:color="auto"/>
              <w:left w:val="single" w:sz="4" w:space="0" w:color="auto"/>
              <w:bottom w:val="single" w:sz="4" w:space="0" w:color="auto"/>
              <w:right w:val="single" w:sz="4" w:space="0" w:color="auto"/>
            </w:tcBorders>
          </w:tcPr>
          <w:p w:rsidR="003562BC" w:rsidRPr="000A3432" w:rsidRDefault="00E70EB0" w:rsidP="00DA6876">
            <w:pPr>
              <w:spacing w:line="360" w:lineRule="auto"/>
              <w:jc w:val="both"/>
              <w:rPr>
                <w:rFonts w:ascii="Arial" w:hAnsi="Arial" w:cs="Arial"/>
                <w:sz w:val="24"/>
                <w:szCs w:val="24"/>
                <w:lang w:val="en-GB"/>
              </w:rPr>
            </w:pPr>
            <w:r w:rsidRPr="000A3432">
              <w:rPr>
                <w:rFonts w:ascii="Arial" w:hAnsi="Arial" w:cs="Arial"/>
                <w:sz w:val="24"/>
                <w:szCs w:val="24"/>
                <w:lang w:val="en-GB"/>
              </w:rPr>
              <w:t>KESSLAU</w:t>
            </w:r>
            <w:r w:rsidR="003562BC" w:rsidRPr="000A3432">
              <w:rPr>
                <w:rFonts w:ascii="Arial" w:hAnsi="Arial" w:cs="Arial"/>
                <w:sz w:val="24"/>
                <w:szCs w:val="24"/>
                <w:lang w:val="en-GB"/>
              </w:rPr>
              <w:t xml:space="preserve"> J</w:t>
            </w:r>
            <w:r w:rsidRPr="000A3432">
              <w:rPr>
                <w:rFonts w:ascii="Arial" w:hAnsi="Arial" w:cs="Arial"/>
                <w:sz w:val="24"/>
                <w:szCs w:val="24"/>
                <w:lang w:val="en-GB"/>
              </w:rPr>
              <w:t xml:space="preserve"> (SALIONGA</w:t>
            </w:r>
            <w:r w:rsidR="003562BC" w:rsidRPr="000A3432">
              <w:rPr>
                <w:rFonts w:ascii="Arial" w:hAnsi="Arial" w:cs="Arial"/>
                <w:sz w:val="24"/>
                <w:szCs w:val="24"/>
                <w:lang w:val="en-GB"/>
              </w:rPr>
              <w:t xml:space="preserve"> J concurring)</w:t>
            </w:r>
          </w:p>
          <w:p w:rsidR="00C15594" w:rsidRPr="000A3432" w:rsidRDefault="00C15594" w:rsidP="00E70EB0">
            <w:pPr>
              <w:spacing w:line="360" w:lineRule="auto"/>
              <w:jc w:val="both"/>
              <w:rPr>
                <w:rFonts w:ascii="Arial" w:hAnsi="Arial" w:cs="Arial"/>
                <w:sz w:val="24"/>
                <w:szCs w:val="24"/>
                <w:lang w:val="en-GB"/>
              </w:rPr>
            </w:pPr>
          </w:p>
          <w:p w:rsidR="00E70EB0" w:rsidRPr="005E567C" w:rsidRDefault="00E70EB0" w:rsidP="00E70EB0">
            <w:pPr>
              <w:spacing w:line="360" w:lineRule="auto"/>
              <w:jc w:val="both"/>
              <w:rPr>
                <w:rFonts w:ascii="Arial" w:eastAsia="Times New Roman" w:hAnsi="Arial" w:cs="Arial"/>
                <w:sz w:val="24"/>
                <w:szCs w:val="24"/>
                <w:u w:val="single"/>
                <w:lang w:val="en-GB" w:eastAsia="en-GB"/>
              </w:rPr>
            </w:pPr>
            <w:r w:rsidRPr="005E567C">
              <w:rPr>
                <w:rFonts w:ascii="Arial" w:eastAsia="Times New Roman" w:hAnsi="Arial" w:cs="Arial"/>
                <w:sz w:val="24"/>
                <w:szCs w:val="24"/>
                <w:u w:val="single"/>
                <w:lang w:val="en-GB" w:eastAsia="en-GB"/>
              </w:rPr>
              <w:t>Introduction</w:t>
            </w:r>
          </w:p>
          <w:p w:rsidR="00E70EB0" w:rsidRPr="000A3432" w:rsidRDefault="00E70EB0" w:rsidP="00E70EB0">
            <w:pPr>
              <w:spacing w:line="360" w:lineRule="auto"/>
              <w:jc w:val="both"/>
              <w:rPr>
                <w:rFonts w:ascii="Arial" w:eastAsia="Times New Roman" w:hAnsi="Arial" w:cs="Arial"/>
                <w:sz w:val="24"/>
                <w:szCs w:val="24"/>
                <w:lang w:val="en-GB" w:eastAsia="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[1]</w:t>
            </w:r>
            <w:r w:rsidRPr="000A3432">
              <w:rPr>
                <w:rFonts w:ascii="Arial" w:eastAsia="Calibri" w:hAnsi="Arial" w:cs="Arial"/>
                <w:sz w:val="24"/>
                <w:szCs w:val="24"/>
                <w:lang w:val="en-GB"/>
              </w:rPr>
              <w:tab/>
              <w:t xml:space="preserve"> The appellant was convicted in the Magistrates</w:t>
            </w:r>
            <w:r w:rsidR="00CF2A38" w:rsidRPr="000A3432">
              <w:rPr>
                <w:rFonts w:ascii="Arial" w:eastAsia="Calibri" w:hAnsi="Arial" w:cs="Arial"/>
                <w:sz w:val="24"/>
                <w:szCs w:val="24"/>
                <w:lang w:val="en-GB"/>
              </w:rPr>
              <w:t>’</w:t>
            </w:r>
            <w:r w:rsidRPr="000A3432">
              <w:rPr>
                <w:rFonts w:ascii="Arial" w:eastAsia="Calibri" w:hAnsi="Arial" w:cs="Arial"/>
                <w:sz w:val="24"/>
                <w:szCs w:val="24"/>
                <w:lang w:val="en-GB"/>
              </w:rPr>
              <w:t xml:space="preserve"> Court of </w:t>
            </w:r>
            <w:proofErr w:type="spellStart"/>
            <w:r w:rsidRPr="000A3432">
              <w:rPr>
                <w:rFonts w:ascii="Arial" w:eastAsia="Calibri" w:hAnsi="Arial" w:cs="Arial"/>
                <w:sz w:val="24"/>
                <w:szCs w:val="24"/>
                <w:lang w:val="en-GB"/>
              </w:rPr>
              <w:t>Ondangwa</w:t>
            </w:r>
            <w:proofErr w:type="spellEnd"/>
            <w:r w:rsidRPr="000A3432">
              <w:rPr>
                <w:rFonts w:ascii="Arial" w:eastAsia="Calibri" w:hAnsi="Arial" w:cs="Arial"/>
                <w:sz w:val="24"/>
                <w:szCs w:val="24"/>
                <w:lang w:val="en-GB"/>
              </w:rPr>
              <w:t xml:space="preserve"> on a charge of attempted murder. She was sentenced to five years imprisonment. </w:t>
            </w:r>
          </w:p>
          <w:p w:rsidR="00E70EB0" w:rsidRPr="000A3432" w:rsidRDefault="00E70EB0" w:rsidP="00E70EB0">
            <w:pPr>
              <w:spacing w:line="360" w:lineRule="auto"/>
              <w:jc w:val="both"/>
              <w:rPr>
                <w:rFonts w:ascii="Arial" w:eastAsia="Calibri" w:hAnsi="Arial" w:cs="Arial"/>
                <w:sz w:val="24"/>
                <w:szCs w:val="24"/>
                <w:lang w:val="en-GB"/>
              </w:rPr>
            </w:pPr>
          </w:p>
          <w:p w:rsidR="00E70EB0" w:rsidRPr="005E567C" w:rsidRDefault="00E70EB0" w:rsidP="00E70EB0">
            <w:pPr>
              <w:spacing w:line="360" w:lineRule="auto"/>
              <w:jc w:val="both"/>
              <w:rPr>
                <w:rFonts w:ascii="Arial" w:eastAsia="Calibri" w:hAnsi="Arial" w:cs="Arial"/>
                <w:sz w:val="24"/>
                <w:szCs w:val="24"/>
                <w:u w:val="single"/>
                <w:lang w:val="en-GB"/>
              </w:rPr>
            </w:pPr>
            <w:r w:rsidRPr="005E567C">
              <w:rPr>
                <w:rFonts w:ascii="Arial" w:eastAsia="Calibri" w:hAnsi="Arial" w:cs="Arial"/>
                <w:sz w:val="24"/>
                <w:szCs w:val="24"/>
                <w:u w:val="single"/>
                <w:lang w:val="en-GB"/>
              </w:rPr>
              <w:t xml:space="preserve">Points in </w:t>
            </w:r>
            <w:proofErr w:type="spellStart"/>
            <w:r w:rsidRPr="005E567C">
              <w:rPr>
                <w:rFonts w:ascii="Arial" w:eastAsia="Calibri" w:hAnsi="Arial" w:cs="Arial"/>
                <w:sz w:val="24"/>
                <w:szCs w:val="24"/>
                <w:u w:val="single"/>
                <w:lang w:val="en-GB"/>
              </w:rPr>
              <w:t>limine</w:t>
            </w:r>
            <w:proofErr w:type="spellEnd"/>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 xml:space="preserve">[2]        </w:t>
            </w:r>
            <w:r w:rsidR="000A3432" w:rsidRPr="000A3432">
              <w:rPr>
                <w:rFonts w:ascii="Arial" w:eastAsia="Calibri" w:hAnsi="Arial" w:cs="Arial"/>
                <w:sz w:val="24"/>
                <w:szCs w:val="24"/>
                <w:lang w:val="en-GB"/>
              </w:rPr>
              <w:t>Mr</w:t>
            </w:r>
            <w:r w:rsidRPr="000A3432">
              <w:rPr>
                <w:rFonts w:ascii="Arial" w:eastAsia="Calibri" w:hAnsi="Arial" w:cs="Arial"/>
                <w:sz w:val="24"/>
                <w:szCs w:val="24"/>
                <w:lang w:val="en-GB"/>
              </w:rPr>
              <w:t xml:space="preserve"> </w:t>
            </w:r>
            <w:proofErr w:type="spellStart"/>
            <w:r w:rsidRPr="000A3432">
              <w:rPr>
                <w:rFonts w:ascii="Arial" w:eastAsia="Calibri" w:hAnsi="Arial" w:cs="Arial"/>
                <w:sz w:val="24"/>
                <w:szCs w:val="24"/>
                <w:lang w:val="en-GB"/>
              </w:rPr>
              <w:t>Matota</w:t>
            </w:r>
            <w:proofErr w:type="spellEnd"/>
            <w:r w:rsidRPr="000A3432">
              <w:rPr>
                <w:rFonts w:ascii="Arial" w:eastAsia="Calibri" w:hAnsi="Arial" w:cs="Arial"/>
                <w:sz w:val="24"/>
                <w:szCs w:val="24"/>
                <w:lang w:val="en-GB"/>
              </w:rPr>
              <w:t xml:space="preserve"> for the State raised two points </w:t>
            </w:r>
            <w:r w:rsidRPr="000A3432">
              <w:rPr>
                <w:rFonts w:ascii="Arial" w:eastAsia="Calibri" w:hAnsi="Arial" w:cs="Arial"/>
                <w:i/>
                <w:sz w:val="24"/>
                <w:szCs w:val="24"/>
                <w:lang w:val="en-GB"/>
              </w:rPr>
              <w:t xml:space="preserve">in </w:t>
            </w:r>
            <w:proofErr w:type="spellStart"/>
            <w:r w:rsidRPr="000A3432">
              <w:rPr>
                <w:rFonts w:ascii="Arial" w:eastAsia="Calibri" w:hAnsi="Arial" w:cs="Arial"/>
                <w:i/>
                <w:sz w:val="24"/>
                <w:szCs w:val="24"/>
                <w:lang w:val="en-GB"/>
              </w:rPr>
              <w:t>limine</w:t>
            </w:r>
            <w:proofErr w:type="spellEnd"/>
            <w:r w:rsidRPr="000A3432">
              <w:rPr>
                <w:rFonts w:ascii="Arial" w:eastAsia="Calibri" w:hAnsi="Arial" w:cs="Arial"/>
                <w:sz w:val="24"/>
                <w:szCs w:val="24"/>
                <w:lang w:val="en-GB"/>
              </w:rPr>
              <w:t xml:space="preserve"> the first being that</w:t>
            </w:r>
            <w:r w:rsidR="00037C63" w:rsidRPr="000A3432">
              <w:rPr>
                <w:rFonts w:ascii="Arial" w:eastAsia="Calibri" w:hAnsi="Arial" w:cs="Arial"/>
                <w:sz w:val="24"/>
                <w:szCs w:val="24"/>
                <w:lang w:val="en-GB"/>
              </w:rPr>
              <w:t>,</w:t>
            </w:r>
            <w:r w:rsidR="00AE6B68" w:rsidRPr="000A3432">
              <w:rPr>
                <w:rFonts w:ascii="Arial" w:eastAsia="Calibri" w:hAnsi="Arial" w:cs="Arial"/>
                <w:sz w:val="24"/>
                <w:szCs w:val="24"/>
                <w:lang w:val="en-GB"/>
              </w:rPr>
              <w:t xml:space="preserve"> </w:t>
            </w:r>
            <w:r w:rsidRPr="000A3432">
              <w:rPr>
                <w:rFonts w:ascii="Arial" w:eastAsia="Calibri" w:hAnsi="Arial" w:cs="Arial"/>
                <w:sz w:val="24"/>
                <w:szCs w:val="24"/>
                <w:lang w:val="en-GB"/>
              </w:rPr>
              <w:t>even though the notice of appeal indicated an appeal against both the conviction and sentence, the grounds of appeal are only concerned with the conviction. Th</w:t>
            </w:r>
            <w:r w:rsidR="00037C63" w:rsidRPr="000A3432">
              <w:rPr>
                <w:rFonts w:ascii="Arial" w:eastAsia="Calibri" w:hAnsi="Arial" w:cs="Arial"/>
                <w:sz w:val="24"/>
                <w:szCs w:val="24"/>
                <w:lang w:val="en-GB"/>
              </w:rPr>
              <w:t>e</w:t>
            </w:r>
            <w:r w:rsidRPr="000A3432">
              <w:rPr>
                <w:rFonts w:ascii="Arial" w:eastAsia="Calibri" w:hAnsi="Arial" w:cs="Arial"/>
                <w:sz w:val="24"/>
                <w:szCs w:val="24"/>
                <w:lang w:val="en-GB"/>
              </w:rPr>
              <w:t xml:space="preserve"> point was conceded by Mr </w:t>
            </w:r>
            <w:proofErr w:type="spellStart"/>
            <w:r w:rsidRPr="000A3432">
              <w:rPr>
                <w:rFonts w:ascii="Arial" w:eastAsia="Calibri" w:hAnsi="Arial" w:cs="Arial"/>
                <w:sz w:val="24"/>
                <w:szCs w:val="24"/>
                <w:lang w:val="en-GB"/>
              </w:rPr>
              <w:t>Shapumba</w:t>
            </w:r>
            <w:proofErr w:type="spellEnd"/>
            <w:r w:rsidRPr="000A3432">
              <w:rPr>
                <w:rFonts w:ascii="Arial" w:eastAsia="Calibri" w:hAnsi="Arial" w:cs="Arial"/>
                <w:sz w:val="24"/>
                <w:szCs w:val="24"/>
                <w:lang w:val="en-GB"/>
              </w:rPr>
              <w:t xml:space="preserve"> for the appellant and this court will thus proceed accordingly.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[3]</w:t>
            </w:r>
            <w:r w:rsidRPr="000A3432">
              <w:rPr>
                <w:rFonts w:ascii="Arial" w:eastAsia="Calibri" w:hAnsi="Arial" w:cs="Arial"/>
                <w:sz w:val="24"/>
                <w:szCs w:val="24"/>
                <w:lang w:val="en-GB"/>
              </w:rPr>
              <w:tab/>
              <w:t xml:space="preserve">The second point </w:t>
            </w:r>
            <w:r w:rsidRPr="000A3432">
              <w:rPr>
                <w:rFonts w:ascii="Arial" w:eastAsia="Calibri" w:hAnsi="Arial" w:cs="Arial"/>
                <w:i/>
                <w:sz w:val="24"/>
                <w:szCs w:val="24"/>
                <w:lang w:val="en-GB"/>
              </w:rPr>
              <w:t xml:space="preserve">in </w:t>
            </w:r>
            <w:proofErr w:type="spellStart"/>
            <w:r w:rsidRPr="000A3432">
              <w:rPr>
                <w:rFonts w:ascii="Arial" w:eastAsia="Calibri" w:hAnsi="Arial" w:cs="Arial"/>
                <w:i/>
                <w:sz w:val="24"/>
                <w:szCs w:val="24"/>
                <w:lang w:val="en-GB"/>
              </w:rPr>
              <w:t>limine</w:t>
            </w:r>
            <w:proofErr w:type="spellEnd"/>
            <w:r w:rsidRPr="000A3432">
              <w:rPr>
                <w:rFonts w:ascii="Arial" w:eastAsia="Calibri" w:hAnsi="Arial" w:cs="Arial"/>
                <w:sz w:val="24"/>
                <w:szCs w:val="24"/>
                <w:lang w:val="en-GB"/>
              </w:rPr>
              <w:t xml:space="preserve"> raised by Mr </w:t>
            </w:r>
            <w:proofErr w:type="spellStart"/>
            <w:r w:rsidRPr="000A3432">
              <w:rPr>
                <w:rFonts w:ascii="Arial" w:eastAsia="Calibri" w:hAnsi="Arial" w:cs="Arial"/>
                <w:sz w:val="24"/>
                <w:szCs w:val="24"/>
                <w:lang w:val="en-GB"/>
              </w:rPr>
              <w:t>Matota</w:t>
            </w:r>
            <w:proofErr w:type="spellEnd"/>
            <w:r w:rsidRPr="000A3432">
              <w:rPr>
                <w:rFonts w:ascii="Arial" w:eastAsia="Calibri" w:hAnsi="Arial" w:cs="Arial"/>
                <w:sz w:val="24"/>
                <w:szCs w:val="24"/>
                <w:lang w:val="en-GB"/>
              </w:rPr>
              <w:t xml:space="preserve"> was that the grounds of appeal fail to comply with the rules of court in that </w:t>
            </w:r>
            <w:r w:rsidR="00E40DB6">
              <w:rPr>
                <w:rFonts w:ascii="Arial" w:eastAsia="Calibri" w:hAnsi="Arial" w:cs="Arial"/>
                <w:sz w:val="24"/>
                <w:szCs w:val="24"/>
                <w:lang w:val="en-GB"/>
              </w:rPr>
              <w:t>they are</w:t>
            </w:r>
            <w:r w:rsidRPr="000A3432">
              <w:rPr>
                <w:rFonts w:ascii="Arial" w:eastAsia="Calibri" w:hAnsi="Arial" w:cs="Arial"/>
                <w:sz w:val="24"/>
                <w:szCs w:val="24"/>
                <w:lang w:val="en-GB"/>
              </w:rPr>
              <w:t xml:space="preserve"> not clear and specific. Mr </w:t>
            </w:r>
            <w:proofErr w:type="spellStart"/>
            <w:r w:rsidRPr="000A3432">
              <w:rPr>
                <w:rFonts w:ascii="Arial" w:eastAsia="Calibri" w:hAnsi="Arial" w:cs="Arial"/>
                <w:sz w:val="24"/>
                <w:szCs w:val="24"/>
                <w:lang w:val="en-GB"/>
              </w:rPr>
              <w:t>Shapumba</w:t>
            </w:r>
            <w:proofErr w:type="spellEnd"/>
            <w:r w:rsidRPr="000A3432">
              <w:rPr>
                <w:rFonts w:ascii="Arial" w:eastAsia="Calibri" w:hAnsi="Arial" w:cs="Arial"/>
                <w:sz w:val="24"/>
                <w:szCs w:val="24"/>
                <w:lang w:val="en-GB"/>
              </w:rPr>
              <w:t xml:space="preserve"> argued that the grounds were clear enough for the magistrate to provide reasons for the conviction and thus the point should be dismissed.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 xml:space="preserve">[4]     The appellants’ </w:t>
            </w:r>
            <w:r w:rsidR="0009472E">
              <w:rPr>
                <w:rFonts w:ascii="Arial" w:eastAsia="Calibri" w:hAnsi="Arial" w:cs="Arial"/>
                <w:sz w:val="24"/>
                <w:szCs w:val="24"/>
                <w:lang w:val="en-GB"/>
              </w:rPr>
              <w:t xml:space="preserve">notice of </w:t>
            </w:r>
            <w:r w:rsidRPr="000A3432">
              <w:rPr>
                <w:rFonts w:ascii="Arial" w:eastAsia="Calibri" w:hAnsi="Arial" w:cs="Arial"/>
                <w:sz w:val="24"/>
                <w:szCs w:val="24"/>
                <w:lang w:val="en-GB"/>
              </w:rPr>
              <w:t xml:space="preserve">appeal against the conviction consist of a six page document including headings and subheadings with about 26 points which appear to include a combination of opinions most of which are intertwined or duplications. The magistrate </w:t>
            </w:r>
            <w:r w:rsidRPr="000A3432">
              <w:rPr>
                <w:rFonts w:ascii="Arial" w:eastAsia="Calibri" w:hAnsi="Arial" w:cs="Arial"/>
                <w:sz w:val="24"/>
                <w:szCs w:val="24"/>
                <w:lang w:val="en-GB"/>
              </w:rPr>
              <w:lastRenderedPageBreak/>
              <w:t>managed to provide reasons on most of the points</w:t>
            </w:r>
            <w:r w:rsidR="0009472E">
              <w:rPr>
                <w:rFonts w:ascii="Arial" w:eastAsia="Calibri" w:hAnsi="Arial" w:cs="Arial"/>
                <w:sz w:val="24"/>
                <w:szCs w:val="24"/>
                <w:lang w:val="en-GB"/>
              </w:rPr>
              <w:t>,</w:t>
            </w:r>
            <w:r w:rsidRPr="000A3432">
              <w:rPr>
                <w:rFonts w:ascii="Arial" w:eastAsia="Calibri" w:hAnsi="Arial" w:cs="Arial"/>
                <w:sz w:val="24"/>
                <w:szCs w:val="24"/>
                <w:lang w:val="en-GB"/>
              </w:rPr>
              <w:t xml:space="preserve"> however </w:t>
            </w:r>
            <w:r w:rsidR="0009472E">
              <w:rPr>
                <w:rFonts w:ascii="Arial" w:eastAsia="Calibri" w:hAnsi="Arial" w:cs="Arial"/>
                <w:sz w:val="24"/>
                <w:szCs w:val="24"/>
                <w:lang w:val="en-GB"/>
              </w:rPr>
              <w:t xml:space="preserve">she </w:t>
            </w:r>
            <w:r w:rsidRPr="000A3432">
              <w:rPr>
                <w:rFonts w:ascii="Arial" w:eastAsia="Calibri" w:hAnsi="Arial" w:cs="Arial"/>
                <w:sz w:val="24"/>
                <w:szCs w:val="24"/>
                <w:lang w:val="en-GB"/>
              </w:rPr>
              <w:t>appears to be as confused as the State by the document. The State similarly struggled to address the several grounds and in an attempt to reply</w:t>
            </w:r>
            <w:r w:rsidR="00AE6B68" w:rsidRPr="000A3432">
              <w:rPr>
                <w:rFonts w:ascii="Arial" w:eastAsia="Calibri" w:hAnsi="Arial" w:cs="Arial"/>
                <w:sz w:val="24"/>
                <w:szCs w:val="24"/>
                <w:lang w:val="en-GB"/>
              </w:rPr>
              <w:t>,</w:t>
            </w:r>
            <w:r w:rsidRPr="000A3432">
              <w:rPr>
                <w:rFonts w:ascii="Arial" w:eastAsia="Calibri" w:hAnsi="Arial" w:cs="Arial"/>
                <w:sz w:val="24"/>
                <w:szCs w:val="24"/>
                <w:lang w:val="en-GB"/>
              </w:rPr>
              <w:t xml:space="preserve"> combined them into their own structure. </w:t>
            </w:r>
            <w:r w:rsidR="00AE6B68" w:rsidRPr="000A3432">
              <w:rPr>
                <w:rFonts w:ascii="Arial" w:eastAsia="Calibri" w:hAnsi="Arial" w:cs="Arial"/>
                <w:sz w:val="24"/>
                <w:szCs w:val="24"/>
                <w:lang w:val="en-GB"/>
              </w:rPr>
              <w:t>To avoid this confusion, counsel’s attention is drawn to Rule 67 of the Magistrates</w:t>
            </w:r>
            <w:r w:rsidR="00CF2A38" w:rsidRPr="000A3432">
              <w:rPr>
                <w:rFonts w:ascii="Arial" w:eastAsia="Calibri" w:hAnsi="Arial" w:cs="Arial"/>
                <w:sz w:val="24"/>
                <w:szCs w:val="24"/>
                <w:lang w:val="en-GB"/>
              </w:rPr>
              <w:t>’</w:t>
            </w:r>
            <w:r w:rsidR="00AE6B68" w:rsidRPr="000A3432">
              <w:rPr>
                <w:rFonts w:ascii="Arial" w:eastAsia="Calibri" w:hAnsi="Arial" w:cs="Arial"/>
                <w:sz w:val="24"/>
                <w:szCs w:val="24"/>
                <w:lang w:val="en-GB"/>
              </w:rPr>
              <w:t xml:space="preserve"> Court Rules and the decided cases.</w:t>
            </w:r>
            <w:r w:rsidR="00AE6B68" w:rsidRPr="000A3432">
              <w:rPr>
                <w:rStyle w:val="FootnoteReference"/>
                <w:rFonts w:ascii="Arial" w:eastAsia="Calibri" w:hAnsi="Arial" w:cs="Arial"/>
                <w:sz w:val="24"/>
                <w:szCs w:val="24"/>
                <w:lang w:val="en-GB"/>
              </w:rPr>
              <w:footnoteReference w:id="1"/>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 xml:space="preserve">[5]     The only clear ground that this court got from the notice of appeal is an error or failure by the magistrate to explain the right to disclosure of the docket to the unrepresented accused at the start of the trial. The Magistrate recognised this ground of appeal and provided her reason for the failure whilst the respondent similarly addressed the ground in both their written and oral arguments. The point </w:t>
            </w:r>
            <w:r w:rsidRPr="000A3432">
              <w:rPr>
                <w:rFonts w:ascii="Arial" w:eastAsia="Calibri" w:hAnsi="Arial" w:cs="Arial"/>
                <w:i/>
                <w:sz w:val="24"/>
                <w:szCs w:val="24"/>
                <w:lang w:val="en-GB"/>
              </w:rPr>
              <w:t xml:space="preserve">in </w:t>
            </w:r>
            <w:proofErr w:type="spellStart"/>
            <w:r w:rsidRPr="000A3432">
              <w:rPr>
                <w:rFonts w:ascii="Arial" w:eastAsia="Calibri" w:hAnsi="Arial" w:cs="Arial"/>
                <w:i/>
                <w:sz w:val="24"/>
                <w:szCs w:val="24"/>
                <w:lang w:val="en-GB"/>
              </w:rPr>
              <w:t>limine</w:t>
            </w:r>
            <w:proofErr w:type="spellEnd"/>
            <w:r w:rsidRPr="000A3432">
              <w:rPr>
                <w:rFonts w:ascii="Arial" w:eastAsia="Calibri" w:hAnsi="Arial" w:cs="Arial"/>
                <w:sz w:val="24"/>
                <w:szCs w:val="24"/>
                <w:lang w:val="en-GB"/>
              </w:rPr>
              <w:t xml:space="preserve"> is thus partially upheld in that there is only one ground of appeal before this court being that the magistrate failed or erred in not explaining the right to disclosure of the docket to an unrepresented accused. </w:t>
            </w:r>
          </w:p>
          <w:p w:rsidR="00E70EB0" w:rsidRPr="000A3432" w:rsidRDefault="00E70EB0" w:rsidP="00E70EB0">
            <w:pPr>
              <w:spacing w:line="360" w:lineRule="auto"/>
              <w:jc w:val="both"/>
              <w:rPr>
                <w:rFonts w:ascii="Arial" w:eastAsia="Calibri" w:hAnsi="Arial" w:cs="Arial"/>
                <w:sz w:val="24"/>
                <w:szCs w:val="24"/>
                <w:lang w:val="en-GB"/>
              </w:rPr>
            </w:pPr>
          </w:p>
          <w:p w:rsidR="00E70EB0" w:rsidRPr="005E567C" w:rsidRDefault="00E70EB0" w:rsidP="00E70EB0">
            <w:pPr>
              <w:spacing w:line="360" w:lineRule="auto"/>
              <w:jc w:val="both"/>
              <w:rPr>
                <w:rFonts w:ascii="Arial" w:eastAsia="Calibri" w:hAnsi="Arial" w:cs="Arial"/>
                <w:sz w:val="24"/>
                <w:szCs w:val="24"/>
                <w:u w:val="single"/>
                <w:lang w:val="en-GB"/>
              </w:rPr>
            </w:pPr>
            <w:r w:rsidRPr="005E567C">
              <w:rPr>
                <w:rFonts w:ascii="Arial" w:eastAsia="Calibri" w:hAnsi="Arial" w:cs="Arial"/>
                <w:sz w:val="24"/>
                <w:szCs w:val="24"/>
                <w:u w:val="single"/>
                <w:lang w:val="en-GB"/>
              </w:rPr>
              <w:t xml:space="preserve">The ground of appeal: failure to explain the right to disclosure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[6]       It is clear from the court record that the a</w:t>
            </w:r>
            <w:r w:rsidR="00037C63" w:rsidRPr="000A3432">
              <w:rPr>
                <w:rFonts w:ascii="Arial" w:eastAsia="Calibri" w:hAnsi="Arial" w:cs="Arial"/>
                <w:sz w:val="24"/>
                <w:szCs w:val="24"/>
                <w:lang w:val="en-GB"/>
              </w:rPr>
              <w:t>ppellant</w:t>
            </w:r>
            <w:r w:rsidRPr="000A3432">
              <w:rPr>
                <w:rFonts w:ascii="Arial" w:eastAsia="Calibri" w:hAnsi="Arial" w:cs="Arial"/>
                <w:sz w:val="24"/>
                <w:szCs w:val="24"/>
                <w:lang w:val="en-GB"/>
              </w:rPr>
              <w:t xml:space="preserve"> was unrepresented and that the right to disclosure was not explained to her at any point during the proceedings. The magistrate conceded that due to an oversight on her part it was not done however that it was not a fatal irregularity as she advised the a</w:t>
            </w:r>
            <w:r w:rsidR="000A3432">
              <w:rPr>
                <w:rFonts w:ascii="Arial" w:eastAsia="Calibri" w:hAnsi="Arial" w:cs="Arial"/>
                <w:sz w:val="24"/>
                <w:szCs w:val="24"/>
                <w:lang w:val="en-GB"/>
              </w:rPr>
              <w:t>ppellant</w:t>
            </w:r>
            <w:r w:rsidRPr="000A3432">
              <w:rPr>
                <w:rFonts w:ascii="Arial" w:eastAsia="Calibri" w:hAnsi="Arial" w:cs="Arial"/>
                <w:sz w:val="24"/>
                <w:szCs w:val="24"/>
                <w:lang w:val="en-GB"/>
              </w:rPr>
              <w:t xml:space="preserve"> ‘to listen carefully so as to be able to cross examine the state witnesses’.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[7]        The question to be determined is thus whether the failure to explain disclosure to the a</w:t>
            </w:r>
            <w:r w:rsidR="000A3432">
              <w:rPr>
                <w:rFonts w:ascii="Arial" w:eastAsia="Calibri" w:hAnsi="Arial" w:cs="Arial"/>
                <w:sz w:val="24"/>
                <w:szCs w:val="24"/>
                <w:lang w:val="en-GB"/>
              </w:rPr>
              <w:t>ppellant</w:t>
            </w:r>
            <w:r w:rsidRPr="000A3432">
              <w:rPr>
                <w:rFonts w:ascii="Arial" w:eastAsia="Calibri" w:hAnsi="Arial" w:cs="Arial"/>
                <w:sz w:val="24"/>
                <w:szCs w:val="24"/>
                <w:lang w:val="en-GB"/>
              </w:rPr>
              <w:t xml:space="preserve"> amounted to a gross irregularity that vitiates the entire proceedings to such an extent that it cannot be said that a fair trial was conducted.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 xml:space="preserve">[8]         The position of disclosure regarding criminal matters before the High Court was discussed in </w:t>
            </w:r>
            <w:r w:rsidRPr="000A3432">
              <w:rPr>
                <w:rFonts w:ascii="Arial" w:eastAsia="Calibri" w:hAnsi="Arial" w:cs="Arial"/>
                <w:i/>
                <w:sz w:val="24"/>
                <w:szCs w:val="24"/>
                <w:lang w:val="en-GB"/>
              </w:rPr>
              <w:t xml:space="preserve">S v </w:t>
            </w:r>
            <w:proofErr w:type="spellStart"/>
            <w:r w:rsidRPr="000A3432">
              <w:rPr>
                <w:rFonts w:ascii="Arial" w:eastAsia="Calibri" w:hAnsi="Arial" w:cs="Arial"/>
                <w:i/>
                <w:sz w:val="24"/>
                <w:szCs w:val="24"/>
                <w:lang w:val="en-GB"/>
              </w:rPr>
              <w:t>Nassar</w:t>
            </w:r>
            <w:proofErr w:type="spellEnd"/>
            <w:r w:rsidRPr="000A3432">
              <w:rPr>
                <w:rFonts w:ascii="Arial" w:eastAsia="Calibri" w:hAnsi="Arial" w:cs="Arial"/>
                <w:sz w:val="24"/>
                <w:szCs w:val="24"/>
                <w:vertAlign w:val="superscript"/>
                <w:lang w:val="en-GB"/>
              </w:rPr>
              <w:footnoteReference w:id="2"/>
            </w:r>
            <w:r w:rsidRPr="000A3432">
              <w:rPr>
                <w:rFonts w:ascii="Arial" w:eastAsia="Calibri" w:hAnsi="Arial" w:cs="Arial"/>
                <w:sz w:val="24"/>
                <w:szCs w:val="24"/>
                <w:lang w:val="en-GB"/>
              </w:rPr>
              <w:t xml:space="preserve"> wherein it was held that to ensure a fair trial and to uph</w:t>
            </w:r>
            <w:r w:rsidR="0009472E">
              <w:rPr>
                <w:rFonts w:ascii="Arial" w:eastAsia="Calibri" w:hAnsi="Arial" w:cs="Arial"/>
                <w:sz w:val="24"/>
                <w:szCs w:val="24"/>
                <w:lang w:val="en-GB"/>
              </w:rPr>
              <w:t>o</w:t>
            </w:r>
            <w:r w:rsidRPr="000A3432">
              <w:rPr>
                <w:rFonts w:ascii="Arial" w:eastAsia="Calibri" w:hAnsi="Arial" w:cs="Arial"/>
                <w:sz w:val="24"/>
                <w:szCs w:val="24"/>
                <w:lang w:val="en-GB"/>
              </w:rPr>
              <w:t xml:space="preserve">ld the </w:t>
            </w:r>
            <w:r w:rsidRPr="000A3432">
              <w:rPr>
                <w:rFonts w:ascii="Arial" w:eastAsia="Calibri" w:hAnsi="Arial" w:cs="Arial"/>
                <w:sz w:val="24"/>
                <w:szCs w:val="24"/>
                <w:lang w:val="en-GB"/>
              </w:rPr>
              <w:lastRenderedPageBreak/>
              <w:t>provisions of Article 12 of the Constitution, an accused should be provided with disclosure. Only then will an accused be in a position to properly and fully prepare for trial.</w:t>
            </w:r>
            <w:r w:rsidRPr="000A3432">
              <w:rPr>
                <w:rFonts w:ascii="Arial" w:eastAsia="Calibri" w:hAnsi="Arial" w:cs="Arial"/>
                <w:sz w:val="24"/>
                <w:szCs w:val="24"/>
                <w:vertAlign w:val="superscript"/>
                <w:lang w:val="en-GB"/>
              </w:rPr>
              <w:footnoteReference w:id="3"/>
            </w:r>
            <w:r w:rsidRPr="000A3432">
              <w:rPr>
                <w:rFonts w:ascii="Arial" w:eastAsia="Calibri" w:hAnsi="Arial" w:cs="Arial"/>
                <w:sz w:val="24"/>
                <w:szCs w:val="24"/>
                <w:lang w:val="en-GB"/>
              </w:rPr>
              <w:t xml:space="preserve"> It was however added that the position would not be necessarily the same in lower courts where </w:t>
            </w:r>
            <w:r w:rsidRPr="000A3432">
              <w:rPr>
                <w:rFonts w:ascii="Arial" w:eastAsia="Calibri" w:hAnsi="Arial" w:cs="Arial"/>
                <w:i/>
                <w:sz w:val="24"/>
                <w:szCs w:val="24"/>
                <w:lang w:val="en-GB"/>
              </w:rPr>
              <w:t>inter alia</w:t>
            </w:r>
            <w:r w:rsidRPr="000A3432">
              <w:rPr>
                <w:rFonts w:ascii="Arial" w:eastAsia="Calibri" w:hAnsi="Arial" w:cs="Arial"/>
                <w:sz w:val="24"/>
                <w:szCs w:val="24"/>
                <w:lang w:val="en-GB"/>
              </w:rPr>
              <w:t xml:space="preserve"> the nature and complexity of the offense would determine the need for disclosure or not.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[9]      The right to disclosure in the lower court was further d</w:t>
            </w:r>
            <w:r w:rsidR="00037C63" w:rsidRPr="000A3432">
              <w:rPr>
                <w:rFonts w:ascii="Arial" w:eastAsia="Calibri" w:hAnsi="Arial" w:cs="Arial"/>
                <w:sz w:val="24"/>
                <w:szCs w:val="24"/>
                <w:lang w:val="en-GB"/>
              </w:rPr>
              <w:t>eveloped</w:t>
            </w:r>
            <w:r w:rsidRPr="000A3432">
              <w:rPr>
                <w:rFonts w:ascii="Arial" w:eastAsia="Calibri" w:hAnsi="Arial" w:cs="Arial"/>
                <w:sz w:val="24"/>
                <w:szCs w:val="24"/>
                <w:lang w:val="en-GB"/>
              </w:rPr>
              <w:t xml:space="preserve"> in the matter of </w:t>
            </w:r>
            <w:r w:rsidRPr="000A3432">
              <w:rPr>
                <w:rFonts w:ascii="Arial" w:eastAsia="Calibri" w:hAnsi="Arial" w:cs="Arial"/>
                <w:i/>
                <w:sz w:val="24"/>
                <w:szCs w:val="24"/>
                <w:lang w:val="en-GB"/>
              </w:rPr>
              <w:t xml:space="preserve">S v </w:t>
            </w:r>
            <w:proofErr w:type="spellStart"/>
            <w:r w:rsidRPr="000A3432">
              <w:rPr>
                <w:rFonts w:ascii="Arial" w:eastAsia="Calibri" w:hAnsi="Arial" w:cs="Arial"/>
                <w:i/>
                <w:sz w:val="24"/>
                <w:szCs w:val="24"/>
                <w:lang w:val="en-GB"/>
              </w:rPr>
              <w:t>Angula</w:t>
            </w:r>
            <w:proofErr w:type="spellEnd"/>
            <w:r w:rsidRPr="000A3432">
              <w:rPr>
                <w:rFonts w:ascii="Arial" w:eastAsia="Calibri" w:hAnsi="Arial" w:cs="Arial"/>
                <w:i/>
                <w:sz w:val="24"/>
                <w:szCs w:val="24"/>
                <w:lang w:val="en-GB"/>
              </w:rPr>
              <w:t xml:space="preserve"> and others; S v Lucas</w:t>
            </w:r>
            <w:r w:rsidRPr="000A3432">
              <w:rPr>
                <w:rFonts w:ascii="Arial" w:eastAsia="Calibri" w:hAnsi="Arial" w:cs="Arial"/>
                <w:sz w:val="24"/>
                <w:szCs w:val="24"/>
                <w:lang w:val="en-GB"/>
              </w:rPr>
              <w:t xml:space="preserve"> wherein guidelines were provided in matters where the State has the duty of disclosure in offences involving complexities in law or fact or in matters where there is a reasonable prospect of imprisonment. It was added that ‘there is not a different brand of fairness in the lower courts in comparison to that applicable in any of the superior courts’.</w:t>
            </w:r>
            <w:r w:rsidRPr="000A3432">
              <w:rPr>
                <w:rFonts w:ascii="Arial" w:eastAsia="Calibri" w:hAnsi="Arial" w:cs="Arial"/>
                <w:sz w:val="24"/>
                <w:szCs w:val="24"/>
                <w:vertAlign w:val="superscript"/>
                <w:lang w:val="en-GB"/>
              </w:rPr>
              <w:footnoteReference w:id="4"/>
            </w:r>
            <w:r w:rsidRPr="000A3432">
              <w:rPr>
                <w:rFonts w:ascii="Arial" w:eastAsia="Calibri" w:hAnsi="Arial" w:cs="Arial"/>
                <w:sz w:val="24"/>
                <w:szCs w:val="24"/>
                <w:lang w:val="en-GB"/>
              </w:rPr>
              <w:t xml:space="preserve"> The right to disclosure was however qualified </w:t>
            </w:r>
            <w:r w:rsidR="00037C63" w:rsidRPr="000A3432">
              <w:rPr>
                <w:rFonts w:ascii="Arial" w:eastAsia="Calibri" w:hAnsi="Arial" w:cs="Arial"/>
                <w:sz w:val="24"/>
                <w:szCs w:val="24"/>
                <w:lang w:val="en-GB"/>
              </w:rPr>
              <w:t>to not include</w:t>
            </w:r>
            <w:r w:rsidRPr="000A3432">
              <w:rPr>
                <w:rFonts w:ascii="Arial" w:eastAsia="Calibri" w:hAnsi="Arial" w:cs="Arial"/>
                <w:sz w:val="24"/>
                <w:szCs w:val="24"/>
                <w:lang w:val="en-GB"/>
              </w:rPr>
              <w:t xml:space="preserve"> minor cases</w:t>
            </w:r>
            <w:r w:rsidR="000A3432">
              <w:rPr>
                <w:rFonts w:ascii="Arial" w:eastAsia="Calibri" w:hAnsi="Arial" w:cs="Arial"/>
                <w:sz w:val="24"/>
                <w:szCs w:val="24"/>
                <w:lang w:val="en-GB"/>
              </w:rPr>
              <w:t>;</w:t>
            </w:r>
            <w:r w:rsidRPr="000A3432">
              <w:rPr>
                <w:rFonts w:ascii="Arial" w:eastAsia="Calibri" w:hAnsi="Arial" w:cs="Arial"/>
                <w:sz w:val="24"/>
                <w:szCs w:val="24"/>
                <w:lang w:val="en-GB"/>
              </w:rPr>
              <w:t xml:space="preserve"> where disclosure might impede the ends of justice or</w:t>
            </w:r>
            <w:r w:rsidR="000A3432">
              <w:rPr>
                <w:rFonts w:ascii="Arial" w:eastAsia="Calibri" w:hAnsi="Arial" w:cs="Arial"/>
                <w:sz w:val="24"/>
                <w:szCs w:val="24"/>
                <w:lang w:val="en-GB"/>
              </w:rPr>
              <w:t>;</w:t>
            </w:r>
            <w:r w:rsidRPr="000A3432">
              <w:rPr>
                <w:rFonts w:ascii="Arial" w:eastAsia="Calibri" w:hAnsi="Arial" w:cs="Arial"/>
                <w:sz w:val="24"/>
                <w:szCs w:val="24"/>
                <w:lang w:val="en-GB"/>
              </w:rPr>
              <w:t xml:space="preserve"> be against public interest</w:t>
            </w:r>
            <w:r w:rsidR="00037C63" w:rsidRPr="000A3432">
              <w:rPr>
                <w:rFonts w:ascii="Arial" w:eastAsia="Calibri" w:hAnsi="Arial" w:cs="Arial"/>
                <w:sz w:val="24"/>
                <w:szCs w:val="24"/>
                <w:lang w:val="en-GB"/>
              </w:rPr>
              <w:t>. The circumstances of each cases thus plays a role in this determination.</w:t>
            </w:r>
            <w:r w:rsidRPr="000A3432">
              <w:rPr>
                <w:rFonts w:ascii="Arial" w:eastAsia="Calibri" w:hAnsi="Arial" w:cs="Arial"/>
                <w:sz w:val="24"/>
                <w:szCs w:val="24"/>
                <w:lang w:val="en-GB"/>
              </w:rPr>
              <w:t xml:space="preserve">  </w:t>
            </w:r>
          </w:p>
          <w:p w:rsidR="00E70EB0" w:rsidRPr="000A3432" w:rsidRDefault="00E70EB0" w:rsidP="00E70EB0">
            <w:pPr>
              <w:spacing w:line="360" w:lineRule="auto"/>
              <w:jc w:val="both"/>
              <w:rPr>
                <w:rFonts w:ascii="Arial" w:eastAsia="Calibri" w:hAnsi="Arial" w:cs="Arial"/>
                <w:sz w:val="24"/>
                <w:szCs w:val="24"/>
                <w:lang w:val="en-GB"/>
              </w:rPr>
            </w:pP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[10]      Turning to the matter at hand</w:t>
            </w:r>
            <w:r w:rsidR="00B0331E" w:rsidRPr="000A3432">
              <w:rPr>
                <w:rFonts w:ascii="Arial" w:eastAsia="Calibri" w:hAnsi="Arial" w:cs="Arial"/>
                <w:sz w:val="24"/>
                <w:szCs w:val="24"/>
                <w:lang w:val="en-GB"/>
              </w:rPr>
              <w:t>,</w:t>
            </w:r>
            <w:r w:rsidRPr="000A3432">
              <w:rPr>
                <w:rFonts w:ascii="Arial" w:eastAsia="Calibri" w:hAnsi="Arial" w:cs="Arial"/>
                <w:sz w:val="24"/>
                <w:szCs w:val="24"/>
                <w:lang w:val="en-GB"/>
              </w:rPr>
              <w:t xml:space="preserve"> the a</w:t>
            </w:r>
            <w:r w:rsidR="004526BE">
              <w:rPr>
                <w:rFonts w:ascii="Arial" w:eastAsia="Calibri" w:hAnsi="Arial" w:cs="Arial"/>
                <w:sz w:val="24"/>
                <w:szCs w:val="24"/>
                <w:lang w:val="en-GB"/>
              </w:rPr>
              <w:t>ppellant</w:t>
            </w:r>
            <w:r w:rsidRPr="000A3432">
              <w:rPr>
                <w:rFonts w:ascii="Arial" w:eastAsia="Calibri" w:hAnsi="Arial" w:cs="Arial"/>
                <w:sz w:val="24"/>
                <w:szCs w:val="24"/>
                <w:lang w:val="en-GB"/>
              </w:rPr>
              <w:t xml:space="preserve"> was charged with attempted murder</w:t>
            </w:r>
            <w:r w:rsidR="00B0331E" w:rsidRPr="000A3432">
              <w:rPr>
                <w:rFonts w:ascii="Arial" w:eastAsia="Calibri" w:hAnsi="Arial" w:cs="Arial"/>
                <w:sz w:val="24"/>
                <w:szCs w:val="24"/>
                <w:lang w:val="en-GB"/>
              </w:rPr>
              <w:t>. The expected sentence upon conviction has become direct imprisonment which was the sentence imposed in this matter. The appellant was unaware</w:t>
            </w:r>
            <w:r w:rsidRPr="000A3432">
              <w:rPr>
                <w:rFonts w:ascii="Arial" w:eastAsia="Calibri" w:hAnsi="Arial" w:cs="Arial"/>
                <w:sz w:val="24"/>
                <w:szCs w:val="24"/>
                <w:lang w:val="en-GB"/>
              </w:rPr>
              <w:t xml:space="preserve"> of her right to get disclosure of the content of the docket which included a medical report and witness statements. In my view the irregularity was fundamental and potentially prejudiced the appellant to such an extent that it cannot be said that she received a fair trial.</w:t>
            </w:r>
            <w:r w:rsidR="00B0331E" w:rsidRPr="000A3432">
              <w:rPr>
                <w:rStyle w:val="FootnoteReference"/>
                <w:rFonts w:ascii="Arial" w:eastAsia="Calibri" w:hAnsi="Arial" w:cs="Arial"/>
                <w:sz w:val="24"/>
                <w:szCs w:val="24"/>
                <w:lang w:val="en-GB"/>
              </w:rPr>
              <w:footnoteReference w:id="5"/>
            </w:r>
          </w:p>
          <w:p w:rsidR="00E70EB0" w:rsidRPr="000A3432" w:rsidRDefault="00E70EB0" w:rsidP="00E70EB0">
            <w:pPr>
              <w:spacing w:line="360" w:lineRule="auto"/>
              <w:jc w:val="both"/>
              <w:rPr>
                <w:rFonts w:ascii="Arial" w:eastAsia="Calibri" w:hAnsi="Arial" w:cs="Arial"/>
                <w:sz w:val="24"/>
                <w:szCs w:val="24"/>
                <w:lang w:val="en-GB"/>
              </w:rPr>
            </w:pPr>
            <w:r w:rsidRPr="000A3432">
              <w:rPr>
                <w:rFonts w:ascii="Arial" w:eastAsia="Calibri" w:hAnsi="Arial" w:cs="Arial"/>
                <w:sz w:val="24"/>
                <w:szCs w:val="24"/>
                <w:lang w:val="en-GB"/>
              </w:rPr>
              <w:t xml:space="preserve"> </w:t>
            </w:r>
          </w:p>
          <w:p w:rsidR="00E70EB0" w:rsidRPr="000A3432" w:rsidRDefault="003562BC" w:rsidP="00E70EB0">
            <w:pPr>
              <w:spacing w:line="360" w:lineRule="auto"/>
              <w:jc w:val="both"/>
              <w:rPr>
                <w:rFonts w:ascii="Times New Roman" w:eastAsia="Times New Roman" w:hAnsi="Times New Roman" w:cs="Times New Roman"/>
                <w:sz w:val="24"/>
                <w:szCs w:val="24"/>
                <w:lang w:val="en-GB" w:eastAsia="en-GB"/>
              </w:rPr>
            </w:pPr>
            <w:r w:rsidRPr="000A3432">
              <w:rPr>
                <w:rFonts w:ascii="Arial" w:hAnsi="Arial" w:cs="Arial"/>
                <w:sz w:val="24"/>
                <w:szCs w:val="24"/>
                <w:lang w:val="en-GB"/>
              </w:rPr>
              <w:t xml:space="preserve"> </w:t>
            </w:r>
            <w:r w:rsidR="00E70EB0" w:rsidRPr="000A3432">
              <w:rPr>
                <w:rFonts w:ascii="Arial" w:eastAsia="Calibri" w:hAnsi="Arial" w:cs="Arial"/>
                <w:sz w:val="24"/>
                <w:szCs w:val="24"/>
                <w:lang w:val="en-GB"/>
              </w:rPr>
              <w:t>[11]</w:t>
            </w:r>
            <w:r w:rsidR="00E70EB0" w:rsidRPr="000A3432">
              <w:rPr>
                <w:rFonts w:ascii="Arial" w:eastAsia="Calibri" w:hAnsi="Arial" w:cs="Arial"/>
                <w:sz w:val="24"/>
                <w:szCs w:val="24"/>
                <w:lang w:val="en-GB"/>
              </w:rPr>
              <w:tab/>
              <w:t xml:space="preserve">  In the result the following order is made:</w:t>
            </w:r>
            <w:r w:rsidR="00E70EB0" w:rsidRPr="000A3432">
              <w:rPr>
                <w:rFonts w:ascii="Times New Roman" w:eastAsia="Times New Roman" w:hAnsi="Times New Roman" w:cs="Times New Roman"/>
                <w:sz w:val="24"/>
                <w:szCs w:val="24"/>
                <w:lang w:val="en-GB" w:eastAsia="en-GB"/>
              </w:rPr>
              <w:t xml:space="preserve"> </w:t>
            </w:r>
          </w:p>
          <w:p w:rsidR="00E70EB0" w:rsidRPr="000A3432" w:rsidRDefault="00E70EB0" w:rsidP="00E70EB0">
            <w:pPr>
              <w:spacing w:line="360" w:lineRule="auto"/>
              <w:ind w:left="1422" w:hanging="540"/>
              <w:jc w:val="both"/>
              <w:rPr>
                <w:rFonts w:ascii="Arial" w:eastAsia="Calibri" w:hAnsi="Arial" w:cs="Arial"/>
                <w:sz w:val="24"/>
                <w:szCs w:val="24"/>
                <w:lang w:val="en-GB"/>
              </w:rPr>
            </w:pPr>
            <w:r w:rsidRPr="000A3432">
              <w:rPr>
                <w:rFonts w:ascii="Arial" w:eastAsia="Calibri" w:hAnsi="Arial" w:cs="Arial"/>
                <w:sz w:val="24"/>
                <w:szCs w:val="24"/>
                <w:lang w:val="en-GB"/>
              </w:rPr>
              <w:t>1.</w:t>
            </w:r>
            <w:r w:rsidRPr="000A3432">
              <w:rPr>
                <w:rFonts w:ascii="Arial" w:eastAsia="Calibri" w:hAnsi="Arial" w:cs="Arial"/>
                <w:sz w:val="24"/>
                <w:szCs w:val="24"/>
                <w:lang w:val="en-GB"/>
              </w:rPr>
              <w:tab/>
              <w:t>The appeal is upheld and the conviction and sentence</w:t>
            </w:r>
            <w:r w:rsidR="00CF2A38" w:rsidRPr="000A3432">
              <w:rPr>
                <w:rFonts w:ascii="Arial" w:eastAsia="Calibri" w:hAnsi="Arial" w:cs="Arial"/>
                <w:sz w:val="24"/>
                <w:szCs w:val="24"/>
                <w:lang w:val="en-GB"/>
              </w:rPr>
              <w:t xml:space="preserve"> are</w:t>
            </w:r>
            <w:r w:rsidRPr="000A3432">
              <w:rPr>
                <w:rFonts w:ascii="Arial" w:eastAsia="Calibri" w:hAnsi="Arial" w:cs="Arial"/>
                <w:sz w:val="24"/>
                <w:szCs w:val="24"/>
                <w:lang w:val="en-GB"/>
              </w:rPr>
              <w:t xml:space="preserve"> set aside.</w:t>
            </w:r>
          </w:p>
          <w:p w:rsidR="00E70EB0" w:rsidRPr="000A3432" w:rsidRDefault="00E70EB0" w:rsidP="00E70EB0">
            <w:pPr>
              <w:spacing w:line="360" w:lineRule="auto"/>
              <w:ind w:left="1422" w:hanging="540"/>
              <w:jc w:val="both"/>
              <w:rPr>
                <w:rFonts w:ascii="Arial" w:eastAsia="Calibri" w:hAnsi="Arial" w:cs="Arial"/>
                <w:sz w:val="24"/>
                <w:szCs w:val="24"/>
                <w:lang w:val="en-GB"/>
              </w:rPr>
            </w:pPr>
            <w:r w:rsidRPr="000A3432">
              <w:rPr>
                <w:rFonts w:ascii="Arial" w:eastAsia="Calibri" w:hAnsi="Arial" w:cs="Arial"/>
                <w:sz w:val="24"/>
                <w:szCs w:val="24"/>
                <w:lang w:val="en-GB"/>
              </w:rPr>
              <w:t>2.</w:t>
            </w:r>
            <w:r w:rsidRPr="000A3432">
              <w:rPr>
                <w:rFonts w:ascii="Arial" w:eastAsia="Calibri" w:hAnsi="Arial" w:cs="Arial"/>
                <w:sz w:val="24"/>
                <w:szCs w:val="24"/>
                <w:lang w:val="en-GB"/>
              </w:rPr>
              <w:tab/>
              <w:t>In terms of s 3</w:t>
            </w:r>
            <w:r w:rsidR="00E40DB6">
              <w:rPr>
                <w:rFonts w:ascii="Arial" w:eastAsia="Calibri" w:hAnsi="Arial" w:cs="Arial"/>
                <w:sz w:val="24"/>
                <w:szCs w:val="24"/>
                <w:lang w:val="en-GB"/>
              </w:rPr>
              <w:t>09(3)</w:t>
            </w:r>
            <w:r w:rsidRPr="000A3432">
              <w:rPr>
                <w:rFonts w:ascii="Arial" w:eastAsia="Calibri" w:hAnsi="Arial" w:cs="Arial"/>
                <w:sz w:val="24"/>
                <w:szCs w:val="24"/>
                <w:lang w:val="en-GB"/>
              </w:rPr>
              <w:t xml:space="preserve"> read with s 304(2) of the Criminal Procedure Act 51 of 1977 as amended, the matter is remitted to the </w:t>
            </w:r>
            <w:proofErr w:type="spellStart"/>
            <w:r w:rsidRPr="000A3432">
              <w:rPr>
                <w:rFonts w:ascii="Arial" w:eastAsia="Calibri" w:hAnsi="Arial" w:cs="Arial"/>
                <w:sz w:val="24"/>
                <w:szCs w:val="24"/>
                <w:lang w:val="en-GB"/>
              </w:rPr>
              <w:t>Ondangwa</w:t>
            </w:r>
            <w:proofErr w:type="spellEnd"/>
            <w:r w:rsidRPr="000A3432">
              <w:rPr>
                <w:rFonts w:ascii="Arial" w:eastAsia="Calibri" w:hAnsi="Arial" w:cs="Arial"/>
                <w:sz w:val="24"/>
                <w:szCs w:val="24"/>
                <w:lang w:val="en-GB"/>
              </w:rPr>
              <w:t xml:space="preserve"> Magistrates’ Court for proceedings to start </w:t>
            </w:r>
            <w:r w:rsidRPr="0009472E">
              <w:rPr>
                <w:rFonts w:ascii="Arial" w:eastAsia="Calibri" w:hAnsi="Arial" w:cs="Arial"/>
                <w:i/>
                <w:sz w:val="24"/>
                <w:szCs w:val="24"/>
                <w:lang w:val="en-GB"/>
              </w:rPr>
              <w:t>de novo</w:t>
            </w:r>
            <w:r w:rsidRPr="000A3432">
              <w:rPr>
                <w:rFonts w:ascii="Arial" w:eastAsia="Calibri" w:hAnsi="Arial" w:cs="Arial"/>
                <w:sz w:val="24"/>
                <w:szCs w:val="24"/>
                <w:lang w:val="en-GB"/>
              </w:rPr>
              <w:t xml:space="preserve"> before another magistrate.</w:t>
            </w:r>
          </w:p>
          <w:p w:rsidR="00E70EB0" w:rsidRPr="000A3432" w:rsidRDefault="00E70EB0" w:rsidP="00E70EB0">
            <w:pPr>
              <w:spacing w:line="360" w:lineRule="auto"/>
              <w:ind w:left="1422" w:hanging="540"/>
              <w:jc w:val="both"/>
              <w:rPr>
                <w:rFonts w:ascii="Arial" w:eastAsia="Calibri" w:hAnsi="Arial" w:cs="Arial"/>
                <w:sz w:val="24"/>
                <w:szCs w:val="24"/>
                <w:lang w:val="en-GB"/>
              </w:rPr>
            </w:pPr>
            <w:r w:rsidRPr="000A3432">
              <w:rPr>
                <w:rFonts w:ascii="Arial" w:eastAsia="Calibri" w:hAnsi="Arial" w:cs="Arial"/>
                <w:sz w:val="24"/>
                <w:szCs w:val="24"/>
                <w:lang w:val="en-GB"/>
              </w:rPr>
              <w:t>3.</w:t>
            </w:r>
            <w:r w:rsidRPr="000A3432">
              <w:rPr>
                <w:rFonts w:ascii="Arial" w:eastAsia="Calibri" w:hAnsi="Arial" w:cs="Arial"/>
                <w:sz w:val="24"/>
                <w:szCs w:val="24"/>
                <w:lang w:val="en-GB"/>
              </w:rPr>
              <w:tab/>
              <w:t>If the a</w:t>
            </w:r>
            <w:r w:rsidR="004526BE">
              <w:rPr>
                <w:rFonts w:ascii="Arial" w:eastAsia="Calibri" w:hAnsi="Arial" w:cs="Arial"/>
                <w:sz w:val="24"/>
                <w:szCs w:val="24"/>
                <w:lang w:val="en-GB"/>
              </w:rPr>
              <w:t>ppellant</w:t>
            </w:r>
            <w:r w:rsidRPr="000A3432">
              <w:rPr>
                <w:rFonts w:ascii="Arial" w:eastAsia="Calibri" w:hAnsi="Arial" w:cs="Arial"/>
                <w:sz w:val="24"/>
                <w:szCs w:val="24"/>
                <w:lang w:val="en-GB"/>
              </w:rPr>
              <w:t xml:space="preserve"> is convicted again, the time served for this matter should be considered during sentencing.</w:t>
            </w:r>
          </w:p>
          <w:p w:rsidR="00E70EB0" w:rsidRPr="000A3432" w:rsidRDefault="00E70EB0" w:rsidP="00E70EB0">
            <w:pPr>
              <w:spacing w:line="360" w:lineRule="auto"/>
              <w:ind w:left="1422" w:hanging="540"/>
              <w:jc w:val="both"/>
              <w:rPr>
                <w:rFonts w:ascii="Arial" w:eastAsia="Calibri" w:hAnsi="Arial" w:cs="Arial"/>
                <w:sz w:val="24"/>
                <w:szCs w:val="24"/>
                <w:lang w:val="en-GB"/>
              </w:rPr>
            </w:pPr>
            <w:r w:rsidRPr="000A3432">
              <w:rPr>
                <w:rFonts w:ascii="Arial" w:eastAsia="Calibri" w:hAnsi="Arial" w:cs="Arial"/>
                <w:sz w:val="24"/>
                <w:szCs w:val="24"/>
                <w:lang w:val="en-GB"/>
              </w:rPr>
              <w:lastRenderedPageBreak/>
              <w:t>4.</w:t>
            </w:r>
            <w:r w:rsidRPr="000A3432">
              <w:rPr>
                <w:rFonts w:ascii="Arial" w:eastAsia="Calibri" w:hAnsi="Arial" w:cs="Arial"/>
                <w:sz w:val="24"/>
                <w:szCs w:val="24"/>
                <w:lang w:val="en-GB"/>
              </w:rPr>
              <w:tab/>
              <w:t>The a</w:t>
            </w:r>
            <w:r w:rsidR="004526BE">
              <w:rPr>
                <w:rFonts w:ascii="Arial" w:eastAsia="Calibri" w:hAnsi="Arial" w:cs="Arial"/>
                <w:sz w:val="24"/>
                <w:szCs w:val="24"/>
                <w:lang w:val="en-GB"/>
              </w:rPr>
              <w:t>ppellant</w:t>
            </w:r>
            <w:r w:rsidRPr="000A3432">
              <w:rPr>
                <w:rFonts w:ascii="Arial" w:eastAsia="Calibri" w:hAnsi="Arial" w:cs="Arial"/>
                <w:sz w:val="24"/>
                <w:szCs w:val="24"/>
                <w:lang w:val="en-GB"/>
              </w:rPr>
              <w:t xml:space="preserve"> is granted bail in the amount of N$ </w:t>
            </w:r>
            <w:r w:rsidR="00E40DB6">
              <w:rPr>
                <w:rFonts w:ascii="Arial" w:eastAsia="Calibri" w:hAnsi="Arial" w:cs="Arial"/>
                <w:sz w:val="24"/>
                <w:szCs w:val="24"/>
                <w:lang w:val="en-GB"/>
              </w:rPr>
              <w:t xml:space="preserve">1 </w:t>
            </w:r>
            <w:r w:rsidRPr="000A3432">
              <w:rPr>
                <w:rFonts w:ascii="Arial" w:eastAsia="Calibri" w:hAnsi="Arial" w:cs="Arial"/>
                <w:sz w:val="24"/>
                <w:szCs w:val="24"/>
                <w:lang w:val="en-GB"/>
              </w:rPr>
              <w:t xml:space="preserve">000 on the condition that she is not allowed any direct or indirect contact with the complainant. If bail is paid, the appellant is warned to appear at the </w:t>
            </w:r>
            <w:proofErr w:type="spellStart"/>
            <w:r w:rsidRPr="000A3432">
              <w:rPr>
                <w:rFonts w:ascii="Arial" w:eastAsia="Calibri" w:hAnsi="Arial" w:cs="Arial"/>
                <w:sz w:val="24"/>
                <w:szCs w:val="24"/>
                <w:lang w:val="en-GB"/>
              </w:rPr>
              <w:t>Ondangwa</w:t>
            </w:r>
            <w:proofErr w:type="spellEnd"/>
            <w:r w:rsidRPr="000A3432">
              <w:rPr>
                <w:rFonts w:ascii="Arial" w:eastAsia="Calibri" w:hAnsi="Arial" w:cs="Arial"/>
                <w:sz w:val="24"/>
                <w:szCs w:val="24"/>
                <w:lang w:val="en-GB"/>
              </w:rPr>
              <w:t xml:space="preserve"> Magistrates</w:t>
            </w:r>
            <w:r w:rsidR="00CF2A38" w:rsidRPr="000A3432">
              <w:rPr>
                <w:rFonts w:ascii="Arial" w:eastAsia="Calibri" w:hAnsi="Arial" w:cs="Arial"/>
                <w:sz w:val="24"/>
                <w:szCs w:val="24"/>
                <w:lang w:val="en-GB"/>
              </w:rPr>
              <w:t>’</w:t>
            </w:r>
            <w:r w:rsidRPr="000A3432">
              <w:rPr>
                <w:rFonts w:ascii="Arial" w:eastAsia="Calibri" w:hAnsi="Arial" w:cs="Arial"/>
                <w:sz w:val="24"/>
                <w:szCs w:val="24"/>
                <w:lang w:val="en-GB"/>
              </w:rPr>
              <w:t xml:space="preserve"> Court (A Court) on the 12 September 2023 and furthermore warned that if she fails to appear in court</w:t>
            </w:r>
            <w:r w:rsidR="0009472E">
              <w:rPr>
                <w:rFonts w:ascii="Arial" w:eastAsia="Calibri" w:hAnsi="Arial" w:cs="Arial"/>
                <w:sz w:val="24"/>
                <w:szCs w:val="24"/>
                <w:lang w:val="en-GB"/>
              </w:rPr>
              <w:t>,</w:t>
            </w:r>
            <w:r w:rsidRPr="000A3432">
              <w:rPr>
                <w:rFonts w:ascii="Arial" w:eastAsia="Calibri" w:hAnsi="Arial" w:cs="Arial"/>
                <w:sz w:val="24"/>
                <w:szCs w:val="24"/>
                <w:lang w:val="en-GB"/>
              </w:rPr>
              <w:t xml:space="preserve"> a warrant for her arrest may be issued against her, her bail money will be provisionally cancelled and the bail money will be provisionally forfeited to the State pending an enquiry into her absence.</w:t>
            </w:r>
          </w:p>
          <w:p w:rsidR="003562BC" w:rsidRPr="000A3432" w:rsidRDefault="003562BC" w:rsidP="00DA6876">
            <w:pPr>
              <w:spacing w:line="360" w:lineRule="auto"/>
              <w:contextualSpacing/>
              <w:jc w:val="both"/>
              <w:rPr>
                <w:rFonts w:ascii="Arial" w:hAnsi="Arial" w:cs="Arial"/>
                <w:b/>
                <w:sz w:val="24"/>
                <w:szCs w:val="24"/>
                <w:lang w:val="en-GB"/>
              </w:rPr>
            </w:pPr>
          </w:p>
        </w:tc>
      </w:tr>
      <w:tr w:rsidR="003562BC" w:rsidRPr="000A3432" w:rsidTr="00DA6876">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b/>
                <w:sz w:val="24"/>
                <w:szCs w:val="24"/>
                <w:lang w:val="en-GB"/>
              </w:rPr>
            </w:pPr>
            <w:r w:rsidRPr="000A3432">
              <w:rPr>
                <w:rFonts w:ascii="Arial" w:hAnsi="Arial" w:cs="Arial"/>
                <w:b/>
                <w:sz w:val="24"/>
                <w:szCs w:val="24"/>
                <w:lang w:val="en-GB"/>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sz w:val="24"/>
                <w:szCs w:val="24"/>
                <w:lang w:val="en-GB"/>
              </w:rPr>
            </w:pPr>
            <w:r w:rsidRPr="000A3432">
              <w:rPr>
                <w:rFonts w:ascii="Arial" w:hAnsi="Arial" w:cs="Arial"/>
                <w:b/>
                <w:sz w:val="24"/>
                <w:szCs w:val="24"/>
                <w:lang w:val="en-GB"/>
              </w:rPr>
              <w:t>Comments:</w:t>
            </w:r>
            <w:r w:rsidRPr="000A3432">
              <w:rPr>
                <w:rFonts w:ascii="Arial" w:hAnsi="Arial" w:cs="Arial"/>
                <w:sz w:val="24"/>
                <w:szCs w:val="24"/>
                <w:lang w:val="en-GB"/>
              </w:rPr>
              <w:t xml:space="preserve">  </w:t>
            </w:r>
          </w:p>
        </w:tc>
      </w:tr>
      <w:tr w:rsidR="003562BC" w:rsidRPr="000A3432" w:rsidTr="00DA6876">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E70EB0" w:rsidP="00DA6876">
            <w:pPr>
              <w:spacing w:line="360" w:lineRule="auto"/>
              <w:jc w:val="both"/>
              <w:rPr>
                <w:rFonts w:ascii="Arial" w:hAnsi="Arial" w:cs="Arial"/>
                <w:sz w:val="24"/>
                <w:szCs w:val="24"/>
                <w:lang w:val="en-GB"/>
              </w:rPr>
            </w:pPr>
            <w:proofErr w:type="spellStart"/>
            <w:r w:rsidRPr="000A3432">
              <w:rPr>
                <w:rFonts w:ascii="Arial" w:hAnsi="Arial" w:cs="Arial"/>
                <w:sz w:val="24"/>
                <w:szCs w:val="24"/>
                <w:lang w:val="en-GB"/>
              </w:rPr>
              <w:t>Kesslau</w:t>
            </w:r>
            <w:proofErr w:type="spellEnd"/>
            <w:r w:rsidR="003562BC" w:rsidRPr="000A3432">
              <w:rPr>
                <w:rFonts w:ascii="Arial" w:hAnsi="Arial" w:cs="Arial"/>
                <w:sz w:val="24"/>
                <w:szCs w:val="24"/>
                <w:lang w:val="en-GB"/>
              </w:rPr>
              <w:t xml:space="preserve"> J:</w:t>
            </w:r>
          </w:p>
          <w:p w:rsidR="00CF2A38" w:rsidRPr="000A3432" w:rsidRDefault="00CF2A38" w:rsidP="00DA6876">
            <w:pPr>
              <w:spacing w:line="360" w:lineRule="auto"/>
              <w:jc w:val="both"/>
              <w:rPr>
                <w:rFonts w:ascii="Arial" w:hAnsi="Arial" w:cs="Arial"/>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sz w:val="24"/>
                <w:szCs w:val="24"/>
                <w:lang w:val="en-GB"/>
              </w:rPr>
            </w:pPr>
            <w:r w:rsidRPr="000A3432">
              <w:rPr>
                <w:rFonts w:ascii="Arial" w:hAnsi="Arial" w:cs="Arial"/>
                <w:sz w:val="24"/>
                <w:szCs w:val="24"/>
                <w:lang w:val="en-GB"/>
              </w:rPr>
              <w:t xml:space="preserve">None </w:t>
            </w:r>
          </w:p>
        </w:tc>
      </w:tr>
      <w:tr w:rsidR="003562BC" w:rsidRPr="000A3432" w:rsidTr="00DA6876">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E70EB0" w:rsidP="00DA6876">
            <w:pPr>
              <w:spacing w:line="360" w:lineRule="auto"/>
              <w:jc w:val="both"/>
              <w:rPr>
                <w:rFonts w:ascii="Arial" w:hAnsi="Arial" w:cs="Arial"/>
                <w:sz w:val="24"/>
                <w:szCs w:val="24"/>
                <w:lang w:val="en-GB"/>
              </w:rPr>
            </w:pPr>
            <w:proofErr w:type="spellStart"/>
            <w:r w:rsidRPr="000A3432">
              <w:rPr>
                <w:rFonts w:ascii="Arial" w:hAnsi="Arial" w:cs="Arial"/>
                <w:sz w:val="24"/>
                <w:szCs w:val="24"/>
                <w:lang w:val="en-GB"/>
              </w:rPr>
              <w:t>Salionga</w:t>
            </w:r>
            <w:proofErr w:type="spellEnd"/>
            <w:r w:rsidR="003562BC" w:rsidRPr="000A3432">
              <w:rPr>
                <w:rFonts w:ascii="Arial" w:hAnsi="Arial" w:cs="Arial"/>
                <w:sz w:val="24"/>
                <w:szCs w:val="24"/>
                <w:lang w:val="en-GB"/>
              </w:rPr>
              <w:t xml:space="preserve"> J:</w:t>
            </w:r>
          </w:p>
          <w:p w:rsidR="00CF2A38" w:rsidRPr="000A3432" w:rsidRDefault="00CF2A38" w:rsidP="00DA6876">
            <w:pPr>
              <w:spacing w:line="360" w:lineRule="auto"/>
              <w:jc w:val="both"/>
              <w:rPr>
                <w:rFonts w:ascii="Arial" w:hAnsi="Arial" w:cs="Arial"/>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3562BC" w:rsidRPr="000A3432" w:rsidRDefault="003562BC" w:rsidP="00DA6876">
            <w:pPr>
              <w:spacing w:line="360" w:lineRule="auto"/>
              <w:jc w:val="both"/>
              <w:rPr>
                <w:rFonts w:ascii="Arial" w:hAnsi="Arial" w:cs="Arial"/>
                <w:sz w:val="24"/>
                <w:szCs w:val="24"/>
                <w:lang w:val="en-GB"/>
              </w:rPr>
            </w:pPr>
            <w:r w:rsidRPr="000A3432">
              <w:rPr>
                <w:rFonts w:ascii="Arial" w:hAnsi="Arial" w:cs="Arial"/>
                <w:sz w:val="24"/>
                <w:szCs w:val="24"/>
                <w:lang w:val="en-GB"/>
              </w:rPr>
              <w:t>None</w:t>
            </w:r>
          </w:p>
        </w:tc>
      </w:tr>
      <w:tr w:rsidR="003562BC" w:rsidRPr="000A3432" w:rsidTr="00DA6876">
        <w:trPr>
          <w:trHeight w:val="557"/>
        </w:trPr>
        <w:tc>
          <w:tcPr>
            <w:tcW w:w="10051" w:type="dxa"/>
            <w:gridSpan w:val="3"/>
            <w:tcBorders>
              <w:top w:val="single" w:sz="4" w:space="0" w:color="auto"/>
              <w:left w:val="single" w:sz="4" w:space="0" w:color="auto"/>
              <w:bottom w:val="single" w:sz="4" w:space="0" w:color="auto"/>
              <w:right w:val="single" w:sz="4" w:space="0" w:color="auto"/>
            </w:tcBorders>
            <w:hideMark/>
          </w:tcPr>
          <w:p w:rsidR="003562BC" w:rsidRPr="000A3432" w:rsidRDefault="003562BC" w:rsidP="00E70EB0">
            <w:pPr>
              <w:spacing w:line="360" w:lineRule="auto"/>
              <w:jc w:val="center"/>
              <w:rPr>
                <w:rFonts w:ascii="Arial" w:hAnsi="Arial" w:cs="Arial"/>
                <w:b/>
                <w:sz w:val="24"/>
                <w:szCs w:val="24"/>
                <w:lang w:val="en-GB"/>
              </w:rPr>
            </w:pPr>
            <w:r w:rsidRPr="000A3432">
              <w:rPr>
                <w:rFonts w:ascii="Arial" w:hAnsi="Arial" w:cs="Arial"/>
                <w:b/>
                <w:sz w:val="24"/>
                <w:szCs w:val="24"/>
                <w:lang w:val="en-GB"/>
              </w:rPr>
              <w:t>Counsel:</w:t>
            </w:r>
          </w:p>
        </w:tc>
      </w:tr>
      <w:tr w:rsidR="003562BC" w:rsidRPr="000A3432" w:rsidTr="00C15594">
        <w:trPr>
          <w:trHeight w:val="683"/>
        </w:trPr>
        <w:tc>
          <w:tcPr>
            <w:tcW w:w="5089"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3562BC" w:rsidP="005E567C">
            <w:pPr>
              <w:spacing w:line="360" w:lineRule="auto"/>
              <w:jc w:val="center"/>
              <w:rPr>
                <w:rFonts w:ascii="Arial" w:hAnsi="Arial" w:cs="Arial"/>
                <w:b/>
                <w:sz w:val="24"/>
                <w:szCs w:val="24"/>
                <w:lang w:val="en-GB"/>
              </w:rPr>
            </w:pPr>
            <w:r w:rsidRPr="000A3432">
              <w:rPr>
                <w:rFonts w:ascii="Arial" w:hAnsi="Arial" w:cs="Arial"/>
                <w:b/>
                <w:sz w:val="24"/>
                <w:szCs w:val="24"/>
                <w:lang w:val="en-GB"/>
              </w:rPr>
              <w:t>Appellant</w:t>
            </w:r>
          </w:p>
        </w:tc>
        <w:tc>
          <w:tcPr>
            <w:tcW w:w="4962" w:type="dxa"/>
            <w:tcBorders>
              <w:top w:val="single" w:sz="4" w:space="0" w:color="auto"/>
              <w:left w:val="single" w:sz="4" w:space="0" w:color="auto"/>
              <w:bottom w:val="single" w:sz="4" w:space="0" w:color="auto"/>
              <w:right w:val="single" w:sz="4" w:space="0" w:color="auto"/>
            </w:tcBorders>
            <w:hideMark/>
          </w:tcPr>
          <w:p w:rsidR="003562BC" w:rsidRPr="000A3432" w:rsidRDefault="003562BC" w:rsidP="005E567C">
            <w:pPr>
              <w:spacing w:line="360" w:lineRule="auto"/>
              <w:jc w:val="center"/>
              <w:rPr>
                <w:rFonts w:ascii="Arial" w:hAnsi="Arial" w:cs="Arial"/>
                <w:b/>
                <w:sz w:val="24"/>
                <w:szCs w:val="24"/>
                <w:lang w:val="en-GB"/>
              </w:rPr>
            </w:pPr>
            <w:r w:rsidRPr="000A3432">
              <w:rPr>
                <w:rFonts w:ascii="Arial" w:hAnsi="Arial" w:cs="Arial"/>
                <w:b/>
                <w:sz w:val="24"/>
                <w:szCs w:val="24"/>
                <w:lang w:val="en-GB"/>
              </w:rPr>
              <w:t>Respondent</w:t>
            </w:r>
          </w:p>
        </w:tc>
      </w:tr>
      <w:tr w:rsidR="003562BC" w:rsidRPr="000A3432" w:rsidTr="00DA6876">
        <w:trPr>
          <w:trHeight w:val="984"/>
        </w:trPr>
        <w:tc>
          <w:tcPr>
            <w:tcW w:w="5089" w:type="dxa"/>
            <w:gridSpan w:val="2"/>
            <w:tcBorders>
              <w:top w:val="single" w:sz="4" w:space="0" w:color="auto"/>
              <w:left w:val="single" w:sz="4" w:space="0" w:color="auto"/>
              <w:bottom w:val="single" w:sz="4" w:space="0" w:color="auto"/>
              <w:right w:val="single" w:sz="4" w:space="0" w:color="auto"/>
            </w:tcBorders>
            <w:hideMark/>
          </w:tcPr>
          <w:p w:rsidR="003562BC" w:rsidRPr="000A3432" w:rsidRDefault="005E567C" w:rsidP="005E567C">
            <w:pPr>
              <w:spacing w:line="360" w:lineRule="auto"/>
              <w:jc w:val="center"/>
              <w:rPr>
                <w:rFonts w:ascii="Arial" w:hAnsi="Arial" w:cs="Arial"/>
                <w:sz w:val="24"/>
                <w:szCs w:val="24"/>
                <w:lang w:val="en-GB"/>
              </w:rPr>
            </w:pPr>
            <w:r>
              <w:rPr>
                <w:rFonts w:ascii="Arial" w:hAnsi="Arial" w:cs="Arial"/>
                <w:sz w:val="24"/>
                <w:szCs w:val="24"/>
                <w:lang w:val="en-GB"/>
              </w:rPr>
              <w:t>A</w:t>
            </w:r>
            <w:r w:rsidR="00E70EB0" w:rsidRPr="000A3432">
              <w:rPr>
                <w:rFonts w:ascii="Arial" w:hAnsi="Arial" w:cs="Arial"/>
                <w:sz w:val="24"/>
                <w:szCs w:val="24"/>
                <w:lang w:val="en-GB"/>
              </w:rPr>
              <w:t xml:space="preserve"> </w:t>
            </w:r>
            <w:proofErr w:type="spellStart"/>
            <w:r w:rsidR="00E70EB0" w:rsidRPr="000A3432">
              <w:rPr>
                <w:rFonts w:ascii="Arial" w:hAnsi="Arial" w:cs="Arial"/>
                <w:sz w:val="24"/>
                <w:szCs w:val="24"/>
                <w:lang w:val="en-GB"/>
              </w:rPr>
              <w:t>Shapumba</w:t>
            </w:r>
            <w:proofErr w:type="spellEnd"/>
          </w:p>
          <w:p w:rsidR="005E567C" w:rsidRDefault="00E70EB0" w:rsidP="005E567C">
            <w:pPr>
              <w:spacing w:line="360" w:lineRule="auto"/>
              <w:jc w:val="center"/>
              <w:rPr>
                <w:rFonts w:ascii="Arial" w:hAnsi="Arial" w:cs="Arial"/>
                <w:sz w:val="24"/>
                <w:szCs w:val="24"/>
                <w:lang w:val="en-GB"/>
              </w:rPr>
            </w:pPr>
            <w:r w:rsidRPr="000A3432">
              <w:rPr>
                <w:rFonts w:ascii="Arial" w:hAnsi="Arial" w:cs="Arial"/>
                <w:sz w:val="24"/>
                <w:szCs w:val="24"/>
                <w:lang w:val="en-GB"/>
              </w:rPr>
              <w:t xml:space="preserve">Of </w:t>
            </w:r>
            <w:proofErr w:type="spellStart"/>
            <w:r w:rsidR="00C15594" w:rsidRPr="000A3432">
              <w:rPr>
                <w:rFonts w:ascii="Arial" w:hAnsi="Arial" w:cs="Arial"/>
                <w:sz w:val="24"/>
                <w:szCs w:val="24"/>
                <w:lang w:val="en-GB"/>
              </w:rPr>
              <w:t>Shapumba</w:t>
            </w:r>
            <w:proofErr w:type="spellEnd"/>
            <w:r w:rsidR="00C15594" w:rsidRPr="000A3432">
              <w:rPr>
                <w:rFonts w:ascii="Arial" w:hAnsi="Arial" w:cs="Arial"/>
                <w:sz w:val="24"/>
                <w:szCs w:val="24"/>
                <w:lang w:val="en-GB"/>
              </w:rPr>
              <w:t xml:space="preserve"> &amp; Associates Inc.</w:t>
            </w:r>
            <w:r w:rsidR="005E567C">
              <w:rPr>
                <w:rFonts w:ascii="Arial" w:hAnsi="Arial" w:cs="Arial"/>
                <w:sz w:val="24"/>
                <w:szCs w:val="24"/>
                <w:lang w:val="en-GB"/>
              </w:rPr>
              <w:t xml:space="preserve">, </w:t>
            </w:r>
          </w:p>
          <w:p w:rsidR="00E70EB0" w:rsidRPr="000A3432" w:rsidRDefault="005E567C" w:rsidP="005E567C">
            <w:pPr>
              <w:spacing w:line="360" w:lineRule="auto"/>
              <w:jc w:val="center"/>
              <w:rPr>
                <w:rFonts w:ascii="Arial" w:hAnsi="Arial" w:cs="Arial"/>
                <w:sz w:val="24"/>
                <w:szCs w:val="24"/>
                <w:lang w:val="en-GB"/>
              </w:rPr>
            </w:pPr>
            <w:proofErr w:type="spellStart"/>
            <w:r>
              <w:rPr>
                <w:rFonts w:ascii="Arial" w:hAnsi="Arial" w:cs="Arial"/>
                <w:sz w:val="24"/>
                <w:szCs w:val="24"/>
                <w:lang w:val="en-US"/>
              </w:rPr>
              <w:t>Ondangwa</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3562BC" w:rsidRPr="000A3432" w:rsidRDefault="005E567C" w:rsidP="005E567C">
            <w:pPr>
              <w:spacing w:line="360" w:lineRule="auto"/>
              <w:jc w:val="center"/>
              <w:rPr>
                <w:rFonts w:ascii="Arial" w:hAnsi="Arial" w:cs="Arial"/>
                <w:sz w:val="24"/>
                <w:szCs w:val="24"/>
                <w:lang w:val="en-GB"/>
              </w:rPr>
            </w:pPr>
            <w:r>
              <w:rPr>
                <w:rFonts w:ascii="Arial" w:hAnsi="Arial" w:cs="Arial"/>
                <w:sz w:val="24"/>
                <w:szCs w:val="24"/>
                <w:lang w:val="en-GB"/>
              </w:rPr>
              <w:t>L</w:t>
            </w:r>
            <w:r w:rsidR="00E70EB0" w:rsidRPr="000A3432">
              <w:rPr>
                <w:rFonts w:ascii="Arial" w:hAnsi="Arial" w:cs="Arial"/>
                <w:sz w:val="24"/>
                <w:szCs w:val="24"/>
                <w:lang w:val="en-GB"/>
              </w:rPr>
              <w:t xml:space="preserve"> </w:t>
            </w:r>
            <w:proofErr w:type="spellStart"/>
            <w:r w:rsidR="00E70EB0" w:rsidRPr="000A3432">
              <w:rPr>
                <w:rFonts w:ascii="Arial" w:hAnsi="Arial" w:cs="Arial"/>
                <w:sz w:val="24"/>
                <w:szCs w:val="24"/>
                <w:lang w:val="en-GB"/>
              </w:rPr>
              <w:t>Matota</w:t>
            </w:r>
            <w:proofErr w:type="spellEnd"/>
            <w:r w:rsidR="00E70EB0" w:rsidRPr="000A3432">
              <w:rPr>
                <w:rFonts w:ascii="Arial" w:hAnsi="Arial" w:cs="Arial"/>
                <w:sz w:val="24"/>
                <w:szCs w:val="24"/>
                <w:lang w:val="en-GB"/>
              </w:rPr>
              <w:t xml:space="preserve"> </w:t>
            </w:r>
            <w:r w:rsidR="00CF2A38" w:rsidRPr="000A3432">
              <w:rPr>
                <w:rFonts w:ascii="Arial" w:hAnsi="Arial" w:cs="Arial"/>
                <w:sz w:val="24"/>
                <w:szCs w:val="24"/>
                <w:lang w:val="en-GB"/>
              </w:rPr>
              <w:t>assisted by</w:t>
            </w:r>
            <w:r>
              <w:rPr>
                <w:rFonts w:ascii="Arial" w:hAnsi="Arial" w:cs="Arial"/>
                <w:sz w:val="24"/>
                <w:szCs w:val="24"/>
                <w:lang w:val="en-GB"/>
              </w:rPr>
              <w:t xml:space="preserve"> V</w:t>
            </w:r>
            <w:r w:rsidR="00E70EB0" w:rsidRPr="000A3432">
              <w:rPr>
                <w:rFonts w:ascii="Arial" w:hAnsi="Arial" w:cs="Arial"/>
                <w:sz w:val="24"/>
                <w:szCs w:val="24"/>
                <w:lang w:val="en-GB"/>
              </w:rPr>
              <w:t xml:space="preserve"> Shigwedha</w:t>
            </w:r>
          </w:p>
          <w:p w:rsidR="003562BC" w:rsidRPr="000A3432" w:rsidRDefault="00E70EB0" w:rsidP="005E567C">
            <w:pPr>
              <w:spacing w:line="360" w:lineRule="auto"/>
              <w:jc w:val="center"/>
              <w:rPr>
                <w:rFonts w:ascii="Arial" w:hAnsi="Arial" w:cs="Arial"/>
                <w:sz w:val="24"/>
                <w:szCs w:val="24"/>
                <w:lang w:val="en-GB"/>
              </w:rPr>
            </w:pPr>
            <w:r w:rsidRPr="000A3432">
              <w:rPr>
                <w:rFonts w:ascii="Arial" w:hAnsi="Arial" w:cs="Arial"/>
                <w:sz w:val="24"/>
                <w:szCs w:val="24"/>
                <w:lang w:val="en-GB"/>
              </w:rPr>
              <w:t xml:space="preserve">Of </w:t>
            </w:r>
            <w:r w:rsidR="003562BC" w:rsidRPr="000A3432">
              <w:rPr>
                <w:rFonts w:ascii="Arial" w:hAnsi="Arial" w:cs="Arial"/>
                <w:sz w:val="24"/>
                <w:szCs w:val="24"/>
                <w:lang w:val="en-GB"/>
              </w:rPr>
              <w:t xml:space="preserve">Office of the Prosecutor General, </w:t>
            </w:r>
            <w:proofErr w:type="spellStart"/>
            <w:r w:rsidR="003562BC" w:rsidRPr="000A3432">
              <w:rPr>
                <w:rFonts w:ascii="Arial" w:hAnsi="Arial" w:cs="Arial"/>
                <w:sz w:val="24"/>
                <w:szCs w:val="24"/>
                <w:lang w:val="en-GB"/>
              </w:rPr>
              <w:t>Oshakati</w:t>
            </w:r>
            <w:proofErr w:type="spellEnd"/>
          </w:p>
        </w:tc>
      </w:tr>
    </w:tbl>
    <w:p w:rsidR="003562BC" w:rsidRPr="000A3432" w:rsidRDefault="003562BC" w:rsidP="003562BC">
      <w:pPr>
        <w:spacing w:line="360" w:lineRule="auto"/>
        <w:jc w:val="both"/>
        <w:rPr>
          <w:rFonts w:ascii="Arial" w:hAnsi="Arial" w:cs="Arial"/>
          <w:sz w:val="24"/>
          <w:szCs w:val="24"/>
          <w:lang w:val="en-GB"/>
        </w:rPr>
      </w:pPr>
    </w:p>
    <w:p w:rsidR="003562BC" w:rsidRPr="000A3432" w:rsidRDefault="003562BC" w:rsidP="003562BC">
      <w:pPr>
        <w:spacing w:line="360" w:lineRule="auto"/>
        <w:jc w:val="both"/>
        <w:rPr>
          <w:rFonts w:ascii="Arial" w:hAnsi="Arial" w:cs="Arial"/>
          <w:sz w:val="24"/>
          <w:szCs w:val="24"/>
          <w:lang w:val="en-GB"/>
        </w:rPr>
      </w:pPr>
    </w:p>
    <w:p w:rsidR="003562BC" w:rsidRPr="000A3432" w:rsidRDefault="003562BC" w:rsidP="003562BC">
      <w:pPr>
        <w:spacing w:line="360" w:lineRule="auto"/>
        <w:jc w:val="both"/>
        <w:rPr>
          <w:rFonts w:ascii="Arial" w:hAnsi="Arial" w:cs="Arial"/>
          <w:sz w:val="24"/>
          <w:szCs w:val="24"/>
          <w:lang w:val="en-GB"/>
        </w:rPr>
      </w:pPr>
    </w:p>
    <w:p w:rsidR="003562BC" w:rsidRPr="000A3432" w:rsidRDefault="003562BC" w:rsidP="003562BC">
      <w:pPr>
        <w:spacing w:line="360" w:lineRule="auto"/>
        <w:jc w:val="both"/>
        <w:rPr>
          <w:rFonts w:ascii="Arial" w:hAnsi="Arial" w:cs="Arial"/>
          <w:sz w:val="24"/>
          <w:szCs w:val="24"/>
          <w:lang w:val="en-GB"/>
        </w:rPr>
      </w:pPr>
    </w:p>
    <w:p w:rsidR="00EE620B" w:rsidRPr="000A3432" w:rsidRDefault="00EE620B">
      <w:pPr>
        <w:rPr>
          <w:lang w:val="en-GB"/>
        </w:rPr>
      </w:pPr>
    </w:p>
    <w:sectPr w:rsidR="00EE620B" w:rsidRPr="000A3432" w:rsidSect="00C1559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62" w:rsidRDefault="00320C62" w:rsidP="003562BC">
      <w:pPr>
        <w:spacing w:after="0" w:line="240" w:lineRule="auto"/>
      </w:pPr>
      <w:r>
        <w:separator/>
      </w:r>
    </w:p>
  </w:endnote>
  <w:endnote w:type="continuationSeparator" w:id="0">
    <w:p w:rsidR="00320C62" w:rsidRDefault="00320C62" w:rsidP="0035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62" w:rsidRDefault="00320C62" w:rsidP="003562BC">
      <w:pPr>
        <w:spacing w:after="0" w:line="240" w:lineRule="auto"/>
      </w:pPr>
      <w:r>
        <w:separator/>
      </w:r>
    </w:p>
  </w:footnote>
  <w:footnote w:type="continuationSeparator" w:id="0">
    <w:p w:rsidR="00320C62" w:rsidRDefault="00320C62" w:rsidP="003562BC">
      <w:pPr>
        <w:spacing w:after="0" w:line="240" w:lineRule="auto"/>
      </w:pPr>
      <w:r>
        <w:continuationSeparator/>
      </w:r>
    </w:p>
  </w:footnote>
  <w:footnote w:id="1">
    <w:p w:rsidR="00AE6B68" w:rsidRPr="000A3432" w:rsidRDefault="00AE6B68">
      <w:pPr>
        <w:pStyle w:val="FootnoteText"/>
        <w:rPr>
          <w:rFonts w:ascii="Arial" w:hAnsi="Arial" w:cs="Arial"/>
          <w:lang w:val="en-GB"/>
        </w:rPr>
      </w:pPr>
      <w:r w:rsidRPr="000A3432">
        <w:rPr>
          <w:rStyle w:val="FootnoteReference"/>
          <w:rFonts w:ascii="Arial" w:hAnsi="Arial" w:cs="Arial"/>
          <w:lang w:val="en-GB"/>
        </w:rPr>
        <w:footnoteRef/>
      </w:r>
      <w:r w:rsidRPr="000A3432">
        <w:rPr>
          <w:rFonts w:ascii="Arial" w:hAnsi="Arial" w:cs="Arial"/>
          <w:lang w:val="en-GB"/>
        </w:rPr>
        <w:t xml:space="preserve"> </w:t>
      </w:r>
      <w:proofErr w:type="spellStart"/>
      <w:r w:rsidRPr="000A3432">
        <w:rPr>
          <w:rFonts w:ascii="Arial" w:hAnsi="Arial" w:cs="Arial"/>
          <w:i/>
          <w:lang w:val="en-GB"/>
        </w:rPr>
        <w:t>Liswaniso</w:t>
      </w:r>
      <w:proofErr w:type="spellEnd"/>
      <w:r w:rsidRPr="000A3432">
        <w:rPr>
          <w:rFonts w:ascii="Arial" w:hAnsi="Arial" w:cs="Arial"/>
          <w:i/>
          <w:lang w:val="en-GB"/>
        </w:rPr>
        <w:t xml:space="preserve"> v S</w:t>
      </w:r>
      <w:r w:rsidRPr="000A3432">
        <w:rPr>
          <w:rFonts w:ascii="Arial" w:hAnsi="Arial" w:cs="Arial"/>
          <w:lang w:val="en-GB"/>
        </w:rPr>
        <w:t xml:space="preserve"> (HC-NLD-CRI-APP-CAL-2022 00042) [2023] NAHCNLD 54; </w:t>
      </w:r>
      <w:r w:rsidRPr="000A3432">
        <w:rPr>
          <w:rFonts w:ascii="Arial" w:hAnsi="Arial" w:cs="Arial"/>
          <w:i/>
          <w:lang w:val="en-GB"/>
        </w:rPr>
        <w:t xml:space="preserve">S v </w:t>
      </w:r>
      <w:proofErr w:type="spellStart"/>
      <w:r w:rsidRPr="000A3432">
        <w:rPr>
          <w:rFonts w:ascii="Arial" w:hAnsi="Arial" w:cs="Arial"/>
          <w:i/>
          <w:lang w:val="en-GB"/>
        </w:rPr>
        <w:t>Kakololo</w:t>
      </w:r>
      <w:proofErr w:type="spellEnd"/>
      <w:r w:rsidRPr="000A3432">
        <w:rPr>
          <w:rFonts w:ascii="Arial" w:hAnsi="Arial" w:cs="Arial"/>
          <w:lang w:val="en-GB"/>
        </w:rPr>
        <w:t xml:space="preserve"> 2004 NR 7; </w:t>
      </w:r>
      <w:proofErr w:type="spellStart"/>
      <w:r w:rsidR="000364EC" w:rsidRPr="000A3432">
        <w:rPr>
          <w:rFonts w:ascii="Arial" w:hAnsi="Arial" w:cs="Arial"/>
          <w:i/>
          <w:lang w:val="en-GB"/>
        </w:rPr>
        <w:t>Nghipunya</w:t>
      </w:r>
      <w:proofErr w:type="spellEnd"/>
      <w:r w:rsidR="000364EC" w:rsidRPr="000A3432">
        <w:rPr>
          <w:rFonts w:ascii="Arial" w:hAnsi="Arial" w:cs="Arial"/>
          <w:i/>
          <w:lang w:val="en-GB"/>
        </w:rPr>
        <w:t xml:space="preserve"> v S </w:t>
      </w:r>
      <w:r w:rsidR="000364EC" w:rsidRPr="000A3432">
        <w:rPr>
          <w:rFonts w:ascii="Arial" w:hAnsi="Arial" w:cs="Arial"/>
          <w:lang w:val="en-GB"/>
        </w:rPr>
        <w:t xml:space="preserve">(HC-MD-CRI-APP-CAL-2020/00077) [2020] NAHCMD 491 (28 October 2020); </w:t>
      </w:r>
      <w:r w:rsidR="000364EC" w:rsidRPr="000A3432">
        <w:rPr>
          <w:rFonts w:ascii="Arial" w:hAnsi="Arial" w:cs="Arial"/>
          <w:i/>
          <w:lang w:val="en-GB"/>
        </w:rPr>
        <w:t xml:space="preserve">S v </w:t>
      </w:r>
      <w:proofErr w:type="spellStart"/>
      <w:r w:rsidR="000364EC" w:rsidRPr="000A3432">
        <w:rPr>
          <w:rFonts w:ascii="Arial" w:hAnsi="Arial" w:cs="Arial"/>
          <w:i/>
          <w:lang w:val="en-GB"/>
        </w:rPr>
        <w:t>Gey</w:t>
      </w:r>
      <w:proofErr w:type="spellEnd"/>
      <w:r w:rsidR="000364EC" w:rsidRPr="000A3432">
        <w:rPr>
          <w:rFonts w:ascii="Arial" w:hAnsi="Arial" w:cs="Arial"/>
          <w:i/>
          <w:lang w:val="en-GB"/>
        </w:rPr>
        <w:t xml:space="preserve"> van </w:t>
      </w:r>
      <w:proofErr w:type="spellStart"/>
      <w:r w:rsidR="000364EC" w:rsidRPr="000A3432">
        <w:rPr>
          <w:rFonts w:ascii="Arial" w:hAnsi="Arial" w:cs="Arial"/>
          <w:i/>
          <w:lang w:val="en-GB"/>
        </w:rPr>
        <w:t>Pittius</w:t>
      </w:r>
      <w:proofErr w:type="spellEnd"/>
      <w:r w:rsidR="000364EC" w:rsidRPr="000A3432">
        <w:rPr>
          <w:rFonts w:ascii="Arial" w:hAnsi="Arial" w:cs="Arial"/>
          <w:i/>
          <w:lang w:val="en-GB"/>
        </w:rPr>
        <w:t xml:space="preserve"> and </w:t>
      </w:r>
      <w:r w:rsidR="000A3432" w:rsidRPr="000A3432">
        <w:rPr>
          <w:rFonts w:ascii="Arial" w:hAnsi="Arial" w:cs="Arial"/>
          <w:i/>
          <w:lang w:val="en-GB"/>
        </w:rPr>
        <w:t>another</w:t>
      </w:r>
      <w:r w:rsidR="000364EC" w:rsidRPr="000A3432">
        <w:rPr>
          <w:rFonts w:ascii="Arial" w:hAnsi="Arial" w:cs="Arial"/>
          <w:lang w:val="en-GB"/>
        </w:rPr>
        <w:t xml:space="preserve"> 1990 NR 35</w:t>
      </w:r>
      <w:r w:rsidR="000364EC" w:rsidRPr="000A3432">
        <w:rPr>
          <w:rFonts w:ascii="Arial" w:hAnsi="Arial" w:cs="Arial"/>
          <w:i/>
          <w:lang w:val="en-GB"/>
        </w:rPr>
        <w:t xml:space="preserve">; </w:t>
      </w:r>
      <w:proofErr w:type="spellStart"/>
      <w:r w:rsidR="000364EC" w:rsidRPr="000A3432">
        <w:rPr>
          <w:rFonts w:ascii="Arial" w:hAnsi="Arial" w:cs="Arial"/>
          <w:i/>
          <w:lang w:val="en-GB"/>
        </w:rPr>
        <w:t>Booi</w:t>
      </w:r>
      <w:r w:rsidR="000364EC" w:rsidRPr="000A3432">
        <w:rPr>
          <w:rFonts w:ascii="Arial" w:hAnsi="Arial" w:cs="Arial"/>
          <w:b/>
          <w:bCs/>
          <w:i/>
          <w:lang w:val="en-GB"/>
        </w:rPr>
        <w:t>s</w:t>
      </w:r>
      <w:proofErr w:type="spellEnd"/>
      <w:r w:rsidR="000364EC" w:rsidRPr="000A3432">
        <w:rPr>
          <w:rFonts w:ascii="Arial" w:hAnsi="Arial" w:cs="Arial"/>
          <w:i/>
          <w:lang w:val="en-GB"/>
        </w:rPr>
        <w:t> v State</w:t>
      </w:r>
      <w:r w:rsidR="000364EC" w:rsidRPr="000A3432">
        <w:rPr>
          <w:rFonts w:ascii="Arial" w:hAnsi="Arial" w:cs="Arial"/>
          <w:lang w:val="en-GB"/>
        </w:rPr>
        <w:t xml:space="preserve"> (CA 76-2014) [2015] NAHCMD 131 (8 June 2015).</w:t>
      </w:r>
    </w:p>
  </w:footnote>
  <w:footnote w:id="2">
    <w:p w:rsidR="00E70EB0" w:rsidRPr="000A3432" w:rsidRDefault="00E70EB0" w:rsidP="00E70EB0">
      <w:pPr>
        <w:pStyle w:val="FootnoteText"/>
        <w:rPr>
          <w:rFonts w:ascii="Arial" w:hAnsi="Arial" w:cs="Arial"/>
          <w:lang w:val="en-GB"/>
        </w:rPr>
      </w:pPr>
      <w:r w:rsidRPr="000A3432">
        <w:rPr>
          <w:rStyle w:val="FootnoteReference"/>
          <w:rFonts w:ascii="Arial" w:hAnsi="Arial" w:cs="Arial"/>
          <w:lang w:val="en-GB"/>
        </w:rPr>
        <w:footnoteRef/>
      </w:r>
      <w:r w:rsidRPr="000A3432">
        <w:rPr>
          <w:rFonts w:ascii="Arial" w:hAnsi="Arial" w:cs="Arial"/>
          <w:lang w:val="en-GB"/>
        </w:rPr>
        <w:t xml:space="preserve"> 1994 NR 233</w:t>
      </w:r>
      <w:r w:rsidR="00CF2A38" w:rsidRPr="000A3432">
        <w:rPr>
          <w:rFonts w:ascii="Arial" w:hAnsi="Arial" w:cs="Arial"/>
          <w:lang w:val="en-GB"/>
        </w:rPr>
        <w:t>.</w:t>
      </w:r>
    </w:p>
  </w:footnote>
  <w:footnote w:id="3">
    <w:p w:rsidR="00E70EB0" w:rsidRPr="000A3432" w:rsidRDefault="00E70EB0" w:rsidP="00E70EB0">
      <w:pPr>
        <w:pStyle w:val="FootnoteText"/>
        <w:rPr>
          <w:rFonts w:ascii="Arial" w:hAnsi="Arial" w:cs="Arial"/>
          <w:lang w:val="en-GB"/>
        </w:rPr>
      </w:pPr>
      <w:r w:rsidRPr="000A3432">
        <w:rPr>
          <w:rStyle w:val="FootnoteReference"/>
          <w:rFonts w:ascii="Arial" w:hAnsi="Arial" w:cs="Arial"/>
          <w:lang w:val="en-GB"/>
        </w:rPr>
        <w:footnoteRef/>
      </w:r>
      <w:r w:rsidRPr="000A3432">
        <w:rPr>
          <w:rFonts w:ascii="Arial" w:hAnsi="Arial" w:cs="Arial"/>
          <w:lang w:val="en-GB"/>
        </w:rPr>
        <w:t xml:space="preserve"> See also </w:t>
      </w:r>
      <w:r w:rsidRPr="000A3432">
        <w:rPr>
          <w:rFonts w:ascii="Arial" w:hAnsi="Arial" w:cs="Arial"/>
          <w:i/>
          <w:lang w:val="en-GB"/>
        </w:rPr>
        <w:t xml:space="preserve">S v </w:t>
      </w:r>
      <w:proofErr w:type="spellStart"/>
      <w:r w:rsidRPr="000A3432">
        <w:rPr>
          <w:rFonts w:ascii="Arial" w:hAnsi="Arial" w:cs="Arial"/>
          <w:i/>
          <w:lang w:val="en-GB"/>
        </w:rPr>
        <w:t>Kahevita</w:t>
      </w:r>
      <w:proofErr w:type="spellEnd"/>
      <w:r w:rsidRPr="000A3432">
        <w:rPr>
          <w:rFonts w:ascii="Arial" w:hAnsi="Arial" w:cs="Arial"/>
          <w:lang w:val="en-GB"/>
        </w:rPr>
        <w:t xml:space="preserve"> (CR 11/2011) [2011] NAHCMD 25 (14 February 2011)</w:t>
      </w:r>
      <w:r w:rsidR="00B41ECC">
        <w:rPr>
          <w:rFonts w:ascii="Arial" w:hAnsi="Arial" w:cs="Arial"/>
          <w:lang w:val="en-GB"/>
        </w:rPr>
        <w:t>.</w:t>
      </w:r>
    </w:p>
  </w:footnote>
  <w:footnote w:id="4">
    <w:p w:rsidR="00E70EB0" w:rsidRPr="000A3432" w:rsidRDefault="00E70EB0" w:rsidP="00E70EB0">
      <w:pPr>
        <w:pStyle w:val="FootnoteText"/>
        <w:rPr>
          <w:rFonts w:ascii="Arial" w:hAnsi="Arial" w:cs="Arial"/>
          <w:lang w:val="en-GB"/>
        </w:rPr>
      </w:pPr>
      <w:r w:rsidRPr="000A3432">
        <w:rPr>
          <w:rStyle w:val="FootnoteReference"/>
          <w:rFonts w:ascii="Arial" w:hAnsi="Arial" w:cs="Arial"/>
          <w:lang w:val="en-GB"/>
        </w:rPr>
        <w:footnoteRef/>
      </w:r>
      <w:r w:rsidRPr="000A3432">
        <w:rPr>
          <w:rFonts w:ascii="Arial" w:hAnsi="Arial" w:cs="Arial"/>
          <w:lang w:val="en-GB"/>
        </w:rPr>
        <w:t xml:space="preserve"> </w:t>
      </w:r>
      <w:r w:rsidRPr="000A3432">
        <w:rPr>
          <w:rFonts w:ascii="Arial" w:hAnsi="Arial" w:cs="Arial"/>
          <w:i/>
          <w:lang w:val="en-GB"/>
        </w:rPr>
        <w:t xml:space="preserve">S v </w:t>
      </w:r>
      <w:proofErr w:type="spellStart"/>
      <w:r w:rsidRPr="000A3432">
        <w:rPr>
          <w:rFonts w:ascii="Arial" w:hAnsi="Arial" w:cs="Arial"/>
          <w:i/>
          <w:lang w:val="en-GB"/>
        </w:rPr>
        <w:t>Angula</w:t>
      </w:r>
      <w:proofErr w:type="spellEnd"/>
      <w:r w:rsidRPr="000A3432">
        <w:rPr>
          <w:rFonts w:ascii="Arial" w:hAnsi="Arial" w:cs="Arial"/>
          <w:i/>
          <w:lang w:val="en-GB"/>
        </w:rPr>
        <w:t xml:space="preserve"> and others; S v Lucas</w:t>
      </w:r>
      <w:r w:rsidR="00B41ECC">
        <w:rPr>
          <w:rFonts w:ascii="Arial" w:hAnsi="Arial" w:cs="Arial"/>
          <w:lang w:val="en-GB"/>
        </w:rPr>
        <w:t xml:space="preserve"> 1996 NR 323 at</w:t>
      </w:r>
      <w:bookmarkStart w:id="0" w:name="_GoBack"/>
      <w:bookmarkEnd w:id="0"/>
      <w:r w:rsidRPr="000A3432">
        <w:rPr>
          <w:rFonts w:ascii="Arial" w:hAnsi="Arial" w:cs="Arial"/>
          <w:lang w:val="en-GB"/>
        </w:rPr>
        <w:t xml:space="preserve"> 326 E-F.</w:t>
      </w:r>
    </w:p>
  </w:footnote>
  <w:footnote w:id="5">
    <w:p w:rsidR="00B0331E" w:rsidRPr="000A3432" w:rsidRDefault="00B0331E">
      <w:pPr>
        <w:pStyle w:val="FootnoteText"/>
        <w:rPr>
          <w:rFonts w:ascii="Arial" w:hAnsi="Arial" w:cs="Arial"/>
          <w:lang w:val="en-GB"/>
        </w:rPr>
      </w:pPr>
      <w:r w:rsidRPr="000A3432">
        <w:rPr>
          <w:rStyle w:val="FootnoteReference"/>
          <w:rFonts w:ascii="Arial" w:hAnsi="Arial" w:cs="Arial"/>
          <w:lang w:val="en-GB"/>
        </w:rPr>
        <w:footnoteRef/>
      </w:r>
      <w:r w:rsidRPr="000A3432">
        <w:rPr>
          <w:rFonts w:ascii="Arial" w:hAnsi="Arial" w:cs="Arial"/>
          <w:lang w:val="en-GB"/>
        </w:rPr>
        <w:t xml:space="preserve"> </w:t>
      </w:r>
      <w:r w:rsidRPr="000A3432">
        <w:rPr>
          <w:rFonts w:ascii="Arial" w:hAnsi="Arial" w:cs="Arial"/>
          <w:i/>
          <w:lang w:val="en-GB"/>
        </w:rPr>
        <w:t xml:space="preserve">S v </w:t>
      </w:r>
      <w:proofErr w:type="spellStart"/>
      <w:r w:rsidRPr="000A3432">
        <w:rPr>
          <w:rFonts w:ascii="Arial" w:hAnsi="Arial" w:cs="Arial"/>
          <w:i/>
          <w:lang w:val="en-GB"/>
        </w:rPr>
        <w:t>Shikunga</w:t>
      </w:r>
      <w:proofErr w:type="spellEnd"/>
      <w:r w:rsidRPr="000A3432">
        <w:rPr>
          <w:rFonts w:ascii="Arial" w:hAnsi="Arial" w:cs="Arial"/>
          <w:i/>
          <w:lang w:val="en-GB"/>
        </w:rPr>
        <w:t xml:space="preserve"> and another</w:t>
      </w:r>
      <w:r w:rsidRPr="000A3432">
        <w:rPr>
          <w:rFonts w:ascii="Arial" w:hAnsi="Arial" w:cs="Arial"/>
          <w:lang w:val="en-GB"/>
        </w:rPr>
        <w:t xml:space="preserve"> 1997 NR 156 (SC)</w:t>
      </w:r>
      <w:r w:rsidR="00B41ECC">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743388"/>
      <w:docPartObj>
        <w:docPartGallery w:val="Page Numbers (Top of Page)"/>
        <w:docPartUnique/>
      </w:docPartObj>
    </w:sdtPr>
    <w:sdtEndPr>
      <w:rPr>
        <w:noProof/>
      </w:rPr>
    </w:sdtEndPr>
    <w:sdtContent>
      <w:p w:rsidR="00C15594" w:rsidRDefault="00C15594">
        <w:pPr>
          <w:pStyle w:val="Header"/>
          <w:jc w:val="right"/>
        </w:pPr>
        <w:r>
          <w:fldChar w:fldCharType="begin"/>
        </w:r>
        <w:r>
          <w:instrText xml:space="preserve"> PAGE   \* MERGEFORMAT </w:instrText>
        </w:r>
        <w:r>
          <w:fldChar w:fldCharType="separate"/>
        </w:r>
        <w:r w:rsidR="00B41ECC">
          <w:rPr>
            <w:noProof/>
          </w:rPr>
          <w:t>5</w:t>
        </w:r>
        <w:r>
          <w:rPr>
            <w:noProof/>
          </w:rPr>
          <w:fldChar w:fldCharType="end"/>
        </w:r>
      </w:p>
    </w:sdtContent>
  </w:sdt>
  <w:p w:rsidR="00C15594" w:rsidRDefault="00C15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BC"/>
    <w:rsid w:val="000364EC"/>
    <w:rsid w:val="00037C63"/>
    <w:rsid w:val="00091D38"/>
    <w:rsid w:val="0009472E"/>
    <w:rsid w:val="000A3432"/>
    <w:rsid w:val="00133A77"/>
    <w:rsid w:val="00145290"/>
    <w:rsid w:val="00320C62"/>
    <w:rsid w:val="003562BC"/>
    <w:rsid w:val="00384311"/>
    <w:rsid w:val="004526BE"/>
    <w:rsid w:val="004B6582"/>
    <w:rsid w:val="005214DB"/>
    <w:rsid w:val="005E567C"/>
    <w:rsid w:val="005F0389"/>
    <w:rsid w:val="00746100"/>
    <w:rsid w:val="008C0777"/>
    <w:rsid w:val="008D21B1"/>
    <w:rsid w:val="00935F4E"/>
    <w:rsid w:val="00AC616A"/>
    <w:rsid w:val="00AE6B68"/>
    <w:rsid w:val="00B0331E"/>
    <w:rsid w:val="00B41ECC"/>
    <w:rsid w:val="00B53FA7"/>
    <w:rsid w:val="00B73AB6"/>
    <w:rsid w:val="00C15594"/>
    <w:rsid w:val="00C77BFA"/>
    <w:rsid w:val="00CF2A38"/>
    <w:rsid w:val="00D70F54"/>
    <w:rsid w:val="00E40DB6"/>
    <w:rsid w:val="00E70EB0"/>
    <w:rsid w:val="00E8519A"/>
    <w:rsid w:val="00EE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F008-DF82-4DFA-8186-907933C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2B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62B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3562BC"/>
    <w:rPr>
      <w:i/>
      <w:iCs/>
    </w:rPr>
  </w:style>
  <w:style w:type="paragraph" w:styleId="FootnoteText">
    <w:name w:val="footnote text"/>
    <w:basedOn w:val="Normal"/>
    <w:link w:val="FootnoteTextChar"/>
    <w:uiPriority w:val="99"/>
    <w:semiHidden/>
    <w:unhideWhenUsed/>
    <w:rsid w:val="00356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2BC"/>
    <w:rPr>
      <w:sz w:val="20"/>
      <w:szCs w:val="20"/>
    </w:rPr>
  </w:style>
  <w:style w:type="character" w:styleId="FootnoteReference">
    <w:name w:val="footnote reference"/>
    <w:basedOn w:val="DefaultParagraphFont"/>
    <w:uiPriority w:val="99"/>
    <w:unhideWhenUsed/>
    <w:rsid w:val="003562BC"/>
    <w:rPr>
      <w:vertAlign w:val="superscript"/>
    </w:rPr>
  </w:style>
  <w:style w:type="paragraph" w:styleId="Header">
    <w:name w:val="header"/>
    <w:basedOn w:val="Normal"/>
    <w:link w:val="HeaderChar"/>
    <w:uiPriority w:val="99"/>
    <w:unhideWhenUsed/>
    <w:rsid w:val="00C1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94"/>
  </w:style>
  <w:style w:type="paragraph" w:styleId="Footer">
    <w:name w:val="footer"/>
    <w:basedOn w:val="Normal"/>
    <w:link w:val="FooterChar"/>
    <w:uiPriority w:val="99"/>
    <w:unhideWhenUsed/>
    <w:rsid w:val="00C1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94"/>
  </w:style>
  <w:style w:type="paragraph" w:styleId="BalloonText">
    <w:name w:val="Balloon Text"/>
    <w:basedOn w:val="Normal"/>
    <w:link w:val="BalloonTextChar"/>
    <w:uiPriority w:val="99"/>
    <w:semiHidden/>
    <w:unhideWhenUsed/>
    <w:rsid w:val="00B7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2023-08-10T18:30:00+00:00</Judgment_x0020_Date>
  </documentManagement>
</p:properties>
</file>

<file path=customXml/itemProps1.xml><?xml version="1.0" encoding="utf-8"?>
<ds:datastoreItem xmlns:ds="http://schemas.openxmlformats.org/officeDocument/2006/customXml" ds:itemID="{1342BE8A-B3B7-4F5F-A53C-FA09EEC66028}"/>
</file>

<file path=customXml/itemProps2.xml><?xml version="1.0" encoding="utf-8"?>
<ds:datastoreItem xmlns:ds="http://schemas.openxmlformats.org/officeDocument/2006/customXml" ds:itemID="{4FD8869A-F5B1-44FE-87F9-1FC8F8B2B1E1}"/>
</file>

<file path=customXml/itemProps3.xml><?xml version="1.0" encoding="utf-8"?>
<ds:datastoreItem xmlns:ds="http://schemas.openxmlformats.org/officeDocument/2006/customXml" ds:itemID="{BF52D6DF-50A6-47B1-9DF9-D786F2D51DB3}"/>
</file>

<file path=customXml/itemProps4.xml><?xml version="1.0" encoding="utf-8"?>
<ds:datastoreItem xmlns:ds="http://schemas.openxmlformats.org/officeDocument/2006/customXml" ds:itemID="{F244669F-09E5-4C0D-AB5A-1AE88B3FC62C}"/>
</file>

<file path=docProps/app.xml><?xml version="1.0" encoding="utf-8"?>
<Properties xmlns="http://schemas.openxmlformats.org/officeDocument/2006/extended-properties" xmlns:vt="http://schemas.openxmlformats.org/officeDocument/2006/docPropsVTypes">
  <Template>Normal</Template>
  <TotalTime>4</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Phillipus v S (HC-NLD-CRI-APP-CAL-2022-00037) [2023] NAHCNLD 80 (11 August 2023)</dc:title>
  <dc:subject/>
  <dc:creator>Lineekela Haimbili</dc:creator>
  <cp:keywords/>
  <dc:description/>
  <cp:lastModifiedBy>Hilma Shigwedha</cp:lastModifiedBy>
  <cp:revision>3</cp:revision>
  <cp:lastPrinted>2023-08-11T09:58:00Z</cp:lastPrinted>
  <dcterms:created xsi:type="dcterms:W3CDTF">2023-08-11T12:50:00Z</dcterms:created>
  <dcterms:modified xsi:type="dcterms:W3CDTF">2023-08-11T12:53:00Z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