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6C" w:rsidRPr="00191B6C" w:rsidRDefault="00191B6C" w:rsidP="007E67E7">
      <w:pPr>
        <w:spacing w:after="0" w:line="360" w:lineRule="auto"/>
        <w:jc w:val="center"/>
        <w:rPr>
          <w:rFonts w:ascii="Arial" w:eastAsia="Calibri" w:hAnsi="Arial" w:cs="Arial"/>
          <w:b/>
          <w:sz w:val="24"/>
          <w:szCs w:val="24"/>
        </w:rPr>
      </w:pPr>
      <w:r w:rsidRPr="00191B6C">
        <w:rPr>
          <w:rFonts w:ascii="Arial" w:eastAsia="Calibri" w:hAnsi="Arial" w:cs="Arial"/>
          <w:b/>
          <w:sz w:val="24"/>
          <w:szCs w:val="24"/>
        </w:rPr>
        <w:t>REPUBLIC OF NAMIBIA</w:t>
      </w:r>
    </w:p>
    <w:p w:rsidR="00191B6C" w:rsidRPr="00191B6C" w:rsidRDefault="00191B6C" w:rsidP="007E67E7">
      <w:pPr>
        <w:spacing w:after="0" w:line="360" w:lineRule="auto"/>
        <w:jc w:val="center"/>
        <w:rPr>
          <w:rFonts w:ascii="Arial" w:eastAsia="Calibri" w:hAnsi="Arial" w:cs="Arial"/>
          <w:b/>
          <w:sz w:val="24"/>
          <w:szCs w:val="24"/>
        </w:rPr>
      </w:pPr>
      <w:r w:rsidRPr="00191B6C">
        <w:rPr>
          <w:rFonts w:ascii="Arial" w:eastAsia="Calibri" w:hAnsi="Arial" w:cs="Arial"/>
          <w:b/>
          <w:noProof/>
          <w:sz w:val="24"/>
          <w:szCs w:val="24"/>
          <w:lang w:val="en-ZA" w:eastAsia="en-ZA"/>
        </w:rPr>
        <w:drawing>
          <wp:inline distT="0" distB="0" distL="0" distR="0" wp14:anchorId="6C22051E" wp14:editId="702B4A67">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rsidR="00191B6C" w:rsidRPr="00191B6C" w:rsidRDefault="00191B6C" w:rsidP="007E67E7">
      <w:pPr>
        <w:tabs>
          <w:tab w:val="center" w:pos="4153"/>
          <w:tab w:val="right" w:pos="8306"/>
        </w:tabs>
        <w:spacing w:after="0" w:line="360" w:lineRule="auto"/>
        <w:jc w:val="center"/>
        <w:rPr>
          <w:rFonts w:ascii="Arial" w:eastAsia="Calibri" w:hAnsi="Arial" w:cs="Arial"/>
          <w:bCs/>
          <w:sz w:val="24"/>
          <w:szCs w:val="24"/>
        </w:rPr>
      </w:pPr>
      <w:r w:rsidRPr="00191B6C">
        <w:rPr>
          <w:rFonts w:ascii="Arial" w:eastAsia="Calibri" w:hAnsi="Arial" w:cs="Arial"/>
          <w:b/>
          <w:sz w:val="24"/>
          <w:szCs w:val="24"/>
        </w:rPr>
        <w:t>IN THE HIGH COURT OF NAMIBIA NORTHERN LOCAL DIVISION, OSHAKATI</w:t>
      </w:r>
    </w:p>
    <w:p w:rsidR="007E67E7" w:rsidRDefault="007E67E7" w:rsidP="007E67E7">
      <w:pPr>
        <w:spacing w:after="0" w:line="360" w:lineRule="auto"/>
        <w:jc w:val="center"/>
        <w:rPr>
          <w:rFonts w:ascii="Arial" w:eastAsia="Calibri" w:hAnsi="Arial" w:cs="Arial"/>
          <w:b/>
          <w:sz w:val="24"/>
          <w:szCs w:val="24"/>
        </w:rPr>
      </w:pPr>
    </w:p>
    <w:p w:rsidR="00191B6C" w:rsidRPr="007E67E7" w:rsidRDefault="00191B6C" w:rsidP="007E67E7">
      <w:pPr>
        <w:spacing w:after="0" w:line="360" w:lineRule="auto"/>
        <w:jc w:val="center"/>
        <w:rPr>
          <w:rFonts w:ascii="Arial" w:eastAsia="Calibri" w:hAnsi="Arial" w:cs="Arial"/>
          <w:b/>
          <w:sz w:val="24"/>
          <w:szCs w:val="24"/>
        </w:rPr>
      </w:pPr>
      <w:r w:rsidRPr="00191B6C">
        <w:rPr>
          <w:rFonts w:ascii="Arial" w:eastAsia="Calibri"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191B6C" w:rsidRPr="00191B6C" w:rsidTr="00187F5E">
        <w:trPr>
          <w:trHeight w:val="744"/>
        </w:trPr>
        <w:tc>
          <w:tcPr>
            <w:tcW w:w="5397" w:type="dxa"/>
            <w:gridSpan w:val="2"/>
            <w:vMerge w:val="restart"/>
            <w:tcBorders>
              <w:top w:val="single" w:sz="4" w:space="0" w:color="auto"/>
              <w:left w:val="single" w:sz="4" w:space="0" w:color="auto"/>
              <w:right w:val="single" w:sz="4" w:space="0" w:color="auto"/>
            </w:tcBorders>
            <w:hideMark/>
          </w:tcPr>
          <w:p w:rsidR="00191B6C" w:rsidRPr="00191B6C" w:rsidRDefault="00191B6C" w:rsidP="007E67E7">
            <w:pPr>
              <w:spacing w:after="0" w:line="360" w:lineRule="auto"/>
              <w:jc w:val="both"/>
              <w:rPr>
                <w:rFonts w:ascii="Arial" w:eastAsia="Calibri" w:hAnsi="Arial" w:cs="Arial"/>
                <w:sz w:val="24"/>
                <w:szCs w:val="24"/>
                <w:lang w:val="en-ZA"/>
              </w:rPr>
            </w:pPr>
            <w:r w:rsidRPr="00191B6C">
              <w:rPr>
                <w:rFonts w:ascii="Arial" w:eastAsia="Calibri" w:hAnsi="Arial" w:cs="Arial"/>
                <w:b/>
                <w:sz w:val="24"/>
                <w:szCs w:val="24"/>
                <w:lang w:val="en-ZA"/>
              </w:rPr>
              <w:t>Case Title:</w:t>
            </w:r>
          </w:p>
          <w:p w:rsidR="00191B6C" w:rsidRPr="00191B6C" w:rsidRDefault="00191B6C" w:rsidP="007E67E7">
            <w:pPr>
              <w:spacing w:after="0" w:line="360" w:lineRule="auto"/>
              <w:jc w:val="both"/>
              <w:rPr>
                <w:rFonts w:ascii="Arial" w:eastAsia="Calibri" w:hAnsi="Arial" w:cs="Arial"/>
                <w:i/>
                <w:sz w:val="24"/>
                <w:szCs w:val="24"/>
                <w:lang w:val="en-ZA"/>
              </w:rPr>
            </w:pPr>
            <w:r w:rsidRPr="00191B6C">
              <w:rPr>
                <w:rFonts w:ascii="Arial" w:eastAsia="Calibri" w:hAnsi="Arial" w:cs="Arial"/>
                <w:i/>
                <w:sz w:val="24"/>
                <w:szCs w:val="24"/>
                <w:lang w:val="en-ZA"/>
              </w:rPr>
              <w:t>The State v Emmanuel Emmanuel</w:t>
            </w:r>
          </w:p>
          <w:p w:rsidR="00191B6C" w:rsidRPr="00191B6C" w:rsidRDefault="00191B6C" w:rsidP="007E67E7">
            <w:pPr>
              <w:spacing w:after="0" w:line="360" w:lineRule="auto"/>
              <w:jc w:val="both"/>
              <w:rPr>
                <w:rFonts w:ascii="Arial" w:eastAsia="Calibri" w:hAnsi="Arial" w:cs="Arial"/>
                <w:b/>
                <w:sz w:val="24"/>
                <w:szCs w:val="24"/>
                <w:lang w:val="en-ZA"/>
              </w:rPr>
            </w:pPr>
          </w:p>
          <w:p w:rsidR="00191B6C" w:rsidRPr="00191B6C" w:rsidRDefault="00191B6C" w:rsidP="007E67E7">
            <w:pPr>
              <w:spacing w:after="0" w:line="360" w:lineRule="auto"/>
              <w:jc w:val="both"/>
              <w:rPr>
                <w:rFonts w:ascii="Arial" w:eastAsia="Calibri" w:hAnsi="Arial" w:cs="Arial"/>
                <w:i/>
                <w:sz w:val="24"/>
                <w:szCs w:val="24"/>
                <w:lang w:val="en-ZA"/>
              </w:rPr>
            </w:pPr>
          </w:p>
        </w:tc>
        <w:tc>
          <w:tcPr>
            <w:tcW w:w="4323" w:type="dxa"/>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bCs/>
                <w:sz w:val="24"/>
                <w:szCs w:val="24"/>
                <w:lang w:val="en-ZA"/>
              </w:rPr>
            </w:pPr>
            <w:r w:rsidRPr="00191B6C">
              <w:rPr>
                <w:rFonts w:ascii="Arial" w:eastAsia="Calibri" w:hAnsi="Arial" w:cs="Arial"/>
                <w:bCs/>
                <w:sz w:val="24"/>
                <w:szCs w:val="24"/>
                <w:lang w:val="en-ZA"/>
              </w:rPr>
              <w:t>CR: 28/2023</w:t>
            </w:r>
          </w:p>
          <w:p w:rsidR="00191B6C" w:rsidRPr="00191B6C" w:rsidRDefault="00191B6C" w:rsidP="007E67E7">
            <w:pPr>
              <w:spacing w:after="0" w:line="360" w:lineRule="auto"/>
              <w:jc w:val="both"/>
              <w:rPr>
                <w:rFonts w:ascii="Arial" w:eastAsia="Calibri" w:hAnsi="Arial" w:cs="Arial"/>
                <w:sz w:val="24"/>
                <w:szCs w:val="24"/>
                <w:lang w:val="en-ZA"/>
              </w:rPr>
            </w:pPr>
            <w:r w:rsidRPr="00191B6C">
              <w:rPr>
                <w:rFonts w:ascii="Arial" w:eastAsia="Calibri" w:hAnsi="Arial" w:cs="Arial"/>
                <w:sz w:val="24"/>
                <w:szCs w:val="24"/>
                <w:lang w:val="en-ZA"/>
              </w:rPr>
              <w:t>Ondangwa: OND-CRM-484/2023</w:t>
            </w:r>
          </w:p>
          <w:p w:rsidR="00191B6C" w:rsidRPr="00191B6C" w:rsidRDefault="00191B6C" w:rsidP="007E67E7">
            <w:pPr>
              <w:spacing w:after="0" w:line="360" w:lineRule="auto"/>
              <w:jc w:val="both"/>
              <w:rPr>
                <w:rFonts w:ascii="Arial" w:eastAsia="Calibri" w:hAnsi="Arial" w:cs="Arial"/>
                <w:b/>
                <w:sz w:val="24"/>
                <w:szCs w:val="24"/>
                <w:lang w:val="en-ZA"/>
              </w:rPr>
            </w:pPr>
          </w:p>
        </w:tc>
      </w:tr>
      <w:tr w:rsidR="00191B6C" w:rsidRPr="00191B6C" w:rsidTr="00187F5E">
        <w:trPr>
          <w:trHeight w:val="844"/>
        </w:trPr>
        <w:tc>
          <w:tcPr>
            <w:tcW w:w="5397" w:type="dxa"/>
            <w:gridSpan w:val="2"/>
            <w:vMerge/>
            <w:tcBorders>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sz w:val="24"/>
                <w:szCs w:val="24"/>
                <w:lang w:val="en-ZA"/>
              </w:rPr>
            </w:pPr>
          </w:p>
        </w:tc>
        <w:tc>
          <w:tcPr>
            <w:tcW w:w="4323" w:type="dxa"/>
            <w:tcBorders>
              <w:top w:val="single" w:sz="4" w:space="0" w:color="auto"/>
              <w:left w:val="single" w:sz="4" w:space="0" w:color="auto"/>
              <w:bottom w:val="single" w:sz="4" w:space="0" w:color="auto"/>
              <w:right w:val="single" w:sz="4" w:space="0" w:color="auto"/>
            </w:tcBorders>
            <w:hideMark/>
          </w:tcPr>
          <w:p w:rsidR="00191B6C" w:rsidRPr="00191B6C" w:rsidRDefault="00191B6C" w:rsidP="007E67E7">
            <w:pPr>
              <w:spacing w:after="0" w:line="360" w:lineRule="auto"/>
              <w:jc w:val="both"/>
              <w:rPr>
                <w:rFonts w:ascii="Arial" w:eastAsia="Calibri" w:hAnsi="Arial" w:cs="Arial"/>
                <w:sz w:val="24"/>
                <w:szCs w:val="24"/>
                <w:lang w:val="en-ZA"/>
              </w:rPr>
            </w:pPr>
            <w:r w:rsidRPr="00191B6C">
              <w:rPr>
                <w:rFonts w:ascii="Arial" w:eastAsia="Calibri" w:hAnsi="Arial" w:cs="Arial"/>
                <w:b/>
                <w:sz w:val="24"/>
                <w:szCs w:val="24"/>
                <w:lang w:val="en-ZA"/>
              </w:rPr>
              <w:t>Division of Court:</w:t>
            </w:r>
          </w:p>
          <w:p w:rsidR="00191B6C" w:rsidRPr="00191B6C" w:rsidRDefault="00191B6C" w:rsidP="007E67E7">
            <w:pPr>
              <w:spacing w:after="0" w:line="360" w:lineRule="auto"/>
              <w:jc w:val="both"/>
              <w:rPr>
                <w:rFonts w:ascii="Arial" w:eastAsia="Calibri" w:hAnsi="Arial" w:cs="Arial"/>
                <w:sz w:val="24"/>
                <w:szCs w:val="24"/>
                <w:lang w:val="en-ZA"/>
              </w:rPr>
            </w:pPr>
            <w:r w:rsidRPr="00191B6C">
              <w:rPr>
                <w:rFonts w:ascii="Arial" w:eastAsia="Calibri" w:hAnsi="Arial" w:cs="Arial"/>
                <w:sz w:val="24"/>
                <w:szCs w:val="24"/>
                <w:lang w:val="en-ZA"/>
              </w:rPr>
              <w:t>Northern Local Division</w:t>
            </w:r>
          </w:p>
        </w:tc>
      </w:tr>
      <w:tr w:rsidR="00191B6C" w:rsidRPr="00191B6C" w:rsidTr="00187F5E">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b/>
                <w:sz w:val="24"/>
                <w:szCs w:val="24"/>
                <w:lang w:val="en-GB"/>
              </w:rPr>
              <w:t>Heard before:</w:t>
            </w:r>
          </w:p>
          <w:p w:rsidR="00191B6C" w:rsidRPr="00191B6C" w:rsidRDefault="00191B6C" w:rsidP="007E67E7">
            <w:pPr>
              <w:spacing w:after="0" w:line="360" w:lineRule="auto"/>
              <w:jc w:val="both"/>
              <w:rPr>
                <w:rFonts w:ascii="Arial" w:eastAsia="Calibri" w:hAnsi="Arial" w:cs="Arial"/>
                <w:sz w:val="24"/>
                <w:szCs w:val="24"/>
                <w:lang w:val="en-GB"/>
              </w:rPr>
            </w:pPr>
            <w:r w:rsidRPr="00191B6C">
              <w:rPr>
                <w:rFonts w:ascii="Arial" w:eastAsia="Calibri" w:hAnsi="Arial" w:cs="Arial"/>
                <w:sz w:val="24"/>
                <w:szCs w:val="24"/>
                <w:lang w:val="en-GB"/>
              </w:rPr>
              <w:t>Lady Justice Salionga et</w:t>
            </w:r>
          </w:p>
          <w:p w:rsidR="00191B6C" w:rsidRPr="00191B6C" w:rsidRDefault="00191B6C" w:rsidP="007E67E7">
            <w:pPr>
              <w:spacing w:after="0" w:line="360" w:lineRule="auto"/>
              <w:jc w:val="both"/>
              <w:rPr>
                <w:rFonts w:ascii="Arial" w:eastAsia="Calibri" w:hAnsi="Arial" w:cs="Arial"/>
                <w:sz w:val="24"/>
                <w:szCs w:val="24"/>
                <w:lang w:val="en-GB"/>
              </w:rPr>
            </w:pPr>
            <w:r w:rsidRPr="00191B6C">
              <w:rPr>
                <w:rFonts w:ascii="Arial" w:eastAsia="Calibri" w:hAnsi="Arial" w:cs="Arial"/>
                <w:sz w:val="24"/>
                <w:szCs w:val="24"/>
                <w:lang w:val="en-GB"/>
              </w:rPr>
              <w:t xml:space="preserve">Mr Justice Kesslau </w:t>
            </w:r>
          </w:p>
        </w:tc>
        <w:tc>
          <w:tcPr>
            <w:tcW w:w="4323" w:type="dxa"/>
            <w:tcBorders>
              <w:top w:val="single" w:sz="4" w:space="0" w:color="auto"/>
              <w:left w:val="single" w:sz="4" w:space="0" w:color="auto"/>
              <w:bottom w:val="single" w:sz="4" w:space="0" w:color="auto"/>
              <w:right w:val="single" w:sz="4" w:space="0" w:color="auto"/>
            </w:tcBorders>
            <w:hideMark/>
          </w:tcPr>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b/>
                <w:sz w:val="24"/>
                <w:szCs w:val="24"/>
                <w:lang w:val="en-GB"/>
              </w:rPr>
              <w:t>Delivered on:</w:t>
            </w:r>
          </w:p>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sz w:val="24"/>
                <w:szCs w:val="24"/>
                <w:lang w:val="en-GB"/>
              </w:rPr>
              <w:t>14 August 2023</w:t>
            </w:r>
          </w:p>
        </w:tc>
      </w:tr>
      <w:tr w:rsidR="00191B6C" w:rsidRPr="00191B6C" w:rsidTr="00187F5E">
        <w:tc>
          <w:tcPr>
            <w:tcW w:w="9720" w:type="dxa"/>
            <w:gridSpan w:val="3"/>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sz w:val="24"/>
                <w:szCs w:val="24"/>
                <w:lang w:val="en-GB"/>
              </w:rPr>
            </w:pPr>
            <w:r w:rsidRPr="00191B6C">
              <w:rPr>
                <w:rFonts w:ascii="Arial" w:eastAsia="Calibri" w:hAnsi="Arial" w:cs="Arial"/>
                <w:b/>
                <w:sz w:val="24"/>
                <w:szCs w:val="24"/>
                <w:lang w:val="en-GB"/>
              </w:rPr>
              <w:t xml:space="preserve">Neutral citation: </w:t>
            </w:r>
            <w:r w:rsidRPr="00191B6C">
              <w:rPr>
                <w:rFonts w:ascii="Arial" w:eastAsia="Calibri" w:hAnsi="Arial" w:cs="Arial"/>
                <w:i/>
                <w:sz w:val="24"/>
                <w:szCs w:val="24"/>
                <w:lang w:val="en-GB"/>
              </w:rPr>
              <w:t xml:space="preserve">S v Emmanuel </w:t>
            </w:r>
            <w:r w:rsidRPr="00191B6C">
              <w:rPr>
                <w:rFonts w:ascii="Arial" w:eastAsia="Calibri" w:hAnsi="Arial" w:cs="Arial"/>
                <w:sz w:val="24"/>
                <w:szCs w:val="24"/>
                <w:lang w:val="en-GB"/>
              </w:rPr>
              <w:t>(CR 28 /2023) [2023] NAHCNLD 81 (14 August 2023)</w:t>
            </w:r>
          </w:p>
          <w:p w:rsidR="00191B6C" w:rsidRPr="00191B6C" w:rsidRDefault="00191B6C" w:rsidP="007E67E7">
            <w:pPr>
              <w:spacing w:after="0" w:line="360" w:lineRule="auto"/>
              <w:jc w:val="both"/>
              <w:rPr>
                <w:rFonts w:ascii="Arial" w:eastAsia="Calibri" w:hAnsi="Arial" w:cs="Arial"/>
                <w:sz w:val="24"/>
                <w:szCs w:val="24"/>
                <w:lang w:val="en-GB"/>
              </w:rPr>
            </w:pPr>
          </w:p>
        </w:tc>
      </w:tr>
      <w:tr w:rsidR="00191B6C" w:rsidRPr="00191B6C" w:rsidTr="00187F5E">
        <w:tc>
          <w:tcPr>
            <w:tcW w:w="9720" w:type="dxa"/>
            <w:gridSpan w:val="3"/>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b/>
                <w:sz w:val="24"/>
                <w:szCs w:val="24"/>
                <w:lang w:val="en-GB"/>
              </w:rPr>
              <w:t>It is hereby ordered that:</w:t>
            </w:r>
          </w:p>
          <w:p w:rsidR="00191B6C" w:rsidRPr="00191B6C" w:rsidRDefault="00191B6C" w:rsidP="007E67E7">
            <w:pPr>
              <w:numPr>
                <w:ilvl w:val="0"/>
                <w:numId w:val="14"/>
              </w:numPr>
              <w:spacing w:after="0" w:line="360" w:lineRule="auto"/>
              <w:contextualSpacing/>
              <w:rPr>
                <w:rFonts w:ascii="Arial" w:eastAsia="Calibri" w:hAnsi="Arial" w:cs="Arial"/>
                <w:bCs/>
                <w:sz w:val="24"/>
                <w:szCs w:val="24"/>
                <w:lang w:val="en-GB"/>
              </w:rPr>
            </w:pPr>
            <w:r w:rsidRPr="00191B6C">
              <w:rPr>
                <w:rFonts w:ascii="Arial" w:eastAsia="Calibri" w:hAnsi="Arial" w:cs="Arial"/>
                <w:bCs/>
                <w:sz w:val="24"/>
                <w:szCs w:val="24"/>
                <w:lang w:val="en-GB"/>
              </w:rPr>
              <w:t>The convictions as well as the sentences on both counts are confirmed.</w:t>
            </w:r>
          </w:p>
          <w:p w:rsidR="00191B6C" w:rsidRPr="00191B6C" w:rsidRDefault="00191B6C" w:rsidP="007E67E7">
            <w:pPr>
              <w:spacing w:after="0" w:line="360" w:lineRule="auto"/>
              <w:ind w:left="1080"/>
              <w:contextualSpacing/>
              <w:rPr>
                <w:rFonts w:ascii="Arial" w:eastAsia="Calibri" w:hAnsi="Arial" w:cs="Arial"/>
                <w:bCs/>
                <w:sz w:val="24"/>
                <w:szCs w:val="24"/>
                <w:lang w:val="en-GB"/>
              </w:rPr>
            </w:pPr>
          </w:p>
          <w:p w:rsidR="00191B6C" w:rsidRPr="00191B6C" w:rsidRDefault="00191B6C" w:rsidP="007E67E7">
            <w:pPr>
              <w:numPr>
                <w:ilvl w:val="0"/>
                <w:numId w:val="14"/>
              </w:numPr>
              <w:spacing w:after="0" w:line="360" w:lineRule="auto"/>
              <w:contextualSpacing/>
              <w:rPr>
                <w:rFonts w:ascii="Arial" w:eastAsia="Calibri" w:hAnsi="Arial" w:cs="Arial"/>
                <w:bCs/>
                <w:sz w:val="24"/>
                <w:szCs w:val="24"/>
                <w:lang w:val="en-GB"/>
              </w:rPr>
            </w:pPr>
            <w:r w:rsidRPr="00191B6C">
              <w:rPr>
                <w:rFonts w:ascii="Arial" w:eastAsia="Calibri" w:hAnsi="Arial" w:cs="Arial"/>
                <w:bCs/>
                <w:sz w:val="24"/>
                <w:szCs w:val="24"/>
                <w:lang w:val="en-GB"/>
              </w:rPr>
              <w:t xml:space="preserve">The matter is referred back to the magistrate to comply with the provisions of sections 10 (6) and 10(7) of the Arms and Ammunition Act 7 of 1996 as amended.  </w:t>
            </w:r>
          </w:p>
          <w:p w:rsidR="00191B6C" w:rsidRPr="00191B6C" w:rsidRDefault="00191B6C" w:rsidP="007E67E7">
            <w:pPr>
              <w:suppressAutoHyphens/>
              <w:spacing w:after="0" w:line="360" w:lineRule="auto"/>
              <w:ind w:right="-7"/>
              <w:jc w:val="both"/>
              <w:rPr>
                <w:rFonts w:ascii="Arial" w:eastAsia="Times New Roman" w:hAnsi="Arial" w:cs="Arial"/>
                <w:sz w:val="24"/>
                <w:szCs w:val="24"/>
                <w:lang w:val="en-GB"/>
              </w:rPr>
            </w:pPr>
          </w:p>
        </w:tc>
      </w:tr>
      <w:tr w:rsidR="00191B6C" w:rsidRPr="00191B6C" w:rsidTr="00187F5E">
        <w:tc>
          <w:tcPr>
            <w:tcW w:w="9720" w:type="dxa"/>
            <w:gridSpan w:val="3"/>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b/>
                <w:sz w:val="24"/>
                <w:szCs w:val="24"/>
                <w:lang w:val="en-GB"/>
              </w:rPr>
              <w:t>Reasons for the order:</w:t>
            </w:r>
          </w:p>
        </w:tc>
      </w:tr>
      <w:tr w:rsidR="00191B6C" w:rsidRPr="00191B6C" w:rsidTr="00187F5E">
        <w:tc>
          <w:tcPr>
            <w:tcW w:w="9720" w:type="dxa"/>
            <w:gridSpan w:val="3"/>
            <w:tcBorders>
              <w:top w:val="single" w:sz="4" w:space="0" w:color="auto"/>
              <w:left w:val="single" w:sz="4" w:space="0" w:color="auto"/>
              <w:bottom w:val="single" w:sz="4" w:space="0" w:color="auto"/>
              <w:right w:val="single" w:sz="4" w:space="0" w:color="auto"/>
            </w:tcBorders>
          </w:tcPr>
          <w:p w:rsidR="007E67E7" w:rsidRDefault="007E67E7" w:rsidP="007E67E7">
            <w:pPr>
              <w:tabs>
                <w:tab w:val="left" w:pos="851"/>
              </w:tabs>
              <w:spacing w:after="0" w:line="360" w:lineRule="auto"/>
              <w:contextualSpacing/>
              <w:jc w:val="both"/>
              <w:rPr>
                <w:rFonts w:ascii="Arial" w:eastAsia="Calibri" w:hAnsi="Arial" w:cs="Arial"/>
                <w:bCs/>
                <w:sz w:val="24"/>
                <w:szCs w:val="24"/>
                <w:lang w:val="en-GB"/>
              </w:rPr>
            </w:pPr>
          </w:p>
          <w:p w:rsidR="00191B6C" w:rsidRPr="00191B6C" w:rsidRDefault="00191B6C" w:rsidP="007E67E7">
            <w:pPr>
              <w:tabs>
                <w:tab w:val="left" w:pos="851"/>
              </w:tabs>
              <w:spacing w:after="0" w:line="360" w:lineRule="auto"/>
              <w:contextualSpacing/>
              <w:jc w:val="both"/>
              <w:rPr>
                <w:rFonts w:ascii="Arial" w:eastAsia="Calibri" w:hAnsi="Arial" w:cs="Arial"/>
                <w:bCs/>
                <w:sz w:val="24"/>
                <w:szCs w:val="24"/>
                <w:lang w:val="en-GB"/>
              </w:rPr>
            </w:pPr>
            <w:r w:rsidRPr="00191B6C">
              <w:rPr>
                <w:rFonts w:ascii="Arial" w:eastAsia="Calibri" w:hAnsi="Arial" w:cs="Arial"/>
                <w:bCs/>
                <w:sz w:val="24"/>
                <w:szCs w:val="24"/>
                <w:lang w:val="en-GB"/>
              </w:rPr>
              <w:t>KESSLAU J (</w:t>
            </w:r>
            <w:r w:rsidRPr="00191B6C">
              <w:rPr>
                <w:rFonts w:ascii="Calibri" w:eastAsia="Calibri" w:hAnsi="Calibri" w:cs="Times New Roman"/>
                <w:bCs/>
                <w:sz w:val="24"/>
                <w:szCs w:val="24"/>
                <w:lang w:val="en-GB"/>
              </w:rPr>
              <w:t xml:space="preserve"> </w:t>
            </w:r>
            <w:r w:rsidRPr="00191B6C">
              <w:rPr>
                <w:rFonts w:ascii="Arial" w:eastAsia="Calibri" w:hAnsi="Arial" w:cs="Arial"/>
                <w:bCs/>
                <w:sz w:val="24"/>
                <w:szCs w:val="24"/>
                <w:lang w:val="en-GB"/>
              </w:rPr>
              <w:t>concurring SALIONGA J )</w:t>
            </w:r>
          </w:p>
          <w:p w:rsidR="00191B6C" w:rsidRPr="00191B6C" w:rsidRDefault="00191B6C" w:rsidP="007E67E7">
            <w:pPr>
              <w:tabs>
                <w:tab w:val="left" w:pos="851"/>
              </w:tabs>
              <w:spacing w:after="0" w:line="360" w:lineRule="auto"/>
              <w:ind w:left="720"/>
              <w:contextualSpacing/>
              <w:jc w:val="both"/>
              <w:rPr>
                <w:rFonts w:ascii="Arial" w:eastAsia="Calibri" w:hAnsi="Arial" w:cs="Arial"/>
                <w:bCs/>
                <w:sz w:val="24"/>
                <w:szCs w:val="24"/>
                <w:lang w:val="en-GB"/>
              </w:rPr>
            </w:pP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lastRenderedPageBreak/>
              <w:t>[1]</w:t>
            </w:r>
            <w:r w:rsidRPr="00191B6C">
              <w:rPr>
                <w:rFonts w:ascii="Arial" w:eastAsia="Calibri" w:hAnsi="Arial" w:cs="Arial"/>
                <w:bCs/>
                <w:sz w:val="24"/>
                <w:szCs w:val="24"/>
                <w:lang w:val="en-GB"/>
              </w:rPr>
              <w:tab/>
              <w:t>This is a review in terms of section 302(1) of the Criminal Procedure Act 51 of 1977 as amended, (hereinafter referred to as the CPA).</w:t>
            </w:r>
          </w:p>
          <w:p w:rsidR="00191B6C" w:rsidRPr="00191B6C" w:rsidRDefault="00191B6C" w:rsidP="007E67E7">
            <w:pPr>
              <w:tabs>
                <w:tab w:val="left" w:pos="851"/>
              </w:tabs>
              <w:spacing w:after="0" w:line="360" w:lineRule="auto"/>
              <w:ind w:left="720"/>
              <w:contextualSpacing/>
              <w:jc w:val="both"/>
              <w:rPr>
                <w:rFonts w:ascii="Arial" w:eastAsia="Calibri" w:hAnsi="Arial" w:cs="Arial"/>
                <w:bCs/>
                <w:sz w:val="24"/>
                <w:szCs w:val="24"/>
                <w:lang w:val="en-GB"/>
              </w:rPr>
            </w:pP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[2]</w:t>
            </w:r>
            <w:r w:rsidRPr="00191B6C">
              <w:rPr>
                <w:rFonts w:ascii="Arial" w:eastAsia="Calibri" w:hAnsi="Arial" w:cs="Arial"/>
                <w:bCs/>
                <w:sz w:val="24"/>
                <w:szCs w:val="24"/>
                <w:lang w:val="en-GB"/>
              </w:rPr>
              <w:tab/>
              <w:t xml:space="preserve">The accused was charged with a count of the possession of a firearm without a licence in contravention of section 2 read with sections 38 (2) and 39 of the Arms and Ammunition Act 7 of 1996 as amended (the Act) and a count of theft.  The accused pleaded guilty to the charges and was rightly convicted and properly sentenced.  The learned magistrate however, failed to invoke the provisions of sections 10 (6) and 10 (7) of the Act. It is compulsory for the magistrate to bring the provisions of section 10 to the attention of an accused who should be given the opportunity to advance reasons why he should not be declared to be unfit to possess a firearm. </w:t>
            </w:r>
            <w:r w:rsidRPr="00191B6C">
              <w:rPr>
                <w:rFonts w:ascii="Arial" w:eastAsia="Calibri" w:hAnsi="Arial" w:cs="Arial"/>
                <w:bCs/>
                <w:sz w:val="24"/>
                <w:szCs w:val="24"/>
                <w:vertAlign w:val="superscript"/>
                <w:lang w:val="en-GB"/>
              </w:rPr>
              <w:footnoteReference w:id="1"/>
            </w:r>
            <w:r w:rsidRPr="00191B6C">
              <w:rPr>
                <w:rFonts w:ascii="Arial" w:eastAsia="Calibri" w:hAnsi="Arial" w:cs="Arial"/>
                <w:bCs/>
                <w:sz w:val="24"/>
                <w:szCs w:val="24"/>
                <w:lang w:val="en-GB"/>
              </w:rPr>
              <w:tab/>
              <w:t xml:space="preserve"> </w:t>
            </w: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 xml:space="preserve">[3] </w:t>
            </w:r>
            <w:r w:rsidRPr="00191B6C">
              <w:rPr>
                <w:rFonts w:ascii="Arial" w:eastAsia="Calibri" w:hAnsi="Arial" w:cs="Arial"/>
                <w:bCs/>
                <w:sz w:val="24"/>
                <w:szCs w:val="24"/>
                <w:lang w:val="en-GB"/>
              </w:rPr>
              <w:tab/>
              <w:t>I raised a query with the magistrate as to why she did not invoke the provisions of section 10 and she replied that it was an oversight on her part.</w:t>
            </w: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[4]</w:t>
            </w:r>
            <w:r w:rsidRPr="00191B6C">
              <w:rPr>
                <w:rFonts w:ascii="Arial" w:eastAsia="Calibri" w:hAnsi="Arial" w:cs="Arial"/>
                <w:bCs/>
                <w:sz w:val="24"/>
                <w:szCs w:val="24"/>
                <w:lang w:val="en-GB"/>
              </w:rPr>
              <w:tab/>
              <w:t>It is clear that the magistrate did not exercise her discretion properly and a failure to invoke the above provision amounts to a misdirection.  In view of this I have no alternative but to refer the matter back to the magistrate to invoke the provisions of section 10 (7) of the Act.</w:t>
            </w: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ab/>
            </w:r>
          </w:p>
          <w:p w:rsidR="00191B6C" w:rsidRPr="00191B6C" w:rsidRDefault="00191B6C" w:rsidP="007E67E7">
            <w:p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[5]</w:t>
            </w:r>
            <w:r w:rsidRPr="00191B6C">
              <w:rPr>
                <w:rFonts w:ascii="Arial" w:eastAsia="Calibri" w:hAnsi="Arial" w:cs="Arial"/>
                <w:bCs/>
                <w:sz w:val="24"/>
                <w:szCs w:val="24"/>
                <w:lang w:val="en-GB"/>
              </w:rPr>
              <w:tab/>
              <w:t>In the result the following order is made:</w:t>
            </w:r>
          </w:p>
          <w:p w:rsidR="00191B6C" w:rsidRPr="00191B6C" w:rsidRDefault="00191B6C" w:rsidP="007E67E7">
            <w:pPr>
              <w:numPr>
                <w:ilvl w:val="0"/>
                <w:numId w:val="15"/>
              </w:num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The convictions as well as the sentences on both counts are confirmed.</w:t>
            </w:r>
          </w:p>
          <w:p w:rsidR="00191B6C" w:rsidRPr="00191B6C" w:rsidRDefault="00191B6C" w:rsidP="007E67E7">
            <w:pPr>
              <w:numPr>
                <w:ilvl w:val="0"/>
                <w:numId w:val="15"/>
              </w:numPr>
              <w:tabs>
                <w:tab w:val="left" w:pos="851"/>
              </w:tabs>
              <w:spacing w:after="0" w:line="360" w:lineRule="auto"/>
              <w:jc w:val="both"/>
              <w:rPr>
                <w:rFonts w:ascii="Arial" w:eastAsia="Calibri" w:hAnsi="Arial" w:cs="Arial"/>
                <w:bCs/>
                <w:sz w:val="24"/>
                <w:szCs w:val="24"/>
                <w:lang w:val="en-GB"/>
              </w:rPr>
            </w:pPr>
            <w:r w:rsidRPr="00191B6C">
              <w:rPr>
                <w:rFonts w:ascii="Arial" w:eastAsia="Calibri" w:hAnsi="Arial" w:cs="Arial"/>
                <w:bCs/>
                <w:sz w:val="24"/>
                <w:szCs w:val="24"/>
                <w:lang w:val="en-GB"/>
              </w:rPr>
              <w:t xml:space="preserve">The matter is referred back to the magistrate to comply with the provisions of sections 10(6) and 10(7) of the Arms and Ammunition Act 7 of 1996 as amended.     </w:t>
            </w:r>
          </w:p>
          <w:p w:rsidR="00191B6C" w:rsidRPr="00191B6C" w:rsidRDefault="00191B6C" w:rsidP="007E67E7">
            <w:pPr>
              <w:tabs>
                <w:tab w:val="left" w:pos="851"/>
              </w:tabs>
              <w:spacing w:after="0" w:line="360" w:lineRule="auto"/>
              <w:contextualSpacing/>
              <w:jc w:val="both"/>
              <w:rPr>
                <w:rFonts w:ascii="Arial" w:eastAsia="Calibri" w:hAnsi="Arial" w:cs="Arial"/>
                <w:bCs/>
                <w:sz w:val="24"/>
                <w:szCs w:val="24"/>
                <w:lang w:val="en-GB"/>
              </w:rPr>
            </w:pPr>
            <w:bookmarkStart w:id="0" w:name="_GoBack"/>
            <w:bookmarkEnd w:id="0"/>
          </w:p>
        </w:tc>
      </w:tr>
      <w:tr w:rsidR="00191B6C" w:rsidRPr="00191B6C" w:rsidTr="00187F5E">
        <w:tc>
          <w:tcPr>
            <w:tcW w:w="4770" w:type="dxa"/>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b/>
                <w:sz w:val="24"/>
                <w:szCs w:val="24"/>
                <w:lang w:val="en-GB"/>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b/>
                <w:sz w:val="24"/>
                <w:szCs w:val="24"/>
                <w:lang w:val="en-GB"/>
              </w:rPr>
            </w:pPr>
            <w:r w:rsidRPr="00191B6C">
              <w:rPr>
                <w:rFonts w:ascii="Arial" w:eastAsia="Calibri" w:hAnsi="Arial" w:cs="Arial"/>
                <w:b/>
                <w:lang w:val="en-GB"/>
              </w:rPr>
              <w:t>Comments:</w:t>
            </w:r>
            <w:r w:rsidRPr="00191B6C">
              <w:rPr>
                <w:rFonts w:ascii="Arial" w:eastAsia="Calibri" w:hAnsi="Arial" w:cs="Arial"/>
                <w:lang w:val="en-GB"/>
              </w:rPr>
              <w:t xml:space="preserve">  </w:t>
            </w:r>
          </w:p>
        </w:tc>
      </w:tr>
      <w:tr w:rsidR="00191B6C" w:rsidRPr="00191B6C" w:rsidTr="00187F5E">
        <w:trPr>
          <w:trHeight w:val="827"/>
        </w:trPr>
        <w:tc>
          <w:tcPr>
            <w:tcW w:w="4770" w:type="dxa"/>
            <w:tcBorders>
              <w:top w:val="single" w:sz="4" w:space="0" w:color="auto"/>
              <w:left w:val="single" w:sz="4" w:space="0" w:color="auto"/>
              <w:bottom w:val="single" w:sz="4" w:space="0" w:color="auto"/>
              <w:right w:val="single" w:sz="4" w:space="0" w:color="auto"/>
            </w:tcBorders>
            <w:hideMark/>
          </w:tcPr>
          <w:p w:rsidR="00191B6C" w:rsidRPr="00191B6C" w:rsidRDefault="00191B6C" w:rsidP="007E67E7">
            <w:pPr>
              <w:spacing w:after="0" w:line="360" w:lineRule="auto"/>
              <w:jc w:val="both"/>
              <w:rPr>
                <w:rFonts w:ascii="Arial" w:eastAsia="Calibri" w:hAnsi="Arial" w:cs="Arial"/>
                <w:sz w:val="24"/>
                <w:szCs w:val="24"/>
                <w:lang w:val="en-GB"/>
              </w:rPr>
            </w:pPr>
            <w:r w:rsidRPr="00191B6C">
              <w:rPr>
                <w:rFonts w:ascii="Arial" w:eastAsia="Calibri" w:hAnsi="Arial" w:cs="Arial"/>
                <w:sz w:val="24"/>
                <w:szCs w:val="24"/>
                <w:lang w:val="en-GB"/>
              </w:rPr>
              <w:t>KESSLAU J:</w:t>
            </w:r>
          </w:p>
          <w:p w:rsidR="00191B6C" w:rsidRPr="00191B6C" w:rsidRDefault="00191B6C" w:rsidP="007E67E7">
            <w:pPr>
              <w:spacing w:after="0" w:line="360" w:lineRule="auto"/>
              <w:jc w:val="both"/>
              <w:rPr>
                <w:rFonts w:ascii="Arial" w:eastAsia="Calibri" w:hAnsi="Arial" w:cs="Arial"/>
                <w:b/>
                <w:sz w:val="24"/>
                <w:szCs w:val="24"/>
                <w:lang w:val="en-GB"/>
              </w:rPr>
            </w:pPr>
          </w:p>
        </w:tc>
        <w:tc>
          <w:tcPr>
            <w:tcW w:w="4950" w:type="dxa"/>
            <w:gridSpan w:val="2"/>
            <w:tcBorders>
              <w:top w:val="single" w:sz="4" w:space="0" w:color="auto"/>
              <w:left w:val="single" w:sz="4" w:space="0" w:color="auto"/>
              <w:bottom w:val="single" w:sz="4" w:space="0" w:color="auto"/>
              <w:right w:val="single" w:sz="4" w:space="0" w:color="auto"/>
            </w:tcBorders>
            <w:hideMark/>
          </w:tcPr>
          <w:p w:rsidR="00191B6C" w:rsidRPr="00191B6C" w:rsidRDefault="00191B6C" w:rsidP="007E67E7">
            <w:pPr>
              <w:spacing w:after="0" w:line="360" w:lineRule="auto"/>
              <w:jc w:val="both"/>
              <w:rPr>
                <w:rFonts w:ascii="Arial" w:eastAsia="Calibri" w:hAnsi="Arial" w:cs="Arial"/>
                <w:lang w:val="en-GB"/>
              </w:rPr>
            </w:pPr>
          </w:p>
          <w:p w:rsidR="00191B6C" w:rsidRPr="00191B6C" w:rsidRDefault="00191B6C" w:rsidP="007E67E7">
            <w:pPr>
              <w:spacing w:after="0" w:line="360" w:lineRule="auto"/>
              <w:jc w:val="both"/>
              <w:rPr>
                <w:rFonts w:ascii="Arial" w:eastAsia="Calibri" w:hAnsi="Arial" w:cs="Arial"/>
                <w:b/>
                <w:sz w:val="24"/>
                <w:szCs w:val="24"/>
                <w:lang w:val="en-GB"/>
              </w:rPr>
            </w:pPr>
          </w:p>
        </w:tc>
      </w:tr>
      <w:tr w:rsidR="00191B6C" w:rsidRPr="00191B6C" w:rsidTr="00187F5E">
        <w:trPr>
          <w:trHeight w:val="827"/>
        </w:trPr>
        <w:tc>
          <w:tcPr>
            <w:tcW w:w="4770" w:type="dxa"/>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sz w:val="24"/>
                <w:szCs w:val="24"/>
                <w:lang w:val="en-GB"/>
              </w:rPr>
            </w:pPr>
            <w:r w:rsidRPr="00191B6C">
              <w:rPr>
                <w:rFonts w:ascii="Arial" w:eastAsia="Calibri" w:hAnsi="Arial" w:cs="Arial"/>
                <w:sz w:val="24"/>
                <w:szCs w:val="24"/>
                <w:lang w:val="en-GB"/>
              </w:rPr>
              <w:t>SALIONGA J:</w:t>
            </w:r>
          </w:p>
          <w:p w:rsidR="00191B6C" w:rsidRPr="00191B6C" w:rsidRDefault="00191B6C" w:rsidP="007E67E7">
            <w:pPr>
              <w:spacing w:after="0" w:line="360" w:lineRule="auto"/>
              <w:jc w:val="both"/>
              <w:rPr>
                <w:rFonts w:ascii="Arial" w:eastAsia="Calibri" w:hAnsi="Arial" w:cs="Arial"/>
                <w:b/>
                <w:sz w:val="24"/>
                <w:szCs w:val="24"/>
                <w:lang w:val="en-GB"/>
              </w:rPr>
            </w:pPr>
          </w:p>
        </w:tc>
        <w:tc>
          <w:tcPr>
            <w:tcW w:w="4950" w:type="dxa"/>
            <w:gridSpan w:val="2"/>
            <w:tcBorders>
              <w:top w:val="single" w:sz="4" w:space="0" w:color="auto"/>
              <w:left w:val="single" w:sz="4" w:space="0" w:color="auto"/>
              <w:bottom w:val="single" w:sz="4" w:space="0" w:color="auto"/>
              <w:right w:val="single" w:sz="4" w:space="0" w:color="auto"/>
            </w:tcBorders>
          </w:tcPr>
          <w:p w:rsidR="00191B6C" w:rsidRPr="00191B6C" w:rsidRDefault="00191B6C" w:rsidP="007E67E7">
            <w:pPr>
              <w:spacing w:after="0" w:line="360" w:lineRule="auto"/>
              <w:jc w:val="both"/>
              <w:rPr>
                <w:rFonts w:ascii="Arial" w:eastAsia="Calibri" w:hAnsi="Arial" w:cs="Arial"/>
                <w:b/>
                <w:sz w:val="24"/>
                <w:szCs w:val="24"/>
                <w:lang w:val="en-GB"/>
              </w:rPr>
            </w:pPr>
          </w:p>
        </w:tc>
      </w:tr>
    </w:tbl>
    <w:p w:rsidR="00945DCE" w:rsidRPr="00D15D4C" w:rsidRDefault="00945DCE" w:rsidP="007E67E7">
      <w:pPr>
        <w:spacing w:after="0" w:line="360" w:lineRule="auto"/>
        <w:rPr>
          <w:lang w:val="en-GB"/>
        </w:rPr>
      </w:pPr>
    </w:p>
    <w:sectPr w:rsidR="00945DCE" w:rsidRPr="00D15D4C" w:rsidSect="00CC4FB4">
      <w:headerReference w:type="default" r:id="rId12"/>
      <w:pgSz w:w="11907" w:h="16839" w:code="9"/>
      <w:pgMar w:top="117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6B" w:rsidRDefault="00F7476B" w:rsidP="00741B0B">
      <w:pPr>
        <w:spacing w:after="0" w:line="240" w:lineRule="auto"/>
      </w:pPr>
      <w:r>
        <w:separator/>
      </w:r>
    </w:p>
  </w:endnote>
  <w:endnote w:type="continuationSeparator" w:id="0">
    <w:p w:rsidR="00F7476B" w:rsidRDefault="00F7476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6B" w:rsidRDefault="00F7476B" w:rsidP="00741B0B">
      <w:pPr>
        <w:spacing w:after="0" w:line="240" w:lineRule="auto"/>
      </w:pPr>
      <w:r>
        <w:separator/>
      </w:r>
    </w:p>
  </w:footnote>
  <w:footnote w:type="continuationSeparator" w:id="0">
    <w:p w:rsidR="00F7476B" w:rsidRDefault="00F7476B" w:rsidP="00741B0B">
      <w:pPr>
        <w:spacing w:after="0" w:line="240" w:lineRule="auto"/>
      </w:pPr>
      <w:r>
        <w:continuationSeparator/>
      </w:r>
    </w:p>
  </w:footnote>
  <w:footnote w:id="1">
    <w:p w:rsidR="00191B6C" w:rsidRPr="00191B6C" w:rsidRDefault="00191B6C" w:rsidP="00191B6C">
      <w:pPr>
        <w:pStyle w:val="FootnoteText"/>
        <w:rPr>
          <w:rFonts w:ascii="Arial" w:hAnsi="Arial" w:cs="Arial"/>
          <w:lang w:val="en-GB"/>
        </w:rPr>
      </w:pPr>
      <w:r w:rsidRPr="00F576AC">
        <w:rPr>
          <w:rStyle w:val="FootnoteReference"/>
        </w:rPr>
        <w:footnoteRef/>
      </w:r>
      <w:r w:rsidRPr="00F576AC">
        <w:t xml:space="preserve"> </w:t>
      </w:r>
      <w:r w:rsidRPr="00191B6C">
        <w:rPr>
          <w:rFonts w:ascii="Arial" w:hAnsi="Arial" w:cs="Arial"/>
          <w:i/>
          <w:lang w:val="en-GB"/>
        </w:rPr>
        <w:t xml:space="preserve">The State v </w:t>
      </w:r>
      <w:r w:rsidR="007E67E7" w:rsidRPr="00191B6C">
        <w:rPr>
          <w:rFonts w:ascii="Arial" w:hAnsi="Arial" w:cs="Arial"/>
          <w:i/>
          <w:lang w:val="en-GB"/>
        </w:rPr>
        <w:t>Nguudipalelwa (</w:t>
      </w:r>
      <w:r w:rsidRPr="00191B6C">
        <w:rPr>
          <w:rFonts w:ascii="Arial" w:hAnsi="Arial" w:cs="Arial"/>
          <w:lang w:val="en-GB"/>
        </w:rPr>
        <w:t>CR 12/2013)</w:t>
      </w:r>
      <w:r w:rsidRPr="00191B6C">
        <w:rPr>
          <w:rFonts w:ascii="Arial" w:hAnsi="Arial" w:cs="Arial"/>
          <w:i/>
          <w:lang w:val="en-GB"/>
        </w:rPr>
        <w:t xml:space="preserve"> </w:t>
      </w:r>
      <w:r w:rsidRPr="00191B6C">
        <w:rPr>
          <w:rFonts w:ascii="Arial" w:hAnsi="Arial" w:cs="Arial"/>
          <w:lang w:val="en-GB"/>
        </w:rPr>
        <w:t xml:space="preserve">[2013] NAHCMD 47 (26 February 2013); </w:t>
      </w:r>
      <w:r w:rsidRPr="00191B6C">
        <w:rPr>
          <w:rFonts w:ascii="Arial" w:hAnsi="Arial" w:cs="Arial"/>
          <w:bCs/>
          <w:i/>
        </w:rPr>
        <w:t xml:space="preserve">S v Kopper </w:t>
      </w:r>
      <w:r w:rsidRPr="00191B6C">
        <w:rPr>
          <w:rFonts w:ascii="Arial" w:hAnsi="Arial" w:cs="Arial"/>
          <w:bCs/>
        </w:rPr>
        <w:t>(CR 49/2016) [2016]</w:t>
      </w:r>
      <w:r w:rsidRPr="00191B6C">
        <w:rPr>
          <w:rFonts w:ascii="Arial" w:hAnsi="Arial" w:cs="Arial"/>
          <w:bCs/>
          <w:i/>
        </w:rPr>
        <w:t xml:space="preserve"> </w:t>
      </w:r>
      <w:r w:rsidRPr="00191B6C">
        <w:rPr>
          <w:rFonts w:ascii="Arial" w:hAnsi="Arial" w:cs="Arial"/>
          <w:bCs/>
        </w:rPr>
        <w:t>NAHCMD 209 (19 July 2016).</w:t>
      </w:r>
      <w:r w:rsidRPr="00191B6C">
        <w:rPr>
          <w:rFonts w:ascii="Arial" w:hAnsi="Arial" w:cs="Arial"/>
          <w:lang w:val="en-GB"/>
        </w:rPr>
        <w:t xml:space="preserve"> </w:t>
      </w:r>
    </w:p>
    <w:p w:rsidR="00191B6C" w:rsidRPr="00191B6C" w:rsidRDefault="00191B6C" w:rsidP="00191B6C">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EB0F60" w:rsidRDefault="00604E92">
        <w:pPr>
          <w:pStyle w:val="Header"/>
          <w:jc w:val="right"/>
        </w:pPr>
        <w:r>
          <w:fldChar w:fldCharType="begin"/>
        </w:r>
        <w:r>
          <w:instrText xml:space="preserve"> PAGE   \* MERGEFORMAT </w:instrText>
        </w:r>
        <w:r>
          <w:fldChar w:fldCharType="separate"/>
        </w:r>
        <w:r w:rsidR="007E67E7">
          <w:rPr>
            <w:noProof/>
          </w:rPr>
          <w:t>2</w:t>
        </w:r>
        <w:r>
          <w:rPr>
            <w:noProof/>
          </w:rPr>
          <w:fldChar w:fldCharType="end"/>
        </w:r>
      </w:p>
    </w:sdtContent>
  </w:sdt>
  <w:p w:rsidR="00EB0F60" w:rsidRDefault="00EB0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0047"/>
    <w:multiLevelType w:val="hybridMultilevel"/>
    <w:tmpl w:val="B992C634"/>
    <w:lvl w:ilvl="0" w:tplc="A314A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5A51"/>
    <w:multiLevelType w:val="hybridMultilevel"/>
    <w:tmpl w:val="1EE6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68A85185"/>
    <w:multiLevelType w:val="hybridMultilevel"/>
    <w:tmpl w:val="81F8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3"/>
  </w:num>
  <w:num w:numId="5">
    <w:abstractNumId w:val="4"/>
  </w:num>
  <w:num w:numId="6">
    <w:abstractNumId w:val="8"/>
  </w:num>
  <w:num w:numId="7">
    <w:abstractNumId w:val="6"/>
  </w:num>
  <w:num w:numId="8">
    <w:abstractNumId w:val="7"/>
  </w:num>
  <w:num w:numId="9">
    <w:abstractNumId w:val="14"/>
  </w:num>
  <w:num w:numId="10">
    <w:abstractNumId w:val="13"/>
  </w:num>
  <w:num w:numId="11">
    <w:abstractNumId w:val="9"/>
  </w:num>
  <w:num w:numId="12">
    <w:abstractNumId w:val="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20FE"/>
    <w:rsid w:val="0000323A"/>
    <w:rsid w:val="0000769D"/>
    <w:rsid w:val="00010C20"/>
    <w:rsid w:val="0001159E"/>
    <w:rsid w:val="00011839"/>
    <w:rsid w:val="000119F0"/>
    <w:rsid w:val="000153F1"/>
    <w:rsid w:val="000202B6"/>
    <w:rsid w:val="00023DCC"/>
    <w:rsid w:val="00025B48"/>
    <w:rsid w:val="00032CDE"/>
    <w:rsid w:val="0003396E"/>
    <w:rsid w:val="00034B24"/>
    <w:rsid w:val="00041ACC"/>
    <w:rsid w:val="00041C34"/>
    <w:rsid w:val="00042DA3"/>
    <w:rsid w:val="000478D6"/>
    <w:rsid w:val="0005157D"/>
    <w:rsid w:val="000522C2"/>
    <w:rsid w:val="00052709"/>
    <w:rsid w:val="00052F4C"/>
    <w:rsid w:val="00056477"/>
    <w:rsid w:val="000573DB"/>
    <w:rsid w:val="000611F8"/>
    <w:rsid w:val="000614C7"/>
    <w:rsid w:val="000654CD"/>
    <w:rsid w:val="0006637B"/>
    <w:rsid w:val="00070CFD"/>
    <w:rsid w:val="00071470"/>
    <w:rsid w:val="0007179E"/>
    <w:rsid w:val="00071FB1"/>
    <w:rsid w:val="000775F8"/>
    <w:rsid w:val="00077BBF"/>
    <w:rsid w:val="000814D4"/>
    <w:rsid w:val="000839CA"/>
    <w:rsid w:val="00086F7D"/>
    <w:rsid w:val="00093725"/>
    <w:rsid w:val="00097FDE"/>
    <w:rsid w:val="000A461E"/>
    <w:rsid w:val="000A50A6"/>
    <w:rsid w:val="000B08B1"/>
    <w:rsid w:val="000C07E7"/>
    <w:rsid w:val="000C0D7B"/>
    <w:rsid w:val="000C124D"/>
    <w:rsid w:val="000C1441"/>
    <w:rsid w:val="000C6C88"/>
    <w:rsid w:val="000C7CCE"/>
    <w:rsid w:val="000C7DE3"/>
    <w:rsid w:val="000D1E07"/>
    <w:rsid w:val="000E557B"/>
    <w:rsid w:val="000E646D"/>
    <w:rsid w:val="000E75E1"/>
    <w:rsid w:val="00105069"/>
    <w:rsid w:val="001062A7"/>
    <w:rsid w:val="00114D54"/>
    <w:rsid w:val="001153FE"/>
    <w:rsid w:val="00117235"/>
    <w:rsid w:val="001175C1"/>
    <w:rsid w:val="00121236"/>
    <w:rsid w:val="00121360"/>
    <w:rsid w:val="00121A64"/>
    <w:rsid w:val="00122315"/>
    <w:rsid w:val="00124320"/>
    <w:rsid w:val="00124591"/>
    <w:rsid w:val="00133A7D"/>
    <w:rsid w:val="00133AAA"/>
    <w:rsid w:val="001511AD"/>
    <w:rsid w:val="0015350A"/>
    <w:rsid w:val="00154BD7"/>
    <w:rsid w:val="001564F3"/>
    <w:rsid w:val="00160D7A"/>
    <w:rsid w:val="0016127F"/>
    <w:rsid w:val="00163C7C"/>
    <w:rsid w:val="001650EB"/>
    <w:rsid w:val="00171D72"/>
    <w:rsid w:val="00173DCA"/>
    <w:rsid w:val="001740BF"/>
    <w:rsid w:val="00175AEE"/>
    <w:rsid w:val="00180390"/>
    <w:rsid w:val="00181D04"/>
    <w:rsid w:val="001825AD"/>
    <w:rsid w:val="00182E34"/>
    <w:rsid w:val="00182FA1"/>
    <w:rsid w:val="0018579E"/>
    <w:rsid w:val="00186B6D"/>
    <w:rsid w:val="00191B6C"/>
    <w:rsid w:val="001922B2"/>
    <w:rsid w:val="001942F6"/>
    <w:rsid w:val="001A025B"/>
    <w:rsid w:val="001A1F92"/>
    <w:rsid w:val="001A33D2"/>
    <w:rsid w:val="001A589A"/>
    <w:rsid w:val="001B065F"/>
    <w:rsid w:val="001B0862"/>
    <w:rsid w:val="001B17E1"/>
    <w:rsid w:val="001B3482"/>
    <w:rsid w:val="001B5A23"/>
    <w:rsid w:val="001B640F"/>
    <w:rsid w:val="001B6C59"/>
    <w:rsid w:val="001B7E1F"/>
    <w:rsid w:val="001C1785"/>
    <w:rsid w:val="001C18B0"/>
    <w:rsid w:val="001C2F18"/>
    <w:rsid w:val="001C3A1D"/>
    <w:rsid w:val="001C5CF2"/>
    <w:rsid w:val="001C790F"/>
    <w:rsid w:val="001D0974"/>
    <w:rsid w:val="001D0C5B"/>
    <w:rsid w:val="001D3606"/>
    <w:rsid w:val="001D55C1"/>
    <w:rsid w:val="001E2461"/>
    <w:rsid w:val="001E2DEB"/>
    <w:rsid w:val="001E53B4"/>
    <w:rsid w:val="001E61C6"/>
    <w:rsid w:val="001E6EA4"/>
    <w:rsid w:val="001E75BE"/>
    <w:rsid w:val="001F134D"/>
    <w:rsid w:val="001F59C6"/>
    <w:rsid w:val="001F6EEF"/>
    <w:rsid w:val="001F7ABC"/>
    <w:rsid w:val="00200197"/>
    <w:rsid w:val="00203636"/>
    <w:rsid w:val="00206130"/>
    <w:rsid w:val="00211225"/>
    <w:rsid w:val="002136EF"/>
    <w:rsid w:val="002177CA"/>
    <w:rsid w:val="00221BEF"/>
    <w:rsid w:val="00223E31"/>
    <w:rsid w:val="002330CC"/>
    <w:rsid w:val="00234502"/>
    <w:rsid w:val="00242C6E"/>
    <w:rsid w:val="00243CC2"/>
    <w:rsid w:val="00246077"/>
    <w:rsid w:val="00246CD3"/>
    <w:rsid w:val="002502F2"/>
    <w:rsid w:val="0025195B"/>
    <w:rsid w:val="00252434"/>
    <w:rsid w:val="0025368D"/>
    <w:rsid w:val="00257A24"/>
    <w:rsid w:val="002619D6"/>
    <w:rsid w:val="002620CD"/>
    <w:rsid w:val="00262D0E"/>
    <w:rsid w:val="002633B1"/>
    <w:rsid w:val="00265C1A"/>
    <w:rsid w:val="00267141"/>
    <w:rsid w:val="00267403"/>
    <w:rsid w:val="00271BA5"/>
    <w:rsid w:val="002744FA"/>
    <w:rsid w:val="00281458"/>
    <w:rsid w:val="00296A44"/>
    <w:rsid w:val="002A0118"/>
    <w:rsid w:val="002A10D7"/>
    <w:rsid w:val="002A6CDE"/>
    <w:rsid w:val="002B1403"/>
    <w:rsid w:val="002B4CD8"/>
    <w:rsid w:val="002B6AFE"/>
    <w:rsid w:val="002C20F6"/>
    <w:rsid w:val="002C4D50"/>
    <w:rsid w:val="002C7EA4"/>
    <w:rsid w:val="002D0313"/>
    <w:rsid w:val="002D1456"/>
    <w:rsid w:val="002D24CB"/>
    <w:rsid w:val="002D338B"/>
    <w:rsid w:val="002D6268"/>
    <w:rsid w:val="002D64FA"/>
    <w:rsid w:val="002D726A"/>
    <w:rsid w:val="002E121D"/>
    <w:rsid w:val="002F3F19"/>
    <w:rsid w:val="003031A2"/>
    <w:rsid w:val="00310D7C"/>
    <w:rsid w:val="003123FC"/>
    <w:rsid w:val="00312DBC"/>
    <w:rsid w:val="00313368"/>
    <w:rsid w:val="0031395F"/>
    <w:rsid w:val="00316594"/>
    <w:rsid w:val="00317123"/>
    <w:rsid w:val="003224A9"/>
    <w:rsid w:val="00323CF3"/>
    <w:rsid w:val="00324B6D"/>
    <w:rsid w:val="0032693E"/>
    <w:rsid w:val="00333656"/>
    <w:rsid w:val="0033540D"/>
    <w:rsid w:val="00346A77"/>
    <w:rsid w:val="00346B50"/>
    <w:rsid w:val="003512F9"/>
    <w:rsid w:val="0035613B"/>
    <w:rsid w:val="00362A5D"/>
    <w:rsid w:val="0037060B"/>
    <w:rsid w:val="00371475"/>
    <w:rsid w:val="003716EE"/>
    <w:rsid w:val="00377420"/>
    <w:rsid w:val="00382AA5"/>
    <w:rsid w:val="003831EC"/>
    <w:rsid w:val="00385A41"/>
    <w:rsid w:val="003918EF"/>
    <w:rsid w:val="00393279"/>
    <w:rsid w:val="003A0AB8"/>
    <w:rsid w:val="003A0D95"/>
    <w:rsid w:val="003A6A2B"/>
    <w:rsid w:val="003B1BE4"/>
    <w:rsid w:val="003B49B1"/>
    <w:rsid w:val="003B4FD2"/>
    <w:rsid w:val="003B735C"/>
    <w:rsid w:val="003B7393"/>
    <w:rsid w:val="003C2FDD"/>
    <w:rsid w:val="003C339E"/>
    <w:rsid w:val="003C6968"/>
    <w:rsid w:val="003D08D0"/>
    <w:rsid w:val="003D1157"/>
    <w:rsid w:val="003D6E26"/>
    <w:rsid w:val="003E25A6"/>
    <w:rsid w:val="003E3A38"/>
    <w:rsid w:val="003E7327"/>
    <w:rsid w:val="003F0194"/>
    <w:rsid w:val="003F1FFE"/>
    <w:rsid w:val="003F2A54"/>
    <w:rsid w:val="003F4641"/>
    <w:rsid w:val="003F4754"/>
    <w:rsid w:val="003F7234"/>
    <w:rsid w:val="00400D29"/>
    <w:rsid w:val="004016BD"/>
    <w:rsid w:val="00401F35"/>
    <w:rsid w:val="00402771"/>
    <w:rsid w:val="00402AA7"/>
    <w:rsid w:val="00404D7F"/>
    <w:rsid w:val="00407C93"/>
    <w:rsid w:val="004172B5"/>
    <w:rsid w:val="004230F3"/>
    <w:rsid w:val="00424DDB"/>
    <w:rsid w:val="004311FA"/>
    <w:rsid w:val="00433F86"/>
    <w:rsid w:val="00434177"/>
    <w:rsid w:val="00435A23"/>
    <w:rsid w:val="00436F59"/>
    <w:rsid w:val="00440960"/>
    <w:rsid w:val="0044267C"/>
    <w:rsid w:val="00443C53"/>
    <w:rsid w:val="004459AF"/>
    <w:rsid w:val="00446A3B"/>
    <w:rsid w:val="00446DA0"/>
    <w:rsid w:val="00447665"/>
    <w:rsid w:val="004515F5"/>
    <w:rsid w:val="00453B0C"/>
    <w:rsid w:val="00453E95"/>
    <w:rsid w:val="00454985"/>
    <w:rsid w:val="00455473"/>
    <w:rsid w:val="00455B3D"/>
    <w:rsid w:val="00461215"/>
    <w:rsid w:val="00461F99"/>
    <w:rsid w:val="00463F27"/>
    <w:rsid w:val="0046470F"/>
    <w:rsid w:val="0047026C"/>
    <w:rsid w:val="00474EC6"/>
    <w:rsid w:val="0048001F"/>
    <w:rsid w:val="004809B6"/>
    <w:rsid w:val="0049129C"/>
    <w:rsid w:val="00493AEC"/>
    <w:rsid w:val="00496246"/>
    <w:rsid w:val="00496E26"/>
    <w:rsid w:val="004A5FF0"/>
    <w:rsid w:val="004B0069"/>
    <w:rsid w:val="004B2F41"/>
    <w:rsid w:val="004B6195"/>
    <w:rsid w:val="004C0D6A"/>
    <w:rsid w:val="004C1769"/>
    <w:rsid w:val="004C5468"/>
    <w:rsid w:val="004D2E77"/>
    <w:rsid w:val="004D457D"/>
    <w:rsid w:val="004D727F"/>
    <w:rsid w:val="004E0AC8"/>
    <w:rsid w:val="004E17B6"/>
    <w:rsid w:val="004E5445"/>
    <w:rsid w:val="004E68C5"/>
    <w:rsid w:val="004F4250"/>
    <w:rsid w:val="00500480"/>
    <w:rsid w:val="005007CB"/>
    <w:rsid w:val="00503BCE"/>
    <w:rsid w:val="00504000"/>
    <w:rsid w:val="00504A81"/>
    <w:rsid w:val="00506008"/>
    <w:rsid w:val="00513B03"/>
    <w:rsid w:val="00513B15"/>
    <w:rsid w:val="005238E3"/>
    <w:rsid w:val="00525486"/>
    <w:rsid w:val="005264C1"/>
    <w:rsid w:val="00526A9B"/>
    <w:rsid w:val="00526F51"/>
    <w:rsid w:val="00530E70"/>
    <w:rsid w:val="00531D51"/>
    <w:rsid w:val="005335CB"/>
    <w:rsid w:val="005340A5"/>
    <w:rsid w:val="00534C07"/>
    <w:rsid w:val="00535342"/>
    <w:rsid w:val="005357AC"/>
    <w:rsid w:val="005379FE"/>
    <w:rsid w:val="00543536"/>
    <w:rsid w:val="00550814"/>
    <w:rsid w:val="00555014"/>
    <w:rsid w:val="00555690"/>
    <w:rsid w:val="00561C12"/>
    <w:rsid w:val="0056491E"/>
    <w:rsid w:val="00565DFE"/>
    <w:rsid w:val="005712F8"/>
    <w:rsid w:val="00574995"/>
    <w:rsid w:val="0057786E"/>
    <w:rsid w:val="00577900"/>
    <w:rsid w:val="00577E9C"/>
    <w:rsid w:val="0058153B"/>
    <w:rsid w:val="005831CB"/>
    <w:rsid w:val="00587B75"/>
    <w:rsid w:val="0059332C"/>
    <w:rsid w:val="005A166C"/>
    <w:rsid w:val="005A1F19"/>
    <w:rsid w:val="005A289D"/>
    <w:rsid w:val="005A321E"/>
    <w:rsid w:val="005B1782"/>
    <w:rsid w:val="005B263B"/>
    <w:rsid w:val="005B3796"/>
    <w:rsid w:val="005B399C"/>
    <w:rsid w:val="005C07F8"/>
    <w:rsid w:val="005C1FAB"/>
    <w:rsid w:val="005C2EE1"/>
    <w:rsid w:val="005C3A66"/>
    <w:rsid w:val="005C4C50"/>
    <w:rsid w:val="005C5745"/>
    <w:rsid w:val="005C707F"/>
    <w:rsid w:val="005C7678"/>
    <w:rsid w:val="005C7A06"/>
    <w:rsid w:val="005D0BED"/>
    <w:rsid w:val="005D1361"/>
    <w:rsid w:val="005D1433"/>
    <w:rsid w:val="005D2B40"/>
    <w:rsid w:val="005D3B02"/>
    <w:rsid w:val="005D454E"/>
    <w:rsid w:val="005D5DFB"/>
    <w:rsid w:val="005E2883"/>
    <w:rsid w:val="005E3FD1"/>
    <w:rsid w:val="005E4442"/>
    <w:rsid w:val="005E4FAE"/>
    <w:rsid w:val="005E54EB"/>
    <w:rsid w:val="005E608D"/>
    <w:rsid w:val="005E7562"/>
    <w:rsid w:val="005F0E78"/>
    <w:rsid w:val="005F317D"/>
    <w:rsid w:val="005F3288"/>
    <w:rsid w:val="005F3B89"/>
    <w:rsid w:val="005F77AE"/>
    <w:rsid w:val="00600E1F"/>
    <w:rsid w:val="00604E92"/>
    <w:rsid w:val="00611466"/>
    <w:rsid w:val="0061355C"/>
    <w:rsid w:val="006135F4"/>
    <w:rsid w:val="00613E2D"/>
    <w:rsid w:val="00621F03"/>
    <w:rsid w:val="006261A4"/>
    <w:rsid w:val="0063024E"/>
    <w:rsid w:val="0063364D"/>
    <w:rsid w:val="00633DF8"/>
    <w:rsid w:val="00635E60"/>
    <w:rsid w:val="00646ADC"/>
    <w:rsid w:val="00647EBA"/>
    <w:rsid w:val="00650058"/>
    <w:rsid w:val="00655338"/>
    <w:rsid w:val="00657DCD"/>
    <w:rsid w:val="00661A4A"/>
    <w:rsid w:val="00661C0C"/>
    <w:rsid w:val="00667B1F"/>
    <w:rsid w:val="00671731"/>
    <w:rsid w:val="00676B57"/>
    <w:rsid w:val="006815DB"/>
    <w:rsid w:val="006823BA"/>
    <w:rsid w:val="00694653"/>
    <w:rsid w:val="006B1EF0"/>
    <w:rsid w:val="006B66F4"/>
    <w:rsid w:val="006B6772"/>
    <w:rsid w:val="006C5A63"/>
    <w:rsid w:val="006D0EE8"/>
    <w:rsid w:val="006D49E5"/>
    <w:rsid w:val="006D4BCD"/>
    <w:rsid w:val="006E2370"/>
    <w:rsid w:val="006E471E"/>
    <w:rsid w:val="006F0803"/>
    <w:rsid w:val="006F29F9"/>
    <w:rsid w:val="006F7C21"/>
    <w:rsid w:val="00712541"/>
    <w:rsid w:val="0071603F"/>
    <w:rsid w:val="00721AB8"/>
    <w:rsid w:val="00722A0C"/>
    <w:rsid w:val="00727345"/>
    <w:rsid w:val="00727A34"/>
    <w:rsid w:val="007304D0"/>
    <w:rsid w:val="00732C02"/>
    <w:rsid w:val="007335FC"/>
    <w:rsid w:val="007366E5"/>
    <w:rsid w:val="00737D6D"/>
    <w:rsid w:val="00741B0B"/>
    <w:rsid w:val="00745F93"/>
    <w:rsid w:val="007501B3"/>
    <w:rsid w:val="00753405"/>
    <w:rsid w:val="00753D9C"/>
    <w:rsid w:val="00762F88"/>
    <w:rsid w:val="007641E4"/>
    <w:rsid w:val="00764C62"/>
    <w:rsid w:val="00770BD0"/>
    <w:rsid w:val="007721B9"/>
    <w:rsid w:val="00774A2F"/>
    <w:rsid w:val="0077523D"/>
    <w:rsid w:val="007753F0"/>
    <w:rsid w:val="00783031"/>
    <w:rsid w:val="00786F0E"/>
    <w:rsid w:val="007875AE"/>
    <w:rsid w:val="00791FA7"/>
    <w:rsid w:val="00793A38"/>
    <w:rsid w:val="00797C2E"/>
    <w:rsid w:val="007A1DC0"/>
    <w:rsid w:val="007A5CD9"/>
    <w:rsid w:val="007A62A9"/>
    <w:rsid w:val="007B238B"/>
    <w:rsid w:val="007B45D4"/>
    <w:rsid w:val="007C499D"/>
    <w:rsid w:val="007C6F4A"/>
    <w:rsid w:val="007D2730"/>
    <w:rsid w:val="007D3BCB"/>
    <w:rsid w:val="007D5523"/>
    <w:rsid w:val="007D6B1B"/>
    <w:rsid w:val="007D7BED"/>
    <w:rsid w:val="007E07FC"/>
    <w:rsid w:val="007E0D5E"/>
    <w:rsid w:val="007E1234"/>
    <w:rsid w:val="007E4E2D"/>
    <w:rsid w:val="007E6506"/>
    <w:rsid w:val="007E67E7"/>
    <w:rsid w:val="007F07EF"/>
    <w:rsid w:val="007F1269"/>
    <w:rsid w:val="007F42C0"/>
    <w:rsid w:val="007F76DD"/>
    <w:rsid w:val="00800870"/>
    <w:rsid w:val="00801BAD"/>
    <w:rsid w:val="0080793D"/>
    <w:rsid w:val="00807E91"/>
    <w:rsid w:val="0081128A"/>
    <w:rsid w:val="0081320F"/>
    <w:rsid w:val="00813AFA"/>
    <w:rsid w:val="00821224"/>
    <w:rsid w:val="008213A0"/>
    <w:rsid w:val="00821EB8"/>
    <w:rsid w:val="00822065"/>
    <w:rsid w:val="00826E43"/>
    <w:rsid w:val="00830BD5"/>
    <w:rsid w:val="00833062"/>
    <w:rsid w:val="00833CA5"/>
    <w:rsid w:val="008350F2"/>
    <w:rsid w:val="00842936"/>
    <w:rsid w:val="008527B4"/>
    <w:rsid w:val="00854F0A"/>
    <w:rsid w:val="0085521A"/>
    <w:rsid w:val="00856A46"/>
    <w:rsid w:val="00863BCD"/>
    <w:rsid w:val="00863FFA"/>
    <w:rsid w:val="0086419E"/>
    <w:rsid w:val="00872B3D"/>
    <w:rsid w:val="0087692D"/>
    <w:rsid w:val="0087780F"/>
    <w:rsid w:val="008778F5"/>
    <w:rsid w:val="00880668"/>
    <w:rsid w:val="008863C4"/>
    <w:rsid w:val="00886E23"/>
    <w:rsid w:val="00895458"/>
    <w:rsid w:val="00896239"/>
    <w:rsid w:val="008A05FA"/>
    <w:rsid w:val="008A1AD7"/>
    <w:rsid w:val="008A33EE"/>
    <w:rsid w:val="008A3C08"/>
    <w:rsid w:val="008A6B79"/>
    <w:rsid w:val="008A72BF"/>
    <w:rsid w:val="008B05CC"/>
    <w:rsid w:val="008B16F8"/>
    <w:rsid w:val="008B2916"/>
    <w:rsid w:val="008B63E8"/>
    <w:rsid w:val="008B79BC"/>
    <w:rsid w:val="008B7D2A"/>
    <w:rsid w:val="008C59F2"/>
    <w:rsid w:val="008C6282"/>
    <w:rsid w:val="008D28D6"/>
    <w:rsid w:val="008E1A25"/>
    <w:rsid w:val="008E2630"/>
    <w:rsid w:val="008E3459"/>
    <w:rsid w:val="008E47DA"/>
    <w:rsid w:val="008E6EE9"/>
    <w:rsid w:val="008E7810"/>
    <w:rsid w:val="008E7F56"/>
    <w:rsid w:val="008F1BDE"/>
    <w:rsid w:val="008F1CD4"/>
    <w:rsid w:val="008F4187"/>
    <w:rsid w:val="009016D2"/>
    <w:rsid w:val="0090184F"/>
    <w:rsid w:val="009036D5"/>
    <w:rsid w:val="009058D4"/>
    <w:rsid w:val="0090710E"/>
    <w:rsid w:val="00912628"/>
    <w:rsid w:val="00913A96"/>
    <w:rsid w:val="00932F1E"/>
    <w:rsid w:val="00933EDE"/>
    <w:rsid w:val="009357A5"/>
    <w:rsid w:val="00936401"/>
    <w:rsid w:val="00942B28"/>
    <w:rsid w:val="00942C95"/>
    <w:rsid w:val="00945DCE"/>
    <w:rsid w:val="00945E37"/>
    <w:rsid w:val="0094659E"/>
    <w:rsid w:val="00963087"/>
    <w:rsid w:val="00963563"/>
    <w:rsid w:val="009654BD"/>
    <w:rsid w:val="00965D3C"/>
    <w:rsid w:val="00966FA4"/>
    <w:rsid w:val="009671D5"/>
    <w:rsid w:val="0097258B"/>
    <w:rsid w:val="0097278B"/>
    <w:rsid w:val="00973585"/>
    <w:rsid w:val="00973616"/>
    <w:rsid w:val="009756F2"/>
    <w:rsid w:val="00975E18"/>
    <w:rsid w:val="0097779D"/>
    <w:rsid w:val="0097796B"/>
    <w:rsid w:val="00983DE2"/>
    <w:rsid w:val="00985882"/>
    <w:rsid w:val="00985BD1"/>
    <w:rsid w:val="00986091"/>
    <w:rsid w:val="00987484"/>
    <w:rsid w:val="009874AC"/>
    <w:rsid w:val="00995A7D"/>
    <w:rsid w:val="009A06CC"/>
    <w:rsid w:val="009A0FF5"/>
    <w:rsid w:val="009A2EA7"/>
    <w:rsid w:val="009A3FAD"/>
    <w:rsid w:val="009A5AF7"/>
    <w:rsid w:val="009A7E1B"/>
    <w:rsid w:val="009B28F8"/>
    <w:rsid w:val="009B60E8"/>
    <w:rsid w:val="009B7617"/>
    <w:rsid w:val="009C531A"/>
    <w:rsid w:val="009C6EBB"/>
    <w:rsid w:val="009D20D1"/>
    <w:rsid w:val="009D7F31"/>
    <w:rsid w:val="009E04D3"/>
    <w:rsid w:val="009E3978"/>
    <w:rsid w:val="009F0FE9"/>
    <w:rsid w:val="009F24F7"/>
    <w:rsid w:val="009F2A54"/>
    <w:rsid w:val="009F3DB2"/>
    <w:rsid w:val="009F6F5A"/>
    <w:rsid w:val="009F71A3"/>
    <w:rsid w:val="009F7B69"/>
    <w:rsid w:val="00A04070"/>
    <w:rsid w:val="00A11084"/>
    <w:rsid w:val="00A17150"/>
    <w:rsid w:val="00A17AEA"/>
    <w:rsid w:val="00A20B10"/>
    <w:rsid w:val="00A20E29"/>
    <w:rsid w:val="00A23577"/>
    <w:rsid w:val="00A24BAD"/>
    <w:rsid w:val="00A302E5"/>
    <w:rsid w:val="00A30E1B"/>
    <w:rsid w:val="00A321F7"/>
    <w:rsid w:val="00A34ABF"/>
    <w:rsid w:val="00A412FF"/>
    <w:rsid w:val="00A4411E"/>
    <w:rsid w:val="00A4490A"/>
    <w:rsid w:val="00A45A77"/>
    <w:rsid w:val="00A45E42"/>
    <w:rsid w:val="00A46CCC"/>
    <w:rsid w:val="00A55B4A"/>
    <w:rsid w:val="00A55F55"/>
    <w:rsid w:val="00A5647E"/>
    <w:rsid w:val="00A62808"/>
    <w:rsid w:val="00A645D2"/>
    <w:rsid w:val="00A714C5"/>
    <w:rsid w:val="00A85918"/>
    <w:rsid w:val="00A91BC5"/>
    <w:rsid w:val="00AA118D"/>
    <w:rsid w:val="00AA2A4B"/>
    <w:rsid w:val="00AB05DD"/>
    <w:rsid w:val="00AB1118"/>
    <w:rsid w:val="00AB1A05"/>
    <w:rsid w:val="00AB2FFC"/>
    <w:rsid w:val="00AC0A2B"/>
    <w:rsid w:val="00AC0D87"/>
    <w:rsid w:val="00AC170A"/>
    <w:rsid w:val="00AC2B1F"/>
    <w:rsid w:val="00AC2F91"/>
    <w:rsid w:val="00AC577C"/>
    <w:rsid w:val="00AC798A"/>
    <w:rsid w:val="00AD5CAC"/>
    <w:rsid w:val="00AD69B3"/>
    <w:rsid w:val="00AD7278"/>
    <w:rsid w:val="00AD7663"/>
    <w:rsid w:val="00AE5416"/>
    <w:rsid w:val="00AE6C2C"/>
    <w:rsid w:val="00AE6F41"/>
    <w:rsid w:val="00AE744F"/>
    <w:rsid w:val="00AF0A0F"/>
    <w:rsid w:val="00AF39A9"/>
    <w:rsid w:val="00AF42E7"/>
    <w:rsid w:val="00AF74FD"/>
    <w:rsid w:val="00B024DA"/>
    <w:rsid w:val="00B11371"/>
    <w:rsid w:val="00B2010D"/>
    <w:rsid w:val="00B21358"/>
    <w:rsid w:val="00B21D0F"/>
    <w:rsid w:val="00B22378"/>
    <w:rsid w:val="00B23820"/>
    <w:rsid w:val="00B24037"/>
    <w:rsid w:val="00B24A7B"/>
    <w:rsid w:val="00B275C5"/>
    <w:rsid w:val="00B27813"/>
    <w:rsid w:val="00B302C1"/>
    <w:rsid w:val="00B32178"/>
    <w:rsid w:val="00B370E9"/>
    <w:rsid w:val="00B40105"/>
    <w:rsid w:val="00B41870"/>
    <w:rsid w:val="00B45A08"/>
    <w:rsid w:val="00B47B3A"/>
    <w:rsid w:val="00B503B2"/>
    <w:rsid w:val="00B5356B"/>
    <w:rsid w:val="00B5391C"/>
    <w:rsid w:val="00B60E1A"/>
    <w:rsid w:val="00B6302F"/>
    <w:rsid w:val="00B63097"/>
    <w:rsid w:val="00B6377E"/>
    <w:rsid w:val="00B936A9"/>
    <w:rsid w:val="00B95CDA"/>
    <w:rsid w:val="00B976DF"/>
    <w:rsid w:val="00BA1690"/>
    <w:rsid w:val="00BA16DE"/>
    <w:rsid w:val="00BA5FAB"/>
    <w:rsid w:val="00BB1710"/>
    <w:rsid w:val="00BB2B18"/>
    <w:rsid w:val="00BB35FF"/>
    <w:rsid w:val="00BB3CE8"/>
    <w:rsid w:val="00BB4289"/>
    <w:rsid w:val="00BB6B38"/>
    <w:rsid w:val="00BC082F"/>
    <w:rsid w:val="00BC1992"/>
    <w:rsid w:val="00BC4DFC"/>
    <w:rsid w:val="00BD0255"/>
    <w:rsid w:val="00BD14D3"/>
    <w:rsid w:val="00BD5E66"/>
    <w:rsid w:val="00BD7DBB"/>
    <w:rsid w:val="00BE189B"/>
    <w:rsid w:val="00BE6CF7"/>
    <w:rsid w:val="00BF2A4C"/>
    <w:rsid w:val="00BF319F"/>
    <w:rsid w:val="00C04833"/>
    <w:rsid w:val="00C04C3A"/>
    <w:rsid w:val="00C04F29"/>
    <w:rsid w:val="00C10892"/>
    <w:rsid w:val="00C111BE"/>
    <w:rsid w:val="00C14E76"/>
    <w:rsid w:val="00C16B77"/>
    <w:rsid w:val="00C20321"/>
    <w:rsid w:val="00C2252B"/>
    <w:rsid w:val="00C22690"/>
    <w:rsid w:val="00C24B4C"/>
    <w:rsid w:val="00C24D34"/>
    <w:rsid w:val="00C27071"/>
    <w:rsid w:val="00C322C5"/>
    <w:rsid w:val="00C32562"/>
    <w:rsid w:val="00C32754"/>
    <w:rsid w:val="00C355D1"/>
    <w:rsid w:val="00C413ED"/>
    <w:rsid w:val="00C41E3F"/>
    <w:rsid w:val="00C44174"/>
    <w:rsid w:val="00C4467C"/>
    <w:rsid w:val="00C52032"/>
    <w:rsid w:val="00C53635"/>
    <w:rsid w:val="00C55548"/>
    <w:rsid w:val="00C610F2"/>
    <w:rsid w:val="00C6506F"/>
    <w:rsid w:val="00C66798"/>
    <w:rsid w:val="00C76DF2"/>
    <w:rsid w:val="00C84C53"/>
    <w:rsid w:val="00C912AF"/>
    <w:rsid w:val="00C94A84"/>
    <w:rsid w:val="00CA3732"/>
    <w:rsid w:val="00CA6D74"/>
    <w:rsid w:val="00CB354F"/>
    <w:rsid w:val="00CB3A73"/>
    <w:rsid w:val="00CB55D5"/>
    <w:rsid w:val="00CB575D"/>
    <w:rsid w:val="00CB61DB"/>
    <w:rsid w:val="00CB759E"/>
    <w:rsid w:val="00CB78C2"/>
    <w:rsid w:val="00CC0E90"/>
    <w:rsid w:val="00CC4FB4"/>
    <w:rsid w:val="00CC6275"/>
    <w:rsid w:val="00CD5389"/>
    <w:rsid w:val="00CD7979"/>
    <w:rsid w:val="00CE0179"/>
    <w:rsid w:val="00CE2104"/>
    <w:rsid w:val="00CE2E3D"/>
    <w:rsid w:val="00CE49DE"/>
    <w:rsid w:val="00CE590A"/>
    <w:rsid w:val="00CF20DD"/>
    <w:rsid w:val="00CF2C5E"/>
    <w:rsid w:val="00CF3F15"/>
    <w:rsid w:val="00CF5203"/>
    <w:rsid w:val="00D00C99"/>
    <w:rsid w:val="00D04DEA"/>
    <w:rsid w:val="00D06231"/>
    <w:rsid w:val="00D15D4C"/>
    <w:rsid w:val="00D165C1"/>
    <w:rsid w:val="00D20CEC"/>
    <w:rsid w:val="00D20FFC"/>
    <w:rsid w:val="00D21B84"/>
    <w:rsid w:val="00D2206D"/>
    <w:rsid w:val="00D2313B"/>
    <w:rsid w:val="00D2348B"/>
    <w:rsid w:val="00D23848"/>
    <w:rsid w:val="00D23CF4"/>
    <w:rsid w:val="00D27D0C"/>
    <w:rsid w:val="00D31695"/>
    <w:rsid w:val="00D3474D"/>
    <w:rsid w:val="00D3549D"/>
    <w:rsid w:val="00D36289"/>
    <w:rsid w:val="00D4656C"/>
    <w:rsid w:val="00D47CF0"/>
    <w:rsid w:val="00D5590B"/>
    <w:rsid w:val="00D642B4"/>
    <w:rsid w:val="00D648AB"/>
    <w:rsid w:val="00D67BBA"/>
    <w:rsid w:val="00D70DEF"/>
    <w:rsid w:val="00D722AB"/>
    <w:rsid w:val="00D75196"/>
    <w:rsid w:val="00D75FD2"/>
    <w:rsid w:val="00D82993"/>
    <w:rsid w:val="00D82B51"/>
    <w:rsid w:val="00D91089"/>
    <w:rsid w:val="00D91FA3"/>
    <w:rsid w:val="00D9313E"/>
    <w:rsid w:val="00D9475A"/>
    <w:rsid w:val="00D94BE4"/>
    <w:rsid w:val="00D956C0"/>
    <w:rsid w:val="00D97248"/>
    <w:rsid w:val="00DA1663"/>
    <w:rsid w:val="00DA25C8"/>
    <w:rsid w:val="00DB1371"/>
    <w:rsid w:val="00DB6B82"/>
    <w:rsid w:val="00DC11F6"/>
    <w:rsid w:val="00DC2A69"/>
    <w:rsid w:val="00DD5CD8"/>
    <w:rsid w:val="00DD768D"/>
    <w:rsid w:val="00DE08F5"/>
    <w:rsid w:val="00DE0E9D"/>
    <w:rsid w:val="00DE27A9"/>
    <w:rsid w:val="00DE4A40"/>
    <w:rsid w:val="00DF1029"/>
    <w:rsid w:val="00DF10CB"/>
    <w:rsid w:val="00DF27DB"/>
    <w:rsid w:val="00DF4229"/>
    <w:rsid w:val="00DF47BA"/>
    <w:rsid w:val="00DF7EC5"/>
    <w:rsid w:val="00E039AF"/>
    <w:rsid w:val="00E03C42"/>
    <w:rsid w:val="00E04084"/>
    <w:rsid w:val="00E060C6"/>
    <w:rsid w:val="00E10F0A"/>
    <w:rsid w:val="00E117AC"/>
    <w:rsid w:val="00E11EBB"/>
    <w:rsid w:val="00E153EA"/>
    <w:rsid w:val="00E204DE"/>
    <w:rsid w:val="00E2472E"/>
    <w:rsid w:val="00E259D3"/>
    <w:rsid w:val="00E30FAE"/>
    <w:rsid w:val="00E31A08"/>
    <w:rsid w:val="00E31D86"/>
    <w:rsid w:val="00E44269"/>
    <w:rsid w:val="00E470E4"/>
    <w:rsid w:val="00E51C99"/>
    <w:rsid w:val="00E55D94"/>
    <w:rsid w:val="00E62643"/>
    <w:rsid w:val="00E6521D"/>
    <w:rsid w:val="00E65F99"/>
    <w:rsid w:val="00E73851"/>
    <w:rsid w:val="00E73A51"/>
    <w:rsid w:val="00E75455"/>
    <w:rsid w:val="00E811AE"/>
    <w:rsid w:val="00E83B61"/>
    <w:rsid w:val="00E8470E"/>
    <w:rsid w:val="00E90ECF"/>
    <w:rsid w:val="00E91E01"/>
    <w:rsid w:val="00E95F87"/>
    <w:rsid w:val="00E96864"/>
    <w:rsid w:val="00EA36C0"/>
    <w:rsid w:val="00EB0F60"/>
    <w:rsid w:val="00EB61D0"/>
    <w:rsid w:val="00EB6AAB"/>
    <w:rsid w:val="00EC5068"/>
    <w:rsid w:val="00ED0108"/>
    <w:rsid w:val="00ED24BB"/>
    <w:rsid w:val="00ED5019"/>
    <w:rsid w:val="00ED681F"/>
    <w:rsid w:val="00ED6A35"/>
    <w:rsid w:val="00EE3DDD"/>
    <w:rsid w:val="00EE3F08"/>
    <w:rsid w:val="00EE4C82"/>
    <w:rsid w:val="00EE5955"/>
    <w:rsid w:val="00EE69C4"/>
    <w:rsid w:val="00EF079A"/>
    <w:rsid w:val="00EF0F13"/>
    <w:rsid w:val="00EF3280"/>
    <w:rsid w:val="00EF511C"/>
    <w:rsid w:val="00EF7E88"/>
    <w:rsid w:val="00F0149D"/>
    <w:rsid w:val="00F03875"/>
    <w:rsid w:val="00F04FE7"/>
    <w:rsid w:val="00F04FEF"/>
    <w:rsid w:val="00F15168"/>
    <w:rsid w:val="00F1546F"/>
    <w:rsid w:val="00F156ED"/>
    <w:rsid w:val="00F17190"/>
    <w:rsid w:val="00F17F53"/>
    <w:rsid w:val="00F204EB"/>
    <w:rsid w:val="00F23279"/>
    <w:rsid w:val="00F248B4"/>
    <w:rsid w:val="00F26485"/>
    <w:rsid w:val="00F3087C"/>
    <w:rsid w:val="00F40007"/>
    <w:rsid w:val="00F40D66"/>
    <w:rsid w:val="00F503BA"/>
    <w:rsid w:val="00F51BDB"/>
    <w:rsid w:val="00F5336A"/>
    <w:rsid w:val="00F6045D"/>
    <w:rsid w:val="00F66310"/>
    <w:rsid w:val="00F7000E"/>
    <w:rsid w:val="00F73022"/>
    <w:rsid w:val="00F74379"/>
    <w:rsid w:val="00F745F9"/>
    <w:rsid w:val="00F7476B"/>
    <w:rsid w:val="00F771BD"/>
    <w:rsid w:val="00F80711"/>
    <w:rsid w:val="00F858C7"/>
    <w:rsid w:val="00F90593"/>
    <w:rsid w:val="00F93F41"/>
    <w:rsid w:val="00F94CE3"/>
    <w:rsid w:val="00FA10BC"/>
    <w:rsid w:val="00FA18CE"/>
    <w:rsid w:val="00FA1C58"/>
    <w:rsid w:val="00FA3287"/>
    <w:rsid w:val="00FA3FEA"/>
    <w:rsid w:val="00FA7137"/>
    <w:rsid w:val="00FB23F2"/>
    <w:rsid w:val="00FB5B74"/>
    <w:rsid w:val="00FB6BD9"/>
    <w:rsid w:val="00FB714D"/>
    <w:rsid w:val="00FC1A05"/>
    <w:rsid w:val="00FC2FCD"/>
    <w:rsid w:val="00FC3918"/>
    <w:rsid w:val="00FC4F0E"/>
    <w:rsid w:val="00FC6732"/>
    <w:rsid w:val="00FD2B30"/>
    <w:rsid w:val="00FD3A24"/>
    <w:rsid w:val="00FD3B13"/>
    <w:rsid w:val="00FD3B79"/>
    <w:rsid w:val="00FD4AF8"/>
    <w:rsid w:val="00FE058A"/>
    <w:rsid w:val="00FE1152"/>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7F13-46E1-41E6-A642-E67DF373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FootnoteText">
    <w:name w:val="footnote text"/>
    <w:basedOn w:val="Normal"/>
    <w:link w:val="FootnoteTextChar"/>
    <w:uiPriority w:val="99"/>
    <w:unhideWhenUsed/>
    <w:rsid w:val="001A1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F92"/>
    <w:rPr>
      <w:sz w:val="20"/>
      <w:szCs w:val="20"/>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1A1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2023-08-13T18:30:00+00:00</Judgment_x0020_Date>
    <Year xmlns="a036617c-f1b0-4353-ab0a-456b3885ee3b">2023</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75C4-9187-4ABC-9163-1A9653A2E800}"/>
</file>

<file path=customXml/itemProps2.xml><?xml version="1.0" encoding="utf-8"?>
<ds:datastoreItem xmlns:ds="http://schemas.openxmlformats.org/officeDocument/2006/customXml" ds:itemID="{963E8F07-BAD5-4E3A-A7A6-915E3FB37E22}"/>
</file>

<file path=customXml/itemProps3.xml><?xml version="1.0" encoding="utf-8"?>
<ds:datastoreItem xmlns:ds="http://schemas.openxmlformats.org/officeDocument/2006/customXml" ds:itemID="{170C498D-4F8C-42D2-839B-2888B17C1A3C}"/>
</file>

<file path=customXml/itemProps4.xml><?xml version="1.0" encoding="utf-8"?>
<ds:datastoreItem xmlns:ds="http://schemas.openxmlformats.org/officeDocument/2006/customXml" ds:itemID="{E8A3E34C-BEAD-47A2-BD2D-F09EE21A57C0}"/>
</file>

<file path=docProps/app.xml><?xml version="1.0" encoding="utf-8"?>
<Properties xmlns="http://schemas.openxmlformats.org/officeDocument/2006/extended-properties" xmlns:vt="http://schemas.openxmlformats.org/officeDocument/2006/docPropsVTypes">
  <Template>JUDGMENT TEMPLATE</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 v Hilda Iita sentencing</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Emmanuel (CR 28 2023) [2023] NAHCNLD 81 (14 August 2023)</dc:title>
  <dc:creator>user;Erich Kesslau</dc:creator>
  <cp:lastModifiedBy>Hilma Shigwedha</cp:lastModifiedBy>
  <cp:revision>2</cp:revision>
  <cp:lastPrinted>2023-08-07T06:39:00Z</cp:lastPrinted>
  <dcterms:created xsi:type="dcterms:W3CDTF">2023-08-15T06:27:00Z</dcterms:created>
  <dcterms:modified xsi:type="dcterms:W3CDTF">2023-08-15T06:27:00Z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240900</vt:r8>
  </property>
  <property fmtid="{D5CDD505-2E9C-101B-9397-08002B2CF9AE}" pid="3" name="WorkflowChangePath">
    <vt:lpwstr>d9531047-2d5a-43c2-a9e4-c40072eaf71a,4;d9531047-2d5a-43c2-a9e4-c40072eaf71a,6;</vt:lpwstr>
  </property>
  <property fmtid="{D5CDD505-2E9C-101B-9397-08002B2CF9AE}" pid="4" name="ContentTypeId">
    <vt:lpwstr>0x01010032C8365068CBC8478E31237FDDD61E2C</vt:lpwstr>
  </property>
</Properties>
</file>