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22" w:rsidRPr="005575C0" w:rsidRDefault="00B259F9" w:rsidP="00AE5122">
      <w:pPr>
        <w:spacing w:line="480" w:lineRule="auto"/>
        <w:jc w:val="center"/>
        <w:rPr>
          <w:rFonts w:ascii="Bookman Old Style" w:hAnsi="Bookman Old Style"/>
        </w:rPr>
      </w:pPr>
      <w:bookmarkStart w:id="0" w:name="_GoBack"/>
      <w:bookmarkEnd w:id="0"/>
      <w:r>
        <w:rPr>
          <w:rFonts w:ascii="Bookman Old Style" w:hAnsi="Bookman Old Style"/>
          <w:noProof/>
          <w:lang w:val="en-US"/>
        </w:rPr>
        <w:drawing>
          <wp:inline distT="0" distB="0" distL="0" distR="0">
            <wp:extent cx="1228725" cy="145732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57325"/>
                    </a:xfrm>
                    <a:prstGeom prst="rect">
                      <a:avLst/>
                    </a:prstGeom>
                    <a:noFill/>
                    <a:ln>
                      <a:noFill/>
                    </a:ln>
                  </pic:spPr>
                </pic:pic>
              </a:graphicData>
            </a:graphic>
          </wp:inline>
        </w:drawing>
      </w:r>
    </w:p>
    <w:p w:rsidR="00AE5122" w:rsidRPr="009163D5" w:rsidRDefault="00AE5122" w:rsidP="005575C0">
      <w:pPr>
        <w:pStyle w:val="Heading1"/>
        <w:spacing w:line="240" w:lineRule="auto"/>
        <w:jc w:val="center"/>
        <w:rPr>
          <w:rFonts w:ascii="Bookman Old Style" w:hAnsi="Bookman Old Style" w:cs="Arial"/>
          <w:sz w:val="32"/>
          <w:szCs w:val="32"/>
        </w:rPr>
      </w:pPr>
      <w:r w:rsidRPr="009163D5">
        <w:rPr>
          <w:rFonts w:ascii="Bookman Old Style" w:hAnsi="Bookman Old Style" w:cs="Arial"/>
          <w:sz w:val="32"/>
          <w:szCs w:val="32"/>
        </w:rPr>
        <w:t>IN THE HIGH COURT OF NAMIBIA</w:t>
      </w:r>
    </w:p>
    <w:p w:rsidR="00AE5122" w:rsidRPr="009163D5" w:rsidRDefault="00AE5122" w:rsidP="005575C0">
      <w:pPr>
        <w:jc w:val="center"/>
        <w:rPr>
          <w:rFonts w:ascii="Bookman Old Style" w:hAnsi="Bookman Old Style" w:cs="Arial"/>
          <w:sz w:val="32"/>
          <w:szCs w:val="32"/>
        </w:rPr>
      </w:pPr>
    </w:p>
    <w:p w:rsidR="005575C0" w:rsidRPr="009163D5" w:rsidRDefault="009163D5" w:rsidP="005575C0">
      <w:pPr>
        <w:jc w:val="right"/>
        <w:rPr>
          <w:rFonts w:ascii="Bookman Old Style" w:hAnsi="Bookman Old Style" w:cs="Arial"/>
          <w:bCs/>
        </w:rPr>
      </w:pPr>
      <w:r>
        <w:rPr>
          <w:rFonts w:ascii="Bookman Old Style" w:hAnsi="Bookman Old Style" w:cs="Arial"/>
          <w:bCs/>
        </w:rPr>
        <w:t>CASE NO</w:t>
      </w:r>
      <w:r w:rsidRPr="009163D5">
        <w:rPr>
          <w:rFonts w:ascii="Bookman Old Style" w:hAnsi="Bookman Old Style" w:cs="Arial"/>
          <w:bCs/>
        </w:rPr>
        <w:t>:</w:t>
      </w:r>
      <w:r w:rsidRPr="009163D5">
        <w:rPr>
          <w:rFonts w:ascii="Bookman Old Style" w:hAnsi="Bookman Old Style" w:cs="Arial"/>
        </w:rPr>
        <w:t xml:space="preserve"> L</w:t>
      </w:r>
      <w:r w:rsidR="00B07C3A">
        <w:rPr>
          <w:rFonts w:ascii="Bookman Old Style" w:hAnsi="Bookman Old Style" w:cs="Arial"/>
        </w:rPr>
        <w:t>CA</w:t>
      </w:r>
      <w:r w:rsidRPr="009163D5">
        <w:rPr>
          <w:rFonts w:ascii="Bookman Old Style" w:hAnsi="Bookman Old Style" w:cs="Arial"/>
        </w:rPr>
        <w:t xml:space="preserve"> 15/2010</w:t>
      </w:r>
    </w:p>
    <w:p w:rsidR="00AE5122" w:rsidRPr="009163D5" w:rsidRDefault="00AE5122" w:rsidP="00AE5122">
      <w:pPr>
        <w:jc w:val="both"/>
        <w:rPr>
          <w:rFonts w:ascii="Bookman Old Style" w:hAnsi="Bookman Old Style" w:cs="Arial"/>
        </w:rPr>
      </w:pPr>
    </w:p>
    <w:p w:rsidR="00AE5122" w:rsidRPr="009163D5" w:rsidRDefault="00AE5122" w:rsidP="00AE5122">
      <w:pPr>
        <w:jc w:val="both"/>
        <w:rPr>
          <w:rFonts w:ascii="Bookman Old Style" w:hAnsi="Bookman Old Style" w:cs="Arial"/>
        </w:rPr>
      </w:pPr>
      <w:r w:rsidRPr="009163D5">
        <w:rPr>
          <w:rFonts w:ascii="Bookman Old Style" w:hAnsi="Bookman Old Style" w:cs="Arial"/>
        </w:rPr>
        <w:t>In the matter between:</w:t>
      </w:r>
    </w:p>
    <w:p w:rsidR="00AE5122" w:rsidRPr="00911E0C" w:rsidRDefault="00AE5122" w:rsidP="00AE5122">
      <w:pPr>
        <w:jc w:val="both"/>
        <w:rPr>
          <w:rFonts w:ascii="Bookman Old Style" w:hAnsi="Bookman Old Style" w:cs="Arial"/>
        </w:rPr>
      </w:pPr>
    </w:p>
    <w:p w:rsidR="00911E0C" w:rsidRPr="00911E0C" w:rsidRDefault="00911E0C" w:rsidP="00911E0C">
      <w:pPr>
        <w:tabs>
          <w:tab w:val="left" w:pos="7200"/>
        </w:tabs>
        <w:spacing w:line="360" w:lineRule="auto"/>
        <w:rPr>
          <w:rFonts w:ascii="Bookman Old Style" w:hAnsi="Bookman Old Style" w:cs="Arial"/>
          <w:b/>
        </w:rPr>
      </w:pPr>
      <w:r w:rsidRPr="00911E0C">
        <w:rPr>
          <w:rFonts w:ascii="Bookman Old Style" w:hAnsi="Bookman Old Style" w:cs="Arial"/>
          <w:b/>
        </w:rPr>
        <w:t>JB COOLING &amp; REFRIGERATION CC</w:t>
      </w:r>
      <w:r>
        <w:rPr>
          <w:rFonts w:ascii="Bookman Old Style" w:hAnsi="Bookman Old Style" w:cs="Arial"/>
          <w:b/>
        </w:rPr>
        <w:tab/>
      </w:r>
      <w:r w:rsidRPr="00911E0C">
        <w:rPr>
          <w:rFonts w:ascii="Bookman Old Style" w:hAnsi="Bookman Old Style" w:cs="Arial"/>
          <w:b/>
        </w:rPr>
        <w:t>APPELLANT</w:t>
      </w:r>
    </w:p>
    <w:p w:rsidR="00911E0C" w:rsidRPr="009163D5" w:rsidRDefault="00911E0C" w:rsidP="00911E0C">
      <w:pPr>
        <w:spacing w:line="360" w:lineRule="auto"/>
        <w:rPr>
          <w:rFonts w:ascii="Bookman Old Style" w:hAnsi="Bookman Old Style" w:cs="Arial"/>
          <w:b/>
          <w:sz w:val="16"/>
          <w:szCs w:val="16"/>
        </w:rPr>
      </w:pPr>
    </w:p>
    <w:p w:rsidR="00911E0C" w:rsidRPr="00911E0C" w:rsidRDefault="00911E0C" w:rsidP="00911E0C">
      <w:pPr>
        <w:spacing w:line="360" w:lineRule="auto"/>
        <w:rPr>
          <w:rFonts w:ascii="Bookman Old Style" w:hAnsi="Bookman Old Style" w:cs="Arial"/>
        </w:rPr>
      </w:pPr>
      <w:r w:rsidRPr="00911E0C">
        <w:rPr>
          <w:rFonts w:ascii="Bookman Old Style" w:hAnsi="Bookman Old Style" w:cs="Arial"/>
        </w:rPr>
        <w:t>And</w:t>
      </w:r>
    </w:p>
    <w:p w:rsidR="00911E0C" w:rsidRPr="009163D5" w:rsidRDefault="00911E0C" w:rsidP="00911E0C">
      <w:pPr>
        <w:spacing w:line="360" w:lineRule="auto"/>
        <w:rPr>
          <w:rFonts w:ascii="Bookman Old Style" w:hAnsi="Bookman Old Style" w:cs="Arial"/>
          <w:b/>
          <w:sz w:val="16"/>
          <w:szCs w:val="16"/>
        </w:rPr>
      </w:pPr>
    </w:p>
    <w:p w:rsidR="00911E0C" w:rsidRPr="00911E0C" w:rsidRDefault="00911E0C" w:rsidP="00911E0C">
      <w:pPr>
        <w:tabs>
          <w:tab w:val="left" w:pos="6300"/>
        </w:tabs>
        <w:spacing w:line="360" w:lineRule="auto"/>
        <w:rPr>
          <w:rFonts w:ascii="Bookman Old Style" w:hAnsi="Bookman Old Style" w:cs="Arial"/>
          <w:b/>
        </w:rPr>
      </w:pPr>
      <w:r w:rsidRPr="00911E0C">
        <w:rPr>
          <w:rFonts w:ascii="Bookman Old Style" w:hAnsi="Bookman Old Style" w:cs="Arial"/>
          <w:b/>
        </w:rPr>
        <w:t>KASTRO KAVENDJAA</w:t>
      </w:r>
      <w:r w:rsidRPr="00911E0C">
        <w:rPr>
          <w:rFonts w:ascii="Bookman Old Style" w:hAnsi="Bookman Old Style" w:cs="Arial"/>
          <w:b/>
        </w:rPr>
        <w:tab/>
      </w:r>
      <w:r>
        <w:rPr>
          <w:rFonts w:ascii="Bookman Old Style" w:hAnsi="Bookman Old Style" w:cs="Arial"/>
          <w:b/>
        </w:rPr>
        <w:t xml:space="preserve">FIRST </w:t>
      </w:r>
      <w:r w:rsidRPr="00911E0C">
        <w:rPr>
          <w:rFonts w:ascii="Bookman Old Style" w:hAnsi="Bookman Old Style" w:cs="Arial"/>
          <w:b/>
        </w:rPr>
        <w:t>RESPONDENT</w:t>
      </w:r>
    </w:p>
    <w:p w:rsidR="00911E0C" w:rsidRPr="00911E0C" w:rsidRDefault="00911E0C" w:rsidP="00911E0C">
      <w:pPr>
        <w:tabs>
          <w:tab w:val="left" w:pos="5940"/>
        </w:tabs>
        <w:spacing w:line="360" w:lineRule="auto"/>
        <w:jc w:val="both"/>
        <w:rPr>
          <w:rFonts w:ascii="Bookman Old Style" w:hAnsi="Bookman Old Style" w:cs="Arial"/>
          <w:b/>
        </w:rPr>
      </w:pPr>
      <w:r w:rsidRPr="00911E0C">
        <w:rPr>
          <w:rFonts w:ascii="Bookman Old Style" w:hAnsi="Bookman Old Style" w:cs="Arial"/>
          <w:b/>
        </w:rPr>
        <w:t>PHILIP MWANDINGI (ARBITRATOR)</w:t>
      </w:r>
      <w:r w:rsidRPr="00911E0C">
        <w:rPr>
          <w:rFonts w:ascii="Bookman Old Style" w:hAnsi="Bookman Old Style" w:cs="Arial"/>
          <w:b/>
        </w:rPr>
        <w:tab/>
      </w:r>
      <w:r>
        <w:rPr>
          <w:rFonts w:ascii="Bookman Old Style" w:hAnsi="Bookman Old Style" w:cs="Arial"/>
          <w:b/>
        </w:rPr>
        <w:t xml:space="preserve">SECOND </w:t>
      </w:r>
      <w:r w:rsidRPr="00911E0C">
        <w:rPr>
          <w:rFonts w:ascii="Bookman Old Style" w:hAnsi="Bookman Old Style" w:cs="Arial"/>
          <w:b/>
        </w:rPr>
        <w:t>RESPONDENT</w:t>
      </w:r>
    </w:p>
    <w:p w:rsidR="00911E0C" w:rsidRDefault="00911E0C" w:rsidP="00911E0C">
      <w:pPr>
        <w:spacing w:line="360" w:lineRule="auto"/>
        <w:jc w:val="both"/>
        <w:rPr>
          <w:rFonts w:ascii="Bookman Old Style" w:hAnsi="Bookman Old Style" w:cs="Arial"/>
          <w:b/>
        </w:rPr>
      </w:pPr>
    </w:p>
    <w:p w:rsidR="00911E0C" w:rsidRDefault="00911E0C" w:rsidP="00911E0C">
      <w:pPr>
        <w:spacing w:line="360" w:lineRule="auto"/>
        <w:jc w:val="both"/>
        <w:rPr>
          <w:rFonts w:ascii="Bookman Old Style" w:hAnsi="Bookman Old Style" w:cs="Arial"/>
          <w:b/>
        </w:rPr>
      </w:pPr>
    </w:p>
    <w:p w:rsidR="00AE5122" w:rsidRPr="005575C0" w:rsidRDefault="00AE5122" w:rsidP="00911E0C">
      <w:pPr>
        <w:spacing w:line="360" w:lineRule="auto"/>
        <w:jc w:val="both"/>
        <w:rPr>
          <w:rFonts w:ascii="Bookman Old Style" w:hAnsi="Bookman Old Style" w:cs="Arial"/>
          <w:b/>
        </w:rPr>
      </w:pPr>
      <w:r w:rsidRPr="005575C0">
        <w:rPr>
          <w:rFonts w:ascii="Bookman Old Style" w:hAnsi="Bookman Old Style" w:cs="Arial"/>
          <w:b/>
        </w:rPr>
        <w:t>CORAM:</w:t>
      </w:r>
      <w:r w:rsidRPr="005575C0">
        <w:rPr>
          <w:rFonts w:ascii="Bookman Old Style" w:hAnsi="Bookman Old Style" w:cs="Arial"/>
          <w:b/>
        </w:rPr>
        <w:tab/>
      </w:r>
      <w:r w:rsidRPr="005575C0">
        <w:rPr>
          <w:rFonts w:ascii="Bookman Old Style" w:hAnsi="Bookman Old Style" w:cs="Arial"/>
          <w:b/>
        </w:rPr>
        <w:tab/>
      </w:r>
      <w:r w:rsidRPr="005575C0">
        <w:rPr>
          <w:rFonts w:ascii="Bookman Old Style" w:hAnsi="Bookman Old Style" w:cs="Arial"/>
          <w:b/>
        </w:rPr>
        <w:tab/>
        <w:t>UEITELE, AJ</w:t>
      </w:r>
    </w:p>
    <w:p w:rsidR="00AE5122" w:rsidRPr="005575C0" w:rsidRDefault="00AE5122" w:rsidP="00AE5122">
      <w:pPr>
        <w:jc w:val="both"/>
        <w:rPr>
          <w:rFonts w:ascii="Bookman Old Style" w:hAnsi="Bookman Old Style" w:cs="Arial"/>
        </w:rPr>
      </w:pPr>
    </w:p>
    <w:p w:rsidR="00AE5122" w:rsidRPr="005575C0" w:rsidRDefault="00AE5122" w:rsidP="00AE5122">
      <w:pPr>
        <w:jc w:val="both"/>
        <w:rPr>
          <w:rFonts w:ascii="Bookman Old Style" w:hAnsi="Bookman Old Style" w:cs="Arial"/>
        </w:rPr>
      </w:pPr>
      <w:r w:rsidRPr="005575C0">
        <w:rPr>
          <w:rFonts w:ascii="Bookman Old Style" w:hAnsi="Bookman Old Style" w:cs="Arial"/>
        </w:rPr>
        <w:t>Heard on:</w:t>
      </w:r>
      <w:r w:rsidRPr="005575C0">
        <w:rPr>
          <w:rFonts w:ascii="Bookman Old Style" w:hAnsi="Bookman Old Style" w:cs="Arial"/>
        </w:rPr>
        <w:tab/>
      </w:r>
      <w:r w:rsidRPr="005575C0">
        <w:rPr>
          <w:rFonts w:ascii="Bookman Old Style" w:hAnsi="Bookman Old Style" w:cs="Arial"/>
        </w:rPr>
        <w:tab/>
      </w:r>
      <w:r w:rsidRPr="005575C0">
        <w:rPr>
          <w:rFonts w:ascii="Bookman Old Style" w:hAnsi="Bookman Old Style" w:cs="Arial"/>
        </w:rPr>
        <w:tab/>
      </w:r>
      <w:r w:rsidR="00911E0C">
        <w:rPr>
          <w:rFonts w:ascii="Bookman Old Style" w:hAnsi="Bookman Old Style" w:cs="Arial"/>
        </w:rPr>
        <w:t>01</w:t>
      </w:r>
      <w:r w:rsidRPr="005575C0">
        <w:rPr>
          <w:rFonts w:ascii="Bookman Old Style" w:hAnsi="Bookman Old Style" w:cs="Arial"/>
        </w:rPr>
        <w:t xml:space="preserve"> October 2010</w:t>
      </w:r>
    </w:p>
    <w:p w:rsidR="00AE5122" w:rsidRPr="005575C0" w:rsidRDefault="00AE5122" w:rsidP="00AE5122">
      <w:pPr>
        <w:jc w:val="both"/>
        <w:rPr>
          <w:rFonts w:ascii="Bookman Old Style" w:hAnsi="Bookman Old Style" w:cs="Arial"/>
        </w:rPr>
      </w:pPr>
    </w:p>
    <w:p w:rsidR="00AE5122" w:rsidRPr="005575C0" w:rsidRDefault="00AE5122" w:rsidP="00AE5122">
      <w:pPr>
        <w:jc w:val="both"/>
        <w:rPr>
          <w:rFonts w:ascii="Bookman Old Style" w:hAnsi="Bookman Old Style" w:cs="Arial"/>
        </w:rPr>
      </w:pPr>
      <w:r w:rsidRPr="005575C0">
        <w:rPr>
          <w:rFonts w:ascii="Bookman Old Style" w:hAnsi="Bookman Old Style" w:cs="Arial"/>
        </w:rPr>
        <w:t>Delivered on:</w:t>
      </w:r>
      <w:r w:rsidRPr="005575C0">
        <w:rPr>
          <w:rFonts w:ascii="Bookman Old Style" w:hAnsi="Bookman Old Style" w:cs="Arial"/>
        </w:rPr>
        <w:tab/>
      </w:r>
      <w:r w:rsidRPr="005575C0">
        <w:rPr>
          <w:rFonts w:ascii="Bookman Old Style" w:hAnsi="Bookman Old Style" w:cs="Arial"/>
        </w:rPr>
        <w:tab/>
      </w:r>
      <w:r w:rsidR="00517863">
        <w:rPr>
          <w:rFonts w:ascii="Bookman Old Style" w:hAnsi="Bookman Old Style" w:cs="Arial"/>
        </w:rPr>
        <w:t>03 April 2012</w:t>
      </w:r>
    </w:p>
    <w:p w:rsidR="00AE5122" w:rsidRPr="005575C0" w:rsidRDefault="00AE5122" w:rsidP="00AE5122">
      <w:pPr>
        <w:pBdr>
          <w:bottom w:val="single" w:sz="12" w:space="1" w:color="auto"/>
        </w:pBdr>
        <w:jc w:val="both"/>
        <w:rPr>
          <w:rFonts w:ascii="Bookman Old Style" w:hAnsi="Bookman Old Style" w:cs="Arial"/>
          <w:b/>
        </w:rPr>
      </w:pPr>
    </w:p>
    <w:p w:rsidR="00AE5122" w:rsidRPr="005575C0" w:rsidRDefault="00AE5122" w:rsidP="00AE5122">
      <w:pPr>
        <w:jc w:val="both"/>
        <w:rPr>
          <w:rFonts w:ascii="Bookman Old Style" w:hAnsi="Bookman Old Style" w:cs="Arial"/>
          <w:b/>
        </w:rPr>
      </w:pPr>
    </w:p>
    <w:p w:rsidR="00AE5122" w:rsidRPr="005575C0" w:rsidRDefault="00AE5122" w:rsidP="00AE5122">
      <w:pPr>
        <w:jc w:val="center"/>
        <w:rPr>
          <w:rFonts w:ascii="Bookman Old Style" w:hAnsi="Bookman Old Style" w:cs="Arial"/>
          <w:b/>
        </w:rPr>
      </w:pPr>
      <w:r w:rsidRPr="005575C0">
        <w:rPr>
          <w:rFonts w:ascii="Bookman Old Style" w:hAnsi="Bookman Old Style" w:cs="Arial"/>
          <w:b/>
        </w:rPr>
        <w:t xml:space="preserve">JUDGMENT </w:t>
      </w:r>
    </w:p>
    <w:p w:rsidR="00AE5122" w:rsidRPr="005575C0" w:rsidRDefault="00AE5122" w:rsidP="00AE5122">
      <w:pPr>
        <w:pBdr>
          <w:bottom w:val="single" w:sz="12" w:space="1" w:color="auto"/>
        </w:pBdr>
        <w:jc w:val="both"/>
        <w:rPr>
          <w:rFonts w:ascii="Bookman Old Style" w:hAnsi="Bookman Old Style" w:cs="Arial"/>
          <w:b/>
        </w:rPr>
      </w:pPr>
    </w:p>
    <w:p w:rsidR="00AE5122" w:rsidRPr="005575C0" w:rsidRDefault="00AE5122" w:rsidP="00AE5122">
      <w:pPr>
        <w:jc w:val="both"/>
        <w:rPr>
          <w:rFonts w:ascii="Bookman Old Style" w:hAnsi="Bookman Old Style" w:cs="Arial"/>
          <w:b/>
        </w:rPr>
      </w:pPr>
    </w:p>
    <w:p w:rsidR="003A5713" w:rsidRDefault="00AE5122" w:rsidP="00AE5122">
      <w:pPr>
        <w:spacing w:line="480" w:lineRule="auto"/>
        <w:jc w:val="both"/>
        <w:rPr>
          <w:rFonts w:ascii="Bookman Old Style" w:hAnsi="Bookman Old Style" w:cs="Arial"/>
        </w:rPr>
      </w:pPr>
      <w:r w:rsidRPr="005575C0">
        <w:rPr>
          <w:rFonts w:ascii="Bookman Old Style" w:hAnsi="Bookman Old Style" w:cs="Arial"/>
          <w:b/>
          <w:u w:val="single"/>
        </w:rPr>
        <w:t xml:space="preserve">UEITELE, </w:t>
      </w:r>
      <w:r w:rsidR="009163D5" w:rsidRPr="005575C0">
        <w:rPr>
          <w:rFonts w:ascii="Bookman Old Style" w:hAnsi="Bookman Old Style" w:cs="Arial"/>
          <w:b/>
          <w:u w:val="single"/>
        </w:rPr>
        <w:t>AJ:</w:t>
      </w:r>
      <w:r w:rsidRPr="005575C0">
        <w:rPr>
          <w:rFonts w:ascii="Bookman Old Style" w:hAnsi="Bookman Old Style" w:cs="Arial"/>
        </w:rPr>
        <w:t xml:space="preserve"> </w:t>
      </w:r>
      <w:r w:rsidRPr="005575C0">
        <w:rPr>
          <w:rFonts w:ascii="Bookman Old Style" w:hAnsi="Bookman Old Style" w:cs="Arial"/>
        </w:rPr>
        <w:tab/>
      </w:r>
    </w:p>
    <w:p w:rsidR="00911E0C" w:rsidRDefault="00AE5122" w:rsidP="00CE1B53">
      <w:pPr>
        <w:spacing w:line="480" w:lineRule="auto"/>
        <w:jc w:val="both"/>
        <w:rPr>
          <w:rFonts w:ascii="Bookman Old Style" w:hAnsi="Bookman Old Style" w:cs="Arial"/>
        </w:rPr>
      </w:pPr>
      <w:r w:rsidRPr="00521FBA">
        <w:rPr>
          <w:rFonts w:ascii="Bookman Old Style" w:hAnsi="Bookman Old Style" w:cs="Arial"/>
        </w:rPr>
        <w:t>[1]</w:t>
      </w:r>
      <w:r w:rsidR="009F2859" w:rsidRPr="00521FBA">
        <w:rPr>
          <w:rFonts w:ascii="Bookman Old Style" w:hAnsi="Bookman Old Style" w:cs="Arial"/>
        </w:rPr>
        <w:tab/>
      </w:r>
      <w:r w:rsidR="00911E0C" w:rsidRPr="00521FBA">
        <w:rPr>
          <w:rFonts w:ascii="Bookman Old Style" w:hAnsi="Bookman Old Style" w:cs="Arial"/>
        </w:rPr>
        <w:t>Th</w:t>
      </w:r>
      <w:r w:rsidR="00CE1B53" w:rsidRPr="00521FBA">
        <w:rPr>
          <w:rFonts w:ascii="Bookman Old Style" w:hAnsi="Bookman Old Style" w:cs="Arial"/>
        </w:rPr>
        <w:t xml:space="preserve">e appellant appealed </w:t>
      </w:r>
      <w:r w:rsidR="00911E0C" w:rsidRPr="00521FBA">
        <w:rPr>
          <w:rFonts w:ascii="Bookman Old Style" w:hAnsi="Bookman Old Style" w:cs="Arial"/>
        </w:rPr>
        <w:t>in terms of section 89 (1) (a) of the Labour Act</w:t>
      </w:r>
      <w:r w:rsidR="00621BCE" w:rsidRPr="00521FBA">
        <w:rPr>
          <w:rFonts w:ascii="Bookman Old Style" w:hAnsi="Bookman Old Style" w:cs="Arial"/>
        </w:rPr>
        <w:t>, 2007 (Act No.</w:t>
      </w:r>
      <w:r w:rsidR="00911E0C" w:rsidRPr="00521FBA">
        <w:rPr>
          <w:rFonts w:ascii="Bookman Old Style" w:hAnsi="Bookman Old Style" w:cs="Arial"/>
        </w:rPr>
        <w:t xml:space="preserve"> 11 of 2007</w:t>
      </w:r>
      <w:r w:rsidR="004A5C34">
        <w:rPr>
          <w:rFonts w:ascii="Bookman Old Style" w:hAnsi="Bookman Old Style" w:cs="Arial"/>
        </w:rPr>
        <w:t>)</w:t>
      </w:r>
      <w:r w:rsidR="00911E0C" w:rsidRPr="00521FBA">
        <w:rPr>
          <w:rFonts w:ascii="Bookman Old Style" w:hAnsi="Bookman Old Style" w:cs="Arial"/>
        </w:rPr>
        <w:t xml:space="preserve"> </w:t>
      </w:r>
      <w:r w:rsidR="004A5C34" w:rsidRPr="00521FBA">
        <w:rPr>
          <w:rFonts w:ascii="Bookman Old Style" w:hAnsi="Bookman Old Style" w:cs="Arial"/>
        </w:rPr>
        <w:t>(</w:t>
      </w:r>
      <w:r w:rsidR="004A5C34">
        <w:rPr>
          <w:rFonts w:ascii="Bookman Old Style" w:hAnsi="Bookman Old Style" w:cs="Arial"/>
        </w:rPr>
        <w:t xml:space="preserve">I will, in this judgment, referred to it as </w:t>
      </w:r>
      <w:r w:rsidR="00911E0C" w:rsidRPr="00521FBA">
        <w:rPr>
          <w:rFonts w:ascii="Bookman Old Style" w:hAnsi="Bookman Old Style" w:cs="Arial"/>
        </w:rPr>
        <w:t xml:space="preserve">“the Act”) against the whole of an arbitrator’s </w:t>
      </w:r>
      <w:r w:rsidR="008B377D" w:rsidRPr="00521FBA">
        <w:rPr>
          <w:rFonts w:ascii="Bookman Old Style" w:hAnsi="Bookman Old Style" w:cs="Arial"/>
        </w:rPr>
        <w:t>(</w:t>
      </w:r>
      <w:r w:rsidR="004A5C34">
        <w:rPr>
          <w:rFonts w:ascii="Bookman Old Style" w:hAnsi="Bookman Old Style" w:cs="Arial"/>
        </w:rPr>
        <w:t>I will, in this judgment, referred to</w:t>
      </w:r>
      <w:r w:rsidR="004A5C34" w:rsidRPr="00521FBA">
        <w:rPr>
          <w:rFonts w:ascii="Bookman Old Style" w:hAnsi="Bookman Old Style" w:cs="Arial"/>
        </w:rPr>
        <w:t xml:space="preserve"> </w:t>
      </w:r>
      <w:r w:rsidR="004A5C34">
        <w:rPr>
          <w:rFonts w:ascii="Bookman Old Style" w:hAnsi="Bookman Old Style" w:cs="Arial"/>
        </w:rPr>
        <w:t xml:space="preserve">the arbitrator </w:t>
      </w:r>
      <w:r w:rsidR="008B377D" w:rsidRPr="00521FBA">
        <w:rPr>
          <w:rFonts w:ascii="Bookman Old Style" w:hAnsi="Bookman Old Style" w:cs="Arial"/>
        </w:rPr>
        <w:t xml:space="preserve">as the second respondent) </w:t>
      </w:r>
      <w:r w:rsidR="00911E0C" w:rsidRPr="00521FBA">
        <w:rPr>
          <w:rFonts w:ascii="Bookman Old Style" w:hAnsi="Bookman Old Style" w:cs="Arial"/>
        </w:rPr>
        <w:t xml:space="preserve">award made in terms of section 86 of the Act by second respondent on 5 February 2010, against appellant in </w:t>
      </w:r>
      <w:r w:rsidR="00911E0C" w:rsidRPr="00521FBA">
        <w:rPr>
          <w:rFonts w:ascii="Bookman Old Style" w:hAnsi="Bookman Old Style" w:cs="Arial"/>
        </w:rPr>
        <w:lastRenderedPageBreak/>
        <w:t xml:space="preserve">favour </w:t>
      </w:r>
      <w:r w:rsidR="00CE1B53" w:rsidRPr="00521FBA">
        <w:rPr>
          <w:rFonts w:ascii="Bookman Old Style" w:hAnsi="Bookman Old Style" w:cs="Arial"/>
        </w:rPr>
        <w:t xml:space="preserve">of </w:t>
      </w:r>
      <w:r w:rsidR="00517863">
        <w:rPr>
          <w:rFonts w:ascii="Bookman Old Style" w:hAnsi="Bookman Old Style" w:cs="Arial"/>
        </w:rPr>
        <w:t xml:space="preserve">Kastro Kavendjaa (whom I will refer to as the </w:t>
      </w:r>
      <w:r w:rsidR="00CE1B53" w:rsidRPr="00521FBA">
        <w:rPr>
          <w:rFonts w:ascii="Bookman Old Style" w:hAnsi="Bookman Old Style" w:cs="Arial"/>
        </w:rPr>
        <w:t>first respondent</w:t>
      </w:r>
      <w:r w:rsidR="00517863">
        <w:rPr>
          <w:rFonts w:ascii="Bookman Old Style" w:hAnsi="Bookman Old Style" w:cs="Arial"/>
        </w:rPr>
        <w:t xml:space="preserve"> in this judgment)</w:t>
      </w:r>
      <w:r w:rsidR="00911E0C" w:rsidRPr="00521FBA">
        <w:rPr>
          <w:rFonts w:ascii="Bookman Old Style" w:hAnsi="Bookman Old Style" w:cs="Arial"/>
        </w:rPr>
        <w:t>.</w:t>
      </w:r>
    </w:p>
    <w:p w:rsidR="00517863" w:rsidRDefault="00517863" w:rsidP="00CE1B53">
      <w:pPr>
        <w:spacing w:line="480" w:lineRule="auto"/>
        <w:jc w:val="both"/>
        <w:rPr>
          <w:rFonts w:ascii="Bookman Old Style" w:hAnsi="Bookman Old Style" w:cs="Arial"/>
        </w:rPr>
      </w:pPr>
    </w:p>
    <w:p w:rsidR="008D3135" w:rsidRPr="00521FBA" w:rsidRDefault="008D3135" w:rsidP="00CE1B53">
      <w:pPr>
        <w:spacing w:line="480" w:lineRule="auto"/>
        <w:jc w:val="both"/>
        <w:rPr>
          <w:rFonts w:ascii="Bookman Old Style" w:hAnsi="Bookman Old Style" w:cs="Arial"/>
        </w:rPr>
      </w:pPr>
      <w:r w:rsidRPr="00521FBA">
        <w:rPr>
          <w:rFonts w:ascii="Bookman Old Style" w:hAnsi="Bookman Old Style" w:cs="Arial"/>
        </w:rPr>
        <w:t>[2]</w:t>
      </w:r>
      <w:r w:rsidRPr="00521FBA">
        <w:rPr>
          <w:rFonts w:ascii="Bookman Old Style" w:hAnsi="Bookman Old Style" w:cs="Arial"/>
        </w:rPr>
        <w:tab/>
        <w:t>The appellant was represented by Ms Van der Merwe and the first respondent appeared in person</w:t>
      </w:r>
      <w:r w:rsidR="008E376C" w:rsidRPr="00521FBA">
        <w:rPr>
          <w:rFonts w:ascii="Bookman Old Style" w:hAnsi="Bookman Old Style" w:cs="Arial"/>
        </w:rPr>
        <w:t>.</w:t>
      </w:r>
    </w:p>
    <w:p w:rsidR="008E376C" w:rsidRPr="00521FBA" w:rsidRDefault="008E376C" w:rsidP="00CE1B53">
      <w:pPr>
        <w:spacing w:line="480" w:lineRule="auto"/>
        <w:jc w:val="both"/>
        <w:rPr>
          <w:rFonts w:ascii="Bookman Old Style" w:hAnsi="Bookman Old Style" w:cs="Arial"/>
        </w:rPr>
      </w:pPr>
    </w:p>
    <w:p w:rsidR="00911E0C" w:rsidRPr="00521FBA" w:rsidRDefault="008E376C" w:rsidP="008E376C">
      <w:pPr>
        <w:spacing w:line="480" w:lineRule="auto"/>
        <w:jc w:val="both"/>
        <w:rPr>
          <w:rFonts w:ascii="Bookman Old Style" w:hAnsi="Bookman Old Style" w:cs="Arial"/>
          <w:b/>
        </w:rPr>
      </w:pPr>
      <w:r w:rsidRPr="00521FBA">
        <w:rPr>
          <w:rFonts w:ascii="Bookman Old Style" w:hAnsi="Bookman Old Style" w:cs="Arial"/>
          <w:b/>
        </w:rPr>
        <w:t xml:space="preserve">Background </w:t>
      </w:r>
    </w:p>
    <w:p w:rsidR="00623C7E" w:rsidRPr="00521FBA" w:rsidRDefault="00623C7E" w:rsidP="008E376C">
      <w:pPr>
        <w:spacing w:line="480" w:lineRule="auto"/>
        <w:jc w:val="both"/>
        <w:rPr>
          <w:rFonts w:ascii="Bookman Old Style" w:hAnsi="Bookman Old Style" w:cs="Arial"/>
        </w:rPr>
      </w:pPr>
      <w:r w:rsidRPr="00521FBA">
        <w:rPr>
          <w:rFonts w:ascii="Bookman Old Style" w:hAnsi="Bookman Old Style" w:cs="Arial"/>
        </w:rPr>
        <w:t>[3]</w:t>
      </w:r>
      <w:r w:rsidRPr="00521FBA">
        <w:rPr>
          <w:rFonts w:ascii="Bookman Old Style" w:hAnsi="Bookman Old Style" w:cs="Arial"/>
        </w:rPr>
        <w:tab/>
        <w:t xml:space="preserve">On </w:t>
      </w:r>
      <w:r w:rsidR="00621BCE" w:rsidRPr="00521FBA">
        <w:rPr>
          <w:rFonts w:ascii="Bookman Old Style" w:hAnsi="Bookman Old Style" w:cs="Arial"/>
        </w:rPr>
        <w:t>0</w:t>
      </w:r>
      <w:r w:rsidRPr="00521FBA">
        <w:rPr>
          <w:rFonts w:ascii="Bookman Old Style" w:hAnsi="Bookman Old Style" w:cs="Arial"/>
        </w:rPr>
        <w:t xml:space="preserve">2 December 2009, the first respondent referred a dispute of unfair labour practice to the Labour Commissioner.  The summary of </w:t>
      </w:r>
      <w:r w:rsidR="008B377D" w:rsidRPr="00521FBA">
        <w:rPr>
          <w:rFonts w:ascii="Bookman Old Style" w:hAnsi="Bookman Old Style" w:cs="Arial"/>
        </w:rPr>
        <w:t>dispute</w:t>
      </w:r>
      <w:r w:rsidRPr="00521FBA">
        <w:rPr>
          <w:rFonts w:ascii="Bookman Old Style" w:hAnsi="Bookman Old Style" w:cs="Arial"/>
        </w:rPr>
        <w:t xml:space="preserve"> annexed to Form LC 21 sets out the basis of the referral as follows:</w:t>
      </w:r>
    </w:p>
    <w:p w:rsidR="00A277C1" w:rsidRDefault="00A277C1" w:rsidP="00A277C1">
      <w:pPr>
        <w:tabs>
          <w:tab w:val="left" w:pos="720"/>
        </w:tabs>
        <w:spacing w:line="480" w:lineRule="auto"/>
        <w:ind w:left="709" w:hanging="709"/>
        <w:jc w:val="both"/>
        <w:rPr>
          <w:rFonts w:ascii="Times New Roman" w:hAnsi="Times New Roman"/>
        </w:rPr>
      </w:pPr>
      <w:r>
        <w:rPr>
          <w:rFonts w:ascii="Times New Roman" w:hAnsi="Times New Roman"/>
        </w:rPr>
        <w:t>“3.1</w:t>
      </w:r>
      <w:r>
        <w:rPr>
          <w:rFonts w:ascii="Times New Roman" w:hAnsi="Times New Roman"/>
        </w:rPr>
        <w:tab/>
      </w:r>
      <w:r w:rsidR="008D3135" w:rsidRPr="00A277C1">
        <w:rPr>
          <w:rFonts w:ascii="Times New Roman" w:hAnsi="Times New Roman"/>
        </w:rPr>
        <w:t xml:space="preserve">first respondent has been working for appellant for a period of three months </w:t>
      </w:r>
      <w:r>
        <w:rPr>
          <w:rFonts w:ascii="Times New Roman" w:hAnsi="Times New Roman"/>
        </w:rPr>
        <w:t>and nine days in Angola, Luanda</w:t>
      </w:r>
    </w:p>
    <w:p w:rsidR="00A277C1" w:rsidRDefault="008D3135" w:rsidP="00A277C1">
      <w:pPr>
        <w:numPr>
          <w:ilvl w:val="1"/>
          <w:numId w:val="18"/>
        </w:numPr>
        <w:tabs>
          <w:tab w:val="left" w:pos="720"/>
        </w:tabs>
        <w:spacing w:line="480" w:lineRule="auto"/>
        <w:ind w:left="709" w:hanging="709"/>
        <w:jc w:val="both"/>
        <w:rPr>
          <w:rFonts w:ascii="Times New Roman" w:hAnsi="Times New Roman"/>
        </w:rPr>
      </w:pPr>
      <w:r w:rsidRPr="00A277C1">
        <w:rPr>
          <w:rFonts w:ascii="Times New Roman" w:hAnsi="Times New Roman"/>
        </w:rPr>
        <w:t>first respondent and appellant agreed that appellant shal</w:t>
      </w:r>
      <w:r w:rsidR="008554C6" w:rsidRPr="00A277C1">
        <w:rPr>
          <w:rFonts w:ascii="Times New Roman" w:hAnsi="Times New Roman"/>
        </w:rPr>
        <w:t>l pay first respondent N$ 7 000-</w:t>
      </w:r>
      <w:r w:rsidRPr="00A277C1">
        <w:rPr>
          <w:rFonts w:ascii="Times New Roman" w:hAnsi="Times New Roman"/>
        </w:rPr>
        <w:t>00 per month;</w:t>
      </w:r>
    </w:p>
    <w:p w:rsidR="00A277C1" w:rsidRDefault="008B377D" w:rsidP="00A277C1">
      <w:pPr>
        <w:numPr>
          <w:ilvl w:val="1"/>
          <w:numId w:val="18"/>
        </w:numPr>
        <w:tabs>
          <w:tab w:val="left" w:pos="720"/>
        </w:tabs>
        <w:spacing w:line="480" w:lineRule="auto"/>
        <w:ind w:left="709" w:hanging="709"/>
        <w:jc w:val="both"/>
        <w:rPr>
          <w:rFonts w:ascii="Times New Roman" w:hAnsi="Times New Roman"/>
        </w:rPr>
      </w:pPr>
      <w:r w:rsidRPr="00A277C1">
        <w:rPr>
          <w:rFonts w:ascii="Times New Roman" w:hAnsi="Times New Roman"/>
        </w:rPr>
        <w:t>the appellant failed to honour the agreement of N$ 7 000-00 per month and</w:t>
      </w:r>
      <w:r w:rsidR="008D3135" w:rsidRPr="00A277C1">
        <w:rPr>
          <w:rFonts w:ascii="Times New Roman" w:hAnsi="Times New Roman"/>
        </w:rPr>
        <w:t xml:space="preserve"> only paid first respondent N$ 2 700</w:t>
      </w:r>
      <w:r w:rsidR="008554C6" w:rsidRPr="00A277C1">
        <w:rPr>
          <w:rFonts w:ascii="Times New Roman" w:hAnsi="Times New Roman"/>
        </w:rPr>
        <w:t>-</w:t>
      </w:r>
      <w:r w:rsidR="008D3135" w:rsidRPr="00A277C1">
        <w:rPr>
          <w:rFonts w:ascii="Times New Roman" w:hAnsi="Times New Roman"/>
        </w:rPr>
        <w:t>00 per month;</w:t>
      </w:r>
    </w:p>
    <w:p w:rsidR="00A277C1" w:rsidRDefault="008D3135" w:rsidP="00A277C1">
      <w:pPr>
        <w:numPr>
          <w:ilvl w:val="1"/>
          <w:numId w:val="18"/>
        </w:numPr>
        <w:tabs>
          <w:tab w:val="left" w:pos="720"/>
        </w:tabs>
        <w:spacing w:line="480" w:lineRule="auto"/>
        <w:ind w:left="709" w:hanging="709"/>
        <w:jc w:val="both"/>
        <w:rPr>
          <w:rFonts w:ascii="Times New Roman" w:hAnsi="Times New Roman"/>
        </w:rPr>
      </w:pPr>
      <w:r w:rsidRPr="00A277C1">
        <w:rPr>
          <w:rFonts w:ascii="Times New Roman" w:hAnsi="Times New Roman"/>
        </w:rPr>
        <w:t>appellant failed to pay first respondent for August</w:t>
      </w:r>
      <w:r w:rsidR="008554C6" w:rsidRPr="00A277C1">
        <w:rPr>
          <w:rFonts w:ascii="Times New Roman" w:hAnsi="Times New Roman"/>
        </w:rPr>
        <w:t xml:space="preserve"> 2009</w:t>
      </w:r>
      <w:r w:rsidRPr="00A277C1">
        <w:rPr>
          <w:rFonts w:ascii="Times New Roman" w:hAnsi="Times New Roman"/>
        </w:rPr>
        <w:t xml:space="preserve"> and November</w:t>
      </w:r>
      <w:r w:rsidR="008554C6" w:rsidRPr="00A277C1">
        <w:rPr>
          <w:rFonts w:ascii="Times New Roman" w:hAnsi="Times New Roman"/>
        </w:rPr>
        <w:t xml:space="preserve"> 2009</w:t>
      </w:r>
      <w:r w:rsidR="00A277C1">
        <w:rPr>
          <w:rFonts w:ascii="Times New Roman" w:hAnsi="Times New Roman"/>
        </w:rPr>
        <w:t>;</w:t>
      </w:r>
    </w:p>
    <w:p w:rsidR="00623C7E" w:rsidRPr="00A277C1" w:rsidRDefault="008E376C" w:rsidP="00A277C1">
      <w:pPr>
        <w:numPr>
          <w:ilvl w:val="1"/>
          <w:numId w:val="18"/>
        </w:numPr>
        <w:tabs>
          <w:tab w:val="left" w:pos="720"/>
        </w:tabs>
        <w:spacing w:line="480" w:lineRule="auto"/>
        <w:ind w:left="709" w:hanging="709"/>
        <w:jc w:val="both"/>
        <w:rPr>
          <w:rFonts w:ascii="Times New Roman" w:hAnsi="Times New Roman"/>
        </w:rPr>
      </w:pPr>
      <w:r w:rsidRPr="00A277C1">
        <w:rPr>
          <w:rFonts w:ascii="Times New Roman" w:hAnsi="Times New Roman"/>
        </w:rPr>
        <w:t>f</w:t>
      </w:r>
      <w:r w:rsidR="00623C7E" w:rsidRPr="00A277C1">
        <w:rPr>
          <w:rFonts w:ascii="Times New Roman" w:hAnsi="Times New Roman"/>
        </w:rPr>
        <w:t>irst</w:t>
      </w:r>
      <w:r w:rsidR="008554C6" w:rsidRPr="00A277C1">
        <w:rPr>
          <w:rFonts w:ascii="Times New Roman" w:hAnsi="Times New Roman"/>
        </w:rPr>
        <w:t xml:space="preserve"> respondent</w:t>
      </w:r>
      <w:r w:rsidR="00623C7E" w:rsidRPr="00A277C1">
        <w:rPr>
          <w:rFonts w:ascii="Times New Roman" w:hAnsi="Times New Roman"/>
        </w:rPr>
        <w:t xml:space="preserve"> thus claims </w:t>
      </w:r>
      <w:r w:rsidR="000713FD" w:rsidRPr="00A277C1">
        <w:rPr>
          <w:rFonts w:ascii="Times New Roman" w:hAnsi="Times New Roman"/>
        </w:rPr>
        <w:t>N$ 19 9</w:t>
      </w:r>
      <w:r w:rsidR="00623C7E" w:rsidRPr="00A277C1">
        <w:rPr>
          <w:rFonts w:ascii="Times New Roman" w:hAnsi="Times New Roman"/>
        </w:rPr>
        <w:t>00 -00</w:t>
      </w:r>
      <w:r w:rsidR="00803162" w:rsidRPr="00A277C1">
        <w:rPr>
          <w:rFonts w:ascii="Times New Roman" w:hAnsi="Times New Roman"/>
        </w:rPr>
        <w:t xml:space="preserve"> which is outstanding according to the agreement</w:t>
      </w:r>
      <w:r w:rsidR="008554C6" w:rsidRPr="00A277C1">
        <w:rPr>
          <w:rFonts w:ascii="Times New Roman" w:hAnsi="Times New Roman"/>
        </w:rPr>
        <w:t>.</w:t>
      </w:r>
      <w:r w:rsidR="00A277C1" w:rsidRPr="00A277C1">
        <w:rPr>
          <w:rFonts w:ascii="Times New Roman" w:hAnsi="Times New Roman"/>
        </w:rPr>
        <w:t>”</w:t>
      </w:r>
    </w:p>
    <w:p w:rsidR="008D3135" w:rsidRPr="00521FBA" w:rsidRDefault="008D3135" w:rsidP="000713FD">
      <w:pPr>
        <w:spacing w:line="480" w:lineRule="auto"/>
        <w:jc w:val="both"/>
        <w:rPr>
          <w:rFonts w:ascii="Bookman Old Style" w:hAnsi="Bookman Old Style" w:cs="Arial"/>
        </w:rPr>
      </w:pPr>
    </w:p>
    <w:p w:rsidR="008E376C" w:rsidRPr="00521FBA" w:rsidRDefault="000713FD" w:rsidP="000713FD">
      <w:pPr>
        <w:spacing w:line="480" w:lineRule="auto"/>
        <w:jc w:val="both"/>
        <w:rPr>
          <w:rFonts w:ascii="Bookman Old Style" w:hAnsi="Bookman Old Style" w:cs="Arial"/>
        </w:rPr>
      </w:pPr>
      <w:r w:rsidRPr="00521FBA">
        <w:rPr>
          <w:rFonts w:ascii="Bookman Old Style" w:hAnsi="Bookman Old Style" w:cs="Arial"/>
        </w:rPr>
        <w:t>[4]</w:t>
      </w:r>
      <w:r w:rsidRPr="00521FBA">
        <w:rPr>
          <w:rFonts w:ascii="Bookman Old Style" w:hAnsi="Bookman Old Style" w:cs="Arial"/>
        </w:rPr>
        <w:tab/>
        <w:t>On</w:t>
      </w:r>
      <w:r w:rsidR="008E376C" w:rsidRPr="00521FBA">
        <w:rPr>
          <w:rFonts w:ascii="Bookman Old Style" w:hAnsi="Bookman Old Style" w:cs="Arial"/>
        </w:rPr>
        <w:t xml:space="preserve"> </w:t>
      </w:r>
      <w:r w:rsidRPr="00521FBA">
        <w:rPr>
          <w:rFonts w:ascii="Bookman Old Style" w:hAnsi="Bookman Old Style" w:cs="Arial"/>
        </w:rPr>
        <w:t xml:space="preserve">05 February 2010 the second respondent </w:t>
      </w:r>
      <w:r w:rsidR="008554C6" w:rsidRPr="00521FBA">
        <w:rPr>
          <w:rFonts w:ascii="Bookman Old Style" w:hAnsi="Bookman Old Style" w:cs="Arial"/>
        </w:rPr>
        <w:t>made an</w:t>
      </w:r>
      <w:r w:rsidR="008E376C" w:rsidRPr="00521FBA">
        <w:rPr>
          <w:rFonts w:ascii="Bookman Old Style" w:hAnsi="Bookman Old Style" w:cs="Arial"/>
        </w:rPr>
        <w:t xml:space="preserve"> award in favour of the first respondent and ordered the appellant to pay to the first r</w:t>
      </w:r>
      <w:r w:rsidR="008554C6" w:rsidRPr="00521FBA">
        <w:rPr>
          <w:rFonts w:ascii="Bookman Old Style" w:hAnsi="Bookman Old Style" w:cs="Arial"/>
        </w:rPr>
        <w:t>espondent a amount of N$ 19 900</w:t>
      </w:r>
      <w:r w:rsidR="008E376C" w:rsidRPr="00521FBA">
        <w:rPr>
          <w:rFonts w:ascii="Bookman Old Style" w:hAnsi="Bookman Old Style" w:cs="Arial"/>
        </w:rPr>
        <w:t>-00</w:t>
      </w:r>
      <w:r w:rsidR="008E376C" w:rsidRPr="00521FBA">
        <w:rPr>
          <w:rFonts w:ascii="Bookman Old Style" w:hAnsi="Bookman Old Style" w:cs="Arial"/>
          <w:b/>
        </w:rPr>
        <w:t xml:space="preserve"> </w:t>
      </w:r>
      <w:r w:rsidR="008554C6" w:rsidRPr="00521FBA">
        <w:rPr>
          <w:rFonts w:ascii="Bookman Old Style" w:hAnsi="Bookman Old Style" w:cs="Arial"/>
        </w:rPr>
        <w:t>together with N$ 4 846-</w:t>
      </w:r>
      <w:r w:rsidR="008E376C" w:rsidRPr="00521FBA">
        <w:rPr>
          <w:rFonts w:ascii="Bookman Old Style" w:hAnsi="Bookman Old Style" w:cs="Arial"/>
        </w:rPr>
        <w:t>52 and N$ 14 000-00</w:t>
      </w:r>
      <w:r w:rsidR="0064614E">
        <w:rPr>
          <w:rFonts w:ascii="Bookman Old Style" w:hAnsi="Bookman Old Style" w:cs="Arial"/>
        </w:rPr>
        <w:t>.</w:t>
      </w:r>
    </w:p>
    <w:p w:rsidR="008E376C" w:rsidRPr="00521FBA" w:rsidRDefault="008E376C" w:rsidP="000713FD">
      <w:pPr>
        <w:spacing w:line="480" w:lineRule="auto"/>
        <w:jc w:val="both"/>
        <w:rPr>
          <w:rFonts w:ascii="Bookman Old Style" w:hAnsi="Bookman Old Style" w:cs="Arial"/>
        </w:rPr>
      </w:pPr>
    </w:p>
    <w:p w:rsidR="00803162" w:rsidRPr="00521FBA" w:rsidRDefault="008E376C" w:rsidP="000713FD">
      <w:pPr>
        <w:spacing w:line="480" w:lineRule="auto"/>
        <w:jc w:val="both"/>
        <w:rPr>
          <w:rFonts w:ascii="Bookman Old Style" w:hAnsi="Bookman Old Style" w:cs="Arial"/>
        </w:rPr>
      </w:pPr>
      <w:r w:rsidRPr="00521FBA">
        <w:rPr>
          <w:rFonts w:ascii="Bookman Old Style" w:hAnsi="Bookman Old Style" w:cs="Arial"/>
        </w:rPr>
        <w:lastRenderedPageBreak/>
        <w:t>[5]</w:t>
      </w:r>
      <w:r w:rsidRPr="00521FBA">
        <w:rPr>
          <w:rFonts w:ascii="Bookman Old Style" w:hAnsi="Bookman Old Style" w:cs="Arial"/>
        </w:rPr>
        <w:tab/>
        <w:t>The appellant now appeals against the orders made by the second respondent</w:t>
      </w:r>
      <w:r w:rsidR="008238B2" w:rsidRPr="00521FBA">
        <w:rPr>
          <w:rFonts w:ascii="Bookman Old Style" w:hAnsi="Bookman Old Style" w:cs="Arial"/>
        </w:rPr>
        <w:t>, the notice of appeal states that</w:t>
      </w:r>
      <w:r w:rsidRPr="00521FBA">
        <w:rPr>
          <w:rFonts w:ascii="Bookman Old Style" w:hAnsi="Bookman Old Style" w:cs="Arial"/>
        </w:rPr>
        <w:t xml:space="preserve"> </w:t>
      </w:r>
      <w:r w:rsidR="008238B2" w:rsidRPr="00521FBA">
        <w:rPr>
          <w:rFonts w:ascii="Bookman Old Style" w:hAnsi="Bookman Old Style" w:cs="Arial"/>
        </w:rPr>
        <w:t>the appellant intends to appeal against the whole of the award of second respondent made on or about the 4</w:t>
      </w:r>
      <w:r w:rsidR="008238B2" w:rsidRPr="00521FBA">
        <w:rPr>
          <w:rFonts w:ascii="Bookman Old Style" w:hAnsi="Bookman Old Style" w:cs="Arial"/>
          <w:vertAlign w:val="superscript"/>
        </w:rPr>
        <w:t>th</w:t>
      </w:r>
      <w:r w:rsidR="008238B2" w:rsidRPr="00521FBA">
        <w:rPr>
          <w:rFonts w:ascii="Bookman Old Style" w:hAnsi="Bookman Old Style" w:cs="Arial"/>
        </w:rPr>
        <w:t xml:space="preserve"> of February 2010</w:t>
      </w:r>
      <w:r w:rsidR="0064614E">
        <w:rPr>
          <w:rFonts w:ascii="Bookman Old Style" w:hAnsi="Bookman Old Style" w:cs="Arial"/>
        </w:rPr>
        <w:t xml:space="preserve"> alternatively the 05 February 2010.</w:t>
      </w:r>
    </w:p>
    <w:p w:rsidR="00803162" w:rsidRPr="00521FBA" w:rsidRDefault="00803162" w:rsidP="000713FD">
      <w:pPr>
        <w:spacing w:line="480" w:lineRule="auto"/>
        <w:jc w:val="both"/>
        <w:rPr>
          <w:rFonts w:ascii="Bookman Old Style" w:hAnsi="Bookman Old Style" w:cs="Arial"/>
        </w:rPr>
      </w:pPr>
    </w:p>
    <w:p w:rsidR="008238B2" w:rsidRPr="00521FBA" w:rsidRDefault="008238B2" w:rsidP="008238B2">
      <w:pPr>
        <w:spacing w:line="480" w:lineRule="auto"/>
        <w:jc w:val="both"/>
        <w:rPr>
          <w:rFonts w:ascii="Bookman Old Style" w:hAnsi="Bookman Old Style"/>
        </w:rPr>
      </w:pPr>
      <w:r w:rsidRPr="00521FBA">
        <w:rPr>
          <w:rFonts w:ascii="Bookman Old Style" w:hAnsi="Bookman Old Style" w:cs="Arial"/>
        </w:rPr>
        <w:t>[6]</w:t>
      </w:r>
      <w:r w:rsidRPr="00521FBA">
        <w:rPr>
          <w:rFonts w:ascii="Bookman Old Style" w:hAnsi="Bookman Old Style" w:cs="Arial"/>
        </w:rPr>
        <w:tab/>
        <w:t xml:space="preserve">Section 89 (1) (a) of the Act restricts an appellant’s right to appeal to this court against an arbitrator’s award made in terms of section 86, to questions of </w:t>
      </w:r>
      <w:r w:rsidRPr="00521FBA">
        <w:rPr>
          <w:rFonts w:ascii="Bookman Old Style" w:hAnsi="Bookman Old Style" w:cs="Arial"/>
          <w:i/>
        </w:rPr>
        <w:t>law only.</w:t>
      </w:r>
      <w:r w:rsidRPr="00521FBA">
        <w:rPr>
          <w:rFonts w:ascii="Bookman Old Style" w:hAnsi="Bookman Old Style"/>
        </w:rPr>
        <w:t xml:space="preserve"> Section 89</w:t>
      </w:r>
      <w:r w:rsidR="00BB39FF">
        <w:rPr>
          <w:rFonts w:ascii="Bookman Old Style" w:hAnsi="Bookman Old Style"/>
        </w:rPr>
        <w:t>(1)(a)</w:t>
      </w:r>
      <w:r w:rsidRPr="00521FBA">
        <w:rPr>
          <w:rFonts w:ascii="Bookman Old Style" w:hAnsi="Bookman Old Style"/>
        </w:rPr>
        <w:t xml:space="preserve"> of the Act, 2007 in material part provides as follows: </w:t>
      </w:r>
    </w:p>
    <w:p w:rsidR="008238B2" w:rsidRPr="002B17C5" w:rsidRDefault="008238B2" w:rsidP="008238B2">
      <w:pPr>
        <w:pStyle w:val="Default"/>
        <w:tabs>
          <w:tab w:val="left" w:pos="900"/>
        </w:tabs>
        <w:spacing w:line="360" w:lineRule="auto"/>
        <w:jc w:val="both"/>
        <w:rPr>
          <w:rFonts w:ascii="Times New Roman" w:hAnsi="Times New Roman" w:cs="Times New Roman"/>
          <w:sz w:val="22"/>
          <w:szCs w:val="22"/>
        </w:rPr>
      </w:pPr>
      <w:r w:rsidRPr="002B17C5">
        <w:rPr>
          <w:rFonts w:ascii="Times New Roman" w:hAnsi="Times New Roman" w:cs="Times New Roman"/>
          <w:sz w:val="22"/>
          <w:szCs w:val="22"/>
        </w:rPr>
        <w:t>“89</w:t>
      </w:r>
      <w:r>
        <w:rPr>
          <w:rFonts w:ascii="Times New Roman" w:hAnsi="Times New Roman" w:cs="Times New Roman"/>
          <w:sz w:val="22"/>
          <w:szCs w:val="22"/>
        </w:rPr>
        <w:tab/>
      </w:r>
      <w:r w:rsidRPr="002B17C5">
        <w:rPr>
          <w:rFonts w:ascii="Times New Roman" w:hAnsi="Times New Roman" w:cs="Times New Roman"/>
          <w:sz w:val="22"/>
          <w:szCs w:val="22"/>
        </w:rPr>
        <w:t>(1)</w:t>
      </w:r>
      <w:r>
        <w:rPr>
          <w:rFonts w:ascii="Times New Roman" w:hAnsi="Times New Roman" w:cs="Times New Roman"/>
          <w:sz w:val="22"/>
          <w:szCs w:val="22"/>
        </w:rPr>
        <w:tab/>
      </w:r>
      <w:r w:rsidRPr="002B17C5">
        <w:rPr>
          <w:rFonts w:ascii="Times New Roman" w:hAnsi="Times New Roman" w:cs="Times New Roman"/>
          <w:sz w:val="22"/>
          <w:szCs w:val="22"/>
        </w:rPr>
        <w:t xml:space="preserve">A party to a dispute may appeal to the Labour Court against an Arbitrator’s award in terms of Section 86- </w:t>
      </w:r>
    </w:p>
    <w:p w:rsidR="008238B2" w:rsidRPr="002B17C5" w:rsidRDefault="008238B2" w:rsidP="008238B2">
      <w:pPr>
        <w:pStyle w:val="Default"/>
        <w:tabs>
          <w:tab w:val="left" w:pos="1440"/>
        </w:tabs>
        <w:spacing w:line="360" w:lineRule="auto"/>
        <w:ind w:firstLine="851"/>
        <w:jc w:val="both"/>
        <w:rPr>
          <w:rFonts w:ascii="Times New Roman" w:hAnsi="Times New Roman" w:cs="Times New Roman"/>
          <w:sz w:val="22"/>
          <w:szCs w:val="22"/>
        </w:rPr>
      </w:pPr>
      <w:r w:rsidRPr="002B17C5">
        <w:rPr>
          <w:rFonts w:ascii="Times New Roman" w:hAnsi="Times New Roman" w:cs="Times New Roman"/>
          <w:sz w:val="22"/>
          <w:szCs w:val="22"/>
        </w:rPr>
        <w:t>(a)</w:t>
      </w:r>
      <w:r w:rsidRPr="002B17C5">
        <w:rPr>
          <w:rFonts w:ascii="Times New Roman" w:hAnsi="Times New Roman" w:cs="Times New Roman"/>
          <w:sz w:val="22"/>
          <w:szCs w:val="22"/>
        </w:rPr>
        <w:tab/>
        <w:t xml:space="preserve">on any question of law alone; or </w:t>
      </w:r>
    </w:p>
    <w:p w:rsidR="008238B2" w:rsidRPr="002B17C5" w:rsidRDefault="008238B2" w:rsidP="008238B2">
      <w:pPr>
        <w:tabs>
          <w:tab w:val="left" w:pos="1440"/>
        </w:tabs>
        <w:spacing w:line="360" w:lineRule="auto"/>
        <w:ind w:left="1418" w:hanging="540"/>
        <w:jc w:val="both"/>
        <w:rPr>
          <w:rFonts w:ascii="Times New Roman" w:hAnsi="Times New Roman"/>
          <w:sz w:val="22"/>
          <w:szCs w:val="22"/>
        </w:rPr>
      </w:pPr>
      <w:r w:rsidRPr="002B17C5">
        <w:rPr>
          <w:rFonts w:ascii="Times New Roman" w:hAnsi="Times New Roman"/>
          <w:sz w:val="22"/>
          <w:szCs w:val="22"/>
        </w:rPr>
        <w:t>(b)</w:t>
      </w:r>
      <w:r w:rsidRPr="002B17C5">
        <w:rPr>
          <w:rFonts w:ascii="Times New Roman" w:hAnsi="Times New Roman"/>
          <w:sz w:val="22"/>
          <w:szCs w:val="22"/>
        </w:rPr>
        <w:tab/>
        <w:t>in the case of award in a dispute initially referred to the Labour Commissioner in terms of Section 7 (1) (a) on question of fact, law or mixed fact and law”.</w:t>
      </w:r>
    </w:p>
    <w:p w:rsidR="008238B2" w:rsidRPr="002B17C5" w:rsidRDefault="008238B2" w:rsidP="008238B2">
      <w:pPr>
        <w:tabs>
          <w:tab w:val="left" w:pos="720"/>
        </w:tabs>
        <w:spacing w:line="360" w:lineRule="auto"/>
        <w:jc w:val="both"/>
        <w:rPr>
          <w:rFonts w:ascii="Times New Roman" w:hAnsi="Times New Roman"/>
          <w:sz w:val="22"/>
          <w:szCs w:val="22"/>
        </w:rPr>
      </w:pPr>
    </w:p>
    <w:p w:rsidR="008238B2" w:rsidRPr="00D009F2" w:rsidRDefault="008238B2" w:rsidP="00D009F2">
      <w:pPr>
        <w:pStyle w:val="Default"/>
        <w:spacing w:line="480" w:lineRule="auto"/>
        <w:jc w:val="both"/>
        <w:rPr>
          <w:bCs/>
        </w:rPr>
      </w:pPr>
      <w:r w:rsidRPr="00270D2A">
        <w:rPr>
          <w:bCs/>
        </w:rPr>
        <w:t>[7]</w:t>
      </w:r>
      <w:r w:rsidRPr="00270D2A">
        <w:rPr>
          <w:bCs/>
        </w:rPr>
        <w:tab/>
      </w:r>
      <w:r w:rsidR="00D009F2" w:rsidRPr="00D009F2">
        <w:rPr>
          <w:bCs/>
        </w:rPr>
        <w:t xml:space="preserve">The provisions of section 89 of the Act were considered by this Court in the </w:t>
      </w:r>
      <w:r w:rsidR="00D009F2">
        <w:rPr>
          <w:bCs/>
        </w:rPr>
        <w:t xml:space="preserve">unreported judgment </w:t>
      </w:r>
      <w:r w:rsidR="00D009F2" w:rsidRPr="00D009F2">
        <w:rPr>
          <w:bCs/>
        </w:rPr>
        <w:t xml:space="preserve">of </w:t>
      </w:r>
      <w:r w:rsidR="00D009F2" w:rsidRPr="00D009F2">
        <w:rPr>
          <w:b/>
          <w:bCs/>
          <w:i/>
        </w:rPr>
        <w:t xml:space="preserve">Shoprite Namibia (Pty) Ltd Appellant </w:t>
      </w:r>
      <w:r w:rsidR="00D009F2" w:rsidRPr="00D009F2">
        <w:rPr>
          <w:b/>
          <w:i/>
        </w:rPr>
        <w:t>v</w:t>
      </w:r>
      <w:r w:rsidR="00D009F2" w:rsidRPr="00D009F2">
        <w:rPr>
          <w:i/>
        </w:rPr>
        <w:t xml:space="preserve"> </w:t>
      </w:r>
      <w:r w:rsidR="00D009F2" w:rsidRPr="00D009F2">
        <w:rPr>
          <w:b/>
          <w:bCs/>
          <w:i/>
        </w:rPr>
        <w:t>Faustino Moises Paulo</w:t>
      </w:r>
      <w:r w:rsidR="00521FBA">
        <w:rPr>
          <w:b/>
          <w:bCs/>
          <w:i/>
        </w:rPr>
        <w:t xml:space="preserve">: </w:t>
      </w:r>
      <w:r w:rsidR="00D009F2" w:rsidRPr="00D009F2">
        <w:rPr>
          <w:b/>
          <w:bCs/>
          <w:i/>
        </w:rPr>
        <w:t xml:space="preserve"> </w:t>
      </w:r>
      <w:r w:rsidR="00D009F2" w:rsidRPr="00D009F2">
        <w:rPr>
          <w:b/>
          <w:bCs/>
        </w:rPr>
        <w:t>Case No.: L</w:t>
      </w:r>
      <w:r w:rsidR="00D009F2">
        <w:rPr>
          <w:b/>
          <w:bCs/>
        </w:rPr>
        <w:t>CA</w:t>
      </w:r>
      <w:r w:rsidR="00D009F2" w:rsidRPr="00D009F2">
        <w:rPr>
          <w:b/>
          <w:bCs/>
        </w:rPr>
        <w:t xml:space="preserve"> 02/2010</w:t>
      </w:r>
      <w:r w:rsidR="00521FBA">
        <w:rPr>
          <w:b/>
          <w:bCs/>
        </w:rPr>
        <w:t xml:space="preserve"> </w:t>
      </w:r>
      <w:r w:rsidR="00521FBA" w:rsidRPr="00521FBA">
        <w:rPr>
          <w:bCs/>
        </w:rPr>
        <w:t>where</w:t>
      </w:r>
      <w:r w:rsidR="00521FBA">
        <w:rPr>
          <w:bCs/>
        </w:rPr>
        <w:t xml:space="preserve"> Parker J said:</w:t>
      </w:r>
      <w:r w:rsidR="00521FBA" w:rsidRPr="00521FBA">
        <w:rPr>
          <w:bCs/>
        </w:rPr>
        <w:t xml:space="preserve"> </w:t>
      </w:r>
      <w:r w:rsidR="00D009F2" w:rsidRPr="00521FBA">
        <w:rPr>
          <w:bCs/>
        </w:rPr>
        <w:t xml:space="preserve"> </w:t>
      </w:r>
    </w:p>
    <w:p w:rsidR="008238B2" w:rsidRDefault="00521FBA" w:rsidP="00521FBA">
      <w:pPr>
        <w:autoSpaceDE w:val="0"/>
        <w:autoSpaceDN w:val="0"/>
        <w:adjustRightInd w:val="0"/>
        <w:spacing w:line="360" w:lineRule="auto"/>
        <w:ind w:left="284"/>
        <w:jc w:val="both"/>
        <w:rPr>
          <w:sz w:val="23"/>
          <w:szCs w:val="23"/>
        </w:rPr>
      </w:pPr>
      <w:r>
        <w:rPr>
          <w:rFonts w:ascii="Times New Roman" w:hAnsi="Times New Roman"/>
        </w:rPr>
        <w:t>“</w:t>
      </w:r>
      <w:r w:rsidR="00D009F2" w:rsidRPr="00D009F2">
        <w:rPr>
          <w:rFonts w:ascii="Times New Roman" w:hAnsi="Times New Roman"/>
        </w:rPr>
        <w:t>The predicative adjective ‘alone’ qualifying ‘law’ means ‘without others present’. (</w:t>
      </w:r>
      <w:r w:rsidR="00D009F2" w:rsidRPr="00D009F2">
        <w:rPr>
          <w:rFonts w:ascii="Times New Roman" w:hAnsi="Times New Roman"/>
          <w:i/>
          <w:iCs/>
        </w:rPr>
        <w:t>Concise Oxford Dictionary</w:t>
      </w:r>
      <w:r w:rsidR="00D009F2" w:rsidRPr="00D009F2">
        <w:rPr>
          <w:rFonts w:ascii="Times New Roman" w:hAnsi="Times New Roman"/>
        </w:rPr>
        <w:t>, 10th edn) Accordingly, the interpretation and application of s. 89 (1) (a) lead indubitably to the conclusion that this Court is entitled to hear an appeal on a question of law alone if the matter, as in the instant case, does not fall under s. 89 (1) (b). A ‘question of law alone’ means a question of law alone without anything else present, e.g. opinion or fact. It is trite that a notice of appeal must specify the grounds of the appeal and the notice must be carefully framed, for an appellant has no right in the hearing of an appeal to rely on any grounds of appeal not specified in the notice of appeal. In this regard it has also been said that precision in specifying grounds of appeal is ‘not a matter of form but a matter of substance … necessary to enable appeals to be justly disposed of (</w:t>
      </w:r>
      <w:r w:rsidR="00D009F2" w:rsidRPr="00D009F2">
        <w:rPr>
          <w:rFonts w:ascii="Times New Roman" w:hAnsi="Times New Roman"/>
          <w:i/>
          <w:iCs/>
        </w:rPr>
        <w:t xml:space="preserve">Johnson v Johnson </w:t>
      </w:r>
      <w:r w:rsidR="00D009F2" w:rsidRPr="00D009F2">
        <w:rPr>
          <w:rFonts w:ascii="Times New Roman" w:hAnsi="Times New Roman"/>
        </w:rPr>
        <w:t xml:space="preserve">[1969] 1 W.L.R. 1044 at 1046 </w:t>
      </w:r>
      <w:r w:rsidR="00D009F2" w:rsidRPr="00D009F2">
        <w:rPr>
          <w:rFonts w:ascii="Times New Roman" w:hAnsi="Times New Roman"/>
          <w:i/>
          <w:iCs/>
        </w:rPr>
        <w:t xml:space="preserve">per </w:t>
      </w:r>
      <w:r w:rsidR="00D009F2" w:rsidRPr="00D009F2">
        <w:rPr>
          <w:rFonts w:ascii="Times New Roman" w:hAnsi="Times New Roman"/>
        </w:rPr>
        <w:t>Brandon J).</w:t>
      </w:r>
      <w:r w:rsidR="00D009F2">
        <w:rPr>
          <w:sz w:val="23"/>
          <w:szCs w:val="23"/>
        </w:rPr>
        <w:t>’</w:t>
      </w:r>
    </w:p>
    <w:p w:rsidR="00521FBA" w:rsidRPr="00270D2A" w:rsidRDefault="00521FBA" w:rsidP="00521FBA">
      <w:pPr>
        <w:autoSpaceDE w:val="0"/>
        <w:autoSpaceDN w:val="0"/>
        <w:adjustRightInd w:val="0"/>
        <w:spacing w:line="360" w:lineRule="auto"/>
        <w:ind w:left="284"/>
        <w:jc w:val="both"/>
        <w:rPr>
          <w:rFonts w:ascii="Bookman Old Style" w:hAnsi="Bookman Old Style"/>
          <w:lang w:val="en-US"/>
        </w:rPr>
      </w:pPr>
    </w:p>
    <w:p w:rsidR="00562453" w:rsidRDefault="008238B2" w:rsidP="00521FBA">
      <w:pPr>
        <w:tabs>
          <w:tab w:val="left" w:pos="720"/>
          <w:tab w:val="left" w:pos="1440"/>
        </w:tabs>
        <w:spacing w:line="480" w:lineRule="auto"/>
        <w:jc w:val="both"/>
        <w:rPr>
          <w:rFonts w:ascii="Bookman Old Style" w:hAnsi="Bookman Old Style"/>
        </w:rPr>
      </w:pPr>
      <w:r w:rsidRPr="00270D2A">
        <w:rPr>
          <w:rFonts w:ascii="Bookman Old Style" w:hAnsi="Bookman Old Style"/>
          <w:lang w:val="en-US"/>
        </w:rPr>
        <w:lastRenderedPageBreak/>
        <w:t>[8]</w:t>
      </w:r>
      <w:r w:rsidRPr="00270D2A">
        <w:rPr>
          <w:rFonts w:ascii="Bookman Old Style" w:hAnsi="Bookman Old Style"/>
          <w:lang w:val="en-US"/>
        </w:rPr>
        <w:tab/>
      </w:r>
      <w:r w:rsidR="00521FBA">
        <w:rPr>
          <w:rFonts w:ascii="Bookman Old Style" w:hAnsi="Bookman Old Style"/>
          <w:lang w:val="en-US"/>
        </w:rPr>
        <w:t>It thus follows that in so far as the Notice of Appeal purports to appeal against the whole of the arbitration award it is defective. I am, however</w:t>
      </w:r>
      <w:r w:rsidR="0064614E">
        <w:rPr>
          <w:rFonts w:ascii="Bookman Old Style" w:hAnsi="Bookman Old Style"/>
          <w:lang w:val="en-US"/>
        </w:rPr>
        <w:t>,</w:t>
      </w:r>
      <w:r w:rsidR="00521FBA">
        <w:rPr>
          <w:rFonts w:ascii="Bookman Old Style" w:hAnsi="Bookman Old Style"/>
          <w:lang w:val="en-US"/>
        </w:rPr>
        <w:t xml:space="preserve"> of the view that the defect is ameliorated by the fact that the appellant tabulates the different grounds on which the appeal is based. </w:t>
      </w:r>
      <w:r>
        <w:rPr>
          <w:rFonts w:ascii="Bookman Old Style" w:hAnsi="Bookman Old Style"/>
          <w:lang w:val="en-US"/>
        </w:rPr>
        <w:t>T</w:t>
      </w:r>
      <w:r w:rsidRPr="00270D2A">
        <w:rPr>
          <w:rFonts w:ascii="Bookman Old Style" w:hAnsi="Bookman Old Style"/>
        </w:rPr>
        <w:t xml:space="preserve">he question </w:t>
      </w:r>
      <w:r w:rsidR="00521FBA">
        <w:rPr>
          <w:rFonts w:ascii="Bookman Old Style" w:hAnsi="Bookman Old Style"/>
        </w:rPr>
        <w:t xml:space="preserve">which thus needs to be answered is </w:t>
      </w:r>
      <w:r w:rsidR="00562453">
        <w:rPr>
          <w:rFonts w:ascii="Bookman Old Style" w:hAnsi="Bookman Old Style"/>
        </w:rPr>
        <w:t xml:space="preserve">thus </w:t>
      </w:r>
      <w:r w:rsidR="00521FBA">
        <w:rPr>
          <w:rFonts w:ascii="Bookman Old Style" w:hAnsi="Bookman Old Style"/>
        </w:rPr>
        <w:t xml:space="preserve">whether </w:t>
      </w:r>
      <w:r w:rsidR="00562453">
        <w:rPr>
          <w:rFonts w:ascii="Bookman Old Style" w:hAnsi="Bookman Old Style"/>
        </w:rPr>
        <w:t>each ground of appeal is within the ambit of s</w:t>
      </w:r>
      <w:r w:rsidRPr="00270D2A">
        <w:rPr>
          <w:rFonts w:ascii="Bookman Old Style" w:hAnsi="Bookman Old Style"/>
        </w:rPr>
        <w:t>ection 89?</w:t>
      </w:r>
      <w:r>
        <w:rPr>
          <w:rFonts w:ascii="Bookman Old Style" w:hAnsi="Bookman Old Style"/>
        </w:rPr>
        <w:t xml:space="preserve"> </w:t>
      </w:r>
      <w:r w:rsidR="00562453">
        <w:rPr>
          <w:rFonts w:ascii="Bookman Old Style" w:hAnsi="Bookman Old Style"/>
        </w:rPr>
        <w:t xml:space="preserve"> </w:t>
      </w:r>
    </w:p>
    <w:p w:rsidR="00562453" w:rsidRDefault="00562453" w:rsidP="00521FBA">
      <w:pPr>
        <w:tabs>
          <w:tab w:val="left" w:pos="720"/>
          <w:tab w:val="left" w:pos="1440"/>
        </w:tabs>
        <w:spacing w:line="480" w:lineRule="auto"/>
        <w:jc w:val="both"/>
        <w:rPr>
          <w:rFonts w:ascii="Bookman Old Style" w:hAnsi="Bookman Old Style"/>
        </w:rPr>
      </w:pPr>
    </w:p>
    <w:p w:rsidR="008238B2" w:rsidRPr="00562453" w:rsidRDefault="00562453" w:rsidP="00521FBA">
      <w:pPr>
        <w:tabs>
          <w:tab w:val="left" w:pos="720"/>
          <w:tab w:val="left" w:pos="1440"/>
        </w:tabs>
        <w:spacing w:line="480" w:lineRule="auto"/>
        <w:jc w:val="both"/>
        <w:rPr>
          <w:rFonts w:ascii="Bookman Old Style" w:hAnsi="Bookman Old Style"/>
          <w:b/>
        </w:rPr>
      </w:pPr>
      <w:r w:rsidRPr="00562453">
        <w:rPr>
          <w:rFonts w:ascii="Bookman Old Style" w:hAnsi="Bookman Old Style"/>
          <w:b/>
        </w:rPr>
        <w:t xml:space="preserve">CONSIDERATION OF THE DIFFERENT GROUNDS OF APPEAL </w:t>
      </w:r>
    </w:p>
    <w:p w:rsidR="00562453" w:rsidRPr="00E22BDD" w:rsidRDefault="00562453" w:rsidP="00521FBA">
      <w:pPr>
        <w:tabs>
          <w:tab w:val="left" w:pos="720"/>
          <w:tab w:val="left" w:pos="1440"/>
        </w:tabs>
        <w:spacing w:line="480" w:lineRule="auto"/>
        <w:jc w:val="both"/>
        <w:rPr>
          <w:rFonts w:ascii="Bookman Old Style" w:hAnsi="Bookman Old Style"/>
          <w:b/>
          <w:i/>
        </w:rPr>
      </w:pPr>
      <w:r w:rsidRPr="00E22BDD">
        <w:rPr>
          <w:rFonts w:ascii="Bookman Old Style" w:hAnsi="Bookman Old Style"/>
          <w:b/>
          <w:i/>
        </w:rPr>
        <w:t>First ground of Appeal</w:t>
      </w:r>
    </w:p>
    <w:p w:rsidR="00C236BE" w:rsidRDefault="00562453" w:rsidP="00C236BE">
      <w:pPr>
        <w:spacing w:line="480" w:lineRule="auto"/>
        <w:jc w:val="both"/>
        <w:rPr>
          <w:rFonts w:ascii="Bookman Old Style" w:hAnsi="Bookman Old Style"/>
        </w:rPr>
      </w:pPr>
      <w:r>
        <w:rPr>
          <w:rFonts w:ascii="Bookman Old Style" w:hAnsi="Bookman Old Style" w:cs="Arial"/>
        </w:rPr>
        <w:t>[9]</w:t>
      </w:r>
      <w:r>
        <w:rPr>
          <w:rFonts w:ascii="Bookman Old Style" w:hAnsi="Bookman Old Style" w:cs="Arial"/>
        </w:rPr>
        <w:tab/>
      </w:r>
      <w:r w:rsidR="00E66DCC">
        <w:rPr>
          <w:rFonts w:ascii="Bookman Old Style" w:hAnsi="Bookman Old Style" w:cs="Arial"/>
        </w:rPr>
        <w:t>The first ground of appeal is formulated as follows: “</w:t>
      </w:r>
      <w:r w:rsidR="009163D5" w:rsidRPr="00562453">
        <w:rPr>
          <w:rFonts w:ascii="Bookman Old Style" w:hAnsi="Bookman Old Style"/>
        </w:rPr>
        <w:t>Whether or not, on the basis of the exhibits and all other relevant facts, first respondent was employed by appellant?</w:t>
      </w:r>
      <w:r w:rsidR="00C236BE">
        <w:rPr>
          <w:rFonts w:ascii="Bookman Old Style" w:hAnsi="Bookman Old Style"/>
        </w:rPr>
        <w:t xml:space="preserve">”  Miss Van der Merwe who appeared for the appellant argued that the first respondent bore the </w:t>
      </w:r>
      <w:r w:rsidR="00C236BE" w:rsidRPr="0064614E">
        <w:rPr>
          <w:rFonts w:ascii="Bookman Old Style" w:hAnsi="Bookman Old Style"/>
          <w:i/>
        </w:rPr>
        <w:t>onus</w:t>
      </w:r>
      <w:r w:rsidR="00C236BE">
        <w:rPr>
          <w:rFonts w:ascii="Bookman Old Style" w:hAnsi="Bookman Old Style"/>
        </w:rPr>
        <w:t xml:space="preserve"> to prove that he was an employee of the appellant. She further argues that there is no evidence on record that the first respondent performed duties for the appellant, therefore there is no evidence on record that the respondent was employed by the appellant.</w:t>
      </w:r>
    </w:p>
    <w:p w:rsidR="009163D5" w:rsidRDefault="009163D5" w:rsidP="00C236BE">
      <w:pPr>
        <w:spacing w:line="480" w:lineRule="auto"/>
        <w:jc w:val="both"/>
        <w:rPr>
          <w:rFonts w:ascii="Times New Roman" w:hAnsi="Times New Roman"/>
        </w:rPr>
      </w:pPr>
    </w:p>
    <w:p w:rsidR="002D43D1" w:rsidRDefault="00C236BE" w:rsidP="00C236BE">
      <w:pPr>
        <w:spacing w:line="480" w:lineRule="auto"/>
        <w:jc w:val="both"/>
        <w:rPr>
          <w:rFonts w:ascii="Bookman Old Style" w:hAnsi="Bookman Old Style"/>
        </w:rPr>
      </w:pPr>
      <w:r w:rsidRPr="00C236BE">
        <w:rPr>
          <w:rFonts w:ascii="Bookman Old Style" w:hAnsi="Bookman Old Style"/>
        </w:rPr>
        <w:t>[10]</w:t>
      </w:r>
      <w:r>
        <w:rPr>
          <w:rFonts w:ascii="Bookman Old Style" w:hAnsi="Bookman Old Style"/>
        </w:rPr>
        <w:tab/>
      </w:r>
      <w:r w:rsidR="002D43D1">
        <w:rPr>
          <w:rFonts w:ascii="Bookman Old Style" w:hAnsi="Bookman Old Style"/>
        </w:rPr>
        <w:t>In considering whether an appeal is on a question of law or fact O</w:t>
      </w:r>
      <w:r w:rsidR="00E66DCC">
        <w:rPr>
          <w:rFonts w:ascii="Bookman Old Style" w:hAnsi="Bookman Old Style"/>
        </w:rPr>
        <w:t>’</w:t>
      </w:r>
      <w:r w:rsidR="002D43D1">
        <w:rPr>
          <w:rFonts w:ascii="Bookman Old Style" w:hAnsi="Bookman Old Style"/>
        </w:rPr>
        <w:t>Linn J (As he then was) said</w:t>
      </w:r>
      <w:r w:rsidR="00E66DCC">
        <w:rPr>
          <w:rFonts w:ascii="Bookman Old Style" w:hAnsi="Bookman Old Style"/>
        </w:rPr>
        <w:t xml:space="preserve"> in</w:t>
      </w:r>
      <w:r w:rsidR="00E66DCC" w:rsidRPr="00E66DCC">
        <w:t xml:space="preserve"> </w:t>
      </w:r>
      <w:r w:rsidR="00E66DCC">
        <w:rPr>
          <w:rFonts w:ascii="Bookman Old Style" w:hAnsi="Bookman Old Style"/>
          <w:b/>
          <w:i/>
        </w:rPr>
        <w:t>Pr</w:t>
      </w:r>
      <w:r w:rsidR="00E66DCC" w:rsidRPr="00E66DCC">
        <w:rPr>
          <w:rFonts w:ascii="Bookman Old Style" w:hAnsi="Bookman Old Style"/>
          <w:b/>
          <w:i/>
        </w:rPr>
        <w:t xml:space="preserve">esident </w:t>
      </w:r>
      <w:r w:rsidR="00E66DCC">
        <w:rPr>
          <w:rFonts w:ascii="Bookman Old Style" w:hAnsi="Bookman Old Style"/>
          <w:b/>
          <w:i/>
        </w:rPr>
        <w:t>o</w:t>
      </w:r>
      <w:r w:rsidR="00E66DCC" w:rsidRPr="00E66DCC">
        <w:rPr>
          <w:rFonts w:ascii="Bookman Old Style" w:hAnsi="Bookman Old Style"/>
          <w:b/>
          <w:i/>
        </w:rPr>
        <w:t xml:space="preserve">f </w:t>
      </w:r>
      <w:r w:rsidR="00E66DCC">
        <w:rPr>
          <w:rFonts w:ascii="Bookman Old Style" w:hAnsi="Bookman Old Style"/>
          <w:b/>
          <w:i/>
        </w:rPr>
        <w:t>t</w:t>
      </w:r>
      <w:r w:rsidR="00E66DCC" w:rsidRPr="00E66DCC">
        <w:rPr>
          <w:rFonts w:ascii="Bookman Old Style" w:hAnsi="Bookman Old Style"/>
          <w:b/>
          <w:i/>
        </w:rPr>
        <w:t xml:space="preserve">he Republic </w:t>
      </w:r>
      <w:r w:rsidR="00E66DCC">
        <w:rPr>
          <w:rFonts w:ascii="Bookman Old Style" w:hAnsi="Bookman Old Style"/>
          <w:b/>
          <w:i/>
        </w:rPr>
        <w:t>o</w:t>
      </w:r>
      <w:r w:rsidR="00E66DCC" w:rsidRPr="00E66DCC">
        <w:rPr>
          <w:rFonts w:ascii="Bookman Old Style" w:hAnsi="Bookman Old Style"/>
          <w:b/>
          <w:i/>
        </w:rPr>
        <w:t xml:space="preserve">f Namibia </w:t>
      </w:r>
      <w:r w:rsidR="00E66DCC">
        <w:rPr>
          <w:rFonts w:ascii="Bookman Old Style" w:hAnsi="Bookman Old Style"/>
          <w:b/>
          <w:i/>
        </w:rPr>
        <w:t>a</w:t>
      </w:r>
      <w:r w:rsidR="00E66DCC" w:rsidRPr="00E66DCC">
        <w:rPr>
          <w:rFonts w:ascii="Bookman Old Style" w:hAnsi="Bookman Old Style"/>
          <w:b/>
          <w:i/>
        </w:rPr>
        <w:t xml:space="preserve">nd Others </w:t>
      </w:r>
      <w:r w:rsidR="00E66DCC">
        <w:rPr>
          <w:rFonts w:ascii="Bookman Old Style" w:hAnsi="Bookman Old Style"/>
          <w:b/>
          <w:i/>
        </w:rPr>
        <w:t>v</w:t>
      </w:r>
      <w:r w:rsidR="00E66DCC" w:rsidRPr="00E66DCC">
        <w:rPr>
          <w:rFonts w:ascii="Bookman Old Style" w:hAnsi="Bookman Old Style"/>
          <w:b/>
          <w:i/>
        </w:rPr>
        <w:t xml:space="preserve"> Vlasiu</w:t>
      </w:r>
      <w:r w:rsidR="00E66DCC" w:rsidRPr="00E66DCC">
        <w:rPr>
          <w:rFonts w:ascii="Bookman Old Style" w:hAnsi="Bookman Old Style"/>
        </w:rPr>
        <w:t xml:space="preserve"> 1996 NR 36 (LC)</w:t>
      </w:r>
      <w:r w:rsidR="00E66DCC">
        <w:rPr>
          <w:rFonts w:ascii="Bookman Old Style" w:hAnsi="Bookman Old Style"/>
        </w:rPr>
        <w:t xml:space="preserve"> at page 43</w:t>
      </w:r>
      <w:r w:rsidR="002D43D1">
        <w:rPr>
          <w:rFonts w:ascii="Bookman Old Style" w:hAnsi="Bookman Old Style"/>
        </w:rPr>
        <w:t>:</w:t>
      </w:r>
    </w:p>
    <w:p w:rsidR="002D43D1" w:rsidRPr="002D43D1" w:rsidRDefault="002D43D1" w:rsidP="002D43D1">
      <w:pPr>
        <w:spacing w:line="360" w:lineRule="auto"/>
        <w:ind w:left="284"/>
        <w:jc w:val="both"/>
        <w:rPr>
          <w:rFonts w:ascii="Times New Roman" w:hAnsi="Times New Roman"/>
        </w:rPr>
      </w:pPr>
      <w:r>
        <w:rPr>
          <w:rFonts w:ascii="Times New Roman" w:hAnsi="Times New Roman"/>
        </w:rPr>
        <w:t>“</w:t>
      </w:r>
      <w:r w:rsidRPr="002D43D1">
        <w:rPr>
          <w:rFonts w:ascii="Times New Roman" w:hAnsi="Times New Roman"/>
        </w:rPr>
        <w:t>It would appear that we are required to determine whether, on the facts found by the Labour Appeal Court, it made the correct decision and order. That is a question of law. If it did then the appeal must fail. If it did not, then this Court may amend or set aside that decision or order or make any other decision or order according to the requirements of the law and fairness.</w:t>
      </w:r>
      <w:r>
        <w:rPr>
          <w:rFonts w:ascii="Times New Roman" w:hAnsi="Times New Roman"/>
        </w:rPr>
        <w:t xml:space="preserve"> </w:t>
      </w:r>
      <w:r w:rsidRPr="002D43D1">
        <w:rPr>
          <w:rFonts w:ascii="Times New Roman" w:hAnsi="Times New Roman"/>
        </w:rPr>
        <w:t xml:space="preserve">It will be convenient therefore to determine the facts which were common cause or not in issue before the Court </w:t>
      </w:r>
      <w:r w:rsidRPr="002D43D1">
        <w:rPr>
          <w:rFonts w:ascii="Times New Roman" w:hAnsi="Times New Roman"/>
          <w:i/>
        </w:rPr>
        <w:t>a quo</w:t>
      </w:r>
      <w:r w:rsidRPr="002D43D1">
        <w:rPr>
          <w:rFonts w:ascii="Times New Roman" w:hAnsi="Times New Roman"/>
        </w:rPr>
        <w:t xml:space="preserve"> and then to determine what relevant </w:t>
      </w:r>
      <w:r w:rsidRPr="002D43D1">
        <w:rPr>
          <w:rFonts w:ascii="Times New Roman" w:hAnsi="Times New Roman"/>
        </w:rPr>
        <w:lastRenderedPageBreak/>
        <w:t>findings of fact were made by that Cour</w:t>
      </w:r>
      <w:r>
        <w:rPr>
          <w:rFonts w:ascii="Times New Roman" w:hAnsi="Times New Roman"/>
        </w:rPr>
        <w:t xml:space="preserve">t. It is upon the basis of </w:t>
      </w:r>
      <w:r w:rsidR="00E66DCC">
        <w:rPr>
          <w:rFonts w:ascii="Times New Roman" w:hAnsi="Times New Roman"/>
        </w:rPr>
        <w:t xml:space="preserve">all </w:t>
      </w:r>
      <w:r w:rsidR="00E66DCC" w:rsidRPr="002D43D1">
        <w:rPr>
          <w:rFonts w:ascii="Times New Roman" w:hAnsi="Times New Roman"/>
        </w:rPr>
        <w:t>those</w:t>
      </w:r>
      <w:r w:rsidRPr="002D43D1">
        <w:rPr>
          <w:rFonts w:ascii="Times New Roman" w:hAnsi="Times New Roman"/>
        </w:rPr>
        <w:t xml:space="preserve"> facts that the correctness or otherwise of the decision and order of the Court </w:t>
      </w:r>
      <w:r w:rsidRPr="002D43D1">
        <w:rPr>
          <w:rFonts w:ascii="Times New Roman" w:hAnsi="Times New Roman"/>
          <w:i/>
        </w:rPr>
        <w:t>a quo</w:t>
      </w:r>
      <w:r w:rsidRPr="002D43D1">
        <w:rPr>
          <w:rFonts w:ascii="Times New Roman" w:hAnsi="Times New Roman"/>
        </w:rPr>
        <w:t xml:space="preserve"> must then be considered.'</w:t>
      </w:r>
      <w:r>
        <w:rPr>
          <w:rFonts w:ascii="Times New Roman" w:hAnsi="Times New Roman"/>
        </w:rPr>
        <w:t xml:space="preserve"> </w:t>
      </w:r>
      <w:r w:rsidRPr="002D43D1">
        <w:rPr>
          <w:rFonts w:ascii="Times New Roman" w:hAnsi="Times New Roman"/>
        </w:rPr>
        <w:t xml:space="preserve">It is clear from this judgment that:  C </w:t>
      </w:r>
    </w:p>
    <w:p w:rsidR="002D43D1" w:rsidRPr="002D43D1" w:rsidRDefault="002D43D1" w:rsidP="002D43D1">
      <w:pPr>
        <w:spacing w:line="360" w:lineRule="auto"/>
        <w:ind w:left="851" w:hanging="567"/>
        <w:jc w:val="both"/>
        <w:rPr>
          <w:rFonts w:ascii="Times New Roman" w:hAnsi="Times New Roman"/>
        </w:rPr>
      </w:pPr>
      <w:r w:rsidRPr="002D43D1">
        <w:rPr>
          <w:rFonts w:ascii="Times New Roman" w:hAnsi="Times New Roman"/>
        </w:rPr>
        <w:t>1.</w:t>
      </w:r>
      <w:r w:rsidRPr="002D43D1">
        <w:rPr>
          <w:rFonts w:ascii="Times New Roman" w:hAnsi="Times New Roman"/>
        </w:rPr>
        <w:tab/>
        <w:t>It was a question of law to determine whether, on the facts found by the Labour Appeal Court, it made the correct decision and order.</w:t>
      </w:r>
    </w:p>
    <w:p w:rsidR="00C236BE" w:rsidRPr="002D43D1" w:rsidRDefault="002D43D1" w:rsidP="002D43D1">
      <w:pPr>
        <w:spacing w:line="360" w:lineRule="auto"/>
        <w:ind w:left="851" w:hanging="567"/>
        <w:jc w:val="both"/>
        <w:rPr>
          <w:rFonts w:ascii="Times New Roman" w:hAnsi="Times New Roman"/>
        </w:rPr>
      </w:pPr>
      <w:r w:rsidRPr="002D43D1">
        <w:rPr>
          <w:rFonts w:ascii="Times New Roman" w:hAnsi="Times New Roman"/>
        </w:rPr>
        <w:t>2.</w:t>
      </w:r>
      <w:r w:rsidRPr="002D43D1">
        <w:rPr>
          <w:rFonts w:ascii="Times New Roman" w:hAnsi="Times New Roman"/>
        </w:rPr>
        <w:tab/>
        <w:t xml:space="preserve">For the purpose of determining such a question of law, the facts as found by the Court from which an appeal is desired, are the facts on which the </w:t>
      </w:r>
      <w:r>
        <w:rPr>
          <w:rFonts w:ascii="Times New Roman" w:hAnsi="Times New Roman"/>
        </w:rPr>
        <w:t>question of law must be argued.</w:t>
      </w:r>
      <w:r w:rsidR="006C6B2F">
        <w:rPr>
          <w:rFonts w:ascii="Times New Roman" w:hAnsi="Times New Roman"/>
        </w:rPr>
        <w:t>”</w:t>
      </w:r>
    </w:p>
    <w:p w:rsidR="008554C6" w:rsidRDefault="008554C6" w:rsidP="00424362">
      <w:pPr>
        <w:spacing w:line="360" w:lineRule="auto"/>
        <w:ind w:left="810"/>
        <w:jc w:val="both"/>
        <w:rPr>
          <w:rFonts w:ascii="Times New Roman" w:hAnsi="Times New Roman"/>
          <w:b/>
        </w:rPr>
      </w:pPr>
    </w:p>
    <w:p w:rsidR="002D43D1" w:rsidRDefault="002D43D1" w:rsidP="002D43D1">
      <w:pPr>
        <w:spacing w:line="480" w:lineRule="auto"/>
        <w:jc w:val="both"/>
        <w:rPr>
          <w:rFonts w:ascii="Bookman Old Style" w:hAnsi="Bookman Old Style"/>
        </w:rPr>
      </w:pPr>
      <w:r w:rsidRPr="002D43D1">
        <w:rPr>
          <w:rFonts w:ascii="Bookman Old Style" w:hAnsi="Bookman Old Style"/>
        </w:rPr>
        <w:t>[1</w:t>
      </w:r>
      <w:r w:rsidR="00E66DCC">
        <w:rPr>
          <w:rFonts w:ascii="Bookman Old Style" w:hAnsi="Bookman Old Style"/>
        </w:rPr>
        <w:t>1</w:t>
      </w:r>
      <w:r w:rsidRPr="002D43D1">
        <w:rPr>
          <w:rFonts w:ascii="Bookman Old Style" w:hAnsi="Bookman Old Style"/>
        </w:rPr>
        <w:t>]</w:t>
      </w:r>
      <w:r w:rsidRPr="002D43D1">
        <w:rPr>
          <w:rFonts w:ascii="Bookman Old Style" w:hAnsi="Bookman Old Style"/>
        </w:rPr>
        <w:tab/>
      </w:r>
      <w:r w:rsidRPr="002554A5">
        <w:rPr>
          <w:rFonts w:ascii="Bookman Old Style" w:hAnsi="Bookman Old Style"/>
        </w:rPr>
        <w:t xml:space="preserve">It thus follows that </w:t>
      </w:r>
      <w:r w:rsidR="002554A5" w:rsidRPr="002554A5">
        <w:rPr>
          <w:rFonts w:ascii="Bookman Old Style" w:hAnsi="Bookman Old Style"/>
        </w:rPr>
        <w:t xml:space="preserve">we first have to determine the facts which were common cause or not in issue before the second respondent and then to determine what relevant findings </w:t>
      </w:r>
      <w:r w:rsidRPr="002554A5">
        <w:rPr>
          <w:rFonts w:ascii="Bookman Old Style" w:hAnsi="Bookman Old Style"/>
        </w:rPr>
        <w:t xml:space="preserve">the second respondent </w:t>
      </w:r>
      <w:r w:rsidR="002554A5" w:rsidRPr="002554A5">
        <w:rPr>
          <w:rFonts w:ascii="Bookman Old Style" w:hAnsi="Bookman Old Style"/>
        </w:rPr>
        <w:t xml:space="preserve">made </w:t>
      </w:r>
      <w:r w:rsidRPr="002554A5">
        <w:rPr>
          <w:rFonts w:ascii="Bookman Old Style" w:hAnsi="Bookman Old Style"/>
        </w:rPr>
        <w:t>and then ask the question whether on the facts found by the second respondent he made the correct decision</w:t>
      </w:r>
      <w:r>
        <w:rPr>
          <w:rFonts w:ascii="Bookman Old Style" w:hAnsi="Bookman Old Style"/>
        </w:rPr>
        <w:t>.</w:t>
      </w:r>
    </w:p>
    <w:p w:rsidR="002D43D1" w:rsidRDefault="002D43D1" w:rsidP="002D43D1">
      <w:pPr>
        <w:spacing w:line="480" w:lineRule="auto"/>
        <w:jc w:val="both"/>
        <w:rPr>
          <w:rFonts w:ascii="Bookman Old Style" w:hAnsi="Bookman Old Style"/>
        </w:rPr>
      </w:pPr>
    </w:p>
    <w:p w:rsidR="00193768" w:rsidRDefault="002D43D1" w:rsidP="00313CEC">
      <w:pPr>
        <w:tabs>
          <w:tab w:val="left" w:pos="851"/>
        </w:tabs>
        <w:spacing w:line="480" w:lineRule="auto"/>
        <w:jc w:val="both"/>
        <w:rPr>
          <w:rFonts w:ascii="Bookman Old Style" w:hAnsi="Bookman Old Style"/>
        </w:rPr>
      </w:pPr>
      <w:r>
        <w:rPr>
          <w:rFonts w:ascii="Bookman Old Style" w:hAnsi="Bookman Old Style"/>
        </w:rPr>
        <w:t>[1</w:t>
      </w:r>
      <w:r w:rsidR="00E66DCC">
        <w:rPr>
          <w:rFonts w:ascii="Bookman Old Style" w:hAnsi="Bookman Old Style"/>
        </w:rPr>
        <w:t>2</w:t>
      </w:r>
      <w:r>
        <w:rPr>
          <w:rFonts w:ascii="Bookman Old Style" w:hAnsi="Bookman Old Style"/>
        </w:rPr>
        <w:t>]</w:t>
      </w:r>
      <w:r>
        <w:rPr>
          <w:rFonts w:ascii="Bookman Old Style" w:hAnsi="Bookman Old Style"/>
        </w:rPr>
        <w:tab/>
      </w:r>
      <w:r w:rsidR="006C6B2F">
        <w:rPr>
          <w:rFonts w:ascii="Bookman Old Style" w:hAnsi="Bookman Old Style"/>
        </w:rPr>
        <w:t xml:space="preserve">The </w:t>
      </w:r>
      <w:r w:rsidR="00193768">
        <w:rPr>
          <w:rFonts w:ascii="Bookman Old Style" w:hAnsi="Bookman Old Style"/>
        </w:rPr>
        <w:t>facts that are common cause are as follows:</w:t>
      </w:r>
    </w:p>
    <w:p w:rsidR="00C15806" w:rsidRDefault="00193768" w:rsidP="00313CEC">
      <w:pPr>
        <w:spacing w:line="480" w:lineRule="auto"/>
        <w:ind w:left="1418" w:hanging="567"/>
        <w:jc w:val="both"/>
        <w:rPr>
          <w:rFonts w:ascii="Bookman Old Style" w:hAnsi="Bookman Old Style"/>
        </w:rPr>
      </w:pPr>
      <w:r>
        <w:rPr>
          <w:rFonts w:ascii="Bookman Old Style" w:hAnsi="Bookman Old Style"/>
        </w:rPr>
        <w:t>(a)</w:t>
      </w:r>
      <w:r>
        <w:rPr>
          <w:rFonts w:ascii="Bookman Old Style" w:hAnsi="Bookman Old Style"/>
        </w:rPr>
        <w:tab/>
      </w:r>
      <w:r w:rsidR="00C15806">
        <w:rPr>
          <w:rFonts w:ascii="Bookman Old Style" w:hAnsi="Bookman Old Style"/>
        </w:rPr>
        <w:t>During July</w:t>
      </w:r>
      <w:r>
        <w:rPr>
          <w:rFonts w:ascii="Bookman Old Style" w:hAnsi="Bookman Old Style"/>
        </w:rPr>
        <w:t xml:space="preserve"> 2009 the </w:t>
      </w:r>
      <w:r w:rsidR="00787F55">
        <w:rPr>
          <w:rFonts w:ascii="Bookman Old Style" w:hAnsi="Bookman Old Style"/>
        </w:rPr>
        <w:t xml:space="preserve">first respondent </w:t>
      </w:r>
      <w:r>
        <w:rPr>
          <w:rFonts w:ascii="Bookman Old Style" w:hAnsi="Bookman Old Style"/>
        </w:rPr>
        <w:t xml:space="preserve">heard </w:t>
      </w:r>
      <w:r w:rsidR="00C15806">
        <w:rPr>
          <w:rFonts w:ascii="Bookman Old Style" w:hAnsi="Bookman Old Style"/>
        </w:rPr>
        <w:t xml:space="preserve">(from an employee of Appellant), that the appellant was looking for somebody to work in Angola, and </w:t>
      </w:r>
      <w:r w:rsidR="00787F55">
        <w:rPr>
          <w:rFonts w:ascii="Bookman Old Style" w:hAnsi="Bookman Old Style"/>
        </w:rPr>
        <w:t xml:space="preserve">first respondent </w:t>
      </w:r>
      <w:r w:rsidR="00C15806">
        <w:rPr>
          <w:rFonts w:ascii="Bookman Old Style" w:hAnsi="Bookman Old Style"/>
        </w:rPr>
        <w:t>went there to enquire about the vacancy;</w:t>
      </w:r>
    </w:p>
    <w:p w:rsidR="00C15806" w:rsidRDefault="00C15806" w:rsidP="00313CEC">
      <w:pPr>
        <w:spacing w:line="480" w:lineRule="auto"/>
        <w:ind w:left="1418" w:hanging="567"/>
        <w:jc w:val="both"/>
        <w:rPr>
          <w:rFonts w:ascii="Bookman Old Style" w:hAnsi="Bookman Old Style"/>
        </w:rPr>
      </w:pPr>
      <w:r>
        <w:rPr>
          <w:rFonts w:ascii="Bookman Old Style" w:hAnsi="Bookman Old Style"/>
        </w:rPr>
        <w:t>(b)</w:t>
      </w:r>
      <w:r>
        <w:rPr>
          <w:rFonts w:ascii="Bookman Old Style" w:hAnsi="Bookman Old Style"/>
        </w:rPr>
        <w:tab/>
        <w:t xml:space="preserve">At the appellant’s offices the first respondent met </w:t>
      </w:r>
      <w:r w:rsidR="00313CEC">
        <w:rPr>
          <w:rFonts w:ascii="Bookman Old Style" w:hAnsi="Bookman Old Style"/>
        </w:rPr>
        <w:t>a</w:t>
      </w:r>
      <w:r>
        <w:rPr>
          <w:rFonts w:ascii="Bookman Old Style" w:hAnsi="Bookman Old Style"/>
        </w:rPr>
        <w:t xml:space="preserve"> certain Ms Van Zyl, this Ms Van Zyl asked first respondent to bring </w:t>
      </w:r>
      <w:r w:rsidR="00313CEC">
        <w:rPr>
          <w:rFonts w:ascii="Bookman Old Style" w:hAnsi="Bookman Old Style"/>
        </w:rPr>
        <w:t>his CV</w:t>
      </w:r>
      <w:r w:rsidR="00787F55">
        <w:rPr>
          <w:rFonts w:ascii="Bookman Old Style" w:hAnsi="Bookman Old Style"/>
        </w:rPr>
        <w:t xml:space="preserve">. First respondent </w:t>
      </w:r>
      <w:r>
        <w:rPr>
          <w:rFonts w:ascii="Bookman Old Style" w:hAnsi="Bookman Old Style"/>
        </w:rPr>
        <w:t>went back</w:t>
      </w:r>
      <w:r w:rsidR="00313CEC">
        <w:rPr>
          <w:rFonts w:ascii="Bookman Old Style" w:hAnsi="Bookman Old Style"/>
        </w:rPr>
        <w:t>,</w:t>
      </w:r>
      <w:r>
        <w:rPr>
          <w:rFonts w:ascii="Bookman Old Style" w:hAnsi="Bookman Old Style"/>
        </w:rPr>
        <w:t xml:space="preserve"> </w:t>
      </w:r>
      <w:r w:rsidR="00313CEC">
        <w:rPr>
          <w:rFonts w:ascii="Bookman Old Style" w:hAnsi="Bookman Old Style"/>
        </w:rPr>
        <w:t>f</w:t>
      </w:r>
      <w:r>
        <w:rPr>
          <w:rFonts w:ascii="Bookman Old Style" w:hAnsi="Bookman Old Style"/>
        </w:rPr>
        <w:t>etched the CV and gave it to Ms Van Zyl</w:t>
      </w:r>
      <w:r w:rsidR="00313CEC">
        <w:rPr>
          <w:rFonts w:ascii="Bookman Old Style" w:hAnsi="Bookman Old Style"/>
        </w:rPr>
        <w:t>;</w:t>
      </w:r>
    </w:p>
    <w:p w:rsidR="00313CEC" w:rsidRDefault="00313CEC" w:rsidP="00313CEC">
      <w:pPr>
        <w:spacing w:line="480" w:lineRule="auto"/>
        <w:ind w:left="1418" w:hanging="567"/>
        <w:jc w:val="both"/>
        <w:rPr>
          <w:rFonts w:ascii="Bookman Old Style" w:hAnsi="Bookman Old Style"/>
        </w:rPr>
      </w:pPr>
      <w:r>
        <w:rPr>
          <w:rFonts w:ascii="Bookman Old Style" w:hAnsi="Bookman Old Style"/>
        </w:rPr>
        <w:t>(c)</w:t>
      </w:r>
      <w:r>
        <w:rPr>
          <w:rFonts w:ascii="Bookman Old Style" w:hAnsi="Bookman Old Style"/>
        </w:rPr>
        <w:tab/>
        <w:t>Ms Van Zyl said she would fax the CV to Brendell in Angola and first respondent must come back the following day</w:t>
      </w:r>
      <w:r w:rsidR="00787F55">
        <w:rPr>
          <w:rFonts w:ascii="Bookman Old Style" w:hAnsi="Bookman Old Style"/>
        </w:rPr>
        <w:t xml:space="preserve"> to hear what the view of Brendell is. When he came back the following day </w:t>
      </w:r>
      <w:r w:rsidR="00787F55">
        <w:rPr>
          <w:rFonts w:ascii="Bookman Old Style" w:hAnsi="Bookman Old Style"/>
        </w:rPr>
        <w:lastRenderedPageBreak/>
        <w:t>Ms van Zyl informed him that Ms Brendell has confirmed that first respondent could go to Angola.</w:t>
      </w:r>
    </w:p>
    <w:p w:rsidR="00313CEC" w:rsidRDefault="00313CEC" w:rsidP="00313CEC">
      <w:pPr>
        <w:spacing w:line="480" w:lineRule="auto"/>
        <w:ind w:left="1418" w:hanging="567"/>
        <w:jc w:val="both"/>
        <w:rPr>
          <w:rFonts w:ascii="Bookman Old Style" w:hAnsi="Bookman Old Style"/>
        </w:rPr>
      </w:pPr>
      <w:r>
        <w:rPr>
          <w:rFonts w:ascii="Bookman Old Style" w:hAnsi="Bookman Old Style"/>
        </w:rPr>
        <w:t>(d)</w:t>
      </w:r>
      <w:r>
        <w:rPr>
          <w:rFonts w:ascii="Bookman Old Style" w:hAnsi="Bookman Old Style"/>
        </w:rPr>
        <w:tab/>
        <w:t xml:space="preserve">Mr Brendell is the sole member’s interest holder of the </w:t>
      </w:r>
      <w:r w:rsidR="005547E4">
        <w:rPr>
          <w:rFonts w:ascii="Bookman Old Style" w:hAnsi="Bookman Old Style"/>
        </w:rPr>
        <w:t>a</w:t>
      </w:r>
      <w:r>
        <w:rPr>
          <w:rFonts w:ascii="Bookman Old Style" w:hAnsi="Bookman Old Style"/>
        </w:rPr>
        <w:t>ppellant;</w:t>
      </w:r>
    </w:p>
    <w:p w:rsidR="000F55F1" w:rsidRDefault="00313CEC" w:rsidP="00313CEC">
      <w:pPr>
        <w:spacing w:line="480" w:lineRule="auto"/>
        <w:ind w:left="1418" w:hanging="567"/>
        <w:jc w:val="both"/>
        <w:rPr>
          <w:rFonts w:ascii="Bookman Old Style" w:hAnsi="Bookman Old Style"/>
        </w:rPr>
      </w:pPr>
      <w:r>
        <w:rPr>
          <w:rFonts w:ascii="Bookman Old Style" w:hAnsi="Bookman Old Style"/>
        </w:rPr>
        <w:t>(e)</w:t>
      </w:r>
      <w:r>
        <w:rPr>
          <w:rFonts w:ascii="Bookman Old Style" w:hAnsi="Bookman Old Style"/>
        </w:rPr>
        <w:tab/>
      </w:r>
      <w:r w:rsidR="000F55F1" w:rsidRPr="000F55F1">
        <w:rPr>
          <w:rFonts w:ascii="Bookman Old Style" w:hAnsi="Bookman Old Style" w:cs="Arial"/>
        </w:rPr>
        <w:t>Brehum, an Angolan company, was created as a strategic company to enable appellant to operate business in Angola</w:t>
      </w:r>
      <w:r w:rsidR="00835301">
        <w:rPr>
          <w:rFonts w:ascii="Bookman Old Style" w:hAnsi="Bookman Old Style" w:cs="Arial"/>
        </w:rPr>
        <w:t>;</w:t>
      </w:r>
    </w:p>
    <w:p w:rsidR="00313CEC" w:rsidRDefault="000F55F1" w:rsidP="00313CEC">
      <w:pPr>
        <w:spacing w:line="480" w:lineRule="auto"/>
        <w:ind w:left="1418" w:hanging="567"/>
        <w:jc w:val="both"/>
        <w:rPr>
          <w:rFonts w:ascii="Bookman Old Style" w:hAnsi="Bookman Old Style"/>
        </w:rPr>
      </w:pPr>
      <w:r>
        <w:rPr>
          <w:rFonts w:ascii="Bookman Old Style" w:hAnsi="Bookman Old Style"/>
        </w:rPr>
        <w:t>(f)</w:t>
      </w:r>
      <w:r>
        <w:rPr>
          <w:rFonts w:ascii="Bookman Old Style" w:hAnsi="Bookman Old Style"/>
        </w:rPr>
        <w:tab/>
      </w:r>
      <w:r w:rsidR="00313CEC">
        <w:rPr>
          <w:rFonts w:ascii="Bookman Old Style" w:hAnsi="Bookman Old Style"/>
        </w:rPr>
        <w:t>The appellant arranged for the travelling of first respondent to Angola and paid the expenses of his return to Namibia;</w:t>
      </w:r>
    </w:p>
    <w:p w:rsidR="00313CEC" w:rsidRDefault="00313CEC" w:rsidP="00313CEC">
      <w:pPr>
        <w:spacing w:line="480" w:lineRule="auto"/>
        <w:ind w:left="1418" w:hanging="567"/>
        <w:jc w:val="both"/>
        <w:rPr>
          <w:rFonts w:ascii="Bookman Old Style" w:hAnsi="Bookman Old Style"/>
        </w:rPr>
      </w:pPr>
      <w:r>
        <w:rPr>
          <w:rFonts w:ascii="Bookman Old Style" w:hAnsi="Bookman Old Style"/>
        </w:rPr>
        <w:t>(</w:t>
      </w:r>
      <w:r w:rsidR="000F55F1">
        <w:rPr>
          <w:rFonts w:ascii="Bookman Old Style" w:hAnsi="Bookman Old Style"/>
        </w:rPr>
        <w:t>g</w:t>
      </w:r>
      <w:r>
        <w:rPr>
          <w:rFonts w:ascii="Bookman Old Style" w:hAnsi="Bookman Old Style"/>
        </w:rPr>
        <w:t>)</w:t>
      </w:r>
      <w:r>
        <w:rPr>
          <w:rFonts w:ascii="Bookman Old Style" w:hAnsi="Bookman Old Style"/>
        </w:rPr>
        <w:tab/>
        <w:t>The appellant paid the first respondent’s salary into his bank account in Namibia;</w:t>
      </w:r>
    </w:p>
    <w:p w:rsidR="00313CEC" w:rsidRDefault="00313CEC" w:rsidP="00313CEC">
      <w:pPr>
        <w:spacing w:line="480" w:lineRule="auto"/>
        <w:ind w:left="1418" w:hanging="567"/>
        <w:jc w:val="both"/>
        <w:rPr>
          <w:rFonts w:ascii="Bookman Old Style" w:hAnsi="Bookman Old Style"/>
        </w:rPr>
      </w:pPr>
      <w:r>
        <w:rPr>
          <w:rFonts w:ascii="Bookman Old Style" w:hAnsi="Bookman Old Style"/>
        </w:rPr>
        <w:t>(</w:t>
      </w:r>
      <w:r w:rsidR="000F55F1">
        <w:rPr>
          <w:rFonts w:ascii="Bookman Old Style" w:hAnsi="Bookman Old Style"/>
        </w:rPr>
        <w:t>h</w:t>
      </w:r>
      <w:r>
        <w:rPr>
          <w:rFonts w:ascii="Bookman Old Style" w:hAnsi="Bookman Old Style"/>
        </w:rPr>
        <w:t>)</w:t>
      </w:r>
      <w:r>
        <w:rPr>
          <w:rFonts w:ascii="Bookman Old Style" w:hAnsi="Bookman Old Style"/>
        </w:rPr>
        <w:tab/>
        <w:t xml:space="preserve">The first respondent </w:t>
      </w:r>
      <w:r w:rsidR="00590546">
        <w:rPr>
          <w:rFonts w:ascii="Bookman Old Style" w:hAnsi="Bookman Old Style"/>
        </w:rPr>
        <w:t>on his</w:t>
      </w:r>
      <w:r>
        <w:rPr>
          <w:rFonts w:ascii="Bookman Old Style" w:hAnsi="Bookman Old Style"/>
        </w:rPr>
        <w:t xml:space="preserve"> arrival in Angola was </w:t>
      </w:r>
      <w:r w:rsidR="00590546">
        <w:rPr>
          <w:rFonts w:ascii="Bookman Old Style" w:hAnsi="Bookman Old Style"/>
        </w:rPr>
        <w:t>met by Mr</w:t>
      </w:r>
      <w:r>
        <w:rPr>
          <w:rFonts w:ascii="Bookman Old Style" w:hAnsi="Bookman Old Style"/>
        </w:rPr>
        <w:t xml:space="preserve"> Brendell</w:t>
      </w:r>
      <w:r w:rsidR="00590546">
        <w:rPr>
          <w:rFonts w:ascii="Bookman Old Style" w:hAnsi="Bookman Old Style"/>
        </w:rPr>
        <w:t xml:space="preserve"> and was given work instructions by Mr Brendell.</w:t>
      </w:r>
    </w:p>
    <w:p w:rsidR="00590546" w:rsidRDefault="00590546" w:rsidP="00313CEC">
      <w:pPr>
        <w:spacing w:line="480" w:lineRule="auto"/>
        <w:ind w:left="1418" w:hanging="567"/>
        <w:jc w:val="both"/>
        <w:rPr>
          <w:rFonts w:ascii="Bookman Old Style" w:hAnsi="Bookman Old Style"/>
        </w:rPr>
      </w:pPr>
      <w:r>
        <w:rPr>
          <w:rFonts w:ascii="Bookman Old Style" w:hAnsi="Bookman Old Style"/>
        </w:rPr>
        <w:t>(</w:t>
      </w:r>
      <w:r w:rsidR="000F55F1">
        <w:rPr>
          <w:rFonts w:ascii="Bookman Old Style" w:hAnsi="Bookman Old Style"/>
        </w:rPr>
        <w:t>i</w:t>
      </w:r>
      <w:r>
        <w:rPr>
          <w:rFonts w:ascii="Bookman Old Style" w:hAnsi="Bookman Old Style"/>
        </w:rPr>
        <w:t>)</w:t>
      </w:r>
      <w:r>
        <w:rPr>
          <w:rFonts w:ascii="Bookman Old Style" w:hAnsi="Bookman Old Style"/>
        </w:rPr>
        <w:tab/>
        <w:t>The letters marked as Exhibits 1 and 2 were issued by Ms Van Zyl the administrative manger of appellant;</w:t>
      </w:r>
    </w:p>
    <w:p w:rsidR="00313CEC" w:rsidRDefault="00313CEC" w:rsidP="00313CEC">
      <w:pPr>
        <w:spacing w:line="480" w:lineRule="auto"/>
        <w:ind w:left="1418" w:hanging="567"/>
        <w:jc w:val="both"/>
        <w:rPr>
          <w:rFonts w:ascii="Bookman Old Style" w:hAnsi="Bookman Old Style"/>
        </w:rPr>
      </w:pPr>
    </w:p>
    <w:p w:rsidR="002D43D1" w:rsidRDefault="00590546" w:rsidP="00590546">
      <w:pPr>
        <w:tabs>
          <w:tab w:val="left" w:pos="851"/>
        </w:tabs>
        <w:spacing w:line="480" w:lineRule="auto"/>
        <w:jc w:val="both"/>
        <w:rPr>
          <w:rFonts w:ascii="Bookman Old Style" w:hAnsi="Bookman Old Style"/>
          <w:i/>
        </w:rPr>
      </w:pPr>
      <w:r>
        <w:rPr>
          <w:rFonts w:ascii="Bookman Old Style" w:hAnsi="Bookman Old Style"/>
        </w:rPr>
        <w:t>[13]</w:t>
      </w:r>
      <w:r>
        <w:rPr>
          <w:rFonts w:ascii="Bookman Old Style" w:hAnsi="Bookman Old Style"/>
        </w:rPr>
        <w:tab/>
        <w:t xml:space="preserve">The </w:t>
      </w:r>
      <w:r w:rsidR="006C6B2F">
        <w:rPr>
          <w:rFonts w:ascii="Bookman Old Style" w:hAnsi="Bookman Old Style"/>
        </w:rPr>
        <w:t>second respondent found that “</w:t>
      </w:r>
      <w:r w:rsidR="006C6B2F" w:rsidRPr="006C6B2F">
        <w:rPr>
          <w:rFonts w:ascii="Bookman Old Style" w:hAnsi="Bookman Old Style"/>
          <w:i/>
        </w:rPr>
        <w:t>all the correspondences like the letters</w:t>
      </w:r>
      <w:r w:rsidR="006C6B2F">
        <w:rPr>
          <w:rFonts w:ascii="Bookman Old Style" w:hAnsi="Bookman Old Style"/>
          <w:i/>
        </w:rPr>
        <w:t xml:space="preserve"> Exhibit (1) and (2) the bank </w:t>
      </w:r>
      <w:r w:rsidR="009D522F">
        <w:rPr>
          <w:rFonts w:ascii="Bookman Old Style" w:hAnsi="Bookman Old Style"/>
          <w:i/>
        </w:rPr>
        <w:t>transaction Exhibit</w:t>
      </w:r>
      <w:r w:rsidR="006C6B2F">
        <w:rPr>
          <w:rFonts w:ascii="Bookman Old Style" w:hAnsi="Bookman Old Style"/>
          <w:i/>
        </w:rPr>
        <w:t xml:space="preserve"> 3 </w:t>
      </w:r>
      <w:r w:rsidR="009D522F">
        <w:rPr>
          <w:rFonts w:ascii="Bookman Old Style" w:hAnsi="Bookman Old Style"/>
          <w:i/>
        </w:rPr>
        <w:t>clearly indicate</w:t>
      </w:r>
      <w:r w:rsidR="006C6B2F">
        <w:rPr>
          <w:rFonts w:ascii="Bookman Old Style" w:hAnsi="Bookman Old Style"/>
          <w:i/>
        </w:rPr>
        <w:t xml:space="preserve"> </w:t>
      </w:r>
      <w:r w:rsidR="009D522F">
        <w:rPr>
          <w:rFonts w:ascii="Bookman Old Style" w:hAnsi="Bookman Old Style"/>
          <w:i/>
        </w:rPr>
        <w:t>that JB</w:t>
      </w:r>
      <w:r w:rsidR="006C6B2F">
        <w:rPr>
          <w:rFonts w:ascii="Bookman Old Style" w:hAnsi="Bookman Old Style"/>
          <w:i/>
        </w:rPr>
        <w:t xml:space="preserve"> Cooling and Refrigeration cc was and has </w:t>
      </w:r>
      <w:r w:rsidR="009D522F">
        <w:rPr>
          <w:rFonts w:ascii="Bookman Old Style" w:hAnsi="Bookman Old Style"/>
          <w:i/>
        </w:rPr>
        <w:t>been the</w:t>
      </w:r>
      <w:r w:rsidR="006C6B2F">
        <w:rPr>
          <w:rFonts w:ascii="Bookman Old Style" w:hAnsi="Bookman Old Style"/>
          <w:i/>
        </w:rPr>
        <w:t xml:space="preserve"> employer </w:t>
      </w:r>
      <w:r w:rsidR="009D522F">
        <w:rPr>
          <w:rFonts w:ascii="Bookman Old Style" w:hAnsi="Bookman Old Style"/>
          <w:i/>
        </w:rPr>
        <w:t>of the</w:t>
      </w:r>
      <w:r w:rsidR="006C6B2F">
        <w:rPr>
          <w:rFonts w:ascii="Bookman Old Style" w:hAnsi="Bookman Old Style"/>
          <w:i/>
        </w:rPr>
        <w:t xml:space="preserve"> applicant </w:t>
      </w:r>
      <w:r w:rsidR="009D522F">
        <w:rPr>
          <w:rFonts w:ascii="Bookman Old Style" w:hAnsi="Bookman Old Style"/>
          <w:i/>
        </w:rPr>
        <w:t>at all</w:t>
      </w:r>
      <w:r w:rsidR="006C6B2F">
        <w:rPr>
          <w:rFonts w:ascii="Bookman Old Style" w:hAnsi="Bookman Old Style"/>
          <w:i/>
        </w:rPr>
        <w:t xml:space="preserve"> </w:t>
      </w:r>
      <w:r w:rsidR="009D522F">
        <w:rPr>
          <w:rFonts w:ascii="Bookman Old Style" w:hAnsi="Bookman Old Style"/>
          <w:i/>
        </w:rPr>
        <w:t xml:space="preserve">relevant times. As such the claim that he (i.e. first respondent) was employed by Brehum Commercio e Prestacao de Services Limitada, must be rejected as a fabrication of the highest order.” </w:t>
      </w:r>
    </w:p>
    <w:p w:rsidR="009D522F" w:rsidRDefault="009D522F" w:rsidP="002D43D1">
      <w:pPr>
        <w:spacing w:line="480" w:lineRule="auto"/>
        <w:jc w:val="both"/>
        <w:rPr>
          <w:rFonts w:ascii="Bookman Old Style" w:hAnsi="Bookman Old Style"/>
          <w:i/>
        </w:rPr>
      </w:pPr>
    </w:p>
    <w:p w:rsidR="008B2348" w:rsidRDefault="009D522F" w:rsidP="002D43D1">
      <w:pPr>
        <w:spacing w:line="480" w:lineRule="auto"/>
        <w:jc w:val="both"/>
        <w:rPr>
          <w:rFonts w:ascii="Bookman Old Style" w:hAnsi="Bookman Old Style"/>
        </w:rPr>
      </w:pPr>
      <w:r>
        <w:rPr>
          <w:rFonts w:ascii="Bookman Old Style" w:hAnsi="Bookman Old Style"/>
        </w:rPr>
        <w:t>[1</w:t>
      </w:r>
      <w:r w:rsidR="00590546">
        <w:rPr>
          <w:rFonts w:ascii="Bookman Old Style" w:hAnsi="Bookman Old Style"/>
        </w:rPr>
        <w:t>4</w:t>
      </w:r>
      <w:r>
        <w:rPr>
          <w:rFonts w:ascii="Bookman Old Style" w:hAnsi="Bookman Old Style"/>
        </w:rPr>
        <w:t>]</w:t>
      </w:r>
      <w:r>
        <w:rPr>
          <w:rFonts w:ascii="Bookman Old Style" w:hAnsi="Bookman Old Style"/>
        </w:rPr>
        <w:tab/>
        <w:t>I agree with Ms Van der Merwe that the</w:t>
      </w:r>
      <w:r w:rsidR="00E66DCC">
        <w:rPr>
          <w:rFonts w:ascii="Bookman Old Style" w:hAnsi="Bookman Old Style"/>
        </w:rPr>
        <w:t xml:space="preserve"> </w:t>
      </w:r>
      <w:r w:rsidR="00E66DCC" w:rsidRPr="00E66DCC">
        <w:rPr>
          <w:rFonts w:ascii="Bookman Old Style" w:hAnsi="Bookman Old Style"/>
          <w:i/>
        </w:rPr>
        <w:t>onus</w:t>
      </w:r>
      <w:r w:rsidR="00E66DCC">
        <w:rPr>
          <w:rFonts w:ascii="Bookman Old Style" w:hAnsi="Bookman Old Style"/>
        </w:rPr>
        <w:t xml:space="preserve"> was on the first respondent to prove that he was an employee of the appellant, but what Ms Van der Merwe overlooked is the fact that </w:t>
      </w:r>
      <w:r w:rsidR="008B2348">
        <w:rPr>
          <w:rFonts w:ascii="Bookman Old Style" w:hAnsi="Bookman Old Style"/>
        </w:rPr>
        <w:t xml:space="preserve">the </w:t>
      </w:r>
      <w:r w:rsidR="008B2348" w:rsidRPr="008B2348">
        <w:rPr>
          <w:rFonts w:ascii="Bookman Old Style" w:hAnsi="Bookman Old Style"/>
          <w:i/>
        </w:rPr>
        <w:t>onus</w:t>
      </w:r>
      <w:r w:rsidR="008B2348">
        <w:rPr>
          <w:rFonts w:ascii="Bookman Old Style" w:hAnsi="Bookman Old Style"/>
        </w:rPr>
        <w:t xml:space="preserve"> never shifts</w:t>
      </w:r>
      <w:r>
        <w:rPr>
          <w:rFonts w:ascii="Bookman Old Style" w:hAnsi="Bookman Old Style"/>
        </w:rPr>
        <w:t xml:space="preserve"> </w:t>
      </w:r>
      <w:r w:rsidR="008B2348">
        <w:rPr>
          <w:rFonts w:ascii="Bookman Old Style" w:hAnsi="Bookman Old Style"/>
        </w:rPr>
        <w:t xml:space="preserve">from the </w:t>
      </w:r>
      <w:r w:rsidR="008B2348">
        <w:rPr>
          <w:rFonts w:ascii="Bookman Old Style" w:hAnsi="Bookman Old Style"/>
        </w:rPr>
        <w:lastRenderedPageBreak/>
        <w:t xml:space="preserve">party upon whom it originally rested, but the burden of adducing evidence in rebuttal </w:t>
      </w:r>
      <w:r w:rsidR="009E0219">
        <w:rPr>
          <w:rFonts w:ascii="Bookman Old Style" w:hAnsi="Bookman Old Style"/>
        </w:rPr>
        <w:t xml:space="preserve">occasionally </w:t>
      </w:r>
      <w:r w:rsidR="008B2348">
        <w:rPr>
          <w:rFonts w:ascii="Bookman Old Style" w:hAnsi="Bookman Old Style"/>
        </w:rPr>
        <w:t>shifts</w:t>
      </w:r>
      <w:r w:rsidR="005547E4">
        <w:rPr>
          <w:rFonts w:ascii="Bookman Old Style" w:hAnsi="Bookman Old Style"/>
        </w:rPr>
        <w:t>,</w:t>
      </w:r>
      <w:r w:rsidR="008B2348">
        <w:rPr>
          <w:rFonts w:ascii="Bookman Old Style" w:hAnsi="Bookman Old Style"/>
        </w:rPr>
        <w:t xml:space="preserve"> </w:t>
      </w:r>
      <w:r w:rsidR="00590546">
        <w:rPr>
          <w:rFonts w:ascii="Bookman Old Style" w:hAnsi="Bookman Old Style"/>
        </w:rPr>
        <w:t>this</w:t>
      </w:r>
      <w:r w:rsidR="008B2348">
        <w:rPr>
          <w:rFonts w:ascii="Bookman Old Style" w:hAnsi="Bookman Old Style"/>
        </w:rPr>
        <w:t xml:space="preserve"> was aptly stated by </w:t>
      </w:r>
      <w:r w:rsidR="000F55F1">
        <w:rPr>
          <w:rFonts w:ascii="Bookman Old Style" w:hAnsi="Bookman Old Style"/>
        </w:rPr>
        <w:t>Corbett JA in the South African</w:t>
      </w:r>
      <w:r w:rsidR="008B2348">
        <w:rPr>
          <w:rFonts w:ascii="Bookman Old Style" w:hAnsi="Bookman Old Style"/>
        </w:rPr>
        <w:t xml:space="preserve"> case of </w:t>
      </w:r>
      <w:r w:rsidR="008B2348" w:rsidRPr="008B2348">
        <w:rPr>
          <w:rFonts w:ascii="Bookman Old Style" w:hAnsi="Bookman Old Style"/>
          <w:b/>
          <w:i/>
        </w:rPr>
        <w:t xml:space="preserve">South Cape Corporation (Pty) Ltd </w:t>
      </w:r>
      <w:r w:rsidR="008B2348">
        <w:rPr>
          <w:rFonts w:ascii="Bookman Old Style" w:hAnsi="Bookman Old Style"/>
          <w:b/>
          <w:i/>
        </w:rPr>
        <w:t>v</w:t>
      </w:r>
      <w:r w:rsidR="008B2348" w:rsidRPr="008B2348">
        <w:rPr>
          <w:rFonts w:ascii="Bookman Old Style" w:hAnsi="Bookman Old Style"/>
          <w:b/>
          <w:i/>
        </w:rPr>
        <w:t xml:space="preserve"> Engineering Management Services (Pty) Ltd </w:t>
      </w:r>
      <w:r w:rsidR="008B2348" w:rsidRPr="008B2348">
        <w:rPr>
          <w:rFonts w:ascii="Bookman Old Style" w:hAnsi="Bookman Old Style"/>
        </w:rPr>
        <w:t>1977 (3) S</w:t>
      </w:r>
      <w:r w:rsidR="008B2348">
        <w:rPr>
          <w:rFonts w:ascii="Bookman Old Style" w:hAnsi="Bookman Old Style"/>
        </w:rPr>
        <w:t xml:space="preserve">A </w:t>
      </w:r>
      <w:r w:rsidR="008B2348" w:rsidRPr="008B2348">
        <w:rPr>
          <w:rFonts w:ascii="Bookman Old Style" w:hAnsi="Bookman Old Style"/>
        </w:rPr>
        <w:t>534 (A)</w:t>
      </w:r>
      <w:r w:rsidR="008B2348">
        <w:rPr>
          <w:rFonts w:ascii="Bookman Old Style" w:hAnsi="Bookman Old Style"/>
        </w:rPr>
        <w:t xml:space="preserve"> at  page 548</w:t>
      </w:r>
      <w:r w:rsidR="00C203B7">
        <w:rPr>
          <w:rFonts w:ascii="Bookman Old Style" w:hAnsi="Bookman Old Style"/>
        </w:rPr>
        <w:t xml:space="preserve"> : A-B</w:t>
      </w:r>
    </w:p>
    <w:p w:rsidR="00C203B7" w:rsidRDefault="00C203B7" w:rsidP="00C203B7">
      <w:pPr>
        <w:spacing w:line="360" w:lineRule="auto"/>
        <w:ind w:left="284"/>
        <w:jc w:val="both"/>
        <w:rPr>
          <w:rFonts w:ascii="Bookman Old Style" w:hAnsi="Bookman Old Style"/>
        </w:rPr>
      </w:pPr>
      <w:r>
        <w:rPr>
          <w:rFonts w:ascii="Times New Roman" w:hAnsi="Times New Roman"/>
        </w:rPr>
        <w:t>“</w:t>
      </w:r>
      <w:r w:rsidRPr="00C203B7">
        <w:rPr>
          <w:rFonts w:ascii="Times New Roman" w:hAnsi="Times New Roman"/>
        </w:rPr>
        <w:t>As was pointed out by DAVIS, A.J.A., in Pillay v Krishna and Another, 1946 AD 946 at pp. 952 - 3, the word onus has often been used to denote, inter alia, two distinc</w:t>
      </w:r>
      <w:r>
        <w:rPr>
          <w:rFonts w:ascii="Times New Roman" w:hAnsi="Times New Roman"/>
        </w:rPr>
        <w:t>t concepts: (i) the duty which</w:t>
      </w:r>
      <w:r w:rsidRPr="00C203B7">
        <w:rPr>
          <w:rFonts w:ascii="Times New Roman" w:hAnsi="Times New Roman"/>
        </w:rPr>
        <w:t xml:space="preserve"> is cast on the particular litigant, in order to be successful, of finally satisfying the Court that he is entitled to succeed on his claim or defence, as the case may be; and (ii) the duty cast upon a litigant to adduce evidence in order to combat a prima facie case made by his opponent. Only the first of these concepts represents onus in its true and original sense. In Brand v Minister of Justice and Another, 1959 (4) SA 712 (AD) at p. 715, OGILVIE </w:t>
      </w:r>
      <w:r>
        <w:rPr>
          <w:rFonts w:ascii="Times New Roman" w:hAnsi="Times New Roman"/>
        </w:rPr>
        <w:t>THOMPSON, J.A., called it "the</w:t>
      </w:r>
      <w:r w:rsidRPr="00C203B7">
        <w:rPr>
          <w:rFonts w:ascii="Times New Roman" w:hAnsi="Times New Roman"/>
        </w:rPr>
        <w:t xml:space="preserve"> overall onus ". In this sense the onus can never shift from the party upon whom it originally rested. </w:t>
      </w:r>
      <w:r w:rsidRPr="00590546">
        <w:rPr>
          <w:rFonts w:ascii="Times New Roman" w:hAnsi="Times New Roman"/>
          <w:b/>
          <w:i/>
          <w:u w:val="single"/>
        </w:rPr>
        <w:t>The second concept may be termed, in order to avoid confusion, the burden of adducing evidence in rebuttal ("weerleggingslas"). This may shift or be transferred in the course of the case, depending upon the measure of proof furnished by the one party or the other</w:t>
      </w:r>
      <w:r w:rsidRPr="00590546">
        <w:rPr>
          <w:rFonts w:ascii="Bookman Old Style" w:hAnsi="Bookman Old Style"/>
          <w:b/>
          <w:i/>
          <w:u w:val="single"/>
        </w:rPr>
        <w:t>.”</w:t>
      </w:r>
      <w:r w:rsidR="00590546">
        <w:rPr>
          <w:rFonts w:ascii="Bookman Old Style" w:hAnsi="Bookman Old Style"/>
          <w:b/>
          <w:i/>
          <w:u w:val="single"/>
        </w:rPr>
        <w:t xml:space="preserve">  {</w:t>
      </w:r>
      <w:r w:rsidR="005547E4" w:rsidRPr="00590546">
        <w:rPr>
          <w:rFonts w:ascii="Bookman Old Style" w:hAnsi="Bookman Old Style"/>
        </w:rPr>
        <w:t>My Emphasis</w:t>
      </w:r>
      <w:r w:rsidR="00590546">
        <w:rPr>
          <w:rFonts w:ascii="Bookman Old Style" w:hAnsi="Bookman Old Style"/>
        </w:rPr>
        <w:t>}</w:t>
      </w:r>
    </w:p>
    <w:p w:rsidR="008B2348" w:rsidRDefault="008B2348" w:rsidP="002D43D1">
      <w:pPr>
        <w:spacing w:line="480" w:lineRule="auto"/>
        <w:jc w:val="both"/>
        <w:rPr>
          <w:rFonts w:ascii="Bookman Old Style" w:hAnsi="Bookman Old Style"/>
        </w:rPr>
      </w:pPr>
    </w:p>
    <w:p w:rsidR="00B84701" w:rsidRDefault="00590546" w:rsidP="002D43D1">
      <w:pPr>
        <w:spacing w:line="480" w:lineRule="auto"/>
        <w:jc w:val="both"/>
        <w:rPr>
          <w:rFonts w:ascii="Bookman Old Style" w:hAnsi="Bookman Old Style"/>
        </w:rPr>
      </w:pPr>
      <w:r>
        <w:rPr>
          <w:rFonts w:ascii="Bookman Old Style" w:hAnsi="Bookman Old Style"/>
        </w:rPr>
        <w:t>[15]</w:t>
      </w:r>
      <w:r>
        <w:rPr>
          <w:rFonts w:ascii="Bookman Old Style" w:hAnsi="Bookman Old Style"/>
        </w:rPr>
        <w:tab/>
        <w:t>I am of the view that in the light of the facts that were common cause and the exhibits, the first respondent had adduced sufficient evidence to shift the onus of adducing evidence in rebuttal on</w:t>
      </w:r>
      <w:r w:rsidR="005547E4">
        <w:rPr>
          <w:rFonts w:ascii="Bookman Old Style" w:hAnsi="Bookman Old Style"/>
        </w:rPr>
        <w:t>to</w:t>
      </w:r>
      <w:r>
        <w:rPr>
          <w:rFonts w:ascii="Bookman Old Style" w:hAnsi="Bookman Old Style"/>
        </w:rPr>
        <w:t xml:space="preserve"> the appellant.  The appellant thus </w:t>
      </w:r>
      <w:r w:rsidR="00B84701">
        <w:rPr>
          <w:rFonts w:ascii="Bookman Old Style" w:hAnsi="Bookman Old Style"/>
        </w:rPr>
        <w:t>bore the</w:t>
      </w:r>
      <w:r>
        <w:rPr>
          <w:rFonts w:ascii="Bookman Old Style" w:hAnsi="Bookman Old Style"/>
        </w:rPr>
        <w:t xml:space="preserve"> </w:t>
      </w:r>
      <w:r w:rsidRPr="00B84701">
        <w:rPr>
          <w:rFonts w:ascii="Bookman Old Style" w:hAnsi="Bookman Old Style"/>
          <w:i/>
        </w:rPr>
        <w:t>onus</w:t>
      </w:r>
      <w:r>
        <w:rPr>
          <w:rFonts w:ascii="Bookman Old Style" w:hAnsi="Bookman Old Style"/>
        </w:rPr>
        <w:t xml:space="preserve"> to rebut the evidence placed before the </w:t>
      </w:r>
      <w:r w:rsidR="005547E4">
        <w:rPr>
          <w:rFonts w:ascii="Bookman Old Style" w:hAnsi="Bookman Old Style"/>
        </w:rPr>
        <w:t>second respondent</w:t>
      </w:r>
      <w:r w:rsidR="00B84701">
        <w:rPr>
          <w:rFonts w:ascii="Bookman Old Style" w:hAnsi="Bookman Old Style"/>
        </w:rPr>
        <w:t>.</w:t>
      </w:r>
    </w:p>
    <w:p w:rsidR="00B84701" w:rsidRDefault="00B84701" w:rsidP="002D43D1">
      <w:pPr>
        <w:spacing w:line="480" w:lineRule="auto"/>
        <w:jc w:val="both"/>
        <w:rPr>
          <w:rFonts w:ascii="Bookman Old Style" w:hAnsi="Bookman Old Style"/>
        </w:rPr>
      </w:pPr>
    </w:p>
    <w:p w:rsidR="00B84701" w:rsidRDefault="00B84701" w:rsidP="002D43D1">
      <w:pPr>
        <w:spacing w:line="480" w:lineRule="auto"/>
        <w:jc w:val="both"/>
        <w:rPr>
          <w:rFonts w:ascii="Bookman Old Style" w:hAnsi="Bookman Old Style"/>
        </w:rPr>
      </w:pPr>
      <w:r>
        <w:rPr>
          <w:rFonts w:ascii="Bookman Old Style" w:hAnsi="Bookman Old Style"/>
        </w:rPr>
        <w:t>[16]</w:t>
      </w:r>
      <w:r>
        <w:rPr>
          <w:rFonts w:ascii="Bookman Old Style" w:hAnsi="Bookman Old Style"/>
        </w:rPr>
        <w:tab/>
        <w:t>The question therefore is did the appellant discharge the burden of rebutting the evidence placed before the</w:t>
      </w:r>
      <w:r w:rsidR="005547E4">
        <w:rPr>
          <w:rFonts w:ascii="Bookman Old Style" w:hAnsi="Bookman Old Style"/>
        </w:rPr>
        <w:t xml:space="preserve"> second respondent</w:t>
      </w:r>
      <w:r>
        <w:rPr>
          <w:rFonts w:ascii="Bookman Old Style" w:hAnsi="Bookman Old Style"/>
        </w:rPr>
        <w:t>?</w:t>
      </w:r>
    </w:p>
    <w:p w:rsidR="00B84701" w:rsidRDefault="00B84701" w:rsidP="002D43D1">
      <w:pPr>
        <w:spacing w:line="480" w:lineRule="auto"/>
        <w:jc w:val="both"/>
        <w:rPr>
          <w:rFonts w:ascii="Bookman Old Style" w:hAnsi="Bookman Old Style"/>
        </w:rPr>
      </w:pPr>
    </w:p>
    <w:p w:rsidR="00CF089F" w:rsidRDefault="00B84701" w:rsidP="002D43D1">
      <w:pPr>
        <w:spacing w:line="480" w:lineRule="auto"/>
        <w:jc w:val="both"/>
        <w:rPr>
          <w:rFonts w:ascii="Bookman Old Style" w:hAnsi="Bookman Old Style"/>
        </w:rPr>
      </w:pPr>
      <w:r>
        <w:rPr>
          <w:rFonts w:ascii="Bookman Old Style" w:hAnsi="Bookman Old Style"/>
        </w:rPr>
        <w:t>[17]</w:t>
      </w:r>
      <w:r>
        <w:rPr>
          <w:rFonts w:ascii="Bookman Old Style" w:hAnsi="Bookman Old Style"/>
        </w:rPr>
        <w:tab/>
        <w:t xml:space="preserve">Ms Van der Merwe argued that the first respondent failed to discharge the onus resting on him because the letter of appointment </w:t>
      </w:r>
      <w:r w:rsidRPr="00B84701">
        <w:rPr>
          <w:rFonts w:ascii="Bookman Old Style" w:hAnsi="Bookman Old Style"/>
          <w:i/>
        </w:rPr>
        <w:t xml:space="preserve">simpliciter </w:t>
      </w:r>
      <w:r>
        <w:rPr>
          <w:rFonts w:ascii="Bookman Old Style" w:hAnsi="Bookman Old Style"/>
        </w:rPr>
        <w:t xml:space="preserve">does </w:t>
      </w:r>
      <w:r>
        <w:rPr>
          <w:rFonts w:ascii="Bookman Old Style" w:hAnsi="Bookman Old Style"/>
        </w:rPr>
        <w:lastRenderedPageBreak/>
        <w:t xml:space="preserve">not prove status of employment. She relied on the case </w:t>
      </w:r>
      <w:r w:rsidR="00CF089F">
        <w:rPr>
          <w:rFonts w:ascii="Bookman Old Style" w:hAnsi="Bookman Old Style"/>
        </w:rPr>
        <w:t xml:space="preserve">of </w:t>
      </w:r>
      <w:r w:rsidR="00CF089F" w:rsidRPr="00CF089F">
        <w:rPr>
          <w:rFonts w:ascii="Bookman Old Style" w:hAnsi="Bookman Old Style"/>
          <w:b/>
          <w:i/>
        </w:rPr>
        <w:t>Bucher</w:t>
      </w:r>
      <w:r w:rsidRPr="00CF089F">
        <w:rPr>
          <w:rFonts w:ascii="Bookman Old Style" w:hAnsi="Bookman Old Style"/>
          <w:b/>
          <w:i/>
        </w:rPr>
        <w:t xml:space="preserve"> v Kalahari Express </w:t>
      </w:r>
      <w:r w:rsidR="00CF089F" w:rsidRPr="00CF089F">
        <w:rPr>
          <w:rFonts w:ascii="Bookman Old Style" w:hAnsi="Bookman Old Style"/>
          <w:b/>
          <w:i/>
        </w:rPr>
        <w:t>Airlines</w:t>
      </w:r>
      <w:r w:rsidR="00CF089F">
        <w:rPr>
          <w:rFonts w:ascii="Bookman Old Style" w:hAnsi="Bookman Old Style"/>
        </w:rPr>
        <w:t xml:space="preserve"> 2002</w:t>
      </w:r>
      <w:r>
        <w:rPr>
          <w:rFonts w:ascii="Bookman Old Style" w:hAnsi="Bookman Old Style"/>
        </w:rPr>
        <w:t xml:space="preserve"> (2) 104 </w:t>
      </w:r>
      <w:r w:rsidR="00CF089F">
        <w:rPr>
          <w:rFonts w:ascii="Bookman Old Style" w:hAnsi="Bookman Old Style"/>
        </w:rPr>
        <w:t xml:space="preserve">NLC where the headnote </w:t>
      </w:r>
      <w:r w:rsidR="00CF089F" w:rsidRPr="00CF089F">
        <w:rPr>
          <w:rFonts w:ascii="Bookman Old Style" w:hAnsi="Bookman Old Style"/>
          <w:i/>
        </w:rPr>
        <w:t>inter alia</w:t>
      </w:r>
      <w:r w:rsidR="00CF089F">
        <w:rPr>
          <w:rFonts w:ascii="Bookman Old Style" w:hAnsi="Bookman Old Style"/>
        </w:rPr>
        <w:t xml:space="preserve"> reads as follows:</w:t>
      </w:r>
    </w:p>
    <w:p w:rsidR="00B84701" w:rsidRDefault="00CF089F" w:rsidP="00CF089F">
      <w:pPr>
        <w:spacing w:line="360" w:lineRule="auto"/>
        <w:ind w:left="284"/>
        <w:jc w:val="both"/>
        <w:rPr>
          <w:rFonts w:ascii="Times New Roman" w:hAnsi="Times New Roman"/>
        </w:rPr>
      </w:pPr>
      <w:r>
        <w:rPr>
          <w:rFonts w:ascii="Bookman Old Style" w:hAnsi="Bookman Old Style"/>
        </w:rPr>
        <w:t>“</w:t>
      </w:r>
      <w:r w:rsidRPr="00CF089F">
        <w:rPr>
          <w:rFonts w:ascii="Times New Roman" w:hAnsi="Times New Roman"/>
        </w:rPr>
        <w:t>The Court had to decide whether a document issued by the Respondent was a letter of appointment and constitute an employment relationship</w:t>
      </w:r>
      <w:r>
        <w:rPr>
          <w:rFonts w:ascii="Times New Roman" w:hAnsi="Times New Roman"/>
        </w:rPr>
        <w:t xml:space="preserve">...The document was found not to be a letter of appointment. The letter was only issued </w:t>
      </w:r>
      <w:r w:rsidR="000F55F1">
        <w:rPr>
          <w:rFonts w:ascii="Times New Roman" w:hAnsi="Times New Roman"/>
        </w:rPr>
        <w:t xml:space="preserve">to </w:t>
      </w:r>
      <w:r w:rsidR="00835301">
        <w:rPr>
          <w:rFonts w:ascii="Times New Roman" w:hAnsi="Times New Roman"/>
        </w:rPr>
        <w:t xml:space="preserve">enable </w:t>
      </w:r>
      <w:r>
        <w:rPr>
          <w:rFonts w:ascii="Times New Roman" w:hAnsi="Times New Roman"/>
        </w:rPr>
        <w:t>Appellant to rent a house and that subject to certain conditions Respondent would at some time in the future engage the services of the complainant when certain criteria were met.”</w:t>
      </w:r>
    </w:p>
    <w:p w:rsidR="00CF089F" w:rsidRDefault="00CF089F" w:rsidP="00CF089F">
      <w:pPr>
        <w:spacing w:line="360" w:lineRule="auto"/>
        <w:jc w:val="both"/>
        <w:rPr>
          <w:rFonts w:ascii="Times New Roman" w:hAnsi="Times New Roman"/>
        </w:rPr>
      </w:pPr>
    </w:p>
    <w:p w:rsidR="00110CD8" w:rsidRDefault="00CF089F" w:rsidP="00110CD8">
      <w:pPr>
        <w:spacing w:line="480" w:lineRule="auto"/>
        <w:jc w:val="both"/>
        <w:rPr>
          <w:rFonts w:ascii="Bookman Old Style" w:hAnsi="Bookman Old Style"/>
        </w:rPr>
      </w:pPr>
      <w:r>
        <w:rPr>
          <w:rFonts w:ascii="Bookman Old Style" w:hAnsi="Bookman Old Style"/>
        </w:rPr>
        <w:t>[18]</w:t>
      </w:r>
      <w:r w:rsidR="00835301">
        <w:rPr>
          <w:rFonts w:ascii="Bookman Old Style" w:hAnsi="Bookman Old Style"/>
        </w:rPr>
        <w:tab/>
        <w:t>I have no qualms with the head</w:t>
      </w:r>
      <w:r>
        <w:rPr>
          <w:rFonts w:ascii="Bookman Old Style" w:hAnsi="Bookman Old Style"/>
        </w:rPr>
        <w:t xml:space="preserve">note </w:t>
      </w:r>
      <w:r w:rsidR="00110CD8">
        <w:rPr>
          <w:rFonts w:ascii="Bookman Old Style" w:hAnsi="Bookman Old Style"/>
        </w:rPr>
        <w:t>but what</w:t>
      </w:r>
      <w:r>
        <w:rPr>
          <w:rFonts w:ascii="Bookman Old Style" w:hAnsi="Bookman Old Style"/>
        </w:rPr>
        <w:t xml:space="preserve"> was the </w:t>
      </w:r>
      <w:r w:rsidRPr="00110CD8">
        <w:rPr>
          <w:rFonts w:ascii="Bookman Old Style" w:hAnsi="Bookman Old Style"/>
          <w:i/>
        </w:rPr>
        <w:t>ratio decid</w:t>
      </w:r>
      <w:r w:rsidR="00110CD8" w:rsidRPr="00110CD8">
        <w:rPr>
          <w:rFonts w:ascii="Bookman Old Style" w:hAnsi="Bookman Old Style"/>
          <w:i/>
        </w:rPr>
        <w:t>e</w:t>
      </w:r>
      <w:r w:rsidRPr="00110CD8">
        <w:rPr>
          <w:rFonts w:ascii="Bookman Old Style" w:hAnsi="Bookman Old Style"/>
          <w:i/>
        </w:rPr>
        <w:t xml:space="preserve">ndi </w:t>
      </w:r>
      <w:r w:rsidR="00110CD8">
        <w:rPr>
          <w:rFonts w:ascii="Bookman Old Style" w:hAnsi="Bookman Old Style"/>
        </w:rPr>
        <w:t xml:space="preserve">in that case? The </w:t>
      </w:r>
      <w:r w:rsidR="00110CD8" w:rsidRPr="00110CD8">
        <w:rPr>
          <w:rFonts w:ascii="Bookman Old Style" w:hAnsi="Bookman Old Style"/>
          <w:i/>
        </w:rPr>
        <w:t>ratio decidendi</w:t>
      </w:r>
      <w:r w:rsidR="00110CD8">
        <w:rPr>
          <w:rFonts w:ascii="Bookman Old Style" w:hAnsi="Bookman Old Style"/>
        </w:rPr>
        <w:t xml:space="preserve"> was articulated as follows by Levi J</w:t>
      </w:r>
      <w:r w:rsidR="00835301">
        <w:rPr>
          <w:rFonts w:ascii="Bookman Old Style" w:hAnsi="Bookman Old Style"/>
        </w:rPr>
        <w:t xml:space="preserve"> at page 113</w:t>
      </w:r>
      <w:r w:rsidR="00110CD8">
        <w:rPr>
          <w:rFonts w:ascii="Bookman Old Style" w:hAnsi="Bookman Old Style"/>
        </w:rPr>
        <w:t xml:space="preserve">: </w:t>
      </w:r>
    </w:p>
    <w:p w:rsidR="00110CD8" w:rsidRDefault="00110CD8" w:rsidP="00110CD8">
      <w:pPr>
        <w:spacing w:line="360" w:lineRule="auto"/>
        <w:ind w:left="284"/>
        <w:jc w:val="both"/>
        <w:rPr>
          <w:rFonts w:ascii="Times New Roman" w:hAnsi="Times New Roman"/>
        </w:rPr>
      </w:pPr>
      <w:r>
        <w:rPr>
          <w:rFonts w:ascii="Times New Roman" w:hAnsi="Times New Roman"/>
        </w:rPr>
        <w:t>“I am satisfied that the complainant was not truthful when he claimed that the letter dated 11 June 1997 written by Campion was a letter of appointment. I am satisfied that the complainant lied when he said he was employed in June and July by respondent at N$ 12 000-00 per month. I am satisfied that on a balance of probabilities this letter was given to complainant by Campion to enable him to lease his house.</w:t>
      </w:r>
      <w:r w:rsidR="003B460E">
        <w:rPr>
          <w:rFonts w:ascii="Times New Roman" w:hAnsi="Times New Roman"/>
        </w:rPr>
        <w:t>”</w:t>
      </w:r>
    </w:p>
    <w:p w:rsidR="00110CD8" w:rsidRDefault="00110CD8" w:rsidP="00110CD8">
      <w:pPr>
        <w:spacing w:line="360" w:lineRule="auto"/>
        <w:ind w:left="284"/>
        <w:jc w:val="both"/>
        <w:rPr>
          <w:rFonts w:ascii="Times New Roman" w:hAnsi="Times New Roman"/>
        </w:rPr>
      </w:pPr>
    </w:p>
    <w:p w:rsidR="00110CD8" w:rsidRDefault="00110CD8" w:rsidP="00110CD8">
      <w:pPr>
        <w:spacing w:line="480" w:lineRule="auto"/>
        <w:jc w:val="both"/>
        <w:rPr>
          <w:rFonts w:ascii="Bookman Old Style" w:hAnsi="Bookman Old Style"/>
        </w:rPr>
      </w:pPr>
      <w:r>
        <w:rPr>
          <w:rFonts w:ascii="Times New Roman" w:hAnsi="Times New Roman"/>
        </w:rPr>
        <w:t>[</w:t>
      </w:r>
      <w:r>
        <w:rPr>
          <w:rFonts w:ascii="Bookman Old Style" w:hAnsi="Bookman Old Style"/>
        </w:rPr>
        <w:t>19]</w:t>
      </w:r>
      <w:r>
        <w:rPr>
          <w:rFonts w:ascii="Bookman Old Style" w:hAnsi="Bookman Old Style"/>
        </w:rPr>
        <w:tab/>
        <w:t xml:space="preserve">In the present matter there is no finding by the arbitrator that the first respondent lied.  In contrast the </w:t>
      </w:r>
      <w:r w:rsidR="003B460E">
        <w:rPr>
          <w:rFonts w:ascii="Bookman Old Style" w:hAnsi="Bookman Old Style"/>
        </w:rPr>
        <w:t>facts (i.e. that the first respondent was recruited in Namibia by the appellant, worked for Brendell in Angola and was controlled by Brendell in Angola, Brendell is the 100% members’ interest holder of applicant and his salaries were paid by appellant into first respondent bank account, appellant assisted first respondent to obtain a passport and to open a bank account</w:t>
      </w:r>
      <w:r w:rsidR="00835301">
        <w:rPr>
          <w:rFonts w:ascii="Bookman Old Style" w:hAnsi="Bookman Old Style"/>
        </w:rPr>
        <w:t xml:space="preserve">, Brehum </w:t>
      </w:r>
      <w:r w:rsidR="00835301" w:rsidRPr="000F55F1">
        <w:rPr>
          <w:rFonts w:ascii="Bookman Old Style" w:hAnsi="Bookman Old Style" w:cs="Arial"/>
        </w:rPr>
        <w:t>was created as a strategic company to enable appellant to operate business in Angola</w:t>
      </w:r>
      <w:r w:rsidR="00835301">
        <w:rPr>
          <w:rFonts w:ascii="Bookman Old Style" w:hAnsi="Bookman Old Style"/>
        </w:rPr>
        <w:t xml:space="preserve"> </w:t>
      </w:r>
      <w:r w:rsidR="003B460E">
        <w:rPr>
          <w:rFonts w:ascii="Bookman Old Style" w:hAnsi="Bookman Old Style"/>
        </w:rPr>
        <w:t xml:space="preserve">), </w:t>
      </w:r>
      <w:r>
        <w:rPr>
          <w:rFonts w:ascii="Bookman Old Style" w:hAnsi="Bookman Old Style"/>
        </w:rPr>
        <w:t xml:space="preserve">placed before </w:t>
      </w:r>
      <w:r w:rsidR="00D6750E">
        <w:rPr>
          <w:rFonts w:ascii="Bookman Old Style" w:hAnsi="Bookman Old Style"/>
        </w:rPr>
        <w:t xml:space="preserve">the second respondent </w:t>
      </w:r>
      <w:r w:rsidR="003B460E">
        <w:rPr>
          <w:rFonts w:ascii="Bookman Old Style" w:hAnsi="Bookman Old Style"/>
        </w:rPr>
        <w:t xml:space="preserve">all point to the existence of an employment relationship and the appellant has failed to rebut the evidence so placed </w:t>
      </w:r>
      <w:r w:rsidR="003B460E">
        <w:rPr>
          <w:rFonts w:ascii="Bookman Old Style" w:hAnsi="Bookman Old Style"/>
        </w:rPr>
        <w:lastRenderedPageBreak/>
        <w:t xml:space="preserve">before </w:t>
      </w:r>
      <w:r w:rsidR="00D6750E">
        <w:rPr>
          <w:rFonts w:ascii="Bookman Old Style" w:hAnsi="Bookman Old Style"/>
        </w:rPr>
        <w:t>the second respondent</w:t>
      </w:r>
      <w:r w:rsidR="003B460E">
        <w:rPr>
          <w:rFonts w:ascii="Bookman Old Style" w:hAnsi="Bookman Old Style"/>
        </w:rPr>
        <w:t>.  I am thus satisfied that on the facts found by the second respondent he was right to make the decision he made.</w:t>
      </w:r>
    </w:p>
    <w:p w:rsidR="003B460E" w:rsidRPr="00110CD8" w:rsidRDefault="003B460E" w:rsidP="00110CD8">
      <w:pPr>
        <w:spacing w:line="480" w:lineRule="auto"/>
        <w:jc w:val="both"/>
        <w:rPr>
          <w:rFonts w:ascii="Bookman Old Style" w:hAnsi="Bookman Old Style"/>
        </w:rPr>
      </w:pPr>
    </w:p>
    <w:p w:rsidR="00E22BDD" w:rsidRPr="00E22BDD" w:rsidRDefault="00E22BDD" w:rsidP="00E22BDD">
      <w:pPr>
        <w:tabs>
          <w:tab w:val="left" w:pos="720"/>
          <w:tab w:val="left" w:pos="1440"/>
        </w:tabs>
        <w:spacing w:line="480" w:lineRule="auto"/>
        <w:jc w:val="both"/>
        <w:rPr>
          <w:rFonts w:ascii="Bookman Old Style" w:hAnsi="Bookman Old Style"/>
          <w:b/>
          <w:i/>
        </w:rPr>
      </w:pPr>
      <w:r w:rsidRPr="00E22BDD">
        <w:rPr>
          <w:rFonts w:ascii="Bookman Old Style" w:hAnsi="Bookman Old Style"/>
          <w:b/>
          <w:i/>
        </w:rPr>
        <w:t xml:space="preserve">Second </w:t>
      </w:r>
      <w:r w:rsidR="007A04A8">
        <w:rPr>
          <w:rFonts w:ascii="Bookman Old Style" w:hAnsi="Bookman Old Style"/>
          <w:b/>
          <w:i/>
        </w:rPr>
        <w:t xml:space="preserve">and Third </w:t>
      </w:r>
      <w:r w:rsidRPr="00E22BDD">
        <w:rPr>
          <w:rFonts w:ascii="Bookman Old Style" w:hAnsi="Bookman Old Style"/>
          <w:b/>
          <w:i/>
        </w:rPr>
        <w:t>ground</w:t>
      </w:r>
      <w:r w:rsidR="007A04A8">
        <w:rPr>
          <w:rFonts w:ascii="Bookman Old Style" w:hAnsi="Bookman Old Style"/>
          <w:b/>
          <w:i/>
        </w:rPr>
        <w:t>s</w:t>
      </w:r>
      <w:r w:rsidRPr="00E22BDD">
        <w:rPr>
          <w:rFonts w:ascii="Bookman Old Style" w:hAnsi="Bookman Old Style"/>
          <w:b/>
          <w:i/>
        </w:rPr>
        <w:t xml:space="preserve"> of Appeal</w:t>
      </w:r>
    </w:p>
    <w:p w:rsidR="009163D5" w:rsidRDefault="00E22BDD" w:rsidP="00E22BDD">
      <w:pPr>
        <w:spacing w:line="480" w:lineRule="auto"/>
        <w:jc w:val="both"/>
        <w:rPr>
          <w:rFonts w:ascii="Bookman Old Style" w:hAnsi="Bookman Old Style"/>
        </w:rPr>
      </w:pPr>
      <w:r>
        <w:rPr>
          <w:rFonts w:ascii="Bookman Old Style" w:hAnsi="Bookman Old Style" w:cs="Arial"/>
        </w:rPr>
        <w:t>[20]</w:t>
      </w:r>
      <w:r>
        <w:rPr>
          <w:rFonts w:ascii="Bookman Old Style" w:hAnsi="Bookman Old Style" w:cs="Arial"/>
        </w:rPr>
        <w:tab/>
      </w:r>
      <w:r w:rsidR="007A04A8">
        <w:rPr>
          <w:rFonts w:ascii="Bookman Old Style" w:hAnsi="Bookman Old Style" w:cs="Arial"/>
        </w:rPr>
        <w:t xml:space="preserve">I am of the view that the second and third grounds </w:t>
      </w:r>
      <w:r w:rsidR="00D6750E">
        <w:rPr>
          <w:rFonts w:ascii="Bookman Old Style" w:hAnsi="Bookman Old Style" w:cs="Arial"/>
        </w:rPr>
        <w:t>of appeal</w:t>
      </w:r>
      <w:r w:rsidR="007A04A8">
        <w:rPr>
          <w:rFonts w:ascii="Bookman Old Style" w:hAnsi="Bookman Old Style" w:cs="Arial"/>
        </w:rPr>
        <w:t xml:space="preserve"> deal with one and same aspects </w:t>
      </w:r>
      <w:r w:rsidR="00D6750E">
        <w:rPr>
          <w:rFonts w:ascii="Bookman Old Style" w:hAnsi="Bookman Old Style" w:cs="Arial"/>
        </w:rPr>
        <w:t xml:space="preserve">and </w:t>
      </w:r>
      <w:r w:rsidR="007A04A8">
        <w:rPr>
          <w:rFonts w:ascii="Bookman Old Style" w:hAnsi="Bookman Old Style" w:cs="Arial"/>
        </w:rPr>
        <w:t xml:space="preserve">a finding on ground two will dispose of the appeal on ground three. </w:t>
      </w:r>
      <w:r w:rsidRPr="00E22BDD">
        <w:rPr>
          <w:rFonts w:ascii="Bookman Old Style" w:hAnsi="Bookman Old Style" w:cs="Arial"/>
        </w:rPr>
        <w:t>The second ground of appeal is formulated as follows</w:t>
      </w:r>
      <w:r w:rsidR="00D6750E">
        <w:rPr>
          <w:rFonts w:ascii="Bookman Old Style" w:hAnsi="Bookman Old Style" w:cs="Arial"/>
        </w:rPr>
        <w:t>:</w:t>
      </w:r>
      <w:r>
        <w:rPr>
          <w:rFonts w:ascii="Bookman Old Style" w:hAnsi="Bookman Old Style" w:cs="Arial"/>
        </w:rPr>
        <w:t xml:space="preserve"> “S</w:t>
      </w:r>
      <w:r w:rsidR="009163D5" w:rsidRPr="00E22BDD">
        <w:rPr>
          <w:rFonts w:ascii="Bookman Old Style" w:hAnsi="Bookman Old Style"/>
        </w:rPr>
        <w:t>econd respondent’s jurisdiction to award payment in the amount of N$ 19</w:t>
      </w:r>
      <w:r w:rsidR="008554C6" w:rsidRPr="00E22BDD">
        <w:rPr>
          <w:rFonts w:ascii="Bookman Old Style" w:hAnsi="Bookman Old Style"/>
        </w:rPr>
        <w:t xml:space="preserve"> </w:t>
      </w:r>
      <w:r w:rsidR="009163D5" w:rsidRPr="00E22BDD">
        <w:rPr>
          <w:rFonts w:ascii="Bookman Old Style" w:hAnsi="Bookman Old Style"/>
        </w:rPr>
        <w:t>758</w:t>
      </w:r>
      <w:r w:rsidR="00545ECE" w:rsidRPr="00E22BDD">
        <w:rPr>
          <w:rFonts w:ascii="Bookman Old Style" w:hAnsi="Bookman Old Style"/>
        </w:rPr>
        <w:t>-</w:t>
      </w:r>
      <w:r w:rsidR="009163D5" w:rsidRPr="00E22BDD">
        <w:rPr>
          <w:rFonts w:ascii="Bookman Old Style" w:hAnsi="Bookman Old Style"/>
        </w:rPr>
        <w:t>40 together with N$ 4 846</w:t>
      </w:r>
      <w:r w:rsidR="00545ECE" w:rsidRPr="00E22BDD">
        <w:rPr>
          <w:rFonts w:ascii="Bookman Old Style" w:hAnsi="Bookman Old Style"/>
        </w:rPr>
        <w:t>-</w:t>
      </w:r>
      <w:r w:rsidR="009163D5" w:rsidRPr="00E22BDD">
        <w:rPr>
          <w:rFonts w:ascii="Bookman Old Style" w:hAnsi="Bookman Old Style"/>
        </w:rPr>
        <w:t>52 and N$ 14 000</w:t>
      </w:r>
      <w:r w:rsidR="00545ECE" w:rsidRPr="00E22BDD">
        <w:rPr>
          <w:rFonts w:ascii="Bookman Old Style" w:hAnsi="Bookman Old Style"/>
        </w:rPr>
        <w:t>-</w:t>
      </w:r>
      <w:r w:rsidR="009163D5" w:rsidRPr="00E22BDD">
        <w:rPr>
          <w:rFonts w:ascii="Bookman Old Style" w:hAnsi="Bookman Old Style"/>
        </w:rPr>
        <w:t>00, while respondent prayed for payment in the amount of N$ 19 758</w:t>
      </w:r>
      <w:r w:rsidR="00545ECE" w:rsidRPr="00E22BDD">
        <w:rPr>
          <w:rFonts w:ascii="Bookman Old Style" w:hAnsi="Bookman Old Style"/>
        </w:rPr>
        <w:t>-</w:t>
      </w:r>
      <w:r w:rsidR="009163D5" w:rsidRPr="00E22BDD">
        <w:rPr>
          <w:rFonts w:ascii="Bookman Old Style" w:hAnsi="Bookman Old Style"/>
        </w:rPr>
        <w:t>40 only</w:t>
      </w:r>
      <w:r>
        <w:rPr>
          <w:rFonts w:ascii="Bookman Old Style" w:hAnsi="Bookman Old Style"/>
        </w:rPr>
        <w:t>”.</w:t>
      </w:r>
    </w:p>
    <w:p w:rsidR="00D6750E" w:rsidRDefault="00D6750E" w:rsidP="00E22BDD">
      <w:pPr>
        <w:spacing w:line="480" w:lineRule="auto"/>
        <w:jc w:val="both"/>
        <w:rPr>
          <w:rFonts w:ascii="Bookman Old Style" w:hAnsi="Bookman Old Style"/>
        </w:rPr>
      </w:pPr>
    </w:p>
    <w:p w:rsidR="00E22BDD" w:rsidRPr="00E22BDD" w:rsidRDefault="00E22BDD" w:rsidP="00E507EC">
      <w:pPr>
        <w:spacing w:line="480" w:lineRule="auto"/>
        <w:jc w:val="both"/>
        <w:rPr>
          <w:rFonts w:ascii="Bookman Old Style" w:hAnsi="Bookman Old Style"/>
        </w:rPr>
      </w:pPr>
      <w:r>
        <w:rPr>
          <w:rFonts w:ascii="Bookman Old Style" w:hAnsi="Bookman Old Style"/>
        </w:rPr>
        <w:t>[21]</w:t>
      </w:r>
      <w:r>
        <w:rPr>
          <w:rFonts w:ascii="Bookman Old Style" w:hAnsi="Bookman Old Style"/>
        </w:rPr>
        <w:tab/>
        <w:t xml:space="preserve">I am satisfied that it is a question of law as to whether the second respondent has jurisdiction to award a </w:t>
      </w:r>
      <w:r w:rsidR="00E507EC">
        <w:rPr>
          <w:rFonts w:ascii="Bookman Old Style" w:hAnsi="Bookman Old Style"/>
        </w:rPr>
        <w:t>remedy not</w:t>
      </w:r>
      <w:r>
        <w:rPr>
          <w:rFonts w:ascii="Bookman Old Style" w:hAnsi="Bookman Old Style"/>
        </w:rPr>
        <w:t xml:space="preserve"> claimed by the first respondent.</w:t>
      </w:r>
    </w:p>
    <w:p w:rsidR="009163D5" w:rsidRDefault="009163D5" w:rsidP="00E507EC">
      <w:pPr>
        <w:spacing w:line="480" w:lineRule="auto"/>
        <w:jc w:val="both"/>
        <w:rPr>
          <w:rFonts w:ascii="Times New Roman" w:hAnsi="Times New Roman"/>
        </w:rPr>
      </w:pPr>
    </w:p>
    <w:p w:rsidR="00D37EAD" w:rsidRDefault="00D37EAD" w:rsidP="00E507EC">
      <w:pPr>
        <w:spacing w:line="480" w:lineRule="auto"/>
        <w:jc w:val="both"/>
        <w:rPr>
          <w:rFonts w:ascii="Bookman Old Style" w:hAnsi="Bookman Old Style"/>
        </w:rPr>
      </w:pPr>
      <w:r w:rsidRPr="00D37EAD">
        <w:rPr>
          <w:rFonts w:ascii="Bookman Old Style" w:hAnsi="Bookman Old Style"/>
        </w:rPr>
        <w:t>[22]</w:t>
      </w:r>
      <w:r>
        <w:rPr>
          <w:rFonts w:ascii="Bookman Old Style" w:hAnsi="Bookman Old Style"/>
        </w:rPr>
        <w:tab/>
        <w:t>The second respondent made the following award after he found that the first respondent was employed by the appellant.</w:t>
      </w:r>
    </w:p>
    <w:p w:rsidR="00D37EAD" w:rsidRPr="00896A46" w:rsidRDefault="00D37EAD" w:rsidP="00896A46">
      <w:pPr>
        <w:spacing w:line="360" w:lineRule="auto"/>
        <w:ind w:left="284"/>
        <w:jc w:val="both"/>
        <w:rPr>
          <w:rFonts w:ascii="Times New Roman" w:hAnsi="Times New Roman"/>
        </w:rPr>
      </w:pPr>
      <w:r w:rsidRPr="00896A46">
        <w:rPr>
          <w:rFonts w:ascii="Times New Roman" w:hAnsi="Times New Roman"/>
        </w:rPr>
        <w:t>“</w:t>
      </w:r>
      <w:r w:rsidR="00896A46" w:rsidRPr="00896A46">
        <w:rPr>
          <w:rFonts w:ascii="Times New Roman" w:hAnsi="Times New Roman"/>
        </w:rPr>
        <w:t>The</w:t>
      </w:r>
      <w:r w:rsidRPr="00896A46">
        <w:rPr>
          <w:rFonts w:ascii="Times New Roman" w:hAnsi="Times New Roman"/>
        </w:rPr>
        <w:t xml:space="preserve"> </w:t>
      </w:r>
      <w:r w:rsidR="00896A46" w:rsidRPr="00896A46">
        <w:rPr>
          <w:rFonts w:ascii="Times New Roman" w:hAnsi="Times New Roman"/>
        </w:rPr>
        <w:t>respondent,</w:t>
      </w:r>
      <w:r w:rsidRPr="00896A46">
        <w:rPr>
          <w:rFonts w:ascii="Times New Roman" w:hAnsi="Times New Roman"/>
        </w:rPr>
        <w:t xml:space="preserve"> J</w:t>
      </w:r>
      <w:r w:rsidR="00896A46" w:rsidRPr="00896A46">
        <w:rPr>
          <w:rFonts w:ascii="Times New Roman" w:hAnsi="Times New Roman"/>
        </w:rPr>
        <w:t>B</w:t>
      </w:r>
      <w:r w:rsidRPr="00896A46">
        <w:rPr>
          <w:rFonts w:ascii="Times New Roman" w:hAnsi="Times New Roman"/>
        </w:rPr>
        <w:t xml:space="preserve"> Cooling &amp; Refrigeration cc, </w:t>
      </w:r>
      <w:r w:rsidR="00896A46" w:rsidRPr="00896A46">
        <w:rPr>
          <w:rFonts w:ascii="Times New Roman" w:hAnsi="Times New Roman"/>
        </w:rPr>
        <w:t>must pay</w:t>
      </w:r>
      <w:r w:rsidR="00896A46">
        <w:rPr>
          <w:rFonts w:ascii="Times New Roman" w:hAnsi="Times New Roman"/>
        </w:rPr>
        <w:t xml:space="preserve"> the applicant Mr</w:t>
      </w:r>
      <w:r w:rsidR="00896A46" w:rsidRPr="00896A46">
        <w:rPr>
          <w:rFonts w:ascii="Times New Roman" w:hAnsi="Times New Roman"/>
        </w:rPr>
        <w:t xml:space="preserve"> Kastro</w:t>
      </w:r>
      <w:r w:rsidRPr="00896A46">
        <w:rPr>
          <w:rFonts w:ascii="Times New Roman" w:hAnsi="Times New Roman"/>
        </w:rPr>
        <w:t xml:space="preserve"> </w:t>
      </w:r>
      <w:r w:rsidR="00896A46">
        <w:rPr>
          <w:rFonts w:ascii="Times New Roman" w:hAnsi="Times New Roman"/>
        </w:rPr>
        <w:t>Kavendjaa, the claimed amount or underpayment N$ 19 748-40- plus N$ 4846-52 ( payment for three weeks), plus another N$ 14 000-00 (Salary for December 2009 and January 2010).”</w:t>
      </w:r>
    </w:p>
    <w:p w:rsidR="00D37EAD" w:rsidRDefault="00D37EAD" w:rsidP="00E507EC">
      <w:pPr>
        <w:spacing w:line="480" w:lineRule="auto"/>
        <w:jc w:val="both"/>
        <w:rPr>
          <w:rFonts w:ascii="Bookman Old Style" w:hAnsi="Bookman Old Style"/>
        </w:rPr>
      </w:pPr>
    </w:p>
    <w:p w:rsidR="00896A46" w:rsidRPr="00521FBA" w:rsidRDefault="00D37EAD" w:rsidP="00896A46">
      <w:pPr>
        <w:tabs>
          <w:tab w:val="left" w:pos="720"/>
        </w:tabs>
        <w:spacing w:line="480" w:lineRule="auto"/>
        <w:jc w:val="both"/>
        <w:rPr>
          <w:rFonts w:ascii="Bookman Old Style" w:hAnsi="Bookman Old Style" w:cs="Arial"/>
        </w:rPr>
      </w:pPr>
      <w:r>
        <w:rPr>
          <w:rFonts w:ascii="Bookman Old Style" w:hAnsi="Bookman Old Style"/>
        </w:rPr>
        <w:t>[23]</w:t>
      </w:r>
      <w:r>
        <w:rPr>
          <w:rFonts w:ascii="Bookman Old Style" w:hAnsi="Bookman Old Style"/>
        </w:rPr>
        <w:tab/>
      </w:r>
      <w:r w:rsidR="00896A46">
        <w:rPr>
          <w:rFonts w:ascii="Bookman Old Style" w:hAnsi="Bookman Old Style"/>
        </w:rPr>
        <w:t>As I have indicated in paragraph</w:t>
      </w:r>
      <w:r w:rsidR="00D6750E">
        <w:rPr>
          <w:rFonts w:ascii="Bookman Old Style" w:hAnsi="Bookman Old Style"/>
        </w:rPr>
        <w:t xml:space="preserve"> 3 above </w:t>
      </w:r>
      <w:r w:rsidR="00896A46">
        <w:rPr>
          <w:rFonts w:ascii="Bookman Old Style" w:hAnsi="Bookman Old Style"/>
        </w:rPr>
        <w:t xml:space="preserve">the first respondent claimed </w:t>
      </w:r>
      <w:r w:rsidR="00896A46" w:rsidRPr="00521FBA">
        <w:rPr>
          <w:rFonts w:ascii="Bookman Old Style" w:hAnsi="Bookman Old Style" w:cs="Arial"/>
        </w:rPr>
        <w:t xml:space="preserve">N$ 19 900 -00 which </w:t>
      </w:r>
      <w:r w:rsidR="00D6750E">
        <w:rPr>
          <w:rFonts w:ascii="Bookman Old Style" w:hAnsi="Bookman Old Style" w:cs="Arial"/>
        </w:rPr>
        <w:t>was ‘</w:t>
      </w:r>
      <w:r w:rsidR="00896A46" w:rsidRPr="00521FBA">
        <w:rPr>
          <w:rFonts w:ascii="Bookman Old Style" w:hAnsi="Bookman Old Style" w:cs="Arial"/>
        </w:rPr>
        <w:t>outstanding according to the agreement</w:t>
      </w:r>
      <w:r w:rsidR="00D6750E">
        <w:rPr>
          <w:rFonts w:ascii="Bookman Old Style" w:hAnsi="Bookman Old Style" w:cs="Arial"/>
        </w:rPr>
        <w:t xml:space="preserve">’ </w:t>
      </w:r>
      <w:r w:rsidR="00896A46">
        <w:rPr>
          <w:rFonts w:ascii="Bookman Old Style" w:hAnsi="Bookman Old Style" w:cs="Arial"/>
        </w:rPr>
        <w:t>when he referred the dispute to the Labour Commissioner.</w:t>
      </w:r>
    </w:p>
    <w:p w:rsidR="00896A46" w:rsidRDefault="00896A46" w:rsidP="00E507EC">
      <w:pPr>
        <w:spacing w:line="480" w:lineRule="auto"/>
        <w:jc w:val="both"/>
        <w:rPr>
          <w:rFonts w:ascii="Bookman Old Style" w:hAnsi="Bookman Old Style"/>
        </w:rPr>
      </w:pPr>
    </w:p>
    <w:p w:rsidR="00D37EAD" w:rsidRDefault="00896A46" w:rsidP="00E507EC">
      <w:pPr>
        <w:spacing w:line="480" w:lineRule="auto"/>
        <w:jc w:val="both"/>
        <w:rPr>
          <w:rFonts w:ascii="Bookman Old Style" w:hAnsi="Bookman Old Style"/>
          <w:bCs/>
        </w:rPr>
      </w:pPr>
      <w:r>
        <w:rPr>
          <w:rFonts w:ascii="Bookman Old Style" w:hAnsi="Bookman Old Style"/>
          <w:bCs/>
        </w:rPr>
        <w:lastRenderedPageBreak/>
        <w:t>[24]</w:t>
      </w:r>
      <w:r>
        <w:rPr>
          <w:rFonts w:ascii="Bookman Old Style" w:hAnsi="Bookman Old Style"/>
          <w:bCs/>
        </w:rPr>
        <w:tab/>
      </w:r>
      <w:r w:rsidR="00D37EAD">
        <w:rPr>
          <w:rFonts w:ascii="Bookman Old Style" w:hAnsi="Bookman Old Style"/>
          <w:bCs/>
        </w:rPr>
        <w:t>I</w:t>
      </w:r>
      <w:r w:rsidR="00D37EAD" w:rsidRPr="00D37EAD">
        <w:rPr>
          <w:rFonts w:ascii="Bookman Old Style" w:hAnsi="Bookman Old Style"/>
          <w:bCs/>
        </w:rPr>
        <w:t xml:space="preserve">n the unreported judgment of </w:t>
      </w:r>
      <w:r w:rsidR="00D37EAD" w:rsidRPr="00D37EAD">
        <w:rPr>
          <w:rFonts w:ascii="Bookman Old Style" w:hAnsi="Bookman Old Style"/>
          <w:b/>
          <w:bCs/>
          <w:i/>
        </w:rPr>
        <w:t xml:space="preserve">Shoprite Namibia (Pty) Ltd Appellant </w:t>
      </w:r>
      <w:r w:rsidR="00D37EAD" w:rsidRPr="00D37EAD">
        <w:rPr>
          <w:rFonts w:ascii="Bookman Old Style" w:hAnsi="Bookman Old Style"/>
          <w:b/>
          <w:i/>
        </w:rPr>
        <w:t>v</w:t>
      </w:r>
      <w:r w:rsidR="00D37EAD" w:rsidRPr="00D37EAD">
        <w:rPr>
          <w:rFonts w:ascii="Bookman Old Style" w:hAnsi="Bookman Old Style"/>
          <w:i/>
        </w:rPr>
        <w:t xml:space="preserve"> </w:t>
      </w:r>
      <w:r w:rsidR="00D37EAD" w:rsidRPr="00D37EAD">
        <w:rPr>
          <w:rFonts w:ascii="Bookman Old Style" w:hAnsi="Bookman Old Style"/>
          <w:b/>
          <w:bCs/>
          <w:i/>
        </w:rPr>
        <w:t xml:space="preserve">Faustino Moises Paulo:  </w:t>
      </w:r>
      <w:r w:rsidR="00D37EAD" w:rsidRPr="00D37EAD">
        <w:rPr>
          <w:rFonts w:ascii="Bookman Old Style" w:hAnsi="Bookman Old Style"/>
          <w:b/>
          <w:bCs/>
        </w:rPr>
        <w:t xml:space="preserve">Case No.: LCA 02/2010 </w:t>
      </w:r>
      <w:r w:rsidR="00D37EAD" w:rsidRPr="00D37EAD">
        <w:rPr>
          <w:rFonts w:ascii="Bookman Old Style" w:hAnsi="Bookman Old Style"/>
          <w:bCs/>
        </w:rPr>
        <w:t>Parker J said</w:t>
      </w:r>
      <w:r w:rsidR="00D37EAD">
        <w:rPr>
          <w:rFonts w:ascii="Bookman Old Style" w:hAnsi="Bookman Old Style"/>
          <w:bCs/>
        </w:rPr>
        <w:t>:</w:t>
      </w:r>
    </w:p>
    <w:p w:rsidR="00E507EC" w:rsidRDefault="00D37EAD" w:rsidP="00D37EAD">
      <w:pPr>
        <w:spacing w:line="360" w:lineRule="auto"/>
        <w:ind w:left="284"/>
        <w:jc w:val="both"/>
        <w:rPr>
          <w:rFonts w:ascii="Times New Roman" w:hAnsi="Times New Roman"/>
        </w:rPr>
      </w:pPr>
      <w:r>
        <w:rPr>
          <w:rFonts w:ascii="Times New Roman" w:hAnsi="Times New Roman"/>
        </w:rPr>
        <w:t>“</w:t>
      </w:r>
      <w:r w:rsidRPr="00D37EAD">
        <w:rPr>
          <w:rFonts w:ascii="Times New Roman" w:hAnsi="Times New Roman"/>
        </w:rPr>
        <w:t>It is trite that a notice of appeal must specify the grounds of the appeal and the notice must be carefully framed, for an appellant has no right in the hearing of an appeal to rely on any grounds of appeal not specified in the notice of appeal. In this regard it has also been said that precision in specifying grounds of appeal is ‘not a matter of form but a matter of substance … necessary to enable appeals to be justly disposed of (</w:t>
      </w:r>
      <w:r w:rsidRPr="00D37EAD">
        <w:rPr>
          <w:rFonts w:ascii="Times New Roman" w:hAnsi="Times New Roman"/>
          <w:i/>
          <w:iCs/>
        </w:rPr>
        <w:t xml:space="preserve">Johnson v Johnson </w:t>
      </w:r>
      <w:r w:rsidRPr="00D37EAD">
        <w:rPr>
          <w:rFonts w:ascii="Times New Roman" w:hAnsi="Times New Roman"/>
        </w:rPr>
        <w:t xml:space="preserve">[1969] 1 W.L.R. 1044 at 1046 </w:t>
      </w:r>
      <w:r w:rsidRPr="00D37EAD">
        <w:rPr>
          <w:rFonts w:ascii="Times New Roman" w:hAnsi="Times New Roman"/>
          <w:i/>
          <w:iCs/>
        </w:rPr>
        <w:t xml:space="preserve">per </w:t>
      </w:r>
      <w:r w:rsidRPr="00D37EAD">
        <w:rPr>
          <w:rFonts w:ascii="Times New Roman" w:hAnsi="Times New Roman"/>
        </w:rPr>
        <w:t xml:space="preserve">Brandon J).’ The </w:t>
      </w:r>
      <w:r w:rsidRPr="00D37EAD">
        <w:rPr>
          <w:rFonts w:ascii="Times New Roman" w:hAnsi="Times New Roman"/>
          <w:i/>
          <w:iCs/>
        </w:rPr>
        <w:t xml:space="preserve">locus classicus </w:t>
      </w:r>
      <w:r w:rsidRPr="00D37EAD">
        <w:rPr>
          <w:rFonts w:ascii="Times New Roman" w:hAnsi="Times New Roman"/>
        </w:rPr>
        <w:t xml:space="preserve">of a similar proposition of law by the Court is found in </w:t>
      </w:r>
      <w:r w:rsidRPr="00D37EAD">
        <w:rPr>
          <w:rFonts w:ascii="Times New Roman" w:hAnsi="Times New Roman"/>
          <w:i/>
          <w:iCs/>
        </w:rPr>
        <w:t xml:space="preserve">S v Gey Van Pittius and Another </w:t>
      </w:r>
      <w:r w:rsidRPr="00D37EAD">
        <w:rPr>
          <w:rFonts w:ascii="Times New Roman" w:hAnsi="Times New Roman"/>
        </w:rPr>
        <w:t>1990 NR 35 at 36H where Strydom AJP (as he then was) stated, ‘</w:t>
      </w:r>
      <w:r w:rsidRPr="00D37EAD">
        <w:rPr>
          <w:rFonts w:ascii="Times New Roman" w:hAnsi="Times New Roman"/>
          <w:b/>
          <w:i/>
          <w:u w:val="single"/>
        </w:rPr>
        <w:t>The purpose of grounds of appeal as required by the Rules is to apprise all interested parties as fully as possible of what is in issue and to bind the parties to those issues</w:t>
      </w:r>
      <w:r w:rsidRPr="00D37EAD">
        <w:rPr>
          <w:rFonts w:ascii="Times New Roman" w:hAnsi="Times New Roman"/>
        </w:rPr>
        <w:t>.</w:t>
      </w:r>
      <w:r w:rsidRPr="00D37EAD">
        <w:rPr>
          <w:rFonts w:ascii="Bookman Old Style" w:hAnsi="Bookman Old Style"/>
        </w:rPr>
        <w:t>’ My Emphasis</w:t>
      </w:r>
    </w:p>
    <w:p w:rsidR="00D37EAD" w:rsidRDefault="00D37EAD" w:rsidP="00D37EAD">
      <w:pPr>
        <w:spacing w:line="360" w:lineRule="auto"/>
        <w:ind w:left="284"/>
        <w:jc w:val="both"/>
        <w:rPr>
          <w:rFonts w:ascii="Times New Roman" w:hAnsi="Times New Roman"/>
        </w:rPr>
      </w:pPr>
    </w:p>
    <w:p w:rsidR="00D37EAD" w:rsidRDefault="00D37EAD" w:rsidP="00D37EAD">
      <w:pPr>
        <w:spacing w:line="480" w:lineRule="auto"/>
        <w:jc w:val="both"/>
        <w:rPr>
          <w:rFonts w:ascii="Bookman Old Style" w:hAnsi="Bookman Old Style"/>
        </w:rPr>
      </w:pPr>
      <w:r w:rsidRPr="00D37EAD">
        <w:rPr>
          <w:rFonts w:ascii="Bookman Old Style" w:hAnsi="Bookman Old Style"/>
        </w:rPr>
        <w:t>[2</w:t>
      </w:r>
      <w:r w:rsidR="00896A46">
        <w:rPr>
          <w:rFonts w:ascii="Bookman Old Style" w:hAnsi="Bookman Old Style"/>
        </w:rPr>
        <w:t>5</w:t>
      </w:r>
      <w:r w:rsidRPr="00D37EAD">
        <w:rPr>
          <w:rFonts w:ascii="Bookman Old Style" w:hAnsi="Bookman Old Style"/>
        </w:rPr>
        <w:t>]</w:t>
      </w:r>
      <w:r w:rsidRPr="00D37EAD">
        <w:rPr>
          <w:rFonts w:ascii="Bookman Old Style" w:hAnsi="Bookman Old Style"/>
        </w:rPr>
        <w:tab/>
      </w:r>
      <w:r>
        <w:rPr>
          <w:rFonts w:ascii="Bookman Old Style" w:hAnsi="Bookman Old Style"/>
        </w:rPr>
        <w:t xml:space="preserve">I am of the view that I need no authority to hold </w:t>
      </w:r>
      <w:r w:rsidR="00D6750E">
        <w:rPr>
          <w:rFonts w:ascii="Bookman Old Style" w:hAnsi="Bookman Old Style"/>
        </w:rPr>
        <w:t xml:space="preserve">that </w:t>
      </w:r>
      <w:r w:rsidRPr="00D37EAD">
        <w:rPr>
          <w:rFonts w:ascii="Bookman Old Style" w:hAnsi="Bookman Old Style"/>
        </w:rPr>
        <w:t xml:space="preserve">the principle enunciated by the Court </w:t>
      </w:r>
      <w:r>
        <w:rPr>
          <w:rFonts w:ascii="Bookman Old Style" w:hAnsi="Bookman Old Style"/>
        </w:rPr>
        <w:t xml:space="preserve">(in the </w:t>
      </w:r>
      <w:r w:rsidRPr="00D37EAD">
        <w:rPr>
          <w:rFonts w:ascii="Bookman Old Style" w:hAnsi="Bookman Old Style"/>
          <w:b/>
          <w:i/>
        </w:rPr>
        <w:t>Shoprite case supra</w:t>
      </w:r>
      <w:r>
        <w:rPr>
          <w:rFonts w:ascii="Bookman Old Style" w:hAnsi="Bookman Old Style"/>
        </w:rPr>
        <w:t>)</w:t>
      </w:r>
      <w:r w:rsidRPr="00D37EAD">
        <w:rPr>
          <w:rFonts w:ascii="Bookman Old Style" w:hAnsi="Bookman Old Style"/>
        </w:rPr>
        <w:t xml:space="preserve"> </w:t>
      </w:r>
      <w:r>
        <w:rPr>
          <w:rFonts w:ascii="Bookman Old Style" w:hAnsi="Bookman Old Style"/>
        </w:rPr>
        <w:t>applies</w:t>
      </w:r>
      <w:r w:rsidRPr="00D37EAD">
        <w:rPr>
          <w:rFonts w:ascii="Bookman Old Style" w:hAnsi="Bookman Old Style"/>
        </w:rPr>
        <w:t xml:space="preserve"> with equal force to</w:t>
      </w:r>
      <w:r>
        <w:rPr>
          <w:rFonts w:ascii="Bookman Old Style" w:hAnsi="Bookman Old Style"/>
        </w:rPr>
        <w:t xml:space="preserve"> the formulation of particulars of claim</w:t>
      </w:r>
      <w:r w:rsidR="00D6750E">
        <w:rPr>
          <w:rFonts w:ascii="Bookman Old Style" w:hAnsi="Bookman Old Style"/>
        </w:rPr>
        <w:t>/summary of dispute of facts</w:t>
      </w:r>
      <w:r w:rsidRPr="00D37EAD">
        <w:rPr>
          <w:rFonts w:ascii="Bookman Old Style" w:hAnsi="Bookman Old Style"/>
        </w:rPr>
        <w:t>.</w:t>
      </w:r>
      <w:r>
        <w:rPr>
          <w:rFonts w:ascii="Bookman Old Style" w:hAnsi="Bookman Old Style"/>
        </w:rPr>
        <w:t xml:space="preserve"> I </w:t>
      </w:r>
      <w:r w:rsidR="00896A46">
        <w:rPr>
          <w:rFonts w:ascii="Bookman Old Style" w:hAnsi="Bookman Old Style"/>
        </w:rPr>
        <w:t xml:space="preserve">am </w:t>
      </w:r>
      <w:r>
        <w:rPr>
          <w:rFonts w:ascii="Bookman Old Style" w:hAnsi="Bookman Old Style"/>
        </w:rPr>
        <w:t xml:space="preserve">thus </w:t>
      </w:r>
      <w:r w:rsidR="00896A46">
        <w:rPr>
          <w:rFonts w:ascii="Bookman Old Style" w:hAnsi="Bookman Old Style"/>
        </w:rPr>
        <w:t>of the view that the second respondent had no power to make an award not claimed by the first respondent</w:t>
      </w:r>
      <w:r w:rsidR="0053334E">
        <w:rPr>
          <w:rFonts w:ascii="Bookman Old Style" w:hAnsi="Bookman Old Style"/>
        </w:rPr>
        <w:t xml:space="preserve">. Ms Van der Merwe referred me to the case of </w:t>
      </w:r>
      <w:r w:rsidR="0053334E" w:rsidRPr="0053334E">
        <w:rPr>
          <w:rFonts w:ascii="Bookman Old Style" w:hAnsi="Bookman Old Style"/>
          <w:b/>
          <w:i/>
        </w:rPr>
        <w:t xml:space="preserve">Double </w:t>
      </w:r>
      <w:r w:rsidR="0053334E">
        <w:rPr>
          <w:rFonts w:ascii="Bookman Old Style" w:hAnsi="Bookman Old Style"/>
          <w:b/>
          <w:i/>
        </w:rPr>
        <w:t>v</w:t>
      </w:r>
      <w:r w:rsidR="0053334E" w:rsidRPr="0053334E">
        <w:rPr>
          <w:rFonts w:ascii="Bookman Old Style" w:hAnsi="Bookman Old Style"/>
          <w:b/>
          <w:i/>
        </w:rPr>
        <w:t xml:space="preserve"> Delport</w:t>
      </w:r>
      <w:r w:rsidR="0053334E" w:rsidRPr="0053334E">
        <w:rPr>
          <w:rFonts w:ascii="Bookman Old Style" w:hAnsi="Bookman Old Style"/>
        </w:rPr>
        <w:t xml:space="preserve"> 1949 (2) SA 621 (N)</w:t>
      </w:r>
      <w:r w:rsidR="0053334E">
        <w:rPr>
          <w:rFonts w:ascii="Bookman Old Style" w:hAnsi="Bookman Old Style"/>
        </w:rPr>
        <w:t xml:space="preserve"> where it was held that </w:t>
      </w:r>
    </w:p>
    <w:p w:rsidR="009070CE" w:rsidRDefault="0053334E" w:rsidP="0053334E">
      <w:pPr>
        <w:spacing w:line="360" w:lineRule="auto"/>
        <w:ind w:left="284"/>
        <w:jc w:val="both"/>
        <w:rPr>
          <w:rFonts w:ascii="Times New Roman" w:hAnsi="Times New Roman"/>
        </w:rPr>
      </w:pPr>
      <w:r>
        <w:rPr>
          <w:rFonts w:ascii="Times New Roman" w:hAnsi="Times New Roman"/>
        </w:rPr>
        <w:t>“</w:t>
      </w:r>
      <w:r w:rsidRPr="0053334E">
        <w:rPr>
          <w:rFonts w:ascii="Times New Roman" w:hAnsi="Times New Roman"/>
        </w:rPr>
        <w:t>The magistrate, however, granted judgment for the defendant. This he should not have done for the reason that the defendant, in his plea, only asked for a dismissal of the plaintiff's case. Thus the magistrate in granting judgment in the defendant's favour granted more than was actually asked for.</w:t>
      </w:r>
      <w:r>
        <w:rPr>
          <w:rFonts w:ascii="Times New Roman" w:hAnsi="Times New Roman"/>
        </w:rPr>
        <w:t>”</w:t>
      </w:r>
    </w:p>
    <w:p w:rsidR="0053334E" w:rsidRPr="0053334E" w:rsidRDefault="0053334E" w:rsidP="0053334E">
      <w:pPr>
        <w:spacing w:line="480" w:lineRule="auto"/>
        <w:jc w:val="both"/>
        <w:rPr>
          <w:rFonts w:ascii="Bookman Old Style" w:hAnsi="Bookman Old Style"/>
        </w:rPr>
      </w:pPr>
      <w:r w:rsidRPr="0053334E">
        <w:rPr>
          <w:rFonts w:ascii="Bookman Old Style" w:hAnsi="Bookman Old Style"/>
        </w:rPr>
        <w:t xml:space="preserve">I agree </w:t>
      </w:r>
      <w:r>
        <w:rPr>
          <w:rFonts w:ascii="Bookman Old Style" w:hAnsi="Bookman Old Style"/>
        </w:rPr>
        <w:t xml:space="preserve">with that conclusion and I accordingly hold that the second respondent acted </w:t>
      </w:r>
      <w:r w:rsidRPr="0053334E">
        <w:rPr>
          <w:rFonts w:ascii="Bookman Old Style" w:hAnsi="Bookman Old Style"/>
          <w:i/>
        </w:rPr>
        <w:t>ultra vires</w:t>
      </w:r>
      <w:r>
        <w:rPr>
          <w:rFonts w:ascii="Bookman Old Style" w:hAnsi="Bookman Old Style"/>
        </w:rPr>
        <w:t xml:space="preserve"> when he granted orders for the payment of </w:t>
      </w:r>
      <w:r w:rsidRPr="00E22BDD">
        <w:rPr>
          <w:rFonts w:ascii="Bookman Old Style" w:hAnsi="Bookman Old Style"/>
        </w:rPr>
        <w:t>N$ 4 846-52 and N$ 14 000-00</w:t>
      </w:r>
      <w:r>
        <w:rPr>
          <w:rFonts w:ascii="Bookman Old Style" w:hAnsi="Bookman Old Style"/>
        </w:rPr>
        <w:t>.</w:t>
      </w:r>
    </w:p>
    <w:p w:rsidR="0053334E" w:rsidRPr="0053334E" w:rsidRDefault="0053334E" w:rsidP="0053334E">
      <w:pPr>
        <w:spacing w:line="360" w:lineRule="auto"/>
        <w:ind w:left="284"/>
        <w:jc w:val="both"/>
        <w:rPr>
          <w:rFonts w:ascii="Times New Roman" w:hAnsi="Times New Roman"/>
        </w:rPr>
      </w:pPr>
    </w:p>
    <w:p w:rsidR="009070CE" w:rsidRDefault="009070CE" w:rsidP="00D37EAD">
      <w:pPr>
        <w:spacing w:line="480" w:lineRule="auto"/>
        <w:jc w:val="both"/>
        <w:rPr>
          <w:rFonts w:ascii="Bookman Old Style" w:hAnsi="Bookman Old Style"/>
        </w:rPr>
      </w:pPr>
      <w:r>
        <w:rPr>
          <w:rFonts w:ascii="Bookman Old Style" w:hAnsi="Bookman Old Style"/>
        </w:rPr>
        <w:lastRenderedPageBreak/>
        <w:t>[26]</w:t>
      </w:r>
      <w:r>
        <w:rPr>
          <w:rFonts w:ascii="Bookman Old Style" w:hAnsi="Bookman Old Style"/>
        </w:rPr>
        <w:tab/>
        <w:t>The evidence on record is that the appellant and the first respondent agreed to a salary of N$ 7 000-00 per month but the first respondent was only paid N$ 3077-76 for the month of August 2009, N$ 1 724-</w:t>
      </w:r>
      <w:r w:rsidR="007A04A8">
        <w:rPr>
          <w:rFonts w:ascii="Bookman Old Style" w:hAnsi="Bookman Old Style"/>
        </w:rPr>
        <w:t>18 for</w:t>
      </w:r>
      <w:r>
        <w:rPr>
          <w:rFonts w:ascii="Bookman Old Style" w:hAnsi="Bookman Old Style"/>
        </w:rPr>
        <w:t xml:space="preserve"> the month of September 2009 and N$ 3099-05 for the month of October 2009</w:t>
      </w:r>
      <w:r w:rsidR="00E83CFE">
        <w:rPr>
          <w:rFonts w:ascii="Bookman Old Style" w:hAnsi="Bookman Old Style"/>
        </w:rPr>
        <w:t xml:space="preserve"> and </w:t>
      </w:r>
      <w:r w:rsidR="007A04A8">
        <w:rPr>
          <w:rFonts w:ascii="Bookman Old Style" w:hAnsi="Bookman Old Style"/>
        </w:rPr>
        <w:t>for November</w:t>
      </w:r>
      <w:r w:rsidR="00E83CFE">
        <w:rPr>
          <w:rFonts w:ascii="Bookman Old Style" w:hAnsi="Bookman Old Style"/>
        </w:rPr>
        <w:t xml:space="preserve"> 2009 no payments were made. </w:t>
      </w:r>
      <w:r w:rsidR="007A04A8">
        <w:rPr>
          <w:rFonts w:ascii="Bookman Old Style" w:hAnsi="Bookman Old Style"/>
        </w:rPr>
        <w:t xml:space="preserve"> He further testified that the agreement with Ms Van Zyl was </w:t>
      </w:r>
      <w:r w:rsidR="00D6750E">
        <w:rPr>
          <w:rFonts w:ascii="Bookman Old Style" w:hAnsi="Bookman Old Style"/>
        </w:rPr>
        <w:t>th</w:t>
      </w:r>
      <w:r w:rsidR="00926FC3">
        <w:rPr>
          <w:rFonts w:ascii="Bookman Old Style" w:hAnsi="Bookman Old Style"/>
        </w:rPr>
        <w:t>at</w:t>
      </w:r>
      <w:r w:rsidR="007A04A8">
        <w:rPr>
          <w:rFonts w:ascii="Bookman Old Style" w:hAnsi="Bookman Old Style"/>
        </w:rPr>
        <w:t xml:space="preserve"> for every </w:t>
      </w:r>
      <w:r w:rsidR="00CB7E7C">
        <w:rPr>
          <w:rFonts w:ascii="Bookman Old Style" w:hAnsi="Bookman Old Style"/>
        </w:rPr>
        <w:t xml:space="preserve">three months that he worked in Angola he will be given one week off and that he will be paid </w:t>
      </w:r>
      <w:r w:rsidR="00926FC3">
        <w:rPr>
          <w:rFonts w:ascii="Bookman Old Style" w:hAnsi="Bookman Old Style"/>
        </w:rPr>
        <w:t>for the</w:t>
      </w:r>
      <w:r w:rsidR="00CB7E7C">
        <w:rPr>
          <w:rFonts w:ascii="Bookman Old Style" w:hAnsi="Bookman Old Style"/>
        </w:rPr>
        <w:t xml:space="preserve"> week that he was off.</w:t>
      </w:r>
    </w:p>
    <w:p w:rsidR="00CB7E7C" w:rsidRDefault="00CB7E7C" w:rsidP="00D37EAD">
      <w:pPr>
        <w:spacing w:line="480" w:lineRule="auto"/>
        <w:jc w:val="both"/>
        <w:rPr>
          <w:rFonts w:ascii="Bookman Old Style" w:hAnsi="Bookman Old Style"/>
        </w:rPr>
      </w:pPr>
    </w:p>
    <w:p w:rsidR="00CB7E7C" w:rsidRDefault="00CB7E7C" w:rsidP="00D37EAD">
      <w:pPr>
        <w:spacing w:line="480" w:lineRule="auto"/>
        <w:jc w:val="both"/>
        <w:rPr>
          <w:rFonts w:ascii="Bookman Old Style" w:hAnsi="Bookman Old Style"/>
        </w:rPr>
      </w:pPr>
      <w:r>
        <w:rPr>
          <w:rFonts w:ascii="Bookman Old Style" w:hAnsi="Bookman Old Style"/>
        </w:rPr>
        <w:t>[27]</w:t>
      </w:r>
      <w:r>
        <w:rPr>
          <w:rFonts w:ascii="Bookman Old Style" w:hAnsi="Bookman Old Style"/>
        </w:rPr>
        <w:tab/>
        <w:t xml:space="preserve">The first respondent further testified he had worked three months and was given </w:t>
      </w:r>
      <w:r w:rsidR="00545CB0">
        <w:rPr>
          <w:rFonts w:ascii="Bookman Old Style" w:hAnsi="Bookman Old Style"/>
        </w:rPr>
        <w:t xml:space="preserve">a week </w:t>
      </w:r>
      <w:r>
        <w:rPr>
          <w:rFonts w:ascii="Bookman Old Style" w:hAnsi="Bookman Old Style"/>
        </w:rPr>
        <w:t>off</w:t>
      </w:r>
      <w:r w:rsidR="00545CB0">
        <w:rPr>
          <w:rFonts w:ascii="Bookman Old Style" w:hAnsi="Bookman Old Style"/>
        </w:rPr>
        <w:t xml:space="preserve"> during November 2009 and that is when</w:t>
      </w:r>
      <w:r w:rsidR="00926FC3">
        <w:rPr>
          <w:rFonts w:ascii="Bookman Old Style" w:hAnsi="Bookman Old Style"/>
        </w:rPr>
        <w:t xml:space="preserve"> he came to Namibia and</w:t>
      </w:r>
      <w:r>
        <w:rPr>
          <w:rFonts w:ascii="Bookman Old Style" w:hAnsi="Bookman Old Style"/>
        </w:rPr>
        <w:t xml:space="preserve"> discovered that the payments that were made </w:t>
      </w:r>
      <w:r w:rsidR="00545CB0">
        <w:rPr>
          <w:rFonts w:ascii="Bookman Old Style" w:hAnsi="Bookman Old Style"/>
        </w:rPr>
        <w:t>to him</w:t>
      </w:r>
      <w:r>
        <w:rPr>
          <w:rFonts w:ascii="Bookman Old Style" w:hAnsi="Bookman Old Style"/>
        </w:rPr>
        <w:t xml:space="preserve"> were not as agreed. I </w:t>
      </w:r>
      <w:r w:rsidR="00441C91">
        <w:rPr>
          <w:rFonts w:ascii="Bookman Old Style" w:hAnsi="Bookman Old Style"/>
        </w:rPr>
        <w:t xml:space="preserve">am </w:t>
      </w:r>
      <w:r>
        <w:rPr>
          <w:rFonts w:ascii="Bookman Old Style" w:hAnsi="Bookman Old Style"/>
        </w:rPr>
        <w:t xml:space="preserve">thus of view that </w:t>
      </w:r>
      <w:r w:rsidR="00926FC3">
        <w:rPr>
          <w:rFonts w:ascii="Bookman Old Style" w:hAnsi="Bookman Old Style"/>
        </w:rPr>
        <w:t xml:space="preserve">the amount to which </w:t>
      </w:r>
      <w:r>
        <w:rPr>
          <w:rFonts w:ascii="Bookman Old Style" w:hAnsi="Bookman Old Style"/>
        </w:rPr>
        <w:t>the first respondent is entitled to is a matter of arithmetics.</w:t>
      </w:r>
    </w:p>
    <w:p w:rsidR="00441C91" w:rsidRPr="00D37EAD" w:rsidRDefault="00441C91" w:rsidP="00D37EAD">
      <w:pPr>
        <w:spacing w:line="480" w:lineRule="auto"/>
        <w:jc w:val="both"/>
        <w:rPr>
          <w:rFonts w:ascii="Bookman Old Style" w:hAnsi="Bookman Old Style"/>
        </w:rPr>
      </w:pPr>
    </w:p>
    <w:p w:rsidR="009163D5" w:rsidRPr="00424362" w:rsidRDefault="00441C91" w:rsidP="00441C91">
      <w:pPr>
        <w:spacing w:line="360" w:lineRule="auto"/>
        <w:jc w:val="both"/>
        <w:rPr>
          <w:rFonts w:ascii="Times New Roman" w:hAnsi="Times New Roman"/>
        </w:rPr>
      </w:pPr>
      <w:r>
        <w:rPr>
          <w:rFonts w:ascii="Bookman Old Style" w:hAnsi="Bookman Old Style"/>
          <w:b/>
          <w:i/>
        </w:rPr>
        <w:t>Fourth</w:t>
      </w:r>
      <w:r w:rsidR="00BB39FF">
        <w:rPr>
          <w:rFonts w:ascii="Bookman Old Style" w:hAnsi="Bookman Old Style"/>
          <w:b/>
          <w:i/>
        </w:rPr>
        <w:t xml:space="preserve">, fifth and sixth </w:t>
      </w:r>
      <w:r w:rsidRPr="00E22BDD">
        <w:rPr>
          <w:rFonts w:ascii="Bookman Old Style" w:hAnsi="Bookman Old Style"/>
          <w:b/>
          <w:i/>
        </w:rPr>
        <w:t>ground</w:t>
      </w:r>
      <w:r w:rsidR="00BB39FF">
        <w:rPr>
          <w:rFonts w:ascii="Bookman Old Style" w:hAnsi="Bookman Old Style"/>
          <w:b/>
          <w:i/>
        </w:rPr>
        <w:t>s</w:t>
      </w:r>
      <w:r w:rsidRPr="00E22BDD">
        <w:rPr>
          <w:rFonts w:ascii="Bookman Old Style" w:hAnsi="Bookman Old Style"/>
          <w:b/>
          <w:i/>
        </w:rPr>
        <w:t xml:space="preserve"> of Appeal</w:t>
      </w:r>
    </w:p>
    <w:p w:rsidR="00441C91" w:rsidRDefault="00441C91" w:rsidP="00441C91">
      <w:pPr>
        <w:spacing w:line="360" w:lineRule="auto"/>
        <w:jc w:val="both"/>
        <w:rPr>
          <w:rFonts w:ascii="Bookman Old Style" w:hAnsi="Bookman Old Style" w:cs="Arial"/>
        </w:rPr>
      </w:pPr>
      <w:r w:rsidRPr="00441C91">
        <w:rPr>
          <w:rFonts w:ascii="Bookman Old Style" w:hAnsi="Bookman Old Style"/>
        </w:rPr>
        <w:t>[28]</w:t>
      </w:r>
      <w:r>
        <w:rPr>
          <w:rFonts w:ascii="Times New Roman" w:hAnsi="Times New Roman"/>
        </w:rPr>
        <w:tab/>
      </w:r>
      <w:r w:rsidRPr="00E22BDD">
        <w:rPr>
          <w:rFonts w:ascii="Bookman Old Style" w:hAnsi="Bookman Old Style" w:cs="Arial"/>
        </w:rPr>
        <w:t xml:space="preserve">The </w:t>
      </w:r>
      <w:r>
        <w:rPr>
          <w:rFonts w:ascii="Bookman Old Style" w:hAnsi="Bookman Old Style" w:cs="Arial"/>
        </w:rPr>
        <w:t>fourth</w:t>
      </w:r>
      <w:r w:rsidR="0025310C">
        <w:rPr>
          <w:rFonts w:ascii="Bookman Old Style" w:hAnsi="Bookman Old Style" w:cs="Arial"/>
        </w:rPr>
        <w:t xml:space="preserve"> to sixth grounds of</w:t>
      </w:r>
      <w:r w:rsidRPr="00E22BDD">
        <w:rPr>
          <w:rFonts w:ascii="Bookman Old Style" w:hAnsi="Bookman Old Style" w:cs="Arial"/>
        </w:rPr>
        <w:t xml:space="preserve"> ground of appeal </w:t>
      </w:r>
      <w:r w:rsidR="0025310C">
        <w:rPr>
          <w:rFonts w:ascii="Bookman Old Style" w:hAnsi="Bookman Old Style" w:cs="Arial"/>
        </w:rPr>
        <w:t>are</w:t>
      </w:r>
      <w:r w:rsidRPr="00E22BDD">
        <w:rPr>
          <w:rFonts w:ascii="Bookman Old Style" w:hAnsi="Bookman Old Style" w:cs="Arial"/>
        </w:rPr>
        <w:t xml:space="preserve"> formulated as follows</w:t>
      </w:r>
      <w:r>
        <w:rPr>
          <w:rFonts w:ascii="Bookman Old Style" w:hAnsi="Bookman Old Style" w:cs="Arial"/>
        </w:rPr>
        <w:t xml:space="preserve">: </w:t>
      </w:r>
    </w:p>
    <w:p w:rsidR="0025310C" w:rsidRPr="0025310C" w:rsidRDefault="00441C91" w:rsidP="00F942F9">
      <w:pPr>
        <w:tabs>
          <w:tab w:val="left" w:pos="851"/>
        </w:tabs>
        <w:spacing w:line="360" w:lineRule="auto"/>
        <w:ind w:left="851" w:hanging="567"/>
        <w:jc w:val="both"/>
        <w:rPr>
          <w:rFonts w:ascii="Times New Roman" w:hAnsi="Times New Roman"/>
        </w:rPr>
      </w:pPr>
      <w:r>
        <w:rPr>
          <w:rFonts w:ascii="Bookman Old Style" w:hAnsi="Bookman Old Style" w:cs="Arial"/>
        </w:rPr>
        <w:t>“</w:t>
      </w:r>
      <w:r w:rsidR="0025310C">
        <w:rPr>
          <w:rFonts w:ascii="Bookman Old Style" w:hAnsi="Bookman Old Style" w:cs="Arial"/>
        </w:rPr>
        <w:t>4</w:t>
      </w:r>
      <w:r w:rsidR="0025310C">
        <w:rPr>
          <w:rFonts w:ascii="Bookman Old Style" w:hAnsi="Bookman Old Style" w:cs="Arial"/>
        </w:rPr>
        <w:tab/>
      </w:r>
      <w:r w:rsidR="0025310C" w:rsidRPr="0025310C">
        <w:rPr>
          <w:rFonts w:ascii="Times New Roman" w:hAnsi="Times New Roman"/>
        </w:rPr>
        <w:t>Mrs Lena van Zyl seemed unable to differentiate between herself as Mrs Lena van Zyl and the appellant.  She could also not understand that she was attending the proceedings as a representative of appellant and not in a personal capacity, even after it was explained to her several times.  She could also not understand that she had the right to call witnesses, including Mr Brendel.  She however indicated that she was taking personal responsibility for the mistake she made by giving a letter to first respondent confirming his employment by appellant and the salary that was to be paid to him.  It was very unfortunate when appellant’s representative was unable to understand the process.</w:t>
      </w:r>
      <w:r w:rsidR="00F942F9">
        <w:rPr>
          <w:rFonts w:ascii="Times New Roman" w:hAnsi="Times New Roman"/>
        </w:rPr>
        <w:t xml:space="preserve"> </w:t>
      </w:r>
      <w:r w:rsidR="0025310C" w:rsidRPr="0025310C">
        <w:rPr>
          <w:rFonts w:ascii="Times New Roman" w:hAnsi="Times New Roman"/>
        </w:rPr>
        <w:t>Out of the aforesaid, the following questions of law arise:</w:t>
      </w:r>
    </w:p>
    <w:p w:rsidR="0025310C" w:rsidRPr="0025310C" w:rsidRDefault="0025310C" w:rsidP="00F942F9">
      <w:pPr>
        <w:numPr>
          <w:ilvl w:val="0"/>
          <w:numId w:val="20"/>
        </w:numPr>
        <w:tabs>
          <w:tab w:val="clear" w:pos="2160"/>
          <w:tab w:val="num" w:pos="1418"/>
        </w:tabs>
        <w:spacing w:line="360" w:lineRule="auto"/>
        <w:ind w:left="1418" w:hanging="567"/>
        <w:jc w:val="both"/>
        <w:rPr>
          <w:rFonts w:ascii="Times New Roman" w:hAnsi="Times New Roman"/>
        </w:rPr>
      </w:pPr>
      <w:r w:rsidRPr="0025310C">
        <w:rPr>
          <w:rFonts w:ascii="Times New Roman" w:hAnsi="Times New Roman"/>
        </w:rPr>
        <w:t>In these circumstances, whether or not second respondent may have continued with the conciliation / arbitration proceedings?</w:t>
      </w:r>
    </w:p>
    <w:p w:rsidR="0025310C" w:rsidRPr="0025310C" w:rsidRDefault="0025310C" w:rsidP="00F942F9">
      <w:pPr>
        <w:numPr>
          <w:ilvl w:val="0"/>
          <w:numId w:val="20"/>
        </w:numPr>
        <w:tabs>
          <w:tab w:val="clear" w:pos="2160"/>
          <w:tab w:val="num" w:pos="1418"/>
        </w:tabs>
        <w:spacing w:line="360" w:lineRule="auto"/>
        <w:ind w:left="1418" w:hanging="567"/>
        <w:jc w:val="both"/>
        <w:rPr>
          <w:rFonts w:ascii="Times New Roman" w:hAnsi="Times New Roman"/>
        </w:rPr>
      </w:pPr>
      <w:r w:rsidRPr="0025310C">
        <w:rPr>
          <w:rFonts w:ascii="Times New Roman" w:hAnsi="Times New Roman"/>
        </w:rPr>
        <w:lastRenderedPageBreak/>
        <w:t>In these circumstances can it be said that appellant received a fair arbitration hearing as envisaged in article 12 of the Constitution of the Republic of Namibia?</w:t>
      </w:r>
    </w:p>
    <w:p w:rsidR="0025310C" w:rsidRPr="0025310C" w:rsidRDefault="0025310C" w:rsidP="0025310C">
      <w:pPr>
        <w:spacing w:line="360" w:lineRule="auto"/>
        <w:ind w:left="1800"/>
        <w:jc w:val="both"/>
        <w:rPr>
          <w:rFonts w:ascii="Times New Roman" w:hAnsi="Times New Roman"/>
        </w:rPr>
      </w:pPr>
    </w:p>
    <w:p w:rsidR="0025310C" w:rsidRPr="00F942F9" w:rsidRDefault="0025310C" w:rsidP="00F942F9">
      <w:pPr>
        <w:numPr>
          <w:ilvl w:val="0"/>
          <w:numId w:val="22"/>
        </w:numPr>
        <w:spacing w:line="360" w:lineRule="auto"/>
        <w:ind w:left="851" w:hanging="567"/>
        <w:jc w:val="both"/>
        <w:rPr>
          <w:rFonts w:ascii="Times New Roman" w:hAnsi="Times New Roman"/>
        </w:rPr>
      </w:pPr>
      <w:r w:rsidRPr="0025310C">
        <w:rPr>
          <w:rFonts w:ascii="Times New Roman" w:hAnsi="Times New Roman"/>
        </w:rPr>
        <w:t>From a reading of form LC 21, being the form completed for referral of the labour dispute between the parties for conciliation or arbitration, the nature of the dispute referred for conciliation or arbitration was an unfair labour practice.  The referral document was not signed by first respondent and / or his representative.  There is furthermore no summary attached thereto stating the subject matter and the facts and circumstances that gave rise to the dispute.  The referral document is furthermore silent on the nature of the relief sought against appellant.  Pursuant to the aforesaid referral, second respondent ordered appellant to pay first respondent a total amount of N$ 38 594.92.</w:t>
      </w:r>
      <w:r w:rsidR="00F942F9">
        <w:rPr>
          <w:rFonts w:ascii="Times New Roman" w:hAnsi="Times New Roman"/>
        </w:rPr>
        <w:t xml:space="preserve"> </w:t>
      </w:r>
      <w:r w:rsidRPr="00F942F9">
        <w:rPr>
          <w:rFonts w:ascii="Times New Roman" w:hAnsi="Times New Roman"/>
        </w:rPr>
        <w:t>Out of the aforesaid, the following question of law arises:</w:t>
      </w:r>
    </w:p>
    <w:p w:rsidR="0025310C" w:rsidRPr="0025310C" w:rsidRDefault="0025310C" w:rsidP="00F942F9">
      <w:pPr>
        <w:numPr>
          <w:ilvl w:val="0"/>
          <w:numId w:val="21"/>
        </w:numPr>
        <w:tabs>
          <w:tab w:val="clear" w:pos="2160"/>
          <w:tab w:val="num" w:pos="1418"/>
        </w:tabs>
        <w:spacing w:line="360" w:lineRule="auto"/>
        <w:ind w:left="1418" w:hanging="567"/>
        <w:jc w:val="both"/>
        <w:rPr>
          <w:rFonts w:ascii="Times New Roman" w:hAnsi="Times New Roman"/>
        </w:rPr>
      </w:pPr>
      <w:r w:rsidRPr="0025310C">
        <w:rPr>
          <w:rFonts w:ascii="Times New Roman" w:hAnsi="Times New Roman"/>
        </w:rPr>
        <w:t>Whether or not second respondent had jurisdiction to continue with the conciliation / arbitration proceedings and award an arbitration award against appellant for payment to first respondent in the total amount of N$ 38 594.92 while form LC 21 is defective in various respects?</w:t>
      </w:r>
    </w:p>
    <w:p w:rsidR="0025310C" w:rsidRPr="0025310C" w:rsidRDefault="0025310C" w:rsidP="0025310C">
      <w:pPr>
        <w:spacing w:line="360" w:lineRule="auto"/>
        <w:jc w:val="both"/>
        <w:rPr>
          <w:rFonts w:ascii="Times New Roman" w:hAnsi="Times New Roman"/>
        </w:rPr>
      </w:pPr>
    </w:p>
    <w:p w:rsidR="0025310C" w:rsidRPr="0025310C" w:rsidRDefault="0025310C" w:rsidP="00F942F9">
      <w:pPr>
        <w:numPr>
          <w:ilvl w:val="0"/>
          <w:numId w:val="22"/>
        </w:numPr>
        <w:spacing w:line="360" w:lineRule="auto"/>
        <w:ind w:left="851" w:hanging="567"/>
        <w:jc w:val="both"/>
        <w:rPr>
          <w:rFonts w:ascii="Times New Roman" w:hAnsi="Times New Roman"/>
        </w:rPr>
      </w:pPr>
      <w:r w:rsidRPr="0025310C">
        <w:rPr>
          <w:rFonts w:ascii="Times New Roman" w:hAnsi="Times New Roman"/>
          <w:i/>
        </w:rPr>
        <w:t xml:space="preserve">Ex facie </w:t>
      </w:r>
      <w:r w:rsidRPr="0025310C">
        <w:rPr>
          <w:rFonts w:ascii="Times New Roman" w:hAnsi="Times New Roman"/>
        </w:rPr>
        <w:t>the record of the proceedings, the following question of law is also raised:</w:t>
      </w:r>
    </w:p>
    <w:p w:rsidR="0025310C" w:rsidRPr="0025310C" w:rsidRDefault="0025310C" w:rsidP="00F942F9">
      <w:pPr>
        <w:spacing w:line="360" w:lineRule="auto"/>
        <w:ind w:left="851"/>
        <w:jc w:val="both"/>
        <w:rPr>
          <w:rFonts w:ascii="Times New Roman" w:hAnsi="Times New Roman"/>
        </w:rPr>
      </w:pPr>
      <w:r w:rsidRPr="0025310C">
        <w:rPr>
          <w:rFonts w:ascii="Times New Roman" w:hAnsi="Times New Roman"/>
        </w:rPr>
        <w:t>Whereas the person who presided as arbitrator and handed down an arbitration award was the same person who conducted the conciliation proceedings; whether or not appellant received a fair hearing by a tribunal as envisaged by article 12 of the Constitution of the Republic of Namibia?</w:t>
      </w:r>
      <w:r w:rsidR="00F942F9">
        <w:rPr>
          <w:rFonts w:ascii="Times New Roman" w:hAnsi="Times New Roman"/>
        </w:rPr>
        <w:t>”</w:t>
      </w:r>
    </w:p>
    <w:p w:rsidR="0025310C" w:rsidRPr="00711499" w:rsidRDefault="0025310C" w:rsidP="0025310C">
      <w:pPr>
        <w:spacing w:line="360" w:lineRule="auto"/>
        <w:ind w:left="1080"/>
        <w:jc w:val="both"/>
        <w:rPr>
          <w:rFonts w:ascii="Arial" w:hAnsi="Arial" w:cs="Arial"/>
        </w:rPr>
      </w:pPr>
    </w:p>
    <w:p w:rsidR="009F7C89" w:rsidRDefault="009F7C89" w:rsidP="009F7C89">
      <w:pPr>
        <w:spacing w:line="480" w:lineRule="auto"/>
        <w:jc w:val="both"/>
        <w:rPr>
          <w:rFonts w:ascii="Bookman Old Style" w:hAnsi="Bookman Old Style"/>
        </w:rPr>
      </w:pPr>
      <w:r w:rsidRPr="009F7C89">
        <w:rPr>
          <w:rFonts w:ascii="Bookman Old Style" w:hAnsi="Bookman Old Style"/>
        </w:rPr>
        <w:t>[29]</w:t>
      </w:r>
      <w:r w:rsidRPr="009F7C89">
        <w:rPr>
          <w:rFonts w:ascii="Bookman Old Style" w:hAnsi="Bookman Old Style"/>
        </w:rPr>
        <w:tab/>
      </w:r>
      <w:r>
        <w:rPr>
          <w:rFonts w:ascii="Bookman Old Style" w:hAnsi="Bookman Old Style"/>
        </w:rPr>
        <w:t>Ms Van der Merwe in her written heads argued that because Ms van Zyl did not appreciate the</w:t>
      </w:r>
      <w:r w:rsidR="009B7CBB">
        <w:rPr>
          <w:rFonts w:ascii="Bookman Old Style" w:hAnsi="Bookman Old Style"/>
        </w:rPr>
        <w:t xml:space="preserve"> difference between herself and the appellant it was evident that she had no appreciation of the nature of the proceedings she was engaged in and therefore the second respondent should not have proceeded with arbitration proceedings because the appellant did not receive a fair hearing as envisaged in Article 12 of the Constitution of the Republic of Namibia.</w:t>
      </w:r>
    </w:p>
    <w:p w:rsidR="009B7CBB" w:rsidRPr="00BB39FF" w:rsidRDefault="009B7CBB" w:rsidP="009F7C89">
      <w:pPr>
        <w:spacing w:line="480" w:lineRule="auto"/>
        <w:jc w:val="both"/>
        <w:rPr>
          <w:rFonts w:ascii="Bookman Old Style" w:hAnsi="Bookman Old Style"/>
        </w:rPr>
      </w:pPr>
    </w:p>
    <w:p w:rsidR="0025310C" w:rsidRDefault="009B7CBB" w:rsidP="00DA0623">
      <w:pPr>
        <w:spacing w:line="480" w:lineRule="auto"/>
        <w:jc w:val="both"/>
        <w:rPr>
          <w:rFonts w:ascii="Bookman Old Style" w:hAnsi="Bookman Old Style"/>
        </w:rPr>
      </w:pPr>
      <w:r w:rsidRPr="00BB39FF">
        <w:rPr>
          <w:rFonts w:ascii="Bookman Old Style" w:hAnsi="Bookman Old Style"/>
        </w:rPr>
        <w:t>[30]</w:t>
      </w:r>
      <w:r w:rsidRPr="00BB39FF">
        <w:rPr>
          <w:rFonts w:ascii="Bookman Old Style" w:hAnsi="Bookman Old Style"/>
        </w:rPr>
        <w:tab/>
        <w:t xml:space="preserve">I have pointed out above that </w:t>
      </w:r>
      <w:r w:rsidR="00BB39FF" w:rsidRPr="00BB39FF">
        <w:rPr>
          <w:rFonts w:ascii="Bookman Old Style" w:hAnsi="Bookman Old Style"/>
        </w:rPr>
        <w:t xml:space="preserve">section </w:t>
      </w:r>
      <w:r w:rsidRPr="00BB39FF">
        <w:rPr>
          <w:rFonts w:ascii="Bookman Old Style" w:hAnsi="Bookman Old Style"/>
        </w:rPr>
        <w:t xml:space="preserve">89 (1) </w:t>
      </w:r>
      <w:r w:rsidR="00BB39FF" w:rsidRPr="00BB39FF">
        <w:rPr>
          <w:rFonts w:ascii="Bookman Old Style" w:hAnsi="Bookman Old Style"/>
        </w:rPr>
        <w:t>of the Act restricts appeals to this Court on a question of law alone from arbitration proceedings</w:t>
      </w:r>
      <w:r w:rsidR="00BB39FF">
        <w:rPr>
          <w:rFonts w:ascii="Bookman Old Style" w:hAnsi="Bookman Old Style"/>
        </w:rPr>
        <w:t xml:space="preserve">. The fourth, fifth and sixth grounds of appeal are not questions of law but rather point to defects in the arbitration proceedings. </w:t>
      </w:r>
      <w:r w:rsidR="00000484">
        <w:rPr>
          <w:rFonts w:ascii="Bookman Old Style" w:hAnsi="Bookman Old Style"/>
        </w:rPr>
        <w:t xml:space="preserve">Where the </w:t>
      </w:r>
      <w:r w:rsidR="00DF5ABF">
        <w:rPr>
          <w:rFonts w:ascii="Bookman Old Style" w:hAnsi="Bookman Old Style"/>
        </w:rPr>
        <w:t>complaint against an order of an arbitrator relates</w:t>
      </w:r>
      <w:r w:rsidR="00DA0623">
        <w:rPr>
          <w:rFonts w:ascii="Bookman Old Style" w:hAnsi="Bookman Old Style"/>
        </w:rPr>
        <w:t xml:space="preserve"> to the manner in which the arbitration proceedings were conducted, the act prescribes a specific remedy, namely a review of the proceedings. See s</w:t>
      </w:r>
      <w:r w:rsidR="00BB39FF" w:rsidRPr="00521FBA">
        <w:rPr>
          <w:rFonts w:ascii="Bookman Old Style" w:hAnsi="Bookman Old Style"/>
        </w:rPr>
        <w:t>ection 89</w:t>
      </w:r>
      <w:r w:rsidR="00BB39FF">
        <w:rPr>
          <w:rFonts w:ascii="Bookman Old Style" w:hAnsi="Bookman Old Style"/>
        </w:rPr>
        <w:t>(</w:t>
      </w:r>
      <w:r w:rsidR="0025310C">
        <w:rPr>
          <w:rFonts w:ascii="Bookman Old Style" w:hAnsi="Bookman Old Style"/>
        </w:rPr>
        <w:t>4</w:t>
      </w:r>
      <w:r w:rsidR="00BB39FF">
        <w:rPr>
          <w:rFonts w:ascii="Bookman Old Style" w:hAnsi="Bookman Old Style"/>
        </w:rPr>
        <w:t>)</w:t>
      </w:r>
      <w:r w:rsidR="0025310C">
        <w:rPr>
          <w:rFonts w:ascii="Bookman Old Style" w:hAnsi="Bookman Old Style"/>
        </w:rPr>
        <w:t xml:space="preserve"> &amp; </w:t>
      </w:r>
      <w:r w:rsidR="00BB39FF">
        <w:rPr>
          <w:rFonts w:ascii="Bookman Old Style" w:hAnsi="Bookman Old Style"/>
        </w:rPr>
        <w:t>(</w:t>
      </w:r>
      <w:r w:rsidR="0025310C">
        <w:rPr>
          <w:rFonts w:ascii="Bookman Old Style" w:hAnsi="Bookman Old Style"/>
        </w:rPr>
        <w:t>5</w:t>
      </w:r>
      <w:r w:rsidR="00BB39FF">
        <w:rPr>
          <w:rFonts w:ascii="Bookman Old Style" w:hAnsi="Bookman Old Style"/>
        </w:rPr>
        <w:t>)</w:t>
      </w:r>
      <w:r w:rsidR="00DA0623">
        <w:rPr>
          <w:rFonts w:ascii="Bookman Old Style" w:hAnsi="Bookman Old Style"/>
        </w:rPr>
        <w:t xml:space="preserve"> of the Act, which reads</w:t>
      </w:r>
      <w:r w:rsidR="00BB39FF" w:rsidRPr="00521FBA">
        <w:rPr>
          <w:rFonts w:ascii="Bookman Old Style" w:hAnsi="Bookman Old Style"/>
        </w:rPr>
        <w:t xml:space="preserve"> as follows: </w:t>
      </w:r>
    </w:p>
    <w:p w:rsidR="00BB39FF" w:rsidRPr="0025310C" w:rsidRDefault="00BB39FF" w:rsidP="0025310C">
      <w:pPr>
        <w:spacing w:line="360" w:lineRule="auto"/>
        <w:ind w:left="709" w:hanging="668"/>
        <w:jc w:val="both"/>
        <w:rPr>
          <w:rFonts w:ascii="Times New Roman" w:hAnsi="Times New Roman"/>
        </w:rPr>
      </w:pPr>
      <w:r w:rsidRPr="0025310C">
        <w:rPr>
          <w:rFonts w:ascii="Times New Roman" w:hAnsi="Times New Roman"/>
        </w:rPr>
        <w:t>“</w:t>
      </w:r>
      <w:r w:rsidRPr="0025310C">
        <w:rPr>
          <w:rFonts w:ascii="Times New Roman" w:hAnsi="Times New Roman"/>
          <w:b/>
        </w:rPr>
        <w:t>(</w:t>
      </w:r>
      <w:r w:rsidRPr="0025310C">
        <w:rPr>
          <w:rFonts w:ascii="Times New Roman" w:hAnsi="Times New Roman"/>
        </w:rPr>
        <w:t>4)</w:t>
      </w:r>
      <w:r w:rsidRPr="0025310C">
        <w:rPr>
          <w:rFonts w:ascii="Times New Roman" w:hAnsi="Times New Roman"/>
        </w:rPr>
        <w:tab/>
        <w:t>A party to a dispute who alleges a defect in any arbitration proceedings in terms of this Part may apply to the Labour Court for an order reviewing and setting aside the award-</w:t>
      </w:r>
    </w:p>
    <w:p w:rsidR="00BB39FF" w:rsidRPr="00BB39FF" w:rsidRDefault="00BB39FF" w:rsidP="00BB39FF">
      <w:pPr>
        <w:spacing w:line="360" w:lineRule="auto"/>
        <w:ind w:left="1418" w:hanging="608"/>
        <w:jc w:val="both"/>
        <w:rPr>
          <w:rFonts w:ascii="Times New Roman" w:hAnsi="Times New Roman"/>
        </w:rPr>
      </w:pPr>
      <w:r w:rsidRPr="00BB39FF">
        <w:rPr>
          <w:rFonts w:ascii="Times New Roman" w:hAnsi="Times New Roman"/>
        </w:rPr>
        <w:t>(a)</w:t>
      </w:r>
      <w:r w:rsidRPr="00BB39FF">
        <w:rPr>
          <w:rFonts w:ascii="Times New Roman" w:hAnsi="Times New Roman"/>
        </w:rPr>
        <w:tab/>
        <w:t>within 30 days after the award was served on the party, unless the alleged defect involves corruption; or</w:t>
      </w:r>
    </w:p>
    <w:p w:rsidR="00BB39FF" w:rsidRPr="00BB39FF" w:rsidRDefault="00BB39FF" w:rsidP="00BB39FF">
      <w:pPr>
        <w:spacing w:line="360" w:lineRule="auto"/>
        <w:ind w:left="1418" w:hanging="608"/>
        <w:jc w:val="both"/>
        <w:rPr>
          <w:rFonts w:ascii="Times New Roman" w:hAnsi="Times New Roman"/>
        </w:rPr>
      </w:pPr>
      <w:r w:rsidRPr="00BB39FF">
        <w:rPr>
          <w:rFonts w:ascii="Times New Roman" w:hAnsi="Times New Roman"/>
        </w:rPr>
        <w:t>(b)</w:t>
      </w:r>
      <w:r w:rsidRPr="00BB39FF">
        <w:rPr>
          <w:rFonts w:ascii="Times New Roman" w:hAnsi="Times New Roman"/>
        </w:rPr>
        <w:tab/>
        <w:t>if the alleged defect involves corruption, within six weeks after the date that the applicant discovers the corruption.</w:t>
      </w:r>
    </w:p>
    <w:p w:rsidR="00BB39FF" w:rsidRPr="002A68CB" w:rsidRDefault="00BB39FF" w:rsidP="00BB39FF">
      <w:pPr>
        <w:spacing w:line="360" w:lineRule="auto"/>
        <w:ind w:left="810"/>
        <w:jc w:val="both"/>
        <w:rPr>
          <w:rFonts w:ascii="Times New Roman" w:hAnsi="Times New Roman"/>
          <w:sz w:val="16"/>
          <w:szCs w:val="16"/>
        </w:rPr>
      </w:pPr>
    </w:p>
    <w:p w:rsidR="00BB39FF" w:rsidRPr="00BB39FF" w:rsidRDefault="0025310C" w:rsidP="0025310C">
      <w:pPr>
        <w:tabs>
          <w:tab w:val="left" w:pos="851"/>
        </w:tabs>
        <w:spacing w:line="360" w:lineRule="auto"/>
        <w:ind w:left="284"/>
        <w:jc w:val="both"/>
        <w:rPr>
          <w:rFonts w:ascii="Times New Roman" w:hAnsi="Times New Roman"/>
        </w:rPr>
      </w:pPr>
      <w:r>
        <w:rPr>
          <w:rFonts w:ascii="Times New Roman" w:hAnsi="Times New Roman"/>
        </w:rPr>
        <w:t>(5)</w:t>
      </w:r>
      <w:r w:rsidR="00BB39FF">
        <w:rPr>
          <w:rFonts w:ascii="Times New Roman" w:hAnsi="Times New Roman"/>
        </w:rPr>
        <w:tab/>
      </w:r>
      <w:r w:rsidR="00BB39FF" w:rsidRPr="00BB39FF">
        <w:rPr>
          <w:rFonts w:ascii="Times New Roman" w:hAnsi="Times New Roman"/>
        </w:rPr>
        <w:t>A defect referred to in subsection (4) means-</w:t>
      </w:r>
    </w:p>
    <w:p w:rsidR="00BB39FF" w:rsidRPr="00BB39FF" w:rsidRDefault="00BB39FF" w:rsidP="002C4A9C">
      <w:pPr>
        <w:spacing w:line="360" w:lineRule="auto"/>
        <w:ind w:left="851"/>
        <w:jc w:val="both"/>
        <w:rPr>
          <w:rFonts w:ascii="Times New Roman" w:hAnsi="Times New Roman"/>
        </w:rPr>
      </w:pPr>
      <w:r w:rsidRPr="00BB39FF">
        <w:rPr>
          <w:rFonts w:ascii="Times New Roman" w:hAnsi="Times New Roman"/>
        </w:rPr>
        <w:t>(a)</w:t>
      </w:r>
      <w:r w:rsidRPr="00BB39FF">
        <w:rPr>
          <w:rFonts w:ascii="Times New Roman" w:hAnsi="Times New Roman"/>
        </w:rPr>
        <w:tab/>
        <w:t>that the arbitrator-</w:t>
      </w:r>
    </w:p>
    <w:p w:rsidR="00BB39FF" w:rsidRPr="00BB39FF" w:rsidRDefault="00BB39FF" w:rsidP="002C4A9C">
      <w:pPr>
        <w:spacing w:line="360" w:lineRule="auto"/>
        <w:ind w:left="1985" w:hanging="567"/>
        <w:jc w:val="both"/>
        <w:rPr>
          <w:rFonts w:ascii="Times New Roman" w:hAnsi="Times New Roman"/>
        </w:rPr>
      </w:pPr>
      <w:r w:rsidRPr="00BB39FF">
        <w:rPr>
          <w:rFonts w:ascii="Times New Roman" w:hAnsi="Times New Roman"/>
        </w:rPr>
        <w:t>(i)</w:t>
      </w:r>
      <w:r w:rsidRPr="00BB39FF">
        <w:rPr>
          <w:rFonts w:ascii="Times New Roman" w:hAnsi="Times New Roman"/>
        </w:rPr>
        <w:tab/>
        <w:t>committed misconduct in relation to the duties of an arbitrator;</w:t>
      </w:r>
    </w:p>
    <w:p w:rsidR="00BB39FF" w:rsidRPr="00BB39FF" w:rsidRDefault="00BB39FF" w:rsidP="002C4A9C">
      <w:pPr>
        <w:spacing w:line="360" w:lineRule="auto"/>
        <w:ind w:left="1985" w:hanging="567"/>
        <w:jc w:val="both"/>
        <w:rPr>
          <w:rFonts w:ascii="Times New Roman" w:hAnsi="Times New Roman"/>
        </w:rPr>
      </w:pPr>
      <w:r w:rsidRPr="00BB39FF">
        <w:rPr>
          <w:rFonts w:ascii="Times New Roman" w:hAnsi="Times New Roman"/>
        </w:rPr>
        <w:t>(ii)</w:t>
      </w:r>
      <w:r w:rsidRPr="00BB39FF">
        <w:rPr>
          <w:rFonts w:ascii="Times New Roman" w:hAnsi="Times New Roman"/>
        </w:rPr>
        <w:tab/>
        <w:t>committed a gross irregularity in the conduct of the arbitration proceedings; or</w:t>
      </w:r>
    </w:p>
    <w:p w:rsidR="00BB39FF" w:rsidRPr="00BB39FF" w:rsidRDefault="00BB39FF" w:rsidP="002C4A9C">
      <w:pPr>
        <w:tabs>
          <w:tab w:val="left" w:pos="1985"/>
        </w:tabs>
        <w:spacing w:line="360" w:lineRule="auto"/>
        <w:ind w:left="1418"/>
        <w:jc w:val="both"/>
        <w:rPr>
          <w:rFonts w:ascii="Times New Roman" w:hAnsi="Times New Roman"/>
        </w:rPr>
      </w:pPr>
      <w:r w:rsidRPr="00BB39FF">
        <w:rPr>
          <w:rFonts w:ascii="Times New Roman" w:hAnsi="Times New Roman"/>
        </w:rPr>
        <w:t>(iii)</w:t>
      </w:r>
      <w:r w:rsidRPr="00BB39FF">
        <w:rPr>
          <w:rFonts w:ascii="Times New Roman" w:hAnsi="Times New Roman"/>
        </w:rPr>
        <w:tab/>
        <w:t>exceeded the arbitrator's power; or</w:t>
      </w:r>
    </w:p>
    <w:p w:rsidR="00BB39FF" w:rsidRPr="00BB39FF" w:rsidRDefault="00BB39FF" w:rsidP="002C4A9C">
      <w:pPr>
        <w:spacing w:line="360" w:lineRule="auto"/>
        <w:ind w:left="851"/>
        <w:jc w:val="both"/>
        <w:rPr>
          <w:rFonts w:ascii="Times New Roman" w:hAnsi="Times New Roman"/>
        </w:rPr>
      </w:pPr>
      <w:r w:rsidRPr="00BB39FF">
        <w:rPr>
          <w:rFonts w:ascii="Times New Roman" w:hAnsi="Times New Roman"/>
        </w:rPr>
        <w:t>(b)</w:t>
      </w:r>
      <w:r w:rsidRPr="00BB39FF">
        <w:rPr>
          <w:rFonts w:ascii="Times New Roman" w:hAnsi="Times New Roman"/>
        </w:rPr>
        <w:tab/>
        <w:t>that the award has been improperly obtained.</w:t>
      </w:r>
      <w:r w:rsidR="0025310C">
        <w:rPr>
          <w:rFonts w:ascii="Times New Roman" w:hAnsi="Times New Roman"/>
        </w:rPr>
        <w:t>”</w:t>
      </w:r>
    </w:p>
    <w:p w:rsidR="00000484" w:rsidRDefault="0025310C" w:rsidP="0025310C">
      <w:pPr>
        <w:spacing w:line="360" w:lineRule="auto"/>
        <w:jc w:val="both"/>
        <w:rPr>
          <w:rFonts w:ascii="Bookman Old Style" w:hAnsi="Bookman Old Style"/>
        </w:rPr>
      </w:pPr>
      <w:r w:rsidRPr="0025310C">
        <w:rPr>
          <w:rFonts w:ascii="Bookman Old Style" w:hAnsi="Bookman Old Style"/>
        </w:rPr>
        <w:t>[3</w:t>
      </w:r>
      <w:r w:rsidR="00DA0623">
        <w:rPr>
          <w:rFonts w:ascii="Bookman Old Style" w:hAnsi="Bookman Old Style"/>
        </w:rPr>
        <w:t>1</w:t>
      </w:r>
      <w:r w:rsidRPr="0025310C">
        <w:rPr>
          <w:rFonts w:ascii="Bookman Old Style" w:hAnsi="Bookman Old Style"/>
        </w:rPr>
        <w:t>]</w:t>
      </w:r>
      <w:r w:rsidR="00CE5CCD">
        <w:rPr>
          <w:rFonts w:ascii="Bookman Old Style" w:hAnsi="Bookman Old Style"/>
        </w:rPr>
        <w:tab/>
      </w:r>
      <w:r w:rsidR="00DA0623">
        <w:rPr>
          <w:rFonts w:ascii="Bookman Old Style" w:hAnsi="Bookman Old Style"/>
        </w:rPr>
        <w:t>I</w:t>
      </w:r>
      <w:r w:rsidR="00000484">
        <w:rPr>
          <w:rFonts w:ascii="Bookman Old Style" w:hAnsi="Bookman Old Style"/>
        </w:rPr>
        <w:t>t thus follow that</w:t>
      </w:r>
      <w:r w:rsidR="00DA0623">
        <w:rPr>
          <w:rFonts w:ascii="Bookman Old Style" w:hAnsi="Bookman Old Style"/>
        </w:rPr>
        <w:t xml:space="preserve"> the </w:t>
      </w:r>
      <w:r w:rsidR="00000484">
        <w:rPr>
          <w:rFonts w:ascii="Bookman Old Style" w:hAnsi="Bookman Old Style"/>
        </w:rPr>
        <w:t>fourth</w:t>
      </w:r>
      <w:r w:rsidR="00DF5ABF">
        <w:rPr>
          <w:rFonts w:ascii="Bookman Old Style" w:hAnsi="Bookman Old Style"/>
        </w:rPr>
        <w:t>, fifth</w:t>
      </w:r>
      <w:r w:rsidR="00000484">
        <w:rPr>
          <w:rFonts w:ascii="Bookman Old Style" w:hAnsi="Bookman Old Style"/>
        </w:rPr>
        <w:t xml:space="preserve"> and </w:t>
      </w:r>
      <w:r w:rsidR="00DF5ABF">
        <w:rPr>
          <w:rFonts w:ascii="Bookman Old Style" w:hAnsi="Bookman Old Style"/>
        </w:rPr>
        <w:t>sixth</w:t>
      </w:r>
      <w:r w:rsidR="00000484">
        <w:rPr>
          <w:rFonts w:ascii="Bookman Old Style" w:hAnsi="Bookman Old Style"/>
        </w:rPr>
        <w:t xml:space="preserve"> grounds of appeal are not within the ambit of section 89 (1) and are dismissed.</w:t>
      </w:r>
    </w:p>
    <w:p w:rsidR="00000484" w:rsidRDefault="00000484" w:rsidP="0025310C">
      <w:pPr>
        <w:spacing w:line="360" w:lineRule="auto"/>
        <w:jc w:val="both"/>
        <w:rPr>
          <w:rFonts w:ascii="Bookman Old Style" w:hAnsi="Bookman Old Style"/>
        </w:rPr>
      </w:pPr>
    </w:p>
    <w:p w:rsidR="00D656EF" w:rsidRPr="005575C0" w:rsidRDefault="00047242" w:rsidP="00D656EF">
      <w:pPr>
        <w:spacing w:line="480" w:lineRule="auto"/>
        <w:jc w:val="both"/>
        <w:rPr>
          <w:rFonts w:ascii="Bookman Old Style" w:hAnsi="Bookman Old Style" w:cs="Arial"/>
        </w:rPr>
      </w:pPr>
      <w:r>
        <w:rPr>
          <w:rFonts w:ascii="Bookman Old Style" w:hAnsi="Bookman Old Style" w:cs="Arial"/>
        </w:rPr>
        <w:t>[</w:t>
      </w:r>
      <w:r w:rsidR="00000484">
        <w:rPr>
          <w:rFonts w:ascii="Bookman Old Style" w:hAnsi="Bookman Old Style" w:cs="Arial"/>
        </w:rPr>
        <w:t>32</w:t>
      </w:r>
      <w:r>
        <w:rPr>
          <w:rFonts w:ascii="Bookman Old Style" w:hAnsi="Bookman Old Style" w:cs="Arial"/>
        </w:rPr>
        <w:t>]</w:t>
      </w:r>
      <w:r>
        <w:rPr>
          <w:rFonts w:ascii="Bookman Old Style" w:hAnsi="Bookman Old Style" w:cs="Arial"/>
        </w:rPr>
        <w:tab/>
      </w:r>
      <w:r w:rsidR="00D656EF" w:rsidRPr="005575C0">
        <w:rPr>
          <w:rFonts w:ascii="Bookman Old Style" w:hAnsi="Bookman Old Style" w:cs="Arial"/>
        </w:rPr>
        <w:t>In the result I make the following order:</w:t>
      </w:r>
    </w:p>
    <w:p w:rsidR="009E1EA3" w:rsidRPr="00000484" w:rsidRDefault="00D656EF" w:rsidP="009E1EA3">
      <w:pPr>
        <w:numPr>
          <w:ilvl w:val="0"/>
          <w:numId w:val="12"/>
        </w:numPr>
        <w:spacing w:line="480" w:lineRule="auto"/>
        <w:ind w:hanging="720"/>
        <w:jc w:val="both"/>
        <w:rPr>
          <w:rFonts w:ascii="Bookman Old Style" w:hAnsi="Bookman Old Style" w:cs="Arial"/>
        </w:rPr>
      </w:pPr>
      <w:r w:rsidRPr="00000484">
        <w:rPr>
          <w:rFonts w:ascii="Bookman Old Style" w:hAnsi="Bookman Old Style" w:cs="Arial"/>
        </w:rPr>
        <w:t xml:space="preserve">The </w:t>
      </w:r>
      <w:r w:rsidR="00000484">
        <w:rPr>
          <w:rFonts w:ascii="Bookman Old Style" w:hAnsi="Bookman Old Style" w:cs="Arial"/>
        </w:rPr>
        <w:t>second respondent’s award is set aside and replaced with the following order:</w:t>
      </w:r>
    </w:p>
    <w:p w:rsidR="00D656EF" w:rsidRDefault="00C04CA5" w:rsidP="00C04CA5">
      <w:pPr>
        <w:spacing w:line="480" w:lineRule="auto"/>
        <w:ind w:left="1276" w:hanging="709"/>
        <w:jc w:val="both"/>
        <w:rPr>
          <w:rFonts w:ascii="Bookman Old Style" w:hAnsi="Bookman Old Style" w:cs="Arial"/>
        </w:rPr>
      </w:pPr>
      <w:r>
        <w:rPr>
          <w:rFonts w:ascii="Bookman Old Style" w:hAnsi="Bookman Old Style" w:cs="Arial"/>
        </w:rPr>
        <w:lastRenderedPageBreak/>
        <w:t>(</w:t>
      </w:r>
      <w:r w:rsidR="00000484">
        <w:rPr>
          <w:rFonts w:ascii="Bookman Old Style" w:hAnsi="Bookman Old Style" w:cs="Arial"/>
        </w:rPr>
        <w:t>a)</w:t>
      </w:r>
      <w:r w:rsidR="00000484">
        <w:rPr>
          <w:rFonts w:ascii="Bookman Old Style" w:hAnsi="Bookman Old Style" w:cs="Arial"/>
        </w:rPr>
        <w:tab/>
        <w:t xml:space="preserve">The Court finds that the first respondent (Mr. Kastro </w:t>
      </w:r>
      <w:r w:rsidR="00AC1DED">
        <w:rPr>
          <w:rFonts w:ascii="Bookman Old Style" w:hAnsi="Bookman Old Style" w:cs="Arial"/>
        </w:rPr>
        <w:t>Kavendjaa)</w:t>
      </w:r>
      <w:r w:rsidR="00000484">
        <w:rPr>
          <w:rFonts w:ascii="Bookman Old Style" w:hAnsi="Bookman Old Style" w:cs="Arial"/>
        </w:rPr>
        <w:t xml:space="preserve"> was </w:t>
      </w:r>
      <w:r>
        <w:rPr>
          <w:rFonts w:ascii="Bookman Old Style" w:hAnsi="Bookman Old Style" w:cs="Arial"/>
        </w:rPr>
        <w:t>employed by the Appellant</w:t>
      </w:r>
      <w:r w:rsidR="00DF5ABF">
        <w:rPr>
          <w:rFonts w:ascii="Bookman Old Style" w:hAnsi="Bookman Old Style" w:cs="Arial"/>
        </w:rPr>
        <w:t>.</w:t>
      </w:r>
      <w:r>
        <w:rPr>
          <w:rFonts w:ascii="Bookman Old Style" w:hAnsi="Bookman Old Style" w:cs="Arial"/>
        </w:rPr>
        <w:t xml:space="preserve"> </w:t>
      </w:r>
    </w:p>
    <w:p w:rsidR="00365603" w:rsidRDefault="00365603" w:rsidP="00365603">
      <w:pPr>
        <w:numPr>
          <w:ilvl w:val="0"/>
          <w:numId w:val="21"/>
        </w:numPr>
        <w:tabs>
          <w:tab w:val="clear" w:pos="2160"/>
          <w:tab w:val="num" w:pos="1276"/>
        </w:tabs>
        <w:spacing w:line="480" w:lineRule="auto"/>
        <w:ind w:left="1276" w:hanging="567"/>
        <w:jc w:val="both"/>
        <w:rPr>
          <w:rFonts w:ascii="Bookman Old Style" w:hAnsi="Bookman Old Style" w:cs="Arial"/>
        </w:rPr>
      </w:pPr>
      <w:r>
        <w:rPr>
          <w:rFonts w:ascii="Bookman Old Style" w:hAnsi="Bookman Old Style" w:cs="Arial"/>
        </w:rPr>
        <w:t xml:space="preserve">The appellant’s failure to pay the </w:t>
      </w:r>
      <w:r w:rsidR="007B6C5C">
        <w:rPr>
          <w:rFonts w:ascii="Bookman Old Style" w:hAnsi="Bookman Old Style" w:cs="Arial"/>
        </w:rPr>
        <w:t xml:space="preserve">first respondent the amount of </w:t>
      </w:r>
      <w:r>
        <w:rPr>
          <w:rFonts w:ascii="Bookman Old Style" w:hAnsi="Bookman Old Style" w:cs="Arial"/>
        </w:rPr>
        <w:t>N$ 7 000-00 per month as agreed upon</w:t>
      </w:r>
      <w:r w:rsidR="007B6C5C">
        <w:rPr>
          <w:rFonts w:ascii="Bookman Old Style" w:hAnsi="Bookman Old Style" w:cs="Arial"/>
        </w:rPr>
        <w:t xml:space="preserve"> amounts to unfair labour</w:t>
      </w:r>
      <w:r>
        <w:rPr>
          <w:rFonts w:ascii="Bookman Old Style" w:hAnsi="Bookman Old Style" w:cs="Arial"/>
        </w:rPr>
        <w:t xml:space="preserve"> practice as contemplated </w:t>
      </w:r>
      <w:r w:rsidR="007B6C5C">
        <w:rPr>
          <w:rFonts w:ascii="Bookman Old Style" w:hAnsi="Bookman Old Style" w:cs="Arial"/>
        </w:rPr>
        <w:t>in</w:t>
      </w:r>
      <w:r>
        <w:rPr>
          <w:rFonts w:ascii="Bookman Old Style" w:hAnsi="Bookman Old Style" w:cs="Arial"/>
        </w:rPr>
        <w:t xml:space="preserve"> section </w:t>
      </w:r>
      <w:r w:rsidR="007B6C5C">
        <w:rPr>
          <w:rFonts w:ascii="Bookman Old Style" w:hAnsi="Bookman Old Style" w:cs="Arial"/>
        </w:rPr>
        <w:t>50 of the Act.</w:t>
      </w:r>
    </w:p>
    <w:p w:rsidR="007B6C5C" w:rsidRDefault="007B6C5C" w:rsidP="00365603">
      <w:pPr>
        <w:numPr>
          <w:ilvl w:val="0"/>
          <w:numId w:val="21"/>
        </w:numPr>
        <w:tabs>
          <w:tab w:val="clear" w:pos="2160"/>
          <w:tab w:val="num" w:pos="1276"/>
        </w:tabs>
        <w:spacing w:line="480" w:lineRule="auto"/>
        <w:ind w:left="1276" w:hanging="567"/>
        <w:jc w:val="both"/>
        <w:rPr>
          <w:rFonts w:ascii="Bookman Old Style" w:hAnsi="Bookman Old Style" w:cs="Arial"/>
        </w:rPr>
      </w:pPr>
      <w:r>
        <w:rPr>
          <w:rFonts w:ascii="Bookman Old Style" w:hAnsi="Bookman Old Style" w:cs="Arial"/>
        </w:rPr>
        <w:t>The appellant is ordered to pay the first respondent the difference between N$ 7 000-00</w:t>
      </w:r>
      <w:r w:rsidR="00DF5ABF">
        <w:rPr>
          <w:rFonts w:ascii="Bookman Old Style" w:hAnsi="Bookman Old Style" w:cs="Arial"/>
        </w:rPr>
        <w:t xml:space="preserve"> per month x </w:t>
      </w:r>
      <w:r>
        <w:rPr>
          <w:rFonts w:ascii="Bookman Old Style" w:hAnsi="Bookman Old Style" w:cs="Arial"/>
        </w:rPr>
        <w:t xml:space="preserve">4 months) and the amount </w:t>
      </w:r>
      <w:r w:rsidR="00DF5ABF">
        <w:rPr>
          <w:rFonts w:ascii="Bookman Old Style" w:hAnsi="Bookman Old Style" w:cs="Arial"/>
        </w:rPr>
        <w:t xml:space="preserve">of </w:t>
      </w:r>
      <w:r>
        <w:rPr>
          <w:rFonts w:ascii="Bookman Old Style" w:hAnsi="Bookman Old Style" w:cs="Arial"/>
        </w:rPr>
        <w:t xml:space="preserve">N$ 7 900-99 </w:t>
      </w:r>
      <w:r w:rsidR="00DF5ABF">
        <w:rPr>
          <w:rFonts w:ascii="Bookman Old Style" w:hAnsi="Bookman Old Style" w:cs="Arial"/>
        </w:rPr>
        <w:t xml:space="preserve">being the amount </w:t>
      </w:r>
      <w:r>
        <w:rPr>
          <w:rFonts w:ascii="Bookman Old Style" w:hAnsi="Bookman Old Style" w:cs="Arial"/>
        </w:rPr>
        <w:t>paid by the appellant to the first respondent.</w:t>
      </w:r>
    </w:p>
    <w:p w:rsidR="007B6C5C" w:rsidRDefault="007B6C5C" w:rsidP="00365603">
      <w:pPr>
        <w:numPr>
          <w:ilvl w:val="0"/>
          <w:numId w:val="21"/>
        </w:numPr>
        <w:tabs>
          <w:tab w:val="clear" w:pos="2160"/>
          <w:tab w:val="num" w:pos="1276"/>
        </w:tabs>
        <w:spacing w:line="480" w:lineRule="auto"/>
        <w:ind w:left="1276" w:hanging="567"/>
        <w:jc w:val="both"/>
        <w:rPr>
          <w:rFonts w:ascii="Bookman Old Style" w:hAnsi="Bookman Old Style" w:cs="Arial"/>
        </w:rPr>
      </w:pPr>
      <w:r>
        <w:rPr>
          <w:rFonts w:ascii="Bookman Old Style" w:hAnsi="Bookman Old Style" w:cs="Arial"/>
        </w:rPr>
        <w:t xml:space="preserve">The amount referred to </w:t>
      </w:r>
      <w:r w:rsidR="003828E4">
        <w:rPr>
          <w:rFonts w:ascii="Bookman Old Style" w:hAnsi="Bookman Old Style" w:cs="Arial"/>
        </w:rPr>
        <w:t>in paragraph</w:t>
      </w:r>
      <w:r>
        <w:rPr>
          <w:rFonts w:ascii="Bookman Old Style" w:hAnsi="Bookman Old Style" w:cs="Arial"/>
        </w:rPr>
        <w:t xml:space="preserve"> (c) attracts interest at the rate of 20% per annum calculated from </w:t>
      </w:r>
      <w:r w:rsidR="00DF5ABF">
        <w:rPr>
          <w:rFonts w:ascii="Bookman Old Style" w:hAnsi="Bookman Old Style" w:cs="Arial"/>
        </w:rPr>
        <w:t xml:space="preserve">the date of judgment </w:t>
      </w:r>
      <w:r>
        <w:rPr>
          <w:rFonts w:ascii="Bookman Old Style" w:hAnsi="Bookman Old Style" w:cs="Arial"/>
        </w:rPr>
        <w:t xml:space="preserve">to date </w:t>
      </w:r>
      <w:r w:rsidR="003828E4">
        <w:rPr>
          <w:rFonts w:ascii="Bookman Old Style" w:hAnsi="Bookman Old Style" w:cs="Arial"/>
        </w:rPr>
        <w:t>of payment</w:t>
      </w:r>
      <w:r>
        <w:rPr>
          <w:rFonts w:ascii="Bookman Old Style" w:hAnsi="Bookman Old Style" w:cs="Arial"/>
        </w:rPr>
        <w:t>.</w:t>
      </w:r>
    </w:p>
    <w:p w:rsidR="003828E4" w:rsidRDefault="003828E4" w:rsidP="00365603">
      <w:pPr>
        <w:numPr>
          <w:ilvl w:val="0"/>
          <w:numId w:val="21"/>
        </w:numPr>
        <w:tabs>
          <w:tab w:val="clear" w:pos="2160"/>
          <w:tab w:val="num" w:pos="1276"/>
        </w:tabs>
        <w:spacing w:line="480" w:lineRule="auto"/>
        <w:ind w:left="1276" w:hanging="567"/>
        <w:jc w:val="both"/>
        <w:rPr>
          <w:rFonts w:ascii="Bookman Old Style" w:hAnsi="Bookman Old Style" w:cs="Arial"/>
        </w:rPr>
      </w:pPr>
      <w:r>
        <w:rPr>
          <w:rFonts w:ascii="Bookman Old Style" w:hAnsi="Bookman Old Style" w:cs="Arial"/>
        </w:rPr>
        <w:t xml:space="preserve">The appellant must pay the amount referred to in paragraph (c) together with the interest on that amount </w:t>
      </w:r>
      <w:r w:rsidR="00DF5ABF">
        <w:rPr>
          <w:rFonts w:ascii="Bookman Old Style" w:hAnsi="Bookman Old Style" w:cs="Arial"/>
        </w:rPr>
        <w:t>(if any)</w:t>
      </w:r>
      <w:r>
        <w:rPr>
          <w:rFonts w:ascii="Bookman Old Style" w:hAnsi="Bookman Old Style" w:cs="Arial"/>
        </w:rPr>
        <w:t xml:space="preserve"> to the office of the Labour Commissioner or the appellant must submit proof to the office of the Labour Commissioner that it has paid the amount</w:t>
      </w:r>
      <w:r w:rsidR="002C5B80">
        <w:rPr>
          <w:rFonts w:ascii="Bookman Old Style" w:hAnsi="Bookman Old Style" w:cs="Arial"/>
        </w:rPr>
        <w:t xml:space="preserve"> to the first respondent.</w:t>
      </w:r>
    </w:p>
    <w:p w:rsidR="002C5B80" w:rsidRPr="002C5B80" w:rsidRDefault="002C5B80" w:rsidP="002C5B80">
      <w:pPr>
        <w:spacing w:line="480" w:lineRule="auto"/>
        <w:jc w:val="both"/>
        <w:rPr>
          <w:rFonts w:ascii="Bookman Old Style" w:hAnsi="Bookman Old Style" w:cs="Arial"/>
        </w:rPr>
      </w:pPr>
    </w:p>
    <w:p w:rsidR="002C5B80" w:rsidRPr="002C5B80" w:rsidRDefault="002C5B80" w:rsidP="00AC1DED">
      <w:pPr>
        <w:numPr>
          <w:ilvl w:val="0"/>
          <w:numId w:val="12"/>
        </w:numPr>
        <w:spacing w:line="480" w:lineRule="auto"/>
        <w:ind w:hanging="720"/>
        <w:jc w:val="both"/>
        <w:rPr>
          <w:rFonts w:ascii="Bookman Old Style" w:hAnsi="Bookman Old Style" w:cs="Arial"/>
        </w:rPr>
      </w:pPr>
      <w:r w:rsidRPr="002C5B80">
        <w:rPr>
          <w:rFonts w:ascii="Bookman Old Style" w:hAnsi="Bookman Old Style"/>
        </w:rPr>
        <w:t>There is no order as to costs.</w:t>
      </w:r>
    </w:p>
    <w:p w:rsidR="00D656EF" w:rsidRPr="005575C0" w:rsidRDefault="00D656EF" w:rsidP="00211B24">
      <w:pPr>
        <w:spacing w:line="276" w:lineRule="auto"/>
        <w:jc w:val="both"/>
        <w:rPr>
          <w:rFonts w:ascii="Bookman Old Style" w:hAnsi="Bookman Old Style" w:cs="Arial"/>
        </w:rPr>
      </w:pPr>
      <w:r w:rsidRPr="005575C0">
        <w:rPr>
          <w:rFonts w:ascii="Bookman Old Style" w:hAnsi="Bookman Old Style" w:cs="Arial"/>
        </w:rPr>
        <w:t>_____________</w:t>
      </w:r>
    </w:p>
    <w:p w:rsidR="00D656EF" w:rsidRPr="005575C0" w:rsidRDefault="00D656EF" w:rsidP="00211B24">
      <w:pPr>
        <w:spacing w:line="276" w:lineRule="auto"/>
        <w:jc w:val="both"/>
        <w:rPr>
          <w:rFonts w:ascii="Bookman Old Style" w:hAnsi="Bookman Old Style" w:cs="Arial"/>
          <w:b/>
        </w:rPr>
      </w:pPr>
      <w:r w:rsidRPr="005575C0">
        <w:rPr>
          <w:rFonts w:ascii="Bookman Old Style" w:hAnsi="Bookman Old Style" w:cs="Arial"/>
          <w:b/>
        </w:rPr>
        <w:t>UEITELE, AJ</w:t>
      </w:r>
    </w:p>
    <w:p w:rsidR="00AE5122" w:rsidRDefault="00AE5122" w:rsidP="00AE5122">
      <w:pPr>
        <w:spacing w:line="480" w:lineRule="auto"/>
        <w:jc w:val="both"/>
        <w:rPr>
          <w:rFonts w:ascii="Bookman Old Style" w:hAnsi="Bookman Old Style" w:cs="Arial"/>
        </w:rPr>
      </w:pPr>
    </w:p>
    <w:p w:rsidR="002420F7" w:rsidRPr="005575C0" w:rsidRDefault="00211B24" w:rsidP="00211B24">
      <w:pPr>
        <w:spacing w:line="480" w:lineRule="auto"/>
        <w:jc w:val="both"/>
        <w:rPr>
          <w:rFonts w:ascii="Bookman Old Style" w:hAnsi="Bookman Old Style"/>
        </w:rPr>
      </w:pPr>
      <w:r>
        <w:rPr>
          <w:rFonts w:ascii="Bookman Old Style" w:hAnsi="Bookman Old Style" w:cs="Arial"/>
        </w:rPr>
        <w:br w:type="page"/>
      </w:r>
      <w:r w:rsidR="002420F7" w:rsidRPr="005575C0">
        <w:rPr>
          <w:rFonts w:ascii="Bookman Old Style" w:hAnsi="Bookman Old Style"/>
          <w:b/>
        </w:rPr>
        <w:lastRenderedPageBreak/>
        <w:t>ON BEHALF OF THE PLAINTIFF:</w:t>
      </w:r>
      <w:r w:rsidR="002420F7" w:rsidRPr="005575C0">
        <w:rPr>
          <w:rFonts w:ascii="Bookman Old Style" w:hAnsi="Bookman Old Style"/>
          <w:b/>
        </w:rPr>
        <w:tab/>
      </w:r>
      <w:r w:rsidR="002420F7" w:rsidRPr="005575C0">
        <w:rPr>
          <w:rFonts w:ascii="Bookman Old Style" w:hAnsi="Bookman Old Style"/>
          <w:b/>
        </w:rPr>
        <w:tab/>
      </w:r>
      <w:r w:rsidR="002420F7" w:rsidRPr="005575C0">
        <w:rPr>
          <w:rFonts w:ascii="Bookman Old Style" w:hAnsi="Bookman Old Style"/>
          <w:b/>
        </w:rPr>
        <w:tab/>
      </w:r>
      <w:r w:rsidR="002420F7" w:rsidRPr="005575C0">
        <w:rPr>
          <w:rFonts w:ascii="Bookman Old Style" w:hAnsi="Bookman Old Style"/>
        </w:rPr>
        <w:t xml:space="preserve">Ms. </w:t>
      </w:r>
      <w:r w:rsidR="00AC1DED">
        <w:rPr>
          <w:rFonts w:ascii="Bookman Old Style" w:hAnsi="Bookman Old Style"/>
        </w:rPr>
        <w:t>Van der Merwe</w:t>
      </w:r>
    </w:p>
    <w:p w:rsidR="002420F7" w:rsidRPr="005575C0" w:rsidRDefault="002420F7" w:rsidP="002420F7">
      <w:pPr>
        <w:spacing w:line="360" w:lineRule="auto"/>
        <w:jc w:val="both"/>
        <w:rPr>
          <w:rFonts w:ascii="Bookman Old Style" w:hAnsi="Bookman Old Style"/>
        </w:rPr>
      </w:pPr>
      <w:r w:rsidRPr="005575C0">
        <w:rPr>
          <w:rFonts w:ascii="Bookman Old Style" w:hAnsi="Bookman Old Style"/>
          <w:b/>
        </w:rPr>
        <w:t>INSTRUCTED BY:</w:t>
      </w:r>
      <w:r w:rsidRPr="005575C0">
        <w:rPr>
          <w:rFonts w:ascii="Bookman Old Style" w:hAnsi="Bookman Old Style"/>
          <w:b/>
        </w:rPr>
        <w:tab/>
      </w:r>
      <w:r w:rsidRPr="005575C0">
        <w:rPr>
          <w:rFonts w:ascii="Bookman Old Style" w:hAnsi="Bookman Old Style"/>
          <w:b/>
        </w:rPr>
        <w:tab/>
      </w:r>
      <w:r w:rsidRPr="005575C0">
        <w:rPr>
          <w:rFonts w:ascii="Bookman Old Style" w:hAnsi="Bookman Old Style"/>
          <w:b/>
        </w:rPr>
        <w:tab/>
      </w:r>
      <w:r w:rsidRPr="005575C0">
        <w:rPr>
          <w:rFonts w:ascii="Bookman Old Style" w:hAnsi="Bookman Old Style"/>
          <w:b/>
        </w:rPr>
        <w:tab/>
      </w:r>
      <w:r w:rsidRPr="005575C0">
        <w:rPr>
          <w:rFonts w:ascii="Bookman Old Style" w:hAnsi="Bookman Old Style"/>
          <w:b/>
        </w:rPr>
        <w:tab/>
      </w:r>
      <w:r w:rsidR="00AC1DED">
        <w:rPr>
          <w:rFonts w:ascii="Bookman Old Style" w:hAnsi="Bookman Old Style"/>
        </w:rPr>
        <w:t>Van der Merwe-Greeff</w:t>
      </w:r>
      <w:r w:rsidR="00A35EEC" w:rsidRPr="005575C0">
        <w:rPr>
          <w:rFonts w:ascii="Bookman Old Style" w:hAnsi="Bookman Old Style"/>
        </w:rPr>
        <w:t xml:space="preserve"> Inc.</w:t>
      </w:r>
    </w:p>
    <w:p w:rsidR="002420F7" w:rsidRPr="005575C0" w:rsidRDefault="002420F7" w:rsidP="002420F7">
      <w:pPr>
        <w:spacing w:line="360" w:lineRule="auto"/>
        <w:jc w:val="both"/>
        <w:rPr>
          <w:rFonts w:ascii="Bookman Old Style" w:hAnsi="Bookman Old Style"/>
          <w:b/>
        </w:rPr>
      </w:pPr>
    </w:p>
    <w:p w:rsidR="002420F7" w:rsidRPr="005575C0" w:rsidRDefault="002420F7" w:rsidP="002420F7">
      <w:pPr>
        <w:spacing w:line="360" w:lineRule="auto"/>
        <w:jc w:val="both"/>
        <w:rPr>
          <w:rFonts w:ascii="Bookman Old Style" w:hAnsi="Bookman Old Style"/>
        </w:rPr>
      </w:pPr>
      <w:r w:rsidRPr="005575C0">
        <w:rPr>
          <w:rFonts w:ascii="Bookman Old Style" w:hAnsi="Bookman Old Style"/>
          <w:b/>
        </w:rPr>
        <w:t xml:space="preserve">ON BEHALF OF THE </w:t>
      </w:r>
      <w:r w:rsidR="000469FD">
        <w:rPr>
          <w:rFonts w:ascii="Bookman Old Style" w:hAnsi="Bookman Old Style"/>
          <w:b/>
        </w:rPr>
        <w:t>FIRST RESPONDENT</w:t>
      </w:r>
      <w:r w:rsidRPr="005575C0">
        <w:rPr>
          <w:rFonts w:ascii="Bookman Old Style" w:hAnsi="Bookman Old Style"/>
          <w:b/>
        </w:rPr>
        <w:tab/>
      </w:r>
      <w:r w:rsidR="000469FD" w:rsidRPr="000469FD">
        <w:rPr>
          <w:rFonts w:ascii="Bookman Old Style" w:hAnsi="Bookman Old Style"/>
        </w:rPr>
        <w:t>In  Person</w:t>
      </w:r>
    </w:p>
    <w:p w:rsidR="000469FD" w:rsidRDefault="000469FD" w:rsidP="000469FD">
      <w:pPr>
        <w:spacing w:line="360" w:lineRule="auto"/>
        <w:jc w:val="both"/>
        <w:rPr>
          <w:rFonts w:ascii="Bookman Old Style" w:hAnsi="Bookman Old Style"/>
          <w:b/>
        </w:rPr>
      </w:pPr>
    </w:p>
    <w:p w:rsidR="000469FD" w:rsidRPr="005575C0" w:rsidRDefault="000469FD" w:rsidP="000469FD">
      <w:pPr>
        <w:spacing w:line="360" w:lineRule="auto"/>
        <w:jc w:val="both"/>
        <w:rPr>
          <w:rFonts w:ascii="Bookman Old Style" w:hAnsi="Bookman Old Style"/>
        </w:rPr>
      </w:pPr>
      <w:r w:rsidRPr="005575C0">
        <w:rPr>
          <w:rFonts w:ascii="Bookman Old Style" w:hAnsi="Bookman Old Style"/>
          <w:b/>
        </w:rPr>
        <w:t xml:space="preserve">ON BEHALF OF THE </w:t>
      </w:r>
      <w:r>
        <w:rPr>
          <w:rFonts w:ascii="Bookman Old Style" w:hAnsi="Bookman Old Style"/>
          <w:b/>
        </w:rPr>
        <w:t>SECOND RESPONDENT</w:t>
      </w:r>
      <w:r w:rsidRPr="005575C0">
        <w:rPr>
          <w:rFonts w:ascii="Bookman Old Style" w:hAnsi="Bookman Old Style"/>
          <w:b/>
        </w:rPr>
        <w:tab/>
      </w:r>
      <w:r>
        <w:rPr>
          <w:rFonts w:ascii="Bookman Old Style" w:hAnsi="Bookman Old Style"/>
        </w:rPr>
        <w:t>No Appearance</w:t>
      </w:r>
    </w:p>
    <w:p w:rsidR="002420F7" w:rsidRPr="005575C0" w:rsidRDefault="002420F7" w:rsidP="000469FD">
      <w:pPr>
        <w:spacing w:line="360" w:lineRule="auto"/>
        <w:jc w:val="both"/>
        <w:rPr>
          <w:rFonts w:ascii="Bookman Old Style" w:hAnsi="Bookman Old Style" w:cs="Arial"/>
        </w:rPr>
      </w:pPr>
    </w:p>
    <w:sectPr w:rsidR="002420F7" w:rsidRPr="005575C0" w:rsidSect="000469FD">
      <w:headerReference w:type="even" r:id="rId10"/>
      <w:headerReference w:type="default" r:id="rId11"/>
      <w:pgSz w:w="12240" w:h="15840"/>
      <w:pgMar w:top="993" w:right="1467" w:bottom="630" w:left="180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C1" w:rsidRDefault="00171BC1" w:rsidP="00AE5122">
      <w:r>
        <w:separator/>
      </w:r>
    </w:p>
  </w:endnote>
  <w:endnote w:type="continuationSeparator" w:id="0">
    <w:p w:rsidR="00171BC1" w:rsidRDefault="00171BC1" w:rsidP="00AE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C1" w:rsidRDefault="00171BC1" w:rsidP="00AE5122">
      <w:r>
        <w:separator/>
      </w:r>
    </w:p>
  </w:footnote>
  <w:footnote w:type="continuationSeparator" w:id="0">
    <w:p w:rsidR="00171BC1" w:rsidRDefault="00171BC1" w:rsidP="00AE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C6" w:rsidRDefault="008554C6" w:rsidP="007F0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4C6" w:rsidRDefault="008554C6" w:rsidP="007F0A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C6" w:rsidRPr="00C94480" w:rsidRDefault="008554C6" w:rsidP="00C94480">
    <w:pPr>
      <w:pStyle w:val="Header"/>
      <w:framePr w:w="989" w:wrap="around" w:vAnchor="text" w:hAnchor="page" w:x="9706" w:y="-50"/>
      <w:rPr>
        <w:rStyle w:val="PageNumber"/>
        <w:rFonts w:ascii="Times New Roman" w:hAnsi="Times New Roman"/>
        <w:b/>
      </w:rPr>
    </w:pPr>
    <w:r w:rsidRPr="00C94480">
      <w:rPr>
        <w:rStyle w:val="PageNumber"/>
        <w:rFonts w:ascii="Times New Roman" w:hAnsi="Times New Roman"/>
        <w:b/>
      </w:rPr>
      <w:t xml:space="preserve">Page </w:t>
    </w:r>
    <w:r w:rsidRPr="00C94480">
      <w:rPr>
        <w:rStyle w:val="PageNumber"/>
        <w:rFonts w:ascii="Times New Roman" w:hAnsi="Times New Roman"/>
        <w:b/>
      </w:rPr>
      <w:fldChar w:fldCharType="begin"/>
    </w:r>
    <w:r w:rsidRPr="00C94480">
      <w:rPr>
        <w:rStyle w:val="PageNumber"/>
        <w:rFonts w:ascii="Times New Roman" w:hAnsi="Times New Roman"/>
        <w:b/>
      </w:rPr>
      <w:instrText xml:space="preserve">PAGE  </w:instrText>
    </w:r>
    <w:r w:rsidRPr="00C94480">
      <w:rPr>
        <w:rStyle w:val="PageNumber"/>
        <w:rFonts w:ascii="Times New Roman" w:hAnsi="Times New Roman"/>
        <w:b/>
      </w:rPr>
      <w:fldChar w:fldCharType="separate"/>
    </w:r>
    <w:r w:rsidR="00B259F9">
      <w:rPr>
        <w:rStyle w:val="PageNumber"/>
        <w:rFonts w:ascii="Times New Roman" w:hAnsi="Times New Roman"/>
        <w:b/>
        <w:noProof/>
      </w:rPr>
      <w:t>15</w:t>
    </w:r>
    <w:r w:rsidRPr="00C94480">
      <w:rPr>
        <w:rStyle w:val="PageNumber"/>
        <w:rFonts w:ascii="Times New Roman" w:hAnsi="Times New Roman"/>
        <w:b/>
      </w:rPr>
      <w:fldChar w:fldCharType="end"/>
    </w:r>
  </w:p>
  <w:p w:rsidR="008554C6" w:rsidRDefault="008554C6" w:rsidP="00D3276F">
    <w:pPr>
      <w:pStyle w:val="Header"/>
      <w:tabs>
        <w:tab w:val="clear" w:pos="4320"/>
        <w:tab w:val="clear" w:pos="8640"/>
        <w:tab w:val="center" w:pos="0"/>
        <w:tab w:val="left" w:pos="7655"/>
      </w:tabs>
      <w:ind w:right="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AB5"/>
    <w:multiLevelType w:val="hybridMultilevel"/>
    <w:tmpl w:val="9DF89B3A"/>
    <w:lvl w:ilvl="0" w:tplc="CB24D3B0">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nsid w:val="0502453E"/>
    <w:multiLevelType w:val="hybridMultilevel"/>
    <w:tmpl w:val="3B06C252"/>
    <w:lvl w:ilvl="0" w:tplc="3618C2DA">
      <w:start w:val="1"/>
      <w:numFmt w:val="lowerLetter"/>
      <w:lvlText w:val="(%1)"/>
      <w:lvlJc w:val="left"/>
      <w:pPr>
        <w:ind w:left="720" w:hanging="360"/>
      </w:pPr>
      <w:rPr>
        <w:rFonts w:ascii="Bookman Old Style" w:eastAsia="Times New Roman" w:hAnsi="Bookman Old Style" w:cs="Arial"/>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A017E7"/>
    <w:multiLevelType w:val="hybridMultilevel"/>
    <w:tmpl w:val="2DA431F8"/>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D3F3A54"/>
    <w:multiLevelType w:val="hybridMultilevel"/>
    <w:tmpl w:val="C086851C"/>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0656A16"/>
    <w:multiLevelType w:val="hybridMultilevel"/>
    <w:tmpl w:val="2618BFF8"/>
    <w:lvl w:ilvl="0" w:tplc="1C090017">
      <w:start w:val="1"/>
      <w:numFmt w:val="lowerLetter"/>
      <w:lvlText w:val="%1)"/>
      <w:lvlJc w:val="left"/>
      <w:pPr>
        <w:ind w:left="1860" w:hanging="360"/>
      </w:pPr>
      <w:rPr>
        <w:rFonts w:cs="Times New Roman"/>
      </w:rPr>
    </w:lvl>
    <w:lvl w:ilvl="1" w:tplc="1C090019" w:tentative="1">
      <w:start w:val="1"/>
      <w:numFmt w:val="lowerLetter"/>
      <w:lvlText w:val="%2."/>
      <w:lvlJc w:val="left"/>
      <w:pPr>
        <w:ind w:left="2580" w:hanging="360"/>
      </w:pPr>
      <w:rPr>
        <w:rFonts w:cs="Times New Roman"/>
      </w:rPr>
    </w:lvl>
    <w:lvl w:ilvl="2" w:tplc="1C09001B" w:tentative="1">
      <w:start w:val="1"/>
      <w:numFmt w:val="lowerRoman"/>
      <w:lvlText w:val="%3."/>
      <w:lvlJc w:val="right"/>
      <w:pPr>
        <w:ind w:left="3300" w:hanging="180"/>
      </w:pPr>
      <w:rPr>
        <w:rFonts w:cs="Times New Roman"/>
      </w:rPr>
    </w:lvl>
    <w:lvl w:ilvl="3" w:tplc="1C09000F" w:tentative="1">
      <w:start w:val="1"/>
      <w:numFmt w:val="decimal"/>
      <w:lvlText w:val="%4."/>
      <w:lvlJc w:val="left"/>
      <w:pPr>
        <w:ind w:left="4020" w:hanging="360"/>
      </w:pPr>
      <w:rPr>
        <w:rFonts w:cs="Times New Roman"/>
      </w:rPr>
    </w:lvl>
    <w:lvl w:ilvl="4" w:tplc="1C090019" w:tentative="1">
      <w:start w:val="1"/>
      <w:numFmt w:val="lowerLetter"/>
      <w:lvlText w:val="%5."/>
      <w:lvlJc w:val="left"/>
      <w:pPr>
        <w:ind w:left="4740" w:hanging="360"/>
      </w:pPr>
      <w:rPr>
        <w:rFonts w:cs="Times New Roman"/>
      </w:rPr>
    </w:lvl>
    <w:lvl w:ilvl="5" w:tplc="1C09001B" w:tentative="1">
      <w:start w:val="1"/>
      <w:numFmt w:val="lowerRoman"/>
      <w:lvlText w:val="%6."/>
      <w:lvlJc w:val="right"/>
      <w:pPr>
        <w:ind w:left="5460" w:hanging="180"/>
      </w:pPr>
      <w:rPr>
        <w:rFonts w:cs="Times New Roman"/>
      </w:rPr>
    </w:lvl>
    <w:lvl w:ilvl="6" w:tplc="1C09000F" w:tentative="1">
      <w:start w:val="1"/>
      <w:numFmt w:val="decimal"/>
      <w:lvlText w:val="%7."/>
      <w:lvlJc w:val="left"/>
      <w:pPr>
        <w:ind w:left="6180" w:hanging="360"/>
      </w:pPr>
      <w:rPr>
        <w:rFonts w:cs="Times New Roman"/>
      </w:rPr>
    </w:lvl>
    <w:lvl w:ilvl="7" w:tplc="1C090019" w:tentative="1">
      <w:start w:val="1"/>
      <w:numFmt w:val="lowerLetter"/>
      <w:lvlText w:val="%8."/>
      <w:lvlJc w:val="left"/>
      <w:pPr>
        <w:ind w:left="6900" w:hanging="360"/>
      </w:pPr>
      <w:rPr>
        <w:rFonts w:cs="Times New Roman"/>
      </w:rPr>
    </w:lvl>
    <w:lvl w:ilvl="8" w:tplc="1C09001B" w:tentative="1">
      <w:start w:val="1"/>
      <w:numFmt w:val="lowerRoman"/>
      <w:lvlText w:val="%9."/>
      <w:lvlJc w:val="right"/>
      <w:pPr>
        <w:ind w:left="7620" w:hanging="180"/>
      </w:pPr>
      <w:rPr>
        <w:rFonts w:cs="Times New Roman"/>
      </w:rPr>
    </w:lvl>
  </w:abstractNum>
  <w:abstractNum w:abstractNumId="5">
    <w:nsid w:val="2758234E"/>
    <w:multiLevelType w:val="hybridMultilevel"/>
    <w:tmpl w:val="1A245D3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C403FA2"/>
    <w:multiLevelType w:val="hybridMultilevel"/>
    <w:tmpl w:val="A78AC2C6"/>
    <w:lvl w:ilvl="0" w:tplc="5BB22BB2">
      <w:start w:val="1"/>
      <w:numFmt w:val="decimal"/>
      <w:lvlText w:val="%1."/>
      <w:lvlJc w:val="left"/>
      <w:pPr>
        <w:tabs>
          <w:tab w:val="num" w:pos="720"/>
        </w:tabs>
        <w:ind w:left="720" w:hanging="360"/>
      </w:pPr>
      <w:rPr>
        <w:rFonts w:cs="Times New Roman"/>
        <w:b w:val="0"/>
      </w:rPr>
    </w:lvl>
    <w:lvl w:ilvl="1" w:tplc="3A86AE74">
      <w:start w:val="1"/>
      <w:numFmt w:val="lowerLetter"/>
      <w:lvlText w:val="(%2)"/>
      <w:lvlJc w:val="left"/>
      <w:pPr>
        <w:tabs>
          <w:tab w:val="num" w:pos="1800"/>
        </w:tabs>
        <w:ind w:left="1800" w:hanging="720"/>
      </w:pPr>
      <w:rPr>
        <w:rFonts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EA0459"/>
    <w:multiLevelType w:val="hybridMultilevel"/>
    <w:tmpl w:val="EFC26D8C"/>
    <w:lvl w:ilvl="0" w:tplc="94305944">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nsid w:val="35286BC0"/>
    <w:multiLevelType w:val="hybridMultilevel"/>
    <w:tmpl w:val="A6848AC8"/>
    <w:lvl w:ilvl="0" w:tplc="F470106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D385E4F"/>
    <w:multiLevelType w:val="hybridMultilevel"/>
    <w:tmpl w:val="8ABE15E6"/>
    <w:lvl w:ilvl="0" w:tplc="397CB6F6">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D83851"/>
    <w:multiLevelType w:val="hybridMultilevel"/>
    <w:tmpl w:val="5F2205A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F392431"/>
    <w:multiLevelType w:val="hybridMultilevel"/>
    <w:tmpl w:val="6E343C2E"/>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58BD0D89"/>
    <w:multiLevelType w:val="multilevel"/>
    <w:tmpl w:val="F95253DE"/>
    <w:lvl w:ilvl="0">
      <w:start w:val="1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5B1A366F"/>
    <w:multiLevelType w:val="hybridMultilevel"/>
    <w:tmpl w:val="94FAB550"/>
    <w:lvl w:ilvl="0" w:tplc="3836C01C">
      <w:start w:val="1"/>
      <w:numFmt w:val="decimal"/>
      <w:lvlText w:val="%1."/>
      <w:lvlJc w:val="left"/>
      <w:pPr>
        <w:tabs>
          <w:tab w:val="num" w:pos="1080"/>
        </w:tabs>
        <w:ind w:left="1080" w:hanging="720"/>
      </w:pPr>
      <w:rPr>
        <w:rFonts w:cs="Times New Roman" w:hint="default"/>
      </w:rPr>
    </w:lvl>
    <w:lvl w:ilvl="1" w:tplc="8FD44DB6">
      <w:numFmt w:val="none"/>
      <w:lvlText w:val=""/>
      <w:lvlJc w:val="left"/>
      <w:pPr>
        <w:tabs>
          <w:tab w:val="num" w:pos="360"/>
        </w:tabs>
      </w:pPr>
      <w:rPr>
        <w:rFonts w:cs="Times New Roman"/>
      </w:rPr>
    </w:lvl>
    <w:lvl w:ilvl="2" w:tplc="B9D6C314">
      <w:numFmt w:val="none"/>
      <w:lvlText w:val=""/>
      <w:lvlJc w:val="left"/>
      <w:pPr>
        <w:tabs>
          <w:tab w:val="num" w:pos="360"/>
        </w:tabs>
      </w:pPr>
      <w:rPr>
        <w:rFonts w:cs="Times New Roman"/>
      </w:rPr>
    </w:lvl>
    <w:lvl w:ilvl="3" w:tplc="4ECC8198">
      <w:numFmt w:val="none"/>
      <w:lvlText w:val=""/>
      <w:lvlJc w:val="left"/>
      <w:pPr>
        <w:tabs>
          <w:tab w:val="num" w:pos="360"/>
        </w:tabs>
      </w:pPr>
      <w:rPr>
        <w:rFonts w:cs="Times New Roman"/>
      </w:rPr>
    </w:lvl>
    <w:lvl w:ilvl="4" w:tplc="395E37F8">
      <w:numFmt w:val="none"/>
      <w:lvlText w:val=""/>
      <w:lvlJc w:val="left"/>
      <w:pPr>
        <w:tabs>
          <w:tab w:val="num" w:pos="360"/>
        </w:tabs>
      </w:pPr>
      <w:rPr>
        <w:rFonts w:cs="Times New Roman"/>
      </w:rPr>
    </w:lvl>
    <w:lvl w:ilvl="5" w:tplc="8ED040F6">
      <w:numFmt w:val="none"/>
      <w:lvlText w:val=""/>
      <w:lvlJc w:val="left"/>
      <w:pPr>
        <w:tabs>
          <w:tab w:val="num" w:pos="360"/>
        </w:tabs>
      </w:pPr>
      <w:rPr>
        <w:rFonts w:cs="Times New Roman"/>
      </w:rPr>
    </w:lvl>
    <w:lvl w:ilvl="6" w:tplc="91D4F86E">
      <w:numFmt w:val="none"/>
      <w:lvlText w:val=""/>
      <w:lvlJc w:val="left"/>
      <w:pPr>
        <w:tabs>
          <w:tab w:val="num" w:pos="360"/>
        </w:tabs>
      </w:pPr>
      <w:rPr>
        <w:rFonts w:cs="Times New Roman"/>
      </w:rPr>
    </w:lvl>
    <w:lvl w:ilvl="7" w:tplc="232C985E">
      <w:numFmt w:val="none"/>
      <w:lvlText w:val=""/>
      <w:lvlJc w:val="left"/>
      <w:pPr>
        <w:tabs>
          <w:tab w:val="num" w:pos="360"/>
        </w:tabs>
      </w:pPr>
      <w:rPr>
        <w:rFonts w:cs="Times New Roman"/>
      </w:rPr>
    </w:lvl>
    <w:lvl w:ilvl="8" w:tplc="F5882336">
      <w:numFmt w:val="none"/>
      <w:lvlText w:val=""/>
      <w:lvlJc w:val="left"/>
      <w:pPr>
        <w:tabs>
          <w:tab w:val="num" w:pos="360"/>
        </w:tabs>
      </w:pPr>
      <w:rPr>
        <w:rFonts w:cs="Times New Roman"/>
      </w:rPr>
    </w:lvl>
  </w:abstractNum>
  <w:abstractNum w:abstractNumId="14">
    <w:nsid w:val="62DC65DD"/>
    <w:multiLevelType w:val="hybridMultilevel"/>
    <w:tmpl w:val="2482E5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65484D2C"/>
    <w:multiLevelType w:val="hybridMultilevel"/>
    <w:tmpl w:val="97EA578A"/>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67823C4F"/>
    <w:multiLevelType w:val="hybridMultilevel"/>
    <w:tmpl w:val="B6A0A7B6"/>
    <w:lvl w:ilvl="0" w:tplc="1C090017">
      <w:start w:val="1"/>
      <w:numFmt w:val="lowerLetter"/>
      <w:lvlText w:val="%1)"/>
      <w:lvlJc w:val="left"/>
      <w:pPr>
        <w:ind w:left="1070" w:hanging="360"/>
      </w:pPr>
      <w:rPr>
        <w:rFonts w:cs="Times New Roman"/>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17">
    <w:nsid w:val="6CA54696"/>
    <w:multiLevelType w:val="multilevel"/>
    <w:tmpl w:val="78AA8D1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10A5098"/>
    <w:multiLevelType w:val="multilevel"/>
    <w:tmpl w:val="B25E4F1A"/>
    <w:lvl w:ilvl="0">
      <w:start w:val="3"/>
      <w:numFmt w:val="decimal"/>
      <w:lvlText w:val="%1"/>
      <w:lvlJc w:val="left"/>
      <w:pPr>
        <w:ind w:left="375" w:hanging="3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9">
    <w:nsid w:val="728C3AA1"/>
    <w:multiLevelType w:val="hybridMultilevel"/>
    <w:tmpl w:val="D4E04A2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7B8567BE"/>
    <w:multiLevelType w:val="hybridMultilevel"/>
    <w:tmpl w:val="3CAE39A4"/>
    <w:lvl w:ilvl="0" w:tplc="875EA408">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1">
    <w:nsid w:val="7C9C4D03"/>
    <w:multiLevelType w:val="hybridMultilevel"/>
    <w:tmpl w:val="797ABFE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1"/>
  </w:num>
  <w:num w:numId="4">
    <w:abstractNumId w:val="16"/>
  </w:num>
  <w:num w:numId="5">
    <w:abstractNumId w:val="2"/>
  </w:num>
  <w:num w:numId="6">
    <w:abstractNumId w:val="4"/>
  </w:num>
  <w:num w:numId="7">
    <w:abstractNumId w:val="3"/>
  </w:num>
  <w:num w:numId="8">
    <w:abstractNumId w:val="1"/>
  </w:num>
  <w:num w:numId="9">
    <w:abstractNumId w:val="5"/>
  </w:num>
  <w:num w:numId="10">
    <w:abstractNumId w:val="11"/>
  </w:num>
  <w:num w:numId="11">
    <w:abstractNumId w:val="10"/>
  </w:num>
  <w:num w:numId="12">
    <w:abstractNumId w:val="19"/>
  </w:num>
  <w:num w:numId="13">
    <w:abstractNumId w:val="6"/>
  </w:num>
  <w:num w:numId="14">
    <w:abstractNumId w:val="12"/>
  </w:num>
  <w:num w:numId="15">
    <w:abstractNumId w:val="18"/>
  </w:num>
  <w:num w:numId="16">
    <w:abstractNumId w:val="20"/>
  </w:num>
  <w:num w:numId="17">
    <w:abstractNumId w:val="14"/>
  </w:num>
  <w:num w:numId="18">
    <w:abstractNumId w:val="17"/>
  </w:num>
  <w:num w:numId="19">
    <w:abstractNumId w:val="13"/>
  </w:num>
  <w:num w:numId="20">
    <w:abstractNumId w:val="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22"/>
    <w:rsid w:val="00000484"/>
    <w:rsid w:val="000055CB"/>
    <w:rsid w:val="000135E1"/>
    <w:rsid w:val="00023D89"/>
    <w:rsid w:val="00045190"/>
    <w:rsid w:val="000469FD"/>
    <w:rsid w:val="00047242"/>
    <w:rsid w:val="00057E99"/>
    <w:rsid w:val="000713FD"/>
    <w:rsid w:val="00084F75"/>
    <w:rsid w:val="00097FB9"/>
    <w:rsid w:val="000A03C4"/>
    <w:rsid w:val="000B255A"/>
    <w:rsid w:val="000F35B5"/>
    <w:rsid w:val="000F55F1"/>
    <w:rsid w:val="001040B3"/>
    <w:rsid w:val="00110CD8"/>
    <w:rsid w:val="00133CB5"/>
    <w:rsid w:val="00134ED9"/>
    <w:rsid w:val="00136C2A"/>
    <w:rsid w:val="00143DBD"/>
    <w:rsid w:val="00152ADB"/>
    <w:rsid w:val="00171BC1"/>
    <w:rsid w:val="001735D0"/>
    <w:rsid w:val="00193768"/>
    <w:rsid w:val="001A52E9"/>
    <w:rsid w:val="001B2D12"/>
    <w:rsid w:val="001F1DE9"/>
    <w:rsid w:val="001F3A24"/>
    <w:rsid w:val="00211B24"/>
    <w:rsid w:val="00220183"/>
    <w:rsid w:val="00240369"/>
    <w:rsid w:val="002420F7"/>
    <w:rsid w:val="0025310C"/>
    <w:rsid w:val="002554A5"/>
    <w:rsid w:val="00270D2A"/>
    <w:rsid w:val="002845E3"/>
    <w:rsid w:val="002A1328"/>
    <w:rsid w:val="002A46DA"/>
    <w:rsid w:val="002A68CB"/>
    <w:rsid w:val="002B17C5"/>
    <w:rsid w:val="002C4A9C"/>
    <w:rsid w:val="002C5B80"/>
    <w:rsid w:val="002D43D1"/>
    <w:rsid w:val="002F6C82"/>
    <w:rsid w:val="00305A1D"/>
    <w:rsid w:val="00311F0C"/>
    <w:rsid w:val="0031327A"/>
    <w:rsid w:val="00313CEC"/>
    <w:rsid w:val="00314020"/>
    <w:rsid w:val="00322E2E"/>
    <w:rsid w:val="00331AEE"/>
    <w:rsid w:val="00332D19"/>
    <w:rsid w:val="00352EC3"/>
    <w:rsid w:val="00365603"/>
    <w:rsid w:val="003828E4"/>
    <w:rsid w:val="003975E4"/>
    <w:rsid w:val="003A2962"/>
    <w:rsid w:val="003A4B0B"/>
    <w:rsid w:val="003A5713"/>
    <w:rsid w:val="003B3913"/>
    <w:rsid w:val="003B460E"/>
    <w:rsid w:val="003C4C9B"/>
    <w:rsid w:val="003D4C0C"/>
    <w:rsid w:val="00405517"/>
    <w:rsid w:val="00424362"/>
    <w:rsid w:val="00441C91"/>
    <w:rsid w:val="00444C7D"/>
    <w:rsid w:val="00464C08"/>
    <w:rsid w:val="00497024"/>
    <w:rsid w:val="004A5C34"/>
    <w:rsid w:val="004E49D5"/>
    <w:rsid w:val="004F4EA5"/>
    <w:rsid w:val="005053DC"/>
    <w:rsid w:val="005139EC"/>
    <w:rsid w:val="00517863"/>
    <w:rsid w:val="00521FBA"/>
    <w:rsid w:val="005230A9"/>
    <w:rsid w:val="0053334E"/>
    <w:rsid w:val="00545CB0"/>
    <w:rsid w:val="00545ECE"/>
    <w:rsid w:val="005547E4"/>
    <w:rsid w:val="00556D9B"/>
    <w:rsid w:val="005575C0"/>
    <w:rsid w:val="00562453"/>
    <w:rsid w:val="00581A7D"/>
    <w:rsid w:val="00590546"/>
    <w:rsid w:val="005954F3"/>
    <w:rsid w:val="00597245"/>
    <w:rsid w:val="005A3A0C"/>
    <w:rsid w:val="005A3BAB"/>
    <w:rsid w:val="005D5A03"/>
    <w:rsid w:val="005E5109"/>
    <w:rsid w:val="005F3CAE"/>
    <w:rsid w:val="006057AD"/>
    <w:rsid w:val="006120C7"/>
    <w:rsid w:val="00613A97"/>
    <w:rsid w:val="00621BCE"/>
    <w:rsid w:val="00623C7E"/>
    <w:rsid w:val="00630AF1"/>
    <w:rsid w:val="006342EE"/>
    <w:rsid w:val="0064614E"/>
    <w:rsid w:val="0065121F"/>
    <w:rsid w:val="006671E5"/>
    <w:rsid w:val="00681780"/>
    <w:rsid w:val="006A5817"/>
    <w:rsid w:val="006C6B2F"/>
    <w:rsid w:val="006C7D5B"/>
    <w:rsid w:val="006D22B7"/>
    <w:rsid w:val="006F1A3C"/>
    <w:rsid w:val="006F5516"/>
    <w:rsid w:val="006F7B27"/>
    <w:rsid w:val="00700DBD"/>
    <w:rsid w:val="00711499"/>
    <w:rsid w:val="0071684B"/>
    <w:rsid w:val="00744496"/>
    <w:rsid w:val="00746A8B"/>
    <w:rsid w:val="00787F55"/>
    <w:rsid w:val="00795092"/>
    <w:rsid w:val="007A04A8"/>
    <w:rsid w:val="007A515B"/>
    <w:rsid w:val="007B5296"/>
    <w:rsid w:val="007B6C5C"/>
    <w:rsid w:val="007F0A70"/>
    <w:rsid w:val="00800692"/>
    <w:rsid w:val="00803162"/>
    <w:rsid w:val="00811D64"/>
    <w:rsid w:val="0081383F"/>
    <w:rsid w:val="00817C83"/>
    <w:rsid w:val="008238B2"/>
    <w:rsid w:val="00833DD9"/>
    <w:rsid w:val="00835301"/>
    <w:rsid w:val="008420A6"/>
    <w:rsid w:val="0084621E"/>
    <w:rsid w:val="008554C6"/>
    <w:rsid w:val="0088723C"/>
    <w:rsid w:val="00896A46"/>
    <w:rsid w:val="008B2348"/>
    <w:rsid w:val="008B377D"/>
    <w:rsid w:val="008D2AD9"/>
    <w:rsid w:val="008D3135"/>
    <w:rsid w:val="008D4587"/>
    <w:rsid w:val="008E376C"/>
    <w:rsid w:val="008F2733"/>
    <w:rsid w:val="008F5016"/>
    <w:rsid w:val="00906C66"/>
    <w:rsid w:val="009070CE"/>
    <w:rsid w:val="00911E0C"/>
    <w:rsid w:val="00914A52"/>
    <w:rsid w:val="009163D5"/>
    <w:rsid w:val="00926FC3"/>
    <w:rsid w:val="00934BD7"/>
    <w:rsid w:val="00935200"/>
    <w:rsid w:val="00935BAC"/>
    <w:rsid w:val="009405EE"/>
    <w:rsid w:val="009560D6"/>
    <w:rsid w:val="00977A7F"/>
    <w:rsid w:val="009A640A"/>
    <w:rsid w:val="009B7CBB"/>
    <w:rsid w:val="009D522F"/>
    <w:rsid w:val="009E0219"/>
    <w:rsid w:val="009E1EA3"/>
    <w:rsid w:val="009E46C3"/>
    <w:rsid w:val="009F2859"/>
    <w:rsid w:val="009F3ABE"/>
    <w:rsid w:val="009F7C89"/>
    <w:rsid w:val="00A06891"/>
    <w:rsid w:val="00A11B57"/>
    <w:rsid w:val="00A14533"/>
    <w:rsid w:val="00A214C3"/>
    <w:rsid w:val="00A277C1"/>
    <w:rsid w:val="00A35EEC"/>
    <w:rsid w:val="00A817ED"/>
    <w:rsid w:val="00AC1DED"/>
    <w:rsid w:val="00AD7417"/>
    <w:rsid w:val="00AE5122"/>
    <w:rsid w:val="00AF55B4"/>
    <w:rsid w:val="00B07C3A"/>
    <w:rsid w:val="00B162D0"/>
    <w:rsid w:val="00B259F9"/>
    <w:rsid w:val="00B30D2B"/>
    <w:rsid w:val="00B36E5E"/>
    <w:rsid w:val="00B56F4B"/>
    <w:rsid w:val="00B84701"/>
    <w:rsid w:val="00B914E8"/>
    <w:rsid w:val="00B94215"/>
    <w:rsid w:val="00BB39FF"/>
    <w:rsid w:val="00BB6122"/>
    <w:rsid w:val="00BC1228"/>
    <w:rsid w:val="00BC6774"/>
    <w:rsid w:val="00BE0EA9"/>
    <w:rsid w:val="00BF3266"/>
    <w:rsid w:val="00C04CA5"/>
    <w:rsid w:val="00C15806"/>
    <w:rsid w:val="00C203B7"/>
    <w:rsid w:val="00C236BE"/>
    <w:rsid w:val="00C47D63"/>
    <w:rsid w:val="00C870CA"/>
    <w:rsid w:val="00C94480"/>
    <w:rsid w:val="00CB298E"/>
    <w:rsid w:val="00CB7C11"/>
    <w:rsid w:val="00CB7E7C"/>
    <w:rsid w:val="00CC1061"/>
    <w:rsid w:val="00CC6346"/>
    <w:rsid w:val="00CD1F5C"/>
    <w:rsid w:val="00CE1B53"/>
    <w:rsid w:val="00CE4333"/>
    <w:rsid w:val="00CE5CCD"/>
    <w:rsid w:val="00CF089F"/>
    <w:rsid w:val="00D009F2"/>
    <w:rsid w:val="00D02396"/>
    <w:rsid w:val="00D12A2D"/>
    <w:rsid w:val="00D3276F"/>
    <w:rsid w:val="00D37EAD"/>
    <w:rsid w:val="00D4462A"/>
    <w:rsid w:val="00D656EF"/>
    <w:rsid w:val="00D6750E"/>
    <w:rsid w:val="00DA0623"/>
    <w:rsid w:val="00DA0CDE"/>
    <w:rsid w:val="00DB3791"/>
    <w:rsid w:val="00DD3549"/>
    <w:rsid w:val="00DF5ABF"/>
    <w:rsid w:val="00DF7538"/>
    <w:rsid w:val="00E02BFE"/>
    <w:rsid w:val="00E22BDD"/>
    <w:rsid w:val="00E401F9"/>
    <w:rsid w:val="00E45EE0"/>
    <w:rsid w:val="00E507EC"/>
    <w:rsid w:val="00E61117"/>
    <w:rsid w:val="00E6450F"/>
    <w:rsid w:val="00E66DCC"/>
    <w:rsid w:val="00E83CFE"/>
    <w:rsid w:val="00E83E73"/>
    <w:rsid w:val="00E95361"/>
    <w:rsid w:val="00EF0918"/>
    <w:rsid w:val="00F23E98"/>
    <w:rsid w:val="00F25EAF"/>
    <w:rsid w:val="00F3001C"/>
    <w:rsid w:val="00F45E82"/>
    <w:rsid w:val="00F64B9E"/>
    <w:rsid w:val="00F77C82"/>
    <w:rsid w:val="00F83B8E"/>
    <w:rsid w:val="00F942F9"/>
    <w:rsid w:val="00FA246C"/>
    <w:rsid w:val="00FD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22"/>
    <w:rPr>
      <w:rFonts w:ascii="Courier New" w:hAnsi="Courier New"/>
      <w:sz w:val="24"/>
      <w:szCs w:val="24"/>
      <w:lang w:val="en-GB"/>
    </w:rPr>
  </w:style>
  <w:style w:type="paragraph" w:styleId="Heading1">
    <w:name w:val="heading 1"/>
    <w:basedOn w:val="Normal"/>
    <w:next w:val="Normal"/>
    <w:link w:val="Heading1Char"/>
    <w:uiPriority w:val="9"/>
    <w:qFormat/>
    <w:rsid w:val="00AE5122"/>
    <w:pPr>
      <w:keepNext/>
      <w:spacing w:line="480" w:lineRule="auto"/>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5122"/>
    <w:rPr>
      <w:rFonts w:ascii="Times New Roman" w:hAnsi="Times New Roman" w:cs="Times New Roman"/>
      <w:b/>
      <w:bCs/>
      <w:sz w:val="26"/>
      <w:lang w:val="en-GB" w:eastAsia="x-none"/>
    </w:rPr>
  </w:style>
  <w:style w:type="paragraph" w:styleId="Header">
    <w:name w:val="header"/>
    <w:basedOn w:val="Normal"/>
    <w:link w:val="HeaderChar"/>
    <w:uiPriority w:val="99"/>
    <w:rsid w:val="00AE5122"/>
    <w:pPr>
      <w:tabs>
        <w:tab w:val="center" w:pos="4320"/>
        <w:tab w:val="right" w:pos="8640"/>
      </w:tabs>
    </w:pPr>
  </w:style>
  <w:style w:type="character" w:customStyle="1" w:styleId="HeaderChar">
    <w:name w:val="Header Char"/>
    <w:basedOn w:val="DefaultParagraphFont"/>
    <w:link w:val="Header"/>
    <w:uiPriority w:val="99"/>
    <w:locked/>
    <w:rsid w:val="00AE5122"/>
    <w:rPr>
      <w:rFonts w:ascii="Courier New" w:hAnsi="Courier New" w:cs="Times New Roman"/>
      <w:lang w:val="en-GB" w:eastAsia="x-none"/>
    </w:rPr>
  </w:style>
  <w:style w:type="character" w:styleId="PageNumber">
    <w:name w:val="page number"/>
    <w:basedOn w:val="DefaultParagraphFont"/>
    <w:uiPriority w:val="99"/>
    <w:rsid w:val="00AE5122"/>
    <w:rPr>
      <w:rFonts w:cs="Times New Roman"/>
    </w:rPr>
  </w:style>
  <w:style w:type="paragraph" w:styleId="FootnoteText">
    <w:name w:val="footnote text"/>
    <w:basedOn w:val="Normal"/>
    <w:link w:val="FootnoteTextChar"/>
    <w:uiPriority w:val="99"/>
    <w:rsid w:val="00AE5122"/>
    <w:rPr>
      <w:sz w:val="20"/>
      <w:szCs w:val="20"/>
    </w:rPr>
  </w:style>
  <w:style w:type="character" w:customStyle="1" w:styleId="FootnoteTextChar">
    <w:name w:val="Footnote Text Char"/>
    <w:basedOn w:val="DefaultParagraphFont"/>
    <w:link w:val="FootnoteText"/>
    <w:uiPriority w:val="99"/>
    <w:locked/>
    <w:rsid w:val="00AE5122"/>
    <w:rPr>
      <w:rFonts w:ascii="Courier New" w:hAnsi="Courier New" w:cs="Times New Roman"/>
      <w:sz w:val="20"/>
      <w:szCs w:val="20"/>
      <w:lang w:val="en-GB" w:eastAsia="x-none"/>
    </w:rPr>
  </w:style>
  <w:style w:type="character" w:styleId="FootnoteReference">
    <w:name w:val="footnote reference"/>
    <w:basedOn w:val="DefaultParagraphFont"/>
    <w:uiPriority w:val="99"/>
    <w:rsid w:val="00AE5122"/>
    <w:rPr>
      <w:rFonts w:cs="Times New Roman"/>
      <w:vertAlign w:val="superscript"/>
    </w:rPr>
  </w:style>
  <w:style w:type="paragraph" w:styleId="BalloonText">
    <w:name w:val="Balloon Text"/>
    <w:basedOn w:val="Normal"/>
    <w:link w:val="BalloonTextChar"/>
    <w:uiPriority w:val="99"/>
    <w:semiHidden/>
    <w:unhideWhenUsed/>
    <w:rsid w:val="00AE5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22"/>
    <w:rPr>
      <w:rFonts w:ascii="Tahoma" w:hAnsi="Tahoma" w:cs="Tahoma"/>
      <w:sz w:val="16"/>
      <w:szCs w:val="16"/>
      <w:lang w:val="en-GB" w:eastAsia="x-none"/>
    </w:rPr>
  </w:style>
  <w:style w:type="paragraph" w:styleId="ListParagraph">
    <w:name w:val="List Paragraph"/>
    <w:basedOn w:val="Normal"/>
    <w:uiPriority w:val="34"/>
    <w:qFormat/>
    <w:rsid w:val="00AE5122"/>
    <w:pPr>
      <w:ind w:left="720"/>
      <w:contextualSpacing/>
    </w:pPr>
  </w:style>
  <w:style w:type="paragraph" w:styleId="Footer">
    <w:name w:val="footer"/>
    <w:basedOn w:val="Normal"/>
    <w:link w:val="FooterChar"/>
    <w:uiPriority w:val="99"/>
    <w:semiHidden/>
    <w:unhideWhenUsed/>
    <w:rsid w:val="003A5713"/>
    <w:pPr>
      <w:tabs>
        <w:tab w:val="center" w:pos="4680"/>
        <w:tab w:val="right" w:pos="9360"/>
      </w:tabs>
    </w:pPr>
  </w:style>
  <w:style w:type="character" w:customStyle="1" w:styleId="FooterChar">
    <w:name w:val="Footer Char"/>
    <w:basedOn w:val="DefaultParagraphFont"/>
    <w:link w:val="Footer"/>
    <w:uiPriority w:val="99"/>
    <w:semiHidden/>
    <w:locked/>
    <w:rsid w:val="003A5713"/>
    <w:rPr>
      <w:rFonts w:ascii="Courier New" w:hAnsi="Courier New" w:cs="Times New Roman"/>
      <w:sz w:val="24"/>
      <w:szCs w:val="24"/>
      <w:lang w:val="en-GB" w:eastAsia="x-none"/>
    </w:rPr>
  </w:style>
  <w:style w:type="paragraph" w:customStyle="1" w:styleId="Default">
    <w:name w:val="Default"/>
    <w:rsid w:val="00A14533"/>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22"/>
    <w:rPr>
      <w:rFonts w:ascii="Courier New" w:hAnsi="Courier New"/>
      <w:sz w:val="24"/>
      <w:szCs w:val="24"/>
      <w:lang w:val="en-GB"/>
    </w:rPr>
  </w:style>
  <w:style w:type="paragraph" w:styleId="Heading1">
    <w:name w:val="heading 1"/>
    <w:basedOn w:val="Normal"/>
    <w:next w:val="Normal"/>
    <w:link w:val="Heading1Char"/>
    <w:uiPriority w:val="9"/>
    <w:qFormat/>
    <w:rsid w:val="00AE5122"/>
    <w:pPr>
      <w:keepNext/>
      <w:spacing w:line="480" w:lineRule="auto"/>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5122"/>
    <w:rPr>
      <w:rFonts w:ascii="Times New Roman" w:hAnsi="Times New Roman" w:cs="Times New Roman"/>
      <w:b/>
      <w:bCs/>
      <w:sz w:val="26"/>
      <w:lang w:val="en-GB" w:eastAsia="x-none"/>
    </w:rPr>
  </w:style>
  <w:style w:type="paragraph" w:styleId="Header">
    <w:name w:val="header"/>
    <w:basedOn w:val="Normal"/>
    <w:link w:val="HeaderChar"/>
    <w:uiPriority w:val="99"/>
    <w:rsid w:val="00AE5122"/>
    <w:pPr>
      <w:tabs>
        <w:tab w:val="center" w:pos="4320"/>
        <w:tab w:val="right" w:pos="8640"/>
      </w:tabs>
    </w:pPr>
  </w:style>
  <w:style w:type="character" w:customStyle="1" w:styleId="HeaderChar">
    <w:name w:val="Header Char"/>
    <w:basedOn w:val="DefaultParagraphFont"/>
    <w:link w:val="Header"/>
    <w:uiPriority w:val="99"/>
    <w:locked/>
    <w:rsid w:val="00AE5122"/>
    <w:rPr>
      <w:rFonts w:ascii="Courier New" w:hAnsi="Courier New" w:cs="Times New Roman"/>
      <w:lang w:val="en-GB" w:eastAsia="x-none"/>
    </w:rPr>
  </w:style>
  <w:style w:type="character" w:styleId="PageNumber">
    <w:name w:val="page number"/>
    <w:basedOn w:val="DefaultParagraphFont"/>
    <w:uiPriority w:val="99"/>
    <w:rsid w:val="00AE5122"/>
    <w:rPr>
      <w:rFonts w:cs="Times New Roman"/>
    </w:rPr>
  </w:style>
  <w:style w:type="paragraph" w:styleId="FootnoteText">
    <w:name w:val="footnote text"/>
    <w:basedOn w:val="Normal"/>
    <w:link w:val="FootnoteTextChar"/>
    <w:uiPriority w:val="99"/>
    <w:rsid w:val="00AE5122"/>
    <w:rPr>
      <w:sz w:val="20"/>
      <w:szCs w:val="20"/>
    </w:rPr>
  </w:style>
  <w:style w:type="character" w:customStyle="1" w:styleId="FootnoteTextChar">
    <w:name w:val="Footnote Text Char"/>
    <w:basedOn w:val="DefaultParagraphFont"/>
    <w:link w:val="FootnoteText"/>
    <w:uiPriority w:val="99"/>
    <w:locked/>
    <w:rsid w:val="00AE5122"/>
    <w:rPr>
      <w:rFonts w:ascii="Courier New" w:hAnsi="Courier New" w:cs="Times New Roman"/>
      <w:sz w:val="20"/>
      <w:szCs w:val="20"/>
      <w:lang w:val="en-GB" w:eastAsia="x-none"/>
    </w:rPr>
  </w:style>
  <w:style w:type="character" w:styleId="FootnoteReference">
    <w:name w:val="footnote reference"/>
    <w:basedOn w:val="DefaultParagraphFont"/>
    <w:uiPriority w:val="99"/>
    <w:rsid w:val="00AE5122"/>
    <w:rPr>
      <w:rFonts w:cs="Times New Roman"/>
      <w:vertAlign w:val="superscript"/>
    </w:rPr>
  </w:style>
  <w:style w:type="paragraph" w:styleId="BalloonText">
    <w:name w:val="Balloon Text"/>
    <w:basedOn w:val="Normal"/>
    <w:link w:val="BalloonTextChar"/>
    <w:uiPriority w:val="99"/>
    <w:semiHidden/>
    <w:unhideWhenUsed/>
    <w:rsid w:val="00AE5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22"/>
    <w:rPr>
      <w:rFonts w:ascii="Tahoma" w:hAnsi="Tahoma" w:cs="Tahoma"/>
      <w:sz w:val="16"/>
      <w:szCs w:val="16"/>
      <w:lang w:val="en-GB" w:eastAsia="x-none"/>
    </w:rPr>
  </w:style>
  <w:style w:type="paragraph" w:styleId="ListParagraph">
    <w:name w:val="List Paragraph"/>
    <w:basedOn w:val="Normal"/>
    <w:uiPriority w:val="34"/>
    <w:qFormat/>
    <w:rsid w:val="00AE5122"/>
    <w:pPr>
      <w:ind w:left="720"/>
      <w:contextualSpacing/>
    </w:pPr>
  </w:style>
  <w:style w:type="paragraph" w:styleId="Footer">
    <w:name w:val="footer"/>
    <w:basedOn w:val="Normal"/>
    <w:link w:val="FooterChar"/>
    <w:uiPriority w:val="99"/>
    <w:semiHidden/>
    <w:unhideWhenUsed/>
    <w:rsid w:val="003A5713"/>
    <w:pPr>
      <w:tabs>
        <w:tab w:val="center" w:pos="4680"/>
        <w:tab w:val="right" w:pos="9360"/>
      </w:tabs>
    </w:pPr>
  </w:style>
  <w:style w:type="character" w:customStyle="1" w:styleId="FooterChar">
    <w:name w:val="Footer Char"/>
    <w:basedOn w:val="DefaultParagraphFont"/>
    <w:link w:val="Footer"/>
    <w:uiPriority w:val="99"/>
    <w:semiHidden/>
    <w:locked/>
    <w:rsid w:val="003A5713"/>
    <w:rPr>
      <w:rFonts w:ascii="Courier New" w:hAnsi="Courier New" w:cs="Times New Roman"/>
      <w:sz w:val="24"/>
      <w:szCs w:val="24"/>
      <w:lang w:val="en-GB" w:eastAsia="x-none"/>
    </w:rPr>
  </w:style>
  <w:style w:type="paragraph" w:customStyle="1" w:styleId="Default">
    <w:name w:val="Default"/>
    <w:rsid w:val="00A14533"/>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2012-04-02T18:30:00+00:00</Judgment_x0020_Date>
    <Year xmlns="aec0a7e9-5f5c-4ba9-87b2-85cfc8a38b86">2012</Year>
  </documentManagement>
</p:properties>
</file>

<file path=customXml/itemProps1.xml><?xml version="1.0" encoding="utf-8"?>
<ds:datastoreItem xmlns:ds="http://schemas.openxmlformats.org/officeDocument/2006/customXml" ds:itemID="{0824625D-BE83-4BAC-B20C-D90F2AFB0ADF}"/>
</file>

<file path=customXml/itemProps2.xml><?xml version="1.0" encoding="utf-8"?>
<ds:datastoreItem xmlns:ds="http://schemas.openxmlformats.org/officeDocument/2006/customXml" ds:itemID="{DC91E28D-FA1B-4FD9-805D-49EFA59AC726}"/>
</file>

<file path=customXml/itemProps3.xml><?xml version="1.0" encoding="utf-8"?>
<ds:datastoreItem xmlns:ds="http://schemas.openxmlformats.org/officeDocument/2006/customXml" ds:itemID="{02F1F2E9-FCFF-409C-BBEA-C474D58B645D}"/>
</file>

<file path=customXml/itemProps4.xml><?xml version="1.0" encoding="utf-8"?>
<ds:datastoreItem xmlns:ds="http://schemas.openxmlformats.org/officeDocument/2006/customXml" ds:itemID="{1849FB61-C97B-4937-BF9B-85FB37AF7FDC}"/>
</file>

<file path=docProps/app.xml><?xml version="1.0" encoding="utf-8"?>
<Properties xmlns="http://schemas.openxmlformats.org/officeDocument/2006/extended-properties" xmlns:vt="http://schemas.openxmlformats.org/officeDocument/2006/docPropsVTypes">
  <Template>Normal</Template>
  <TotalTime>0</TotalTime>
  <Pages>15</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sikongo</cp:lastModifiedBy>
  <cp:revision>2</cp:revision>
  <cp:lastPrinted>2010-11-19T09:52:00Z</cp:lastPrinted>
  <dcterms:created xsi:type="dcterms:W3CDTF">2013-11-07T09:02:00Z</dcterms:created>
  <dcterms:modified xsi:type="dcterms:W3CDTF">2013-11-07T09:02:00Z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18000</vt:r8>
  </property>
  <property fmtid="{D5CDD505-2E9C-101B-9397-08002B2CF9AE}" pid="3" name="WorkflowChangePath">
    <vt:lpwstr>51234616-b7fe-46f9-8258-192439289d77,6;51234616-b7fe-46f9-8258-192439289d77,9;</vt:lpwstr>
  </property>
  <property fmtid="{D5CDD505-2E9C-101B-9397-08002B2CF9AE}" pid="4" name="ContentTypeId">
    <vt:lpwstr>0x0101008CCF6D66F229EE4D8B714E6AF2A2557D</vt:lpwstr>
  </property>
</Properties>
</file>