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C2" w:rsidRDefault="00E02BC2" w:rsidP="003F1E7D">
      <w:pPr>
        <w:tabs>
          <w:tab w:val="center" w:pos="4513"/>
          <w:tab w:val="right" w:pos="9027"/>
        </w:tabs>
        <w:spacing w:after="0" w:line="360" w:lineRule="auto"/>
        <w:jc w:val="right"/>
        <w:rPr>
          <w:rFonts w:ascii="Arial" w:hAnsi="Arial" w:cs="Arial"/>
        </w:rPr>
      </w:pPr>
    </w:p>
    <w:p w:rsidR="003F1E7D" w:rsidRPr="003F1E7D" w:rsidRDefault="003F1E7D" w:rsidP="003F1E7D">
      <w:pPr>
        <w:tabs>
          <w:tab w:val="center" w:pos="4513"/>
          <w:tab w:val="right" w:pos="9027"/>
        </w:tabs>
        <w:spacing w:after="0" w:line="360" w:lineRule="auto"/>
        <w:jc w:val="right"/>
        <w:rPr>
          <w:rFonts w:ascii="Arial" w:hAnsi="Arial" w:cs="Arial"/>
        </w:rPr>
      </w:pPr>
      <w:r>
        <w:rPr>
          <w:rFonts w:ascii="Arial" w:hAnsi="Arial" w:cs="Arial"/>
        </w:rPr>
        <w:t>NOT REPORTABLE</w:t>
      </w:r>
    </w:p>
    <w:p w:rsidR="00AA5B99" w:rsidRPr="006E026B" w:rsidRDefault="00D13656" w:rsidP="00AA5B99">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925A1" w:rsidRPr="005713BA" w:rsidRDefault="00C925A1" w:rsidP="00AA5B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C925A1" w:rsidRPr="005713BA" w:rsidRDefault="00C925A1" w:rsidP="00AA5B99">
                      <w:pPr>
                        <w:jc w:val="center"/>
                      </w:pPr>
                    </w:p>
                  </w:txbxContent>
                </v:textbox>
              </v:shape>
            </w:pict>
          </mc:Fallback>
        </mc:AlternateContent>
      </w:r>
      <w:r w:rsidR="00AA5B99" w:rsidRPr="006E026B">
        <w:rPr>
          <w:rFonts w:ascii="Arial" w:hAnsi="Arial" w:cs="Arial"/>
          <w:b/>
          <w:sz w:val="24"/>
          <w:szCs w:val="24"/>
        </w:rPr>
        <w:t>REPUBLIC OF NAMIBIA</w:t>
      </w:r>
    </w:p>
    <w:p w:rsidR="00AA5B99" w:rsidRDefault="00AA5B99" w:rsidP="00AA5B99">
      <w:pPr>
        <w:spacing w:after="0" w:line="360" w:lineRule="auto"/>
        <w:jc w:val="center"/>
        <w:rPr>
          <w:b/>
          <w:sz w:val="32"/>
          <w:szCs w:val="32"/>
        </w:rPr>
      </w:pPr>
      <w:r>
        <w:rPr>
          <w:b/>
          <w:noProof/>
          <w:sz w:val="32"/>
          <w:szCs w:val="32"/>
          <w:lang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AA5B99" w:rsidRPr="006E026B" w:rsidRDefault="00AA5B99" w:rsidP="00AA5B99">
      <w:pPr>
        <w:spacing w:after="0" w:line="360" w:lineRule="auto"/>
        <w:jc w:val="center"/>
        <w:rPr>
          <w:rFonts w:ascii="Arial" w:hAnsi="Arial" w:cs="Arial"/>
          <w:bCs/>
          <w:sz w:val="24"/>
          <w:szCs w:val="24"/>
        </w:rPr>
      </w:pPr>
      <w:r>
        <w:rPr>
          <w:rFonts w:ascii="Arial" w:hAnsi="Arial" w:cs="Arial"/>
          <w:b/>
          <w:sz w:val="24"/>
          <w:szCs w:val="24"/>
        </w:rPr>
        <w:t xml:space="preserve">LABOUR </w:t>
      </w:r>
      <w:r w:rsidRPr="006E026B">
        <w:rPr>
          <w:rFonts w:ascii="Arial" w:hAnsi="Arial" w:cs="Arial"/>
          <w:b/>
          <w:sz w:val="24"/>
          <w:szCs w:val="24"/>
        </w:rPr>
        <w:t>COURT OF NAMIBIA MAIN DIVISION, WINDHOEK</w:t>
      </w:r>
    </w:p>
    <w:p w:rsidR="00AA5B99" w:rsidRDefault="00AA5B99" w:rsidP="00AA5B99">
      <w:pPr>
        <w:spacing w:after="0" w:line="360" w:lineRule="auto"/>
        <w:jc w:val="center"/>
        <w:rPr>
          <w:rFonts w:ascii="Arial" w:hAnsi="Arial" w:cs="Arial"/>
          <w:b/>
          <w:sz w:val="24"/>
          <w:szCs w:val="24"/>
        </w:rPr>
      </w:pPr>
      <w:r w:rsidRPr="006E026B">
        <w:rPr>
          <w:rFonts w:ascii="Arial" w:hAnsi="Arial" w:cs="Arial"/>
          <w:b/>
          <w:sz w:val="24"/>
          <w:szCs w:val="24"/>
        </w:rPr>
        <w:t>JUDGMENT</w:t>
      </w:r>
    </w:p>
    <w:p w:rsidR="00F90F8A" w:rsidRPr="00F90F8A" w:rsidRDefault="00AA5B99" w:rsidP="00F90F8A">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3F1E7D">
        <w:rPr>
          <w:rFonts w:ascii="Arial" w:hAnsi="Arial" w:cs="Arial"/>
          <w:sz w:val="24"/>
          <w:szCs w:val="24"/>
        </w:rPr>
        <w:t>Case no:  LC</w:t>
      </w:r>
      <w:r w:rsidR="00E97355">
        <w:rPr>
          <w:rFonts w:ascii="Arial" w:hAnsi="Arial" w:cs="Arial"/>
          <w:sz w:val="24"/>
          <w:szCs w:val="24"/>
        </w:rPr>
        <w:t>A 34/2016</w:t>
      </w:r>
    </w:p>
    <w:p w:rsidR="00F90F8A" w:rsidRPr="00F90F8A" w:rsidRDefault="00F90F8A" w:rsidP="00F90F8A">
      <w:pPr>
        <w:spacing w:after="0" w:line="360" w:lineRule="auto"/>
        <w:rPr>
          <w:rFonts w:ascii="Arial" w:hAnsi="Arial" w:cs="Arial"/>
          <w:sz w:val="24"/>
          <w:szCs w:val="24"/>
        </w:rPr>
      </w:pPr>
    </w:p>
    <w:p w:rsidR="00F90F8A" w:rsidRPr="0083096C" w:rsidRDefault="00F90F8A" w:rsidP="00F90F8A">
      <w:pPr>
        <w:spacing w:after="0" w:line="360" w:lineRule="auto"/>
        <w:rPr>
          <w:rFonts w:ascii="Arial" w:hAnsi="Arial" w:cs="Arial"/>
          <w:sz w:val="24"/>
          <w:szCs w:val="24"/>
        </w:rPr>
      </w:pPr>
      <w:r w:rsidRPr="0083096C">
        <w:rPr>
          <w:rFonts w:ascii="Arial" w:hAnsi="Arial" w:cs="Arial"/>
          <w:sz w:val="24"/>
          <w:szCs w:val="24"/>
        </w:rPr>
        <w:t>In the matter between:</w:t>
      </w:r>
    </w:p>
    <w:p w:rsidR="00F90F8A" w:rsidRPr="0083096C" w:rsidRDefault="00F90F8A" w:rsidP="00F90F8A">
      <w:pPr>
        <w:spacing w:after="0" w:line="360" w:lineRule="auto"/>
        <w:rPr>
          <w:rFonts w:ascii="Arial" w:hAnsi="Arial" w:cs="Arial"/>
          <w:sz w:val="24"/>
          <w:szCs w:val="24"/>
        </w:rPr>
      </w:pPr>
    </w:p>
    <w:p w:rsidR="00F90F8A" w:rsidRPr="0083096C" w:rsidRDefault="00E97355" w:rsidP="00F90F8A">
      <w:pPr>
        <w:keepNext/>
        <w:tabs>
          <w:tab w:val="right" w:pos="9000"/>
        </w:tabs>
        <w:spacing w:after="0" w:line="480" w:lineRule="auto"/>
        <w:jc w:val="both"/>
        <w:outlineLvl w:val="3"/>
        <w:rPr>
          <w:rFonts w:ascii="Arial" w:eastAsia="Times New Roman" w:hAnsi="Arial" w:cs="Arial"/>
          <w:b/>
          <w:sz w:val="24"/>
          <w:szCs w:val="24"/>
          <w:lang w:val="en-GB"/>
        </w:rPr>
      </w:pPr>
      <w:r>
        <w:rPr>
          <w:rFonts w:ascii="Arial" w:hAnsi="Arial" w:cs="Arial"/>
          <w:b/>
          <w:sz w:val="24"/>
          <w:szCs w:val="24"/>
        </w:rPr>
        <w:t>MINE WORKERS UNION OF NAMIBIA</w:t>
      </w:r>
      <w:r w:rsidR="00F90F8A" w:rsidRPr="0083096C">
        <w:rPr>
          <w:rFonts w:ascii="Arial" w:eastAsia="Times New Roman" w:hAnsi="Arial" w:cs="Arial"/>
          <w:b/>
          <w:sz w:val="24"/>
          <w:szCs w:val="24"/>
          <w:lang w:val="en-GB"/>
        </w:rPr>
        <w:tab/>
        <w:t>A</w:t>
      </w:r>
      <w:r>
        <w:rPr>
          <w:rFonts w:ascii="Arial" w:eastAsia="Times New Roman" w:hAnsi="Arial" w:cs="Arial"/>
          <w:b/>
          <w:sz w:val="24"/>
          <w:szCs w:val="24"/>
          <w:lang w:val="en-GB"/>
        </w:rPr>
        <w:t xml:space="preserve">PPELLANT </w:t>
      </w:r>
    </w:p>
    <w:p w:rsidR="00F90F8A" w:rsidRPr="0083096C" w:rsidRDefault="00F90F8A" w:rsidP="00F90F8A">
      <w:pPr>
        <w:spacing w:after="0" w:line="480" w:lineRule="auto"/>
        <w:jc w:val="both"/>
        <w:rPr>
          <w:rFonts w:ascii="Arial" w:hAnsi="Arial" w:cs="Arial"/>
          <w:sz w:val="24"/>
          <w:szCs w:val="24"/>
        </w:rPr>
      </w:pPr>
      <w:proofErr w:type="gramStart"/>
      <w:r w:rsidRPr="0083096C">
        <w:rPr>
          <w:rFonts w:ascii="Arial" w:hAnsi="Arial" w:cs="Arial"/>
          <w:sz w:val="24"/>
          <w:szCs w:val="24"/>
        </w:rPr>
        <w:t>and</w:t>
      </w:r>
      <w:proofErr w:type="gramEnd"/>
    </w:p>
    <w:p w:rsidR="0083096C" w:rsidRDefault="0083096C" w:rsidP="0083096C">
      <w:pPr>
        <w:spacing w:after="0" w:line="240" w:lineRule="auto"/>
        <w:rPr>
          <w:rFonts w:ascii="Arial" w:eastAsia="Times New Roman" w:hAnsi="Arial" w:cs="Arial"/>
          <w:b/>
          <w:sz w:val="24"/>
          <w:szCs w:val="24"/>
          <w:lang w:val="en-US"/>
        </w:rPr>
      </w:pPr>
    </w:p>
    <w:p w:rsidR="00C53D37" w:rsidRPr="0083096C" w:rsidRDefault="00E97355" w:rsidP="00C53D37">
      <w:pPr>
        <w:spacing w:after="0" w:line="240" w:lineRule="auto"/>
        <w:rPr>
          <w:rFonts w:ascii="Arial" w:hAnsi="Arial" w:cs="Arial"/>
          <w:b/>
          <w:sz w:val="24"/>
          <w:szCs w:val="24"/>
        </w:rPr>
      </w:pPr>
      <w:r>
        <w:rPr>
          <w:rFonts w:ascii="Arial" w:eastAsia="Times New Roman" w:hAnsi="Arial" w:cs="Arial"/>
          <w:b/>
          <w:sz w:val="24"/>
          <w:szCs w:val="24"/>
          <w:lang w:val="en-US"/>
        </w:rPr>
        <w:t>QKR NAMIBIA NAMVACHAB GOLD MINE</w:t>
      </w:r>
      <w:r w:rsidR="003F1E7D">
        <w:rPr>
          <w:rFonts w:ascii="Arial" w:eastAsia="Times New Roman" w:hAnsi="Arial" w:cs="Arial"/>
          <w:b/>
          <w:sz w:val="24"/>
          <w:szCs w:val="24"/>
          <w:lang w:val="en-US"/>
        </w:rPr>
        <w:tab/>
      </w:r>
      <w:r w:rsidR="003F1E7D">
        <w:rPr>
          <w:rFonts w:ascii="Arial" w:eastAsia="Times New Roman" w:hAnsi="Arial" w:cs="Arial"/>
          <w:b/>
          <w:sz w:val="24"/>
          <w:szCs w:val="24"/>
          <w:lang w:val="en-US"/>
        </w:rPr>
        <w:tab/>
      </w:r>
      <w:r w:rsidR="003F1E7D">
        <w:rPr>
          <w:rFonts w:ascii="Arial" w:eastAsia="Times New Roman" w:hAnsi="Arial" w:cs="Arial"/>
          <w:b/>
          <w:sz w:val="24"/>
          <w:szCs w:val="24"/>
          <w:lang w:val="en-US"/>
        </w:rPr>
        <w:tab/>
      </w:r>
      <w:r>
        <w:rPr>
          <w:rFonts w:ascii="Arial" w:eastAsia="Times New Roman" w:hAnsi="Arial" w:cs="Arial"/>
          <w:b/>
          <w:sz w:val="24"/>
          <w:szCs w:val="24"/>
          <w:lang w:val="en-US"/>
        </w:rPr>
        <w:t xml:space="preserve">FIRST </w:t>
      </w:r>
      <w:r w:rsidR="00C53D37" w:rsidRPr="0083096C">
        <w:rPr>
          <w:rFonts w:ascii="Arial" w:hAnsi="Arial" w:cs="Arial"/>
          <w:b/>
          <w:sz w:val="24"/>
          <w:szCs w:val="24"/>
        </w:rPr>
        <w:t>RESPONDENT</w:t>
      </w:r>
    </w:p>
    <w:p w:rsidR="00C53D37" w:rsidRPr="0083096C" w:rsidRDefault="00C53D37" w:rsidP="0083096C">
      <w:pPr>
        <w:spacing w:after="0" w:line="240" w:lineRule="auto"/>
        <w:rPr>
          <w:rFonts w:ascii="Arial" w:eastAsia="Times New Roman" w:hAnsi="Arial" w:cs="Arial"/>
          <w:b/>
          <w:sz w:val="24"/>
          <w:szCs w:val="24"/>
          <w:lang w:val="en-US"/>
        </w:rPr>
      </w:pPr>
    </w:p>
    <w:p w:rsidR="0083096C" w:rsidRPr="0083096C" w:rsidRDefault="00E97355" w:rsidP="0083096C">
      <w:pPr>
        <w:spacing w:after="0" w:line="240" w:lineRule="auto"/>
        <w:rPr>
          <w:rFonts w:ascii="Arial" w:hAnsi="Arial" w:cs="Arial"/>
          <w:b/>
          <w:sz w:val="24"/>
          <w:szCs w:val="24"/>
        </w:rPr>
      </w:pPr>
      <w:r>
        <w:rPr>
          <w:rFonts w:ascii="Arial" w:eastAsia="Times New Roman" w:hAnsi="Arial" w:cs="Arial"/>
          <w:b/>
          <w:sz w:val="24"/>
          <w:szCs w:val="24"/>
          <w:lang w:val="en-US"/>
        </w:rPr>
        <w:t>ONO ANGULA N.O.</w:t>
      </w:r>
      <w:r>
        <w:rPr>
          <w:rFonts w:ascii="Arial" w:eastAsia="Times New Roman" w:hAnsi="Arial" w:cs="Arial"/>
          <w:b/>
          <w:sz w:val="24"/>
          <w:szCs w:val="24"/>
          <w:lang w:val="en-US"/>
        </w:rPr>
        <w:tab/>
      </w:r>
      <w:r w:rsidR="0083096C" w:rsidRPr="0083096C">
        <w:rPr>
          <w:rFonts w:ascii="Arial" w:eastAsia="Times New Roman" w:hAnsi="Arial" w:cs="Arial"/>
          <w:b/>
          <w:sz w:val="24"/>
          <w:szCs w:val="24"/>
          <w:lang w:val="en-US"/>
        </w:rPr>
        <w:tab/>
      </w:r>
      <w:r w:rsidR="0083096C" w:rsidRPr="0083096C">
        <w:rPr>
          <w:rFonts w:ascii="Arial" w:eastAsia="Times New Roman" w:hAnsi="Arial" w:cs="Arial"/>
          <w:b/>
          <w:sz w:val="24"/>
          <w:szCs w:val="24"/>
          <w:lang w:val="en-US"/>
        </w:rPr>
        <w:tab/>
      </w:r>
      <w:r w:rsidR="0083096C" w:rsidRPr="0083096C">
        <w:rPr>
          <w:rFonts w:ascii="Arial" w:eastAsia="Times New Roman" w:hAnsi="Arial" w:cs="Arial"/>
          <w:b/>
          <w:sz w:val="24"/>
          <w:szCs w:val="24"/>
          <w:lang w:val="en-US"/>
        </w:rPr>
        <w:tab/>
      </w:r>
      <w:r w:rsidR="0083096C" w:rsidRPr="0083096C">
        <w:rPr>
          <w:rFonts w:ascii="Arial" w:eastAsia="Times New Roman" w:hAnsi="Arial" w:cs="Arial"/>
          <w:b/>
          <w:sz w:val="24"/>
          <w:szCs w:val="24"/>
          <w:lang w:val="en-US"/>
        </w:rPr>
        <w:tab/>
      </w:r>
      <w:r>
        <w:rPr>
          <w:rFonts w:ascii="Arial" w:eastAsia="Times New Roman" w:hAnsi="Arial" w:cs="Arial"/>
          <w:b/>
          <w:sz w:val="24"/>
          <w:szCs w:val="24"/>
          <w:lang w:val="en-US"/>
        </w:rPr>
        <w:t xml:space="preserve">       SECOND </w:t>
      </w:r>
      <w:r w:rsidR="0083096C" w:rsidRPr="0083096C">
        <w:rPr>
          <w:rFonts w:ascii="Arial" w:hAnsi="Arial" w:cs="Arial"/>
          <w:b/>
          <w:sz w:val="24"/>
          <w:szCs w:val="24"/>
        </w:rPr>
        <w:t>RESPONDENT</w:t>
      </w:r>
    </w:p>
    <w:p w:rsidR="0083096C" w:rsidRPr="0083096C" w:rsidRDefault="0083096C" w:rsidP="0083096C">
      <w:pPr>
        <w:spacing w:after="0" w:line="240" w:lineRule="auto"/>
        <w:rPr>
          <w:rFonts w:ascii="Arial" w:eastAsia="Times New Roman" w:hAnsi="Arial" w:cs="Arial"/>
          <w:sz w:val="24"/>
          <w:szCs w:val="24"/>
          <w:lang w:val="en-US"/>
        </w:rPr>
      </w:pPr>
    </w:p>
    <w:p w:rsidR="00F90F8A" w:rsidRPr="0083096C" w:rsidRDefault="00E97355" w:rsidP="0083096C">
      <w:pPr>
        <w:spacing w:after="0" w:line="240" w:lineRule="auto"/>
        <w:rPr>
          <w:rFonts w:ascii="Arial" w:hAnsi="Arial" w:cs="Arial"/>
          <w:b/>
          <w:sz w:val="24"/>
          <w:szCs w:val="24"/>
        </w:rPr>
      </w:pPr>
      <w:r>
        <w:rPr>
          <w:rFonts w:ascii="Arial" w:eastAsia="Times New Roman" w:hAnsi="Arial" w:cs="Arial"/>
          <w:b/>
          <w:sz w:val="24"/>
          <w:szCs w:val="24"/>
          <w:lang w:val="en-US"/>
        </w:rPr>
        <w:t xml:space="preserve">THE </w:t>
      </w:r>
      <w:r w:rsidR="0083096C" w:rsidRPr="0083096C">
        <w:rPr>
          <w:rFonts w:ascii="Arial" w:eastAsia="Times New Roman" w:hAnsi="Arial" w:cs="Arial"/>
          <w:b/>
          <w:sz w:val="24"/>
          <w:szCs w:val="24"/>
          <w:lang w:val="en-US"/>
        </w:rPr>
        <w:t>LABOUR COMMISSIONER</w:t>
      </w:r>
      <w:r w:rsidR="0083096C">
        <w:rPr>
          <w:rFonts w:ascii="Arial" w:eastAsia="Times New Roman" w:hAnsi="Arial" w:cs="Arial"/>
          <w:b/>
          <w:sz w:val="24"/>
          <w:szCs w:val="24"/>
          <w:lang w:val="en-US"/>
        </w:rPr>
        <w:tab/>
      </w:r>
      <w:r w:rsidR="0083096C">
        <w:rPr>
          <w:rFonts w:ascii="Arial" w:eastAsia="Times New Roman" w:hAnsi="Arial" w:cs="Arial"/>
          <w:b/>
          <w:sz w:val="24"/>
          <w:szCs w:val="24"/>
          <w:lang w:val="en-US"/>
        </w:rPr>
        <w:tab/>
      </w:r>
      <w:r w:rsidR="0083096C">
        <w:rPr>
          <w:rFonts w:ascii="Arial" w:eastAsia="Times New Roman" w:hAnsi="Arial" w:cs="Arial"/>
          <w:b/>
          <w:sz w:val="24"/>
          <w:szCs w:val="24"/>
          <w:lang w:val="en-US"/>
        </w:rPr>
        <w:tab/>
      </w:r>
      <w:r w:rsidR="0083096C">
        <w:rPr>
          <w:rFonts w:ascii="Arial" w:eastAsia="Times New Roman" w:hAnsi="Arial" w:cs="Arial"/>
          <w:b/>
          <w:sz w:val="24"/>
          <w:szCs w:val="24"/>
          <w:lang w:val="en-US"/>
        </w:rPr>
        <w:tab/>
      </w:r>
      <w:r w:rsidR="0083096C">
        <w:rPr>
          <w:rFonts w:ascii="Arial" w:eastAsia="Times New Roman" w:hAnsi="Arial" w:cs="Arial"/>
          <w:b/>
          <w:sz w:val="24"/>
          <w:szCs w:val="24"/>
          <w:lang w:val="en-US"/>
        </w:rPr>
        <w:tab/>
      </w:r>
      <w:r>
        <w:rPr>
          <w:rFonts w:ascii="Arial" w:eastAsia="Times New Roman" w:hAnsi="Arial" w:cs="Arial"/>
          <w:b/>
          <w:sz w:val="24"/>
          <w:szCs w:val="24"/>
          <w:lang w:val="en-US"/>
        </w:rPr>
        <w:t xml:space="preserve">THIRD </w:t>
      </w:r>
      <w:r w:rsidR="00F90F8A" w:rsidRPr="0083096C">
        <w:rPr>
          <w:rFonts w:ascii="Arial" w:hAnsi="Arial" w:cs="Arial"/>
          <w:b/>
          <w:sz w:val="24"/>
          <w:szCs w:val="24"/>
        </w:rPr>
        <w:t>RESPONDENT</w:t>
      </w:r>
    </w:p>
    <w:p w:rsidR="00F90F8A" w:rsidRPr="0083096C" w:rsidRDefault="00F90F8A" w:rsidP="00F90F8A">
      <w:pPr>
        <w:spacing w:after="0" w:line="360" w:lineRule="auto"/>
        <w:jc w:val="both"/>
        <w:rPr>
          <w:rFonts w:ascii="Arial" w:hAnsi="Arial" w:cs="Arial"/>
          <w:sz w:val="24"/>
          <w:szCs w:val="24"/>
        </w:rPr>
      </w:pPr>
    </w:p>
    <w:p w:rsidR="00F90F8A" w:rsidRPr="0083096C" w:rsidRDefault="00F90F8A" w:rsidP="00F90F8A">
      <w:pPr>
        <w:spacing w:after="0" w:line="360" w:lineRule="auto"/>
        <w:jc w:val="both"/>
        <w:rPr>
          <w:rFonts w:ascii="Arial" w:hAnsi="Arial" w:cs="Arial"/>
          <w:sz w:val="24"/>
          <w:szCs w:val="24"/>
        </w:rPr>
      </w:pPr>
    </w:p>
    <w:p w:rsidR="0047116B" w:rsidRPr="004F5B23" w:rsidRDefault="00F90F8A" w:rsidP="0047116B">
      <w:pPr>
        <w:spacing w:after="0" w:line="360" w:lineRule="auto"/>
        <w:ind w:left="2160" w:hanging="2160"/>
        <w:jc w:val="both"/>
        <w:rPr>
          <w:rFonts w:ascii="Arial" w:hAnsi="Arial" w:cs="Arial"/>
          <w:sz w:val="24"/>
          <w:szCs w:val="24"/>
        </w:rPr>
      </w:pPr>
      <w:r w:rsidRPr="00F90F8A">
        <w:rPr>
          <w:rFonts w:ascii="Arial" w:hAnsi="Arial" w:cs="Arial"/>
          <w:b/>
          <w:sz w:val="24"/>
          <w:szCs w:val="24"/>
        </w:rPr>
        <w:t>Neutral citation:</w:t>
      </w:r>
      <w:r w:rsidRPr="00F90F8A">
        <w:rPr>
          <w:rFonts w:ascii="Arial" w:hAnsi="Arial" w:cs="Arial"/>
          <w:b/>
          <w:sz w:val="24"/>
          <w:szCs w:val="24"/>
        </w:rPr>
        <w:tab/>
      </w:r>
      <w:r w:rsidR="0047116B" w:rsidRPr="0047116B">
        <w:rPr>
          <w:rFonts w:ascii="Arial" w:hAnsi="Arial" w:cs="Arial"/>
          <w:i/>
          <w:sz w:val="24"/>
          <w:szCs w:val="24"/>
        </w:rPr>
        <w:t xml:space="preserve">Mine Workers Union of Namibia v QKR Namibia </w:t>
      </w:r>
      <w:proofErr w:type="spellStart"/>
      <w:r w:rsidR="0047116B" w:rsidRPr="0047116B">
        <w:rPr>
          <w:rFonts w:ascii="Arial" w:hAnsi="Arial" w:cs="Arial"/>
          <w:i/>
          <w:sz w:val="24"/>
          <w:szCs w:val="24"/>
        </w:rPr>
        <w:t>Namvachab</w:t>
      </w:r>
      <w:proofErr w:type="spellEnd"/>
      <w:r w:rsidR="0047116B" w:rsidRPr="0047116B">
        <w:rPr>
          <w:rFonts w:ascii="Arial" w:hAnsi="Arial" w:cs="Arial"/>
          <w:i/>
          <w:sz w:val="24"/>
          <w:szCs w:val="24"/>
        </w:rPr>
        <w:t xml:space="preserve"> Gold Mine</w:t>
      </w:r>
      <w:r w:rsidR="0047116B" w:rsidRPr="0047116B">
        <w:rPr>
          <w:rFonts w:ascii="Arial" w:hAnsi="Arial" w:cs="Arial"/>
          <w:b/>
          <w:i/>
          <w:sz w:val="24"/>
          <w:szCs w:val="24"/>
        </w:rPr>
        <w:t xml:space="preserve"> </w:t>
      </w:r>
      <w:r w:rsidR="0047116B" w:rsidRPr="0047116B">
        <w:rPr>
          <w:rFonts w:ascii="Arial" w:hAnsi="Arial" w:cs="Arial"/>
          <w:i/>
          <w:sz w:val="24"/>
          <w:szCs w:val="24"/>
        </w:rPr>
        <w:t xml:space="preserve">(LCA 34/2016) [2017] NALCMD </w:t>
      </w:r>
      <w:r w:rsidR="0047116B">
        <w:rPr>
          <w:rFonts w:ascii="Arial" w:hAnsi="Arial" w:cs="Arial"/>
          <w:i/>
          <w:sz w:val="24"/>
          <w:szCs w:val="24"/>
        </w:rPr>
        <w:t>15</w:t>
      </w:r>
      <w:r w:rsidR="0047116B" w:rsidRPr="0047116B">
        <w:rPr>
          <w:rFonts w:ascii="Arial" w:hAnsi="Arial" w:cs="Arial"/>
          <w:i/>
          <w:sz w:val="24"/>
          <w:szCs w:val="24"/>
        </w:rPr>
        <w:t xml:space="preserve"> (28 April 2017)</w:t>
      </w:r>
    </w:p>
    <w:p w:rsidR="00AA5B99" w:rsidRDefault="00AA5B99" w:rsidP="0047116B">
      <w:pPr>
        <w:tabs>
          <w:tab w:val="right" w:pos="9000"/>
        </w:tabs>
        <w:spacing w:after="0" w:line="360" w:lineRule="auto"/>
        <w:rPr>
          <w:rFonts w:ascii="Arial" w:hAnsi="Arial" w:cs="Arial"/>
          <w:sz w:val="24"/>
          <w:szCs w:val="24"/>
        </w:rPr>
      </w:pPr>
    </w:p>
    <w:p w:rsidR="0047116B" w:rsidRPr="006E026B" w:rsidRDefault="0047116B" w:rsidP="0047116B">
      <w:pPr>
        <w:tabs>
          <w:tab w:val="right" w:pos="9000"/>
        </w:tabs>
        <w:spacing w:after="0" w:line="360" w:lineRule="auto"/>
        <w:rPr>
          <w:rFonts w:ascii="Arial" w:hAnsi="Arial" w:cs="Arial"/>
          <w:sz w:val="24"/>
          <w:szCs w:val="24"/>
        </w:rPr>
      </w:pPr>
    </w:p>
    <w:p w:rsidR="00AA5B99" w:rsidRDefault="00AA5B99" w:rsidP="00AA5B99">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E97355">
        <w:rPr>
          <w:rFonts w:ascii="Arial" w:hAnsi="Arial" w:cs="Arial"/>
          <w:sz w:val="24"/>
          <w:szCs w:val="24"/>
        </w:rPr>
        <w:t xml:space="preserve">PRINSLOO </w:t>
      </w:r>
      <w:r>
        <w:rPr>
          <w:rFonts w:ascii="Arial" w:hAnsi="Arial" w:cs="Arial"/>
          <w:sz w:val="24"/>
          <w:szCs w:val="24"/>
        </w:rPr>
        <w:t>AJ</w:t>
      </w:r>
    </w:p>
    <w:p w:rsidR="000733A1" w:rsidRPr="0047116B" w:rsidRDefault="00AA5B99" w:rsidP="00AA5B99">
      <w:pPr>
        <w:spacing w:after="0" w:line="360" w:lineRule="auto"/>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C749F9">
        <w:rPr>
          <w:rFonts w:ascii="Arial" w:hAnsi="Arial" w:cs="Arial"/>
          <w:sz w:val="24"/>
          <w:szCs w:val="24"/>
        </w:rPr>
        <w:t>03</w:t>
      </w:r>
      <w:r w:rsidR="00166F82">
        <w:rPr>
          <w:rFonts w:ascii="Arial" w:hAnsi="Arial" w:cs="Arial"/>
          <w:sz w:val="24"/>
          <w:szCs w:val="24"/>
        </w:rPr>
        <w:t xml:space="preserve"> and 31</w:t>
      </w:r>
      <w:r w:rsidR="00E97355" w:rsidRPr="0047116B">
        <w:rPr>
          <w:rFonts w:ascii="Arial" w:hAnsi="Arial" w:cs="Arial"/>
          <w:sz w:val="24"/>
          <w:szCs w:val="24"/>
        </w:rPr>
        <w:t xml:space="preserve"> March 2017</w:t>
      </w:r>
      <w:r w:rsidR="00166F82">
        <w:rPr>
          <w:rFonts w:ascii="Arial" w:hAnsi="Arial" w:cs="Arial"/>
          <w:sz w:val="24"/>
          <w:szCs w:val="24"/>
        </w:rPr>
        <w:t xml:space="preserve"> </w:t>
      </w:r>
    </w:p>
    <w:p w:rsidR="00AA5B99" w:rsidRDefault="00AA5B99" w:rsidP="00BF48DC">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E02BC2" w:rsidRPr="0047116B">
        <w:rPr>
          <w:rFonts w:ascii="Arial" w:hAnsi="Arial" w:cs="Arial"/>
          <w:sz w:val="24"/>
          <w:szCs w:val="24"/>
        </w:rPr>
        <w:t xml:space="preserve">28 April </w:t>
      </w:r>
      <w:r w:rsidR="00E97355" w:rsidRPr="0047116B">
        <w:rPr>
          <w:rFonts w:ascii="Arial" w:hAnsi="Arial" w:cs="Arial"/>
          <w:sz w:val="24"/>
          <w:szCs w:val="24"/>
        </w:rPr>
        <w:t>2017</w:t>
      </w:r>
    </w:p>
    <w:p w:rsidR="00AA5B99" w:rsidRDefault="00AA5B99" w:rsidP="00AA5B99">
      <w:pPr>
        <w:spacing w:after="0" w:line="360" w:lineRule="auto"/>
        <w:jc w:val="both"/>
        <w:rPr>
          <w:rFonts w:ascii="Arial" w:hAnsi="Arial" w:cs="Arial"/>
          <w:b/>
          <w:sz w:val="24"/>
          <w:szCs w:val="24"/>
        </w:rPr>
      </w:pPr>
    </w:p>
    <w:p w:rsidR="00082436" w:rsidRPr="00BF48DC" w:rsidRDefault="00AA5B99" w:rsidP="00AA5B99">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BF48DC" w:rsidRPr="00BF48DC">
        <w:rPr>
          <w:rFonts w:ascii="Arial" w:hAnsi="Arial" w:cs="Arial"/>
          <w:sz w:val="24"/>
          <w:szCs w:val="24"/>
        </w:rPr>
        <w:t xml:space="preserve">Labour Law </w:t>
      </w:r>
      <w:r w:rsidR="00BF48DC">
        <w:rPr>
          <w:rFonts w:ascii="Arial" w:hAnsi="Arial" w:cs="Arial"/>
          <w:sz w:val="24"/>
          <w:szCs w:val="24"/>
        </w:rPr>
        <w:t>–</w:t>
      </w:r>
      <w:r w:rsidR="00BF48DC" w:rsidRPr="00BF48DC">
        <w:rPr>
          <w:rFonts w:ascii="Arial" w:hAnsi="Arial" w:cs="Arial"/>
          <w:sz w:val="24"/>
          <w:szCs w:val="24"/>
        </w:rPr>
        <w:t xml:space="preserve"> </w:t>
      </w:r>
      <w:r w:rsidR="00BF48DC">
        <w:rPr>
          <w:rFonts w:ascii="Arial" w:hAnsi="Arial" w:cs="Arial"/>
          <w:sz w:val="24"/>
          <w:szCs w:val="24"/>
        </w:rPr>
        <w:t xml:space="preserve">Labour Appeal – Appeal against the whole arbitration award - </w:t>
      </w:r>
      <w:r w:rsidR="008C17E1" w:rsidRPr="008C17E1">
        <w:rPr>
          <w:rFonts w:ascii="Arial" w:hAnsi="Arial" w:cs="Arial"/>
          <w:sz w:val="24"/>
          <w:szCs w:val="24"/>
        </w:rPr>
        <w:t>I hold that the appellant has not made out a case that the arbitrator ‘reached a decision which no reasonable tribunal on a proper appreciation of the evidence and the law could not have reached</w:t>
      </w:r>
      <w:r w:rsidR="008C17E1">
        <w:rPr>
          <w:rFonts w:ascii="Arial" w:hAnsi="Arial" w:cs="Arial"/>
          <w:sz w:val="24"/>
          <w:szCs w:val="24"/>
        </w:rPr>
        <w:t>.</w:t>
      </w:r>
    </w:p>
    <w:p w:rsidR="0036530C" w:rsidRDefault="0036530C" w:rsidP="00AA5B99">
      <w:pPr>
        <w:spacing w:after="0" w:line="360" w:lineRule="auto"/>
        <w:jc w:val="both"/>
        <w:rPr>
          <w:rFonts w:ascii="Arial" w:hAnsi="Arial" w:cs="Arial"/>
          <w:sz w:val="24"/>
          <w:szCs w:val="24"/>
        </w:rPr>
      </w:pPr>
    </w:p>
    <w:p w:rsidR="00AA5B99" w:rsidRPr="006E026B" w:rsidRDefault="004529EA" w:rsidP="00AA5B99">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AA5B99" w:rsidRPr="006E026B" w:rsidRDefault="00AA5B99" w:rsidP="00AA5B99">
      <w:pPr>
        <w:spacing w:after="0" w:line="360" w:lineRule="auto"/>
        <w:jc w:val="center"/>
        <w:rPr>
          <w:rFonts w:ascii="Arial" w:hAnsi="Arial" w:cs="Arial"/>
          <w:b/>
          <w:bCs/>
          <w:sz w:val="24"/>
          <w:szCs w:val="24"/>
        </w:rPr>
      </w:pPr>
      <w:r w:rsidRPr="006E026B">
        <w:rPr>
          <w:rFonts w:ascii="Arial" w:hAnsi="Arial" w:cs="Arial"/>
          <w:b/>
          <w:bCs/>
          <w:sz w:val="24"/>
          <w:szCs w:val="24"/>
        </w:rPr>
        <w:t>ORDER</w:t>
      </w:r>
    </w:p>
    <w:p w:rsidR="00AA5B99" w:rsidRPr="006E026B" w:rsidRDefault="004529EA" w:rsidP="00AA5B99">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6F581E" w:rsidRDefault="006F581E" w:rsidP="006F581E">
      <w:pPr>
        <w:spacing w:after="0" w:line="360" w:lineRule="auto"/>
        <w:jc w:val="both"/>
        <w:rPr>
          <w:rFonts w:ascii="Arial" w:hAnsi="Arial" w:cs="Arial"/>
          <w:sz w:val="24"/>
          <w:szCs w:val="24"/>
        </w:rPr>
      </w:pPr>
    </w:p>
    <w:p w:rsidR="006F581E" w:rsidRDefault="006F581E" w:rsidP="006F581E">
      <w:pPr>
        <w:pStyle w:val="ListParagraph"/>
        <w:numPr>
          <w:ilvl w:val="0"/>
          <w:numId w:val="14"/>
        </w:numPr>
      </w:pPr>
      <w:r w:rsidRPr="006F581E">
        <w:t>The appeal is dismissed.</w:t>
      </w:r>
    </w:p>
    <w:p w:rsidR="006F581E" w:rsidRDefault="006F581E" w:rsidP="006F581E">
      <w:pPr>
        <w:pStyle w:val="ListParagraph"/>
        <w:ind w:left="720" w:firstLine="0"/>
      </w:pPr>
    </w:p>
    <w:p w:rsidR="006F581E" w:rsidRPr="006F581E" w:rsidRDefault="006F581E" w:rsidP="006F581E">
      <w:pPr>
        <w:pStyle w:val="ListParagraph"/>
        <w:numPr>
          <w:ilvl w:val="0"/>
          <w:numId w:val="14"/>
        </w:numPr>
      </w:pPr>
      <w:r w:rsidRPr="006F581E">
        <w:t>No order as to costs.</w:t>
      </w:r>
    </w:p>
    <w:p w:rsidR="0036530C" w:rsidRPr="006E026B" w:rsidRDefault="0036530C" w:rsidP="006F581E">
      <w:pPr>
        <w:spacing w:after="0" w:line="360" w:lineRule="auto"/>
        <w:jc w:val="both"/>
        <w:rPr>
          <w:rFonts w:ascii="Arial" w:hAnsi="Arial" w:cs="Arial"/>
          <w:sz w:val="24"/>
          <w:szCs w:val="24"/>
        </w:rPr>
      </w:pPr>
    </w:p>
    <w:p w:rsidR="00AA5B99" w:rsidRPr="006E026B" w:rsidRDefault="004529EA" w:rsidP="003F1E7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AA5B99" w:rsidRPr="006E026B" w:rsidRDefault="00AA5B99" w:rsidP="00AA5B99">
      <w:pPr>
        <w:spacing w:after="0" w:line="360" w:lineRule="auto"/>
        <w:jc w:val="center"/>
        <w:rPr>
          <w:rFonts w:ascii="Arial" w:hAnsi="Arial" w:cs="Arial"/>
          <w:b/>
          <w:sz w:val="24"/>
          <w:szCs w:val="24"/>
        </w:rPr>
      </w:pPr>
      <w:r w:rsidRPr="006E026B">
        <w:rPr>
          <w:rFonts w:ascii="Arial" w:hAnsi="Arial" w:cs="Arial"/>
          <w:b/>
          <w:sz w:val="24"/>
          <w:szCs w:val="24"/>
        </w:rPr>
        <w:t>JUDGMENT</w:t>
      </w:r>
    </w:p>
    <w:p w:rsidR="00AA5B99" w:rsidRPr="006E026B" w:rsidRDefault="004529EA" w:rsidP="00AA5B99">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AA5B99" w:rsidRPr="006E026B" w:rsidRDefault="00AA5B99" w:rsidP="00AA5B99">
      <w:pPr>
        <w:spacing w:after="0" w:line="360" w:lineRule="auto"/>
        <w:ind w:left="1440" w:hanging="1440"/>
        <w:jc w:val="both"/>
        <w:rPr>
          <w:rFonts w:ascii="Arial" w:hAnsi="Arial" w:cs="Arial"/>
          <w:sz w:val="24"/>
          <w:szCs w:val="24"/>
        </w:rPr>
      </w:pPr>
    </w:p>
    <w:p w:rsidR="00AA5B99" w:rsidRDefault="00E97355" w:rsidP="00AA5B99">
      <w:pPr>
        <w:spacing w:after="0" w:line="360" w:lineRule="auto"/>
        <w:ind w:left="1440" w:hanging="1440"/>
        <w:jc w:val="both"/>
        <w:rPr>
          <w:rFonts w:ascii="Arial" w:hAnsi="Arial" w:cs="Arial"/>
          <w:sz w:val="24"/>
          <w:szCs w:val="24"/>
        </w:rPr>
      </w:pPr>
      <w:r>
        <w:rPr>
          <w:rFonts w:ascii="Arial" w:hAnsi="Arial" w:cs="Arial"/>
          <w:sz w:val="24"/>
          <w:szCs w:val="24"/>
        </w:rPr>
        <w:t>PRINSLOO</w:t>
      </w:r>
      <w:r w:rsidR="00AA5B99">
        <w:rPr>
          <w:rFonts w:ascii="Arial" w:hAnsi="Arial" w:cs="Arial"/>
          <w:sz w:val="24"/>
          <w:szCs w:val="24"/>
        </w:rPr>
        <w:t xml:space="preserve"> AJ</w:t>
      </w:r>
      <w:r w:rsidR="00AA5B99" w:rsidRPr="006E026B">
        <w:rPr>
          <w:rFonts w:ascii="Arial" w:hAnsi="Arial" w:cs="Arial"/>
          <w:sz w:val="24"/>
          <w:szCs w:val="24"/>
        </w:rPr>
        <w:t>:</w:t>
      </w:r>
    </w:p>
    <w:p w:rsidR="004845CF" w:rsidRPr="006E026B" w:rsidRDefault="004845CF" w:rsidP="00AA5B99">
      <w:pPr>
        <w:spacing w:after="0" w:line="360" w:lineRule="auto"/>
        <w:ind w:left="1440" w:hanging="1440"/>
        <w:jc w:val="both"/>
        <w:rPr>
          <w:rFonts w:ascii="Arial" w:hAnsi="Arial" w:cs="Arial"/>
          <w:b/>
          <w:i/>
          <w:sz w:val="24"/>
          <w:szCs w:val="24"/>
        </w:rPr>
      </w:pPr>
    </w:p>
    <w:p w:rsidR="00AA5B99" w:rsidRPr="006E026B" w:rsidRDefault="00AA5B99" w:rsidP="00AA5B99">
      <w:pPr>
        <w:spacing w:after="0" w:line="360" w:lineRule="auto"/>
        <w:jc w:val="both"/>
        <w:rPr>
          <w:rFonts w:ascii="Arial" w:hAnsi="Arial" w:cs="Arial"/>
          <w:sz w:val="24"/>
          <w:szCs w:val="24"/>
        </w:rPr>
      </w:pPr>
    </w:p>
    <w:p w:rsidR="00A64598" w:rsidRDefault="00082436" w:rsidP="0017341E">
      <w:pPr>
        <w:pStyle w:val="ListParagraph"/>
        <w:ind w:firstLine="0"/>
      </w:pPr>
      <w:r>
        <w:t>[1]</w:t>
      </w:r>
      <w:r>
        <w:tab/>
      </w:r>
      <w:r w:rsidR="00A64598" w:rsidRPr="0035048A">
        <w:t xml:space="preserve">This is an appeal against </w:t>
      </w:r>
      <w:r w:rsidR="00A64598">
        <w:t xml:space="preserve">the whole of the arbitration </w:t>
      </w:r>
      <w:r w:rsidR="00A64598" w:rsidRPr="0035048A">
        <w:t>award made by an arbitrator, under s 86(15) of the Labour Act, 2007, on</w:t>
      </w:r>
      <w:r w:rsidR="00A64598">
        <w:t xml:space="preserve"> 27 May 2016 </w:t>
      </w:r>
      <w:r w:rsidR="00A64598" w:rsidRPr="0035048A">
        <w:t xml:space="preserve">holding </w:t>
      </w:r>
      <w:r w:rsidR="00A64598">
        <w:t>as follows:</w:t>
      </w:r>
    </w:p>
    <w:p w:rsidR="004845CF" w:rsidRDefault="004845CF" w:rsidP="0017341E">
      <w:pPr>
        <w:pStyle w:val="ListParagraph"/>
        <w:ind w:firstLine="0"/>
      </w:pPr>
    </w:p>
    <w:p w:rsidR="004845CF" w:rsidRDefault="004845CF" w:rsidP="0017341E">
      <w:pPr>
        <w:pStyle w:val="ListParagraph"/>
        <w:ind w:firstLine="0"/>
      </w:pPr>
    </w:p>
    <w:p w:rsidR="00A64598" w:rsidRDefault="00A64598" w:rsidP="00BB5BA8">
      <w:pPr>
        <w:pStyle w:val="ListParagraph"/>
        <w:rPr>
          <w:i/>
          <w:sz w:val="22"/>
          <w:szCs w:val="22"/>
        </w:rPr>
      </w:pPr>
      <w:r w:rsidRPr="004845CF">
        <w:rPr>
          <w:i/>
        </w:rPr>
        <w:t>‘(</w:t>
      </w:r>
      <w:r w:rsidRPr="004845CF">
        <w:rPr>
          <w:i/>
          <w:sz w:val="22"/>
          <w:szCs w:val="22"/>
        </w:rPr>
        <w:t xml:space="preserve">1) </w:t>
      </w:r>
      <w:proofErr w:type="gramStart"/>
      <w:r w:rsidRPr="004845CF">
        <w:rPr>
          <w:i/>
          <w:sz w:val="22"/>
          <w:szCs w:val="22"/>
        </w:rPr>
        <w:t>The</w:t>
      </w:r>
      <w:proofErr w:type="gramEnd"/>
      <w:r w:rsidRPr="004845CF">
        <w:rPr>
          <w:i/>
          <w:sz w:val="22"/>
          <w:szCs w:val="22"/>
        </w:rPr>
        <w:t xml:space="preserve"> parties were not of same mind when they signed the agreement: and </w:t>
      </w:r>
    </w:p>
    <w:p w:rsidR="004845CF" w:rsidRPr="004845CF" w:rsidRDefault="004845CF" w:rsidP="00BB5BA8">
      <w:pPr>
        <w:pStyle w:val="ListParagraph"/>
        <w:rPr>
          <w:i/>
          <w:sz w:val="22"/>
          <w:szCs w:val="22"/>
        </w:rPr>
      </w:pPr>
    </w:p>
    <w:p w:rsidR="00A64598" w:rsidRPr="004845CF" w:rsidRDefault="00A64598" w:rsidP="00BB5BA8">
      <w:pPr>
        <w:pStyle w:val="ListParagraph"/>
        <w:rPr>
          <w:i/>
        </w:rPr>
      </w:pPr>
      <w:r w:rsidRPr="004845CF">
        <w:rPr>
          <w:i/>
          <w:sz w:val="22"/>
          <w:szCs w:val="22"/>
        </w:rPr>
        <w:t xml:space="preserve"> (2) The agreement remains as is accept clause 3 of the agreement and it is hereby ordered that it be referred back to the negotiation table for the parties to discuss and agree and be of the same mind’</w:t>
      </w:r>
      <w:r w:rsidRPr="004845CF">
        <w:rPr>
          <w:i/>
        </w:rPr>
        <w:t xml:space="preserve"> </w:t>
      </w:r>
    </w:p>
    <w:p w:rsidR="004845CF" w:rsidRDefault="004845CF" w:rsidP="00BB5BA8">
      <w:pPr>
        <w:pStyle w:val="ListParagraph"/>
      </w:pPr>
    </w:p>
    <w:p w:rsidR="00A64598" w:rsidRDefault="00A64598" w:rsidP="00BB5BA8">
      <w:pPr>
        <w:pStyle w:val="ListParagraph"/>
      </w:pPr>
    </w:p>
    <w:p w:rsidR="00CF3A0C" w:rsidRDefault="00082436" w:rsidP="0017341E">
      <w:pPr>
        <w:pStyle w:val="ListParagraph"/>
        <w:ind w:firstLine="0"/>
      </w:pPr>
      <w:r>
        <w:t>[2]</w:t>
      </w:r>
      <w:r>
        <w:tab/>
      </w:r>
      <w:r w:rsidR="004C15B3">
        <w:t xml:space="preserve">The </w:t>
      </w:r>
      <w:r w:rsidR="00A64598">
        <w:t xml:space="preserve">background of the matter is briefly as follows: </w:t>
      </w:r>
      <w:r w:rsidR="00BA17EB">
        <w:t xml:space="preserve">During 2015 </w:t>
      </w:r>
      <w:r w:rsidR="00A251E4">
        <w:t xml:space="preserve">QKR </w:t>
      </w:r>
      <w:proofErr w:type="spellStart"/>
      <w:r w:rsidR="00BA17EB">
        <w:t>Navachab</w:t>
      </w:r>
      <w:proofErr w:type="spellEnd"/>
      <w:r w:rsidR="00BA17EB">
        <w:t xml:space="preserve"> Gold Mine</w:t>
      </w:r>
      <w:r w:rsidR="00BE457B">
        <w:t>, first respondent,</w:t>
      </w:r>
      <w:r w:rsidR="00BA17EB">
        <w:t xml:space="preserve"> (herein after referred to as </w:t>
      </w:r>
      <w:r w:rsidR="0034738A">
        <w:t>QKR</w:t>
      </w:r>
      <w:r w:rsidR="00BA17EB">
        <w:t>) entered into a substantive agreement (‘the agreement) with the Mine Workers Union of Namibia</w:t>
      </w:r>
      <w:r w:rsidR="00BE457B">
        <w:t>, the appellant,</w:t>
      </w:r>
      <w:r w:rsidR="00BA17EB">
        <w:t xml:space="preserve"> (herein after referred as </w:t>
      </w:r>
      <w:r w:rsidR="00BE457B">
        <w:t>MUN</w:t>
      </w:r>
      <w:r w:rsidR="00BA17EB">
        <w:t xml:space="preserve">), which was signed on 11 March 2015. </w:t>
      </w:r>
    </w:p>
    <w:p w:rsidR="004845CF" w:rsidRDefault="004845CF" w:rsidP="0017341E">
      <w:pPr>
        <w:pStyle w:val="ListParagraph"/>
        <w:ind w:firstLine="0"/>
      </w:pPr>
    </w:p>
    <w:p w:rsidR="005A1B32" w:rsidRDefault="004C15B3" w:rsidP="003F1E7D">
      <w:pPr>
        <w:spacing w:after="0" w:line="360" w:lineRule="auto"/>
        <w:jc w:val="both"/>
        <w:rPr>
          <w:rFonts w:ascii="Arial" w:hAnsi="Arial" w:cs="Arial"/>
          <w:sz w:val="24"/>
          <w:szCs w:val="24"/>
        </w:rPr>
      </w:pPr>
      <w:bookmarkStart w:id="0" w:name="_GoBack"/>
      <w:bookmarkEnd w:id="0"/>
      <w:r>
        <w:rPr>
          <w:rFonts w:ascii="Arial" w:hAnsi="Arial" w:cs="Arial"/>
          <w:sz w:val="24"/>
          <w:szCs w:val="24"/>
        </w:rPr>
        <w:t>[3]</w:t>
      </w:r>
      <w:r>
        <w:rPr>
          <w:rFonts w:ascii="Arial" w:hAnsi="Arial" w:cs="Arial"/>
          <w:sz w:val="24"/>
          <w:szCs w:val="24"/>
        </w:rPr>
        <w:tab/>
      </w:r>
      <w:r w:rsidR="00BA17EB">
        <w:rPr>
          <w:rFonts w:ascii="Arial" w:hAnsi="Arial" w:cs="Arial"/>
          <w:sz w:val="24"/>
          <w:szCs w:val="24"/>
        </w:rPr>
        <w:t xml:space="preserve">The agreement dealt with a number of </w:t>
      </w:r>
      <w:r w:rsidR="005A1B32">
        <w:rPr>
          <w:rFonts w:ascii="Arial" w:hAnsi="Arial" w:cs="Arial"/>
          <w:sz w:val="24"/>
          <w:szCs w:val="24"/>
        </w:rPr>
        <w:t>topics</w:t>
      </w:r>
      <w:r w:rsidR="00BA17EB">
        <w:rPr>
          <w:rFonts w:ascii="Arial" w:hAnsi="Arial" w:cs="Arial"/>
          <w:sz w:val="24"/>
          <w:szCs w:val="24"/>
        </w:rPr>
        <w:t xml:space="preserve"> </w:t>
      </w:r>
      <w:r w:rsidR="005A1B32">
        <w:rPr>
          <w:rFonts w:ascii="Arial" w:hAnsi="Arial" w:cs="Arial"/>
          <w:sz w:val="24"/>
          <w:szCs w:val="24"/>
        </w:rPr>
        <w:t>which are not in issue. T</w:t>
      </w:r>
      <w:r w:rsidR="00BA17EB">
        <w:rPr>
          <w:rFonts w:ascii="Arial" w:hAnsi="Arial" w:cs="Arial"/>
          <w:sz w:val="24"/>
          <w:szCs w:val="24"/>
        </w:rPr>
        <w:t xml:space="preserve">he clause material to the proceedings </w:t>
      </w:r>
      <w:r w:rsidR="00BA17EB" w:rsidRPr="00603E2E">
        <w:rPr>
          <w:rFonts w:ascii="Arial" w:hAnsi="Arial" w:cs="Arial"/>
          <w:i/>
          <w:sz w:val="24"/>
          <w:szCs w:val="24"/>
        </w:rPr>
        <w:t xml:space="preserve">in </w:t>
      </w:r>
      <w:proofErr w:type="spellStart"/>
      <w:r w:rsidR="00BA17EB" w:rsidRPr="00603E2E">
        <w:rPr>
          <w:rFonts w:ascii="Arial" w:hAnsi="Arial" w:cs="Arial"/>
          <w:i/>
          <w:sz w:val="24"/>
          <w:szCs w:val="24"/>
        </w:rPr>
        <w:t>casu</w:t>
      </w:r>
      <w:proofErr w:type="spellEnd"/>
      <w:r w:rsidR="00BA17EB">
        <w:rPr>
          <w:rFonts w:ascii="Arial" w:hAnsi="Arial" w:cs="Arial"/>
          <w:sz w:val="24"/>
          <w:szCs w:val="24"/>
        </w:rPr>
        <w:t xml:space="preserve"> </w:t>
      </w:r>
      <w:r w:rsidR="005A1B32">
        <w:rPr>
          <w:rFonts w:ascii="Arial" w:hAnsi="Arial" w:cs="Arial"/>
          <w:sz w:val="24"/>
          <w:szCs w:val="24"/>
        </w:rPr>
        <w:t xml:space="preserve">is </w:t>
      </w:r>
      <w:r w:rsidR="00BA17EB">
        <w:rPr>
          <w:rFonts w:ascii="Arial" w:hAnsi="Arial" w:cs="Arial"/>
          <w:sz w:val="24"/>
          <w:szCs w:val="24"/>
        </w:rPr>
        <w:t>clause 3</w:t>
      </w:r>
      <w:r w:rsidR="006F5FE6">
        <w:rPr>
          <w:rFonts w:ascii="Arial" w:hAnsi="Arial" w:cs="Arial"/>
          <w:sz w:val="24"/>
          <w:szCs w:val="24"/>
        </w:rPr>
        <w:t xml:space="preserve"> under the heading ‘HOUSING ALLOWANCE’</w:t>
      </w:r>
      <w:r w:rsidR="00BA17EB">
        <w:rPr>
          <w:rFonts w:ascii="Arial" w:hAnsi="Arial" w:cs="Arial"/>
          <w:sz w:val="24"/>
          <w:szCs w:val="24"/>
        </w:rPr>
        <w:t>. The relevant portion of the said</w:t>
      </w:r>
      <w:r w:rsidR="005A1B32">
        <w:rPr>
          <w:rFonts w:ascii="Arial" w:hAnsi="Arial" w:cs="Arial"/>
          <w:sz w:val="24"/>
          <w:szCs w:val="24"/>
        </w:rPr>
        <w:t xml:space="preserve"> clause </w:t>
      </w:r>
      <w:r w:rsidR="00BA17EB">
        <w:rPr>
          <w:rFonts w:ascii="Arial" w:hAnsi="Arial" w:cs="Arial"/>
          <w:sz w:val="24"/>
          <w:szCs w:val="24"/>
        </w:rPr>
        <w:t xml:space="preserve">is </w:t>
      </w:r>
      <w:r w:rsidR="00BA17EB" w:rsidRPr="000436B3">
        <w:rPr>
          <w:rFonts w:ascii="Arial" w:hAnsi="Arial" w:cs="Arial"/>
          <w:sz w:val="24"/>
          <w:szCs w:val="24"/>
        </w:rPr>
        <w:t xml:space="preserve">important and </w:t>
      </w:r>
      <w:r w:rsidR="006F5FE6">
        <w:rPr>
          <w:rFonts w:ascii="Arial" w:hAnsi="Arial" w:cs="Arial"/>
          <w:sz w:val="24"/>
          <w:szCs w:val="24"/>
        </w:rPr>
        <w:t xml:space="preserve">necessitates </w:t>
      </w:r>
      <w:r w:rsidR="006F5FE6" w:rsidRPr="000436B3">
        <w:rPr>
          <w:rFonts w:ascii="Arial" w:hAnsi="Arial" w:cs="Arial"/>
          <w:sz w:val="24"/>
          <w:szCs w:val="24"/>
        </w:rPr>
        <w:t>repeating</w:t>
      </w:r>
      <w:r w:rsidR="00BA17EB" w:rsidRPr="000436B3">
        <w:rPr>
          <w:rFonts w:ascii="Arial" w:hAnsi="Arial" w:cs="Arial"/>
          <w:sz w:val="24"/>
          <w:szCs w:val="24"/>
        </w:rPr>
        <w:t xml:space="preserve"> there</w:t>
      </w:r>
      <w:r w:rsidR="005A1B32">
        <w:rPr>
          <w:rFonts w:ascii="Arial" w:hAnsi="Arial" w:cs="Arial"/>
          <w:sz w:val="24"/>
          <w:szCs w:val="24"/>
        </w:rPr>
        <w:t xml:space="preserve">of and reads as follows: </w:t>
      </w:r>
    </w:p>
    <w:p w:rsidR="004845CF" w:rsidRDefault="004845CF" w:rsidP="003F1E7D">
      <w:pPr>
        <w:spacing w:after="0" w:line="360" w:lineRule="auto"/>
        <w:jc w:val="both"/>
        <w:rPr>
          <w:rFonts w:ascii="Arial" w:hAnsi="Arial" w:cs="Arial"/>
          <w:sz w:val="24"/>
          <w:szCs w:val="24"/>
        </w:rPr>
      </w:pPr>
    </w:p>
    <w:p w:rsidR="005A1B32" w:rsidRPr="004845CF" w:rsidRDefault="005A1B32" w:rsidP="003F1E7D">
      <w:pPr>
        <w:spacing w:after="0" w:line="360" w:lineRule="auto"/>
        <w:jc w:val="both"/>
        <w:rPr>
          <w:rFonts w:ascii="Arial" w:hAnsi="Arial" w:cs="Arial"/>
          <w:i/>
        </w:rPr>
      </w:pPr>
      <w:r>
        <w:rPr>
          <w:rFonts w:ascii="Arial" w:hAnsi="Arial" w:cs="Arial"/>
          <w:sz w:val="24"/>
          <w:szCs w:val="24"/>
        </w:rPr>
        <w:tab/>
      </w:r>
      <w:r w:rsidRPr="004845CF">
        <w:rPr>
          <w:rFonts w:ascii="Arial" w:hAnsi="Arial" w:cs="Arial"/>
          <w:i/>
        </w:rPr>
        <w:t xml:space="preserve">‘It is further agreed by both parties that the results of the housing investigation currently underway, be awaited and that if the results will not address the housing allowance requirement, parties will accept Union’s proposal of 40% increase on housing allowance and such percentage shall reduce by 7%. This shall be after six (6) months from the date of this agreement.’ </w:t>
      </w:r>
    </w:p>
    <w:p w:rsidR="00B07399" w:rsidRDefault="00B07399" w:rsidP="003F1E7D">
      <w:pPr>
        <w:spacing w:after="0" w:line="360" w:lineRule="auto"/>
        <w:jc w:val="both"/>
        <w:rPr>
          <w:rFonts w:ascii="Arial" w:hAnsi="Arial" w:cs="Arial"/>
          <w:sz w:val="24"/>
          <w:szCs w:val="24"/>
        </w:rPr>
      </w:pPr>
    </w:p>
    <w:p w:rsidR="00D5248B" w:rsidRDefault="00D5248B" w:rsidP="003F1E7D">
      <w:pPr>
        <w:spacing w:after="0" w:line="360" w:lineRule="auto"/>
        <w:jc w:val="both"/>
        <w:rPr>
          <w:rFonts w:ascii="Arial" w:hAnsi="Arial" w:cs="Arial"/>
          <w:sz w:val="24"/>
          <w:szCs w:val="24"/>
        </w:rPr>
      </w:pPr>
    </w:p>
    <w:p w:rsidR="004C7BE6" w:rsidRDefault="004C15B3" w:rsidP="0061148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E457B">
        <w:rPr>
          <w:rFonts w:ascii="Arial" w:hAnsi="Arial" w:cs="Arial"/>
          <w:sz w:val="24"/>
          <w:szCs w:val="24"/>
        </w:rPr>
        <w:t>MUN</w:t>
      </w:r>
      <w:r w:rsidR="00603E2E">
        <w:rPr>
          <w:rFonts w:ascii="Arial" w:hAnsi="Arial" w:cs="Arial"/>
          <w:sz w:val="24"/>
          <w:szCs w:val="24"/>
        </w:rPr>
        <w:t xml:space="preserve"> and </w:t>
      </w:r>
      <w:r w:rsidR="00BE457B">
        <w:rPr>
          <w:rFonts w:ascii="Arial" w:hAnsi="Arial" w:cs="Arial"/>
          <w:sz w:val="24"/>
          <w:szCs w:val="24"/>
        </w:rPr>
        <w:t>QKR</w:t>
      </w:r>
      <w:r w:rsidR="00603E2E">
        <w:rPr>
          <w:rFonts w:ascii="Arial" w:hAnsi="Arial" w:cs="Arial"/>
          <w:sz w:val="24"/>
          <w:szCs w:val="24"/>
        </w:rPr>
        <w:t xml:space="preserve"> agreed during the negotiations that an increase of </w:t>
      </w:r>
      <w:r w:rsidR="00A251E4">
        <w:rPr>
          <w:rFonts w:ascii="Arial" w:hAnsi="Arial" w:cs="Arial"/>
          <w:sz w:val="24"/>
          <w:szCs w:val="24"/>
        </w:rPr>
        <w:t>seven percent (7%)</w:t>
      </w:r>
      <w:r w:rsidR="00603E2E">
        <w:rPr>
          <w:rFonts w:ascii="Arial" w:hAnsi="Arial" w:cs="Arial"/>
          <w:sz w:val="24"/>
          <w:szCs w:val="24"/>
        </w:rPr>
        <w:t xml:space="preserve"> would be affected on the housing allowance and same would be enforced retrospectively to January 2015. The parties agreed that </w:t>
      </w:r>
      <w:r w:rsidR="00BE457B">
        <w:rPr>
          <w:rFonts w:ascii="Arial" w:hAnsi="Arial" w:cs="Arial"/>
          <w:sz w:val="24"/>
          <w:szCs w:val="24"/>
        </w:rPr>
        <w:t>QKR</w:t>
      </w:r>
      <w:r w:rsidR="00603E2E">
        <w:rPr>
          <w:rFonts w:ascii="Arial" w:hAnsi="Arial" w:cs="Arial"/>
          <w:sz w:val="24"/>
          <w:szCs w:val="24"/>
        </w:rPr>
        <w:t xml:space="preserve"> would have six (6) months within which to complete </w:t>
      </w:r>
      <w:r w:rsidR="0018563C">
        <w:rPr>
          <w:rFonts w:ascii="Arial" w:hAnsi="Arial" w:cs="Arial"/>
          <w:sz w:val="24"/>
          <w:szCs w:val="24"/>
        </w:rPr>
        <w:t>a</w:t>
      </w:r>
      <w:r w:rsidR="00603E2E">
        <w:rPr>
          <w:rFonts w:ascii="Arial" w:hAnsi="Arial" w:cs="Arial"/>
          <w:sz w:val="24"/>
          <w:szCs w:val="24"/>
        </w:rPr>
        <w:t xml:space="preserve"> </w:t>
      </w:r>
      <w:r w:rsidR="0018563C">
        <w:rPr>
          <w:rFonts w:ascii="Arial" w:hAnsi="Arial" w:cs="Arial"/>
          <w:sz w:val="24"/>
          <w:szCs w:val="24"/>
        </w:rPr>
        <w:t xml:space="preserve">housing </w:t>
      </w:r>
      <w:r w:rsidR="00603E2E">
        <w:rPr>
          <w:rFonts w:ascii="Arial" w:hAnsi="Arial" w:cs="Arial"/>
          <w:sz w:val="24"/>
          <w:szCs w:val="24"/>
        </w:rPr>
        <w:t xml:space="preserve">investigation.  Upon signature of the agreement the parties recorded that the agreement constituted full and final settlement of the 2015 substantive negotiations. </w:t>
      </w:r>
      <w:r w:rsidR="00611485">
        <w:rPr>
          <w:rFonts w:ascii="Arial" w:hAnsi="Arial" w:cs="Arial"/>
          <w:sz w:val="24"/>
          <w:szCs w:val="24"/>
        </w:rPr>
        <w:t xml:space="preserve"> </w:t>
      </w:r>
    </w:p>
    <w:p w:rsidR="00D5248B" w:rsidRPr="003F1E7D" w:rsidRDefault="00D5248B" w:rsidP="00611485">
      <w:pPr>
        <w:spacing w:after="0" w:line="360" w:lineRule="auto"/>
        <w:jc w:val="both"/>
        <w:rPr>
          <w:rFonts w:ascii="Arial" w:hAnsi="Arial" w:cs="Arial"/>
        </w:rPr>
      </w:pPr>
    </w:p>
    <w:p w:rsidR="00082436" w:rsidRDefault="00082436" w:rsidP="003F1E7D">
      <w:pPr>
        <w:spacing w:after="0" w:line="360" w:lineRule="auto"/>
        <w:jc w:val="both"/>
        <w:rPr>
          <w:rFonts w:ascii="Arial" w:hAnsi="Arial" w:cs="Arial"/>
          <w:sz w:val="24"/>
          <w:szCs w:val="24"/>
        </w:rPr>
      </w:pPr>
    </w:p>
    <w:p w:rsidR="00BB4B04" w:rsidRDefault="00082436" w:rsidP="003F1E7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E457B">
        <w:rPr>
          <w:rFonts w:ascii="Arial" w:hAnsi="Arial" w:cs="Arial"/>
          <w:sz w:val="24"/>
          <w:szCs w:val="24"/>
        </w:rPr>
        <w:t>MUN</w:t>
      </w:r>
      <w:r w:rsidR="0018563C">
        <w:rPr>
          <w:rFonts w:ascii="Arial" w:hAnsi="Arial" w:cs="Arial"/>
          <w:sz w:val="24"/>
          <w:szCs w:val="24"/>
        </w:rPr>
        <w:t xml:space="preserve"> sought specific performance of clause 3 of the agreement after the lapse of six (6) months. When it became evident that the </w:t>
      </w:r>
      <w:r w:rsidR="00BE457B">
        <w:rPr>
          <w:rFonts w:ascii="Arial" w:hAnsi="Arial" w:cs="Arial"/>
          <w:sz w:val="24"/>
          <w:szCs w:val="24"/>
        </w:rPr>
        <w:t>QKR</w:t>
      </w:r>
      <w:r w:rsidR="0018563C">
        <w:rPr>
          <w:rFonts w:ascii="Arial" w:hAnsi="Arial" w:cs="Arial"/>
          <w:sz w:val="24"/>
          <w:szCs w:val="24"/>
        </w:rPr>
        <w:t xml:space="preserve"> was unwilling to effect </w:t>
      </w:r>
      <w:r w:rsidR="00533FD6">
        <w:rPr>
          <w:rFonts w:ascii="Arial" w:hAnsi="Arial" w:cs="Arial"/>
          <w:sz w:val="24"/>
          <w:szCs w:val="24"/>
        </w:rPr>
        <w:t xml:space="preserve">the </w:t>
      </w:r>
      <w:r w:rsidR="0018563C">
        <w:rPr>
          <w:rFonts w:ascii="Arial" w:hAnsi="Arial" w:cs="Arial"/>
          <w:sz w:val="24"/>
          <w:szCs w:val="24"/>
        </w:rPr>
        <w:t>said increase in the housing allowance</w:t>
      </w:r>
      <w:r w:rsidR="00533FD6">
        <w:rPr>
          <w:rFonts w:ascii="Arial" w:hAnsi="Arial" w:cs="Arial"/>
          <w:sz w:val="24"/>
          <w:szCs w:val="24"/>
        </w:rPr>
        <w:t>,</w:t>
      </w:r>
      <w:r w:rsidR="0018563C">
        <w:rPr>
          <w:rFonts w:ascii="Arial" w:hAnsi="Arial" w:cs="Arial"/>
          <w:sz w:val="24"/>
          <w:szCs w:val="24"/>
        </w:rPr>
        <w:t xml:space="preserve"> </w:t>
      </w:r>
      <w:r w:rsidR="00BE457B">
        <w:rPr>
          <w:rFonts w:ascii="Arial" w:hAnsi="Arial" w:cs="Arial"/>
          <w:sz w:val="24"/>
          <w:szCs w:val="24"/>
        </w:rPr>
        <w:t>MUN</w:t>
      </w:r>
      <w:r w:rsidR="0018563C">
        <w:rPr>
          <w:rFonts w:ascii="Arial" w:hAnsi="Arial" w:cs="Arial"/>
          <w:sz w:val="24"/>
          <w:szCs w:val="24"/>
        </w:rPr>
        <w:t xml:space="preserve"> approached the offices of the Labour Commissioner to file a dispute. </w:t>
      </w:r>
      <w:r w:rsidR="00BD0892">
        <w:rPr>
          <w:rFonts w:ascii="Arial" w:hAnsi="Arial" w:cs="Arial"/>
          <w:sz w:val="24"/>
          <w:szCs w:val="24"/>
        </w:rPr>
        <w:t>The relief sought by MUN at the time was</w:t>
      </w:r>
      <w:r w:rsidR="00BB4B04">
        <w:rPr>
          <w:rFonts w:ascii="Arial" w:hAnsi="Arial" w:cs="Arial"/>
          <w:sz w:val="24"/>
          <w:szCs w:val="24"/>
        </w:rPr>
        <w:t>,</w:t>
      </w:r>
      <w:r w:rsidR="00BD0892">
        <w:rPr>
          <w:rFonts w:ascii="Arial" w:hAnsi="Arial" w:cs="Arial"/>
          <w:sz w:val="24"/>
          <w:szCs w:val="24"/>
        </w:rPr>
        <w:t xml:space="preserve"> as per paragraph 6.2 of the prayer</w:t>
      </w:r>
      <w:r w:rsidR="00BD0892">
        <w:rPr>
          <w:rStyle w:val="FootnoteReference"/>
          <w:rFonts w:ascii="Arial" w:hAnsi="Arial" w:cs="Arial"/>
          <w:sz w:val="24"/>
          <w:szCs w:val="24"/>
        </w:rPr>
        <w:footnoteReference w:id="1"/>
      </w:r>
      <w:r w:rsidR="00E02BC2">
        <w:rPr>
          <w:rFonts w:ascii="Arial" w:hAnsi="Arial" w:cs="Arial"/>
          <w:sz w:val="24"/>
          <w:szCs w:val="24"/>
        </w:rPr>
        <w:t xml:space="preserve"> attached to the LC 21 form,</w:t>
      </w:r>
      <w:r w:rsidR="00BD0892">
        <w:rPr>
          <w:rFonts w:ascii="Arial" w:hAnsi="Arial" w:cs="Arial"/>
          <w:sz w:val="24"/>
          <w:szCs w:val="24"/>
        </w:rPr>
        <w:t xml:space="preserve"> which reads:</w:t>
      </w:r>
    </w:p>
    <w:p w:rsidR="00BD0892" w:rsidRDefault="00BD0892" w:rsidP="003F1E7D">
      <w:pPr>
        <w:spacing w:after="0" w:line="360" w:lineRule="auto"/>
        <w:jc w:val="both"/>
        <w:rPr>
          <w:rFonts w:ascii="Arial" w:hAnsi="Arial" w:cs="Arial"/>
          <w:sz w:val="24"/>
          <w:szCs w:val="24"/>
        </w:rPr>
      </w:pPr>
      <w:r>
        <w:rPr>
          <w:rFonts w:ascii="Arial" w:hAnsi="Arial" w:cs="Arial"/>
          <w:sz w:val="24"/>
          <w:szCs w:val="24"/>
        </w:rPr>
        <w:t xml:space="preserve"> </w:t>
      </w:r>
    </w:p>
    <w:p w:rsidR="00BB4B04" w:rsidRDefault="00BB4B04" w:rsidP="003F1E7D">
      <w:pPr>
        <w:spacing w:after="0" w:line="360" w:lineRule="auto"/>
        <w:jc w:val="both"/>
        <w:rPr>
          <w:rFonts w:ascii="Arial" w:hAnsi="Arial" w:cs="Arial"/>
          <w:sz w:val="24"/>
          <w:szCs w:val="24"/>
        </w:rPr>
      </w:pPr>
    </w:p>
    <w:p w:rsidR="00BD0892" w:rsidRDefault="00BD0892" w:rsidP="003F1E7D">
      <w:pPr>
        <w:spacing w:after="0" w:line="360" w:lineRule="auto"/>
        <w:jc w:val="both"/>
        <w:rPr>
          <w:rFonts w:ascii="Arial" w:hAnsi="Arial" w:cs="Arial"/>
          <w:i/>
        </w:rPr>
      </w:pPr>
      <w:r>
        <w:rPr>
          <w:rFonts w:ascii="Arial" w:hAnsi="Arial" w:cs="Arial"/>
          <w:sz w:val="24"/>
          <w:szCs w:val="24"/>
        </w:rPr>
        <w:tab/>
      </w:r>
      <w:r w:rsidRPr="00BB4B04">
        <w:rPr>
          <w:rFonts w:ascii="Arial" w:hAnsi="Arial" w:cs="Arial"/>
          <w:i/>
        </w:rPr>
        <w:t>‘that the said arbitrator order the respondent to repay 33% of the housing for 01 January 2015 to concern employees according to the agreement sign between the two parties on 11 March 2015’</w:t>
      </w:r>
    </w:p>
    <w:p w:rsidR="00BB4B04" w:rsidRPr="00BB4B04" w:rsidRDefault="00BB4B04" w:rsidP="003F1E7D">
      <w:pPr>
        <w:spacing w:after="0" w:line="360" w:lineRule="auto"/>
        <w:jc w:val="both"/>
        <w:rPr>
          <w:rFonts w:ascii="Arial" w:hAnsi="Arial" w:cs="Arial"/>
          <w:i/>
        </w:rPr>
      </w:pPr>
    </w:p>
    <w:p w:rsidR="00BD0892" w:rsidRDefault="00BD0892" w:rsidP="003F1E7D">
      <w:pPr>
        <w:spacing w:after="0" w:line="360" w:lineRule="auto"/>
        <w:jc w:val="both"/>
        <w:rPr>
          <w:rFonts w:ascii="Arial" w:hAnsi="Arial" w:cs="Arial"/>
          <w:sz w:val="24"/>
          <w:szCs w:val="24"/>
        </w:rPr>
      </w:pPr>
    </w:p>
    <w:p w:rsidR="0018563C" w:rsidRDefault="00BD0892" w:rsidP="003F1E7D">
      <w:pPr>
        <w:spacing w:after="0"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r>
      <w:r w:rsidR="0018563C">
        <w:rPr>
          <w:rFonts w:ascii="Arial" w:hAnsi="Arial" w:cs="Arial"/>
          <w:sz w:val="24"/>
          <w:szCs w:val="24"/>
        </w:rPr>
        <w:t xml:space="preserve">An arbitration hearing was held on 11 April 2016 in </w:t>
      </w:r>
      <w:proofErr w:type="spellStart"/>
      <w:r w:rsidR="0018563C">
        <w:rPr>
          <w:rFonts w:ascii="Arial" w:hAnsi="Arial" w:cs="Arial"/>
          <w:sz w:val="24"/>
          <w:szCs w:val="24"/>
        </w:rPr>
        <w:t>Karibib</w:t>
      </w:r>
      <w:proofErr w:type="spellEnd"/>
      <w:r w:rsidR="00BE457B">
        <w:rPr>
          <w:rFonts w:ascii="Arial" w:hAnsi="Arial" w:cs="Arial"/>
          <w:sz w:val="24"/>
          <w:szCs w:val="24"/>
        </w:rPr>
        <w:t>,</w:t>
      </w:r>
      <w:r w:rsidR="0018563C">
        <w:rPr>
          <w:rFonts w:ascii="Arial" w:hAnsi="Arial" w:cs="Arial"/>
          <w:sz w:val="24"/>
          <w:szCs w:val="24"/>
        </w:rPr>
        <w:t xml:space="preserve"> during which one witness testified on behalf of the appellant and five witnesses testified on behalf of the first respondent.</w:t>
      </w:r>
    </w:p>
    <w:p w:rsidR="00BB4B04" w:rsidRDefault="00BB4B04" w:rsidP="003F1E7D">
      <w:pPr>
        <w:spacing w:after="0" w:line="360" w:lineRule="auto"/>
        <w:jc w:val="both"/>
        <w:rPr>
          <w:rFonts w:ascii="Arial" w:hAnsi="Arial" w:cs="Arial"/>
          <w:sz w:val="24"/>
          <w:szCs w:val="24"/>
        </w:rPr>
      </w:pPr>
    </w:p>
    <w:p w:rsidR="00464602" w:rsidRDefault="00464602" w:rsidP="003F1E7D">
      <w:pPr>
        <w:spacing w:after="0" w:line="360" w:lineRule="auto"/>
        <w:jc w:val="both"/>
        <w:rPr>
          <w:rFonts w:ascii="Arial" w:hAnsi="Arial" w:cs="Arial"/>
          <w:sz w:val="24"/>
          <w:szCs w:val="24"/>
        </w:rPr>
      </w:pPr>
    </w:p>
    <w:p w:rsidR="00464602" w:rsidRDefault="00082436" w:rsidP="00464602">
      <w:pPr>
        <w:spacing w:after="0" w:line="360" w:lineRule="auto"/>
        <w:jc w:val="both"/>
        <w:rPr>
          <w:rFonts w:ascii="Arial" w:hAnsi="Arial" w:cs="Arial"/>
          <w:sz w:val="24"/>
          <w:szCs w:val="24"/>
        </w:rPr>
      </w:pPr>
      <w:r>
        <w:rPr>
          <w:rFonts w:ascii="Arial" w:hAnsi="Arial" w:cs="Arial"/>
          <w:sz w:val="24"/>
          <w:szCs w:val="24"/>
        </w:rPr>
        <w:lastRenderedPageBreak/>
        <w:t>[</w:t>
      </w:r>
      <w:r w:rsidR="00BD0892">
        <w:rPr>
          <w:rFonts w:ascii="Arial" w:hAnsi="Arial" w:cs="Arial"/>
          <w:sz w:val="24"/>
          <w:szCs w:val="24"/>
        </w:rPr>
        <w:t>7</w:t>
      </w:r>
      <w:r>
        <w:rPr>
          <w:rFonts w:ascii="Arial" w:hAnsi="Arial" w:cs="Arial"/>
          <w:sz w:val="24"/>
          <w:szCs w:val="24"/>
        </w:rPr>
        <w:t>]</w:t>
      </w:r>
      <w:r>
        <w:rPr>
          <w:rFonts w:ascii="Arial" w:hAnsi="Arial" w:cs="Arial"/>
          <w:sz w:val="24"/>
          <w:szCs w:val="24"/>
        </w:rPr>
        <w:tab/>
      </w:r>
      <w:r w:rsidR="00464602">
        <w:rPr>
          <w:rFonts w:ascii="Arial" w:hAnsi="Arial" w:cs="Arial"/>
          <w:sz w:val="24"/>
          <w:szCs w:val="24"/>
        </w:rPr>
        <w:t xml:space="preserve">The single witness who testified during the arbitration proceedings on behalf of </w:t>
      </w:r>
      <w:r w:rsidR="00BE457B">
        <w:rPr>
          <w:rFonts w:ascii="Arial" w:hAnsi="Arial" w:cs="Arial"/>
          <w:sz w:val="24"/>
          <w:szCs w:val="24"/>
        </w:rPr>
        <w:t>MUN</w:t>
      </w:r>
      <w:r w:rsidR="00BB4B04">
        <w:rPr>
          <w:rFonts w:ascii="Arial" w:hAnsi="Arial" w:cs="Arial"/>
          <w:sz w:val="24"/>
          <w:szCs w:val="24"/>
        </w:rPr>
        <w:t xml:space="preserve">, was Mr </w:t>
      </w:r>
      <w:proofErr w:type="gramStart"/>
      <w:r w:rsidR="00BB4B04">
        <w:rPr>
          <w:rFonts w:ascii="Arial" w:hAnsi="Arial" w:cs="Arial"/>
          <w:sz w:val="24"/>
          <w:szCs w:val="24"/>
        </w:rPr>
        <w:t xml:space="preserve">Alberto </w:t>
      </w:r>
      <w:r w:rsidR="00E02BC2">
        <w:rPr>
          <w:rFonts w:ascii="Arial" w:hAnsi="Arial" w:cs="Arial"/>
          <w:sz w:val="24"/>
          <w:szCs w:val="24"/>
        </w:rPr>
        <w:t>!</w:t>
      </w:r>
      <w:proofErr w:type="spellStart"/>
      <w:r w:rsidR="00464602">
        <w:rPr>
          <w:rFonts w:ascii="Arial" w:hAnsi="Arial" w:cs="Arial"/>
          <w:sz w:val="24"/>
          <w:szCs w:val="24"/>
        </w:rPr>
        <w:t>N</w:t>
      </w:r>
      <w:r w:rsidR="00E02BC2">
        <w:rPr>
          <w:rFonts w:ascii="Arial" w:hAnsi="Arial" w:cs="Arial"/>
          <w:sz w:val="24"/>
          <w:szCs w:val="24"/>
        </w:rPr>
        <w:t>o</w:t>
      </w:r>
      <w:r w:rsidR="00464602">
        <w:rPr>
          <w:rFonts w:ascii="Arial" w:hAnsi="Arial" w:cs="Arial"/>
          <w:sz w:val="24"/>
          <w:szCs w:val="24"/>
        </w:rPr>
        <w:t>ariseb</w:t>
      </w:r>
      <w:proofErr w:type="spellEnd"/>
      <w:proofErr w:type="gramEnd"/>
      <w:r w:rsidR="005C1B88">
        <w:rPr>
          <w:rStyle w:val="FootnoteReference"/>
          <w:rFonts w:ascii="Arial" w:hAnsi="Arial" w:cs="Arial"/>
          <w:sz w:val="24"/>
          <w:szCs w:val="24"/>
        </w:rPr>
        <w:footnoteReference w:id="2"/>
      </w:r>
      <w:r w:rsidR="00464602">
        <w:rPr>
          <w:rFonts w:ascii="Arial" w:hAnsi="Arial" w:cs="Arial"/>
          <w:sz w:val="24"/>
          <w:szCs w:val="24"/>
        </w:rPr>
        <w:t xml:space="preserve">. He testified in his capacity as Acting Regional Chairperson of the Western Region of Mine Workers Union Namibia.  He stated that </w:t>
      </w:r>
      <w:r w:rsidR="00BE457B">
        <w:rPr>
          <w:rFonts w:ascii="Arial" w:hAnsi="Arial" w:cs="Arial"/>
          <w:sz w:val="24"/>
          <w:szCs w:val="24"/>
        </w:rPr>
        <w:t>QKR</w:t>
      </w:r>
      <w:r w:rsidR="00464602">
        <w:rPr>
          <w:rFonts w:ascii="Arial" w:hAnsi="Arial" w:cs="Arial"/>
          <w:sz w:val="24"/>
          <w:szCs w:val="24"/>
        </w:rPr>
        <w:t xml:space="preserve"> failed to honour clause 3 of the agreement which provided for an increase of </w:t>
      </w:r>
      <w:r w:rsidR="00A251E4">
        <w:rPr>
          <w:rFonts w:ascii="Arial" w:hAnsi="Arial" w:cs="Arial"/>
          <w:sz w:val="24"/>
          <w:szCs w:val="24"/>
        </w:rPr>
        <w:t>thirty three percent (</w:t>
      </w:r>
      <w:r w:rsidR="00464602">
        <w:rPr>
          <w:rFonts w:ascii="Arial" w:hAnsi="Arial" w:cs="Arial"/>
          <w:sz w:val="24"/>
          <w:szCs w:val="24"/>
        </w:rPr>
        <w:t>33%</w:t>
      </w:r>
      <w:r w:rsidR="00A251E4">
        <w:rPr>
          <w:rFonts w:ascii="Arial" w:hAnsi="Arial" w:cs="Arial"/>
          <w:sz w:val="24"/>
          <w:szCs w:val="24"/>
        </w:rPr>
        <w:t>)</w:t>
      </w:r>
      <w:r w:rsidR="00464602">
        <w:rPr>
          <w:rFonts w:ascii="Arial" w:hAnsi="Arial" w:cs="Arial"/>
          <w:sz w:val="24"/>
          <w:szCs w:val="24"/>
        </w:rPr>
        <w:t xml:space="preserve"> in housing allowances after </w:t>
      </w:r>
      <w:r w:rsidR="00E02BC2">
        <w:rPr>
          <w:rFonts w:ascii="Arial" w:hAnsi="Arial" w:cs="Arial"/>
          <w:sz w:val="24"/>
          <w:szCs w:val="24"/>
        </w:rPr>
        <w:t xml:space="preserve">the </w:t>
      </w:r>
      <w:r w:rsidR="00464602">
        <w:rPr>
          <w:rFonts w:ascii="Arial" w:hAnsi="Arial" w:cs="Arial"/>
          <w:sz w:val="24"/>
          <w:szCs w:val="24"/>
        </w:rPr>
        <w:t xml:space="preserve">lapse </w:t>
      </w:r>
      <w:r w:rsidR="00E02BC2">
        <w:rPr>
          <w:rFonts w:ascii="Arial" w:hAnsi="Arial" w:cs="Arial"/>
          <w:sz w:val="24"/>
          <w:szCs w:val="24"/>
        </w:rPr>
        <w:t>of</w:t>
      </w:r>
      <w:r w:rsidR="00464602">
        <w:rPr>
          <w:rFonts w:ascii="Arial" w:hAnsi="Arial" w:cs="Arial"/>
          <w:sz w:val="24"/>
          <w:szCs w:val="24"/>
        </w:rPr>
        <w:t xml:space="preserve"> 6</w:t>
      </w:r>
      <w:r w:rsidR="00BB4B04">
        <w:rPr>
          <w:rFonts w:ascii="Arial" w:hAnsi="Arial" w:cs="Arial"/>
          <w:sz w:val="24"/>
          <w:szCs w:val="24"/>
        </w:rPr>
        <w:t xml:space="preserve"> </w:t>
      </w:r>
      <w:r w:rsidR="00464602">
        <w:rPr>
          <w:rFonts w:ascii="Arial" w:hAnsi="Arial" w:cs="Arial"/>
          <w:sz w:val="24"/>
          <w:szCs w:val="24"/>
        </w:rPr>
        <w:t xml:space="preserve">(six) months period agreed upon. </w:t>
      </w:r>
      <w:proofErr w:type="gramStart"/>
      <w:r w:rsidR="00464602">
        <w:rPr>
          <w:rFonts w:ascii="Arial" w:hAnsi="Arial" w:cs="Arial"/>
          <w:sz w:val="24"/>
          <w:szCs w:val="24"/>
        </w:rPr>
        <w:t xml:space="preserve">Mr </w:t>
      </w:r>
      <w:r w:rsidR="00E02BC2">
        <w:rPr>
          <w:rFonts w:ascii="Arial" w:hAnsi="Arial" w:cs="Arial"/>
          <w:sz w:val="24"/>
          <w:szCs w:val="24"/>
        </w:rPr>
        <w:t>!</w:t>
      </w:r>
      <w:proofErr w:type="spellStart"/>
      <w:r w:rsidR="00464602">
        <w:rPr>
          <w:rFonts w:ascii="Arial" w:hAnsi="Arial" w:cs="Arial"/>
          <w:sz w:val="24"/>
          <w:szCs w:val="24"/>
        </w:rPr>
        <w:t>N</w:t>
      </w:r>
      <w:r w:rsidR="00E02BC2">
        <w:rPr>
          <w:rFonts w:ascii="Arial" w:hAnsi="Arial" w:cs="Arial"/>
          <w:sz w:val="24"/>
          <w:szCs w:val="24"/>
        </w:rPr>
        <w:t>o</w:t>
      </w:r>
      <w:r w:rsidR="00464602">
        <w:rPr>
          <w:rFonts w:ascii="Arial" w:hAnsi="Arial" w:cs="Arial"/>
          <w:sz w:val="24"/>
          <w:szCs w:val="24"/>
        </w:rPr>
        <w:t>ariseb</w:t>
      </w:r>
      <w:proofErr w:type="spellEnd"/>
      <w:proofErr w:type="gramEnd"/>
      <w:r w:rsidR="00464602">
        <w:rPr>
          <w:rFonts w:ascii="Arial" w:hAnsi="Arial" w:cs="Arial"/>
          <w:sz w:val="24"/>
          <w:szCs w:val="24"/>
        </w:rPr>
        <w:t xml:space="preserve"> </w:t>
      </w:r>
      <w:r w:rsidR="0018563C">
        <w:rPr>
          <w:rFonts w:ascii="Arial" w:hAnsi="Arial" w:cs="Arial"/>
          <w:sz w:val="24"/>
          <w:szCs w:val="24"/>
        </w:rPr>
        <w:t>stated</w:t>
      </w:r>
      <w:r w:rsidR="00464602">
        <w:rPr>
          <w:rFonts w:ascii="Arial" w:hAnsi="Arial" w:cs="Arial"/>
          <w:sz w:val="24"/>
          <w:szCs w:val="24"/>
        </w:rPr>
        <w:t xml:space="preserve"> that a housing allocation survey was done but not a housing allowance survey as was expected by </w:t>
      </w:r>
      <w:r w:rsidR="00BE457B">
        <w:rPr>
          <w:rFonts w:ascii="Arial" w:hAnsi="Arial" w:cs="Arial"/>
          <w:sz w:val="24"/>
          <w:szCs w:val="24"/>
        </w:rPr>
        <w:t>MUN</w:t>
      </w:r>
      <w:r w:rsidR="00464602">
        <w:rPr>
          <w:rFonts w:ascii="Arial" w:hAnsi="Arial" w:cs="Arial"/>
          <w:sz w:val="24"/>
          <w:szCs w:val="24"/>
        </w:rPr>
        <w:t xml:space="preserve">.  He stated that </w:t>
      </w:r>
      <w:r w:rsidR="00BE457B">
        <w:rPr>
          <w:rFonts w:ascii="Arial" w:hAnsi="Arial" w:cs="Arial"/>
          <w:sz w:val="24"/>
          <w:szCs w:val="24"/>
        </w:rPr>
        <w:t>MUN’s</w:t>
      </w:r>
      <w:r w:rsidR="00464602">
        <w:rPr>
          <w:rFonts w:ascii="Arial" w:hAnsi="Arial" w:cs="Arial"/>
          <w:sz w:val="24"/>
          <w:szCs w:val="24"/>
        </w:rPr>
        <w:t xml:space="preserve"> requirement regarding housing allowances was that it had to be market related</w:t>
      </w:r>
      <w:r w:rsidR="00E02BC2">
        <w:rPr>
          <w:rFonts w:ascii="Arial" w:hAnsi="Arial" w:cs="Arial"/>
          <w:sz w:val="24"/>
          <w:szCs w:val="24"/>
        </w:rPr>
        <w:t>,</w:t>
      </w:r>
      <w:r w:rsidR="00464602">
        <w:rPr>
          <w:rFonts w:ascii="Arial" w:hAnsi="Arial" w:cs="Arial"/>
          <w:sz w:val="24"/>
          <w:szCs w:val="24"/>
        </w:rPr>
        <w:t xml:space="preserve"> if same was compare</w:t>
      </w:r>
      <w:r w:rsidR="00BB4B04">
        <w:rPr>
          <w:rFonts w:ascii="Arial" w:hAnsi="Arial" w:cs="Arial"/>
          <w:sz w:val="24"/>
          <w:szCs w:val="24"/>
        </w:rPr>
        <w:t>d</w:t>
      </w:r>
      <w:r w:rsidR="00464602">
        <w:rPr>
          <w:rFonts w:ascii="Arial" w:hAnsi="Arial" w:cs="Arial"/>
          <w:sz w:val="24"/>
          <w:szCs w:val="24"/>
        </w:rPr>
        <w:t xml:space="preserve"> with similar companies, like </w:t>
      </w:r>
      <w:proofErr w:type="spellStart"/>
      <w:r w:rsidR="00464602">
        <w:rPr>
          <w:rFonts w:ascii="Arial" w:hAnsi="Arial" w:cs="Arial"/>
          <w:sz w:val="24"/>
          <w:szCs w:val="24"/>
        </w:rPr>
        <w:t>Rössing</w:t>
      </w:r>
      <w:proofErr w:type="spellEnd"/>
      <w:r w:rsidR="00464602">
        <w:rPr>
          <w:rFonts w:ascii="Arial" w:hAnsi="Arial" w:cs="Arial"/>
          <w:sz w:val="24"/>
          <w:szCs w:val="24"/>
        </w:rPr>
        <w:t xml:space="preserve"> Uranium Mine. </w:t>
      </w:r>
      <w:r w:rsidR="00BE457B">
        <w:rPr>
          <w:rFonts w:ascii="Arial" w:hAnsi="Arial" w:cs="Arial"/>
          <w:sz w:val="24"/>
          <w:szCs w:val="24"/>
        </w:rPr>
        <w:t>QKR’s</w:t>
      </w:r>
      <w:r w:rsidR="008A52E0">
        <w:rPr>
          <w:rFonts w:ascii="Arial" w:hAnsi="Arial" w:cs="Arial"/>
          <w:sz w:val="24"/>
          <w:szCs w:val="24"/>
        </w:rPr>
        <w:t xml:space="preserve"> unwillingness to comply with the agreement caused </w:t>
      </w:r>
      <w:r w:rsidR="00464602">
        <w:rPr>
          <w:rFonts w:ascii="Arial" w:hAnsi="Arial" w:cs="Arial"/>
          <w:sz w:val="24"/>
          <w:szCs w:val="24"/>
        </w:rPr>
        <w:t xml:space="preserve">the </w:t>
      </w:r>
      <w:r w:rsidR="008A52E0">
        <w:rPr>
          <w:rFonts w:ascii="Arial" w:hAnsi="Arial" w:cs="Arial"/>
          <w:sz w:val="24"/>
          <w:szCs w:val="24"/>
        </w:rPr>
        <w:t>appellant to</w:t>
      </w:r>
      <w:r w:rsidR="00464602">
        <w:rPr>
          <w:rFonts w:ascii="Arial" w:hAnsi="Arial" w:cs="Arial"/>
          <w:sz w:val="24"/>
          <w:szCs w:val="24"/>
        </w:rPr>
        <w:t xml:space="preserve"> approach the </w:t>
      </w:r>
      <w:r w:rsidR="00BE457B">
        <w:rPr>
          <w:rFonts w:ascii="Arial" w:hAnsi="Arial" w:cs="Arial"/>
          <w:sz w:val="24"/>
          <w:szCs w:val="24"/>
        </w:rPr>
        <w:t>o</w:t>
      </w:r>
      <w:r w:rsidR="00464602">
        <w:rPr>
          <w:rFonts w:ascii="Arial" w:hAnsi="Arial" w:cs="Arial"/>
          <w:sz w:val="24"/>
          <w:szCs w:val="24"/>
        </w:rPr>
        <w:t xml:space="preserve">ffice of the Labour Commissioner with regards to unfair labour practice.  </w:t>
      </w:r>
    </w:p>
    <w:p w:rsidR="00BB4B04" w:rsidRDefault="00BB4B04" w:rsidP="00464602">
      <w:pPr>
        <w:spacing w:after="0" w:line="360" w:lineRule="auto"/>
        <w:jc w:val="both"/>
        <w:rPr>
          <w:rFonts w:ascii="Arial" w:hAnsi="Arial" w:cs="Arial"/>
          <w:sz w:val="24"/>
          <w:szCs w:val="24"/>
        </w:rPr>
      </w:pPr>
    </w:p>
    <w:p w:rsidR="00082436" w:rsidRDefault="00082436" w:rsidP="003F1E7D">
      <w:pPr>
        <w:spacing w:after="0" w:line="360" w:lineRule="auto"/>
        <w:jc w:val="both"/>
        <w:rPr>
          <w:rFonts w:ascii="Arial" w:hAnsi="Arial" w:cs="Arial"/>
          <w:sz w:val="24"/>
          <w:szCs w:val="24"/>
        </w:rPr>
      </w:pPr>
    </w:p>
    <w:p w:rsidR="009C0074" w:rsidRDefault="00082436" w:rsidP="00BB5BA8">
      <w:pPr>
        <w:spacing w:after="0" w:line="360" w:lineRule="auto"/>
        <w:jc w:val="both"/>
        <w:rPr>
          <w:rFonts w:ascii="Arial" w:hAnsi="Arial" w:cs="Arial"/>
          <w:sz w:val="24"/>
          <w:szCs w:val="24"/>
        </w:rPr>
      </w:pPr>
      <w:r>
        <w:rPr>
          <w:rFonts w:ascii="Arial" w:hAnsi="Arial" w:cs="Arial"/>
          <w:sz w:val="24"/>
          <w:szCs w:val="24"/>
        </w:rPr>
        <w:t>[</w:t>
      </w:r>
      <w:r w:rsidR="00BD0892">
        <w:rPr>
          <w:rFonts w:ascii="Arial" w:hAnsi="Arial" w:cs="Arial"/>
          <w:sz w:val="24"/>
          <w:szCs w:val="24"/>
        </w:rPr>
        <w:t>8</w:t>
      </w:r>
      <w:r>
        <w:rPr>
          <w:rFonts w:ascii="Arial" w:hAnsi="Arial" w:cs="Arial"/>
          <w:sz w:val="24"/>
          <w:szCs w:val="24"/>
        </w:rPr>
        <w:t>]</w:t>
      </w:r>
      <w:r>
        <w:rPr>
          <w:rFonts w:ascii="Arial" w:hAnsi="Arial" w:cs="Arial"/>
          <w:sz w:val="24"/>
          <w:szCs w:val="24"/>
        </w:rPr>
        <w:tab/>
      </w:r>
      <w:r w:rsidR="00464602">
        <w:rPr>
          <w:rFonts w:ascii="Arial" w:hAnsi="Arial" w:cs="Arial"/>
          <w:sz w:val="24"/>
          <w:szCs w:val="24"/>
        </w:rPr>
        <w:t xml:space="preserve"> </w:t>
      </w:r>
      <w:r w:rsidR="008A52E0">
        <w:rPr>
          <w:rFonts w:ascii="Arial" w:hAnsi="Arial" w:cs="Arial"/>
          <w:sz w:val="24"/>
          <w:szCs w:val="24"/>
        </w:rPr>
        <w:t xml:space="preserve">Five witnesses testified on behalf of </w:t>
      </w:r>
      <w:r w:rsidR="00BE457B">
        <w:rPr>
          <w:rFonts w:ascii="Arial" w:hAnsi="Arial" w:cs="Arial"/>
          <w:sz w:val="24"/>
          <w:szCs w:val="24"/>
        </w:rPr>
        <w:t>QKR</w:t>
      </w:r>
      <w:r w:rsidR="008A52E0">
        <w:rPr>
          <w:rFonts w:ascii="Arial" w:hAnsi="Arial" w:cs="Arial"/>
          <w:sz w:val="24"/>
          <w:szCs w:val="24"/>
        </w:rPr>
        <w:t xml:space="preserve">. Mr Linus </w:t>
      </w:r>
      <w:proofErr w:type="spellStart"/>
      <w:r w:rsidR="008A52E0">
        <w:rPr>
          <w:rFonts w:ascii="Arial" w:hAnsi="Arial" w:cs="Arial"/>
          <w:sz w:val="24"/>
          <w:szCs w:val="24"/>
        </w:rPr>
        <w:t>Gwala</w:t>
      </w:r>
      <w:proofErr w:type="spellEnd"/>
      <w:r w:rsidR="005C1B88">
        <w:rPr>
          <w:rStyle w:val="FootnoteReference"/>
          <w:rFonts w:ascii="Arial" w:hAnsi="Arial" w:cs="Arial"/>
          <w:sz w:val="24"/>
          <w:szCs w:val="24"/>
        </w:rPr>
        <w:footnoteReference w:id="3"/>
      </w:r>
      <w:r w:rsidR="008A52E0">
        <w:rPr>
          <w:rFonts w:ascii="Arial" w:hAnsi="Arial" w:cs="Arial"/>
          <w:sz w:val="24"/>
          <w:szCs w:val="24"/>
        </w:rPr>
        <w:t xml:space="preserve"> was the chief negotiator on behalf of </w:t>
      </w:r>
      <w:r w:rsidR="00BE457B">
        <w:rPr>
          <w:rFonts w:ascii="Arial" w:hAnsi="Arial" w:cs="Arial"/>
          <w:sz w:val="24"/>
          <w:szCs w:val="24"/>
        </w:rPr>
        <w:t>QKR</w:t>
      </w:r>
      <w:r w:rsidR="00E02BC2">
        <w:rPr>
          <w:rFonts w:ascii="Arial" w:hAnsi="Arial" w:cs="Arial"/>
          <w:sz w:val="24"/>
          <w:szCs w:val="24"/>
        </w:rPr>
        <w:t xml:space="preserve"> during the 2015 substantive negotiations</w:t>
      </w:r>
      <w:r w:rsidR="008A52E0">
        <w:rPr>
          <w:rFonts w:ascii="Arial" w:hAnsi="Arial" w:cs="Arial"/>
          <w:sz w:val="24"/>
          <w:szCs w:val="24"/>
        </w:rPr>
        <w:t>. He stated that neg</w:t>
      </w:r>
      <w:r w:rsidR="0018563C">
        <w:rPr>
          <w:rFonts w:ascii="Arial" w:hAnsi="Arial" w:cs="Arial"/>
          <w:sz w:val="24"/>
          <w:szCs w:val="24"/>
        </w:rPr>
        <w:t>otia</w:t>
      </w:r>
      <w:r w:rsidR="008A52E0">
        <w:rPr>
          <w:rFonts w:ascii="Arial" w:hAnsi="Arial" w:cs="Arial"/>
          <w:sz w:val="24"/>
          <w:szCs w:val="24"/>
        </w:rPr>
        <w:t>tions regarding the housing allowance started off at a</w:t>
      </w:r>
      <w:r w:rsidR="00A251E4">
        <w:rPr>
          <w:rFonts w:ascii="Arial" w:hAnsi="Arial" w:cs="Arial"/>
          <w:sz w:val="24"/>
          <w:szCs w:val="24"/>
        </w:rPr>
        <w:t xml:space="preserve"> five percent (</w:t>
      </w:r>
      <w:r w:rsidR="008A52E0">
        <w:rPr>
          <w:rFonts w:ascii="Arial" w:hAnsi="Arial" w:cs="Arial"/>
          <w:sz w:val="24"/>
          <w:szCs w:val="24"/>
        </w:rPr>
        <w:t>5%</w:t>
      </w:r>
      <w:r w:rsidR="00A251E4">
        <w:rPr>
          <w:rFonts w:ascii="Arial" w:hAnsi="Arial" w:cs="Arial"/>
          <w:sz w:val="24"/>
          <w:szCs w:val="24"/>
        </w:rPr>
        <w:t>)</w:t>
      </w:r>
      <w:r w:rsidR="008A52E0">
        <w:rPr>
          <w:rFonts w:ascii="Arial" w:hAnsi="Arial" w:cs="Arial"/>
          <w:sz w:val="24"/>
          <w:szCs w:val="24"/>
        </w:rPr>
        <w:t xml:space="preserve"> increase but the negotiations were steering towards deadlock</w:t>
      </w:r>
      <w:r w:rsidR="00A251E4">
        <w:rPr>
          <w:rFonts w:ascii="Arial" w:hAnsi="Arial" w:cs="Arial"/>
          <w:sz w:val="24"/>
          <w:szCs w:val="24"/>
        </w:rPr>
        <w:t xml:space="preserve">. </w:t>
      </w:r>
      <w:r w:rsidR="008A52E0">
        <w:rPr>
          <w:rFonts w:ascii="Arial" w:hAnsi="Arial" w:cs="Arial"/>
          <w:sz w:val="24"/>
          <w:szCs w:val="24"/>
        </w:rPr>
        <w:t xml:space="preserve"> Mr </w:t>
      </w:r>
      <w:proofErr w:type="spellStart"/>
      <w:r w:rsidR="008A52E0">
        <w:rPr>
          <w:rFonts w:ascii="Arial" w:hAnsi="Arial" w:cs="Arial"/>
          <w:sz w:val="24"/>
          <w:szCs w:val="24"/>
        </w:rPr>
        <w:t>Gwala</w:t>
      </w:r>
      <w:proofErr w:type="spellEnd"/>
      <w:r w:rsidR="008A52E0">
        <w:rPr>
          <w:rFonts w:ascii="Arial" w:hAnsi="Arial" w:cs="Arial"/>
          <w:sz w:val="24"/>
          <w:szCs w:val="24"/>
        </w:rPr>
        <w:t xml:space="preserve"> discussed the matter with his mandate givers and was mandated to offer an increase of </w:t>
      </w:r>
      <w:r w:rsidR="0018563C">
        <w:rPr>
          <w:rFonts w:ascii="Arial" w:hAnsi="Arial" w:cs="Arial"/>
          <w:sz w:val="24"/>
          <w:szCs w:val="24"/>
        </w:rPr>
        <w:t xml:space="preserve">up to </w:t>
      </w:r>
      <w:r w:rsidR="00A251E4">
        <w:rPr>
          <w:rFonts w:ascii="Arial" w:hAnsi="Arial" w:cs="Arial"/>
          <w:sz w:val="24"/>
          <w:szCs w:val="24"/>
        </w:rPr>
        <w:t>seven percent (</w:t>
      </w:r>
      <w:r w:rsidR="008A52E0">
        <w:rPr>
          <w:rFonts w:ascii="Arial" w:hAnsi="Arial" w:cs="Arial"/>
          <w:sz w:val="24"/>
          <w:szCs w:val="24"/>
        </w:rPr>
        <w:t>7%</w:t>
      </w:r>
      <w:r w:rsidR="00A251E4">
        <w:rPr>
          <w:rFonts w:ascii="Arial" w:hAnsi="Arial" w:cs="Arial"/>
          <w:sz w:val="24"/>
          <w:szCs w:val="24"/>
        </w:rPr>
        <w:t>)</w:t>
      </w:r>
      <w:r w:rsidR="008A52E0">
        <w:rPr>
          <w:rFonts w:ascii="Arial" w:hAnsi="Arial" w:cs="Arial"/>
          <w:sz w:val="24"/>
          <w:szCs w:val="24"/>
        </w:rPr>
        <w:t>. Th</w:t>
      </w:r>
      <w:r w:rsidR="0018563C">
        <w:rPr>
          <w:rFonts w:ascii="Arial" w:hAnsi="Arial" w:cs="Arial"/>
          <w:sz w:val="24"/>
          <w:szCs w:val="24"/>
        </w:rPr>
        <w:t>e proposed increase</w:t>
      </w:r>
      <w:r w:rsidR="008A52E0">
        <w:rPr>
          <w:rFonts w:ascii="Arial" w:hAnsi="Arial" w:cs="Arial"/>
          <w:sz w:val="24"/>
          <w:szCs w:val="24"/>
        </w:rPr>
        <w:t xml:space="preserve"> was accepted </w:t>
      </w:r>
      <w:r w:rsidR="00A36FCA">
        <w:rPr>
          <w:rFonts w:ascii="Arial" w:hAnsi="Arial" w:cs="Arial"/>
          <w:sz w:val="24"/>
          <w:szCs w:val="24"/>
        </w:rPr>
        <w:t xml:space="preserve">and it was agreed that once the housing survey was completed the parties would come back to the table </w:t>
      </w:r>
      <w:r w:rsidR="0018563C">
        <w:rPr>
          <w:rFonts w:ascii="Arial" w:hAnsi="Arial" w:cs="Arial"/>
          <w:sz w:val="24"/>
          <w:szCs w:val="24"/>
        </w:rPr>
        <w:t xml:space="preserve">in six (6) months, </w:t>
      </w:r>
      <w:r w:rsidR="00A36FCA">
        <w:rPr>
          <w:rFonts w:ascii="Arial" w:hAnsi="Arial" w:cs="Arial"/>
          <w:sz w:val="24"/>
          <w:szCs w:val="24"/>
        </w:rPr>
        <w:t xml:space="preserve">to discuss the outcome </w:t>
      </w:r>
      <w:r w:rsidR="0018563C">
        <w:rPr>
          <w:rFonts w:ascii="Arial" w:hAnsi="Arial" w:cs="Arial"/>
          <w:sz w:val="24"/>
          <w:szCs w:val="24"/>
        </w:rPr>
        <w:t>of the survey</w:t>
      </w:r>
      <w:r w:rsidR="00BB4B04">
        <w:rPr>
          <w:rFonts w:ascii="Arial" w:hAnsi="Arial" w:cs="Arial"/>
          <w:sz w:val="24"/>
          <w:szCs w:val="24"/>
        </w:rPr>
        <w:t xml:space="preserve"> and the U</w:t>
      </w:r>
      <w:r w:rsidR="00A251E4">
        <w:rPr>
          <w:rFonts w:ascii="Arial" w:hAnsi="Arial" w:cs="Arial"/>
          <w:sz w:val="24"/>
          <w:szCs w:val="24"/>
        </w:rPr>
        <w:t>nion’s proposal of forty percent (40%) increase on housing allowances</w:t>
      </w:r>
      <w:r w:rsidR="00A36FCA">
        <w:rPr>
          <w:rFonts w:ascii="Arial" w:hAnsi="Arial" w:cs="Arial"/>
          <w:sz w:val="24"/>
          <w:szCs w:val="24"/>
        </w:rPr>
        <w:t>. The witness denied that there was eve</w:t>
      </w:r>
      <w:r w:rsidR="0018563C">
        <w:rPr>
          <w:rFonts w:ascii="Arial" w:hAnsi="Arial" w:cs="Arial"/>
          <w:sz w:val="24"/>
          <w:szCs w:val="24"/>
        </w:rPr>
        <w:t>r</w:t>
      </w:r>
      <w:r w:rsidR="00A36FCA">
        <w:rPr>
          <w:rFonts w:ascii="Arial" w:hAnsi="Arial" w:cs="Arial"/>
          <w:sz w:val="24"/>
          <w:szCs w:val="24"/>
        </w:rPr>
        <w:t xml:space="preserve"> an agreement on an increase of </w:t>
      </w:r>
      <w:r w:rsidR="00A251E4">
        <w:rPr>
          <w:rFonts w:ascii="Arial" w:hAnsi="Arial" w:cs="Arial"/>
          <w:sz w:val="24"/>
          <w:szCs w:val="24"/>
        </w:rPr>
        <w:t>forty percent (40%)</w:t>
      </w:r>
      <w:r w:rsidR="00A36FCA">
        <w:rPr>
          <w:rFonts w:ascii="Arial" w:hAnsi="Arial" w:cs="Arial"/>
          <w:sz w:val="24"/>
          <w:szCs w:val="24"/>
        </w:rPr>
        <w:t xml:space="preserve"> on housing allowances. He stated that once the draft of the agreement was done</w:t>
      </w:r>
      <w:r w:rsidR="00BB4B04">
        <w:rPr>
          <w:rFonts w:ascii="Arial" w:hAnsi="Arial" w:cs="Arial"/>
          <w:sz w:val="24"/>
          <w:szCs w:val="24"/>
        </w:rPr>
        <w:t>,</w:t>
      </w:r>
      <w:r w:rsidR="00A36FCA">
        <w:rPr>
          <w:rFonts w:ascii="Arial" w:hAnsi="Arial" w:cs="Arial"/>
          <w:sz w:val="24"/>
          <w:szCs w:val="24"/>
        </w:rPr>
        <w:t xml:space="preserve"> it was circulated to the Union first to comment on </w:t>
      </w:r>
      <w:r w:rsidR="00A251E4">
        <w:rPr>
          <w:rFonts w:ascii="Arial" w:hAnsi="Arial" w:cs="Arial"/>
          <w:sz w:val="24"/>
          <w:szCs w:val="24"/>
        </w:rPr>
        <w:t xml:space="preserve">it </w:t>
      </w:r>
      <w:r w:rsidR="00A36FCA">
        <w:rPr>
          <w:rFonts w:ascii="Arial" w:hAnsi="Arial" w:cs="Arial"/>
          <w:sz w:val="24"/>
          <w:szCs w:val="24"/>
        </w:rPr>
        <w:t>and when he received it</w:t>
      </w:r>
      <w:r w:rsidR="00BB4B04">
        <w:rPr>
          <w:rFonts w:ascii="Arial" w:hAnsi="Arial" w:cs="Arial"/>
          <w:sz w:val="24"/>
          <w:szCs w:val="24"/>
        </w:rPr>
        <w:t>,</w:t>
      </w:r>
      <w:r w:rsidR="00A36FCA">
        <w:rPr>
          <w:rFonts w:ascii="Arial" w:hAnsi="Arial" w:cs="Arial"/>
          <w:sz w:val="24"/>
          <w:szCs w:val="24"/>
        </w:rPr>
        <w:t xml:space="preserve"> h</w:t>
      </w:r>
      <w:r w:rsidR="005E301B">
        <w:rPr>
          <w:rFonts w:ascii="Arial" w:hAnsi="Arial" w:cs="Arial"/>
          <w:sz w:val="24"/>
          <w:szCs w:val="24"/>
        </w:rPr>
        <w:t>e</w:t>
      </w:r>
      <w:r w:rsidR="00A36FCA">
        <w:rPr>
          <w:rFonts w:ascii="Arial" w:hAnsi="Arial" w:cs="Arial"/>
          <w:sz w:val="24"/>
          <w:szCs w:val="24"/>
        </w:rPr>
        <w:t xml:space="preserve"> noticed </w:t>
      </w:r>
      <w:r w:rsidR="00A251E4">
        <w:rPr>
          <w:rFonts w:ascii="Arial" w:hAnsi="Arial" w:cs="Arial"/>
          <w:sz w:val="24"/>
          <w:szCs w:val="24"/>
        </w:rPr>
        <w:t>an insert</w:t>
      </w:r>
      <w:r w:rsidR="00A36FCA">
        <w:rPr>
          <w:rFonts w:ascii="Arial" w:hAnsi="Arial" w:cs="Arial"/>
          <w:sz w:val="24"/>
          <w:szCs w:val="24"/>
        </w:rPr>
        <w:t xml:space="preserve"> in red on the agreement indicating the </w:t>
      </w:r>
      <w:r w:rsidR="00A251E4">
        <w:rPr>
          <w:rFonts w:ascii="Arial" w:hAnsi="Arial" w:cs="Arial"/>
          <w:sz w:val="24"/>
          <w:szCs w:val="24"/>
        </w:rPr>
        <w:t>forty percent (40%)</w:t>
      </w:r>
      <w:r w:rsidR="005E301B">
        <w:rPr>
          <w:rFonts w:ascii="Arial" w:hAnsi="Arial" w:cs="Arial"/>
          <w:sz w:val="24"/>
          <w:szCs w:val="24"/>
        </w:rPr>
        <w:t xml:space="preserve">. Mr </w:t>
      </w:r>
      <w:proofErr w:type="spellStart"/>
      <w:r w:rsidR="005E301B">
        <w:rPr>
          <w:rFonts w:ascii="Arial" w:hAnsi="Arial" w:cs="Arial"/>
          <w:sz w:val="24"/>
          <w:szCs w:val="24"/>
        </w:rPr>
        <w:t>Gwala</w:t>
      </w:r>
      <w:proofErr w:type="spellEnd"/>
      <w:r w:rsidR="005E301B">
        <w:rPr>
          <w:rFonts w:ascii="Arial" w:hAnsi="Arial" w:cs="Arial"/>
          <w:sz w:val="24"/>
          <w:szCs w:val="24"/>
        </w:rPr>
        <w:t xml:space="preserve"> confronted the </w:t>
      </w:r>
      <w:r w:rsidR="00BE457B">
        <w:rPr>
          <w:rFonts w:ascii="Arial" w:hAnsi="Arial" w:cs="Arial"/>
          <w:sz w:val="24"/>
          <w:szCs w:val="24"/>
        </w:rPr>
        <w:t>MUN’s</w:t>
      </w:r>
      <w:r w:rsidR="005E301B">
        <w:rPr>
          <w:rFonts w:ascii="Arial" w:hAnsi="Arial" w:cs="Arial"/>
          <w:sz w:val="24"/>
          <w:szCs w:val="24"/>
        </w:rPr>
        <w:t xml:space="preserve"> representative, one Mr Happy</w:t>
      </w:r>
      <w:r w:rsidR="001D1BE5">
        <w:rPr>
          <w:rFonts w:ascii="Arial" w:hAnsi="Arial" w:cs="Arial"/>
          <w:sz w:val="24"/>
          <w:szCs w:val="24"/>
        </w:rPr>
        <w:t>,</w:t>
      </w:r>
      <w:r w:rsidR="005E301B">
        <w:rPr>
          <w:rFonts w:ascii="Arial" w:hAnsi="Arial" w:cs="Arial"/>
          <w:sz w:val="24"/>
          <w:szCs w:val="24"/>
        </w:rPr>
        <w:t xml:space="preserve"> about the change on the agreement. Mr </w:t>
      </w:r>
      <w:proofErr w:type="spellStart"/>
      <w:r w:rsidR="005E301B">
        <w:rPr>
          <w:rFonts w:ascii="Arial" w:hAnsi="Arial" w:cs="Arial"/>
          <w:sz w:val="24"/>
          <w:szCs w:val="24"/>
        </w:rPr>
        <w:t>Gwala</w:t>
      </w:r>
      <w:proofErr w:type="spellEnd"/>
      <w:r w:rsidR="005E301B">
        <w:rPr>
          <w:rFonts w:ascii="Arial" w:hAnsi="Arial" w:cs="Arial"/>
          <w:sz w:val="24"/>
          <w:szCs w:val="24"/>
        </w:rPr>
        <w:t xml:space="preserve"> then corrected it and sent it</w:t>
      </w:r>
      <w:r w:rsidR="0017341E">
        <w:rPr>
          <w:rFonts w:ascii="Arial" w:hAnsi="Arial" w:cs="Arial"/>
          <w:sz w:val="24"/>
          <w:szCs w:val="24"/>
        </w:rPr>
        <w:t xml:space="preserve"> through</w:t>
      </w:r>
      <w:r w:rsidR="005E301B">
        <w:rPr>
          <w:rFonts w:ascii="Arial" w:hAnsi="Arial" w:cs="Arial"/>
          <w:sz w:val="24"/>
          <w:szCs w:val="24"/>
        </w:rPr>
        <w:t xml:space="preserve"> to HR to be finalised. When the document was signed </w:t>
      </w:r>
      <w:r w:rsidR="0017341E">
        <w:rPr>
          <w:rFonts w:ascii="Arial" w:hAnsi="Arial" w:cs="Arial"/>
          <w:sz w:val="24"/>
          <w:szCs w:val="24"/>
        </w:rPr>
        <w:t>subsequently</w:t>
      </w:r>
      <w:r w:rsidR="005E301B">
        <w:rPr>
          <w:rFonts w:ascii="Arial" w:hAnsi="Arial" w:cs="Arial"/>
          <w:sz w:val="24"/>
          <w:szCs w:val="24"/>
        </w:rPr>
        <w:t xml:space="preserve"> by the parties he did not check the final agreement </w:t>
      </w:r>
      <w:r w:rsidR="0017341E">
        <w:rPr>
          <w:rFonts w:ascii="Arial" w:hAnsi="Arial" w:cs="Arial"/>
          <w:sz w:val="24"/>
          <w:szCs w:val="24"/>
        </w:rPr>
        <w:t>again and stated he</w:t>
      </w:r>
      <w:r w:rsidR="001D1BE5">
        <w:rPr>
          <w:rFonts w:ascii="Arial" w:hAnsi="Arial" w:cs="Arial"/>
          <w:sz w:val="24"/>
          <w:szCs w:val="24"/>
        </w:rPr>
        <w:t xml:space="preserve"> signed the agreement in good faith. The </w:t>
      </w:r>
      <w:r w:rsidR="005F4347">
        <w:rPr>
          <w:rFonts w:ascii="Arial" w:hAnsi="Arial" w:cs="Arial"/>
          <w:sz w:val="24"/>
          <w:szCs w:val="24"/>
        </w:rPr>
        <w:t>forty percent (40%)</w:t>
      </w:r>
      <w:r w:rsidR="001D1BE5">
        <w:rPr>
          <w:rFonts w:ascii="Arial" w:hAnsi="Arial" w:cs="Arial"/>
          <w:sz w:val="24"/>
          <w:szCs w:val="24"/>
        </w:rPr>
        <w:t xml:space="preserve"> </w:t>
      </w:r>
      <w:r w:rsidR="00A251E4">
        <w:rPr>
          <w:rFonts w:ascii="Arial" w:hAnsi="Arial" w:cs="Arial"/>
          <w:sz w:val="24"/>
          <w:szCs w:val="24"/>
        </w:rPr>
        <w:t xml:space="preserve">increase was </w:t>
      </w:r>
      <w:r w:rsidR="001D1BE5">
        <w:rPr>
          <w:rFonts w:ascii="Arial" w:hAnsi="Arial" w:cs="Arial"/>
          <w:sz w:val="24"/>
          <w:szCs w:val="24"/>
        </w:rPr>
        <w:t xml:space="preserve">however </w:t>
      </w:r>
      <w:r w:rsidR="00A251E4">
        <w:rPr>
          <w:rFonts w:ascii="Arial" w:hAnsi="Arial" w:cs="Arial"/>
          <w:sz w:val="24"/>
          <w:szCs w:val="24"/>
        </w:rPr>
        <w:t>inserted</w:t>
      </w:r>
      <w:r w:rsidR="001D1BE5">
        <w:rPr>
          <w:rFonts w:ascii="Arial" w:hAnsi="Arial" w:cs="Arial"/>
          <w:sz w:val="24"/>
          <w:szCs w:val="24"/>
        </w:rPr>
        <w:t xml:space="preserve"> back into the agreement</w:t>
      </w:r>
      <w:r w:rsidR="0017341E">
        <w:rPr>
          <w:rFonts w:ascii="Arial" w:hAnsi="Arial" w:cs="Arial"/>
          <w:sz w:val="24"/>
          <w:szCs w:val="24"/>
        </w:rPr>
        <w:t xml:space="preserve"> by an unknown person</w:t>
      </w:r>
      <w:r w:rsidR="001D1BE5">
        <w:rPr>
          <w:rFonts w:ascii="Arial" w:hAnsi="Arial" w:cs="Arial"/>
          <w:sz w:val="24"/>
          <w:szCs w:val="24"/>
        </w:rPr>
        <w:t xml:space="preserve"> and </w:t>
      </w:r>
      <w:r w:rsidR="007F241A">
        <w:rPr>
          <w:rFonts w:ascii="Arial" w:hAnsi="Arial" w:cs="Arial"/>
          <w:sz w:val="24"/>
          <w:szCs w:val="24"/>
        </w:rPr>
        <w:t xml:space="preserve">Mr </w:t>
      </w:r>
      <w:proofErr w:type="spellStart"/>
      <w:r w:rsidR="007F241A">
        <w:rPr>
          <w:rFonts w:ascii="Arial" w:hAnsi="Arial" w:cs="Arial"/>
          <w:sz w:val="24"/>
          <w:szCs w:val="24"/>
        </w:rPr>
        <w:t>Gwala</w:t>
      </w:r>
      <w:proofErr w:type="spellEnd"/>
      <w:r w:rsidR="001D1BE5">
        <w:rPr>
          <w:rFonts w:ascii="Arial" w:hAnsi="Arial" w:cs="Arial"/>
          <w:sz w:val="24"/>
          <w:szCs w:val="24"/>
        </w:rPr>
        <w:t xml:space="preserve"> could not explain how it</w:t>
      </w:r>
      <w:r w:rsidR="0017341E">
        <w:rPr>
          <w:rFonts w:ascii="Arial" w:hAnsi="Arial" w:cs="Arial"/>
          <w:sz w:val="24"/>
          <w:szCs w:val="24"/>
        </w:rPr>
        <w:t xml:space="preserve"> could have</w:t>
      </w:r>
      <w:r w:rsidR="001D1BE5">
        <w:rPr>
          <w:rFonts w:ascii="Arial" w:hAnsi="Arial" w:cs="Arial"/>
          <w:sz w:val="24"/>
          <w:szCs w:val="24"/>
        </w:rPr>
        <w:t xml:space="preserve"> happened. He was adamant that he had no mandate to agree to an</w:t>
      </w:r>
      <w:r w:rsidR="0017341E">
        <w:rPr>
          <w:rFonts w:ascii="Arial" w:hAnsi="Arial" w:cs="Arial"/>
          <w:sz w:val="24"/>
          <w:szCs w:val="24"/>
        </w:rPr>
        <w:t xml:space="preserve"> </w:t>
      </w:r>
      <w:r w:rsidR="001D1BE5">
        <w:rPr>
          <w:rFonts w:ascii="Arial" w:hAnsi="Arial" w:cs="Arial"/>
          <w:sz w:val="24"/>
          <w:szCs w:val="24"/>
        </w:rPr>
        <w:t xml:space="preserve">increase above </w:t>
      </w:r>
      <w:r w:rsidR="00A251E4">
        <w:rPr>
          <w:rFonts w:ascii="Arial" w:hAnsi="Arial" w:cs="Arial"/>
          <w:sz w:val="24"/>
          <w:szCs w:val="24"/>
        </w:rPr>
        <w:lastRenderedPageBreak/>
        <w:t>seven percent (7%)</w:t>
      </w:r>
      <w:r w:rsidR="001D1BE5">
        <w:rPr>
          <w:rFonts w:ascii="Arial" w:hAnsi="Arial" w:cs="Arial"/>
          <w:sz w:val="24"/>
          <w:szCs w:val="24"/>
        </w:rPr>
        <w:t xml:space="preserve"> and that clause 3</w:t>
      </w:r>
      <w:r w:rsidR="0017341E">
        <w:rPr>
          <w:rFonts w:ascii="Arial" w:hAnsi="Arial" w:cs="Arial"/>
          <w:sz w:val="24"/>
          <w:szCs w:val="24"/>
        </w:rPr>
        <w:t xml:space="preserve"> of agreement</w:t>
      </w:r>
      <w:r w:rsidR="001D1BE5">
        <w:rPr>
          <w:rFonts w:ascii="Arial" w:hAnsi="Arial" w:cs="Arial"/>
          <w:sz w:val="24"/>
          <w:szCs w:val="24"/>
        </w:rPr>
        <w:t xml:space="preserve"> was not</w:t>
      </w:r>
      <w:r w:rsidR="00BB4B04">
        <w:rPr>
          <w:rFonts w:ascii="Arial" w:hAnsi="Arial" w:cs="Arial"/>
          <w:sz w:val="24"/>
          <w:szCs w:val="24"/>
        </w:rPr>
        <w:t xml:space="preserve"> a</w:t>
      </w:r>
      <w:r w:rsidR="001D1BE5">
        <w:rPr>
          <w:rFonts w:ascii="Arial" w:hAnsi="Arial" w:cs="Arial"/>
          <w:sz w:val="24"/>
          <w:szCs w:val="24"/>
        </w:rPr>
        <w:t xml:space="preserve"> true reflection of the </w:t>
      </w:r>
      <w:r w:rsidR="00A251E4">
        <w:rPr>
          <w:rFonts w:ascii="Arial" w:hAnsi="Arial" w:cs="Arial"/>
          <w:sz w:val="24"/>
          <w:szCs w:val="24"/>
        </w:rPr>
        <w:t>negotiations</w:t>
      </w:r>
      <w:r w:rsidR="001D1BE5">
        <w:rPr>
          <w:rFonts w:ascii="Arial" w:hAnsi="Arial" w:cs="Arial"/>
          <w:sz w:val="24"/>
          <w:szCs w:val="24"/>
        </w:rPr>
        <w:t xml:space="preserve"> between the parties. </w:t>
      </w:r>
      <w:r w:rsidR="0017341E">
        <w:rPr>
          <w:rFonts w:ascii="Arial" w:hAnsi="Arial" w:cs="Arial"/>
          <w:sz w:val="24"/>
          <w:szCs w:val="24"/>
        </w:rPr>
        <w:t>During</w:t>
      </w:r>
      <w:r w:rsidR="00CF7D62">
        <w:rPr>
          <w:rFonts w:ascii="Arial" w:hAnsi="Arial" w:cs="Arial"/>
          <w:sz w:val="24"/>
          <w:szCs w:val="24"/>
        </w:rPr>
        <w:t xml:space="preserve"> re-examination of the witness the issue of the correct document was canvassed and </w:t>
      </w:r>
      <w:r w:rsidR="0017341E">
        <w:rPr>
          <w:rFonts w:ascii="Arial" w:hAnsi="Arial" w:cs="Arial"/>
          <w:sz w:val="24"/>
          <w:szCs w:val="24"/>
        </w:rPr>
        <w:t>an email document was apparently presented to the witness which he read into the record as follows</w:t>
      </w:r>
      <w:r w:rsidR="00CF7D62">
        <w:rPr>
          <w:rStyle w:val="FootnoteReference"/>
          <w:rFonts w:ascii="Arial" w:hAnsi="Arial" w:cs="Arial"/>
          <w:sz w:val="24"/>
          <w:szCs w:val="24"/>
        </w:rPr>
        <w:footnoteReference w:id="4"/>
      </w:r>
      <w:r w:rsidR="00CF7D62">
        <w:rPr>
          <w:rFonts w:ascii="Arial" w:hAnsi="Arial" w:cs="Arial"/>
          <w:sz w:val="24"/>
          <w:szCs w:val="24"/>
        </w:rPr>
        <w:t xml:space="preserve">: </w:t>
      </w:r>
    </w:p>
    <w:p w:rsidR="008C17E1" w:rsidRDefault="008C17E1" w:rsidP="00BB5BA8">
      <w:pPr>
        <w:spacing w:after="0" w:line="360" w:lineRule="auto"/>
        <w:jc w:val="both"/>
        <w:rPr>
          <w:rFonts w:ascii="Arial" w:hAnsi="Arial" w:cs="Arial"/>
          <w:sz w:val="24"/>
          <w:szCs w:val="24"/>
        </w:rPr>
      </w:pPr>
    </w:p>
    <w:p w:rsidR="008C17E1" w:rsidRDefault="008C17E1" w:rsidP="00BB5BA8">
      <w:pPr>
        <w:spacing w:after="0" w:line="360" w:lineRule="auto"/>
        <w:jc w:val="both"/>
        <w:rPr>
          <w:rFonts w:ascii="Arial" w:hAnsi="Arial" w:cs="Arial"/>
          <w:sz w:val="24"/>
          <w:szCs w:val="24"/>
        </w:rPr>
      </w:pPr>
    </w:p>
    <w:p w:rsidR="00CF7D62" w:rsidRPr="00BB4B04" w:rsidRDefault="00CF7D62" w:rsidP="00BB5BA8">
      <w:pPr>
        <w:spacing w:after="0" w:line="360" w:lineRule="auto"/>
        <w:jc w:val="both"/>
        <w:rPr>
          <w:rFonts w:ascii="Arial" w:hAnsi="Arial" w:cs="Arial"/>
          <w:i/>
        </w:rPr>
      </w:pPr>
      <w:r>
        <w:rPr>
          <w:rFonts w:ascii="Arial" w:hAnsi="Arial" w:cs="Arial"/>
        </w:rPr>
        <w:tab/>
      </w:r>
      <w:r w:rsidRPr="00BB4B04">
        <w:rPr>
          <w:rFonts w:ascii="Arial" w:hAnsi="Arial" w:cs="Arial"/>
          <w:i/>
        </w:rPr>
        <w:t>‘It is further agreed by both parties that the results of the housing investigation currently underway be awaited and that if the results will not address  the housing allowance requirements parties will assume discussions on the union’s proposal of forty percent (40%) increase on housing allowance. This shall be after six (6) months from the date of this agreement. It was further agreed that should further discussions result into an agreed percentage increase on housing allowance such percentage increase shall be reduced by seven percent (7%)’</w:t>
      </w:r>
    </w:p>
    <w:p w:rsidR="00BB4B04" w:rsidRPr="00C56CE6" w:rsidRDefault="00BB4B04" w:rsidP="00BB5BA8">
      <w:pPr>
        <w:spacing w:after="0" w:line="360" w:lineRule="auto"/>
        <w:jc w:val="both"/>
        <w:rPr>
          <w:rFonts w:ascii="Arial" w:hAnsi="Arial" w:cs="Arial"/>
        </w:rPr>
      </w:pPr>
    </w:p>
    <w:p w:rsidR="00A36FCA" w:rsidRDefault="00A36FCA" w:rsidP="003F1E7D">
      <w:pPr>
        <w:spacing w:after="0" w:line="360" w:lineRule="auto"/>
        <w:jc w:val="both"/>
        <w:rPr>
          <w:rFonts w:ascii="Arial" w:hAnsi="Arial" w:cs="Arial"/>
          <w:sz w:val="24"/>
          <w:szCs w:val="24"/>
        </w:rPr>
      </w:pPr>
    </w:p>
    <w:p w:rsidR="00BB5BA8" w:rsidRDefault="00082436" w:rsidP="003F1E7D">
      <w:pPr>
        <w:spacing w:after="0" w:line="360" w:lineRule="auto"/>
        <w:jc w:val="both"/>
        <w:rPr>
          <w:rFonts w:ascii="Arial" w:hAnsi="Arial" w:cs="Arial"/>
          <w:sz w:val="24"/>
          <w:szCs w:val="24"/>
        </w:rPr>
      </w:pPr>
      <w:r>
        <w:rPr>
          <w:rFonts w:ascii="Arial" w:hAnsi="Arial" w:cs="Arial"/>
          <w:sz w:val="24"/>
          <w:szCs w:val="24"/>
        </w:rPr>
        <w:t>[</w:t>
      </w:r>
      <w:r w:rsidR="00BD0892">
        <w:rPr>
          <w:rFonts w:ascii="Arial" w:hAnsi="Arial" w:cs="Arial"/>
          <w:sz w:val="24"/>
          <w:szCs w:val="24"/>
        </w:rPr>
        <w:t>9</w:t>
      </w:r>
      <w:r>
        <w:rPr>
          <w:rFonts w:ascii="Arial" w:hAnsi="Arial" w:cs="Arial"/>
          <w:sz w:val="24"/>
          <w:szCs w:val="24"/>
        </w:rPr>
        <w:t>]</w:t>
      </w:r>
      <w:r>
        <w:rPr>
          <w:rFonts w:ascii="Arial" w:hAnsi="Arial" w:cs="Arial"/>
          <w:sz w:val="24"/>
          <w:szCs w:val="24"/>
        </w:rPr>
        <w:tab/>
      </w:r>
      <w:r w:rsidR="00BB4B04">
        <w:rPr>
          <w:rFonts w:ascii="Arial" w:hAnsi="Arial" w:cs="Arial"/>
          <w:sz w:val="24"/>
          <w:szCs w:val="24"/>
        </w:rPr>
        <w:t>The second witness was Ms</w:t>
      </w:r>
      <w:r w:rsidR="00A251E4">
        <w:rPr>
          <w:rFonts w:ascii="Arial" w:hAnsi="Arial" w:cs="Arial"/>
          <w:sz w:val="24"/>
          <w:szCs w:val="24"/>
        </w:rPr>
        <w:t xml:space="preserve"> Emily </w:t>
      </w:r>
      <w:proofErr w:type="spellStart"/>
      <w:r w:rsidR="00A251E4">
        <w:rPr>
          <w:rFonts w:ascii="Arial" w:hAnsi="Arial" w:cs="Arial"/>
          <w:sz w:val="24"/>
          <w:szCs w:val="24"/>
        </w:rPr>
        <w:t>Tjikune</w:t>
      </w:r>
      <w:proofErr w:type="spellEnd"/>
      <w:r w:rsidR="005C1B88">
        <w:rPr>
          <w:rStyle w:val="FootnoteReference"/>
          <w:rFonts w:ascii="Arial" w:hAnsi="Arial" w:cs="Arial"/>
          <w:sz w:val="24"/>
          <w:szCs w:val="24"/>
        </w:rPr>
        <w:footnoteReference w:id="5"/>
      </w:r>
      <w:r w:rsidR="00A251E4">
        <w:rPr>
          <w:rFonts w:ascii="Arial" w:hAnsi="Arial" w:cs="Arial"/>
          <w:sz w:val="24"/>
          <w:szCs w:val="24"/>
        </w:rPr>
        <w:t xml:space="preserve">. She </w:t>
      </w:r>
      <w:r w:rsidR="004124B2">
        <w:rPr>
          <w:rFonts w:ascii="Arial" w:hAnsi="Arial" w:cs="Arial"/>
          <w:sz w:val="24"/>
          <w:szCs w:val="24"/>
        </w:rPr>
        <w:t xml:space="preserve">was part of the negotiation team on behalf of </w:t>
      </w:r>
      <w:r w:rsidR="00BE457B">
        <w:rPr>
          <w:rFonts w:ascii="Arial" w:hAnsi="Arial" w:cs="Arial"/>
          <w:sz w:val="24"/>
          <w:szCs w:val="24"/>
        </w:rPr>
        <w:t>QKR</w:t>
      </w:r>
      <w:r w:rsidR="004124B2">
        <w:rPr>
          <w:rFonts w:ascii="Arial" w:hAnsi="Arial" w:cs="Arial"/>
          <w:sz w:val="24"/>
          <w:szCs w:val="24"/>
        </w:rPr>
        <w:t xml:space="preserve">. She </w:t>
      </w:r>
      <w:r w:rsidR="00A251E4">
        <w:rPr>
          <w:rFonts w:ascii="Arial" w:hAnsi="Arial" w:cs="Arial"/>
          <w:sz w:val="24"/>
          <w:szCs w:val="24"/>
        </w:rPr>
        <w:t>stated that she</w:t>
      </w:r>
      <w:r w:rsidR="004124B2">
        <w:rPr>
          <w:rFonts w:ascii="Arial" w:hAnsi="Arial" w:cs="Arial"/>
          <w:sz w:val="24"/>
          <w:szCs w:val="24"/>
        </w:rPr>
        <w:t xml:space="preserve"> could not recall what the housing allowance requirements were at the time but it was her understanding that </w:t>
      </w:r>
      <w:r w:rsidR="00BB4B04">
        <w:rPr>
          <w:rFonts w:ascii="Arial" w:hAnsi="Arial" w:cs="Arial"/>
          <w:sz w:val="24"/>
          <w:szCs w:val="24"/>
        </w:rPr>
        <w:t xml:space="preserve">the </w:t>
      </w:r>
      <w:r w:rsidR="004124B2">
        <w:rPr>
          <w:rFonts w:ascii="Arial" w:hAnsi="Arial" w:cs="Arial"/>
          <w:sz w:val="24"/>
          <w:szCs w:val="24"/>
        </w:rPr>
        <w:t>parties would reconvene and d</w:t>
      </w:r>
      <w:r w:rsidR="00BB4B04">
        <w:rPr>
          <w:rFonts w:ascii="Arial" w:hAnsi="Arial" w:cs="Arial"/>
          <w:sz w:val="24"/>
          <w:szCs w:val="24"/>
        </w:rPr>
        <w:t xml:space="preserve">iscuss the housing requirements </w:t>
      </w:r>
      <w:r w:rsidR="004124B2">
        <w:rPr>
          <w:rFonts w:ascii="Arial" w:hAnsi="Arial" w:cs="Arial"/>
          <w:sz w:val="24"/>
          <w:szCs w:val="24"/>
        </w:rPr>
        <w:t xml:space="preserve">once the housing survey/investigation was complete.  </w:t>
      </w:r>
      <w:r w:rsidR="005F4347">
        <w:rPr>
          <w:rFonts w:ascii="Arial" w:hAnsi="Arial" w:cs="Arial"/>
          <w:sz w:val="24"/>
          <w:szCs w:val="24"/>
        </w:rPr>
        <w:t xml:space="preserve">If the </w:t>
      </w:r>
      <w:r w:rsidR="004124B2">
        <w:rPr>
          <w:rFonts w:ascii="Arial" w:hAnsi="Arial" w:cs="Arial"/>
          <w:sz w:val="24"/>
          <w:szCs w:val="24"/>
        </w:rPr>
        <w:t xml:space="preserve">outcome </w:t>
      </w:r>
      <w:r w:rsidR="007F241A">
        <w:rPr>
          <w:rFonts w:ascii="Arial" w:hAnsi="Arial" w:cs="Arial"/>
          <w:sz w:val="24"/>
          <w:szCs w:val="24"/>
        </w:rPr>
        <w:t>was</w:t>
      </w:r>
      <w:r w:rsidR="004124B2">
        <w:rPr>
          <w:rFonts w:ascii="Arial" w:hAnsi="Arial" w:cs="Arial"/>
          <w:sz w:val="24"/>
          <w:szCs w:val="24"/>
        </w:rPr>
        <w:t xml:space="preserve"> not satisfactory the parties would </w:t>
      </w:r>
      <w:r w:rsidR="005F4347">
        <w:rPr>
          <w:rFonts w:ascii="Arial" w:hAnsi="Arial" w:cs="Arial"/>
          <w:sz w:val="24"/>
          <w:szCs w:val="24"/>
        </w:rPr>
        <w:t>negotiate</w:t>
      </w:r>
      <w:r w:rsidR="004124B2">
        <w:rPr>
          <w:rFonts w:ascii="Arial" w:hAnsi="Arial" w:cs="Arial"/>
          <w:sz w:val="24"/>
          <w:szCs w:val="24"/>
        </w:rPr>
        <w:t xml:space="preserve"> the </w:t>
      </w:r>
      <w:r w:rsidR="005F4347">
        <w:rPr>
          <w:rFonts w:ascii="Arial" w:hAnsi="Arial" w:cs="Arial"/>
          <w:sz w:val="24"/>
          <w:szCs w:val="24"/>
        </w:rPr>
        <w:t>inc</w:t>
      </w:r>
      <w:r w:rsidR="00BB4B04">
        <w:rPr>
          <w:rFonts w:ascii="Arial" w:hAnsi="Arial" w:cs="Arial"/>
          <w:sz w:val="24"/>
          <w:szCs w:val="24"/>
        </w:rPr>
        <w:t>rease of forty percent (40%). Ms</w:t>
      </w:r>
      <w:r w:rsidR="005F4347">
        <w:rPr>
          <w:rFonts w:ascii="Arial" w:hAnsi="Arial" w:cs="Arial"/>
          <w:sz w:val="24"/>
          <w:szCs w:val="24"/>
        </w:rPr>
        <w:t xml:space="preserve"> </w:t>
      </w:r>
      <w:proofErr w:type="spellStart"/>
      <w:r w:rsidR="005F4347">
        <w:rPr>
          <w:rFonts w:ascii="Arial" w:hAnsi="Arial" w:cs="Arial"/>
          <w:sz w:val="24"/>
          <w:szCs w:val="24"/>
        </w:rPr>
        <w:t>Tjikune</w:t>
      </w:r>
      <w:proofErr w:type="spellEnd"/>
      <w:r w:rsidR="005F4347">
        <w:rPr>
          <w:rFonts w:ascii="Arial" w:hAnsi="Arial" w:cs="Arial"/>
          <w:sz w:val="24"/>
          <w:szCs w:val="24"/>
        </w:rPr>
        <w:t xml:space="preserve"> </w:t>
      </w:r>
      <w:r w:rsidR="00BA7391">
        <w:rPr>
          <w:rFonts w:ascii="Arial" w:hAnsi="Arial" w:cs="Arial"/>
          <w:sz w:val="24"/>
          <w:szCs w:val="24"/>
        </w:rPr>
        <w:t>signed</w:t>
      </w:r>
      <w:r w:rsidR="005F4347">
        <w:rPr>
          <w:rFonts w:ascii="Arial" w:hAnsi="Arial" w:cs="Arial"/>
          <w:sz w:val="24"/>
          <w:szCs w:val="24"/>
        </w:rPr>
        <w:t xml:space="preserve"> the agreement </w:t>
      </w:r>
      <w:r w:rsidR="00BA7391">
        <w:rPr>
          <w:rFonts w:ascii="Arial" w:hAnsi="Arial" w:cs="Arial"/>
          <w:sz w:val="24"/>
          <w:szCs w:val="24"/>
        </w:rPr>
        <w:t xml:space="preserve">as a witness </w:t>
      </w:r>
      <w:r w:rsidR="005F4347">
        <w:rPr>
          <w:rFonts w:ascii="Arial" w:hAnsi="Arial" w:cs="Arial"/>
          <w:sz w:val="24"/>
          <w:szCs w:val="24"/>
        </w:rPr>
        <w:t xml:space="preserve">but stated that she could not recall if the parties </w:t>
      </w:r>
      <w:r w:rsidR="0017341E">
        <w:rPr>
          <w:rFonts w:ascii="Arial" w:hAnsi="Arial" w:cs="Arial"/>
          <w:sz w:val="24"/>
          <w:szCs w:val="24"/>
        </w:rPr>
        <w:t>read</w:t>
      </w:r>
      <w:r w:rsidR="005F4347">
        <w:rPr>
          <w:rFonts w:ascii="Arial" w:hAnsi="Arial" w:cs="Arial"/>
          <w:sz w:val="24"/>
          <w:szCs w:val="24"/>
        </w:rPr>
        <w:t xml:space="preserve"> through the agreement prior </w:t>
      </w:r>
      <w:r w:rsidR="0017341E">
        <w:rPr>
          <w:rFonts w:ascii="Arial" w:hAnsi="Arial" w:cs="Arial"/>
          <w:sz w:val="24"/>
          <w:szCs w:val="24"/>
        </w:rPr>
        <w:t>the signing thereof</w:t>
      </w:r>
      <w:r w:rsidR="005F4347">
        <w:rPr>
          <w:rFonts w:ascii="Arial" w:hAnsi="Arial" w:cs="Arial"/>
          <w:sz w:val="24"/>
          <w:szCs w:val="24"/>
        </w:rPr>
        <w:t xml:space="preserve">. </w:t>
      </w:r>
    </w:p>
    <w:p w:rsidR="00BB4B04" w:rsidRDefault="00BB4B04" w:rsidP="003F1E7D">
      <w:pPr>
        <w:spacing w:after="0" w:line="360" w:lineRule="auto"/>
        <w:jc w:val="both"/>
        <w:rPr>
          <w:rFonts w:ascii="Arial" w:hAnsi="Arial" w:cs="Arial"/>
          <w:sz w:val="24"/>
          <w:szCs w:val="24"/>
        </w:rPr>
      </w:pPr>
    </w:p>
    <w:p w:rsidR="005F4347" w:rsidRDefault="005F4347" w:rsidP="003F1E7D">
      <w:pPr>
        <w:spacing w:after="0" w:line="360" w:lineRule="auto"/>
        <w:jc w:val="both"/>
        <w:rPr>
          <w:rFonts w:ascii="Arial" w:hAnsi="Arial" w:cs="Arial"/>
          <w:sz w:val="24"/>
          <w:szCs w:val="24"/>
        </w:rPr>
      </w:pPr>
    </w:p>
    <w:p w:rsidR="005F4347" w:rsidRDefault="005F4347" w:rsidP="003F1E7D">
      <w:pPr>
        <w:spacing w:after="0" w:line="360" w:lineRule="auto"/>
        <w:jc w:val="both"/>
        <w:rPr>
          <w:rFonts w:ascii="Arial" w:hAnsi="Arial" w:cs="Arial"/>
          <w:sz w:val="24"/>
          <w:szCs w:val="24"/>
        </w:rPr>
      </w:pPr>
      <w:r>
        <w:rPr>
          <w:rFonts w:ascii="Arial" w:hAnsi="Arial" w:cs="Arial"/>
          <w:sz w:val="24"/>
          <w:szCs w:val="24"/>
        </w:rPr>
        <w:t>[</w:t>
      </w:r>
      <w:r w:rsidR="00BD0892">
        <w:rPr>
          <w:rFonts w:ascii="Arial" w:hAnsi="Arial" w:cs="Arial"/>
          <w:sz w:val="24"/>
          <w:szCs w:val="24"/>
        </w:rPr>
        <w:t>10</w:t>
      </w:r>
      <w:r>
        <w:rPr>
          <w:rFonts w:ascii="Arial" w:hAnsi="Arial" w:cs="Arial"/>
          <w:sz w:val="24"/>
          <w:szCs w:val="24"/>
        </w:rPr>
        <w:t>]</w:t>
      </w:r>
      <w:r>
        <w:rPr>
          <w:rFonts w:ascii="Arial" w:hAnsi="Arial" w:cs="Arial"/>
          <w:sz w:val="24"/>
          <w:szCs w:val="24"/>
        </w:rPr>
        <w:tab/>
        <w:t xml:space="preserve">The third witness was Mr Augustus </w:t>
      </w:r>
      <w:proofErr w:type="spellStart"/>
      <w:r>
        <w:rPr>
          <w:rFonts w:ascii="Arial" w:hAnsi="Arial" w:cs="Arial"/>
          <w:sz w:val="24"/>
          <w:szCs w:val="24"/>
        </w:rPr>
        <w:t>Mutaka</w:t>
      </w:r>
      <w:proofErr w:type="spellEnd"/>
      <w:r w:rsidR="00AE3368">
        <w:rPr>
          <w:rStyle w:val="FootnoteReference"/>
          <w:rFonts w:ascii="Arial" w:hAnsi="Arial" w:cs="Arial"/>
          <w:sz w:val="24"/>
          <w:szCs w:val="24"/>
        </w:rPr>
        <w:footnoteReference w:id="6"/>
      </w:r>
      <w:r w:rsidR="0017341E">
        <w:rPr>
          <w:rFonts w:ascii="Arial" w:hAnsi="Arial" w:cs="Arial"/>
          <w:sz w:val="24"/>
          <w:szCs w:val="24"/>
        </w:rPr>
        <w:t>, who</w:t>
      </w:r>
      <w:r w:rsidR="007F241A">
        <w:rPr>
          <w:rFonts w:ascii="Arial" w:hAnsi="Arial" w:cs="Arial"/>
          <w:sz w:val="24"/>
          <w:szCs w:val="24"/>
        </w:rPr>
        <w:t xml:space="preserve"> was</w:t>
      </w:r>
      <w:r w:rsidR="0017341E">
        <w:rPr>
          <w:rFonts w:ascii="Arial" w:hAnsi="Arial" w:cs="Arial"/>
          <w:sz w:val="24"/>
          <w:szCs w:val="24"/>
        </w:rPr>
        <w:t xml:space="preserve"> </w:t>
      </w:r>
      <w:r>
        <w:rPr>
          <w:rFonts w:ascii="Arial" w:hAnsi="Arial" w:cs="Arial"/>
          <w:sz w:val="24"/>
          <w:szCs w:val="24"/>
        </w:rPr>
        <w:t>al</w:t>
      </w:r>
      <w:r w:rsidR="005B06A9">
        <w:rPr>
          <w:rFonts w:ascii="Arial" w:hAnsi="Arial" w:cs="Arial"/>
          <w:sz w:val="24"/>
          <w:szCs w:val="24"/>
        </w:rPr>
        <w:t xml:space="preserve">so part of the negotiation team. He corroborated the testimony of Mr </w:t>
      </w:r>
      <w:proofErr w:type="spellStart"/>
      <w:r w:rsidR="005B06A9">
        <w:rPr>
          <w:rFonts w:ascii="Arial" w:hAnsi="Arial" w:cs="Arial"/>
          <w:sz w:val="24"/>
          <w:szCs w:val="24"/>
        </w:rPr>
        <w:t>Gwala</w:t>
      </w:r>
      <w:proofErr w:type="spellEnd"/>
      <w:r w:rsidR="005B06A9">
        <w:rPr>
          <w:rFonts w:ascii="Arial" w:hAnsi="Arial" w:cs="Arial"/>
          <w:sz w:val="24"/>
          <w:szCs w:val="24"/>
        </w:rPr>
        <w:t xml:space="preserve"> and confirmed that the agreement reached during the negotiations was that the housing allowance would be increased by seven percent (7%) and that a housing survey would be completed by the first respondent. Once the housing survey was available the parties would return to the negotiation table to consider the options available to them</w:t>
      </w:r>
      <w:r w:rsidR="00BA7391">
        <w:rPr>
          <w:rFonts w:ascii="Arial" w:hAnsi="Arial" w:cs="Arial"/>
          <w:sz w:val="24"/>
          <w:szCs w:val="24"/>
        </w:rPr>
        <w:t xml:space="preserve"> and</w:t>
      </w:r>
      <w:r w:rsidR="00BB4B04">
        <w:rPr>
          <w:rFonts w:ascii="Arial" w:hAnsi="Arial" w:cs="Arial"/>
          <w:sz w:val="24"/>
          <w:szCs w:val="24"/>
        </w:rPr>
        <w:t xml:space="preserve"> consider what option is more </w:t>
      </w:r>
      <w:r w:rsidR="005B06A9">
        <w:rPr>
          <w:rFonts w:ascii="Arial" w:hAnsi="Arial" w:cs="Arial"/>
          <w:sz w:val="24"/>
          <w:szCs w:val="24"/>
        </w:rPr>
        <w:t>favourable for the employees</w:t>
      </w:r>
      <w:r w:rsidR="00BA7391">
        <w:rPr>
          <w:rFonts w:ascii="Arial" w:hAnsi="Arial" w:cs="Arial"/>
          <w:sz w:val="24"/>
          <w:szCs w:val="24"/>
        </w:rPr>
        <w:t xml:space="preserve">. </w:t>
      </w:r>
      <w:r w:rsidR="005B06A9">
        <w:rPr>
          <w:rFonts w:ascii="Arial" w:hAnsi="Arial" w:cs="Arial"/>
          <w:sz w:val="24"/>
          <w:szCs w:val="24"/>
        </w:rPr>
        <w:t xml:space="preserve"> </w:t>
      </w:r>
      <w:r w:rsidR="00BA7391">
        <w:rPr>
          <w:rFonts w:ascii="Arial" w:hAnsi="Arial" w:cs="Arial"/>
          <w:sz w:val="24"/>
          <w:szCs w:val="24"/>
        </w:rPr>
        <w:t xml:space="preserve">Mr </w:t>
      </w:r>
      <w:proofErr w:type="spellStart"/>
      <w:r w:rsidR="00BA7391">
        <w:rPr>
          <w:rFonts w:ascii="Arial" w:hAnsi="Arial" w:cs="Arial"/>
          <w:sz w:val="24"/>
          <w:szCs w:val="24"/>
        </w:rPr>
        <w:t>Mutaka</w:t>
      </w:r>
      <w:proofErr w:type="spellEnd"/>
      <w:r w:rsidR="00BA7391">
        <w:rPr>
          <w:rFonts w:ascii="Arial" w:hAnsi="Arial" w:cs="Arial"/>
          <w:sz w:val="24"/>
          <w:szCs w:val="24"/>
        </w:rPr>
        <w:t xml:space="preserve"> also signed the agreement </w:t>
      </w:r>
      <w:r w:rsidR="00BA7391">
        <w:rPr>
          <w:rFonts w:ascii="Arial" w:hAnsi="Arial" w:cs="Arial"/>
          <w:sz w:val="24"/>
          <w:szCs w:val="24"/>
        </w:rPr>
        <w:lastRenderedPageBreak/>
        <w:t>as a witness and stated that to his recollection</w:t>
      </w:r>
      <w:r w:rsidR="00BB4B04">
        <w:rPr>
          <w:rFonts w:ascii="Arial" w:hAnsi="Arial" w:cs="Arial"/>
          <w:sz w:val="24"/>
          <w:szCs w:val="24"/>
        </w:rPr>
        <w:t>,</w:t>
      </w:r>
      <w:r w:rsidR="00BA7391">
        <w:rPr>
          <w:rFonts w:ascii="Arial" w:hAnsi="Arial" w:cs="Arial"/>
          <w:sz w:val="24"/>
          <w:szCs w:val="24"/>
        </w:rPr>
        <w:t xml:space="preserve"> they did not read through the document but it was signed in good faith. </w:t>
      </w:r>
    </w:p>
    <w:p w:rsidR="00BB4B04" w:rsidRDefault="00BB4B04" w:rsidP="003F1E7D">
      <w:pPr>
        <w:spacing w:after="0" w:line="360" w:lineRule="auto"/>
        <w:jc w:val="both"/>
        <w:rPr>
          <w:rFonts w:ascii="Arial" w:hAnsi="Arial" w:cs="Arial"/>
          <w:sz w:val="24"/>
          <w:szCs w:val="24"/>
        </w:rPr>
      </w:pPr>
    </w:p>
    <w:p w:rsidR="003C6193" w:rsidRDefault="003C6193" w:rsidP="003F1E7D">
      <w:pPr>
        <w:spacing w:after="0" w:line="360" w:lineRule="auto"/>
        <w:jc w:val="both"/>
        <w:rPr>
          <w:rFonts w:ascii="Arial" w:hAnsi="Arial" w:cs="Arial"/>
          <w:sz w:val="24"/>
          <w:szCs w:val="24"/>
        </w:rPr>
      </w:pPr>
    </w:p>
    <w:p w:rsidR="00BA7391" w:rsidRDefault="00BA7391" w:rsidP="003F1E7D">
      <w:pPr>
        <w:spacing w:after="0" w:line="360" w:lineRule="auto"/>
        <w:jc w:val="both"/>
        <w:rPr>
          <w:rFonts w:ascii="Arial" w:hAnsi="Arial" w:cs="Arial"/>
          <w:sz w:val="24"/>
          <w:szCs w:val="24"/>
        </w:rPr>
      </w:pPr>
      <w:r>
        <w:rPr>
          <w:rFonts w:ascii="Arial" w:hAnsi="Arial" w:cs="Arial"/>
          <w:sz w:val="24"/>
          <w:szCs w:val="24"/>
        </w:rPr>
        <w:t>[1</w:t>
      </w:r>
      <w:r w:rsidR="00BD0892">
        <w:rPr>
          <w:rFonts w:ascii="Arial" w:hAnsi="Arial" w:cs="Arial"/>
          <w:sz w:val="24"/>
          <w:szCs w:val="24"/>
        </w:rPr>
        <w:t>1</w:t>
      </w:r>
      <w:r w:rsidR="00E6704A">
        <w:rPr>
          <w:rFonts w:ascii="Arial" w:hAnsi="Arial" w:cs="Arial"/>
          <w:sz w:val="24"/>
          <w:szCs w:val="24"/>
        </w:rPr>
        <w:t xml:space="preserve">] </w:t>
      </w:r>
      <w:r w:rsidR="00E6704A">
        <w:rPr>
          <w:rFonts w:ascii="Arial" w:hAnsi="Arial" w:cs="Arial"/>
          <w:sz w:val="24"/>
          <w:szCs w:val="24"/>
        </w:rPr>
        <w:tab/>
        <w:t>The fourth witness was Ms</w:t>
      </w:r>
      <w:r>
        <w:rPr>
          <w:rFonts w:ascii="Arial" w:hAnsi="Arial" w:cs="Arial"/>
          <w:sz w:val="24"/>
          <w:szCs w:val="24"/>
        </w:rPr>
        <w:t xml:space="preserve"> </w:t>
      </w:r>
      <w:proofErr w:type="spellStart"/>
      <w:r>
        <w:rPr>
          <w:rFonts w:ascii="Arial" w:hAnsi="Arial" w:cs="Arial"/>
          <w:sz w:val="24"/>
          <w:szCs w:val="24"/>
        </w:rPr>
        <w:t>Maryke</w:t>
      </w:r>
      <w:proofErr w:type="spellEnd"/>
      <w:r>
        <w:rPr>
          <w:rFonts w:ascii="Arial" w:hAnsi="Arial" w:cs="Arial"/>
          <w:sz w:val="24"/>
          <w:szCs w:val="24"/>
        </w:rPr>
        <w:t xml:space="preserve"> </w:t>
      </w:r>
      <w:proofErr w:type="spellStart"/>
      <w:r>
        <w:rPr>
          <w:rFonts w:ascii="Arial" w:hAnsi="Arial" w:cs="Arial"/>
          <w:sz w:val="24"/>
          <w:szCs w:val="24"/>
        </w:rPr>
        <w:t>Khrone</w:t>
      </w:r>
      <w:proofErr w:type="spellEnd"/>
      <w:r w:rsidR="00AE3368">
        <w:rPr>
          <w:rStyle w:val="FootnoteReference"/>
          <w:rFonts w:ascii="Arial" w:hAnsi="Arial" w:cs="Arial"/>
          <w:sz w:val="24"/>
          <w:szCs w:val="24"/>
        </w:rPr>
        <w:footnoteReference w:id="7"/>
      </w:r>
      <w:r>
        <w:rPr>
          <w:rFonts w:ascii="Arial" w:hAnsi="Arial" w:cs="Arial"/>
          <w:sz w:val="24"/>
          <w:szCs w:val="24"/>
        </w:rPr>
        <w:t xml:space="preserve">. She was not involved in the negotiation process during 2015 and could not contribute anything regarding the actual negotiations and the agreement reached. </w:t>
      </w:r>
    </w:p>
    <w:p w:rsidR="00BA7391" w:rsidRDefault="00BA7391" w:rsidP="003F1E7D">
      <w:pPr>
        <w:spacing w:after="0" w:line="360" w:lineRule="auto"/>
        <w:jc w:val="both"/>
        <w:rPr>
          <w:rFonts w:ascii="Arial" w:hAnsi="Arial" w:cs="Arial"/>
          <w:sz w:val="24"/>
          <w:szCs w:val="24"/>
        </w:rPr>
      </w:pPr>
    </w:p>
    <w:p w:rsidR="008C17E1" w:rsidRDefault="008C17E1" w:rsidP="003F1E7D">
      <w:pPr>
        <w:spacing w:after="0" w:line="360" w:lineRule="auto"/>
        <w:jc w:val="both"/>
        <w:rPr>
          <w:rFonts w:ascii="Arial" w:hAnsi="Arial" w:cs="Arial"/>
          <w:sz w:val="24"/>
          <w:szCs w:val="24"/>
        </w:rPr>
      </w:pPr>
    </w:p>
    <w:p w:rsidR="005C1B88" w:rsidRDefault="00BA7391" w:rsidP="003F1E7D">
      <w:pPr>
        <w:spacing w:after="0" w:line="360" w:lineRule="auto"/>
        <w:jc w:val="both"/>
        <w:rPr>
          <w:rFonts w:ascii="Arial" w:hAnsi="Arial" w:cs="Arial"/>
          <w:sz w:val="24"/>
          <w:szCs w:val="24"/>
        </w:rPr>
      </w:pPr>
      <w:r>
        <w:rPr>
          <w:rFonts w:ascii="Arial" w:hAnsi="Arial" w:cs="Arial"/>
          <w:sz w:val="24"/>
          <w:szCs w:val="24"/>
        </w:rPr>
        <w:t>[1</w:t>
      </w:r>
      <w:r w:rsidR="00BD0892">
        <w:rPr>
          <w:rFonts w:ascii="Arial" w:hAnsi="Arial" w:cs="Arial"/>
          <w:sz w:val="24"/>
          <w:szCs w:val="24"/>
        </w:rPr>
        <w:t>2</w:t>
      </w:r>
      <w:r>
        <w:rPr>
          <w:rFonts w:ascii="Arial" w:hAnsi="Arial" w:cs="Arial"/>
          <w:sz w:val="24"/>
          <w:szCs w:val="24"/>
        </w:rPr>
        <w:t>]</w:t>
      </w:r>
      <w:r w:rsidR="003C6193">
        <w:rPr>
          <w:rFonts w:ascii="Arial" w:hAnsi="Arial" w:cs="Arial"/>
          <w:sz w:val="24"/>
          <w:szCs w:val="24"/>
        </w:rPr>
        <w:t xml:space="preserve"> </w:t>
      </w:r>
      <w:r w:rsidR="003C6193">
        <w:rPr>
          <w:rFonts w:ascii="Arial" w:hAnsi="Arial" w:cs="Arial"/>
          <w:sz w:val="24"/>
          <w:szCs w:val="24"/>
        </w:rPr>
        <w:tab/>
        <w:t>The last witness was Mr Johannes Coetzee</w:t>
      </w:r>
      <w:r w:rsidR="00AE3368">
        <w:rPr>
          <w:rStyle w:val="FootnoteReference"/>
          <w:rFonts w:ascii="Arial" w:hAnsi="Arial" w:cs="Arial"/>
          <w:sz w:val="24"/>
          <w:szCs w:val="24"/>
        </w:rPr>
        <w:footnoteReference w:id="8"/>
      </w:r>
      <w:r w:rsidR="0017341E">
        <w:rPr>
          <w:rFonts w:ascii="Arial" w:hAnsi="Arial" w:cs="Arial"/>
          <w:sz w:val="24"/>
          <w:szCs w:val="24"/>
        </w:rPr>
        <w:t xml:space="preserve">, who </w:t>
      </w:r>
      <w:r w:rsidR="003C6193">
        <w:rPr>
          <w:rFonts w:ascii="Arial" w:hAnsi="Arial" w:cs="Arial"/>
          <w:sz w:val="24"/>
          <w:szCs w:val="24"/>
        </w:rPr>
        <w:t xml:space="preserve">was the managing director of </w:t>
      </w:r>
      <w:r w:rsidR="00BE457B">
        <w:rPr>
          <w:rFonts w:ascii="Arial" w:hAnsi="Arial" w:cs="Arial"/>
          <w:sz w:val="24"/>
          <w:szCs w:val="24"/>
        </w:rPr>
        <w:t>QKR</w:t>
      </w:r>
      <w:r w:rsidR="003C6193">
        <w:rPr>
          <w:rFonts w:ascii="Arial" w:hAnsi="Arial" w:cs="Arial"/>
          <w:sz w:val="24"/>
          <w:szCs w:val="24"/>
        </w:rPr>
        <w:t xml:space="preserve"> at the time. He did not form part of the negotiation team but confirmed that Mr </w:t>
      </w:r>
      <w:proofErr w:type="spellStart"/>
      <w:r w:rsidR="003C6193">
        <w:rPr>
          <w:rFonts w:ascii="Arial" w:hAnsi="Arial" w:cs="Arial"/>
          <w:sz w:val="24"/>
          <w:szCs w:val="24"/>
        </w:rPr>
        <w:t>Gwala</w:t>
      </w:r>
      <w:proofErr w:type="spellEnd"/>
      <w:r w:rsidR="003C6193">
        <w:rPr>
          <w:rFonts w:ascii="Arial" w:hAnsi="Arial" w:cs="Arial"/>
          <w:sz w:val="24"/>
          <w:szCs w:val="24"/>
        </w:rPr>
        <w:t xml:space="preserve"> acted under his mandate which Mr Coetzee in turn received from the owners of </w:t>
      </w:r>
      <w:r w:rsidR="00BE457B">
        <w:rPr>
          <w:rFonts w:ascii="Arial" w:hAnsi="Arial" w:cs="Arial"/>
          <w:sz w:val="24"/>
          <w:szCs w:val="24"/>
        </w:rPr>
        <w:t>QKR</w:t>
      </w:r>
      <w:r w:rsidR="003C6193">
        <w:rPr>
          <w:rFonts w:ascii="Arial" w:hAnsi="Arial" w:cs="Arial"/>
          <w:sz w:val="24"/>
          <w:szCs w:val="24"/>
        </w:rPr>
        <w:t xml:space="preserve">. He indicated that the </w:t>
      </w:r>
      <w:r w:rsidR="00D81787">
        <w:rPr>
          <w:rFonts w:ascii="Arial" w:hAnsi="Arial" w:cs="Arial"/>
          <w:sz w:val="24"/>
          <w:szCs w:val="24"/>
        </w:rPr>
        <w:t xml:space="preserve">upper limit </w:t>
      </w:r>
      <w:r w:rsidR="003C6193">
        <w:rPr>
          <w:rFonts w:ascii="Arial" w:hAnsi="Arial" w:cs="Arial"/>
          <w:sz w:val="24"/>
          <w:szCs w:val="24"/>
        </w:rPr>
        <w:t xml:space="preserve">of the mandate given to Mr </w:t>
      </w:r>
      <w:proofErr w:type="spellStart"/>
      <w:r w:rsidR="003C6193">
        <w:rPr>
          <w:rFonts w:ascii="Arial" w:hAnsi="Arial" w:cs="Arial"/>
          <w:sz w:val="24"/>
          <w:szCs w:val="24"/>
        </w:rPr>
        <w:t>Gwala</w:t>
      </w:r>
      <w:proofErr w:type="spellEnd"/>
      <w:r w:rsidR="003C6193">
        <w:rPr>
          <w:rFonts w:ascii="Arial" w:hAnsi="Arial" w:cs="Arial"/>
          <w:sz w:val="24"/>
          <w:szCs w:val="24"/>
        </w:rPr>
        <w:t xml:space="preserve"> was seven percent (7%). Any increase in housing allowance beyond that would have been unauthorised</w:t>
      </w:r>
      <w:r w:rsidR="00D81787">
        <w:rPr>
          <w:rFonts w:ascii="Arial" w:hAnsi="Arial" w:cs="Arial"/>
          <w:sz w:val="24"/>
          <w:szCs w:val="24"/>
        </w:rPr>
        <w:t xml:space="preserve"> and Mr </w:t>
      </w:r>
      <w:proofErr w:type="spellStart"/>
      <w:r w:rsidR="00D81787">
        <w:rPr>
          <w:rFonts w:ascii="Arial" w:hAnsi="Arial" w:cs="Arial"/>
          <w:sz w:val="24"/>
          <w:szCs w:val="24"/>
        </w:rPr>
        <w:t>Gwala</w:t>
      </w:r>
      <w:proofErr w:type="spellEnd"/>
      <w:r w:rsidR="00D81787">
        <w:rPr>
          <w:rFonts w:ascii="Arial" w:hAnsi="Arial" w:cs="Arial"/>
          <w:sz w:val="24"/>
          <w:szCs w:val="24"/>
        </w:rPr>
        <w:t xml:space="preserve"> had instructions that if no agreement can be reached in respect of the mandate given</w:t>
      </w:r>
      <w:r w:rsidR="00BE457B">
        <w:rPr>
          <w:rFonts w:ascii="Arial" w:hAnsi="Arial" w:cs="Arial"/>
          <w:sz w:val="24"/>
          <w:szCs w:val="24"/>
        </w:rPr>
        <w:t>,</w:t>
      </w:r>
      <w:r w:rsidR="00D81787">
        <w:rPr>
          <w:rFonts w:ascii="Arial" w:hAnsi="Arial" w:cs="Arial"/>
          <w:sz w:val="24"/>
          <w:szCs w:val="24"/>
        </w:rPr>
        <w:t xml:space="preserve"> that the issue of housing allowance should be taken off the table and be negotiated separately. At the conclusion of the negotiations</w:t>
      </w:r>
      <w:r w:rsidR="00E6704A">
        <w:rPr>
          <w:rFonts w:ascii="Arial" w:hAnsi="Arial" w:cs="Arial"/>
          <w:sz w:val="24"/>
          <w:szCs w:val="24"/>
        </w:rPr>
        <w:t>,</w:t>
      </w:r>
      <w:r w:rsidR="00D81787">
        <w:rPr>
          <w:rFonts w:ascii="Arial" w:hAnsi="Arial" w:cs="Arial"/>
          <w:sz w:val="24"/>
          <w:szCs w:val="24"/>
        </w:rPr>
        <w:t xml:space="preserve"> Mr </w:t>
      </w:r>
      <w:proofErr w:type="spellStart"/>
      <w:r w:rsidR="00D81787">
        <w:rPr>
          <w:rFonts w:ascii="Arial" w:hAnsi="Arial" w:cs="Arial"/>
          <w:sz w:val="24"/>
          <w:szCs w:val="24"/>
        </w:rPr>
        <w:t>Gwala</w:t>
      </w:r>
      <w:proofErr w:type="spellEnd"/>
      <w:r w:rsidR="00D81787">
        <w:rPr>
          <w:rFonts w:ascii="Arial" w:hAnsi="Arial" w:cs="Arial"/>
          <w:sz w:val="24"/>
          <w:szCs w:val="24"/>
        </w:rPr>
        <w:t xml:space="preserve"> apparently confirmed telephonically that the agreement was settled on the seven percent (7%).</w:t>
      </w:r>
      <w:r w:rsidR="005C1B88">
        <w:rPr>
          <w:rFonts w:ascii="Arial" w:hAnsi="Arial" w:cs="Arial"/>
          <w:sz w:val="24"/>
          <w:szCs w:val="24"/>
        </w:rPr>
        <w:t xml:space="preserve"> </w:t>
      </w:r>
      <w:r w:rsidR="00D81787">
        <w:rPr>
          <w:rFonts w:ascii="Arial" w:hAnsi="Arial" w:cs="Arial"/>
          <w:sz w:val="24"/>
          <w:szCs w:val="24"/>
        </w:rPr>
        <w:t xml:space="preserve">Mr Coetzee stated that he </w:t>
      </w:r>
      <w:r w:rsidR="005C1B88">
        <w:rPr>
          <w:rFonts w:ascii="Arial" w:hAnsi="Arial" w:cs="Arial"/>
          <w:sz w:val="24"/>
          <w:szCs w:val="24"/>
        </w:rPr>
        <w:t xml:space="preserve">gave </w:t>
      </w:r>
      <w:r w:rsidR="00D81787">
        <w:rPr>
          <w:rFonts w:ascii="Arial" w:hAnsi="Arial" w:cs="Arial"/>
          <w:sz w:val="24"/>
          <w:szCs w:val="24"/>
        </w:rPr>
        <w:t>approv</w:t>
      </w:r>
      <w:r w:rsidR="005C1B88">
        <w:rPr>
          <w:rFonts w:ascii="Arial" w:hAnsi="Arial" w:cs="Arial"/>
          <w:sz w:val="24"/>
          <w:szCs w:val="24"/>
        </w:rPr>
        <w:t xml:space="preserve">al telephonically that the agreement can be signed on behalf of </w:t>
      </w:r>
      <w:r w:rsidR="007F241A">
        <w:rPr>
          <w:rFonts w:ascii="Arial" w:hAnsi="Arial" w:cs="Arial"/>
          <w:sz w:val="24"/>
          <w:szCs w:val="24"/>
        </w:rPr>
        <w:t>QKR</w:t>
      </w:r>
      <w:r w:rsidR="005C1B88">
        <w:rPr>
          <w:rFonts w:ascii="Arial" w:hAnsi="Arial" w:cs="Arial"/>
          <w:sz w:val="24"/>
          <w:szCs w:val="24"/>
        </w:rPr>
        <w:t xml:space="preserve">. </w:t>
      </w:r>
      <w:r w:rsidR="00D81787">
        <w:rPr>
          <w:rFonts w:ascii="Arial" w:hAnsi="Arial" w:cs="Arial"/>
          <w:sz w:val="24"/>
          <w:szCs w:val="24"/>
        </w:rPr>
        <w:t xml:space="preserve"> </w:t>
      </w:r>
      <w:r w:rsidR="003C6193">
        <w:rPr>
          <w:rFonts w:ascii="Arial" w:hAnsi="Arial" w:cs="Arial"/>
          <w:sz w:val="24"/>
          <w:szCs w:val="24"/>
        </w:rPr>
        <w:t xml:space="preserve">Mr Coetzee stated that the mine was operating on a </w:t>
      </w:r>
      <w:r w:rsidR="0017341E">
        <w:rPr>
          <w:rFonts w:ascii="Arial" w:hAnsi="Arial" w:cs="Arial"/>
          <w:sz w:val="24"/>
          <w:szCs w:val="24"/>
        </w:rPr>
        <w:t xml:space="preserve">deficit </w:t>
      </w:r>
      <w:r w:rsidR="003C6193">
        <w:rPr>
          <w:rFonts w:ascii="Arial" w:hAnsi="Arial" w:cs="Arial"/>
          <w:sz w:val="24"/>
          <w:szCs w:val="24"/>
        </w:rPr>
        <w:t xml:space="preserve">at the time and the owners of the mine intimated that the mine first had to be </w:t>
      </w:r>
      <w:r w:rsidR="0017341E">
        <w:rPr>
          <w:rFonts w:ascii="Arial" w:hAnsi="Arial" w:cs="Arial"/>
          <w:sz w:val="24"/>
          <w:szCs w:val="24"/>
        </w:rPr>
        <w:t>‘</w:t>
      </w:r>
      <w:r w:rsidR="003C6193">
        <w:rPr>
          <w:rFonts w:ascii="Arial" w:hAnsi="Arial" w:cs="Arial"/>
          <w:sz w:val="24"/>
          <w:szCs w:val="24"/>
        </w:rPr>
        <w:t>fixed</w:t>
      </w:r>
      <w:r w:rsidR="0017341E">
        <w:rPr>
          <w:rFonts w:ascii="Arial" w:hAnsi="Arial" w:cs="Arial"/>
          <w:sz w:val="24"/>
          <w:szCs w:val="24"/>
        </w:rPr>
        <w:t>’</w:t>
      </w:r>
      <w:r w:rsidR="003C6193">
        <w:rPr>
          <w:rFonts w:ascii="Arial" w:hAnsi="Arial" w:cs="Arial"/>
          <w:sz w:val="24"/>
          <w:szCs w:val="24"/>
        </w:rPr>
        <w:t xml:space="preserve"> and then the issues relating to the housing allowance could be address</w:t>
      </w:r>
      <w:r w:rsidR="00E6704A">
        <w:rPr>
          <w:rFonts w:ascii="Arial" w:hAnsi="Arial" w:cs="Arial"/>
          <w:sz w:val="24"/>
          <w:szCs w:val="24"/>
        </w:rPr>
        <w:t>ed</w:t>
      </w:r>
      <w:r w:rsidR="003C6193">
        <w:rPr>
          <w:rFonts w:ascii="Arial" w:hAnsi="Arial" w:cs="Arial"/>
          <w:sz w:val="24"/>
          <w:szCs w:val="24"/>
        </w:rPr>
        <w:t>. However, in the interim</w:t>
      </w:r>
      <w:r w:rsidR="00E6704A">
        <w:rPr>
          <w:rFonts w:ascii="Arial" w:hAnsi="Arial" w:cs="Arial"/>
          <w:sz w:val="24"/>
          <w:szCs w:val="24"/>
        </w:rPr>
        <w:t>,</w:t>
      </w:r>
      <w:r w:rsidR="003C6193">
        <w:rPr>
          <w:rFonts w:ascii="Arial" w:hAnsi="Arial" w:cs="Arial"/>
          <w:sz w:val="24"/>
          <w:szCs w:val="24"/>
        </w:rPr>
        <w:t xml:space="preserve"> </w:t>
      </w:r>
      <w:r w:rsidR="00BE457B">
        <w:rPr>
          <w:rFonts w:ascii="Arial" w:hAnsi="Arial" w:cs="Arial"/>
          <w:sz w:val="24"/>
          <w:szCs w:val="24"/>
        </w:rPr>
        <w:t>QKR</w:t>
      </w:r>
      <w:r w:rsidR="003C6193">
        <w:rPr>
          <w:rFonts w:ascii="Arial" w:hAnsi="Arial" w:cs="Arial"/>
          <w:sz w:val="24"/>
          <w:szCs w:val="24"/>
        </w:rPr>
        <w:t xml:space="preserve"> </w:t>
      </w:r>
      <w:r w:rsidR="009118AE">
        <w:rPr>
          <w:rFonts w:ascii="Arial" w:hAnsi="Arial" w:cs="Arial"/>
          <w:sz w:val="24"/>
          <w:szCs w:val="24"/>
        </w:rPr>
        <w:t xml:space="preserve">appointed one Mr </w:t>
      </w:r>
      <w:proofErr w:type="spellStart"/>
      <w:r w:rsidR="009118AE">
        <w:rPr>
          <w:rFonts w:ascii="Arial" w:hAnsi="Arial" w:cs="Arial"/>
          <w:sz w:val="24"/>
          <w:szCs w:val="24"/>
        </w:rPr>
        <w:t>Movirongo</w:t>
      </w:r>
      <w:proofErr w:type="spellEnd"/>
      <w:r w:rsidR="009118AE">
        <w:rPr>
          <w:rFonts w:ascii="Arial" w:hAnsi="Arial" w:cs="Arial"/>
          <w:sz w:val="24"/>
          <w:szCs w:val="24"/>
        </w:rPr>
        <w:t xml:space="preserve"> </w:t>
      </w:r>
      <w:r w:rsidR="003C6193">
        <w:rPr>
          <w:rFonts w:ascii="Arial" w:hAnsi="Arial" w:cs="Arial"/>
          <w:sz w:val="24"/>
          <w:szCs w:val="24"/>
        </w:rPr>
        <w:t xml:space="preserve">to do a survey </w:t>
      </w:r>
      <w:r w:rsidR="009118AE">
        <w:rPr>
          <w:rFonts w:ascii="Arial" w:hAnsi="Arial" w:cs="Arial"/>
          <w:sz w:val="24"/>
          <w:szCs w:val="24"/>
        </w:rPr>
        <w:t>on</w:t>
      </w:r>
      <w:r w:rsidR="006009C4">
        <w:rPr>
          <w:rFonts w:ascii="Arial" w:hAnsi="Arial" w:cs="Arial"/>
          <w:sz w:val="24"/>
          <w:szCs w:val="24"/>
        </w:rPr>
        <w:t xml:space="preserve"> the housing </w:t>
      </w:r>
      <w:r w:rsidR="009118AE">
        <w:rPr>
          <w:rFonts w:ascii="Arial" w:hAnsi="Arial" w:cs="Arial"/>
          <w:sz w:val="24"/>
          <w:szCs w:val="24"/>
        </w:rPr>
        <w:t>issues and commissioned an</w:t>
      </w:r>
      <w:r w:rsidR="006009C4">
        <w:rPr>
          <w:rFonts w:ascii="Arial" w:hAnsi="Arial" w:cs="Arial"/>
          <w:sz w:val="24"/>
          <w:szCs w:val="24"/>
        </w:rPr>
        <w:t xml:space="preserve"> independen</w:t>
      </w:r>
      <w:r w:rsidR="009118AE">
        <w:rPr>
          <w:rFonts w:ascii="Arial" w:hAnsi="Arial" w:cs="Arial"/>
          <w:sz w:val="24"/>
          <w:szCs w:val="24"/>
        </w:rPr>
        <w:t xml:space="preserve">t market analyst to do </w:t>
      </w:r>
      <w:r w:rsidR="003F2668">
        <w:rPr>
          <w:rFonts w:ascii="Arial" w:hAnsi="Arial" w:cs="Arial"/>
          <w:sz w:val="24"/>
          <w:szCs w:val="24"/>
        </w:rPr>
        <w:t>a market analysis</w:t>
      </w:r>
      <w:r w:rsidR="009118AE">
        <w:rPr>
          <w:rFonts w:ascii="Arial" w:hAnsi="Arial" w:cs="Arial"/>
          <w:sz w:val="24"/>
          <w:szCs w:val="24"/>
        </w:rPr>
        <w:t xml:space="preserve"> of </w:t>
      </w:r>
      <w:proofErr w:type="spellStart"/>
      <w:r w:rsidR="009118AE">
        <w:rPr>
          <w:rFonts w:ascii="Arial" w:hAnsi="Arial" w:cs="Arial"/>
          <w:sz w:val="24"/>
          <w:szCs w:val="24"/>
        </w:rPr>
        <w:t>Karibib’s</w:t>
      </w:r>
      <w:proofErr w:type="spellEnd"/>
      <w:r w:rsidR="009118AE">
        <w:rPr>
          <w:rFonts w:ascii="Arial" w:hAnsi="Arial" w:cs="Arial"/>
          <w:sz w:val="24"/>
          <w:szCs w:val="24"/>
        </w:rPr>
        <w:t xml:space="preserve"> rental accommodation.  Said result</w:t>
      </w:r>
      <w:r w:rsidR="0017341E">
        <w:rPr>
          <w:rFonts w:ascii="Arial" w:hAnsi="Arial" w:cs="Arial"/>
          <w:sz w:val="24"/>
          <w:szCs w:val="24"/>
        </w:rPr>
        <w:t>s</w:t>
      </w:r>
      <w:r w:rsidR="009118AE">
        <w:rPr>
          <w:rFonts w:ascii="Arial" w:hAnsi="Arial" w:cs="Arial"/>
          <w:sz w:val="24"/>
          <w:szCs w:val="24"/>
        </w:rPr>
        <w:t xml:space="preserve"> were </w:t>
      </w:r>
      <w:r w:rsidR="003C6193">
        <w:rPr>
          <w:rFonts w:ascii="Arial" w:hAnsi="Arial" w:cs="Arial"/>
          <w:sz w:val="24"/>
          <w:szCs w:val="24"/>
        </w:rPr>
        <w:t xml:space="preserve">made available to </w:t>
      </w:r>
      <w:r w:rsidR="00BE457B">
        <w:rPr>
          <w:rFonts w:ascii="Arial" w:hAnsi="Arial" w:cs="Arial"/>
          <w:sz w:val="24"/>
          <w:szCs w:val="24"/>
        </w:rPr>
        <w:t>MUN</w:t>
      </w:r>
      <w:r w:rsidR="003C6193">
        <w:rPr>
          <w:rFonts w:ascii="Arial" w:hAnsi="Arial" w:cs="Arial"/>
          <w:sz w:val="24"/>
          <w:szCs w:val="24"/>
        </w:rPr>
        <w:t xml:space="preserve">. The witness submitted that the </w:t>
      </w:r>
      <w:r w:rsidR="00BE457B">
        <w:rPr>
          <w:rFonts w:ascii="Arial" w:hAnsi="Arial" w:cs="Arial"/>
          <w:sz w:val="24"/>
          <w:szCs w:val="24"/>
        </w:rPr>
        <w:t>QKR</w:t>
      </w:r>
      <w:r w:rsidR="003C6193">
        <w:rPr>
          <w:rFonts w:ascii="Arial" w:hAnsi="Arial" w:cs="Arial"/>
          <w:sz w:val="24"/>
          <w:szCs w:val="24"/>
        </w:rPr>
        <w:t xml:space="preserve"> met all the requirements of the agreement including the </w:t>
      </w:r>
      <w:r w:rsidR="00D81787">
        <w:rPr>
          <w:rFonts w:ascii="Arial" w:hAnsi="Arial" w:cs="Arial"/>
          <w:sz w:val="24"/>
          <w:szCs w:val="24"/>
        </w:rPr>
        <w:t xml:space="preserve">housing allowance issue. </w:t>
      </w:r>
    </w:p>
    <w:p w:rsidR="00E6704A" w:rsidRDefault="00E6704A" w:rsidP="003F1E7D">
      <w:pPr>
        <w:spacing w:after="0" w:line="360" w:lineRule="auto"/>
        <w:jc w:val="both"/>
        <w:rPr>
          <w:rFonts w:ascii="Arial" w:hAnsi="Arial" w:cs="Arial"/>
          <w:sz w:val="24"/>
          <w:szCs w:val="24"/>
        </w:rPr>
      </w:pPr>
    </w:p>
    <w:p w:rsidR="005C1B88" w:rsidRDefault="005C1B88" w:rsidP="003F1E7D">
      <w:pPr>
        <w:spacing w:after="0" w:line="360" w:lineRule="auto"/>
        <w:jc w:val="both"/>
        <w:rPr>
          <w:rFonts w:ascii="Arial" w:hAnsi="Arial" w:cs="Arial"/>
          <w:sz w:val="24"/>
          <w:szCs w:val="24"/>
        </w:rPr>
      </w:pPr>
    </w:p>
    <w:p w:rsidR="005C1B88" w:rsidRDefault="005C1B88" w:rsidP="003F1E7D">
      <w:pPr>
        <w:spacing w:after="0" w:line="360" w:lineRule="auto"/>
        <w:jc w:val="both"/>
        <w:rPr>
          <w:rFonts w:ascii="Arial" w:hAnsi="Arial" w:cs="Arial"/>
          <w:sz w:val="24"/>
          <w:szCs w:val="24"/>
        </w:rPr>
      </w:pPr>
      <w:r>
        <w:rPr>
          <w:rFonts w:ascii="Arial" w:hAnsi="Arial" w:cs="Arial"/>
          <w:sz w:val="24"/>
          <w:szCs w:val="24"/>
        </w:rPr>
        <w:lastRenderedPageBreak/>
        <w:t>[1</w:t>
      </w:r>
      <w:r w:rsidR="00BD0892">
        <w:rPr>
          <w:rFonts w:ascii="Arial" w:hAnsi="Arial" w:cs="Arial"/>
          <w:sz w:val="24"/>
          <w:szCs w:val="24"/>
        </w:rPr>
        <w:t>3</w:t>
      </w:r>
      <w:r>
        <w:rPr>
          <w:rFonts w:ascii="Arial" w:hAnsi="Arial" w:cs="Arial"/>
          <w:sz w:val="24"/>
          <w:szCs w:val="24"/>
        </w:rPr>
        <w:t xml:space="preserve">] </w:t>
      </w:r>
      <w:r>
        <w:rPr>
          <w:rFonts w:ascii="Arial" w:hAnsi="Arial" w:cs="Arial"/>
          <w:sz w:val="24"/>
          <w:szCs w:val="24"/>
        </w:rPr>
        <w:tab/>
        <w:t>A number of exhibits were handed in during the arbitration proceedings, which include the substantive agreement</w:t>
      </w:r>
      <w:r w:rsidR="00AE3368">
        <w:rPr>
          <w:rStyle w:val="FootnoteReference"/>
          <w:rFonts w:ascii="Arial" w:hAnsi="Arial" w:cs="Arial"/>
          <w:sz w:val="24"/>
          <w:szCs w:val="24"/>
        </w:rPr>
        <w:footnoteReference w:id="9"/>
      </w:r>
      <w:r>
        <w:rPr>
          <w:rFonts w:ascii="Arial" w:hAnsi="Arial" w:cs="Arial"/>
          <w:sz w:val="24"/>
          <w:szCs w:val="24"/>
        </w:rPr>
        <w:t>, the mandate document</w:t>
      </w:r>
      <w:r w:rsidR="00AE3368">
        <w:rPr>
          <w:rStyle w:val="FootnoteReference"/>
          <w:rFonts w:ascii="Arial" w:hAnsi="Arial" w:cs="Arial"/>
          <w:sz w:val="24"/>
          <w:szCs w:val="24"/>
        </w:rPr>
        <w:footnoteReference w:id="10"/>
      </w:r>
      <w:r>
        <w:rPr>
          <w:rFonts w:ascii="Arial" w:hAnsi="Arial" w:cs="Arial"/>
          <w:sz w:val="24"/>
          <w:szCs w:val="24"/>
        </w:rPr>
        <w:t>, independent market assessment</w:t>
      </w:r>
      <w:r w:rsidR="00AE3368">
        <w:rPr>
          <w:rStyle w:val="FootnoteReference"/>
          <w:rFonts w:ascii="Arial" w:hAnsi="Arial" w:cs="Arial"/>
          <w:sz w:val="24"/>
          <w:szCs w:val="24"/>
        </w:rPr>
        <w:footnoteReference w:id="11"/>
      </w:r>
      <w:r w:rsidR="00AE3368">
        <w:rPr>
          <w:rFonts w:ascii="Arial" w:hAnsi="Arial" w:cs="Arial"/>
          <w:sz w:val="24"/>
          <w:szCs w:val="24"/>
        </w:rPr>
        <w:t>, meeting minutes</w:t>
      </w:r>
      <w:r w:rsidR="00AE3368">
        <w:rPr>
          <w:rStyle w:val="FootnoteReference"/>
          <w:rFonts w:ascii="Arial" w:hAnsi="Arial" w:cs="Arial"/>
          <w:sz w:val="24"/>
          <w:szCs w:val="24"/>
        </w:rPr>
        <w:footnoteReference w:id="12"/>
      </w:r>
      <w:r w:rsidR="00AE3368">
        <w:rPr>
          <w:rFonts w:ascii="Arial" w:hAnsi="Arial" w:cs="Arial"/>
          <w:sz w:val="24"/>
          <w:szCs w:val="24"/>
        </w:rPr>
        <w:t xml:space="preserve"> and correspondence</w:t>
      </w:r>
      <w:r w:rsidR="00AE3368">
        <w:rPr>
          <w:rStyle w:val="FootnoteReference"/>
          <w:rFonts w:ascii="Arial" w:hAnsi="Arial" w:cs="Arial"/>
          <w:sz w:val="24"/>
          <w:szCs w:val="24"/>
        </w:rPr>
        <w:footnoteReference w:id="13"/>
      </w:r>
      <w:r w:rsidR="00AE3368">
        <w:rPr>
          <w:rFonts w:ascii="Arial" w:hAnsi="Arial" w:cs="Arial"/>
          <w:sz w:val="24"/>
          <w:szCs w:val="24"/>
        </w:rPr>
        <w:t xml:space="preserve">. </w:t>
      </w:r>
    </w:p>
    <w:p w:rsidR="00E6704A" w:rsidRDefault="00E6704A" w:rsidP="003F1E7D">
      <w:pPr>
        <w:spacing w:after="0" w:line="360" w:lineRule="auto"/>
        <w:jc w:val="both"/>
        <w:rPr>
          <w:rFonts w:ascii="Arial" w:hAnsi="Arial" w:cs="Arial"/>
          <w:sz w:val="24"/>
          <w:szCs w:val="24"/>
        </w:rPr>
      </w:pPr>
    </w:p>
    <w:p w:rsidR="00BA7391" w:rsidRDefault="00D81787" w:rsidP="003F1E7D">
      <w:pPr>
        <w:spacing w:after="0" w:line="360" w:lineRule="auto"/>
        <w:jc w:val="both"/>
        <w:rPr>
          <w:rFonts w:ascii="Arial" w:hAnsi="Arial" w:cs="Arial"/>
          <w:sz w:val="24"/>
          <w:szCs w:val="24"/>
        </w:rPr>
      </w:pPr>
      <w:r>
        <w:rPr>
          <w:rFonts w:ascii="Arial" w:hAnsi="Arial" w:cs="Arial"/>
          <w:sz w:val="24"/>
          <w:szCs w:val="24"/>
        </w:rPr>
        <w:t xml:space="preserve"> </w:t>
      </w:r>
    </w:p>
    <w:p w:rsidR="002106F4" w:rsidRDefault="00BB5BA8" w:rsidP="003F1E7D">
      <w:pPr>
        <w:spacing w:after="0" w:line="360" w:lineRule="auto"/>
        <w:jc w:val="both"/>
        <w:rPr>
          <w:rFonts w:ascii="Arial" w:hAnsi="Arial" w:cs="Arial"/>
          <w:sz w:val="24"/>
          <w:szCs w:val="24"/>
          <w:u w:val="single"/>
        </w:rPr>
      </w:pPr>
      <w:r>
        <w:rPr>
          <w:rFonts w:ascii="Arial" w:hAnsi="Arial" w:cs="Arial"/>
          <w:sz w:val="24"/>
          <w:szCs w:val="24"/>
          <w:u w:val="single"/>
        </w:rPr>
        <w:t>Grounds of appeal</w:t>
      </w:r>
      <w:r w:rsidR="002106F4" w:rsidRPr="00C56CE6">
        <w:rPr>
          <w:rFonts w:ascii="Arial" w:hAnsi="Arial" w:cs="Arial"/>
          <w:sz w:val="24"/>
          <w:szCs w:val="24"/>
          <w:u w:val="single"/>
        </w:rPr>
        <w:t>:</w:t>
      </w:r>
    </w:p>
    <w:p w:rsidR="00E6704A" w:rsidRPr="00C56CE6" w:rsidRDefault="00E6704A" w:rsidP="003F1E7D">
      <w:pPr>
        <w:spacing w:after="0" w:line="360" w:lineRule="auto"/>
        <w:jc w:val="both"/>
        <w:rPr>
          <w:rFonts w:ascii="Arial" w:hAnsi="Arial" w:cs="Arial"/>
          <w:sz w:val="24"/>
          <w:szCs w:val="24"/>
          <w:u w:val="single"/>
        </w:rPr>
      </w:pPr>
    </w:p>
    <w:p w:rsidR="002106F4" w:rsidRDefault="002106F4" w:rsidP="003F1E7D">
      <w:pPr>
        <w:spacing w:after="0" w:line="360" w:lineRule="auto"/>
        <w:jc w:val="both"/>
        <w:rPr>
          <w:rFonts w:ascii="Arial" w:hAnsi="Arial" w:cs="Arial"/>
          <w:sz w:val="24"/>
          <w:szCs w:val="24"/>
        </w:rPr>
      </w:pPr>
    </w:p>
    <w:p w:rsidR="00BB5BA8" w:rsidRDefault="00082436" w:rsidP="00C946AC">
      <w:pPr>
        <w:pStyle w:val="ListParagraph"/>
        <w:ind w:firstLine="0"/>
      </w:pPr>
      <w:r>
        <w:t>[</w:t>
      </w:r>
      <w:r w:rsidR="005C1B88">
        <w:t>1</w:t>
      </w:r>
      <w:r w:rsidR="00BD0892">
        <w:t>4</w:t>
      </w:r>
      <w:r>
        <w:t>]</w:t>
      </w:r>
      <w:r>
        <w:tab/>
      </w:r>
      <w:r w:rsidR="00BB5BA8">
        <w:t>The grounds of appeal contained in the notice of appeal are t</w:t>
      </w:r>
      <w:r w:rsidR="007E2C14">
        <w:t>hree</w:t>
      </w:r>
      <w:r w:rsidR="00BB5BA8">
        <w:t xml:space="preserve"> in total. In summary the grounds of appeal are:</w:t>
      </w:r>
    </w:p>
    <w:p w:rsidR="008C17E1" w:rsidRDefault="008C17E1" w:rsidP="00C946AC">
      <w:pPr>
        <w:pStyle w:val="ListParagraph"/>
        <w:ind w:firstLine="0"/>
      </w:pPr>
    </w:p>
    <w:p w:rsidR="00F25B54" w:rsidRDefault="00E6704A" w:rsidP="00BB5BA8">
      <w:pPr>
        <w:pStyle w:val="ListParagraph"/>
      </w:pPr>
      <w:r>
        <w:t>14.1 ad</w:t>
      </w:r>
      <w:r w:rsidR="00BB5BA8" w:rsidRPr="00BB5BA8">
        <w:rPr>
          <w:i/>
        </w:rPr>
        <w:t xml:space="preserve"> first ground</w:t>
      </w:r>
      <w:r w:rsidR="00BB5BA8">
        <w:t>: that the arbitrator erred in</w:t>
      </w:r>
      <w:r w:rsidR="007E2C14">
        <w:t xml:space="preserve"> finding </w:t>
      </w:r>
      <w:r w:rsidR="00F25B54">
        <w:t xml:space="preserve">upon analyses of the testimonies of the witnesses </w:t>
      </w:r>
      <w:r w:rsidR="007E2C14">
        <w:t xml:space="preserve">that the parties were not of same minds when </w:t>
      </w:r>
      <w:r w:rsidR="00F25B54">
        <w:t xml:space="preserve">they </w:t>
      </w:r>
      <w:r w:rsidR="007E2C14">
        <w:t>sign</w:t>
      </w:r>
      <w:r w:rsidR="00F25B54">
        <w:t>ed</w:t>
      </w:r>
      <w:r w:rsidR="007E2C14">
        <w:t xml:space="preserve"> the agreement</w:t>
      </w:r>
      <w:r w:rsidR="00F25B54">
        <w:t>;</w:t>
      </w:r>
      <w:r w:rsidR="00FE0714">
        <w:t xml:space="preserve"> </w:t>
      </w:r>
    </w:p>
    <w:p w:rsidR="00E6704A" w:rsidRDefault="00E6704A" w:rsidP="00BB5BA8">
      <w:pPr>
        <w:pStyle w:val="ListParagraph"/>
      </w:pPr>
    </w:p>
    <w:p w:rsidR="00E6704A" w:rsidRDefault="00FE0714" w:rsidP="00BB5BA8">
      <w:pPr>
        <w:pStyle w:val="ListParagraph"/>
      </w:pPr>
      <w:r>
        <w:t>1</w:t>
      </w:r>
      <w:r w:rsidR="00BD0892">
        <w:t>4</w:t>
      </w:r>
      <w:r w:rsidR="00BB5BA8">
        <w:t xml:space="preserve">.2 </w:t>
      </w:r>
      <w:r w:rsidR="00BB5BA8" w:rsidRPr="00BB5BA8">
        <w:rPr>
          <w:i/>
        </w:rPr>
        <w:t>ad second ground</w:t>
      </w:r>
      <w:r w:rsidR="007E2C14">
        <w:t>: the arbitrator erred in</w:t>
      </w:r>
      <w:r w:rsidR="00F25B54">
        <w:t xml:space="preserve"> instructing the parties to renegotiate an agreement binding in law and erred in law in relying on external evidence to determine the validity and purpose of the agreement between the parties;</w:t>
      </w:r>
    </w:p>
    <w:p w:rsidR="007E2C14" w:rsidRDefault="00F25B54" w:rsidP="00BB5BA8">
      <w:pPr>
        <w:pStyle w:val="ListParagraph"/>
      </w:pPr>
      <w:r>
        <w:t xml:space="preserve"> </w:t>
      </w:r>
      <w:r w:rsidR="007E2C14">
        <w:t xml:space="preserve"> </w:t>
      </w:r>
    </w:p>
    <w:p w:rsidR="007E2C14" w:rsidRDefault="00FE0714" w:rsidP="00BB5BA8">
      <w:pPr>
        <w:pStyle w:val="ListParagraph"/>
      </w:pPr>
      <w:r>
        <w:t>1</w:t>
      </w:r>
      <w:r w:rsidR="00BD0892">
        <w:t>4</w:t>
      </w:r>
      <w:r w:rsidR="007E2C14">
        <w:t xml:space="preserve">.3 </w:t>
      </w:r>
      <w:r w:rsidR="007E2C14" w:rsidRPr="007E2C14">
        <w:rPr>
          <w:i/>
        </w:rPr>
        <w:t>ad third ground</w:t>
      </w:r>
      <w:r w:rsidR="007E2C14">
        <w:t>: that the arbitrator erred in law in finding that clause 3 of the agreement is severable from the remainder of the agreement.</w:t>
      </w:r>
    </w:p>
    <w:p w:rsidR="00E6704A" w:rsidRDefault="00E6704A" w:rsidP="00BB5BA8">
      <w:pPr>
        <w:pStyle w:val="ListParagraph"/>
      </w:pPr>
    </w:p>
    <w:p w:rsidR="00BB5BA8" w:rsidRDefault="00BB5BA8" w:rsidP="00C946AC"/>
    <w:p w:rsidR="00C946AC" w:rsidRDefault="00C946AC" w:rsidP="003F1E7D">
      <w:pPr>
        <w:spacing w:after="0" w:line="360" w:lineRule="auto"/>
        <w:jc w:val="both"/>
        <w:rPr>
          <w:rFonts w:ascii="Arial" w:hAnsi="Arial" w:cs="Arial"/>
          <w:sz w:val="24"/>
          <w:szCs w:val="24"/>
          <w:u w:val="single"/>
        </w:rPr>
      </w:pPr>
      <w:r w:rsidRPr="00C946AC">
        <w:rPr>
          <w:rFonts w:ascii="Arial" w:hAnsi="Arial" w:cs="Arial"/>
          <w:sz w:val="24"/>
          <w:szCs w:val="24"/>
          <w:u w:val="single"/>
        </w:rPr>
        <w:t xml:space="preserve">Issues for determination: </w:t>
      </w:r>
    </w:p>
    <w:p w:rsidR="008C17E1" w:rsidRDefault="008C17E1" w:rsidP="003F1E7D">
      <w:pPr>
        <w:spacing w:after="0" w:line="360" w:lineRule="auto"/>
        <w:jc w:val="both"/>
        <w:rPr>
          <w:rFonts w:ascii="Arial" w:hAnsi="Arial" w:cs="Arial"/>
          <w:sz w:val="24"/>
          <w:szCs w:val="24"/>
          <w:u w:val="single"/>
        </w:rPr>
      </w:pPr>
    </w:p>
    <w:p w:rsidR="00C946AC" w:rsidRDefault="00C946AC" w:rsidP="003F1E7D">
      <w:pPr>
        <w:spacing w:after="0" w:line="360" w:lineRule="auto"/>
        <w:jc w:val="both"/>
        <w:rPr>
          <w:rFonts w:ascii="Arial" w:hAnsi="Arial" w:cs="Arial"/>
          <w:sz w:val="24"/>
          <w:szCs w:val="24"/>
        </w:rPr>
      </w:pPr>
    </w:p>
    <w:p w:rsidR="007E2C14" w:rsidRDefault="00082436" w:rsidP="007E2C14">
      <w:pPr>
        <w:pStyle w:val="ListParagraph"/>
        <w:ind w:firstLine="0"/>
      </w:pPr>
      <w:r>
        <w:t>[1</w:t>
      </w:r>
      <w:r w:rsidR="00BD0892">
        <w:t>5</w:t>
      </w:r>
      <w:r>
        <w:t>]</w:t>
      </w:r>
      <w:r>
        <w:tab/>
      </w:r>
      <w:r w:rsidR="007F241A">
        <w:t xml:space="preserve">From the onset I must point out </w:t>
      </w:r>
      <w:r w:rsidR="00BD0892">
        <w:t>that the issues to be determined are intertwined</w:t>
      </w:r>
      <w:r w:rsidR="00E6704A">
        <w:t>,</w:t>
      </w:r>
      <w:r w:rsidR="00BD0892">
        <w:t xml:space="preserve"> but i</w:t>
      </w:r>
      <w:r w:rsidR="007E2C14">
        <w:t>n my view the issues that need to be determined in this appeal can</w:t>
      </w:r>
      <w:r w:rsidR="007E2C14" w:rsidRPr="00466622">
        <w:t xml:space="preserve"> be </w:t>
      </w:r>
      <w:r w:rsidR="007E2C14">
        <w:t xml:space="preserve">narrowed down to </w:t>
      </w:r>
      <w:r w:rsidR="00E6704A">
        <w:t xml:space="preserve">the </w:t>
      </w:r>
      <w:r w:rsidR="007E2C14">
        <w:t>following</w:t>
      </w:r>
      <w:r w:rsidR="00BC508B">
        <w:t>:</w:t>
      </w:r>
    </w:p>
    <w:p w:rsidR="00E6704A" w:rsidRDefault="00E6704A" w:rsidP="007E2C14">
      <w:pPr>
        <w:pStyle w:val="ListParagraph"/>
        <w:ind w:firstLine="0"/>
      </w:pPr>
    </w:p>
    <w:p w:rsidR="007E2C14" w:rsidRDefault="00FE0714" w:rsidP="00E6704A">
      <w:pPr>
        <w:pStyle w:val="ListParagraph"/>
        <w:numPr>
          <w:ilvl w:val="0"/>
          <w:numId w:val="12"/>
        </w:numPr>
      </w:pPr>
      <w:r>
        <w:lastRenderedPageBreak/>
        <w:t>If there was consensus between the parties at the time of signature of agreement</w:t>
      </w:r>
      <w:r w:rsidR="00F25B54">
        <w:t>;</w:t>
      </w:r>
    </w:p>
    <w:p w:rsidR="00E6704A" w:rsidRDefault="00E6704A" w:rsidP="00E6704A">
      <w:pPr>
        <w:pStyle w:val="ListParagraph"/>
        <w:ind w:left="1080" w:firstLine="0"/>
      </w:pPr>
    </w:p>
    <w:p w:rsidR="008A338E" w:rsidRDefault="0050414F" w:rsidP="00E6704A">
      <w:pPr>
        <w:pStyle w:val="ListParagraph"/>
        <w:numPr>
          <w:ilvl w:val="0"/>
          <w:numId w:val="12"/>
        </w:numPr>
      </w:pPr>
      <w:r>
        <w:t>Did the arbitrator determine the validity and purpose of the agreement and if so</w:t>
      </w:r>
      <w:r w:rsidR="00E6704A">
        <w:t>,</w:t>
      </w:r>
      <w:r>
        <w:t xml:space="preserve"> did he rely on extrinsic evidence to reach his decision and was he entitled to do so?</w:t>
      </w:r>
    </w:p>
    <w:p w:rsidR="00E6704A" w:rsidRDefault="00E6704A" w:rsidP="00E6704A"/>
    <w:p w:rsidR="00BC508B" w:rsidRDefault="0050414F" w:rsidP="00E6704A">
      <w:pPr>
        <w:pStyle w:val="ListParagraph"/>
        <w:numPr>
          <w:ilvl w:val="0"/>
          <w:numId w:val="12"/>
        </w:numPr>
      </w:pPr>
      <w:r>
        <w:t>Did the arbitrator misdirect himself in instructing the parties to renegotiate the agreement?</w:t>
      </w:r>
    </w:p>
    <w:p w:rsidR="00E6704A" w:rsidRDefault="00E6704A" w:rsidP="00E6704A"/>
    <w:p w:rsidR="007E2C14" w:rsidRDefault="00FE0714" w:rsidP="00E6704A">
      <w:pPr>
        <w:pStyle w:val="ListParagraph"/>
        <w:numPr>
          <w:ilvl w:val="0"/>
          <w:numId w:val="12"/>
        </w:numPr>
      </w:pPr>
      <w:r>
        <w:t>Issue of severability.</w:t>
      </w:r>
    </w:p>
    <w:p w:rsidR="00E6704A" w:rsidRDefault="00E6704A" w:rsidP="00E6704A"/>
    <w:p w:rsidR="00FE0714" w:rsidRDefault="00FE0714" w:rsidP="003F1E7D">
      <w:pPr>
        <w:spacing w:after="0" w:line="360" w:lineRule="auto"/>
        <w:jc w:val="both"/>
        <w:rPr>
          <w:rFonts w:ascii="Arial" w:hAnsi="Arial" w:cs="Arial"/>
          <w:i/>
          <w:sz w:val="24"/>
          <w:szCs w:val="24"/>
        </w:rPr>
      </w:pPr>
    </w:p>
    <w:p w:rsidR="00082436" w:rsidRDefault="00F405C7" w:rsidP="003F1E7D">
      <w:pPr>
        <w:spacing w:after="0" w:line="360" w:lineRule="auto"/>
        <w:jc w:val="both"/>
        <w:rPr>
          <w:rFonts w:ascii="Arial" w:hAnsi="Arial" w:cs="Arial"/>
          <w:sz w:val="24"/>
          <w:szCs w:val="24"/>
          <w:u w:val="single"/>
        </w:rPr>
      </w:pPr>
      <w:r w:rsidRPr="00E6704A">
        <w:rPr>
          <w:rFonts w:ascii="Arial" w:hAnsi="Arial" w:cs="Arial"/>
          <w:sz w:val="24"/>
          <w:szCs w:val="24"/>
          <w:u w:val="single"/>
        </w:rPr>
        <w:t xml:space="preserve">Ad first ground of appeal: </w:t>
      </w:r>
      <w:r w:rsidR="00FE0714" w:rsidRPr="00E6704A">
        <w:rPr>
          <w:rFonts w:ascii="Arial" w:hAnsi="Arial" w:cs="Arial"/>
          <w:sz w:val="24"/>
          <w:szCs w:val="24"/>
          <w:u w:val="single"/>
        </w:rPr>
        <w:t xml:space="preserve">Consensus between the parties: </w:t>
      </w:r>
    </w:p>
    <w:p w:rsidR="008C17E1" w:rsidRPr="00E6704A" w:rsidRDefault="008C17E1" w:rsidP="003F1E7D">
      <w:pPr>
        <w:spacing w:after="0" w:line="360" w:lineRule="auto"/>
        <w:jc w:val="both"/>
        <w:rPr>
          <w:rFonts w:ascii="Arial" w:hAnsi="Arial" w:cs="Arial"/>
          <w:sz w:val="24"/>
          <w:szCs w:val="24"/>
          <w:u w:val="single"/>
        </w:rPr>
      </w:pPr>
    </w:p>
    <w:p w:rsidR="00CC7D05" w:rsidRDefault="00CC7D05" w:rsidP="003F1E7D">
      <w:pPr>
        <w:spacing w:after="0" w:line="360" w:lineRule="auto"/>
        <w:jc w:val="both"/>
        <w:rPr>
          <w:rFonts w:ascii="Arial" w:hAnsi="Arial" w:cs="Arial"/>
          <w:i/>
          <w:sz w:val="24"/>
          <w:szCs w:val="24"/>
        </w:rPr>
      </w:pPr>
    </w:p>
    <w:p w:rsidR="00CC7D05" w:rsidRDefault="00CC7D05" w:rsidP="00CC7D05">
      <w:pPr>
        <w:spacing w:after="0" w:line="360" w:lineRule="auto"/>
        <w:jc w:val="both"/>
        <w:rPr>
          <w:rFonts w:ascii="Arial" w:hAnsi="Arial" w:cs="Arial"/>
          <w:sz w:val="24"/>
          <w:szCs w:val="24"/>
        </w:rPr>
      </w:pPr>
      <w:r>
        <w:rPr>
          <w:rFonts w:ascii="Arial" w:hAnsi="Arial" w:cs="Arial"/>
          <w:sz w:val="24"/>
          <w:szCs w:val="24"/>
        </w:rPr>
        <w:t xml:space="preserve"> [</w:t>
      </w:r>
      <w:r w:rsidR="0017341E">
        <w:rPr>
          <w:rFonts w:ascii="Arial" w:hAnsi="Arial" w:cs="Arial"/>
          <w:sz w:val="24"/>
          <w:szCs w:val="24"/>
        </w:rPr>
        <w:t>1</w:t>
      </w:r>
      <w:r w:rsidR="00BD0892">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F97E49">
        <w:rPr>
          <w:rFonts w:ascii="Arial" w:hAnsi="Arial" w:cs="Arial"/>
          <w:sz w:val="24"/>
          <w:szCs w:val="24"/>
        </w:rPr>
        <w:t>As indicated above</w:t>
      </w:r>
      <w:r w:rsidR="00E6704A">
        <w:rPr>
          <w:rFonts w:ascii="Arial" w:hAnsi="Arial" w:cs="Arial"/>
          <w:sz w:val="24"/>
          <w:szCs w:val="24"/>
        </w:rPr>
        <w:t>,</w:t>
      </w:r>
      <w:r w:rsidR="00F97E49">
        <w:rPr>
          <w:rFonts w:ascii="Arial" w:hAnsi="Arial" w:cs="Arial"/>
          <w:sz w:val="24"/>
          <w:szCs w:val="24"/>
        </w:rPr>
        <w:t xml:space="preserve"> </w:t>
      </w:r>
      <w:r w:rsidR="00BE457B">
        <w:rPr>
          <w:rFonts w:ascii="Arial" w:hAnsi="Arial" w:cs="Arial"/>
          <w:sz w:val="24"/>
          <w:szCs w:val="24"/>
        </w:rPr>
        <w:t>MUN</w:t>
      </w:r>
      <w:r>
        <w:rPr>
          <w:rFonts w:ascii="Arial" w:hAnsi="Arial" w:cs="Arial"/>
          <w:sz w:val="24"/>
          <w:szCs w:val="24"/>
        </w:rPr>
        <w:t xml:space="preserve"> sought specific performance of clause 3 of the agreement. It was submitted on behalf of </w:t>
      </w:r>
      <w:r w:rsidR="00BE457B">
        <w:rPr>
          <w:rFonts w:ascii="Arial" w:hAnsi="Arial" w:cs="Arial"/>
          <w:sz w:val="24"/>
          <w:szCs w:val="24"/>
        </w:rPr>
        <w:t>MUN</w:t>
      </w:r>
      <w:r>
        <w:rPr>
          <w:rFonts w:ascii="Arial" w:hAnsi="Arial" w:cs="Arial"/>
          <w:sz w:val="24"/>
          <w:szCs w:val="24"/>
        </w:rPr>
        <w:t xml:space="preserve"> that as </w:t>
      </w:r>
      <w:r w:rsidR="00BE457B">
        <w:rPr>
          <w:rFonts w:ascii="Arial" w:hAnsi="Arial" w:cs="Arial"/>
          <w:sz w:val="24"/>
          <w:szCs w:val="24"/>
        </w:rPr>
        <w:t>QKR</w:t>
      </w:r>
      <w:r>
        <w:rPr>
          <w:rFonts w:ascii="Arial" w:hAnsi="Arial" w:cs="Arial"/>
          <w:sz w:val="24"/>
          <w:szCs w:val="24"/>
        </w:rPr>
        <w:t xml:space="preserve"> failed to complete the housing investigation within six (6) months from date of signature of agreement</w:t>
      </w:r>
      <w:r w:rsidR="00E6704A">
        <w:rPr>
          <w:rFonts w:ascii="Arial" w:hAnsi="Arial" w:cs="Arial"/>
          <w:sz w:val="24"/>
          <w:szCs w:val="24"/>
        </w:rPr>
        <w:t>,</w:t>
      </w:r>
      <w:r>
        <w:rPr>
          <w:rFonts w:ascii="Arial" w:hAnsi="Arial" w:cs="Arial"/>
          <w:sz w:val="24"/>
          <w:szCs w:val="24"/>
        </w:rPr>
        <w:t xml:space="preserve"> the thirty three (33%) percent increase on the housing allowance became due. It was further argued on behalf of </w:t>
      </w:r>
      <w:r w:rsidR="00BE457B">
        <w:rPr>
          <w:rFonts w:ascii="Arial" w:hAnsi="Arial" w:cs="Arial"/>
          <w:sz w:val="24"/>
          <w:szCs w:val="24"/>
        </w:rPr>
        <w:t>MUN</w:t>
      </w:r>
      <w:r>
        <w:rPr>
          <w:rFonts w:ascii="Arial" w:hAnsi="Arial" w:cs="Arial"/>
          <w:sz w:val="24"/>
          <w:szCs w:val="24"/>
        </w:rPr>
        <w:t xml:space="preserve"> that the evidence shows that the negotiations between the parties were aimed at providing more favourable outcome relating to housing allowances for the employees and in light of </w:t>
      </w:r>
      <w:r w:rsidR="00E6704A">
        <w:rPr>
          <w:rFonts w:ascii="Arial" w:hAnsi="Arial" w:cs="Arial"/>
          <w:sz w:val="24"/>
          <w:szCs w:val="24"/>
        </w:rPr>
        <w:t xml:space="preserve">the </w:t>
      </w:r>
      <w:r>
        <w:rPr>
          <w:rFonts w:ascii="Arial" w:hAnsi="Arial" w:cs="Arial"/>
          <w:sz w:val="24"/>
          <w:szCs w:val="24"/>
        </w:rPr>
        <w:t>said intention there was no mistake in the signing of the agreement.</w:t>
      </w:r>
    </w:p>
    <w:p w:rsidR="00E6704A" w:rsidRDefault="00E6704A" w:rsidP="00CC7D05">
      <w:pPr>
        <w:spacing w:after="0" w:line="360" w:lineRule="auto"/>
        <w:jc w:val="both"/>
        <w:rPr>
          <w:rFonts w:ascii="Arial" w:hAnsi="Arial" w:cs="Arial"/>
          <w:sz w:val="24"/>
          <w:szCs w:val="24"/>
        </w:rPr>
      </w:pPr>
    </w:p>
    <w:p w:rsidR="00CC7D05" w:rsidRDefault="00CC7D05" w:rsidP="00CC7D05">
      <w:pPr>
        <w:spacing w:after="0" w:line="360" w:lineRule="auto"/>
        <w:jc w:val="both"/>
        <w:rPr>
          <w:rFonts w:ascii="Arial" w:hAnsi="Arial" w:cs="Arial"/>
          <w:sz w:val="24"/>
          <w:szCs w:val="24"/>
        </w:rPr>
      </w:pPr>
    </w:p>
    <w:p w:rsidR="00CC7D05" w:rsidRDefault="00CC7D05" w:rsidP="00CC7D05">
      <w:pPr>
        <w:spacing w:after="0" w:line="360" w:lineRule="auto"/>
        <w:jc w:val="both"/>
        <w:rPr>
          <w:rFonts w:ascii="Arial" w:hAnsi="Arial" w:cs="Arial"/>
          <w:sz w:val="24"/>
          <w:szCs w:val="24"/>
        </w:rPr>
      </w:pPr>
      <w:r>
        <w:rPr>
          <w:rFonts w:ascii="Arial" w:hAnsi="Arial" w:cs="Arial"/>
          <w:sz w:val="24"/>
          <w:szCs w:val="24"/>
        </w:rPr>
        <w:t>[1</w:t>
      </w:r>
      <w:r w:rsidR="00BD0892">
        <w:rPr>
          <w:rFonts w:ascii="Arial" w:hAnsi="Arial" w:cs="Arial"/>
          <w:sz w:val="24"/>
          <w:szCs w:val="24"/>
        </w:rPr>
        <w:t>7</w:t>
      </w:r>
      <w:r>
        <w:rPr>
          <w:rFonts w:ascii="Arial" w:hAnsi="Arial" w:cs="Arial"/>
          <w:sz w:val="24"/>
          <w:szCs w:val="24"/>
        </w:rPr>
        <w:t>]</w:t>
      </w:r>
      <w:r>
        <w:rPr>
          <w:rFonts w:ascii="Arial" w:hAnsi="Arial" w:cs="Arial"/>
          <w:sz w:val="24"/>
          <w:szCs w:val="24"/>
        </w:rPr>
        <w:tab/>
        <w:t>During the evidence of all the witnesses</w:t>
      </w:r>
      <w:r w:rsidR="007F241A">
        <w:rPr>
          <w:rFonts w:ascii="Arial" w:hAnsi="Arial" w:cs="Arial"/>
          <w:sz w:val="24"/>
          <w:szCs w:val="24"/>
        </w:rPr>
        <w:t xml:space="preserve"> for QKR</w:t>
      </w:r>
      <w:r w:rsidR="00F97E49">
        <w:rPr>
          <w:rFonts w:ascii="Arial" w:hAnsi="Arial" w:cs="Arial"/>
          <w:sz w:val="24"/>
          <w:szCs w:val="24"/>
        </w:rPr>
        <w:t>,</w:t>
      </w:r>
      <w:r>
        <w:rPr>
          <w:rFonts w:ascii="Arial" w:hAnsi="Arial" w:cs="Arial"/>
          <w:sz w:val="24"/>
          <w:szCs w:val="24"/>
        </w:rPr>
        <w:t xml:space="preserve"> except for </w:t>
      </w:r>
      <w:r w:rsidR="00F97E49">
        <w:rPr>
          <w:rFonts w:ascii="Arial" w:hAnsi="Arial" w:cs="Arial"/>
          <w:sz w:val="24"/>
          <w:szCs w:val="24"/>
        </w:rPr>
        <w:t xml:space="preserve">that of </w:t>
      </w:r>
      <w:r w:rsidR="008C17E1">
        <w:rPr>
          <w:rFonts w:ascii="Arial" w:hAnsi="Arial" w:cs="Arial"/>
          <w:sz w:val="24"/>
          <w:szCs w:val="24"/>
        </w:rPr>
        <w:t>Ms</w:t>
      </w:r>
      <w:r>
        <w:rPr>
          <w:rFonts w:ascii="Arial" w:hAnsi="Arial" w:cs="Arial"/>
          <w:sz w:val="24"/>
          <w:szCs w:val="24"/>
        </w:rPr>
        <w:t xml:space="preserve"> </w:t>
      </w:r>
      <w:proofErr w:type="spellStart"/>
      <w:r>
        <w:rPr>
          <w:rFonts w:ascii="Arial" w:hAnsi="Arial" w:cs="Arial"/>
          <w:sz w:val="24"/>
          <w:szCs w:val="24"/>
        </w:rPr>
        <w:t>Khrone</w:t>
      </w:r>
      <w:proofErr w:type="spellEnd"/>
      <w:r w:rsidR="00F97E49">
        <w:rPr>
          <w:rFonts w:ascii="Arial" w:hAnsi="Arial" w:cs="Arial"/>
          <w:sz w:val="24"/>
          <w:szCs w:val="24"/>
        </w:rPr>
        <w:t>,</w:t>
      </w:r>
      <w:r>
        <w:rPr>
          <w:rFonts w:ascii="Arial" w:hAnsi="Arial" w:cs="Arial"/>
          <w:sz w:val="24"/>
          <w:szCs w:val="24"/>
        </w:rPr>
        <w:t xml:space="preserve"> it was stated that the agreement between the parties during the negotiation process was that the housing allowance will be increased by seven percent (7%) and that the parties will return the negotiation table after six months which was the time line for the completion of the housing investigation. </w:t>
      </w:r>
      <w:r w:rsidR="00EA4E09">
        <w:rPr>
          <w:rFonts w:ascii="Arial" w:hAnsi="Arial" w:cs="Arial"/>
          <w:sz w:val="24"/>
          <w:szCs w:val="24"/>
        </w:rPr>
        <w:t xml:space="preserve">The </w:t>
      </w:r>
      <w:r w:rsidR="001941EB">
        <w:rPr>
          <w:rFonts w:ascii="Arial" w:hAnsi="Arial" w:cs="Arial"/>
          <w:sz w:val="24"/>
          <w:szCs w:val="24"/>
        </w:rPr>
        <w:t xml:space="preserve">forty </w:t>
      </w:r>
      <w:r w:rsidR="008A338E">
        <w:rPr>
          <w:rFonts w:ascii="Arial" w:hAnsi="Arial" w:cs="Arial"/>
          <w:sz w:val="24"/>
          <w:szCs w:val="24"/>
        </w:rPr>
        <w:t xml:space="preserve">percent </w:t>
      </w:r>
      <w:r w:rsidR="001941EB">
        <w:rPr>
          <w:rFonts w:ascii="Arial" w:hAnsi="Arial" w:cs="Arial"/>
          <w:sz w:val="24"/>
          <w:szCs w:val="24"/>
        </w:rPr>
        <w:t>(40</w:t>
      </w:r>
      <w:r w:rsidR="008A338E">
        <w:rPr>
          <w:rFonts w:ascii="Arial" w:hAnsi="Arial" w:cs="Arial"/>
          <w:sz w:val="24"/>
          <w:szCs w:val="24"/>
        </w:rPr>
        <w:t>%</w:t>
      </w:r>
      <w:r w:rsidR="001941EB">
        <w:rPr>
          <w:rFonts w:ascii="Arial" w:hAnsi="Arial" w:cs="Arial"/>
          <w:sz w:val="24"/>
          <w:szCs w:val="24"/>
        </w:rPr>
        <w:t>) increase to the housing allowance</w:t>
      </w:r>
      <w:r w:rsidR="00EA4E09">
        <w:rPr>
          <w:rFonts w:ascii="Arial" w:hAnsi="Arial" w:cs="Arial"/>
          <w:sz w:val="24"/>
          <w:szCs w:val="24"/>
        </w:rPr>
        <w:t xml:space="preserve"> was a proposal by </w:t>
      </w:r>
      <w:r w:rsidR="007F241A">
        <w:rPr>
          <w:rFonts w:ascii="Arial" w:hAnsi="Arial" w:cs="Arial"/>
          <w:sz w:val="24"/>
          <w:szCs w:val="24"/>
        </w:rPr>
        <w:t>MUN</w:t>
      </w:r>
      <w:r w:rsidR="00EA4E09">
        <w:rPr>
          <w:rFonts w:ascii="Arial" w:hAnsi="Arial" w:cs="Arial"/>
          <w:sz w:val="24"/>
          <w:szCs w:val="24"/>
        </w:rPr>
        <w:t xml:space="preserve"> that would have been considered during subsequent negotiations.</w:t>
      </w:r>
      <w:r w:rsidR="001941EB">
        <w:rPr>
          <w:rFonts w:ascii="Arial" w:hAnsi="Arial" w:cs="Arial"/>
          <w:sz w:val="24"/>
          <w:szCs w:val="24"/>
        </w:rPr>
        <w:t xml:space="preserve"> </w:t>
      </w:r>
    </w:p>
    <w:p w:rsidR="00E6704A" w:rsidRDefault="00E6704A" w:rsidP="00CC7D05">
      <w:pPr>
        <w:spacing w:after="0" w:line="360" w:lineRule="auto"/>
        <w:jc w:val="both"/>
        <w:rPr>
          <w:rFonts w:ascii="Arial" w:hAnsi="Arial" w:cs="Arial"/>
          <w:sz w:val="24"/>
          <w:szCs w:val="24"/>
        </w:rPr>
      </w:pPr>
    </w:p>
    <w:p w:rsidR="00CC7D05" w:rsidRDefault="00CC7D05" w:rsidP="00CC7D05">
      <w:pPr>
        <w:spacing w:after="0" w:line="360" w:lineRule="auto"/>
        <w:jc w:val="both"/>
        <w:rPr>
          <w:rFonts w:ascii="Arial" w:hAnsi="Arial" w:cs="Arial"/>
          <w:sz w:val="24"/>
          <w:szCs w:val="24"/>
        </w:rPr>
      </w:pPr>
    </w:p>
    <w:p w:rsidR="007A3E14" w:rsidRDefault="00CC7D05" w:rsidP="00CC7D05">
      <w:pPr>
        <w:spacing w:line="360" w:lineRule="auto"/>
        <w:jc w:val="both"/>
        <w:rPr>
          <w:rFonts w:ascii="Arial" w:hAnsi="Arial" w:cs="Arial"/>
          <w:sz w:val="24"/>
          <w:szCs w:val="24"/>
        </w:rPr>
      </w:pPr>
      <w:r>
        <w:rPr>
          <w:rFonts w:ascii="Arial" w:hAnsi="Arial" w:cs="Arial"/>
          <w:sz w:val="24"/>
          <w:szCs w:val="24"/>
        </w:rPr>
        <w:t>[1</w:t>
      </w:r>
      <w:r w:rsidR="00BD0892">
        <w:rPr>
          <w:rFonts w:ascii="Arial" w:hAnsi="Arial" w:cs="Arial"/>
          <w:sz w:val="24"/>
          <w:szCs w:val="24"/>
        </w:rPr>
        <w:t>8</w:t>
      </w:r>
      <w:r>
        <w:rPr>
          <w:rFonts w:ascii="Arial" w:hAnsi="Arial" w:cs="Arial"/>
          <w:sz w:val="24"/>
          <w:szCs w:val="24"/>
        </w:rPr>
        <w:t>]</w:t>
      </w:r>
      <w:r>
        <w:rPr>
          <w:rFonts w:ascii="Arial" w:hAnsi="Arial" w:cs="Arial"/>
          <w:sz w:val="24"/>
          <w:szCs w:val="24"/>
        </w:rPr>
        <w:tab/>
      </w:r>
      <w:r w:rsidR="00E13CC9">
        <w:rPr>
          <w:rFonts w:ascii="Arial" w:hAnsi="Arial" w:cs="Arial"/>
          <w:sz w:val="24"/>
          <w:szCs w:val="24"/>
        </w:rPr>
        <w:t>In deciding the dispute placed before him</w:t>
      </w:r>
      <w:r w:rsidR="00E6704A">
        <w:rPr>
          <w:rFonts w:ascii="Arial" w:hAnsi="Arial" w:cs="Arial"/>
          <w:sz w:val="24"/>
          <w:szCs w:val="24"/>
        </w:rPr>
        <w:t>,</w:t>
      </w:r>
      <w:r w:rsidR="00E13CC9">
        <w:rPr>
          <w:rFonts w:ascii="Arial" w:hAnsi="Arial" w:cs="Arial"/>
          <w:sz w:val="24"/>
          <w:szCs w:val="24"/>
        </w:rPr>
        <w:t xml:space="preserve"> </w:t>
      </w:r>
      <w:r w:rsidR="007A3E14">
        <w:rPr>
          <w:rFonts w:ascii="Arial" w:hAnsi="Arial" w:cs="Arial"/>
          <w:sz w:val="24"/>
          <w:szCs w:val="24"/>
        </w:rPr>
        <w:t>t</w:t>
      </w:r>
      <w:r w:rsidR="00E13CC9">
        <w:rPr>
          <w:rFonts w:ascii="Arial" w:hAnsi="Arial" w:cs="Arial"/>
          <w:sz w:val="24"/>
          <w:szCs w:val="24"/>
        </w:rPr>
        <w:t>he</w:t>
      </w:r>
      <w:r w:rsidR="007A3E14">
        <w:rPr>
          <w:rFonts w:ascii="Arial" w:hAnsi="Arial" w:cs="Arial"/>
          <w:sz w:val="24"/>
          <w:szCs w:val="24"/>
        </w:rPr>
        <w:t xml:space="preserve"> arbitrator</w:t>
      </w:r>
      <w:r w:rsidR="00E13CC9">
        <w:rPr>
          <w:rFonts w:ascii="Arial" w:hAnsi="Arial" w:cs="Arial"/>
          <w:sz w:val="24"/>
          <w:szCs w:val="24"/>
        </w:rPr>
        <w:t xml:space="preserve"> had to rely on the evidence of the witnesses </w:t>
      </w:r>
      <w:r w:rsidR="007A3E14">
        <w:rPr>
          <w:rFonts w:ascii="Arial" w:hAnsi="Arial" w:cs="Arial"/>
          <w:sz w:val="24"/>
          <w:szCs w:val="24"/>
        </w:rPr>
        <w:t xml:space="preserve">as he </w:t>
      </w:r>
      <w:r w:rsidR="0076006B">
        <w:rPr>
          <w:rFonts w:ascii="Arial" w:hAnsi="Arial" w:cs="Arial"/>
          <w:sz w:val="24"/>
          <w:szCs w:val="24"/>
        </w:rPr>
        <w:t>did not have the benefit of a transcription of the negotiation between the parties</w:t>
      </w:r>
      <w:r w:rsidR="007A3E14">
        <w:rPr>
          <w:rFonts w:ascii="Arial" w:hAnsi="Arial" w:cs="Arial"/>
          <w:sz w:val="24"/>
          <w:szCs w:val="24"/>
        </w:rPr>
        <w:t xml:space="preserve">. </w:t>
      </w:r>
      <w:r w:rsidR="0076006B">
        <w:rPr>
          <w:rFonts w:ascii="Arial" w:hAnsi="Arial" w:cs="Arial"/>
          <w:sz w:val="24"/>
          <w:szCs w:val="24"/>
        </w:rPr>
        <w:t xml:space="preserve"> </w:t>
      </w:r>
    </w:p>
    <w:p w:rsidR="00E6704A" w:rsidRDefault="00E6704A" w:rsidP="00CC7D05">
      <w:pPr>
        <w:spacing w:line="360" w:lineRule="auto"/>
        <w:jc w:val="both"/>
        <w:rPr>
          <w:rFonts w:ascii="Arial" w:hAnsi="Arial" w:cs="Arial"/>
          <w:sz w:val="24"/>
          <w:szCs w:val="24"/>
        </w:rPr>
      </w:pPr>
    </w:p>
    <w:p w:rsidR="0028548F" w:rsidRDefault="007A3E14" w:rsidP="00CC7D05">
      <w:pPr>
        <w:spacing w:line="360" w:lineRule="auto"/>
        <w:jc w:val="both"/>
        <w:rPr>
          <w:rFonts w:ascii="Arial" w:hAnsi="Arial" w:cs="Arial"/>
          <w:sz w:val="24"/>
          <w:szCs w:val="24"/>
        </w:rPr>
      </w:pPr>
      <w:r>
        <w:rPr>
          <w:rFonts w:ascii="Arial" w:hAnsi="Arial" w:cs="Arial"/>
          <w:sz w:val="24"/>
          <w:szCs w:val="24"/>
        </w:rPr>
        <w:t>[1</w:t>
      </w:r>
      <w:r w:rsidR="00BD0892">
        <w:rPr>
          <w:rFonts w:ascii="Arial" w:hAnsi="Arial" w:cs="Arial"/>
          <w:sz w:val="24"/>
          <w:szCs w:val="24"/>
        </w:rPr>
        <w:t>9</w:t>
      </w:r>
      <w:r>
        <w:rPr>
          <w:rFonts w:ascii="Arial" w:hAnsi="Arial" w:cs="Arial"/>
          <w:sz w:val="24"/>
          <w:szCs w:val="24"/>
        </w:rPr>
        <w:t xml:space="preserve">] </w:t>
      </w:r>
      <w:r>
        <w:rPr>
          <w:rFonts w:ascii="Arial" w:hAnsi="Arial" w:cs="Arial"/>
          <w:sz w:val="24"/>
          <w:szCs w:val="24"/>
        </w:rPr>
        <w:tab/>
        <w:t xml:space="preserve"> </w:t>
      </w:r>
      <w:r w:rsidR="0028548F">
        <w:rPr>
          <w:rFonts w:ascii="Arial" w:hAnsi="Arial" w:cs="Arial"/>
          <w:sz w:val="24"/>
          <w:szCs w:val="24"/>
        </w:rPr>
        <w:t xml:space="preserve">The </w:t>
      </w:r>
      <w:r w:rsidR="00EA4E09">
        <w:rPr>
          <w:rFonts w:ascii="Arial" w:hAnsi="Arial" w:cs="Arial"/>
          <w:sz w:val="24"/>
          <w:szCs w:val="24"/>
        </w:rPr>
        <w:t xml:space="preserve">email correspondence containing the </w:t>
      </w:r>
      <w:r w:rsidR="0028548F">
        <w:rPr>
          <w:rFonts w:ascii="Arial" w:hAnsi="Arial" w:cs="Arial"/>
          <w:sz w:val="24"/>
          <w:szCs w:val="24"/>
        </w:rPr>
        <w:t>corrected clause 3 was r</w:t>
      </w:r>
      <w:r w:rsidR="00EA4E09">
        <w:rPr>
          <w:rFonts w:ascii="Arial" w:hAnsi="Arial" w:cs="Arial"/>
          <w:sz w:val="24"/>
          <w:szCs w:val="24"/>
        </w:rPr>
        <w:t xml:space="preserve">ead into the record by Mr </w:t>
      </w:r>
      <w:proofErr w:type="spellStart"/>
      <w:r w:rsidR="00EA4E09">
        <w:rPr>
          <w:rFonts w:ascii="Arial" w:hAnsi="Arial" w:cs="Arial"/>
          <w:sz w:val="24"/>
          <w:szCs w:val="24"/>
        </w:rPr>
        <w:t>Gwala</w:t>
      </w:r>
      <w:proofErr w:type="spellEnd"/>
      <w:r w:rsidR="00EA4E09">
        <w:rPr>
          <w:rFonts w:ascii="Arial" w:hAnsi="Arial" w:cs="Arial"/>
          <w:sz w:val="24"/>
          <w:szCs w:val="24"/>
        </w:rPr>
        <w:t xml:space="preserve">, however it </w:t>
      </w:r>
      <w:r w:rsidR="0028548F">
        <w:rPr>
          <w:rFonts w:ascii="Arial" w:hAnsi="Arial" w:cs="Arial"/>
          <w:sz w:val="24"/>
          <w:szCs w:val="24"/>
        </w:rPr>
        <w:t xml:space="preserve">was for some odd reason not handed in as an exhibit during the arbitration procedure.  </w:t>
      </w:r>
    </w:p>
    <w:p w:rsidR="00E6704A" w:rsidRDefault="00E6704A" w:rsidP="00CC7D05">
      <w:pPr>
        <w:spacing w:line="360" w:lineRule="auto"/>
        <w:jc w:val="both"/>
        <w:rPr>
          <w:rFonts w:ascii="Arial" w:hAnsi="Arial" w:cs="Arial"/>
          <w:sz w:val="24"/>
          <w:szCs w:val="24"/>
        </w:rPr>
      </w:pPr>
    </w:p>
    <w:p w:rsidR="00C7158F" w:rsidRDefault="0028548F" w:rsidP="00CC7D05">
      <w:pPr>
        <w:spacing w:line="360" w:lineRule="auto"/>
        <w:jc w:val="both"/>
        <w:rPr>
          <w:rFonts w:ascii="Arial" w:hAnsi="Arial" w:cs="Arial"/>
          <w:sz w:val="24"/>
          <w:szCs w:val="24"/>
        </w:rPr>
      </w:pPr>
      <w:r>
        <w:rPr>
          <w:rFonts w:ascii="Arial" w:hAnsi="Arial" w:cs="Arial"/>
          <w:sz w:val="24"/>
          <w:szCs w:val="24"/>
        </w:rPr>
        <w:t>[</w:t>
      </w:r>
      <w:r w:rsidR="00BD0892">
        <w:rPr>
          <w:rFonts w:ascii="Arial" w:hAnsi="Arial" w:cs="Arial"/>
          <w:sz w:val="24"/>
          <w:szCs w:val="24"/>
        </w:rPr>
        <w:t>20</w:t>
      </w:r>
      <w:r>
        <w:rPr>
          <w:rFonts w:ascii="Arial" w:hAnsi="Arial" w:cs="Arial"/>
          <w:sz w:val="24"/>
          <w:szCs w:val="24"/>
        </w:rPr>
        <w:t xml:space="preserve">] </w:t>
      </w:r>
      <w:r>
        <w:rPr>
          <w:rFonts w:ascii="Arial" w:hAnsi="Arial" w:cs="Arial"/>
          <w:sz w:val="24"/>
          <w:szCs w:val="24"/>
        </w:rPr>
        <w:tab/>
      </w:r>
      <w:r w:rsidR="00EA4E09">
        <w:rPr>
          <w:rFonts w:ascii="Arial" w:hAnsi="Arial" w:cs="Arial"/>
          <w:sz w:val="24"/>
          <w:szCs w:val="24"/>
        </w:rPr>
        <w:t>I</w:t>
      </w:r>
      <w:r>
        <w:rPr>
          <w:rFonts w:ascii="Arial" w:hAnsi="Arial" w:cs="Arial"/>
          <w:sz w:val="24"/>
          <w:szCs w:val="24"/>
        </w:rPr>
        <w:t>t</w:t>
      </w:r>
      <w:r w:rsidR="00CC7D05">
        <w:rPr>
          <w:rFonts w:ascii="Arial" w:hAnsi="Arial" w:cs="Arial"/>
          <w:sz w:val="24"/>
          <w:szCs w:val="24"/>
        </w:rPr>
        <w:t xml:space="preserve"> was argued on behalf of </w:t>
      </w:r>
      <w:r w:rsidR="007F241A">
        <w:rPr>
          <w:rFonts w:ascii="Arial" w:hAnsi="Arial" w:cs="Arial"/>
          <w:sz w:val="24"/>
          <w:szCs w:val="24"/>
        </w:rPr>
        <w:t>MUN</w:t>
      </w:r>
      <w:r w:rsidR="00CC7D05">
        <w:rPr>
          <w:rFonts w:ascii="Arial" w:hAnsi="Arial" w:cs="Arial"/>
          <w:sz w:val="24"/>
          <w:szCs w:val="24"/>
        </w:rPr>
        <w:t xml:space="preserve"> that the</w:t>
      </w:r>
      <w:r w:rsidR="00C7158F">
        <w:rPr>
          <w:rFonts w:ascii="Arial" w:hAnsi="Arial" w:cs="Arial"/>
          <w:sz w:val="24"/>
          <w:szCs w:val="24"/>
        </w:rPr>
        <w:t xml:space="preserve"> canvassing of the e-mail document during re-examination was procedurally irregular as </w:t>
      </w:r>
      <w:proofErr w:type="gramStart"/>
      <w:r w:rsidR="00C7158F">
        <w:rPr>
          <w:rFonts w:ascii="Arial" w:hAnsi="Arial" w:cs="Arial"/>
          <w:sz w:val="24"/>
          <w:szCs w:val="24"/>
        </w:rPr>
        <w:t xml:space="preserve">Mr </w:t>
      </w:r>
      <w:r w:rsidR="007F241A">
        <w:rPr>
          <w:rFonts w:ascii="Arial" w:hAnsi="Arial" w:cs="Arial"/>
          <w:sz w:val="24"/>
          <w:szCs w:val="24"/>
        </w:rPr>
        <w:t>!</w:t>
      </w:r>
      <w:proofErr w:type="spellStart"/>
      <w:r w:rsidR="00C7158F">
        <w:rPr>
          <w:rFonts w:ascii="Arial" w:hAnsi="Arial" w:cs="Arial"/>
          <w:sz w:val="24"/>
          <w:szCs w:val="24"/>
        </w:rPr>
        <w:t>N</w:t>
      </w:r>
      <w:r w:rsidR="007F241A">
        <w:rPr>
          <w:rFonts w:ascii="Arial" w:hAnsi="Arial" w:cs="Arial"/>
          <w:sz w:val="24"/>
          <w:szCs w:val="24"/>
        </w:rPr>
        <w:t>o</w:t>
      </w:r>
      <w:r w:rsidR="00C7158F">
        <w:rPr>
          <w:rFonts w:ascii="Arial" w:hAnsi="Arial" w:cs="Arial"/>
          <w:sz w:val="24"/>
          <w:szCs w:val="24"/>
        </w:rPr>
        <w:t>ariseb</w:t>
      </w:r>
      <w:proofErr w:type="spellEnd"/>
      <w:proofErr w:type="gramEnd"/>
      <w:r w:rsidR="00C7158F">
        <w:rPr>
          <w:rFonts w:ascii="Arial" w:hAnsi="Arial" w:cs="Arial"/>
          <w:sz w:val="24"/>
          <w:szCs w:val="24"/>
        </w:rPr>
        <w:t xml:space="preserve"> did not have the opportunity to </w:t>
      </w:r>
      <w:r w:rsidR="00CC7D05">
        <w:rPr>
          <w:rFonts w:ascii="Arial" w:hAnsi="Arial" w:cs="Arial"/>
          <w:sz w:val="24"/>
          <w:szCs w:val="24"/>
        </w:rPr>
        <w:t xml:space="preserve">canvas </w:t>
      </w:r>
      <w:r w:rsidR="00C7158F">
        <w:rPr>
          <w:rFonts w:ascii="Arial" w:hAnsi="Arial" w:cs="Arial"/>
          <w:sz w:val="24"/>
          <w:szCs w:val="24"/>
        </w:rPr>
        <w:t>the issue with</w:t>
      </w:r>
      <w:r w:rsidR="00CC7D05">
        <w:rPr>
          <w:rFonts w:ascii="Arial" w:hAnsi="Arial" w:cs="Arial"/>
          <w:sz w:val="24"/>
          <w:szCs w:val="24"/>
        </w:rPr>
        <w:t xml:space="preserve"> Mr </w:t>
      </w:r>
      <w:proofErr w:type="spellStart"/>
      <w:r w:rsidR="00CC7D05">
        <w:rPr>
          <w:rFonts w:ascii="Arial" w:hAnsi="Arial" w:cs="Arial"/>
          <w:sz w:val="24"/>
          <w:szCs w:val="24"/>
        </w:rPr>
        <w:t>Gwala</w:t>
      </w:r>
      <w:proofErr w:type="spellEnd"/>
      <w:r w:rsidR="00C7158F">
        <w:rPr>
          <w:rFonts w:ascii="Arial" w:hAnsi="Arial" w:cs="Arial"/>
          <w:sz w:val="24"/>
          <w:szCs w:val="24"/>
        </w:rPr>
        <w:t>.</w:t>
      </w:r>
      <w:r w:rsidR="00CC7D05">
        <w:rPr>
          <w:rFonts w:ascii="Arial" w:hAnsi="Arial" w:cs="Arial"/>
          <w:sz w:val="24"/>
          <w:szCs w:val="24"/>
        </w:rPr>
        <w:t xml:space="preserve"> </w:t>
      </w:r>
    </w:p>
    <w:p w:rsidR="008C17E1" w:rsidRDefault="008C17E1" w:rsidP="00CC7D05">
      <w:pPr>
        <w:spacing w:line="360" w:lineRule="auto"/>
        <w:jc w:val="both"/>
        <w:rPr>
          <w:rFonts w:ascii="Arial" w:hAnsi="Arial" w:cs="Arial"/>
          <w:sz w:val="24"/>
          <w:szCs w:val="24"/>
        </w:rPr>
      </w:pPr>
    </w:p>
    <w:p w:rsidR="0034738A" w:rsidRDefault="00CC7D05" w:rsidP="00CC7D05">
      <w:pPr>
        <w:spacing w:line="360" w:lineRule="auto"/>
        <w:jc w:val="both"/>
        <w:rPr>
          <w:rFonts w:ascii="Arial" w:hAnsi="Arial" w:cs="Arial"/>
          <w:sz w:val="24"/>
          <w:szCs w:val="24"/>
        </w:rPr>
      </w:pPr>
      <w:r>
        <w:rPr>
          <w:rFonts w:ascii="Arial" w:hAnsi="Arial" w:cs="Arial"/>
          <w:sz w:val="24"/>
          <w:szCs w:val="24"/>
        </w:rPr>
        <w:t>[</w:t>
      </w:r>
      <w:r w:rsidR="0034738A">
        <w:rPr>
          <w:rFonts w:ascii="Arial" w:hAnsi="Arial" w:cs="Arial"/>
          <w:sz w:val="24"/>
          <w:szCs w:val="24"/>
        </w:rPr>
        <w:t>2</w:t>
      </w:r>
      <w:r w:rsidR="00BD0892">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C256C0">
        <w:rPr>
          <w:rFonts w:ascii="Arial" w:hAnsi="Arial" w:cs="Arial"/>
          <w:sz w:val="24"/>
          <w:szCs w:val="24"/>
        </w:rPr>
        <w:t>Although important</w:t>
      </w:r>
      <w:r w:rsidR="007F241A">
        <w:rPr>
          <w:rFonts w:ascii="Arial" w:hAnsi="Arial" w:cs="Arial"/>
          <w:sz w:val="24"/>
          <w:szCs w:val="24"/>
        </w:rPr>
        <w:t>,</w:t>
      </w:r>
      <w:r w:rsidR="00C256C0">
        <w:rPr>
          <w:rFonts w:ascii="Arial" w:hAnsi="Arial" w:cs="Arial"/>
          <w:sz w:val="24"/>
          <w:szCs w:val="24"/>
        </w:rPr>
        <w:t xml:space="preserve"> t</w:t>
      </w:r>
      <w:r w:rsidR="000F4950">
        <w:rPr>
          <w:rFonts w:ascii="Arial" w:hAnsi="Arial" w:cs="Arial"/>
          <w:sz w:val="24"/>
          <w:szCs w:val="24"/>
        </w:rPr>
        <w:t xml:space="preserve">he </w:t>
      </w:r>
      <w:r w:rsidR="0034738A">
        <w:rPr>
          <w:rFonts w:ascii="Arial" w:hAnsi="Arial" w:cs="Arial"/>
          <w:sz w:val="24"/>
          <w:szCs w:val="24"/>
        </w:rPr>
        <w:t xml:space="preserve">arbitrator made no mention of the document in his </w:t>
      </w:r>
      <w:r w:rsidR="00C256C0">
        <w:rPr>
          <w:rFonts w:ascii="Arial" w:hAnsi="Arial" w:cs="Arial"/>
          <w:sz w:val="24"/>
          <w:szCs w:val="24"/>
        </w:rPr>
        <w:t>analyses of the evidence</w:t>
      </w:r>
      <w:r w:rsidR="0034738A">
        <w:rPr>
          <w:rFonts w:ascii="Arial" w:hAnsi="Arial" w:cs="Arial"/>
          <w:sz w:val="24"/>
          <w:szCs w:val="24"/>
        </w:rPr>
        <w:t xml:space="preserve"> and from the record</w:t>
      </w:r>
      <w:r w:rsidR="00E6704A">
        <w:rPr>
          <w:rFonts w:ascii="Arial" w:hAnsi="Arial" w:cs="Arial"/>
          <w:sz w:val="24"/>
          <w:szCs w:val="24"/>
        </w:rPr>
        <w:t>,</w:t>
      </w:r>
      <w:r w:rsidR="0034738A">
        <w:rPr>
          <w:rFonts w:ascii="Arial" w:hAnsi="Arial" w:cs="Arial"/>
          <w:sz w:val="24"/>
          <w:szCs w:val="24"/>
        </w:rPr>
        <w:t xml:space="preserve"> it appears that he largely based his conclusions on the viva voce evidence</w:t>
      </w:r>
      <w:r w:rsidR="00C256C0">
        <w:rPr>
          <w:rFonts w:ascii="Arial" w:hAnsi="Arial" w:cs="Arial"/>
          <w:sz w:val="24"/>
          <w:szCs w:val="24"/>
        </w:rPr>
        <w:t xml:space="preserve"> and other documents</w:t>
      </w:r>
      <w:r w:rsidR="0034738A">
        <w:rPr>
          <w:rFonts w:ascii="Arial" w:hAnsi="Arial" w:cs="Arial"/>
          <w:sz w:val="24"/>
          <w:szCs w:val="24"/>
        </w:rPr>
        <w:t xml:space="preserve"> that served before him</w:t>
      </w:r>
      <w:r w:rsidR="00C256C0">
        <w:rPr>
          <w:rStyle w:val="FootnoteReference"/>
          <w:rFonts w:ascii="Arial" w:hAnsi="Arial" w:cs="Arial"/>
          <w:sz w:val="24"/>
          <w:szCs w:val="24"/>
        </w:rPr>
        <w:footnoteReference w:id="14"/>
      </w:r>
      <w:r w:rsidR="0034738A">
        <w:rPr>
          <w:rFonts w:ascii="Arial" w:hAnsi="Arial" w:cs="Arial"/>
          <w:sz w:val="24"/>
          <w:szCs w:val="24"/>
        </w:rPr>
        <w:t xml:space="preserve">. </w:t>
      </w:r>
    </w:p>
    <w:p w:rsidR="00E6704A" w:rsidRDefault="00E6704A" w:rsidP="00CC7D05">
      <w:pPr>
        <w:spacing w:line="360" w:lineRule="auto"/>
        <w:jc w:val="both"/>
        <w:rPr>
          <w:rFonts w:ascii="Arial" w:hAnsi="Arial" w:cs="Arial"/>
          <w:sz w:val="24"/>
          <w:szCs w:val="24"/>
        </w:rPr>
      </w:pPr>
    </w:p>
    <w:p w:rsidR="0034738A" w:rsidRDefault="0034738A" w:rsidP="00CC7D05">
      <w:pPr>
        <w:spacing w:line="360" w:lineRule="auto"/>
        <w:jc w:val="both"/>
        <w:rPr>
          <w:rFonts w:ascii="Arial" w:eastAsia="Times New Roman" w:hAnsi="Arial" w:cs="Arial"/>
          <w:sz w:val="24"/>
          <w:szCs w:val="24"/>
          <w:lang w:eastAsia="en-ZA"/>
        </w:rPr>
      </w:pPr>
      <w:r>
        <w:rPr>
          <w:rFonts w:ascii="Arial" w:hAnsi="Arial" w:cs="Arial"/>
          <w:sz w:val="24"/>
          <w:szCs w:val="24"/>
        </w:rPr>
        <w:t>[2</w:t>
      </w:r>
      <w:r w:rsidR="00BD0892">
        <w:rPr>
          <w:rFonts w:ascii="Arial" w:hAnsi="Arial" w:cs="Arial"/>
          <w:sz w:val="24"/>
          <w:szCs w:val="24"/>
        </w:rPr>
        <w:t>2</w:t>
      </w:r>
      <w:r>
        <w:rPr>
          <w:rFonts w:ascii="Arial" w:hAnsi="Arial" w:cs="Arial"/>
          <w:sz w:val="24"/>
          <w:szCs w:val="24"/>
        </w:rPr>
        <w:t xml:space="preserve">] </w:t>
      </w:r>
      <w:r>
        <w:rPr>
          <w:rFonts w:ascii="Arial" w:hAnsi="Arial" w:cs="Arial"/>
          <w:sz w:val="24"/>
          <w:szCs w:val="24"/>
        </w:rPr>
        <w:tab/>
        <w:t xml:space="preserve">The evidence of the witnesses for </w:t>
      </w:r>
      <w:r w:rsidR="00BE457B">
        <w:rPr>
          <w:rFonts w:ascii="Arial" w:hAnsi="Arial" w:cs="Arial"/>
          <w:sz w:val="24"/>
          <w:szCs w:val="24"/>
        </w:rPr>
        <w:t>QKR</w:t>
      </w:r>
      <w:r>
        <w:rPr>
          <w:rFonts w:ascii="Arial" w:hAnsi="Arial" w:cs="Arial"/>
          <w:sz w:val="24"/>
          <w:szCs w:val="24"/>
        </w:rPr>
        <w:t xml:space="preserve"> stands largely unchallenged on the issue of the agreement reached at the conclusion of the negotiations. In spite of some contradictions between the witnesses, they corroborate each other on the material terms of the agreement</w:t>
      </w:r>
      <w:r w:rsidR="00692443">
        <w:rPr>
          <w:rFonts w:ascii="Arial" w:hAnsi="Arial" w:cs="Arial"/>
          <w:sz w:val="24"/>
          <w:szCs w:val="24"/>
        </w:rPr>
        <w:t xml:space="preserve">, </w:t>
      </w:r>
      <w:r w:rsidR="00E6704A">
        <w:rPr>
          <w:rFonts w:ascii="Arial" w:hAnsi="Arial" w:cs="Arial"/>
          <w:sz w:val="24"/>
          <w:szCs w:val="24"/>
        </w:rPr>
        <w:t>i.e.</w:t>
      </w:r>
      <w:r w:rsidR="00692443">
        <w:rPr>
          <w:rFonts w:ascii="Arial" w:hAnsi="Arial" w:cs="Arial"/>
          <w:sz w:val="24"/>
          <w:szCs w:val="24"/>
        </w:rPr>
        <w:t xml:space="preserve"> </w:t>
      </w:r>
      <w:r w:rsidR="00E6704A">
        <w:rPr>
          <w:rFonts w:ascii="Arial" w:hAnsi="Arial" w:cs="Arial"/>
          <w:sz w:val="24"/>
          <w:szCs w:val="24"/>
        </w:rPr>
        <w:t>the</w:t>
      </w:r>
      <w:r w:rsidR="00692443">
        <w:rPr>
          <w:rFonts w:ascii="Arial" w:hAnsi="Arial" w:cs="Arial"/>
          <w:sz w:val="24"/>
          <w:szCs w:val="24"/>
        </w:rPr>
        <w:t xml:space="preserve"> percentage increase of seven (7%) on the housing allowance and that the parties would return to the negotiation table after conclusion of the housing investigation</w:t>
      </w:r>
      <w:r>
        <w:rPr>
          <w:rFonts w:ascii="Arial" w:hAnsi="Arial" w:cs="Arial"/>
          <w:sz w:val="24"/>
          <w:szCs w:val="24"/>
        </w:rPr>
        <w:t xml:space="preserve">. </w:t>
      </w:r>
      <w:r>
        <w:rPr>
          <w:rFonts w:ascii="Arial" w:eastAsia="Times New Roman" w:hAnsi="Arial" w:cs="Arial"/>
          <w:sz w:val="24"/>
          <w:szCs w:val="24"/>
          <w:lang w:eastAsia="en-ZA"/>
        </w:rPr>
        <w:t xml:space="preserve"> </w:t>
      </w:r>
      <w:r w:rsidRPr="0034738A">
        <w:rPr>
          <w:rFonts w:ascii="Arial" w:eastAsia="Times New Roman" w:hAnsi="Arial" w:cs="Arial"/>
          <w:sz w:val="24"/>
          <w:szCs w:val="24"/>
          <w:lang w:eastAsia="en-ZA"/>
        </w:rPr>
        <w:t xml:space="preserve">In contrast </w:t>
      </w:r>
      <w:r>
        <w:rPr>
          <w:rFonts w:ascii="Arial" w:eastAsia="Times New Roman" w:hAnsi="Arial" w:cs="Arial"/>
          <w:sz w:val="24"/>
          <w:szCs w:val="24"/>
          <w:lang w:eastAsia="en-ZA"/>
        </w:rPr>
        <w:t xml:space="preserve">herewith </w:t>
      </w:r>
      <w:r w:rsidRPr="0034738A">
        <w:rPr>
          <w:rFonts w:ascii="Arial" w:eastAsia="Times New Roman" w:hAnsi="Arial" w:cs="Arial"/>
          <w:sz w:val="24"/>
          <w:szCs w:val="24"/>
          <w:lang w:eastAsia="en-ZA"/>
        </w:rPr>
        <w:t xml:space="preserve">is the evidence of </w:t>
      </w:r>
      <w:proofErr w:type="gramStart"/>
      <w:r w:rsidRPr="0034738A">
        <w:rPr>
          <w:rFonts w:ascii="Arial" w:eastAsia="Times New Roman" w:hAnsi="Arial" w:cs="Arial"/>
          <w:sz w:val="24"/>
          <w:szCs w:val="24"/>
          <w:lang w:eastAsia="en-ZA"/>
        </w:rPr>
        <w:t xml:space="preserve">Mr </w:t>
      </w:r>
      <w:r w:rsidR="007F241A">
        <w:rPr>
          <w:rFonts w:ascii="Arial" w:eastAsia="Times New Roman" w:hAnsi="Arial" w:cs="Arial"/>
          <w:sz w:val="24"/>
          <w:szCs w:val="24"/>
          <w:lang w:eastAsia="en-ZA"/>
        </w:rPr>
        <w:t>!</w:t>
      </w:r>
      <w:proofErr w:type="spellStart"/>
      <w:r w:rsidRPr="0034738A">
        <w:rPr>
          <w:rFonts w:ascii="Arial" w:eastAsia="Times New Roman" w:hAnsi="Arial" w:cs="Arial"/>
          <w:sz w:val="24"/>
          <w:szCs w:val="24"/>
          <w:lang w:eastAsia="en-ZA"/>
        </w:rPr>
        <w:t>N</w:t>
      </w:r>
      <w:r w:rsidR="007F241A">
        <w:rPr>
          <w:rFonts w:ascii="Arial" w:eastAsia="Times New Roman" w:hAnsi="Arial" w:cs="Arial"/>
          <w:sz w:val="24"/>
          <w:szCs w:val="24"/>
          <w:lang w:eastAsia="en-ZA"/>
        </w:rPr>
        <w:t>o</w:t>
      </w:r>
      <w:r w:rsidRPr="0034738A">
        <w:rPr>
          <w:rFonts w:ascii="Arial" w:eastAsia="Times New Roman" w:hAnsi="Arial" w:cs="Arial"/>
          <w:sz w:val="24"/>
          <w:szCs w:val="24"/>
          <w:lang w:eastAsia="en-ZA"/>
        </w:rPr>
        <w:t>ariseb</w:t>
      </w:r>
      <w:proofErr w:type="spellEnd"/>
      <w:proofErr w:type="gramEnd"/>
      <w:r w:rsidRPr="0034738A">
        <w:rPr>
          <w:rFonts w:ascii="Arial" w:eastAsia="Times New Roman" w:hAnsi="Arial" w:cs="Arial"/>
          <w:sz w:val="24"/>
          <w:szCs w:val="24"/>
          <w:lang w:eastAsia="en-ZA"/>
        </w:rPr>
        <w:t xml:space="preserve"> </w:t>
      </w:r>
      <w:r w:rsidR="00692443">
        <w:rPr>
          <w:rFonts w:ascii="Arial" w:eastAsia="Times New Roman" w:hAnsi="Arial" w:cs="Arial"/>
          <w:sz w:val="24"/>
          <w:szCs w:val="24"/>
          <w:lang w:eastAsia="en-ZA"/>
        </w:rPr>
        <w:t>stand</w:t>
      </w:r>
      <w:r w:rsidR="00E6704A">
        <w:rPr>
          <w:rFonts w:ascii="Arial" w:eastAsia="Times New Roman" w:hAnsi="Arial" w:cs="Arial"/>
          <w:sz w:val="24"/>
          <w:szCs w:val="24"/>
          <w:lang w:eastAsia="en-ZA"/>
        </w:rPr>
        <w:t>ing</w:t>
      </w:r>
      <w:r w:rsidR="00692443">
        <w:rPr>
          <w:rFonts w:ascii="Arial" w:eastAsia="Times New Roman" w:hAnsi="Arial" w:cs="Arial"/>
          <w:sz w:val="24"/>
          <w:szCs w:val="24"/>
          <w:lang w:eastAsia="en-ZA"/>
        </w:rPr>
        <w:t xml:space="preserve"> in isolation as he w</w:t>
      </w:r>
      <w:r w:rsidRPr="0034738A">
        <w:rPr>
          <w:rFonts w:ascii="Arial" w:eastAsia="Times New Roman" w:hAnsi="Arial" w:cs="Arial"/>
          <w:sz w:val="24"/>
          <w:szCs w:val="24"/>
          <w:lang w:eastAsia="en-ZA"/>
        </w:rPr>
        <w:t xml:space="preserve">as the only witness who testified on behalf of </w:t>
      </w:r>
      <w:r w:rsidR="00BE457B">
        <w:rPr>
          <w:rFonts w:ascii="Arial" w:eastAsia="Times New Roman" w:hAnsi="Arial" w:cs="Arial"/>
          <w:sz w:val="24"/>
          <w:szCs w:val="24"/>
          <w:lang w:eastAsia="en-ZA"/>
        </w:rPr>
        <w:t>MUN</w:t>
      </w:r>
      <w:r>
        <w:rPr>
          <w:rFonts w:ascii="Arial" w:eastAsia="Times New Roman" w:hAnsi="Arial" w:cs="Arial"/>
          <w:sz w:val="24"/>
          <w:szCs w:val="24"/>
          <w:lang w:eastAsia="en-ZA"/>
        </w:rPr>
        <w:t>.</w:t>
      </w:r>
      <w:r w:rsidR="00692443">
        <w:rPr>
          <w:rFonts w:ascii="Arial" w:eastAsia="Times New Roman" w:hAnsi="Arial" w:cs="Arial"/>
          <w:sz w:val="24"/>
          <w:szCs w:val="24"/>
          <w:lang w:eastAsia="en-ZA"/>
        </w:rPr>
        <w:t xml:space="preserve"> </w:t>
      </w:r>
      <w:proofErr w:type="gramStart"/>
      <w:r w:rsidR="00692443">
        <w:rPr>
          <w:rFonts w:ascii="Arial" w:eastAsia="Times New Roman" w:hAnsi="Arial" w:cs="Arial"/>
          <w:sz w:val="24"/>
          <w:szCs w:val="24"/>
          <w:lang w:eastAsia="en-ZA"/>
        </w:rPr>
        <w:t xml:space="preserve">Mr </w:t>
      </w:r>
      <w:r w:rsidR="007F241A">
        <w:rPr>
          <w:rFonts w:ascii="Arial" w:eastAsia="Times New Roman" w:hAnsi="Arial" w:cs="Arial"/>
          <w:sz w:val="24"/>
          <w:szCs w:val="24"/>
          <w:lang w:eastAsia="en-ZA"/>
        </w:rPr>
        <w:t>!</w:t>
      </w:r>
      <w:proofErr w:type="spellStart"/>
      <w:r w:rsidR="00692443">
        <w:rPr>
          <w:rFonts w:ascii="Arial" w:eastAsia="Times New Roman" w:hAnsi="Arial" w:cs="Arial"/>
          <w:sz w:val="24"/>
          <w:szCs w:val="24"/>
          <w:lang w:eastAsia="en-ZA"/>
        </w:rPr>
        <w:t>N</w:t>
      </w:r>
      <w:r w:rsidR="007F241A">
        <w:rPr>
          <w:rFonts w:ascii="Arial" w:eastAsia="Times New Roman" w:hAnsi="Arial" w:cs="Arial"/>
          <w:sz w:val="24"/>
          <w:szCs w:val="24"/>
          <w:lang w:eastAsia="en-ZA"/>
        </w:rPr>
        <w:t>o</w:t>
      </w:r>
      <w:r w:rsidR="00692443">
        <w:rPr>
          <w:rFonts w:ascii="Arial" w:eastAsia="Times New Roman" w:hAnsi="Arial" w:cs="Arial"/>
          <w:sz w:val="24"/>
          <w:szCs w:val="24"/>
          <w:lang w:eastAsia="en-ZA"/>
        </w:rPr>
        <w:t>ariseb</w:t>
      </w:r>
      <w:proofErr w:type="spellEnd"/>
      <w:proofErr w:type="gramEnd"/>
      <w:r w:rsidR="00692443">
        <w:rPr>
          <w:rFonts w:ascii="Arial" w:eastAsia="Times New Roman" w:hAnsi="Arial" w:cs="Arial"/>
          <w:sz w:val="24"/>
          <w:szCs w:val="24"/>
          <w:lang w:eastAsia="en-ZA"/>
        </w:rPr>
        <w:t xml:space="preserve"> was not the negotiator on behalf of MUN at the time and it does not appear from his evidence that he was present at the time of the negotiations.</w:t>
      </w:r>
      <w:r>
        <w:rPr>
          <w:rFonts w:ascii="Arial" w:eastAsia="Times New Roman" w:hAnsi="Arial" w:cs="Arial"/>
          <w:sz w:val="24"/>
          <w:szCs w:val="24"/>
          <w:lang w:eastAsia="en-ZA"/>
        </w:rPr>
        <w:t xml:space="preserve"> </w:t>
      </w:r>
      <w:r w:rsidRPr="0034738A">
        <w:rPr>
          <w:rFonts w:ascii="Arial" w:eastAsia="Times New Roman" w:hAnsi="Arial" w:cs="Arial"/>
          <w:sz w:val="24"/>
          <w:szCs w:val="24"/>
          <w:lang w:eastAsia="en-ZA"/>
        </w:rPr>
        <w:t xml:space="preserve"> </w:t>
      </w:r>
    </w:p>
    <w:p w:rsidR="00E6704A" w:rsidRDefault="00E6704A" w:rsidP="00CC7D05">
      <w:pPr>
        <w:spacing w:line="360" w:lineRule="auto"/>
        <w:jc w:val="both"/>
        <w:rPr>
          <w:rFonts w:ascii="Arial" w:eastAsia="Times New Roman" w:hAnsi="Arial" w:cs="Arial"/>
          <w:sz w:val="24"/>
          <w:szCs w:val="24"/>
          <w:lang w:eastAsia="en-ZA"/>
        </w:rPr>
      </w:pPr>
    </w:p>
    <w:p w:rsidR="00E6704A" w:rsidRDefault="0034738A" w:rsidP="00CC7D05">
      <w:pPr>
        <w:spacing w:line="360" w:lineRule="auto"/>
        <w:jc w:val="both"/>
        <w:rPr>
          <w:rFonts w:ascii="Arial" w:hAnsi="Arial" w:cs="Arial"/>
          <w:sz w:val="24"/>
          <w:szCs w:val="24"/>
        </w:rPr>
      </w:pPr>
      <w:r>
        <w:rPr>
          <w:rFonts w:ascii="Arial" w:eastAsia="Times New Roman" w:hAnsi="Arial" w:cs="Arial"/>
          <w:sz w:val="24"/>
          <w:szCs w:val="24"/>
          <w:lang w:eastAsia="en-ZA"/>
        </w:rPr>
        <w:lastRenderedPageBreak/>
        <w:t>[2</w:t>
      </w:r>
      <w:r w:rsidR="00BD0892">
        <w:rPr>
          <w:rFonts w:ascii="Arial" w:eastAsia="Times New Roman" w:hAnsi="Arial" w:cs="Arial"/>
          <w:sz w:val="24"/>
          <w:szCs w:val="24"/>
          <w:lang w:eastAsia="en-ZA"/>
        </w:rPr>
        <w:t>3</w:t>
      </w:r>
      <w:r>
        <w:rPr>
          <w:rFonts w:ascii="Arial" w:eastAsia="Times New Roman" w:hAnsi="Arial" w:cs="Arial"/>
          <w:sz w:val="24"/>
          <w:szCs w:val="24"/>
          <w:lang w:eastAsia="en-ZA"/>
        </w:rPr>
        <w:t>]</w:t>
      </w:r>
      <w:r>
        <w:rPr>
          <w:rFonts w:ascii="Arial" w:eastAsia="Times New Roman" w:hAnsi="Arial" w:cs="Arial"/>
          <w:sz w:val="24"/>
          <w:szCs w:val="24"/>
          <w:lang w:eastAsia="en-ZA"/>
        </w:rPr>
        <w:tab/>
      </w:r>
      <w:r>
        <w:rPr>
          <w:rFonts w:ascii="Arial" w:hAnsi="Arial" w:cs="Arial"/>
          <w:sz w:val="24"/>
          <w:szCs w:val="24"/>
        </w:rPr>
        <w:t xml:space="preserve">During cross-examination </w:t>
      </w:r>
      <w:r w:rsidR="00BE457B">
        <w:rPr>
          <w:rFonts w:ascii="Arial" w:hAnsi="Arial" w:cs="Arial"/>
          <w:sz w:val="24"/>
          <w:szCs w:val="24"/>
        </w:rPr>
        <w:t xml:space="preserve">the gist of the negotiations and </w:t>
      </w:r>
      <w:r w:rsidR="008C17E1">
        <w:rPr>
          <w:rFonts w:ascii="Arial" w:hAnsi="Arial" w:cs="Arial"/>
          <w:sz w:val="24"/>
          <w:szCs w:val="24"/>
        </w:rPr>
        <w:t>terms agreed upon were</w:t>
      </w:r>
      <w:r w:rsidR="0005559C">
        <w:rPr>
          <w:rFonts w:ascii="Arial" w:hAnsi="Arial" w:cs="Arial"/>
          <w:sz w:val="24"/>
          <w:szCs w:val="24"/>
        </w:rPr>
        <w:t xml:space="preserve"> never put in dispute by </w:t>
      </w:r>
      <w:proofErr w:type="gramStart"/>
      <w:r w:rsidR="0005559C">
        <w:rPr>
          <w:rFonts w:ascii="Arial" w:hAnsi="Arial" w:cs="Arial"/>
          <w:sz w:val="24"/>
          <w:szCs w:val="24"/>
        </w:rPr>
        <w:t xml:space="preserve">Mr </w:t>
      </w:r>
      <w:r w:rsidR="007F241A">
        <w:rPr>
          <w:rFonts w:ascii="Arial" w:hAnsi="Arial" w:cs="Arial"/>
          <w:sz w:val="24"/>
          <w:szCs w:val="24"/>
        </w:rPr>
        <w:t>!</w:t>
      </w:r>
      <w:proofErr w:type="spellStart"/>
      <w:r w:rsidR="0005559C">
        <w:rPr>
          <w:rFonts w:ascii="Arial" w:hAnsi="Arial" w:cs="Arial"/>
          <w:sz w:val="24"/>
          <w:szCs w:val="24"/>
        </w:rPr>
        <w:t>N</w:t>
      </w:r>
      <w:r w:rsidR="007F241A">
        <w:rPr>
          <w:rFonts w:ascii="Arial" w:hAnsi="Arial" w:cs="Arial"/>
          <w:sz w:val="24"/>
          <w:szCs w:val="24"/>
        </w:rPr>
        <w:t>o</w:t>
      </w:r>
      <w:r w:rsidR="0005559C">
        <w:rPr>
          <w:rFonts w:ascii="Arial" w:hAnsi="Arial" w:cs="Arial"/>
          <w:sz w:val="24"/>
          <w:szCs w:val="24"/>
        </w:rPr>
        <w:t>ariseb</w:t>
      </w:r>
      <w:proofErr w:type="spellEnd"/>
      <w:proofErr w:type="gramEnd"/>
      <w:r w:rsidR="0005559C">
        <w:rPr>
          <w:rFonts w:ascii="Arial" w:hAnsi="Arial" w:cs="Arial"/>
          <w:sz w:val="24"/>
          <w:szCs w:val="24"/>
        </w:rPr>
        <w:t>. His main issue w</w:t>
      </w:r>
      <w:r w:rsidR="007F241A">
        <w:rPr>
          <w:rFonts w:ascii="Arial" w:hAnsi="Arial" w:cs="Arial"/>
          <w:sz w:val="24"/>
          <w:szCs w:val="24"/>
        </w:rPr>
        <w:t xml:space="preserve">as </w:t>
      </w:r>
      <w:r w:rsidR="0005559C">
        <w:rPr>
          <w:rFonts w:ascii="Arial" w:hAnsi="Arial" w:cs="Arial"/>
          <w:sz w:val="24"/>
          <w:szCs w:val="24"/>
        </w:rPr>
        <w:t>that there was no housing allowance survey done.</w:t>
      </w:r>
    </w:p>
    <w:p w:rsidR="0005559C" w:rsidRDefault="0005559C" w:rsidP="00CC7D05">
      <w:pPr>
        <w:spacing w:line="360" w:lineRule="auto"/>
        <w:jc w:val="both"/>
        <w:rPr>
          <w:rFonts w:ascii="Arial" w:hAnsi="Arial" w:cs="Arial"/>
          <w:sz w:val="24"/>
          <w:szCs w:val="24"/>
        </w:rPr>
      </w:pPr>
      <w:r>
        <w:rPr>
          <w:rFonts w:ascii="Arial" w:hAnsi="Arial" w:cs="Arial"/>
          <w:sz w:val="24"/>
          <w:szCs w:val="24"/>
        </w:rPr>
        <w:t xml:space="preserve"> </w:t>
      </w:r>
    </w:p>
    <w:p w:rsidR="0005559C" w:rsidRDefault="0005559C" w:rsidP="00CC7D05">
      <w:pPr>
        <w:spacing w:line="360" w:lineRule="auto"/>
        <w:jc w:val="both"/>
        <w:rPr>
          <w:rFonts w:ascii="Arial" w:hAnsi="Arial" w:cs="Arial"/>
          <w:sz w:val="24"/>
          <w:szCs w:val="24"/>
        </w:rPr>
      </w:pPr>
      <w:r>
        <w:rPr>
          <w:rFonts w:ascii="Arial" w:hAnsi="Arial" w:cs="Arial"/>
          <w:sz w:val="24"/>
          <w:szCs w:val="24"/>
        </w:rPr>
        <w:t>[2</w:t>
      </w:r>
      <w:r w:rsidR="00BD0892">
        <w:rPr>
          <w:rFonts w:ascii="Arial" w:hAnsi="Arial" w:cs="Arial"/>
          <w:sz w:val="24"/>
          <w:szCs w:val="24"/>
        </w:rPr>
        <w:t>4</w:t>
      </w:r>
      <w:r>
        <w:rPr>
          <w:rFonts w:ascii="Arial" w:hAnsi="Arial" w:cs="Arial"/>
          <w:sz w:val="24"/>
          <w:szCs w:val="24"/>
        </w:rPr>
        <w:t>]</w:t>
      </w:r>
      <w:r>
        <w:rPr>
          <w:rFonts w:ascii="Arial" w:hAnsi="Arial" w:cs="Arial"/>
          <w:sz w:val="24"/>
          <w:szCs w:val="24"/>
        </w:rPr>
        <w:tab/>
      </w:r>
      <w:r w:rsidR="005C3093">
        <w:rPr>
          <w:rFonts w:ascii="Arial" w:hAnsi="Arial" w:cs="Arial"/>
          <w:sz w:val="24"/>
          <w:szCs w:val="24"/>
        </w:rPr>
        <w:t>The conclusion of the arbitrator is set out in par 5.</w:t>
      </w:r>
      <w:r w:rsidR="00C256C0">
        <w:rPr>
          <w:rFonts w:ascii="Arial" w:hAnsi="Arial" w:cs="Arial"/>
          <w:sz w:val="24"/>
          <w:szCs w:val="24"/>
        </w:rPr>
        <w:t>6</w:t>
      </w:r>
      <w:r w:rsidR="005C3093">
        <w:rPr>
          <w:rStyle w:val="FootnoteReference"/>
          <w:rFonts w:ascii="Arial" w:hAnsi="Arial" w:cs="Arial"/>
          <w:sz w:val="24"/>
          <w:szCs w:val="24"/>
        </w:rPr>
        <w:footnoteReference w:id="15"/>
      </w:r>
      <w:r w:rsidR="005C3093">
        <w:rPr>
          <w:rFonts w:ascii="Arial" w:hAnsi="Arial" w:cs="Arial"/>
          <w:sz w:val="24"/>
          <w:szCs w:val="24"/>
        </w:rPr>
        <w:t xml:space="preserve"> </w:t>
      </w:r>
      <w:r w:rsidR="00C256C0">
        <w:rPr>
          <w:rFonts w:ascii="Arial" w:hAnsi="Arial" w:cs="Arial"/>
          <w:sz w:val="24"/>
          <w:szCs w:val="24"/>
        </w:rPr>
        <w:t xml:space="preserve">as follows: </w:t>
      </w:r>
    </w:p>
    <w:p w:rsidR="00E6704A" w:rsidRDefault="00E6704A" w:rsidP="00CC7D05">
      <w:pPr>
        <w:spacing w:line="360" w:lineRule="auto"/>
        <w:jc w:val="both"/>
        <w:rPr>
          <w:rFonts w:ascii="Arial" w:hAnsi="Arial" w:cs="Arial"/>
          <w:sz w:val="24"/>
          <w:szCs w:val="24"/>
        </w:rPr>
      </w:pPr>
    </w:p>
    <w:p w:rsidR="00C256C0" w:rsidRDefault="00C256C0" w:rsidP="00CC7D05">
      <w:pPr>
        <w:spacing w:line="360" w:lineRule="auto"/>
        <w:jc w:val="both"/>
        <w:rPr>
          <w:rFonts w:ascii="Arial" w:hAnsi="Arial" w:cs="Arial"/>
          <w:i/>
          <w:sz w:val="24"/>
          <w:szCs w:val="24"/>
        </w:rPr>
      </w:pPr>
      <w:r>
        <w:rPr>
          <w:rFonts w:ascii="Arial" w:hAnsi="Arial" w:cs="Arial"/>
          <w:sz w:val="24"/>
          <w:szCs w:val="24"/>
        </w:rPr>
        <w:tab/>
      </w:r>
      <w:r w:rsidRPr="00E6704A">
        <w:rPr>
          <w:rFonts w:ascii="Arial" w:hAnsi="Arial" w:cs="Arial"/>
          <w:i/>
          <w:sz w:val="24"/>
          <w:szCs w:val="24"/>
        </w:rPr>
        <w:t>‘</w:t>
      </w:r>
      <w:r w:rsidRPr="00E6704A">
        <w:rPr>
          <w:rFonts w:ascii="Arial" w:hAnsi="Arial" w:cs="Arial"/>
          <w:i/>
        </w:rPr>
        <w:t xml:space="preserve">It is my analyses by gathering and evaluate the testimonies of the witnesses with the documentary evidence submitted that the parties were not of the same mind when signed the agreement. This is so taking into account the testimonies of Mrs </w:t>
      </w:r>
      <w:proofErr w:type="spellStart"/>
      <w:r w:rsidRPr="00E6704A">
        <w:rPr>
          <w:rFonts w:ascii="Arial" w:hAnsi="Arial" w:cs="Arial"/>
          <w:i/>
        </w:rPr>
        <w:t>Gwala</w:t>
      </w:r>
      <w:proofErr w:type="spellEnd"/>
      <w:r w:rsidRPr="00E6704A">
        <w:rPr>
          <w:rFonts w:ascii="Arial" w:hAnsi="Arial" w:cs="Arial"/>
          <w:i/>
        </w:rPr>
        <w:t xml:space="preserve"> and Ms </w:t>
      </w:r>
      <w:proofErr w:type="spellStart"/>
      <w:r w:rsidRPr="00E6704A">
        <w:rPr>
          <w:rFonts w:ascii="Arial" w:hAnsi="Arial" w:cs="Arial"/>
          <w:i/>
        </w:rPr>
        <w:t>Tjikune</w:t>
      </w:r>
      <w:proofErr w:type="spellEnd"/>
      <w:r w:rsidRPr="00E6704A">
        <w:rPr>
          <w:rFonts w:ascii="Arial" w:hAnsi="Arial" w:cs="Arial"/>
          <w:i/>
        </w:rPr>
        <w:t xml:space="preserve"> that they signed the agreement in good faith.’</w:t>
      </w:r>
      <w:r w:rsidRPr="00E6704A">
        <w:rPr>
          <w:rFonts w:ascii="Arial" w:hAnsi="Arial" w:cs="Arial"/>
          <w:i/>
          <w:sz w:val="24"/>
          <w:szCs w:val="24"/>
        </w:rPr>
        <w:t xml:space="preserve"> </w:t>
      </w:r>
    </w:p>
    <w:p w:rsidR="00E6704A" w:rsidRPr="00E6704A" w:rsidRDefault="00E6704A" w:rsidP="00CC7D05">
      <w:pPr>
        <w:spacing w:line="360" w:lineRule="auto"/>
        <w:jc w:val="both"/>
        <w:rPr>
          <w:rFonts w:ascii="Arial" w:eastAsia="Times New Roman" w:hAnsi="Arial" w:cs="Arial"/>
          <w:i/>
          <w:sz w:val="24"/>
          <w:szCs w:val="24"/>
          <w:lang w:eastAsia="en-ZA"/>
        </w:rPr>
      </w:pPr>
    </w:p>
    <w:p w:rsidR="0050270C" w:rsidRDefault="0050270C" w:rsidP="00F7398E">
      <w:pPr>
        <w:spacing w:after="0" w:line="360" w:lineRule="auto"/>
        <w:jc w:val="both"/>
        <w:rPr>
          <w:rFonts w:ascii="Arial" w:eastAsia="Times New Roman" w:hAnsi="Arial" w:cs="Arial"/>
          <w:i/>
          <w:sz w:val="24"/>
          <w:szCs w:val="24"/>
          <w:lang w:eastAsia="en-ZA"/>
        </w:rPr>
      </w:pPr>
      <w:proofErr w:type="spellStart"/>
      <w:r w:rsidRPr="0050270C">
        <w:rPr>
          <w:rFonts w:ascii="Arial" w:eastAsia="Times New Roman" w:hAnsi="Arial" w:cs="Arial"/>
          <w:i/>
          <w:sz w:val="24"/>
          <w:szCs w:val="24"/>
          <w:lang w:eastAsia="en-ZA"/>
        </w:rPr>
        <w:t>Parol</w:t>
      </w:r>
      <w:proofErr w:type="spellEnd"/>
      <w:r w:rsidRPr="0050270C">
        <w:rPr>
          <w:rFonts w:ascii="Arial" w:eastAsia="Times New Roman" w:hAnsi="Arial" w:cs="Arial"/>
          <w:i/>
          <w:sz w:val="24"/>
          <w:szCs w:val="24"/>
          <w:lang w:eastAsia="en-ZA"/>
        </w:rPr>
        <w:t xml:space="preserve"> evidence rule</w:t>
      </w:r>
    </w:p>
    <w:p w:rsidR="008C17E1" w:rsidRDefault="008C17E1" w:rsidP="00F7398E">
      <w:pPr>
        <w:spacing w:after="0" w:line="360" w:lineRule="auto"/>
        <w:jc w:val="both"/>
        <w:rPr>
          <w:rFonts w:ascii="Arial" w:eastAsia="Times New Roman" w:hAnsi="Arial" w:cs="Arial"/>
          <w:i/>
          <w:sz w:val="24"/>
          <w:szCs w:val="24"/>
          <w:lang w:eastAsia="en-ZA"/>
        </w:rPr>
      </w:pPr>
    </w:p>
    <w:p w:rsidR="0050270C" w:rsidRPr="0050270C" w:rsidRDefault="0050270C" w:rsidP="00F7398E">
      <w:pPr>
        <w:spacing w:after="0" w:line="360" w:lineRule="auto"/>
        <w:jc w:val="both"/>
        <w:rPr>
          <w:rFonts w:ascii="Arial" w:eastAsia="Times New Roman" w:hAnsi="Arial" w:cs="Arial"/>
          <w:i/>
          <w:sz w:val="24"/>
          <w:szCs w:val="24"/>
          <w:lang w:eastAsia="en-ZA"/>
        </w:rPr>
      </w:pPr>
    </w:p>
    <w:p w:rsidR="00F7398E" w:rsidRDefault="00F7398E" w:rsidP="00F7398E">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D0892">
        <w:rPr>
          <w:rFonts w:ascii="Arial" w:eastAsia="Times New Roman" w:hAnsi="Arial" w:cs="Arial"/>
          <w:sz w:val="24"/>
          <w:szCs w:val="24"/>
          <w:lang w:eastAsia="en-ZA"/>
        </w:rPr>
        <w:t>5</w:t>
      </w:r>
      <w:r>
        <w:rPr>
          <w:rFonts w:ascii="Arial" w:eastAsia="Times New Roman" w:hAnsi="Arial" w:cs="Arial"/>
          <w:sz w:val="24"/>
          <w:szCs w:val="24"/>
          <w:lang w:eastAsia="en-ZA"/>
        </w:rPr>
        <w:t xml:space="preserve">] </w:t>
      </w:r>
      <w:r>
        <w:rPr>
          <w:rFonts w:ascii="Arial" w:eastAsia="Times New Roman" w:hAnsi="Arial" w:cs="Arial"/>
          <w:sz w:val="24"/>
          <w:szCs w:val="24"/>
          <w:lang w:eastAsia="en-ZA"/>
        </w:rPr>
        <w:tab/>
      </w:r>
      <w:r w:rsidR="005C3093">
        <w:rPr>
          <w:rFonts w:ascii="Arial" w:eastAsia="Times New Roman" w:hAnsi="Arial" w:cs="Arial"/>
          <w:sz w:val="24"/>
          <w:szCs w:val="24"/>
          <w:lang w:eastAsia="en-ZA"/>
        </w:rPr>
        <w:t>By accepting the evidence of the witnesses of QKR</w:t>
      </w:r>
      <w:r w:rsidR="00E6704A">
        <w:rPr>
          <w:rFonts w:ascii="Arial" w:eastAsia="Times New Roman" w:hAnsi="Arial" w:cs="Arial"/>
          <w:sz w:val="24"/>
          <w:szCs w:val="24"/>
          <w:lang w:eastAsia="en-ZA"/>
        </w:rPr>
        <w:t>,</w:t>
      </w:r>
      <w:r w:rsidR="005C3093">
        <w:rPr>
          <w:rFonts w:ascii="Arial" w:eastAsia="Times New Roman" w:hAnsi="Arial" w:cs="Arial"/>
          <w:sz w:val="24"/>
          <w:szCs w:val="24"/>
          <w:lang w:eastAsia="en-ZA"/>
        </w:rPr>
        <w:t xml:space="preserve"> the arbitrator accepted extrinsic evidence and it is </w:t>
      </w:r>
      <w:r w:rsidRPr="00B27222">
        <w:rPr>
          <w:rFonts w:ascii="Arial" w:eastAsia="Times New Roman" w:hAnsi="Arial" w:cs="Arial"/>
          <w:sz w:val="24"/>
          <w:szCs w:val="24"/>
          <w:lang w:eastAsia="en-ZA"/>
        </w:rPr>
        <w:t>trite that when a contract was integrated into a single and complete written instrument, a party to the contract is not allowed to contradict, add to or modify the written instrument by reference to extrinsic evidence and in that way to redefine the terms of the contract</w:t>
      </w:r>
      <w:r>
        <w:rPr>
          <w:rStyle w:val="FootnoteReference"/>
          <w:rFonts w:ascii="Arial" w:eastAsia="Times New Roman" w:hAnsi="Arial" w:cs="Arial"/>
          <w:sz w:val="24"/>
          <w:szCs w:val="24"/>
          <w:lang w:eastAsia="en-ZA"/>
        </w:rPr>
        <w:footnoteReference w:id="16"/>
      </w:r>
      <w:r w:rsidRPr="00B27222">
        <w:rPr>
          <w:rFonts w:ascii="Arial" w:eastAsia="Times New Roman" w:hAnsi="Arial" w:cs="Arial"/>
          <w:sz w:val="24"/>
          <w:szCs w:val="24"/>
          <w:lang w:eastAsia="en-ZA"/>
        </w:rPr>
        <w:t>.</w:t>
      </w:r>
      <w:r>
        <w:rPr>
          <w:rFonts w:ascii="Arial" w:eastAsia="Times New Roman" w:hAnsi="Arial" w:cs="Arial"/>
          <w:sz w:val="24"/>
          <w:szCs w:val="24"/>
          <w:lang w:eastAsia="en-ZA"/>
        </w:rPr>
        <w:t xml:space="preserve"> The rule applicable is the </w:t>
      </w:r>
      <w:proofErr w:type="spellStart"/>
      <w:r w:rsidRPr="00D227C9">
        <w:rPr>
          <w:rFonts w:ascii="Arial" w:eastAsia="Times New Roman" w:hAnsi="Arial" w:cs="Arial"/>
          <w:sz w:val="24"/>
          <w:szCs w:val="24"/>
          <w:lang w:eastAsia="en-ZA"/>
        </w:rPr>
        <w:t>parol</w:t>
      </w:r>
      <w:proofErr w:type="spellEnd"/>
      <w:r w:rsidRPr="00D227C9">
        <w:rPr>
          <w:rFonts w:ascii="Arial" w:eastAsia="Times New Roman" w:hAnsi="Arial" w:cs="Arial"/>
          <w:sz w:val="24"/>
          <w:szCs w:val="24"/>
          <w:lang w:eastAsia="en-ZA"/>
        </w:rPr>
        <w:t xml:space="preserve"> evidence rule</w:t>
      </w:r>
      <w:r>
        <w:rPr>
          <w:rFonts w:ascii="Arial" w:eastAsia="Times New Roman" w:hAnsi="Arial" w:cs="Arial"/>
          <w:sz w:val="24"/>
          <w:szCs w:val="24"/>
          <w:lang w:eastAsia="en-ZA"/>
        </w:rPr>
        <w:t>.</w:t>
      </w:r>
    </w:p>
    <w:p w:rsidR="00E6704A" w:rsidRDefault="00E6704A" w:rsidP="00F7398E">
      <w:pPr>
        <w:spacing w:after="0" w:line="360" w:lineRule="auto"/>
        <w:jc w:val="both"/>
        <w:rPr>
          <w:rFonts w:ascii="Arial" w:eastAsia="Times New Roman" w:hAnsi="Arial" w:cs="Arial"/>
          <w:sz w:val="24"/>
          <w:szCs w:val="24"/>
          <w:lang w:eastAsia="en-ZA"/>
        </w:rPr>
      </w:pPr>
    </w:p>
    <w:p w:rsidR="00F7398E" w:rsidRDefault="00F7398E" w:rsidP="00F7398E">
      <w:pPr>
        <w:spacing w:after="0" w:line="360" w:lineRule="auto"/>
        <w:jc w:val="both"/>
        <w:rPr>
          <w:rFonts w:ascii="Arial" w:eastAsia="Times New Roman" w:hAnsi="Arial" w:cs="Arial"/>
          <w:sz w:val="24"/>
          <w:szCs w:val="24"/>
          <w:lang w:eastAsia="en-ZA"/>
        </w:rPr>
      </w:pPr>
    </w:p>
    <w:p w:rsidR="0050270C" w:rsidRDefault="00F7398E" w:rsidP="0050270C">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D0892">
        <w:rPr>
          <w:rFonts w:ascii="Arial" w:eastAsia="Times New Roman" w:hAnsi="Arial" w:cs="Arial"/>
          <w:sz w:val="24"/>
          <w:szCs w:val="24"/>
          <w:lang w:eastAsia="en-ZA"/>
        </w:rPr>
        <w:t>6</w:t>
      </w:r>
      <w:r>
        <w:rPr>
          <w:rFonts w:ascii="Arial" w:eastAsia="Times New Roman" w:hAnsi="Arial" w:cs="Arial"/>
          <w:sz w:val="24"/>
          <w:szCs w:val="24"/>
          <w:lang w:eastAsia="en-ZA"/>
        </w:rPr>
        <w:t>]</w:t>
      </w:r>
      <w:r w:rsidR="0050270C">
        <w:rPr>
          <w:rFonts w:ascii="Arial" w:eastAsia="Times New Roman" w:hAnsi="Arial" w:cs="Arial"/>
          <w:sz w:val="24"/>
          <w:szCs w:val="24"/>
          <w:lang w:eastAsia="en-ZA"/>
        </w:rPr>
        <w:t xml:space="preserve">  </w:t>
      </w:r>
      <w:r w:rsidR="00BD0892">
        <w:rPr>
          <w:rFonts w:ascii="Arial" w:eastAsia="Times New Roman" w:hAnsi="Arial" w:cs="Arial"/>
          <w:sz w:val="24"/>
          <w:szCs w:val="24"/>
          <w:lang w:eastAsia="en-ZA"/>
        </w:rPr>
        <w:tab/>
      </w:r>
      <w:r w:rsidR="0050270C">
        <w:rPr>
          <w:rFonts w:ascii="Arial" w:eastAsia="Times New Roman" w:hAnsi="Arial" w:cs="Arial"/>
          <w:sz w:val="24"/>
          <w:szCs w:val="24"/>
          <w:lang w:eastAsia="en-ZA"/>
        </w:rPr>
        <w:t xml:space="preserve">In the matter of </w:t>
      </w:r>
      <w:r w:rsidR="0050270C" w:rsidRPr="00F5254B">
        <w:rPr>
          <w:rFonts w:ascii="Arial" w:eastAsia="Times New Roman" w:hAnsi="Arial" w:cs="Arial"/>
          <w:i/>
          <w:sz w:val="24"/>
          <w:szCs w:val="24"/>
          <w:lang w:eastAsia="en-ZA"/>
        </w:rPr>
        <w:t xml:space="preserve">Von </w:t>
      </w:r>
      <w:proofErr w:type="spellStart"/>
      <w:r w:rsidR="0050270C" w:rsidRPr="00F5254B">
        <w:rPr>
          <w:rFonts w:ascii="Arial" w:eastAsia="Times New Roman" w:hAnsi="Arial" w:cs="Arial"/>
          <w:i/>
          <w:sz w:val="24"/>
          <w:szCs w:val="24"/>
          <w:lang w:eastAsia="en-ZA"/>
        </w:rPr>
        <w:t>Weidts</w:t>
      </w:r>
      <w:proofErr w:type="spellEnd"/>
      <w:r w:rsidR="0050270C" w:rsidRPr="00F5254B">
        <w:rPr>
          <w:rFonts w:ascii="Arial" w:eastAsia="Times New Roman" w:hAnsi="Arial" w:cs="Arial"/>
          <w:i/>
          <w:sz w:val="24"/>
          <w:szCs w:val="24"/>
          <w:lang w:eastAsia="en-ZA"/>
        </w:rPr>
        <w:t xml:space="preserve"> v </w:t>
      </w:r>
      <w:proofErr w:type="spellStart"/>
      <w:r w:rsidR="0050270C" w:rsidRPr="00F5254B">
        <w:rPr>
          <w:rFonts w:ascii="Arial" w:eastAsia="Times New Roman" w:hAnsi="Arial" w:cs="Arial"/>
          <w:i/>
          <w:sz w:val="24"/>
          <w:szCs w:val="24"/>
          <w:lang w:eastAsia="en-ZA"/>
        </w:rPr>
        <w:t>Goussard</w:t>
      </w:r>
      <w:proofErr w:type="spellEnd"/>
      <w:r w:rsidR="007F241A" w:rsidRPr="00F5254B">
        <w:rPr>
          <w:rFonts w:ascii="Arial" w:eastAsia="Times New Roman" w:hAnsi="Arial" w:cs="Arial"/>
          <w:i/>
          <w:sz w:val="24"/>
          <w:szCs w:val="24"/>
          <w:lang w:eastAsia="en-ZA"/>
        </w:rPr>
        <w:t xml:space="preserve"> </w:t>
      </w:r>
      <w:r w:rsidR="0050270C" w:rsidRPr="00F5254B">
        <w:rPr>
          <w:rFonts w:ascii="Arial" w:eastAsia="Times New Roman" w:hAnsi="Arial" w:cs="Arial"/>
          <w:i/>
          <w:sz w:val="24"/>
          <w:szCs w:val="24"/>
          <w:lang w:eastAsia="en-ZA"/>
        </w:rPr>
        <w:t xml:space="preserve">and </w:t>
      </w:r>
      <w:r w:rsidR="007F241A" w:rsidRPr="00F5254B">
        <w:rPr>
          <w:rFonts w:ascii="Arial" w:eastAsia="Times New Roman" w:hAnsi="Arial" w:cs="Arial"/>
          <w:i/>
          <w:sz w:val="24"/>
          <w:szCs w:val="24"/>
          <w:lang w:eastAsia="en-ZA"/>
        </w:rPr>
        <w:t>A</w:t>
      </w:r>
      <w:r w:rsidR="0050270C" w:rsidRPr="00F5254B">
        <w:rPr>
          <w:rFonts w:ascii="Arial" w:eastAsia="Times New Roman" w:hAnsi="Arial" w:cs="Arial"/>
          <w:i/>
          <w:sz w:val="24"/>
          <w:szCs w:val="24"/>
          <w:lang w:eastAsia="en-ZA"/>
        </w:rPr>
        <w:t>nother</w:t>
      </w:r>
      <w:r w:rsidR="007F241A">
        <w:rPr>
          <w:rStyle w:val="FootnoteReference"/>
          <w:rFonts w:ascii="Arial" w:eastAsia="Times New Roman" w:hAnsi="Arial" w:cs="Arial"/>
          <w:sz w:val="24"/>
          <w:szCs w:val="24"/>
          <w:lang w:eastAsia="en-ZA"/>
        </w:rPr>
        <w:footnoteReference w:id="17"/>
      </w:r>
      <w:r w:rsidR="007F241A">
        <w:rPr>
          <w:rFonts w:ascii="Arial" w:eastAsia="Times New Roman" w:hAnsi="Arial" w:cs="Arial"/>
          <w:sz w:val="24"/>
          <w:szCs w:val="24"/>
          <w:lang w:eastAsia="en-ZA"/>
        </w:rPr>
        <w:t xml:space="preserve"> </w:t>
      </w:r>
      <w:r w:rsidR="0050270C">
        <w:rPr>
          <w:rFonts w:ascii="Arial" w:eastAsia="Times New Roman" w:hAnsi="Arial" w:cs="Arial"/>
          <w:sz w:val="24"/>
          <w:szCs w:val="24"/>
          <w:lang w:eastAsia="en-ZA"/>
        </w:rPr>
        <w:t xml:space="preserve"> </w:t>
      </w:r>
      <w:proofErr w:type="spellStart"/>
      <w:r w:rsidR="0050270C">
        <w:rPr>
          <w:rFonts w:ascii="Arial" w:eastAsia="Times New Roman" w:hAnsi="Arial" w:cs="Arial"/>
          <w:sz w:val="24"/>
          <w:szCs w:val="24"/>
          <w:lang w:eastAsia="en-ZA"/>
        </w:rPr>
        <w:t>Damaseb</w:t>
      </w:r>
      <w:proofErr w:type="spellEnd"/>
      <w:r w:rsidR="0050270C">
        <w:rPr>
          <w:rFonts w:ascii="Arial" w:eastAsia="Times New Roman" w:hAnsi="Arial" w:cs="Arial"/>
          <w:sz w:val="24"/>
          <w:szCs w:val="24"/>
          <w:lang w:eastAsia="en-ZA"/>
        </w:rPr>
        <w:t xml:space="preserve"> JP discussed </w:t>
      </w:r>
      <w:r w:rsidR="005C3093">
        <w:rPr>
          <w:rFonts w:ascii="Arial" w:eastAsia="Times New Roman" w:hAnsi="Arial" w:cs="Arial"/>
          <w:sz w:val="24"/>
          <w:szCs w:val="24"/>
          <w:lang w:eastAsia="en-ZA"/>
        </w:rPr>
        <w:t>the rule applicable</w:t>
      </w:r>
      <w:r w:rsidR="0050270C">
        <w:rPr>
          <w:rFonts w:ascii="Arial" w:eastAsia="Times New Roman" w:hAnsi="Arial" w:cs="Arial"/>
          <w:sz w:val="24"/>
          <w:szCs w:val="24"/>
          <w:lang w:eastAsia="en-ZA"/>
        </w:rPr>
        <w:t xml:space="preserve"> as follows: </w:t>
      </w:r>
    </w:p>
    <w:p w:rsidR="00F5254B" w:rsidRDefault="00F5254B" w:rsidP="0050270C">
      <w:pPr>
        <w:spacing w:after="0" w:line="360" w:lineRule="auto"/>
        <w:jc w:val="both"/>
        <w:rPr>
          <w:rFonts w:ascii="Arial" w:eastAsia="Times New Roman" w:hAnsi="Arial" w:cs="Arial"/>
          <w:sz w:val="24"/>
          <w:szCs w:val="24"/>
          <w:lang w:eastAsia="en-ZA"/>
        </w:rPr>
      </w:pPr>
    </w:p>
    <w:p w:rsidR="00E6704A" w:rsidRDefault="00E6704A" w:rsidP="0050270C">
      <w:pPr>
        <w:spacing w:after="0" w:line="360" w:lineRule="auto"/>
        <w:jc w:val="both"/>
        <w:rPr>
          <w:rFonts w:ascii="Arial" w:eastAsia="Times New Roman" w:hAnsi="Arial" w:cs="Arial"/>
          <w:sz w:val="24"/>
          <w:szCs w:val="24"/>
          <w:lang w:eastAsia="en-ZA"/>
        </w:rPr>
      </w:pPr>
    </w:p>
    <w:p w:rsidR="0050270C" w:rsidRPr="00E6704A" w:rsidRDefault="0050270C" w:rsidP="0050270C">
      <w:pPr>
        <w:spacing w:after="0" w:line="360" w:lineRule="auto"/>
        <w:jc w:val="both"/>
        <w:rPr>
          <w:rFonts w:ascii="Arial" w:eastAsia="Times New Roman" w:hAnsi="Arial" w:cs="Arial"/>
          <w:i/>
          <w:lang w:eastAsia="en-ZA"/>
        </w:rPr>
      </w:pPr>
      <w:r>
        <w:rPr>
          <w:rFonts w:ascii="Arial" w:eastAsia="Times New Roman" w:hAnsi="Arial" w:cs="Arial"/>
          <w:sz w:val="24"/>
          <w:szCs w:val="24"/>
          <w:lang w:eastAsia="en-ZA"/>
        </w:rPr>
        <w:tab/>
      </w:r>
      <w:r w:rsidRPr="00E6704A">
        <w:rPr>
          <w:rFonts w:ascii="Arial" w:eastAsia="Times New Roman" w:hAnsi="Arial" w:cs="Arial"/>
          <w:i/>
          <w:sz w:val="24"/>
          <w:szCs w:val="24"/>
          <w:lang w:eastAsia="en-ZA"/>
        </w:rPr>
        <w:t>‘</w:t>
      </w:r>
      <w:r w:rsidRPr="00E6704A">
        <w:rPr>
          <w:rFonts w:ascii="Arial" w:eastAsia="Times New Roman" w:hAnsi="Arial" w:cs="Arial"/>
          <w:i/>
          <w:lang w:eastAsia="en-ZA"/>
        </w:rPr>
        <w:t xml:space="preserve">[3] About such a clause, the law has been stated as follows in </w:t>
      </w:r>
      <w:proofErr w:type="spellStart"/>
      <w:r w:rsidRPr="00E6704A">
        <w:rPr>
          <w:rFonts w:ascii="Arial" w:eastAsia="Times New Roman" w:hAnsi="Arial" w:cs="Arial"/>
          <w:i/>
          <w:lang w:eastAsia="en-ZA"/>
        </w:rPr>
        <w:t>Lowrey</w:t>
      </w:r>
      <w:proofErr w:type="spellEnd"/>
      <w:r w:rsidRPr="00E6704A">
        <w:rPr>
          <w:rFonts w:ascii="Arial" w:eastAsia="Times New Roman" w:hAnsi="Arial" w:cs="Arial"/>
          <w:i/>
          <w:lang w:eastAsia="en-ZA"/>
        </w:rPr>
        <w:t xml:space="preserve"> v </w:t>
      </w:r>
      <w:proofErr w:type="spellStart"/>
      <w:r w:rsidRPr="00E6704A">
        <w:rPr>
          <w:rFonts w:ascii="Arial" w:eastAsia="Times New Roman" w:hAnsi="Arial" w:cs="Arial"/>
          <w:i/>
          <w:lang w:eastAsia="en-ZA"/>
        </w:rPr>
        <w:t>Steedman</w:t>
      </w:r>
      <w:proofErr w:type="spellEnd"/>
      <w:r w:rsidR="00B467CB" w:rsidRPr="00E6704A">
        <w:rPr>
          <w:rStyle w:val="FootnoteReference"/>
          <w:rFonts w:ascii="Arial" w:eastAsia="Times New Roman" w:hAnsi="Arial" w:cs="Arial"/>
          <w:i/>
          <w:lang w:eastAsia="en-ZA"/>
        </w:rPr>
        <w:footnoteReference w:id="18"/>
      </w:r>
      <w:r w:rsidRPr="00E6704A">
        <w:rPr>
          <w:rFonts w:ascii="Arial" w:eastAsia="Times New Roman" w:hAnsi="Arial" w:cs="Arial"/>
          <w:i/>
          <w:lang w:eastAsia="en-ZA"/>
        </w:rPr>
        <w:t xml:space="preserve">  at 543:</w:t>
      </w:r>
    </w:p>
    <w:p w:rsidR="0050270C" w:rsidRPr="00E6704A" w:rsidRDefault="0050270C" w:rsidP="0050270C">
      <w:pPr>
        <w:spacing w:after="0" w:line="360" w:lineRule="auto"/>
        <w:ind w:left="720"/>
        <w:jc w:val="both"/>
        <w:rPr>
          <w:rFonts w:ascii="Arial" w:eastAsia="Times New Roman" w:hAnsi="Arial" w:cs="Arial"/>
          <w:i/>
          <w:lang w:eastAsia="en-ZA"/>
        </w:rPr>
      </w:pPr>
      <w:r w:rsidRPr="00E6704A">
        <w:rPr>
          <w:rFonts w:ascii="Arial" w:eastAsia="Times New Roman" w:hAnsi="Arial" w:cs="Arial"/>
          <w:i/>
          <w:lang w:eastAsia="en-ZA"/>
        </w:rPr>
        <w:t>‘'The rule is that when a contract has once been reduced to writing no evidence may be given of its terms except the document itself, nor may the contents of such document be contradicted, altered, added to or varied by oral evidence.'’</w:t>
      </w:r>
    </w:p>
    <w:p w:rsidR="0050270C" w:rsidRDefault="0050270C" w:rsidP="0050270C">
      <w:pPr>
        <w:spacing w:after="0" w:line="360" w:lineRule="auto"/>
        <w:jc w:val="both"/>
        <w:rPr>
          <w:rFonts w:ascii="Arial" w:eastAsia="Times New Roman" w:hAnsi="Arial" w:cs="Arial"/>
          <w:i/>
          <w:lang w:eastAsia="en-ZA"/>
        </w:rPr>
      </w:pPr>
      <w:r w:rsidRPr="00E6704A">
        <w:rPr>
          <w:rFonts w:ascii="Arial" w:eastAsia="Times New Roman" w:hAnsi="Arial" w:cs="Arial"/>
          <w:i/>
          <w:lang w:eastAsia="en-ZA"/>
        </w:rPr>
        <w:lastRenderedPageBreak/>
        <w:t xml:space="preserve">And in National Board (Pretoria) (Pty) Ltd and Another v Estate </w:t>
      </w:r>
      <w:proofErr w:type="spellStart"/>
      <w:r w:rsidRPr="00E6704A">
        <w:rPr>
          <w:rFonts w:ascii="Arial" w:eastAsia="Times New Roman" w:hAnsi="Arial" w:cs="Arial"/>
          <w:i/>
          <w:lang w:eastAsia="en-ZA"/>
        </w:rPr>
        <w:t>Swanepoel</w:t>
      </w:r>
      <w:proofErr w:type="spellEnd"/>
      <w:r w:rsidR="0064507F" w:rsidRPr="00E6704A">
        <w:rPr>
          <w:rStyle w:val="FootnoteReference"/>
          <w:rFonts w:ascii="Arial" w:eastAsia="Times New Roman" w:hAnsi="Arial" w:cs="Arial"/>
          <w:i/>
          <w:lang w:eastAsia="en-ZA"/>
        </w:rPr>
        <w:footnoteReference w:id="19"/>
      </w:r>
      <w:r w:rsidRPr="00E6704A">
        <w:rPr>
          <w:rFonts w:ascii="Arial" w:eastAsia="Times New Roman" w:hAnsi="Arial" w:cs="Arial"/>
          <w:i/>
          <w:lang w:eastAsia="en-ZA"/>
        </w:rPr>
        <w:t xml:space="preserve"> at 26B – C (quoting from </w:t>
      </w:r>
      <w:proofErr w:type="spellStart"/>
      <w:r w:rsidRPr="00E6704A">
        <w:rPr>
          <w:rFonts w:ascii="Arial" w:eastAsia="Times New Roman" w:hAnsi="Arial" w:cs="Arial"/>
          <w:i/>
          <w:lang w:eastAsia="en-ZA"/>
        </w:rPr>
        <w:t>Wigmore</w:t>
      </w:r>
      <w:proofErr w:type="spellEnd"/>
      <w:r w:rsidRPr="00E6704A">
        <w:rPr>
          <w:rFonts w:ascii="Arial" w:eastAsia="Times New Roman" w:hAnsi="Arial" w:cs="Arial"/>
          <w:i/>
          <w:lang w:eastAsia="en-ZA"/>
        </w:rPr>
        <w:t xml:space="preserve"> </w:t>
      </w:r>
      <w:r w:rsidR="00F5254B">
        <w:rPr>
          <w:rFonts w:ascii="Arial" w:eastAsia="Times New Roman" w:hAnsi="Arial" w:cs="Arial"/>
          <w:i/>
          <w:lang w:eastAsia="en-ZA"/>
        </w:rPr>
        <w:t xml:space="preserve">Evidence 3 </w:t>
      </w:r>
      <w:proofErr w:type="spellStart"/>
      <w:proofErr w:type="gramStart"/>
      <w:r w:rsidR="00F5254B">
        <w:rPr>
          <w:rFonts w:ascii="Arial" w:eastAsia="Times New Roman" w:hAnsi="Arial" w:cs="Arial"/>
          <w:i/>
          <w:lang w:eastAsia="en-ZA"/>
        </w:rPr>
        <w:t>ed</w:t>
      </w:r>
      <w:proofErr w:type="spellEnd"/>
      <w:proofErr w:type="gramEnd"/>
      <w:r w:rsidR="00F5254B">
        <w:rPr>
          <w:rFonts w:ascii="Arial" w:eastAsia="Times New Roman" w:hAnsi="Arial" w:cs="Arial"/>
          <w:i/>
          <w:lang w:eastAsia="en-ZA"/>
        </w:rPr>
        <w:t xml:space="preserve"> </w:t>
      </w:r>
      <w:proofErr w:type="spellStart"/>
      <w:r w:rsidR="00F5254B">
        <w:rPr>
          <w:rFonts w:ascii="Arial" w:eastAsia="Times New Roman" w:hAnsi="Arial" w:cs="Arial"/>
          <w:i/>
          <w:lang w:eastAsia="en-ZA"/>
        </w:rPr>
        <w:t>vol</w:t>
      </w:r>
      <w:proofErr w:type="spellEnd"/>
      <w:r w:rsidR="00F5254B">
        <w:rPr>
          <w:rFonts w:ascii="Arial" w:eastAsia="Times New Roman" w:hAnsi="Arial" w:cs="Arial"/>
          <w:i/>
          <w:lang w:eastAsia="en-ZA"/>
        </w:rPr>
        <w:t xml:space="preserve"> 9 s 2425) as </w:t>
      </w:r>
      <w:r w:rsidRPr="00E6704A">
        <w:rPr>
          <w:rFonts w:ascii="Arial" w:eastAsia="Times New Roman" w:hAnsi="Arial" w:cs="Arial"/>
          <w:i/>
          <w:lang w:eastAsia="en-ZA"/>
        </w:rPr>
        <w:t>follows:</w:t>
      </w:r>
    </w:p>
    <w:p w:rsidR="00F5254B" w:rsidRPr="00E6704A" w:rsidRDefault="00F5254B" w:rsidP="0050270C">
      <w:pPr>
        <w:spacing w:after="0" w:line="360" w:lineRule="auto"/>
        <w:jc w:val="both"/>
        <w:rPr>
          <w:rFonts w:ascii="Arial" w:eastAsia="Times New Roman" w:hAnsi="Arial" w:cs="Arial"/>
          <w:i/>
          <w:lang w:eastAsia="en-ZA"/>
        </w:rPr>
      </w:pPr>
    </w:p>
    <w:p w:rsidR="0050270C" w:rsidRDefault="0050270C" w:rsidP="0050270C">
      <w:pPr>
        <w:spacing w:after="0" w:line="360" w:lineRule="auto"/>
        <w:ind w:left="720"/>
        <w:jc w:val="both"/>
        <w:rPr>
          <w:rFonts w:ascii="Arial" w:eastAsia="Times New Roman" w:hAnsi="Arial" w:cs="Arial"/>
          <w:i/>
          <w:lang w:eastAsia="en-ZA"/>
        </w:rPr>
      </w:pPr>
      <w:r w:rsidRPr="00E6704A">
        <w:rPr>
          <w:rFonts w:ascii="Arial" w:eastAsia="Times New Roman" w:hAnsi="Arial" w:cs="Arial"/>
          <w:i/>
          <w:lang w:eastAsia="en-ZA"/>
        </w:rPr>
        <w:t xml:space="preserve">‘'When a </w:t>
      </w:r>
      <w:proofErr w:type="spellStart"/>
      <w:r w:rsidRPr="00E6704A">
        <w:rPr>
          <w:rFonts w:ascii="Arial" w:eastAsia="Times New Roman" w:hAnsi="Arial" w:cs="Arial"/>
          <w:i/>
          <w:lang w:eastAsia="en-ZA"/>
        </w:rPr>
        <w:t>jural</w:t>
      </w:r>
      <w:proofErr w:type="spellEnd"/>
      <w:r w:rsidRPr="00E6704A">
        <w:rPr>
          <w:rFonts w:ascii="Arial" w:eastAsia="Times New Roman" w:hAnsi="Arial" w:cs="Arial"/>
          <w:i/>
          <w:lang w:eastAsia="en-ZA"/>
        </w:rPr>
        <w:t xml:space="preserve"> act is embodied in a single memorial, all other utterances of the parties on that topic are legally immaterial for the purpose of determining what are the terms of their act.' </w:t>
      </w:r>
    </w:p>
    <w:p w:rsidR="00F5254B" w:rsidRPr="00E6704A" w:rsidRDefault="00F5254B" w:rsidP="0050270C">
      <w:pPr>
        <w:spacing w:after="0" w:line="360" w:lineRule="auto"/>
        <w:ind w:left="720"/>
        <w:jc w:val="both"/>
        <w:rPr>
          <w:rFonts w:ascii="Arial" w:eastAsia="Times New Roman" w:hAnsi="Arial" w:cs="Arial"/>
          <w:i/>
          <w:lang w:eastAsia="en-ZA"/>
        </w:rPr>
      </w:pPr>
    </w:p>
    <w:p w:rsidR="0050270C" w:rsidRDefault="0050270C" w:rsidP="0050270C">
      <w:pPr>
        <w:spacing w:after="0" w:line="360" w:lineRule="auto"/>
        <w:ind w:firstLine="720"/>
        <w:jc w:val="both"/>
        <w:rPr>
          <w:rFonts w:ascii="Arial" w:eastAsia="Times New Roman" w:hAnsi="Arial" w:cs="Arial"/>
          <w:i/>
          <w:lang w:eastAsia="en-ZA"/>
        </w:rPr>
      </w:pPr>
      <w:r w:rsidRPr="00E6704A">
        <w:rPr>
          <w:rFonts w:ascii="Arial" w:eastAsia="Times New Roman" w:hAnsi="Arial" w:cs="Arial"/>
          <w:i/>
          <w:lang w:eastAsia="en-ZA"/>
        </w:rPr>
        <w:t xml:space="preserve">  [4] Both these judgments were quoted by this court in </w:t>
      </w:r>
      <w:proofErr w:type="spellStart"/>
      <w:r w:rsidRPr="00E6704A">
        <w:rPr>
          <w:rFonts w:ascii="Arial" w:eastAsia="Times New Roman" w:hAnsi="Arial" w:cs="Arial"/>
          <w:i/>
          <w:lang w:eastAsia="en-ZA"/>
        </w:rPr>
        <w:t>Mudge</w:t>
      </w:r>
      <w:proofErr w:type="spellEnd"/>
      <w:r w:rsidRPr="00E6704A">
        <w:rPr>
          <w:rFonts w:ascii="Arial" w:eastAsia="Times New Roman" w:hAnsi="Arial" w:cs="Arial"/>
          <w:i/>
          <w:lang w:eastAsia="en-ZA"/>
        </w:rPr>
        <w:t xml:space="preserve"> v Ulrich NO and Others</w:t>
      </w:r>
      <w:r w:rsidR="0064507F" w:rsidRPr="00E6704A">
        <w:rPr>
          <w:rStyle w:val="FootnoteReference"/>
          <w:rFonts w:ascii="Arial" w:eastAsia="Times New Roman" w:hAnsi="Arial" w:cs="Arial"/>
          <w:i/>
          <w:lang w:eastAsia="en-ZA"/>
        </w:rPr>
        <w:footnoteReference w:id="20"/>
      </w:r>
      <w:r w:rsidRPr="00E6704A">
        <w:rPr>
          <w:rFonts w:ascii="Arial" w:eastAsia="Times New Roman" w:hAnsi="Arial" w:cs="Arial"/>
          <w:i/>
          <w:lang w:eastAsia="en-ZA"/>
        </w:rPr>
        <w:t xml:space="preserve">.  </w:t>
      </w:r>
    </w:p>
    <w:p w:rsidR="00F5254B" w:rsidRPr="00E6704A" w:rsidRDefault="00F5254B" w:rsidP="0050270C">
      <w:pPr>
        <w:spacing w:after="0" w:line="360" w:lineRule="auto"/>
        <w:ind w:firstLine="720"/>
        <w:jc w:val="both"/>
        <w:rPr>
          <w:rFonts w:ascii="Arial" w:eastAsia="Times New Roman" w:hAnsi="Arial" w:cs="Arial"/>
          <w:i/>
          <w:lang w:eastAsia="en-ZA"/>
        </w:rPr>
      </w:pPr>
    </w:p>
    <w:p w:rsidR="0050270C" w:rsidRDefault="0050270C" w:rsidP="0050270C">
      <w:pPr>
        <w:spacing w:after="0" w:line="360" w:lineRule="auto"/>
        <w:ind w:firstLine="720"/>
        <w:jc w:val="both"/>
        <w:rPr>
          <w:rFonts w:ascii="Arial" w:eastAsia="Times New Roman" w:hAnsi="Arial" w:cs="Arial"/>
          <w:i/>
          <w:lang w:eastAsia="en-ZA"/>
        </w:rPr>
      </w:pPr>
      <w:r w:rsidRPr="00E6704A">
        <w:rPr>
          <w:rFonts w:ascii="Arial" w:eastAsia="Times New Roman" w:hAnsi="Arial" w:cs="Arial"/>
          <w:i/>
          <w:lang w:eastAsia="en-ZA"/>
        </w:rPr>
        <w:t>[5] The rule as stated above is known as the 'integration' rule or the '</w:t>
      </w:r>
      <w:proofErr w:type="spellStart"/>
      <w:r w:rsidRPr="00E6704A">
        <w:rPr>
          <w:rFonts w:ascii="Arial" w:eastAsia="Times New Roman" w:hAnsi="Arial" w:cs="Arial"/>
          <w:i/>
          <w:lang w:eastAsia="en-ZA"/>
        </w:rPr>
        <w:t>parol</w:t>
      </w:r>
      <w:proofErr w:type="spellEnd"/>
      <w:r w:rsidRPr="00E6704A">
        <w:rPr>
          <w:rFonts w:ascii="Arial" w:eastAsia="Times New Roman" w:hAnsi="Arial" w:cs="Arial"/>
          <w:i/>
          <w:lang w:eastAsia="en-ZA"/>
        </w:rPr>
        <w:t xml:space="preserve"> evidence' rule. The </w:t>
      </w:r>
      <w:proofErr w:type="spellStart"/>
      <w:r w:rsidRPr="00E6704A">
        <w:rPr>
          <w:rFonts w:ascii="Arial" w:eastAsia="Times New Roman" w:hAnsi="Arial" w:cs="Arial"/>
          <w:i/>
          <w:lang w:eastAsia="en-ZA"/>
        </w:rPr>
        <w:t>parol</w:t>
      </w:r>
      <w:proofErr w:type="spellEnd"/>
      <w:r w:rsidRPr="00E6704A">
        <w:rPr>
          <w:rFonts w:ascii="Arial" w:eastAsia="Times New Roman" w:hAnsi="Arial" w:cs="Arial"/>
          <w:i/>
          <w:lang w:eastAsia="en-ZA"/>
        </w:rPr>
        <w:t xml:space="preserve"> evidence rule does not apply if the contracting party, against whom it is sought to be applied, relies on misrepresentation, fraud, duress, undue influence, illegality, failure to comply with the terms of a statute, and mistake</w:t>
      </w:r>
      <w:r w:rsidR="005C3093" w:rsidRPr="00E6704A">
        <w:rPr>
          <w:rStyle w:val="FootnoteReference"/>
          <w:rFonts w:ascii="Arial" w:eastAsia="Times New Roman" w:hAnsi="Arial" w:cs="Arial"/>
          <w:i/>
          <w:lang w:eastAsia="en-ZA"/>
        </w:rPr>
        <w:footnoteReference w:id="21"/>
      </w:r>
      <w:r w:rsidRPr="00E6704A">
        <w:rPr>
          <w:rFonts w:ascii="Arial" w:eastAsia="Times New Roman" w:hAnsi="Arial" w:cs="Arial"/>
          <w:i/>
          <w:lang w:eastAsia="en-ZA"/>
        </w:rPr>
        <w:t>. The onus rests on the party who seeks to rely on any of those defences</w:t>
      </w:r>
      <w:r w:rsidR="005C3093" w:rsidRPr="00E6704A">
        <w:rPr>
          <w:rStyle w:val="FootnoteReference"/>
          <w:rFonts w:ascii="Arial" w:eastAsia="Times New Roman" w:hAnsi="Arial" w:cs="Arial"/>
          <w:i/>
          <w:lang w:eastAsia="en-ZA"/>
        </w:rPr>
        <w:footnoteReference w:id="22"/>
      </w:r>
      <w:r w:rsidRPr="00E6704A">
        <w:rPr>
          <w:rFonts w:ascii="Arial" w:eastAsia="Times New Roman" w:hAnsi="Arial" w:cs="Arial"/>
          <w:i/>
          <w:lang w:eastAsia="en-ZA"/>
        </w:rPr>
        <w:t>.’</w:t>
      </w:r>
    </w:p>
    <w:p w:rsidR="00F5254B" w:rsidRDefault="00F5254B" w:rsidP="0050270C">
      <w:pPr>
        <w:spacing w:after="0" w:line="360" w:lineRule="auto"/>
        <w:ind w:firstLine="720"/>
        <w:jc w:val="both"/>
        <w:rPr>
          <w:rFonts w:ascii="Arial" w:eastAsia="Times New Roman" w:hAnsi="Arial" w:cs="Arial"/>
          <w:i/>
          <w:lang w:eastAsia="en-ZA"/>
        </w:rPr>
      </w:pPr>
    </w:p>
    <w:p w:rsidR="00F5254B" w:rsidRPr="00F5254B" w:rsidRDefault="00F5254B" w:rsidP="0050270C">
      <w:pPr>
        <w:spacing w:after="0" w:line="360" w:lineRule="auto"/>
        <w:ind w:firstLine="720"/>
        <w:jc w:val="both"/>
        <w:rPr>
          <w:rFonts w:ascii="Arial" w:eastAsia="Times New Roman" w:hAnsi="Arial" w:cs="Arial"/>
          <w:sz w:val="24"/>
          <w:szCs w:val="24"/>
          <w:lang w:eastAsia="en-ZA"/>
        </w:rPr>
      </w:pPr>
    </w:p>
    <w:p w:rsidR="00E6704A" w:rsidRPr="00F311BD" w:rsidRDefault="005C3093" w:rsidP="005C3093">
      <w:pPr>
        <w:spacing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D0892">
        <w:rPr>
          <w:rFonts w:ascii="Arial" w:eastAsia="Times New Roman" w:hAnsi="Arial" w:cs="Arial"/>
          <w:sz w:val="24"/>
          <w:szCs w:val="24"/>
          <w:lang w:eastAsia="en-ZA"/>
        </w:rPr>
        <w:t>7</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F311BD">
        <w:rPr>
          <w:rFonts w:ascii="Arial" w:eastAsia="Times New Roman" w:hAnsi="Arial" w:cs="Arial"/>
          <w:sz w:val="24"/>
          <w:szCs w:val="24"/>
          <w:lang w:eastAsia="en-ZA"/>
        </w:rPr>
        <w:t>It is not necessary to prove that the written agreement does not correctly reflect the oral agreement because of a mutual error or mistake. What is necessary is to prove that there was a prior common continuing intention which is not reflected in the agreement</w:t>
      </w:r>
      <w:r>
        <w:rPr>
          <w:rStyle w:val="FootnoteReference"/>
          <w:rFonts w:ascii="Arial" w:eastAsia="Times New Roman" w:hAnsi="Arial" w:cs="Arial"/>
          <w:sz w:val="24"/>
          <w:szCs w:val="24"/>
          <w:lang w:eastAsia="en-ZA"/>
        </w:rPr>
        <w:footnoteReference w:id="23"/>
      </w:r>
      <w:r w:rsidRPr="00F311BD">
        <w:rPr>
          <w:rFonts w:ascii="Arial" w:eastAsia="Times New Roman" w:hAnsi="Arial" w:cs="Arial"/>
          <w:sz w:val="24"/>
          <w:szCs w:val="24"/>
          <w:lang w:eastAsia="en-ZA"/>
        </w:rPr>
        <w:t>. It is not a prerequisite that there should be any ambiguity. The mistake may even be caused intentionally by one of the parties</w:t>
      </w:r>
      <w:r>
        <w:rPr>
          <w:rFonts w:ascii="Arial" w:eastAsia="Times New Roman" w:hAnsi="Arial" w:cs="Arial"/>
          <w:sz w:val="24"/>
          <w:szCs w:val="24"/>
          <w:lang w:eastAsia="en-ZA"/>
        </w:rPr>
        <w:t>.</w:t>
      </w:r>
      <w:r>
        <w:rPr>
          <w:rStyle w:val="FootnoteReference"/>
          <w:rFonts w:ascii="Arial" w:eastAsia="Times New Roman" w:hAnsi="Arial" w:cs="Arial"/>
          <w:sz w:val="24"/>
          <w:szCs w:val="24"/>
          <w:lang w:eastAsia="en-ZA"/>
        </w:rPr>
        <w:footnoteReference w:id="24"/>
      </w:r>
    </w:p>
    <w:p w:rsidR="005C3093" w:rsidRDefault="005C3093" w:rsidP="0050270C">
      <w:pPr>
        <w:spacing w:after="0" w:line="360" w:lineRule="auto"/>
        <w:jc w:val="both"/>
        <w:rPr>
          <w:rFonts w:ascii="Arial" w:eastAsia="Times New Roman" w:hAnsi="Arial" w:cs="Arial"/>
          <w:sz w:val="24"/>
          <w:szCs w:val="24"/>
          <w:lang w:eastAsia="en-ZA"/>
        </w:rPr>
      </w:pPr>
    </w:p>
    <w:p w:rsidR="00C256C0" w:rsidRDefault="005C3093" w:rsidP="005C3093">
      <w:pPr>
        <w:spacing w:line="360" w:lineRule="auto"/>
        <w:jc w:val="both"/>
        <w:rPr>
          <w:rFonts w:ascii="Arial" w:hAnsi="Arial" w:cs="Arial"/>
          <w:sz w:val="24"/>
          <w:szCs w:val="24"/>
        </w:rPr>
      </w:pPr>
      <w:r>
        <w:rPr>
          <w:rFonts w:ascii="Arial" w:eastAsia="Times New Roman" w:hAnsi="Arial" w:cs="Arial"/>
          <w:sz w:val="24"/>
          <w:szCs w:val="24"/>
          <w:lang w:eastAsia="en-ZA"/>
        </w:rPr>
        <w:t>[2</w:t>
      </w:r>
      <w:r w:rsidR="00BD0892">
        <w:rPr>
          <w:rFonts w:ascii="Arial" w:eastAsia="Times New Roman" w:hAnsi="Arial" w:cs="Arial"/>
          <w:sz w:val="24"/>
          <w:szCs w:val="24"/>
          <w:lang w:eastAsia="en-ZA"/>
        </w:rPr>
        <w:t>8</w:t>
      </w:r>
      <w:r>
        <w:rPr>
          <w:rFonts w:ascii="Arial" w:eastAsia="Times New Roman" w:hAnsi="Arial" w:cs="Arial"/>
          <w:sz w:val="24"/>
          <w:szCs w:val="24"/>
          <w:lang w:eastAsia="en-ZA"/>
        </w:rPr>
        <w:t>]</w:t>
      </w:r>
      <w:r>
        <w:rPr>
          <w:rFonts w:ascii="Arial" w:eastAsia="Times New Roman" w:hAnsi="Arial" w:cs="Arial"/>
          <w:sz w:val="24"/>
          <w:szCs w:val="24"/>
          <w:lang w:eastAsia="en-ZA"/>
        </w:rPr>
        <w:tab/>
      </w:r>
      <w:r>
        <w:rPr>
          <w:rFonts w:ascii="Arial" w:hAnsi="Arial" w:cs="Arial"/>
          <w:sz w:val="24"/>
          <w:szCs w:val="24"/>
        </w:rPr>
        <w:t xml:space="preserve">The witnesses for QKR are all in agreement as to the terms of the agreement and </w:t>
      </w:r>
      <w:r w:rsidR="00CA4E6D">
        <w:rPr>
          <w:rFonts w:ascii="Arial" w:hAnsi="Arial" w:cs="Arial"/>
          <w:sz w:val="24"/>
          <w:szCs w:val="24"/>
        </w:rPr>
        <w:t>are</w:t>
      </w:r>
      <w:r w:rsidR="009D5159">
        <w:rPr>
          <w:rFonts w:ascii="Arial" w:hAnsi="Arial" w:cs="Arial"/>
          <w:sz w:val="24"/>
          <w:szCs w:val="24"/>
        </w:rPr>
        <w:t xml:space="preserve"> ad idem </w:t>
      </w:r>
      <w:r>
        <w:rPr>
          <w:rFonts w:ascii="Arial" w:hAnsi="Arial" w:cs="Arial"/>
          <w:sz w:val="24"/>
          <w:szCs w:val="24"/>
        </w:rPr>
        <w:t>that clause 3</w:t>
      </w:r>
      <w:r w:rsidR="005458D3">
        <w:rPr>
          <w:rFonts w:ascii="Arial" w:hAnsi="Arial" w:cs="Arial"/>
          <w:sz w:val="24"/>
          <w:szCs w:val="24"/>
        </w:rPr>
        <w:t xml:space="preserve">, specifically in respect of the percentage increase in housing allowance, </w:t>
      </w:r>
      <w:r>
        <w:rPr>
          <w:rFonts w:ascii="Arial" w:hAnsi="Arial" w:cs="Arial"/>
          <w:sz w:val="24"/>
          <w:szCs w:val="24"/>
        </w:rPr>
        <w:t>as contained in the substantive agreement</w:t>
      </w:r>
      <w:r w:rsidR="0064507F">
        <w:rPr>
          <w:rFonts w:ascii="Arial" w:hAnsi="Arial" w:cs="Arial"/>
          <w:sz w:val="24"/>
          <w:szCs w:val="24"/>
        </w:rPr>
        <w:t>,</w:t>
      </w:r>
      <w:r>
        <w:rPr>
          <w:rFonts w:ascii="Arial" w:hAnsi="Arial" w:cs="Arial"/>
          <w:sz w:val="24"/>
          <w:szCs w:val="24"/>
        </w:rPr>
        <w:t xml:space="preserve"> is not a </w:t>
      </w:r>
      <w:r w:rsidR="00CA4E6D">
        <w:rPr>
          <w:rFonts w:ascii="Arial" w:hAnsi="Arial" w:cs="Arial"/>
          <w:sz w:val="24"/>
          <w:szCs w:val="24"/>
        </w:rPr>
        <w:t>true reflection</w:t>
      </w:r>
      <w:r>
        <w:rPr>
          <w:rFonts w:ascii="Arial" w:hAnsi="Arial" w:cs="Arial"/>
          <w:sz w:val="24"/>
          <w:szCs w:val="24"/>
        </w:rPr>
        <w:t xml:space="preserve"> of</w:t>
      </w:r>
      <w:r w:rsidR="00CA4E6D">
        <w:rPr>
          <w:rFonts w:ascii="Arial" w:hAnsi="Arial" w:cs="Arial"/>
          <w:sz w:val="24"/>
          <w:szCs w:val="24"/>
        </w:rPr>
        <w:t xml:space="preserve"> either the oral agreement or the intention between </w:t>
      </w:r>
      <w:r>
        <w:rPr>
          <w:rFonts w:ascii="Arial" w:hAnsi="Arial" w:cs="Arial"/>
          <w:sz w:val="24"/>
          <w:szCs w:val="24"/>
        </w:rPr>
        <w:t xml:space="preserve">the parties. </w:t>
      </w:r>
      <w:r w:rsidR="00692443">
        <w:rPr>
          <w:rFonts w:ascii="Arial" w:hAnsi="Arial" w:cs="Arial"/>
          <w:sz w:val="24"/>
          <w:szCs w:val="24"/>
        </w:rPr>
        <w:t xml:space="preserve">The witnesses also stated that it was agreed that the parties would return to the negotiation table </w:t>
      </w:r>
      <w:r w:rsidR="00E6704A">
        <w:rPr>
          <w:rFonts w:ascii="Arial" w:hAnsi="Arial" w:cs="Arial"/>
          <w:sz w:val="24"/>
          <w:szCs w:val="24"/>
        </w:rPr>
        <w:t>to discuss the results of</w:t>
      </w:r>
      <w:r w:rsidR="00692443">
        <w:rPr>
          <w:rFonts w:ascii="Arial" w:hAnsi="Arial" w:cs="Arial"/>
          <w:sz w:val="24"/>
          <w:szCs w:val="24"/>
        </w:rPr>
        <w:t xml:space="preserve"> the housing investigation</w:t>
      </w:r>
      <w:r w:rsidR="0064507F">
        <w:rPr>
          <w:rFonts w:ascii="Arial" w:hAnsi="Arial" w:cs="Arial"/>
          <w:sz w:val="24"/>
          <w:szCs w:val="24"/>
        </w:rPr>
        <w:t>.</w:t>
      </w:r>
      <w:r w:rsidR="00692443">
        <w:rPr>
          <w:rFonts w:ascii="Arial" w:hAnsi="Arial" w:cs="Arial"/>
          <w:sz w:val="24"/>
          <w:szCs w:val="24"/>
        </w:rPr>
        <w:t xml:space="preserve"> </w:t>
      </w:r>
      <w:r w:rsidR="00CA4E6D">
        <w:rPr>
          <w:rFonts w:ascii="Arial" w:hAnsi="Arial" w:cs="Arial"/>
          <w:sz w:val="24"/>
          <w:szCs w:val="24"/>
        </w:rPr>
        <w:t xml:space="preserve">According to Mr </w:t>
      </w:r>
      <w:proofErr w:type="spellStart"/>
      <w:r w:rsidR="00CA4E6D">
        <w:rPr>
          <w:rFonts w:ascii="Arial" w:hAnsi="Arial" w:cs="Arial"/>
          <w:sz w:val="24"/>
          <w:szCs w:val="24"/>
        </w:rPr>
        <w:t>Gwala</w:t>
      </w:r>
      <w:proofErr w:type="spellEnd"/>
      <w:r w:rsidR="00CA4E6D">
        <w:rPr>
          <w:rFonts w:ascii="Arial" w:hAnsi="Arial" w:cs="Arial"/>
          <w:sz w:val="24"/>
          <w:szCs w:val="24"/>
        </w:rPr>
        <w:t xml:space="preserve"> the ‘mistake’ </w:t>
      </w:r>
      <w:r w:rsidR="005458D3">
        <w:rPr>
          <w:rFonts w:ascii="Arial" w:hAnsi="Arial" w:cs="Arial"/>
          <w:sz w:val="24"/>
          <w:szCs w:val="24"/>
        </w:rPr>
        <w:t xml:space="preserve">in the agreement </w:t>
      </w:r>
      <w:r w:rsidR="00CA4E6D">
        <w:rPr>
          <w:rFonts w:ascii="Arial" w:hAnsi="Arial" w:cs="Arial"/>
          <w:sz w:val="24"/>
          <w:szCs w:val="24"/>
        </w:rPr>
        <w:t>was intentionally caused by an unknown entity.</w:t>
      </w:r>
      <w:r w:rsidR="00B467CB">
        <w:rPr>
          <w:rFonts w:ascii="Arial" w:hAnsi="Arial" w:cs="Arial"/>
          <w:sz w:val="24"/>
          <w:szCs w:val="24"/>
        </w:rPr>
        <w:t xml:space="preserve"> By means of the </w:t>
      </w:r>
      <w:r w:rsidR="00B467CB">
        <w:rPr>
          <w:rFonts w:ascii="Arial" w:hAnsi="Arial" w:cs="Arial"/>
          <w:sz w:val="24"/>
          <w:szCs w:val="24"/>
        </w:rPr>
        <w:lastRenderedPageBreak/>
        <w:t>undisputed evidence presented during the arbitration proceedings the first respondent discharged the onus that rested on it to show that the lack of animus between the parties.</w:t>
      </w:r>
    </w:p>
    <w:p w:rsidR="00E6704A" w:rsidRDefault="00E6704A" w:rsidP="005C3093">
      <w:pPr>
        <w:spacing w:line="360" w:lineRule="auto"/>
        <w:jc w:val="both"/>
        <w:rPr>
          <w:rFonts w:ascii="Arial" w:hAnsi="Arial" w:cs="Arial"/>
          <w:sz w:val="24"/>
          <w:szCs w:val="24"/>
        </w:rPr>
      </w:pPr>
    </w:p>
    <w:p w:rsidR="005C3093" w:rsidRDefault="00CA4E6D" w:rsidP="005C3093">
      <w:pPr>
        <w:spacing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w:t>
      </w:r>
      <w:r w:rsidR="00BD0892">
        <w:rPr>
          <w:rFonts w:ascii="Arial" w:eastAsia="Times New Roman" w:hAnsi="Arial" w:cs="Arial"/>
          <w:sz w:val="24"/>
          <w:szCs w:val="24"/>
          <w:lang w:eastAsia="en-ZA"/>
        </w:rPr>
        <w:t>9</w:t>
      </w:r>
      <w:r>
        <w:rPr>
          <w:rFonts w:ascii="Arial" w:eastAsia="Times New Roman" w:hAnsi="Arial" w:cs="Arial"/>
          <w:sz w:val="24"/>
          <w:szCs w:val="24"/>
          <w:lang w:eastAsia="en-ZA"/>
        </w:rPr>
        <w:t xml:space="preserve">] </w:t>
      </w:r>
      <w:r>
        <w:rPr>
          <w:rFonts w:ascii="Arial" w:eastAsia="Times New Roman" w:hAnsi="Arial" w:cs="Arial"/>
          <w:sz w:val="24"/>
          <w:szCs w:val="24"/>
          <w:lang w:eastAsia="en-ZA"/>
        </w:rPr>
        <w:tab/>
        <w:t>Under the circumstances</w:t>
      </w:r>
      <w:r w:rsidR="00E6704A">
        <w:rPr>
          <w:rFonts w:ascii="Arial" w:eastAsia="Times New Roman" w:hAnsi="Arial" w:cs="Arial"/>
          <w:sz w:val="24"/>
          <w:szCs w:val="24"/>
          <w:lang w:eastAsia="en-ZA"/>
        </w:rPr>
        <w:t>,</w:t>
      </w:r>
      <w:r>
        <w:rPr>
          <w:rFonts w:ascii="Arial" w:eastAsia="Times New Roman" w:hAnsi="Arial" w:cs="Arial"/>
          <w:sz w:val="24"/>
          <w:szCs w:val="24"/>
          <w:lang w:eastAsia="en-ZA"/>
        </w:rPr>
        <w:t xml:space="preserve"> the </w:t>
      </w:r>
      <w:proofErr w:type="spellStart"/>
      <w:r>
        <w:rPr>
          <w:rFonts w:ascii="Arial" w:eastAsia="Times New Roman" w:hAnsi="Arial" w:cs="Arial"/>
          <w:sz w:val="24"/>
          <w:szCs w:val="24"/>
          <w:lang w:eastAsia="en-ZA"/>
        </w:rPr>
        <w:t>parol</w:t>
      </w:r>
      <w:proofErr w:type="spellEnd"/>
      <w:r>
        <w:rPr>
          <w:rFonts w:ascii="Arial" w:eastAsia="Times New Roman" w:hAnsi="Arial" w:cs="Arial"/>
          <w:sz w:val="24"/>
          <w:szCs w:val="24"/>
          <w:lang w:eastAsia="en-ZA"/>
        </w:rPr>
        <w:t xml:space="preserve"> evidence rule would not apply and the arbitrator was entitled to consider extrinsic evidence to reach a conclusion on the animus of the parties. </w:t>
      </w:r>
    </w:p>
    <w:p w:rsidR="00E6704A" w:rsidRDefault="00E6704A" w:rsidP="005C3093">
      <w:pPr>
        <w:spacing w:line="360" w:lineRule="auto"/>
        <w:jc w:val="both"/>
        <w:rPr>
          <w:rFonts w:ascii="Arial" w:eastAsia="Times New Roman" w:hAnsi="Arial" w:cs="Arial"/>
          <w:sz w:val="24"/>
          <w:szCs w:val="24"/>
          <w:lang w:eastAsia="en-ZA"/>
        </w:rPr>
      </w:pPr>
    </w:p>
    <w:p w:rsidR="00F405C7" w:rsidRDefault="00F405C7" w:rsidP="00D227C9">
      <w:pPr>
        <w:spacing w:after="0" w:line="360" w:lineRule="auto"/>
        <w:jc w:val="both"/>
        <w:rPr>
          <w:rFonts w:ascii="Arial" w:hAnsi="Arial" w:cs="Arial"/>
          <w:sz w:val="24"/>
          <w:szCs w:val="24"/>
          <w:u w:val="single"/>
        </w:rPr>
      </w:pPr>
      <w:r w:rsidRPr="00F405C7">
        <w:rPr>
          <w:rFonts w:ascii="Arial" w:hAnsi="Arial" w:cs="Arial"/>
          <w:sz w:val="24"/>
          <w:szCs w:val="24"/>
          <w:u w:val="single"/>
        </w:rPr>
        <w:t>Ad second ground of appeal</w:t>
      </w:r>
    </w:p>
    <w:p w:rsidR="00EC4958" w:rsidRDefault="00EC4958" w:rsidP="00D227C9">
      <w:pPr>
        <w:spacing w:after="0" w:line="360" w:lineRule="auto"/>
        <w:jc w:val="both"/>
        <w:rPr>
          <w:rFonts w:ascii="Arial" w:hAnsi="Arial" w:cs="Arial"/>
          <w:sz w:val="24"/>
          <w:szCs w:val="24"/>
          <w:u w:val="single"/>
        </w:rPr>
      </w:pPr>
    </w:p>
    <w:p w:rsidR="00F405C7" w:rsidRPr="00F405C7" w:rsidRDefault="00F405C7" w:rsidP="00D227C9">
      <w:pPr>
        <w:spacing w:after="0" w:line="360" w:lineRule="auto"/>
        <w:jc w:val="both"/>
        <w:rPr>
          <w:rFonts w:ascii="Arial" w:hAnsi="Arial" w:cs="Arial"/>
          <w:sz w:val="24"/>
          <w:szCs w:val="24"/>
          <w:u w:val="single"/>
        </w:rPr>
      </w:pPr>
    </w:p>
    <w:p w:rsidR="00C52CF6" w:rsidRDefault="00C52CF6" w:rsidP="00D227C9">
      <w:pPr>
        <w:spacing w:after="0" w:line="360" w:lineRule="auto"/>
        <w:jc w:val="both"/>
        <w:rPr>
          <w:rFonts w:ascii="Arial" w:hAnsi="Arial" w:cs="Arial"/>
          <w:i/>
          <w:sz w:val="24"/>
          <w:szCs w:val="24"/>
        </w:rPr>
      </w:pPr>
      <w:r w:rsidRPr="00F76F19">
        <w:rPr>
          <w:rFonts w:ascii="Arial" w:hAnsi="Arial" w:cs="Arial"/>
          <w:i/>
          <w:sz w:val="24"/>
          <w:szCs w:val="24"/>
        </w:rPr>
        <w:t>External evidence</w:t>
      </w:r>
    </w:p>
    <w:p w:rsidR="00EC4958" w:rsidRDefault="00EC4958" w:rsidP="00D227C9">
      <w:pPr>
        <w:spacing w:after="0" w:line="360" w:lineRule="auto"/>
        <w:jc w:val="both"/>
        <w:rPr>
          <w:rFonts w:ascii="Arial" w:hAnsi="Arial" w:cs="Arial"/>
          <w:i/>
          <w:sz w:val="24"/>
          <w:szCs w:val="24"/>
        </w:rPr>
      </w:pPr>
    </w:p>
    <w:p w:rsidR="00F405C7" w:rsidRDefault="00F405C7" w:rsidP="00D227C9">
      <w:pPr>
        <w:spacing w:after="0" w:line="360" w:lineRule="auto"/>
        <w:jc w:val="both"/>
        <w:rPr>
          <w:rFonts w:ascii="Arial" w:hAnsi="Arial" w:cs="Arial"/>
          <w:i/>
          <w:sz w:val="24"/>
          <w:szCs w:val="24"/>
        </w:rPr>
      </w:pPr>
    </w:p>
    <w:p w:rsidR="00C52CF6" w:rsidRDefault="00CA4E6D" w:rsidP="00C52CF6">
      <w:pPr>
        <w:spacing w:after="0" w:line="360" w:lineRule="auto"/>
        <w:jc w:val="both"/>
        <w:rPr>
          <w:rFonts w:ascii="Arial" w:hAnsi="Arial" w:cs="Arial"/>
          <w:sz w:val="24"/>
          <w:szCs w:val="24"/>
        </w:rPr>
      </w:pPr>
      <w:r>
        <w:rPr>
          <w:rFonts w:ascii="Arial" w:eastAsia="Times New Roman" w:hAnsi="Arial" w:cs="Arial"/>
          <w:sz w:val="24"/>
          <w:szCs w:val="24"/>
          <w:lang w:eastAsia="en-ZA"/>
        </w:rPr>
        <w:t>[</w:t>
      </w:r>
      <w:r w:rsidR="00BD0892">
        <w:rPr>
          <w:rFonts w:ascii="Arial" w:eastAsia="Times New Roman" w:hAnsi="Arial" w:cs="Arial"/>
          <w:sz w:val="24"/>
          <w:szCs w:val="24"/>
          <w:lang w:eastAsia="en-ZA"/>
        </w:rPr>
        <w:t>30</w:t>
      </w:r>
      <w:r w:rsidR="00C52CF6">
        <w:rPr>
          <w:rFonts w:ascii="Arial" w:eastAsia="Times New Roman" w:hAnsi="Arial" w:cs="Arial"/>
          <w:sz w:val="24"/>
          <w:szCs w:val="24"/>
          <w:lang w:eastAsia="en-ZA"/>
        </w:rPr>
        <w:t>]</w:t>
      </w:r>
      <w:r w:rsidR="00C52CF6">
        <w:rPr>
          <w:rFonts w:ascii="Arial" w:eastAsia="Times New Roman" w:hAnsi="Arial" w:cs="Arial"/>
          <w:sz w:val="24"/>
          <w:szCs w:val="24"/>
          <w:lang w:eastAsia="en-ZA"/>
        </w:rPr>
        <w:tab/>
      </w:r>
      <w:r w:rsidR="00C52CF6">
        <w:rPr>
          <w:rFonts w:ascii="Arial" w:hAnsi="Arial" w:cs="Arial"/>
          <w:sz w:val="24"/>
          <w:szCs w:val="24"/>
        </w:rPr>
        <w:t>In support of the second ground of appeal</w:t>
      </w:r>
      <w:r w:rsidR="00EC4958">
        <w:rPr>
          <w:rFonts w:ascii="Arial" w:hAnsi="Arial" w:cs="Arial"/>
          <w:sz w:val="24"/>
          <w:szCs w:val="24"/>
        </w:rPr>
        <w:t>,</w:t>
      </w:r>
      <w:r w:rsidR="00C52CF6">
        <w:rPr>
          <w:rFonts w:ascii="Arial" w:hAnsi="Arial" w:cs="Arial"/>
          <w:sz w:val="24"/>
          <w:szCs w:val="24"/>
        </w:rPr>
        <w:t xml:space="preserve"> </w:t>
      </w:r>
      <w:r w:rsidR="00692443">
        <w:rPr>
          <w:rFonts w:ascii="Arial" w:hAnsi="Arial" w:cs="Arial"/>
          <w:sz w:val="24"/>
          <w:szCs w:val="24"/>
        </w:rPr>
        <w:t xml:space="preserve">it was argued on behalf of the </w:t>
      </w:r>
      <w:r w:rsidR="00C52CF6">
        <w:rPr>
          <w:rFonts w:ascii="Arial" w:hAnsi="Arial" w:cs="Arial"/>
          <w:sz w:val="24"/>
          <w:szCs w:val="24"/>
        </w:rPr>
        <w:t xml:space="preserve">appellant that the arbitrator relied on external evidence to determine the validity and purpose of the agreement between the parties. </w:t>
      </w:r>
    </w:p>
    <w:p w:rsidR="00F5254B" w:rsidRDefault="00F5254B" w:rsidP="00C52CF6">
      <w:pPr>
        <w:spacing w:after="0" w:line="360" w:lineRule="auto"/>
        <w:jc w:val="both"/>
        <w:rPr>
          <w:rFonts w:ascii="Arial" w:hAnsi="Arial" w:cs="Arial"/>
          <w:sz w:val="24"/>
          <w:szCs w:val="24"/>
        </w:rPr>
      </w:pPr>
    </w:p>
    <w:p w:rsidR="0031178C" w:rsidRDefault="0031178C" w:rsidP="00C52CF6">
      <w:pPr>
        <w:spacing w:after="0" w:line="360" w:lineRule="auto"/>
        <w:jc w:val="both"/>
        <w:rPr>
          <w:rFonts w:ascii="Arial" w:hAnsi="Arial" w:cs="Arial"/>
          <w:sz w:val="24"/>
          <w:szCs w:val="24"/>
        </w:rPr>
      </w:pPr>
    </w:p>
    <w:p w:rsidR="005458D3" w:rsidRDefault="00C52CF6" w:rsidP="00C52CF6">
      <w:pPr>
        <w:spacing w:after="0" w:line="360" w:lineRule="auto"/>
        <w:jc w:val="both"/>
        <w:rPr>
          <w:rFonts w:ascii="Arial" w:hAnsi="Arial" w:cs="Arial"/>
          <w:sz w:val="24"/>
          <w:szCs w:val="24"/>
        </w:rPr>
      </w:pPr>
      <w:r>
        <w:rPr>
          <w:rFonts w:ascii="Arial" w:hAnsi="Arial" w:cs="Arial"/>
          <w:sz w:val="24"/>
          <w:szCs w:val="24"/>
        </w:rPr>
        <w:t>[</w:t>
      </w:r>
      <w:r w:rsidR="005458D3">
        <w:rPr>
          <w:rFonts w:ascii="Arial" w:hAnsi="Arial" w:cs="Arial"/>
          <w:sz w:val="24"/>
          <w:szCs w:val="24"/>
        </w:rPr>
        <w:t>3</w:t>
      </w:r>
      <w:r w:rsidR="00BD0892">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BD0892">
        <w:rPr>
          <w:rFonts w:ascii="Arial" w:hAnsi="Arial" w:cs="Arial"/>
          <w:sz w:val="24"/>
          <w:szCs w:val="24"/>
        </w:rPr>
        <w:t xml:space="preserve">The arbitrator was neither expected to make a finding on the validity or purpose of the agreement nor did he do so. </w:t>
      </w:r>
    </w:p>
    <w:p w:rsidR="00BD0892" w:rsidRDefault="00BD0892" w:rsidP="00C52CF6">
      <w:pPr>
        <w:spacing w:after="0" w:line="360" w:lineRule="auto"/>
        <w:jc w:val="both"/>
        <w:rPr>
          <w:rFonts w:ascii="Arial" w:hAnsi="Arial" w:cs="Arial"/>
          <w:sz w:val="24"/>
          <w:szCs w:val="24"/>
        </w:rPr>
      </w:pPr>
    </w:p>
    <w:p w:rsidR="00EC4958" w:rsidRDefault="00EC4958" w:rsidP="00C52CF6">
      <w:pPr>
        <w:spacing w:after="0" w:line="360" w:lineRule="auto"/>
        <w:jc w:val="both"/>
        <w:rPr>
          <w:rFonts w:ascii="Arial" w:hAnsi="Arial" w:cs="Arial"/>
          <w:sz w:val="24"/>
          <w:szCs w:val="24"/>
        </w:rPr>
      </w:pPr>
    </w:p>
    <w:p w:rsidR="005458D3" w:rsidRDefault="00EC4958" w:rsidP="00C52CF6">
      <w:pPr>
        <w:spacing w:after="0" w:line="360" w:lineRule="auto"/>
        <w:jc w:val="both"/>
        <w:rPr>
          <w:rFonts w:ascii="Arial" w:hAnsi="Arial" w:cs="Arial"/>
          <w:sz w:val="24"/>
          <w:szCs w:val="24"/>
        </w:rPr>
      </w:pPr>
      <w:r>
        <w:rPr>
          <w:rFonts w:ascii="Arial" w:hAnsi="Arial" w:cs="Arial"/>
          <w:sz w:val="24"/>
          <w:szCs w:val="24"/>
        </w:rPr>
        <w:t>[32</w:t>
      </w:r>
      <w:r w:rsidR="005458D3">
        <w:rPr>
          <w:rFonts w:ascii="Arial" w:hAnsi="Arial" w:cs="Arial"/>
          <w:sz w:val="24"/>
          <w:szCs w:val="24"/>
        </w:rPr>
        <w:t>]</w:t>
      </w:r>
      <w:r w:rsidR="005458D3">
        <w:rPr>
          <w:rFonts w:ascii="Arial" w:hAnsi="Arial" w:cs="Arial"/>
          <w:sz w:val="24"/>
          <w:szCs w:val="24"/>
        </w:rPr>
        <w:tab/>
        <w:t>One should not lose sight of the fact that it is not the validity of the substantive agreement that is in issue in this matter. The arbitrator’s award only relates to the relevant portion of clause 3 of the agreement. This is clearly set out in the award which reads:</w:t>
      </w:r>
    </w:p>
    <w:p w:rsidR="00EC4958" w:rsidRDefault="00EC4958" w:rsidP="00C52CF6">
      <w:pPr>
        <w:spacing w:after="0" w:line="360" w:lineRule="auto"/>
        <w:jc w:val="both"/>
        <w:rPr>
          <w:rFonts w:ascii="Arial" w:hAnsi="Arial" w:cs="Arial"/>
          <w:sz w:val="24"/>
          <w:szCs w:val="24"/>
        </w:rPr>
      </w:pPr>
    </w:p>
    <w:p w:rsidR="005458D3" w:rsidRDefault="005458D3" w:rsidP="00C52CF6">
      <w:pPr>
        <w:spacing w:after="0" w:line="360" w:lineRule="auto"/>
        <w:jc w:val="both"/>
        <w:rPr>
          <w:rFonts w:ascii="Arial" w:hAnsi="Arial" w:cs="Arial"/>
          <w:i/>
        </w:rPr>
      </w:pPr>
      <w:r>
        <w:rPr>
          <w:rFonts w:ascii="Arial" w:hAnsi="Arial" w:cs="Arial"/>
          <w:sz w:val="24"/>
          <w:szCs w:val="24"/>
        </w:rPr>
        <w:tab/>
      </w:r>
      <w:r w:rsidRPr="00EC4958">
        <w:rPr>
          <w:rFonts w:ascii="Arial" w:hAnsi="Arial" w:cs="Arial"/>
          <w:i/>
          <w:sz w:val="24"/>
          <w:szCs w:val="24"/>
        </w:rPr>
        <w:t>‘</w:t>
      </w:r>
      <w:r w:rsidRPr="00EC4958">
        <w:rPr>
          <w:rFonts w:ascii="Arial" w:hAnsi="Arial" w:cs="Arial"/>
          <w:i/>
        </w:rPr>
        <w:t>2. The agreement remains as is accept clause 3 of the agreement and it is hereby ordered that it be referred back to the negotiation table for the parties to discuss and agree and be of same mind.’</w:t>
      </w:r>
      <w:r w:rsidRPr="00EC4958">
        <w:rPr>
          <w:rStyle w:val="FootnoteReference"/>
          <w:rFonts w:ascii="Arial" w:hAnsi="Arial" w:cs="Arial"/>
          <w:i/>
        </w:rPr>
        <w:footnoteReference w:id="25"/>
      </w:r>
    </w:p>
    <w:p w:rsidR="00EC4958" w:rsidRPr="00EC4958" w:rsidRDefault="00EC4958" w:rsidP="00C52CF6">
      <w:pPr>
        <w:spacing w:after="0" w:line="360" w:lineRule="auto"/>
        <w:jc w:val="both"/>
        <w:rPr>
          <w:rFonts w:ascii="Arial" w:hAnsi="Arial" w:cs="Arial"/>
          <w:i/>
        </w:rPr>
      </w:pPr>
    </w:p>
    <w:p w:rsidR="005458D3" w:rsidRDefault="005458D3" w:rsidP="00C52CF6">
      <w:pPr>
        <w:spacing w:after="0" w:line="360" w:lineRule="auto"/>
        <w:jc w:val="both"/>
        <w:rPr>
          <w:rFonts w:ascii="Arial" w:hAnsi="Arial" w:cs="Arial"/>
        </w:rPr>
      </w:pPr>
    </w:p>
    <w:p w:rsidR="00E8175C" w:rsidRDefault="00E8175C" w:rsidP="00C52CF6">
      <w:pPr>
        <w:spacing w:after="0" w:line="360" w:lineRule="auto"/>
        <w:jc w:val="both"/>
        <w:rPr>
          <w:rFonts w:ascii="Arial" w:hAnsi="Arial" w:cs="Arial"/>
          <w:i/>
          <w:sz w:val="24"/>
          <w:szCs w:val="24"/>
        </w:rPr>
      </w:pPr>
      <w:r w:rsidRPr="00E8175C">
        <w:rPr>
          <w:rFonts w:ascii="Arial" w:hAnsi="Arial" w:cs="Arial"/>
          <w:i/>
          <w:sz w:val="24"/>
          <w:szCs w:val="24"/>
        </w:rPr>
        <w:t xml:space="preserve">Instructing the parties to renegotiate clause 3 </w:t>
      </w:r>
      <w:r w:rsidR="00EC4958">
        <w:rPr>
          <w:rFonts w:ascii="Arial" w:hAnsi="Arial" w:cs="Arial"/>
          <w:i/>
          <w:sz w:val="24"/>
          <w:szCs w:val="24"/>
        </w:rPr>
        <w:t xml:space="preserve">in </w:t>
      </w:r>
      <w:r w:rsidRPr="00E8175C">
        <w:rPr>
          <w:rFonts w:ascii="Arial" w:hAnsi="Arial" w:cs="Arial"/>
          <w:i/>
          <w:sz w:val="24"/>
          <w:szCs w:val="24"/>
        </w:rPr>
        <w:t>the agreement</w:t>
      </w:r>
    </w:p>
    <w:p w:rsidR="00EC4958" w:rsidRDefault="00EC4958" w:rsidP="00C52CF6">
      <w:pPr>
        <w:spacing w:after="0" w:line="360" w:lineRule="auto"/>
        <w:jc w:val="both"/>
        <w:rPr>
          <w:rFonts w:ascii="Arial" w:hAnsi="Arial" w:cs="Arial"/>
          <w:i/>
          <w:sz w:val="24"/>
          <w:szCs w:val="24"/>
        </w:rPr>
      </w:pPr>
    </w:p>
    <w:p w:rsidR="00E8175C" w:rsidRPr="00E8175C" w:rsidRDefault="00E8175C" w:rsidP="00C52CF6">
      <w:pPr>
        <w:spacing w:after="0" w:line="360" w:lineRule="auto"/>
        <w:jc w:val="both"/>
        <w:rPr>
          <w:rFonts w:ascii="Arial" w:hAnsi="Arial" w:cs="Arial"/>
          <w:i/>
          <w:sz w:val="24"/>
          <w:szCs w:val="24"/>
        </w:rPr>
      </w:pPr>
    </w:p>
    <w:p w:rsidR="0050414F" w:rsidRDefault="00EC4958" w:rsidP="00C52CF6">
      <w:pPr>
        <w:spacing w:after="0" w:line="360" w:lineRule="auto"/>
        <w:jc w:val="both"/>
        <w:rPr>
          <w:rFonts w:ascii="Arial" w:hAnsi="Arial" w:cs="Arial"/>
          <w:sz w:val="24"/>
          <w:szCs w:val="24"/>
        </w:rPr>
      </w:pPr>
      <w:r>
        <w:rPr>
          <w:rFonts w:ascii="Arial" w:hAnsi="Arial" w:cs="Arial"/>
          <w:sz w:val="24"/>
          <w:szCs w:val="24"/>
        </w:rPr>
        <w:t>[33</w:t>
      </w:r>
      <w:r w:rsidR="005458D3" w:rsidRPr="00B467CB">
        <w:rPr>
          <w:rFonts w:ascii="Arial" w:hAnsi="Arial" w:cs="Arial"/>
          <w:sz w:val="24"/>
          <w:szCs w:val="24"/>
        </w:rPr>
        <w:t>]</w:t>
      </w:r>
      <w:r w:rsidR="005458D3" w:rsidRPr="00B467CB">
        <w:rPr>
          <w:rFonts w:ascii="Arial" w:hAnsi="Arial" w:cs="Arial"/>
          <w:sz w:val="24"/>
          <w:szCs w:val="24"/>
        </w:rPr>
        <w:tab/>
        <w:t>Detailed arguments were advanced regarding the housing investigation and</w:t>
      </w:r>
      <w:r w:rsidR="00A758C0">
        <w:rPr>
          <w:rFonts w:ascii="Arial" w:hAnsi="Arial" w:cs="Arial"/>
          <w:sz w:val="24"/>
          <w:szCs w:val="24"/>
        </w:rPr>
        <w:t>/or</w:t>
      </w:r>
      <w:r w:rsidR="005458D3" w:rsidRPr="00B467CB">
        <w:rPr>
          <w:rFonts w:ascii="Arial" w:hAnsi="Arial" w:cs="Arial"/>
          <w:sz w:val="24"/>
          <w:szCs w:val="24"/>
        </w:rPr>
        <w:t xml:space="preserve"> housing </w:t>
      </w:r>
      <w:r w:rsidR="00B467CB">
        <w:rPr>
          <w:rFonts w:ascii="Arial" w:hAnsi="Arial" w:cs="Arial"/>
          <w:sz w:val="24"/>
          <w:szCs w:val="24"/>
        </w:rPr>
        <w:t>allowance survey and</w:t>
      </w:r>
      <w:r w:rsidR="00A758C0">
        <w:rPr>
          <w:rFonts w:ascii="Arial" w:hAnsi="Arial" w:cs="Arial"/>
          <w:sz w:val="24"/>
          <w:szCs w:val="24"/>
        </w:rPr>
        <w:t>/or</w:t>
      </w:r>
      <w:r w:rsidR="00B467CB">
        <w:rPr>
          <w:rFonts w:ascii="Arial" w:hAnsi="Arial" w:cs="Arial"/>
          <w:sz w:val="24"/>
          <w:szCs w:val="24"/>
        </w:rPr>
        <w:t xml:space="preserve"> housing allocation survey </w:t>
      </w:r>
      <w:r w:rsidR="00A758C0">
        <w:rPr>
          <w:rFonts w:ascii="Arial" w:hAnsi="Arial" w:cs="Arial"/>
          <w:sz w:val="24"/>
          <w:szCs w:val="24"/>
        </w:rPr>
        <w:t>and these issues were also canvassed with</w:t>
      </w:r>
      <w:r w:rsidR="00B467CB">
        <w:rPr>
          <w:rFonts w:ascii="Arial" w:hAnsi="Arial" w:cs="Arial"/>
          <w:sz w:val="24"/>
          <w:szCs w:val="24"/>
        </w:rPr>
        <w:t xml:space="preserve"> the witnesses</w:t>
      </w:r>
      <w:r w:rsidR="00A758C0">
        <w:rPr>
          <w:rFonts w:ascii="Arial" w:hAnsi="Arial" w:cs="Arial"/>
          <w:sz w:val="24"/>
          <w:szCs w:val="24"/>
        </w:rPr>
        <w:t xml:space="preserve"> during the arbitration proceedings. However, the arbitrator had no duty to interpret clause 3 as to the meaning of the parties when</w:t>
      </w:r>
      <w:r>
        <w:rPr>
          <w:rFonts w:ascii="Arial" w:hAnsi="Arial" w:cs="Arial"/>
          <w:sz w:val="24"/>
          <w:szCs w:val="24"/>
        </w:rPr>
        <w:t xml:space="preserve"> the said</w:t>
      </w:r>
      <w:r w:rsidR="00A758C0">
        <w:rPr>
          <w:rFonts w:ascii="Arial" w:hAnsi="Arial" w:cs="Arial"/>
          <w:sz w:val="24"/>
          <w:szCs w:val="24"/>
        </w:rPr>
        <w:t xml:space="preserve"> clause refers to ‘housing investigation underway’. </w:t>
      </w:r>
      <w:r w:rsidR="00BD0892">
        <w:rPr>
          <w:rFonts w:ascii="Arial" w:hAnsi="Arial" w:cs="Arial"/>
          <w:sz w:val="24"/>
          <w:szCs w:val="24"/>
        </w:rPr>
        <w:t xml:space="preserve"> </w:t>
      </w:r>
      <w:r w:rsidR="00A758C0">
        <w:rPr>
          <w:rFonts w:ascii="Arial" w:hAnsi="Arial" w:cs="Arial"/>
          <w:sz w:val="24"/>
          <w:szCs w:val="24"/>
        </w:rPr>
        <w:t xml:space="preserve">The genesis of that dispute lies in bad drafting and the interpretation </w:t>
      </w:r>
      <w:r w:rsidR="00C177D8">
        <w:rPr>
          <w:rFonts w:ascii="Arial" w:hAnsi="Arial" w:cs="Arial"/>
          <w:sz w:val="24"/>
          <w:szCs w:val="24"/>
        </w:rPr>
        <w:t>need not</w:t>
      </w:r>
      <w:r>
        <w:rPr>
          <w:rFonts w:ascii="Arial" w:hAnsi="Arial" w:cs="Arial"/>
          <w:sz w:val="24"/>
          <w:szCs w:val="24"/>
        </w:rPr>
        <w:t xml:space="preserve"> be done at this stage by this C</w:t>
      </w:r>
      <w:r w:rsidR="00C177D8">
        <w:rPr>
          <w:rFonts w:ascii="Arial" w:hAnsi="Arial" w:cs="Arial"/>
          <w:sz w:val="24"/>
          <w:szCs w:val="24"/>
        </w:rPr>
        <w:t>ourt</w:t>
      </w:r>
      <w:r w:rsidR="00A758C0">
        <w:rPr>
          <w:rFonts w:ascii="Arial" w:hAnsi="Arial" w:cs="Arial"/>
          <w:sz w:val="24"/>
          <w:szCs w:val="24"/>
        </w:rPr>
        <w:t xml:space="preserve">. </w:t>
      </w:r>
    </w:p>
    <w:p w:rsidR="00EC4958" w:rsidRDefault="00EC4958" w:rsidP="00C52CF6">
      <w:pPr>
        <w:spacing w:after="0" w:line="360" w:lineRule="auto"/>
        <w:jc w:val="both"/>
        <w:rPr>
          <w:rFonts w:ascii="Arial" w:hAnsi="Arial" w:cs="Arial"/>
          <w:sz w:val="24"/>
          <w:szCs w:val="24"/>
        </w:rPr>
      </w:pPr>
    </w:p>
    <w:p w:rsidR="00A758C0" w:rsidRDefault="00A758C0" w:rsidP="00C52CF6">
      <w:pPr>
        <w:spacing w:after="0" w:line="360" w:lineRule="auto"/>
        <w:jc w:val="both"/>
        <w:rPr>
          <w:rFonts w:ascii="Arial" w:hAnsi="Arial" w:cs="Arial"/>
          <w:sz w:val="24"/>
          <w:szCs w:val="24"/>
        </w:rPr>
      </w:pPr>
    </w:p>
    <w:p w:rsidR="00A758C0" w:rsidRDefault="00EC4958" w:rsidP="00C52CF6">
      <w:pPr>
        <w:spacing w:after="0" w:line="360" w:lineRule="auto"/>
        <w:jc w:val="both"/>
        <w:rPr>
          <w:rFonts w:ascii="Arial" w:hAnsi="Arial" w:cs="Arial"/>
          <w:sz w:val="24"/>
          <w:szCs w:val="24"/>
        </w:rPr>
      </w:pPr>
      <w:r>
        <w:rPr>
          <w:rFonts w:ascii="Arial" w:hAnsi="Arial" w:cs="Arial"/>
          <w:sz w:val="24"/>
          <w:szCs w:val="24"/>
        </w:rPr>
        <w:t>[34</w:t>
      </w:r>
      <w:r w:rsidR="00A758C0">
        <w:rPr>
          <w:rFonts w:ascii="Arial" w:hAnsi="Arial" w:cs="Arial"/>
          <w:sz w:val="24"/>
          <w:szCs w:val="24"/>
        </w:rPr>
        <w:t>]</w:t>
      </w:r>
      <w:r w:rsidR="00A758C0">
        <w:rPr>
          <w:rFonts w:ascii="Arial" w:hAnsi="Arial" w:cs="Arial"/>
          <w:sz w:val="24"/>
          <w:szCs w:val="24"/>
        </w:rPr>
        <w:tab/>
        <w:t xml:space="preserve"> </w:t>
      </w:r>
      <w:r w:rsidR="00C177D8">
        <w:rPr>
          <w:rFonts w:ascii="Arial" w:hAnsi="Arial" w:cs="Arial"/>
          <w:sz w:val="24"/>
          <w:szCs w:val="24"/>
        </w:rPr>
        <w:t>The arbitra</w:t>
      </w:r>
      <w:r>
        <w:rPr>
          <w:rFonts w:ascii="Arial" w:hAnsi="Arial" w:cs="Arial"/>
          <w:sz w:val="24"/>
          <w:szCs w:val="24"/>
        </w:rPr>
        <w:t xml:space="preserve">tor at no stage made a finding </w:t>
      </w:r>
      <w:r w:rsidR="00C177D8">
        <w:rPr>
          <w:rFonts w:ascii="Arial" w:hAnsi="Arial" w:cs="Arial"/>
          <w:sz w:val="24"/>
          <w:szCs w:val="24"/>
        </w:rPr>
        <w:t>t</w:t>
      </w:r>
      <w:r>
        <w:rPr>
          <w:rFonts w:ascii="Arial" w:hAnsi="Arial" w:cs="Arial"/>
          <w:sz w:val="24"/>
          <w:szCs w:val="24"/>
        </w:rPr>
        <w:t>hat</w:t>
      </w:r>
      <w:r w:rsidR="00C177D8">
        <w:rPr>
          <w:rFonts w:ascii="Arial" w:hAnsi="Arial" w:cs="Arial"/>
          <w:sz w:val="24"/>
          <w:szCs w:val="24"/>
        </w:rPr>
        <w:t xml:space="preserve"> clause 3 w</w:t>
      </w:r>
      <w:r w:rsidR="00F5254B">
        <w:rPr>
          <w:rFonts w:ascii="Arial" w:hAnsi="Arial" w:cs="Arial"/>
          <w:sz w:val="24"/>
          <w:szCs w:val="24"/>
        </w:rPr>
        <w:t>as invalid. He only found that “</w:t>
      </w:r>
      <w:r w:rsidR="00C177D8">
        <w:rPr>
          <w:rFonts w:ascii="Arial" w:hAnsi="Arial" w:cs="Arial"/>
          <w:sz w:val="24"/>
          <w:szCs w:val="24"/>
        </w:rPr>
        <w:t>the parties were not of same mind</w:t>
      </w:r>
      <w:r w:rsidR="00F5254B">
        <w:rPr>
          <w:rFonts w:ascii="Arial" w:hAnsi="Arial" w:cs="Arial"/>
          <w:sz w:val="24"/>
          <w:szCs w:val="24"/>
        </w:rPr>
        <w:t xml:space="preserve"> when they signed the agreement”</w:t>
      </w:r>
      <w:r w:rsidR="00C177D8">
        <w:rPr>
          <w:rFonts w:ascii="Arial" w:hAnsi="Arial" w:cs="Arial"/>
          <w:sz w:val="24"/>
          <w:szCs w:val="24"/>
        </w:rPr>
        <w:t xml:space="preserve"> and in order to reach that finding the arbitrator indeed made use of external/extrinsic evidence as discussed earlier in this judgment. </w:t>
      </w:r>
    </w:p>
    <w:p w:rsidR="00C177D8" w:rsidRDefault="00C177D8" w:rsidP="00C52CF6">
      <w:pPr>
        <w:spacing w:after="0" w:line="360" w:lineRule="auto"/>
        <w:jc w:val="both"/>
        <w:rPr>
          <w:rFonts w:ascii="Arial" w:hAnsi="Arial" w:cs="Arial"/>
          <w:sz w:val="24"/>
          <w:szCs w:val="24"/>
        </w:rPr>
      </w:pPr>
    </w:p>
    <w:p w:rsidR="00EC4958" w:rsidRDefault="00EC4958" w:rsidP="00C52CF6">
      <w:pPr>
        <w:spacing w:after="0" w:line="360" w:lineRule="auto"/>
        <w:jc w:val="both"/>
        <w:rPr>
          <w:rFonts w:ascii="Arial" w:hAnsi="Arial" w:cs="Arial"/>
          <w:sz w:val="24"/>
          <w:szCs w:val="24"/>
        </w:rPr>
      </w:pPr>
    </w:p>
    <w:p w:rsidR="00EC4958" w:rsidRDefault="00EC4958" w:rsidP="00C52CF6">
      <w:pPr>
        <w:spacing w:after="0" w:line="360" w:lineRule="auto"/>
        <w:jc w:val="both"/>
        <w:rPr>
          <w:rFonts w:ascii="Arial" w:hAnsi="Arial" w:cs="Arial"/>
          <w:sz w:val="24"/>
          <w:szCs w:val="24"/>
        </w:rPr>
      </w:pPr>
      <w:r>
        <w:rPr>
          <w:rFonts w:ascii="Arial" w:hAnsi="Arial" w:cs="Arial"/>
          <w:sz w:val="24"/>
          <w:szCs w:val="24"/>
        </w:rPr>
        <w:t>[35</w:t>
      </w:r>
      <w:r w:rsidR="00C177D8">
        <w:rPr>
          <w:rFonts w:ascii="Arial" w:hAnsi="Arial" w:cs="Arial"/>
          <w:sz w:val="24"/>
          <w:szCs w:val="24"/>
        </w:rPr>
        <w:t>]</w:t>
      </w:r>
      <w:r w:rsidR="00C177D8">
        <w:rPr>
          <w:rFonts w:ascii="Arial" w:hAnsi="Arial" w:cs="Arial"/>
          <w:sz w:val="24"/>
          <w:szCs w:val="24"/>
        </w:rPr>
        <w:tab/>
        <w:t xml:space="preserve"> Based on his findings and empowered in terms of section 86(15) of the Labour Act</w:t>
      </w:r>
      <w:r w:rsidR="00C177D8">
        <w:rPr>
          <w:rStyle w:val="FootnoteReference"/>
          <w:rFonts w:ascii="Arial" w:hAnsi="Arial" w:cs="Arial"/>
          <w:sz w:val="24"/>
          <w:szCs w:val="24"/>
        </w:rPr>
        <w:footnoteReference w:id="26"/>
      </w:r>
      <w:r w:rsidR="00C177D8">
        <w:rPr>
          <w:rFonts w:ascii="Arial" w:hAnsi="Arial" w:cs="Arial"/>
          <w:sz w:val="24"/>
          <w:szCs w:val="24"/>
        </w:rPr>
        <w:t xml:space="preserve"> the arbitrator was within his rights to direct that the parties return to the negotiation table regarding the specific issue raised by clause 3 on the percentage increase of the housing allowance.</w:t>
      </w:r>
    </w:p>
    <w:p w:rsidR="00C177D8" w:rsidRDefault="00C177D8" w:rsidP="00C52CF6">
      <w:pPr>
        <w:spacing w:after="0" w:line="360" w:lineRule="auto"/>
        <w:jc w:val="both"/>
        <w:rPr>
          <w:rFonts w:ascii="Arial" w:hAnsi="Arial" w:cs="Arial"/>
          <w:sz w:val="24"/>
          <w:szCs w:val="24"/>
        </w:rPr>
      </w:pPr>
    </w:p>
    <w:p w:rsidR="00EC4958" w:rsidRDefault="00EC4958" w:rsidP="00C52CF6">
      <w:pPr>
        <w:spacing w:after="0" w:line="360" w:lineRule="auto"/>
        <w:jc w:val="both"/>
        <w:rPr>
          <w:rFonts w:ascii="Arial" w:hAnsi="Arial" w:cs="Arial"/>
          <w:sz w:val="24"/>
          <w:szCs w:val="24"/>
        </w:rPr>
      </w:pPr>
    </w:p>
    <w:p w:rsidR="0073679D" w:rsidRDefault="00C177D8" w:rsidP="00C52CF6">
      <w:pPr>
        <w:spacing w:after="0" w:line="360" w:lineRule="auto"/>
        <w:jc w:val="both"/>
        <w:rPr>
          <w:rFonts w:ascii="Arial" w:hAnsi="Arial" w:cs="Arial"/>
          <w:i/>
          <w:sz w:val="24"/>
          <w:szCs w:val="24"/>
        </w:rPr>
      </w:pPr>
      <w:r w:rsidRPr="0073679D">
        <w:rPr>
          <w:rFonts w:ascii="Arial" w:hAnsi="Arial" w:cs="Arial"/>
          <w:i/>
          <w:sz w:val="24"/>
          <w:szCs w:val="24"/>
        </w:rPr>
        <w:t>Severability</w:t>
      </w:r>
    </w:p>
    <w:p w:rsidR="00EC4958" w:rsidRDefault="00EC4958" w:rsidP="00C52CF6">
      <w:pPr>
        <w:spacing w:after="0" w:line="360" w:lineRule="auto"/>
        <w:jc w:val="both"/>
        <w:rPr>
          <w:rFonts w:ascii="Arial" w:hAnsi="Arial" w:cs="Arial"/>
          <w:i/>
          <w:sz w:val="24"/>
          <w:szCs w:val="24"/>
        </w:rPr>
      </w:pPr>
    </w:p>
    <w:p w:rsidR="00EC4958" w:rsidRDefault="00EC4958" w:rsidP="00C52CF6">
      <w:pPr>
        <w:spacing w:after="0" w:line="360" w:lineRule="auto"/>
        <w:jc w:val="both"/>
        <w:rPr>
          <w:rFonts w:ascii="Arial" w:hAnsi="Arial" w:cs="Arial"/>
          <w:i/>
          <w:sz w:val="24"/>
          <w:szCs w:val="24"/>
        </w:rPr>
      </w:pPr>
    </w:p>
    <w:p w:rsidR="00C177D8" w:rsidRDefault="00EC4958" w:rsidP="00C52CF6">
      <w:pPr>
        <w:spacing w:after="0" w:line="360" w:lineRule="auto"/>
        <w:jc w:val="both"/>
        <w:rPr>
          <w:rFonts w:ascii="Arial" w:hAnsi="Arial" w:cs="Arial"/>
          <w:i/>
          <w:sz w:val="24"/>
          <w:szCs w:val="24"/>
        </w:rPr>
      </w:pPr>
      <w:r>
        <w:rPr>
          <w:rFonts w:ascii="Arial" w:hAnsi="Arial" w:cs="Arial"/>
          <w:sz w:val="24"/>
          <w:szCs w:val="24"/>
        </w:rPr>
        <w:t>[36</w:t>
      </w:r>
      <w:r w:rsidR="0073679D">
        <w:rPr>
          <w:rFonts w:ascii="Arial" w:hAnsi="Arial" w:cs="Arial"/>
          <w:sz w:val="24"/>
          <w:szCs w:val="24"/>
        </w:rPr>
        <w:t xml:space="preserve">] </w:t>
      </w:r>
      <w:r w:rsidR="0073679D">
        <w:rPr>
          <w:rFonts w:ascii="Arial" w:hAnsi="Arial" w:cs="Arial"/>
          <w:sz w:val="24"/>
          <w:szCs w:val="24"/>
        </w:rPr>
        <w:tab/>
        <w:t>The issue of severability was</w:t>
      </w:r>
      <w:r w:rsidR="00046736">
        <w:rPr>
          <w:rFonts w:ascii="Arial" w:hAnsi="Arial" w:cs="Arial"/>
          <w:sz w:val="24"/>
          <w:szCs w:val="24"/>
        </w:rPr>
        <w:t xml:space="preserve"> </w:t>
      </w:r>
      <w:r w:rsidR="0073679D">
        <w:rPr>
          <w:rFonts w:ascii="Arial" w:hAnsi="Arial" w:cs="Arial"/>
          <w:sz w:val="24"/>
          <w:szCs w:val="24"/>
        </w:rPr>
        <w:t xml:space="preserve">discussed </w:t>
      </w:r>
      <w:r>
        <w:rPr>
          <w:rFonts w:ascii="Arial" w:hAnsi="Arial" w:cs="Arial"/>
          <w:sz w:val="24"/>
          <w:szCs w:val="24"/>
        </w:rPr>
        <w:t xml:space="preserve">by </w:t>
      </w:r>
      <w:proofErr w:type="spellStart"/>
      <w:r>
        <w:rPr>
          <w:rFonts w:ascii="Arial" w:hAnsi="Arial" w:cs="Arial"/>
          <w:sz w:val="24"/>
          <w:szCs w:val="24"/>
        </w:rPr>
        <w:t>Shivute</w:t>
      </w:r>
      <w:proofErr w:type="spellEnd"/>
      <w:r>
        <w:rPr>
          <w:rFonts w:ascii="Arial" w:hAnsi="Arial" w:cs="Arial"/>
          <w:sz w:val="24"/>
          <w:szCs w:val="24"/>
        </w:rPr>
        <w:t xml:space="preserve"> CJ </w:t>
      </w:r>
      <w:r w:rsidR="0073679D">
        <w:rPr>
          <w:rFonts w:ascii="Arial" w:hAnsi="Arial" w:cs="Arial"/>
          <w:sz w:val="24"/>
          <w:szCs w:val="24"/>
        </w:rPr>
        <w:t xml:space="preserve">in the matter of </w:t>
      </w:r>
      <w:r w:rsidR="0073679D" w:rsidRPr="00EC4958">
        <w:rPr>
          <w:rFonts w:ascii="Arial" w:hAnsi="Arial" w:cs="Arial"/>
          <w:i/>
          <w:sz w:val="24"/>
          <w:szCs w:val="24"/>
        </w:rPr>
        <w:t xml:space="preserve">Marot and others v </w:t>
      </w:r>
      <w:proofErr w:type="spellStart"/>
      <w:r w:rsidR="0073679D" w:rsidRPr="00EC4958">
        <w:rPr>
          <w:rFonts w:ascii="Arial" w:hAnsi="Arial" w:cs="Arial"/>
          <w:i/>
          <w:sz w:val="24"/>
          <w:szCs w:val="24"/>
        </w:rPr>
        <w:t>Cotterel</w:t>
      </w:r>
      <w:proofErr w:type="spellEnd"/>
      <w:r w:rsidR="0073679D">
        <w:rPr>
          <w:rStyle w:val="FootnoteReference"/>
          <w:rFonts w:ascii="Arial" w:hAnsi="Arial" w:cs="Arial"/>
          <w:sz w:val="24"/>
          <w:szCs w:val="24"/>
        </w:rPr>
        <w:footnoteReference w:id="27"/>
      </w:r>
      <w:r w:rsidR="00C177D8" w:rsidRPr="0073679D">
        <w:rPr>
          <w:rFonts w:ascii="Arial" w:hAnsi="Arial" w:cs="Arial"/>
          <w:i/>
          <w:sz w:val="24"/>
          <w:szCs w:val="24"/>
        </w:rPr>
        <w:t xml:space="preserve"> </w:t>
      </w:r>
      <w:r w:rsidR="0073679D" w:rsidRPr="0073679D">
        <w:rPr>
          <w:rFonts w:ascii="Arial" w:hAnsi="Arial" w:cs="Arial"/>
          <w:sz w:val="24"/>
          <w:szCs w:val="24"/>
        </w:rPr>
        <w:t>as follows:</w:t>
      </w:r>
      <w:r w:rsidR="0073679D">
        <w:rPr>
          <w:rFonts w:ascii="Arial" w:hAnsi="Arial" w:cs="Arial"/>
          <w:i/>
          <w:sz w:val="24"/>
          <w:szCs w:val="24"/>
        </w:rPr>
        <w:t xml:space="preserve"> </w:t>
      </w:r>
    </w:p>
    <w:p w:rsidR="00EC4958" w:rsidRDefault="00EC4958" w:rsidP="00C52CF6">
      <w:pPr>
        <w:spacing w:after="0" w:line="360" w:lineRule="auto"/>
        <w:jc w:val="both"/>
        <w:rPr>
          <w:rFonts w:ascii="Arial" w:hAnsi="Arial" w:cs="Arial"/>
          <w:i/>
          <w:sz w:val="24"/>
          <w:szCs w:val="24"/>
        </w:rPr>
      </w:pPr>
    </w:p>
    <w:p w:rsidR="00EC4958" w:rsidRDefault="00EC4958" w:rsidP="00C52CF6">
      <w:pPr>
        <w:spacing w:after="0" w:line="360" w:lineRule="auto"/>
        <w:jc w:val="both"/>
        <w:rPr>
          <w:rFonts w:ascii="Arial" w:hAnsi="Arial" w:cs="Arial"/>
          <w:sz w:val="24"/>
          <w:szCs w:val="24"/>
        </w:rPr>
      </w:pPr>
    </w:p>
    <w:p w:rsidR="0073679D" w:rsidRPr="00EC4958" w:rsidRDefault="0073679D" w:rsidP="00C52CF6">
      <w:pPr>
        <w:spacing w:after="0" w:line="360" w:lineRule="auto"/>
        <w:jc w:val="both"/>
        <w:rPr>
          <w:rFonts w:ascii="Arial" w:hAnsi="Arial" w:cs="Arial"/>
          <w:i/>
        </w:rPr>
      </w:pPr>
      <w:r>
        <w:rPr>
          <w:rFonts w:ascii="Arial" w:hAnsi="Arial" w:cs="Arial"/>
          <w:sz w:val="24"/>
          <w:szCs w:val="24"/>
        </w:rPr>
        <w:tab/>
      </w:r>
      <w:r w:rsidRPr="00EC4958">
        <w:rPr>
          <w:rFonts w:ascii="Arial" w:hAnsi="Arial" w:cs="Arial"/>
          <w:i/>
          <w:sz w:val="24"/>
          <w:szCs w:val="24"/>
        </w:rPr>
        <w:t>‘</w:t>
      </w:r>
      <w:r w:rsidRPr="00EC4958">
        <w:rPr>
          <w:rFonts w:ascii="Arial" w:hAnsi="Arial" w:cs="Arial"/>
          <w:i/>
        </w:rPr>
        <w:t xml:space="preserve">[32] In order for a provision to be severed from an agreement to render the remaining part legal and enforceable, one has to consider, amongst others, whether the provision </w:t>
      </w:r>
      <w:r w:rsidRPr="00EC4958">
        <w:rPr>
          <w:rFonts w:ascii="Arial" w:hAnsi="Arial" w:cs="Arial"/>
          <w:i/>
        </w:rPr>
        <w:lastRenderedPageBreak/>
        <w:t>concerned embodies the main purpose of the transaction as a whole or whether the agreement is made up of several distinct provisions. The former would result in the entire contract being illegal as the said provision cannot be severed from the contract</w:t>
      </w:r>
      <w:r w:rsidRPr="00EC4958">
        <w:rPr>
          <w:rStyle w:val="FootnoteReference"/>
          <w:rFonts w:ascii="Arial" w:hAnsi="Arial" w:cs="Arial"/>
          <w:i/>
        </w:rPr>
        <w:footnoteReference w:id="28"/>
      </w:r>
      <w:r w:rsidRPr="00EC4958">
        <w:rPr>
          <w:rFonts w:ascii="Arial" w:hAnsi="Arial" w:cs="Arial"/>
          <w:i/>
        </w:rPr>
        <w:t>. If the illegal provision is merely an additional stipulation not going to the principal purpose of the contract, it is severable. The intention of the parties must also be considered. I respectfully agree with the proposition made by Prof Kerr that the crucial question is whether the parties would have entered into the agreement if the phrase in question had been expunged</w:t>
      </w:r>
      <w:r w:rsidRPr="00EC4958">
        <w:rPr>
          <w:rStyle w:val="FootnoteReference"/>
          <w:rFonts w:ascii="Arial" w:hAnsi="Arial" w:cs="Arial"/>
          <w:i/>
        </w:rPr>
        <w:footnoteReference w:id="29"/>
      </w:r>
      <w:r w:rsidRPr="00EC4958">
        <w:rPr>
          <w:rFonts w:ascii="Arial" w:hAnsi="Arial" w:cs="Arial"/>
          <w:i/>
        </w:rPr>
        <w:t>. ’</w:t>
      </w:r>
    </w:p>
    <w:p w:rsidR="00C177D8" w:rsidRPr="0073679D" w:rsidRDefault="00C177D8" w:rsidP="00C52CF6">
      <w:pPr>
        <w:spacing w:after="0" w:line="360" w:lineRule="auto"/>
        <w:jc w:val="both"/>
        <w:rPr>
          <w:rFonts w:ascii="Arial" w:hAnsi="Arial" w:cs="Arial"/>
        </w:rPr>
      </w:pPr>
    </w:p>
    <w:p w:rsidR="00F405C7" w:rsidRDefault="00F405C7" w:rsidP="00C52CF6">
      <w:pPr>
        <w:spacing w:after="0" w:line="360" w:lineRule="auto"/>
        <w:jc w:val="both"/>
        <w:rPr>
          <w:rFonts w:ascii="Arial" w:hAnsi="Arial" w:cs="Arial"/>
          <w:sz w:val="24"/>
          <w:szCs w:val="24"/>
        </w:rPr>
      </w:pPr>
    </w:p>
    <w:p w:rsidR="0050414F" w:rsidRDefault="00EC4958" w:rsidP="00C52CF6">
      <w:pPr>
        <w:spacing w:after="0" w:line="360" w:lineRule="auto"/>
        <w:jc w:val="both"/>
        <w:rPr>
          <w:rFonts w:ascii="Arial" w:hAnsi="Arial" w:cs="Arial"/>
          <w:sz w:val="24"/>
          <w:szCs w:val="24"/>
        </w:rPr>
      </w:pPr>
      <w:r>
        <w:rPr>
          <w:rFonts w:ascii="Arial" w:hAnsi="Arial" w:cs="Arial"/>
          <w:sz w:val="24"/>
          <w:szCs w:val="24"/>
        </w:rPr>
        <w:t>[37</w:t>
      </w:r>
      <w:r w:rsidR="00046736">
        <w:rPr>
          <w:rFonts w:ascii="Arial" w:hAnsi="Arial" w:cs="Arial"/>
          <w:sz w:val="24"/>
          <w:szCs w:val="24"/>
        </w:rPr>
        <w:t>]</w:t>
      </w:r>
      <w:r w:rsidR="00046736">
        <w:rPr>
          <w:rFonts w:ascii="Arial" w:hAnsi="Arial" w:cs="Arial"/>
          <w:sz w:val="24"/>
          <w:szCs w:val="24"/>
        </w:rPr>
        <w:tab/>
        <w:t xml:space="preserve"> The agreement between the parties did not specifically address the issue of severability </w:t>
      </w:r>
      <w:r w:rsidR="00F834FA">
        <w:rPr>
          <w:rFonts w:ascii="Arial" w:hAnsi="Arial" w:cs="Arial"/>
          <w:sz w:val="24"/>
          <w:szCs w:val="24"/>
        </w:rPr>
        <w:t xml:space="preserve">and there is no indication that if clause 3 was not contained in the agreement that the parties would not have concluded the agreement. In fact, Mr Coetzee testified that if the parties did not reach an agreement on the issue of housing allowance it would have been removed from the table to be negotiated separately. </w:t>
      </w:r>
    </w:p>
    <w:p w:rsidR="00EC4958" w:rsidRDefault="00EC4958" w:rsidP="00C52CF6">
      <w:pPr>
        <w:spacing w:after="0" w:line="360" w:lineRule="auto"/>
        <w:jc w:val="both"/>
        <w:rPr>
          <w:rFonts w:ascii="Arial" w:hAnsi="Arial" w:cs="Arial"/>
          <w:sz w:val="24"/>
          <w:szCs w:val="24"/>
        </w:rPr>
      </w:pPr>
    </w:p>
    <w:p w:rsidR="00F834FA" w:rsidRDefault="00F834FA" w:rsidP="00C52CF6">
      <w:pPr>
        <w:spacing w:after="0" w:line="360" w:lineRule="auto"/>
        <w:jc w:val="both"/>
        <w:rPr>
          <w:rFonts w:ascii="Arial" w:hAnsi="Arial" w:cs="Arial"/>
          <w:sz w:val="24"/>
          <w:szCs w:val="24"/>
        </w:rPr>
      </w:pPr>
    </w:p>
    <w:p w:rsidR="000B5ADC" w:rsidRDefault="00EC4958" w:rsidP="00C52CF6">
      <w:pPr>
        <w:spacing w:after="0" w:line="360" w:lineRule="auto"/>
        <w:jc w:val="both"/>
        <w:rPr>
          <w:rFonts w:ascii="Arial" w:hAnsi="Arial" w:cs="Arial"/>
          <w:sz w:val="24"/>
          <w:szCs w:val="24"/>
        </w:rPr>
      </w:pPr>
      <w:r>
        <w:rPr>
          <w:rFonts w:ascii="Arial" w:hAnsi="Arial" w:cs="Arial"/>
          <w:sz w:val="24"/>
          <w:szCs w:val="24"/>
        </w:rPr>
        <w:t>[38</w:t>
      </w:r>
      <w:r w:rsidR="00F834FA">
        <w:rPr>
          <w:rFonts w:ascii="Arial" w:hAnsi="Arial" w:cs="Arial"/>
          <w:sz w:val="24"/>
          <w:szCs w:val="24"/>
        </w:rPr>
        <w:t xml:space="preserve">] </w:t>
      </w:r>
      <w:r w:rsidR="00F834FA">
        <w:rPr>
          <w:rFonts w:ascii="Arial" w:hAnsi="Arial" w:cs="Arial"/>
          <w:sz w:val="24"/>
          <w:szCs w:val="24"/>
        </w:rPr>
        <w:tab/>
        <w:t>Having regard to the substantive agreement</w:t>
      </w:r>
      <w:r>
        <w:rPr>
          <w:rFonts w:ascii="Arial" w:hAnsi="Arial" w:cs="Arial"/>
          <w:sz w:val="24"/>
          <w:szCs w:val="24"/>
        </w:rPr>
        <w:t>,</w:t>
      </w:r>
      <w:r w:rsidR="00F834FA">
        <w:rPr>
          <w:rFonts w:ascii="Arial" w:hAnsi="Arial" w:cs="Arial"/>
          <w:sz w:val="24"/>
          <w:szCs w:val="24"/>
        </w:rPr>
        <w:t xml:space="preserve"> it is evident that clause 3 is one of a number of different </w:t>
      </w:r>
      <w:r w:rsidR="000B5ADC">
        <w:rPr>
          <w:rFonts w:ascii="Arial" w:hAnsi="Arial" w:cs="Arial"/>
          <w:sz w:val="24"/>
          <w:szCs w:val="24"/>
        </w:rPr>
        <w:t>issues</w:t>
      </w:r>
      <w:r w:rsidR="00F834FA">
        <w:rPr>
          <w:rFonts w:ascii="Arial" w:hAnsi="Arial" w:cs="Arial"/>
          <w:sz w:val="24"/>
          <w:szCs w:val="24"/>
        </w:rPr>
        <w:t xml:space="preserve"> </w:t>
      </w:r>
      <w:r w:rsidR="000B5ADC">
        <w:rPr>
          <w:rFonts w:ascii="Arial" w:hAnsi="Arial" w:cs="Arial"/>
          <w:sz w:val="24"/>
          <w:szCs w:val="24"/>
        </w:rPr>
        <w:t>that were the subject matter of the negotiations. None of the remaining clauses</w:t>
      </w:r>
      <w:r w:rsidR="006732FF">
        <w:rPr>
          <w:rFonts w:ascii="Arial" w:hAnsi="Arial" w:cs="Arial"/>
          <w:sz w:val="24"/>
          <w:szCs w:val="24"/>
        </w:rPr>
        <w:t xml:space="preserve"> of the agreement either in </w:t>
      </w:r>
      <w:r w:rsidR="000B5ADC">
        <w:rPr>
          <w:rFonts w:ascii="Arial" w:hAnsi="Arial" w:cs="Arial"/>
          <w:sz w:val="24"/>
          <w:szCs w:val="24"/>
        </w:rPr>
        <w:t>its nature</w:t>
      </w:r>
      <w:r w:rsidR="006732FF">
        <w:rPr>
          <w:rFonts w:ascii="Arial" w:hAnsi="Arial" w:cs="Arial"/>
          <w:sz w:val="24"/>
          <w:szCs w:val="24"/>
        </w:rPr>
        <w:t xml:space="preserve"> or </w:t>
      </w:r>
      <w:r w:rsidR="000B5ADC">
        <w:rPr>
          <w:rFonts w:ascii="Arial" w:hAnsi="Arial" w:cs="Arial"/>
          <w:sz w:val="24"/>
          <w:szCs w:val="24"/>
        </w:rPr>
        <w:t xml:space="preserve">substance </w:t>
      </w:r>
      <w:r w:rsidR="006732FF">
        <w:rPr>
          <w:rFonts w:ascii="Arial" w:hAnsi="Arial" w:cs="Arial"/>
          <w:sz w:val="24"/>
          <w:szCs w:val="24"/>
        </w:rPr>
        <w:t>are</w:t>
      </w:r>
      <w:r w:rsidR="000B5ADC">
        <w:rPr>
          <w:rFonts w:ascii="Arial" w:hAnsi="Arial" w:cs="Arial"/>
          <w:sz w:val="24"/>
          <w:szCs w:val="24"/>
        </w:rPr>
        <w:t xml:space="preserve"> depend</w:t>
      </w:r>
      <w:r w:rsidR="006732FF">
        <w:rPr>
          <w:rFonts w:ascii="Arial" w:hAnsi="Arial" w:cs="Arial"/>
          <w:sz w:val="24"/>
          <w:szCs w:val="24"/>
        </w:rPr>
        <w:t>ent</w:t>
      </w:r>
      <w:r w:rsidR="000B5ADC">
        <w:rPr>
          <w:rFonts w:ascii="Arial" w:hAnsi="Arial" w:cs="Arial"/>
          <w:sz w:val="24"/>
          <w:szCs w:val="24"/>
        </w:rPr>
        <w:t xml:space="preserve"> on clause 3</w:t>
      </w:r>
      <w:r>
        <w:rPr>
          <w:rFonts w:ascii="Arial" w:hAnsi="Arial" w:cs="Arial"/>
          <w:sz w:val="24"/>
          <w:szCs w:val="24"/>
        </w:rPr>
        <w:t>,</w:t>
      </w:r>
      <w:r w:rsidR="000B5ADC">
        <w:rPr>
          <w:rFonts w:ascii="Arial" w:hAnsi="Arial" w:cs="Arial"/>
          <w:sz w:val="24"/>
          <w:szCs w:val="24"/>
        </w:rPr>
        <w:t xml:space="preserve"> as </w:t>
      </w:r>
      <w:r w:rsidR="000B5ADC" w:rsidRPr="000B5ADC">
        <w:rPr>
          <w:rFonts w:ascii="Arial" w:hAnsi="Arial" w:cs="Arial"/>
          <w:sz w:val="24"/>
          <w:szCs w:val="24"/>
        </w:rPr>
        <w:t>each</w:t>
      </w:r>
      <w:r w:rsidR="006732FF">
        <w:rPr>
          <w:rFonts w:ascii="Arial" w:hAnsi="Arial" w:cs="Arial"/>
          <w:sz w:val="24"/>
          <w:szCs w:val="24"/>
        </w:rPr>
        <w:t xml:space="preserve"> one of these remaining clauses</w:t>
      </w:r>
      <w:r w:rsidR="000B5ADC" w:rsidRPr="000B5ADC">
        <w:rPr>
          <w:rFonts w:ascii="Arial" w:hAnsi="Arial" w:cs="Arial"/>
          <w:sz w:val="24"/>
          <w:szCs w:val="24"/>
        </w:rPr>
        <w:t xml:space="preserve"> stand separate and apart from the other</w:t>
      </w:r>
      <w:r w:rsidR="006732FF">
        <w:rPr>
          <w:rFonts w:ascii="Arial" w:hAnsi="Arial" w:cs="Arial"/>
          <w:sz w:val="24"/>
          <w:szCs w:val="24"/>
        </w:rPr>
        <w:t xml:space="preserve">. </w:t>
      </w:r>
    </w:p>
    <w:p w:rsidR="00EC4958" w:rsidRDefault="00EC4958" w:rsidP="00C52CF6">
      <w:pPr>
        <w:spacing w:after="0" w:line="360" w:lineRule="auto"/>
        <w:jc w:val="both"/>
        <w:rPr>
          <w:rFonts w:ascii="Arial" w:hAnsi="Arial" w:cs="Arial"/>
          <w:sz w:val="24"/>
          <w:szCs w:val="24"/>
        </w:rPr>
      </w:pPr>
    </w:p>
    <w:p w:rsidR="006732FF" w:rsidRDefault="006732FF" w:rsidP="00C52CF6">
      <w:pPr>
        <w:spacing w:after="0" w:line="360" w:lineRule="auto"/>
        <w:jc w:val="both"/>
        <w:rPr>
          <w:rFonts w:ascii="Arial" w:hAnsi="Arial" w:cs="Arial"/>
          <w:sz w:val="24"/>
          <w:szCs w:val="24"/>
        </w:rPr>
      </w:pPr>
    </w:p>
    <w:p w:rsidR="006732FF" w:rsidRDefault="006732FF" w:rsidP="00C52CF6">
      <w:pPr>
        <w:spacing w:after="0" w:line="360" w:lineRule="auto"/>
        <w:jc w:val="both"/>
        <w:rPr>
          <w:rFonts w:ascii="Arial" w:hAnsi="Arial" w:cs="Arial"/>
          <w:sz w:val="24"/>
          <w:szCs w:val="24"/>
        </w:rPr>
      </w:pPr>
      <w:r>
        <w:rPr>
          <w:rFonts w:ascii="Arial" w:hAnsi="Arial" w:cs="Arial"/>
          <w:sz w:val="24"/>
          <w:szCs w:val="24"/>
        </w:rPr>
        <w:t>[3</w:t>
      </w:r>
      <w:r w:rsidR="00EC4958">
        <w:rPr>
          <w:rFonts w:ascii="Arial" w:hAnsi="Arial" w:cs="Arial"/>
          <w:sz w:val="24"/>
          <w:szCs w:val="24"/>
        </w:rPr>
        <w:t>9</w:t>
      </w:r>
      <w:r>
        <w:rPr>
          <w:rFonts w:ascii="Arial" w:hAnsi="Arial" w:cs="Arial"/>
          <w:sz w:val="24"/>
          <w:szCs w:val="24"/>
        </w:rPr>
        <w:t>]</w:t>
      </w:r>
      <w:r>
        <w:rPr>
          <w:rFonts w:ascii="Arial" w:hAnsi="Arial" w:cs="Arial"/>
          <w:sz w:val="24"/>
          <w:szCs w:val="24"/>
        </w:rPr>
        <w:tab/>
        <w:t xml:space="preserve">I am thus satisfied that clause 3 is indeed severable from the substantive agreement without affecting the validity of the said agreement. </w:t>
      </w:r>
    </w:p>
    <w:p w:rsidR="00EC4958" w:rsidRDefault="00EC4958" w:rsidP="00C52CF6">
      <w:pPr>
        <w:spacing w:after="0" w:line="360" w:lineRule="auto"/>
        <w:jc w:val="both"/>
        <w:rPr>
          <w:rFonts w:ascii="Arial" w:hAnsi="Arial" w:cs="Arial"/>
          <w:sz w:val="24"/>
          <w:szCs w:val="24"/>
        </w:rPr>
      </w:pPr>
    </w:p>
    <w:p w:rsidR="006732FF" w:rsidRDefault="006732FF" w:rsidP="00C52CF6">
      <w:pPr>
        <w:spacing w:after="0" w:line="360" w:lineRule="auto"/>
        <w:jc w:val="both"/>
        <w:rPr>
          <w:rFonts w:ascii="Arial" w:hAnsi="Arial" w:cs="Arial"/>
          <w:sz w:val="24"/>
          <w:szCs w:val="24"/>
        </w:rPr>
      </w:pPr>
    </w:p>
    <w:p w:rsidR="00B048CF" w:rsidRDefault="00EC4958" w:rsidP="00B048CF">
      <w:pPr>
        <w:spacing w:after="0" w:line="360" w:lineRule="auto"/>
        <w:jc w:val="both"/>
        <w:rPr>
          <w:rFonts w:ascii="Arial" w:hAnsi="Arial" w:cs="Arial"/>
          <w:sz w:val="24"/>
          <w:szCs w:val="24"/>
        </w:rPr>
      </w:pPr>
      <w:r>
        <w:rPr>
          <w:rFonts w:ascii="Arial" w:hAnsi="Arial" w:cs="Arial"/>
          <w:sz w:val="24"/>
          <w:szCs w:val="24"/>
        </w:rPr>
        <w:t>[40</w:t>
      </w:r>
      <w:r w:rsidR="006732FF">
        <w:rPr>
          <w:rFonts w:ascii="Arial" w:hAnsi="Arial" w:cs="Arial"/>
          <w:sz w:val="24"/>
          <w:szCs w:val="24"/>
        </w:rPr>
        <w:t xml:space="preserve">] </w:t>
      </w:r>
      <w:r w:rsidR="006732FF">
        <w:rPr>
          <w:rFonts w:ascii="Arial" w:hAnsi="Arial" w:cs="Arial"/>
          <w:sz w:val="24"/>
          <w:szCs w:val="24"/>
        </w:rPr>
        <w:tab/>
      </w:r>
      <w:r w:rsidR="00B048CF">
        <w:rPr>
          <w:rFonts w:ascii="Arial" w:eastAsia="Calibri" w:hAnsi="Arial" w:cs="Arial"/>
          <w:sz w:val="24"/>
          <w:szCs w:val="24"/>
        </w:rPr>
        <w:t xml:space="preserve">Based on the foregoing analysis </w:t>
      </w:r>
      <w:r w:rsidR="004E6DD3">
        <w:rPr>
          <w:rFonts w:ascii="Arial" w:hAnsi="Arial" w:cs="Arial"/>
          <w:sz w:val="24"/>
          <w:szCs w:val="24"/>
        </w:rPr>
        <w:t>and</w:t>
      </w:r>
      <w:r w:rsidR="00B048CF">
        <w:rPr>
          <w:rFonts w:ascii="Arial" w:eastAsia="Calibri" w:hAnsi="Arial" w:cs="Arial"/>
          <w:sz w:val="24"/>
          <w:szCs w:val="24"/>
        </w:rPr>
        <w:t xml:space="preserve"> conclusions, I hold that the appellant has not made out a case that the arbitrator ‘reached a decision which no reasonable tribunal on a proper appreciation of the evidence and the law could not have reached</w:t>
      </w:r>
      <w:r w:rsidR="00B048CF">
        <w:rPr>
          <w:rStyle w:val="FootnoteReference"/>
          <w:rFonts w:ascii="Arial" w:hAnsi="Arial" w:cs="Arial"/>
          <w:sz w:val="24"/>
          <w:szCs w:val="24"/>
        </w:rPr>
        <w:footnoteReference w:id="30"/>
      </w:r>
      <w:r w:rsidR="00B048CF">
        <w:rPr>
          <w:rFonts w:ascii="Arial" w:eastAsia="Calibri" w:hAnsi="Arial" w:cs="Arial"/>
          <w:sz w:val="24"/>
          <w:szCs w:val="24"/>
        </w:rPr>
        <w:t>’</w:t>
      </w:r>
      <w:r w:rsidR="00B048CF">
        <w:rPr>
          <w:rFonts w:ascii="Arial" w:hAnsi="Arial" w:cs="Arial"/>
          <w:sz w:val="24"/>
          <w:szCs w:val="24"/>
        </w:rPr>
        <w:t xml:space="preserve"> and</w:t>
      </w:r>
      <w:r w:rsidR="00B048CF">
        <w:rPr>
          <w:rFonts w:ascii="Arial" w:eastAsia="Calibri" w:hAnsi="Arial" w:cs="Arial"/>
          <w:sz w:val="24"/>
          <w:szCs w:val="24"/>
        </w:rPr>
        <w:t xml:space="preserve"> the appeal should</w:t>
      </w:r>
      <w:r w:rsidR="00B048CF">
        <w:rPr>
          <w:rFonts w:ascii="Arial" w:hAnsi="Arial" w:cs="Arial"/>
          <w:sz w:val="24"/>
          <w:szCs w:val="24"/>
        </w:rPr>
        <w:t xml:space="preserve"> therefore</w:t>
      </w:r>
      <w:r w:rsidR="00B048CF">
        <w:rPr>
          <w:rFonts w:ascii="Arial" w:eastAsia="Calibri" w:hAnsi="Arial" w:cs="Arial"/>
          <w:sz w:val="24"/>
          <w:szCs w:val="24"/>
        </w:rPr>
        <w:t xml:space="preserve"> fail</w:t>
      </w:r>
      <w:r w:rsidR="00B048CF">
        <w:rPr>
          <w:rFonts w:ascii="Arial" w:hAnsi="Arial" w:cs="Arial"/>
          <w:sz w:val="24"/>
          <w:szCs w:val="24"/>
        </w:rPr>
        <w:t xml:space="preserve">. </w:t>
      </w:r>
    </w:p>
    <w:p w:rsidR="00EC4958" w:rsidRDefault="00EC4958" w:rsidP="00B048CF">
      <w:pPr>
        <w:spacing w:after="0" w:line="360" w:lineRule="auto"/>
        <w:jc w:val="both"/>
        <w:rPr>
          <w:rFonts w:ascii="Arial" w:hAnsi="Arial" w:cs="Arial"/>
          <w:sz w:val="24"/>
          <w:szCs w:val="24"/>
        </w:rPr>
      </w:pPr>
    </w:p>
    <w:p w:rsidR="00B048CF" w:rsidRDefault="00B048CF" w:rsidP="00B048CF">
      <w:pPr>
        <w:spacing w:after="0" w:line="360" w:lineRule="auto"/>
        <w:jc w:val="both"/>
        <w:rPr>
          <w:rFonts w:ascii="Arial" w:hAnsi="Arial" w:cs="Arial"/>
          <w:sz w:val="24"/>
          <w:szCs w:val="24"/>
        </w:rPr>
      </w:pPr>
    </w:p>
    <w:p w:rsidR="00B048CF" w:rsidRDefault="00EC4958" w:rsidP="00B048CF">
      <w:pPr>
        <w:spacing w:after="0" w:line="360" w:lineRule="auto"/>
        <w:jc w:val="both"/>
        <w:rPr>
          <w:rFonts w:ascii="Arial" w:hAnsi="Arial" w:cs="Arial"/>
          <w:sz w:val="24"/>
          <w:szCs w:val="24"/>
        </w:rPr>
      </w:pPr>
      <w:r>
        <w:rPr>
          <w:rFonts w:ascii="Arial" w:hAnsi="Arial" w:cs="Arial"/>
          <w:sz w:val="24"/>
          <w:szCs w:val="24"/>
        </w:rPr>
        <w:t>[41</w:t>
      </w:r>
      <w:r w:rsidR="00B048CF">
        <w:rPr>
          <w:rFonts w:ascii="Arial" w:hAnsi="Arial" w:cs="Arial"/>
          <w:sz w:val="24"/>
          <w:szCs w:val="24"/>
        </w:rPr>
        <w:t xml:space="preserve">] </w:t>
      </w:r>
      <w:r w:rsidR="00B048CF">
        <w:rPr>
          <w:rFonts w:ascii="Arial" w:hAnsi="Arial" w:cs="Arial"/>
          <w:sz w:val="24"/>
          <w:szCs w:val="24"/>
        </w:rPr>
        <w:tab/>
        <w:t xml:space="preserve">In the result I make the following order: </w:t>
      </w:r>
    </w:p>
    <w:p w:rsidR="00EC4958" w:rsidRDefault="00EC4958" w:rsidP="00B048CF">
      <w:pPr>
        <w:spacing w:after="0" w:line="360" w:lineRule="auto"/>
        <w:jc w:val="both"/>
        <w:rPr>
          <w:rFonts w:ascii="Arial" w:eastAsia="Calibri" w:hAnsi="Arial" w:cs="Arial"/>
          <w:sz w:val="24"/>
          <w:szCs w:val="24"/>
        </w:rPr>
      </w:pPr>
    </w:p>
    <w:p w:rsidR="00EC4958" w:rsidRDefault="00EC4958" w:rsidP="00EC4958">
      <w:pPr>
        <w:spacing w:after="0" w:line="360" w:lineRule="auto"/>
        <w:jc w:val="both"/>
        <w:rPr>
          <w:rFonts w:ascii="Arial" w:eastAsia="Calibri" w:hAnsi="Arial" w:cs="Arial"/>
          <w:sz w:val="24"/>
          <w:szCs w:val="24"/>
        </w:rPr>
      </w:pPr>
    </w:p>
    <w:p w:rsidR="00EC4958" w:rsidRDefault="00B048CF" w:rsidP="00EC4958">
      <w:pPr>
        <w:pStyle w:val="ListParagraph"/>
        <w:numPr>
          <w:ilvl w:val="0"/>
          <w:numId w:val="13"/>
        </w:numPr>
        <w:rPr>
          <w:rFonts w:eastAsia="Calibri"/>
        </w:rPr>
      </w:pPr>
      <w:r w:rsidRPr="00EC4958">
        <w:rPr>
          <w:rFonts w:eastAsia="Calibri"/>
        </w:rPr>
        <w:t>The appeal is dismissed.</w:t>
      </w:r>
    </w:p>
    <w:p w:rsidR="00EC4958" w:rsidRDefault="00EC4958" w:rsidP="00EC4958">
      <w:pPr>
        <w:pStyle w:val="ListParagraph"/>
        <w:ind w:left="720" w:firstLine="0"/>
        <w:rPr>
          <w:rFonts w:eastAsia="Calibri"/>
        </w:rPr>
      </w:pPr>
    </w:p>
    <w:p w:rsidR="00B048CF" w:rsidRPr="00EC4958" w:rsidRDefault="00B048CF" w:rsidP="00EC4958">
      <w:pPr>
        <w:pStyle w:val="ListParagraph"/>
        <w:numPr>
          <w:ilvl w:val="0"/>
          <w:numId w:val="13"/>
        </w:numPr>
        <w:rPr>
          <w:rFonts w:eastAsia="Calibri"/>
        </w:rPr>
      </w:pPr>
      <w:r w:rsidRPr="00EC4958">
        <w:t>No order as to</w:t>
      </w:r>
      <w:r w:rsidRPr="00EC4958">
        <w:rPr>
          <w:rFonts w:eastAsia="Calibri"/>
        </w:rPr>
        <w:t xml:space="preserve"> costs.</w:t>
      </w:r>
    </w:p>
    <w:p w:rsidR="00AA5B99" w:rsidRDefault="00AA5B99" w:rsidP="00AA5B99">
      <w:pPr>
        <w:spacing w:after="0" w:line="360" w:lineRule="auto"/>
        <w:jc w:val="right"/>
        <w:rPr>
          <w:rFonts w:ascii="Arial" w:hAnsi="Arial" w:cs="Arial"/>
          <w:sz w:val="24"/>
          <w:szCs w:val="24"/>
        </w:rPr>
      </w:pPr>
    </w:p>
    <w:p w:rsidR="00EC4958" w:rsidRDefault="00EC4958" w:rsidP="00AA5B99">
      <w:pPr>
        <w:spacing w:after="0" w:line="360" w:lineRule="auto"/>
        <w:jc w:val="right"/>
        <w:rPr>
          <w:rFonts w:ascii="Arial" w:hAnsi="Arial" w:cs="Arial"/>
          <w:sz w:val="24"/>
          <w:szCs w:val="24"/>
        </w:rPr>
      </w:pPr>
    </w:p>
    <w:p w:rsidR="00EC4958" w:rsidRPr="006E026B" w:rsidRDefault="00EC4958" w:rsidP="00AA5B99">
      <w:pPr>
        <w:spacing w:after="0" w:line="360" w:lineRule="auto"/>
        <w:jc w:val="right"/>
        <w:rPr>
          <w:rFonts w:ascii="Arial" w:hAnsi="Arial" w:cs="Arial"/>
          <w:sz w:val="24"/>
          <w:szCs w:val="24"/>
        </w:rPr>
      </w:pPr>
    </w:p>
    <w:p w:rsidR="00AA5B99" w:rsidRPr="006E026B" w:rsidRDefault="00AA5B99" w:rsidP="00AA5B99">
      <w:pPr>
        <w:spacing w:after="0" w:line="360" w:lineRule="auto"/>
        <w:jc w:val="right"/>
        <w:rPr>
          <w:rFonts w:ascii="Arial" w:hAnsi="Arial" w:cs="Arial"/>
          <w:sz w:val="24"/>
          <w:szCs w:val="24"/>
        </w:rPr>
      </w:pPr>
      <w:r w:rsidRPr="006E026B">
        <w:rPr>
          <w:rFonts w:ascii="Arial" w:hAnsi="Arial" w:cs="Arial"/>
          <w:sz w:val="24"/>
          <w:szCs w:val="24"/>
        </w:rPr>
        <w:t>----------------------------------</w:t>
      </w:r>
    </w:p>
    <w:p w:rsidR="00AA5B99" w:rsidRPr="006E026B" w:rsidRDefault="006732FF" w:rsidP="00AA5B99">
      <w:pPr>
        <w:spacing w:after="0" w:line="360" w:lineRule="auto"/>
        <w:jc w:val="right"/>
        <w:rPr>
          <w:rFonts w:ascii="Arial" w:hAnsi="Arial" w:cs="Arial"/>
          <w:sz w:val="24"/>
          <w:szCs w:val="24"/>
        </w:rPr>
      </w:pPr>
      <w:r>
        <w:rPr>
          <w:rFonts w:ascii="Arial" w:hAnsi="Arial" w:cs="Arial"/>
          <w:sz w:val="24"/>
          <w:szCs w:val="24"/>
        </w:rPr>
        <w:t xml:space="preserve">J S </w:t>
      </w:r>
      <w:proofErr w:type="spellStart"/>
      <w:r>
        <w:rPr>
          <w:rFonts w:ascii="Arial" w:hAnsi="Arial" w:cs="Arial"/>
          <w:sz w:val="24"/>
          <w:szCs w:val="24"/>
        </w:rPr>
        <w:t>Prinsloo</w:t>
      </w:r>
      <w:proofErr w:type="spellEnd"/>
    </w:p>
    <w:p w:rsidR="00AA5B99" w:rsidRPr="008D7641" w:rsidRDefault="00AA5B99" w:rsidP="00AA5B99">
      <w:pPr>
        <w:spacing w:after="0" w:line="360" w:lineRule="auto"/>
        <w:jc w:val="right"/>
        <w:rPr>
          <w:rFonts w:ascii="Arial" w:hAnsi="Arial" w:cs="Arial"/>
          <w:sz w:val="24"/>
          <w:szCs w:val="24"/>
        </w:rPr>
      </w:pPr>
      <w:r>
        <w:rPr>
          <w:rFonts w:ascii="Arial" w:hAnsi="Arial" w:cs="Arial"/>
          <w:sz w:val="24"/>
          <w:szCs w:val="24"/>
        </w:rPr>
        <w:t>Acting Judge</w:t>
      </w:r>
    </w:p>
    <w:p w:rsidR="00AA5B99" w:rsidRDefault="00AA5B99" w:rsidP="00AA5B99">
      <w:pPr>
        <w:pStyle w:val="BodyText"/>
        <w:autoSpaceDE w:val="0"/>
        <w:autoSpaceDN w:val="0"/>
        <w:adjustRightInd w:val="0"/>
        <w:spacing w:line="360" w:lineRule="auto"/>
        <w:jc w:val="both"/>
        <w:rPr>
          <w:rFonts w:ascii="Arial" w:hAnsi="Arial" w:cs="Arial"/>
        </w:rPr>
      </w:pPr>
    </w:p>
    <w:p w:rsidR="00AA5B99" w:rsidRDefault="00AA5B99" w:rsidP="00AA5B99">
      <w:pPr>
        <w:pStyle w:val="BodyText"/>
        <w:autoSpaceDE w:val="0"/>
        <w:autoSpaceDN w:val="0"/>
        <w:adjustRightInd w:val="0"/>
        <w:spacing w:line="360" w:lineRule="auto"/>
        <w:jc w:val="both"/>
        <w:rPr>
          <w:rFonts w:ascii="Arial" w:hAnsi="Arial" w:cs="Arial"/>
        </w:rPr>
      </w:pPr>
    </w:p>
    <w:p w:rsidR="00AA5B99" w:rsidRDefault="00AA5B99" w:rsidP="00AA5B99">
      <w:pPr>
        <w:pStyle w:val="BodyText"/>
        <w:autoSpaceDE w:val="0"/>
        <w:autoSpaceDN w:val="0"/>
        <w:adjustRightInd w:val="0"/>
        <w:spacing w:line="360" w:lineRule="auto"/>
        <w:jc w:val="both"/>
        <w:rPr>
          <w:rFonts w:ascii="Arial" w:hAnsi="Arial" w:cs="Arial"/>
        </w:rPr>
      </w:pPr>
    </w:p>
    <w:p w:rsidR="009F2BBE" w:rsidRDefault="009F2BBE"/>
    <w:p w:rsidR="00EC4958" w:rsidRDefault="00EC4958"/>
    <w:p w:rsidR="00EC4958" w:rsidRDefault="00EC4958"/>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F5254B" w:rsidRDefault="00F5254B" w:rsidP="00EC4958">
      <w:pPr>
        <w:spacing w:line="360" w:lineRule="auto"/>
        <w:jc w:val="both"/>
        <w:rPr>
          <w:rFonts w:ascii="Arial" w:hAnsi="Arial" w:cs="Arial"/>
          <w:sz w:val="24"/>
          <w:szCs w:val="24"/>
        </w:rPr>
      </w:pPr>
    </w:p>
    <w:p w:rsidR="00EC4958" w:rsidRDefault="00EC4958" w:rsidP="00EC4958">
      <w:pPr>
        <w:spacing w:line="360" w:lineRule="auto"/>
        <w:jc w:val="both"/>
        <w:rPr>
          <w:rFonts w:ascii="Arial" w:hAnsi="Arial" w:cs="Arial"/>
          <w:sz w:val="24"/>
          <w:szCs w:val="24"/>
        </w:rPr>
      </w:pPr>
      <w:r w:rsidRPr="00EC4958">
        <w:rPr>
          <w:rFonts w:ascii="Arial" w:hAnsi="Arial" w:cs="Arial"/>
          <w:sz w:val="24"/>
          <w:szCs w:val="24"/>
        </w:rPr>
        <w:lastRenderedPageBreak/>
        <w:t>APPEARANCES:</w:t>
      </w:r>
    </w:p>
    <w:p w:rsidR="00EC4958" w:rsidRDefault="00EC4958" w:rsidP="00EC4958">
      <w:pPr>
        <w:spacing w:line="360" w:lineRule="auto"/>
        <w:jc w:val="both"/>
        <w:rPr>
          <w:rFonts w:ascii="Arial" w:hAnsi="Arial" w:cs="Arial"/>
          <w:sz w:val="24"/>
          <w:szCs w:val="24"/>
        </w:rPr>
      </w:pPr>
    </w:p>
    <w:p w:rsidR="00EC4958" w:rsidRDefault="00EC4958" w:rsidP="00EC4958">
      <w:pPr>
        <w:spacing w:line="360" w:lineRule="auto"/>
        <w:jc w:val="both"/>
        <w:rPr>
          <w:rFonts w:ascii="Arial" w:hAnsi="Arial" w:cs="Arial"/>
          <w:sz w:val="24"/>
          <w:szCs w:val="24"/>
        </w:rPr>
      </w:pPr>
      <w:r>
        <w:rPr>
          <w:rFonts w:ascii="Arial" w:hAnsi="Arial" w:cs="Arial"/>
          <w:sz w:val="24"/>
          <w:szCs w:val="24"/>
        </w:rPr>
        <w:t xml:space="preserve">FOR THE </w:t>
      </w:r>
      <w:r w:rsidR="00F5254B">
        <w:rPr>
          <w:rFonts w:ascii="Arial" w:hAnsi="Arial" w:cs="Arial"/>
          <w:sz w:val="24"/>
          <w:szCs w:val="24"/>
        </w:rPr>
        <w:t>APPELLANT</w:t>
      </w:r>
      <w:r>
        <w:rPr>
          <w:rFonts w:ascii="Arial" w:hAnsi="Arial" w:cs="Arial"/>
          <w:sz w:val="24"/>
          <w:szCs w:val="24"/>
        </w:rPr>
        <w:t>:</w:t>
      </w:r>
      <w:r w:rsidR="00F5254B">
        <w:rPr>
          <w:rFonts w:ascii="Arial" w:hAnsi="Arial" w:cs="Arial"/>
          <w:sz w:val="24"/>
          <w:szCs w:val="24"/>
        </w:rPr>
        <w:tab/>
      </w:r>
      <w:r w:rsidR="00F5254B">
        <w:rPr>
          <w:rFonts w:ascii="Arial" w:hAnsi="Arial" w:cs="Arial"/>
          <w:sz w:val="24"/>
          <w:szCs w:val="24"/>
        </w:rPr>
        <w:tab/>
      </w:r>
      <w:r w:rsidR="00F5254B">
        <w:rPr>
          <w:rFonts w:ascii="Arial" w:hAnsi="Arial" w:cs="Arial"/>
          <w:sz w:val="24"/>
          <w:szCs w:val="24"/>
        </w:rPr>
        <w:tab/>
      </w:r>
      <w:r w:rsidR="00F5254B">
        <w:rPr>
          <w:rFonts w:ascii="Arial" w:hAnsi="Arial" w:cs="Arial"/>
          <w:sz w:val="24"/>
          <w:szCs w:val="24"/>
        </w:rPr>
        <w:tab/>
        <w:t xml:space="preserve">Ms </w:t>
      </w:r>
      <w:proofErr w:type="spellStart"/>
      <w:r w:rsidR="00F5254B">
        <w:rPr>
          <w:rFonts w:ascii="Arial" w:hAnsi="Arial" w:cs="Arial"/>
          <w:sz w:val="24"/>
          <w:szCs w:val="24"/>
        </w:rPr>
        <w:t>Nambinga</w:t>
      </w:r>
      <w:proofErr w:type="spellEnd"/>
    </w:p>
    <w:p w:rsidR="00F5254B" w:rsidRDefault="00F5254B" w:rsidP="00EC4958">
      <w:pPr>
        <w:spacing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AngulaCo</w:t>
      </w:r>
      <w:proofErr w:type="spellEnd"/>
      <w:r>
        <w:rPr>
          <w:rFonts w:ascii="Arial" w:hAnsi="Arial" w:cs="Arial"/>
          <w:sz w:val="24"/>
          <w:szCs w:val="24"/>
        </w:rPr>
        <w:t xml:space="preserve"> </w:t>
      </w:r>
      <w:proofErr w:type="spellStart"/>
      <w:r>
        <w:rPr>
          <w:rFonts w:ascii="Arial" w:hAnsi="Arial" w:cs="Arial"/>
          <w:sz w:val="24"/>
          <w:szCs w:val="24"/>
        </w:rPr>
        <w:t>Inc</w:t>
      </w:r>
      <w:proofErr w:type="spellEnd"/>
      <w:r>
        <w:rPr>
          <w:rFonts w:ascii="Arial" w:hAnsi="Arial" w:cs="Arial"/>
          <w:sz w:val="24"/>
          <w:szCs w:val="24"/>
        </w:rPr>
        <w:t>, Windhoek</w:t>
      </w:r>
    </w:p>
    <w:p w:rsidR="00EC4958" w:rsidRDefault="00EC4958" w:rsidP="00EC4958">
      <w:pPr>
        <w:spacing w:line="360" w:lineRule="auto"/>
        <w:jc w:val="both"/>
        <w:rPr>
          <w:rFonts w:ascii="Arial" w:hAnsi="Arial" w:cs="Arial"/>
          <w:sz w:val="24"/>
          <w:szCs w:val="24"/>
        </w:rPr>
      </w:pPr>
    </w:p>
    <w:p w:rsidR="00EC4958" w:rsidRDefault="00EC4958" w:rsidP="00EC4958">
      <w:pPr>
        <w:spacing w:line="360" w:lineRule="auto"/>
        <w:jc w:val="both"/>
        <w:rPr>
          <w:rFonts w:ascii="Arial" w:hAnsi="Arial" w:cs="Arial"/>
          <w:sz w:val="24"/>
          <w:szCs w:val="24"/>
        </w:rPr>
      </w:pPr>
      <w:r>
        <w:rPr>
          <w:rFonts w:ascii="Arial" w:hAnsi="Arial" w:cs="Arial"/>
          <w:sz w:val="24"/>
          <w:szCs w:val="24"/>
        </w:rPr>
        <w:t xml:space="preserve">FOR THE </w:t>
      </w:r>
      <w:r w:rsidR="00F5254B">
        <w:rPr>
          <w:rFonts w:ascii="Arial" w:hAnsi="Arial" w:cs="Arial"/>
          <w:sz w:val="24"/>
          <w:szCs w:val="24"/>
        </w:rPr>
        <w:t>FIRST RESPONDENT</w:t>
      </w:r>
      <w:r>
        <w:rPr>
          <w:rFonts w:ascii="Arial" w:hAnsi="Arial" w:cs="Arial"/>
          <w:sz w:val="24"/>
          <w:szCs w:val="24"/>
        </w:rPr>
        <w:t>:</w:t>
      </w:r>
      <w:r w:rsidR="00F5254B">
        <w:rPr>
          <w:rFonts w:ascii="Arial" w:hAnsi="Arial" w:cs="Arial"/>
          <w:sz w:val="24"/>
          <w:szCs w:val="24"/>
        </w:rPr>
        <w:tab/>
      </w:r>
      <w:r w:rsidR="00F5254B">
        <w:rPr>
          <w:rFonts w:ascii="Arial" w:hAnsi="Arial" w:cs="Arial"/>
          <w:sz w:val="24"/>
          <w:szCs w:val="24"/>
        </w:rPr>
        <w:tab/>
        <w:t xml:space="preserve">Adv. R. </w:t>
      </w:r>
      <w:proofErr w:type="spellStart"/>
      <w:r w:rsidR="00F5254B">
        <w:rPr>
          <w:rFonts w:ascii="Arial" w:hAnsi="Arial" w:cs="Arial"/>
          <w:sz w:val="24"/>
          <w:szCs w:val="24"/>
        </w:rPr>
        <w:t>Maarsdorp</w:t>
      </w:r>
      <w:proofErr w:type="spellEnd"/>
    </w:p>
    <w:p w:rsidR="00F5254B" w:rsidRDefault="00F5254B" w:rsidP="00EC4958">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Kopplinger</w:t>
      </w:r>
      <w:proofErr w:type="spellEnd"/>
      <w:r>
        <w:rPr>
          <w:rFonts w:ascii="Arial" w:hAnsi="Arial" w:cs="Arial"/>
          <w:sz w:val="24"/>
          <w:szCs w:val="24"/>
        </w:rPr>
        <w:t xml:space="preserve"> </w:t>
      </w:r>
      <w:proofErr w:type="spellStart"/>
      <w:r>
        <w:rPr>
          <w:rFonts w:ascii="Arial" w:hAnsi="Arial" w:cs="Arial"/>
          <w:sz w:val="24"/>
          <w:szCs w:val="24"/>
        </w:rPr>
        <w:t>Boltman</w:t>
      </w:r>
      <w:proofErr w:type="spellEnd"/>
      <w:r>
        <w:rPr>
          <w:rFonts w:ascii="Arial" w:hAnsi="Arial" w:cs="Arial"/>
          <w:sz w:val="24"/>
          <w:szCs w:val="24"/>
        </w:rPr>
        <w:t>, Windhoek</w:t>
      </w:r>
    </w:p>
    <w:p w:rsidR="00F5254B" w:rsidRPr="00EC4958" w:rsidRDefault="00F5254B" w:rsidP="00EC4958">
      <w:pPr>
        <w:spacing w:line="360" w:lineRule="auto"/>
        <w:jc w:val="both"/>
        <w:rPr>
          <w:rFonts w:ascii="Arial" w:hAnsi="Arial" w:cs="Arial"/>
          <w:sz w:val="24"/>
          <w:szCs w:val="24"/>
        </w:rPr>
      </w:pPr>
    </w:p>
    <w:sectPr w:rsidR="00F5254B" w:rsidRPr="00EC4958" w:rsidSect="00C925A1">
      <w:headerReference w:type="default" r:id="rId12"/>
      <w:headerReference w:type="first" r:id="rId13"/>
      <w:pgSz w:w="11907" w:h="16839" w:code="9"/>
      <w:pgMar w:top="810" w:right="1440" w:bottom="990" w:left="1440" w:header="720" w:footer="4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EA" w:rsidRDefault="004529EA" w:rsidP="00AA5B99">
      <w:pPr>
        <w:spacing w:after="0" w:line="240" w:lineRule="auto"/>
      </w:pPr>
      <w:r>
        <w:separator/>
      </w:r>
    </w:p>
  </w:endnote>
  <w:endnote w:type="continuationSeparator" w:id="0">
    <w:p w:rsidR="004529EA" w:rsidRDefault="004529EA" w:rsidP="00AA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EA" w:rsidRDefault="004529EA" w:rsidP="00AA5B99">
      <w:pPr>
        <w:spacing w:after="0" w:line="240" w:lineRule="auto"/>
      </w:pPr>
      <w:r>
        <w:separator/>
      </w:r>
    </w:p>
  </w:footnote>
  <w:footnote w:type="continuationSeparator" w:id="0">
    <w:p w:rsidR="004529EA" w:rsidRDefault="004529EA" w:rsidP="00AA5B99">
      <w:pPr>
        <w:spacing w:after="0" w:line="240" w:lineRule="auto"/>
      </w:pPr>
      <w:r>
        <w:continuationSeparator/>
      </w:r>
    </w:p>
  </w:footnote>
  <w:footnote w:id="1">
    <w:p w:rsidR="00C925A1" w:rsidRPr="00BD0892" w:rsidRDefault="00C925A1">
      <w:pPr>
        <w:pStyle w:val="FootnoteText"/>
        <w:rPr>
          <w:rFonts w:ascii="Arial" w:hAnsi="Arial" w:cs="Arial"/>
        </w:rPr>
      </w:pPr>
      <w:r>
        <w:rPr>
          <w:rStyle w:val="FootnoteReference"/>
        </w:rPr>
        <w:footnoteRef/>
      </w:r>
      <w:r>
        <w:t xml:space="preserve"> </w:t>
      </w:r>
      <w:r w:rsidRPr="00BD0892">
        <w:rPr>
          <w:rFonts w:ascii="Arial" w:hAnsi="Arial" w:cs="Arial"/>
        </w:rPr>
        <w:t>Page 298 of the Court Bundle.</w:t>
      </w:r>
    </w:p>
  </w:footnote>
  <w:footnote w:id="2">
    <w:p w:rsidR="00C925A1" w:rsidRPr="00BD0892" w:rsidRDefault="00C925A1" w:rsidP="005C1B88">
      <w:pPr>
        <w:pStyle w:val="FootnoteText"/>
        <w:jc w:val="both"/>
        <w:rPr>
          <w:rFonts w:ascii="Arial" w:hAnsi="Arial" w:cs="Arial"/>
        </w:rPr>
      </w:pPr>
      <w:r w:rsidRPr="00BD0892">
        <w:rPr>
          <w:rStyle w:val="FootnoteReference"/>
          <w:rFonts w:ascii="Arial" w:hAnsi="Arial" w:cs="Arial"/>
        </w:rPr>
        <w:footnoteRef/>
      </w:r>
      <w:r w:rsidRPr="00BD0892">
        <w:rPr>
          <w:rFonts w:ascii="Arial" w:hAnsi="Arial" w:cs="Arial"/>
        </w:rPr>
        <w:t xml:space="preserve"> Page 7 to 20 of transcribed record.</w:t>
      </w:r>
    </w:p>
    <w:p w:rsidR="00C925A1" w:rsidRDefault="00C925A1">
      <w:pPr>
        <w:pStyle w:val="FootnoteText"/>
      </w:pPr>
    </w:p>
  </w:footnote>
  <w:footnote w:id="3">
    <w:p w:rsidR="00C925A1" w:rsidRDefault="00C925A1">
      <w:pPr>
        <w:pStyle w:val="FootnoteText"/>
      </w:pPr>
      <w:r>
        <w:rPr>
          <w:rStyle w:val="FootnoteReference"/>
        </w:rPr>
        <w:footnoteRef/>
      </w:r>
      <w:r>
        <w:t xml:space="preserve"> </w:t>
      </w:r>
      <w:r w:rsidRPr="005C1B88">
        <w:rPr>
          <w:rFonts w:ascii="Arial" w:hAnsi="Arial" w:cs="Arial"/>
        </w:rPr>
        <w:t>Page 26 to 71 of transcribed record.</w:t>
      </w:r>
    </w:p>
  </w:footnote>
  <w:footnote w:id="4">
    <w:p w:rsidR="00C925A1" w:rsidRDefault="00C925A1">
      <w:pPr>
        <w:pStyle w:val="FootnoteText"/>
      </w:pPr>
      <w:r>
        <w:rPr>
          <w:rStyle w:val="FootnoteReference"/>
        </w:rPr>
        <w:footnoteRef/>
      </w:r>
      <w:r>
        <w:t xml:space="preserve"> </w:t>
      </w:r>
      <w:r w:rsidRPr="00CF7D62">
        <w:rPr>
          <w:rFonts w:ascii="Arial" w:hAnsi="Arial" w:cs="Arial"/>
        </w:rPr>
        <w:t>Page 68 at 5-15 of the transcribed record.</w:t>
      </w:r>
    </w:p>
  </w:footnote>
  <w:footnote w:id="5">
    <w:p w:rsidR="00C925A1" w:rsidRDefault="00C925A1">
      <w:pPr>
        <w:pStyle w:val="FootnoteText"/>
      </w:pPr>
      <w:r>
        <w:rPr>
          <w:rStyle w:val="FootnoteReference"/>
        </w:rPr>
        <w:footnoteRef/>
      </w:r>
      <w:r>
        <w:t xml:space="preserve"> </w:t>
      </w:r>
      <w:r w:rsidRPr="005C1B88">
        <w:rPr>
          <w:rFonts w:ascii="Arial" w:hAnsi="Arial" w:cs="Arial"/>
        </w:rPr>
        <w:t>Page 72 to 94 of transcribed record.</w:t>
      </w:r>
    </w:p>
  </w:footnote>
  <w:footnote w:id="6">
    <w:p w:rsidR="00C925A1" w:rsidRDefault="00C925A1">
      <w:pPr>
        <w:pStyle w:val="FootnoteText"/>
      </w:pPr>
      <w:r>
        <w:rPr>
          <w:rStyle w:val="FootnoteReference"/>
        </w:rPr>
        <w:footnoteRef/>
      </w:r>
      <w:r>
        <w:t xml:space="preserve"> </w:t>
      </w:r>
      <w:r w:rsidRPr="00AE3368">
        <w:rPr>
          <w:rFonts w:ascii="Arial" w:hAnsi="Arial" w:cs="Arial"/>
        </w:rPr>
        <w:t>Page 97 to 112 of transcribed record</w:t>
      </w:r>
      <w:r>
        <w:rPr>
          <w:rFonts w:ascii="Arial" w:hAnsi="Arial" w:cs="Arial"/>
        </w:rPr>
        <w:t>.</w:t>
      </w:r>
    </w:p>
  </w:footnote>
  <w:footnote w:id="7">
    <w:p w:rsidR="00C925A1" w:rsidRPr="00AE3368" w:rsidRDefault="00C925A1">
      <w:pPr>
        <w:pStyle w:val="FootnoteText"/>
        <w:rPr>
          <w:rFonts w:ascii="Arial" w:hAnsi="Arial" w:cs="Arial"/>
        </w:rPr>
      </w:pPr>
      <w:r w:rsidRPr="00AE3368">
        <w:rPr>
          <w:rStyle w:val="FootnoteReference"/>
          <w:rFonts w:ascii="Arial" w:hAnsi="Arial" w:cs="Arial"/>
        </w:rPr>
        <w:footnoteRef/>
      </w:r>
      <w:r w:rsidRPr="00AE3368">
        <w:rPr>
          <w:rFonts w:ascii="Arial" w:hAnsi="Arial" w:cs="Arial"/>
        </w:rPr>
        <w:t xml:space="preserve">  Page 113 to 155 of the transcribed record.</w:t>
      </w:r>
    </w:p>
  </w:footnote>
  <w:footnote w:id="8">
    <w:p w:rsidR="00C925A1" w:rsidRPr="00AE3368" w:rsidRDefault="00C925A1">
      <w:pPr>
        <w:pStyle w:val="FootnoteText"/>
        <w:rPr>
          <w:rFonts w:ascii="Arial" w:hAnsi="Arial" w:cs="Arial"/>
        </w:rPr>
      </w:pPr>
      <w:r w:rsidRPr="00AE3368">
        <w:rPr>
          <w:rStyle w:val="FootnoteReference"/>
          <w:rFonts w:ascii="Arial" w:hAnsi="Arial" w:cs="Arial"/>
        </w:rPr>
        <w:footnoteRef/>
      </w:r>
      <w:r w:rsidRPr="00AE3368">
        <w:rPr>
          <w:rFonts w:ascii="Arial" w:hAnsi="Arial" w:cs="Arial"/>
        </w:rPr>
        <w:t xml:space="preserve"> Page 155 to 215 of the transcribed record.</w:t>
      </w:r>
    </w:p>
  </w:footnote>
  <w:footnote w:id="9">
    <w:p w:rsidR="00C925A1" w:rsidRPr="00AE3368" w:rsidRDefault="00C925A1">
      <w:pPr>
        <w:pStyle w:val="FootnoteText"/>
        <w:rPr>
          <w:rFonts w:ascii="Arial" w:hAnsi="Arial" w:cs="Arial"/>
        </w:rPr>
      </w:pPr>
      <w:r w:rsidRPr="00AE3368">
        <w:rPr>
          <w:rStyle w:val="FootnoteReference"/>
          <w:rFonts w:ascii="Arial" w:hAnsi="Arial" w:cs="Arial"/>
        </w:rPr>
        <w:footnoteRef/>
      </w:r>
      <w:r w:rsidRPr="00AE3368">
        <w:rPr>
          <w:rFonts w:ascii="Arial" w:hAnsi="Arial" w:cs="Arial"/>
        </w:rPr>
        <w:t xml:space="preserve"> Page 222 to 225 of the court bundle.</w:t>
      </w:r>
    </w:p>
  </w:footnote>
  <w:footnote w:id="10">
    <w:p w:rsidR="00C925A1" w:rsidRPr="00AE3368" w:rsidRDefault="00C925A1">
      <w:pPr>
        <w:pStyle w:val="FootnoteText"/>
        <w:rPr>
          <w:rFonts w:ascii="Arial" w:hAnsi="Arial" w:cs="Arial"/>
        </w:rPr>
      </w:pPr>
      <w:r w:rsidRPr="00AE3368">
        <w:rPr>
          <w:rStyle w:val="FootnoteReference"/>
          <w:rFonts w:ascii="Arial" w:hAnsi="Arial" w:cs="Arial"/>
        </w:rPr>
        <w:footnoteRef/>
      </w:r>
      <w:r w:rsidRPr="00AE3368">
        <w:rPr>
          <w:rFonts w:ascii="Arial" w:hAnsi="Arial" w:cs="Arial"/>
        </w:rPr>
        <w:t xml:space="preserve"> Page 267 to 271 of the court bundle.</w:t>
      </w:r>
    </w:p>
  </w:footnote>
  <w:footnote w:id="11">
    <w:p w:rsidR="00C925A1" w:rsidRPr="00AE3368" w:rsidRDefault="00C925A1">
      <w:pPr>
        <w:pStyle w:val="FootnoteText"/>
        <w:rPr>
          <w:rFonts w:ascii="Arial" w:hAnsi="Arial" w:cs="Arial"/>
        </w:rPr>
      </w:pPr>
      <w:r w:rsidRPr="00AE3368">
        <w:rPr>
          <w:rStyle w:val="FootnoteReference"/>
          <w:rFonts w:ascii="Arial" w:hAnsi="Arial" w:cs="Arial"/>
        </w:rPr>
        <w:footnoteRef/>
      </w:r>
      <w:r w:rsidRPr="00AE3368">
        <w:rPr>
          <w:rFonts w:ascii="Arial" w:hAnsi="Arial" w:cs="Arial"/>
        </w:rPr>
        <w:t xml:space="preserve"> Page 231 to 255 of the court bundle.</w:t>
      </w:r>
    </w:p>
  </w:footnote>
  <w:footnote w:id="12">
    <w:p w:rsidR="00C925A1" w:rsidRDefault="00C925A1">
      <w:pPr>
        <w:pStyle w:val="FootnoteText"/>
      </w:pPr>
      <w:r w:rsidRPr="00AE3368">
        <w:rPr>
          <w:rStyle w:val="FootnoteReference"/>
          <w:rFonts w:ascii="Arial" w:hAnsi="Arial" w:cs="Arial"/>
        </w:rPr>
        <w:footnoteRef/>
      </w:r>
      <w:r w:rsidRPr="00AE3368">
        <w:rPr>
          <w:rFonts w:ascii="Arial" w:hAnsi="Arial" w:cs="Arial"/>
        </w:rPr>
        <w:t xml:space="preserve"> Page 256 to 262 of the court bundle.</w:t>
      </w:r>
    </w:p>
  </w:footnote>
  <w:footnote w:id="13">
    <w:p w:rsidR="00C925A1" w:rsidRDefault="00C925A1">
      <w:pPr>
        <w:pStyle w:val="FootnoteText"/>
      </w:pPr>
      <w:r>
        <w:rPr>
          <w:rStyle w:val="FootnoteReference"/>
        </w:rPr>
        <w:footnoteRef/>
      </w:r>
      <w:r w:rsidRPr="00AE3368">
        <w:rPr>
          <w:rFonts w:ascii="Arial" w:hAnsi="Arial" w:cs="Arial"/>
        </w:rPr>
        <w:t xml:space="preserve"> Page 264 to 266 of the court bundle.</w:t>
      </w:r>
    </w:p>
  </w:footnote>
  <w:footnote w:id="14">
    <w:p w:rsidR="00C925A1" w:rsidRPr="00B467CB" w:rsidRDefault="00C925A1">
      <w:pPr>
        <w:pStyle w:val="FootnoteText"/>
        <w:rPr>
          <w:rFonts w:ascii="Arial" w:hAnsi="Arial" w:cs="Arial"/>
        </w:rPr>
      </w:pPr>
      <w:r w:rsidRPr="00B467CB">
        <w:rPr>
          <w:rStyle w:val="FootnoteReference"/>
          <w:rFonts w:ascii="Arial" w:hAnsi="Arial" w:cs="Arial"/>
        </w:rPr>
        <w:footnoteRef/>
      </w:r>
      <w:r w:rsidRPr="00B467CB">
        <w:rPr>
          <w:rFonts w:ascii="Arial" w:hAnsi="Arial" w:cs="Arial"/>
        </w:rPr>
        <w:t xml:space="preserve"> Page 281 of the court bundle at par 5.6.</w:t>
      </w:r>
    </w:p>
  </w:footnote>
  <w:footnote w:id="15">
    <w:p w:rsidR="00C925A1" w:rsidRPr="00B467CB" w:rsidRDefault="00C925A1">
      <w:pPr>
        <w:pStyle w:val="FootnoteText"/>
        <w:rPr>
          <w:rFonts w:ascii="Arial" w:hAnsi="Arial" w:cs="Arial"/>
        </w:rPr>
      </w:pPr>
      <w:r w:rsidRPr="00B467CB">
        <w:rPr>
          <w:rStyle w:val="FootnoteReference"/>
          <w:rFonts w:ascii="Arial" w:hAnsi="Arial" w:cs="Arial"/>
        </w:rPr>
        <w:footnoteRef/>
      </w:r>
      <w:r w:rsidRPr="00B467CB">
        <w:rPr>
          <w:rFonts w:ascii="Arial" w:hAnsi="Arial" w:cs="Arial"/>
        </w:rPr>
        <w:t xml:space="preserve">  Page 281 of the court bundle.</w:t>
      </w:r>
    </w:p>
  </w:footnote>
  <w:footnote w:id="16">
    <w:p w:rsidR="00C925A1" w:rsidRPr="0064507F" w:rsidRDefault="00C925A1" w:rsidP="00F7398E">
      <w:pPr>
        <w:pStyle w:val="FootnoteText"/>
        <w:rPr>
          <w:rFonts w:ascii="Arial" w:hAnsi="Arial" w:cs="Arial"/>
        </w:rPr>
      </w:pPr>
      <w:r w:rsidRPr="00B467CB">
        <w:rPr>
          <w:rStyle w:val="FootnoteReference"/>
          <w:rFonts w:ascii="Arial" w:hAnsi="Arial" w:cs="Arial"/>
        </w:rPr>
        <w:footnoteRef/>
      </w:r>
      <w:r w:rsidRPr="00B467CB">
        <w:rPr>
          <w:rFonts w:ascii="Arial" w:hAnsi="Arial" w:cs="Arial"/>
        </w:rPr>
        <w:t xml:space="preserve"> </w:t>
      </w:r>
      <w:r w:rsidRPr="0064507F">
        <w:rPr>
          <w:rFonts w:ascii="Arial" w:hAnsi="Arial" w:cs="Arial"/>
        </w:rPr>
        <w:t>Johnston v Leal 1980 (3) SA 927 (A) at 943B</w:t>
      </w:r>
    </w:p>
  </w:footnote>
  <w:footnote w:id="17">
    <w:p w:rsidR="00C925A1" w:rsidRPr="0064507F" w:rsidRDefault="00C925A1" w:rsidP="007F241A">
      <w:pPr>
        <w:pStyle w:val="FootnoteText"/>
        <w:rPr>
          <w:rFonts w:ascii="Arial" w:hAnsi="Arial" w:cs="Arial"/>
        </w:rPr>
      </w:pPr>
      <w:r w:rsidRPr="0064507F">
        <w:rPr>
          <w:rStyle w:val="FootnoteReference"/>
          <w:rFonts w:ascii="Arial" w:hAnsi="Arial" w:cs="Arial"/>
        </w:rPr>
        <w:footnoteRef/>
      </w:r>
      <w:r w:rsidRPr="0064507F">
        <w:rPr>
          <w:rFonts w:ascii="Arial" w:hAnsi="Arial" w:cs="Arial"/>
        </w:rPr>
        <w:t xml:space="preserve"> 2016 (1) NR 169 (HC)</w:t>
      </w:r>
    </w:p>
  </w:footnote>
  <w:footnote w:id="18">
    <w:p w:rsidR="00C925A1" w:rsidRPr="0064507F" w:rsidRDefault="00C925A1">
      <w:pPr>
        <w:pStyle w:val="FootnoteText"/>
        <w:rPr>
          <w:rFonts w:ascii="Arial" w:hAnsi="Arial" w:cs="Arial"/>
        </w:rPr>
      </w:pPr>
      <w:r w:rsidRPr="0064507F">
        <w:rPr>
          <w:rStyle w:val="FootnoteReference"/>
          <w:rFonts w:ascii="Arial" w:hAnsi="Arial" w:cs="Arial"/>
        </w:rPr>
        <w:footnoteRef/>
      </w:r>
      <w:r w:rsidRPr="0064507F">
        <w:rPr>
          <w:rFonts w:ascii="Arial" w:hAnsi="Arial" w:cs="Arial"/>
        </w:rPr>
        <w:t xml:space="preserve"> 1914 AD 532.</w:t>
      </w:r>
    </w:p>
  </w:footnote>
  <w:footnote w:id="19">
    <w:p w:rsidR="00C925A1" w:rsidRPr="0064507F" w:rsidRDefault="00C925A1">
      <w:pPr>
        <w:pStyle w:val="FootnoteText"/>
        <w:rPr>
          <w:rFonts w:ascii="Arial" w:hAnsi="Arial" w:cs="Arial"/>
        </w:rPr>
      </w:pPr>
      <w:r w:rsidRPr="0064507F">
        <w:rPr>
          <w:rStyle w:val="FootnoteReference"/>
          <w:rFonts w:ascii="Arial" w:hAnsi="Arial" w:cs="Arial"/>
        </w:rPr>
        <w:footnoteRef/>
      </w:r>
      <w:r w:rsidRPr="0064507F">
        <w:rPr>
          <w:rFonts w:ascii="Arial" w:hAnsi="Arial" w:cs="Arial"/>
        </w:rPr>
        <w:t xml:space="preserve"> 1975 (3) SA 16 (A).</w:t>
      </w:r>
    </w:p>
  </w:footnote>
  <w:footnote w:id="20">
    <w:p w:rsidR="00C925A1" w:rsidRDefault="00C925A1">
      <w:pPr>
        <w:pStyle w:val="FootnoteText"/>
      </w:pPr>
      <w:r>
        <w:rPr>
          <w:rStyle w:val="FootnoteReference"/>
        </w:rPr>
        <w:footnoteRef/>
      </w:r>
      <w:r>
        <w:t xml:space="preserve">  </w:t>
      </w:r>
      <w:r w:rsidRPr="0064507F">
        <w:rPr>
          <w:rFonts w:ascii="Arial" w:hAnsi="Arial" w:cs="Arial"/>
        </w:rPr>
        <w:t>2006 (2) NR 616 (HC) at 621C and 622A – B.</w:t>
      </w:r>
    </w:p>
  </w:footnote>
  <w:footnote w:id="21">
    <w:p w:rsidR="00C925A1" w:rsidRPr="0064507F" w:rsidRDefault="00C925A1" w:rsidP="005C3093">
      <w:pPr>
        <w:pStyle w:val="FootnoteText"/>
        <w:rPr>
          <w:rFonts w:ascii="Arial" w:hAnsi="Arial" w:cs="Arial"/>
        </w:rPr>
      </w:pPr>
      <w:r w:rsidRPr="0064507F">
        <w:rPr>
          <w:rStyle w:val="FootnoteReference"/>
          <w:rFonts w:ascii="Arial" w:hAnsi="Arial" w:cs="Arial"/>
        </w:rPr>
        <w:footnoteRef/>
      </w:r>
      <w:r w:rsidRPr="0064507F">
        <w:rPr>
          <w:rFonts w:ascii="Arial" w:hAnsi="Arial" w:cs="Arial"/>
        </w:rPr>
        <w:t xml:space="preserve"> Professor Christie in The Law of Contract in South Africa 5 </w:t>
      </w:r>
      <w:proofErr w:type="spellStart"/>
      <w:proofErr w:type="gramStart"/>
      <w:r w:rsidRPr="0064507F">
        <w:rPr>
          <w:rFonts w:ascii="Arial" w:hAnsi="Arial" w:cs="Arial"/>
        </w:rPr>
        <w:t>ed</w:t>
      </w:r>
      <w:proofErr w:type="spellEnd"/>
      <w:proofErr w:type="gramEnd"/>
      <w:r w:rsidRPr="0064507F">
        <w:rPr>
          <w:rFonts w:ascii="Arial" w:hAnsi="Arial" w:cs="Arial"/>
        </w:rPr>
        <w:t xml:space="preserve"> at 194.</w:t>
      </w:r>
    </w:p>
  </w:footnote>
  <w:footnote w:id="22">
    <w:p w:rsidR="00C925A1" w:rsidRPr="0064507F" w:rsidRDefault="00C925A1" w:rsidP="005C3093">
      <w:pPr>
        <w:pStyle w:val="FootnoteText"/>
        <w:rPr>
          <w:rFonts w:ascii="Arial" w:hAnsi="Arial" w:cs="Arial"/>
        </w:rPr>
      </w:pPr>
      <w:r w:rsidRPr="0064507F">
        <w:rPr>
          <w:rStyle w:val="FootnoteReference"/>
          <w:rFonts w:ascii="Arial" w:hAnsi="Arial" w:cs="Arial"/>
        </w:rPr>
        <w:footnoteRef/>
      </w:r>
      <w:r w:rsidRPr="0064507F">
        <w:rPr>
          <w:rFonts w:ascii="Arial" w:hAnsi="Arial" w:cs="Arial"/>
        </w:rPr>
        <w:t xml:space="preserve"> Malherbe v Ackermann and Others (2) 1944 OPD 91.</w:t>
      </w:r>
    </w:p>
  </w:footnote>
  <w:footnote w:id="23">
    <w:p w:rsidR="00C925A1" w:rsidRPr="0064507F" w:rsidRDefault="00C925A1" w:rsidP="005C3093">
      <w:pPr>
        <w:spacing w:after="0" w:line="240" w:lineRule="auto"/>
        <w:rPr>
          <w:rFonts w:ascii="Arial" w:hAnsi="Arial" w:cs="Arial"/>
          <w:sz w:val="20"/>
          <w:szCs w:val="20"/>
        </w:rPr>
      </w:pPr>
      <w:r w:rsidRPr="0064507F">
        <w:rPr>
          <w:rStyle w:val="FootnoteReference"/>
          <w:rFonts w:ascii="Arial" w:hAnsi="Arial" w:cs="Arial"/>
          <w:sz w:val="20"/>
          <w:szCs w:val="20"/>
        </w:rPr>
        <w:footnoteRef/>
      </w:r>
      <w:r w:rsidRPr="0064507F">
        <w:rPr>
          <w:rFonts w:ascii="Arial" w:hAnsi="Arial" w:cs="Arial"/>
          <w:sz w:val="20"/>
          <w:szCs w:val="20"/>
        </w:rPr>
        <w:t xml:space="preserve"> B</w:t>
      </w:r>
      <w:r w:rsidRPr="0064507F">
        <w:rPr>
          <w:rFonts w:ascii="Arial" w:eastAsia="Times New Roman" w:hAnsi="Arial" w:cs="Arial"/>
          <w:sz w:val="20"/>
          <w:szCs w:val="20"/>
          <w:lang w:eastAsia="en-ZA"/>
        </w:rPr>
        <w:t xml:space="preserve">enjamin v </w:t>
      </w:r>
      <w:proofErr w:type="spellStart"/>
      <w:r w:rsidRPr="0064507F">
        <w:rPr>
          <w:rFonts w:ascii="Arial" w:eastAsia="Times New Roman" w:hAnsi="Arial" w:cs="Arial"/>
          <w:sz w:val="20"/>
          <w:szCs w:val="20"/>
          <w:lang w:eastAsia="en-ZA"/>
        </w:rPr>
        <w:t>Gurewitz</w:t>
      </w:r>
      <w:proofErr w:type="spellEnd"/>
      <w:r w:rsidRPr="0064507F">
        <w:rPr>
          <w:rFonts w:ascii="Arial" w:eastAsia="Times New Roman" w:hAnsi="Arial" w:cs="Arial"/>
          <w:sz w:val="20"/>
          <w:szCs w:val="20"/>
          <w:lang w:eastAsia="en-ZA"/>
        </w:rPr>
        <w:t xml:space="preserve"> 1973 (1) SA 418 (A); Mouton v </w:t>
      </w:r>
      <w:proofErr w:type="spellStart"/>
      <w:r w:rsidRPr="0064507F">
        <w:rPr>
          <w:rFonts w:ascii="Arial" w:eastAsia="Times New Roman" w:hAnsi="Arial" w:cs="Arial"/>
          <w:sz w:val="20"/>
          <w:szCs w:val="20"/>
          <w:lang w:eastAsia="en-ZA"/>
        </w:rPr>
        <w:t>Hanekom</w:t>
      </w:r>
      <w:proofErr w:type="spellEnd"/>
      <w:r w:rsidRPr="0064507F">
        <w:rPr>
          <w:rFonts w:ascii="Arial" w:eastAsia="Times New Roman" w:hAnsi="Arial" w:cs="Arial"/>
          <w:sz w:val="20"/>
          <w:szCs w:val="20"/>
          <w:lang w:eastAsia="en-ZA"/>
        </w:rPr>
        <w:t xml:space="preserve"> 1959 (3) SA 35 (A); Brits v </w:t>
      </w:r>
      <w:proofErr w:type="gramStart"/>
      <w:r w:rsidRPr="0064507F">
        <w:rPr>
          <w:rFonts w:ascii="Arial" w:eastAsia="Times New Roman" w:hAnsi="Arial" w:cs="Arial"/>
          <w:sz w:val="20"/>
          <w:szCs w:val="20"/>
          <w:lang w:eastAsia="en-ZA"/>
        </w:rPr>
        <w:t xml:space="preserve">Van  </w:t>
      </w:r>
      <w:proofErr w:type="spellStart"/>
      <w:r w:rsidRPr="0064507F">
        <w:rPr>
          <w:rFonts w:ascii="Arial" w:eastAsia="Times New Roman" w:hAnsi="Arial" w:cs="Arial"/>
          <w:sz w:val="20"/>
          <w:szCs w:val="20"/>
          <w:lang w:eastAsia="en-ZA"/>
        </w:rPr>
        <w:t>Heerden</w:t>
      </w:r>
      <w:proofErr w:type="spellEnd"/>
      <w:proofErr w:type="gramEnd"/>
      <w:r w:rsidRPr="0064507F">
        <w:rPr>
          <w:rFonts w:ascii="Arial" w:eastAsia="Times New Roman" w:hAnsi="Arial" w:cs="Arial"/>
          <w:sz w:val="20"/>
          <w:szCs w:val="20"/>
          <w:lang w:eastAsia="en-ZA"/>
        </w:rPr>
        <w:t xml:space="preserve"> 2001 (3) SA 257 (C) 267E to 269E.</w:t>
      </w:r>
    </w:p>
  </w:footnote>
  <w:footnote w:id="24">
    <w:p w:rsidR="00C925A1" w:rsidRPr="0064507F" w:rsidRDefault="00C925A1" w:rsidP="005C3093">
      <w:pPr>
        <w:spacing w:after="0" w:line="240" w:lineRule="auto"/>
        <w:rPr>
          <w:rFonts w:ascii="Arial" w:eastAsia="Times New Roman" w:hAnsi="Arial" w:cs="Arial"/>
          <w:sz w:val="20"/>
          <w:szCs w:val="20"/>
          <w:lang w:eastAsia="en-ZA"/>
        </w:rPr>
      </w:pPr>
      <w:r w:rsidRPr="0064507F">
        <w:rPr>
          <w:rStyle w:val="FootnoteReference"/>
          <w:rFonts w:ascii="Arial" w:hAnsi="Arial" w:cs="Arial"/>
          <w:sz w:val="20"/>
          <w:szCs w:val="20"/>
        </w:rPr>
        <w:footnoteRef/>
      </w:r>
      <w:r w:rsidRPr="0064507F">
        <w:rPr>
          <w:rFonts w:ascii="Arial" w:hAnsi="Arial" w:cs="Arial"/>
          <w:sz w:val="20"/>
          <w:szCs w:val="20"/>
        </w:rPr>
        <w:t xml:space="preserve"> </w:t>
      </w:r>
      <w:r w:rsidRPr="0064507F">
        <w:rPr>
          <w:rFonts w:ascii="Arial" w:eastAsia="Times New Roman" w:hAnsi="Arial" w:cs="Arial"/>
          <w:sz w:val="20"/>
          <w:szCs w:val="20"/>
          <w:lang w:eastAsia="en-ZA"/>
        </w:rPr>
        <w:t xml:space="preserve">Benjamin v </w:t>
      </w:r>
      <w:proofErr w:type="spellStart"/>
      <w:r w:rsidRPr="0064507F">
        <w:rPr>
          <w:rFonts w:ascii="Arial" w:eastAsia="Times New Roman" w:hAnsi="Arial" w:cs="Arial"/>
          <w:sz w:val="20"/>
          <w:szCs w:val="20"/>
          <w:lang w:eastAsia="en-ZA"/>
        </w:rPr>
        <w:t>Gurewitz</w:t>
      </w:r>
      <w:proofErr w:type="spellEnd"/>
      <w:r w:rsidRPr="0064507F">
        <w:rPr>
          <w:rFonts w:ascii="Arial" w:eastAsia="Times New Roman" w:hAnsi="Arial" w:cs="Arial"/>
          <w:sz w:val="20"/>
          <w:szCs w:val="20"/>
          <w:lang w:eastAsia="en-ZA"/>
        </w:rPr>
        <w:t xml:space="preserve"> (supra) at 426A; Mouton v </w:t>
      </w:r>
      <w:proofErr w:type="spellStart"/>
      <w:r w:rsidRPr="0064507F">
        <w:rPr>
          <w:rFonts w:ascii="Arial" w:eastAsia="Times New Roman" w:hAnsi="Arial" w:cs="Arial"/>
          <w:sz w:val="20"/>
          <w:szCs w:val="20"/>
          <w:lang w:eastAsia="en-ZA"/>
        </w:rPr>
        <w:t>Hanekom</w:t>
      </w:r>
      <w:proofErr w:type="spellEnd"/>
      <w:r w:rsidRPr="0064507F">
        <w:rPr>
          <w:rFonts w:ascii="Arial" w:eastAsia="Times New Roman" w:hAnsi="Arial" w:cs="Arial"/>
          <w:sz w:val="20"/>
          <w:szCs w:val="20"/>
          <w:lang w:eastAsia="en-ZA"/>
        </w:rPr>
        <w:t xml:space="preserve"> (supra) at 39H.</w:t>
      </w:r>
    </w:p>
    <w:p w:rsidR="00C925A1" w:rsidRPr="0064507F" w:rsidRDefault="00C925A1" w:rsidP="005C3093">
      <w:pPr>
        <w:pStyle w:val="FootnoteText"/>
        <w:rPr>
          <w:rFonts w:ascii="Arial" w:hAnsi="Arial" w:cs="Arial"/>
        </w:rPr>
      </w:pPr>
    </w:p>
  </w:footnote>
  <w:footnote w:id="25">
    <w:p w:rsidR="00C925A1" w:rsidRDefault="00C925A1">
      <w:pPr>
        <w:pStyle w:val="FootnoteText"/>
      </w:pPr>
      <w:r>
        <w:rPr>
          <w:rStyle w:val="FootnoteReference"/>
        </w:rPr>
        <w:footnoteRef/>
      </w:r>
      <w:r>
        <w:t xml:space="preserve"> </w:t>
      </w:r>
      <w:r>
        <w:rPr>
          <w:rFonts w:ascii="Arial" w:hAnsi="Arial" w:cs="Arial"/>
        </w:rPr>
        <w:t>Page 282</w:t>
      </w:r>
      <w:r w:rsidRPr="00AE3368">
        <w:rPr>
          <w:rFonts w:ascii="Arial" w:hAnsi="Arial" w:cs="Arial"/>
        </w:rPr>
        <w:t xml:space="preserve"> of the court bundle.</w:t>
      </w:r>
    </w:p>
  </w:footnote>
  <w:footnote w:id="26">
    <w:p w:rsidR="00C925A1" w:rsidRDefault="00C925A1">
      <w:pPr>
        <w:pStyle w:val="FootnoteText"/>
      </w:pPr>
      <w:r>
        <w:rPr>
          <w:rStyle w:val="FootnoteReference"/>
        </w:rPr>
        <w:footnoteRef/>
      </w:r>
      <w:r>
        <w:t xml:space="preserve"> Act 11 of 2007.</w:t>
      </w:r>
    </w:p>
  </w:footnote>
  <w:footnote w:id="27">
    <w:p w:rsidR="00C925A1" w:rsidRPr="0073679D" w:rsidRDefault="00C925A1">
      <w:pPr>
        <w:pStyle w:val="FootnoteText"/>
        <w:rPr>
          <w:rFonts w:ascii="Arial" w:hAnsi="Arial" w:cs="Arial"/>
        </w:rPr>
      </w:pPr>
      <w:r>
        <w:rPr>
          <w:rStyle w:val="FootnoteReference"/>
        </w:rPr>
        <w:footnoteRef/>
      </w:r>
      <w:r>
        <w:t xml:space="preserve"> </w:t>
      </w:r>
      <w:r>
        <w:rPr>
          <w:rFonts w:ascii="Arial" w:hAnsi="Arial" w:cs="Arial"/>
        </w:rPr>
        <w:t>2014 (2) NR340 (SC)</w:t>
      </w:r>
    </w:p>
  </w:footnote>
  <w:footnote w:id="28">
    <w:p w:rsidR="00C925A1" w:rsidRDefault="00C925A1">
      <w:pPr>
        <w:pStyle w:val="FootnoteText"/>
      </w:pPr>
      <w:r>
        <w:rPr>
          <w:rStyle w:val="FootnoteReference"/>
        </w:rPr>
        <w:footnoteRef/>
      </w:r>
      <w:r>
        <w:t xml:space="preserve"> </w:t>
      </w:r>
      <w:r w:rsidRPr="0073679D">
        <w:t xml:space="preserve">See Kerr Principles of the Law of Contract 6 </w:t>
      </w:r>
      <w:proofErr w:type="spellStart"/>
      <w:proofErr w:type="gramStart"/>
      <w:r w:rsidRPr="0073679D">
        <w:t>ed</w:t>
      </w:r>
      <w:proofErr w:type="spellEnd"/>
      <w:proofErr w:type="gramEnd"/>
      <w:r w:rsidRPr="0073679D">
        <w:t xml:space="preserve"> at 162 – 6.</w:t>
      </w:r>
    </w:p>
  </w:footnote>
  <w:footnote w:id="29">
    <w:p w:rsidR="00C925A1" w:rsidRDefault="00C925A1">
      <w:pPr>
        <w:pStyle w:val="FootnoteText"/>
      </w:pPr>
      <w:r>
        <w:rPr>
          <w:rStyle w:val="FootnoteReference"/>
        </w:rPr>
        <w:footnoteRef/>
      </w:r>
      <w:r>
        <w:t xml:space="preserve"> </w:t>
      </w:r>
      <w:r w:rsidRPr="0073679D">
        <w:rPr>
          <w:rFonts w:ascii="Arial" w:hAnsi="Arial" w:cs="Arial"/>
        </w:rPr>
        <w:t xml:space="preserve">Op </w:t>
      </w:r>
      <w:proofErr w:type="spellStart"/>
      <w:r w:rsidRPr="0073679D">
        <w:rPr>
          <w:rFonts w:ascii="Arial" w:hAnsi="Arial" w:cs="Arial"/>
        </w:rPr>
        <w:t>cit</w:t>
      </w:r>
      <w:proofErr w:type="spellEnd"/>
      <w:r w:rsidRPr="0073679D">
        <w:rPr>
          <w:rFonts w:ascii="Arial" w:hAnsi="Arial" w:cs="Arial"/>
        </w:rPr>
        <w:t xml:space="preserve"> at 165</w:t>
      </w:r>
    </w:p>
  </w:footnote>
  <w:footnote w:id="30">
    <w:p w:rsidR="00C925A1" w:rsidRPr="00B048CF" w:rsidRDefault="00C925A1" w:rsidP="00B048CF">
      <w:pPr>
        <w:tabs>
          <w:tab w:val="right" w:pos="9027"/>
        </w:tabs>
        <w:spacing w:after="0" w:line="360" w:lineRule="auto"/>
        <w:jc w:val="both"/>
        <w:rPr>
          <w:rFonts w:ascii="Arial" w:hAnsi="Arial" w:cs="Arial"/>
          <w:sz w:val="20"/>
          <w:szCs w:val="20"/>
        </w:rPr>
      </w:pPr>
      <w:r>
        <w:rPr>
          <w:rStyle w:val="FootnoteReference"/>
        </w:rPr>
        <w:footnoteRef/>
      </w:r>
      <w:r>
        <w:t xml:space="preserve"> </w:t>
      </w:r>
      <w:proofErr w:type="spellStart"/>
      <w:r w:rsidRPr="00B048CF">
        <w:rPr>
          <w:rFonts w:ascii="Arial" w:hAnsi="Arial" w:cs="Arial"/>
          <w:sz w:val="20"/>
          <w:szCs w:val="20"/>
        </w:rPr>
        <w:t>Janse</w:t>
      </w:r>
      <w:proofErr w:type="spellEnd"/>
      <w:r w:rsidRPr="00B048CF">
        <w:rPr>
          <w:rFonts w:ascii="Arial" w:hAnsi="Arial" w:cs="Arial"/>
          <w:sz w:val="20"/>
          <w:szCs w:val="20"/>
        </w:rPr>
        <w:t xml:space="preserve"> Van </w:t>
      </w:r>
      <w:proofErr w:type="spellStart"/>
      <w:r w:rsidRPr="00B048CF">
        <w:rPr>
          <w:rFonts w:ascii="Arial" w:hAnsi="Arial" w:cs="Arial"/>
          <w:sz w:val="20"/>
          <w:szCs w:val="20"/>
        </w:rPr>
        <w:t>Rensburg</w:t>
      </w:r>
      <w:proofErr w:type="spellEnd"/>
      <w:r w:rsidRPr="00B048CF">
        <w:rPr>
          <w:rFonts w:ascii="Arial" w:hAnsi="Arial" w:cs="Arial"/>
          <w:sz w:val="20"/>
          <w:szCs w:val="20"/>
        </w:rPr>
        <w:t xml:space="preserve"> V Wilderness Air Namibia (PTY) LTD 2016 (2) NR 554 (SC)</w:t>
      </w:r>
      <w:r>
        <w:rPr>
          <w:rFonts w:ascii="Arial" w:hAnsi="Arial" w:cs="Arial"/>
          <w:sz w:val="20"/>
          <w:szCs w:val="20"/>
        </w:rPr>
        <w:t xml:space="preserve"> at par [45]</w:t>
      </w:r>
      <w:r w:rsidRPr="00B048CF">
        <w:rPr>
          <w:rFonts w:ascii="Arial" w:hAnsi="Arial" w:cs="Arial"/>
          <w:sz w:val="20"/>
          <w:szCs w:val="20"/>
        </w:rPr>
        <w:tab/>
      </w:r>
    </w:p>
    <w:p w:rsidR="00C925A1" w:rsidRDefault="00C925A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76150"/>
      <w:docPartObj>
        <w:docPartGallery w:val="Page Numbers (Top of Page)"/>
        <w:docPartUnique/>
      </w:docPartObj>
    </w:sdtPr>
    <w:sdtEndPr>
      <w:rPr>
        <w:noProof/>
      </w:rPr>
    </w:sdtEndPr>
    <w:sdtContent>
      <w:p w:rsidR="00C925A1" w:rsidRDefault="00C925A1">
        <w:pPr>
          <w:pStyle w:val="Header"/>
          <w:jc w:val="right"/>
        </w:pPr>
        <w:r>
          <w:fldChar w:fldCharType="begin"/>
        </w:r>
        <w:r>
          <w:instrText xml:space="preserve"> PAGE   \* MERGEFORMAT </w:instrText>
        </w:r>
        <w:r>
          <w:fldChar w:fldCharType="separate"/>
        </w:r>
        <w:r w:rsidR="00AE5380">
          <w:rPr>
            <w:noProof/>
          </w:rPr>
          <w:t>16</w:t>
        </w:r>
        <w:r>
          <w:rPr>
            <w:noProof/>
          </w:rPr>
          <w:fldChar w:fldCharType="end"/>
        </w:r>
      </w:p>
    </w:sdtContent>
  </w:sdt>
  <w:p w:rsidR="00C925A1" w:rsidRDefault="00C92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A1" w:rsidRDefault="00C92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CAF"/>
    <w:multiLevelType w:val="hybridMultilevel"/>
    <w:tmpl w:val="D4762E86"/>
    <w:lvl w:ilvl="0" w:tplc="19682DD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363604"/>
    <w:multiLevelType w:val="hybridMultilevel"/>
    <w:tmpl w:val="B498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77051"/>
    <w:multiLevelType w:val="hybridMultilevel"/>
    <w:tmpl w:val="5D948EBC"/>
    <w:lvl w:ilvl="0" w:tplc="31E0E1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617CC3"/>
    <w:multiLevelType w:val="hybridMultilevel"/>
    <w:tmpl w:val="8E2CCCD2"/>
    <w:lvl w:ilvl="0" w:tplc="4838E8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91827F9"/>
    <w:multiLevelType w:val="hybridMultilevel"/>
    <w:tmpl w:val="894222FE"/>
    <w:lvl w:ilvl="0" w:tplc="7DCED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1F557B"/>
    <w:multiLevelType w:val="hybridMultilevel"/>
    <w:tmpl w:val="2B84BDF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E66E8E"/>
    <w:multiLevelType w:val="hybridMultilevel"/>
    <w:tmpl w:val="28F24ED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40664127"/>
    <w:multiLevelType w:val="hybridMultilevel"/>
    <w:tmpl w:val="360CD878"/>
    <w:lvl w:ilvl="0" w:tplc="8D98AC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C645C4"/>
    <w:multiLevelType w:val="hybridMultilevel"/>
    <w:tmpl w:val="7D3C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A7141"/>
    <w:multiLevelType w:val="hybridMultilevel"/>
    <w:tmpl w:val="FDEC1288"/>
    <w:lvl w:ilvl="0" w:tplc="479468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8933DB"/>
    <w:multiLevelType w:val="hybridMultilevel"/>
    <w:tmpl w:val="55C829CA"/>
    <w:lvl w:ilvl="0" w:tplc="AAB4422E">
      <w:start w:val="1"/>
      <w:numFmt w:val="lowerLetter"/>
      <w:lvlText w:val="%1."/>
      <w:lvlJc w:val="left"/>
      <w:pPr>
        <w:ind w:left="993" w:hanging="360"/>
      </w:pPr>
      <w:rPr>
        <w:rFonts w:ascii="Arial" w:eastAsiaTheme="minorHAnsi" w:hAnsi="Arial" w:cs="Arial"/>
      </w:rPr>
    </w:lvl>
    <w:lvl w:ilvl="1" w:tplc="1C090019" w:tentative="1">
      <w:start w:val="1"/>
      <w:numFmt w:val="lowerLetter"/>
      <w:lvlText w:val="%2."/>
      <w:lvlJc w:val="left"/>
      <w:pPr>
        <w:ind w:left="1713" w:hanging="360"/>
      </w:pPr>
    </w:lvl>
    <w:lvl w:ilvl="2" w:tplc="1C09001B" w:tentative="1">
      <w:start w:val="1"/>
      <w:numFmt w:val="lowerRoman"/>
      <w:lvlText w:val="%3."/>
      <w:lvlJc w:val="right"/>
      <w:pPr>
        <w:ind w:left="2433" w:hanging="180"/>
      </w:pPr>
    </w:lvl>
    <w:lvl w:ilvl="3" w:tplc="1C09000F" w:tentative="1">
      <w:start w:val="1"/>
      <w:numFmt w:val="decimal"/>
      <w:lvlText w:val="%4."/>
      <w:lvlJc w:val="left"/>
      <w:pPr>
        <w:ind w:left="3153" w:hanging="360"/>
      </w:pPr>
    </w:lvl>
    <w:lvl w:ilvl="4" w:tplc="1C090019" w:tentative="1">
      <w:start w:val="1"/>
      <w:numFmt w:val="lowerLetter"/>
      <w:lvlText w:val="%5."/>
      <w:lvlJc w:val="left"/>
      <w:pPr>
        <w:ind w:left="3873" w:hanging="360"/>
      </w:pPr>
    </w:lvl>
    <w:lvl w:ilvl="5" w:tplc="1C09001B" w:tentative="1">
      <w:start w:val="1"/>
      <w:numFmt w:val="lowerRoman"/>
      <w:lvlText w:val="%6."/>
      <w:lvlJc w:val="right"/>
      <w:pPr>
        <w:ind w:left="4593" w:hanging="180"/>
      </w:pPr>
    </w:lvl>
    <w:lvl w:ilvl="6" w:tplc="1C09000F" w:tentative="1">
      <w:start w:val="1"/>
      <w:numFmt w:val="decimal"/>
      <w:lvlText w:val="%7."/>
      <w:lvlJc w:val="left"/>
      <w:pPr>
        <w:ind w:left="5313" w:hanging="360"/>
      </w:pPr>
    </w:lvl>
    <w:lvl w:ilvl="7" w:tplc="1C090019" w:tentative="1">
      <w:start w:val="1"/>
      <w:numFmt w:val="lowerLetter"/>
      <w:lvlText w:val="%8."/>
      <w:lvlJc w:val="left"/>
      <w:pPr>
        <w:ind w:left="6033" w:hanging="360"/>
      </w:pPr>
    </w:lvl>
    <w:lvl w:ilvl="8" w:tplc="1C09001B" w:tentative="1">
      <w:start w:val="1"/>
      <w:numFmt w:val="lowerRoman"/>
      <w:lvlText w:val="%9."/>
      <w:lvlJc w:val="right"/>
      <w:pPr>
        <w:ind w:left="6753" w:hanging="180"/>
      </w:pPr>
    </w:lvl>
  </w:abstractNum>
  <w:abstractNum w:abstractNumId="11">
    <w:nsid w:val="5CD22B2C"/>
    <w:multiLevelType w:val="hybridMultilevel"/>
    <w:tmpl w:val="5C6AE2DE"/>
    <w:lvl w:ilvl="0" w:tplc="60C4C3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E3543BB"/>
    <w:multiLevelType w:val="hybridMultilevel"/>
    <w:tmpl w:val="325C5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E1E283C"/>
    <w:multiLevelType w:val="hybridMultilevel"/>
    <w:tmpl w:val="A73894CA"/>
    <w:lvl w:ilvl="0" w:tplc="2CECA8F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11"/>
  </w:num>
  <w:num w:numId="3">
    <w:abstractNumId w:val="7"/>
  </w:num>
  <w:num w:numId="4">
    <w:abstractNumId w:val="2"/>
  </w:num>
  <w:num w:numId="5">
    <w:abstractNumId w:val="5"/>
  </w:num>
  <w:num w:numId="6">
    <w:abstractNumId w:val="0"/>
  </w:num>
  <w:num w:numId="7">
    <w:abstractNumId w:val="3"/>
  </w:num>
  <w:num w:numId="8">
    <w:abstractNumId w:val="9"/>
  </w:num>
  <w:num w:numId="9">
    <w:abstractNumId w:val="13"/>
  </w:num>
  <w:num w:numId="10">
    <w:abstractNumId w:val="10"/>
  </w:num>
  <w:num w:numId="11">
    <w:abstractNumId w:val="6"/>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99"/>
    <w:rsid w:val="00010254"/>
    <w:rsid w:val="0001303F"/>
    <w:rsid w:val="00017B7E"/>
    <w:rsid w:val="000213B0"/>
    <w:rsid w:val="00024960"/>
    <w:rsid w:val="0003443A"/>
    <w:rsid w:val="000436BA"/>
    <w:rsid w:val="00046016"/>
    <w:rsid w:val="000462D0"/>
    <w:rsid w:val="00046736"/>
    <w:rsid w:val="0005538E"/>
    <w:rsid w:val="0005559C"/>
    <w:rsid w:val="000606F6"/>
    <w:rsid w:val="000733A1"/>
    <w:rsid w:val="00073EF8"/>
    <w:rsid w:val="000801AC"/>
    <w:rsid w:val="00082436"/>
    <w:rsid w:val="000836B7"/>
    <w:rsid w:val="000A744B"/>
    <w:rsid w:val="000B114E"/>
    <w:rsid w:val="000B36BA"/>
    <w:rsid w:val="000B5ADC"/>
    <w:rsid w:val="000C4A7D"/>
    <w:rsid w:val="000D689F"/>
    <w:rsid w:val="000F4950"/>
    <w:rsid w:val="000F619C"/>
    <w:rsid w:val="00111BF9"/>
    <w:rsid w:val="0013580E"/>
    <w:rsid w:val="00142510"/>
    <w:rsid w:val="00145745"/>
    <w:rsid w:val="00166F82"/>
    <w:rsid w:val="0017164E"/>
    <w:rsid w:val="0017341E"/>
    <w:rsid w:val="0018563C"/>
    <w:rsid w:val="001941EB"/>
    <w:rsid w:val="001A3D25"/>
    <w:rsid w:val="001A619A"/>
    <w:rsid w:val="001B524C"/>
    <w:rsid w:val="001B63F9"/>
    <w:rsid w:val="001C1784"/>
    <w:rsid w:val="001C2C6A"/>
    <w:rsid w:val="001C5080"/>
    <w:rsid w:val="001D0B81"/>
    <w:rsid w:val="001D1171"/>
    <w:rsid w:val="001D189A"/>
    <w:rsid w:val="001D1BE5"/>
    <w:rsid w:val="001D26C3"/>
    <w:rsid w:val="001D30AE"/>
    <w:rsid w:val="001D357D"/>
    <w:rsid w:val="001D5252"/>
    <w:rsid w:val="001D5A97"/>
    <w:rsid w:val="001D7897"/>
    <w:rsid w:val="001E7942"/>
    <w:rsid w:val="002106F4"/>
    <w:rsid w:val="0021559B"/>
    <w:rsid w:val="002271FE"/>
    <w:rsid w:val="002350CF"/>
    <w:rsid w:val="00235FFD"/>
    <w:rsid w:val="00237EBA"/>
    <w:rsid w:val="00246702"/>
    <w:rsid w:val="00250E0D"/>
    <w:rsid w:val="00251086"/>
    <w:rsid w:val="00252D25"/>
    <w:rsid w:val="00263821"/>
    <w:rsid w:val="00263EDD"/>
    <w:rsid w:val="0028548F"/>
    <w:rsid w:val="0029469F"/>
    <w:rsid w:val="002961AC"/>
    <w:rsid w:val="00296D11"/>
    <w:rsid w:val="002A7BB2"/>
    <w:rsid w:val="002B0B4B"/>
    <w:rsid w:val="002C6B2B"/>
    <w:rsid w:val="002D39BB"/>
    <w:rsid w:val="002E042C"/>
    <w:rsid w:val="002E1734"/>
    <w:rsid w:val="002E73FE"/>
    <w:rsid w:val="002F3919"/>
    <w:rsid w:val="0030751A"/>
    <w:rsid w:val="00310615"/>
    <w:rsid w:val="0031178C"/>
    <w:rsid w:val="003139D3"/>
    <w:rsid w:val="003278F4"/>
    <w:rsid w:val="00341F2F"/>
    <w:rsid w:val="00346291"/>
    <w:rsid w:val="0034738A"/>
    <w:rsid w:val="003532F6"/>
    <w:rsid w:val="00353D67"/>
    <w:rsid w:val="0035532A"/>
    <w:rsid w:val="00356DB6"/>
    <w:rsid w:val="00360765"/>
    <w:rsid w:val="0036530C"/>
    <w:rsid w:val="003A1E88"/>
    <w:rsid w:val="003B305D"/>
    <w:rsid w:val="003C6193"/>
    <w:rsid w:val="003D3102"/>
    <w:rsid w:val="003D3DFF"/>
    <w:rsid w:val="003F1CF0"/>
    <w:rsid w:val="003F1E7D"/>
    <w:rsid w:val="003F2668"/>
    <w:rsid w:val="003F7E1F"/>
    <w:rsid w:val="004013C9"/>
    <w:rsid w:val="00401F4E"/>
    <w:rsid w:val="00410C29"/>
    <w:rsid w:val="00410E20"/>
    <w:rsid w:val="00411D71"/>
    <w:rsid w:val="004124B2"/>
    <w:rsid w:val="00430F5D"/>
    <w:rsid w:val="00437CA4"/>
    <w:rsid w:val="00444A4C"/>
    <w:rsid w:val="004529EA"/>
    <w:rsid w:val="00456BDC"/>
    <w:rsid w:val="00464602"/>
    <w:rsid w:val="0047116B"/>
    <w:rsid w:val="00471DF0"/>
    <w:rsid w:val="00476BD2"/>
    <w:rsid w:val="00477655"/>
    <w:rsid w:val="004845CF"/>
    <w:rsid w:val="0048535A"/>
    <w:rsid w:val="004978E9"/>
    <w:rsid w:val="004A2E50"/>
    <w:rsid w:val="004A540E"/>
    <w:rsid w:val="004B3840"/>
    <w:rsid w:val="004C15B3"/>
    <w:rsid w:val="004C7BE6"/>
    <w:rsid w:val="004E597E"/>
    <w:rsid w:val="004E6551"/>
    <w:rsid w:val="004E6DD3"/>
    <w:rsid w:val="004F1F75"/>
    <w:rsid w:val="0050270C"/>
    <w:rsid w:val="0050414F"/>
    <w:rsid w:val="00513368"/>
    <w:rsid w:val="00516BAF"/>
    <w:rsid w:val="005322DA"/>
    <w:rsid w:val="00533FD6"/>
    <w:rsid w:val="0054157E"/>
    <w:rsid w:val="005419C2"/>
    <w:rsid w:val="005458D3"/>
    <w:rsid w:val="00553141"/>
    <w:rsid w:val="0055460A"/>
    <w:rsid w:val="005553EA"/>
    <w:rsid w:val="00562E5A"/>
    <w:rsid w:val="0056625C"/>
    <w:rsid w:val="0058080C"/>
    <w:rsid w:val="00580B47"/>
    <w:rsid w:val="00581331"/>
    <w:rsid w:val="005912DA"/>
    <w:rsid w:val="00597594"/>
    <w:rsid w:val="005A1B32"/>
    <w:rsid w:val="005A1D76"/>
    <w:rsid w:val="005A5250"/>
    <w:rsid w:val="005B06A9"/>
    <w:rsid w:val="005C0845"/>
    <w:rsid w:val="005C1B88"/>
    <w:rsid w:val="005C3093"/>
    <w:rsid w:val="005C3A80"/>
    <w:rsid w:val="005E29FD"/>
    <w:rsid w:val="005E301B"/>
    <w:rsid w:val="005E4404"/>
    <w:rsid w:val="005E486A"/>
    <w:rsid w:val="005E68E6"/>
    <w:rsid w:val="005F3797"/>
    <w:rsid w:val="005F4347"/>
    <w:rsid w:val="005F6DB9"/>
    <w:rsid w:val="005F7AA4"/>
    <w:rsid w:val="006009C4"/>
    <w:rsid w:val="00601DB1"/>
    <w:rsid w:val="00603B11"/>
    <w:rsid w:val="00603E2E"/>
    <w:rsid w:val="0060603F"/>
    <w:rsid w:val="00611485"/>
    <w:rsid w:val="006154EB"/>
    <w:rsid w:val="00624E20"/>
    <w:rsid w:val="00625325"/>
    <w:rsid w:val="006256E4"/>
    <w:rsid w:val="0062684A"/>
    <w:rsid w:val="00631965"/>
    <w:rsid w:val="00637C91"/>
    <w:rsid w:val="00640CF3"/>
    <w:rsid w:val="0064507F"/>
    <w:rsid w:val="006537A0"/>
    <w:rsid w:val="006633B5"/>
    <w:rsid w:val="00672AB9"/>
    <w:rsid w:val="006732FF"/>
    <w:rsid w:val="0068376F"/>
    <w:rsid w:val="00692443"/>
    <w:rsid w:val="006A1F05"/>
    <w:rsid w:val="006A5820"/>
    <w:rsid w:val="006A6AB7"/>
    <w:rsid w:val="006A750F"/>
    <w:rsid w:val="006B151F"/>
    <w:rsid w:val="006C2446"/>
    <w:rsid w:val="006D2DF3"/>
    <w:rsid w:val="006E0CB4"/>
    <w:rsid w:val="006E529A"/>
    <w:rsid w:val="006F1823"/>
    <w:rsid w:val="006F2C3C"/>
    <w:rsid w:val="006F581E"/>
    <w:rsid w:val="006F5FE6"/>
    <w:rsid w:val="007051E2"/>
    <w:rsid w:val="007059CC"/>
    <w:rsid w:val="00717241"/>
    <w:rsid w:val="007337F4"/>
    <w:rsid w:val="0073679D"/>
    <w:rsid w:val="0074297F"/>
    <w:rsid w:val="00744034"/>
    <w:rsid w:val="00757D85"/>
    <w:rsid w:val="0076006B"/>
    <w:rsid w:val="00782879"/>
    <w:rsid w:val="007953D1"/>
    <w:rsid w:val="007A25C6"/>
    <w:rsid w:val="007A3E14"/>
    <w:rsid w:val="007C170C"/>
    <w:rsid w:val="007C4C1B"/>
    <w:rsid w:val="007D0415"/>
    <w:rsid w:val="007E21DB"/>
    <w:rsid w:val="007E2C14"/>
    <w:rsid w:val="007E73C2"/>
    <w:rsid w:val="007F241A"/>
    <w:rsid w:val="008078AC"/>
    <w:rsid w:val="00817994"/>
    <w:rsid w:val="0083096C"/>
    <w:rsid w:val="0083192E"/>
    <w:rsid w:val="00831BB0"/>
    <w:rsid w:val="00834C3D"/>
    <w:rsid w:val="00835CF7"/>
    <w:rsid w:val="00841611"/>
    <w:rsid w:val="00853747"/>
    <w:rsid w:val="00857893"/>
    <w:rsid w:val="00873E6D"/>
    <w:rsid w:val="00875EED"/>
    <w:rsid w:val="00877168"/>
    <w:rsid w:val="0088383D"/>
    <w:rsid w:val="0088752B"/>
    <w:rsid w:val="00887A84"/>
    <w:rsid w:val="0089019A"/>
    <w:rsid w:val="00893125"/>
    <w:rsid w:val="00894215"/>
    <w:rsid w:val="008952EF"/>
    <w:rsid w:val="00897556"/>
    <w:rsid w:val="008A2F3A"/>
    <w:rsid w:val="008A338E"/>
    <w:rsid w:val="008A4149"/>
    <w:rsid w:val="008A52E0"/>
    <w:rsid w:val="008A620C"/>
    <w:rsid w:val="008B05CB"/>
    <w:rsid w:val="008C17E1"/>
    <w:rsid w:val="008C1950"/>
    <w:rsid w:val="008C1ECC"/>
    <w:rsid w:val="008C31B7"/>
    <w:rsid w:val="008C5097"/>
    <w:rsid w:val="008D6B60"/>
    <w:rsid w:val="008D6D8E"/>
    <w:rsid w:val="008E0BD6"/>
    <w:rsid w:val="008E4613"/>
    <w:rsid w:val="008E4B4C"/>
    <w:rsid w:val="008E4C28"/>
    <w:rsid w:val="008E623E"/>
    <w:rsid w:val="008F6CA8"/>
    <w:rsid w:val="009013B2"/>
    <w:rsid w:val="0091005E"/>
    <w:rsid w:val="009118AE"/>
    <w:rsid w:val="00915081"/>
    <w:rsid w:val="00934D12"/>
    <w:rsid w:val="009350E4"/>
    <w:rsid w:val="009806BC"/>
    <w:rsid w:val="00990A50"/>
    <w:rsid w:val="009A155D"/>
    <w:rsid w:val="009B25EC"/>
    <w:rsid w:val="009B3EBC"/>
    <w:rsid w:val="009B466B"/>
    <w:rsid w:val="009B5BBC"/>
    <w:rsid w:val="009C0074"/>
    <w:rsid w:val="009C0576"/>
    <w:rsid w:val="009C156A"/>
    <w:rsid w:val="009C5B0E"/>
    <w:rsid w:val="009D1835"/>
    <w:rsid w:val="009D5159"/>
    <w:rsid w:val="009F2BBE"/>
    <w:rsid w:val="009F6AF8"/>
    <w:rsid w:val="009F75D3"/>
    <w:rsid w:val="00A14762"/>
    <w:rsid w:val="00A228C2"/>
    <w:rsid w:val="00A251E4"/>
    <w:rsid w:val="00A25BC4"/>
    <w:rsid w:val="00A26E98"/>
    <w:rsid w:val="00A3053C"/>
    <w:rsid w:val="00A32400"/>
    <w:rsid w:val="00A36FCA"/>
    <w:rsid w:val="00A412BF"/>
    <w:rsid w:val="00A43009"/>
    <w:rsid w:val="00A442C6"/>
    <w:rsid w:val="00A51E70"/>
    <w:rsid w:val="00A552B1"/>
    <w:rsid w:val="00A64598"/>
    <w:rsid w:val="00A6497B"/>
    <w:rsid w:val="00A758C0"/>
    <w:rsid w:val="00A86A6C"/>
    <w:rsid w:val="00A902ED"/>
    <w:rsid w:val="00A96BAA"/>
    <w:rsid w:val="00AA5B99"/>
    <w:rsid w:val="00AA6CBE"/>
    <w:rsid w:val="00AE3368"/>
    <w:rsid w:val="00AE5380"/>
    <w:rsid w:val="00AF6A3D"/>
    <w:rsid w:val="00B018EF"/>
    <w:rsid w:val="00B048CF"/>
    <w:rsid w:val="00B07399"/>
    <w:rsid w:val="00B17083"/>
    <w:rsid w:val="00B21EFB"/>
    <w:rsid w:val="00B23DEB"/>
    <w:rsid w:val="00B27222"/>
    <w:rsid w:val="00B334B8"/>
    <w:rsid w:val="00B37704"/>
    <w:rsid w:val="00B467CB"/>
    <w:rsid w:val="00B564D4"/>
    <w:rsid w:val="00B60C09"/>
    <w:rsid w:val="00B65780"/>
    <w:rsid w:val="00B7551C"/>
    <w:rsid w:val="00B773C4"/>
    <w:rsid w:val="00B93034"/>
    <w:rsid w:val="00BA17EB"/>
    <w:rsid w:val="00BA30CE"/>
    <w:rsid w:val="00BA3F1F"/>
    <w:rsid w:val="00BA7391"/>
    <w:rsid w:val="00BB4B04"/>
    <w:rsid w:val="00BB5BA8"/>
    <w:rsid w:val="00BC09E2"/>
    <w:rsid w:val="00BC508B"/>
    <w:rsid w:val="00BD0892"/>
    <w:rsid w:val="00BD34AA"/>
    <w:rsid w:val="00BE00AB"/>
    <w:rsid w:val="00BE457B"/>
    <w:rsid w:val="00BF2497"/>
    <w:rsid w:val="00BF48DC"/>
    <w:rsid w:val="00C03FE1"/>
    <w:rsid w:val="00C16C74"/>
    <w:rsid w:val="00C177D8"/>
    <w:rsid w:val="00C17BEC"/>
    <w:rsid w:val="00C256C0"/>
    <w:rsid w:val="00C25A63"/>
    <w:rsid w:val="00C41400"/>
    <w:rsid w:val="00C46AF6"/>
    <w:rsid w:val="00C52CF6"/>
    <w:rsid w:val="00C53D37"/>
    <w:rsid w:val="00C56CE6"/>
    <w:rsid w:val="00C577CA"/>
    <w:rsid w:val="00C62E1A"/>
    <w:rsid w:val="00C70552"/>
    <w:rsid w:val="00C7158F"/>
    <w:rsid w:val="00C72C04"/>
    <w:rsid w:val="00C73ADC"/>
    <w:rsid w:val="00C749F9"/>
    <w:rsid w:val="00C779E5"/>
    <w:rsid w:val="00C821D7"/>
    <w:rsid w:val="00C82C94"/>
    <w:rsid w:val="00C87870"/>
    <w:rsid w:val="00C925A1"/>
    <w:rsid w:val="00C946AC"/>
    <w:rsid w:val="00CA303C"/>
    <w:rsid w:val="00CA33B2"/>
    <w:rsid w:val="00CA4AFB"/>
    <w:rsid w:val="00CA4E6D"/>
    <w:rsid w:val="00CA760A"/>
    <w:rsid w:val="00CC32F5"/>
    <w:rsid w:val="00CC7D05"/>
    <w:rsid w:val="00CD119E"/>
    <w:rsid w:val="00CE0AEC"/>
    <w:rsid w:val="00CE40B1"/>
    <w:rsid w:val="00CE5B94"/>
    <w:rsid w:val="00CE6B19"/>
    <w:rsid w:val="00CF3A0C"/>
    <w:rsid w:val="00CF7D62"/>
    <w:rsid w:val="00D105C0"/>
    <w:rsid w:val="00D13656"/>
    <w:rsid w:val="00D2020D"/>
    <w:rsid w:val="00D227C9"/>
    <w:rsid w:val="00D23B71"/>
    <w:rsid w:val="00D41332"/>
    <w:rsid w:val="00D4138E"/>
    <w:rsid w:val="00D461A2"/>
    <w:rsid w:val="00D51B92"/>
    <w:rsid w:val="00D5248B"/>
    <w:rsid w:val="00D56591"/>
    <w:rsid w:val="00D57F56"/>
    <w:rsid w:val="00D773D9"/>
    <w:rsid w:val="00D7754F"/>
    <w:rsid w:val="00D77A33"/>
    <w:rsid w:val="00D81787"/>
    <w:rsid w:val="00D86557"/>
    <w:rsid w:val="00D9124D"/>
    <w:rsid w:val="00D92CE8"/>
    <w:rsid w:val="00D950B7"/>
    <w:rsid w:val="00D9772E"/>
    <w:rsid w:val="00DA3B02"/>
    <w:rsid w:val="00DA422E"/>
    <w:rsid w:val="00DC1A1C"/>
    <w:rsid w:val="00DC3188"/>
    <w:rsid w:val="00DC3200"/>
    <w:rsid w:val="00DD7D7C"/>
    <w:rsid w:val="00DE530C"/>
    <w:rsid w:val="00DF7913"/>
    <w:rsid w:val="00E01248"/>
    <w:rsid w:val="00E02BC2"/>
    <w:rsid w:val="00E13CC9"/>
    <w:rsid w:val="00E232FF"/>
    <w:rsid w:val="00E30591"/>
    <w:rsid w:val="00E32039"/>
    <w:rsid w:val="00E32B1C"/>
    <w:rsid w:val="00E32C9B"/>
    <w:rsid w:val="00E33821"/>
    <w:rsid w:val="00E37D8E"/>
    <w:rsid w:val="00E44E64"/>
    <w:rsid w:val="00E55CD5"/>
    <w:rsid w:val="00E57BEA"/>
    <w:rsid w:val="00E62B05"/>
    <w:rsid w:val="00E6591C"/>
    <w:rsid w:val="00E6704A"/>
    <w:rsid w:val="00E743DF"/>
    <w:rsid w:val="00E80A12"/>
    <w:rsid w:val="00E8102B"/>
    <w:rsid w:val="00E8175C"/>
    <w:rsid w:val="00E97355"/>
    <w:rsid w:val="00EA4E09"/>
    <w:rsid w:val="00EB2643"/>
    <w:rsid w:val="00EB52BB"/>
    <w:rsid w:val="00EC4958"/>
    <w:rsid w:val="00ED3B5A"/>
    <w:rsid w:val="00ED4A87"/>
    <w:rsid w:val="00EE35DF"/>
    <w:rsid w:val="00EF3855"/>
    <w:rsid w:val="00F00CAC"/>
    <w:rsid w:val="00F00D89"/>
    <w:rsid w:val="00F03C7A"/>
    <w:rsid w:val="00F17869"/>
    <w:rsid w:val="00F25B54"/>
    <w:rsid w:val="00F311BD"/>
    <w:rsid w:val="00F351DD"/>
    <w:rsid w:val="00F405C7"/>
    <w:rsid w:val="00F5254B"/>
    <w:rsid w:val="00F566BC"/>
    <w:rsid w:val="00F56D06"/>
    <w:rsid w:val="00F627C3"/>
    <w:rsid w:val="00F62B4D"/>
    <w:rsid w:val="00F662B9"/>
    <w:rsid w:val="00F7398E"/>
    <w:rsid w:val="00F76F19"/>
    <w:rsid w:val="00F834FA"/>
    <w:rsid w:val="00F900AE"/>
    <w:rsid w:val="00F90F8A"/>
    <w:rsid w:val="00F9610E"/>
    <w:rsid w:val="00F97E49"/>
    <w:rsid w:val="00FA7FFC"/>
    <w:rsid w:val="00FB5647"/>
    <w:rsid w:val="00FC1AF9"/>
    <w:rsid w:val="00FC4003"/>
    <w:rsid w:val="00FD1BF3"/>
    <w:rsid w:val="00FD2C23"/>
    <w:rsid w:val="00FD682A"/>
    <w:rsid w:val="00FE0714"/>
    <w:rsid w:val="00FF2AA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73136-2E43-4F67-86CB-B31BEBC0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99"/>
    <w:pPr>
      <w:spacing w:after="200" w:line="276" w:lineRule="auto"/>
    </w:pPr>
  </w:style>
  <w:style w:type="paragraph" w:styleId="Heading4">
    <w:name w:val="heading 4"/>
    <w:basedOn w:val="Normal"/>
    <w:next w:val="Normal"/>
    <w:link w:val="Heading4Char"/>
    <w:qFormat/>
    <w:rsid w:val="00AA5B99"/>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5B99"/>
    <w:rPr>
      <w:rFonts w:ascii="Arial" w:eastAsia="Times New Roman" w:hAnsi="Arial" w:cs="Times New Roman"/>
      <w:sz w:val="28"/>
      <w:szCs w:val="24"/>
      <w:lang w:val="en-GB"/>
    </w:rPr>
  </w:style>
  <w:style w:type="paragraph" w:styleId="BodyText">
    <w:name w:val="Body Text"/>
    <w:basedOn w:val="Normal"/>
    <w:link w:val="BodyTextChar"/>
    <w:rsid w:val="00AA5B9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A5B9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A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99"/>
  </w:style>
  <w:style w:type="paragraph" w:styleId="ListParagraph">
    <w:name w:val="List Paragraph"/>
    <w:basedOn w:val="Normal"/>
    <w:uiPriority w:val="34"/>
    <w:qFormat/>
    <w:rsid w:val="00BB5BA8"/>
    <w:pPr>
      <w:spacing w:after="0" w:line="360" w:lineRule="auto"/>
      <w:ind w:firstLine="720"/>
      <w:contextualSpacing/>
      <w:jc w:val="both"/>
    </w:pPr>
    <w:rPr>
      <w:rFonts w:ascii="Arial" w:hAnsi="Arial" w:cs="Arial"/>
      <w:sz w:val="24"/>
      <w:szCs w:val="24"/>
    </w:rPr>
  </w:style>
  <w:style w:type="paragraph" w:styleId="FootnoteText">
    <w:name w:val="footnote text"/>
    <w:basedOn w:val="Normal"/>
    <w:link w:val="FootnoteTextChar"/>
    <w:uiPriority w:val="99"/>
    <w:unhideWhenUsed/>
    <w:rsid w:val="00AA5B99"/>
    <w:pPr>
      <w:spacing w:after="0" w:line="240" w:lineRule="auto"/>
    </w:pPr>
    <w:rPr>
      <w:sz w:val="20"/>
      <w:szCs w:val="20"/>
    </w:rPr>
  </w:style>
  <w:style w:type="character" w:customStyle="1" w:styleId="FootnoteTextChar">
    <w:name w:val="Footnote Text Char"/>
    <w:basedOn w:val="DefaultParagraphFont"/>
    <w:link w:val="FootnoteText"/>
    <w:uiPriority w:val="99"/>
    <w:rsid w:val="00AA5B99"/>
    <w:rPr>
      <w:sz w:val="20"/>
      <w:szCs w:val="20"/>
    </w:rPr>
  </w:style>
  <w:style w:type="character" w:styleId="FootnoteReference">
    <w:name w:val="footnote reference"/>
    <w:basedOn w:val="DefaultParagraphFont"/>
    <w:uiPriority w:val="99"/>
    <w:semiHidden/>
    <w:unhideWhenUsed/>
    <w:rsid w:val="00AA5B99"/>
    <w:rPr>
      <w:vertAlign w:val="superscript"/>
    </w:rPr>
  </w:style>
  <w:style w:type="paragraph" w:styleId="BalloonText">
    <w:name w:val="Balloon Text"/>
    <w:basedOn w:val="Normal"/>
    <w:link w:val="BalloonTextChar"/>
    <w:uiPriority w:val="99"/>
    <w:semiHidden/>
    <w:unhideWhenUsed/>
    <w:rsid w:val="00C0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E1"/>
    <w:rPr>
      <w:rFonts w:ascii="Segoe UI" w:hAnsi="Segoe UI" w:cs="Segoe UI"/>
      <w:sz w:val="18"/>
      <w:szCs w:val="18"/>
    </w:rPr>
  </w:style>
  <w:style w:type="paragraph" w:styleId="Footer">
    <w:name w:val="footer"/>
    <w:basedOn w:val="Normal"/>
    <w:link w:val="FooterChar"/>
    <w:uiPriority w:val="99"/>
    <w:unhideWhenUsed/>
    <w:rsid w:val="00C92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2570">
      <w:bodyDiv w:val="1"/>
      <w:marLeft w:val="0"/>
      <w:marRight w:val="0"/>
      <w:marTop w:val="0"/>
      <w:marBottom w:val="0"/>
      <w:divBdr>
        <w:top w:val="none" w:sz="0" w:space="0" w:color="auto"/>
        <w:left w:val="none" w:sz="0" w:space="0" w:color="auto"/>
        <w:bottom w:val="none" w:sz="0" w:space="0" w:color="auto"/>
        <w:right w:val="none" w:sz="0" w:space="0" w:color="auto"/>
      </w:divBdr>
      <w:divsChild>
        <w:div w:id="5522086">
          <w:marLeft w:val="0"/>
          <w:marRight w:val="0"/>
          <w:marTop w:val="0"/>
          <w:marBottom w:val="0"/>
          <w:divBdr>
            <w:top w:val="none" w:sz="0" w:space="0" w:color="auto"/>
            <w:left w:val="none" w:sz="0" w:space="0" w:color="auto"/>
            <w:bottom w:val="none" w:sz="0" w:space="0" w:color="auto"/>
            <w:right w:val="none" w:sz="0" w:space="0" w:color="auto"/>
          </w:divBdr>
        </w:div>
        <w:div w:id="2021078563">
          <w:marLeft w:val="0"/>
          <w:marRight w:val="0"/>
          <w:marTop w:val="0"/>
          <w:marBottom w:val="0"/>
          <w:divBdr>
            <w:top w:val="none" w:sz="0" w:space="0" w:color="auto"/>
            <w:left w:val="none" w:sz="0" w:space="0" w:color="auto"/>
            <w:bottom w:val="none" w:sz="0" w:space="0" w:color="auto"/>
            <w:right w:val="none" w:sz="0" w:space="0" w:color="auto"/>
          </w:divBdr>
        </w:div>
        <w:div w:id="1905487871">
          <w:marLeft w:val="0"/>
          <w:marRight w:val="0"/>
          <w:marTop w:val="0"/>
          <w:marBottom w:val="0"/>
          <w:divBdr>
            <w:top w:val="none" w:sz="0" w:space="0" w:color="auto"/>
            <w:left w:val="none" w:sz="0" w:space="0" w:color="auto"/>
            <w:bottom w:val="none" w:sz="0" w:space="0" w:color="auto"/>
            <w:right w:val="none" w:sz="0" w:space="0" w:color="auto"/>
          </w:divBdr>
        </w:div>
        <w:div w:id="719480040">
          <w:marLeft w:val="0"/>
          <w:marRight w:val="0"/>
          <w:marTop w:val="0"/>
          <w:marBottom w:val="0"/>
          <w:divBdr>
            <w:top w:val="none" w:sz="0" w:space="0" w:color="auto"/>
            <w:left w:val="none" w:sz="0" w:space="0" w:color="auto"/>
            <w:bottom w:val="none" w:sz="0" w:space="0" w:color="auto"/>
            <w:right w:val="none" w:sz="0" w:space="0" w:color="auto"/>
          </w:divBdr>
        </w:div>
        <w:div w:id="736363249">
          <w:marLeft w:val="0"/>
          <w:marRight w:val="0"/>
          <w:marTop w:val="0"/>
          <w:marBottom w:val="0"/>
          <w:divBdr>
            <w:top w:val="none" w:sz="0" w:space="0" w:color="auto"/>
            <w:left w:val="none" w:sz="0" w:space="0" w:color="auto"/>
            <w:bottom w:val="none" w:sz="0" w:space="0" w:color="auto"/>
            <w:right w:val="none" w:sz="0" w:space="0" w:color="auto"/>
          </w:divBdr>
        </w:div>
        <w:div w:id="1862429512">
          <w:marLeft w:val="0"/>
          <w:marRight w:val="0"/>
          <w:marTop w:val="0"/>
          <w:marBottom w:val="0"/>
          <w:divBdr>
            <w:top w:val="none" w:sz="0" w:space="0" w:color="auto"/>
            <w:left w:val="none" w:sz="0" w:space="0" w:color="auto"/>
            <w:bottom w:val="none" w:sz="0" w:space="0" w:color="auto"/>
            <w:right w:val="none" w:sz="0" w:space="0" w:color="auto"/>
          </w:divBdr>
        </w:div>
        <w:div w:id="1608464881">
          <w:marLeft w:val="0"/>
          <w:marRight w:val="0"/>
          <w:marTop w:val="0"/>
          <w:marBottom w:val="0"/>
          <w:divBdr>
            <w:top w:val="none" w:sz="0" w:space="0" w:color="auto"/>
            <w:left w:val="none" w:sz="0" w:space="0" w:color="auto"/>
            <w:bottom w:val="none" w:sz="0" w:space="0" w:color="auto"/>
            <w:right w:val="none" w:sz="0" w:space="0" w:color="auto"/>
          </w:divBdr>
        </w:div>
        <w:div w:id="1623340605">
          <w:marLeft w:val="0"/>
          <w:marRight w:val="0"/>
          <w:marTop w:val="0"/>
          <w:marBottom w:val="0"/>
          <w:divBdr>
            <w:top w:val="none" w:sz="0" w:space="0" w:color="auto"/>
            <w:left w:val="none" w:sz="0" w:space="0" w:color="auto"/>
            <w:bottom w:val="none" w:sz="0" w:space="0" w:color="auto"/>
            <w:right w:val="none" w:sz="0" w:space="0" w:color="auto"/>
          </w:divBdr>
        </w:div>
        <w:div w:id="1389299537">
          <w:marLeft w:val="0"/>
          <w:marRight w:val="0"/>
          <w:marTop w:val="0"/>
          <w:marBottom w:val="0"/>
          <w:divBdr>
            <w:top w:val="none" w:sz="0" w:space="0" w:color="auto"/>
            <w:left w:val="none" w:sz="0" w:space="0" w:color="auto"/>
            <w:bottom w:val="none" w:sz="0" w:space="0" w:color="auto"/>
            <w:right w:val="none" w:sz="0" w:space="0" w:color="auto"/>
          </w:divBdr>
        </w:div>
        <w:div w:id="753741556">
          <w:marLeft w:val="0"/>
          <w:marRight w:val="0"/>
          <w:marTop w:val="0"/>
          <w:marBottom w:val="0"/>
          <w:divBdr>
            <w:top w:val="none" w:sz="0" w:space="0" w:color="auto"/>
            <w:left w:val="none" w:sz="0" w:space="0" w:color="auto"/>
            <w:bottom w:val="none" w:sz="0" w:space="0" w:color="auto"/>
            <w:right w:val="none" w:sz="0" w:space="0" w:color="auto"/>
          </w:divBdr>
        </w:div>
        <w:div w:id="1250624932">
          <w:marLeft w:val="0"/>
          <w:marRight w:val="0"/>
          <w:marTop w:val="0"/>
          <w:marBottom w:val="0"/>
          <w:divBdr>
            <w:top w:val="none" w:sz="0" w:space="0" w:color="auto"/>
            <w:left w:val="none" w:sz="0" w:space="0" w:color="auto"/>
            <w:bottom w:val="none" w:sz="0" w:space="0" w:color="auto"/>
            <w:right w:val="none" w:sz="0" w:space="0" w:color="auto"/>
          </w:divBdr>
        </w:div>
        <w:div w:id="1911040502">
          <w:marLeft w:val="0"/>
          <w:marRight w:val="0"/>
          <w:marTop w:val="0"/>
          <w:marBottom w:val="0"/>
          <w:divBdr>
            <w:top w:val="none" w:sz="0" w:space="0" w:color="auto"/>
            <w:left w:val="none" w:sz="0" w:space="0" w:color="auto"/>
            <w:bottom w:val="none" w:sz="0" w:space="0" w:color="auto"/>
            <w:right w:val="none" w:sz="0" w:space="0" w:color="auto"/>
          </w:divBdr>
        </w:div>
        <w:div w:id="1655182808">
          <w:marLeft w:val="0"/>
          <w:marRight w:val="0"/>
          <w:marTop w:val="0"/>
          <w:marBottom w:val="0"/>
          <w:divBdr>
            <w:top w:val="none" w:sz="0" w:space="0" w:color="auto"/>
            <w:left w:val="none" w:sz="0" w:space="0" w:color="auto"/>
            <w:bottom w:val="none" w:sz="0" w:space="0" w:color="auto"/>
            <w:right w:val="none" w:sz="0" w:space="0" w:color="auto"/>
          </w:divBdr>
        </w:div>
        <w:div w:id="2093164866">
          <w:marLeft w:val="0"/>
          <w:marRight w:val="0"/>
          <w:marTop w:val="0"/>
          <w:marBottom w:val="0"/>
          <w:divBdr>
            <w:top w:val="none" w:sz="0" w:space="0" w:color="auto"/>
            <w:left w:val="none" w:sz="0" w:space="0" w:color="auto"/>
            <w:bottom w:val="none" w:sz="0" w:space="0" w:color="auto"/>
            <w:right w:val="none" w:sz="0" w:space="0" w:color="auto"/>
          </w:divBdr>
        </w:div>
        <w:div w:id="1803189309">
          <w:marLeft w:val="0"/>
          <w:marRight w:val="0"/>
          <w:marTop w:val="0"/>
          <w:marBottom w:val="0"/>
          <w:divBdr>
            <w:top w:val="none" w:sz="0" w:space="0" w:color="auto"/>
            <w:left w:val="none" w:sz="0" w:space="0" w:color="auto"/>
            <w:bottom w:val="none" w:sz="0" w:space="0" w:color="auto"/>
            <w:right w:val="none" w:sz="0" w:space="0" w:color="auto"/>
          </w:divBdr>
        </w:div>
        <w:div w:id="1606887105">
          <w:marLeft w:val="0"/>
          <w:marRight w:val="0"/>
          <w:marTop w:val="0"/>
          <w:marBottom w:val="0"/>
          <w:divBdr>
            <w:top w:val="none" w:sz="0" w:space="0" w:color="auto"/>
            <w:left w:val="none" w:sz="0" w:space="0" w:color="auto"/>
            <w:bottom w:val="none" w:sz="0" w:space="0" w:color="auto"/>
            <w:right w:val="none" w:sz="0" w:space="0" w:color="auto"/>
          </w:divBdr>
        </w:div>
        <w:div w:id="1621692395">
          <w:marLeft w:val="0"/>
          <w:marRight w:val="0"/>
          <w:marTop w:val="0"/>
          <w:marBottom w:val="0"/>
          <w:divBdr>
            <w:top w:val="none" w:sz="0" w:space="0" w:color="auto"/>
            <w:left w:val="none" w:sz="0" w:space="0" w:color="auto"/>
            <w:bottom w:val="none" w:sz="0" w:space="0" w:color="auto"/>
            <w:right w:val="none" w:sz="0" w:space="0" w:color="auto"/>
          </w:divBdr>
        </w:div>
        <w:div w:id="963921187">
          <w:marLeft w:val="0"/>
          <w:marRight w:val="0"/>
          <w:marTop w:val="0"/>
          <w:marBottom w:val="0"/>
          <w:divBdr>
            <w:top w:val="none" w:sz="0" w:space="0" w:color="auto"/>
            <w:left w:val="none" w:sz="0" w:space="0" w:color="auto"/>
            <w:bottom w:val="none" w:sz="0" w:space="0" w:color="auto"/>
            <w:right w:val="none" w:sz="0" w:space="0" w:color="auto"/>
          </w:divBdr>
        </w:div>
        <w:div w:id="1524241683">
          <w:marLeft w:val="0"/>
          <w:marRight w:val="0"/>
          <w:marTop w:val="0"/>
          <w:marBottom w:val="0"/>
          <w:divBdr>
            <w:top w:val="none" w:sz="0" w:space="0" w:color="auto"/>
            <w:left w:val="none" w:sz="0" w:space="0" w:color="auto"/>
            <w:bottom w:val="none" w:sz="0" w:space="0" w:color="auto"/>
            <w:right w:val="none" w:sz="0" w:space="0" w:color="auto"/>
          </w:divBdr>
        </w:div>
        <w:div w:id="445349613">
          <w:marLeft w:val="0"/>
          <w:marRight w:val="0"/>
          <w:marTop w:val="0"/>
          <w:marBottom w:val="0"/>
          <w:divBdr>
            <w:top w:val="none" w:sz="0" w:space="0" w:color="auto"/>
            <w:left w:val="none" w:sz="0" w:space="0" w:color="auto"/>
            <w:bottom w:val="none" w:sz="0" w:space="0" w:color="auto"/>
            <w:right w:val="none" w:sz="0" w:space="0" w:color="auto"/>
          </w:divBdr>
        </w:div>
        <w:div w:id="1868634987">
          <w:marLeft w:val="0"/>
          <w:marRight w:val="0"/>
          <w:marTop w:val="0"/>
          <w:marBottom w:val="0"/>
          <w:divBdr>
            <w:top w:val="none" w:sz="0" w:space="0" w:color="auto"/>
            <w:left w:val="none" w:sz="0" w:space="0" w:color="auto"/>
            <w:bottom w:val="none" w:sz="0" w:space="0" w:color="auto"/>
            <w:right w:val="none" w:sz="0" w:space="0" w:color="auto"/>
          </w:divBdr>
        </w:div>
        <w:div w:id="1433352596">
          <w:marLeft w:val="0"/>
          <w:marRight w:val="0"/>
          <w:marTop w:val="0"/>
          <w:marBottom w:val="0"/>
          <w:divBdr>
            <w:top w:val="none" w:sz="0" w:space="0" w:color="auto"/>
            <w:left w:val="none" w:sz="0" w:space="0" w:color="auto"/>
            <w:bottom w:val="none" w:sz="0" w:space="0" w:color="auto"/>
            <w:right w:val="none" w:sz="0" w:space="0" w:color="auto"/>
          </w:divBdr>
        </w:div>
        <w:div w:id="2064211473">
          <w:marLeft w:val="0"/>
          <w:marRight w:val="0"/>
          <w:marTop w:val="0"/>
          <w:marBottom w:val="0"/>
          <w:divBdr>
            <w:top w:val="none" w:sz="0" w:space="0" w:color="auto"/>
            <w:left w:val="none" w:sz="0" w:space="0" w:color="auto"/>
            <w:bottom w:val="none" w:sz="0" w:space="0" w:color="auto"/>
            <w:right w:val="none" w:sz="0" w:space="0" w:color="auto"/>
          </w:divBdr>
        </w:div>
        <w:div w:id="1700012605">
          <w:marLeft w:val="0"/>
          <w:marRight w:val="0"/>
          <w:marTop w:val="0"/>
          <w:marBottom w:val="0"/>
          <w:divBdr>
            <w:top w:val="none" w:sz="0" w:space="0" w:color="auto"/>
            <w:left w:val="none" w:sz="0" w:space="0" w:color="auto"/>
            <w:bottom w:val="none" w:sz="0" w:space="0" w:color="auto"/>
            <w:right w:val="none" w:sz="0" w:space="0" w:color="auto"/>
          </w:divBdr>
        </w:div>
        <w:div w:id="331026941">
          <w:marLeft w:val="0"/>
          <w:marRight w:val="0"/>
          <w:marTop w:val="0"/>
          <w:marBottom w:val="0"/>
          <w:divBdr>
            <w:top w:val="none" w:sz="0" w:space="0" w:color="auto"/>
            <w:left w:val="none" w:sz="0" w:space="0" w:color="auto"/>
            <w:bottom w:val="none" w:sz="0" w:space="0" w:color="auto"/>
            <w:right w:val="none" w:sz="0" w:space="0" w:color="auto"/>
          </w:divBdr>
        </w:div>
        <w:div w:id="827987036">
          <w:marLeft w:val="0"/>
          <w:marRight w:val="0"/>
          <w:marTop w:val="0"/>
          <w:marBottom w:val="0"/>
          <w:divBdr>
            <w:top w:val="none" w:sz="0" w:space="0" w:color="auto"/>
            <w:left w:val="none" w:sz="0" w:space="0" w:color="auto"/>
            <w:bottom w:val="none" w:sz="0" w:space="0" w:color="auto"/>
            <w:right w:val="none" w:sz="0" w:space="0" w:color="auto"/>
          </w:divBdr>
        </w:div>
        <w:div w:id="502666922">
          <w:marLeft w:val="0"/>
          <w:marRight w:val="0"/>
          <w:marTop w:val="0"/>
          <w:marBottom w:val="0"/>
          <w:divBdr>
            <w:top w:val="none" w:sz="0" w:space="0" w:color="auto"/>
            <w:left w:val="none" w:sz="0" w:space="0" w:color="auto"/>
            <w:bottom w:val="none" w:sz="0" w:space="0" w:color="auto"/>
            <w:right w:val="none" w:sz="0" w:space="0" w:color="auto"/>
          </w:divBdr>
        </w:div>
      </w:divsChild>
    </w:div>
    <w:div w:id="1162038679">
      <w:bodyDiv w:val="1"/>
      <w:marLeft w:val="0"/>
      <w:marRight w:val="0"/>
      <w:marTop w:val="0"/>
      <w:marBottom w:val="0"/>
      <w:divBdr>
        <w:top w:val="none" w:sz="0" w:space="0" w:color="auto"/>
        <w:left w:val="none" w:sz="0" w:space="0" w:color="auto"/>
        <w:bottom w:val="none" w:sz="0" w:space="0" w:color="auto"/>
        <w:right w:val="none" w:sz="0" w:space="0" w:color="auto"/>
      </w:divBdr>
      <w:divsChild>
        <w:div w:id="573509844">
          <w:marLeft w:val="0"/>
          <w:marRight w:val="0"/>
          <w:marTop w:val="0"/>
          <w:marBottom w:val="0"/>
          <w:divBdr>
            <w:top w:val="none" w:sz="0" w:space="0" w:color="auto"/>
            <w:left w:val="none" w:sz="0" w:space="0" w:color="auto"/>
            <w:bottom w:val="none" w:sz="0" w:space="0" w:color="auto"/>
            <w:right w:val="none" w:sz="0" w:space="0" w:color="auto"/>
          </w:divBdr>
        </w:div>
        <w:div w:id="540673977">
          <w:marLeft w:val="0"/>
          <w:marRight w:val="0"/>
          <w:marTop w:val="0"/>
          <w:marBottom w:val="0"/>
          <w:divBdr>
            <w:top w:val="none" w:sz="0" w:space="0" w:color="auto"/>
            <w:left w:val="none" w:sz="0" w:space="0" w:color="auto"/>
            <w:bottom w:val="none" w:sz="0" w:space="0" w:color="auto"/>
            <w:right w:val="none" w:sz="0" w:space="0" w:color="auto"/>
          </w:divBdr>
        </w:div>
        <w:div w:id="1377462789">
          <w:marLeft w:val="0"/>
          <w:marRight w:val="0"/>
          <w:marTop w:val="0"/>
          <w:marBottom w:val="0"/>
          <w:divBdr>
            <w:top w:val="none" w:sz="0" w:space="0" w:color="auto"/>
            <w:left w:val="none" w:sz="0" w:space="0" w:color="auto"/>
            <w:bottom w:val="none" w:sz="0" w:space="0" w:color="auto"/>
            <w:right w:val="none" w:sz="0" w:space="0" w:color="auto"/>
          </w:divBdr>
        </w:div>
        <w:div w:id="1861623553">
          <w:marLeft w:val="0"/>
          <w:marRight w:val="0"/>
          <w:marTop w:val="0"/>
          <w:marBottom w:val="0"/>
          <w:divBdr>
            <w:top w:val="none" w:sz="0" w:space="0" w:color="auto"/>
            <w:left w:val="none" w:sz="0" w:space="0" w:color="auto"/>
            <w:bottom w:val="none" w:sz="0" w:space="0" w:color="auto"/>
            <w:right w:val="none" w:sz="0" w:space="0" w:color="auto"/>
          </w:divBdr>
        </w:div>
        <w:div w:id="1894347153">
          <w:marLeft w:val="0"/>
          <w:marRight w:val="0"/>
          <w:marTop w:val="0"/>
          <w:marBottom w:val="0"/>
          <w:divBdr>
            <w:top w:val="none" w:sz="0" w:space="0" w:color="auto"/>
            <w:left w:val="none" w:sz="0" w:space="0" w:color="auto"/>
            <w:bottom w:val="none" w:sz="0" w:space="0" w:color="auto"/>
            <w:right w:val="none" w:sz="0" w:space="0" w:color="auto"/>
          </w:divBdr>
        </w:div>
        <w:div w:id="1858300707">
          <w:marLeft w:val="0"/>
          <w:marRight w:val="0"/>
          <w:marTop w:val="0"/>
          <w:marBottom w:val="0"/>
          <w:divBdr>
            <w:top w:val="none" w:sz="0" w:space="0" w:color="auto"/>
            <w:left w:val="none" w:sz="0" w:space="0" w:color="auto"/>
            <w:bottom w:val="none" w:sz="0" w:space="0" w:color="auto"/>
            <w:right w:val="none" w:sz="0" w:space="0" w:color="auto"/>
          </w:divBdr>
        </w:div>
      </w:divsChild>
    </w:div>
    <w:div w:id="1782608272">
      <w:bodyDiv w:val="1"/>
      <w:marLeft w:val="0"/>
      <w:marRight w:val="0"/>
      <w:marTop w:val="0"/>
      <w:marBottom w:val="0"/>
      <w:divBdr>
        <w:top w:val="none" w:sz="0" w:space="0" w:color="auto"/>
        <w:left w:val="none" w:sz="0" w:space="0" w:color="auto"/>
        <w:bottom w:val="none" w:sz="0" w:space="0" w:color="auto"/>
        <w:right w:val="none" w:sz="0" w:space="0" w:color="auto"/>
      </w:divBdr>
      <w:divsChild>
        <w:div w:id="2105566394">
          <w:marLeft w:val="0"/>
          <w:marRight w:val="0"/>
          <w:marTop w:val="0"/>
          <w:marBottom w:val="0"/>
          <w:divBdr>
            <w:top w:val="none" w:sz="0" w:space="0" w:color="auto"/>
            <w:left w:val="none" w:sz="0" w:space="0" w:color="auto"/>
            <w:bottom w:val="none" w:sz="0" w:space="0" w:color="auto"/>
            <w:right w:val="none" w:sz="0" w:space="0" w:color="auto"/>
          </w:divBdr>
        </w:div>
        <w:div w:id="1803184613">
          <w:marLeft w:val="0"/>
          <w:marRight w:val="0"/>
          <w:marTop w:val="0"/>
          <w:marBottom w:val="0"/>
          <w:divBdr>
            <w:top w:val="none" w:sz="0" w:space="0" w:color="auto"/>
            <w:left w:val="none" w:sz="0" w:space="0" w:color="auto"/>
            <w:bottom w:val="none" w:sz="0" w:space="0" w:color="auto"/>
            <w:right w:val="none" w:sz="0" w:space="0" w:color="auto"/>
          </w:divBdr>
        </w:div>
        <w:div w:id="229583735">
          <w:marLeft w:val="0"/>
          <w:marRight w:val="0"/>
          <w:marTop w:val="0"/>
          <w:marBottom w:val="0"/>
          <w:divBdr>
            <w:top w:val="none" w:sz="0" w:space="0" w:color="auto"/>
            <w:left w:val="none" w:sz="0" w:space="0" w:color="auto"/>
            <w:bottom w:val="none" w:sz="0" w:space="0" w:color="auto"/>
            <w:right w:val="none" w:sz="0" w:space="0" w:color="auto"/>
          </w:divBdr>
        </w:div>
        <w:div w:id="354233215">
          <w:marLeft w:val="0"/>
          <w:marRight w:val="0"/>
          <w:marTop w:val="0"/>
          <w:marBottom w:val="0"/>
          <w:divBdr>
            <w:top w:val="none" w:sz="0" w:space="0" w:color="auto"/>
            <w:left w:val="none" w:sz="0" w:space="0" w:color="auto"/>
            <w:bottom w:val="none" w:sz="0" w:space="0" w:color="auto"/>
            <w:right w:val="none" w:sz="0" w:space="0" w:color="auto"/>
          </w:divBdr>
        </w:div>
        <w:div w:id="1059667026">
          <w:marLeft w:val="0"/>
          <w:marRight w:val="0"/>
          <w:marTop w:val="0"/>
          <w:marBottom w:val="0"/>
          <w:divBdr>
            <w:top w:val="none" w:sz="0" w:space="0" w:color="auto"/>
            <w:left w:val="none" w:sz="0" w:space="0" w:color="auto"/>
            <w:bottom w:val="none" w:sz="0" w:space="0" w:color="auto"/>
            <w:right w:val="none" w:sz="0" w:space="0" w:color="auto"/>
          </w:divBdr>
        </w:div>
        <w:div w:id="895047570">
          <w:marLeft w:val="0"/>
          <w:marRight w:val="0"/>
          <w:marTop w:val="0"/>
          <w:marBottom w:val="0"/>
          <w:divBdr>
            <w:top w:val="none" w:sz="0" w:space="0" w:color="auto"/>
            <w:left w:val="none" w:sz="0" w:space="0" w:color="auto"/>
            <w:bottom w:val="none" w:sz="0" w:space="0" w:color="auto"/>
            <w:right w:val="none" w:sz="0" w:space="0" w:color="auto"/>
          </w:divBdr>
        </w:div>
        <w:div w:id="317346028">
          <w:marLeft w:val="0"/>
          <w:marRight w:val="0"/>
          <w:marTop w:val="0"/>
          <w:marBottom w:val="0"/>
          <w:divBdr>
            <w:top w:val="none" w:sz="0" w:space="0" w:color="auto"/>
            <w:left w:val="none" w:sz="0" w:space="0" w:color="auto"/>
            <w:bottom w:val="none" w:sz="0" w:space="0" w:color="auto"/>
            <w:right w:val="none" w:sz="0" w:space="0" w:color="auto"/>
          </w:divBdr>
        </w:div>
        <w:div w:id="143081767">
          <w:marLeft w:val="0"/>
          <w:marRight w:val="0"/>
          <w:marTop w:val="0"/>
          <w:marBottom w:val="0"/>
          <w:divBdr>
            <w:top w:val="none" w:sz="0" w:space="0" w:color="auto"/>
            <w:left w:val="none" w:sz="0" w:space="0" w:color="auto"/>
            <w:bottom w:val="none" w:sz="0" w:space="0" w:color="auto"/>
            <w:right w:val="none" w:sz="0" w:space="0" w:color="auto"/>
          </w:divBdr>
        </w:div>
        <w:div w:id="41026438">
          <w:marLeft w:val="0"/>
          <w:marRight w:val="0"/>
          <w:marTop w:val="0"/>
          <w:marBottom w:val="0"/>
          <w:divBdr>
            <w:top w:val="none" w:sz="0" w:space="0" w:color="auto"/>
            <w:left w:val="none" w:sz="0" w:space="0" w:color="auto"/>
            <w:bottom w:val="none" w:sz="0" w:space="0" w:color="auto"/>
            <w:right w:val="none" w:sz="0" w:space="0" w:color="auto"/>
          </w:divBdr>
        </w:div>
        <w:div w:id="765080196">
          <w:marLeft w:val="0"/>
          <w:marRight w:val="0"/>
          <w:marTop w:val="0"/>
          <w:marBottom w:val="0"/>
          <w:divBdr>
            <w:top w:val="none" w:sz="0" w:space="0" w:color="auto"/>
            <w:left w:val="none" w:sz="0" w:space="0" w:color="auto"/>
            <w:bottom w:val="none" w:sz="0" w:space="0" w:color="auto"/>
            <w:right w:val="none" w:sz="0" w:space="0" w:color="auto"/>
          </w:divBdr>
        </w:div>
        <w:div w:id="132918024">
          <w:marLeft w:val="0"/>
          <w:marRight w:val="0"/>
          <w:marTop w:val="0"/>
          <w:marBottom w:val="0"/>
          <w:divBdr>
            <w:top w:val="none" w:sz="0" w:space="0" w:color="auto"/>
            <w:left w:val="none" w:sz="0" w:space="0" w:color="auto"/>
            <w:bottom w:val="none" w:sz="0" w:space="0" w:color="auto"/>
            <w:right w:val="none" w:sz="0" w:space="0" w:color="auto"/>
          </w:divBdr>
        </w:div>
      </w:divsChild>
    </w:div>
    <w:div w:id="1957835062">
      <w:bodyDiv w:val="1"/>
      <w:marLeft w:val="0"/>
      <w:marRight w:val="0"/>
      <w:marTop w:val="0"/>
      <w:marBottom w:val="0"/>
      <w:divBdr>
        <w:top w:val="none" w:sz="0" w:space="0" w:color="auto"/>
        <w:left w:val="none" w:sz="0" w:space="0" w:color="auto"/>
        <w:bottom w:val="none" w:sz="0" w:space="0" w:color="auto"/>
        <w:right w:val="none" w:sz="0" w:space="0" w:color="auto"/>
      </w:divBdr>
      <w:divsChild>
        <w:div w:id="77866336">
          <w:marLeft w:val="0"/>
          <w:marRight w:val="0"/>
          <w:marTop w:val="0"/>
          <w:marBottom w:val="0"/>
          <w:divBdr>
            <w:top w:val="none" w:sz="0" w:space="0" w:color="auto"/>
            <w:left w:val="none" w:sz="0" w:space="0" w:color="auto"/>
            <w:bottom w:val="none" w:sz="0" w:space="0" w:color="auto"/>
            <w:right w:val="none" w:sz="0" w:space="0" w:color="auto"/>
          </w:divBdr>
        </w:div>
        <w:div w:id="1977903706">
          <w:marLeft w:val="0"/>
          <w:marRight w:val="0"/>
          <w:marTop w:val="0"/>
          <w:marBottom w:val="0"/>
          <w:divBdr>
            <w:top w:val="none" w:sz="0" w:space="0" w:color="auto"/>
            <w:left w:val="none" w:sz="0" w:space="0" w:color="auto"/>
            <w:bottom w:val="none" w:sz="0" w:space="0" w:color="auto"/>
            <w:right w:val="none" w:sz="0" w:space="0" w:color="auto"/>
          </w:divBdr>
        </w:div>
        <w:div w:id="555698071">
          <w:marLeft w:val="0"/>
          <w:marRight w:val="0"/>
          <w:marTop w:val="0"/>
          <w:marBottom w:val="0"/>
          <w:divBdr>
            <w:top w:val="none" w:sz="0" w:space="0" w:color="auto"/>
            <w:left w:val="none" w:sz="0" w:space="0" w:color="auto"/>
            <w:bottom w:val="none" w:sz="0" w:space="0" w:color="auto"/>
            <w:right w:val="none" w:sz="0" w:space="0" w:color="auto"/>
          </w:divBdr>
        </w:div>
        <w:div w:id="2083915419">
          <w:marLeft w:val="0"/>
          <w:marRight w:val="0"/>
          <w:marTop w:val="0"/>
          <w:marBottom w:val="0"/>
          <w:divBdr>
            <w:top w:val="none" w:sz="0" w:space="0" w:color="auto"/>
            <w:left w:val="none" w:sz="0" w:space="0" w:color="auto"/>
            <w:bottom w:val="none" w:sz="0" w:space="0" w:color="auto"/>
            <w:right w:val="none" w:sz="0" w:space="0" w:color="auto"/>
          </w:divBdr>
        </w:div>
        <w:div w:id="1657830979">
          <w:marLeft w:val="0"/>
          <w:marRight w:val="0"/>
          <w:marTop w:val="0"/>
          <w:marBottom w:val="0"/>
          <w:divBdr>
            <w:top w:val="none" w:sz="0" w:space="0" w:color="auto"/>
            <w:left w:val="none" w:sz="0" w:space="0" w:color="auto"/>
            <w:bottom w:val="none" w:sz="0" w:space="0" w:color="auto"/>
            <w:right w:val="none" w:sz="0" w:space="0" w:color="auto"/>
          </w:divBdr>
        </w:div>
        <w:div w:id="151020527">
          <w:marLeft w:val="0"/>
          <w:marRight w:val="0"/>
          <w:marTop w:val="0"/>
          <w:marBottom w:val="0"/>
          <w:divBdr>
            <w:top w:val="none" w:sz="0" w:space="0" w:color="auto"/>
            <w:left w:val="none" w:sz="0" w:space="0" w:color="auto"/>
            <w:bottom w:val="none" w:sz="0" w:space="0" w:color="auto"/>
            <w:right w:val="none" w:sz="0" w:space="0" w:color="auto"/>
          </w:divBdr>
        </w:div>
        <w:div w:id="2073192688">
          <w:marLeft w:val="0"/>
          <w:marRight w:val="0"/>
          <w:marTop w:val="0"/>
          <w:marBottom w:val="0"/>
          <w:divBdr>
            <w:top w:val="none" w:sz="0" w:space="0" w:color="auto"/>
            <w:left w:val="none" w:sz="0" w:space="0" w:color="auto"/>
            <w:bottom w:val="none" w:sz="0" w:space="0" w:color="auto"/>
            <w:right w:val="none" w:sz="0" w:space="0" w:color="auto"/>
          </w:divBdr>
        </w:div>
        <w:div w:id="1811751555">
          <w:marLeft w:val="0"/>
          <w:marRight w:val="0"/>
          <w:marTop w:val="0"/>
          <w:marBottom w:val="0"/>
          <w:divBdr>
            <w:top w:val="none" w:sz="0" w:space="0" w:color="auto"/>
            <w:left w:val="none" w:sz="0" w:space="0" w:color="auto"/>
            <w:bottom w:val="none" w:sz="0" w:space="0" w:color="auto"/>
            <w:right w:val="none" w:sz="0" w:space="0" w:color="auto"/>
          </w:divBdr>
        </w:div>
        <w:div w:id="299968918">
          <w:marLeft w:val="0"/>
          <w:marRight w:val="0"/>
          <w:marTop w:val="0"/>
          <w:marBottom w:val="0"/>
          <w:divBdr>
            <w:top w:val="none" w:sz="0" w:space="0" w:color="auto"/>
            <w:left w:val="none" w:sz="0" w:space="0" w:color="auto"/>
            <w:bottom w:val="none" w:sz="0" w:space="0" w:color="auto"/>
            <w:right w:val="none" w:sz="0" w:space="0" w:color="auto"/>
          </w:divBdr>
        </w:div>
        <w:div w:id="50464442">
          <w:marLeft w:val="0"/>
          <w:marRight w:val="0"/>
          <w:marTop w:val="0"/>
          <w:marBottom w:val="0"/>
          <w:divBdr>
            <w:top w:val="none" w:sz="0" w:space="0" w:color="auto"/>
            <w:left w:val="none" w:sz="0" w:space="0" w:color="auto"/>
            <w:bottom w:val="none" w:sz="0" w:space="0" w:color="auto"/>
            <w:right w:val="none" w:sz="0" w:space="0" w:color="auto"/>
          </w:divBdr>
        </w:div>
        <w:div w:id="213928421">
          <w:marLeft w:val="0"/>
          <w:marRight w:val="0"/>
          <w:marTop w:val="0"/>
          <w:marBottom w:val="0"/>
          <w:divBdr>
            <w:top w:val="none" w:sz="0" w:space="0" w:color="auto"/>
            <w:left w:val="none" w:sz="0" w:space="0" w:color="auto"/>
            <w:bottom w:val="none" w:sz="0" w:space="0" w:color="auto"/>
            <w:right w:val="none" w:sz="0" w:space="0" w:color="auto"/>
          </w:divBdr>
        </w:div>
      </w:divsChild>
    </w:div>
    <w:div w:id="2134245402">
      <w:bodyDiv w:val="1"/>
      <w:marLeft w:val="0"/>
      <w:marRight w:val="0"/>
      <w:marTop w:val="0"/>
      <w:marBottom w:val="0"/>
      <w:divBdr>
        <w:top w:val="none" w:sz="0" w:space="0" w:color="auto"/>
        <w:left w:val="none" w:sz="0" w:space="0" w:color="auto"/>
        <w:bottom w:val="none" w:sz="0" w:space="0" w:color="auto"/>
        <w:right w:val="none" w:sz="0" w:space="0" w:color="auto"/>
      </w:divBdr>
      <w:divsChild>
        <w:div w:id="1623608942">
          <w:marLeft w:val="0"/>
          <w:marRight w:val="0"/>
          <w:marTop w:val="0"/>
          <w:marBottom w:val="0"/>
          <w:divBdr>
            <w:top w:val="none" w:sz="0" w:space="0" w:color="auto"/>
            <w:left w:val="none" w:sz="0" w:space="0" w:color="auto"/>
            <w:bottom w:val="none" w:sz="0" w:space="0" w:color="auto"/>
            <w:right w:val="none" w:sz="0" w:space="0" w:color="auto"/>
          </w:divBdr>
        </w:div>
        <w:div w:id="1897163163">
          <w:marLeft w:val="0"/>
          <w:marRight w:val="0"/>
          <w:marTop w:val="0"/>
          <w:marBottom w:val="0"/>
          <w:divBdr>
            <w:top w:val="none" w:sz="0" w:space="0" w:color="auto"/>
            <w:left w:val="none" w:sz="0" w:space="0" w:color="auto"/>
            <w:bottom w:val="none" w:sz="0" w:space="0" w:color="auto"/>
            <w:right w:val="none" w:sz="0" w:space="0" w:color="auto"/>
          </w:divBdr>
        </w:div>
        <w:div w:id="2129616297">
          <w:marLeft w:val="0"/>
          <w:marRight w:val="0"/>
          <w:marTop w:val="0"/>
          <w:marBottom w:val="0"/>
          <w:divBdr>
            <w:top w:val="none" w:sz="0" w:space="0" w:color="auto"/>
            <w:left w:val="none" w:sz="0" w:space="0" w:color="auto"/>
            <w:bottom w:val="none" w:sz="0" w:space="0" w:color="auto"/>
            <w:right w:val="none" w:sz="0" w:space="0" w:color="auto"/>
          </w:divBdr>
        </w:div>
        <w:div w:id="1253508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2017-04-27T18:30:00+00:00</Judgment_x0020_Date>
    <Year xmlns="aec0a7e9-5f5c-4ba9-87b2-85cfc8a38b86">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EE47-95BA-4429-A1F3-6144DD5791E9}"/>
</file>

<file path=customXml/itemProps2.xml><?xml version="1.0" encoding="utf-8"?>
<ds:datastoreItem xmlns:ds="http://schemas.openxmlformats.org/officeDocument/2006/customXml" ds:itemID="{19A26C94-E32D-4EFF-9627-AD4CAF5ADCBE}"/>
</file>

<file path=customXml/itemProps3.xml><?xml version="1.0" encoding="utf-8"?>
<ds:datastoreItem xmlns:ds="http://schemas.openxmlformats.org/officeDocument/2006/customXml" ds:itemID="{FDCBD542-3169-40C8-AC52-66077A5953A8}"/>
</file>

<file path=customXml/itemProps4.xml><?xml version="1.0" encoding="utf-8"?>
<ds:datastoreItem xmlns:ds="http://schemas.openxmlformats.org/officeDocument/2006/customXml" ds:itemID="{7BB3AD67-3464-4F34-BD05-B6B5FDD012E1}"/>
</file>

<file path=docProps/app.xml><?xml version="1.0" encoding="utf-8"?>
<Properties xmlns="http://schemas.openxmlformats.org/officeDocument/2006/extended-properties" xmlns:vt="http://schemas.openxmlformats.org/officeDocument/2006/docPropsVTypes">
  <Template>Normal</Template>
  <TotalTime>2</TotalTime>
  <Pages>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Ambunda</cp:lastModifiedBy>
  <cp:revision>4</cp:revision>
  <cp:lastPrinted>2017-05-03T09:22:00Z</cp:lastPrinted>
  <dcterms:created xsi:type="dcterms:W3CDTF">2017-05-09T11:08:00Z</dcterms:created>
  <dcterms:modified xsi:type="dcterms:W3CDTF">2017-05-09T11:09:00Z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