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03" w:rsidRDefault="00B13A03" w:rsidP="002B3B08">
      <w:pPr>
        <w:tabs>
          <w:tab w:val="center" w:pos="4513"/>
          <w:tab w:val="right" w:pos="9027"/>
        </w:tabs>
        <w:spacing w:after="0" w:line="360" w:lineRule="auto"/>
        <w:jc w:val="center"/>
        <w:rPr>
          <w:rFonts w:ascii="Arial" w:hAnsi="Arial" w:cs="Arial"/>
          <w:b/>
          <w:sz w:val="24"/>
          <w:szCs w:val="24"/>
        </w:rPr>
      </w:pPr>
      <w:bookmarkStart w:id="0" w:name="_GoBack"/>
      <w:bookmarkEnd w:id="0"/>
    </w:p>
    <w:p w:rsidR="00EA0DED" w:rsidRPr="006E026B" w:rsidRDefault="00EF7788" w:rsidP="002B3B08">
      <w:pPr>
        <w:tabs>
          <w:tab w:val="center" w:pos="4513"/>
          <w:tab w:val="right" w:pos="9027"/>
        </w:tabs>
        <w:spacing w:after="0" w:line="360" w:lineRule="auto"/>
        <w:jc w:val="center"/>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C636A1" w:rsidRPr="00B13A03" w:rsidRDefault="00C636A1" w:rsidP="00EA0DE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" strokecolor="white [3212]">
                <v:textbox>
                  <w:txbxContent>
                    <w:p w:rsidR="00C636A1" w:rsidRPr="00B13A03" w:rsidRDefault="00C636A1" w:rsidP="00EA0DED">
                      <w:pPr>
                        <w:jc w:val="center"/>
                        <w:rPr>
                          <w:b/>
                        </w:rPr>
                      </w:pPr>
                    </w:p>
                  </w:txbxContent>
                </v:textbox>
              </v:shape>
            </w:pict>
          </mc:Fallback>
        </mc:AlternateContent>
      </w:r>
      <w:r w:rsidR="00EA0DED" w:rsidRPr="006E026B">
        <w:rPr>
          <w:rFonts w:ascii="Arial" w:hAnsi="Arial" w:cs="Arial"/>
          <w:b/>
          <w:sz w:val="24"/>
          <w:szCs w:val="24"/>
        </w:rPr>
        <w:t>REPUBLIC OF NAMIBIA</w:t>
      </w:r>
    </w:p>
    <w:p w:rsidR="00EA0DED" w:rsidRDefault="00EA0DED" w:rsidP="002B3B08">
      <w:pPr>
        <w:spacing w:after="0" w:line="360" w:lineRule="auto"/>
        <w:jc w:val="center"/>
        <w:rPr>
          <w:b/>
          <w:sz w:val="32"/>
          <w:szCs w:val="32"/>
        </w:rPr>
      </w:pPr>
      <w:r>
        <w:rPr>
          <w:b/>
          <w:noProof/>
          <w:sz w:val="32"/>
          <w:szCs w:val="32"/>
          <w:lang w:eastAsia="en-ZA"/>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EA0DED" w:rsidRPr="006E026B" w:rsidRDefault="00EA0DED" w:rsidP="002B3B08">
      <w:pPr>
        <w:spacing w:after="0" w:line="360" w:lineRule="auto"/>
        <w:jc w:val="center"/>
        <w:rPr>
          <w:rFonts w:ascii="Arial" w:hAnsi="Arial" w:cs="Arial"/>
          <w:bCs/>
          <w:sz w:val="24"/>
          <w:szCs w:val="24"/>
        </w:rPr>
      </w:pPr>
      <w:r>
        <w:rPr>
          <w:rFonts w:ascii="Arial" w:hAnsi="Arial" w:cs="Arial"/>
          <w:b/>
          <w:sz w:val="24"/>
          <w:szCs w:val="24"/>
        </w:rPr>
        <w:t xml:space="preserve">LABOUR </w:t>
      </w:r>
      <w:r w:rsidRPr="006E026B">
        <w:rPr>
          <w:rFonts w:ascii="Arial" w:hAnsi="Arial" w:cs="Arial"/>
          <w:b/>
          <w:sz w:val="24"/>
          <w:szCs w:val="24"/>
        </w:rPr>
        <w:t>COURT OF NAMIBIA MAIN DIVISION, WINDHOEK</w:t>
      </w:r>
    </w:p>
    <w:p w:rsidR="00EA0DED" w:rsidRDefault="00EA0DED" w:rsidP="002B3B08">
      <w:pPr>
        <w:spacing w:after="0" w:line="360" w:lineRule="auto"/>
        <w:jc w:val="center"/>
        <w:rPr>
          <w:rFonts w:ascii="Arial" w:hAnsi="Arial" w:cs="Arial"/>
          <w:b/>
          <w:sz w:val="24"/>
          <w:szCs w:val="24"/>
        </w:rPr>
      </w:pPr>
    </w:p>
    <w:p w:rsidR="00EA0DED" w:rsidRDefault="00EA0DED" w:rsidP="002B3B08">
      <w:pPr>
        <w:spacing w:after="0" w:line="360" w:lineRule="auto"/>
        <w:jc w:val="center"/>
        <w:rPr>
          <w:rFonts w:ascii="Arial" w:hAnsi="Arial" w:cs="Arial"/>
          <w:b/>
          <w:sz w:val="24"/>
          <w:szCs w:val="24"/>
        </w:rPr>
      </w:pPr>
      <w:r w:rsidRPr="006E026B">
        <w:rPr>
          <w:rFonts w:ascii="Arial" w:hAnsi="Arial" w:cs="Arial"/>
          <w:b/>
          <w:sz w:val="24"/>
          <w:szCs w:val="24"/>
        </w:rPr>
        <w:t>JUDGMENT</w:t>
      </w:r>
    </w:p>
    <w:p w:rsidR="00EA0DED" w:rsidRPr="006116C0" w:rsidRDefault="00EA0DED" w:rsidP="002B3B08">
      <w:pPr>
        <w:tabs>
          <w:tab w:val="right" w:pos="9000"/>
        </w:tabs>
        <w:spacing w:after="0" w:line="360" w:lineRule="auto"/>
        <w:jc w:val="center"/>
        <w:rPr>
          <w:rFonts w:ascii="Arial" w:hAnsi="Arial" w:cs="Arial"/>
          <w:sz w:val="24"/>
          <w:szCs w:val="24"/>
        </w:rPr>
      </w:pPr>
      <w:r>
        <w:rPr>
          <w:rFonts w:ascii="Arial" w:hAnsi="Arial" w:cs="Arial"/>
          <w:b/>
          <w:sz w:val="24"/>
          <w:szCs w:val="24"/>
        </w:rPr>
        <w:tab/>
      </w:r>
      <w:r w:rsidRPr="006116C0">
        <w:rPr>
          <w:rFonts w:ascii="Arial" w:hAnsi="Arial" w:cs="Arial"/>
          <w:sz w:val="24"/>
          <w:szCs w:val="24"/>
        </w:rPr>
        <w:t>Case no</w:t>
      </w:r>
      <w:r w:rsidR="009C1B18" w:rsidRPr="006116C0">
        <w:rPr>
          <w:rFonts w:ascii="Arial" w:hAnsi="Arial" w:cs="Arial"/>
          <w:sz w:val="24"/>
          <w:szCs w:val="24"/>
        </w:rPr>
        <w:t>:  LC</w:t>
      </w:r>
      <w:r w:rsidR="000F3E26" w:rsidRPr="006116C0">
        <w:rPr>
          <w:rFonts w:ascii="Arial" w:hAnsi="Arial" w:cs="Arial"/>
          <w:sz w:val="24"/>
          <w:szCs w:val="24"/>
        </w:rPr>
        <w:t>A</w:t>
      </w:r>
      <w:r w:rsidR="00845C61" w:rsidRPr="006116C0">
        <w:rPr>
          <w:rFonts w:ascii="Arial" w:hAnsi="Arial" w:cs="Arial"/>
          <w:sz w:val="24"/>
          <w:szCs w:val="24"/>
        </w:rPr>
        <w:t xml:space="preserve"> 21</w:t>
      </w:r>
      <w:r w:rsidRPr="006116C0">
        <w:rPr>
          <w:rFonts w:ascii="Arial" w:hAnsi="Arial" w:cs="Arial"/>
          <w:sz w:val="24"/>
          <w:szCs w:val="24"/>
        </w:rPr>
        <w:t>/201</w:t>
      </w:r>
      <w:r w:rsidR="00845C61" w:rsidRPr="006116C0">
        <w:rPr>
          <w:rFonts w:ascii="Arial" w:hAnsi="Arial" w:cs="Arial"/>
          <w:sz w:val="24"/>
          <w:szCs w:val="24"/>
        </w:rPr>
        <w:t>6</w:t>
      </w:r>
    </w:p>
    <w:p w:rsidR="00EA0DED" w:rsidRPr="006E026B" w:rsidRDefault="00EA0DED" w:rsidP="002B3B08">
      <w:pPr>
        <w:spacing w:after="0" w:line="360" w:lineRule="auto"/>
        <w:rPr>
          <w:rFonts w:ascii="Arial" w:hAnsi="Arial" w:cs="Arial"/>
          <w:sz w:val="24"/>
          <w:szCs w:val="24"/>
        </w:rPr>
      </w:pPr>
    </w:p>
    <w:p w:rsidR="00EA0DED" w:rsidRPr="006E026B" w:rsidRDefault="00EA0DED" w:rsidP="002B3B08">
      <w:pPr>
        <w:spacing w:after="0" w:line="360" w:lineRule="auto"/>
        <w:rPr>
          <w:rFonts w:ascii="Arial" w:hAnsi="Arial" w:cs="Arial"/>
          <w:sz w:val="24"/>
          <w:szCs w:val="24"/>
        </w:rPr>
      </w:pPr>
      <w:r w:rsidRPr="006E026B">
        <w:rPr>
          <w:rFonts w:ascii="Arial" w:hAnsi="Arial" w:cs="Arial"/>
          <w:sz w:val="24"/>
          <w:szCs w:val="24"/>
        </w:rPr>
        <w:t>In the matter between:</w:t>
      </w:r>
    </w:p>
    <w:p w:rsidR="00EA0DED" w:rsidRPr="006E026B" w:rsidRDefault="00EA0DED" w:rsidP="002B3B08">
      <w:pPr>
        <w:spacing w:after="0" w:line="360" w:lineRule="auto"/>
        <w:rPr>
          <w:rFonts w:ascii="Arial" w:hAnsi="Arial" w:cs="Arial"/>
          <w:sz w:val="24"/>
          <w:szCs w:val="24"/>
        </w:rPr>
      </w:pPr>
    </w:p>
    <w:p w:rsidR="00EA0DED" w:rsidRDefault="00845C61" w:rsidP="002B3B08">
      <w:pPr>
        <w:pStyle w:val="Heading4"/>
        <w:tabs>
          <w:tab w:val="right" w:pos="9000"/>
        </w:tabs>
        <w:spacing w:line="360" w:lineRule="auto"/>
        <w:jc w:val="both"/>
        <w:rPr>
          <w:rFonts w:cs="Arial"/>
          <w:b/>
          <w:sz w:val="24"/>
        </w:rPr>
      </w:pPr>
      <w:r>
        <w:rPr>
          <w:rFonts w:cs="Arial"/>
          <w:b/>
          <w:sz w:val="24"/>
        </w:rPr>
        <w:t>LEONARD HEVELENI</w:t>
      </w:r>
      <w:r w:rsidR="00EA0DED" w:rsidRPr="006E026B">
        <w:rPr>
          <w:rFonts w:cs="Arial"/>
          <w:b/>
          <w:sz w:val="24"/>
        </w:rPr>
        <w:tab/>
      </w:r>
      <w:r>
        <w:rPr>
          <w:rFonts w:cs="Arial"/>
          <w:b/>
          <w:sz w:val="24"/>
        </w:rPr>
        <w:t xml:space="preserve">FIRST </w:t>
      </w:r>
      <w:r w:rsidR="00EA0DED">
        <w:rPr>
          <w:rFonts w:cs="Arial"/>
          <w:b/>
          <w:sz w:val="24"/>
        </w:rPr>
        <w:t>APP</w:t>
      </w:r>
      <w:r w:rsidR="000F3E26">
        <w:rPr>
          <w:rFonts w:cs="Arial"/>
          <w:b/>
          <w:sz w:val="24"/>
        </w:rPr>
        <w:t>ELLANT</w:t>
      </w:r>
    </w:p>
    <w:p w:rsidR="00845C61" w:rsidRPr="00845C61" w:rsidRDefault="00845C61" w:rsidP="002B3B08">
      <w:pPr>
        <w:spacing w:line="360" w:lineRule="auto"/>
        <w:rPr>
          <w:rFonts w:ascii="Arial" w:hAnsi="Arial" w:cs="Arial"/>
          <w:b/>
          <w:sz w:val="24"/>
          <w:szCs w:val="24"/>
          <w:lang w:val="en-GB"/>
        </w:rPr>
      </w:pPr>
      <w:r w:rsidRPr="00845C61">
        <w:rPr>
          <w:rFonts w:ascii="Arial" w:hAnsi="Arial" w:cs="Arial"/>
          <w:b/>
          <w:sz w:val="24"/>
          <w:szCs w:val="24"/>
          <w:lang w:val="en-GB"/>
        </w:rPr>
        <w:t>DAL</w:t>
      </w:r>
      <w:r>
        <w:rPr>
          <w:rFonts w:ascii="Arial" w:hAnsi="Arial" w:cs="Arial"/>
          <w:b/>
          <w:sz w:val="24"/>
          <w:szCs w:val="24"/>
          <w:lang w:val="en-GB"/>
        </w:rPr>
        <w:t>E KASUTO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9E574B">
        <w:rPr>
          <w:rFonts w:ascii="Arial" w:hAnsi="Arial" w:cs="Arial"/>
          <w:b/>
          <w:sz w:val="24"/>
          <w:szCs w:val="24"/>
          <w:lang w:val="en-GB"/>
        </w:rPr>
        <w:t xml:space="preserve">          </w:t>
      </w:r>
      <w:r>
        <w:rPr>
          <w:rFonts w:ascii="Arial" w:hAnsi="Arial" w:cs="Arial"/>
          <w:b/>
          <w:sz w:val="24"/>
          <w:szCs w:val="24"/>
          <w:lang w:val="en-GB"/>
        </w:rPr>
        <w:t>S</w:t>
      </w:r>
      <w:r w:rsidRPr="00845C61">
        <w:rPr>
          <w:rFonts w:ascii="Arial" w:hAnsi="Arial" w:cs="Arial"/>
          <w:b/>
          <w:sz w:val="24"/>
          <w:szCs w:val="24"/>
          <w:lang w:val="en-GB"/>
        </w:rPr>
        <w:t xml:space="preserve">ECOND </w:t>
      </w:r>
      <w:r>
        <w:rPr>
          <w:rFonts w:ascii="Arial" w:hAnsi="Arial" w:cs="Arial"/>
          <w:b/>
          <w:sz w:val="24"/>
          <w:szCs w:val="24"/>
          <w:lang w:val="en-GB"/>
        </w:rPr>
        <w:t>A</w:t>
      </w:r>
      <w:r w:rsidRPr="00845C61">
        <w:rPr>
          <w:rFonts w:ascii="Arial" w:hAnsi="Arial" w:cs="Arial"/>
          <w:b/>
          <w:sz w:val="24"/>
          <w:szCs w:val="24"/>
          <w:lang w:val="en-GB"/>
        </w:rPr>
        <w:t>PPELLANT</w:t>
      </w:r>
    </w:p>
    <w:p w:rsidR="0017130D" w:rsidRPr="00845C61" w:rsidRDefault="0017130D" w:rsidP="002B3B08">
      <w:pPr>
        <w:spacing w:after="0" w:line="360" w:lineRule="auto"/>
        <w:jc w:val="both"/>
        <w:rPr>
          <w:rFonts w:ascii="Arial" w:hAnsi="Arial" w:cs="Arial"/>
          <w:b/>
          <w:sz w:val="24"/>
          <w:szCs w:val="24"/>
        </w:rPr>
      </w:pPr>
    </w:p>
    <w:p w:rsidR="00EA0DED" w:rsidRDefault="0017130D" w:rsidP="002B3B08">
      <w:pPr>
        <w:spacing w:after="0" w:line="360" w:lineRule="auto"/>
        <w:jc w:val="both"/>
        <w:rPr>
          <w:rFonts w:ascii="Arial" w:hAnsi="Arial" w:cs="Arial"/>
          <w:sz w:val="24"/>
          <w:szCs w:val="24"/>
        </w:rPr>
      </w:pPr>
      <w:r w:rsidRPr="006E026B">
        <w:rPr>
          <w:rFonts w:ascii="Arial" w:hAnsi="Arial" w:cs="Arial"/>
          <w:sz w:val="24"/>
          <w:szCs w:val="24"/>
        </w:rPr>
        <w:t>A</w:t>
      </w:r>
      <w:r w:rsidR="00EA0DED" w:rsidRPr="006E026B">
        <w:rPr>
          <w:rFonts w:ascii="Arial" w:hAnsi="Arial" w:cs="Arial"/>
          <w:sz w:val="24"/>
          <w:szCs w:val="24"/>
        </w:rPr>
        <w:t>nd</w:t>
      </w:r>
    </w:p>
    <w:p w:rsidR="0017130D" w:rsidRPr="00FD5D2B" w:rsidRDefault="0017130D" w:rsidP="002B3B08">
      <w:pPr>
        <w:spacing w:after="0" w:line="360" w:lineRule="auto"/>
        <w:jc w:val="both"/>
        <w:rPr>
          <w:rFonts w:ascii="Arial" w:hAnsi="Arial" w:cs="Arial"/>
          <w:sz w:val="24"/>
          <w:szCs w:val="24"/>
        </w:rPr>
      </w:pPr>
    </w:p>
    <w:p w:rsidR="00EA0DED" w:rsidRDefault="00845C61" w:rsidP="002B3B08">
      <w:pPr>
        <w:tabs>
          <w:tab w:val="right" w:pos="9000"/>
        </w:tabs>
        <w:spacing w:after="0" w:line="360" w:lineRule="auto"/>
        <w:jc w:val="both"/>
        <w:rPr>
          <w:rFonts w:ascii="Arial" w:hAnsi="Arial" w:cs="Arial"/>
          <w:b/>
          <w:sz w:val="24"/>
          <w:szCs w:val="24"/>
        </w:rPr>
      </w:pPr>
      <w:r>
        <w:rPr>
          <w:rFonts w:ascii="Arial" w:hAnsi="Arial" w:cs="Arial"/>
          <w:b/>
          <w:sz w:val="24"/>
          <w:szCs w:val="24"/>
        </w:rPr>
        <w:t>ERONGO CONTRACT SERVICES</w:t>
      </w:r>
      <w:r w:rsidR="009E574B">
        <w:rPr>
          <w:rFonts w:ascii="Arial" w:hAnsi="Arial" w:cs="Arial"/>
          <w:b/>
          <w:sz w:val="24"/>
          <w:szCs w:val="24"/>
        </w:rPr>
        <w:t xml:space="preserve">   </w:t>
      </w:r>
      <w:r w:rsidR="000F3E26">
        <w:rPr>
          <w:rFonts w:ascii="Arial" w:hAnsi="Arial" w:cs="Arial"/>
          <w:b/>
          <w:sz w:val="24"/>
          <w:szCs w:val="24"/>
        </w:rPr>
        <w:tab/>
      </w:r>
      <w:r>
        <w:rPr>
          <w:rFonts w:ascii="Arial" w:hAnsi="Arial" w:cs="Arial"/>
          <w:b/>
          <w:sz w:val="24"/>
          <w:szCs w:val="24"/>
        </w:rPr>
        <w:t>FIRST</w:t>
      </w:r>
      <w:r w:rsidR="00EA0DED">
        <w:rPr>
          <w:rFonts w:ascii="Arial" w:hAnsi="Arial" w:cs="Arial"/>
          <w:b/>
          <w:sz w:val="24"/>
          <w:szCs w:val="24"/>
        </w:rPr>
        <w:t xml:space="preserve"> RESPONDENT</w:t>
      </w:r>
    </w:p>
    <w:p w:rsidR="00EA0DED" w:rsidRPr="00845C61" w:rsidRDefault="00845C61" w:rsidP="002B3B08">
      <w:pPr>
        <w:spacing w:after="0" w:line="360" w:lineRule="auto"/>
        <w:jc w:val="both"/>
        <w:rPr>
          <w:rFonts w:ascii="Arial" w:hAnsi="Arial" w:cs="Arial"/>
          <w:b/>
          <w:sz w:val="24"/>
          <w:szCs w:val="24"/>
        </w:rPr>
      </w:pPr>
      <w:r w:rsidRPr="00845C61">
        <w:rPr>
          <w:rFonts w:ascii="Arial" w:hAnsi="Arial" w:cs="Arial"/>
          <w:b/>
          <w:sz w:val="24"/>
          <w:szCs w:val="24"/>
        </w:rPr>
        <w:t xml:space="preserve">THE LABOUR COMMISSIONER </w:t>
      </w:r>
      <w:r w:rsidRPr="00845C61">
        <w:rPr>
          <w:rFonts w:ascii="Arial" w:hAnsi="Arial" w:cs="Arial"/>
          <w:b/>
          <w:sz w:val="24"/>
          <w:szCs w:val="24"/>
        </w:rPr>
        <w:tab/>
      </w:r>
      <w:r w:rsidRPr="00845C61">
        <w:rPr>
          <w:rFonts w:ascii="Arial" w:hAnsi="Arial" w:cs="Arial"/>
          <w:b/>
          <w:sz w:val="24"/>
          <w:szCs w:val="24"/>
        </w:rPr>
        <w:tab/>
      </w:r>
      <w:r w:rsidR="009E574B">
        <w:rPr>
          <w:rFonts w:ascii="Arial" w:hAnsi="Arial" w:cs="Arial"/>
          <w:b/>
          <w:sz w:val="24"/>
          <w:szCs w:val="24"/>
        </w:rPr>
        <w:t xml:space="preserve">                  </w:t>
      </w:r>
      <w:r w:rsidRPr="00845C61">
        <w:rPr>
          <w:rFonts w:ascii="Arial" w:hAnsi="Arial" w:cs="Arial"/>
          <w:b/>
          <w:sz w:val="24"/>
          <w:szCs w:val="24"/>
        </w:rPr>
        <w:t>SECONDRESPONDENT</w:t>
      </w:r>
    </w:p>
    <w:p w:rsidR="00EA0DED" w:rsidRDefault="00EA0DED" w:rsidP="002B3B08">
      <w:pPr>
        <w:spacing w:after="0" w:line="360" w:lineRule="auto"/>
        <w:jc w:val="both"/>
        <w:rPr>
          <w:rFonts w:ascii="Arial" w:hAnsi="Arial" w:cs="Arial"/>
          <w:sz w:val="24"/>
          <w:szCs w:val="24"/>
        </w:rPr>
      </w:pPr>
    </w:p>
    <w:p w:rsidR="006116C0" w:rsidRPr="00EF7788" w:rsidRDefault="00EA0DED" w:rsidP="00EF7788">
      <w:pPr>
        <w:spacing w:after="0" w:line="360" w:lineRule="auto"/>
        <w:ind w:left="2160" w:hanging="2160"/>
        <w:jc w:val="both"/>
        <w:rPr>
          <w:rFonts w:ascii="Arial" w:eastAsia="Calibri" w:hAnsi="Arial" w:cs="Arial"/>
          <w:i/>
          <w:sz w:val="24"/>
          <w:szCs w:val="24"/>
        </w:rPr>
      </w:pPr>
      <w:r>
        <w:rPr>
          <w:rFonts w:ascii="Arial" w:hAnsi="Arial" w:cs="Arial"/>
          <w:b/>
          <w:sz w:val="24"/>
          <w:szCs w:val="24"/>
        </w:rPr>
        <w:t>Neutral citation:</w:t>
      </w:r>
      <w:r>
        <w:rPr>
          <w:rFonts w:ascii="Arial" w:hAnsi="Arial" w:cs="Arial"/>
          <w:b/>
          <w:sz w:val="24"/>
          <w:szCs w:val="24"/>
        </w:rPr>
        <w:tab/>
      </w:r>
      <w:r w:rsidR="006116C0">
        <w:rPr>
          <w:rFonts w:ascii="Arial" w:eastAsia="Calibri" w:hAnsi="Arial" w:cs="Arial"/>
          <w:i/>
          <w:sz w:val="24"/>
          <w:szCs w:val="24"/>
        </w:rPr>
        <w:t>Heveleni</w:t>
      </w:r>
      <w:r w:rsidR="009E574B">
        <w:rPr>
          <w:rFonts w:ascii="Arial" w:eastAsia="Calibri" w:hAnsi="Arial" w:cs="Arial"/>
          <w:i/>
          <w:sz w:val="24"/>
          <w:szCs w:val="24"/>
        </w:rPr>
        <w:t xml:space="preserve"> </w:t>
      </w:r>
      <w:r w:rsidR="00EF7788">
        <w:rPr>
          <w:rFonts w:ascii="Arial" w:eastAsia="Calibri" w:hAnsi="Arial" w:cs="Arial"/>
          <w:i/>
          <w:sz w:val="24"/>
          <w:szCs w:val="24"/>
        </w:rPr>
        <w:t xml:space="preserve">v Erongo Contract Services </w:t>
      </w:r>
      <w:r w:rsidR="002B3B08">
        <w:rPr>
          <w:rFonts w:ascii="Arial" w:eastAsia="Calibri" w:hAnsi="Arial" w:cs="Arial"/>
          <w:i/>
          <w:sz w:val="24"/>
          <w:szCs w:val="24"/>
        </w:rPr>
        <w:t>(</w:t>
      </w:r>
      <w:r w:rsidR="006116C0">
        <w:rPr>
          <w:rFonts w:ascii="Arial" w:eastAsia="Calibri" w:hAnsi="Arial" w:cs="Arial"/>
          <w:i/>
          <w:sz w:val="24"/>
          <w:szCs w:val="24"/>
        </w:rPr>
        <w:t>LC 21</w:t>
      </w:r>
      <w:r w:rsidR="006116C0" w:rsidRPr="006116C0">
        <w:rPr>
          <w:rFonts w:ascii="Arial" w:eastAsia="Calibri" w:hAnsi="Arial" w:cs="Arial"/>
          <w:i/>
          <w:sz w:val="24"/>
          <w:szCs w:val="24"/>
        </w:rPr>
        <w:t xml:space="preserve">/2016) [2017] NALCMD </w:t>
      </w:r>
      <w:r w:rsidR="00757D47">
        <w:rPr>
          <w:rFonts w:ascii="Arial" w:eastAsia="Calibri" w:hAnsi="Arial" w:cs="Arial"/>
          <w:i/>
          <w:sz w:val="24"/>
          <w:szCs w:val="24"/>
        </w:rPr>
        <w:t>17</w:t>
      </w:r>
      <w:r w:rsidR="006116C0">
        <w:rPr>
          <w:rFonts w:ascii="Arial" w:eastAsia="Calibri" w:hAnsi="Arial" w:cs="Arial"/>
          <w:i/>
          <w:sz w:val="24"/>
          <w:szCs w:val="24"/>
        </w:rPr>
        <w:t xml:space="preserve"> (12 May</w:t>
      </w:r>
      <w:r w:rsidR="006116C0" w:rsidRPr="006116C0">
        <w:rPr>
          <w:rFonts w:ascii="Arial" w:eastAsia="Calibri" w:hAnsi="Arial" w:cs="Arial"/>
          <w:i/>
          <w:sz w:val="24"/>
          <w:szCs w:val="24"/>
        </w:rPr>
        <w:t xml:space="preserve"> 2017)</w:t>
      </w:r>
    </w:p>
    <w:p w:rsidR="00EA0DED" w:rsidRPr="006E026B" w:rsidRDefault="00EA0DED" w:rsidP="002B3B08">
      <w:pPr>
        <w:spacing w:after="0" w:line="360" w:lineRule="auto"/>
        <w:jc w:val="both"/>
        <w:rPr>
          <w:rFonts w:ascii="Arial" w:hAnsi="Arial" w:cs="Arial"/>
          <w:sz w:val="24"/>
          <w:szCs w:val="24"/>
        </w:rPr>
      </w:pPr>
    </w:p>
    <w:p w:rsidR="00EA0DED" w:rsidRDefault="00EA0DED" w:rsidP="002B3B08">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845C61">
        <w:rPr>
          <w:rFonts w:ascii="Arial" w:hAnsi="Arial" w:cs="Arial"/>
          <w:sz w:val="24"/>
          <w:szCs w:val="24"/>
        </w:rPr>
        <w:t>Prinsloo</w:t>
      </w:r>
      <w:r>
        <w:rPr>
          <w:rFonts w:ascii="Arial" w:hAnsi="Arial" w:cs="Arial"/>
          <w:sz w:val="24"/>
          <w:szCs w:val="24"/>
        </w:rPr>
        <w:t xml:space="preserve"> AJ</w:t>
      </w:r>
    </w:p>
    <w:p w:rsidR="00EA0DED" w:rsidRPr="006116C0" w:rsidRDefault="00EA0DED" w:rsidP="002B3B08">
      <w:pPr>
        <w:spacing w:after="0" w:line="360" w:lineRule="auto"/>
        <w:rPr>
          <w:rFonts w:ascii="Arial" w:hAnsi="Arial" w:cs="Arial"/>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845C61" w:rsidRPr="006116C0">
        <w:rPr>
          <w:rFonts w:ascii="Arial" w:hAnsi="Arial" w:cs="Arial"/>
          <w:sz w:val="24"/>
          <w:szCs w:val="24"/>
        </w:rPr>
        <w:t>21 April 2017</w:t>
      </w:r>
    </w:p>
    <w:p w:rsidR="00EA0DED" w:rsidRPr="006116C0" w:rsidRDefault="00EA0DED" w:rsidP="002B3B08">
      <w:pPr>
        <w:spacing w:after="0" w:line="360" w:lineRule="auto"/>
        <w:rPr>
          <w:rFonts w:ascii="Arial" w:hAnsi="Arial" w:cs="Arial"/>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845C61" w:rsidRPr="006116C0">
        <w:rPr>
          <w:rFonts w:ascii="Arial" w:hAnsi="Arial" w:cs="Arial"/>
          <w:sz w:val="24"/>
          <w:szCs w:val="24"/>
        </w:rPr>
        <w:t>12 May</w:t>
      </w:r>
      <w:r w:rsidR="000F3E26" w:rsidRPr="006116C0">
        <w:rPr>
          <w:rFonts w:ascii="Arial" w:hAnsi="Arial" w:cs="Arial"/>
          <w:sz w:val="24"/>
          <w:szCs w:val="24"/>
        </w:rPr>
        <w:t xml:space="preserve"> 2017</w:t>
      </w:r>
    </w:p>
    <w:p w:rsidR="006116C0" w:rsidRDefault="006116C0" w:rsidP="002B3B08">
      <w:pPr>
        <w:spacing w:after="0" w:line="360" w:lineRule="auto"/>
        <w:jc w:val="both"/>
        <w:rPr>
          <w:rFonts w:ascii="Arial" w:hAnsi="Arial" w:cs="Arial"/>
          <w:b/>
          <w:sz w:val="24"/>
          <w:szCs w:val="24"/>
        </w:rPr>
      </w:pPr>
    </w:p>
    <w:p w:rsidR="006116C0" w:rsidRDefault="00B13A03" w:rsidP="002B3B08">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w:t>
      </w:r>
      <w:r>
        <w:rPr>
          <w:rFonts w:ascii="Arial" w:hAnsi="Arial" w:cs="Arial"/>
          <w:sz w:val="24"/>
          <w:szCs w:val="24"/>
        </w:rPr>
        <w:tab/>
        <w:t xml:space="preserve">Labour Law – Appeal in terms of Section 89(1) </w:t>
      </w:r>
      <w:r w:rsidRPr="00B13A03">
        <w:rPr>
          <w:rFonts w:ascii="Arial" w:hAnsi="Arial" w:cs="Arial"/>
          <w:sz w:val="24"/>
          <w:szCs w:val="24"/>
        </w:rPr>
        <w:t xml:space="preserve">of the Labour Act, Act </w:t>
      </w:r>
      <w:r w:rsidRPr="00B13A03">
        <w:rPr>
          <w:rFonts w:ascii="Arial" w:hAnsi="Arial" w:cs="Arial"/>
          <w:i/>
          <w:sz w:val="24"/>
          <w:szCs w:val="24"/>
        </w:rPr>
        <w:t>11 of 2017</w:t>
      </w:r>
      <w:r>
        <w:rPr>
          <w:rFonts w:ascii="Arial" w:hAnsi="Arial" w:cs="Arial"/>
          <w:i/>
          <w:sz w:val="24"/>
          <w:szCs w:val="24"/>
        </w:rPr>
        <w:t xml:space="preserve"> – </w:t>
      </w:r>
      <w:r>
        <w:rPr>
          <w:rFonts w:ascii="Arial" w:hAnsi="Arial" w:cs="Arial"/>
          <w:sz w:val="24"/>
          <w:szCs w:val="24"/>
        </w:rPr>
        <w:t>Notice of Intention to oppose filed late – No Condonation application filed, however an affidavit was filed for the condonation application without the Notice of Motion – Subsequently, no condonation application before court.</w:t>
      </w:r>
    </w:p>
    <w:p w:rsidR="00B13A03" w:rsidRDefault="00B13A03" w:rsidP="002B3B08">
      <w:pPr>
        <w:spacing w:after="0" w:line="360" w:lineRule="auto"/>
        <w:jc w:val="both"/>
        <w:rPr>
          <w:rFonts w:ascii="Arial" w:hAnsi="Arial" w:cs="Arial"/>
          <w:sz w:val="24"/>
          <w:szCs w:val="24"/>
        </w:rPr>
      </w:pPr>
      <w:r>
        <w:rPr>
          <w:rFonts w:ascii="Arial" w:hAnsi="Arial" w:cs="Arial"/>
          <w:sz w:val="24"/>
          <w:szCs w:val="24"/>
        </w:rPr>
        <w:lastRenderedPageBreak/>
        <w:t>Court held:</w:t>
      </w:r>
      <w:r>
        <w:rPr>
          <w:rFonts w:ascii="Arial" w:hAnsi="Arial" w:cs="Arial"/>
          <w:sz w:val="24"/>
          <w:szCs w:val="24"/>
        </w:rPr>
        <w:tab/>
      </w:r>
      <w:r w:rsidRPr="00B13A03">
        <w:rPr>
          <w:rFonts w:ascii="Arial" w:hAnsi="Arial" w:cs="Arial"/>
          <w:sz w:val="24"/>
          <w:szCs w:val="24"/>
        </w:rPr>
        <w:t>The application for condonation had to be brought on notice of motion, formulating the relief and the affidavit filed would be in support of the said application and cannot be regarded as an application.</w:t>
      </w:r>
    </w:p>
    <w:p w:rsidR="00B13A03" w:rsidRDefault="00B13A03" w:rsidP="002B3B08">
      <w:pPr>
        <w:spacing w:after="0" w:line="360" w:lineRule="auto"/>
        <w:jc w:val="both"/>
        <w:rPr>
          <w:rFonts w:ascii="Arial" w:hAnsi="Arial" w:cs="Arial"/>
          <w:sz w:val="24"/>
          <w:szCs w:val="24"/>
        </w:rPr>
      </w:pPr>
    </w:p>
    <w:p w:rsidR="00B13A03" w:rsidRDefault="00B13A03" w:rsidP="002B3B08">
      <w:pPr>
        <w:spacing w:after="0" w:line="360" w:lineRule="auto"/>
        <w:jc w:val="both"/>
        <w:rPr>
          <w:rFonts w:ascii="Arial" w:hAnsi="Arial" w:cs="Arial"/>
          <w:sz w:val="24"/>
          <w:szCs w:val="24"/>
        </w:rPr>
      </w:pPr>
      <w:r>
        <w:rPr>
          <w:rFonts w:ascii="Arial" w:hAnsi="Arial" w:cs="Arial"/>
          <w:sz w:val="24"/>
          <w:szCs w:val="24"/>
        </w:rPr>
        <w:t>Court held further:</w:t>
      </w:r>
      <w:r>
        <w:rPr>
          <w:rFonts w:ascii="Arial" w:hAnsi="Arial" w:cs="Arial"/>
          <w:sz w:val="24"/>
          <w:szCs w:val="24"/>
        </w:rPr>
        <w:tab/>
      </w:r>
      <w:r w:rsidRPr="00B13A03">
        <w:rPr>
          <w:rFonts w:ascii="Arial" w:hAnsi="Arial" w:cs="Arial"/>
          <w:sz w:val="24"/>
          <w:szCs w:val="24"/>
        </w:rPr>
        <w:t>It is thus clear that a notice of motion play an important part in proceedings for it stipulates the nature, extent and scope of the order or relief sought. Failure to file a notice of motion hinders the court and the opposing party from fully comprehending the full impact of the relief sought.</w:t>
      </w:r>
    </w:p>
    <w:p w:rsidR="00B13A03" w:rsidRDefault="00B13A03" w:rsidP="002B3B08">
      <w:pPr>
        <w:spacing w:after="0" w:line="360" w:lineRule="auto"/>
        <w:jc w:val="both"/>
        <w:rPr>
          <w:rFonts w:ascii="Arial" w:hAnsi="Arial" w:cs="Arial"/>
          <w:sz w:val="24"/>
          <w:szCs w:val="24"/>
        </w:rPr>
      </w:pPr>
    </w:p>
    <w:p w:rsidR="00B13A03" w:rsidRPr="00B13A03" w:rsidRDefault="00B13A03" w:rsidP="002B3B08">
      <w:pPr>
        <w:spacing w:after="0" w:line="360" w:lineRule="auto"/>
        <w:jc w:val="both"/>
        <w:rPr>
          <w:rFonts w:ascii="Arial" w:hAnsi="Arial" w:cs="Arial"/>
          <w:sz w:val="24"/>
          <w:szCs w:val="24"/>
        </w:rPr>
      </w:pPr>
      <w:r>
        <w:rPr>
          <w:rFonts w:ascii="Arial" w:hAnsi="Arial" w:cs="Arial"/>
          <w:sz w:val="24"/>
          <w:szCs w:val="24"/>
        </w:rPr>
        <w:t>Court held further:</w:t>
      </w:r>
      <w:r>
        <w:rPr>
          <w:rFonts w:ascii="Arial" w:hAnsi="Arial" w:cs="Arial"/>
          <w:sz w:val="24"/>
          <w:szCs w:val="24"/>
        </w:rPr>
        <w:tab/>
      </w:r>
      <w:r w:rsidRPr="00B13A03">
        <w:rPr>
          <w:rFonts w:ascii="Arial" w:hAnsi="Arial" w:cs="Arial"/>
          <w:sz w:val="24"/>
          <w:szCs w:val="24"/>
        </w:rPr>
        <w:t>The appeal is treated as unopposed and upheld.</w:t>
      </w:r>
    </w:p>
    <w:p w:rsidR="000F3E26" w:rsidRDefault="000F3E26" w:rsidP="002B3B08">
      <w:pPr>
        <w:spacing w:after="0" w:line="360" w:lineRule="auto"/>
        <w:jc w:val="both"/>
        <w:rPr>
          <w:rFonts w:ascii="Arial" w:hAnsi="Arial" w:cs="Arial"/>
          <w:sz w:val="24"/>
          <w:szCs w:val="24"/>
        </w:rPr>
      </w:pPr>
    </w:p>
    <w:p w:rsidR="00EA0DED" w:rsidRPr="006E026B" w:rsidRDefault="00137C52" w:rsidP="002B3B08">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EA0DED" w:rsidRPr="006E026B" w:rsidRDefault="00EA0DED" w:rsidP="002B3B08">
      <w:pPr>
        <w:spacing w:after="0" w:line="360" w:lineRule="auto"/>
        <w:jc w:val="center"/>
        <w:rPr>
          <w:rFonts w:ascii="Arial" w:hAnsi="Arial" w:cs="Arial"/>
          <w:b/>
          <w:bCs/>
          <w:sz w:val="24"/>
          <w:szCs w:val="24"/>
        </w:rPr>
      </w:pPr>
      <w:r w:rsidRPr="006E026B">
        <w:rPr>
          <w:rFonts w:ascii="Arial" w:hAnsi="Arial" w:cs="Arial"/>
          <w:b/>
          <w:bCs/>
          <w:sz w:val="24"/>
          <w:szCs w:val="24"/>
        </w:rPr>
        <w:t>ORDER</w:t>
      </w:r>
    </w:p>
    <w:p w:rsidR="00EA0DED" w:rsidRPr="006E026B" w:rsidRDefault="00137C52" w:rsidP="002B3B08">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4C28B3" w:rsidRDefault="004C28B3" w:rsidP="002B3B08">
      <w:pPr>
        <w:spacing w:after="0" w:line="360" w:lineRule="auto"/>
        <w:jc w:val="both"/>
        <w:rPr>
          <w:rFonts w:ascii="Arial" w:hAnsi="Arial" w:cs="Arial"/>
          <w:sz w:val="24"/>
          <w:szCs w:val="24"/>
        </w:rPr>
      </w:pPr>
    </w:p>
    <w:p w:rsidR="004C28B3" w:rsidRPr="00CE450A" w:rsidRDefault="004C28B3" w:rsidP="002B3B08">
      <w:pPr>
        <w:spacing w:after="0" w:line="360" w:lineRule="auto"/>
        <w:jc w:val="both"/>
        <w:rPr>
          <w:rFonts w:ascii="Arial" w:hAnsi="Arial" w:cs="Arial"/>
          <w:sz w:val="24"/>
          <w:szCs w:val="24"/>
        </w:rPr>
      </w:pPr>
    </w:p>
    <w:p w:rsidR="004C28B3" w:rsidRPr="00E7680D" w:rsidRDefault="004C28B3" w:rsidP="002B3B08">
      <w:pPr>
        <w:pStyle w:val="ListParagraph"/>
        <w:numPr>
          <w:ilvl w:val="0"/>
          <w:numId w:val="13"/>
        </w:numPr>
        <w:spacing w:after="0" w:line="360" w:lineRule="auto"/>
        <w:jc w:val="both"/>
        <w:rPr>
          <w:rFonts w:ascii="Arial" w:hAnsi="Arial" w:cs="Arial"/>
          <w:sz w:val="24"/>
          <w:szCs w:val="24"/>
        </w:rPr>
      </w:pPr>
      <w:r w:rsidRPr="00E7680D">
        <w:rPr>
          <w:rFonts w:ascii="Arial" w:hAnsi="Arial" w:cs="Arial"/>
          <w:sz w:val="24"/>
          <w:szCs w:val="24"/>
        </w:rPr>
        <w:t>The appeal is treated as unopposed and upheld in respect all grounds of appeal (excluding 2.2, 2.12 and 2.13)</w:t>
      </w:r>
    </w:p>
    <w:p w:rsidR="004C28B3" w:rsidRPr="00E7680D" w:rsidRDefault="004C28B3" w:rsidP="002B3B08">
      <w:pPr>
        <w:pStyle w:val="ListParagraph"/>
        <w:numPr>
          <w:ilvl w:val="0"/>
          <w:numId w:val="13"/>
        </w:numPr>
        <w:spacing w:after="0" w:line="360" w:lineRule="auto"/>
        <w:jc w:val="both"/>
        <w:rPr>
          <w:rFonts w:ascii="Arial" w:hAnsi="Arial" w:cs="Arial"/>
          <w:sz w:val="24"/>
          <w:szCs w:val="24"/>
        </w:rPr>
      </w:pPr>
      <w:r w:rsidRPr="00E7680D">
        <w:rPr>
          <w:rFonts w:ascii="Arial" w:hAnsi="Arial" w:cs="Arial"/>
          <w:sz w:val="24"/>
          <w:szCs w:val="24"/>
        </w:rPr>
        <w:t>The arbitration award of 12 March 2016 is set aside.</w:t>
      </w:r>
    </w:p>
    <w:p w:rsidR="004C28B3" w:rsidRPr="00E7680D" w:rsidRDefault="004C28B3" w:rsidP="002B3B08">
      <w:pPr>
        <w:pStyle w:val="ListParagraph"/>
        <w:numPr>
          <w:ilvl w:val="0"/>
          <w:numId w:val="13"/>
        </w:numPr>
        <w:tabs>
          <w:tab w:val="left" w:pos="720"/>
        </w:tabs>
        <w:spacing w:after="0" w:line="360" w:lineRule="auto"/>
        <w:jc w:val="both"/>
        <w:rPr>
          <w:rFonts w:ascii="Arial" w:hAnsi="Arial" w:cs="Arial"/>
          <w:sz w:val="24"/>
          <w:szCs w:val="24"/>
        </w:rPr>
      </w:pPr>
      <w:r w:rsidRPr="00E7680D">
        <w:rPr>
          <w:rFonts w:ascii="Arial" w:hAnsi="Arial" w:cs="Arial"/>
          <w:sz w:val="24"/>
          <w:szCs w:val="24"/>
        </w:rPr>
        <w:t>The first respondent is ordered to reinstate the appellants in the position in which they would have been had they not been so dismissed.</w:t>
      </w:r>
    </w:p>
    <w:p w:rsidR="004C28B3" w:rsidRPr="00E7680D" w:rsidRDefault="004C28B3" w:rsidP="002B3B08">
      <w:pPr>
        <w:pStyle w:val="ListParagraph"/>
        <w:numPr>
          <w:ilvl w:val="0"/>
          <w:numId w:val="13"/>
        </w:numPr>
        <w:tabs>
          <w:tab w:val="left" w:pos="720"/>
        </w:tabs>
        <w:spacing w:after="0" w:line="360" w:lineRule="auto"/>
        <w:jc w:val="both"/>
        <w:rPr>
          <w:sz w:val="24"/>
          <w:szCs w:val="24"/>
        </w:rPr>
      </w:pPr>
      <w:r w:rsidRPr="00E7680D">
        <w:rPr>
          <w:rFonts w:ascii="Arial" w:hAnsi="Arial" w:cs="Arial"/>
          <w:sz w:val="24"/>
          <w:szCs w:val="24"/>
        </w:rPr>
        <w:t>The first respondent is ordered to pay to the appellants’ wages and emoluments on the basis of their monthly average earnings at the time of their dismissal for the period from date of arbitrati</w:t>
      </w:r>
      <w:r w:rsidR="002B3B08">
        <w:rPr>
          <w:rFonts w:ascii="Arial" w:hAnsi="Arial" w:cs="Arial"/>
          <w:sz w:val="24"/>
          <w:szCs w:val="24"/>
        </w:rPr>
        <w:t xml:space="preserve">on award (being 12 March 2016) </w:t>
      </w:r>
      <w:r w:rsidRPr="00E7680D">
        <w:rPr>
          <w:rFonts w:ascii="Arial" w:hAnsi="Arial" w:cs="Arial"/>
          <w:sz w:val="24"/>
          <w:szCs w:val="24"/>
        </w:rPr>
        <w:t xml:space="preserve">to date of reinstatement. </w:t>
      </w:r>
    </w:p>
    <w:p w:rsidR="004C28B3" w:rsidRPr="00E7680D" w:rsidRDefault="004C28B3" w:rsidP="002B3B08">
      <w:pPr>
        <w:pStyle w:val="ListParagraph"/>
        <w:numPr>
          <w:ilvl w:val="0"/>
          <w:numId w:val="13"/>
        </w:numPr>
        <w:tabs>
          <w:tab w:val="left" w:pos="720"/>
        </w:tabs>
        <w:spacing w:after="0" w:line="360" w:lineRule="auto"/>
        <w:jc w:val="both"/>
        <w:rPr>
          <w:sz w:val="24"/>
          <w:szCs w:val="24"/>
        </w:rPr>
      </w:pPr>
      <w:r w:rsidRPr="00E7680D">
        <w:rPr>
          <w:rFonts w:ascii="Arial" w:hAnsi="Arial" w:cs="Arial"/>
          <w:sz w:val="24"/>
          <w:szCs w:val="24"/>
        </w:rPr>
        <w:t>No order as to costs made.</w:t>
      </w:r>
    </w:p>
    <w:p w:rsidR="00035849" w:rsidRPr="00035849" w:rsidRDefault="00035849" w:rsidP="002B3B08">
      <w:pPr>
        <w:spacing w:after="0" w:line="360" w:lineRule="auto"/>
        <w:rPr>
          <w:rFonts w:ascii="Arial" w:hAnsi="Arial" w:cs="Arial"/>
          <w:sz w:val="24"/>
          <w:szCs w:val="24"/>
        </w:rPr>
      </w:pPr>
    </w:p>
    <w:p w:rsidR="00EA0DED" w:rsidRPr="006E026B" w:rsidRDefault="00137C52" w:rsidP="002B3B08">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EA0DED" w:rsidRPr="006E026B" w:rsidRDefault="00EA0DED" w:rsidP="002B3B08">
      <w:pPr>
        <w:spacing w:after="0" w:line="360" w:lineRule="auto"/>
        <w:jc w:val="center"/>
        <w:rPr>
          <w:rFonts w:ascii="Arial" w:hAnsi="Arial" w:cs="Arial"/>
          <w:b/>
          <w:sz w:val="24"/>
          <w:szCs w:val="24"/>
        </w:rPr>
      </w:pPr>
      <w:r w:rsidRPr="006E026B">
        <w:rPr>
          <w:rFonts w:ascii="Arial" w:hAnsi="Arial" w:cs="Arial"/>
          <w:b/>
          <w:sz w:val="24"/>
          <w:szCs w:val="24"/>
        </w:rPr>
        <w:t>JUDGMENT</w:t>
      </w:r>
    </w:p>
    <w:p w:rsidR="00EA0DED" w:rsidRPr="006E026B" w:rsidRDefault="00137C52" w:rsidP="002B3B08">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A0DED" w:rsidRDefault="00EA0DED" w:rsidP="002B3B08">
      <w:pPr>
        <w:spacing w:after="0" w:line="360" w:lineRule="auto"/>
        <w:ind w:left="1440" w:hanging="1440"/>
        <w:jc w:val="both"/>
        <w:rPr>
          <w:rFonts w:ascii="Arial" w:hAnsi="Arial" w:cs="Arial"/>
          <w:sz w:val="24"/>
          <w:szCs w:val="24"/>
        </w:rPr>
      </w:pPr>
    </w:p>
    <w:p w:rsidR="004C28B3" w:rsidRDefault="004C28B3" w:rsidP="002B3B08">
      <w:pPr>
        <w:spacing w:after="0" w:line="360" w:lineRule="auto"/>
        <w:ind w:left="1440" w:hanging="1440"/>
        <w:jc w:val="both"/>
        <w:rPr>
          <w:rFonts w:ascii="Arial" w:hAnsi="Arial" w:cs="Arial"/>
          <w:sz w:val="24"/>
          <w:szCs w:val="24"/>
        </w:rPr>
      </w:pPr>
    </w:p>
    <w:p w:rsidR="004C28B3" w:rsidRPr="006E026B" w:rsidRDefault="004C28B3" w:rsidP="002B3B08">
      <w:pPr>
        <w:spacing w:after="0" w:line="360" w:lineRule="auto"/>
        <w:ind w:left="1440" w:hanging="1440"/>
        <w:jc w:val="both"/>
        <w:rPr>
          <w:rFonts w:ascii="Arial" w:hAnsi="Arial" w:cs="Arial"/>
          <w:sz w:val="24"/>
          <w:szCs w:val="24"/>
        </w:rPr>
      </w:pPr>
    </w:p>
    <w:p w:rsidR="002B3B08" w:rsidRDefault="002B3B08" w:rsidP="002B3B08">
      <w:pPr>
        <w:spacing w:after="0" w:line="360" w:lineRule="auto"/>
        <w:ind w:left="1440" w:hanging="1440"/>
        <w:jc w:val="both"/>
        <w:rPr>
          <w:rFonts w:ascii="Arial" w:hAnsi="Arial" w:cs="Arial"/>
          <w:sz w:val="24"/>
          <w:szCs w:val="24"/>
        </w:rPr>
      </w:pPr>
    </w:p>
    <w:p w:rsidR="00EA0DED" w:rsidRDefault="00845C61" w:rsidP="002B3B08">
      <w:pPr>
        <w:spacing w:after="0" w:line="360" w:lineRule="auto"/>
        <w:ind w:left="1440" w:hanging="1440"/>
        <w:jc w:val="both"/>
        <w:rPr>
          <w:rFonts w:ascii="Arial" w:hAnsi="Arial" w:cs="Arial"/>
          <w:sz w:val="24"/>
          <w:szCs w:val="24"/>
        </w:rPr>
      </w:pPr>
      <w:r>
        <w:rPr>
          <w:rFonts w:ascii="Arial" w:hAnsi="Arial" w:cs="Arial"/>
          <w:sz w:val="24"/>
          <w:szCs w:val="24"/>
        </w:rPr>
        <w:lastRenderedPageBreak/>
        <w:t>PRINSLOO</w:t>
      </w:r>
      <w:r w:rsidR="00EA0DED">
        <w:rPr>
          <w:rFonts w:ascii="Arial" w:hAnsi="Arial" w:cs="Arial"/>
          <w:sz w:val="24"/>
          <w:szCs w:val="24"/>
        </w:rPr>
        <w:t xml:space="preserve"> AJ</w:t>
      </w:r>
      <w:r w:rsidR="00EA0DED" w:rsidRPr="006E026B">
        <w:rPr>
          <w:rFonts w:ascii="Arial" w:hAnsi="Arial" w:cs="Arial"/>
          <w:sz w:val="24"/>
          <w:szCs w:val="24"/>
        </w:rPr>
        <w:t>:</w:t>
      </w:r>
    </w:p>
    <w:p w:rsidR="00EA0DED" w:rsidRPr="00EF3370" w:rsidRDefault="00EA0DED" w:rsidP="002B3B08">
      <w:pPr>
        <w:spacing w:after="0" w:line="360" w:lineRule="auto"/>
        <w:jc w:val="both"/>
        <w:rPr>
          <w:rFonts w:ascii="Arial" w:hAnsi="Arial" w:cs="Arial"/>
          <w:sz w:val="24"/>
          <w:szCs w:val="24"/>
        </w:rPr>
      </w:pPr>
    </w:p>
    <w:p w:rsidR="00182405" w:rsidRDefault="00182405" w:rsidP="002B3B08">
      <w:pPr>
        <w:spacing w:after="0" w:line="360" w:lineRule="auto"/>
        <w:ind w:left="1440" w:hanging="1440"/>
        <w:jc w:val="both"/>
        <w:rPr>
          <w:rFonts w:ascii="Arial" w:hAnsi="Arial" w:cs="Arial"/>
          <w:sz w:val="24"/>
          <w:szCs w:val="24"/>
          <w:u w:val="single"/>
        </w:rPr>
      </w:pPr>
      <w:r>
        <w:rPr>
          <w:rFonts w:ascii="Arial" w:hAnsi="Arial" w:cs="Arial"/>
          <w:sz w:val="24"/>
          <w:szCs w:val="24"/>
          <w:u w:val="single"/>
        </w:rPr>
        <w:t>Introduction</w:t>
      </w:r>
    </w:p>
    <w:p w:rsidR="006116C0" w:rsidRDefault="006116C0" w:rsidP="002B3B08">
      <w:pPr>
        <w:spacing w:after="0" w:line="360" w:lineRule="auto"/>
        <w:jc w:val="both"/>
        <w:rPr>
          <w:rFonts w:ascii="Arial" w:hAnsi="Arial" w:cs="Arial"/>
          <w:b/>
          <w:i/>
          <w:sz w:val="24"/>
          <w:szCs w:val="24"/>
          <w:u w:val="single"/>
        </w:rPr>
      </w:pPr>
    </w:p>
    <w:p w:rsidR="007C0C10" w:rsidRDefault="006C36E6" w:rsidP="002B3B08">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C0C10">
        <w:rPr>
          <w:rFonts w:ascii="Arial" w:hAnsi="Arial" w:cs="Arial"/>
          <w:sz w:val="24"/>
          <w:szCs w:val="24"/>
        </w:rPr>
        <w:t>The appellants were employed by the first respondent and w</w:t>
      </w:r>
      <w:r w:rsidR="004C5838">
        <w:rPr>
          <w:rFonts w:ascii="Arial" w:hAnsi="Arial" w:cs="Arial"/>
          <w:sz w:val="24"/>
          <w:szCs w:val="24"/>
        </w:rPr>
        <w:t xml:space="preserve">ere </w:t>
      </w:r>
      <w:r w:rsidR="007C0C10">
        <w:rPr>
          <w:rFonts w:ascii="Arial" w:hAnsi="Arial" w:cs="Arial"/>
          <w:sz w:val="24"/>
          <w:szCs w:val="24"/>
        </w:rPr>
        <w:t xml:space="preserve">dismissed following an internal disciplinary hearing. The charges levelled against the appellants </w:t>
      </w:r>
      <w:r w:rsidR="004C5838">
        <w:rPr>
          <w:rFonts w:ascii="Arial" w:hAnsi="Arial" w:cs="Arial"/>
          <w:sz w:val="24"/>
          <w:szCs w:val="24"/>
        </w:rPr>
        <w:t xml:space="preserve">during said disciplinary proceedings </w:t>
      </w:r>
      <w:r w:rsidR="007C0C10">
        <w:rPr>
          <w:rFonts w:ascii="Arial" w:hAnsi="Arial" w:cs="Arial"/>
          <w:sz w:val="24"/>
          <w:szCs w:val="24"/>
        </w:rPr>
        <w:t xml:space="preserve">were: </w:t>
      </w:r>
    </w:p>
    <w:p w:rsidR="006116C0" w:rsidRDefault="006116C0" w:rsidP="002B3B08">
      <w:pPr>
        <w:spacing w:after="0" w:line="360" w:lineRule="auto"/>
        <w:jc w:val="both"/>
        <w:rPr>
          <w:rFonts w:ascii="Arial" w:hAnsi="Arial" w:cs="Arial"/>
          <w:sz w:val="24"/>
          <w:szCs w:val="24"/>
        </w:rPr>
      </w:pPr>
    </w:p>
    <w:p w:rsidR="007C0C10" w:rsidRDefault="00AF66C3" w:rsidP="002B3B08">
      <w:pPr>
        <w:spacing w:after="0" w:line="360" w:lineRule="auto"/>
        <w:jc w:val="both"/>
        <w:rPr>
          <w:rFonts w:ascii="Arial" w:hAnsi="Arial" w:cs="Arial"/>
          <w:sz w:val="24"/>
          <w:szCs w:val="24"/>
        </w:rPr>
      </w:pPr>
      <w:r>
        <w:rPr>
          <w:rFonts w:ascii="Arial" w:hAnsi="Arial" w:cs="Arial"/>
          <w:sz w:val="24"/>
          <w:szCs w:val="24"/>
        </w:rPr>
        <w:tab/>
        <w:t>1.1</w:t>
      </w:r>
      <w:r>
        <w:rPr>
          <w:rFonts w:ascii="Arial" w:hAnsi="Arial" w:cs="Arial"/>
          <w:sz w:val="24"/>
          <w:szCs w:val="24"/>
        </w:rPr>
        <w:tab/>
      </w:r>
      <w:r w:rsidR="007C0C10">
        <w:rPr>
          <w:rFonts w:ascii="Arial" w:hAnsi="Arial" w:cs="Arial"/>
          <w:sz w:val="24"/>
          <w:szCs w:val="24"/>
        </w:rPr>
        <w:t xml:space="preserve">Performance of unauthorised union activities during working hours; and </w:t>
      </w:r>
    </w:p>
    <w:p w:rsidR="007C0C10" w:rsidRDefault="007C0C10" w:rsidP="002B3B08">
      <w:pPr>
        <w:spacing w:after="0" w:line="360" w:lineRule="auto"/>
        <w:jc w:val="both"/>
        <w:rPr>
          <w:rFonts w:ascii="Arial" w:hAnsi="Arial" w:cs="Arial"/>
          <w:sz w:val="24"/>
          <w:szCs w:val="24"/>
        </w:rPr>
      </w:pPr>
      <w:r>
        <w:rPr>
          <w:rFonts w:ascii="Arial" w:hAnsi="Arial" w:cs="Arial"/>
          <w:sz w:val="24"/>
          <w:szCs w:val="24"/>
        </w:rPr>
        <w:tab/>
        <w:t>1.2</w:t>
      </w:r>
      <w:r>
        <w:rPr>
          <w:rFonts w:ascii="Arial" w:hAnsi="Arial" w:cs="Arial"/>
          <w:sz w:val="24"/>
          <w:szCs w:val="24"/>
        </w:rPr>
        <w:tab/>
        <w:t xml:space="preserve">Disrupting company operations without authorisation. </w:t>
      </w:r>
    </w:p>
    <w:p w:rsidR="006116C0" w:rsidRDefault="006116C0" w:rsidP="002B3B08">
      <w:pPr>
        <w:spacing w:after="0" w:line="360" w:lineRule="auto"/>
        <w:jc w:val="both"/>
        <w:rPr>
          <w:rFonts w:ascii="Arial" w:hAnsi="Arial" w:cs="Arial"/>
          <w:sz w:val="24"/>
          <w:szCs w:val="24"/>
        </w:rPr>
      </w:pPr>
    </w:p>
    <w:p w:rsidR="006116C0" w:rsidRDefault="007C0C10" w:rsidP="002B3B0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As a result of the dismissal</w:t>
      </w:r>
      <w:r w:rsidR="006116C0">
        <w:rPr>
          <w:rFonts w:ascii="Arial" w:hAnsi="Arial" w:cs="Arial"/>
          <w:sz w:val="24"/>
          <w:szCs w:val="24"/>
        </w:rPr>
        <w:t>,</w:t>
      </w:r>
      <w:r>
        <w:rPr>
          <w:rFonts w:ascii="Arial" w:hAnsi="Arial" w:cs="Arial"/>
          <w:sz w:val="24"/>
          <w:szCs w:val="24"/>
        </w:rPr>
        <w:t xml:space="preserve"> the appellants referred a dispute of unfair dismissal to the Office of the L</w:t>
      </w:r>
      <w:r w:rsidR="006116C0">
        <w:rPr>
          <w:rFonts w:ascii="Arial" w:hAnsi="Arial" w:cs="Arial"/>
          <w:sz w:val="24"/>
          <w:szCs w:val="24"/>
        </w:rPr>
        <w:t>abour Commissioner in terms of S</w:t>
      </w:r>
      <w:r>
        <w:rPr>
          <w:rFonts w:ascii="Arial" w:hAnsi="Arial" w:cs="Arial"/>
          <w:sz w:val="24"/>
          <w:szCs w:val="24"/>
        </w:rPr>
        <w:t xml:space="preserve">ection </w:t>
      </w:r>
      <w:r w:rsidRPr="00E20296">
        <w:rPr>
          <w:rFonts w:ascii="Arial" w:hAnsi="Arial" w:cs="Arial"/>
          <w:i/>
          <w:sz w:val="24"/>
          <w:szCs w:val="24"/>
        </w:rPr>
        <w:t>82(7)</w:t>
      </w:r>
      <w:r w:rsidR="006116C0">
        <w:rPr>
          <w:rFonts w:ascii="Arial" w:hAnsi="Arial" w:cs="Arial"/>
          <w:sz w:val="24"/>
          <w:szCs w:val="24"/>
        </w:rPr>
        <w:t xml:space="preserve"> read with S</w:t>
      </w:r>
      <w:r>
        <w:rPr>
          <w:rFonts w:ascii="Arial" w:hAnsi="Arial" w:cs="Arial"/>
          <w:sz w:val="24"/>
          <w:szCs w:val="24"/>
        </w:rPr>
        <w:t xml:space="preserve">ection </w:t>
      </w:r>
      <w:r w:rsidRPr="00E20296">
        <w:rPr>
          <w:rFonts w:ascii="Arial" w:hAnsi="Arial" w:cs="Arial"/>
          <w:i/>
          <w:sz w:val="24"/>
          <w:szCs w:val="24"/>
        </w:rPr>
        <w:t>86(1)</w:t>
      </w:r>
      <w:r>
        <w:rPr>
          <w:rFonts w:ascii="Arial" w:hAnsi="Arial" w:cs="Arial"/>
          <w:sz w:val="24"/>
          <w:szCs w:val="24"/>
        </w:rPr>
        <w:t xml:space="preserve"> of the Labour Act, Act </w:t>
      </w:r>
      <w:r w:rsidRPr="00E20296">
        <w:rPr>
          <w:rFonts w:ascii="Arial" w:hAnsi="Arial" w:cs="Arial"/>
          <w:i/>
          <w:sz w:val="24"/>
          <w:szCs w:val="24"/>
        </w:rPr>
        <w:t>11 of 20</w:t>
      </w:r>
      <w:r w:rsidR="00E20296" w:rsidRPr="00E20296">
        <w:rPr>
          <w:rFonts w:ascii="Arial" w:hAnsi="Arial" w:cs="Arial"/>
          <w:i/>
          <w:sz w:val="24"/>
          <w:szCs w:val="24"/>
        </w:rPr>
        <w:t>1</w:t>
      </w:r>
      <w:r w:rsidRPr="00E20296">
        <w:rPr>
          <w:rFonts w:ascii="Arial" w:hAnsi="Arial" w:cs="Arial"/>
          <w:i/>
          <w:sz w:val="24"/>
          <w:szCs w:val="24"/>
        </w:rPr>
        <w:t>7</w:t>
      </w:r>
      <w:r w:rsidR="009E574B">
        <w:rPr>
          <w:rFonts w:ascii="Arial" w:hAnsi="Arial" w:cs="Arial"/>
          <w:i/>
          <w:sz w:val="24"/>
          <w:szCs w:val="24"/>
        </w:rPr>
        <w:t xml:space="preserve"> </w:t>
      </w:r>
      <w:r w:rsidR="00E20296" w:rsidRPr="00D637CB">
        <w:rPr>
          <w:rFonts w:ascii="Arial" w:hAnsi="Arial" w:cs="Arial"/>
          <w:sz w:val="24"/>
          <w:szCs w:val="24"/>
        </w:rPr>
        <w:t>(hereinafter refe</w:t>
      </w:r>
      <w:r w:rsidR="00E20296">
        <w:rPr>
          <w:rFonts w:ascii="Arial" w:hAnsi="Arial" w:cs="Arial"/>
          <w:sz w:val="24"/>
          <w:szCs w:val="24"/>
        </w:rPr>
        <w:t>rred to as the ‘Act’)</w:t>
      </w:r>
      <w:r>
        <w:rPr>
          <w:rFonts w:ascii="Arial" w:hAnsi="Arial" w:cs="Arial"/>
          <w:sz w:val="24"/>
          <w:szCs w:val="24"/>
        </w:rPr>
        <w:t>.</w:t>
      </w:r>
    </w:p>
    <w:p w:rsidR="007C0C10" w:rsidRDefault="007C0C10" w:rsidP="002B3B08">
      <w:pPr>
        <w:spacing w:after="0" w:line="360" w:lineRule="auto"/>
        <w:jc w:val="both"/>
        <w:rPr>
          <w:rFonts w:ascii="Arial" w:hAnsi="Arial" w:cs="Arial"/>
          <w:sz w:val="24"/>
          <w:szCs w:val="24"/>
        </w:rPr>
      </w:pPr>
    </w:p>
    <w:p w:rsidR="00B13A03" w:rsidRDefault="007C0C10" w:rsidP="002B3B0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Arbitration proceedings commenced on 05</w:t>
      </w:r>
      <w:r w:rsidRPr="007C0C10">
        <w:rPr>
          <w:rFonts w:ascii="Arial" w:hAnsi="Arial" w:cs="Arial"/>
          <w:sz w:val="24"/>
          <w:szCs w:val="24"/>
          <w:vertAlign w:val="superscript"/>
        </w:rPr>
        <w:t>th</w:t>
      </w:r>
      <w:r>
        <w:rPr>
          <w:rFonts w:ascii="Arial" w:hAnsi="Arial" w:cs="Arial"/>
          <w:sz w:val="24"/>
          <w:szCs w:val="24"/>
        </w:rPr>
        <w:t xml:space="preserve"> of February 2016 and the </w:t>
      </w:r>
      <w:r w:rsidR="00E20296">
        <w:rPr>
          <w:rFonts w:ascii="Arial" w:hAnsi="Arial" w:cs="Arial"/>
          <w:sz w:val="24"/>
          <w:szCs w:val="24"/>
        </w:rPr>
        <w:t>A</w:t>
      </w:r>
      <w:r w:rsidR="006116C0">
        <w:rPr>
          <w:rFonts w:ascii="Arial" w:hAnsi="Arial" w:cs="Arial"/>
          <w:sz w:val="24"/>
          <w:szCs w:val="24"/>
        </w:rPr>
        <w:t>rbitrator, Ms</w:t>
      </w:r>
      <w:r w:rsidR="009E574B">
        <w:rPr>
          <w:rFonts w:ascii="Arial" w:hAnsi="Arial" w:cs="Arial"/>
          <w:sz w:val="24"/>
          <w:szCs w:val="24"/>
        </w:rPr>
        <w:t xml:space="preserve"> </w:t>
      </w:r>
      <w:r>
        <w:rPr>
          <w:rFonts w:ascii="Arial" w:hAnsi="Arial" w:cs="Arial"/>
          <w:sz w:val="24"/>
          <w:szCs w:val="24"/>
        </w:rPr>
        <w:t>Getrude</w:t>
      </w:r>
      <w:r w:rsidR="009E574B">
        <w:rPr>
          <w:rFonts w:ascii="Arial" w:hAnsi="Arial" w:cs="Arial"/>
          <w:sz w:val="24"/>
          <w:szCs w:val="24"/>
        </w:rPr>
        <w:t xml:space="preserve"> </w:t>
      </w:r>
      <w:r>
        <w:rPr>
          <w:rFonts w:ascii="Arial" w:hAnsi="Arial" w:cs="Arial"/>
          <w:sz w:val="24"/>
          <w:szCs w:val="24"/>
        </w:rPr>
        <w:t xml:space="preserve">Usiku delivered the arbitration award on </w:t>
      </w:r>
      <w:r w:rsidR="00E20296">
        <w:rPr>
          <w:rFonts w:ascii="Arial" w:hAnsi="Arial" w:cs="Arial"/>
          <w:sz w:val="24"/>
          <w:szCs w:val="24"/>
        </w:rPr>
        <w:t>12</w:t>
      </w:r>
      <w:r w:rsidR="00E20296" w:rsidRPr="00E20296">
        <w:rPr>
          <w:rFonts w:ascii="Arial" w:hAnsi="Arial" w:cs="Arial"/>
          <w:sz w:val="24"/>
          <w:szCs w:val="24"/>
          <w:vertAlign w:val="superscript"/>
        </w:rPr>
        <w:t>th</w:t>
      </w:r>
      <w:r w:rsidR="00E20296">
        <w:rPr>
          <w:rFonts w:ascii="Arial" w:hAnsi="Arial" w:cs="Arial"/>
          <w:sz w:val="24"/>
          <w:szCs w:val="24"/>
        </w:rPr>
        <w:t xml:space="preserve"> of March 2016.</w:t>
      </w:r>
    </w:p>
    <w:p w:rsidR="00E20296" w:rsidRDefault="00E20296" w:rsidP="002B3B08">
      <w:pPr>
        <w:spacing w:after="0" w:line="360" w:lineRule="auto"/>
        <w:jc w:val="both"/>
        <w:rPr>
          <w:rFonts w:ascii="Arial" w:hAnsi="Arial" w:cs="Arial"/>
          <w:sz w:val="24"/>
          <w:szCs w:val="24"/>
        </w:rPr>
      </w:pPr>
    </w:p>
    <w:p w:rsidR="006116C0" w:rsidRDefault="00E20296" w:rsidP="002B3B0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terms of the arbitration award </w:t>
      </w:r>
      <w:r w:rsidR="006116C0">
        <w:rPr>
          <w:rFonts w:ascii="Arial" w:hAnsi="Arial" w:cs="Arial"/>
          <w:sz w:val="24"/>
          <w:szCs w:val="24"/>
        </w:rPr>
        <w:t>Ms</w:t>
      </w:r>
      <w:r w:rsidR="009E574B">
        <w:rPr>
          <w:rFonts w:ascii="Arial" w:hAnsi="Arial" w:cs="Arial"/>
          <w:sz w:val="24"/>
          <w:szCs w:val="24"/>
        </w:rPr>
        <w:t xml:space="preserve"> </w:t>
      </w:r>
      <w:r w:rsidR="004C5838">
        <w:rPr>
          <w:rFonts w:ascii="Arial" w:hAnsi="Arial" w:cs="Arial"/>
          <w:sz w:val="24"/>
          <w:szCs w:val="24"/>
        </w:rPr>
        <w:t>Usiku</w:t>
      </w:r>
      <w:r>
        <w:rPr>
          <w:rFonts w:ascii="Arial" w:hAnsi="Arial" w:cs="Arial"/>
          <w:sz w:val="24"/>
          <w:szCs w:val="24"/>
        </w:rPr>
        <w:t xml:space="preserve"> concluded that the dismissal of the appellants were procedurally and substantively fair</w:t>
      </w:r>
      <w:r>
        <w:rPr>
          <w:rStyle w:val="FootnoteReference"/>
          <w:rFonts w:ascii="Arial" w:hAnsi="Arial" w:cs="Arial"/>
          <w:sz w:val="24"/>
          <w:szCs w:val="24"/>
        </w:rPr>
        <w:footnoteReference w:id="1"/>
      </w:r>
      <w:r>
        <w:rPr>
          <w:rFonts w:ascii="Arial" w:hAnsi="Arial" w:cs="Arial"/>
          <w:sz w:val="24"/>
          <w:szCs w:val="24"/>
        </w:rPr>
        <w:t xml:space="preserve">. </w:t>
      </w:r>
    </w:p>
    <w:p w:rsidR="00E20296" w:rsidRDefault="00E20296" w:rsidP="002B3B08">
      <w:pPr>
        <w:spacing w:after="0" w:line="360" w:lineRule="auto"/>
        <w:jc w:val="both"/>
        <w:rPr>
          <w:rFonts w:ascii="Arial" w:hAnsi="Arial" w:cs="Arial"/>
          <w:sz w:val="24"/>
          <w:szCs w:val="24"/>
        </w:rPr>
      </w:pPr>
    </w:p>
    <w:p w:rsidR="001202E5" w:rsidRDefault="00E20296" w:rsidP="002B3B08">
      <w:pPr>
        <w:spacing w:after="0" w:line="360" w:lineRule="auto"/>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r>
      <w:r w:rsidR="006C36E6" w:rsidRPr="00D637CB">
        <w:rPr>
          <w:rFonts w:ascii="Arial" w:hAnsi="Arial" w:cs="Arial"/>
          <w:sz w:val="24"/>
          <w:szCs w:val="24"/>
        </w:rPr>
        <w:t xml:space="preserve">The </w:t>
      </w:r>
      <w:r w:rsidR="006C36E6">
        <w:rPr>
          <w:rFonts w:ascii="Arial" w:hAnsi="Arial" w:cs="Arial"/>
          <w:sz w:val="24"/>
          <w:szCs w:val="24"/>
        </w:rPr>
        <w:t>appellants noted an appeal on the 11</w:t>
      </w:r>
      <w:r w:rsidR="006116C0" w:rsidRPr="006116C0">
        <w:rPr>
          <w:rFonts w:ascii="Arial" w:hAnsi="Arial" w:cs="Arial"/>
          <w:sz w:val="24"/>
          <w:szCs w:val="24"/>
          <w:vertAlign w:val="superscript"/>
        </w:rPr>
        <w:t>th</w:t>
      </w:r>
      <w:r w:rsidR="006C36E6">
        <w:rPr>
          <w:rFonts w:ascii="Arial" w:hAnsi="Arial" w:cs="Arial"/>
          <w:sz w:val="24"/>
          <w:szCs w:val="24"/>
        </w:rPr>
        <w:t>April 2016</w:t>
      </w:r>
      <w:r w:rsidR="006C36E6" w:rsidRPr="00D637CB">
        <w:rPr>
          <w:rFonts w:ascii="Arial" w:hAnsi="Arial" w:cs="Arial"/>
          <w:sz w:val="24"/>
          <w:szCs w:val="24"/>
        </w:rPr>
        <w:t xml:space="preserve"> pursuant to section </w:t>
      </w:r>
      <w:r w:rsidR="006C36E6">
        <w:rPr>
          <w:rFonts w:ascii="Arial" w:hAnsi="Arial" w:cs="Arial"/>
          <w:i/>
          <w:sz w:val="24"/>
          <w:szCs w:val="24"/>
        </w:rPr>
        <w:t xml:space="preserve">89(1) </w:t>
      </w:r>
      <w:r>
        <w:rPr>
          <w:rFonts w:ascii="Arial" w:hAnsi="Arial" w:cs="Arial"/>
          <w:i/>
          <w:sz w:val="24"/>
          <w:szCs w:val="24"/>
        </w:rPr>
        <w:t>of the Act</w:t>
      </w:r>
      <w:r w:rsidR="006C36E6" w:rsidRPr="00D637CB">
        <w:rPr>
          <w:rFonts w:ascii="Arial" w:hAnsi="Arial" w:cs="Arial"/>
          <w:sz w:val="24"/>
          <w:szCs w:val="24"/>
        </w:rPr>
        <w:t>against t</w:t>
      </w:r>
      <w:r w:rsidR="004C5838">
        <w:rPr>
          <w:rFonts w:ascii="Arial" w:hAnsi="Arial" w:cs="Arial"/>
          <w:sz w:val="24"/>
          <w:szCs w:val="24"/>
        </w:rPr>
        <w:t>he whole award by the Arbitrator and a</w:t>
      </w:r>
      <w:r w:rsidR="006C36E6">
        <w:rPr>
          <w:rFonts w:ascii="Arial" w:hAnsi="Arial" w:cs="Arial"/>
          <w:sz w:val="24"/>
          <w:szCs w:val="24"/>
        </w:rPr>
        <w:t>n amended no</w:t>
      </w:r>
      <w:r w:rsidR="006116C0">
        <w:rPr>
          <w:rFonts w:ascii="Arial" w:hAnsi="Arial" w:cs="Arial"/>
          <w:sz w:val="24"/>
          <w:szCs w:val="24"/>
        </w:rPr>
        <w:t>tice of appeal was filed on 02</w:t>
      </w:r>
      <w:r w:rsidR="00FE48A7" w:rsidRPr="00FE48A7">
        <w:rPr>
          <w:rFonts w:ascii="Arial" w:hAnsi="Arial" w:cs="Arial"/>
          <w:sz w:val="24"/>
          <w:szCs w:val="24"/>
          <w:vertAlign w:val="superscript"/>
        </w:rPr>
        <w:t>nd</w:t>
      </w:r>
      <w:r w:rsidR="00FE48A7">
        <w:rPr>
          <w:rFonts w:ascii="Arial" w:hAnsi="Arial" w:cs="Arial"/>
          <w:sz w:val="24"/>
          <w:szCs w:val="24"/>
        </w:rPr>
        <w:t xml:space="preserve"> of December </w:t>
      </w:r>
      <w:r w:rsidR="006C36E6">
        <w:rPr>
          <w:rFonts w:ascii="Arial" w:hAnsi="Arial" w:cs="Arial"/>
          <w:sz w:val="24"/>
          <w:szCs w:val="24"/>
        </w:rPr>
        <w:t xml:space="preserve">2016. </w:t>
      </w:r>
    </w:p>
    <w:p w:rsidR="00AB1AF4" w:rsidRDefault="00AB1AF4" w:rsidP="002B3B08">
      <w:pPr>
        <w:spacing w:after="0" w:line="360" w:lineRule="auto"/>
        <w:jc w:val="both"/>
        <w:rPr>
          <w:rFonts w:ascii="Arial" w:hAnsi="Arial" w:cs="Arial"/>
          <w:sz w:val="24"/>
          <w:szCs w:val="24"/>
        </w:rPr>
      </w:pPr>
    </w:p>
    <w:p w:rsidR="007D67F0" w:rsidRDefault="00FE48A7" w:rsidP="002B3B08">
      <w:pPr>
        <w:spacing w:after="0" w:line="360" w:lineRule="auto"/>
        <w:jc w:val="both"/>
        <w:rPr>
          <w:rFonts w:ascii="Arial" w:hAnsi="Arial" w:cs="Arial"/>
          <w:sz w:val="24"/>
          <w:szCs w:val="24"/>
          <w:u w:val="single"/>
        </w:rPr>
      </w:pPr>
      <w:r>
        <w:rPr>
          <w:rFonts w:ascii="Arial" w:hAnsi="Arial" w:cs="Arial"/>
          <w:sz w:val="24"/>
          <w:szCs w:val="24"/>
          <w:u w:val="single"/>
        </w:rPr>
        <w:t>Application for Condonation</w:t>
      </w:r>
    </w:p>
    <w:p w:rsidR="006116C0" w:rsidRPr="007D67F0" w:rsidRDefault="006116C0" w:rsidP="002B3B08">
      <w:pPr>
        <w:spacing w:after="0" w:line="360" w:lineRule="auto"/>
        <w:jc w:val="both"/>
        <w:rPr>
          <w:rFonts w:ascii="Arial" w:hAnsi="Arial" w:cs="Arial"/>
          <w:sz w:val="24"/>
          <w:szCs w:val="24"/>
          <w:u w:val="single"/>
        </w:rPr>
      </w:pPr>
    </w:p>
    <w:p w:rsidR="006116C0" w:rsidRDefault="007D67F0" w:rsidP="002B3B08">
      <w:pPr>
        <w:spacing w:after="0" w:line="360" w:lineRule="auto"/>
        <w:jc w:val="both"/>
        <w:rPr>
          <w:rFonts w:ascii="Arial" w:hAnsi="Arial" w:cs="Arial"/>
          <w:sz w:val="24"/>
          <w:szCs w:val="24"/>
        </w:rPr>
      </w:pPr>
      <w:r>
        <w:rPr>
          <w:rFonts w:ascii="Arial" w:hAnsi="Arial" w:cs="Arial"/>
          <w:sz w:val="24"/>
          <w:szCs w:val="24"/>
        </w:rPr>
        <w:t>[</w:t>
      </w:r>
      <w:r w:rsidR="004C5838">
        <w:rPr>
          <w:rFonts w:ascii="Arial" w:hAnsi="Arial" w:cs="Arial"/>
          <w:sz w:val="24"/>
          <w:szCs w:val="24"/>
        </w:rPr>
        <w:t>6</w:t>
      </w:r>
      <w:r>
        <w:rPr>
          <w:rFonts w:ascii="Arial" w:hAnsi="Arial" w:cs="Arial"/>
          <w:sz w:val="24"/>
          <w:szCs w:val="24"/>
        </w:rPr>
        <w:t xml:space="preserve">]  </w:t>
      </w:r>
      <w:r>
        <w:rPr>
          <w:rFonts w:ascii="Arial" w:hAnsi="Arial" w:cs="Arial"/>
          <w:sz w:val="24"/>
          <w:szCs w:val="24"/>
        </w:rPr>
        <w:tab/>
      </w:r>
      <w:r w:rsidR="003330FF">
        <w:rPr>
          <w:rFonts w:ascii="Arial" w:hAnsi="Arial" w:cs="Arial"/>
          <w:sz w:val="24"/>
          <w:szCs w:val="24"/>
        </w:rPr>
        <w:t xml:space="preserve">The appellants in this matter </w:t>
      </w:r>
      <w:r w:rsidR="001202E5">
        <w:rPr>
          <w:rFonts w:ascii="Arial" w:hAnsi="Arial" w:cs="Arial"/>
          <w:sz w:val="24"/>
          <w:szCs w:val="24"/>
        </w:rPr>
        <w:t>are</w:t>
      </w:r>
      <w:r w:rsidR="003330FF">
        <w:rPr>
          <w:rFonts w:ascii="Arial" w:hAnsi="Arial" w:cs="Arial"/>
          <w:sz w:val="24"/>
          <w:szCs w:val="24"/>
        </w:rPr>
        <w:t xml:space="preserve"> duly represent</w:t>
      </w:r>
      <w:r w:rsidR="006116C0">
        <w:rPr>
          <w:rFonts w:ascii="Arial" w:hAnsi="Arial" w:cs="Arial"/>
          <w:sz w:val="24"/>
          <w:szCs w:val="24"/>
        </w:rPr>
        <w:t>ed by Ms</w:t>
      </w:r>
      <w:r w:rsidR="009E574B">
        <w:rPr>
          <w:rFonts w:ascii="Arial" w:hAnsi="Arial" w:cs="Arial"/>
          <w:sz w:val="24"/>
          <w:szCs w:val="24"/>
        </w:rPr>
        <w:t xml:space="preserve"> </w:t>
      </w:r>
      <w:r w:rsidR="003330FF">
        <w:rPr>
          <w:rFonts w:ascii="Arial" w:hAnsi="Arial" w:cs="Arial"/>
          <w:sz w:val="24"/>
          <w:szCs w:val="24"/>
        </w:rPr>
        <w:t xml:space="preserve">Nambinga. Initially the first respondent was represented by Koep and Partners, who withdrew as </w:t>
      </w:r>
      <w:r w:rsidR="00035F2C">
        <w:rPr>
          <w:rFonts w:ascii="Arial" w:hAnsi="Arial" w:cs="Arial"/>
          <w:sz w:val="24"/>
          <w:szCs w:val="24"/>
        </w:rPr>
        <w:t>legal representatives</w:t>
      </w:r>
      <w:r w:rsidR="003330FF">
        <w:rPr>
          <w:rFonts w:ascii="Arial" w:hAnsi="Arial" w:cs="Arial"/>
          <w:sz w:val="24"/>
          <w:szCs w:val="24"/>
        </w:rPr>
        <w:t xml:space="preserve"> of record on </w:t>
      </w:r>
      <w:r w:rsidR="00BB0EF8">
        <w:rPr>
          <w:rFonts w:ascii="Arial" w:hAnsi="Arial" w:cs="Arial"/>
          <w:sz w:val="24"/>
          <w:szCs w:val="24"/>
        </w:rPr>
        <w:t>13 March 2017</w:t>
      </w:r>
      <w:r w:rsidR="003330FF">
        <w:rPr>
          <w:rFonts w:ascii="Arial" w:hAnsi="Arial" w:cs="Arial"/>
          <w:sz w:val="24"/>
          <w:szCs w:val="24"/>
        </w:rPr>
        <w:t xml:space="preserve">.  </w:t>
      </w:r>
      <w:r w:rsidR="00035F2C">
        <w:rPr>
          <w:rFonts w:ascii="Arial" w:hAnsi="Arial" w:cs="Arial"/>
          <w:sz w:val="24"/>
          <w:szCs w:val="24"/>
        </w:rPr>
        <w:t xml:space="preserve">The </w:t>
      </w:r>
      <w:r w:rsidR="00301F58">
        <w:rPr>
          <w:rFonts w:ascii="Arial" w:hAnsi="Arial" w:cs="Arial"/>
          <w:sz w:val="24"/>
          <w:szCs w:val="24"/>
        </w:rPr>
        <w:t xml:space="preserve">notice of withdrawal was </w:t>
      </w:r>
      <w:r w:rsidR="006116C0">
        <w:rPr>
          <w:rFonts w:ascii="Arial" w:hAnsi="Arial" w:cs="Arial"/>
          <w:sz w:val="24"/>
          <w:szCs w:val="24"/>
        </w:rPr>
        <w:t>sent</w:t>
      </w:r>
      <w:r w:rsidR="0030242C">
        <w:rPr>
          <w:rFonts w:ascii="Arial" w:hAnsi="Arial" w:cs="Arial"/>
          <w:sz w:val="24"/>
          <w:szCs w:val="24"/>
        </w:rPr>
        <w:t>to the</w:t>
      </w:r>
      <w:r w:rsidR="00301F58">
        <w:rPr>
          <w:rFonts w:ascii="Arial" w:hAnsi="Arial" w:cs="Arial"/>
          <w:sz w:val="24"/>
          <w:szCs w:val="24"/>
        </w:rPr>
        <w:t xml:space="preserve"> first respondent by e-mail on </w:t>
      </w:r>
      <w:r w:rsidR="00035F2C">
        <w:rPr>
          <w:rFonts w:ascii="Arial" w:hAnsi="Arial" w:cs="Arial"/>
          <w:sz w:val="24"/>
          <w:szCs w:val="24"/>
        </w:rPr>
        <w:t>even</w:t>
      </w:r>
      <w:r w:rsidR="00301F58">
        <w:rPr>
          <w:rFonts w:ascii="Arial" w:hAnsi="Arial" w:cs="Arial"/>
          <w:sz w:val="24"/>
          <w:szCs w:val="24"/>
        </w:rPr>
        <w:t xml:space="preserve"> date and also </w:t>
      </w:r>
      <w:r w:rsidR="00035F2C">
        <w:rPr>
          <w:rFonts w:ascii="Arial" w:hAnsi="Arial" w:cs="Arial"/>
          <w:sz w:val="24"/>
          <w:szCs w:val="24"/>
        </w:rPr>
        <w:t xml:space="preserve">served </w:t>
      </w:r>
      <w:r w:rsidR="00301F58">
        <w:rPr>
          <w:rFonts w:ascii="Arial" w:hAnsi="Arial" w:cs="Arial"/>
          <w:sz w:val="24"/>
          <w:szCs w:val="24"/>
        </w:rPr>
        <w:t xml:space="preserve">by registered mail. </w:t>
      </w:r>
    </w:p>
    <w:p w:rsidR="004C5838" w:rsidRDefault="004C5838" w:rsidP="002B3B08">
      <w:pPr>
        <w:spacing w:after="0" w:line="360" w:lineRule="auto"/>
        <w:jc w:val="both"/>
        <w:rPr>
          <w:rFonts w:ascii="Arial" w:hAnsi="Arial" w:cs="Arial"/>
          <w:sz w:val="24"/>
          <w:szCs w:val="24"/>
        </w:rPr>
      </w:pPr>
    </w:p>
    <w:p w:rsidR="003330FF" w:rsidRDefault="004C5838" w:rsidP="002B3B08">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B0EF8">
        <w:rPr>
          <w:rFonts w:ascii="Arial" w:hAnsi="Arial" w:cs="Arial"/>
          <w:sz w:val="24"/>
          <w:szCs w:val="24"/>
        </w:rPr>
        <w:t>On the date set</w:t>
      </w:r>
      <w:r w:rsidR="003330FF">
        <w:rPr>
          <w:rFonts w:ascii="Arial" w:hAnsi="Arial" w:cs="Arial"/>
          <w:sz w:val="24"/>
          <w:szCs w:val="24"/>
        </w:rPr>
        <w:t xml:space="preserve"> for hearing </w:t>
      </w:r>
      <w:r w:rsidR="00BB0EF8">
        <w:rPr>
          <w:rFonts w:ascii="Arial" w:hAnsi="Arial" w:cs="Arial"/>
          <w:sz w:val="24"/>
          <w:szCs w:val="24"/>
        </w:rPr>
        <w:t>of the appeal, i</w:t>
      </w:r>
      <w:r w:rsidR="001202E5">
        <w:rPr>
          <w:rFonts w:ascii="Arial" w:hAnsi="Arial" w:cs="Arial"/>
          <w:sz w:val="24"/>
          <w:szCs w:val="24"/>
        </w:rPr>
        <w:t>.</w:t>
      </w:r>
      <w:r w:rsidR="00BB0EF8">
        <w:rPr>
          <w:rFonts w:ascii="Arial" w:hAnsi="Arial" w:cs="Arial"/>
          <w:sz w:val="24"/>
          <w:szCs w:val="24"/>
        </w:rPr>
        <w:t>e.</w:t>
      </w:r>
      <w:r w:rsidR="006116C0">
        <w:rPr>
          <w:rFonts w:ascii="Arial" w:hAnsi="Arial" w:cs="Arial"/>
          <w:sz w:val="24"/>
          <w:szCs w:val="24"/>
        </w:rPr>
        <w:t xml:space="preserve"> 7 April 2017</w:t>
      </w:r>
      <w:r w:rsidR="00BB0EF8">
        <w:rPr>
          <w:rFonts w:ascii="Arial" w:hAnsi="Arial" w:cs="Arial"/>
          <w:sz w:val="24"/>
          <w:szCs w:val="24"/>
        </w:rPr>
        <w:t>,</w:t>
      </w:r>
      <w:r w:rsidR="006116C0">
        <w:rPr>
          <w:rFonts w:ascii="Arial" w:hAnsi="Arial" w:cs="Arial"/>
          <w:sz w:val="24"/>
          <w:szCs w:val="24"/>
        </w:rPr>
        <w:t xml:space="preserve"> Ms</w:t>
      </w:r>
      <w:r w:rsidR="009E574B">
        <w:rPr>
          <w:rFonts w:ascii="Arial" w:hAnsi="Arial" w:cs="Arial"/>
          <w:sz w:val="24"/>
          <w:szCs w:val="24"/>
        </w:rPr>
        <w:t xml:space="preserve"> </w:t>
      </w:r>
      <w:r w:rsidR="003330FF">
        <w:rPr>
          <w:rFonts w:ascii="Arial" w:hAnsi="Arial" w:cs="Arial"/>
          <w:sz w:val="24"/>
          <w:szCs w:val="24"/>
        </w:rPr>
        <w:t>Losper made an appearance on behalf of the first respondent</w:t>
      </w:r>
      <w:r w:rsidR="00BB0EF8">
        <w:rPr>
          <w:rFonts w:ascii="Arial" w:hAnsi="Arial" w:cs="Arial"/>
          <w:sz w:val="24"/>
          <w:szCs w:val="24"/>
        </w:rPr>
        <w:t xml:space="preserve"> but no notice of representation was filed </w:t>
      </w:r>
      <w:r w:rsidR="00BB0EF8">
        <w:rPr>
          <w:rFonts w:ascii="Arial" w:hAnsi="Arial" w:cs="Arial"/>
          <w:sz w:val="24"/>
          <w:szCs w:val="24"/>
        </w:rPr>
        <w:lastRenderedPageBreak/>
        <w:t xml:space="preserve">at the time. As the file did not contain </w:t>
      </w:r>
      <w:r w:rsidR="00035F2C">
        <w:rPr>
          <w:rFonts w:ascii="Arial" w:hAnsi="Arial" w:cs="Arial"/>
          <w:sz w:val="24"/>
          <w:szCs w:val="24"/>
        </w:rPr>
        <w:t>certain</w:t>
      </w:r>
      <w:r w:rsidR="00BB0EF8">
        <w:rPr>
          <w:rFonts w:ascii="Arial" w:hAnsi="Arial" w:cs="Arial"/>
          <w:sz w:val="24"/>
          <w:szCs w:val="24"/>
        </w:rPr>
        <w:t xml:space="preserve"> court orders</w:t>
      </w:r>
      <w:r w:rsidR="006116C0">
        <w:rPr>
          <w:rFonts w:ascii="Arial" w:hAnsi="Arial" w:cs="Arial"/>
          <w:sz w:val="24"/>
          <w:szCs w:val="24"/>
        </w:rPr>
        <w:t>,</w:t>
      </w:r>
      <w:r w:rsidR="00BB0EF8">
        <w:rPr>
          <w:rFonts w:ascii="Arial" w:hAnsi="Arial" w:cs="Arial"/>
          <w:sz w:val="24"/>
          <w:szCs w:val="24"/>
        </w:rPr>
        <w:t xml:space="preserve"> the </w:t>
      </w:r>
      <w:r w:rsidR="00035F2C">
        <w:rPr>
          <w:rFonts w:ascii="Arial" w:hAnsi="Arial" w:cs="Arial"/>
          <w:sz w:val="24"/>
          <w:szCs w:val="24"/>
        </w:rPr>
        <w:t>matter was</w:t>
      </w:r>
      <w:r w:rsidR="00BB0EF8">
        <w:rPr>
          <w:rFonts w:ascii="Arial" w:hAnsi="Arial" w:cs="Arial"/>
          <w:sz w:val="24"/>
          <w:szCs w:val="24"/>
        </w:rPr>
        <w:t xml:space="preserve"> postpone</w:t>
      </w:r>
      <w:r w:rsidR="00035F2C">
        <w:rPr>
          <w:rFonts w:ascii="Arial" w:hAnsi="Arial" w:cs="Arial"/>
          <w:sz w:val="24"/>
          <w:szCs w:val="24"/>
        </w:rPr>
        <w:t>d</w:t>
      </w:r>
      <w:r w:rsidR="006116C0">
        <w:rPr>
          <w:rFonts w:ascii="Arial" w:hAnsi="Arial" w:cs="Arial"/>
          <w:sz w:val="24"/>
          <w:szCs w:val="24"/>
        </w:rPr>
        <w:t xml:space="preserve"> to enable Ms</w:t>
      </w:r>
      <w:r w:rsidR="009E574B">
        <w:rPr>
          <w:rFonts w:ascii="Arial" w:hAnsi="Arial" w:cs="Arial"/>
          <w:sz w:val="24"/>
          <w:szCs w:val="24"/>
        </w:rPr>
        <w:t xml:space="preserve"> </w:t>
      </w:r>
      <w:r w:rsidR="00BB0EF8">
        <w:rPr>
          <w:rFonts w:ascii="Arial" w:hAnsi="Arial" w:cs="Arial"/>
          <w:sz w:val="24"/>
          <w:szCs w:val="24"/>
        </w:rPr>
        <w:t xml:space="preserve">Nambinga to locate said court orders and update the court file. By </w:t>
      </w:r>
      <w:r w:rsidR="00035F2C">
        <w:rPr>
          <w:rFonts w:ascii="Arial" w:hAnsi="Arial" w:cs="Arial"/>
          <w:sz w:val="24"/>
          <w:szCs w:val="24"/>
        </w:rPr>
        <w:t>postponing the matter</w:t>
      </w:r>
      <w:r w:rsidR="006116C0">
        <w:rPr>
          <w:rFonts w:ascii="Arial" w:hAnsi="Arial" w:cs="Arial"/>
          <w:sz w:val="24"/>
          <w:szCs w:val="24"/>
        </w:rPr>
        <w:t xml:space="preserve"> Ms</w:t>
      </w:r>
      <w:r w:rsidR="00BB0EF8">
        <w:rPr>
          <w:rFonts w:ascii="Arial" w:hAnsi="Arial" w:cs="Arial"/>
          <w:sz w:val="24"/>
          <w:szCs w:val="24"/>
        </w:rPr>
        <w:t xml:space="preserve"> Losper was given the opportunity to </w:t>
      </w:r>
      <w:r w:rsidR="003330FF">
        <w:rPr>
          <w:rFonts w:ascii="Arial" w:hAnsi="Arial" w:cs="Arial"/>
          <w:sz w:val="24"/>
          <w:szCs w:val="24"/>
        </w:rPr>
        <w:t xml:space="preserve">file </w:t>
      </w:r>
      <w:r w:rsidR="00035F2C">
        <w:rPr>
          <w:rFonts w:ascii="Arial" w:hAnsi="Arial" w:cs="Arial"/>
          <w:sz w:val="24"/>
          <w:szCs w:val="24"/>
        </w:rPr>
        <w:t>her</w:t>
      </w:r>
      <w:r w:rsidR="003330FF">
        <w:rPr>
          <w:rFonts w:ascii="Arial" w:hAnsi="Arial" w:cs="Arial"/>
          <w:sz w:val="24"/>
          <w:szCs w:val="24"/>
        </w:rPr>
        <w:t xml:space="preserve"> notice of representation</w:t>
      </w:r>
      <w:r w:rsidR="00BB0EF8">
        <w:rPr>
          <w:rFonts w:ascii="Arial" w:hAnsi="Arial" w:cs="Arial"/>
          <w:sz w:val="24"/>
          <w:szCs w:val="24"/>
        </w:rPr>
        <w:t xml:space="preserve">, which was done later that day. </w:t>
      </w:r>
    </w:p>
    <w:p w:rsidR="003330FF" w:rsidRDefault="003330FF" w:rsidP="002B3B08">
      <w:pPr>
        <w:spacing w:after="0" w:line="360" w:lineRule="auto"/>
        <w:jc w:val="both"/>
        <w:rPr>
          <w:rFonts w:ascii="Arial" w:hAnsi="Arial" w:cs="Arial"/>
          <w:sz w:val="24"/>
          <w:szCs w:val="24"/>
        </w:rPr>
      </w:pPr>
    </w:p>
    <w:p w:rsidR="00893DF2" w:rsidRDefault="003330FF" w:rsidP="002B3B08">
      <w:pPr>
        <w:spacing w:after="0" w:line="360" w:lineRule="auto"/>
        <w:jc w:val="both"/>
        <w:rPr>
          <w:rFonts w:ascii="Arial" w:hAnsi="Arial" w:cs="Arial"/>
          <w:sz w:val="24"/>
          <w:szCs w:val="24"/>
        </w:rPr>
      </w:pPr>
      <w:r>
        <w:rPr>
          <w:rFonts w:ascii="Arial" w:hAnsi="Arial" w:cs="Arial"/>
          <w:sz w:val="24"/>
          <w:szCs w:val="24"/>
        </w:rPr>
        <w:t>[</w:t>
      </w:r>
      <w:r w:rsidR="007D67F0">
        <w:rPr>
          <w:rFonts w:ascii="Arial" w:hAnsi="Arial" w:cs="Arial"/>
          <w:sz w:val="24"/>
          <w:szCs w:val="24"/>
        </w:rPr>
        <w:t>8</w:t>
      </w:r>
      <w:r>
        <w:rPr>
          <w:rFonts w:ascii="Arial" w:hAnsi="Arial" w:cs="Arial"/>
          <w:sz w:val="24"/>
          <w:szCs w:val="24"/>
        </w:rPr>
        <w:t>]</w:t>
      </w:r>
      <w:r>
        <w:rPr>
          <w:rFonts w:ascii="Arial" w:hAnsi="Arial" w:cs="Arial"/>
          <w:sz w:val="24"/>
          <w:szCs w:val="24"/>
        </w:rPr>
        <w:tab/>
        <w:t xml:space="preserve"> At this point in </w:t>
      </w:r>
      <w:r w:rsidR="00035F2C">
        <w:rPr>
          <w:rFonts w:ascii="Arial" w:hAnsi="Arial" w:cs="Arial"/>
          <w:sz w:val="24"/>
          <w:szCs w:val="24"/>
        </w:rPr>
        <w:t>the proceedings</w:t>
      </w:r>
      <w:r>
        <w:rPr>
          <w:rFonts w:ascii="Arial" w:hAnsi="Arial" w:cs="Arial"/>
          <w:sz w:val="24"/>
          <w:szCs w:val="24"/>
        </w:rPr>
        <w:t xml:space="preserve"> no notice of intention to oppose the appeal was filed</w:t>
      </w:r>
      <w:r w:rsidR="004C5838">
        <w:rPr>
          <w:rFonts w:ascii="Arial" w:hAnsi="Arial" w:cs="Arial"/>
          <w:sz w:val="24"/>
          <w:szCs w:val="24"/>
        </w:rPr>
        <w:t xml:space="preserve"> as yet</w:t>
      </w:r>
      <w:r>
        <w:rPr>
          <w:rFonts w:ascii="Arial" w:hAnsi="Arial" w:cs="Arial"/>
          <w:sz w:val="24"/>
          <w:szCs w:val="24"/>
        </w:rPr>
        <w:t xml:space="preserve">. </w:t>
      </w:r>
      <w:r w:rsidR="0089012B">
        <w:rPr>
          <w:rFonts w:ascii="Arial" w:hAnsi="Arial" w:cs="Arial"/>
          <w:sz w:val="24"/>
          <w:szCs w:val="24"/>
        </w:rPr>
        <w:t xml:space="preserve">The date for hearing of the appeal was allocated by the Registrar as if the matter is unopposed. </w:t>
      </w:r>
      <w:r w:rsidR="002B3B08">
        <w:rPr>
          <w:rFonts w:ascii="Arial" w:hAnsi="Arial" w:cs="Arial"/>
          <w:sz w:val="24"/>
          <w:szCs w:val="24"/>
        </w:rPr>
        <w:t>The s</w:t>
      </w:r>
      <w:r>
        <w:rPr>
          <w:rFonts w:ascii="Arial" w:hAnsi="Arial" w:cs="Arial"/>
          <w:sz w:val="24"/>
          <w:szCs w:val="24"/>
        </w:rPr>
        <w:t xml:space="preserve">aid notice of intention to oppose </w:t>
      </w:r>
      <w:r w:rsidR="004C28B3">
        <w:rPr>
          <w:rFonts w:ascii="Arial" w:hAnsi="Arial" w:cs="Arial"/>
          <w:sz w:val="24"/>
          <w:szCs w:val="24"/>
        </w:rPr>
        <w:t xml:space="preserve">the </w:t>
      </w:r>
      <w:r>
        <w:rPr>
          <w:rFonts w:ascii="Arial" w:hAnsi="Arial" w:cs="Arial"/>
          <w:sz w:val="24"/>
          <w:szCs w:val="24"/>
        </w:rPr>
        <w:t>appeal in terms of Rule 17(16)</w:t>
      </w:r>
      <w:r>
        <w:rPr>
          <w:rStyle w:val="FootnoteReference"/>
          <w:rFonts w:ascii="Arial" w:hAnsi="Arial" w:cs="Arial"/>
          <w:sz w:val="24"/>
          <w:szCs w:val="24"/>
        </w:rPr>
        <w:footnoteReference w:id="2"/>
      </w:r>
      <w:r w:rsidR="002427F6">
        <w:rPr>
          <w:rFonts w:ascii="Arial" w:hAnsi="Arial" w:cs="Arial"/>
          <w:sz w:val="24"/>
          <w:szCs w:val="24"/>
        </w:rPr>
        <w:t xml:space="preserve"> and ground for opposing the appeal were</w:t>
      </w:r>
      <w:r w:rsidR="00BB0EF8">
        <w:rPr>
          <w:rFonts w:ascii="Arial" w:hAnsi="Arial" w:cs="Arial"/>
          <w:sz w:val="24"/>
          <w:szCs w:val="24"/>
        </w:rPr>
        <w:t xml:space="preserve"> only filed</w:t>
      </w:r>
      <w:r w:rsidR="00035F2C">
        <w:rPr>
          <w:rFonts w:ascii="Arial" w:hAnsi="Arial" w:cs="Arial"/>
          <w:sz w:val="24"/>
          <w:szCs w:val="24"/>
        </w:rPr>
        <w:t xml:space="preserve"> with the Office of the Registrar and the legal representative for the appellants </w:t>
      </w:r>
      <w:r w:rsidR="00BB0EF8">
        <w:rPr>
          <w:rFonts w:ascii="Arial" w:hAnsi="Arial" w:cs="Arial"/>
          <w:sz w:val="24"/>
          <w:szCs w:val="24"/>
        </w:rPr>
        <w:t>on 19 April 2017</w:t>
      </w:r>
      <w:r w:rsidR="00BA3ED4">
        <w:rPr>
          <w:rFonts w:ascii="Arial" w:hAnsi="Arial" w:cs="Arial"/>
          <w:sz w:val="24"/>
          <w:szCs w:val="24"/>
        </w:rPr>
        <w:t xml:space="preserve"> at 14:45</w:t>
      </w:r>
      <w:r w:rsidR="00035F2C">
        <w:rPr>
          <w:rFonts w:ascii="Arial" w:hAnsi="Arial" w:cs="Arial"/>
          <w:sz w:val="24"/>
          <w:szCs w:val="24"/>
        </w:rPr>
        <w:t xml:space="preserve">. </w:t>
      </w:r>
    </w:p>
    <w:p w:rsidR="00411124" w:rsidRDefault="00411124" w:rsidP="002B3B08">
      <w:pPr>
        <w:spacing w:after="0" w:line="360" w:lineRule="auto"/>
        <w:jc w:val="both"/>
        <w:rPr>
          <w:rFonts w:ascii="Arial" w:hAnsi="Arial" w:cs="Arial"/>
          <w:sz w:val="24"/>
          <w:szCs w:val="24"/>
        </w:rPr>
      </w:pPr>
    </w:p>
    <w:p w:rsidR="003754E0" w:rsidRDefault="00893DF2" w:rsidP="002B3B08">
      <w:pPr>
        <w:spacing w:after="0" w:line="360" w:lineRule="auto"/>
        <w:jc w:val="both"/>
        <w:rPr>
          <w:rFonts w:ascii="Arial" w:hAnsi="Arial" w:cs="Arial"/>
          <w:sz w:val="24"/>
          <w:szCs w:val="24"/>
        </w:rPr>
      </w:pPr>
      <w:r>
        <w:rPr>
          <w:rFonts w:ascii="Arial" w:hAnsi="Arial" w:cs="Arial"/>
          <w:sz w:val="24"/>
          <w:szCs w:val="24"/>
        </w:rPr>
        <w:t>[</w:t>
      </w:r>
      <w:r w:rsidR="007D67F0">
        <w:rPr>
          <w:rFonts w:ascii="Arial" w:hAnsi="Arial" w:cs="Arial"/>
          <w:sz w:val="24"/>
          <w:szCs w:val="24"/>
        </w:rPr>
        <w:t>9</w:t>
      </w:r>
      <w:r>
        <w:rPr>
          <w:rFonts w:ascii="Arial" w:hAnsi="Arial" w:cs="Arial"/>
          <w:sz w:val="24"/>
          <w:szCs w:val="24"/>
        </w:rPr>
        <w:t xml:space="preserve">]  </w:t>
      </w:r>
      <w:r w:rsidR="00986323">
        <w:rPr>
          <w:rFonts w:ascii="Arial" w:hAnsi="Arial" w:cs="Arial"/>
          <w:sz w:val="24"/>
          <w:szCs w:val="24"/>
        </w:rPr>
        <w:tab/>
      </w:r>
      <w:r w:rsidR="003754E0">
        <w:rPr>
          <w:rFonts w:ascii="Arial" w:hAnsi="Arial" w:cs="Arial"/>
          <w:sz w:val="24"/>
          <w:szCs w:val="24"/>
        </w:rPr>
        <w:t xml:space="preserve">Rule 17(16) states the period within which </w:t>
      </w:r>
      <w:r w:rsidR="00220CFA">
        <w:rPr>
          <w:rFonts w:ascii="Arial" w:hAnsi="Arial" w:cs="Arial"/>
          <w:sz w:val="24"/>
          <w:szCs w:val="24"/>
        </w:rPr>
        <w:t xml:space="preserve">notice of appeal and </w:t>
      </w:r>
      <w:r w:rsidR="003754E0">
        <w:rPr>
          <w:rFonts w:ascii="Arial" w:hAnsi="Arial" w:cs="Arial"/>
          <w:sz w:val="24"/>
          <w:szCs w:val="24"/>
        </w:rPr>
        <w:t>the statement of grounds of opposition to an appeal should be filed. The relevant part thereof reads:</w:t>
      </w:r>
    </w:p>
    <w:p w:rsidR="006116C0" w:rsidRDefault="006116C0" w:rsidP="002B3B08">
      <w:pPr>
        <w:spacing w:after="0" w:line="360" w:lineRule="auto"/>
        <w:jc w:val="both"/>
        <w:rPr>
          <w:rFonts w:ascii="Arial" w:hAnsi="Arial" w:cs="Arial"/>
          <w:sz w:val="24"/>
          <w:szCs w:val="24"/>
        </w:rPr>
      </w:pPr>
    </w:p>
    <w:p w:rsidR="003754E0" w:rsidRPr="002B339A" w:rsidRDefault="003754E0" w:rsidP="002B3B08">
      <w:pPr>
        <w:spacing w:after="0" w:line="360" w:lineRule="auto"/>
        <w:jc w:val="both"/>
        <w:rPr>
          <w:rFonts w:ascii="Arial" w:hAnsi="Arial" w:cs="Arial"/>
        </w:rPr>
      </w:pPr>
      <w:r>
        <w:rPr>
          <w:rFonts w:ascii="Arial" w:hAnsi="Arial" w:cs="Arial"/>
          <w:sz w:val="24"/>
          <w:szCs w:val="24"/>
        </w:rPr>
        <w:tab/>
      </w:r>
      <w:r w:rsidRPr="002B339A">
        <w:rPr>
          <w:rFonts w:ascii="Arial" w:hAnsi="Arial" w:cs="Arial"/>
        </w:rPr>
        <w:t xml:space="preserve">’16 </w:t>
      </w:r>
      <w:r w:rsidR="006116C0" w:rsidRPr="002B339A">
        <w:rPr>
          <w:rFonts w:ascii="Arial" w:hAnsi="Arial" w:cs="Arial"/>
        </w:rPr>
        <w:t>should</w:t>
      </w:r>
      <w:r w:rsidRPr="002B339A">
        <w:rPr>
          <w:rFonts w:ascii="Arial" w:hAnsi="Arial" w:cs="Arial"/>
        </w:rPr>
        <w:t xml:space="preserve"> any person to whom the notice to appeal is delivered wish to oppose the appeal, he or she </w:t>
      </w:r>
      <w:r w:rsidRPr="00537168">
        <w:rPr>
          <w:rFonts w:ascii="Arial" w:hAnsi="Arial" w:cs="Arial"/>
          <w:u w:val="single"/>
        </w:rPr>
        <w:t>mus</w:t>
      </w:r>
      <w:r w:rsidRPr="002B339A">
        <w:rPr>
          <w:rFonts w:ascii="Arial" w:hAnsi="Arial" w:cs="Arial"/>
        </w:rPr>
        <w:t>t –</w:t>
      </w:r>
    </w:p>
    <w:p w:rsidR="00220CFA" w:rsidRPr="00220CFA" w:rsidRDefault="003754E0" w:rsidP="002B3B08">
      <w:pPr>
        <w:autoSpaceDE w:val="0"/>
        <w:autoSpaceDN w:val="0"/>
        <w:adjustRightInd w:val="0"/>
        <w:spacing w:after="0" w:line="360" w:lineRule="auto"/>
        <w:jc w:val="both"/>
        <w:rPr>
          <w:rFonts w:ascii="Arial" w:hAnsi="Arial" w:cs="Arial"/>
          <w:i/>
        </w:rPr>
      </w:pPr>
      <w:r w:rsidRPr="002B339A">
        <w:rPr>
          <w:rFonts w:ascii="Arial" w:hAnsi="Arial" w:cs="Arial"/>
        </w:rPr>
        <w:t>(a)</w:t>
      </w:r>
      <w:r w:rsidRPr="002B339A">
        <w:rPr>
          <w:rFonts w:ascii="Arial" w:hAnsi="Arial" w:cs="Arial"/>
        </w:rPr>
        <w:tab/>
      </w:r>
      <w:r w:rsidR="00220CFA" w:rsidRPr="00220CFA">
        <w:rPr>
          <w:rFonts w:ascii="Arial" w:hAnsi="Arial" w:cs="Arial"/>
          <w:i/>
        </w:rPr>
        <w:t>within 10 days after receipt by him or her of the notice of appeal or any amendment thereof, deliver notice to the appellant that he or she intends so to oppose the appeal on Form 12, and must in such notice appoint an address within eight kilometres of the office of the registrar at which he or she will accept notice and service of all process in the proceedings; and</w:t>
      </w:r>
    </w:p>
    <w:p w:rsidR="003754E0" w:rsidRDefault="003754E0" w:rsidP="002B3B08">
      <w:pPr>
        <w:spacing w:after="0" w:line="360" w:lineRule="auto"/>
        <w:jc w:val="both"/>
        <w:rPr>
          <w:rFonts w:ascii="Arial" w:hAnsi="Arial" w:cs="Arial"/>
          <w:i/>
        </w:rPr>
      </w:pPr>
      <w:r w:rsidRPr="002B339A">
        <w:rPr>
          <w:rFonts w:ascii="Arial" w:hAnsi="Arial" w:cs="Arial"/>
        </w:rPr>
        <w:t>(b)</w:t>
      </w:r>
      <w:r w:rsidRPr="002B339A">
        <w:rPr>
          <w:rFonts w:ascii="Arial" w:hAnsi="Arial" w:cs="Arial"/>
        </w:rPr>
        <w:tab/>
      </w:r>
      <w:r w:rsidRPr="002B339A">
        <w:rPr>
          <w:rFonts w:ascii="Arial" w:hAnsi="Arial" w:cs="Arial"/>
          <w:i/>
        </w:rPr>
        <w:t>within 21 days after receipt by him or her of a copy of the record of the proceedings appealed against, or where no such record is called for in the notice of appeal, within 14 days after delivery by him or her of the notice of oppose, deliver a statement stating the grounds on which he or she opposes the appeal together with any relevant documents</w:t>
      </w:r>
      <w:r>
        <w:rPr>
          <w:rFonts w:ascii="Arial" w:hAnsi="Arial" w:cs="Arial"/>
          <w:i/>
        </w:rPr>
        <w:t xml:space="preserve">.’ </w:t>
      </w:r>
    </w:p>
    <w:p w:rsidR="003754E0" w:rsidRDefault="003754E0" w:rsidP="002B3B08">
      <w:pPr>
        <w:spacing w:after="0" w:line="360" w:lineRule="auto"/>
        <w:jc w:val="both"/>
        <w:rPr>
          <w:rFonts w:ascii="Arial" w:hAnsi="Arial" w:cs="Arial"/>
          <w:sz w:val="24"/>
          <w:szCs w:val="24"/>
        </w:rPr>
      </w:pPr>
    </w:p>
    <w:p w:rsidR="006116C0" w:rsidRDefault="00411124" w:rsidP="002B3B08">
      <w:pPr>
        <w:spacing w:after="0" w:line="360" w:lineRule="auto"/>
        <w:jc w:val="both"/>
        <w:rPr>
          <w:rFonts w:ascii="Arial" w:hAnsi="Arial" w:cs="Arial"/>
          <w:sz w:val="24"/>
          <w:szCs w:val="24"/>
        </w:rPr>
      </w:pPr>
      <w:r>
        <w:rPr>
          <w:rFonts w:ascii="Arial" w:hAnsi="Arial" w:cs="Arial"/>
          <w:sz w:val="24"/>
          <w:szCs w:val="24"/>
        </w:rPr>
        <w:t>[</w:t>
      </w:r>
      <w:r w:rsidR="007D67F0">
        <w:rPr>
          <w:rFonts w:ascii="Arial" w:hAnsi="Arial" w:cs="Arial"/>
          <w:sz w:val="24"/>
          <w:szCs w:val="24"/>
        </w:rPr>
        <w:t>10</w:t>
      </w:r>
      <w:r>
        <w:rPr>
          <w:rFonts w:ascii="Arial" w:hAnsi="Arial" w:cs="Arial"/>
          <w:sz w:val="24"/>
          <w:szCs w:val="24"/>
        </w:rPr>
        <w:t>]</w:t>
      </w:r>
      <w:r>
        <w:rPr>
          <w:rFonts w:ascii="Arial" w:hAnsi="Arial" w:cs="Arial"/>
          <w:sz w:val="24"/>
          <w:szCs w:val="24"/>
        </w:rPr>
        <w:tab/>
      </w:r>
      <w:r w:rsidR="00881ED4">
        <w:rPr>
          <w:rFonts w:ascii="Arial" w:hAnsi="Arial" w:cs="Arial"/>
          <w:sz w:val="24"/>
          <w:szCs w:val="24"/>
        </w:rPr>
        <w:t xml:space="preserve">A failure to comply with the peremptory provisions of rule 17(16) </w:t>
      </w:r>
      <w:r w:rsidR="00881ED4" w:rsidRPr="00FF215A">
        <w:rPr>
          <w:rFonts w:ascii="Arial" w:hAnsi="Arial" w:cs="Arial"/>
          <w:i/>
          <w:sz w:val="24"/>
          <w:szCs w:val="24"/>
        </w:rPr>
        <w:t>(a)</w:t>
      </w:r>
      <w:r w:rsidR="00881ED4" w:rsidRPr="00FF215A">
        <w:rPr>
          <w:rFonts w:ascii="Arial" w:hAnsi="Arial" w:cs="Arial"/>
          <w:sz w:val="24"/>
          <w:szCs w:val="24"/>
        </w:rPr>
        <w:t>-</w:t>
      </w:r>
      <w:r w:rsidR="00881ED4" w:rsidRPr="00FF215A">
        <w:rPr>
          <w:rFonts w:ascii="Arial" w:hAnsi="Arial" w:cs="Arial"/>
          <w:i/>
          <w:sz w:val="24"/>
          <w:szCs w:val="24"/>
        </w:rPr>
        <w:t>(b)</w:t>
      </w:r>
      <w:r w:rsidR="00881ED4">
        <w:rPr>
          <w:rFonts w:ascii="Arial" w:hAnsi="Arial" w:cs="Arial"/>
          <w:sz w:val="24"/>
          <w:szCs w:val="24"/>
        </w:rPr>
        <w:t xml:space="preserve"> is fatal and has the effect of excluding the non-compliant party f</w:t>
      </w:r>
      <w:r w:rsidR="000D67DD">
        <w:rPr>
          <w:rFonts w:ascii="Arial" w:hAnsi="Arial" w:cs="Arial"/>
          <w:sz w:val="24"/>
          <w:szCs w:val="24"/>
        </w:rPr>
        <w:t>ro</w:t>
      </w:r>
      <w:r w:rsidR="00881ED4">
        <w:rPr>
          <w:rFonts w:ascii="Arial" w:hAnsi="Arial" w:cs="Arial"/>
          <w:sz w:val="24"/>
          <w:szCs w:val="24"/>
        </w:rPr>
        <w:t>m participating in the proceedings</w:t>
      </w:r>
      <w:r w:rsidR="00881ED4">
        <w:rPr>
          <w:rStyle w:val="FootnoteReference"/>
          <w:rFonts w:ascii="Arial" w:hAnsi="Arial" w:cs="Arial"/>
          <w:sz w:val="24"/>
          <w:szCs w:val="24"/>
        </w:rPr>
        <w:footnoteReference w:id="3"/>
      </w:r>
      <w:r w:rsidR="00881ED4">
        <w:rPr>
          <w:rFonts w:ascii="Arial" w:hAnsi="Arial" w:cs="Arial"/>
          <w:sz w:val="24"/>
          <w:szCs w:val="24"/>
        </w:rPr>
        <w:t>.</w:t>
      </w:r>
    </w:p>
    <w:p w:rsidR="00881ED4" w:rsidRDefault="00881ED4" w:rsidP="002B3B08">
      <w:pPr>
        <w:spacing w:after="0" w:line="360" w:lineRule="auto"/>
        <w:jc w:val="both"/>
        <w:rPr>
          <w:rFonts w:ascii="Arial" w:hAnsi="Arial" w:cs="Arial"/>
          <w:sz w:val="24"/>
          <w:szCs w:val="24"/>
        </w:rPr>
      </w:pPr>
    </w:p>
    <w:p w:rsidR="00881ED4" w:rsidRDefault="00881ED4" w:rsidP="002B3B08">
      <w:pPr>
        <w:spacing w:after="0" w:line="360" w:lineRule="auto"/>
        <w:jc w:val="both"/>
        <w:rPr>
          <w:rFonts w:ascii="Arial" w:hAnsi="Arial" w:cs="Arial"/>
          <w:sz w:val="24"/>
          <w:szCs w:val="24"/>
        </w:rPr>
      </w:pPr>
      <w:r>
        <w:rPr>
          <w:rFonts w:ascii="Arial" w:hAnsi="Arial" w:cs="Arial"/>
          <w:sz w:val="24"/>
          <w:szCs w:val="24"/>
        </w:rPr>
        <w:t xml:space="preserve">[11]   </w:t>
      </w:r>
      <w:r>
        <w:rPr>
          <w:rFonts w:ascii="Arial" w:hAnsi="Arial" w:cs="Arial"/>
          <w:sz w:val="24"/>
          <w:szCs w:val="24"/>
        </w:rPr>
        <w:tab/>
      </w:r>
      <w:r w:rsidRPr="00CE450A">
        <w:rPr>
          <w:rFonts w:ascii="Arial" w:hAnsi="Arial" w:cs="Arial"/>
          <w:sz w:val="24"/>
          <w:szCs w:val="24"/>
        </w:rPr>
        <w:t xml:space="preserve">Parker, AJ in the matter of </w:t>
      </w:r>
      <w:r w:rsidRPr="00CE450A">
        <w:rPr>
          <w:rFonts w:ascii="Arial" w:hAnsi="Arial" w:cs="Arial"/>
          <w:i/>
          <w:sz w:val="24"/>
          <w:szCs w:val="24"/>
        </w:rPr>
        <w:t xml:space="preserve">Benz Building Suppliers v Stephanus and </w:t>
      </w:r>
      <w:r>
        <w:rPr>
          <w:rFonts w:ascii="Arial" w:hAnsi="Arial" w:cs="Arial"/>
          <w:i/>
          <w:sz w:val="24"/>
          <w:szCs w:val="24"/>
        </w:rPr>
        <w:t>Ot</w:t>
      </w:r>
      <w:r w:rsidRPr="00CE450A">
        <w:rPr>
          <w:rFonts w:ascii="Arial" w:hAnsi="Arial" w:cs="Arial"/>
          <w:i/>
          <w:sz w:val="24"/>
          <w:szCs w:val="24"/>
        </w:rPr>
        <w:t>hers</w:t>
      </w:r>
      <w:r w:rsidR="003E7450">
        <w:rPr>
          <w:rStyle w:val="FootnoteReference"/>
          <w:rFonts w:ascii="Arial" w:hAnsi="Arial" w:cs="Arial"/>
          <w:i/>
          <w:sz w:val="24"/>
          <w:szCs w:val="24"/>
        </w:rPr>
        <w:footnoteReference w:id="4"/>
      </w:r>
      <w:r w:rsidRPr="00CE450A">
        <w:rPr>
          <w:rFonts w:ascii="Arial" w:hAnsi="Arial" w:cs="Arial"/>
          <w:sz w:val="24"/>
          <w:szCs w:val="24"/>
        </w:rPr>
        <w:t>when dealing with the issue of a failure by a respondent in an appeal, to deliver a statement envisaged in Rule 17(16)(b)</w:t>
      </w:r>
      <w:r>
        <w:rPr>
          <w:rFonts w:ascii="Arial" w:hAnsi="Arial" w:cs="Arial"/>
          <w:sz w:val="24"/>
          <w:szCs w:val="24"/>
        </w:rPr>
        <w:t xml:space="preserve"> stated</w:t>
      </w:r>
      <w:r w:rsidRPr="00CE450A">
        <w:rPr>
          <w:rFonts w:ascii="Arial" w:hAnsi="Arial" w:cs="Arial"/>
          <w:sz w:val="24"/>
          <w:szCs w:val="24"/>
        </w:rPr>
        <w:t>:</w:t>
      </w:r>
    </w:p>
    <w:p w:rsidR="00881ED4" w:rsidRPr="00CE450A" w:rsidRDefault="00881ED4" w:rsidP="002B3B08">
      <w:pPr>
        <w:spacing w:after="0" w:line="360" w:lineRule="auto"/>
        <w:jc w:val="both"/>
        <w:rPr>
          <w:rFonts w:ascii="Arial" w:hAnsi="Arial" w:cs="Arial"/>
          <w:sz w:val="24"/>
          <w:szCs w:val="24"/>
        </w:rPr>
      </w:pPr>
    </w:p>
    <w:p w:rsidR="00881ED4" w:rsidRDefault="00881ED4" w:rsidP="002B3B08">
      <w:pPr>
        <w:spacing w:after="0" w:line="360" w:lineRule="auto"/>
        <w:ind w:firstLine="720"/>
        <w:jc w:val="both"/>
        <w:rPr>
          <w:rFonts w:ascii="Arial" w:hAnsi="Arial" w:cs="Arial"/>
          <w:i/>
        </w:rPr>
      </w:pPr>
      <w:r w:rsidRPr="006116C0">
        <w:rPr>
          <w:rFonts w:ascii="Arial" w:hAnsi="Arial" w:cs="Arial"/>
          <w:i/>
        </w:rPr>
        <w:t>“(13) it must be remembered that this is an appeal and this Court qua appeal should proceed in determination of the appeal on the basis of (a) the record of the arbitral proceedings; (b) the appellants’ grounds of appeal and(c) the respondents’ ground for opposing the appeal.  In this regard, as regards the first respondent, it must be remembered that such grounds as are required by Rule 17(16)(b) of the Rules of the Labour Court must be grounds that inform the arbitrator, the appellant and this Court of the grounds on which the arbitration award is attacked by the appellant and which the first respondent supports.”</w:t>
      </w:r>
    </w:p>
    <w:p w:rsidR="002427F6" w:rsidRDefault="002427F6" w:rsidP="002B3B08">
      <w:pPr>
        <w:pStyle w:val="Default"/>
        <w:spacing w:line="360" w:lineRule="auto"/>
        <w:jc w:val="both"/>
      </w:pPr>
    </w:p>
    <w:p w:rsidR="000D67DD" w:rsidRPr="00EF3370" w:rsidRDefault="003E7450" w:rsidP="002B3B08">
      <w:pPr>
        <w:pStyle w:val="Default"/>
        <w:spacing w:line="360" w:lineRule="auto"/>
        <w:jc w:val="both"/>
        <w:rPr>
          <w:sz w:val="23"/>
          <w:szCs w:val="23"/>
        </w:rPr>
      </w:pPr>
      <w:r>
        <w:t>[12]</w:t>
      </w:r>
      <w:r>
        <w:tab/>
      </w:r>
      <w:r w:rsidR="000D67DD">
        <w:t>To cure the non-compliance</w:t>
      </w:r>
      <w:r w:rsidR="002B3B08">
        <w:t>,</w:t>
      </w:r>
      <w:r w:rsidR="000D67DD">
        <w:t xml:space="preserve"> the first </w:t>
      </w:r>
      <w:r w:rsidR="007003B5">
        <w:t>respondent</w:t>
      </w:r>
      <w:r w:rsidR="000D67DD">
        <w:t xml:space="preserve"> had the remedy as proposed by Rule </w:t>
      </w:r>
      <w:r>
        <w:t>15</w:t>
      </w:r>
      <w:r w:rsidR="000D67DD" w:rsidRPr="000D67DD">
        <w:rPr>
          <w:bCs/>
        </w:rPr>
        <w:t>whichdeals wi</w:t>
      </w:r>
      <w:r w:rsidR="000D67DD">
        <w:rPr>
          <w:bCs/>
        </w:rPr>
        <w:t xml:space="preserve">th non-compliance as follows: </w:t>
      </w:r>
    </w:p>
    <w:p w:rsidR="006116C0" w:rsidRDefault="006116C0" w:rsidP="002B3B08">
      <w:pPr>
        <w:pStyle w:val="Default"/>
        <w:spacing w:line="360" w:lineRule="auto"/>
        <w:ind w:firstLine="720"/>
        <w:jc w:val="both"/>
        <w:rPr>
          <w:sz w:val="22"/>
          <w:szCs w:val="22"/>
        </w:rPr>
      </w:pPr>
    </w:p>
    <w:p w:rsidR="003E7450" w:rsidRPr="000D67DD" w:rsidRDefault="000D67DD" w:rsidP="002B3B08">
      <w:pPr>
        <w:pStyle w:val="Default"/>
        <w:spacing w:line="360" w:lineRule="auto"/>
        <w:ind w:firstLine="720"/>
        <w:jc w:val="both"/>
        <w:rPr>
          <w:i/>
          <w:sz w:val="22"/>
          <w:szCs w:val="22"/>
        </w:rPr>
      </w:pPr>
      <w:r>
        <w:rPr>
          <w:sz w:val="22"/>
          <w:szCs w:val="22"/>
        </w:rPr>
        <w:t>‘</w:t>
      </w:r>
      <w:r w:rsidR="003E7450" w:rsidRPr="000D67DD">
        <w:rPr>
          <w:i/>
          <w:sz w:val="22"/>
          <w:szCs w:val="22"/>
        </w:rPr>
        <w:t xml:space="preserve">The court may, on application and on good cause shown, at any time- </w:t>
      </w:r>
    </w:p>
    <w:p w:rsidR="003E7450" w:rsidRPr="000D67DD" w:rsidRDefault="003E7450" w:rsidP="002B3B08">
      <w:pPr>
        <w:pStyle w:val="Default"/>
        <w:spacing w:line="360" w:lineRule="auto"/>
        <w:ind w:firstLine="720"/>
        <w:jc w:val="both"/>
        <w:rPr>
          <w:i/>
          <w:sz w:val="22"/>
          <w:szCs w:val="22"/>
        </w:rPr>
      </w:pPr>
      <w:r w:rsidRPr="000D67DD">
        <w:rPr>
          <w:i/>
          <w:sz w:val="22"/>
          <w:szCs w:val="22"/>
        </w:rPr>
        <w:t xml:space="preserve">(a) condone any non-compliance with these Rules; </w:t>
      </w:r>
    </w:p>
    <w:p w:rsidR="003E7450" w:rsidRPr="00EF3370" w:rsidRDefault="003E7450" w:rsidP="002B3B08">
      <w:pPr>
        <w:pStyle w:val="Default"/>
        <w:spacing w:line="360" w:lineRule="auto"/>
        <w:ind w:left="720"/>
        <w:jc w:val="both"/>
        <w:rPr>
          <w:sz w:val="22"/>
          <w:szCs w:val="22"/>
        </w:rPr>
      </w:pPr>
      <w:r w:rsidRPr="000D67DD">
        <w:rPr>
          <w:i/>
          <w:sz w:val="22"/>
          <w:szCs w:val="22"/>
        </w:rPr>
        <w:t>(b) extend or abridge any period prescribed by these Rules, whether before or after the expiry of such period</w:t>
      </w:r>
      <w:r w:rsidRPr="000D67DD">
        <w:rPr>
          <w:sz w:val="22"/>
          <w:szCs w:val="22"/>
        </w:rPr>
        <w:t>.</w:t>
      </w:r>
      <w:r w:rsidR="000D67DD">
        <w:rPr>
          <w:sz w:val="22"/>
          <w:szCs w:val="22"/>
        </w:rPr>
        <w:t>’</w:t>
      </w:r>
    </w:p>
    <w:p w:rsidR="006116C0" w:rsidRDefault="006116C0" w:rsidP="002B3B08">
      <w:pPr>
        <w:spacing w:after="0" w:line="360" w:lineRule="auto"/>
        <w:jc w:val="both"/>
        <w:rPr>
          <w:rFonts w:ascii="Arial" w:hAnsi="Arial" w:cs="Arial"/>
          <w:sz w:val="24"/>
          <w:szCs w:val="24"/>
        </w:rPr>
      </w:pPr>
    </w:p>
    <w:p w:rsidR="00411124" w:rsidRDefault="000D67DD" w:rsidP="002B3B08">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411124">
        <w:rPr>
          <w:rFonts w:ascii="Arial" w:hAnsi="Arial" w:cs="Arial"/>
          <w:sz w:val="24"/>
          <w:szCs w:val="24"/>
        </w:rPr>
        <w:t xml:space="preserve">As there was a glaring non-compliance by the first respondent with the aforementioned rule an application for condonation </w:t>
      </w:r>
      <w:r w:rsidR="006116C0">
        <w:rPr>
          <w:rFonts w:ascii="Arial" w:hAnsi="Arial" w:cs="Arial"/>
          <w:sz w:val="24"/>
          <w:szCs w:val="24"/>
        </w:rPr>
        <w:t>logically had to follow. Ms</w:t>
      </w:r>
      <w:r w:rsidR="001A4EFE">
        <w:rPr>
          <w:rFonts w:ascii="Arial" w:hAnsi="Arial" w:cs="Arial"/>
          <w:sz w:val="24"/>
          <w:szCs w:val="24"/>
        </w:rPr>
        <w:t xml:space="preserve"> Losper found herself in the unenviable position to bring the said application and to explain the non-compliance in spite of the fact that the said non-compliance occurred whilst the first respondent was represented by another legal firm. </w:t>
      </w:r>
    </w:p>
    <w:p w:rsidR="004C5838" w:rsidRDefault="004C5838" w:rsidP="002B3B08">
      <w:pPr>
        <w:spacing w:after="0" w:line="360" w:lineRule="auto"/>
        <w:jc w:val="both"/>
        <w:rPr>
          <w:rFonts w:ascii="Arial" w:hAnsi="Arial" w:cs="Arial"/>
          <w:sz w:val="24"/>
          <w:szCs w:val="24"/>
        </w:rPr>
      </w:pPr>
    </w:p>
    <w:p w:rsidR="00411124" w:rsidRDefault="004C5838" w:rsidP="002B3B08">
      <w:pPr>
        <w:spacing w:after="0" w:line="360" w:lineRule="auto"/>
        <w:jc w:val="both"/>
        <w:rPr>
          <w:rFonts w:ascii="Arial" w:hAnsi="Arial" w:cs="Arial"/>
          <w:sz w:val="24"/>
          <w:szCs w:val="24"/>
        </w:rPr>
      </w:pPr>
      <w:r>
        <w:rPr>
          <w:rFonts w:ascii="Arial" w:hAnsi="Arial" w:cs="Arial"/>
          <w:sz w:val="24"/>
          <w:szCs w:val="24"/>
        </w:rPr>
        <w:t>[1</w:t>
      </w:r>
      <w:r w:rsidR="000D67DD">
        <w:rPr>
          <w:rFonts w:ascii="Arial" w:hAnsi="Arial" w:cs="Arial"/>
          <w:sz w:val="24"/>
          <w:szCs w:val="24"/>
        </w:rPr>
        <w:t>4</w:t>
      </w:r>
      <w:r>
        <w:rPr>
          <w:rFonts w:ascii="Arial" w:hAnsi="Arial" w:cs="Arial"/>
          <w:sz w:val="24"/>
          <w:szCs w:val="24"/>
        </w:rPr>
        <w:t>]</w:t>
      </w:r>
      <w:r>
        <w:rPr>
          <w:rFonts w:ascii="Arial" w:hAnsi="Arial" w:cs="Arial"/>
          <w:sz w:val="24"/>
          <w:szCs w:val="24"/>
        </w:rPr>
        <w:tab/>
      </w:r>
      <w:r w:rsidR="00411124">
        <w:rPr>
          <w:rFonts w:ascii="Arial" w:hAnsi="Arial" w:cs="Arial"/>
          <w:sz w:val="24"/>
          <w:szCs w:val="24"/>
        </w:rPr>
        <w:t>On 20 April 2017 at 14:30 an affidavit for condona</w:t>
      </w:r>
      <w:r w:rsidR="006116C0">
        <w:rPr>
          <w:rFonts w:ascii="Arial" w:hAnsi="Arial" w:cs="Arial"/>
          <w:sz w:val="24"/>
          <w:szCs w:val="24"/>
        </w:rPr>
        <w:t>tion application was filed by Ms</w:t>
      </w:r>
      <w:r w:rsidR="00411124">
        <w:rPr>
          <w:rFonts w:ascii="Arial" w:hAnsi="Arial" w:cs="Arial"/>
          <w:sz w:val="24"/>
          <w:szCs w:val="24"/>
        </w:rPr>
        <w:t>Losper</w:t>
      </w:r>
      <w:r w:rsidR="00EB3AC4">
        <w:rPr>
          <w:rFonts w:ascii="Arial" w:hAnsi="Arial" w:cs="Arial"/>
          <w:sz w:val="24"/>
          <w:szCs w:val="24"/>
        </w:rPr>
        <w:t xml:space="preserve">, bearing in mind that </w:t>
      </w:r>
      <w:r w:rsidR="00411124">
        <w:rPr>
          <w:rFonts w:ascii="Arial" w:hAnsi="Arial" w:cs="Arial"/>
          <w:sz w:val="24"/>
          <w:szCs w:val="24"/>
        </w:rPr>
        <w:t xml:space="preserve">the appeal </w:t>
      </w:r>
      <w:r w:rsidR="007003B5">
        <w:rPr>
          <w:rFonts w:ascii="Arial" w:hAnsi="Arial" w:cs="Arial"/>
          <w:sz w:val="24"/>
          <w:szCs w:val="24"/>
        </w:rPr>
        <w:t xml:space="preserve">hearing </w:t>
      </w:r>
      <w:r w:rsidR="00411124">
        <w:rPr>
          <w:rFonts w:ascii="Arial" w:hAnsi="Arial" w:cs="Arial"/>
          <w:sz w:val="24"/>
          <w:szCs w:val="24"/>
        </w:rPr>
        <w:t xml:space="preserve">was scheduled for 09:00 on 21 April 2017.  This document was not filed on the offices of appellant’s </w:t>
      </w:r>
      <w:r w:rsidR="006116C0">
        <w:rPr>
          <w:rFonts w:ascii="Arial" w:hAnsi="Arial" w:cs="Arial"/>
          <w:sz w:val="24"/>
          <w:szCs w:val="24"/>
        </w:rPr>
        <w:t>legal representative and thus Ms</w:t>
      </w:r>
      <w:r w:rsidR="009E574B">
        <w:rPr>
          <w:rFonts w:ascii="Arial" w:hAnsi="Arial" w:cs="Arial"/>
          <w:sz w:val="24"/>
          <w:szCs w:val="24"/>
        </w:rPr>
        <w:t xml:space="preserve"> </w:t>
      </w:r>
      <w:r w:rsidR="00411124">
        <w:rPr>
          <w:rFonts w:ascii="Arial" w:hAnsi="Arial" w:cs="Arial"/>
          <w:sz w:val="24"/>
          <w:szCs w:val="24"/>
        </w:rPr>
        <w:t xml:space="preserve">Nambinga did not get the opportunity to </w:t>
      </w:r>
      <w:r w:rsidR="00843536">
        <w:rPr>
          <w:rFonts w:ascii="Arial" w:hAnsi="Arial" w:cs="Arial"/>
          <w:sz w:val="24"/>
          <w:szCs w:val="24"/>
        </w:rPr>
        <w:t>consider the contents thereof</w:t>
      </w:r>
      <w:r>
        <w:rPr>
          <w:rFonts w:ascii="Arial" w:hAnsi="Arial" w:cs="Arial"/>
          <w:sz w:val="24"/>
          <w:szCs w:val="24"/>
        </w:rPr>
        <w:t xml:space="preserve"> or file an answering affidavit</w:t>
      </w:r>
      <w:r w:rsidR="00EB3AC4">
        <w:rPr>
          <w:rFonts w:ascii="Arial" w:hAnsi="Arial" w:cs="Arial"/>
          <w:sz w:val="24"/>
          <w:szCs w:val="24"/>
        </w:rPr>
        <w:t xml:space="preserve">. </w:t>
      </w:r>
    </w:p>
    <w:p w:rsidR="006116C0" w:rsidRDefault="006116C0" w:rsidP="002B3B08">
      <w:pPr>
        <w:spacing w:after="0" w:line="360" w:lineRule="auto"/>
        <w:jc w:val="both"/>
        <w:rPr>
          <w:rFonts w:ascii="Arial" w:hAnsi="Arial" w:cs="Arial"/>
          <w:sz w:val="24"/>
          <w:szCs w:val="24"/>
        </w:rPr>
      </w:pPr>
    </w:p>
    <w:p w:rsidR="00893DF2" w:rsidRPr="00CE450A" w:rsidRDefault="00EF67BF" w:rsidP="002B3B08">
      <w:pPr>
        <w:spacing w:after="0" w:line="360" w:lineRule="auto"/>
        <w:jc w:val="both"/>
        <w:rPr>
          <w:rFonts w:ascii="Arial" w:hAnsi="Arial" w:cs="Arial"/>
          <w:sz w:val="24"/>
          <w:szCs w:val="24"/>
        </w:rPr>
      </w:pPr>
      <w:r>
        <w:rPr>
          <w:rFonts w:ascii="Arial" w:hAnsi="Arial" w:cs="Arial"/>
          <w:sz w:val="24"/>
          <w:szCs w:val="24"/>
        </w:rPr>
        <w:t>[</w:t>
      </w:r>
      <w:r w:rsidR="007D67F0">
        <w:rPr>
          <w:rFonts w:ascii="Arial" w:hAnsi="Arial" w:cs="Arial"/>
          <w:sz w:val="24"/>
          <w:szCs w:val="24"/>
        </w:rPr>
        <w:t>1</w:t>
      </w:r>
      <w:r w:rsidR="000D67DD">
        <w:rPr>
          <w:rFonts w:ascii="Arial" w:hAnsi="Arial" w:cs="Arial"/>
          <w:sz w:val="24"/>
          <w:szCs w:val="24"/>
        </w:rPr>
        <w:t>5</w:t>
      </w:r>
      <w:r>
        <w:rPr>
          <w:rFonts w:ascii="Arial" w:hAnsi="Arial" w:cs="Arial"/>
          <w:sz w:val="24"/>
          <w:szCs w:val="24"/>
        </w:rPr>
        <w:t>]</w:t>
      </w:r>
      <w:r>
        <w:rPr>
          <w:rFonts w:ascii="Arial" w:hAnsi="Arial" w:cs="Arial"/>
          <w:sz w:val="24"/>
          <w:szCs w:val="24"/>
        </w:rPr>
        <w:tab/>
      </w:r>
      <w:r w:rsidR="00893DF2">
        <w:rPr>
          <w:rFonts w:ascii="Arial" w:hAnsi="Arial" w:cs="Arial"/>
          <w:sz w:val="24"/>
          <w:szCs w:val="24"/>
        </w:rPr>
        <w:t>A</w:t>
      </w:r>
      <w:r w:rsidR="00893DF2" w:rsidRPr="00CE450A">
        <w:rPr>
          <w:rFonts w:ascii="Arial" w:hAnsi="Arial" w:cs="Arial"/>
          <w:sz w:val="24"/>
          <w:szCs w:val="24"/>
        </w:rPr>
        <w:t xml:space="preserve">fter hearing </w:t>
      </w:r>
      <w:r w:rsidR="00986323">
        <w:rPr>
          <w:rFonts w:ascii="Arial" w:hAnsi="Arial" w:cs="Arial"/>
          <w:sz w:val="24"/>
          <w:szCs w:val="24"/>
        </w:rPr>
        <w:t xml:space="preserve">brief </w:t>
      </w:r>
      <w:r w:rsidR="00893DF2" w:rsidRPr="00CE450A">
        <w:rPr>
          <w:rFonts w:ascii="Arial" w:hAnsi="Arial" w:cs="Arial"/>
          <w:sz w:val="24"/>
          <w:szCs w:val="24"/>
        </w:rPr>
        <w:t xml:space="preserve">arguments from Ms </w:t>
      </w:r>
      <w:r w:rsidR="00893DF2">
        <w:rPr>
          <w:rFonts w:ascii="Arial" w:hAnsi="Arial" w:cs="Arial"/>
          <w:sz w:val="24"/>
          <w:szCs w:val="24"/>
        </w:rPr>
        <w:t>Nambinga</w:t>
      </w:r>
      <w:r w:rsidR="00893DF2" w:rsidRPr="00CE450A">
        <w:rPr>
          <w:rFonts w:ascii="Arial" w:hAnsi="Arial" w:cs="Arial"/>
          <w:sz w:val="24"/>
          <w:szCs w:val="24"/>
        </w:rPr>
        <w:t xml:space="preserve"> and </w:t>
      </w:r>
      <w:r w:rsidR="006116C0">
        <w:rPr>
          <w:rFonts w:ascii="Arial" w:hAnsi="Arial" w:cs="Arial"/>
          <w:sz w:val="24"/>
          <w:szCs w:val="24"/>
        </w:rPr>
        <w:t>Ms</w:t>
      </w:r>
      <w:r w:rsidR="00893DF2">
        <w:rPr>
          <w:rFonts w:ascii="Arial" w:hAnsi="Arial" w:cs="Arial"/>
          <w:sz w:val="24"/>
          <w:szCs w:val="24"/>
        </w:rPr>
        <w:t xml:space="preserve"> Losper </w:t>
      </w:r>
      <w:r w:rsidR="007003B5">
        <w:rPr>
          <w:rFonts w:ascii="Arial" w:hAnsi="Arial" w:cs="Arial"/>
          <w:sz w:val="24"/>
          <w:szCs w:val="24"/>
        </w:rPr>
        <w:t>on this issue</w:t>
      </w:r>
      <w:r w:rsidR="002B3B08">
        <w:rPr>
          <w:rFonts w:ascii="Arial" w:hAnsi="Arial" w:cs="Arial"/>
          <w:sz w:val="24"/>
          <w:szCs w:val="24"/>
        </w:rPr>
        <w:t>,</w:t>
      </w:r>
      <w:r w:rsidR="007003B5">
        <w:rPr>
          <w:rFonts w:ascii="Arial" w:hAnsi="Arial" w:cs="Arial"/>
          <w:sz w:val="24"/>
          <w:szCs w:val="24"/>
        </w:rPr>
        <w:t xml:space="preserve"> I </w:t>
      </w:r>
      <w:r w:rsidR="00893DF2">
        <w:rPr>
          <w:rFonts w:ascii="Arial" w:hAnsi="Arial" w:cs="Arial"/>
          <w:sz w:val="24"/>
          <w:szCs w:val="24"/>
        </w:rPr>
        <w:t>brought</w:t>
      </w:r>
      <w:r w:rsidR="007003B5">
        <w:rPr>
          <w:rFonts w:ascii="Arial" w:hAnsi="Arial" w:cs="Arial"/>
          <w:sz w:val="24"/>
          <w:szCs w:val="24"/>
        </w:rPr>
        <w:t xml:space="preserve"> it</w:t>
      </w:r>
      <w:r w:rsidR="00893DF2">
        <w:rPr>
          <w:rFonts w:ascii="Arial" w:hAnsi="Arial" w:cs="Arial"/>
          <w:sz w:val="24"/>
          <w:szCs w:val="24"/>
        </w:rPr>
        <w:t xml:space="preserve"> to the attention of </w:t>
      </w:r>
      <w:r w:rsidR="006116C0">
        <w:rPr>
          <w:rFonts w:ascii="Arial" w:hAnsi="Arial" w:cs="Arial"/>
          <w:sz w:val="24"/>
          <w:szCs w:val="24"/>
        </w:rPr>
        <w:t>Ms</w:t>
      </w:r>
      <w:r w:rsidR="004C5838">
        <w:rPr>
          <w:rFonts w:ascii="Arial" w:hAnsi="Arial" w:cs="Arial"/>
          <w:sz w:val="24"/>
          <w:szCs w:val="24"/>
        </w:rPr>
        <w:t>Losper</w:t>
      </w:r>
      <w:r w:rsidR="00893DF2">
        <w:rPr>
          <w:rFonts w:ascii="Arial" w:hAnsi="Arial" w:cs="Arial"/>
          <w:sz w:val="24"/>
          <w:szCs w:val="24"/>
        </w:rPr>
        <w:t xml:space="preserve"> that there was n</w:t>
      </w:r>
      <w:r w:rsidR="00893DF2" w:rsidRPr="00CE450A">
        <w:rPr>
          <w:rFonts w:ascii="Arial" w:hAnsi="Arial" w:cs="Arial"/>
          <w:sz w:val="24"/>
          <w:szCs w:val="24"/>
        </w:rPr>
        <w:t>o application for condonation</w:t>
      </w:r>
      <w:r w:rsidR="00986323">
        <w:rPr>
          <w:rFonts w:ascii="Arial" w:hAnsi="Arial" w:cs="Arial"/>
          <w:sz w:val="24"/>
          <w:szCs w:val="24"/>
        </w:rPr>
        <w:t xml:space="preserve">in terms of Rule 15(a) before </w:t>
      </w:r>
      <w:r w:rsidR="007003B5">
        <w:rPr>
          <w:rFonts w:ascii="Arial" w:hAnsi="Arial" w:cs="Arial"/>
          <w:sz w:val="24"/>
          <w:szCs w:val="24"/>
        </w:rPr>
        <w:t>me</w:t>
      </w:r>
      <w:r w:rsidR="00986323">
        <w:rPr>
          <w:rFonts w:ascii="Arial" w:hAnsi="Arial" w:cs="Arial"/>
          <w:sz w:val="24"/>
          <w:szCs w:val="24"/>
        </w:rPr>
        <w:t xml:space="preserve"> regarding the late filing of the </w:t>
      </w:r>
      <w:r w:rsidR="00893DF2">
        <w:rPr>
          <w:rFonts w:ascii="Arial" w:hAnsi="Arial" w:cs="Arial"/>
          <w:sz w:val="24"/>
          <w:szCs w:val="24"/>
        </w:rPr>
        <w:t>notice</w:t>
      </w:r>
      <w:r w:rsidR="00893DF2" w:rsidRPr="00CE450A">
        <w:rPr>
          <w:rFonts w:ascii="Arial" w:hAnsi="Arial" w:cs="Arial"/>
          <w:sz w:val="24"/>
          <w:szCs w:val="24"/>
        </w:rPr>
        <w:t xml:space="preserve"> of opposition</w:t>
      </w:r>
      <w:r w:rsidR="00893DF2" w:rsidRPr="00CE450A">
        <w:rPr>
          <w:rStyle w:val="FootnoteReference"/>
          <w:rFonts w:ascii="Arial" w:hAnsi="Arial" w:cs="Arial"/>
          <w:sz w:val="24"/>
          <w:szCs w:val="24"/>
        </w:rPr>
        <w:footnoteReference w:id="5"/>
      </w:r>
      <w:r w:rsidR="00986323">
        <w:rPr>
          <w:rFonts w:ascii="Arial" w:hAnsi="Arial" w:cs="Arial"/>
          <w:sz w:val="24"/>
          <w:szCs w:val="24"/>
        </w:rPr>
        <w:t>.</w:t>
      </w:r>
      <w:r w:rsidR="006116C0">
        <w:rPr>
          <w:rFonts w:ascii="Arial" w:hAnsi="Arial" w:cs="Arial"/>
          <w:sz w:val="24"/>
          <w:szCs w:val="24"/>
        </w:rPr>
        <w:t>Ms</w:t>
      </w:r>
      <w:r w:rsidR="00986323">
        <w:rPr>
          <w:rFonts w:ascii="Arial" w:hAnsi="Arial" w:cs="Arial"/>
          <w:sz w:val="24"/>
          <w:szCs w:val="24"/>
        </w:rPr>
        <w:t xml:space="preserve">Losper conceded that no such application was filed but argued that the affidavit for condonation in essence set out the application and relief prayed for </w:t>
      </w:r>
      <w:r w:rsidR="00843536">
        <w:rPr>
          <w:rFonts w:ascii="Arial" w:hAnsi="Arial" w:cs="Arial"/>
          <w:sz w:val="24"/>
          <w:szCs w:val="24"/>
        </w:rPr>
        <w:t xml:space="preserve">on behalf of the first respondent </w:t>
      </w:r>
      <w:r w:rsidR="00986323">
        <w:rPr>
          <w:rFonts w:ascii="Arial" w:hAnsi="Arial" w:cs="Arial"/>
          <w:sz w:val="24"/>
          <w:szCs w:val="24"/>
        </w:rPr>
        <w:t>and that the court should have regard to same.</w:t>
      </w:r>
    </w:p>
    <w:p w:rsidR="00AA0A0B" w:rsidRDefault="00AA0A0B" w:rsidP="002B3B08">
      <w:pPr>
        <w:spacing w:after="0" w:line="360" w:lineRule="auto"/>
        <w:jc w:val="both"/>
        <w:rPr>
          <w:rFonts w:ascii="Arial" w:hAnsi="Arial" w:cs="Arial"/>
          <w:sz w:val="24"/>
          <w:szCs w:val="24"/>
        </w:rPr>
      </w:pPr>
    </w:p>
    <w:p w:rsidR="006116C0" w:rsidRDefault="003D12D0" w:rsidP="002B3B08">
      <w:pPr>
        <w:spacing w:after="0" w:line="360" w:lineRule="auto"/>
        <w:jc w:val="both"/>
        <w:rPr>
          <w:rFonts w:ascii="Arial" w:hAnsi="Arial" w:cs="Arial"/>
          <w:sz w:val="24"/>
          <w:szCs w:val="24"/>
        </w:rPr>
      </w:pPr>
      <w:r>
        <w:rPr>
          <w:rFonts w:ascii="Arial" w:hAnsi="Arial" w:cs="Arial"/>
          <w:sz w:val="24"/>
          <w:szCs w:val="24"/>
        </w:rPr>
        <w:t>[</w:t>
      </w:r>
      <w:r w:rsidR="007D67F0">
        <w:rPr>
          <w:rFonts w:ascii="Arial" w:hAnsi="Arial" w:cs="Arial"/>
          <w:sz w:val="24"/>
          <w:szCs w:val="24"/>
        </w:rPr>
        <w:t>1</w:t>
      </w:r>
      <w:r w:rsidR="000D67DD">
        <w:rPr>
          <w:rFonts w:ascii="Arial" w:hAnsi="Arial" w:cs="Arial"/>
          <w:sz w:val="24"/>
          <w:szCs w:val="24"/>
        </w:rPr>
        <w:t>6</w:t>
      </w:r>
      <w:r>
        <w:rPr>
          <w:rFonts w:ascii="Arial" w:hAnsi="Arial" w:cs="Arial"/>
          <w:sz w:val="24"/>
          <w:szCs w:val="24"/>
        </w:rPr>
        <w:t xml:space="preserve">] </w:t>
      </w:r>
      <w:r>
        <w:rPr>
          <w:rFonts w:ascii="Arial" w:hAnsi="Arial" w:cs="Arial"/>
          <w:sz w:val="24"/>
          <w:szCs w:val="24"/>
        </w:rPr>
        <w:tab/>
      </w:r>
      <w:r w:rsidR="003754E0">
        <w:rPr>
          <w:rFonts w:ascii="Arial" w:hAnsi="Arial" w:cs="Arial"/>
          <w:sz w:val="24"/>
          <w:szCs w:val="24"/>
        </w:rPr>
        <w:t>The argument advance</w:t>
      </w:r>
      <w:r w:rsidR="000D67DD">
        <w:rPr>
          <w:rFonts w:ascii="Arial" w:hAnsi="Arial" w:cs="Arial"/>
          <w:sz w:val="24"/>
          <w:szCs w:val="24"/>
        </w:rPr>
        <w:t>d</w:t>
      </w:r>
      <w:r w:rsidR="003754E0">
        <w:rPr>
          <w:rFonts w:ascii="Arial" w:hAnsi="Arial" w:cs="Arial"/>
          <w:sz w:val="24"/>
          <w:szCs w:val="24"/>
        </w:rPr>
        <w:t xml:space="preserve"> by Me Losper is not sound in law. </w:t>
      </w:r>
      <w:r w:rsidR="00F86C1E">
        <w:rPr>
          <w:rFonts w:ascii="Arial" w:hAnsi="Arial" w:cs="Arial"/>
          <w:sz w:val="24"/>
          <w:szCs w:val="24"/>
        </w:rPr>
        <w:t>The application for condonation had to be brought on notice of motion</w:t>
      </w:r>
      <w:r w:rsidR="00843536">
        <w:rPr>
          <w:rFonts w:ascii="Arial" w:hAnsi="Arial" w:cs="Arial"/>
          <w:sz w:val="24"/>
          <w:szCs w:val="24"/>
        </w:rPr>
        <w:t>,</w:t>
      </w:r>
      <w:r w:rsidR="00F86C1E">
        <w:rPr>
          <w:rFonts w:ascii="Arial" w:hAnsi="Arial" w:cs="Arial"/>
          <w:sz w:val="24"/>
          <w:szCs w:val="24"/>
        </w:rPr>
        <w:t xml:space="preserve"> formulating the relief and the affidavit filed would be in support of the said application and cannot be regarded as </w:t>
      </w:r>
      <w:r w:rsidR="00843536">
        <w:rPr>
          <w:rFonts w:ascii="Arial" w:hAnsi="Arial" w:cs="Arial"/>
          <w:sz w:val="24"/>
          <w:szCs w:val="24"/>
        </w:rPr>
        <w:t xml:space="preserve">an </w:t>
      </w:r>
      <w:r w:rsidR="00F86C1E">
        <w:rPr>
          <w:rFonts w:ascii="Arial" w:hAnsi="Arial" w:cs="Arial"/>
          <w:sz w:val="24"/>
          <w:szCs w:val="24"/>
        </w:rPr>
        <w:t>application. In this regard</w:t>
      </w:r>
      <w:r w:rsidR="00843536">
        <w:rPr>
          <w:rFonts w:ascii="Arial" w:hAnsi="Arial" w:cs="Arial"/>
          <w:sz w:val="24"/>
          <w:szCs w:val="24"/>
        </w:rPr>
        <w:t xml:space="preserve"> this court</w:t>
      </w:r>
      <w:r w:rsidR="006116C0">
        <w:rPr>
          <w:rFonts w:ascii="Arial" w:hAnsi="Arial" w:cs="Arial"/>
          <w:sz w:val="24"/>
          <w:szCs w:val="24"/>
        </w:rPr>
        <w:t xml:space="preserve"> refer</w:t>
      </w:r>
      <w:r w:rsidR="002427F6">
        <w:rPr>
          <w:rFonts w:ascii="Arial" w:hAnsi="Arial" w:cs="Arial"/>
          <w:sz w:val="24"/>
          <w:szCs w:val="24"/>
        </w:rPr>
        <w:t>red</w:t>
      </w:r>
      <w:r w:rsidR="006116C0">
        <w:rPr>
          <w:rFonts w:ascii="Arial" w:hAnsi="Arial" w:cs="Arial"/>
          <w:sz w:val="24"/>
          <w:szCs w:val="24"/>
        </w:rPr>
        <w:t xml:space="preserve"> counse</w:t>
      </w:r>
      <w:r w:rsidR="00AA0A0B">
        <w:rPr>
          <w:rFonts w:ascii="Arial" w:hAnsi="Arial" w:cs="Arial"/>
          <w:sz w:val="24"/>
          <w:szCs w:val="24"/>
        </w:rPr>
        <w:t>l for the first respondent to the matter</w:t>
      </w:r>
      <w:r>
        <w:rPr>
          <w:rFonts w:ascii="Arial" w:hAnsi="Arial" w:cs="Arial"/>
          <w:sz w:val="24"/>
          <w:szCs w:val="24"/>
        </w:rPr>
        <w:t xml:space="preserve"> of </w:t>
      </w:r>
      <w:r w:rsidRPr="003D12D0">
        <w:rPr>
          <w:rFonts w:ascii="Arial" w:hAnsi="Arial" w:cs="Arial"/>
          <w:i/>
          <w:sz w:val="24"/>
          <w:szCs w:val="24"/>
        </w:rPr>
        <w:t>Meroro v Minister of Lands, Resettlement and Rehabilitation and Others</w:t>
      </w:r>
      <w:r>
        <w:rPr>
          <w:rStyle w:val="FootnoteReference"/>
          <w:rFonts w:ascii="Arial" w:hAnsi="Arial" w:cs="Arial"/>
          <w:sz w:val="24"/>
          <w:szCs w:val="24"/>
        </w:rPr>
        <w:footnoteReference w:id="6"/>
      </w:r>
      <w:r w:rsidR="006116C0">
        <w:rPr>
          <w:rFonts w:ascii="Arial" w:hAnsi="Arial" w:cs="Arial"/>
          <w:sz w:val="24"/>
          <w:szCs w:val="24"/>
        </w:rPr>
        <w:t xml:space="preserve">in which </w:t>
      </w:r>
      <w:r>
        <w:rPr>
          <w:rFonts w:ascii="Arial" w:hAnsi="Arial" w:cs="Arial"/>
          <w:sz w:val="24"/>
          <w:szCs w:val="24"/>
        </w:rPr>
        <w:t xml:space="preserve">Maritz JA </w:t>
      </w:r>
      <w:r w:rsidR="00BC5817">
        <w:rPr>
          <w:rFonts w:ascii="Arial" w:hAnsi="Arial" w:cs="Arial"/>
          <w:sz w:val="24"/>
          <w:szCs w:val="24"/>
        </w:rPr>
        <w:t xml:space="preserve">set out </w:t>
      </w:r>
      <w:r>
        <w:rPr>
          <w:rFonts w:ascii="Arial" w:hAnsi="Arial" w:cs="Arial"/>
          <w:sz w:val="24"/>
          <w:szCs w:val="24"/>
        </w:rPr>
        <w:t xml:space="preserve">specific relief in application procedures as follows: </w:t>
      </w:r>
    </w:p>
    <w:p w:rsidR="002B3B08" w:rsidRDefault="002B3B08" w:rsidP="002B3B08">
      <w:pPr>
        <w:spacing w:after="0" w:line="360" w:lineRule="auto"/>
        <w:jc w:val="both"/>
        <w:rPr>
          <w:rFonts w:ascii="Arial" w:hAnsi="Arial" w:cs="Arial"/>
          <w:sz w:val="24"/>
          <w:szCs w:val="24"/>
        </w:rPr>
      </w:pPr>
    </w:p>
    <w:p w:rsidR="003D12D0" w:rsidRPr="006116C0" w:rsidRDefault="00E07174" w:rsidP="002B3B08">
      <w:pPr>
        <w:spacing w:after="0" w:line="360" w:lineRule="auto"/>
        <w:ind w:firstLine="720"/>
        <w:jc w:val="both"/>
        <w:rPr>
          <w:rFonts w:ascii="Arial" w:hAnsi="Arial" w:cs="Arial"/>
          <w:i/>
        </w:rPr>
      </w:pPr>
      <w:r w:rsidRPr="006116C0">
        <w:rPr>
          <w:rFonts w:ascii="Arial" w:hAnsi="Arial" w:cs="Arial"/>
          <w:i/>
          <w:sz w:val="24"/>
          <w:szCs w:val="24"/>
        </w:rPr>
        <w:t>‘</w:t>
      </w:r>
      <w:r w:rsidRPr="006116C0">
        <w:rPr>
          <w:rFonts w:ascii="Arial" w:hAnsi="Arial" w:cs="Arial"/>
          <w:i/>
          <w:sz w:val="20"/>
          <w:szCs w:val="20"/>
        </w:rPr>
        <w:t>[</w:t>
      </w:r>
      <w:r w:rsidRPr="006116C0">
        <w:rPr>
          <w:rFonts w:ascii="Arial" w:hAnsi="Arial" w:cs="Arial"/>
          <w:i/>
        </w:rPr>
        <w:t>37] The specific relief that the appellant sought and the respondents opposed is contained in the notice of motion. In application proceedings, the affidavits lodged by the litigants in support or opposition of the relief prayed for 'take the place not only of the pleadings, but also of the essential evidence'</w:t>
      </w:r>
      <w:r w:rsidR="00E73770" w:rsidRPr="006116C0">
        <w:rPr>
          <w:rStyle w:val="FootnoteReference"/>
          <w:rFonts w:ascii="Arial" w:hAnsi="Arial" w:cs="Arial"/>
          <w:i/>
        </w:rPr>
        <w:footnoteReference w:id="7"/>
      </w:r>
      <w:r w:rsidRPr="006116C0">
        <w:rPr>
          <w:rFonts w:ascii="Arial" w:hAnsi="Arial" w:cs="Arial"/>
          <w:i/>
        </w:rPr>
        <w:t xml:space="preserve"> that would be adduced in action proceedings at a trial. The relief, as formulated in the notice of motion, determines the cause that must be shown and the evidence that must be presented by applicants in their founding papers. It also informs the respondents of the case they are required to meet in answer and of the orders that may be granted against them should they fail to do so.</w:t>
      </w:r>
      <w:r w:rsidR="00E73770" w:rsidRPr="006116C0">
        <w:rPr>
          <w:rFonts w:ascii="Arial" w:hAnsi="Arial" w:cs="Arial"/>
          <w:i/>
        </w:rPr>
        <w:t>’</w:t>
      </w:r>
    </w:p>
    <w:p w:rsidR="0089012B" w:rsidRDefault="0089012B" w:rsidP="002B3B08">
      <w:pPr>
        <w:spacing w:after="0" w:line="360" w:lineRule="auto"/>
        <w:jc w:val="both"/>
        <w:rPr>
          <w:rFonts w:ascii="Arial" w:hAnsi="Arial" w:cs="Arial"/>
          <w:sz w:val="24"/>
          <w:szCs w:val="24"/>
        </w:rPr>
      </w:pPr>
    </w:p>
    <w:p w:rsidR="006116C0" w:rsidRDefault="0089012B" w:rsidP="002B3B08">
      <w:pPr>
        <w:spacing w:after="0" w:line="360" w:lineRule="auto"/>
        <w:jc w:val="both"/>
        <w:rPr>
          <w:rFonts w:ascii="Arial" w:hAnsi="Arial" w:cs="Arial"/>
          <w:sz w:val="24"/>
          <w:szCs w:val="24"/>
        </w:rPr>
      </w:pPr>
      <w:r>
        <w:rPr>
          <w:rFonts w:ascii="Arial" w:hAnsi="Arial" w:cs="Arial"/>
          <w:sz w:val="24"/>
          <w:szCs w:val="24"/>
        </w:rPr>
        <w:t>[</w:t>
      </w:r>
      <w:r w:rsidR="000D67DD">
        <w:rPr>
          <w:rFonts w:ascii="Arial" w:hAnsi="Arial" w:cs="Arial"/>
          <w:sz w:val="24"/>
          <w:szCs w:val="24"/>
        </w:rPr>
        <w:t>17]</w:t>
      </w:r>
      <w:r w:rsidR="000D67DD">
        <w:rPr>
          <w:rFonts w:ascii="Arial" w:hAnsi="Arial" w:cs="Arial"/>
          <w:sz w:val="24"/>
          <w:szCs w:val="24"/>
        </w:rPr>
        <w:tab/>
      </w:r>
      <w:r w:rsidR="00005775">
        <w:rPr>
          <w:rFonts w:ascii="Arial" w:hAnsi="Arial" w:cs="Arial"/>
          <w:sz w:val="24"/>
          <w:szCs w:val="24"/>
        </w:rPr>
        <w:t xml:space="preserve">It is clear that </w:t>
      </w:r>
      <w:r w:rsidR="00907BFF">
        <w:rPr>
          <w:rFonts w:ascii="Arial" w:hAnsi="Arial" w:cs="Arial"/>
          <w:sz w:val="24"/>
          <w:szCs w:val="24"/>
        </w:rPr>
        <w:t xml:space="preserve">a </w:t>
      </w:r>
      <w:r w:rsidR="00005775">
        <w:rPr>
          <w:rFonts w:ascii="Arial" w:hAnsi="Arial" w:cs="Arial"/>
          <w:sz w:val="24"/>
          <w:szCs w:val="24"/>
        </w:rPr>
        <w:t>n</w:t>
      </w:r>
      <w:r w:rsidR="00005775" w:rsidRPr="00322120">
        <w:rPr>
          <w:rFonts w:ascii="Arial" w:hAnsi="Arial" w:cs="Arial"/>
          <w:sz w:val="24"/>
          <w:szCs w:val="24"/>
        </w:rPr>
        <w:t>otice of motion play</w:t>
      </w:r>
      <w:r w:rsidR="002B3B08">
        <w:rPr>
          <w:rFonts w:ascii="Arial" w:hAnsi="Arial" w:cs="Arial"/>
          <w:sz w:val="24"/>
          <w:szCs w:val="24"/>
        </w:rPr>
        <w:t>s</w:t>
      </w:r>
      <w:r w:rsidR="00005775" w:rsidRPr="00322120">
        <w:rPr>
          <w:rFonts w:ascii="Arial" w:hAnsi="Arial" w:cs="Arial"/>
          <w:sz w:val="24"/>
          <w:szCs w:val="24"/>
        </w:rPr>
        <w:t xml:space="preserve"> an important part in proceedings for </w:t>
      </w:r>
      <w:r w:rsidR="00907BFF">
        <w:rPr>
          <w:rFonts w:ascii="Arial" w:hAnsi="Arial" w:cs="Arial"/>
          <w:sz w:val="24"/>
          <w:szCs w:val="24"/>
        </w:rPr>
        <w:t xml:space="preserve">it </w:t>
      </w:r>
      <w:r w:rsidR="00005775" w:rsidRPr="00322120">
        <w:rPr>
          <w:rFonts w:ascii="Arial" w:hAnsi="Arial" w:cs="Arial"/>
          <w:sz w:val="24"/>
          <w:szCs w:val="24"/>
        </w:rPr>
        <w:t>stipulate</w:t>
      </w:r>
      <w:r w:rsidR="00907BFF">
        <w:rPr>
          <w:rFonts w:ascii="Arial" w:hAnsi="Arial" w:cs="Arial"/>
          <w:sz w:val="24"/>
          <w:szCs w:val="24"/>
        </w:rPr>
        <w:t>s</w:t>
      </w:r>
      <w:r w:rsidR="00005775" w:rsidRPr="00322120">
        <w:rPr>
          <w:rFonts w:ascii="Arial" w:hAnsi="Arial" w:cs="Arial"/>
          <w:sz w:val="24"/>
          <w:szCs w:val="24"/>
        </w:rPr>
        <w:t xml:space="preserve"> the nature, extent and scope of the order or relief sought. Properly crafted, </w:t>
      </w:r>
      <w:r w:rsidR="00907BFF">
        <w:rPr>
          <w:rFonts w:ascii="Arial" w:hAnsi="Arial" w:cs="Arial"/>
          <w:sz w:val="24"/>
          <w:szCs w:val="24"/>
        </w:rPr>
        <w:t>it</w:t>
      </w:r>
      <w:r w:rsidR="00005775" w:rsidRPr="00322120">
        <w:rPr>
          <w:rFonts w:ascii="Arial" w:hAnsi="Arial" w:cs="Arial"/>
          <w:sz w:val="24"/>
          <w:szCs w:val="24"/>
        </w:rPr>
        <w:t xml:space="preserve"> enable</w:t>
      </w:r>
      <w:r w:rsidR="00907BFF">
        <w:rPr>
          <w:rFonts w:ascii="Arial" w:hAnsi="Arial" w:cs="Arial"/>
          <w:sz w:val="24"/>
          <w:szCs w:val="24"/>
        </w:rPr>
        <w:t>s</w:t>
      </w:r>
      <w:r w:rsidR="00005775" w:rsidRPr="00322120">
        <w:rPr>
          <w:rFonts w:ascii="Arial" w:hAnsi="Arial" w:cs="Arial"/>
          <w:sz w:val="24"/>
          <w:szCs w:val="24"/>
        </w:rPr>
        <w:t xml:space="preserve"> the opposing party and the court, amongst other things, to </w:t>
      </w:r>
      <w:r w:rsidR="002B3B08" w:rsidRPr="00322120">
        <w:rPr>
          <w:rFonts w:ascii="Arial" w:hAnsi="Arial" w:cs="Arial"/>
          <w:sz w:val="24"/>
          <w:szCs w:val="24"/>
        </w:rPr>
        <w:t>determine</w:t>
      </w:r>
      <w:r w:rsidR="002B3B08">
        <w:rPr>
          <w:rFonts w:ascii="Arial" w:hAnsi="Arial" w:cs="Arial"/>
          <w:sz w:val="24"/>
          <w:szCs w:val="24"/>
        </w:rPr>
        <w:t xml:space="preserve"> whether</w:t>
      </w:r>
      <w:r w:rsidR="00005775" w:rsidRPr="00322120">
        <w:rPr>
          <w:rFonts w:ascii="Arial" w:hAnsi="Arial" w:cs="Arial"/>
          <w:sz w:val="24"/>
          <w:szCs w:val="24"/>
        </w:rPr>
        <w:t xml:space="preserve"> the relief sought is fully explained and grounded in the affidavit filed in support thereof.</w:t>
      </w:r>
      <w:r w:rsidR="00907BFF">
        <w:rPr>
          <w:rFonts w:ascii="Arial" w:hAnsi="Arial" w:cs="Arial"/>
          <w:sz w:val="24"/>
          <w:szCs w:val="24"/>
        </w:rPr>
        <w:t>F</w:t>
      </w:r>
      <w:r w:rsidR="00005775" w:rsidRPr="00322120">
        <w:rPr>
          <w:rFonts w:ascii="Arial" w:hAnsi="Arial" w:cs="Arial"/>
          <w:sz w:val="24"/>
          <w:szCs w:val="24"/>
        </w:rPr>
        <w:t>ailure to fil</w:t>
      </w:r>
      <w:r w:rsidR="00907BFF">
        <w:rPr>
          <w:rFonts w:ascii="Arial" w:hAnsi="Arial" w:cs="Arial"/>
          <w:sz w:val="24"/>
          <w:szCs w:val="24"/>
        </w:rPr>
        <w:t>e a notice of motion hinders</w:t>
      </w:r>
      <w:r w:rsidR="00005775" w:rsidRPr="00322120">
        <w:rPr>
          <w:rFonts w:ascii="Arial" w:hAnsi="Arial" w:cs="Arial"/>
          <w:sz w:val="24"/>
          <w:szCs w:val="24"/>
        </w:rPr>
        <w:t xml:space="preserve"> the court and the </w:t>
      </w:r>
      <w:r w:rsidR="00907BFF">
        <w:rPr>
          <w:rFonts w:ascii="Arial" w:hAnsi="Arial" w:cs="Arial"/>
          <w:sz w:val="24"/>
          <w:szCs w:val="24"/>
        </w:rPr>
        <w:t xml:space="preserve">opposing </w:t>
      </w:r>
      <w:r w:rsidR="00005775" w:rsidRPr="00322120">
        <w:rPr>
          <w:rFonts w:ascii="Arial" w:hAnsi="Arial" w:cs="Arial"/>
          <w:sz w:val="24"/>
          <w:szCs w:val="24"/>
        </w:rPr>
        <w:t>party from fully comprehending the full impact of the relief sought</w:t>
      </w:r>
      <w:r w:rsidR="00907BFF">
        <w:rPr>
          <w:rFonts w:ascii="Arial" w:hAnsi="Arial" w:cs="Arial"/>
          <w:sz w:val="24"/>
          <w:szCs w:val="24"/>
        </w:rPr>
        <w:t xml:space="preserve">. </w:t>
      </w:r>
    </w:p>
    <w:p w:rsidR="003C3775" w:rsidRPr="00322120" w:rsidRDefault="003C3775" w:rsidP="002B3B08">
      <w:pPr>
        <w:spacing w:after="0" w:line="360" w:lineRule="auto"/>
        <w:jc w:val="both"/>
        <w:rPr>
          <w:rFonts w:ascii="Arial" w:hAnsi="Arial" w:cs="Arial"/>
          <w:sz w:val="24"/>
          <w:szCs w:val="24"/>
        </w:rPr>
      </w:pPr>
    </w:p>
    <w:p w:rsidR="00C82B3F" w:rsidRDefault="000D67DD" w:rsidP="002B3B08">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C82B3F">
        <w:rPr>
          <w:rFonts w:ascii="Arial" w:hAnsi="Arial" w:cs="Arial"/>
          <w:sz w:val="24"/>
          <w:szCs w:val="24"/>
        </w:rPr>
        <w:t xml:space="preserve">There </w:t>
      </w:r>
      <w:r w:rsidR="007003B5">
        <w:rPr>
          <w:rFonts w:ascii="Arial" w:hAnsi="Arial" w:cs="Arial"/>
          <w:sz w:val="24"/>
          <w:szCs w:val="24"/>
        </w:rPr>
        <w:t>wa</w:t>
      </w:r>
      <w:r w:rsidR="00C82B3F">
        <w:rPr>
          <w:rFonts w:ascii="Arial" w:hAnsi="Arial" w:cs="Arial"/>
          <w:sz w:val="24"/>
          <w:szCs w:val="24"/>
        </w:rPr>
        <w:t xml:space="preserve">s a flagrant no-compliance with the rules in this matter. </w:t>
      </w:r>
      <w:r w:rsidR="003C3775">
        <w:rPr>
          <w:rFonts w:ascii="Arial" w:hAnsi="Arial" w:cs="Arial"/>
          <w:sz w:val="24"/>
          <w:szCs w:val="24"/>
        </w:rPr>
        <w:t xml:space="preserve">The participation </w:t>
      </w:r>
      <w:r w:rsidR="00982E3A">
        <w:rPr>
          <w:rFonts w:ascii="Arial" w:hAnsi="Arial" w:cs="Arial"/>
          <w:sz w:val="24"/>
          <w:szCs w:val="24"/>
        </w:rPr>
        <w:t xml:space="preserve">of the first defendant </w:t>
      </w:r>
      <w:r w:rsidR="003C3775">
        <w:rPr>
          <w:rFonts w:ascii="Arial" w:hAnsi="Arial" w:cs="Arial"/>
          <w:sz w:val="24"/>
          <w:szCs w:val="24"/>
        </w:rPr>
        <w:t>in the hearing of the appeal is depended on the granting of the application for condonation by th</w:t>
      </w:r>
      <w:r w:rsidR="007003B5">
        <w:rPr>
          <w:rFonts w:ascii="Arial" w:hAnsi="Arial" w:cs="Arial"/>
          <w:sz w:val="24"/>
          <w:szCs w:val="24"/>
        </w:rPr>
        <w:t>is</w:t>
      </w:r>
      <w:r w:rsidR="003C3775">
        <w:rPr>
          <w:rFonts w:ascii="Arial" w:hAnsi="Arial" w:cs="Arial"/>
          <w:sz w:val="24"/>
          <w:szCs w:val="24"/>
        </w:rPr>
        <w:t xml:space="preserve"> court</w:t>
      </w:r>
      <w:r w:rsidR="00982E3A">
        <w:rPr>
          <w:rFonts w:ascii="Arial" w:hAnsi="Arial" w:cs="Arial"/>
          <w:sz w:val="24"/>
          <w:szCs w:val="24"/>
        </w:rPr>
        <w:t xml:space="preserve">. </w:t>
      </w:r>
      <w:r w:rsidR="00C82B3F">
        <w:rPr>
          <w:rFonts w:ascii="Arial" w:hAnsi="Arial" w:cs="Arial"/>
          <w:sz w:val="24"/>
          <w:szCs w:val="24"/>
        </w:rPr>
        <w:t xml:space="preserve">However, there is no application for condonation before </w:t>
      </w:r>
      <w:r w:rsidR="007003B5">
        <w:rPr>
          <w:rFonts w:ascii="Arial" w:hAnsi="Arial" w:cs="Arial"/>
          <w:sz w:val="24"/>
          <w:szCs w:val="24"/>
        </w:rPr>
        <w:t>me</w:t>
      </w:r>
      <w:r w:rsidR="00C82B3F">
        <w:rPr>
          <w:rFonts w:ascii="Arial" w:hAnsi="Arial" w:cs="Arial"/>
          <w:sz w:val="24"/>
          <w:szCs w:val="24"/>
        </w:rPr>
        <w:t xml:space="preserve"> to consider.</w:t>
      </w:r>
    </w:p>
    <w:p w:rsidR="00C82B3F" w:rsidRDefault="00C82B3F" w:rsidP="002B3B08">
      <w:pPr>
        <w:spacing w:after="0" w:line="360" w:lineRule="auto"/>
        <w:jc w:val="both"/>
        <w:rPr>
          <w:rFonts w:ascii="Arial" w:hAnsi="Arial" w:cs="Arial"/>
          <w:sz w:val="24"/>
          <w:szCs w:val="24"/>
        </w:rPr>
      </w:pPr>
    </w:p>
    <w:p w:rsidR="00C82B3F" w:rsidRDefault="00C82B3F" w:rsidP="002B3B08">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This court will be slow to shut the door on a litigant due to the remissness of his or her legal representative.</w:t>
      </w:r>
      <w:r w:rsidR="007003B5">
        <w:rPr>
          <w:rFonts w:ascii="Arial" w:hAnsi="Arial" w:cs="Arial"/>
          <w:sz w:val="24"/>
          <w:szCs w:val="24"/>
        </w:rPr>
        <w:t>I</w:t>
      </w:r>
      <w:r>
        <w:rPr>
          <w:rFonts w:ascii="Arial" w:hAnsi="Arial" w:cs="Arial"/>
          <w:sz w:val="24"/>
          <w:szCs w:val="24"/>
        </w:rPr>
        <w:t xml:space="preserve"> had regard to the matter of </w:t>
      </w:r>
      <w:r w:rsidRPr="006F0099">
        <w:rPr>
          <w:rFonts w:ascii="Arial" w:hAnsi="Arial" w:cs="Arial"/>
          <w:i/>
          <w:sz w:val="24"/>
          <w:szCs w:val="24"/>
        </w:rPr>
        <w:t>Katjiamo v Katjiamo and Others</w:t>
      </w:r>
      <w:r>
        <w:rPr>
          <w:rStyle w:val="FootnoteReference"/>
          <w:rFonts w:ascii="Arial" w:hAnsi="Arial" w:cs="Arial"/>
        </w:rPr>
        <w:footnoteReference w:id="8"/>
      </w:r>
      <w:r>
        <w:rPr>
          <w:rFonts w:ascii="Arial" w:hAnsi="Arial" w:cs="Arial"/>
          <w:sz w:val="24"/>
          <w:szCs w:val="24"/>
        </w:rPr>
        <w:t xml:space="preserve">  where Damaseb DCJ discussed the effect of negligence or remissness of a legal practitioner on a litigant as follows: </w:t>
      </w:r>
    </w:p>
    <w:p w:rsidR="00C82B3F" w:rsidRDefault="00C82B3F" w:rsidP="002B3B08">
      <w:pPr>
        <w:spacing w:after="0" w:line="360" w:lineRule="auto"/>
        <w:jc w:val="both"/>
        <w:rPr>
          <w:rFonts w:ascii="Arial" w:hAnsi="Arial" w:cs="Arial"/>
          <w:sz w:val="24"/>
          <w:szCs w:val="24"/>
        </w:rPr>
      </w:pPr>
    </w:p>
    <w:p w:rsidR="00C82B3F" w:rsidRPr="008F4869" w:rsidRDefault="00C82B3F" w:rsidP="002B3B08">
      <w:pPr>
        <w:spacing w:after="0" w:line="360" w:lineRule="auto"/>
        <w:ind w:left="720"/>
        <w:jc w:val="both"/>
        <w:rPr>
          <w:rFonts w:ascii="Arial" w:hAnsi="Arial" w:cs="Arial"/>
          <w:i/>
        </w:rPr>
      </w:pPr>
      <w:r w:rsidRPr="008F4869">
        <w:rPr>
          <w:rFonts w:ascii="Arial" w:hAnsi="Arial" w:cs="Arial"/>
          <w:i/>
        </w:rPr>
        <w:t>‘The negligence and remissness of a legal practitioner are only to be visited on the litigant where he or she contributed thereto in some way, was aware of the steps that need to be taken in furtherance of the prompt conduct of the case, or through inaction contributed to the matter stalling and thus impeding the speedy finalisation of a contested matter. The following dictum by Steyn CJ in Salojee and Another NNO v Minister of Community Development</w:t>
      </w:r>
      <w:r w:rsidRPr="008F4869">
        <w:rPr>
          <w:rStyle w:val="FootnoteReference"/>
          <w:rFonts w:ascii="Arial" w:hAnsi="Arial" w:cs="Arial"/>
          <w:i/>
        </w:rPr>
        <w:footnoteReference w:id="9"/>
      </w:r>
      <w:r w:rsidRPr="008F4869">
        <w:rPr>
          <w:rFonts w:ascii="Arial" w:hAnsi="Arial" w:cs="Arial"/>
          <w:i/>
        </w:rPr>
        <w:t xml:space="preserve"> has been cited with approval by our courts: </w:t>
      </w:r>
    </w:p>
    <w:p w:rsidR="00C82B3F" w:rsidRPr="008F4869" w:rsidRDefault="00C82B3F" w:rsidP="002B3B08">
      <w:pPr>
        <w:spacing w:after="0" w:line="360" w:lineRule="auto"/>
        <w:ind w:left="720"/>
        <w:jc w:val="both"/>
        <w:rPr>
          <w:rFonts w:ascii="Arial" w:hAnsi="Arial" w:cs="Arial"/>
          <w:i/>
        </w:rPr>
      </w:pPr>
    </w:p>
    <w:p w:rsidR="00C82B3F" w:rsidRPr="008F4869" w:rsidRDefault="00C82B3F" w:rsidP="002B3B08">
      <w:pPr>
        <w:spacing w:after="0" w:line="360" w:lineRule="auto"/>
        <w:ind w:left="720"/>
        <w:jc w:val="both"/>
        <w:rPr>
          <w:rFonts w:ascii="Arial" w:hAnsi="Arial" w:cs="Arial"/>
          <w:i/>
        </w:rPr>
      </w:pPr>
      <w:r w:rsidRPr="008F4869">
        <w:rPr>
          <w:rFonts w:ascii="Arial" w:hAnsi="Arial" w:cs="Arial"/>
          <w:i/>
        </w:rPr>
        <w:tab/>
      </w:r>
      <w:r w:rsidR="002B3B08">
        <w:rPr>
          <w:rFonts w:ascii="Arial" w:hAnsi="Arial" w:cs="Arial"/>
          <w:i/>
        </w:rPr>
        <w:t>“</w:t>
      </w:r>
      <w:r w:rsidRPr="008F4869">
        <w:rPr>
          <w:rFonts w:ascii="Arial" w:hAnsi="Arial" w:cs="Arial"/>
          <w:i/>
        </w:rPr>
        <w:t>There is a limit beyond which a litigant cannot escape the results of his attorney's lack of diligence or the insufficiency of the explanation tendered. To hold otherwise might have a disastrous effect upon the observa</w:t>
      </w:r>
      <w:r w:rsidR="002B3B08">
        <w:rPr>
          <w:rFonts w:ascii="Arial" w:hAnsi="Arial" w:cs="Arial"/>
          <w:i/>
        </w:rPr>
        <w:t>nce of the Rules of this Court.”</w:t>
      </w:r>
    </w:p>
    <w:p w:rsidR="00C82B3F" w:rsidRPr="008F4869" w:rsidRDefault="00C82B3F" w:rsidP="002B3B08">
      <w:pPr>
        <w:spacing w:after="0" w:line="360" w:lineRule="auto"/>
        <w:ind w:left="720"/>
        <w:jc w:val="both"/>
        <w:rPr>
          <w:rFonts w:ascii="Arial" w:hAnsi="Arial" w:cs="Arial"/>
          <w:i/>
        </w:rPr>
      </w:pPr>
    </w:p>
    <w:p w:rsidR="00C82B3F" w:rsidRPr="008F4869" w:rsidRDefault="00C82B3F" w:rsidP="002B3B08">
      <w:pPr>
        <w:spacing w:after="0" w:line="360" w:lineRule="auto"/>
        <w:ind w:left="720"/>
        <w:jc w:val="both"/>
        <w:rPr>
          <w:rFonts w:ascii="Arial" w:hAnsi="Arial" w:cs="Arial"/>
          <w:i/>
        </w:rPr>
      </w:pPr>
      <w:r w:rsidRPr="008F4869">
        <w:rPr>
          <w:rFonts w:ascii="Arial" w:hAnsi="Arial" w:cs="Arial"/>
          <w:i/>
        </w:rPr>
        <w:t xml:space="preserve">The court also added at 141E – H that:  </w:t>
      </w:r>
    </w:p>
    <w:p w:rsidR="00C82B3F" w:rsidRPr="008F4869" w:rsidRDefault="00C82B3F" w:rsidP="002B3B08">
      <w:pPr>
        <w:spacing w:after="0" w:line="360" w:lineRule="auto"/>
        <w:ind w:left="720"/>
        <w:jc w:val="both"/>
        <w:rPr>
          <w:rFonts w:ascii="Arial" w:hAnsi="Arial" w:cs="Arial"/>
          <w:i/>
        </w:rPr>
      </w:pPr>
    </w:p>
    <w:p w:rsidR="00C82B3F" w:rsidRPr="008F4869" w:rsidRDefault="00C82B3F" w:rsidP="002B3B08">
      <w:pPr>
        <w:spacing w:after="0" w:line="360" w:lineRule="auto"/>
        <w:ind w:left="720"/>
        <w:jc w:val="both"/>
        <w:rPr>
          <w:rFonts w:ascii="Arial" w:hAnsi="Arial" w:cs="Arial"/>
          <w:i/>
        </w:rPr>
      </w:pPr>
      <w:r w:rsidRPr="008F4869">
        <w:rPr>
          <w:rFonts w:ascii="Arial" w:hAnsi="Arial" w:cs="Arial"/>
          <w:i/>
        </w:rPr>
        <w:tab/>
        <w:t>'A litigant, moreover, who knows, as the applicant did, that the prescribed period has elapsed and that an application for condonation is necessary, is not entitled to hand over the matter to his attorneys and then wash his hands of it. If, as here, the stage is reached where it must become obvious also to a layman that there is a protracted delay, he cannot sit passively by, without so muc</w:t>
      </w:r>
      <w:r w:rsidR="00024926">
        <w:rPr>
          <w:rFonts w:ascii="Arial" w:hAnsi="Arial" w:cs="Arial"/>
          <w:i/>
        </w:rPr>
        <w:t xml:space="preserve">h as directing any reminder or </w:t>
      </w:r>
      <w:r w:rsidRPr="008F4869">
        <w:rPr>
          <w:rFonts w:ascii="Arial" w:hAnsi="Arial" w:cs="Arial"/>
          <w:i/>
        </w:rPr>
        <w:t xml:space="preserve">enquiry to his attorney . . . and expect to be exonerated of all blame; and if, as here, the explanation offered to this Court is patently insufficient, he cannot be heard to claim that the insufficiency should be overlooked merely because he has left the matter entirely in the hands of his attorney. If he relies upon the ineptitude or remissness of his own attorney, he should at least explain that none of it is to be imputed to himself.' </w:t>
      </w:r>
    </w:p>
    <w:p w:rsidR="00C82B3F" w:rsidRDefault="00C82B3F" w:rsidP="002B3B08">
      <w:pPr>
        <w:spacing w:after="0" w:line="360" w:lineRule="auto"/>
        <w:jc w:val="both"/>
        <w:rPr>
          <w:rFonts w:ascii="Arial" w:hAnsi="Arial" w:cs="Arial"/>
          <w:sz w:val="24"/>
          <w:szCs w:val="24"/>
        </w:rPr>
      </w:pPr>
    </w:p>
    <w:p w:rsidR="00AF0CEF" w:rsidRDefault="00C82B3F" w:rsidP="002B3B08">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From the time that this appeal came to the attention of the first respondent to </w:t>
      </w:r>
      <w:r w:rsidR="00AF0CEF">
        <w:rPr>
          <w:rFonts w:ascii="Arial" w:hAnsi="Arial" w:cs="Arial"/>
          <w:sz w:val="24"/>
          <w:szCs w:val="24"/>
        </w:rPr>
        <w:t xml:space="preserve">first hearing </w:t>
      </w:r>
      <w:r>
        <w:rPr>
          <w:rFonts w:ascii="Arial" w:hAnsi="Arial" w:cs="Arial"/>
          <w:sz w:val="24"/>
          <w:szCs w:val="24"/>
        </w:rPr>
        <w:t>date</w:t>
      </w:r>
      <w:r w:rsidR="00AF0CEF">
        <w:rPr>
          <w:rFonts w:ascii="Arial" w:hAnsi="Arial" w:cs="Arial"/>
          <w:sz w:val="24"/>
          <w:szCs w:val="24"/>
        </w:rPr>
        <w:t xml:space="preserve"> of the appeal, </w:t>
      </w:r>
      <w:r>
        <w:rPr>
          <w:rFonts w:ascii="Arial" w:hAnsi="Arial" w:cs="Arial"/>
          <w:sz w:val="24"/>
          <w:szCs w:val="24"/>
        </w:rPr>
        <w:t xml:space="preserve">the only documentation filed consisted of a Notice </w:t>
      </w:r>
      <w:r w:rsidR="00B73DCF">
        <w:rPr>
          <w:rFonts w:ascii="Arial" w:hAnsi="Arial" w:cs="Arial"/>
          <w:sz w:val="24"/>
          <w:szCs w:val="24"/>
        </w:rPr>
        <w:t xml:space="preserve">of representation, filed on </w:t>
      </w:r>
      <w:r w:rsidR="00532FEA">
        <w:rPr>
          <w:rFonts w:ascii="Arial" w:hAnsi="Arial" w:cs="Arial"/>
          <w:sz w:val="24"/>
          <w:szCs w:val="24"/>
        </w:rPr>
        <w:t>26 September 2016</w:t>
      </w:r>
      <w:r w:rsidR="00AF0CEF">
        <w:rPr>
          <w:rFonts w:ascii="Arial" w:hAnsi="Arial" w:cs="Arial"/>
          <w:sz w:val="24"/>
          <w:szCs w:val="24"/>
        </w:rPr>
        <w:t xml:space="preserve"> and thereafter a notice of withdrawal by the first defendant’s erstwhile legal practitioner on 13 March 2017. No further documentation was filed in between. When the writing was literally on the wall on the date when the appeal was due to be heard, the </w:t>
      </w:r>
      <w:r w:rsidR="002427F6">
        <w:rPr>
          <w:rFonts w:ascii="Arial" w:hAnsi="Arial" w:cs="Arial"/>
          <w:sz w:val="24"/>
          <w:szCs w:val="24"/>
        </w:rPr>
        <w:t>present</w:t>
      </w:r>
      <w:r w:rsidR="00AF0CEF">
        <w:rPr>
          <w:rFonts w:ascii="Arial" w:hAnsi="Arial" w:cs="Arial"/>
          <w:sz w:val="24"/>
          <w:szCs w:val="24"/>
        </w:rPr>
        <w:t xml:space="preserve"> legal representative appeared on behalf of the first defendant, on such short notice that she did not even file a notice of representation. </w:t>
      </w:r>
    </w:p>
    <w:p w:rsidR="00AF0CEF" w:rsidRDefault="00AF0CEF" w:rsidP="002B3B08">
      <w:pPr>
        <w:spacing w:after="0" w:line="360" w:lineRule="auto"/>
        <w:jc w:val="both"/>
        <w:rPr>
          <w:rFonts w:ascii="Arial" w:hAnsi="Arial" w:cs="Arial"/>
          <w:sz w:val="24"/>
          <w:szCs w:val="24"/>
        </w:rPr>
      </w:pPr>
    </w:p>
    <w:p w:rsidR="00462663" w:rsidRDefault="00AF0CEF" w:rsidP="002B3B08">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 This is not the way in which a conscientious litigant would prosecute his matter. It would seem that a substantial portion of the blame for the delay in opposing this appeal can be laid at the door of the first respondent. </w:t>
      </w:r>
    </w:p>
    <w:p w:rsidR="00462663" w:rsidRDefault="00462663" w:rsidP="002B3B08">
      <w:pPr>
        <w:spacing w:after="0" w:line="360" w:lineRule="auto"/>
        <w:jc w:val="both"/>
        <w:rPr>
          <w:rFonts w:ascii="Arial" w:hAnsi="Arial" w:cs="Arial"/>
          <w:sz w:val="24"/>
          <w:szCs w:val="24"/>
        </w:rPr>
      </w:pPr>
    </w:p>
    <w:p w:rsidR="00FE48A7" w:rsidRDefault="00462663" w:rsidP="002B3B08">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7003B5">
        <w:rPr>
          <w:rFonts w:ascii="Arial" w:hAnsi="Arial" w:cs="Arial"/>
          <w:sz w:val="24"/>
          <w:szCs w:val="24"/>
        </w:rPr>
        <w:t>I am in agreement with</w:t>
      </w:r>
      <w:r w:rsidR="00F86C1E" w:rsidRPr="00CE450A">
        <w:rPr>
          <w:rFonts w:ascii="Arial" w:hAnsi="Arial" w:cs="Arial"/>
          <w:sz w:val="24"/>
          <w:szCs w:val="24"/>
        </w:rPr>
        <w:t xml:space="preserve"> previous judgments</w:t>
      </w:r>
      <w:r w:rsidR="00F86C1E" w:rsidRPr="00CE450A">
        <w:rPr>
          <w:rStyle w:val="FootnoteReference"/>
          <w:rFonts w:ascii="Arial" w:hAnsi="Arial" w:cs="Arial"/>
          <w:sz w:val="24"/>
          <w:szCs w:val="24"/>
        </w:rPr>
        <w:footnoteReference w:id="10"/>
      </w:r>
      <w:r w:rsidR="00EF7788">
        <w:rPr>
          <w:rFonts w:ascii="Arial" w:hAnsi="Arial" w:cs="Arial"/>
          <w:sz w:val="24"/>
          <w:szCs w:val="24"/>
        </w:rPr>
        <w:t xml:space="preserve"> </w:t>
      </w:r>
      <w:r w:rsidR="00843536">
        <w:rPr>
          <w:rFonts w:ascii="Arial" w:hAnsi="Arial" w:cs="Arial"/>
          <w:sz w:val="24"/>
          <w:szCs w:val="24"/>
        </w:rPr>
        <w:t xml:space="preserve">dealing with similar issues </w:t>
      </w:r>
      <w:r w:rsidR="00AA0A0B">
        <w:rPr>
          <w:rFonts w:ascii="Arial" w:hAnsi="Arial" w:cs="Arial"/>
          <w:sz w:val="24"/>
          <w:szCs w:val="24"/>
        </w:rPr>
        <w:t xml:space="preserve">and </w:t>
      </w:r>
      <w:r w:rsidR="00F86C1E" w:rsidRPr="00CE450A">
        <w:rPr>
          <w:rFonts w:ascii="Arial" w:hAnsi="Arial" w:cs="Arial"/>
          <w:sz w:val="24"/>
          <w:szCs w:val="24"/>
        </w:rPr>
        <w:t>denied the</w:t>
      </w:r>
      <w:r w:rsidR="00AA0A0B">
        <w:rPr>
          <w:rFonts w:ascii="Arial" w:hAnsi="Arial" w:cs="Arial"/>
          <w:sz w:val="24"/>
          <w:szCs w:val="24"/>
        </w:rPr>
        <w:t xml:space="preserve"> first </w:t>
      </w:r>
      <w:r w:rsidR="00F86C1E" w:rsidRPr="00CE450A">
        <w:rPr>
          <w:rFonts w:ascii="Arial" w:hAnsi="Arial" w:cs="Arial"/>
          <w:sz w:val="24"/>
          <w:szCs w:val="24"/>
        </w:rPr>
        <w:t>respondent the opportunity to par</w:t>
      </w:r>
      <w:r w:rsidR="00AA0A0B" w:rsidRPr="00CE450A">
        <w:rPr>
          <w:rFonts w:ascii="Arial" w:hAnsi="Arial" w:cs="Arial"/>
          <w:sz w:val="24"/>
          <w:szCs w:val="24"/>
        </w:rPr>
        <w:t xml:space="preserve">take </w:t>
      </w:r>
      <w:r w:rsidR="00F86C1E" w:rsidRPr="00CE450A">
        <w:rPr>
          <w:rFonts w:ascii="Arial" w:hAnsi="Arial" w:cs="Arial"/>
          <w:sz w:val="24"/>
          <w:szCs w:val="24"/>
        </w:rPr>
        <w:t>in the hearing of the appeal.  In the result, the appeal was heard unopposed</w:t>
      </w:r>
      <w:r w:rsidR="00AB1AF4">
        <w:rPr>
          <w:rFonts w:ascii="Arial" w:hAnsi="Arial" w:cs="Arial"/>
          <w:sz w:val="24"/>
          <w:szCs w:val="24"/>
        </w:rPr>
        <w:t xml:space="preserve">. </w:t>
      </w:r>
      <w:r w:rsidR="001E4F0E">
        <w:rPr>
          <w:rFonts w:ascii="Arial" w:hAnsi="Arial" w:cs="Arial"/>
          <w:sz w:val="24"/>
          <w:szCs w:val="24"/>
        </w:rPr>
        <w:t>Ms Nambinga proceeded to make her submissions in amplification of her written heads of argument.</w:t>
      </w:r>
      <w:r w:rsidR="001E4F0E" w:rsidRPr="00CE450A">
        <w:rPr>
          <w:rFonts w:ascii="Arial" w:hAnsi="Arial" w:cs="Arial"/>
          <w:sz w:val="24"/>
          <w:szCs w:val="24"/>
        </w:rPr>
        <w:t xml:space="preserve"> She discussed the grounds of the appeal with reference to various cases as authority.  </w:t>
      </w:r>
    </w:p>
    <w:p w:rsidR="00FE48A7" w:rsidRDefault="00FE48A7" w:rsidP="002B3B08">
      <w:pPr>
        <w:spacing w:after="0" w:line="360" w:lineRule="auto"/>
        <w:jc w:val="both"/>
        <w:rPr>
          <w:rFonts w:ascii="Arial" w:hAnsi="Arial" w:cs="Arial"/>
          <w:sz w:val="24"/>
          <w:szCs w:val="24"/>
        </w:rPr>
      </w:pPr>
    </w:p>
    <w:p w:rsidR="00FE48A7" w:rsidRDefault="002B3B08" w:rsidP="002B3B08">
      <w:pPr>
        <w:spacing w:after="0" w:line="360" w:lineRule="auto"/>
        <w:jc w:val="both"/>
        <w:rPr>
          <w:rFonts w:ascii="Arial" w:hAnsi="Arial" w:cs="Arial"/>
          <w:sz w:val="24"/>
          <w:szCs w:val="24"/>
          <w:u w:val="single"/>
        </w:rPr>
      </w:pPr>
      <w:r w:rsidRPr="00FE48A7">
        <w:rPr>
          <w:rFonts w:ascii="Arial" w:hAnsi="Arial" w:cs="Arial"/>
          <w:sz w:val="24"/>
          <w:szCs w:val="24"/>
          <w:u w:val="single"/>
        </w:rPr>
        <w:t xml:space="preserve">The </w:t>
      </w:r>
      <w:r>
        <w:rPr>
          <w:rFonts w:ascii="Arial" w:hAnsi="Arial" w:cs="Arial"/>
          <w:sz w:val="24"/>
          <w:szCs w:val="24"/>
          <w:u w:val="single"/>
        </w:rPr>
        <w:t>Appeal</w:t>
      </w:r>
      <w:r w:rsidR="00FE48A7" w:rsidRPr="00FE48A7">
        <w:rPr>
          <w:rFonts w:ascii="Arial" w:hAnsi="Arial" w:cs="Arial"/>
          <w:sz w:val="24"/>
          <w:szCs w:val="24"/>
          <w:u w:val="single"/>
        </w:rPr>
        <w:t xml:space="preserve">: </w:t>
      </w:r>
    </w:p>
    <w:p w:rsidR="002427F6" w:rsidRPr="00FE48A7" w:rsidRDefault="002427F6" w:rsidP="002B3B08">
      <w:pPr>
        <w:spacing w:after="0" w:line="360" w:lineRule="auto"/>
        <w:jc w:val="both"/>
        <w:rPr>
          <w:rFonts w:ascii="Arial" w:hAnsi="Arial" w:cs="Arial"/>
          <w:sz w:val="24"/>
          <w:szCs w:val="24"/>
          <w:u w:val="single"/>
        </w:rPr>
      </w:pPr>
    </w:p>
    <w:p w:rsidR="00353BD9" w:rsidRDefault="00FE48A7" w:rsidP="002B3B08">
      <w:pPr>
        <w:spacing w:after="0" w:line="360" w:lineRule="auto"/>
        <w:jc w:val="both"/>
        <w:rPr>
          <w:rFonts w:ascii="Arial" w:hAnsi="Arial" w:cs="Arial"/>
          <w:sz w:val="24"/>
          <w:szCs w:val="24"/>
        </w:rPr>
      </w:pPr>
      <w:r>
        <w:rPr>
          <w:rFonts w:ascii="Arial" w:hAnsi="Arial" w:cs="Arial"/>
          <w:sz w:val="24"/>
          <w:szCs w:val="24"/>
        </w:rPr>
        <w:t xml:space="preserve">[23] </w:t>
      </w:r>
      <w:r>
        <w:rPr>
          <w:rFonts w:ascii="Arial" w:hAnsi="Arial" w:cs="Arial"/>
          <w:sz w:val="24"/>
          <w:szCs w:val="24"/>
        </w:rPr>
        <w:tab/>
      </w:r>
      <w:r w:rsidR="00E543CA">
        <w:rPr>
          <w:rFonts w:ascii="Arial" w:hAnsi="Arial" w:cs="Arial"/>
          <w:sz w:val="24"/>
          <w:szCs w:val="24"/>
        </w:rPr>
        <w:t xml:space="preserve">As this appeal is regarded as unopposed I will </w:t>
      </w:r>
      <w:r w:rsidR="00D76FD7">
        <w:rPr>
          <w:rFonts w:ascii="Arial" w:hAnsi="Arial" w:cs="Arial"/>
          <w:sz w:val="24"/>
          <w:szCs w:val="24"/>
        </w:rPr>
        <w:t xml:space="preserve">in summary form </w:t>
      </w:r>
      <w:r w:rsidR="00E543CA">
        <w:rPr>
          <w:rFonts w:ascii="Arial" w:hAnsi="Arial" w:cs="Arial"/>
          <w:sz w:val="24"/>
          <w:szCs w:val="24"/>
        </w:rPr>
        <w:t>discuss issues raise</w:t>
      </w:r>
      <w:r w:rsidR="007003B5">
        <w:rPr>
          <w:rFonts w:ascii="Arial" w:hAnsi="Arial" w:cs="Arial"/>
          <w:sz w:val="24"/>
          <w:szCs w:val="24"/>
        </w:rPr>
        <w:t>d</w:t>
      </w:r>
      <w:r w:rsidR="00E543CA">
        <w:rPr>
          <w:rFonts w:ascii="Arial" w:hAnsi="Arial" w:cs="Arial"/>
          <w:sz w:val="24"/>
          <w:szCs w:val="24"/>
        </w:rPr>
        <w:t xml:space="preserve"> in the grounds of appeal. As is the case in many matters of this nature the grounds of appeal are </w:t>
      </w:r>
      <w:r w:rsidR="00E543CA" w:rsidRPr="0027331F">
        <w:rPr>
          <w:rFonts w:ascii="Arial" w:hAnsi="Arial" w:cs="Arial"/>
          <w:sz w:val="24"/>
          <w:szCs w:val="24"/>
        </w:rPr>
        <w:t>inextricably</w:t>
      </w:r>
      <w:r w:rsidR="00E543CA">
        <w:rPr>
          <w:rFonts w:ascii="Arial" w:hAnsi="Arial" w:cs="Arial"/>
          <w:sz w:val="24"/>
          <w:szCs w:val="24"/>
        </w:rPr>
        <w:t xml:space="preserve"> intertwined with each other and </w:t>
      </w:r>
      <w:r w:rsidR="00353BD9">
        <w:rPr>
          <w:rFonts w:ascii="Arial" w:hAnsi="Arial" w:cs="Arial"/>
          <w:sz w:val="24"/>
          <w:szCs w:val="24"/>
        </w:rPr>
        <w:t>this court must consider whether the arbitrator erred in finding that the dismissal of the appellants were</w:t>
      </w:r>
      <w:r w:rsidR="00E543CA">
        <w:rPr>
          <w:rFonts w:ascii="Arial" w:hAnsi="Arial" w:cs="Arial"/>
          <w:sz w:val="24"/>
          <w:szCs w:val="24"/>
        </w:rPr>
        <w:t xml:space="preserve"> procedural</w:t>
      </w:r>
      <w:r w:rsidR="00353BD9">
        <w:rPr>
          <w:rFonts w:ascii="Arial" w:hAnsi="Arial" w:cs="Arial"/>
          <w:sz w:val="24"/>
          <w:szCs w:val="24"/>
        </w:rPr>
        <w:t>ly</w:t>
      </w:r>
      <w:r w:rsidR="00E543CA">
        <w:rPr>
          <w:rFonts w:ascii="Arial" w:hAnsi="Arial" w:cs="Arial"/>
          <w:sz w:val="24"/>
          <w:szCs w:val="24"/>
        </w:rPr>
        <w:t xml:space="preserve"> and substantial</w:t>
      </w:r>
      <w:r w:rsidR="00353BD9">
        <w:rPr>
          <w:rFonts w:ascii="Arial" w:hAnsi="Arial" w:cs="Arial"/>
          <w:sz w:val="24"/>
          <w:szCs w:val="24"/>
        </w:rPr>
        <w:t>ly</w:t>
      </w:r>
      <w:r w:rsidR="00E543CA">
        <w:rPr>
          <w:rFonts w:ascii="Arial" w:hAnsi="Arial" w:cs="Arial"/>
          <w:sz w:val="24"/>
          <w:szCs w:val="24"/>
        </w:rPr>
        <w:t xml:space="preserve"> fair. </w:t>
      </w:r>
    </w:p>
    <w:p w:rsidR="00353BD9" w:rsidRDefault="00353BD9" w:rsidP="002B3B08">
      <w:pPr>
        <w:spacing w:after="0" w:line="360" w:lineRule="auto"/>
        <w:jc w:val="both"/>
        <w:rPr>
          <w:rFonts w:ascii="Arial" w:hAnsi="Arial" w:cs="Arial"/>
          <w:sz w:val="24"/>
          <w:szCs w:val="24"/>
        </w:rPr>
      </w:pPr>
    </w:p>
    <w:p w:rsidR="00B13A03" w:rsidRDefault="00353BD9" w:rsidP="002B3B08">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D76FD7">
        <w:rPr>
          <w:rFonts w:ascii="Arial" w:hAnsi="Arial" w:cs="Arial"/>
          <w:sz w:val="24"/>
          <w:szCs w:val="24"/>
        </w:rPr>
        <w:t>When determining these issues, it must be born</w:t>
      </w:r>
      <w:r w:rsidR="002B3B08">
        <w:rPr>
          <w:rFonts w:ascii="Arial" w:hAnsi="Arial" w:cs="Arial"/>
          <w:sz w:val="24"/>
          <w:szCs w:val="24"/>
        </w:rPr>
        <w:t>e</w:t>
      </w:r>
      <w:r w:rsidR="00D76FD7">
        <w:rPr>
          <w:rFonts w:ascii="Arial" w:hAnsi="Arial" w:cs="Arial"/>
          <w:sz w:val="24"/>
          <w:szCs w:val="24"/>
        </w:rPr>
        <w:t xml:space="preserve"> in mind </w:t>
      </w:r>
      <w:r w:rsidR="004A7BFD">
        <w:rPr>
          <w:rFonts w:ascii="Arial" w:hAnsi="Arial" w:cs="Arial"/>
          <w:sz w:val="24"/>
          <w:szCs w:val="24"/>
        </w:rPr>
        <w:t>that the test in appeals based on a question of law (in which there may also be an error of fact), is that the appellant must show that the arbitrator’s conclusion is one which he/she could not reasonably have reached</w:t>
      </w:r>
      <w:r w:rsidR="004A7BFD">
        <w:rPr>
          <w:rStyle w:val="FootnoteReference"/>
          <w:rFonts w:ascii="Arial" w:hAnsi="Arial" w:cs="Arial"/>
          <w:sz w:val="24"/>
          <w:szCs w:val="24"/>
        </w:rPr>
        <w:footnoteReference w:id="11"/>
      </w:r>
      <w:r w:rsidR="004A7BFD">
        <w:rPr>
          <w:rFonts w:ascii="Arial" w:hAnsi="Arial" w:cs="Arial"/>
          <w:sz w:val="24"/>
          <w:szCs w:val="24"/>
        </w:rPr>
        <w:t>.</w:t>
      </w:r>
    </w:p>
    <w:p w:rsidR="00AF66C3" w:rsidRDefault="00AF66C3" w:rsidP="002B3B08">
      <w:pPr>
        <w:spacing w:after="0" w:line="360" w:lineRule="auto"/>
        <w:jc w:val="both"/>
        <w:rPr>
          <w:rFonts w:ascii="Arial" w:hAnsi="Arial" w:cs="Arial"/>
          <w:sz w:val="24"/>
          <w:szCs w:val="24"/>
        </w:rPr>
      </w:pPr>
    </w:p>
    <w:p w:rsidR="00F845A7" w:rsidRPr="00BF5751" w:rsidRDefault="00AF66C3" w:rsidP="002B3B08">
      <w:pPr>
        <w:spacing w:after="0" w:line="360" w:lineRule="auto"/>
        <w:jc w:val="both"/>
        <w:rPr>
          <w:rFonts w:ascii="Arial" w:hAnsi="Arial" w:cs="Arial"/>
          <w:sz w:val="20"/>
          <w:szCs w:val="20"/>
        </w:rPr>
      </w:pPr>
      <w:r>
        <w:rPr>
          <w:rFonts w:ascii="Arial" w:hAnsi="Arial" w:cs="Arial"/>
          <w:sz w:val="24"/>
          <w:szCs w:val="24"/>
        </w:rPr>
        <w:t>[</w:t>
      </w:r>
      <w:r w:rsidR="00FE48A7">
        <w:rPr>
          <w:rFonts w:ascii="Arial" w:hAnsi="Arial" w:cs="Arial"/>
          <w:sz w:val="24"/>
          <w:szCs w:val="24"/>
        </w:rPr>
        <w:t>2</w:t>
      </w:r>
      <w:r w:rsidR="00353BD9">
        <w:rPr>
          <w:rFonts w:ascii="Arial" w:hAnsi="Arial" w:cs="Arial"/>
          <w:sz w:val="24"/>
          <w:szCs w:val="24"/>
        </w:rPr>
        <w:t>5</w:t>
      </w:r>
      <w:r w:rsidR="00690B42">
        <w:rPr>
          <w:rFonts w:ascii="Arial" w:hAnsi="Arial" w:cs="Arial"/>
          <w:sz w:val="24"/>
          <w:szCs w:val="24"/>
        </w:rPr>
        <w:t>]</w:t>
      </w:r>
      <w:r w:rsidR="00690B42">
        <w:rPr>
          <w:rFonts w:ascii="Arial" w:hAnsi="Arial" w:cs="Arial"/>
          <w:sz w:val="24"/>
          <w:szCs w:val="24"/>
        </w:rPr>
        <w:tab/>
        <w:t>It must be noted</w:t>
      </w:r>
      <w:r w:rsidR="00A81E1D">
        <w:rPr>
          <w:rFonts w:ascii="Arial" w:hAnsi="Arial" w:cs="Arial"/>
          <w:sz w:val="24"/>
          <w:szCs w:val="24"/>
        </w:rPr>
        <w:t xml:space="preserve"> that,</w:t>
      </w:r>
      <w:r w:rsidR="00A143A9">
        <w:rPr>
          <w:rFonts w:ascii="Arial" w:hAnsi="Arial" w:cs="Arial"/>
          <w:sz w:val="24"/>
          <w:szCs w:val="24"/>
        </w:rPr>
        <w:t>it was indicated to court that the</w:t>
      </w:r>
      <w:r w:rsidR="006448C9">
        <w:rPr>
          <w:rFonts w:ascii="Arial" w:hAnsi="Arial" w:cs="Arial"/>
          <w:sz w:val="24"/>
          <w:szCs w:val="24"/>
        </w:rPr>
        <w:t>appellants</w:t>
      </w:r>
      <w:r>
        <w:rPr>
          <w:rFonts w:ascii="Arial" w:hAnsi="Arial" w:cs="Arial"/>
          <w:sz w:val="24"/>
          <w:szCs w:val="24"/>
        </w:rPr>
        <w:t xml:space="preserve"> will not proceed with the grounds of appeal in para 2.2., 2.11</w:t>
      </w:r>
      <w:r w:rsidR="00690B42">
        <w:rPr>
          <w:rFonts w:ascii="Arial" w:hAnsi="Arial" w:cs="Arial"/>
          <w:sz w:val="24"/>
          <w:szCs w:val="24"/>
        </w:rPr>
        <w:t>.</w:t>
      </w:r>
      <w:r>
        <w:rPr>
          <w:rFonts w:ascii="Arial" w:hAnsi="Arial" w:cs="Arial"/>
          <w:sz w:val="24"/>
          <w:szCs w:val="24"/>
        </w:rPr>
        <w:t xml:space="preserve"> and 2.12</w:t>
      </w:r>
      <w:r w:rsidR="00690B42">
        <w:rPr>
          <w:rFonts w:ascii="Arial" w:hAnsi="Arial" w:cs="Arial"/>
          <w:sz w:val="24"/>
          <w:szCs w:val="24"/>
        </w:rPr>
        <w:t>.</w:t>
      </w:r>
      <w:r>
        <w:rPr>
          <w:rFonts w:ascii="Arial" w:hAnsi="Arial" w:cs="Arial"/>
          <w:sz w:val="24"/>
          <w:szCs w:val="24"/>
        </w:rPr>
        <w:t xml:space="preserve">of the Notice of </w:t>
      </w:r>
      <w:r w:rsidR="00F845A7">
        <w:rPr>
          <w:rFonts w:ascii="Arial" w:hAnsi="Arial" w:cs="Arial"/>
          <w:sz w:val="24"/>
          <w:szCs w:val="24"/>
        </w:rPr>
        <w:t>Appeal</w:t>
      </w:r>
      <w:r w:rsidR="00BF5751">
        <w:rPr>
          <w:rStyle w:val="FootnoteReference"/>
          <w:rFonts w:ascii="Arial" w:hAnsi="Arial" w:cs="Arial"/>
          <w:sz w:val="24"/>
          <w:szCs w:val="24"/>
        </w:rPr>
        <w:footnoteReference w:id="12"/>
      </w:r>
      <w:r w:rsidR="00A81E1D">
        <w:rPr>
          <w:rFonts w:ascii="Arial" w:hAnsi="Arial" w:cs="Arial"/>
          <w:sz w:val="24"/>
          <w:szCs w:val="24"/>
        </w:rPr>
        <w:t>.</w:t>
      </w:r>
    </w:p>
    <w:p w:rsidR="00F845A7" w:rsidRDefault="00F845A7" w:rsidP="002B3B08">
      <w:pPr>
        <w:spacing w:after="0" w:line="360" w:lineRule="auto"/>
        <w:jc w:val="both"/>
        <w:rPr>
          <w:rFonts w:ascii="Arial" w:hAnsi="Arial" w:cs="Arial"/>
          <w:sz w:val="24"/>
          <w:szCs w:val="24"/>
        </w:rPr>
      </w:pPr>
    </w:p>
    <w:p w:rsidR="00680B3A" w:rsidRDefault="00AF66C3" w:rsidP="002B3B08">
      <w:pPr>
        <w:spacing w:after="0" w:line="360" w:lineRule="auto"/>
        <w:jc w:val="both"/>
        <w:rPr>
          <w:rFonts w:ascii="Arial" w:hAnsi="Arial" w:cs="Arial"/>
          <w:sz w:val="24"/>
          <w:szCs w:val="24"/>
        </w:rPr>
      </w:pPr>
      <w:r>
        <w:rPr>
          <w:rFonts w:ascii="Arial" w:hAnsi="Arial" w:cs="Arial"/>
          <w:sz w:val="24"/>
          <w:szCs w:val="24"/>
        </w:rPr>
        <w:t>[2</w:t>
      </w:r>
      <w:r w:rsidR="00353BD9">
        <w:rPr>
          <w:rFonts w:ascii="Arial" w:hAnsi="Arial" w:cs="Arial"/>
          <w:sz w:val="24"/>
          <w:szCs w:val="24"/>
        </w:rPr>
        <w:t>6</w:t>
      </w:r>
      <w:r>
        <w:rPr>
          <w:rFonts w:ascii="Arial" w:hAnsi="Arial" w:cs="Arial"/>
          <w:sz w:val="24"/>
          <w:szCs w:val="24"/>
        </w:rPr>
        <w:t>]</w:t>
      </w:r>
      <w:r>
        <w:rPr>
          <w:rFonts w:ascii="Arial" w:hAnsi="Arial" w:cs="Arial"/>
          <w:sz w:val="24"/>
          <w:szCs w:val="24"/>
        </w:rPr>
        <w:tab/>
      </w:r>
      <w:r w:rsidR="00804B0A">
        <w:rPr>
          <w:rFonts w:ascii="Arial" w:hAnsi="Arial" w:cs="Arial"/>
          <w:sz w:val="24"/>
          <w:szCs w:val="24"/>
        </w:rPr>
        <w:t xml:space="preserve">The </w:t>
      </w:r>
      <w:r w:rsidR="00D22770">
        <w:rPr>
          <w:rFonts w:ascii="Arial" w:hAnsi="Arial" w:cs="Arial"/>
          <w:sz w:val="24"/>
          <w:szCs w:val="24"/>
        </w:rPr>
        <w:t xml:space="preserve">appellants </w:t>
      </w:r>
      <w:r w:rsidR="006448C9">
        <w:rPr>
          <w:rFonts w:ascii="Arial" w:hAnsi="Arial" w:cs="Arial"/>
          <w:sz w:val="24"/>
          <w:szCs w:val="24"/>
        </w:rPr>
        <w:t xml:space="preserve">however </w:t>
      </w:r>
      <w:r w:rsidR="00F27F08">
        <w:rPr>
          <w:rFonts w:ascii="Arial" w:hAnsi="Arial" w:cs="Arial"/>
          <w:sz w:val="24"/>
          <w:szCs w:val="24"/>
        </w:rPr>
        <w:t xml:space="preserve">elected to </w:t>
      </w:r>
      <w:r w:rsidR="00D22770">
        <w:rPr>
          <w:rFonts w:ascii="Arial" w:hAnsi="Arial" w:cs="Arial"/>
          <w:sz w:val="24"/>
          <w:szCs w:val="24"/>
        </w:rPr>
        <w:t xml:space="preserve">proceed </w:t>
      </w:r>
      <w:r w:rsidR="00F27F08">
        <w:rPr>
          <w:rFonts w:ascii="Arial" w:hAnsi="Arial" w:cs="Arial"/>
          <w:sz w:val="24"/>
          <w:szCs w:val="24"/>
        </w:rPr>
        <w:t>i</w:t>
      </w:r>
      <w:r w:rsidR="00D22770">
        <w:rPr>
          <w:rFonts w:ascii="Arial" w:hAnsi="Arial" w:cs="Arial"/>
          <w:sz w:val="24"/>
          <w:szCs w:val="24"/>
        </w:rPr>
        <w:t>n</w:t>
      </w:r>
      <w:r w:rsidR="00F27F08">
        <w:rPr>
          <w:rFonts w:ascii="Arial" w:hAnsi="Arial" w:cs="Arial"/>
          <w:sz w:val="24"/>
          <w:szCs w:val="24"/>
        </w:rPr>
        <w:t xml:space="preserve"> respect</w:t>
      </w:r>
      <w:r w:rsidR="00A81E1D">
        <w:rPr>
          <w:rFonts w:ascii="Arial" w:hAnsi="Arial" w:cs="Arial"/>
          <w:sz w:val="24"/>
          <w:szCs w:val="24"/>
        </w:rPr>
        <w:t xml:space="preserve"> of</w:t>
      </w:r>
      <w:r w:rsidR="00D22770">
        <w:rPr>
          <w:rFonts w:ascii="Arial" w:hAnsi="Arial" w:cs="Arial"/>
          <w:sz w:val="24"/>
          <w:szCs w:val="24"/>
        </w:rPr>
        <w:t xml:space="preserve"> the </w:t>
      </w:r>
      <w:r w:rsidR="00A81E1D">
        <w:rPr>
          <w:rFonts w:ascii="Arial" w:hAnsi="Arial" w:cs="Arial"/>
          <w:sz w:val="24"/>
          <w:szCs w:val="24"/>
        </w:rPr>
        <w:t>remaining</w:t>
      </w:r>
      <w:r w:rsidR="00804B0A">
        <w:rPr>
          <w:rFonts w:ascii="Arial" w:hAnsi="Arial" w:cs="Arial"/>
          <w:sz w:val="24"/>
          <w:szCs w:val="24"/>
        </w:rPr>
        <w:t xml:space="preserve"> grounds of appeal,</w:t>
      </w:r>
      <w:r w:rsidR="00D22770">
        <w:rPr>
          <w:rFonts w:ascii="Arial" w:hAnsi="Arial" w:cs="Arial"/>
          <w:sz w:val="24"/>
          <w:szCs w:val="24"/>
        </w:rPr>
        <w:t xml:space="preserve"> namely,</w:t>
      </w:r>
      <w:r w:rsidR="00804B0A">
        <w:rPr>
          <w:rFonts w:ascii="Arial" w:hAnsi="Arial" w:cs="Arial"/>
          <w:sz w:val="24"/>
          <w:szCs w:val="24"/>
        </w:rPr>
        <w:t xml:space="preserve"> paragraphs 2.1, 2.3 to 2.10</w:t>
      </w:r>
      <w:r w:rsidR="00C554E0">
        <w:rPr>
          <w:rFonts w:ascii="Arial" w:hAnsi="Arial" w:cs="Arial"/>
          <w:sz w:val="24"/>
          <w:szCs w:val="24"/>
        </w:rPr>
        <w:t>, 2.13</w:t>
      </w:r>
      <w:r w:rsidR="00804B0A">
        <w:rPr>
          <w:rFonts w:ascii="Arial" w:hAnsi="Arial" w:cs="Arial"/>
          <w:sz w:val="24"/>
          <w:szCs w:val="24"/>
        </w:rPr>
        <w:t xml:space="preserve"> and 2.14. </w:t>
      </w:r>
      <w:r w:rsidR="00CF4259">
        <w:rPr>
          <w:rFonts w:ascii="Arial" w:hAnsi="Arial" w:cs="Arial"/>
          <w:sz w:val="24"/>
          <w:szCs w:val="24"/>
        </w:rPr>
        <w:t>The</w:t>
      </w:r>
      <w:r w:rsidR="00D76FD7">
        <w:rPr>
          <w:rFonts w:ascii="Arial" w:hAnsi="Arial" w:cs="Arial"/>
          <w:sz w:val="24"/>
          <w:szCs w:val="24"/>
        </w:rPr>
        <w:t xml:space="preserve"> issue</w:t>
      </w:r>
      <w:r w:rsidR="00680B3A">
        <w:rPr>
          <w:rFonts w:ascii="Arial" w:hAnsi="Arial" w:cs="Arial"/>
          <w:sz w:val="24"/>
          <w:szCs w:val="24"/>
        </w:rPr>
        <w:t xml:space="preserve">sarising from the </w:t>
      </w:r>
      <w:r w:rsidR="00CF4259">
        <w:rPr>
          <w:rFonts w:ascii="Arial" w:hAnsi="Arial" w:cs="Arial"/>
          <w:sz w:val="24"/>
          <w:szCs w:val="24"/>
        </w:rPr>
        <w:t xml:space="preserve">grounds of appeal </w:t>
      </w:r>
      <w:r w:rsidR="00680B3A">
        <w:rPr>
          <w:rFonts w:ascii="Arial" w:hAnsi="Arial" w:cs="Arial"/>
          <w:sz w:val="24"/>
          <w:szCs w:val="24"/>
        </w:rPr>
        <w:t xml:space="preserve">are in summary the </w:t>
      </w:r>
      <w:r w:rsidR="00CF4259">
        <w:rPr>
          <w:rFonts w:ascii="Arial" w:hAnsi="Arial" w:cs="Arial"/>
          <w:sz w:val="24"/>
          <w:szCs w:val="24"/>
        </w:rPr>
        <w:t xml:space="preserve">following: </w:t>
      </w:r>
      <w:r w:rsidR="00680B3A">
        <w:rPr>
          <w:rFonts w:ascii="Arial" w:hAnsi="Arial" w:cs="Arial"/>
          <w:sz w:val="24"/>
          <w:szCs w:val="24"/>
        </w:rPr>
        <w:t>That the arbitrator erred or misdirected herself on the following issues:-</w:t>
      </w:r>
    </w:p>
    <w:p w:rsidR="00A81E1D" w:rsidRDefault="00A81E1D" w:rsidP="002B3B08">
      <w:pPr>
        <w:spacing w:after="0" w:line="360" w:lineRule="auto"/>
        <w:jc w:val="both"/>
        <w:rPr>
          <w:rFonts w:ascii="Arial" w:hAnsi="Arial" w:cs="Arial"/>
          <w:sz w:val="24"/>
          <w:szCs w:val="24"/>
        </w:rPr>
      </w:pPr>
    </w:p>
    <w:p w:rsidR="00CF4259" w:rsidRDefault="00CF4259" w:rsidP="002B3B08">
      <w:pPr>
        <w:spacing w:after="0" w:line="360" w:lineRule="auto"/>
        <w:ind w:left="144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D868AE">
        <w:rPr>
          <w:rFonts w:ascii="Arial" w:hAnsi="Arial" w:cs="Arial"/>
          <w:sz w:val="24"/>
          <w:szCs w:val="24"/>
        </w:rPr>
        <w:t>Finding that d</w:t>
      </w:r>
      <w:r w:rsidR="004A7BFD">
        <w:rPr>
          <w:rFonts w:ascii="Arial" w:hAnsi="Arial" w:cs="Arial"/>
          <w:sz w:val="24"/>
          <w:szCs w:val="24"/>
        </w:rPr>
        <w:t xml:space="preserve">isciplinary </w:t>
      </w:r>
      <w:r w:rsidR="00680B3A">
        <w:rPr>
          <w:rFonts w:ascii="Arial" w:hAnsi="Arial" w:cs="Arial"/>
          <w:sz w:val="24"/>
          <w:szCs w:val="24"/>
        </w:rPr>
        <w:t>proceedings</w:t>
      </w:r>
      <w:r w:rsidR="00C826B0">
        <w:rPr>
          <w:rFonts w:ascii="Arial" w:hAnsi="Arial" w:cs="Arial"/>
          <w:sz w:val="24"/>
          <w:szCs w:val="24"/>
        </w:rPr>
        <w:t>, more specifically the appeal proc</w:t>
      </w:r>
      <w:r w:rsidR="00510C09">
        <w:rPr>
          <w:rFonts w:ascii="Arial" w:hAnsi="Arial" w:cs="Arial"/>
          <w:sz w:val="24"/>
          <w:szCs w:val="24"/>
        </w:rPr>
        <w:t>e</w:t>
      </w:r>
      <w:r w:rsidR="00C826B0">
        <w:rPr>
          <w:rFonts w:ascii="Arial" w:hAnsi="Arial" w:cs="Arial"/>
          <w:sz w:val="24"/>
          <w:szCs w:val="24"/>
        </w:rPr>
        <w:t>edings</w:t>
      </w:r>
      <w:r w:rsidR="004A7BFD">
        <w:rPr>
          <w:rFonts w:ascii="Arial" w:hAnsi="Arial" w:cs="Arial"/>
          <w:sz w:val="24"/>
          <w:szCs w:val="24"/>
        </w:rPr>
        <w:t xml:space="preserve"> w</w:t>
      </w:r>
      <w:r w:rsidR="00D868AE">
        <w:rPr>
          <w:rFonts w:ascii="Arial" w:hAnsi="Arial" w:cs="Arial"/>
          <w:sz w:val="24"/>
          <w:szCs w:val="24"/>
        </w:rPr>
        <w:t>ereprocedurally fair</w:t>
      </w:r>
      <w:r w:rsidR="00C826B0">
        <w:rPr>
          <w:rFonts w:ascii="Arial" w:hAnsi="Arial" w:cs="Arial"/>
          <w:sz w:val="24"/>
          <w:szCs w:val="24"/>
        </w:rPr>
        <w:t>;</w:t>
      </w:r>
    </w:p>
    <w:p w:rsidR="00510C09" w:rsidRDefault="00C826B0" w:rsidP="002B3B08">
      <w:pPr>
        <w:spacing w:after="0" w:line="36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510C09">
        <w:rPr>
          <w:rFonts w:ascii="Arial" w:hAnsi="Arial" w:cs="Arial"/>
          <w:sz w:val="24"/>
          <w:szCs w:val="24"/>
        </w:rPr>
        <w:t>Failure</w:t>
      </w:r>
      <w:r w:rsidR="00D868AE">
        <w:rPr>
          <w:rFonts w:ascii="Arial" w:hAnsi="Arial" w:cs="Arial"/>
          <w:sz w:val="24"/>
          <w:szCs w:val="24"/>
        </w:rPr>
        <w:t xml:space="preserve"> toconsider the onus resting on </w:t>
      </w:r>
      <w:r w:rsidR="00510C09">
        <w:rPr>
          <w:rFonts w:ascii="Arial" w:hAnsi="Arial" w:cs="Arial"/>
          <w:sz w:val="24"/>
          <w:szCs w:val="24"/>
        </w:rPr>
        <w:t>first respondent to rebut the presumption of unfair dismissal;</w:t>
      </w:r>
    </w:p>
    <w:p w:rsidR="00510C09" w:rsidRDefault="00510C09" w:rsidP="002B3B08">
      <w:pPr>
        <w:spacing w:after="0" w:line="36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D868AE">
        <w:rPr>
          <w:rFonts w:ascii="Arial" w:hAnsi="Arial" w:cs="Arial"/>
          <w:sz w:val="24"/>
          <w:szCs w:val="24"/>
        </w:rPr>
        <w:t>Finding for the first respondent in her arbitration award in spite of the m</w:t>
      </w:r>
      <w:r>
        <w:rPr>
          <w:rFonts w:ascii="Arial" w:hAnsi="Arial" w:cs="Arial"/>
          <w:sz w:val="24"/>
          <w:szCs w:val="24"/>
        </w:rPr>
        <w:t>utually destructive versions</w:t>
      </w:r>
      <w:r w:rsidR="00D868AE">
        <w:rPr>
          <w:rFonts w:ascii="Arial" w:hAnsi="Arial" w:cs="Arial"/>
          <w:sz w:val="24"/>
          <w:szCs w:val="24"/>
        </w:rPr>
        <w:t xml:space="preserve"> before her</w:t>
      </w:r>
      <w:r>
        <w:rPr>
          <w:rFonts w:ascii="Arial" w:hAnsi="Arial" w:cs="Arial"/>
          <w:sz w:val="24"/>
          <w:szCs w:val="24"/>
        </w:rPr>
        <w:t xml:space="preserve">; </w:t>
      </w:r>
    </w:p>
    <w:p w:rsidR="00547FD9" w:rsidRDefault="00510C09" w:rsidP="002B3B08">
      <w:pPr>
        <w:spacing w:after="0" w:line="360" w:lineRule="auto"/>
        <w:ind w:left="1440" w:hanging="720"/>
        <w:jc w:val="both"/>
        <w:rPr>
          <w:rFonts w:ascii="Arial" w:hAnsi="Arial" w:cs="Arial"/>
          <w:sz w:val="24"/>
          <w:szCs w:val="24"/>
        </w:rPr>
      </w:pPr>
      <w:r>
        <w:rPr>
          <w:rFonts w:ascii="Arial" w:hAnsi="Arial" w:cs="Arial"/>
          <w:sz w:val="24"/>
          <w:szCs w:val="24"/>
        </w:rPr>
        <w:t xml:space="preserve">d. </w:t>
      </w:r>
      <w:r>
        <w:rPr>
          <w:rFonts w:ascii="Arial" w:hAnsi="Arial" w:cs="Arial"/>
          <w:sz w:val="24"/>
          <w:szCs w:val="24"/>
        </w:rPr>
        <w:tab/>
      </w:r>
      <w:r w:rsidR="00D868AE">
        <w:rPr>
          <w:rFonts w:ascii="Arial" w:hAnsi="Arial" w:cs="Arial"/>
          <w:sz w:val="24"/>
          <w:szCs w:val="24"/>
        </w:rPr>
        <w:t>Failure to consider the i</w:t>
      </w:r>
      <w:r>
        <w:rPr>
          <w:rFonts w:ascii="Arial" w:hAnsi="Arial" w:cs="Arial"/>
          <w:sz w:val="24"/>
          <w:szCs w:val="24"/>
        </w:rPr>
        <w:t>nconsistency in applying discipline by first respondent</w:t>
      </w:r>
      <w:r w:rsidR="00547FD9">
        <w:rPr>
          <w:rFonts w:ascii="Arial" w:hAnsi="Arial" w:cs="Arial"/>
          <w:sz w:val="24"/>
          <w:szCs w:val="24"/>
        </w:rPr>
        <w:t>;</w:t>
      </w:r>
    </w:p>
    <w:p w:rsidR="00C826B0" w:rsidRDefault="00547FD9" w:rsidP="002B3B08">
      <w:pPr>
        <w:spacing w:after="0" w:line="360" w:lineRule="auto"/>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D868AE">
        <w:rPr>
          <w:rFonts w:ascii="Arial" w:hAnsi="Arial" w:cs="Arial"/>
          <w:sz w:val="24"/>
          <w:szCs w:val="24"/>
        </w:rPr>
        <w:t>Finding that appellants f</w:t>
      </w:r>
      <w:r>
        <w:rPr>
          <w:rFonts w:ascii="Arial" w:hAnsi="Arial" w:cs="Arial"/>
          <w:sz w:val="24"/>
          <w:szCs w:val="24"/>
        </w:rPr>
        <w:t>ail</w:t>
      </w:r>
      <w:r w:rsidR="00D868AE">
        <w:rPr>
          <w:rFonts w:ascii="Arial" w:hAnsi="Arial" w:cs="Arial"/>
          <w:sz w:val="24"/>
          <w:szCs w:val="24"/>
        </w:rPr>
        <w:t xml:space="preserve">ed </w:t>
      </w:r>
      <w:r>
        <w:rPr>
          <w:rFonts w:ascii="Arial" w:hAnsi="Arial" w:cs="Arial"/>
          <w:sz w:val="24"/>
          <w:szCs w:val="24"/>
        </w:rPr>
        <w:t>to comply with para 11.4 of Recognition and Procedural Agreement</w:t>
      </w:r>
      <w:r w:rsidR="003F4220">
        <w:rPr>
          <w:rFonts w:ascii="Arial" w:hAnsi="Arial" w:cs="Arial"/>
          <w:sz w:val="24"/>
          <w:szCs w:val="24"/>
        </w:rPr>
        <w:t xml:space="preserve"> between first respondent company and MUN</w:t>
      </w:r>
      <w:r>
        <w:rPr>
          <w:rFonts w:ascii="Arial" w:hAnsi="Arial" w:cs="Arial"/>
          <w:sz w:val="24"/>
          <w:szCs w:val="24"/>
        </w:rPr>
        <w:t>.</w:t>
      </w:r>
    </w:p>
    <w:p w:rsidR="00E543CA" w:rsidRDefault="00E543CA" w:rsidP="002B3B08">
      <w:pPr>
        <w:spacing w:after="0" w:line="360" w:lineRule="auto"/>
        <w:jc w:val="both"/>
        <w:rPr>
          <w:rFonts w:ascii="Arial" w:hAnsi="Arial" w:cs="Arial"/>
          <w:sz w:val="24"/>
          <w:szCs w:val="24"/>
        </w:rPr>
      </w:pPr>
    </w:p>
    <w:p w:rsidR="00804B0A" w:rsidRPr="00E543CA" w:rsidRDefault="00E543CA" w:rsidP="002B3B08">
      <w:pPr>
        <w:spacing w:after="0" w:line="360" w:lineRule="auto"/>
        <w:jc w:val="both"/>
        <w:rPr>
          <w:rFonts w:ascii="Arial" w:hAnsi="Arial" w:cs="Arial"/>
          <w:i/>
          <w:sz w:val="24"/>
          <w:szCs w:val="24"/>
        </w:rPr>
      </w:pPr>
      <w:r w:rsidRPr="00E543CA">
        <w:rPr>
          <w:rFonts w:ascii="Arial" w:hAnsi="Arial" w:cs="Arial"/>
          <w:i/>
          <w:sz w:val="24"/>
          <w:szCs w:val="24"/>
        </w:rPr>
        <w:t xml:space="preserve">On the issue of procedural fairness </w:t>
      </w:r>
    </w:p>
    <w:p w:rsidR="00E543CA" w:rsidRDefault="000338A9" w:rsidP="002B3B08">
      <w:pPr>
        <w:spacing w:after="0" w:line="360" w:lineRule="auto"/>
        <w:jc w:val="both"/>
        <w:rPr>
          <w:rFonts w:ascii="Arial" w:eastAsia="Calibri" w:hAnsi="Arial" w:cs="Arial"/>
          <w:color w:val="000000" w:themeColor="text1"/>
          <w:sz w:val="24"/>
          <w:szCs w:val="24"/>
          <w:lang w:val="en-US"/>
        </w:rPr>
      </w:pPr>
      <w:r>
        <w:rPr>
          <w:rFonts w:ascii="Arial" w:hAnsi="Arial" w:cs="Arial"/>
          <w:sz w:val="24"/>
          <w:szCs w:val="24"/>
        </w:rPr>
        <w:tab/>
      </w:r>
    </w:p>
    <w:p w:rsidR="00E543CA" w:rsidRDefault="00E543CA" w:rsidP="002B3B08">
      <w:pPr>
        <w:spacing w:after="0" w:line="360" w:lineRule="auto"/>
        <w:jc w:val="both"/>
        <w:rPr>
          <w:rFonts w:ascii="Arial" w:eastAsia="Calibri" w:hAnsi="Arial" w:cs="Arial"/>
          <w:color w:val="000000" w:themeColor="text1"/>
          <w:sz w:val="24"/>
          <w:szCs w:val="24"/>
          <w:lang w:val="en-US"/>
        </w:rPr>
      </w:pPr>
      <w:r>
        <w:rPr>
          <w:rFonts w:ascii="Arial" w:hAnsi="Arial" w:cs="Arial"/>
          <w:sz w:val="24"/>
          <w:szCs w:val="24"/>
        </w:rPr>
        <w:t>[2</w:t>
      </w:r>
      <w:r w:rsidR="00353BD9">
        <w:rPr>
          <w:rFonts w:ascii="Arial" w:hAnsi="Arial" w:cs="Arial"/>
          <w:sz w:val="24"/>
          <w:szCs w:val="24"/>
        </w:rPr>
        <w:t>7</w:t>
      </w:r>
      <w:r>
        <w:rPr>
          <w:rFonts w:ascii="Arial" w:hAnsi="Arial" w:cs="Arial"/>
          <w:sz w:val="24"/>
          <w:szCs w:val="24"/>
        </w:rPr>
        <w:t>]</w:t>
      </w:r>
      <w:r>
        <w:rPr>
          <w:rFonts w:ascii="Arial" w:hAnsi="Arial" w:cs="Arial"/>
          <w:sz w:val="24"/>
          <w:szCs w:val="24"/>
        </w:rPr>
        <w:tab/>
      </w:r>
      <w:r>
        <w:rPr>
          <w:rFonts w:ascii="Arial" w:eastAsia="Calibri" w:hAnsi="Arial" w:cs="Arial"/>
          <w:color w:val="000000" w:themeColor="text1"/>
          <w:sz w:val="24"/>
          <w:szCs w:val="24"/>
          <w:lang w:val="en-US"/>
        </w:rPr>
        <w:t>In her summary</w:t>
      </w:r>
      <w:r w:rsidR="00A81E1D">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 xml:space="preserve"> the arbitrator made the following finding: ‘</w:t>
      </w:r>
      <w:r w:rsidRPr="00D56E3F">
        <w:rPr>
          <w:rFonts w:ascii="Arial" w:eastAsia="Calibri" w:hAnsi="Arial" w:cs="Arial"/>
          <w:i/>
          <w:color w:val="000000" w:themeColor="text1"/>
          <w:sz w:val="24"/>
          <w:szCs w:val="24"/>
          <w:lang w:val="en-US"/>
        </w:rPr>
        <w:t>The procedure taken is not disputed hence with the dismissal is procedurally and substantively fair</w:t>
      </w:r>
      <w:r>
        <w:rPr>
          <w:rFonts w:ascii="Arial" w:eastAsia="Calibri" w:hAnsi="Arial" w:cs="Arial"/>
          <w:color w:val="000000" w:themeColor="text1"/>
          <w:sz w:val="24"/>
          <w:szCs w:val="24"/>
          <w:lang w:val="en-US"/>
        </w:rPr>
        <w:t>’</w:t>
      </w:r>
      <w:r>
        <w:rPr>
          <w:rStyle w:val="FootnoteReference"/>
          <w:rFonts w:ascii="Arial" w:eastAsia="Calibri" w:hAnsi="Arial" w:cs="Arial"/>
          <w:color w:val="000000" w:themeColor="text1"/>
          <w:sz w:val="24"/>
          <w:szCs w:val="24"/>
          <w:lang w:val="en-US"/>
        </w:rPr>
        <w:footnoteReference w:id="13"/>
      </w:r>
      <w:r>
        <w:rPr>
          <w:rFonts w:ascii="Arial" w:eastAsia="Calibri" w:hAnsi="Arial" w:cs="Arial"/>
          <w:color w:val="000000" w:themeColor="text1"/>
          <w:sz w:val="24"/>
          <w:szCs w:val="24"/>
          <w:lang w:val="en-US"/>
        </w:rPr>
        <w:t xml:space="preserve">.  </w:t>
      </w:r>
      <w:r w:rsidR="003F4220">
        <w:rPr>
          <w:rFonts w:ascii="Arial" w:eastAsia="Calibri" w:hAnsi="Arial" w:cs="Arial"/>
          <w:color w:val="000000" w:themeColor="text1"/>
          <w:sz w:val="24"/>
          <w:szCs w:val="24"/>
          <w:lang w:val="en-US"/>
        </w:rPr>
        <w:t>T</w:t>
      </w:r>
      <w:r>
        <w:rPr>
          <w:rFonts w:ascii="Arial" w:eastAsia="Calibri" w:hAnsi="Arial" w:cs="Arial"/>
          <w:color w:val="000000" w:themeColor="text1"/>
          <w:sz w:val="24"/>
          <w:szCs w:val="24"/>
          <w:lang w:val="en-US"/>
        </w:rPr>
        <w:t>he arbitrator</w:t>
      </w:r>
      <w:r w:rsidR="003F4220">
        <w:rPr>
          <w:rFonts w:ascii="Arial" w:eastAsia="Calibri" w:hAnsi="Arial" w:cs="Arial"/>
          <w:color w:val="000000" w:themeColor="text1"/>
          <w:sz w:val="24"/>
          <w:szCs w:val="24"/>
          <w:lang w:val="en-US"/>
        </w:rPr>
        <w:t xml:space="preserve"> goes further to say</w:t>
      </w:r>
      <w:r>
        <w:rPr>
          <w:rFonts w:ascii="Arial" w:eastAsia="Calibri" w:hAnsi="Arial" w:cs="Arial"/>
          <w:color w:val="000000" w:themeColor="text1"/>
          <w:sz w:val="24"/>
          <w:szCs w:val="24"/>
          <w:lang w:val="en-US"/>
        </w:rPr>
        <w:t xml:space="preserve"> in para 6 or her summary, </w:t>
      </w:r>
      <w:r w:rsidR="009E574B">
        <w:rPr>
          <w:rFonts w:ascii="Arial" w:eastAsia="Calibri" w:hAnsi="Arial" w:cs="Arial"/>
          <w:color w:val="000000" w:themeColor="text1"/>
          <w:sz w:val="24"/>
          <w:szCs w:val="24"/>
          <w:lang w:val="en-US"/>
        </w:rPr>
        <w:t>i.e.</w:t>
      </w:r>
      <w:r>
        <w:rPr>
          <w:rFonts w:ascii="Arial" w:eastAsia="Calibri" w:hAnsi="Arial" w:cs="Arial"/>
          <w:color w:val="000000" w:themeColor="text1"/>
          <w:sz w:val="24"/>
          <w:szCs w:val="24"/>
          <w:lang w:val="en-US"/>
        </w:rPr>
        <w:t xml:space="preserve"> ‘</w:t>
      </w:r>
      <w:r w:rsidRPr="00D56E3F">
        <w:rPr>
          <w:rFonts w:ascii="Arial" w:eastAsia="Calibri" w:hAnsi="Arial" w:cs="Arial"/>
          <w:i/>
          <w:color w:val="000000" w:themeColor="text1"/>
          <w:sz w:val="24"/>
          <w:szCs w:val="24"/>
          <w:lang w:val="en-US"/>
        </w:rPr>
        <w:t>Mr. Dale Kasuto agreed with the respondent’s representative Mr. August Awaseb that their dismissal was procedurally and substantively fair and that they were given a fair chance to appeal</w:t>
      </w:r>
      <w:r>
        <w:rPr>
          <w:rFonts w:ascii="Arial" w:eastAsia="Calibri" w:hAnsi="Arial" w:cs="Arial"/>
          <w:color w:val="000000" w:themeColor="text1"/>
          <w:sz w:val="24"/>
          <w:szCs w:val="24"/>
          <w:lang w:val="en-US"/>
        </w:rPr>
        <w:t xml:space="preserve">.’ </w:t>
      </w:r>
    </w:p>
    <w:p w:rsidR="001E4F0E" w:rsidRDefault="001E4F0E" w:rsidP="002B3B08">
      <w:pPr>
        <w:spacing w:after="0" w:line="360" w:lineRule="auto"/>
        <w:jc w:val="both"/>
        <w:rPr>
          <w:rFonts w:ascii="Arial" w:hAnsi="Arial" w:cs="Arial"/>
          <w:sz w:val="24"/>
          <w:szCs w:val="24"/>
        </w:rPr>
      </w:pPr>
    </w:p>
    <w:p w:rsidR="00A357E7" w:rsidRDefault="001E4F0E" w:rsidP="002B3B08">
      <w:pPr>
        <w:spacing w:after="0" w:line="360" w:lineRule="auto"/>
        <w:jc w:val="both"/>
        <w:rPr>
          <w:rFonts w:ascii="Arial" w:hAnsi="Arial" w:cs="Arial"/>
          <w:sz w:val="24"/>
          <w:szCs w:val="24"/>
        </w:rPr>
      </w:pPr>
      <w:r>
        <w:rPr>
          <w:rFonts w:ascii="Arial" w:hAnsi="Arial" w:cs="Arial"/>
          <w:sz w:val="24"/>
          <w:szCs w:val="24"/>
        </w:rPr>
        <w:t>[2</w:t>
      </w:r>
      <w:r w:rsidR="00353BD9">
        <w:rPr>
          <w:rFonts w:ascii="Arial" w:hAnsi="Arial" w:cs="Arial"/>
          <w:sz w:val="24"/>
          <w:szCs w:val="24"/>
        </w:rPr>
        <w:t>8</w:t>
      </w:r>
      <w:r>
        <w:rPr>
          <w:rFonts w:ascii="Arial" w:hAnsi="Arial" w:cs="Arial"/>
          <w:sz w:val="24"/>
          <w:szCs w:val="24"/>
        </w:rPr>
        <w:t xml:space="preserve">] </w:t>
      </w:r>
      <w:r>
        <w:rPr>
          <w:rFonts w:ascii="Arial" w:hAnsi="Arial" w:cs="Arial"/>
          <w:sz w:val="24"/>
          <w:szCs w:val="24"/>
        </w:rPr>
        <w:tab/>
      </w:r>
      <w:r w:rsidR="003F4220">
        <w:rPr>
          <w:rFonts w:ascii="Arial" w:eastAsia="Calibri" w:hAnsi="Arial" w:cs="Arial"/>
          <w:color w:val="000000" w:themeColor="text1"/>
          <w:sz w:val="24"/>
          <w:szCs w:val="24"/>
          <w:lang w:val="en-US"/>
        </w:rPr>
        <w:t>It is indeed correct that the 2</w:t>
      </w:r>
      <w:r w:rsidR="003F4220" w:rsidRPr="0000417F">
        <w:rPr>
          <w:rFonts w:ascii="Arial" w:eastAsia="Calibri" w:hAnsi="Arial" w:cs="Arial"/>
          <w:color w:val="000000" w:themeColor="text1"/>
          <w:sz w:val="24"/>
          <w:szCs w:val="24"/>
          <w:vertAlign w:val="superscript"/>
          <w:lang w:val="en-US"/>
        </w:rPr>
        <w:t>nd</w:t>
      </w:r>
      <w:r w:rsidR="003F4220">
        <w:rPr>
          <w:rFonts w:ascii="Arial" w:eastAsia="Calibri" w:hAnsi="Arial" w:cs="Arial"/>
          <w:color w:val="000000" w:themeColor="text1"/>
          <w:sz w:val="24"/>
          <w:szCs w:val="24"/>
          <w:lang w:val="en-US"/>
        </w:rPr>
        <w:t xml:space="preserve"> appellant made a number of concessions regarding the procedure followed during the disciplinary hearing however contrary to what the arbitrator found, the </w:t>
      </w:r>
      <w:r w:rsidR="00E543CA">
        <w:rPr>
          <w:rFonts w:ascii="Arial" w:hAnsi="Arial" w:cs="Arial"/>
          <w:sz w:val="24"/>
          <w:szCs w:val="24"/>
        </w:rPr>
        <w:t xml:space="preserve">fairness of the disciplinary proceedings as well as the appeal process was placed in dispute. </w:t>
      </w:r>
      <w:r w:rsidR="00982D82">
        <w:rPr>
          <w:rFonts w:ascii="Arial" w:hAnsi="Arial" w:cs="Arial"/>
          <w:sz w:val="24"/>
          <w:szCs w:val="24"/>
        </w:rPr>
        <w:t>It was not disputed that the applicants/appellants had the opportunity to appeal the decision of the chairperson of the disciplinary hearing, the issue which was pertinently raise</w:t>
      </w:r>
      <w:r w:rsidR="00024926">
        <w:rPr>
          <w:rFonts w:ascii="Arial" w:hAnsi="Arial" w:cs="Arial"/>
          <w:sz w:val="24"/>
          <w:szCs w:val="24"/>
        </w:rPr>
        <w:t>d</w:t>
      </w:r>
      <w:r w:rsidR="00982D82">
        <w:rPr>
          <w:rFonts w:ascii="Arial" w:hAnsi="Arial" w:cs="Arial"/>
          <w:sz w:val="24"/>
          <w:szCs w:val="24"/>
        </w:rPr>
        <w:t xml:space="preserve"> on behalf of the applicants/appellants was that the appeal </w:t>
      </w:r>
      <w:r w:rsidR="00E543CA">
        <w:rPr>
          <w:rFonts w:ascii="Arial" w:hAnsi="Arial" w:cs="Arial"/>
          <w:sz w:val="24"/>
          <w:szCs w:val="24"/>
        </w:rPr>
        <w:t>chair</w:t>
      </w:r>
      <w:r w:rsidR="00982D82">
        <w:rPr>
          <w:rFonts w:ascii="Arial" w:hAnsi="Arial" w:cs="Arial"/>
          <w:sz w:val="24"/>
          <w:szCs w:val="24"/>
        </w:rPr>
        <w:t>p</w:t>
      </w:r>
      <w:r w:rsidR="00E543CA">
        <w:rPr>
          <w:rFonts w:ascii="Arial" w:hAnsi="Arial" w:cs="Arial"/>
          <w:sz w:val="24"/>
          <w:szCs w:val="24"/>
        </w:rPr>
        <w:t xml:space="preserve">erson was attached to the same </w:t>
      </w:r>
      <w:r w:rsidR="00982D82">
        <w:rPr>
          <w:rFonts w:ascii="Arial" w:hAnsi="Arial" w:cs="Arial"/>
          <w:sz w:val="24"/>
          <w:szCs w:val="24"/>
        </w:rPr>
        <w:t>firm</w:t>
      </w:r>
      <w:r w:rsidR="00F872C0">
        <w:rPr>
          <w:rFonts w:ascii="Arial" w:hAnsi="Arial" w:cs="Arial"/>
          <w:sz w:val="24"/>
          <w:szCs w:val="24"/>
        </w:rPr>
        <w:t>, OSMAN,</w:t>
      </w:r>
      <w:r w:rsidR="00982D82">
        <w:rPr>
          <w:rFonts w:ascii="Arial" w:hAnsi="Arial" w:cs="Arial"/>
          <w:sz w:val="24"/>
          <w:szCs w:val="24"/>
        </w:rPr>
        <w:t xml:space="preserve"> as the initiator who acted in the disciplinary hearing.</w:t>
      </w:r>
      <w:r w:rsidR="00DB4159">
        <w:rPr>
          <w:rFonts w:ascii="Arial" w:hAnsi="Arial" w:cs="Arial"/>
          <w:sz w:val="24"/>
          <w:szCs w:val="24"/>
        </w:rPr>
        <w:t xml:space="preserve"> Said initiator also represented the first respondent during the arbitration proceedings. </w:t>
      </w:r>
      <w:r w:rsidR="00F872C0">
        <w:rPr>
          <w:rFonts w:ascii="Arial" w:hAnsi="Arial" w:cs="Arial"/>
          <w:sz w:val="24"/>
          <w:szCs w:val="24"/>
        </w:rPr>
        <w:t>It would also appear</w:t>
      </w:r>
      <w:r w:rsidR="00024926">
        <w:rPr>
          <w:rFonts w:ascii="Arial" w:hAnsi="Arial" w:cs="Arial"/>
          <w:sz w:val="24"/>
          <w:szCs w:val="24"/>
        </w:rPr>
        <w:t xml:space="preserve"> that</w:t>
      </w:r>
      <w:r w:rsidR="00F872C0">
        <w:rPr>
          <w:rFonts w:ascii="Arial" w:hAnsi="Arial" w:cs="Arial"/>
          <w:sz w:val="24"/>
          <w:szCs w:val="24"/>
        </w:rPr>
        <w:t xml:space="preserve"> the OSMAN is the labour consultant firm retained by the first respondent. </w:t>
      </w:r>
      <w:r w:rsidR="00F802AC">
        <w:rPr>
          <w:rFonts w:ascii="Arial" w:hAnsi="Arial" w:cs="Arial"/>
          <w:sz w:val="24"/>
          <w:szCs w:val="24"/>
        </w:rPr>
        <w:t>There is thus a real issue of perceived b</w:t>
      </w:r>
      <w:r w:rsidR="00DB4159">
        <w:rPr>
          <w:rFonts w:ascii="Arial" w:hAnsi="Arial" w:cs="Arial"/>
          <w:sz w:val="24"/>
          <w:szCs w:val="24"/>
        </w:rPr>
        <w:t>ia</w:t>
      </w:r>
      <w:r w:rsidR="00F802AC">
        <w:rPr>
          <w:rFonts w:ascii="Arial" w:hAnsi="Arial" w:cs="Arial"/>
          <w:sz w:val="24"/>
          <w:szCs w:val="24"/>
        </w:rPr>
        <w:t xml:space="preserve">s on the part of the appellants. </w:t>
      </w:r>
      <w:r w:rsidR="00A357E7">
        <w:rPr>
          <w:rFonts w:ascii="Arial" w:hAnsi="Arial" w:cs="Arial"/>
          <w:sz w:val="24"/>
          <w:szCs w:val="24"/>
        </w:rPr>
        <w:t xml:space="preserve">The </w:t>
      </w:r>
      <w:r w:rsidR="00F802AC">
        <w:rPr>
          <w:rFonts w:ascii="Arial" w:hAnsi="Arial" w:cs="Arial"/>
          <w:sz w:val="24"/>
          <w:szCs w:val="24"/>
        </w:rPr>
        <w:t>formulation of the test</w:t>
      </w:r>
      <w:r w:rsidR="00A357E7">
        <w:rPr>
          <w:rFonts w:ascii="Arial" w:hAnsi="Arial" w:cs="Arial"/>
          <w:sz w:val="24"/>
          <w:szCs w:val="24"/>
        </w:rPr>
        <w:t xml:space="preserve"> relating </w:t>
      </w:r>
      <w:r w:rsidR="00F802AC">
        <w:rPr>
          <w:rFonts w:ascii="Arial" w:hAnsi="Arial" w:cs="Arial"/>
          <w:sz w:val="24"/>
          <w:szCs w:val="24"/>
        </w:rPr>
        <w:t xml:space="preserve">likelihood of biasas set out in the matter of </w:t>
      </w:r>
      <w:r w:rsidR="00F802AC" w:rsidRPr="00834CDC">
        <w:rPr>
          <w:rFonts w:ascii="Arial" w:hAnsi="Arial" w:cs="Arial"/>
          <w:i/>
          <w:sz w:val="24"/>
          <w:szCs w:val="24"/>
        </w:rPr>
        <w:t>Foster v Chairman, Commission for Administration, and Another</w:t>
      </w:r>
      <w:r w:rsidR="00024926">
        <w:rPr>
          <w:rFonts w:ascii="Arial" w:hAnsi="Arial" w:cs="Arial"/>
          <w:i/>
          <w:sz w:val="24"/>
          <w:szCs w:val="24"/>
        </w:rPr>
        <w:t>,</w:t>
      </w:r>
      <w:r w:rsidR="00F802AC">
        <w:rPr>
          <w:rStyle w:val="FootnoteReference"/>
          <w:rFonts w:ascii="Arial" w:hAnsi="Arial" w:cs="Arial"/>
          <w:i/>
          <w:sz w:val="24"/>
          <w:szCs w:val="24"/>
        </w:rPr>
        <w:footnoteReference w:id="14"/>
      </w:r>
      <w:r w:rsidR="00024926">
        <w:rPr>
          <w:rFonts w:ascii="Arial" w:hAnsi="Arial" w:cs="Arial"/>
          <w:sz w:val="24"/>
          <w:szCs w:val="24"/>
        </w:rPr>
        <w:t xml:space="preserve">which </w:t>
      </w:r>
      <w:r w:rsidR="00F802AC">
        <w:rPr>
          <w:rFonts w:ascii="Arial" w:hAnsi="Arial" w:cs="Arial"/>
          <w:sz w:val="24"/>
          <w:szCs w:val="24"/>
        </w:rPr>
        <w:t xml:space="preserve">was accepted by Ueitele J in the matter of </w:t>
      </w:r>
      <w:r w:rsidR="009E574B">
        <w:rPr>
          <w:rFonts w:ascii="Arial" w:hAnsi="Arial" w:cs="Arial"/>
          <w:i/>
          <w:sz w:val="24"/>
          <w:szCs w:val="24"/>
        </w:rPr>
        <w:t>Cenored vs Ikanga</w:t>
      </w:r>
      <w:r w:rsidR="00F802AC">
        <w:rPr>
          <w:rStyle w:val="FootnoteReference"/>
          <w:rFonts w:ascii="Arial" w:hAnsi="Arial" w:cs="Arial"/>
          <w:i/>
          <w:sz w:val="24"/>
          <w:szCs w:val="24"/>
        </w:rPr>
        <w:footnoteReference w:id="15"/>
      </w:r>
      <w:r w:rsidR="00F802AC">
        <w:rPr>
          <w:rFonts w:ascii="Arial" w:hAnsi="Arial" w:cs="Arial"/>
          <w:i/>
          <w:sz w:val="24"/>
          <w:szCs w:val="24"/>
        </w:rPr>
        <w:t xml:space="preserve">. </w:t>
      </w:r>
      <w:r w:rsidR="00A357E7">
        <w:rPr>
          <w:rFonts w:ascii="Arial" w:hAnsi="Arial" w:cs="Arial"/>
          <w:sz w:val="24"/>
          <w:szCs w:val="24"/>
        </w:rPr>
        <w:t xml:space="preserve">In the case of </w:t>
      </w:r>
      <w:r w:rsidR="00A357E7" w:rsidRPr="00834CDC">
        <w:rPr>
          <w:rFonts w:ascii="Arial" w:hAnsi="Arial" w:cs="Arial"/>
          <w:i/>
          <w:sz w:val="24"/>
          <w:szCs w:val="24"/>
        </w:rPr>
        <w:t xml:space="preserve">Foster v Chairman, Commission for Administration, and </w:t>
      </w:r>
      <w:r w:rsidR="00024926" w:rsidRPr="00834CDC">
        <w:rPr>
          <w:rFonts w:ascii="Arial" w:hAnsi="Arial" w:cs="Arial"/>
          <w:i/>
          <w:sz w:val="24"/>
          <w:szCs w:val="24"/>
        </w:rPr>
        <w:t>Another</w:t>
      </w:r>
      <w:r w:rsidR="009E574B">
        <w:rPr>
          <w:rFonts w:ascii="Arial" w:hAnsi="Arial" w:cs="Arial"/>
          <w:i/>
          <w:sz w:val="24"/>
          <w:szCs w:val="24"/>
        </w:rPr>
        <w:t xml:space="preserve"> </w:t>
      </w:r>
      <w:r w:rsidR="00024926">
        <w:rPr>
          <w:rFonts w:ascii="Arial" w:hAnsi="Arial" w:cs="Arial"/>
          <w:sz w:val="24"/>
          <w:szCs w:val="24"/>
        </w:rPr>
        <w:t>Brand</w:t>
      </w:r>
      <w:r w:rsidR="00A357E7">
        <w:rPr>
          <w:rFonts w:ascii="Arial" w:hAnsi="Arial" w:cs="Arial"/>
          <w:sz w:val="24"/>
          <w:szCs w:val="24"/>
        </w:rPr>
        <w:t>, AJ explained it as follows</w:t>
      </w:r>
      <w:r w:rsidR="00F802AC">
        <w:rPr>
          <w:rStyle w:val="FootnoteReference"/>
          <w:rFonts w:ascii="Arial" w:hAnsi="Arial" w:cs="Arial"/>
          <w:sz w:val="24"/>
          <w:szCs w:val="24"/>
        </w:rPr>
        <w:footnoteReference w:id="16"/>
      </w:r>
      <w:r w:rsidR="00A357E7">
        <w:rPr>
          <w:rFonts w:ascii="Arial" w:hAnsi="Arial" w:cs="Arial"/>
          <w:sz w:val="24"/>
          <w:szCs w:val="24"/>
        </w:rPr>
        <w:t>:</w:t>
      </w:r>
    </w:p>
    <w:p w:rsidR="00A357E7" w:rsidRDefault="00A357E7" w:rsidP="002B3B08">
      <w:pPr>
        <w:spacing w:after="0" w:line="360" w:lineRule="auto"/>
        <w:jc w:val="both"/>
        <w:rPr>
          <w:rFonts w:ascii="Arial" w:hAnsi="Arial" w:cs="Arial"/>
          <w:sz w:val="24"/>
          <w:szCs w:val="24"/>
        </w:rPr>
      </w:pPr>
    </w:p>
    <w:p w:rsidR="00024926" w:rsidRPr="00024926" w:rsidRDefault="00A357E7" w:rsidP="002B3B08">
      <w:pPr>
        <w:spacing w:after="0" w:line="360" w:lineRule="auto"/>
        <w:ind w:left="720"/>
        <w:jc w:val="both"/>
        <w:rPr>
          <w:rFonts w:ascii="Arial" w:hAnsi="Arial" w:cs="Arial"/>
          <w:i/>
        </w:rPr>
      </w:pPr>
      <w:r w:rsidRPr="00024926">
        <w:rPr>
          <w:rFonts w:ascii="Arial" w:hAnsi="Arial" w:cs="Arial"/>
          <w:i/>
        </w:rPr>
        <w:t xml:space="preserve">‘Regarding the question as to when an administrative decision can be set aside on the </w:t>
      </w:r>
    </w:p>
    <w:p w:rsidR="00982D82" w:rsidRPr="00024926" w:rsidRDefault="00A357E7" w:rsidP="002B3B08">
      <w:pPr>
        <w:spacing w:after="0" w:line="360" w:lineRule="auto"/>
        <w:jc w:val="both"/>
        <w:rPr>
          <w:rFonts w:ascii="Arial" w:hAnsi="Arial" w:cs="Arial"/>
        </w:rPr>
      </w:pPr>
      <w:r w:rsidRPr="00024926">
        <w:rPr>
          <w:rFonts w:ascii="Arial" w:hAnsi="Arial" w:cs="Arial"/>
          <w:i/>
        </w:rPr>
        <w:t>ground of bias, a Full Bench of this Division in Mönnig and Others v Council of Review and Others 1989 (4) SA 866 (C) decided that the 'reasonable suspicion of bias'-test and not the 'real likelihood of bias'-test is the one to be applied. According to the former, the question is not whether the decision-maker concerned would in fact be partial or impartial. The question is whether an observer in the position of applicant would reasonably suspect that the decision-maker would not be impartial.’</w:t>
      </w:r>
    </w:p>
    <w:p w:rsidR="00982D82" w:rsidRDefault="00982D82" w:rsidP="002B3B08">
      <w:pPr>
        <w:spacing w:after="0" w:line="360" w:lineRule="auto"/>
        <w:jc w:val="both"/>
        <w:rPr>
          <w:rFonts w:ascii="Arial" w:hAnsi="Arial" w:cs="Arial"/>
          <w:sz w:val="24"/>
          <w:szCs w:val="24"/>
        </w:rPr>
      </w:pPr>
    </w:p>
    <w:p w:rsidR="00C826B0" w:rsidRDefault="003F0754" w:rsidP="002B3B08">
      <w:pPr>
        <w:spacing w:after="0" w:line="360" w:lineRule="auto"/>
        <w:jc w:val="both"/>
        <w:rPr>
          <w:rFonts w:ascii="Arial" w:hAnsi="Arial" w:cs="Arial"/>
          <w:sz w:val="24"/>
          <w:szCs w:val="24"/>
        </w:rPr>
      </w:pPr>
      <w:r>
        <w:rPr>
          <w:rFonts w:ascii="Arial" w:hAnsi="Arial" w:cs="Arial"/>
          <w:sz w:val="24"/>
          <w:szCs w:val="24"/>
        </w:rPr>
        <w:t>[2</w:t>
      </w:r>
      <w:r w:rsidR="00353BD9">
        <w:rPr>
          <w:rFonts w:ascii="Arial" w:hAnsi="Arial" w:cs="Arial"/>
          <w:sz w:val="24"/>
          <w:szCs w:val="24"/>
        </w:rPr>
        <w:t>9</w:t>
      </w:r>
      <w:r>
        <w:rPr>
          <w:rFonts w:ascii="Arial" w:hAnsi="Arial" w:cs="Arial"/>
          <w:sz w:val="24"/>
          <w:szCs w:val="24"/>
        </w:rPr>
        <w:t xml:space="preserve">] </w:t>
      </w:r>
      <w:r>
        <w:rPr>
          <w:rFonts w:ascii="Arial" w:hAnsi="Arial" w:cs="Arial"/>
          <w:sz w:val="24"/>
          <w:szCs w:val="24"/>
        </w:rPr>
        <w:tab/>
      </w:r>
      <w:r w:rsidR="00C826B0">
        <w:rPr>
          <w:rFonts w:ascii="Arial" w:hAnsi="Arial" w:cs="Arial"/>
          <w:sz w:val="24"/>
          <w:szCs w:val="24"/>
        </w:rPr>
        <w:t>It was denied by the first app</w:t>
      </w:r>
      <w:r w:rsidR="00024926">
        <w:rPr>
          <w:rFonts w:ascii="Arial" w:hAnsi="Arial" w:cs="Arial"/>
          <w:sz w:val="24"/>
          <w:szCs w:val="24"/>
        </w:rPr>
        <w:t>ellant that they were aware of</w:t>
      </w:r>
      <w:r w:rsidR="00C826B0">
        <w:rPr>
          <w:rFonts w:ascii="Arial" w:hAnsi="Arial" w:cs="Arial"/>
          <w:sz w:val="24"/>
          <w:szCs w:val="24"/>
        </w:rPr>
        <w:t xml:space="preserve"> the nature of the relationship betw</w:t>
      </w:r>
      <w:r w:rsidR="00024926">
        <w:rPr>
          <w:rFonts w:ascii="Arial" w:hAnsi="Arial" w:cs="Arial"/>
          <w:sz w:val="24"/>
          <w:szCs w:val="24"/>
        </w:rPr>
        <w:t>een the initiator and the chair</w:t>
      </w:r>
      <w:r w:rsidR="00C826B0">
        <w:rPr>
          <w:rFonts w:ascii="Arial" w:hAnsi="Arial" w:cs="Arial"/>
          <w:sz w:val="24"/>
          <w:szCs w:val="24"/>
        </w:rPr>
        <w:t xml:space="preserve">person of the appeal. This factor was not considered by the arbitrator when she reached her findings. </w:t>
      </w:r>
    </w:p>
    <w:p w:rsidR="00D56E3F" w:rsidRDefault="00D56E3F" w:rsidP="002B3B08">
      <w:pPr>
        <w:spacing w:after="0" w:line="360" w:lineRule="auto"/>
        <w:jc w:val="both"/>
        <w:rPr>
          <w:rFonts w:ascii="Arial" w:hAnsi="Arial" w:cs="Arial"/>
          <w:i/>
          <w:sz w:val="24"/>
          <w:szCs w:val="24"/>
        </w:rPr>
      </w:pPr>
      <w:r w:rsidRPr="00D56E3F">
        <w:rPr>
          <w:rFonts w:ascii="Arial" w:hAnsi="Arial" w:cs="Arial"/>
          <w:i/>
          <w:sz w:val="24"/>
          <w:szCs w:val="24"/>
        </w:rPr>
        <w:t>On the issue of substantive fairness</w:t>
      </w:r>
    </w:p>
    <w:p w:rsidR="00D56E3F" w:rsidRDefault="00D56E3F" w:rsidP="002B3B08">
      <w:pPr>
        <w:spacing w:after="0" w:line="360" w:lineRule="auto"/>
        <w:jc w:val="both"/>
        <w:rPr>
          <w:rFonts w:ascii="Arial" w:hAnsi="Arial" w:cs="Arial"/>
          <w:i/>
          <w:sz w:val="24"/>
          <w:szCs w:val="24"/>
        </w:rPr>
      </w:pPr>
    </w:p>
    <w:p w:rsidR="00982D82" w:rsidRDefault="00D56E3F" w:rsidP="002B3B08">
      <w:pPr>
        <w:spacing w:after="0" w:line="360" w:lineRule="auto"/>
        <w:jc w:val="both"/>
        <w:rPr>
          <w:rFonts w:ascii="Arial" w:eastAsia="Calibri" w:hAnsi="Arial" w:cs="Arial"/>
          <w:color w:val="000000" w:themeColor="text1"/>
          <w:sz w:val="24"/>
          <w:szCs w:val="24"/>
          <w:lang w:val="en-US"/>
        </w:rPr>
      </w:pPr>
      <w:r>
        <w:rPr>
          <w:rFonts w:ascii="Arial" w:hAnsi="Arial" w:cs="Arial"/>
          <w:sz w:val="24"/>
          <w:szCs w:val="24"/>
        </w:rPr>
        <w:t>[</w:t>
      </w:r>
      <w:r w:rsidR="00353BD9">
        <w:rPr>
          <w:rFonts w:ascii="Arial" w:hAnsi="Arial" w:cs="Arial"/>
          <w:sz w:val="24"/>
          <w:szCs w:val="24"/>
        </w:rPr>
        <w:t>30</w:t>
      </w:r>
      <w:r>
        <w:rPr>
          <w:rFonts w:ascii="Arial" w:hAnsi="Arial" w:cs="Arial"/>
          <w:sz w:val="24"/>
          <w:szCs w:val="24"/>
        </w:rPr>
        <w:t xml:space="preserve">] </w:t>
      </w:r>
      <w:r>
        <w:rPr>
          <w:rFonts w:ascii="Arial" w:hAnsi="Arial" w:cs="Arial"/>
          <w:sz w:val="24"/>
          <w:szCs w:val="24"/>
        </w:rPr>
        <w:tab/>
        <w:t>Contrary to the finding of the arbitrator as set out in para 26 of this judgment,   the</w:t>
      </w:r>
      <w:r w:rsidR="00982D82">
        <w:rPr>
          <w:rFonts w:ascii="Arial" w:eastAsia="Calibri" w:hAnsi="Arial" w:cs="Arial"/>
          <w:color w:val="000000" w:themeColor="text1"/>
          <w:sz w:val="24"/>
          <w:szCs w:val="24"/>
          <w:lang w:val="en-US"/>
        </w:rPr>
        <w:t xml:space="preserve"> 2</w:t>
      </w:r>
      <w:r w:rsidR="00982D82" w:rsidRPr="0000417F">
        <w:rPr>
          <w:rFonts w:ascii="Arial" w:eastAsia="Calibri" w:hAnsi="Arial" w:cs="Arial"/>
          <w:color w:val="000000" w:themeColor="text1"/>
          <w:sz w:val="24"/>
          <w:szCs w:val="24"/>
          <w:vertAlign w:val="superscript"/>
          <w:lang w:val="en-US"/>
        </w:rPr>
        <w:t>nd</w:t>
      </w:r>
      <w:r w:rsidR="00982D82">
        <w:rPr>
          <w:rFonts w:ascii="Arial" w:eastAsia="Calibri" w:hAnsi="Arial" w:cs="Arial"/>
          <w:color w:val="000000" w:themeColor="text1"/>
          <w:sz w:val="24"/>
          <w:szCs w:val="24"/>
          <w:lang w:val="en-US"/>
        </w:rPr>
        <w:t xml:space="preserve"> appellant never made the concession that the dismissal was substantially fair.  When he was asked during cross-examination what was not fair in the procedure</w:t>
      </w:r>
      <w:r w:rsidR="00024926">
        <w:rPr>
          <w:rFonts w:ascii="Arial" w:eastAsia="Calibri" w:hAnsi="Arial" w:cs="Arial"/>
          <w:color w:val="000000" w:themeColor="text1"/>
          <w:sz w:val="24"/>
          <w:szCs w:val="24"/>
          <w:lang w:val="en-US"/>
        </w:rPr>
        <w:t>,</w:t>
      </w:r>
      <w:r w:rsidR="00982D82">
        <w:rPr>
          <w:rFonts w:ascii="Arial" w:eastAsia="Calibri" w:hAnsi="Arial" w:cs="Arial"/>
          <w:color w:val="000000" w:themeColor="text1"/>
          <w:sz w:val="24"/>
          <w:szCs w:val="24"/>
          <w:lang w:val="en-US"/>
        </w:rPr>
        <w:t xml:space="preserve"> the 2</w:t>
      </w:r>
      <w:r w:rsidR="00982D82" w:rsidRPr="0000417F">
        <w:rPr>
          <w:rFonts w:ascii="Arial" w:eastAsia="Calibri" w:hAnsi="Arial" w:cs="Arial"/>
          <w:color w:val="000000" w:themeColor="text1"/>
          <w:sz w:val="24"/>
          <w:szCs w:val="24"/>
          <w:vertAlign w:val="superscript"/>
          <w:lang w:val="en-US"/>
        </w:rPr>
        <w:t>nd</w:t>
      </w:r>
      <w:r w:rsidR="00982D82">
        <w:rPr>
          <w:rFonts w:ascii="Arial" w:eastAsia="Calibri" w:hAnsi="Arial" w:cs="Arial"/>
          <w:color w:val="000000" w:themeColor="text1"/>
          <w:sz w:val="24"/>
          <w:szCs w:val="24"/>
          <w:lang w:val="en-US"/>
        </w:rPr>
        <w:t xml:space="preserve"> appellant replied ‘the timing, everything was not fair’.  There was no follow up question to clarify that issue and it was left at that. So the arbitrator could hardly draw the conclusion that the appellants agreed that their dismissal was procedurally and substantively fair. </w:t>
      </w:r>
    </w:p>
    <w:p w:rsidR="00D56E3F" w:rsidRDefault="00D56E3F" w:rsidP="002B3B08">
      <w:pPr>
        <w:spacing w:after="0" w:line="360" w:lineRule="auto"/>
        <w:jc w:val="both"/>
        <w:rPr>
          <w:rFonts w:ascii="Arial" w:hAnsi="Arial" w:cs="Arial"/>
          <w:sz w:val="24"/>
          <w:szCs w:val="24"/>
        </w:rPr>
      </w:pPr>
    </w:p>
    <w:p w:rsidR="00D56E3F" w:rsidRDefault="00D56E3F" w:rsidP="002B3B08">
      <w:pPr>
        <w:spacing w:after="0" w:line="360" w:lineRule="auto"/>
        <w:jc w:val="both"/>
        <w:rPr>
          <w:rFonts w:ascii="Arial" w:hAnsi="Arial" w:cs="Arial"/>
          <w:sz w:val="24"/>
          <w:szCs w:val="24"/>
        </w:rPr>
      </w:pPr>
      <w:r w:rsidRPr="00D56E3F">
        <w:rPr>
          <w:rFonts w:ascii="Arial" w:hAnsi="Arial" w:cs="Arial"/>
          <w:i/>
          <w:sz w:val="24"/>
          <w:szCs w:val="24"/>
        </w:rPr>
        <w:t>Failure of first respondent to rebut the presumption of unfair dismissal</w:t>
      </w:r>
    </w:p>
    <w:p w:rsidR="00982D82" w:rsidRDefault="00982D82" w:rsidP="002B3B08">
      <w:pPr>
        <w:spacing w:after="0" w:line="360" w:lineRule="auto"/>
        <w:jc w:val="both"/>
        <w:rPr>
          <w:rFonts w:ascii="Arial" w:hAnsi="Arial" w:cs="Arial"/>
          <w:sz w:val="24"/>
          <w:szCs w:val="24"/>
        </w:rPr>
      </w:pPr>
    </w:p>
    <w:p w:rsidR="00140F03" w:rsidRDefault="00D56E3F" w:rsidP="002B3B08">
      <w:pPr>
        <w:spacing w:after="0" w:line="360" w:lineRule="auto"/>
        <w:jc w:val="both"/>
        <w:rPr>
          <w:rFonts w:ascii="Arial" w:eastAsia="Calibri" w:hAnsi="Arial" w:cs="Arial"/>
          <w:color w:val="000000" w:themeColor="text1"/>
          <w:sz w:val="24"/>
          <w:szCs w:val="24"/>
          <w:lang w:val="en-US"/>
        </w:rPr>
      </w:pPr>
      <w:r>
        <w:rPr>
          <w:rFonts w:ascii="Arial" w:hAnsi="Arial" w:cs="Arial"/>
          <w:sz w:val="24"/>
          <w:szCs w:val="24"/>
        </w:rPr>
        <w:t>[3</w:t>
      </w:r>
      <w:r w:rsidR="00353BD9">
        <w:rPr>
          <w:rFonts w:ascii="Arial" w:hAnsi="Arial" w:cs="Arial"/>
          <w:sz w:val="24"/>
          <w:szCs w:val="24"/>
        </w:rPr>
        <w:t>1</w:t>
      </w:r>
      <w:r>
        <w:rPr>
          <w:rFonts w:ascii="Arial" w:hAnsi="Arial" w:cs="Arial"/>
          <w:sz w:val="24"/>
          <w:szCs w:val="24"/>
        </w:rPr>
        <w:t>]</w:t>
      </w:r>
      <w:r>
        <w:rPr>
          <w:rFonts w:ascii="Arial" w:hAnsi="Arial" w:cs="Arial"/>
          <w:sz w:val="24"/>
          <w:szCs w:val="24"/>
        </w:rPr>
        <w:tab/>
      </w:r>
      <w:r w:rsidR="00140F03">
        <w:rPr>
          <w:rFonts w:ascii="Arial" w:eastAsia="Calibri" w:hAnsi="Arial" w:cs="Arial"/>
          <w:color w:val="000000" w:themeColor="text1"/>
          <w:sz w:val="24"/>
          <w:szCs w:val="24"/>
          <w:lang w:val="en-US"/>
        </w:rPr>
        <w:t>Section 33(4)(</w:t>
      </w:r>
      <w:r w:rsidR="00140F03">
        <w:rPr>
          <w:rFonts w:ascii="Arial" w:eastAsia="Calibri" w:hAnsi="Arial" w:cs="Arial"/>
          <w:i/>
          <w:color w:val="000000" w:themeColor="text1"/>
          <w:sz w:val="24"/>
          <w:szCs w:val="24"/>
          <w:lang w:val="en-US"/>
        </w:rPr>
        <w:t>a</w:t>
      </w:r>
      <w:r w:rsidR="00140F03">
        <w:rPr>
          <w:rFonts w:ascii="Arial" w:eastAsia="Calibri" w:hAnsi="Arial" w:cs="Arial"/>
          <w:color w:val="000000" w:themeColor="text1"/>
          <w:sz w:val="24"/>
          <w:szCs w:val="24"/>
          <w:lang w:val="en-US"/>
        </w:rPr>
        <w:t>) and (</w:t>
      </w:r>
      <w:r w:rsidR="00140F03" w:rsidRPr="00675241">
        <w:rPr>
          <w:rFonts w:ascii="Arial" w:eastAsia="Calibri" w:hAnsi="Arial" w:cs="Arial"/>
          <w:i/>
          <w:color w:val="000000" w:themeColor="text1"/>
          <w:sz w:val="24"/>
          <w:szCs w:val="24"/>
          <w:lang w:val="en-US"/>
        </w:rPr>
        <w:t>b</w:t>
      </w:r>
      <w:r w:rsidR="00140F03">
        <w:rPr>
          <w:rFonts w:ascii="Arial" w:eastAsia="Calibri" w:hAnsi="Arial" w:cs="Arial"/>
          <w:color w:val="000000" w:themeColor="text1"/>
          <w:sz w:val="24"/>
          <w:szCs w:val="24"/>
          <w:lang w:val="en-US"/>
        </w:rPr>
        <w:t>) of the Act provides that once an employee establishes that he/she has been dismissed, it is presumed in any proceedings concerning a dismissal that the dismissal is unfair unless the employer proves the contrary. The onus thus rests on an employer to justify a dismissal both procedurally and substantively.</w:t>
      </w:r>
    </w:p>
    <w:p w:rsidR="00394000" w:rsidRDefault="00394000" w:rsidP="002B3B08">
      <w:pPr>
        <w:spacing w:after="0" w:line="360" w:lineRule="auto"/>
        <w:jc w:val="both"/>
        <w:rPr>
          <w:rFonts w:ascii="Arial" w:eastAsia="Calibri" w:hAnsi="Arial" w:cs="Arial"/>
          <w:color w:val="000000" w:themeColor="text1"/>
          <w:sz w:val="24"/>
          <w:szCs w:val="24"/>
          <w:lang w:val="en-US"/>
        </w:rPr>
      </w:pPr>
    </w:p>
    <w:p w:rsidR="00394000" w:rsidRDefault="00394000" w:rsidP="002B3B08">
      <w:pPr>
        <w:pStyle w:val="Default"/>
        <w:spacing w:line="360" w:lineRule="auto"/>
        <w:jc w:val="both"/>
        <w:rPr>
          <w:rFonts w:eastAsia="Times New Roman"/>
        </w:rPr>
      </w:pPr>
      <w:r>
        <w:rPr>
          <w:rFonts w:eastAsia="Calibri"/>
          <w:color w:val="000000" w:themeColor="text1"/>
          <w:lang w:val="en-US"/>
        </w:rPr>
        <w:t>[3</w:t>
      </w:r>
      <w:r w:rsidR="00353BD9">
        <w:rPr>
          <w:rFonts w:eastAsia="Calibri"/>
          <w:color w:val="000000" w:themeColor="text1"/>
          <w:lang w:val="en-US"/>
        </w:rPr>
        <w:t>2</w:t>
      </w:r>
      <w:r>
        <w:rPr>
          <w:rFonts w:eastAsia="Calibri"/>
          <w:color w:val="000000" w:themeColor="text1"/>
          <w:lang w:val="en-US"/>
        </w:rPr>
        <w:t xml:space="preserve">] </w:t>
      </w:r>
      <w:r>
        <w:rPr>
          <w:rFonts w:eastAsia="Calibri"/>
          <w:color w:val="000000" w:themeColor="text1"/>
          <w:lang w:val="en-US"/>
        </w:rPr>
        <w:tab/>
      </w:r>
      <w:r>
        <w:t>T</w:t>
      </w:r>
      <w:r w:rsidRPr="00262D5A">
        <w:rPr>
          <w:rFonts w:eastAsia="Times New Roman"/>
        </w:rPr>
        <w:t xml:space="preserve">he issue of whether or not the </w:t>
      </w:r>
      <w:r>
        <w:rPr>
          <w:rFonts w:eastAsia="Times New Roman"/>
        </w:rPr>
        <w:t xml:space="preserve">appellant’s </w:t>
      </w:r>
      <w:r w:rsidRPr="00262D5A">
        <w:rPr>
          <w:rFonts w:eastAsia="Times New Roman"/>
        </w:rPr>
        <w:t xml:space="preserve">dismissals </w:t>
      </w:r>
      <w:r>
        <w:rPr>
          <w:rFonts w:eastAsia="Times New Roman"/>
        </w:rPr>
        <w:t>were</w:t>
      </w:r>
      <w:r w:rsidRPr="00262D5A">
        <w:rPr>
          <w:rFonts w:eastAsia="Times New Roman"/>
        </w:rPr>
        <w:t xml:space="preserve"> substantively fair can only be determined on the basis of whether or not sufficient evidence was presented to show, on a balance of probabilit</w:t>
      </w:r>
      <w:r>
        <w:rPr>
          <w:rFonts w:eastAsia="Times New Roman"/>
        </w:rPr>
        <w:t>ies</w:t>
      </w:r>
      <w:r w:rsidRPr="00262D5A">
        <w:rPr>
          <w:rFonts w:eastAsia="Times New Roman"/>
        </w:rPr>
        <w:t xml:space="preserve">, that </w:t>
      </w:r>
      <w:r>
        <w:rPr>
          <w:rFonts w:eastAsia="Times New Roman"/>
        </w:rPr>
        <w:t xml:space="preserve">theyperformed unauthorised union functions during working hours and thereby disrupted company operations without permission. </w:t>
      </w:r>
    </w:p>
    <w:p w:rsidR="00394000" w:rsidRDefault="00394000" w:rsidP="002B3B08">
      <w:pPr>
        <w:pStyle w:val="Default"/>
        <w:spacing w:line="360" w:lineRule="auto"/>
        <w:jc w:val="both"/>
        <w:rPr>
          <w:rFonts w:eastAsia="Times New Roman"/>
        </w:rPr>
      </w:pPr>
    </w:p>
    <w:p w:rsidR="00394000" w:rsidRDefault="00394000" w:rsidP="002B3B08">
      <w:pPr>
        <w:pStyle w:val="Default"/>
        <w:spacing w:line="360" w:lineRule="auto"/>
        <w:jc w:val="both"/>
      </w:pPr>
      <w:r>
        <w:rPr>
          <w:rFonts w:eastAsia="Times New Roman"/>
        </w:rPr>
        <w:t>[3</w:t>
      </w:r>
      <w:r w:rsidR="00353BD9">
        <w:rPr>
          <w:rFonts w:eastAsia="Times New Roman"/>
        </w:rPr>
        <w:t>3</w:t>
      </w:r>
      <w:r>
        <w:rPr>
          <w:rFonts w:eastAsia="Times New Roman"/>
        </w:rPr>
        <w:t>]</w:t>
      </w:r>
      <w:r>
        <w:rPr>
          <w:rFonts w:eastAsia="Times New Roman"/>
        </w:rPr>
        <w:tab/>
      </w:r>
      <w:r>
        <w:t>I</w:t>
      </w:r>
      <w:r w:rsidR="000338A9">
        <w:t>t is common cause that the appellants were members of the Mine Workers Union (MUN) appointed in various representative positions. It is further common cause that the appellants in their capacity as representatives of MUN undertook union activities by disseminating a petition to the employees of the first respondent and did so with the permission of their supervisor.</w:t>
      </w:r>
    </w:p>
    <w:p w:rsidR="00394000" w:rsidRDefault="00394000" w:rsidP="002B3B08">
      <w:pPr>
        <w:pStyle w:val="Default"/>
        <w:spacing w:line="360" w:lineRule="auto"/>
        <w:jc w:val="both"/>
      </w:pPr>
    </w:p>
    <w:p w:rsidR="00BF5751" w:rsidRDefault="00394000" w:rsidP="002B3B08">
      <w:pPr>
        <w:spacing w:after="0" w:line="360" w:lineRule="auto"/>
        <w:jc w:val="both"/>
        <w:rPr>
          <w:rFonts w:ascii="Arial" w:hAnsi="Arial" w:cs="Arial"/>
          <w:sz w:val="24"/>
          <w:szCs w:val="24"/>
        </w:rPr>
      </w:pPr>
      <w:r>
        <w:rPr>
          <w:rFonts w:ascii="Arial" w:hAnsi="Arial" w:cs="Arial"/>
          <w:sz w:val="24"/>
          <w:szCs w:val="24"/>
        </w:rPr>
        <w:t>[3</w:t>
      </w:r>
      <w:r w:rsidR="00353BD9">
        <w:rPr>
          <w:rFonts w:ascii="Arial" w:hAnsi="Arial" w:cs="Arial"/>
          <w:sz w:val="24"/>
          <w:szCs w:val="24"/>
        </w:rPr>
        <w:t>4</w:t>
      </w:r>
      <w:r>
        <w:rPr>
          <w:rFonts w:ascii="Arial" w:hAnsi="Arial" w:cs="Arial"/>
          <w:sz w:val="24"/>
          <w:szCs w:val="24"/>
        </w:rPr>
        <w:t>]</w:t>
      </w:r>
      <w:r>
        <w:rPr>
          <w:rFonts w:ascii="Arial" w:hAnsi="Arial" w:cs="Arial"/>
          <w:sz w:val="24"/>
          <w:szCs w:val="24"/>
        </w:rPr>
        <w:tab/>
      </w:r>
      <w:r w:rsidR="00FA0616">
        <w:rPr>
          <w:rFonts w:ascii="Arial" w:hAnsi="Arial" w:cs="Arial"/>
          <w:sz w:val="24"/>
          <w:szCs w:val="24"/>
        </w:rPr>
        <w:t>In the summary of her findings</w:t>
      </w:r>
      <w:r w:rsidR="0066129E">
        <w:rPr>
          <w:rFonts w:ascii="Arial" w:hAnsi="Arial" w:cs="Arial"/>
          <w:sz w:val="24"/>
          <w:szCs w:val="24"/>
        </w:rPr>
        <w:t>,</w:t>
      </w:r>
      <w:r w:rsidR="00FA0616">
        <w:rPr>
          <w:rFonts w:ascii="Arial" w:hAnsi="Arial" w:cs="Arial"/>
          <w:sz w:val="24"/>
          <w:szCs w:val="24"/>
        </w:rPr>
        <w:t xml:space="preserve"> the arbitrator found on ‘</w:t>
      </w:r>
      <w:r w:rsidR="00FA0616" w:rsidRPr="003F4220">
        <w:rPr>
          <w:rFonts w:ascii="Arial" w:hAnsi="Arial" w:cs="Arial"/>
          <w:i/>
          <w:sz w:val="24"/>
          <w:szCs w:val="24"/>
        </w:rPr>
        <w:t>a balance of probabilities coupled with the unchallenged evidence of the respondent’s second witness the applicant’s called the workers out past eleven is probable</w:t>
      </w:r>
      <w:r w:rsidR="00FA0616">
        <w:rPr>
          <w:rStyle w:val="FootnoteReference"/>
          <w:rFonts w:ascii="Arial" w:hAnsi="Arial" w:cs="Arial"/>
          <w:sz w:val="24"/>
          <w:szCs w:val="24"/>
        </w:rPr>
        <w:footnoteReference w:id="17"/>
      </w:r>
      <w:r w:rsidR="00FA0616">
        <w:rPr>
          <w:rFonts w:ascii="Arial" w:hAnsi="Arial" w:cs="Arial"/>
          <w:sz w:val="24"/>
          <w:szCs w:val="24"/>
        </w:rPr>
        <w:t>’. For some reason the arbitrator heavily relied on the evidence of this witness</w:t>
      </w:r>
      <w:r w:rsidR="003F4220">
        <w:rPr>
          <w:rFonts w:ascii="Arial" w:hAnsi="Arial" w:cs="Arial"/>
          <w:sz w:val="24"/>
          <w:szCs w:val="24"/>
        </w:rPr>
        <w:t xml:space="preserve">, one Mr Hanganda, </w:t>
      </w:r>
      <w:r w:rsidR="00FA0616">
        <w:rPr>
          <w:rFonts w:ascii="Arial" w:hAnsi="Arial" w:cs="Arial"/>
          <w:sz w:val="24"/>
          <w:szCs w:val="24"/>
        </w:rPr>
        <w:t xml:space="preserve">as to the time of the incident. However this </w:t>
      </w:r>
      <w:r w:rsidR="00431072">
        <w:rPr>
          <w:rFonts w:ascii="Arial" w:hAnsi="Arial" w:cs="Arial"/>
          <w:sz w:val="24"/>
          <w:szCs w:val="24"/>
        </w:rPr>
        <w:t xml:space="preserve">witness could not specify an exact time apart from saying it was past eleven (11:00). It was also not determined as to what he based this evidence on.  The nature of his evidence as to the time was along the following lines: </w:t>
      </w:r>
    </w:p>
    <w:p w:rsidR="00431072" w:rsidRDefault="00431072" w:rsidP="002B3B08">
      <w:pPr>
        <w:spacing w:after="0" w:line="360" w:lineRule="auto"/>
        <w:jc w:val="both"/>
        <w:rPr>
          <w:rFonts w:ascii="Arial" w:hAnsi="Arial" w:cs="Arial"/>
        </w:rPr>
      </w:pPr>
    </w:p>
    <w:p w:rsidR="00431072" w:rsidRPr="00431072" w:rsidRDefault="0066129E" w:rsidP="002B3B08">
      <w:pPr>
        <w:spacing w:after="0" w:line="360" w:lineRule="auto"/>
        <w:ind w:left="5760" w:hanging="5040"/>
        <w:jc w:val="both"/>
        <w:rPr>
          <w:rFonts w:ascii="Arial" w:hAnsi="Arial" w:cs="Arial"/>
        </w:rPr>
      </w:pPr>
      <w:r>
        <w:rPr>
          <w:rFonts w:ascii="Arial" w:hAnsi="Arial" w:cs="Arial"/>
        </w:rPr>
        <w:t>‘</w:t>
      </w:r>
      <w:r w:rsidR="00431072" w:rsidRPr="00431072">
        <w:rPr>
          <w:rFonts w:ascii="Arial" w:hAnsi="Arial" w:cs="Arial"/>
        </w:rPr>
        <w:t xml:space="preserve">REPRESENTATIVE FOR THE RESPONENT: </w:t>
      </w:r>
      <w:r w:rsidR="00431072" w:rsidRPr="00431072">
        <w:rPr>
          <w:rFonts w:ascii="Arial" w:hAnsi="Arial" w:cs="Arial"/>
        </w:rPr>
        <w:tab/>
        <w:t>What time was it when it happened?</w:t>
      </w:r>
    </w:p>
    <w:p w:rsidR="00431072" w:rsidRPr="00431072" w:rsidRDefault="00431072" w:rsidP="002B3B08">
      <w:pPr>
        <w:spacing w:after="0" w:line="360" w:lineRule="auto"/>
        <w:ind w:left="720"/>
        <w:jc w:val="both"/>
        <w:rPr>
          <w:rFonts w:ascii="Arial" w:hAnsi="Arial" w:cs="Arial"/>
        </w:rPr>
      </w:pPr>
      <w:r w:rsidRPr="00431072">
        <w:rPr>
          <w:rFonts w:ascii="Arial" w:hAnsi="Arial" w:cs="Arial"/>
        </w:rPr>
        <w:t xml:space="preserve">JUNIUS HARDLY QUINCY HANGANDA: </w:t>
      </w:r>
      <w:r w:rsidRPr="00431072">
        <w:rPr>
          <w:rFonts w:ascii="Arial" w:hAnsi="Arial" w:cs="Arial"/>
        </w:rPr>
        <w:tab/>
      </w:r>
      <w:r>
        <w:rPr>
          <w:rFonts w:ascii="Arial" w:hAnsi="Arial" w:cs="Arial"/>
        </w:rPr>
        <w:tab/>
      </w:r>
      <w:r w:rsidRPr="00431072">
        <w:rPr>
          <w:rFonts w:ascii="Arial" w:hAnsi="Arial" w:cs="Arial"/>
        </w:rPr>
        <w:t>It was past 11:00 (eleven).</w:t>
      </w:r>
    </w:p>
    <w:p w:rsidR="00E20D5E" w:rsidRPr="00431072" w:rsidRDefault="00431072" w:rsidP="002B3B08">
      <w:pPr>
        <w:spacing w:after="0" w:line="360" w:lineRule="auto"/>
        <w:ind w:left="720"/>
        <w:jc w:val="both"/>
        <w:rPr>
          <w:rFonts w:ascii="Arial" w:hAnsi="Arial" w:cs="Arial"/>
        </w:rPr>
      </w:pPr>
      <w:r w:rsidRPr="00431072">
        <w:rPr>
          <w:rFonts w:ascii="Arial" w:hAnsi="Arial" w:cs="Arial"/>
        </w:rPr>
        <w:t xml:space="preserve">REPRESENTATIVE FOR THE RESPONENT: </w:t>
      </w:r>
      <w:r>
        <w:rPr>
          <w:rFonts w:ascii="Arial" w:hAnsi="Arial" w:cs="Arial"/>
        </w:rPr>
        <w:tab/>
      </w:r>
      <w:r w:rsidRPr="00431072">
        <w:rPr>
          <w:rFonts w:ascii="Arial" w:hAnsi="Arial" w:cs="Arial"/>
        </w:rPr>
        <w:t>It was past 11:00 (eleven)?</w:t>
      </w:r>
    </w:p>
    <w:p w:rsidR="00431072" w:rsidRPr="00431072" w:rsidRDefault="00431072" w:rsidP="002B3B08">
      <w:pPr>
        <w:spacing w:after="0" w:line="360" w:lineRule="auto"/>
        <w:ind w:left="720"/>
        <w:jc w:val="both"/>
        <w:rPr>
          <w:rFonts w:ascii="Arial" w:hAnsi="Arial" w:cs="Arial"/>
        </w:rPr>
      </w:pPr>
      <w:r w:rsidRPr="00431072">
        <w:rPr>
          <w:rFonts w:ascii="Arial" w:hAnsi="Arial" w:cs="Arial"/>
        </w:rPr>
        <w:t>JUNIUS HARDLY QUINCY HANGANDA:</w:t>
      </w:r>
      <w:r w:rsidRPr="00431072">
        <w:rPr>
          <w:rFonts w:ascii="Arial" w:hAnsi="Arial" w:cs="Arial"/>
        </w:rPr>
        <w:tab/>
      </w:r>
      <w:r>
        <w:rPr>
          <w:rFonts w:ascii="Arial" w:hAnsi="Arial" w:cs="Arial"/>
        </w:rPr>
        <w:tab/>
      </w:r>
      <w:r w:rsidR="0066129E">
        <w:rPr>
          <w:rFonts w:ascii="Arial" w:hAnsi="Arial" w:cs="Arial"/>
        </w:rPr>
        <w:t>Past 11:00 (eleven) ja.’</w:t>
      </w:r>
    </w:p>
    <w:p w:rsidR="00E20D5E" w:rsidRDefault="00E20D5E" w:rsidP="002B3B08">
      <w:pPr>
        <w:spacing w:after="0" w:line="360" w:lineRule="auto"/>
        <w:jc w:val="both"/>
        <w:rPr>
          <w:rFonts w:ascii="Arial" w:hAnsi="Arial" w:cs="Arial"/>
          <w:sz w:val="24"/>
          <w:szCs w:val="24"/>
        </w:rPr>
      </w:pPr>
    </w:p>
    <w:p w:rsidR="00394000" w:rsidRDefault="00394000" w:rsidP="002B3B08">
      <w:pPr>
        <w:spacing w:after="0" w:line="360" w:lineRule="auto"/>
        <w:jc w:val="both"/>
        <w:rPr>
          <w:rFonts w:ascii="Arial" w:hAnsi="Arial" w:cs="Arial"/>
          <w:sz w:val="24"/>
          <w:szCs w:val="24"/>
        </w:rPr>
      </w:pPr>
      <w:r>
        <w:rPr>
          <w:rFonts w:ascii="Arial" w:hAnsi="Arial" w:cs="Arial"/>
          <w:sz w:val="24"/>
          <w:szCs w:val="24"/>
        </w:rPr>
        <w:t>[3</w:t>
      </w:r>
      <w:r w:rsidR="00353BD9">
        <w:rPr>
          <w:rFonts w:ascii="Arial" w:hAnsi="Arial" w:cs="Arial"/>
          <w:sz w:val="24"/>
          <w:szCs w:val="24"/>
        </w:rPr>
        <w:t>5</w:t>
      </w:r>
      <w:r>
        <w:rPr>
          <w:rFonts w:ascii="Arial" w:hAnsi="Arial" w:cs="Arial"/>
          <w:sz w:val="24"/>
          <w:szCs w:val="24"/>
        </w:rPr>
        <w:t xml:space="preserve">] </w:t>
      </w:r>
      <w:r>
        <w:rPr>
          <w:rFonts w:ascii="Arial" w:hAnsi="Arial" w:cs="Arial"/>
          <w:sz w:val="24"/>
          <w:szCs w:val="24"/>
        </w:rPr>
        <w:tab/>
        <w:t xml:space="preserve">The </w:t>
      </w:r>
      <w:r w:rsidR="00600051">
        <w:rPr>
          <w:rFonts w:ascii="Arial" w:hAnsi="Arial" w:cs="Arial"/>
          <w:sz w:val="24"/>
          <w:szCs w:val="24"/>
        </w:rPr>
        <w:t>other witnesses for the first respondent was Mr Van Wyk, has no personal knowledge of the time of the incident as he was</w:t>
      </w:r>
      <w:r w:rsidR="0066129E">
        <w:rPr>
          <w:rFonts w:ascii="Arial" w:hAnsi="Arial" w:cs="Arial"/>
          <w:sz w:val="24"/>
          <w:szCs w:val="24"/>
        </w:rPr>
        <w:t xml:space="preserve"> not</w:t>
      </w:r>
      <w:r w:rsidR="004B1CD8">
        <w:rPr>
          <w:rFonts w:ascii="Arial" w:hAnsi="Arial" w:cs="Arial"/>
          <w:sz w:val="24"/>
          <w:szCs w:val="24"/>
        </w:rPr>
        <w:t>present and is dependent on hearsay</w:t>
      </w:r>
      <w:r w:rsidR="00600051">
        <w:rPr>
          <w:rFonts w:ascii="Arial" w:hAnsi="Arial" w:cs="Arial"/>
          <w:sz w:val="24"/>
          <w:szCs w:val="24"/>
        </w:rPr>
        <w:t>, and Mr B</w:t>
      </w:r>
      <w:r w:rsidR="004B1CD8">
        <w:rPr>
          <w:rFonts w:ascii="Arial" w:hAnsi="Arial" w:cs="Arial"/>
          <w:sz w:val="24"/>
          <w:szCs w:val="24"/>
        </w:rPr>
        <w:t>asson,</w:t>
      </w:r>
      <w:r w:rsidR="00600051">
        <w:rPr>
          <w:rFonts w:ascii="Arial" w:hAnsi="Arial" w:cs="Arial"/>
          <w:sz w:val="24"/>
          <w:szCs w:val="24"/>
        </w:rPr>
        <w:t xml:space="preserve"> who just said he was approached to read a letter after lunch time but stated no specific time. </w:t>
      </w:r>
    </w:p>
    <w:p w:rsidR="00394000" w:rsidRDefault="00394000" w:rsidP="002B3B08">
      <w:pPr>
        <w:spacing w:after="0" w:line="360" w:lineRule="auto"/>
        <w:jc w:val="both"/>
        <w:rPr>
          <w:rFonts w:ascii="Arial" w:hAnsi="Arial" w:cs="Arial"/>
          <w:sz w:val="24"/>
          <w:szCs w:val="24"/>
        </w:rPr>
      </w:pPr>
    </w:p>
    <w:p w:rsidR="00B14B3A" w:rsidRDefault="00600051" w:rsidP="002B3B08">
      <w:pPr>
        <w:spacing w:after="0" w:line="360" w:lineRule="auto"/>
        <w:jc w:val="both"/>
        <w:rPr>
          <w:rFonts w:ascii="Arial" w:hAnsi="Arial" w:cs="Arial"/>
          <w:sz w:val="24"/>
          <w:szCs w:val="24"/>
        </w:rPr>
      </w:pPr>
      <w:r>
        <w:rPr>
          <w:rFonts w:ascii="Arial" w:hAnsi="Arial" w:cs="Arial"/>
          <w:sz w:val="24"/>
          <w:szCs w:val="24"/>
        </w:rPr>
        <w:t>[3</w:t>
      </w:r>
      <w:r w:rsidR="00353BD9">
        <w:rPr>
          <w:rFonts w:ascii="Arial" w:hAnsi="Arial" w:cs="Arial"/>
          <w:sz w:val="24"/>
          <w:szCs w:val="24"/>
        </w:rPr>
        <w:t>6</w:t>
      </w:r>
      <w:r>
        <w:rPr>
          <w:rFonts w:ascii="Arial" w:hAnsi="Arial" w:cs="Arial"/>
          <w:sz w:val="24"/>
          <w:szCs w:val="24"/>
        </w:rPr>
        <w:t>]</w:t>
      </w:r>
      <w:r>
        <w:rPr>
          <w:rFonts w:ascii="Arial" w:hAnsi="Arial" w:cs="Arial"/>
          <w:sz w:val="24"/>
          <w:szCs w:val="24"/>
        </w:rPr>
        <w:tab/>
      </w:r>
      <w:r w:rsidR="00431072">
        <w:rPr>
          <w:rFonts w:ascii="Arial" w:hAnsi="Arial" w:cs="Arial"/>
          <w:sz w:val="24"/>
          <w:szCs w:val="24"/>
        </w:rPr>
        <w:t>According to the appellants and their witnesses</w:t>
      </w:r>
      <w:r w:rsidR="0066129E">
        <w:rPr>
          <w:rFonts w:ascii="Arial" w:hAnsi="Arial" w:cs="Arial"/>
          <w:sz w:val="24"/>
          <w:szCs w:val="24"/>
        </w:rPr>
        <w:t>,</w:t>
      </w:r>
      <w:r w:rsidR="004B1CD8">
        <w:rPr>
          <w:rFonts w:ascii="Arial" w:hAnsi="Arial" w:cs="Arial"/>
          <w:sz w:val="24"/>
          <w:szCs w:val="24"/>
        </w:rPr>
        <w:t>they approached the employees</w:t>
      </w:r>
      <w:r w:rsidR="00431072">
        <w:rPr>
          <w:rFonts w:ascii="Arial" w:hAnsi="Arial" w:cs="Arial"/>
          <w:sz w:val="24"/>
          <w:szCs w:val="24"/>
        </w:rPr>
        <w:t xml:space="preserve"> during lunch</w:t>
      </w:r>
      <w:r w:rsidR="004B1CD8">
        <w:rPr>
          <w:rFonts w:ascii="Arial" w:hAnsi="Arial" w:cs="Arial"/>
          <w:sz w:val="24"/>
          <w:szCs w:val="24"/>
        </w:rPr>
        <w:t>time</w:t>
      </w:r>
      <w:r w:rsidR="00431072">
        <w:rPr>
          <w:rFonts w:ascii="Arial" w:hAnsi="Arial" w:cs="Arial"/>
          <w:sz w:val="24"/>
          <w:szCs w:val="24"/>
        </w:rPr>
        <w:t xml:space="preserve"> and the </w:t>
      </w:r>
      <w:r>
        <w:rPr>
          <w:rFonts w:ascii="Arial" w:hAnsi="Arial" w:cs="Arial"/>
          <w:sz w:val="24"/>
          <w:szCs w:val="24"/>
        </w:rPr>
        <w:t xml:space="preserve">second appellant was really taken to task during cross-examination regardingthe specifics of </w:t>
      </w:r>
      <w:r w:rsidR="00B14B3A">
        <w:rPr>
          <w:rFonts w:ascii="Arial" w:hAnsi="Arial" w:cs="Arial"/>
          <w:sz w:val="24"/>
          <w:szCs w:val="24"/>
        </w:rPr>
        <w:t>what happened and at what time.</w:t>
      </w:r>
    </w:p>
    <w:p w:rsidR="00B14B3A" w:rsidRDefault="00B14B3A" w:rsidP="002B3B08">
      <w:pPr>
        <w:spacing w:after="0" w:line="360" w:lineRule="auto"/>
        <w:jc w:val="both"/>
        <w:rPr>
          <w:rFonts w:ascii="Arial" w:hAnsi="Arial" w:cs="Arial"/>
          <w:sz w:val="24"/>
          <w:szCs w:val="24"/>
        </w:rPr>
      </w:pPr>
    </w:p>
    <w:p w:rsidR="00431072" w:rsidRDefault="00B14B3A" w:rsidP="002B3B08">
      <w:pPr>
        <w:spacing w:after="0" w:line="360" w:lineRule="auto"/>
        <w:jc w:val="both"/>
        <w:rPr>
          <w:rFonts w:ascii="Arial" w:hAnsi="Arial" w:cs="Arial"/>
          <w:sz w:val="24"/>
          <w:szCs w:val="24"/>
        </w:rPr>
      </w:pPr>
      <w:r>
        <w:rPr>
          <w:rFonts w:ascii="Arial" w:hAnsi="Arial" w:cs="Arial"/>
          <w:sz w:val="24"/>
          <w:szCs w:val="24"/>
        </w:rPr>
        <w:t>[3</w:t>
      </w:r>
      <w:r w:rsidR="00353BD9">
        <w:rPr>
          <w:rFonts w:ascii="Arial" w:hAnsi="Arial" w:cs="Arial"/>
          <w:sz w:val="24"/>
          <w:szCs w:val="24"/>
        </w:rPr>
        <w:t>7</w:t>
      </w:r>
      <w:r>
        <w:rPr>
          <w:rFonts w:ascii="Arial" w:hAnsi="Arial" w:cs="Arial"/>
          <w:sz w:val="24"/>
          <w:szCs w:val="24"/>
        </w:rPr>
        <w:t>]</w:t>
      </w:r>
      <w:r>
        <w:rPr>
          <w:rFonts w:ascii="Arial" w:hAnsi="Arial" w:cs="Arial"/>
          <w:sz w:val="24"/>
          <w:szCs w:val="24"/>
        </w:rPr>
        <w:tab/>
        <w:t xml:space="preserve">The issue of time is very important in this matter as it is common cause that lunch hour of the appellants was their free time which they could use as they please, including union activities. </w:t>
      </w:r>
      <w:r w:rsidR="00F130D1">
        <w:rPr>
          <w:rFonts w:ascii="Arial" w:hAnsi="Arial" w:cs="Arial"/>
          <w:sz w:val="24"/>
          <w:szCs w:val="24"/>
        </w:rPr>
        <w:t>The charge was specifically that the union activities were conducted during working hours.</w:t>
      </w:r>
    </w:p>
    <w:p w:rsidR="00600051" w:rsidRDefault="00600051" w:rsidP="002B3B08">
      <w:pPr>
        <w:spacing w:after="0" w:line="360" w:lineRule="auto"/>
        <w:jc w:val="both"/>
        <w:rPr>
          <w:rFonts w:ascii="Arial" w:hAnsi="Arial" w:cs="Arial"/>
          <w:i/>
          <w:sz w:val="24"/>
          <w:szCs w:val="24"/>
        </w:rPr>
      </w:pPr>
    </w:p>
    <w:p w:rsidR="00394000" w:rsidRDefault="00600051" w:rsidP="002B3B08">
      <w:pPr>
        <w:spacing w:after="0" w:line="360" w:lineRule="auto"/>
        <w:jc w:val="both"/>
        <w:rPr>
          <w:rFonts w:ascii="Arial" w:hAnsi="Arial" w:cs="Arial"/>
          <w:i/>
          <w:sz w:val="24"/>
          <w:szCs w:val="24"/>
        </w:rPr>
      </w:pPr>
      <w:r>
        <w:rPr>
          <w:rFonts w:ascii="Arial" w:hAnsi="Arial" w:cs="Arial"/>
          <w:i/>
          <w:sz w:val="24"/>
          <w:szCs w:val="24"/>
        </w:rPr>
        <w:t>M</w:t>
      </w:r>
      <w:r w:rsidRPr="00600051">
        <w:rPr>
          <w:rFonts w:ascii="Arial" w:hAnsi="Arial" w:cs="Arial"/>
          <w:i/>
          <w:sz w:val="24"/>
          <w:szCs w:val="24"/>
        </w:rPr>
        <w:t>utually destructive versions</w:t>
      </w:r>
    </w:p>
    <w:p w:rsidR="0066129E" w:rsidRPr="0066129E" w:rsidRDefault="0066129E" w:rsidP="002B3B08">
      <w:pPr>
        <w:spacing w:after="0" w:line="360" w:lineRule="auto"/>
        <w:jc w:val="both"/>
        <w:rPr>
          <w:rFonts w:ascii="Arial" w:hAnsi="Arial" w:cs="Arial"/>
          <w:sz w:val="24"/>
          <w:szCs w:val="24"/>
        </w:rPr>
      </w:pPr>
    </w:p>
    <w:p w:rsidR="00394000" w:rsidRDefault="00394000" w:rsidP="002B3B08">
      <w:pPr>
        <w:spacing w:after="0" w:line="360" w:lineRule="auto"/>
        <w:jc w:val="both"/>
        <w:rPr>
          <w:rFonts w:ascii="Arial" w:hAnsi="Arial" w:cs="Arial"/>
          <w:sz w:val="24"/>
          <w:szCs w:val="24"/>
        </w:rPr>
      </w:pPr>
      <w:r>
        <w:rPr>
          <w:rFonts w:ascii="Arial" w:hAnsi="Arial" w:cs="Arial"/>
          <w:sz w:val="24"/>
          <w:szCs w:val="24"/>
        </w:rPr>
        <w:t>[3</w:t>
      </w:r>
      <w:r w:rsidR="00353BD9">
        <w:rPr>
          <w:rFonts w:ascii="Arial" w:hAnsi="Arial" w:cs="Arial"/>
          <w:sz w:val="24"/>
          <w:szCs w:val="24"/>
        </w:rPr>
        <w:t>8</w:t>
      </w:r>
      <w:r>
        <w:rPr>
          <w:rFonts w:ascii="Arial" w:hAnsi="Arial" w:cs="Arial"/>
          <w:sz w:val="24"/>
          <w:szCs w:val="24"/>
        </w:rPr>
        <w:t>]</w:t>
      </w:r>
      <w:r>
        <w:rPr>
          <w:rFonts w:ascii="Arial" w:hAnsi="Arial" w:cs="Arial"/>
          <w:sz w:val="24"/>
          <w:szCs w:val="24"/>
        </w:rPr>
        <w:tab/>
      </w:r>
      <w:r w:rsidR="00C763F0">
        <w:rPr>
          <w:rFonts w:ascii="Arial" w:hAnsi="Arial" w:cs="Arial"/>
          <w:sz w:val="24"/>
          <w:szCs w:val="24"/>
        </w:rPr>
        <w:t xml:space="preserve">Considering the two </w:t>
      </w:r>
      <w:r w:rsidR="00F130D1">
        <w:rPr>
          <w:rFonts w:ascii="Arial" w:hAnsi="Arial" w:cs="Arial"/>
          <w:sz w:val="24"/>
          <w:szCs w:val="24"/>
        </w:rPr>
        <w:t>conflicting</w:t>
      </w:r>
      <w:r w:rsidR="00C763F0">
        <w:rPr>
          <w:rFonts w:ascii="Arial" w:hAnsi="Arial" w:cs="Arial"/>
          <w:sz w:val="24"/>
          <w:szCs w:val="24"/>
        </w:rPr>
        <w:t xml:space="preserve"> versions</w:t>
      </w:r>
      <w:r w:rsidR="0066129E">
        <w:rPr>
          <w:rFonts w:ascii="Arial" w:hAnsi="Arial" w:cs="Arial"/>
          <w:sz w:val="24"/>
          <w:szCs w:val="24"/>
        </w:rPr>
        <w:t>,</w:t>
      </w:r>
      <w:r w:rsidR="00C763F0">
        <w:rPr>
          <w:rFonts w:ascii="Arial" w:hAnsi="Arial" w:cs="Arial"/>
          <w:sz w:val="24"/>
          <w:szCs w:val="24"/>
        </w:rPr>
        <w:t xml:space="preserve"> there is no indication how the arbitrator found this </w:t>
      </w:r>
      <w:r w:rsidR="00F130D1">
        <w:rPr>
          <w:rFonts w:ascii="Arial" w:hAnsi="Arial" w:cs="Arial"/>
          <w:sz w:val="24"/>
          <w:szCs w:val="24"/>
        </w:rPr>
        <w:t>issue regarding the time</w:t>
      </w:r>
      <w:r w:rsidR="00C763F0">
        <w:rPr>
          <w:rFonts w:ascii="Arial" w:hAnsi="Arial" w:cs="Arial"/>
          <w:sz w:val="24"/>
          <w:szCs w:val="24"/>
        </w:rPr>
        <w:t xml:space="preserve"> to be proven on a balance of probabilities.</w:t>
      </w:r>
    </w:p>
    <w:p w:rsidR="00431072" w:rsidRDefault="00431072" w:rsidP="002B3B08">
      <w:pPr>
        <w:spacing w:after="0" w:line="360" w:lineRule="auto"/>
        <w:jc w:val="both"/>
        <w:rPr>
          <w:rFonts w:ascii="Arial" w:hAnsi="Arial" w:cs="Arial"/>
          <w:sz w:val="24"/>
          <w:szCs w:val="24"/>
        </w:rPr>
      </w:pPr>
    </w:p>
    <w:p w:rsidR="00C763F0" w:rsidRPr="008D5851" w:rsidRDefault="00C763F0" w:rsidP="002B3B08">
      <w:pPr>
        <w:widowControl w:val="0"/>
        <w:autoSpaceDE w:val="0"/>
        <w:autoSpaceDN w:val="0"/>
        <w:adjustRightInd w:val="0"/>
        <w:spacing w:after="0" w:line="360" w:lineRule="auto"/>
        <w:jc w:val="both"/>
        <w:rPr>
          <w:rFonts w:ascii="Arial" w:hAnsi="Arial" w:cs="Arial"/>
          <w:sz w:val="24"/>
          <w:szCs w:val="24"/>
        </w:rPr>
      </w:pPr>
      <w:r>
        <w:rPr>
          <w:rFonts w:ascii="Arial" w:eastAsia="Times New Roman" w:hAnsi="Arial" w:cs="Arial"/>
          <w:sz w:val="24"/>
          <w:szCs w:val="24"/>
        </w:rPr>
        <w:t>[3</w:t>
      </w:r>
      <w:r w:rsidR="00353BD9">
        <w:rPr>
          <w:rFonts w:ascii="Arial" w:eastAsia="Times New Roman" w:hAnsi="Arial" w:cs="Arial"/>
          <w:sz w:val="24"/>
          <w:szCs w:val="24"/>
        </w:rPr>
        <w:t>9</w:t>
      </w:r>
      <w:r>
        <w:rPr>
          <w:rFonts w:ascii="Arial" w:eastAsia="Times New Roman" w:hAnsi="Arial" w:cs="Arial"/>
          <w:sz w:val="24"/>
          <w:szCs w:val="24"/>
        </w:rPr>
        <w:t>]</w:t>
      </w:r>
      <w:r>
        <w:rPr>
          <w:rFonts w:ascii="Arial" w:eastAsia="Times New Roman" w:hAnsi="Arial" w:cs="Arial"/>
          <w:sz w:val="24"/>
          <w:szCs w:val="24"/>
        </w:rPr>
        <w:tab/>
      </w:r>
      <w:r w:rsidRPr="00412FAA">
        <w:rPr>
          <w:rFonts w:ascii="Arial" w:eastAsia="Times New Roman" w:hAnsi="Arial" w:cs="Arial"/>
          <w:sz w:val="24"/>
          <w:szCs w:val="24"/>
        </w:rPr>
        <w:t xml:space="preserve">Once the </w:t>
      </w:r>
      <w:r>
        <w:rPr>
          <w:rFonts w:ascii="Arial" w:eastAsia="Times New Roman" w:hAnsi="Arial" w:cs="Arial"/>
          <w:sz w:val="24"/>
          <w:szCs w:val="24"/>
        </w:rPr>
        <w:t>arbitratori</w:t>
      </w:r>
      <w:r w:rsidRPr="00412FAA">
        <w:rPr>
          <w:rFonts w:ascii="Arial" w:eastAsia="Times New Roman" w:hAnsi="Arial" w:cs="Arial"/>
          <w:sz w:val="24"/>
          <w:szCs w:val="24"/>
        </w:rPr>
        <w:t xml:space="preserve">s faced with two </w:t>
      </w:r>
      <w:r w:rsidR="0066129E">
        <w:rPr>
          <w:rFonts w:ascii="Arial" w:eastAsia="Times New Roman" w:hAnsi="Arial" w:cs="Arial"/>
          <w:sz w:val="24"/>
          <w:szCs w:val="24"/>
        </w:rPr>
        <w:t>mutual</w:t>
      </w:r>
      <w:r w:rsidRPr="00412FAA">
        <w:rPr>
          <w:rFonts w:ascii="Arial" w:eastAsia="Times New Roman" w:hAnsi="Arial" w:cs="Arial"/>
          <w:sz w:val="24"/>
          <w:szCs w:val="24"/>
        </w:rPr>
        <w:t xml:space="preserve"> versions </w:t>
      </w:r>
      <w:r>
        <w:rPr>
          <w:rFonts w:ascii="Arial" w:eastAsia="Times New Roman" w:hAnsi="Arial" w:cs="Arial"/>
          <w:sz w:val="24"/>
          <w:szCs w:val="24"/>
        </w:rPr>
        <w:t>he/s</w:t>
      </w:r>
      <w:r w:rsidRPr="00412FAA">
        <w:rPr>
          <w:rFonts w:ascii="Arial" w:eastAsia="Times New Roman" w:hAnsi="Arial" w:cs="Arial"/>
          <w:sz w:val="24"/>
          <w:szCs w:val="24"/>
        </w:rPr>
        <w:t>he ha</w:t>
      </w:r>
      <w:r>
        <w:rPr>
          <w:rFonts w:ascii="Arial" w:eastAsia="Times New Roman" w:hAnsi="Arial" w:cs="Arial"/>
          <w:sz w:val="24"/>
          <w:szCs w:val="24"/>
        </w:rPr>
        <w:t>s</w:t>
      </w:r>
      <w:r w:rsidRPr="00412FAA">
        <w:rPr>
          <w:rFonts w:ascii="Arial" w:eastAsia="Times New Roman" w:hAnsi="Arial" w:cs="Arial"/>
          <w:sz w:val="24"/>
          <w:szCs w:val="24"/>
        </w:rPr>
        <w:t xml:space="preserve"> to, on probabilities</w:t>
      </w:r>
      <w:r>
        <w:rPr>
          <w:rFonts w:ascii="Arial" w:eastAsia="Times New Roman" w:hAnsi="Arial" w:cs="Arial"/>
          <w:sz w:val="24"/>
          <w:szCs w:val="24"/>
        </w:rPr>
        <w:t>,</w:t>
      </w:r>
      <w:r w:rsidRPr="00412FAA">
        <w:rPr>
          <w:rFonts w:ascii="Arial" w:eastAsia="Times New Roman" w:hAnsi="Arial" w:cs="Arial"/>
          <w:sz w:val="24"/>
          <w:szCs w:val="24"/>
        </w:rPr>
        <w:t xml:space="preserve"> decide which of the versions is likely to be true. The test was stated as follows </w:t>
      </w:r>
      <w:r w:rsidRPr="00412FAA">
        <w:rPr>
          <w:rFonts w:ascii="Arial" w:hAnsi="Arial" w:cs="Arial"/>
          <w:sz w:val="24"/>
          <w:szCs w:val="24"/>
        </w:rPr>
        <w:t xml:space="preserve">by Eksteen, AJP in </w:t>
      </w:r>
      <w:r w:rsidRPr="00412FAA">
        <w:rPr>
          <w:rFonts w:ascii="Arial" w:hAnsi="Arial" w:cs="Arial"/>
          <w:i/>
          <w:sz w:val="24"/>
          <w:szCs w:val="24"/>
        </w:rPr>
        <w:t>National</w:t>
      </w:r>
      <w:r w:rsidRPr="008D5851">
        <w:rPr>
          <w:rFonts w:ascii="Arial" w:hAnsi="Arial" w:cs="Arial"/>
          <w:i/>
          <w:sz w:val="24"/>
          <w:szCs w:val="24"/>
        </w:rPr>
        <w:t xml:space="preserve"> Employers General Insurance v Jagers</w:t>
      </w:r>
      <w:r>
        <w:rPr>
          <w:rStyle w:val="FootnoteReference"/>
          <w:rFonts w:ascii="Arial" w:hAnsi="Arial" w:cs="Arial"/>
          <w:i/>
          <w:sz w:val="24"/>
          <w:szCs w:val="24"/>
        </w:rPr>
        <w:footnoteReference w:id="18"/>
      </w:r>
      <w:r w:rsidRPr="008D5851">
        <w:rPr>
          <w:rFonts w:ascii="Arial" w:hAnsi="Arial" w:cs="Arial"/>
          <w:sz w:val="24"/>
          <w:szCs w:val="24"/>
        </w:rPr>
        <w:t xml:space="preserve"> - </w:t>
      </w:r>
    </w:p>
    <w:p w:rsidR="00C763F0" w:rsidRDefault="00C763F0" w:rsidP="002B3B08">
      <w:pPr>
        <w:spacing w:after="0" w:line="360" w:lineRule="auto"/>
        <w:ind w:left="720" w:right="27"/>
        <w:jc w:val="both"/>
        <w:rPr>
          <w:rFonts w:ascii="Arial" w:hAnsi="Arial" w:cs="Arial"/>
        </w:rPr>
      </w:pPr>
    </w:p>
    <w:p w:rsidR="00C763F0" w:rsidRPr="008D5851" w:rsidRDefault="00C763F0" w:rsidP="002B3B08">
      <w:pPr>
        <w:spacing w:after="0" w:line="360" w:lineRule="auto"/>
        <w:ind w:left="720" w:right="27"/>
        <w:jc w:val="both"/>
        <w:rPr>
          <w:rFonts w:ascii="Arial" w:hAnsi="Arial" w:cs="Arial"/>
        </w:rPr>
      </w:pPr>
      <w:r w:rsidRPr="008D5851">
        <w:rPr>
          <w:rFonts w:ascii="Arial" w:hAnsi="Arial" w:cs="Arial"/>
        </w:rPr>
        <w:t>“Where there are two mutually destructive stories the plaintiff can only succeed</w:t>
      </w:r>
      <w:r>
        <w:rPr>
          <w:rFonts w:ascii="Arial" w:hAnsi="Arial" w:cs="Arial"/>
        </w:rPr>
        <w:t xml:space="preserve"> …i</w:t>
      </w:r>
      <w:r w:rsidRPr="008D5851">
        <w:rPr>
          <w:rFonts w:ascii="Arial" w:hAnsi="Arial" w:cs="Arial"/>
        </w:rPr>
        <w:t xml:space="preserve">f he satisfied the Court on a preponderance of probabilities that his version </w:t>
      </w:r>
      <w:r w:rsidRPr="008D5851">
        <w:rPr>
          <w:rFonts w:ascii="Arial" w:hAnsi="Arial" w:cs="Arial"/>
          <w:i/>
          <w:u w:val="single"/>
        </w:rPr>
        <w:t xml:space="preserve">is true and accurate </w:t>
      </w:r>
      <w:r w:rsidRPr="008D5851">
        <w:rPr>
          <w:rFonts w:ascii="Arial" w:hAnsi="Arial" w:cs="Arial"/>
          <w:i/>
        </w:rPr>
        <w:t>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p>
    <w:p w:rsidR="00C763F0" w:rsidRDefault="00C763F0" w:rsidP="002B3B08">
      <w:pPr>
        <w:spacing w:after="0" w:line="360" w:lineRule="auto"/>
        <w:jc w:val="both"/>
        <w:rPr>
          <w:rFonts w:ascii="Arial" w:hAnsi="Arial" w:cs="Arial"/>
          <w:sz w:val="24"/>
          <w:szCs w:val="24"/>
        </w:rPr>
      </w:pPr>
    </w:p>
    <w:p w:rsidR="00D56E3F" w:rsidRDefault="00C763F0" w:rsidP="002B3B08">
      <w:pPr>
        <w:spacing w:after="0" w:line="360" w:lineRule="auto"/>
        <w:jc w:val="both"/>
        <w:rPr>
          <w:rFonts w:ascii="Arial" w:hAnsi="Arial" w:cs="Arial"/>
          <w:sz w:val="24"/>
          <w:szCs w:val="24"/>
        </w:rPr>
      </w:pPr>
      <w:r>
        <w:rPr>
          <w:rFonts w:ascii="Arial" w:hAnsi="Arial" w:cs="Arial"/>
          <w:sz w:val="24"/>
          <w:szCs w:val="24"/>
        </w:rPr>
        <w:t>[</w:t>
      </w:r>
      <w:r w:rsidR="00353BD9">
        <w:rPr>
          <w:rFonts w:ascii="Arial" w:hAnsi="Arial" w:cs="Arial"/>
          <w:sz w:val="24"/>
          <w:szCs w:val="24"/>
        </w:rPr>
        <w:t>40</w:t>
      </w:r>
      <w:r>
        <w:rPr>
          <w:rFonts w:ascii="Arial" w:hAnsi="Arial" w:cs="Arial"/>
          <w:sz w:val="24"/>
          <w:szCs w:val="24"/>
        </w:rPr>
        <w:t>]</w:t>
      </w:r>
      <w:r>
        <w:rPr>
          <w:rFonts w:ascii="Arial" w:hAnsi="Arial" w:cs="Arial"/>
          <w:sz w:val="24"/>
          <w:szCs w:val="24"/>
        </w:rPr>
        <w:tab/>
      </w:r>
      <w:r w:rsidR="00B14B3A">
        <w:rPr>
          <w:rFonts w:ascii="Arial" w:hAnsi="Arial" w:cs="Arial"/>
          <w:sz w:val="24"/>
          <w:szCs w:val="24"/>
        </w:rPr>
        <w:t>The arbitrat</w:t>
      </w:r>
      <w:r w:rsidR="0066129E">
        <w:rPr>
          <w:rFonts w:ascii="Arial" w:hAnsi="Arial" w:cs="Arial"/>
          <w:sz w:val="24"/>
          <w:szCs w:val="24"/>
        </w:rPr>
        <w:t>or does not make any credible</w:t>
      </w:r>
      <w:r w:rsidR="00B14B3A">
        <w:rPr>
          <w:rFonts w:ascii="Arial" w:hAnsi="Arial" w:cs="Arial"/>
          <w:sz w:val="24"/>
          <w:szCs w:val="24"/>
        </w:rPr>
        <w:t xml:space="preserve"> findings in this matter to determine why the version of the first respondent’s witnesses should be accepted and that of the appellants be rejected. </w:t>
      </w:r>
    </w:p>
    <w:p w:rsidR="00B14B3A" w:rsidRDefault="00B14B3A" w:rsidP="002B3B08">
      <w:pPr>
        <w:spacing w:after="0" w:line="360" w:lineRule="auto"/>
        <w:jc w:val="both"/>
        <w:rPr>
          <w:rFonts w:ascii="Arial" w:hAnsi="Arial" w:cs="Arial"/>
          <w:sz w:val="24"/>
          <w:szCs w:val="24"/>
        </w:rPr>
      </w:pPr>
    </w:p>
    <w:p w:rsidR="00B14B3A" w:rsidRDefault="00B14B3A" w:rsidP="002B3B08">
      <w:pPr>
        <w:spacing w:after="0" w:line="360" w:lineRule="auto"/>
        <w:jc w:val="both"/>
        <w:rPr>
          <w:rFonts w:ascii="Arial" w:hAnsi="Arial" w:cs="Arial"/>
          <w:sz w:val="24"/>
          <w:szCs w:val="24"/>
        </w:rPr>
      </w:pPr>
      <w:r>
        <w:rPr>
          <w:rFonts w:ascii="Arial" w:hAnsi="Arial" w:cs="Arial"/>
          <w:sz w:val="24"/>
          <w:szCs w:val="24"/>
        </w:rPr>
        <w:t>[</w:t>
      </w:r>
      <w:r w:rsidR="00353BD9">
        <w:rPr>
          <w:rFonts w:ascii="Arial" w:hAnsi="Arial" w:cs="Arial"/>
          <w:sz w:val="24"/>
          <w:szCs w:val="24"/>
        </w:rPr>
        <w:t>41</w:t>
      </w:r>
      <w:r>
        <w:rPr>
          <w:rFonts w:ascii="Arial" w:hAnsi="Arial" w:cs="Arial"/>
          <w:sz w:val="24"/>
          <w:szCs w:val="24"/>
        </w:rPr>
        <w:t>]</w:t>
      </w:r>
      <w:r>
        <w:rPr>
          <w:rFonts w:ascii="Arial" w:hAnsi="Arial" w:cs="Arial"/>
          <w:sz w:val="24"/>
          <w:szCs w:val="24"/>
        </w:rPr>
        <w:tab/>
        <w:t xml:space="preserve">The first respondent </w:t>
      </w:r>
      <w:r w:rsidRPr="004B1CD8">
        <w:rPr>
          <w:rFonts w:ascii="Arial" w:hAnsi="Arial" w:cs="Arial"/>
          <w:i/>
          <w:sz w:val="24"/>
          <w:szCs w:val="24"/>
        </w:rPr>
        <w:t>in casu</w:t>
      </w:r>
      <w:r>
        <w:rPr>
          <w:rFonts w:ascii="Arial" w:hAnsi="Arial" w:cs="Arial"/>
          <w:sz w:val="24"/>
          <w:szCs w:val="24"/>
        </w:rPr>
        <w:t xml:space="preserve"> did not show on a preponderance of probabilities th</w:t>
      </w:r>
      <w:r w:rsidR="004B1CD8">
        <w:rPr>
          <w:rFonts w:ascii="Arial" w:hAnsi="Arial" w:cs="Arial"/>
          <w:sz w:val="24"/>
          <w:szCs w:val="24"/>
        </w:rPr>
        <w:t>at</w:t>
      </w:r>
      <w:r>
        <w:rPr>
          <w:rFonts w:ascii="Arial" w:hAnsi="Arial" w:cs="Arial"/>
          <w:sz w:val="24"/>
          <w:szCs w:val="24"/>
        </w:rPr>
        <w:t xml:space="preserve"> its version is true and accurate and the arbitrator could </w:t>
      </w:r>
      <w:r w:rsidR="004B1CD8">
        <w:rPr>
          <w:rFonts w:ascii="Arial" w:hAnsi="Arial" w:cs="Arial"/>
          <w:sz w:val="24"/>
          <w:szCs w:val="24"/>
        </w:rPr>
        <w:t xml:space="preserve">therefore </w:t>
      </w:r>
      <w:r>
        <w:rPr>
          <w:rFonts w:ascii="Arial" w:hAnsi="Arial" w:cs="Arial"/>
          <w:sz w:val="24"/>
          <w:szCs w:val="24"/>
        </w:rPr>
        <w:t xml:space="preserve">not reach the conclusions </w:t>
      </w:r>
      <w:r w:rsidR="004B1CD8">
        <w:rPr>
          <w:rFonts w:ascii="Arial" w:hAnsi="Arial" w:cs="Arial"/>
          <w:sz w:val="24"/>
          <w:szCs w:val="24"/>
        </w:rPr>
        <w:t xml:space="preserve">that </w:t>
      </w:r>
      <w:r>
        <w:rPr>
          <w:rFonts w:ascii="Arial" w:hAnsi="Arial" w:cs="Arial"/>
          <w:sz w:val="24"/>
          <w:szCs w:val="24"/>
        </w:rPr>
        <w:t xml:space="preserve">she did. </w:t>
      </w:r>
    </w:p>
    <w:p w:rsidR="00B14B3A" w:rsidRDefault="00B14B3A" w:rsidP="002B3B08">
      <w:pPr>
        <w:spacing w:after="0" w:line="360" w:lineRule="auto"/>
        <w:jc w:val="both"/>
        <w:rPr>
          <w:rFonts w:ascii="Arial" w:hAnsi="Arial" w:cs="Arial"/>
          <w:sz w:val="24"/>
          <w:szCs w:val="24"/>
        </w:rPr>
      </w:pPr>
    </w:p>
    <w:p w:rsidR="00B14B3A" w:rsidRDefault="00B14B3A" w:rsidP="002B3B08">
      <w:pPr>
        <w:spacing w:after="0" w:line="360" w:lineRule="auto"/>
        <w:jc w:val="both"/>
        <w:rPr>
          <w:rFonts w:ascii="Arial" w:hAnsi="Arial" w:cs="Arial"/>
          <w:i/>
          <w:sz w:val="24"/>
          <w:szCs w:val="24"/>
        </w:rPr>
      </w:pPr>
      <w:r w:rsidRPr="00B14B3A">
        <w:rPr>
          <w:rFonts w:ascii="Arial" w:hAnsi="Arial" w:cs="Arial"/>
          <w:i/>
          <w:sz w:val="24"/>
          <w:szCs w:val="24"/>
        </w:rPr>
        <w:t>Inconsistency in applying discipline</w:t>
      </w:r>
    </w:p>
    <w:p w:rsidR="00B14B3A" w:rsidRDefault="00B14B3A" w:rsidP="002B3B08">
      <w:pPr>
        <w:spacing w:after="0" w:line="360" w:lineRule="auto"/>
        <w:jc w:val="both"/>
        <w:rPr>
          <w:rFonts w:ascii="Arial" w:hAnsi="Arial" w:cs="Arial"/>
          <w:sz w:val="24"/>
          <w:szCs w:val="24"/>
        </w:rPr>
      </w:pPr>
    </w:p>
    <w:p w:rsidR="00F130D1" w:rsidRDefault="00B14B3A" w:rsidP="002B3B08">
      <w:pPr>
        <w:spacing w:after="0" w:line="360" w:lineRule="auto"/>
        <w:jc w:val="both"/>
        <w:rPr>
          <w:rFonts w:ascii="Arial" w:hAnsi="Arial" w:cs="Arial"/>
          <w:sz w:val="24"/>
          <w:szCs w:val="24"/>
        </w:rPr>
      </w:pPr>
      <w:r>
        <w:rPr>
          <w:rFonts w:ascii="Arial" w:hAnsi="Arial" w:cs="Arial"/>
          <w:sz w:val="24"/>
          <w:szCs w:val="24"/>
        </w:rPr>
        <w:t>[4</w:t>
      </w:r>
      <w:r w:rsidR="00353BD9">
        <w:rPr>
          <w:rFonts w:ascii="Arial" w:hAnsi="Arial" w:cs="Arial"/>
          <w:sz w:val="24"/>
          <w:szCs w:val="24"/>
        </w:rPr>
        <w:t>2</w:t>
      </w:r>
      <w:r>
        <w:rPr>
          <w:rFonts w:ascii="Arial" w:hAnsi="Arial" w:cs="Arial"/>
          <w:sz w:val="24"/>
          <w:szCs w:val="24"/>
        </w:rPr>
        <w:t>]</w:t>
      </w:r>
      <w:r>
        <w:rPr>
          <w:rFonts w:ascii="Arial" w:hAnsi="Arial" w:cs="Arial"/>
          <w:sz w:val="24"/>
          <w:szCs w:val="24"/>
        </w:rPr>
        <w:tab/>
        <w:t xml:space="preserve"> It is common cause that it was not just</w:t>
      </w:r>
      <w:r w:rsidR="00F130D1">
        <w:rPr>
          <w:rFonts w:ascii="Arial" w:hAnsi="Arial" w:cs="Arial"/>
          <w:sz w:val="24"/>
          <w:szCs w:val="24"/>
        </w:rPr>
        <w:t xml:space="preserve"> the two appellants who approached the other employees regarding the petitions concerned in their capacity as union representatives</w:t>
      </w:r>
      <w:r w:rsidR="0066129E">
        <w:rPr>
          <w:rFonts w:ascii="Arial" w:hAnsi="Arial" w:cs="Arial"/>
          <w:sz w:val="24"/>
          <w:szCs w:val="24"/>
        </w:rPr>
        <w:t>. Apart from the appellants, M</w:t>
      </w:r>
      <w:r w:rsidR="009E574B">
        <w:rPr>
          <w:rFonts w:ascii="Arial" w:hAnsi="Arial" w:cs="Arial"/>
          <w:sz w:val="24"/>
          <w:szCs w:val="24"/>
        </w:rPr>
        <w:t>ess</w:t>
      </w:r>
      <w:r w:rsidR="0066129E">
        <w:rPr>
          <w:rFonts w:ascii="Arial" w:hAnsi="Arial" w:cs="Arial"/>
          <w:sz w:val="24"/>
          <w:szCs w:val="24"/>
        </w:rPr>
        <w:t>r</w:t>
      </w:r>
      <w:r w:rsidR="009E574B">
        <w:rPr>
          <w:rFonts w:ascii="Arial" w:hAnsi="Arial" w:cs="Arial"/>
          <w:sz w:val="24"/>
          <w:szCs w:val="24"/>
        </w:rPr>
        <w:t xml:space="preserve">s </w:t>
      </w:r>
      <w:r w:rsidR="00F130D1">
        <w:rPr>
          <w:rFonts w:ascii="Arial" w:hAnsi="Arial" w:cs="Arial"/>
          <w:sz w:val="24"/>
          <w:szCs w:val="24"/>
        </w:rPr>
        <w:t>Heveleni and Kasuto, t</w:t>
      </w:r>
      <w:r w:rsidR="0066129E">
        <w:rPr>
          <w:rFonts w:ascii="Arial" w:hAnsi="Arial" w:cs="Arial"/>
          <w:sz w:val="24"/>
          <w:szCs w:val="24"/>
        </w:rPr>
        <w:t>here was also a Mr Fanuel</w:t>
      </w:r>
      <w:r w:rsidR="00F130D1">
        <w:rPr>
          <w:rFonts w:ascii="Arial" w:hAnsi="Arial" w:cs="Arial"/>
          <w:sz w:val="24"/>
          <w:szCs w:val="24"/>
        </w:rPr>
        <w:t xml:space="preserve">, who accompanied them and who held the position of union secretary. No disciplinary proceedings were instituted against Mr Fanuel and at the time of the arbitration proceedings he still held his position as assistant Boiler Maker at the first respondent. </w:t>
      </w:r>
    </w:p>
    <w:p w:rsidR="00F130D1" w:rsidRDefault="00F130D1" w:rsidP="002B3B08">
      <w:pPr>
        <w:spacing w:after="0" w:line="360" w:lineRule="auto"/>
        <w:jc w:val="both"/>
        <w:rPr>
          <w:rFonts w:ascii="Arial" w:hAnsi="Arial" w:cs="Arial"/>
          <w:sz w:val="24"/>
          <w:szCs w:val="24"/>
        </w:rPr>
      </w:pPr>
    </w:p>
    <w:p w:rsidR="00D56E3F" w:rsidRDefault="00F130D1" w:rsidP="002B3B08">
      <w:pPr>
        <w:spacing w:after="0" w:line="360" w:lineRule="auto"/>
        <w:jc w:val="both"/>
        <w:rPr>
          <w:rFonts w:ascii="Arial" w:hAnsi="Arial" w:cs="Arial"/>
        </w:rPr>
      </w:pPr>
      <w:r>
        <w:rPr>
          <w:rFonts w:ascii="Arial" w:hAnsi="Arial" w:cs="Arial"/>
          <w:sz w:val="24"/>
          <w:szCs w:val="24"/>
        </w:rPr>
        <w:t>[4</w:t>
      </w:r>
      <w:r w:rsidR="00353BD9">
        <w:rPr>
          <w:rFonts w:ascii="Arial" w:hAnsi="Arial" w:cs="Arial"/>
          <w:sz w:val="24"/>
          <w:szCs w:val="24"/>
        </w:rPr>
        <w:t>3</w:t>
      </w:r>
      <w:r>
        <w:rPr>
          <w:rFonts w:ascii="Arial" w:hAnsi="Arial" w:cs="Arial"/>
          <w:sz w:val="24"/>
          <w:szCs w:val="24"/>
        </w:rPr>
        <w:t>]</w:t>
      </w:r>
      <w:r>
        <w:rPr>
          <w:rFonts w:ascii="Arial" w:hAnsi="Arial" w:cs="Arial"/>
          <w:sz w:val="24"/>
          <w:szCs w:val="24"/>
        </w:rPr>
        <w:tab/>
      </w:r>
      <w:r w:rsidR="00D56E3F" w:rsidRPr="00F130D1">
        <w:rPr>
          <w:rFonts w:ascii="Arial" w:hAnsi="Arial" w:cs="Arial"/>
          <w:sz w:val="24"/>
          <w:szCs w:val="24"/>
        </w:rPr>
        <w:t xml:space="preserve">John Grogan in his work </w:t>
      </w:r>
      <w:r w:rsidR="00D56E3F" w:rsidRPr="00F130D1">
        <w:rPr>
          <w:rFonts w:ascii="Arial" w:hAnsi="Arial" w:cs="Arial"/>
          <w:i/>
          <w:sz w:val="24"/>
          <w:szCs w:val="24"/>
        </w:rPr>
        <w:t xml:space="preserve">Dismissal, Discrimination &amp; Unfair Labour Practices </w:t>
      </w:r>
      <w:r w:rsidR="00D56E3F" w:rsidRPr="00F130D1">
        <w:rPr>
          <w:rFonts w:ascii="Arial" w:hAnsi="Arial" w:cs="Arial"/>
          <w:sz w:val="24"/>
          <w:szCs w:val="24"/>
        </w:rPr>
        <w:t>August 2005at 225 - 226 stated the following regarding a claim of inconsistency:</w:t>
      </w:r>
    </w:p>
    <w:p w:rsidR="00D56E3F" w:rsidRPr="00F130D1" w:rsidRDefault="00D56E3F" w:rsidP="002B3B08">
      <w:pPr>
        <w:pStyle w:val="NoSpacing"/>
        <w:spacing w:line="360" w:lineRule="auto"/>
        <w:jc w:val="both"/>
        <w:rPr>
          <w:rFonts w:ascii="Arial" w:hAnsi="Arial" w:cs="Arial"/>
        </w:rPr>
      </w:pPr>
    </w:p>
    <w:p w:rsidR="00D56E3F" w:rsidRPr="00F130D1" w:rsidRDefault="00D56E3F" w:rsidP="002B3B08">
      <w:pPr>
        <w:pStyle w:val="NoSpacing"/>
        <w:spacing w:line="360" w:lineRule="auto"/>
        <w:ind w:left="737" w:right="737"/>
        <w:jc w:val="both"/>
        <w:rPr>
          <w:rFonts w:ascii="Arial" w:hAnsi="Arial" w:cs="Arial"/>
        </w:rPr>
      </w:pPr>
      <w:r w:rsidRPr="00F130D1">
        <w:rPr>
          <w:rFonts w:ascii="Arial" w:hAnsi="Arial" w:cs="Arial"/>
        </w:rPr>
        <w:t xml:space="preserve">“Consistency challenges should be properly mounted.  Little purpose is served by employees simply claiming at the beginning of an arbitration hearing that the employer has treated other employees more leniently in some earlier case or cases.  Where this occurs, the employer’s representative can justifiably raise the objection that he or she is unaware of the details of the earlier case(s).  The arbitrator must then disallow the objection or grant a postponement.  Furthermore, a claim of inconsistency can be sustained only if the earlier cases relied on are sufficiently similar to the case at hand to warrant the inference that the employer has indeed been inconsistent.  Comparison between cases for this purpose requires consideration not only to the respective employees’ conduct, but also of such factors as the employees’ remorse and disciplinary record, whether the workforce has been warned that such offences will be treated more severely in future, and the circumstances surrounding the respective cases”.  </w:t>
      </w:r>
    </w:p>
    <w:p w:rsidR="00D56E3F" w:rsidRDefault="00D56E3F" w:rsidP="002B3B08">
      <w:pPr>
        <w:pStyle w:val="NoSpacing"/>
        <w:spacing w:line="360" w:lineRule="auto"/>
        <w:jc w:val="both"/>
        <w:rPr>
          <w:rFonts w:ascii="Arial" w:hAnsi="Arial" w:cs="Arial"/>
        </w:rPr>
      </w:pPr>
    </w:p>
    <w:p w:rsidR="002B45A8" w:rsidRDefault="002B45A8" w:rsidP="002B3B08">
      <w:pPr>
        <w:pStyle w:val="NoSpacing"/>
        <w:spacing w:line="360" w:lineRule="auto"/>
        <w:ind w:right="737"/>
        <w:jc w:val="both"/>
        <w:rPr>
          <w:rFonts w:ascii="Arial" w:hAnsi="Arial" w:cs="Arial"/>
          <w:sz w:val="24"/>
          <w:szCs w:val="24"/>
        </w:rPr>
      </w:pPr>
      <w:r>
        <w:rPr>
          <w:rFonts w:ascii="Arial" w:hAnsi="Arial" w:cs="Arial"/>
          <w:sz w:val="24"/>
          <w:szCs w:val="24"/>
        </w:rPr>
        <w:t>[4</w:t>
      </w:r>
      <w:r w:rsidR="00353BD9">
        <w:rPr>
          <w:rFonts w:ascii="Arial" w:hAnsi="Arial" w:cs="Arial"/>
          <w:sz w:val="24"/>
          <w:szCs w:val="24"/>
        </w:rPr>
        <w:t>4</w:t>
      </w:r>
      <w:r>
        <w:rPr>
          <w:rFonts w:ascii="Arial" w:hAnsi="Arial" w:cs="Arial"/>
          <w:sz w:val="24"/>
          <w:szCs w:val="24"/>
        </w:rPr>
        <w:t>]</w:t>
      </w:r>
      <w:r>
        <w:rPr>
          <w:rFonts w:ascii="Arial" w:hAnsi="Arial" w:cs="Arial"/>
          <w:sz w:val="24"/>
          <w:szCs w:val="24"/>
        </w:rPr>
        <w:tab/>
        <w:t xml:space="preserve">In the matter of </w:t>
      </w:r>
      <w:r w:rsidRPr="0066129E">
        <w:rPr>
          <w:rFonts w:ascii="Arial" w:hAnsi="Arial" w:cs="Arial"/>
          <w:i/>
          <w:sz w:val="24"/>
          <w:szCs w:val="24"/>
        </w:rPr>
        <w:t>Namibian Wildlife Resorts Limited v Iilonga</w:t>
      </w:r>
      <w:r>
        <w:rPr>
          <w:rStyle w:val="FootnoteReference"/>
          <w:rFonts w:ascii="Arial" w:hAnsi="Arial" w:cs="Arial"/>
          <w:sz w:val="24"/>
          <w:szCs w:val="24"/>
        </w:rPr>
        <w:footnoteReference w:id="19"/>
      </w:r>
      <w:r>
        <w:rPr>
          <w:rFonts w:ascii="Arial" w:hAnsi="Arial" w:cs="Arial"/>
          <w:sz w:val="24"/>
          <w:szCs w:val="24"/>
        </w:rPr>
        <w:t xml:space="preserve">  Hoff J refer</w:t>
      </w:r>
      <w:r w:rsidR="00D546F4">
        <w:rPr>
          <w:rFonts w:ascii="Arial" w:hAnsi="Arial" w:cs="Arial"/>
          <w:sz w:val="24"/>
          <w:szCs w:val="24"/>
        </w:rPr>
        <w:t>r</w:t>
      </w:r>
      <w:r>
        <w:rPr>
          <w:rFonts w:ascii="Arial" w:hAnsi="Arial" w:cs="Arial"/>
          <w:sz w:val="24"/>
          <w:szCs w:val="24"/>
        </w:rPr>
        <w:t xml:space="preserve">ed to the </w:t>
      </w:r>
      <w:r w:rsidR="00D546F4" w:rsidRPr="00D546F4">
        <w:rPr>
          <w:rFonts w:ascii="Arial" w:hAnsi="Arial" w:cs="Arial"/>
          <w:sz w:val="24"/>
          <w:szCs w:val="24"/>
        </w:rPr>
        <w:t>following</w:t>
      </w:r>
      <w:r w:rsidR="0066129E">
        <w:rPr>
          <w:rFonts w:ascii="Arial" w:hAnsi="Arial" w:cs="Arial"/>
          <w:sz w:val="24"/>
          <w:szCs w:val="24"/>
        </w:rPr>
        <w:t>, which</w:t>
      </w:r>
      <w:r w:rsidR="00D546F4" w:rsidRPr="00D546F4">
        <w:rPr>
          <w:rFonts w:ascii="Arial" w:hAnsi="Arial" w:cs="Arial"/>
          <w:sz w:val="24"/>
          <w:szCs w:val="24"/>
        </w:rPr>
        <w:t xml:space="preserve"> was said in relation to the issue of inconsistency by van Niekerk J </w:t>
      </w:r>
      <w:r>
        <w:rPr>
          <w:rFonts w:ascii="Arial" w:hAnsi="Arial" w:cs="Arial"/>
          <w:sz w:val="24"/>
          <w:szCs w:val="24"/>
        </w:rPr>
        <w:t xml:space="preserve">in </w:t>
      </w:r>
      <w:r w:rsidRPr="00D546F4">
        <w:rPr>
          <w:rFonts w:ascii="Arial" w:hAnsi="Arial" w:cs="Arial"/>
          <w:i/>
          <w:sz w:val="24"/>
          <w:szCs w:val="24"/>
        </w:rPr>
        <w:t>Southern Sun Hotels Interests (Pty) Ltd v CCMA and Others</w:t>
      </w:r>
      <w:r w:rsidR="00D546F4">
        <w:rPr>
          <w:rFonts w:ascii="Arial" w:hAnsi="Arial" w:cs="Arial"/>
          <w:i/>
          <w:sz w:val="24"/>
          <w:szCs w:val="24"/>
        </w:rPr>
        <w:t>:</w:t>
      </w:r>
      <w:r w:rsidRPr="00D546F4">
        <w:rPr>
          <w:rStyle w:val="FootnoteReference"/>
          <w:rFonts w:ascii="Arial" w:hAnsi="Arial" w:cs="Arial"/>
          <w:i/>
          <w:sz w:val="24"/>
          <w:szCs w:val="24"/>
        </w:rPr>
        <w:footnoteReference w:id="20"/>
      </w:r>
    </w:p>
    <w:p w:rsidR="0066129E" w:rsidRPr="00D546F4" w:rsidRDefault="0066129E" w:rsidP="002B3B08">
      <w:pPr>
        <w:pStyle w:val="NoSpacing"/>
        <w:spacing w:line="360" w:lineRule="auto"/>
        <w:ind w:right="737"/>
        <w:jc w:val="both"/>
        <w:rPr>
          <w:rFonts w:ascii="Arial" w:hAnsi="Arial" w:cs="Arial"/>
          <w:sz w:val="24"/>
          <w:szCs w:val="24"/>
        </w:rPr>
      </w:pPr>
    </w:p>
    <w:p w:rsidR="002B45A8" w:rsidRDefault="00D546F4" w:rsidP="002B3B08">
      <w:pPr>
        <w:pStyle w:val="NoSpacing"/>
        <w:spacing w:line="360" w:lineRule="auto"/>
        <w:ind w:left="720" w:right="737"/>
        <w:jc w:val="both"/>
        <w:rPr>
          <w:rFonts w:ascii="Arial" w:hAnsi="Arial" w:cs="Arial"/>
        </w:rPr>
      </w:pPr>
      <w:r>
        <w:rPr>
          <w:rFonts w:ascii="Arial" w:hAnsi="Arial" w:cs="Arial"/>
        </w:rPr>
        <w:t>‘</w:t>
      </w:r>
      <w:r w:rsidR="002B45A8" w:rsidRPr="00D546F4">
        <w:rPr>
          <w:rFonts w:ascii="Arial" w:hAnsi="Arial" w:cs="Arial"/>
        </w:rPr>
        <w:t xml:space="preserve">The courts have distinguished two forms of inconsistency – historical and contemporaneous inconsistency.  The former requires that an employee apply the penalty of dismissal consistently with the way in which the penalty has been applied to other employees in the past;  the latter requires that the penalty be applied consistently as between two or more employees who commit the same misconduct.  A claim of inconsistency (in either historical or contemporaneous terms) must satisfy a subjective element – an inconsistency challenge will fail where the employer did not know of the misconduct allegedly committed by the employee used as a comparator (see, for example </w:t>
      </w:r>
      <w:r w:rsidR="002B45A8" w:rsidRPr="00D546F4">
        <w:rPr>
          <w:rFonts w:ascii="Arial" w:hAnsi="Arial" w:cs="Arial"/>
          <w:i/>
        </w:rPr>
        <w:t>Gcwensha v CCMA &amp; Others</w:t>
      </w:r>
      <w:r w:rsidR="002B45A8" w:rsidRPr="00D546F4">
        <w:rPr>
          <w:rFonts w:ascii="Arial" w:hAnsi="Arial" w:cs="Arial"/>
        </w:rPr>
        <w:t xml:space="preserve"> [2006] 3 BLLR 234 (LAC) at paragraphs [37] – [38] ).  The objective element of the test to be applied is a comparator in the form of a similarly circumstanced employee subjected to a different treatment, usually in the form of a disciplinary penalty less severe than that imposed to the claimant (see </w:t>
      </w:r>
      <w:r w:rsidR="002B45A8" w:rsidRPr="00D546F4">
        <w:rPr>
          <w:rFonts w:ascii="Arial" w:hAnsi="Arial" w:cs="Arial"/>
          <w:i/>
        </w:rPr>
        <w:t>Shoprite Checkers (Pty) Ltd v CCMA &amp; Others</w:t>
      </w:r>
      <w:r w:rsidR="002B45A8" w:rsidRPr="00D546F4">
        <w:rPr>
          <w:rFonts w:ascii="Arial" w:hAnsi="Arial" w:cs="Arial"/>
        </w:rPr>
        <w:t xml:space="preserve"> [2001] 7 BLLR 840 (LC) at paragraph [3] ).  Similarity of circumstance is the inevitably most controversial component of this test.  An inconsistency challenge will fail where the employer is able to differentiate between employees who have committed similar transgressions on the basis of, inter alia, differences in personal circumstances, the severity of the misconduct or on the basis of other material factors.</w:t>
      </w:r>
      <w:r>
        <w:rPr>
          <w:rFonts w:ascii="Arial" w:hAnsi="Arial" w:cs="Arial"/>
        </w:rPr>
        <w:t>’</w:t>
      </w:r>
    </w:p>
    <w:p w:rsidR="00D546F4" w:rsidRPr="00D546F4" w:rsidRDefault="00D546F4" w:rsidP="002B3B08">
      <w:pPr>
        <w:pStyle w:val="NoSpacing"/>
        <w:spacing w:line="360" w:lineRule="auto"/>
        <w:ind w:right="737"/>
        <w:jc w:val="both"/>
        <w:rPr>
          <w:rFonts w:ascii="Arial" w:hAnsi="Arial" w:cs="Arial"/>
        </w:rPr>
      </w:pPr>
    </w:p>
    <w:p w:rsidR="00D546F4" w:rsidRDefault="00D546F4" w:rsidP="002B3B08">
      <w:pPr>
        <w:spacing w:after="0" w:line="360" w:lineRule="auto"/>
        <w:jc w:val="both"/>
        <w:rPr>
          <w:rFonts w:ascii="Arial" w:hAnsi="Arial" w:cs="Arial"/>
          <w:sz w:val="24"/>
          <w:szCs w:val="24"/>
        </w:rPr>
      </w:pPr>
      <w:r>
        <w:rPr>
          <w:rFonts w:ascii="Arial" w:hAnsi="Arial" w:cs="Arial"/>
          <w:sz w:val="24"/>
          <w:szCs w:val="24"/>
        </w:rPr>
        <w:t>[4</w:t>
      </w:r>
      <w:r w:rsidR="00353BD9">
        <w:rPr>
          <w:rFonts w:ascii="Arial" w:hAnsi="Arial" w:cs="Arial"/>
          <w:sz w:val="24"/>
          <w:szCs w:val="24"/>
        </w:rPr>
        <w:t>5</w:t>
      </w:r>
      <w:r>
        <w:rPr>
          <w:rFonts w:ascii="Arial" w:hAnsi="Arial" w:cs="Arial"/>
          <w:sz w:val="24"/>
          <w:szCs w:val="24"/>
        </w:rPr>
        <w:t>]</w:t>
      </w:r>
      <w:r>
        <w:rPr>
          <w:rFonts w:ascii="Arial" w:hAnsi="Arial" w:cs="Arial"/>
          <w:sz w:val="24"/>
          <w:szCs w:val="24"/>
        </w:rPr>
        <w:tab/>
        <w:t xml:space="preserve">There was no reason advanced why Mr Fanuel was treated different from the two appellants </w:t>
      </w:r>
      <w:r w:rsidR="004B1CD8">
        <w:rPr>
          <w:rFonts w:ascii="Arial" w:hAnsi="Arial" w:cs="Arial"/>
          <w:sz w:val="24"/>
          <w:szCs w:val="24"/>
        </w:rPr>
        <w:t>who all found themselves in a similar situation. It thus</w:t>
      </w:r>
      <w:r>
        <w:rPr>
          <w:rFonts w:ascii="Arial" w:hAnsi="Arial" w:cs="Arial"/>
          <w:sz w:val="24"/>
          <w:szCs w:val="24"/>
        </w:rPr>
        <w:t xml:space="preserve"> appears that the first respondent did not act consistent in applying discipline.  </w:t>
      </w:r>
    </w:p>
    <w:p w:rsidR="00547FD9" w:rsidRDefault="00547FD9" w:rsidP="002B3B08">
      <w:pPr>
        <w:spacing w:after="0" w:line="360" w:lineRule="auto"/>
        <w:jc w:val="both"/>
        <w:rPr>
          <w:rFonts w:ascii="Arial" w:hAnsi="Arial" w:cs="Arial"/>
          <w:sz w:val="24"/>
          <w:szCs w:val="24"/>
        </w:rPr>
      </w:pPr>
    </w:p>
    <w:p w:rsidR="00D546F4" w:rsidRDefault="00547FD9" w:rsidP="002B3B08">
      <w:pPr>
        <w:spacing w:after="0" w:line="360" w:lineRule="auto"/>
        <w:ind w:left="720" w:hanging="720"/>
        <w:jc w:val="both"/>
        <w:rPr>
          <w:rFonts w:ascii="Arial" w:hAnsi="Arial" w:cs="Arial"/>
          <w:i/>
          <w:sz w:val="24"/>
          <w:szCs w:val="24"/>
        </w:rPr>
      </w:pPr>
      <w:r w:rsidRPr="00547FD9">
        <w:rPr>
          <w:rFonts w:ascii="Arial" w:hAnsi="Arial" w:cs="Arial"/>
          <w:i/>
          <w:sz w:val="24"/>
          <w:szCs w:val="24"/>
        </w:rPr>
        <w:t>Failure to comply with para 11.4</w:t>
      </w:r>
      <w:r w:rsidR="0066129E">
        <w:rPr>
          <w:rFonts w:ascii="Arial" w:hAnsi="Arial" w:cs="Arial"/>
          <w:i/>
          <w:sz w:val="24"/>
          <w:szCs w:val="24"/>
        </w:rPr>
        <w:t xml:space="preserve"> of Recognition and Procedural </w:t>
      </w:r>
      <w:r w:rsidRPr="00547FD9">
        <w:rPr>
          <w:rFonts w:ascii="Arial" w:hAnsi="Arial" w:cs="Arial"/>
          <w:i/>
          <w:sz w:val="24"/>
          <w:szCs w:val="24"/>
        </w:rPr>
        <w:t>Agreement</w:t>
      </w:r>
    </w:p>
    <w:p w:rsidR="00547FD9" w:rsidRDefault="00547FD9" w:rsidP="002B3B08">
      <w:pPr>
        <w:spacing w:after="0" w:line="360" w:lineRule="auto"/>
        <w:ind w:left="720" w:hanging="720"/>
        <w:jc w:val="both"/>
        <w:rPr>
          <w:rFonts w:ascii="Arial" w:hAnsi="Arial" w:cs="Arial"/>
          <w:sz w:val="24"/>
          <w:szCs w:val="24"/>
        </w:rPr>
      </w:pPr>
    </w:p>
    <w:p w:rsidR="009C761A" w:rsidRDefault="00547FD9" w:rsidP="002B3B08">
      <w:pPr>
        <w:spacing w:after="0" w:line="360" w:lineRule="auto"/>
        <w:jc w:val="both"/>
        <w:rPr>
          <w:rFonts w:ascii="Arial" w:hAnsi="Arial" w:cs="Arial"/>
          <w:sz w:val="24"/>
          <w:szCs w:val="24"/>
        </w:rPr>
      </w:pPr>
      <w:r>
        <w:rPr>
          <w:rFonts w:ascii="Arial" w:hAnsi="Arial" w:cs="Arial"/>
          <w:sz w:val="24"/>
          <w:szCs w:val="24"/>
        </w:rPr>
        <w:t>[4</w:t>
      </w:r>
      <w:r w:rsidR="00353BD9">
        <w:rPr>
          <w:rFonts w:ascii="Arial" w:hAnsi="Arial" w:cs="Arial"/>
          <w:sz w:val="24"/>
          <w:szCs w:val="24"/>
        </w:rPr>
        <w:t>6</w:t>
      </w:r>
      <w:r>
        <w:rPr>
          <w:rFonts w:ascii="Arial" w:hAnsi="Arial" w:cs="Arial"/>
          <w:sz w:val="24"/>
          <w:szCs w:val="24"/>
        </w:rPr>
        <w:t>]</w:t>
      </w:r>
      <w:r>
        <w:rPr>
          <w:rFonts w:ascii="Arial" w:hAnsi="Arial" w:cs="Arial"/>
          <w:sz w:val="24"/>
          <w:szCs w:val="24"/>
        </w:rPr>
        <w:tab/>
      </w:r>
      <w:r w:rsidR="009C7411">
        <w:rPr>
          <w:rFonts w:ascii="Arial" w:hAnsi="Arial" w:cs="Arial"/>
          <w:sz w:val="24"/>
          <w:szCs w:val="24"/>
        </w:rPr>
        <w:t>Lastly,</w:t>
      </w:r>
      <w:r w:rsidR="009C761A">
        <w:rPr>
          <w:rFonts w:ascii="Arial" w:hAnsi="Arial" w:cs="Arial"/>
          <w:sz w:val="24"/>
          <w:szCs w:val="24"/>
        </w:rPr>
        <w:t xml:space="preserve"> the arbitrator found that the appellants failed to adhere to para 11.4 of the </w:t>
      </w:r>
      <w:r w:rsidR="009C761A" w:rsidRPr="009C761A">
        <w:rPr>
          <w:rFonts w:ascii="Arial" w:hAnsi="Arial" w:cs="Arial"/>
          <w:sz w:val="24"/>
          <w:szCs w:val="24"/>
        </w:rPr>
        <w:t>Recognition and Procedural Agreement</w:t>
      </w:r>
      <w:r w:rsidR="009C761A">
        <w:rPr>
          <w:rFonts w:ascii="Arial" w:hAnsi="Arial" w:cs="Arial"/>
          <w:sz w:val="24"/>
          <w:szCs w:val="24"/>
        </w:rPr>
        <w:t xml:space="preserve"> between first respondent and MUN which reads as follows: </w:t>
      </w:r>
    </w:p>
    <w:p w:rsidR="0066129E" w:rsidRDefault="0066129E" w:rsidP="002B3B08">
      <w:pPr>
        <w:spacing w:after="0" w:line="360" w:lineRule="auto"/>
        <w:jc w:val="both"/>
        <w:rPr>
          <w:rFonts w:ascii="Arial" w:hAnsi="Arial" w:cs="Arial"/>
          <w:sz w:val="24"/>
          <w:szCs w:val="24"/>
        </w:rPr>
      </w:pPr>
    </w:p>
    <w:p w:rsidR="009C761A" w:rsidRPr="009C761A" w:rsidRDefault="009C761A" w:rsidP="002B3B08">
      <w:pPr>
        <w:spacing w:after="0" w:line="360" w:lineRule="auto"/>
        <w:ind w:left="720" w:hanging="720"/>
        <w:jc w:val="both"/>
        <w:rPr>
          <w:rFonts w:ascii="Arial" w:hAnsi="Arial" w:cs="Arial"/>
          <w:i/>
        </w:rPr>
      </w:pPr>
      <w:r>
        <w:rPr>
          <w:rFonts w:ascii="Arial" w:hAnsi="Arial" w:cs="Arial"/>
          <w:sz w:val="24"/>
          <w:szCs w:val="24"/>
        </w:rPr>
        <w:tab/>
      </w:r>
      <w:r w:rsidRPr="009C761A">
        <w:rPr>
          <w:rFonts w:ascii="Arial" w:hAnsi="Arial" w:cs="Arial"/>
        </w:rPr>
        <w:t>‘Shop Stewards shall be allowed access to management representatives only when they have received permission from their immediate supervisor and management has agreed to the holding of the meeting</w:t>
      </w:r>
      <w:r>
        <w:rPr>
          <w:rFonts w:ascii="Arial" w:hAnsi="Arial" w:cs="Arial"/>
        </w:rPr>
        <w:t>’</w:t>
      </w:r>
      <w:r w:rsidRPr="009C761A">
        <w:rPr>
          <w:rFonts w:ascii="Arial" w:hAnsi="Arial" w:cs="Arial"/>
        </w:rPr>
        <w:t xml:space="preserve">. </w:t>
      </w:r>
    </w:p>
    <w:p w:rsidR="00547FD9" w:rsidRDefault="00547FD9" w:rsidP="002B3B08">
      <w:pPr>
        <w:spacing w:after="0" w:line="360" w:lineRule="auto"/>
        <w:jc w:val="both"/>
        <w:rPr>
          <w:rFonts w:ascii="Arial" w:hAnsi="Arial" w:cs="Arial"/>
          <w:sz w:val="24"/>
          <w:szCs w:val="24"/>
        </w:rPr>
      </w:pPr>
    </w:p>
    <w:p w:rsidR="009C761A" w:rsidRDefault="009C761A" w:rsidP="002B3B08">
      <w:pPr>
        <w:spacing w:after="0" w:line="360" w:lineRule="auto"/>
        <w:jc w:val="both"/>
        <w:rPr>
          <w:rFonts w:ascii="Arial" w:hAnsi="Arial" w:cs="Arial"/>
          <w:sz w:val="24"/>
          <w:szCs w:val="24"/>
        </w:rPr>
      </w:pPr>
      <w:r>
        <w:rPr>
          <w:rFonts w:ascii="Arial" w:hAnsi="Arial" w:cs="Arial"/>
          <w:sz w:val="24"/>
          <w:szCs w:val="24"/>
        </w:rPr>
        <w:t>[4</w:t>
      </w:r>
      <w:r w:rsidR="00353BD9">
        <w:rPr>
          <w:rFonts w:ascii="Arial" w:hAnsi="Arial" w:cs="Arial"/>
          <w:sz w:val="24"/>
          <w:szCs w:val="24"/>
        </w:rPr>
        <w:t>7</w:t>
      </w:r>
      <w:r w:rsidR="0066129E">
        <w:rPr>
          <w:rFonts w:ascii="Arial" w:hAnsi="Arial" w:cs="Arial"/>
          <w:sz w:val="24"/>
          <w:szCs w:val="24"/>
        </w:rPr>
        <w:t>]</w:t>
      </w:r>
      <w:r w:rsidR="0066129E">
        <w:rPr>
          <w:rFonts w:ascii="Arial" w:hAnsi="Arial" w:cs="Arial"/>
          <w:sz w:val="24"/>
          <w:szCs w:val="24"/>
        </w:rPr>
        <w:tab/>
        <w:t>Ms</w:t>
      </w:r>
      <w:r>
        <w:rPr>
          <w:rFonts w:ascii="Arial" w:hAnsi="Arial" w:cs="Arial"/>
          <w:sz w:val="24"/>
          <w:szCs w:val="24"/>
        </w:rPr>
        <w:t xml:space="preserve"> Nambinga</w:t>
      </w:r>
      <w:r w:rsidR="009E574B">
        <w:rPr>
          <w:rFonts w:ascii="Arial" w:hAnsi="Arial" w:cs="Arial"/>
          <w:sz w:val="24"/>
          <w:szCs w:val="24"/>
        </w:rPr>
        <w:t xml:space="preserve"> </w:t>
      </w:r>
      <w:r>
        <w:rPr>
          <w:rFonts w:ascii="Arial" w:hAnsi="Arial" w:cs="Arial"/>
          <w:sz w:val="24"/>
          <w:szCs w:val="24"/>
        </w:rPr>
        <w:t xml:space="preserve">argued </w:t>
      </w:r>
      <w:r w:rsidRPr="00804B0A">
        <w:rPr>
          <w:rFonts w:ascii="Arial" w:hAnsi="Arial" w:cs="Arial"/>
          <w:sz w:val="24"/>
          <w:szCs w:val="24"/>
        </w:rPr>
        <w:t>that the</w:t>
      </w:r>
      <w:r>
        <w:rPr>
          <w:rFonts w:ascii="Arial" w:hAnsi="Arial" w:cs="Arial"/>
          <w:sz w:val="24"/>
          <w:szCs w:val="24"/>
        </w:rPr>
        <w:t xml:space="preserve">re is no merits in the findings of the arbitrator that the appellants contravened this said paragraph of the collective agreement as the </w:t>
      </w:r>
      <w:r w:rsidRPr="00804B0A">
        <w:rPr>
          <w:rFonts w:ascii="Arial" w:hAnsi="Arial" w:cs="Arial"/>
          <w:sz w:val="24"/>
          <w:szCs w:val="24"/>
        </w:rPr>
        <w:t xml:space="preserve">supervisor of the appellants came to testify during the arbitration proceedings </w:t>
      </w:r>
      <w:r>
        <w:rPr>
          <w:rFonts w:ascii="Arial" w:hAnsi="Arial" w:cs="Arial"/>
          <w:sz w:val="24"/>
          <w:szCs w:val="24"/>
        </w:rPr>
        <w:t xml:space="preserve">who </w:t>
      </w:r>
      <w:r w:rsidRPr="00804B0A">
        <w:rPr>
          <w:rFonts w:ascii="Arial" w:hAnsi="Arial" w:cs="Arial"/>
          <w:sz w:val="24"/>
          <w:szCs w:val="24"/>
        </w:rPr>
        <w:t xml:space="preserve">he gave the two appellants permission to perform the union functions and argued </w:t>
      </w:r>
      <w:r>
        <w:rPr>
          <w:rFonts w:ascii="Arial" w:hAnsi="Arial" w:cs="Arial"/>
          <w:sz w:val="24"/>
          <w:szCs w:val="24"/>
        </w:rPr>
        <w:t xml:space="preserve">further </w:t>
      </w:r>
      <w:r w:rsidRPr="00804B0A">
        <w:rPr>
          <w:rFonts w:ascii="Arial" w:hAnsi="Arial" w:cs="Arial"/>
          <w:sz w:val="24"/>
          <w:szCs w:val="24"/>
        </w:rPr>
        <w:t xml:space="preserve">that </w:t>
      </w:r>
      <w:r>
        <w:rPr>
          <w:rFonts w:ascii="Arial" w:hAnsi="Arial" w:cs="Arial"/>
          <w:sz w:val="24"/>
          <w:szCs w:val="24"/>
        </w:rPr>
        <w:t xml:space="preserve">this specific paragraph does not apply as the union members they approached to </w:t>
      </w:r>
      <w:r w:rsidR="00533745">
        <w:rPr>
          <w:rFonts w:ascii="Arial" w:hAnsi="Arial" w:cs="Arial"/>
          <w:sz w:val="24"/>
          <w:szCs w:val="24"/>
        </w:rPr>
        <w:t>disseminate</w:t>
      </w:r>
      <w:r>
        <w:rPr>
          <w:rFonts w:ascii="Arial" w:hAnsi="Arial" w:cs="Arial"/>
          <w:sz w:val="24"/>
          <w:szCs w:val="24"/>
        </w:rPr>
        <w:t xml:space="preserve"> the petition</w:t>
      </w:r>
      <w:r w:rsidR="00533745">
        <w:rPr>
          <w:rFonts w:ascii="Arial" w:hAnsi="Arial" w:cs="Arial"/>
          <w:sz w:val="24"/>
          <w:szCs w:val="24"/>
        </w:rPr>
        <w:t>,</w:t>
      </w:r>
      <w:r>
        <w:rPr>
          <w:rFonts w:ascii="Arial" w:hAnsi="Arial" w:cs="Arial"/>
          <w:sz w:val="24"/>
          <w:szCs w:val="24"/>
        </w:rPr>
        <w:t xml:space="preserve"> was not management representatives. </w:t>
      </w:r>
    </w:p>
    <w:p w:rsidR="009C761A" w:rsidRDefault="009C761A" w:rsidP="002B3B08">
      <w:pPr>
        <w:spacing w:after="0" w:line="360" w:lineRule="auto"/>
        <w:jc w:val="both"/>
        <w:rPr>
          <w:rFonts w:ascii="Arial" w:hAnsi="Arial" w:cs="Arial"/>
          <w:sz w:val="24"/>
          <w:szCs w:val="24"/>
        </w:rPr>
      </w:pPr>
    </w:p>
    <w:p w:rsidR="009C761A" w:rsidRDefault="00533745" w:rsidP="002B3B08">
      <w:pPr>
        <w:spacing w:after="0" w:line="360" w:lineRule="auto"/>
        <w:jc w:val="both"/>
        <w:rPr>
          <w:rFonts w:ascii="Arial" w:hAnsi="Arial" w:cs="Arial"/>
          <w:sz w:val="24"/>
          <w:szCs w:val="24"/>
        </w:rPr>
      </w:pPr>
      <w:r>
        <w:rPr>
          <w:rFonts w:ascii="Arial" w:hAnsi="Arial" w:cs="Arial"/>
          <w:sz w:val="24"/>
          <w:szCs w:val="24"/>
        </w:rPr>
        <w:t>[4</w:t>
      </w:r>
      <w:r w:rsidR="00353BD9">
        <w:rPr>
          <w:rFonts w:ascii="Arial" w:hAnsi="Arial" w:cs="Arial"/>
          <w:sz w:val="24"/>
          <w:szCs w:val="24"/>
        </w:rPr>
        <w:t>8</w:t>
      </w:r>
      <w:r w:rsidR="0066129E">
        <w:rPr>
          <w:rFonts w:ascii="Arial" w:hAnsi="Arial" w:cs="Arial"/>
          <w:sz w:val="24"/>
          <w:szCs w:val="24"/>
        </w:rPr>
        <w:t>]</w:t>
      </w:r>
      <w:r w:rsidR="0066129E">
        <w:rPr>
          <w:rFonts w:ascii="Arial" w:hAnsi="Arial" w:cs="Arial"/>
          <w:sz w:val="24"/>
          <w:szCs w:val="24"/>
        </w:rPr>
        <w:tab/>
        <w:t>It would appear that Ms</w:t>
      </w:r>
      <w:r>
        <w:rPr>
          <w:rFonts w:ascii="Arial" w:hAnsi="Arial" w:cs="Arial"/>
          <w:sz w:val="24"/>
          <w:szCs w:val="24"/>
        </w:rPr>
        <w:t xml:space="preserve"> Nambinga cannot be faulted for her interpretation of this paragraph. </w:t>
      </w:r>
    </w:p>
    <w:p w:rsidR="009C761A" w:rsidRDefault="009C761A" w:rsidP="002B3B08">
      <w:pPr>
        <w:spacing w:after="0" w:line="360" w:lineRule="auto"/>
        <w:jc w:val="both"/>
        <w:rPr>
          <w:rFonts w:ascii="Arial" w:hAnsi="Arial" w:cs="Arial"/>
          <w:sz w:val="24"/>
          <w:szCs w:val="24"/>
        </w:rPr>
      </w:pPr>
    </w:p>
    <w:p w:rsidR="00C763F0" w:rsidRPr="00804B0A" w:rsidRDefault="00533745" w:rsidP="002B3B08">
      <w:pPr>
        <w:spacing w:after="0" w:line="360" w:lineRule="auto"/>
        <w:jc w:val="both"/>
        <w:rPr>
          <w:rFonts w:ascii="Arial" w:hAnsi="Arial" w:cs="Arial"/>
          <w:sz w:val="24"/>
          <w:szCs w:val="24"/>
        </w:rPr>
      </w:pPr>
      <w:r>
        <w:rPr>
          <w:rFonts w:ascii="Arial" w:hAnsi="Arial" w:cs="Arial"/>
          <w:sz w:val="24"/>
          <w:szCs w:val="24"/>
        </w:rPr>
        <w:t>[4</w:t>
      </w:r>
      <w:r w:rsidR="00353BD9">
        <w:rPr>
          <w:rFonts w:ascii="Arial" w:hAnsi="Arial" w:cs="Arial"/>
          <w:sz w:val="24"/>
          <w:szCs w:val="24"/>
        </w:rPr>
        <w:t>9</w:t>
      </w:r>
      <w:r>
        <w:rPr>
          <w:rFonts w:ascii="Arial" w:hAnsi="Arial" w:cs="Arial"/>
          <w:sz w:val="24"/>
          <w:szCs w:val="24"/>
        </w:rPr>
        <w:t xml:space="preserve">] </w:t>
      </w:r>
      <w:r>
        <w:rPr>
          <w:rFonts w:ascii="Arial" w:hAnsi="Arial" w:cs="Arial"/>
          <w:sz w:val="24"/>
          <w:szCs w:val="24"/>
        </w:rPr>
        <w:tab/>
        <w:t xml:space="preserve">For reasons discussed above and in absence of any grounds for opposing the appeal no reason exists why the appeal should not succeed </w:t>
      </w:r>
      <w:r w:rsidR="003F4481">
        <w:rPr>
          <w:rFonts w:ascii="Arial" w:hAnsi="Arial" w:cs="Arial"/>
          <w:sz w:val="24"/>
          <w:szCs w:val="24"/>
        </w:rPr>
        <w:t>and the appellants dismissal is found to be procedurally and substantively unfair</w:t>
      </w:r>
      <w:r>
        <w:rPr>
          <w:rFonts w:ascii="Arial" w:hAnsi="Arial" w:cs="Arial"/>
          <w:sz w:val="24"/>
          <w:szCs w:val="24"/>
        </w:rPr>
        <w:t>.</w:t>
      </w:r>
    </w:p>
    <w:p w:rsidR="00164F67" w:rsidRDefault="003F4481" w:rsidP="002B3B08">
      <w:pPr>
        <w:spacing w:after="0" w:line="360" w:lineRule="auto"/>
        <w:jc w:val="both"/>
        <w:rPr>
          <w:rFonts w:ascii="Arial" w:hAnsi="Arial" w:cs="Arial"/>
          <w:i/>
          <w:sz w:val="24"/>
          <w:szCs w:val="24"/>
        </w:rPr>
      </w:pPr>
      <w:r w:rsidRPr="003F4481">
        <w:rPr>
          <w:rFonts w:ascii="Arial" w:hAnsi="Arial" w:cs="Arial"/>
          <w:i/>
          <w:sz w:val="24"/>
          <w:szCs w:val="24"/>
        </w:rPr>
        <w:t>Compen</w:t>
      </w:r>
      <w:r>
        <w:rPr>
          <w:rFonts w:ascii="Arial" w:hAnsi="Arial" w:cs="Arial"/>
          <w:i/>
          <w:sz w:val="24"/>
          <w:szCs w:val="24"/>
        </w:rPr>
        <w:t>s</w:t>
      </w:r>
      <w:r w:rsidRPr="003F4481">
        <w:rPr>
          <w:rFonts w:ascii="Arial" w:hAnsi="Arial" w:cs="Arial"/>
          <w:i/>
          <w:sz w:val="24"/>
          <w:szCs w:val="24"/>
        </w:rPr>
        <w:t>ation</w:t>
      </w:r>
    </w:p>
    <w:p w:rsidR="003F4481" w:rsidRPr="003F4481" w:rsidRDefault="003F4481" w:rsidP="002B3B08">
      <w:pPr>
        <w:spacing w:after="0" w:line="360" w:lineRule="auto"/>
        <w:jc w:val="both"/>
        <w:rPr>
          <w:rFonts w:ascii="Arial" w:hAnsi="Arial" w:cs="Arial"/>
          <w:i/>
          <w:sz w:val="24"/>
          <w:szCs w:val="24"/>
        </w:rPr>
      </w:pPr>
    </w:p>
    <w:p w:rsidR="003F4481" w:rsidRDefault="0016678D" w:rsidP="002B3B08">
      <w:pPr>
        <w:spacing w:after="0" w:line="360" w:lineRule="auto"/>
        <w:jc w:val="both"/>
        <w:rPr>
          <w:rFonts w:ascii="Arial" w:hAnsi="Arial" w:cs="Arial"/>
          <w:sz w:val="24"/>
          <w:szCs w:val="24"/>
        </w:rPr>
      </w:pPr>
      <w:r>
        <w:rPr>
          <w:rFonts w:ascii="Arial" w:hAnsi="Arial" w:cs="Arial"/>
          <w:sz w:val="24"/>
          <w:szCs w:val="24"/>
        </w:rPr>
        <w:t>[</w:t>
      </w:r>
      <w:r w:rsidR="00353BD9">
        <w:rPr>
          <w:rFonts w:ascii="Arial" w:hAnsi="Arial" w:cs="Arial"/>
          <w:sz w:val="24"/>
          <w:szCs w:val="24"/>
        </w:rPr>
        <w:t>50</w:t>
      </w:r>
      <w:r>
        <w:rPr>
          <w:rFonts w:ascii="Arial" w:hAnsi="Arial" w:cs="Arial"/>
          <w:sz w:val="24"/>
          <w:szCs w:val="24"/>
        </w:rPr>
        <w:t>]</w:t>
      </w:r>
      <w:r>
        <w:rPr>
          <w:rFonts w:ascii="Arial" w:hAnsi="Arial" w:cs="Arial"/>
          <w:sz w:val="24"/>
          <w:szCs w:val="24"/>
        </w:rPr>
        <w:tab/>
        <w:t xml:space="preserve">The matter however does not end there. Since the court found that the appellants must succeed </w:t>
      </w:r>
      <w:r w:rsidR="00745B56">
        <w:rPr>
          <w:rFonts w:ascii="Arial" w:hAnsi="Arial" w:cs="Arial"/>
          <w:sz w:val="24"/>
          <w:szCs w:val="24"/>
        </w:rPr>
        <w:t xml:space="preserve">the effect is that the arbitration award dated 12 March 2016 is set aside. </w:t>
      </w:r>
    </w:p>
    <w:p w:rsidR="003F4481" w:rsidRDefault="003F4481" w:rsidP="002B3B08">
      <w:pPr>
        <w:spacing w:after="0" w:line="360" w:lineRule="auto"/>
        <w:jc w:val="both"/>
        <w:rPr>
          <w:rFonts w:ascii="Arial" w:hAnsi="Arial" w:cs="Arial"/>
          <w:sz w:val="24"/>
          <w:szCs w:val="24"/>
        </w:rPr>
      </w:pPr>
    </w:p>
    <w:p w:rsidR="00745B56" w:rsidRDefault="003F4481" w:rsidP="002B3B08">
      <w:pPr>
        <w:spacing w:after="0" w:line="360" w:lineRule="auto"/>
        <w:jc w:val="both"/>
        <w:rPr>
          <w:rFonts w:ascii="Arial" w:hAnsi="Arial" w:cs="Arial"/>
          <w:sz w:val="24"/>
          <w:szCs w:val="24"/>
        </w:rPr>
      </w:pPr>
      <w:r>
        <w:rPr>
          <w:rFonts w:ascii="Arial" w:hAnsi="Arial" w:cs="Arial"/>
          <w:sz w:val="24"/>
          <w:szCs w:val="24"/>
        </w:rPr>
        <w:t>[</w:t>
      </w:r>
      <w:r w:rsidR="00353BD9">
        <w:rPr>
          <w:rFonts w:ascii="Arial" w:hAnsi="Arial" w:cs="Arial"/>
          <w:sz w:val="24"/>
          <w:szCs w:val="24"/>
        </w:rPr>
        <w:t>51</w:t>
      </w:r>
      <w:r>
        <w:rPr>
          <w:rFonts w:ascii="Arial" w:hAnsi="Arial" w:cs="Arial"/>
          <w:sz w:val="24"/>
          <w:szCs w:val="24"/>
        </w:rPr>
        <w:t xml:space="preserve">] </w:t>
      </w:r>
      <w:r>
        <w:rPr>
          <w:rFonts w:ascii="Arial" w:hAnsi="Arial" w:cs="Arial"/>
          <w:sz w:val="24"/>
          <w:szCs w:val="24"/>
        </w:rPr>
        <w:tab/>
      </w:r>
      <w:r w:rsidR="00745B56">
        <w:rPr>
          <w:rFonts w:ascii="Arial" w:hAnsi="Arial" w:cs="Arial"/>
          <w:sz w:val="24"/>
          <w:szCs w:val="24"/>
        </w:rPr>
        <w:t xml:space="preserve">During conciliation and arbitration proceedings the appellants prayed for re-instatement and compensation for the period of unemployment. </w:t>
      </w:r>
    </w:p>
    <w:p w:rsidR="00745B56" w:rsidRDefault="00745B56" w:rsidP="002B3B08">
      <w:pPr>
        <w:spacing w:after="0" w:line="360" w:lineRule="auto"/>
        <w:jc w:val="both"/>
        <w:rPr>
          <w:rFonts w:ascii="Arial" w:hAnsi="Arial" w:cs="Arial"/>
          <w:sz w:val="24"/>
          <w:szCs w:val="24"/>
        </w:rPr>
      </w:pPr>
    </w:p>
    <w:p w:rsidR="00423F55" w:rsidRDefault="00745B56" w:rsidP="002B3B08">
      <w:pPr>
        <w:spacing w:line="360" w:lineRule="auto"/>
        <w:jc w:val="both"/>
        <w:rPr>
          <w:rFonts w:ascii="Arial" w:hAnsi="Arial" w:cs="Arial"/>
          <w:sz w:val="24"/>
          <w:szCs w:val="24"/>
        </w:rPr>
      </w:pPr>
      <w:r>
        <w:rPr>
          <w:rFonts w:ascii="Arial" w:hAnsi="Arial" w:cs="Arial"/>
          <w:sz w:val="24"/>
          <w:szCs w:val="24"/>
        </w:rPr>
        <w:t>[</w:t>
      </w:r>
      <w:r w:rsidR="00353BD9">
        <w:rPr>
          <w:rFonts w:ascii="Arial" w:hAnsi="Arial" w:cs="Arial"/>
          <w:sz w:val="24"/>
          <w:szCs w:val="24"/>
        </w:rPr>
        <w:t>52]</w:t>
      </w:r>
      <w:r>
        <w:rPr>
          <w:rFonts w:ascii="Arial" w:hAnsi="Arial" w:cs="Arial"/>
          <w:sz w:val="24"/>
          <w:szCs w:val="24"/>
        </w:rPr>
        <w:tab/>
      </w:r>
      <w:r w:rsidR="00423F55">
        <w:rPr>
          <w:rFonts w:ascii="Arial" w:hAnsi="Arial" w:cs="Arial"/>
          <w:sz w:val="24"/>
          <w:szCs w:val="24"/>
        </w:rPr>
        <w:t>In respect of the issue of r</w:t>
      </w:r>
      <w:r w:rsidR="0066129E">
        <w:rPr>
          <w:rFonts w:ascii="Arial" w:hAnsi="Arial" w:cs="Arial"/>
          <w:sz w:val="24"/>
          <w:szCs w:val="24"/>
        </w:rPr>
        <w:t>e-instatement Ms</w:t>
      </w:r>
      <w:r w:rsidR="00423F55">
        <w:rPr>
          <w:rFonts w:ascii="Arial" w:hAnsi="Arial" w:cs="Arial"/>
          <w:sz w:val="24"/>
          <w:szCs w:val="24"/>
        </w:rPr>
        <w:t xml:space="preserve"> Nambinga argued that the relationship between employee and employer was not irretrievably broken down and that there is no reason why the appellants cannot be re-instated. </w:t>
      </w:r>
    </w:p>
    <w:p w:rsidR="003F4481" w:rsidRDefault="003F4481" w:rsidP="002B3B08">
      <w:pPr>
        <w:spacing w:line="360" w:lineRule="auto"/>
        <w:jc w:val="both"/>
        <w:rPr>
          <w:rFonts w:ascii="Arial" w:hAnsi="Arial" w:cs="Arial"/>
          <w:sz w:val="24"/>
          <w:szCs w:val="24"/>
        </w:rPr>
      </w:pPr>
    </w:p>
    <w:p w:rsidR="00F862BB" w:rsidRDefault="00423F55" w:rsidP="002B3B08">
      <w:pPr>
        <w:spacing w:after="0" w:line="360" w:lineRule="auto"/>
        <w:jc w:val="both"/>
        <w:rPr>
          <w:rFonts w:ascii="Arial" w:hAnsi="Arial" w:cs="Arial"/>
          <w:sz w:val="24"/>
          <w:szCs w:val="24"/>
        </w:rPr>
      </w:pPr>
      <w:r>
        <w:rPr>
          <w:rFonts w:ascii="Arial" w:hAnsi="Arial" w:cs="Arial"/>
          <w:sz w:val="24"/>
          <w:szCs w:val="24"/>
        </w:rPr>
        <w:t>[</w:t>
      </w:r>
      <w:r w:rsidR="003F4481">
        <w:rPr>
          <w:rFonts w:ascii="Arial" w:hAnsi="Arial" w:cs="Arial"/>
          <w:sz w:val="24"/>
          <w:szCs w:val="24"/>
        </w:rPr>
        <w:t>5</w:t>
      </w:r>
      <w:r w:rsidR="00353BD9">
        <w:rPr>
          <w:rFonts w:ascii="Arial" w:hAnsi="Arial" w:cs="Arial"/>
          <w:sz w:val="24"/>
          <w:szCs w:val="24"/>
        </w:rPr>
        <w:t>3</w:t>
      </w:r>
      <w:r>
        <w:rPr>
          <w:rFonts w:ascii="Arial" w:hAnsi="Arial" w:cs="Arial"/>
          <w:sz w:val="24"/>
          <w:szCs w:val="24"/>
        </w:rPr>
        <w:t>]</w:t>
      </w:r>
      <w:r>
        <w:rPr>
          <w:rFonts w:ascii="Arial" w:hAnsi="Arial" w:cs="Arial"/>
          <w:sz w:val="24"/>
          <w:szCs w:val="24"/>
        </w:rPr>
        <w:tab/>
        <w:t xml:space="preserve">Neither of the appellants set out the amount claimed for in respect of compensation. </w:t>
      </w:r>
      <w:r w:rsidR="009E574B">
        <w:rPr>
          <w:rFonts w:ascii="Arial" w:hAnsi="Arial" w:cs="Arial"/>
          <w:sz w:val="24"/>
          <w:szCs w:val="24"/>
        </w:rPr>
        <w:t xml:space="preserve">In the matter of </w:t>
      </w:r>
      <w:r w:rsidR="009E574B">
        <w:rPr>
          <w:rFonts w:ascii="Arial" w:hAnsi="Arial" w:cs="Arial"/>
          <w:i/>
          <w:sz w:val="24"/>
          <w:szCs w:val="24"/>
        </w:rPr>
        <w:t>Shilongo vs. Vector Logistics (Pty) Ltd</w:t>
      </w:r>
      <w:r w:rsidR="009E574B">
        <w:rPr>
          <w:rStyle w:val="FootnoteReference"/>
          <w:rFonts w:ascii="Arial" w:hAnsi="Arial" w:cs="Arial"/>
          <w:i/>
          <w:sz w:val="24"/>
          <w:szCs w:val="24"/>
        </w:rPr>
        <w:footnoteReference w:id="21"/>
      </w:r>
      <w:r w:rsidR="009E574B">
        <w:rPr>
          <w:rFonts w:ascii="Arial" w:hAnsi="Arial" w:cs="Arial"/>
          <w:sz w:val="24"/>
          <w:szCs w:val="24"/>
        </w:rPr>
        <w:t>Parker AJ considered the issue of compensation and found that in such an instance the court is at large to award any reasonable amount without the benefit of the appellant’s input; but not any amount in respect of every loss imaginable</w:t>
      </w:r>
      <w:r w:rsidR="009E574B">
        <w:rPr>
          <w:rStyle w:val="FootnoteReference"/>
          <w:rFonts w:ascii="Arial" w:hAnsi="Arial" w:cs="Arial"/>
          <w:sz w:val="24"/>
          <w:szCs w:val="24"/>
        </w:rPr>
        <w:footnoteReference w:id="22"/>
      </w:r>
      <w:r w:rsidR="009E574B">
        <w:rPr>
          <w:rFonts w:ascii="Arial" w:hAnsi="Arial" w:cs="Arial"/>
          <w:sz w:val="24"/>
          <w:szCs w:val="24"/>
        </w:rPr>
        <w:t>.</w:t>
      </w:r>
    </w:p>
    <w:p w:rsidR="00F862BB" w:rsidRDefault="00F862BB" w:rsidP="002B3B08">
      <w:pPr>
        <w:spacing w:after="0" w:line="360" w:lineRule="auto"/>
        <w:jc w:val="both"/>
        <w:rPr>
          <w:rFonts w:ascii="Arial" w:hAnsi="Arial" w:cs="Arial"/>
          <w:sz w:val="24"/>
          <w:szCs w:val="24"/>
        </w:rPr>
      </w:pPr>
    </w:p>
    <w:p w:rsidR="00423F55" w:rsidRDefault="00423F55" w:rsidP="002B3B08">
      <w:pPr>
        <w:spacing w:after="0" w:line="360" w:lineRule="auto"/>
        <w:jc w:val="both"/>
        <w:rPr>
          <w:rFonts w:ascii="Arial" w:hAnsi="Arial" w:cs="Arial"/>
          <w:sz w:val="24"/>
          <w:szCs w:val="24"/>
        </w:rPr>
      </w:pPr>
      <w:r>
        <w:rPr>
          <w:rFonts w:ascii="Arial" w:hAnsi="Arial" w:cs="Arial"/>
          <w:sz w:val="24"/>
          <w:szCs w:val="24"/>
        </w:rPr>
        <w:t>[</w:t>
      </w:r>
      <w:r w:rsidR="003F4481">
        <w:rPr>
          <w:rFonts w:ascii="Arial" w:hAnsi="Arial" w:cs="Arial"/>
          <w:sz w:val="24"/>
          <w:szCs w:val="24"/>
        </w:rPr>
        <w:t>5</w:t>
      </w:r>
      <w:r w:rsidR="00353BD9">
        <w:rPr>
          <w:rFonts w:ascii="Arial" w:hAnsi="Arial" w:cs="Arial"/>
          <w:sz w:val="24"/>
          <w:szCs w:val="24"/>
        </w:rPr>
        <w:t>4</w:t>
      </w:r>
      <w:r>
        <w:rPr>
          <w:rFonts w:ascii="Arial" w:hAnsi="Arial" w:cs="Arial"/>
          <w:sz w:val="24"/>
          <w:szCs w:val="24"/>
        </w:rPr>
        <w:t xml:space="preserve">] </w:t>
      </w:r>
      <w:r>
        <w:rPr>
          <w:rFonts w:ascii="Arial" w:hAnsi="Arial" w:cs="Arial"/>
          <w:sz w:val="24"/>
          <w:szCs w:val="24"/>
        </w:rPr>
        <w:tab/>
        <w:t>It would appear that the appellants were compensated for their leave days and ‘all payments while the case was ongoing’</w:t>
      </w:r>
      <w:r>
        <w:rPr>
          <w:rStyle w:val="FootnoteReference"/>
          <w:rFonts w:ascii="Arial" w:hAnsi="Arial" w:cs="Arial"/>
          <w:sz w:val="24"/>
          <w:szCs w:val="24"/>
        </w:rPr>
        <w:footnoteReference w:id="23"/>
      </w:r>
      <w:r>
        <w:rPr>
          <w:rFonts w:ascii="Arial" w:hAnsi="Arial" w:cs="Arial"/>
          <w:sz w:val="24"/>
          <w:szCs w:val="24"/>
        </w:rPr>
        <w:t>.</w:t>
      </w:r>
    </w:p>
    <w:p w:rsidR="003F4481" w:rsidRDefault="003F4481" w:rsidP="002B3B08">
      <w:pPr>
        <w:spacing w:after="0" w:line="360" w:lineRule="auto"/>
        <w:jc w:val="both"/>
        <w:rPr>
          <w:rFonts w:ascii="Arial" w:hAnsi="Arial" w:cs="Arial"/>
          <w:sz w:val="24"/>
          <w:szCs w:val="24"/>
        </w:rPr>
      </w:pPr>
    </w:p>
    <w:p w:rsidR="00F862BB" w:rsidRDefault="003F4481" w:rsidP="002B3B08">
      <w:pPr>
        <w:spacing w:after="0" w:line="360" w:lineRule="auto"/>
        <w:jc w:val="both"/>
        <w:rPr>
          <w:rFonts w:ascii="Arial" w:eastAsia="Times New Roman" w:hAnsi="Arial" w:cs="Arial"/>
          <w:sz w:val="24"/>
          <w:szCs w:val="24"/>
          <w:lang w:eastAsia="en-ZA"/>
        </w:rPr>
      </w:pPr>
      <w:r>
        <w:rPr>
          <w:rFonts w:ascii="Arial" w:hAnsi="Arial" w:cs="Arial"/>
          <w:sz w:val="24"/>
          <w:szCs w:val="24"/>
        </w:rPr>
        <w:t>[5</w:t>
      </w:r>
      <w:r w:rsidR="00353BD9">
        <w:rPr>
          <w:rFonts w:ascii="Arial" w:hAnsi="Arial" w:cs="Arial"/>
          <w:sz w:val="24"/>
          <w:szCs w:val="24"/>
        </w:rPr>
        <w:t>5</w:t>
      </w:r>
      <w:r>
        <w:rPr>
          <w:rFonts w:ascii="Arial" w:hAnsi="Arial" w:cs="Arial"/>
          <w:sz w:val="24"/>
          <w:szCs w:val="24"/>
        </w:rPr>
        <w:t xml:space="preserve">]  </w:t>
      </w:r>
      <w:r>
        <w:rPr>
          <w:rFonts w:ascii="Arial" w:hAnsi="Arial" w:cs="Arial"/>
          <w:sz w:val="24"/>
          <w:szCs w:val="24"/>
        </w:rPr>
        <w:tab/>
      </w:r>
      <w:r w:rsidRPr="00F862BB">
        <w:rPr>
          <w:rFonts w:ascii="Arial" w:eastAsia="Times New Roman" w:hAnsi="Arial" w:cs="Arial"/>
          <w:sz w:val="24"/>
          <w:szCs w:val="24"/>
          <w:lang w:eastAsia="en-ZA"/>
        </w:rPr>
        <w:t xml:space="preserve">Compensation awarded in labour disputes cannot be equated with contractual and delictual damages. There is an element of </w:t>
      </w:r>
      <w:r w:rsidRPr="003F4481">
        <w:rPr>
          <w:rFonts w:ascii="Arial" w:eastAsia="Times New Roman" w:hAnsi="Arial" w:cs="Arial"/>
          <w:i/>
          <w:sz w:val="24"/>
          <w:szCs w:val="24"/>
          <w:lang w:eastAsia="en-ZA"/>
        </w:rPr>
        <w:t>solatium</w:t>
      </w:r>
      <w:r w:rsidRPr="00F862BB">
        <w:rPr>
          <w:rFonts w:ascii="Arial" w:eastAsia="Times New Roman" w:hAnsi="Arial" w:cs="Arial"/>
          <w:sz w:val="24"/>
          <w:szCs w:val="24"/>
          <w:lang w:eastAsia="en-ZA"/>
        </w:rPr>
        <w:t xml:space="preserve"> present aimed at redressing injustice in labour relationships</w:t>
      </w:r>
      <w:r>
        <w:rPr>
          <w:rStyle w:val="FootnoteReference"/>
          <w:rFonts w:ascii="Arial" w:eastAsia="Times New Roman" w:hAnsi="Arial" w:cs="Arial"/>
          <w:sz w:val="24"/>
          <w:szCs w:val="24"/>
          <w:lang w:eastAsia="en-ZA"/>
        </w:rPr>
        <w:footnoteReference w:id="24"/>
      </w:r>
      <w:r w:rsidRPr="00F862BB">
        <w:rPr>
          <w:rFonts w:ascii="Arial" w:eastAsia="Times New Roman" w:hAnsi="Arial" w:cs="Arial"/>
          <w:sz w:val="24"/>
          <w:szCs w:val="24"/>
          <w:lang w:eastAsia="en-ZA"/>
        </w:rPr>
        <w:t>.  Thus, compensation awarded in labour disputes should not aim at punishing an employer or enriching an employee</w:t>
      </w:r>
      <w:r>
        <w:rPr>
          <w:rStyle w:val="FootnoteReference"/>
          <w:rFonts w:ascii="Arial" w:eastAsia="Times New Roman" w:hAnsi="Arial" w:cs="Arial"/>
          <w:sz w:val="24"/>
          <w:szCs w:val="24"/>
          <w:lang w:eastAsia="en-ZA"/>
        </w:rPr>
        <w:footnoteReference w:id="25"/>
      </w:r>
      <w:r w:rsidRPr="00F862BB">
        <w:rPr>
          <w:rFonts w:ascii="Arial" w:eastAsia="Times New Roman" w:hAnsi="Arial" w:cs="Arial"/>
          <w:sz w:val="24"/>
          <w:szCs w:val="24"/>
          <w:lang w:eastAsia="en-ZA"/>
        </w:rPr>
        <w:t>.</w:t>
      </w:r>
    </w:p>
    <w:p w:rsidR="00EF7788" w:rsidRDefault="00EF7788" w:rsidP="002B3B08">
      <w:pPr>
        <w:spacing w:after="0" w:line="360" w:lineRule="auto"/>
        <w:jc w:val="both"/>
        <w:rPr>
          <w:rFonts w:ascii="Arial" w:eastAsia="Times New Roman" w:hAnsi="Arial" w:cs="Arial"/>
          <w:sz w:val="24"/>
          <w:szCs w:val="24"/>
          <w:lang w:eastAsia="en-ZA"/>
        </w:rPr>
      </w:pPr>
    </w:p>
    <w:p w:rsidR="00EF7788" w:rsidRDefault="00EF7788" w:rsidP="002B3B08">
      <w:pPr>
        <w:spacing w:after="0" w:line="360" w:lineRule="auto"/>
        <w:jc w:val="both"/>
        <w:rPr>
          <w:rFonts w:ascii="Arial" w:eastAsia="Times New Roman" w:hAnsi="Arial" w:cs="Arial"/>
          <w:sz w:val="24"/>
          <w:szCs w:val="24"/>
          <w:lang w:eastAsia="en-ZA"/>
        </w:rPr>
      </w:pPr>
    </w:p>
    <w:p w:rsidR="00EF7788" w:rsidRDefault="00EF7788" w:rsidP="002B3B08">
      <w:pPr>
        <w:spacing w:after="0" w:line="360" w:lineRule="auto"/>
        <w:jc w:val="both"/>
        <w:rPr>
          <w:rFonts w:ascii="Arial" w:eastAsia="Times New Roman" w:hAnsi="Arial" w:cs="Arial"/>
          <w:sz w:val="24"/>
          <w:szCs w:val="24"/>
          <w:lang w:eastAsia="en-ZA"/>
        </w:rPr>
      </w:pPr>
    </w:p>
    <w:p w:rsidR="00EF7788" w:rsidRDefault="00EF7788" w:rsidP="002B3B08">
      <w:pPr>
        <w:spacing w:after="0" w:line="360" w:lineRule="auto"/>
        <w:jc w:val="both"/>
        <w:rPr>
          <w:rFonts w:ascii="Arial" w:eastAsia="Times New Roman" w:hAnsi="Arial" w:cs="Arial"/>
          <w:sz w:val="24"/>
          <w:szCs w:val="24"/>
          <w:lang w:eastAsia="en-ZA"/>
        </w:rPr>
      </w:pPr>
    </w:p>
    <w:p w:rsidR="00AB1AF4" w:rsidRDefault="00AB1AF4" w:rsidP="002B3B08">
      <w:pPr>
        <w:spacing w:after="0" w:line="360" w:lineRule="auto"/>
        <w:jc w:val="both"/>
        <w:rPr>
          <w:rFonts w:ascii="Arial" w:hAnsi="Arial" w:cs="Arial"/>
          <w:sz w:val="24"/>
          <w:szCs w:val="24"/>
          <w:u w:val="single"/>
        </w:rPr>
      </w:pPr>
      <w:r w:rsidRPr="003B1D31">
        <w:rPr>
          <w:rFonts w:ascii="Arial" w:hAnsi="Arial" w:cs="Arial"/>
          <w:sz w:val="24"/>
          <w:szCs w:val="24"/>
          <w:u w:val="single"/>
        </w:rPr>
        <w:t>Conclusion</w:t>
      </w:r>
    </w:p>
    <w:p w:rsidR="00AB1AF4" w:rsidRPr="00CE450A" w:rsidRDefault="00AB1AF4" w:rsidP="002B3B08">
      <w:pPr>
        <w:spacing w:after="0" w:line="360" w:lineRule="auto"/>
        <w:jc w:val="both"/>
      </w:pPr>
    </w:p>
    <w:p w:rsidR="00AB1AF4" w:rsidRDefault="009C7411" w:rsidP="002B3B08">
      <w:pPr>
        <w:spacing w:after="0" w:line="360" w:lineRule="auto"/>
        <w:jc w:val="both"/>
        <w:rPr>
          <w:rFonts w:ascii="Arial" w:hAnsi="Arial" w:cs="Arial"/>
          <w:sz w:val="24"/>
          <w:szCs w:val="24"/>
        </w:rPr>
      </w:pPr>
      <w:r>
        <w:rPr>
          <w:rFonts w:ascii="Arial" w:eastAsia="Times New Roman" w:hAnsi="Arial" w:cs="Arial"/>
          <w:sz w:val="24"/>
          <w:szCs w:val="24"/>
          <w:lang w:eastAsia="en-ZA"/>
        </w:rPr>
        <w:t>[5</w:t>
      </w:r>
      <w:r w:rsidR="00353BD9">
        <w:rPr>
          <w:rFonts w:ascii="Arial" w:eastAsia="Times New Roman" w:hAnsi="Arial" w:cs="Arial"/>
          <w:sz w:val="24"/>
          <w:szCs w:val="24"/>
          <w:lang w:eastAsia="en-ZA"/>
        </w:rPr>
        <w:t>6</w:t>
      </w:r>
      <w:r>
        <w:rPr>
          <w:rFonts w:ascii="Arial" w:eastAsia="Times New Roman" w:hAnsi="Arial" w:cs="Arial"/>
          <w:sz w:val="24"/>
          <w:szCs w:val="24"/>
          <w:lang w:eastAsia="en-ZA"/>
        </w:rPr>
        <w:t>]</w:t>
      </w:r>
      <w:r>
        <w:rPr>
          <w:rFonts w:ascii="Arial" w:eastAsia="Times New Roman" w:hAnsi="Arial" w:cs="Arial"/>
          <w:sz w:val="24"/>
          <w:szCs w:val="24"/>
          <w:lang w:eastAsia="en-ZA"/>
        </w:rPr>
        <w:tab/>
        <w:t>T</w:t>
      </w:r>
      <w:r w:rsidR="00AB1AF4">
        <w:rPr>
          <w:rFonts w:ascii="Arial" w:hAnsi="Arial" w:cs="Arial"/>
          <w:sz w:val="24"/>
          <w:szCs w:val="24"/>
        </w:rPr>
        <w:t>his court</w:t>
      </w:r>
      <w:r>
        <w:rPr>
          <w:rFonts w:ascii="Arial" w:hAnsi="Arial" w:cs="Arial"/>
          <w:sz w:val="24"/>
          <w:szCs w:val="24"/>
        </w:rPr>
        <w:t xml:space="preserve"> therefor</w:t>
      </w:r>
      <w:r w:rsidR="00E7680D">
        <w:rPr>
          <w:rFonts w:ascii="Arial" w:hAnsi="Arial" w:cs="Arial"/>
          <w:sz w:val="24"/>
          <w:szCs w:val="24"/>
        </w:rPr>
        <w:t>e</w:t>
      </w:r>
      <w:r w:rsidR="00AB1AF4">
        <w:rPr>
          <w:rFonts w:ascii="Arial" w:hAnsi="Arial" w:cs="Arial"/>
          <w:sz w:val="24"/>
          <w:szCs w:val="24"/>
        </w:rPr>
        <w:t xml:space="preserve"> makes the following order</w:t>
      </w:r>
      <w:r w:rsidR="00AB1AF4" w:rsidRPr="00CE450A">
        <w:rPr>
          <w:rFonts w:ascii="Arial" w:hAnsi="Arial" w:cs="Arial"/>
          <w:sz w:val="24"/>
          <w:szCs w:val="24"/>
        </w:rPr>
        <w:t>:</w:t>
      </w:r>
    </w:p>
    <w:p w:rsidR="00AB1AF4" w:rsidRPr="00CE450A" w:rsidRDefault="00AB1AF4" w:rsidP="002B3B08">
      <w:pPr>
        <w:spacing w:after="0" w:line="360" w:lineRule="auto"/>
        <w:jc w:val="both"/>
        <w:rPr>
          <w:rFonts w:ascii="Arial" w:hAnsi="Arial" w:cs="Arial"/>
          <w:sz w:val="24"/>
          <w:szCs w:val="24"/>
        </w:rPr>
      </w:pPr>
    </w:p>
    <w:p w:rsidR="00AB1AF4" w:rsidRPr="00E7680D" w:rsidRDefault="00AB1AF4" w:rsidP="002B3B08">
      <w:pPr>
        <w:pStyle w:val="ListParagraph"/>
        <w:numPr>
          <w:ilvl w:val="0"/>
          <w:numId w:val="14"/>
        </w:numPr>
        <w:spacing w:after="0" w:line="360" w:lineRule="auto"/>
        <w:jc w:val="both"/>
        <w:rPr>
          <w:rFonts w:ascii="Arial" w:hAnsi="Arial" w:cs="Arial"/>
          <w:sz w:val="24"/>
          <w:szCs w:val="24"/>
        </w:rPr>
      </w:pPr>
      <w:r w:rsidRPr="00E7680D">
        <w:rPr>
          <w:rFonts w:ascii="Arial" w:hAnsi="Arial" w:cs="Arial"/>
          <w:sz w:val="24"/>
          <w:szCs w:val="24"/>
        </w:rPr>
        <w:t>The appeal is treated as unopposed and upheld</w:t>
      </w:r>
      <w:r w:rsidR="009C7411" w:rsidRPr="00E7680D">
        <w:rPr>
          <w:rFonts w:ascii="Arial" w:hAnsi="Arial" w:cs="Arial"/>
          <w:sz w:val="24"/>
          <w:szCs w:val="24"/>
        </w:rPr>
        <w:t xml:space="preserve"> in respect all grounds of appeal (excluding 2.2, 2.1</w:t>
      </w:r>
      <w:r w:rsidR="00680B3A">
        <w:rPr>
          <w:rFonts w:ascii="Arial" w:hAnsi="Arial" w:cs="Arial"/>
          <w:sz w:val="24"/>
          <w:szCs w:val="24"/>
        </w:rPr>
        <w:t>1</w:t>
      </w:r>
      <w:r w:rsidR="009C7411" w:rsidRPr="00E7680D">
        <w:rPr>
          <w:rFonts w:ascii="Arial" w:hAnsi="Arial" w:cs="Arial"/>
          <w:sz w:val="24"/>
          <w:szCs w:val="24"/>
        </w:rPr>
        <w:t xml:space="preserve"> and 2.1</w:t>
      </w:r>
      <w:r w:rsidR="00680B3A">
        <w:rPr>
          <w:rFonts w:ascii="Arial" w:hAnsi="Arial" w:cs="Arial"/>
          <w:sz w:val="24"/>
          <w:szCs w:val="24"/>
        </w:rPr>
        <w:t>2</w:t>
      </w:r>
      <w:r w:rsidR="009C7411" w:rsidRPr="00E7680D">
        <w:rPr>
          <w:rFonts w:ascii="Arial" w:hAnsi="Arial" w:cs="Arial"/>
          <w:sz w:val="24"/>
          <w:szCs w:val="24"/>
        </w:rPr>
        <w:t>)</w:t>
      </w:r>
    </w:p>
    <w:p w:rsidR="00926F59" w:rsidRPr="00E7680D" w:rsidRDefault="00926F59" w:rsidP="002B3B08">
      <w:pPr>
        <w:pStyle w:val="ListParagraph"/>
        <w:numPr>
          <w:ilvl w:val="0"/>
          <w:numId w:val="14"/>
        </w:numPr>
        <w:spacing w:after="0" w:line="360" w:lineRule="auto"/>
        <w:jc w:val="both"/>
        <w:rPr>
          <w:rFonts w:ascii="Arial" w:hAnsi="Arial" w:cs="Arial"/>
          <w:sz w:val="24"/>
          <w:szCs w:val="24"/>
        </w:rPr>
      </w:pPr>
      <w:r w:rsidRPr="00E7680D">
        <w:rPr>
          <w:rFonts w:ascii="Arial" w:hAnsi="Arial" w:cs="Arial"/>
          <w:sz w:val="24"/>
          <w:szCs w:val="24"/>
        </w:rPr>
        <w:t>The arbitration award of 12 March 2016 is set aside.</w:t>
      </w:r>
    </w:p>
    <w:p w:rsidR="009C7411" w:rsidRPr="00E7680D" w:rsidRDefault="009C7411" w:rsidP="002B3B08">
      <w:pPr>
        <w:pStyle w:val="ListParagraph"/>
        <w:numPr>
          <w:ilvl w:val="0"/>
          <w:numId w:val="14"/>
        </w:numPr>
        <w:tabs>
          <w:tab w:val="left" w:pos="720"/>
        </w:tabs>
        <w:spacing w:after="0" w:line="360" w:lineRule="auto"/>
        <w:jc w:val="both"/>
        <w:rPr>
          <w:rFonts w:ascii="Arial" w:hAnsi="Arial" w:cs="Arial"/>
          <w:sz w:val="24"/>
          <w:szCs w:val="24"/>
        </w:rPr>
      </w:pPr>
      <w:r w:rsidRPr="00E7680D">
        <w:rPr>
          <w:rFonts w:ascii="Arial" w:hAnsi="Arial" w:cs="Arial"/>
          <w:sz w:val="24"/>
          <w:szCs w:val="24"/>
        </w:rPr>
        <w:t>The first respondent is ordered to reinstate the appellants in the position in which they would have been had they not been so dismissed.</w:t>
      </w:r>
    </w:p>
    <w:p w:rsidR="00E7680D" w:rsidRPr="00E7680D" w:rsidRDefault="009C7411" w:rsidP="002B3B08">
      <w:pPr>
        <w:pStyle w:val="ListParagraph"/>
        <w:numPr>
          <w:ilvl w:val="0"/>
          <w:numId w:val="14"/>
        </w:numPr>
        <w:tabs>
          <w:tab w:val="left" w:pos="720"/>
        </w:tabs>
        <w:spacing w:after="0" w:line="360" w:lineRule="auto"/>
        <w:jc w:val="both"/>
        <w:rPr>
          <w:sz w:val="24"/>
          <w:szCs w:val="24"/>
        </w:rPr>
      </w:pPr>
      <w:r w:rsidRPr="00E7680D">
        <w:rPr>
          <w:rFonts w:ascii="Arial" w:hAnsi="Arial" w:cs="Arial"/>
          <w:sz w:val="24"/>
          <w:szCs w:val="24"/>
        </w:rPr>
        <w:t xml:space="preserve">The first respondent is ordered to pay to the appellants’ wages and emoluments on the basis of their monthly average earnings at the time of their dismissal for the period </w:t>
      </w:r>
      <w:r w:rsidR="00E7680D" w:rsidRPr="00E7680D">
        <w:rPr>
          <w:rFonts w:ascii="Arial" w:hAnsi="Arial" w:cs="Arial"/>
          <w:sz w:val="24"/>
          <w:szCs w:val="24"/>
        </w:rPr>
        <w:t>from date of arbitration award (being 12 March 2016</w:t>
      </w:r>
      <w:r w:rsidR="00C636A1" w:rsidRPr="00E7680D">
        <w:rPr>
          <w:rFonts w:ascii="Arial" w:hAnsi="Arial" w:cs="Arial"/>
          <w:sz w:val="24"/>
          <w:szCs w:val="24"/>
        </w:rPr>
        <w:t>) to</w:t>
      </w:r>
      <w:r w:rsidR="00E7680D" w:rsidRPr="00E7680D">
        <w:rPr>
          <w:rFonts w:ascii="Arial" w:hAnsi="Arial" w:cs="Arial"/>
          <w:sz w:val="24"/>
          <w:szCs w:val="24"/>
        </w:rPr>
        <w:t xml:space="preserve"> date of reinstatement. </w:t>
      </w:r>
    </w:p>
    <w:p w:rsidR="00AB1AF4" w:rsidRPr="00E7680D" w:rsidRDefault="00926F59" w:rsidP="002B3B08">
      <w:pPr>
        <w:pStyle w:val="ListParagraph"/>
        <w:numPr>
          <w:ilvl w:val="0"/>
          <w:numId w:val="14"/>
        </w:numPr>
        <w:tabs>
          <w:tab w:val="left" w:pos="720"/>
        </w:tabs>
        <w:spacing w:after="0" w:line="360" w:lineRule="auto"/>
        <w:jc w:val="both"/>
        <w:rPr>
          <w:sz w:val="24"/>
          <w:szCs w:val="24"/>
        </w:rPr>
      </w:pPr>
      <w:r w:rsidRPr="00E7680D">
        <w:rPr>
          <w:rFonts w:ascii="Arial" w:hAnsi="Arial" w:cs="Arial"/>
          <w:sz w:val="24"/>
          <w:szCs w:val="24"/>
        </w:rPr>
        <w:t>No order as to costs</w:t>
      </w:r>
      <w:r w:rsidR="00C636A1">
        <w:rPr>
          <w:rFonts w:ascii="Arial" w:hAnsi="Arial" w:cs="Arial"/>
          <w:sz w:val="24"/>
          <w:szCs w:val="24"/>
        </w:rPr>
        <w:t xml:space="preserve"> is</w:t>
      </w:r>
      <w:r w:rsidRPr="00E7680D">
        <w:rPr>
          <w:rFonts w:ascii="Arial" w:hAnsi="Arial" w:cs="Arial"/>
          <w:sz w:val="24"/>
          <w:szCs w:val="24"/>
        </w:rPr>
        <w:t xml:space="preserve"> made.</w:t>
      </w:r>
    </w:p>
    <w:p w:rsidR="007B2377" w:rsidRDefault="007B2377" w:rsidP="002B3B08">
      <w:pPr>
        <w:spacing w:after="0" w:line="360" w:lineRule="auto"/>
        <w:jc w:val="both"/>
        <w:rPr>
          <w:rFonts w:ascii="Arial" w:hAnsi="Arial" w:cs="Arial"/>
          <w:sz w:val="24"/>
          <w:szCs w:val="24"/>
        </w:rPr>
      </w:pPr>
    </w:p>
    <w:p w:rsidR="00690B42" w:rsidRPr="00D4786F" w:rsidRDefault="00690B42" w:rsidP="002B3B08">
      <w:pPr>
        <w:spacing w:after="0" w:line="360" w:lineRule="auto"/>
        <w:jc w:val="both"/>
        <w:rPr>
          <w:rFonts w:ascii="Arial" w:hAnsi="Arial" w:cs="Arial"/>
          <w:sz w:val="24"/>
          <w:szCs w:val="24"/>
        </w:rPr>
      </w:pPr>
    </w:p>
    <w:p w:rsidR="0018030D" w:rsidRPr="0018030D" w:rsidRDefault="0018030D" w:rsidP="002B3B08">
      <w:pPr>
        <w:spacing w:after="0" w:line="360" w:lineRule="auto"/>
        <w:jc w:val="both"/>
        <w:rPr>
          <w:rFonts w:ascii="Arial" w:hAnsi="Arial" w:cs="Arial"/>
          <w:i/>
          <w:sz w:val="24"/>
          <w:szCs w:val="24"/>
        </w:rPr>
      </w:pPr>
    </w:p>
    <w:p w:rsidR="00EA0DED" w:rsidRPr="006E026B" w:rsidRDefault="00757D47" w:rsidP="002B3B08">
      <w:pPr>
        <w:spacing w:after="0" w:line="360" w:lineRule="auto"/>
        <w:jc w:val="right"/>
        <w:rPr>
          <w:rFonts w:ascii="Arial" w:hAnsi="Arial" w:cs="Arial"/>
          <w:sz w:val="24"/>
          <w:szCs w:val="24"/>
        </w:rPr>
      </w:pPr>
      <w:r>
        <w:rPr>
          <w:rFonts w:ascii="Arial" w:hAnsi="Arial" w:cs="Arial"/>
          <w:sz w:val="24"/>
          <w:szCs w:val="24"/>
        </w:rPr>
        <w:t>_____________________</w:t>
      </w:r>
    </w:p>
    <w:p w:rsidR="00EA0DED" w:rsidRPr="006E026B" w:rsidRDefault="00503F15" w:rsidP="002B3B08">
      <w:pPr>
        <w:spacing w:after="0" w:line="360" w:lineRule="auto"/>
        <w:jc w:val="right"/>
        <w:rPr>
          <w:rFonts w:ascii="Arial" w:hAnsi="Arial" w:cs="Arial"/>
          <w:sz w:val="24"/>
          <w:szCs w:val="24"/>
        </w:rPr>
      </w:pPr>
      <w:r>
        <w:rPr>
          <w:rFonts w:ascii="Arial" w:hAnsi="Arial" w:cs="Arial"/>
          <w:sz w:val="24"/>
          <w:szCs w:val="24"/>
        </w:rPr>
        <w:t>J S Prinsloo</w:t>
      </w:r>
    </w:p>
    <w:p w:rsidR="00EA0DED" w:rsidRPr="008D7641" w:rsidRDefault="00EA0DED" w:rsidP="002B3B08">
      <w:pPr>
        <w:spacing w:after="0" w:line="360" w:lineRule="auto"/>
        <w:jc w:val="right"/>
        <w:rPr>
          <w:rFonts w:ascii="Arial" w:hAnsi="Arial" w:cs="Arial"/>
          <w:sz w:val="24"/>
          <w:szCs w:val="24"/>
        </w:rPr>
      </w:pPr>
      <w:r>
        <w:rPr>
          <w:rFonts w:ascii="Arial" w:hAnsi="Arial" w:cs="Arial"/>
          <w:sz w:val="24"/>
          <w:szCs w:val="24"/>
        </w:rPr>
        <w:t>Acting Judge</w:t>
      </w:r>
    </w:p>
    <w:p w:rsidR="00EA0DED" w:rsidRDefault="00EA0DED" w:rsidP="002B3B08">
      <w:pPr>
        <w:pStyle w:val="BodyText"/>
        <w:autoSpaceDE w:val="0"/>
        <w:autoSpaceDN w:val="0"/>
        <w:adjustRightInd w:val="0"/>
        <w:spacing w:line="360" w:lineRule="auto"/>
        <w:jc w:val="both"/>
        <w:rPr>
          <w:rFonts w:ascii="Arial" w:hAnsi="Arial" w:cs="Arial"/>
        </w:rPr>
      </w:pPr>
    </w:p>
    <w:p w:rsidR="00EA0DED" w:rsidRDefault="00EA0DED" w:rsidP="002B3B08">
      <w:pPr>
        <w:pStyle w:val="BodyText"/>
        <w:autoSpaceDE w:val="0"/>
        <w:autoSpaceDN w:val="0"/>
        <w:adjustRightInd w:val="0"/>
        <w:spacing w:line="360" w:lineRule="auto"/>
        <w:jc w:val="both"/>
        <w:rPr>
          <w:rFonts w:ascii="Arial" w:hAnsi="Arial" w:cs="Arial"/>
        </w:rPr>
      </w:pPr>
    </w:p>
    <w:p w:rsidR="00926F59" w:rsidRDefault="00926F59" w:rsidP="002B3B08">
      <w:pPr>
        <w:pStyle w:val="BodyText"/>
        <w:autoSpaceDE w:val="0"/>
        <w:autoSpaceDN w:val="0"/>
        <w:adjustRightInd w:val="0"/>
        <w:spacing w:line="360" w:lineRule="auto"/>
        <w:jc w:val="both"/>
        <w:rPr>
          <w:rFonts w:ascii="Arial" w:hAnsi="Arial" w:cs="Arial"/>
          <w:u w:val="single"/>
        </w:rPr>
      </w:pPr>
    </w:p>
    <w:p w:rsidR="00926F59" w:rsidRDefault="00926F59" w:rsidP="002B3B08">
      <w:pPr>
        <w:pStyle w:val="BodyText"/>
        <w:autoSpaceDE w:val="0"/>
        <w:autoSpaceDN w:val="0"/>
        <w:adjustRightInd w:val="0"/>
        <w:spacing w:line="360" w:lineRule="auto"/>
        <w:jc w:val="both"/>
        <w:rPr>
          <w:rFonts w:ascii="Arial" w:hAnsi="Arial" w:cs="Arial"/>
          <w:u w:val="single"/>
        </w:rPr>
      </w:pPr>
    </w:p>
    <w:p w:rsidR="004C28B3" w:rsidRDefault="004C28B3" w:rsidP="002B3B08">
      <w:pPr>
        <w:pStyle w:val="BodyText"/>
        <w:autoSpaceDE w:val="0"/>
        <w:autoSpaceDN w:val="0"/>
        <w:adjustRightInd w:val="0"/>
        <w:spacing w:line="360" w:lineRule="auto"/>
        <w:jc w:val="both"/>
        <w:rPr>
          <w:rFonts w:ascii="Arial" w:hAnsi="Arial" w:cs="Arial"/>
          <w:u w:val="single"/>
        </w:rPr>
      </w:pPr>
    </w:p>
    <w:p w:rsidR="004C28B3" w:rsidRDefault="004C28B3" w:rsidP="002B3B08">
      <w:pPr>
        <w:pStyle w:val="BodyText"/>
        <w:autoSpaceDE w:val="0"/>
        <w:autoSpaceDN w:val="0"/>
        <w:adjustRightInd w:val="0"/>
        <w:spacing w:line="360" w:lineRule="auto"/>
        <w:jc w:val="both"/>
        <w:rPr>
          <w:rFonts w:ascii="Arial" w:hAnsi="Arial" w:cs="Arial"/>
          <w:u w:val="single"/>
        </w:rPr>
      </w:pPr>
    </w:p>
    <w:p w:rsidR="004C28B3" w:rsidRDefault="004C28B3" w:rsidP="002B3B08">
      <w:pPr>
        <w:pStyle w:val="BodyText"/>
        <w:autoSpaceDE w:val="0"/>
        <w:autoSpaceDN w:val="0"/>
        <w:adjustRightInd w:val="0"/>
        <w:spacing w:line="360" w:lineRule="auto"/>
        <w:jc w:val="both"/>
        <w:rPr>
          <w:rFonts w:ascii="Arial" w:hAnsi="Arial" w:cs="Arial"/>
          <w:u w:val="single"/>
        </w:rPr>
      </w:pPr>
    </w:p>
    <w:p w:rsidR="004C28B3" w:rsidRDefault="004C28B3" w:rsidP="002B3B08">
      <w:pPr>
        <w:pStyle w:val="BodyText"/>
        <w:autoSpaceDE w:val="0"/>
        <w:autoSpaceDN w:val="0"/>
        <w:adjustRightInd w:val="0"/>
        <w:spacing w:line="360" w:lineRule="auto"/>
        <w:jc w:val="both"/>
        <w:rPr>
          <w:rFonts w:ascii="Arial" w:hAnsi="Arial" w:cs="Arial"/>
          <w:u w:val="single"/>
        </w:rPr>
      </w:pPr>
    </w:p>
    <w:p w:rsidR="004C28B3" w:rsidRDefault="004C28B3" w:rsidP="002B3B08">
      <w:pPr>
        <w:pStyle w:val="BodyText"/>
        <w:autoSpaceDE w:val="0"/>
        <w:autoSpaceDN w:val="0"/>
        <w:adjustRightInd w:val="0"/>
        <w:spacing w:line="360" w:lineRule="auto"/>
        <w:jc w:val="both"/>
        <w:rPr>
          <w:rFonts w:ascii="Arial" w:hAnsi="Arial" w:cs="Arial"/>
          <w:u w:val="single"/>
        </w:rPr>
      </w:pPr>
    </w:p>
    <w:p w:rsidR="004C28B3" w:rsidRDefault="004C28B3" w:rsidP="002B3B08">
      <w:pPr>
        <w:pStyle w:val="BodyText"/>
        <w:autoSpaceDE w:val="0"/>
        <w:autoSpaceDN w:val="0"/>
        <w:adjustRightInd w:val="0"/>
        <w:spacing w:line="360" w:lineRule="auto"/>
        <w:jc w:val="both"/>
        <w:rPr>
          <w:rFonts w:ascii="Arial" w:hAnsi="Arial" w:cs="Arial"/>
          <w:u w:val="single"/>
        </w:rPr>
      </w:pPr>
    </w:p>
    <w:p w:rsidR="004C28B3" w:rsidRDefault="004C28B3" w:rsidP="002B3B08">
      <w:pPr>
        <w:pStyle w:val="BodyText"/>
        <w:autoSpaceDE w:val="0"/>
        <w:autoSpaceDN w:val="0"/>
        <w:adjustRightInd w:val="0"/>
        <w:spacing w:line="360" w:lineRule="auto"/>
        <w:jc w:val="both"/>
        <w:rPr>
          <w:rFonts w:ascii="Arial" w:hAnsi="Arial" w:cs="Arial"/>
          <w:u w:val="single"/>
        </w:rPr>
      </w:pPr>
    </w:p>
    <w:p w:rsidR="004C28B3" w:rsidRDefault="004C28B3" w:rsidP="002B3B08">
      <w:pPr>
        <w:pStyle w:val="BodyText"/>
        <w:autoSpaceDE w:val="0"/>
        <w:autoSpaceDN w:val="0"/>
        <w:adjustRightInd w:val="0"/>
        <w:spacing w:line="360" w:lineRule="auto"/>
        <w:jc w:val="both"/>
        <w:rPr>
          <w:rFonts w:ascii="Arial" w:hAnsi="Arial" w:cs="Arial"/>
          <w:u w:val="single"/>
        </w:rPr>
      </w:pPr>
    </w:p>
    <w:p w:rsidR="004C28B3" w:rsidRDefault="004C28B3" w:rsidP="002B3B08">
      <w:pPr>
        <w:pStyle w:val="BodyText"/>
        <w:autoSpaceDE w:val="0"/>
        <w:autoSpaceDN w:val="0"/>
        <w:adjustRightInd w:val="0"/>
        <w:spacing w:line="360" w:lineRule="auto"/>
        <w:jc w:val="both"/>
        <w:rPr>
          <w:rFonts w:ascii="Arial" w:hAnsi="Arial" w:cs="Arial"/>
          <w:u w:val="single"/>
        </w:rPr>
      </w:pPr>
    </w:p>
    <w:p w:rsidR="004C28B3" w:rsidRDefault="004C28B3" w:rsidP="002B3B08">
      <w:pPr>
        <w:pStyle w:val="BodyText"/>
        <w:autoSpaceDE w:val="0"/>
        <w:autoSpaceDN w:val="0"/>
        <w:adjustRightInd w:val="0"/>
        <w:spacing w:line="360" w:lineRule="auto"/>
        <w:jc w:val="both"/>
        <w:rPr>
          <w:rFonts w:ascii="Arial" w:hAnsi="Arial" w:cs="Arial"/>
          <w:u w:val="single"/>
        </w:rPr>
      </w:pPr>
    </w:p>
    <w:p w:rsidR="00EA0DED" w:rsidRDefault="00EA0DED" w:rsidP="002B3B08">
      <w:pPr>
        <w:pStyle w:val="BodyText"/>
        <w:autoSpaceDE w:val="0"/>
        <w:autoSpaceDN w:val="0"/>
        <w:adjustRightInd w:val="0"/>
        <w:spacing w:line="360" w:lineRule="auto"/>
        <w:jc w:val="both"/>
        <w:rPr>
          <w:rFonts w:ascii="Arial" w:hAnsi="Arial" w:cs="Arial"/>
          <w:u w:val="single"/>
        </w:rPr>
      </w:pPr>
      <w:r w:rsidRPr="00757D47">
        <w:rPr>
          <w:rFonts w:ascii="Arial" w:hAnsi="Arial" w:cs="Arial"/>
          <w:u w:val="single"/>
        </w:rPr>
        <w:t>APPEARANCES</w:t>
      </w:r>
    </w:p>
    <w:p w:rsidR="00EA0DED" w:rsidRPr="000E7777" w:rsidRDefault="00EA0DED" w:rsidP="002B3B08">
      <w:pPr>
        <w:pStyle w:val="BodyText"/>
        <w:autoSpaceDE w:val="0"/>
        <w:autoSpaceDN w:val="0"/>
        <w:adjustRightInd w:val="0"/>
        <w:spacing w:line="360" w:lineRule="auto"/>
        <w:jc w:val="both"/>
        <w:rPr>
          <w:rFonts w:ascii="Arial" w:hAnsi="Arial" w:cs="Arial"/>
        </w:rPr>
      </w:pPr>
    </w:p>
    <w:p w:rsidR="00757D47" w:rsidRDefault="00FD6BC1" w:rsidP="002B3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APPLICANT/</w:t>
      </w:r>
      <w:r w:rsidR="00EA0DED">
        <w:rPr>
          <w:rFonts w:ascii="Arial" w:hAnsi="Arial" w:cs="Arial"/>
          <w:sz w:val="24"/>
          <w:szCs w:val="24"/>
        </w:rPr>
        <w:t>A</w:t>
      </w:r>
      <w:r w:rsidR="00757D47">
        <w:rPr>
          <w:rFonts w:ascii="Arial" w:hAnsi="Arial" w:cs="Arial"/>
          <w:sz w:val="24"/>
          <w:szCs w:val="24"/>
        </w:rPr>
        <w:t>PPELLANT:</w:t>
      </w:r>
      <w:r w:rsidR="00757D47">
        <w:rPr>
          <w:rFonts w:ascii="Arial" w:hAnsi="Arial" w:cs="Arial"/>
          <w:sz w:val="24"/>
          <w:szCs w:val="24"/>
        </w:rPr>
        <w:tab/>
      </w:r>
      <w:r w:rsidR="00757D47">
        <w:rPr>
          <w:rFonts w:ascii="Arial" w:hAnsi="Arial" w:cs="Arial"/>
          <w:sz w:val="24"/>
          <w:szCs w:val="24"/>
        </w:rPr>
        <w:tab/>
      </w:r>
      <w:r w:rsidR="00881ED4">
        <w:rPr>
          <w:rFonts w:ascii="Arial" w:hAnsi="Arial" w:cs="Arial"/>
          <w:sz w:val="24"/>
          <w:szCs w:val="24"/>
        </w:rPr>
        <w:t>S</w:t>
      </w:r>
      <w:r w:rsidR="009E574B">
        <w:rPr>
          <w:rFonts w:ascii="Arial" w:hAnsi="Arial" w:cs="Arial"/>
          <w:sz w:val="24"/>
          <w:szCs w:val="24"/>
        </w:rPr>
        <w:t xml:space="preserve"> </w:t>
      </w:r>
      <w:r w:rsidR="00503F15">
        <w:rPr>
          <w:rFonts w:ascii="Arial" w:hAnsi="Arial" w:cs="Arial"/>
          <w:sz w:val="24"/>
          <w:szCs w:val="24"/>
        </w:rPr>
        <w:t>Nambinga</w:t>
      </w:r>
    </w:p>
    <w:p w:rsidR="00EA0DED" w:rsidRDefault="00757D47" w:rsidP="002B3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03F15">
        <w:rPr>
          <w:rFonts w:ascii="Arial" w:hAnsi="Arial" w:cs="Arial"/>
          <w:sz w:val="24"/>
          <w:szCs w:val="24"/>
        </w:rPr>
        <w:t>Angula</w:t>
      </w:r>
      <w:r w:rsidR="00FD6BC1">
        <w:rPr>
          <w:rFonts w:ascii="Arial" w:hAnsi="Arial" w:cs="Arial"/>
          <w:sz w:val="24"/>
          <w:szCs w:val="24"/>
        </w:rPr>
        <w:t>&amp; Co. Inc.</w:t>
      </w:r>
      <w:r w:rsidR="00EA0DED">
        <w:rPr>
          <w:rFonts w:ascii="Arial" w:hAnsi="Arial" w:cs="Arial"/>
          <w:sz w:val="24"/>
          <w:szCs w:val="24"/>
        </w:rPr>
        <w:t>, Windhoek</w:t>
      </w:r>
    </w:p>
    <w:p w:rsidR="00EA0DED" w:rsidRDefault="00EA0DED" w:rsidP="002B3B08">
      <w:pPr>
        <w:autoSpaceDE w:val="0"/>
        <w:autoSpaceDN w:val="0"/>
        <w:adjustRightInd w:val="0"/>
        <w:spacing w:after="0" w:line="360" w:lineRule="auto"/>
        <w:jc w:val="both"/>
        <w:rPr>
          <w:rFonts w:ascii="Arial" w:hAnsi="Arial" w:cs="Arial"/>
          <w:sz w:val="24"/>
          <w:szCs w:val="24"/>
        </w:rPr>
      </w:pPr>
    </w:p>
    <w:p w:rsidR="00EA0DED" w:rsidRDefault="00D97CB1" w:rsidP="002B3B08">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sidR="00757D47">
        <w:rPr>
          <w:rFonts w:ascii="Arial" w:hAnsi="Arial" w:cs="Arial"/>
          <w:sz w:val="24"/>
          <w:szCs w:val="24"/>
        </w:rPr>
        <w:tab/>
      </w:r>
      <w:r w:rsidR="00881ED4">
        <w:rPr>
          <w:rFonts w:ascii="Arial" w:hAnsi="Arial" w:cs="Arial"/>
          <w:sz w:val="24"/>
          <w:szCs w:val="24"/>
        </w:rPr>
        <w:t xml:space="preserve">G K </w:t>
      </w:r>
      <w:r w:rsidR="00503F15">
        <w:rPr>
          <w:rFonts w:ascii="Arial" w:hAnsi="Arial" w:cs="Arial"/>
          <w:sz w:val="24"/>
          <w:szCs w:val="24"/>
        </w:rPr>
        <w:t>Losper</w:t>
      </w:r>
    </w:p>
    <w:p w:rsidR="00EA0DED" w:rsidRDefault="00757D47" w:rsidP="002B3B0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81ED4">
        <w:rPr>
          <w:rFonts w:ascii="Arial" w:hAnsi="Arial" w:cs="Arial"/>
          <w:sz w:val="24"/>
          <w:szCs w:val="24"/>
        </w:rPr>
        <w:t>Elago-Tjombe</w:t>
      </w:r>
      <w:r w:rsidR="00EA0DED">
        <w:rPr>
          <w:rFonts w:ascii="Arial" w:hAnsi="Arial" w:cs="Arial"/>
          <w:sz w:val="24"/>
          <w:szCs w:val="24"/>
        </w:rPr>
        <w:t>, Windhoek</w:t>
      </w:r>
    </w:p>
    <w:p w:rsidR="00394000" w:rsidRDefault="00394000" w:rsidP="002B3B08">
      <w:pPr>
        <w:autoSpaceDE w:val="0"/>
        <w:autoSpaceDN w:val="0"/>
        <w:adjustRightInd w:val="0"/>
        <w:spacing w:after="0" w:line="360" w:lineRule="auto"/>
        <w:jc w:val="both"/>
        <w:rPr>
          <w:rFonts w:ascii="Arial" w:hAnsi="Arial" w:cs="Arial"/>
          <w:sz w:val="24"/>
          <w:szCs w:val="24"/>
        </w:rPr>
      </w:pPr>
    </w:p>
    <w:sectPr w:rsidR="00394000" w:rsidSect="000D16F7">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A1" w:rsidRDefault="00C636A1">
      <w:pPr>
        <w:spacing w:after="0" w:line="240" w:lineRule="auto"/>
      </w:pPr>
      <w:r>
        <w:separator/>
      </w:r>
    </w:p>
  </w:endnote>
  <w:endnote w:type="continuationSeparator" w:id="0">
    <w:p w:rsidR="00C636A1" w:rsidRDefault="00C6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A1" w:rsidRDefault="00C636A1">
      <w:pPr>
        <w:spacing w:after="0" w:line="240" w:lineRule="auto"/>
      </w:pPr>
      <w:r>
        <w:separator/>
      </w:r>
    </w:p>
  </w:footnote>
  <w:footnote w:type="continuationSeparator" w:id="0">
    <w:p w:rsidR="00C636A1" w:rsidRDefault="00C636A1">
      <w:pPr>
        <w:spacing w:after="0" w:line="240" w:lineRule="auto"/>
      </w:pPr>
      <w:r>
        <w:continuationSeparator/>
      </w:r>
    </w:p>
  </w:footnote>
  <w:footnote w:id="1">
    <w:p w:rsidR="00C636A1" w:rsidRPr="005230F8" w:rsidRDefault="00C636A1" w:rsidP="005230F8">
      <w:pPr>
        <w:pStyle w:val="FootnoteText"/>
        <w:jc w:val="both"/>
        <w:rPr>
          <w:rFonts w:ascii="Arial" w:hAnsi="Arial" w:cs="Arial"/>
        </w:rPr>
      </w:pPr>
      <w:r>
        <w:rPr>
          <w:rStyle w:val="FootnoteReference"/>
        </w:rPr>
        <w:footnoteRef/>
      </w:r>
      <w:r w:rsidRPr="005230F8">
        <w:rPr>
          <w:rFonts w:ascii="Arial" w:hAnsi="Arial" w:cs="Arial"/>
        </w:rPr>
        <w:t>Page 550 of the Court Bundle</w:t>
      </w:r>
      <w:r>
        <w:rPr>
          <w:rFonts w:ascii="Arial" w:hAnsi="Arial" w:cs="Arial"/>
        </w:rPr>
        <w:t>.</w:t>
      </w:r>
    </w:p>
  </w:footnote>
  <w:footnote w:id="2">
    <w:p w:rsidR="00C636A1" w:rsidRPr="005230F8" w:rsidRDefault="00C636A1" w:rsidP="005230F8">
      <w:pPr>
        <w:pStyle w:val="FootnoteText"/>
        <w:jc w:val="both"/>
        <w:rPr>
          <w:rFonts w:ascii="Arial" w:hAnsi="Arial" w:cs="Arial"/>
        </w:rPr>
      </w:pPr>
      <w:r w:rsidRPr="005230F8">
        <w:rPr>
          <w:rStyle w:val="FootnoteReference"/>
          <w:rFonts w:ascii="Arial" w:hAnsi="Arial" w:cs="Arial"/>
        </w:rPr>
        <w:footnoteRef/>
      </w:r>
      <w:r w:rsidRPr="005230F8">
        <w:rPr>
          <w:rFonts w:ascii="Arial" w:hAnsi="Arial" w:cs="Arial"/>
        </w:rPr>
        <w:t xml:space="preserve"> Labour Court Rules published in GN 279 in GG 4175 of 2 December 2008 and amended by GN 92 in GG 4743 of 22 June 2011</w:t>
      </w:r>
      <w:r>
        <w:rPr>
          <w:rFonts w:ascii="Arial" w:hAnsi="Arial" w:cs="Arial"/>
        </w:rPr>
        <w:t>.</w:t>
      </w:r>
    </w:p>
  </w:footnote>
  <w:footnote w:id="3">
    <w:p w:rsidR="00C636A1" w:rsidRPr="005230F8" w:rsidRDefault="00C636A1" w:rsidP="00EF3370">
      <w:pPr>
        <w:spacing w:after="0" w:line="360" w:lineRule="auto"/>
        <w:ind w:left="2160" w:hanging="2160"/>
        <w:jc w:val="both"/>
        <w:rPr>
          <w:rFonts w:ascii="Arial" w:hAnsi="Arial" w:cs="Arial"/>
          <w:sz w:val="20"/>
          <w:szCs w:val="20"/>
        </w:rPr>
      </w:pPr>
      <w:r w:rsidRPr="005230F8">
        <w:rPr>
          <w:rStyle w:val="FootnoteReference"/>
          <w:rFonts w:ascii="Arial" w:hAnsi="Arial" w:cs="Arial"/>
          <w:sz w:val="20"/>
          <w:szCs w:val="20"/>
        </w:rPr>
        <w:footnoteRef/>
      </w:r>
      <w:r w:rsidRPr="005230F8">
        <w:rPr>
          <w:rFonts w:ascii="Arial" w:hAnsi="Arial" w:cs="Arial"/>
          <w:i/>
          <w:sz w:val="20"/>
          <w:szCs w:val="20"/>
        </w:rPr>
        <w:t>Swakop Uranium (Pty) Ltd v Kalipa</w:t>
      </w:r>
      <w:r w:rsidRPr="005230F8">
        <w:rPr>
          <w:rFonts w:ascii="Arial" w:hAnsi="Arial" w:cs="Arial"/>
          <w:sz w:val="20"/>
          <w:szCs w:val="20"/>
        </w:rPr>
        <w:t>(LCA 41-2014) [2015] NALCMD 28 (04 December 2015).</w:t>
      </w:r>
    </w:p>
  </w:footnote>
  <w:footnote w:id="4">
    <w:p w:rsidR="00C636A1" w:rsidRPr="005230F8" w:rsidRDefault="00C636A1" w:rsidP="003E7450">
      <w:pPr>
        <w:spacing w:after="0" w:line="360" w:lineRule="auto"/>
        <w:ind w:left="2160" w:hanging="2160"/>
        <w:jc w:val="both"/>
        <w:rPr>
          <w:rFonts w:ascii="Arial" w:hAnsi="Arial" w:cs="Arial"/>
          <w:sz w:val="20"/>
          <w:szCs w:val="20"/>
        </w:rPr>
      </w:pPr>
      <w:r w:rsidRPr="005230F8">
        <w:rPr>
          <w:rStyle w:val="FootnoteReference"/>
          <w:rFonts w:ascii="Arial" w:hAnsi="Arial" w:cs="Arial"/>
          <w:sz w:val="20"/>
          <w:szCs w:val="20"/>
        </w:rPr>
        <w:footnoteRef/>
      </w:r>
      <w:r w:rsidRPr="005230F8">
        <w:rPr>
          <w:rFonts w:ascii="Arial" w:hAnsi="Arial" w:cs="Arial"/>
          <w:i/>
          <w:sz w:val="20"/>
          <w:szCs w:val="20"/>
        </w:rPr>
        <w:t>Benz Building Suppliers v Stephanus</w:t>
      </w:r>
      <w:r w:rsidRPr="005230F8">
        <w:rPr>
          <w:rFonts w:ascii="Arial" w:hAnsi="Arial" w:cs="Arial"/>
          <w:sz w:val="20"/>
          <w:szCs w:val="20"/>
        </w:rPr>
        <w:t>(LCA 18/2013) [2013] NALCMD 40 (19 November 2013)</w:t>
      </w:r>
      <w:r>
        <w:rPr>
          <w:rFonts w:ascii="Arial" w:hAnsi="Arial" w:cs="Arial"/>
          <w:sz w:val="20"/>
          <w:szCs w:val="20"/>
        </w:rPr>
        <w:t>.</w:t>
      </w:r>
    </w:p>
    <w:p w:rsidR="00C636A1" w:rsidRDefault="00C636A1">
      <w:pPr>
        <w:pStyle w:val="FootnoteText"/>
      </w:pPr>
    </w:p>
  </w:footnote>
  <w:footnote w:id="5">
    <w:p w:rsidR="00C636A1" w:rsidRPr="005230F8" w:rsidRDefault="00C636A1" w:rsidP="00EF7788">
      <w:pPr>
        <w:pStyle w:val="FootnoteText"/>
        <w:jc w:val="both"/>
        <w:rPr>
          <w:rFonts w:ascii="Arial" w:hAnsi="Arial" w:cs="Arial"/>
        </w:rPr>
      </w:pPr>
      <w:r w:rsidRPr="005230F8">
        <w:rPr>
          <w:rStyle w:val="FootnoteReference"/>
          <w:rFonts w:ascii="Arial" w:hAnsi="Arial" w:cs="Arial"/>
        </w:rPr>
        <w:footnoteRef/>
      </w:r>
      <w:r w:rsidR="00EF7788">
        <w:rPr>
          <w:rFonts w:ascii="Arial" w:hAnsi="Arial" w:cs="Arial"/>
          <w:i/>
        </w:rPr>
        <w:t xml:space="preserve"> </w:t>
      </w:r>
      <w:r w:rsidRPr="005230F8">
        <w:rPr>
          <w:rFonts w:ascii="Arial" w:hAnsi="Arial" w:cs="Arial"/>
          <w:i/>
        </w:rPr>
        <w:t>Rule 17 (16)</w:t>
      </w:r>
      <w:r w:rsidRPr="005230F8">
        <w:rPr>
          <w:rFonts w:ascii="Arial" w:hAnsi="Arial" w:cs="Arial"/>
        </w:rPr>
        <w:t>.</w:t>
      </w:r>
    </w:p>
  </w:footnote>
  <w:footnote w:id="6">
    <w:p w:rsidR="00C636A1" w:rsidRDefault="00C636A1" w:rsidP="005230F8">
      <w:pPr>
        <w:pStyle w:val="FootnoteText"/>
        <w:jc w:val="both"/>
      </w:pPr>
      <w:r w:rsidRPr="005230F8">
        <w:rPr>
          <w:rStyle w:val="FootnoteReference"/>
          <w:rFonts w:ascii="Arial" w:hAnsi="Arial" w:cs="Arial"/>
        </w:rPr>
        <w:footnoteRef/>
      </w:r>
      <w:r w:rsidR="00EF7788">
        <w:rPr>
          <w:rFonts w:ascii="Arial" w:hAnsi="Arial" w:cs="Arial"/>
        </w:rPr>
        <w:t xml:space="preserve"> </w:t>
      </w:r>
      <w:r w:rsidRPr="005230F8">
        <w:rPr>
          <w:rFonts w:ascii="Arial" w:hAnsi="Arial" w:cs="Arial"/>
        </w:rPr>
        <w:t>2015 (2) NR 526 (SC) at par [35]</w:t>
      </w:r>
      <w:r>
        <w:rPr>
          <w:rFonts w:ascii="Arial" w:hAnsi="Arial" w:cs="Arial"/>
        </w:rPr>
        <w:t>.</w:t>
      </w:r>
    </w:p>
  </w:footnote>
  <w:footnote w:id="7">
    <w:p w:rsidR="00C636A1" w:rsidRPr="005230F8" w:rsidRDefault="00C636A1" w:rsidP="005230F8">
      <w:pPr>
        <w:pStyle w:val="FootnoteText"/>
        <w:jc w:val="both"/>
        <w:rPr>
          <w:rFonts w:ascii="Arial" w:hAnsi="Arial" w:cs="Arial"/>
        </w:rPr>
      </w:pPr>
      <w:r w:rsidRPr="005230F8">
        <w:rPr>
          <w:rStyle w:val="FootnoteReference"/>
          <w:rFonts w:ascii="Arial" w:hAnsi="Arial" w:cs="Arial"/>
        </w:rPr>
        <w:footnoteRef/>
      </w:r>
      <w:r w:rsidRPr="008A2751">
        <w:rPr>
          <w:rFonts w:ascii="Arial" w:hAnsi="Arial" w:cs="Arial"/>
          <w:i/>
        </w:rPr>
        <w:t>Hano Trading CC v JR 209 Investments (Pty) Ltd and Another</w:t>
      </w:r>
      <w:r w:rsidRPr="005230F8">
        <w:rPr>
          <w:rFonts w:ascii="Arial" w:hAnsi="Arial" w:cs="Arial"/>
        </w:rPr>
        <w:t xml:space="preserve"> 2013 (1) SA 161 (SCA) para 10.</w:t>
      </w:r>
    </w:p>
  </w:footnote>
  <w:footnote w:id="8">
    <w:p w:rsidR="00C636A1" w:rsidRPr="008F4869" w:rsidRDefault="00C636A1" w:rsidP="00C82B3F">
      <w:pPr>
        <w:pStyle w:val="FootnoteText"/>
        <w:rPr>
          <w:rFonts w:ascii="Arial" w:hAnsi="Arial" w:cs="Arial"/>
        </w:rPr>
      </w:pPr>
      <w:r w:rsidRPr="008F4869">
        <w:rPr>
          <w:rStyle w:val="FootnoteReference"/>
          <w:rFonts w:ascii="Arial" w:hAnsi="Arial" w:cs="Arial"/>
        </w:rPr>
        <w:footnoteRef/>
      </w:r>
      <w:r w:rsidRPr="008F4869">
        <w:rPr>
          <w:rFonts w:ascii="Arial" w:hAnsi="Arial" w:cs="Arial"/>
        </w:rPr>
        <w:t xml:space="preserve"> 2015 (2) NR 340 (SC).</w:t>
      </w:r>
    </w:p>
  </w:footnote>
  <w:footnote w:id="9">
    <w:p w:rsidR="00C636A1" w:rsidRPr="008F4869" w:rsidRDefault="00C636A1" w:rsidP="00C82B3F">
      <w:pPr>
        <w:pStyle w:val="FootnoteText"/>
        <w:rPr>
          <w:rFonts w:ascii="Arial" w:hAnsi="Arial" w:cs="Arial"/>
        </w:rPr>
      </w:pPr>
      <w:r w:rsidRPr="008F4869">
        <w:rPr>
          <w:rStyle w:val="FootnoteReference"/>
          <w:rFonts w:ascii="Arial" w:hAnsi="Arial" w:cs="Arial"/>
        </w:rPr>
        <w:footnoteRef/>
      </w:r>
      <w:r w:rsidRPr="008F4869">
        <w:rPr>
          <w:rFonts w:ascii="Arial" w:hAnsi="Arial" w:cs="Arial"/>
        </w:rPr>
        <w:t xml:space="preserve"> 1965 (2) SA 135 (A) at 141C; cited with approval in, for example, Leweis v Sampoio 2000 NR 186 (SC) at 193; De Villiers v Axiz Namibia (Pty) Ltd 2012 (1) NR 48 (SC) at 57 para 24.</w:t>
      </w:r>
    </w:p>
  </w:footnote>
  <w:footnote w:id="10">
    <w:p w:rsidR="00C636A1" w:rsidRPr="005230F8" w:rsidRDefault="00C636A1" w:rsidP="005230F8">
      <w:pPr>
        <w:pStyle w:val="FootnoteText"/>
        <w:jc w:val="both"/>
        <w:rPr>
          <w:rFonts w:ascii="Arial" w:hAnsi="Arial" w:cs="Arial"/>
        </w:rPr>
      </w:pPr>
      <w:r w:rsidRPr="005230F8">
        <w:rPr>
          <w:rStyle w:val="FootnoteReference"/>
          <w:rFonts w:ascii="Arial" w:hAnsi="Arial" w:cs="Arial"/>
        </w:rPr>
        <w:footnoteRef/>
      </w:r>
      <w:r w:rsidRPr="005230F8">
        <w:rPr>
          <w:rFonts w:ascii="Arial" w:hAnsi="Arial" w:cs="Arial"/>
          <w:i/>
        </w:rPr>
        <w:t>Swakop Uranium (Pty) Ltd v Kalipa</w:t>
      </w:r>
      <w:r w:rsidRPr="005230F8">
        <w:rPr>
          <w:rFonts w:ascii="Arial" w:hAnsi="Arial" w:cs="Arial"/>
        </w:rPr>
        <w:t xml:space="preserve"> (LCA 41/2014) delivered on 04 December 2015; </w:t>
      </w:r>
      <w:r w:rsidRPr="005230F8">
        <w:rPr>
          <w:rFonts w:ascii="Arial" w:hAnsi="Arial" w:cs="Arial"/>
          <w:i/>
        </w:rPr>
        <w:t>Walvis Bay Stevedoring Co. (Pty) Ltd v NdjembelaAlutumani</w:t>
      </w:r>
      <w:r w:rsidRPr="005230F8">
        <w:rPr>
          <w:rFonts w:ascii="Arial" w:hAnsi="Arial" w:cs="Arial"/>
        </w:rPr>
        <w:t xml:space="preserve">(LCA 46/2014) delivered on 13 May 2014; </w:t>
      </w:r>
      <w:r w:rsidRPr="005230F8">
        <w:rPr>
          <w:rFonts w:ascii="Arial" w:hAnsi="Arial" w:cs="Arial"/>
          <w:i/>
        </w:rPr>
        <w:t>Benz Building suppliers v Stephanus and others</w:t>
      </w:r>
      <w:r w:rsidRPr="005230F8">
        <w:rPr>
          <w:rFonts w:ascii="Arial" w:hAnsi="Arial" w:cs="Arial"/>
        </w:rPr>
        <w:t xml:space="preserve"> 2014(1) NR 283 at 288.</w:t>
      </w:r>
    </w:p>
  </w:footnote>
  <w:footnote w:id="11">
    <w:p w:rsidR="00596EF1" w:rsidRDefault="00C636A1" w:rsidP="004A7BFD">
      <w:pPr>
        <w:pStyle w:val="FootnoteText"/>
        <w:tabs>
          <w:tab w:val="left" w:pos="360"/>
        </w:tabs>
        <w:ind w:left="360" w:hanging="360"/>
        <w:jc w:val="both"/>
        <w:rPr>
          <w:rFonts w:ascii="Arial" w:hAnsi="Arial" w:cs="Arial"/>
          <w:bCs/>
        </w:rPr>
      </w:pPr>
      <w:r w:rsidRPr="000F245D">
        <w:rPr>
          <w:rStyle w:val="FootnoteReference"/>
          <w:rFonts w:ascii="Arial" w:hAnsi="Arial" w:cs="Arial"/>
        </w:rPr>
        <w:footnoteRef/>
      </w:r>
      <w:r w:rsidRPr="00D619C1">
        <w:rPr>
          <w:rFonts w:ascii="Arial" w:hAnsi="Arial" w:cs="Arial"/>
          <w:bCs/>
          <w:i/>
        </w:rPr>
        <w:t xml:space="preserve">Shoprite Namibia (Pty) Ltd </w:t>
      </w:r>
      <w:r w:rsidRPr="00D619C1">
        <w:rPr>
          <w:rFonts w:ascii="Arial" w:hAnsi="Arial" w:cs="Arial"/>
          <w:i/>
        </w:rPr>
        <w:t xml:space="preserve">v </w:t>
      </w:r>
      <w:r w:rsidRPr="00D619C1">
        <w:rPr>
          <w:rFonts w:ascii="Arial" w:hAnsi="Arial" w:cs="Arial"/>
          <w:bCs/>
          <w:i/>
        </w:rPr>
        <w:t xml:space="preserve">Faustino Moises Paulo </w:t>
      </w:r>
      <w:r w:rsidRPr="00D619C1">
        <w:rPr>
          <w:rFonts w:ascii="Arial" w:hAnsi="Arial" w:cs="Arial"/>
          <w:bCs/>
        </w:rPr>
        <w:t xml:space="preserve">an unreported </w:t>
      </w:r>
      <w:r w:rsidR="00596EF1">
        <w:rPr>
          <w:rFonts w:ascii="Arial" w:hAnsi="Arial" w:cs="Arial"/>
          <w:bCs/>
        </w:rPr>
        <w:t>judgment of the Labour Court of</w:t>
      </w:r>
    </w:p>
    <w:p w:rsidR="00596EF1" w:rsidRDefault="00C636A1" w:rsidP="004A7BFD">
      <w:pPr>
        <w:pStyle w:val="FootnoteText"/>
        <w:tabs>
          <w:tab w:val="left" w:pos="360"/>
        </w:tabs>
        <w:ind w:left="360" w:hanging="360"/>
        <w:jc w:val="both"/>
        <w:rPr>
          <w:rFonts w:ascii="Arial" w:hAnsi="Arial" w:cs="Arial"/>
        </w:rPr>
      </w:pPr>
      <w:r w:rsidRPr="00D619C1">
        <w:rPr>
          <w:rFonts w:ascii="Arial" w:hAnsi="Arial" w:cs="Arial"/>
          <w:bCs/>
        </w:rPr>
        <w:t xml:space="preserve">Namibia Case No. LCA 02/2010 delivered on 07 March 2010; </w:t>
      </w:r>
      <w:r w:rsidRPr="00D619C1">
        <w:rPr>
          <w:rFonts w:ascii="Arial" w:hAnsi="Arial" w:cs="Arial"/>
          <w:i/>
          <w:iCs/>
        </w:rPr>
        <w:t>Rumingo and Others van Wyk</w:t>
      </w:r>
      <w:r w:rsidR="00596EF1">
        <w:rPr>
          <w:rFonts w:ascii="Arial" w:hAnsi="Arial" w:cs="Arial"/>
        </w:rPr>
        <w:t>1997 NR</w:t>
      </w:r>
    </w:p>
    <w:p w:rsidR="00596EF1" w:rsidRDefault="00C636A1" w:rsidP="004A7BFD">
      <w:pPr>
        <w:pStyle w:val="FootnoteText"/>
        <w:tabs>
          <w:tab w:val="left" w:pos="360"/>
        </w:tabs>
        <w:ind w:left="360" w:hanging="360"/>
        <w:jc w:val="both"/>
        <w:rPr>
          <w:rFonts w:ascii="Arial" w:hAnsi="Arial" w:cs="Arial"/>
          <w:i/>
          <w:iCs/>
        </w:rPr>
      </w:pPr>
      <w:r w:rsidRPr="00D619C1">
        <w:rPr>
          <w:rFonts w:ascii="Arial" w:hAnsi="Arial" w:cs="Arial"/>
        </w:rPr>
        <w:t>102 at 105D – E;</w:t>
      </w:r>
      <w:r w:rsidRPr="00D619C1">
        <w:rPr>
          <w:rFonts w:ascii="Arial" w:hAnsi="Arial" w:cs="Arial"/>
          <w:i/>
          <w:iCs/>
        </w:rPr>
        <w:t xml:space="preserve">Visagie v Namibia Development Corporation </w:t>
      </w:r>
      <w:r w:rsidRPr="00D619C1">
        <w:rPr>
          <w:rFonts w:ascii="Arial" w:hAnsi="Arial" w:cs="Arial"/>
        </w:rPr>
        <w:t>1999 NR 219 at 224.</w:t>
      </w:r>
      <w:r w:rsidRPr="00D619C1">
        <w:rPr>
          <w:rFonts w:ascii="Arial" w:hAnsi="Arial" w:cs="Arial"/>
          <w:i/>
          <w:iCs/>
        </w:rPr>
        <w:t xml:space="preserve">Betha and Others </w:t>
      </w:r>
    </w:p>
    <w:p w:rsidR="00596EF1" w:rsidRDefault="00C636A1" w:rsidP="004A7BFD">
      <w:pPr>
        <w:pStyle w:val="FootnoteText"/>
        <w:tabs>
          <w:tab w:val="left" w:pos="360"/>
        </w:tabs>
        <w:ind w:left="360" w:hanging="360"/>
        <w:jc w:val="both"/>
        <w:rPr>
          <w:rFonts w:ascii="Arial" w:hAnsi="Arial" w:cs="Arial"/>
          <w:i/>
        </w:rPr>
      </w:pPr>
      <w:r w:rsidRPr="00D619C1">
        <w:rPr>
          <w:rFonts w:ascii="Arial" w:hAnsi="Arial" w:cs="Arial"/>
          <w:i/>
          <w:iCs/>
        </w:rPr>
        <w:t>v BTR Sarmcol, A Division of BTR Dunlop Ltd</w:t>
      </w:r>
      <w:r w:rsidRPr="00D619C1">
        <w:rPr>
          <w:rFonts w:ascii="Arial" w:hAnsi="Arial" w:cs="Arial"/>
        </w:rPr>
        <w:t xml:space="preserve">1998 (3) SA 349 (SCA); </w:t>
      </w:r>
      <w:r w:rsidRPr="00D619C1">
        <w:rPr>
          <w:rFonts w:ascii="Arial" w:hAnsi="Arial" w:cs="Arial"/>
          <w:i/>
        </w:rPr>
        <w:t xml:space="preserve">House and Home v Majiedt and </w:t>
      </w:r>
    </w:p>
    <w:p w:rsidR="00C636A1" w:rsidRPr="003F5D0A" w:rsidRDefault="00C636A1" w:rsidP="004A7BFD">
      <w:pPr>
        <w:pStyle w:val="FootnoteText"/>
        <w:tabs>
          <w:tab w:val="left" w:pos="360"/>
        </w:tabs>
        <w:ind w:left="360" w:hanging="360"/>
        <w:jc w:val="both"/>
        <w:rPr>
          <w:rFonts w:ascii="Arial" w:hAnsi="Arial" w:cs="Arial"/>
        </w:rPr>
      </w:pPr>
      <w:r w:rsidRPr="00D619C1">
        <w:rPr>
          <w:rFonts w:ascii="Arial" w:hAnsi="Arial" w:cs="Arial"/>
          <w:i/>
        </w:rPr>
        <w:t xml:space="preserve">Others </w:t>
      </w:r>
      <w:r w:rsidRPr="00D619C1">
        <w:rPr>
          <w:rFonts w:ascii="Arial" w:hAnsi="Arial" w:cs="Arial"/>
        </w:rPr>
        <w:t>(LCA 46/2011) [2012] NALC 31 (22 August 2012) at para [7].</w:t>
      </w:r>
    </w:p>
  </w:footnote>
  <w:footnote w:id="12">
    <w:p w:rsidR="00C636A1" w:rsidRPr="00BF5751" w:rsidRDefault="00C636A1" w:rsidP="00BF5751">
      <w:pPr>
        <w:spacing w:after="0" w:line="360" w:lineRule="auto"/>
        <w:jc w:val="both"/>
        <w:rPr>
          <w:rFonts w:ascii="Arial" w:hAnsi="Arial" w:cs="Arial"/>
          <w:sz w:val="20"/>
          <w:szCs w:val="20"/>
        </w:rPr>
      </w:pPr>
      <w:r>
        <w:rPr>
          <w:rStyle w:val="FootnoteReference"/>
        </w:rPr>
        <w:footnoteRef/>
      </w:r>
      <w:r w:rsidR="00596EF1">
        <w:rPr>
          <w:rFonts w:ascii="Arial" w:hAnsi="Arial" w:cs="Arial"/>
          <w:sz w:val="20"/>
          <w:szCs w:val="20"/>
        </w:rPr>
        <w:t>W</w:t>
      </w:r>
      <w:r w:rsidRPr="00BF5751">
        <w:rPr>
          <w:rFonts w:ascii="Arial" w:hAnsi="Arial" w:cs="Arial"/>
          <w:sz w:val="20"/>
          <w:szCs w:val="20"/>
        </w:rPr>
        <w:t xml:space="preserve">hich states in summary as follows: </w:t>
      </w:r>
    </w:p>
    <w:p w:rsidR="00C636A1" w:rsidRPr="00BF5751" w:rsidRDefault="00C636A1" w:rsidP="00BF5751">
      <w:pPr>
        <w:spacing w:after="0" w:line="360" w:lineRule="auto"/>
        <w:ind w:left="720"/>
        <w:jc w:val="both"/>
        <w:rPr>
          <w:rFonts w:ascii="Arial" w:hAnsi="Arial" w:cs="Arial"/>
          <w:sz w:val="20"/>
          <w:szCs w:val="20"/>
        </w:rPr>
      </w:pPr>
      <w:r w:rsidRPr="00BF5751">
        <w:rPr>
          <w:rFonts w:ascii="Arial" w:hAnsi="Arial" w:cs="Arial"/>
          <w:sz w:val="20"/>
          <w:szCs w:val="20"/>
        </w:rPr>
        <w:t xml:space="preserve">‘Par 2.2 –Benchmarking of the respondent’s disciplinary policy against the evidence that was presented; </w:t>
      </w:r>
    </w:p>
    <w:p w:rsidR="00C636A1" w:rsidRPr="00BF5751" w:rsidRDefault="00C636A1" w:rsidP="00BF5751">
      <w:pPr>
        <w:spacing w:after="0" w:line="360" w:lineRule="auto"/>
        <w:ind w:left="720"/>
        <w:jc w:val="both"/>
        <w:rPr>
          <w:rFonts w:ascii="Arial" w:hAnsi="Arial" w:cs="Arial"/>
          <w:sz w:val="20"/>
          <w:szCs w:val="20"/>
        </w:rPr>
      </w:pPr>
      <w:r w:rsidRPr="00BF5751">
        <w:rPr>
          <w:rFonts w:ascii="Arial" w:hAnsi="Arial" w:cs="Arial"/>
          <w:sz w:val="20"/>
          <w:szCs w:val="20"/>
        </w:rPr>
        <w:t>Par 2.11- The arbitrator choosing to be bound by admissions of law made by the appellants who are lay persons instead of making a determination as to whether the appellants were dismissed for a fair and valid reason following fair procedure as contemplated in section 33 of the Labour Act.</w:t>
      </w:r>
    </w:p>
    <w:p w:rsidR="00C636A1" w:rsidRPr="00596EF1" w:rsidRDefault="00C636A1" w:rsidP="00596EF1">
      <w:pPr>
        <w:spacing w:after="0" w:line="360" w:lineRule="auto"/>
        <w:ind w:left="720"/>
        <w:jc w:val="both"/>
        <w:rPr>
          <w:rFonts w:ascii="Arial" w:hAnsi="Arial" w:cs="Arial"/>
          <w:sz w:val="20"/>
          <w:szCs w:val="20"/>
        </w:rPr>
      </w:pPr>
      <w:r w:rsidRPr="00BF5751">
        <w:rPr>
          <w:rFonts w:ascii="Arial" w:hAnsi="Arial" w:cs="Arial"/>
          <w:sz w:val="20"/>
          <w:szCs w:val="20"/>
        </w:rPr>
        <w:t xml:space="preserve">Par 2.12- That the arbitrator could not in the circumstances and acting reasonably come to her conclusion.’ </w:t>
      </w:r>
    </w:p>
  </w:footnote>
  <w:footnote w:id="13">
    <w:p w:rsidR="00C636A1" w:rsidRDefault="00C636A1" w:rsidP="00E543CA">
      <w:pPr>
        <w:pStyle w:val="FootnoteText"/>
      </w:pPr>
      <w:r>
        <w:rPr>
          <w:rStyle w:val="FootnoteReference"/>
        </w:rPr>
        <w:footnoteRef/>
      </w:r>
      <w:r w:rsidRPr="00140F03">
        <w:rPr>
          <w:rFonts w:ascii="Arial" w:hAnsi="Arial" w:cs="Arial"/>
        </w:rPr>
        <w:t>Page 548 of the Court Bundle, at par 7 of the Arbitration Award</w:t>
      </w:r>
      <w:r>
        <w:rPr>
          <w:rFonts w:ascii="Arial" w:hAnsi="Arial" w:cs="Arial"/>
        </w:rPr>
        <w:t>.</w:t>
      </w:r>
    </w:p>
  </w:footnote>
  <w:footnote w:id="14">
    <w:p w:rsidR="00C636A1" w:rsidRDefault="00C636A1" w:rsidP="00F802AC">
      <w:pPr>
        <w:pStyle w:val="FootnoteText"/>
        <w:tabs>
          <w:tab w:val="left" w:pos="360"/>
        </w:tabs>
      </w:pPr>
      <w:r w:rsidRPr="00834CDC">
        <w:rPr>
          <w:rStyle w:val="FootnoteReference"/>
          <w:rFonts w:ascii="Arial" w:hAnsi="Arial" w:cs="Arial"/>
        </w:rPr>
        <w:footnoteRef/>
      </w:r>
      <w:r w:rsidRPr="00834CDC">
        <w:rPr>
          <w:rFonts w:ascii="Arial" w:hAnsi="Arial" w:cs="Arial"/>
        </w:rPr>
        <w:t>1991 (4) SA 403 (C)</w:t>
      </w:r>
      <w:r>
        <w:rPr>
          <w:rFonts w:ascii="Arial" w:hAnsi="Arial" w:cs="Arial"/>
        </w:rPr>
        <w:t>.</w:t>
      </w:r>
    </w:p>
  </w:footnote>
  <w:footnote w:id="15">
    <w:p w:rsidR="00C636A1" w:rsidRDefault="00C636A1">
      <w:pPr>
        <w:pStyle w:val="FootnoteText"/>
      </w:pPr>
      <w:r>
        <w:rPr>
          <w:rStyle w:val="FootnoteReference"/>
        </w:rPr>
        <w:footnoteRef/>
      </w:r>
      <w:r w:rsidRPr="00F802AC">
        <w:rPr>
          <w:rFonts w:ascii="Arial" w:hAnsi="Arial" w:cs="Arial"/>
        </w:rPr>
        <w:t>(LCA 13/2013) [2014] NALCMD 18 (30 April 2014)</w:t>
      </w:r>
      <w:r w:rsidR="00596EF1">
        <w:rPr>
          <w:rFonts w:ascii="Arial" w:hAnsi="Arial" w:cs="Arial"/>
        </w:rPr>
        <w:t>.</w:t>
      </w:r>
    </w:p>
  </w:footnote>
  <w:footnote w:id="16">
    <w:p w:rsidR="00C636A1" w:rsidRDefault="00C636A1">
      <w:pPr>
        <w:pStyle w:val="FootnoteText"/>
      </w:pPr>
      <w:r>
        <w:rPr>
          <w:rStyle w:val="FootnoteReference"/>
        </w:rPr>
        <w:footnoteRef/>
      </w:r>
      <w:r w:rsidRPr="00F802AC">
        <w:rPr>
          <w:rFonts w:ascii="Arial" w:hAnsi="Arial" w:cs="Arial"/>
        </w:rPr>
        <w:t xml:space="preserve">1991 (4) </w:t>
      </w:r>
      <w:r w:rsidR="009E574B" w:rsidRPr="00F802AC">
        <w:rPr>
          <w:rFonts w:ascii="Arial" w:hAnsi="Arial" w:cs="Arial"/>
        </w:rPr>
        <w:t>SA on</w:t>
      </w:r>
      <w:r w:rsidRPr="00F802AC">
        <w:rPr>
          <w:rFonts w:ascii="Arial" w:hAnsi="Arial" w:cs="Arial"/>
        </w:rPr>
        <w:t xml:space="preserve"> page 411</w:t>
      </w:r>
      <w:r w:rsidR="00596EF1">
        <w:rPr>
          <w:rFonts w:ascii="Arial" w:hAnsi="Arial" w:cs="Arial"/>
        </w:rPr>
        <w:t>.</w:t>
      </w:r>
    </w:p>
  </w:footnote>
  <w:footnote w:id="17">
    <w:p w:rsidR="00C636A1" w:rsidRPr="00596EF1" w:rsidRDefault="00C636A1">
      <w:pPr>
        <w:pStyle w:val="FootnoteText"/>
        <w:rPr>
          <w:rFonts w:ascii="Arial" w:hAnsi="Arial" w:cs="Arial"/>
        </w:rPr>
      </w:pPr>
      <w:r w:rsidRPr="00596EF1">
        <w:rPr>
          <w:rStyle w:val="FootnoteReference"/>
          <w:rFonts w:ascii="Arial" w:hAnsi="Arial" w:cs="Arial"/>
        </w:rPr>
        <w:footnoteRef/>
      </w:r>
      <w:r w:rsidRPr="00596EF1">
        <w:rPr>
          <w:rFonts w:ascii="Arial" w:hAnsi="Arial" w:cs="Arial"/>
        </w:rPr>
        <w:t xml:space="preserve"> Page 547 of Court Bundle, par 1 on said page.</w:t>
      </w:r>
    </w:p>
  </w:footnote>
  <w:footnote w:id="18">
    <w:p w:rsidR="00C636A1" w:rsidRPr="008F5581" w:rsidRDefault="00C636A1" w:rsidP="00C763F0">
      <w:pPr>
        <w:ind w:left="450" w:hanging="450"/>
        <w:jc w:val="both"/>
        <w:rPr>
          <w:rFonts w:ascii="Arial" w:hAnsi="Arial"/>
          <w:sz w:val="20"/>
          <w:szCs w:val="20"/>
        </w:rPr>
      </w:pPr>
      <w:r w:rsidRPr="008F5581">
        <w:rPr>
          <w:rStyle w:val="FootnoteReference"/>
          <w:rFonts w:ascii="Arial" w:hAnsi="Arial" w:cs="Arial"/>
          <w:sz w:val="20"/>
          <w:szCs w:val="20"/>
        </w:rPr>
        <w:footnoteRef/>
      </w:r>
      <w:r w:rsidRPr="008F5581">
        <w:rPr>
          <w:rFonts w:ascii="Arial" w:hAnsi="Arial" w:cs="Arial"/>
          <w:sz w:val="20"/>
          <w:szCs w:val="20"/>
        </w:rPr>
        <w:tab/>
        <w:t xml:space="preserve">1984 (4) SA 437 (C) at 440 E-G.  Also see the unreported judgment of </w:t>
      </w:r>
      <w:r w:rsidRPr="008F5581">
        <w:rPr>
          <w:rFonts w:ascii="Arial" w:hAnsi="Arial" w:cs="Arial"/>
          <w:i/>
          <w:sz w:val="20"/>
          <w:szCs w:val="20"/>
        </w:rPr>
        <w:t xml:space="preserve">The Motor Vehicle Accident </w:t>
      </w:r>
      <w:r w:rsidRPr="008F5581">
        <w:rPr>
          <w:rFonts w:ascii="Arial"/>
          <w:i/>
          <w:sz w:val="20"/>
          <w:szCs w:val="20"/>
        </w:rPr>
        <w:t xml:space="preserve">Fund Of Namibia v </w:t>
      </w:r>
      <w:r w:rsidRPr="008F5581">
        <w:rPr>
          <w:rFonts w:ascii="Arial" w:hAnsi="Arial" w:cs="Arial"/>
          <w:i/>
          <w:sz w:val="20"/>
          <w:szCs w:val="20"/>
        </w:rPr>
        <w:t xml:space="preserve">Lukatezi Lennox </w:t>
      </w:r>
      <w:r w:rsidR="009E574B" w:rsidRPr="008F5581">
        <w:rPr>
          <w:rFonts w:ascii="Arial" w:hAnsi="Arial" w:cs="Arial"/>
          <w:i/>
          <w:sz w:val="20"/>
          <w:szCs w:val="20"/>
        </w:rPr>
        <w:t>Kulobone</w:t>
      </w:r>
      <w:r w:rsidR="009E574B">
        <w:rPr>
          <w:rFonts w:ascii="Arial" w:hAnsi="Arial" w:cs="Arial"/>
          <w:i/>
          <w:sz w:val="20"/>
          <w:szCs w:val="20"/>
        </w:rPr>
        <w:t xml:space="preserve"> </w:t>
      </w:r>
      <w:r w:rsidR="009E574B">
        <w:rPr>
          <w:rFonts w:ascii="Arial" w:hAnsi="Arial" w:cs="Arial"/>
        </w:rPr>
        <w:t>Case</w:t>
      </w:r>
      <w:r>
        <w:rPr>
          <w:rFonts w:ascii="Arial" w:hAnsi="Arial" w:cs="Arial"/>
        </w:rPr>
        <w:t xml:space="preserve"> </w:t>
      </w:r>
      <w:r w:rsidRPr="008F5581">
        <w:rPr>
          <w:rFonts w:ascii="Arial" w:hAnsi="Arial" w:cs="Arial"/>
          <w:sz w:val="20"/>
          <w:szCs w:val="20"/>
        </w:rPr>
        <w:t>No. SA 13/2008</w:t>
      </w:r>
      <w:r>
        <w:rPr>
          <w:rFonts w:ascii="Arial" w:hAnsi="Arial" w:cs="Arial"/>
          <w:sz w:val="20"/>
          <w:szCs w:val="20"/>
        </w:rPr>
        <w:t xml:space="preserve"> delivered on 05 February 2009.</w:t>
      </w:r>
    </w:p>
    <w:p w:rsidR="00C636A1" w:rsidRDefault="00C636A1" w:rsidP="00C763F0">
      <w:pPr>
        <w:pStyle w:val="FootnoteText"/>
        <w:tabs>
          <w:tab w:val="left" w:pos="360"/>
        </w:tabs>
      </w:pPr>
    </w:p>
  </w:footnote>
  <w:footnote w:id="19">
    <w:p w:rsidR="00C636A1" w:rsidRPr="00596EF1" w:rsidRDefault="00C636A1">
      <w:pPr>
        <w:pStyle w:val="FootnoteText"/>
        <w:rPr>
          <w:rFonts w:ascii="Arial" w:hAnsi="Arial" w:cs="Arial"/>
        </w:rPr>
      </w:pPr>
      <w:r w:rsidRPr="00596EF1">
        <w:rPr>
          <w:rStyle w:val="FootnoteReference"/>
          <w:rFonts w:ascii="Arial" w:hAnsi="Arial" w:cs="Arial"/>
        </w:rPr>
        <w:footnoteRef/>
      </w:r>
      <w:r w:rsidRPr="00596EF1">
        <w:rPr>
          <w:rFonts w:ascii="Arial" w:hAnsi="Arial" w:cs="Arial"/>
        </w:rPr>
        <w:t xml:space="preserve">  LCA 3/2012 [2012] NLC 26 (05 July 2012)</w:t>
      </w:r>
      <w:r w:rsidR="00596EF1">
        <w:rPr>
          <w:rFonts w:ascii="Arial" w:hAnsi="Arial" w:cs="Arial"/>
        </w:rPr>
        <w:t>.</w:t>
      </w:r>
    </w:p>
  </w:footnote>
  <w:footnote w:id="20">
    <w:p w:rsidR="00C636A1" w:rsidRDefault="00C636A1">
      <w:pPr>
        <w:pStyle w:val="FootnoteText"/>
      </w:pPr>
      <w:r w:rsidRPr="00596EF1">
        <w:rPr>
          <w:rStyle w:val="FootnoteReference"/>
          <w:rFonts w:ascii="Arial" w:hAnsi="Arial" w:cs="Arial"/>
        </w:rPr>
        <w:footnoteRef/>
      </w:r>
      <w:r w:rsidR="009D0328">
        <w:rPr>
          <w:rFonts w:ascii="Arial" w:hAnsi="Arial" w:cs="Arial"/>
        </w:rPr>
        <w:t>2009</w:t>
      </w:r>
      <w:r w:rsidRPr="00596EF1">
        <w:rPr>
          <w:rFonts w:ascii="Arial" w:hAnsi="Arial" w:cs="Arial"/>
        </w:rPr>
        <w:t xml:space="preserve"> 11 BLLR 1128 (LC) [at para 10]</w:t>
      </w:r>
      <w:r w:rsidR="00596EF1">
        <w:rPr>
          <w:rFonts w:ascii="Arial" w:hAnsi="Arial" w:cs="Arial"/>
        </w:rPr>
        <w:t>.</w:t>
      </w:r>
    </w:p>
  </w:footnote>
  <w:footnote w:id="21">
    <w:p w:rsidR="009E574B" w:rsidRPr="009D0328" w:rsidRDefault="009E574B">
      <w:pPr>
        <w:pStyle w:val="FootnoteText"/>
        <w:rPr>
          <w:rFonts w:ascii="Arial" w:hAnsi="Arial" w:cs="Arial"/>
        </w:rPr>
      </w:pPr>
      <w:r w:rsidRPr="009D0328">
        <w:rPr>
          <w:rStyle w:val="FootnoteReference"/>
          <w:rFonts w:ascii="Arial" w:hAnsi="Arial" w:cs="Arial"/>
        </w:rPr>
        <w:footnoteRef/>
      </w:r>
      <w:r w:rsidRPr="009D0328">
        <w:rPr>
          <w:rFonts w:ascii="Arial" w:hAnsi="Arial" w:cs="Arial"/>
        </w:rPr>
        <w:t xml:space="preserve"> (LCA27/2012) [2014] NALCMD 4 (5 February 2014)</w:t>
      </w:r>
    </w:p>
  </w:footnote>
  <w:footnote w:id="22">
    <w:p w:rsidR="009E574B" w:rsidRPr="009D0328" w:rsidRDefault="009E574B">
      <w:pPr>
        <w:pStyle w:val="FootnoteText"/>
        <w:rPr>
          <w:rFonts w:ascii="Arial" w:hAnsi="Arial" w:cs="Arial"/>
        </w:rPr>
      </w:pPr>
      <w:r w:rsidRPr="009D0328">
        <w:rPr>
          <w:rStyle w:val="FootnoteReference"/>
          <w:rFonts w:ascii="Arial" w:hAnsi="Arial" w:cs="Arial"/>
        </w:rPr>
        <w:footnoteRef/>
      </w:r>
      <w:r w:rsidRPr="009D0328">
        <w:rPr>
          <w:rFonts w:ascii="Arial" w:hAnsi="Arial" w:cs="Arial"/>
        </w:rPr>
        <w:t xml:space="preserve"> At Par [17] of the judgment</w:t>
      </w:r>
      <w:r>
        <w:rPr>
          <w:rFonts w:ascii="Arial" w:hAnsi="Arial" w:cs="Arial"/>
        </w:rPr>
        <w:t>.</w:t>
      </w:r>
    </w:p>
  </w:footnote>
  <w:footnote w:id="23">
    <w:p w:rsidR="00C636A1" w:rsidRPr="009D0328" w:rsidRDefault="00C636A1">
      <w:pPr>
        <w:pStyle w:val="FootnoteText"/>
        <w:rPr>
          <w:rFonts w:ascii="Arial" w:hAnsi="Arial" w:cs="Arial"/>
        </w:rPr>
      </w:pPr>
      <w:r w:rsidRPr="009D0328">
        <w:rPr>
          <w:rStyle w:val="FootnoteReference"/>
          <w:rFonts w:ascii="Arial" w:hAnsi="Arial" w:cs="Arial"/>
        </w:rPr>
        <w:footnoteRef/>
      </w:r>
      <w:r w:rsidRPr="009D0328">
        <w:rPr>
          <w:rFonts w:ascii="Arial" w:hAnsi="Arial" w:cs="Arial"/>
        </w:rPr>
        <w:t xml:space="preserve"> Page 536 of the Court Bundle.</w:t>
      </w:r>
    </w:p>
  </w:footnote>
  <w:footnote w:id="24">
    <w:p w:rsidR="00C636A1" w:rsidRPr="009D0328" w:rsidRDefault="00C636A1">
      <w:pPr>
        <w:pStyle w:val="FootnoteText"/>
        <w:rPr>
          <w:rFonts w:ascii="Arial" w:hAnsi="Arial" w:cs="Arial"/>
        </w:rPr>
      </w:pPr>
      <w:r w:rsidRPr="009D0328">
        <w:rPr>
          <w:rStyle w:val="FootnoteReference"/>
          <w:rFonts w:ascii="Arial" w:hAnsi="Arial" w:cs="Arial"/>
        </w:rPr>
        <w:footnoteRef/>
      </w:r>
      <w:r w:rsidRPr="009D0328">
        <w:rPr>
          <w:rFonts w:ascii="Arial" w:eastAsia="Times New Roman" w:hAnsi="Arial" w:cs="Arial"/>
          <w:i/>
          <w:lang w:eastAsia="en-ZA"/>
        </w:rPr>
        <w:t>Pep Stores (Namibia) (Pty) Ltd v Iyambo and Others</w:t>
      </w:r>
      <w:r w:rsidRPr="009D0328">
        <w:rPr>
          <w:rFonts w:ascii="Arial" w:eastAsia="Times New Roman" w:hAnsi="Arial" w:cs="Arial"/>
          <w:lang w:eastAsia="en-ZA"/>
        </w:rPr>
        <w:t xml:space="preserve"> 2001 NR 211 (LC)</w:t>
      </w:r>
      <w:r w:rsidR="009D0328">
        <w:rPr>
          <w:rFonts w:ascii="Arial" w:eastAsia="Times New Roman" w:hAnsi="Arial" w:cs="Arial"/>
          <w:lang w:eastAsia="en-ZA"/>
        </w:rPr>
        <w:t>.</w:t>
      </w:r>
    </w:p>
  </w:footnote>
  <w:footnote w:id="25">
    <w:p w:rsidR="00C636A1" w:rsidRPr="009D0328" w:rsidRDefault="00C636A1">
      <w:pPr>
        <w:pStyle w:val="FootnoteText"/>
        <w:rPr>
          <w:rFonts w:ascii="Arial" w:hAnsi="Arial" w:cs="Arial"/>
        </w:rPr>
      </w:pPr>
      <w:r w:rsidRPr="009D0328">
        <w:rPr>
          <w:rStyle w:val="FootnoteReference"/>
          <w:rFonts w:ascii="Arial" w:hAnsi="Arial" w:cs="Arial"/>
        </w:rPr>
        <w:footnoteRef/>
      </w:r>
      <w:r w:rsidRPr="009D0328">
        <w:rPr>
          <w:rFonts w:ascii="Arial" w:eastAsia="Times New Roman" w:hAnsi="Arial" w:cs="Arial"/>
          <w:lang w:eastAsia="en-ZA"/>
        </w:rPr>
        <w:t>(</w:t>
      </w:r>
      <w:r w:rsidRPr="009D0328">
        <w:rPr>
          <w:rFonts w:ascii="Arial" w:eastAsia="Times New Roman" w:hAnsi="Arial" w:cs="Arial"/>
          <w:i/>
          <w:lang w:eastAsia="en-ZA"/>
        </w:rPr>
        <w:t>Ferodo (Pty) Ltd v De Ruiter</w:t>
      </w:r>
      <w:r w:rsidRPr="009D0328">
        <w:rPr>
          <w:rFonts w:ascii="Arial" w:eastAsia="Times New Roman" w:hAnsi="Arial" w:cs="Arial"/>
          <w:lang w:eastAsia="en-ZA"/>
        </w:rPr>
        <w:t xml:space="preserve"> (1993) 14 ILJ 974 (LAC); </w:t>
      </w:r>
      <w:r w:rsidRPr="009D0328">
        <w:rPr>
          <w:rFonts w:ascii="Arial" w:eastAsia="Times New Roman" w:hAnsi="Arial" w:cs="Arial"/>
          <w:i/>
          <w:lang w:eastAsia="en-ZA"/>
        </w:rPr>
        <w:t>Camdons Realty (Pty) and Another v Hart</w:t>
      </w:r>
      <w:r w:rsidRPr="009D0328">
        <w:rPr>
          <w:rFonts w:ascii="Arial" w:eastAsia="Times New Roman" w:hAnsi="Arial" w:cs="Arial"/>
          <w:lang w:eastAsia="en-ZA"/>
        </w:rPr>
        <w:t xml:space="preserve"> (1993) 14 ILJ 1008 (LAC)</w:t>
      </w:r>
      <w:r w:rsidR="009D0328">
        <w:rPr>
          <w:rFonts w:ascii="Arial" w:eastAsia="Times New Roman" w:hAnsi="Arial" w:cs="Arial"/>
          <w:lang w:eastAsia="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C636A1" w:rsidRDefault="00E52ABD">
        <w:pPr>
          <w:pStyle w:val="Header"/>
          <w:jc w:val="right"/>
        </w:pPr>
        <w:r>
          <w:fldChar w:fldCharType="begin"/>
        </w:r>
        <w:r w:rsidR="002B3B08">
          <w:instrText xml:space="preserve"> PAGE   \* MERGEFORMAT </w:instrText>
        </w:r>
        <w:r>
          <w:fldChar w:fldCharType="separate"/>
        </w:r>
        <w:r w:rsidR="00137C52">
          <w:rPr>
            <w:noProof/>
          </w:rPr>
          <w:t>2</w:t>
        </w:r>
        <w:r>
          <w:rPr>
            <w:noProof/>
          </w:rPr>
          <w:fldChar w:fldCharType="end"/>
        </w:r>
      </w:p>
    </w:sdtContent>
  </w:sdt>
  <w:p w:rsidR="00C636A1" w:rsidRDefault="00C63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2333"/>
    <w:multiLevelType w:val="hybridMultilevel"/>
    <w:tmpl w:val="654C8C96"/>
    <w:lvl w:ilvl="0" w:tplc="61162666">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
    <w:nsid w:val="0C513277"/>
    <w:multiLevelType w:val="hybridMultilevel"/>
    <w:tmpl w:val="1A326CAC"/>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A30592"/>
    <w:multiLevelType w:val="hybridMultilevel"/>
    <w:tmpl w:val="38628508"/>
    <w:lvl w:ilvl="0" w:tplc="B61279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DC3DC4"/>
    <w:multiLevelType w:val="hybridMultilevel"/>
    <w:tmpl w:val="1B9C75DC"/>
    <w:lvl w:ilvl="0" w:tplc="221AB58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C45F0"/>
    <w:multiLevelType w:val="hybridMultilevel"/>
    <w:tmpl w:val="A30C8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E030C1"/>
    <w:multiLevelType w:val="hybridMultilevel"/>
    <w:tmpl w:val="34EE1B82"/>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17B352F7"/>
    <w:multiLevelType w:val="hybridMultilevel"/>
    <w:tmpl w:val="34EE1B82"/>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B8E66D1"/>
    <w:multiLevelType w:val="hybridMultilevel"/>
    <w:tmpl w:val="BEE6E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385B23"/>
    <w:multiLevelType w:val="hybridMultilevel"/>
    <w:tmpl w:val="37D8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437F08"/>
    <w:multiLevelType w:val="hybridMultilevel"/>
    <w:tmpl w:val="6CEC09F8"/>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004495B"/>
    <w:multiLevelType w:val="hybridMultilevel"/>
    <w:tmpl w:val="6CEC09F8"/>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90405B4"/>
    <w:multiLevelType w:val="hybridMultilevel"/>
    <w:tmpl w:val="CC5A21CC"/>
    <w:lvl w:ilvl="0" w:tplc="E33C37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46428D"/>
    <w:multiLevelType w:val="hybridMultilevel"/>
    <w:tmpl w:val="61AA42C0"/>
    <w:lvl w:ilvl="0" w:tplc="89B0A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F66E6B"/>
    <w:multiLevelType w:val="hybridMultilevel"/>
    <w:tmpl w:val="6CEC09F8"/>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0"/>
  </w:num>
  <w:num w:numId="5">
    <w:abstractNumId w:val="4"/>
  </w:num>
  <w:num w:numId="6">
    <w:abstractNumId w:val="13"/>
  </w:num>
  <w:num w:numId="7">
    <w:abstractNumId w:val="3"/>
  </w:num>
  <w:num w:numId="8">
    <w:abstractNumId w:val="1"/>
  </w:num>
  <w:num w:numId="9">
    <w:abstractNumId w:val="10"/>
  </w:num>
  <w:num w:numId="10">
    <w:abstractNumId w:val="9"/>
  </w:num>
  <w:num w:numId="11">
    <w:abstractNumId w:val="11"/>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ED"/>
    <w:rsid w:val="0000388F"/>
    <w:rsid w:val="0000417F"/>
    <w:rsid w:val="00005164"/>
    <w:rsid w:val="00005775"/>
    <w:rsid w:val="00010803"/>
    <w:rsid w:val="00012C8F"/>
    <w:rsid w:val="000204E3"/>
    <w:rsid w:val="00024926"/>
    <w:rsid w:val="000338A9"/>
    <w:rsid w:val="00035849"/>
    <w:rsid w:val="00035F2C"/>
    <w:rsid w:val="00036189"/>
    <w:rsid w:val="000361D1"/>
    <w:rsid w:val="00043349"/>
    <w:rsid w:val="00045E59"/>
    <w:rsid w:val="000479FD"/>
    <w:rsid w:val="000513F9"/>
    <w:rsid w:val="000603A2"/>
    <w:rsid w:val="00063F16"/>
    <w:rsid w:val="00063F4B"/>
    <w:rsid w:val="0007011A"/>
    <w:rsid w:val="00071868"/>
    <w:rsid w:val="00073AE6"/>
    <w:rsid w:val="00073D68"/>
    <w:rsid w:val="00073FDC"/>
    <w:rsid w:val="00074051"/>
    <w:rsid w:val="0007516F"/>
    <w:rsid w:val="00081E5A"/>
    <w:rsid w:val="00090485"/>
    <w:rsid w:val="00096097"/>
    <w:rsid w:val="000A0B2D"/>
    <w:rsid w:val="000A323C"/>
    <w:rsid w:val="000A6A3B"/>
    <w:rsid w:val="000B00C3"/>
    <w:rsid w:val="000B2842"/>
    <w:rsid w:val="000C1930"/>
    <w:rsid w:val="000C6C55"/>
    <w:rsid w:val="000D16F7"/>
    <w:rsid w:val="000D67DD"/>
    <w:rsid w:val="000E5B5F"/>
    <w:rsid w:val="000F39D5"/>
    <w:rsid w:val="000F3E26"/>
    <w:rsid w:val="001071A9"/>
    <w:rsid w:val="00114DF8"/>
    <w:rsid w:val="00116845"/>
    <w:rsid w:val="001202E5"/>
    <w:rsid w:val="00127881"/>
    <w:rsid w:val="0013087C"/>
    <w:rsid w:val="00131C86"/>
    <w:rsid w:val="00134D70"/>
    <w:rsid w:val="00137C52"/>
    <w:rsid w:val="00140F03"/>
    <w:rsid w:val="00141AB6"/>
    <w:rsid w:val="0015481B"/>
    <w:rsid w:val="00164F67"/>
    <w:rsid w:val="0016521D"/>
    <w:rsid w:val="0016678D"/>
    <w:rsid w:val="0017130D"/>
    <w:rsid w:val="00177153"/>
    <w:rsid w:val="0018030D"/>
    <w:rsid w:val="00182405"/>
    <w:rsid w:val="001832C4"/>
    <w:rsid w:val="0019312B"/>
    <w:rsid w:val="001A3B4C"/>
    <w:rsid w:val="001A4EFE"/>
    <w:rsid w:val="001A752C"/>
    <w:rsid w:val="001B242E"/>
    <w:rsid w:val="001B38AB"/>
    <w:rsid w:val="001B4141"/>
    <w:rsid w:val="001B5B28"/>
    <w:rsid w:val="001C5BA9"/>
    <w:rsid w:val="001D4ACD"/>
    <w:rsid w:val="001D589E"/>
    <w:rsid w:val="001E46C4"/>
    <w:rsid w:val="001E4F0E"/>
    <w:rsid w:val="001E6383"/>
    <w:rsid w:val="001F14DF"/>
    <w:rsid w:val="00201519"/>
    <w:rsid w:val="00202ECD"/>
    <w:rsid w:val="00205E1D"/>
    <w:rsid w:val="00211A8D"/>
    <w:rsid w:val="002156EF"/>
    <w:rsid w:val="00215D7E"/>
    <w:rsid w:val="00220CFA"/>
    <w:rsid w:val="00234CB3"/>
    <w:rsid w:val="0023584A"/>
    <w:rsid w:val="0023672B"/>
    <w:rsid w:val="00240539"/>
    <w:rsid w:val="002427F6"/>
    <w:rsid w:val="002528A7"/>
    <w:rsid w:val="002567B7"/>
    <w:rsid w:val="00257F48"/>
    <w:rsid w:val="00267D23"/>
    <w:rsid w:val="002723B7"/>
    <w:rsid w:val="0027331F"/>
    <w:rsid w:val="00276832"/>
    <w:rsid w:val="00283235"/>
    <w:rsid w:val="002918CF"/>
    <w:rsid w:val="00297162"/>
    <w:rsid w:val="002A3ED9"/>
    <w:rsid w:val="002B0286"/>
    <w:rsid w:val="002B3B08"/>
    <w:rsid w:val="002B45A8"/>
    <w:rsid w:val="002B54AF"/>
    <w:rsid w:val="002B5E84"/>
    <w:rsid w:val="002D19D9"/>
    <w:rsid w:val="002D379C"/>
    <w:rsid w:val="002D39BB"/>
    <w:rsid w:val="002D6346"/>
    <w:rsid w:val="002E5369"/>
    <w:rsid w:val="002E764A"/>
    <w:rsid w:val="002E787A"/>
    <w:rsid w:val="002F36CB"/>
    <w:rsid w:val="00301F58"/>
    <w:rsid w:val="0030242C"/>
    <w:rsid w:val="00305855"/>
    <w:rsid w:val="003063CD"/>
    <w:rsid w:val="003068CF"/>
    <w:rsid w:val="00306A4E"/>
    <w:rsid w:val="00307EE7"/>
    <w:rsid w:val="00310332"/>
    <w:rsid w:val="00315706"/>
    <w:rsid w:val="003209CC"/>
    <w:rsid w:val="00320A4C"/>
    <w:rsid w:val="0032127B"/>
    <w:rsid w:val="003226C2"/>
    <w:rsid w:val="0033188E"/>
    <w:rsid w:val="003318D7"/>
    <w:rsid w:val="003330FF"/>
    <w:rsid w:val="003331EE"/>
    <w:rsid w:val="00343951"/>
    <w:rsid w:val="003440E9"/>
    <w:rsid w:val="00353BD9"/>
    <w:rsid w:val="00354C78"/>
    <w:rsid w:val="00355DCB"/>
    <w:rsid w:val="00357D0B"/>
    <w:rsid w:val="00366002"/>
    <w:rsid w:val="00366266"/>
    <w:rsid w:val="0037491F"/>
    <w:rsid w:val="003754E0"/>
    <w:rsid w:val="00375D8D"/>
    <w:rsid w:val="00376BA1"/>
    <w:rsid w:val="00377473"/>
    <w:rsid w:val="00380E1D"/>
    <w:rsid w:val="0038168B"/>
    <w:rsid w:val="00381FAE"/>
    <w:rsid w:val="00383AFF"/>
    <w:rsid w:val="003860EC"/>
    <w:rsid w:val="00390A1B"/>
    <w:rsid w:val="00394000"/>
    <w:rsid w:val="0039492D"/>
    <w:rsid w:val="00395FDE"/>
    <w:rsid w:val="003A0A4E"/>
    <w:rsid w:val="003A19DB"/>
    <w:rsid w:val="003A3695"/>
    <w:rsid w:val="003A5509"/>
    <w:rsid w:val="003A7F42"/>
    <w:rsid w:val="003B0F90"/>
    <w:rsid w:val="003B2149"/>
    <w:rsid w:val="003B2FED"/>
    <w:rsid w:val="003B5FFA"/>
    <w:rsid w:val="003C3775"/>
    <w:rsid w:val="003C5B59"/>
    <w:rsid w:val="003C6613"/>
    <w:rsid w:val="003D12D0"/>
    <w:rsid w:val="003D300D"/>
    <w:rsid w:val="003E33FF"/>
    <w:rsid w:val="003E7450"/>
    <w:rsid w:val="003F0341"/>
    <w:rsid w:val="003F0754"/>
    <w:rsid w:val="003F3EE4"/>
    <w:rsid w:val="003F4220"/>
    <w:rsid w:val="003F4480"/>
    <w:rsid w:val="003F4481"/>
    <w:rsid w:val="003F4E54"/>
    <w:rsid w:val="00403B1D"/>
    <w:rsid w:val="004072C0"/>
    <w:rsid w:val="004108E9"/>
    <w:rsid w:val="00411124"/>
    <w:rsid w:val="0041695C"/>
    <w:rsid w:val="0042098D"/>
    <w:rsid w:val="00423F55"/>
    <w:rsid w:val="004254FC"/>
    <w:rsid w:val="00431072"/>
    <w:rsid w:val="004347F0"/>
    <w:rsid w:val="00444988"/>
    <w:rsid w:val="00445BBB"/>
    <w:rsid w:val="00450FAC"/>
    <w:rsid w:val="004516A9"/>
    <w:rsid w:val="004574BC"/>
    <w:rsid w:val="00460704"/>
    <w:rsid w:val="00462091"/>
    <w:rsid w:val="00462663"/>
    <w:rsid w:val="00463456"/>
    <w:rsid w:val="004675FB"/>
    <w:rsid w:val="00485A8E"/>
    <w:rsid w:val="00493578"/>
    <w:rsid w:val="00494098"/>
    <w:rsid w:val="004A5437"/>
    <w:rsid w:val="004A76C2"/>
    <w:rsid w:val="004A7BFD"/>
    <w:rsid w:val="004B1284"/>
    <w:rsid w:val="004B1CD8"/>
    <w:rsid w:val="004C0792"/>
    <w:rsid w:val="004C07EB"/>
    <w:rsid w:val="004C28B3"/>
    <w:rsid w:val="004C5838"/>
    <w:rsid w:val="004D2F9C"/>
    <w:rsid w:val="004F5BBE"/>
    <w:rsid w:val="004F7BC8"/>
    <w:rsid w:val="00503F15"/>
    <w:rsid w:val="0050579A"/>
    <w:rsid w:val="00510549"/>
    <w:rsid w:val="005105C2"/>
    <w:rsid w:val="00510C09"/>
    <w:rsid w:val="0051659C"/>
    <w:rsid w:val="00516642"/>
    <w:rsid w:val="0052047B"/>
    <w:rsid w:val="005207DF"/>
    <w:rsid w:val="005230F8"/>
    <w:rsid w:val="0052604A"/>
    <w:rsid w:val="00530C03"/>
    <w:rsid w:val="00532FEA"/>
    <w:rsid w:val="00533745"/>
    <w:rsid w:val="0053559D"/>
    <w:rsid w:val="00542C23"/>
    <w:rsid w:val="00543157"/>
    <w:rsid w:val="00544525"/>
    <w:rsid w:val="00544D01"/>
    <w:rsid w:val="00547FD9"/>
    <w:rsid w:val="005507B4"/>
    <w:rsid w:val="005546D0"/>
    <w:rsid w:val="00562235"/>
    <w:rsid w:val="00564B19"/>
    <w:rsid w:val="00566990"/>
    <w:rsid w:val="00574D0C"/>
    <w:rsid w:val="00583013"/>
    <w:rsid w:val="0059205C"/>
    <w:rsid w:val="005944FE"/>
    <w:rsid w:val="00594E65"/>
    <w:rsid w:val="00596EF1"/>
    <w:rsid w:val="005A28A3"/>
    <w:rsid w:val="005B27EB"/>
    <w:rsid w:val="005B6F98"/>
    <w:rsid w:val="005C3689"/>
    <w:rsid w:val="005C5E6E"/>
    <w:rsid w:val="005C7B06"/>
    <w:rsid w:val="005D1F28"/>
    <w:rsid w:val="005D4552"/>
    <w:rsid w:val="005E21C4"/>
    <w:rsid w:val="005E3CEF"/>
    <w:rsid w:val="005E604E"/>
    <w:rsid w:val="005F57EF"/>
    <w:rsid w:val="005F6E4E"/>
    <w:rsid w:val="005F7505"/>
    <w:rsid w:val="00600051"/>
    <w:rsid w:val="006015A5"/>
    <w:rsid w:val="00607358"/>
    <w:rsid w:val="0060771E"/>
    <w:rsid w:val="0060788A"/>
    <w:rsid w:val="006116C0"/>
    <w:rsid w:val="006118F1"/>
    <w:rsid w:val="006166A9"/>
    <w:rsid w:val="006235D3"/>
    <w:rsid w:val="00625567"/>
    <w:rsid w:val="0062600E"/>
    <w:rsid w:val="00627438"/>
    <w:rsid w:val="0064145C"/>
    <w:rsid w:val="006423AD"/>
    <w:rsid w:val="006427D1"/>
    <w:rsid w:val="006448C9"/>
    <w:rsid w:val="00656D94"/>
    <w:rsid w:val="0066129E"/>
    <w:rsid w:val="00663613"/>
    <w:rsid w:val="00670051"/>
    <w:rsid w:val="0067129E"/>
    <w:rsid w:val="0067449D"/>
    <w:rsid w:val="00680B3A"/>
    <w:rsid w:val="00683867"/>
    <w:rsid w:val="00685963"/>
    <w:rsid w:val="006869C3"/>
    <w:rsid w:val="00690B42"/>
    <w:rsid w:val="00695731"/>
    <w:rsid w:val="00697DBC"/>
    <w:rsid w:val="006A0DDA"/>
    <w:rsid w:val="006A24F0"/>
    <w:rsid w:val="006A349C"/>
    <w:rsid w:val="006C36E6"/>
    <w:rsid w:val="006C3B27"/>
    <w:rsid w:val="006C642A"/>
    <w:rsid w:val="006D33DA"/>
    <w:rsid w:val="006D7FB0"/>
    <w:rsid w:val="006E7A15"/>
    <w:rsid w:val="006F0D5B"/>
    <w:rsid w:val="006F4DD6"/>
    <w:rsid w:val="006F5218"/>
    <w:rsid w:val="006F7430"/>
    <w:rsid w:val="007003B5"/>
    <w:rsid w:val="00704C74"/>
    <w:rsid w:val="0071014B"/>
    <w:rsid w:val="00714D63"/>
    <w:rsid w:val="007155C6"/>
    <w:rsid w:val="00720C79"/>
    <w:rsid w:val="00721A04"/>
    <w:rsid w:val="00722F74"/>
    <w:rsid w:val="0072303F"/>
    <w:rsid w:val="00725F29"/>
    <w:rsid w:val="00726A81"/>
    <w:rsid w:val="007316BA"/>
    <w:rsid w:val="00736203"/>
    <w:rsid w:val="00745B56"/>
    <w:rsid w:val="007473E4"/>
    <w:rsid w:val="0075761C"/>
    <w:rsid w:val="00757D47"/>
    <w:rsid w:val="0077032D"/>
    <w:rsid w:val="00774FBB"/>
    <w:rsid w:val="00775EE7"/>
    <w:rsid w:val="007768D5"/>
    <w:rsid w:val="00776915"/>
    <w:rsid w:val="00780006"/>
    <w:rsid w:val="00781EDD"/>
    <w:rsid w:val="00783C33"/>
    <w:rsid w:val="00783EE2"/>
    <w:rsid w:val="00784923"/>
    <w:rsid w:val="00797E29"/>
    <w:rsid w:val="007A458C"/>
    <w:rsid w:val="007B0474"/>
    <w:rsid w:val="007B1553"/>
    <w:rsid w:val="007B2377"/>
    <w:rsid w:val="007B37BC"/>
    <w:rsid w:val="007C0C10"/>
    <w:rsid w:val="007C6122"/>
    <w:rsid w:val="007D1A5D"/>
    <w:rsid w:val="007D2FED"/>
    <w:rsid w:val="007D67F0"/>
    <w:rsid w:val="007E0E12"/>
    <w:rsid w:val="007E3880"/>
    <w:rsid w:val="007F242C"/>
    <w:rsid w:val="007F2D4C"/>
    <w:rsid w:val="008034A6"/>
    <w:rsid w:val="00804B01"/>
    <w:rsid w:val="00804B0A"/>
    <w:rsid w:val="00811F24"/>
    <w:rsid w:val="00814C45"/>
    <w:rsid w:val="00815219"/>
    <w:rsid w:val="0082093D"/>
    <w:rsid w:val="008314F4"/>
    <w:rsid w:val="00833D69"/>
    <w:rsid w:val="00836ED4"/>
    <w:rsid w:val="00837009"/>
    <w:rsid w:val="00842C91"/>
    <w:rsid w:val="00843536"/>
    <w:rsid w:val="00845C61"/>
    <w:rsid w:val="00850393"/>
    <w:rsid w:val="008509FE"/>
    <w:rsid w:val="00854681"/>
    <w:rsid w:val="00855771"/>
    <w:rsid w:val="00873093"/>
    <w:rsid w:val="008800D0"/>
    <w:rsid w:val="00881ED4"/>
    <w:rsid w:val="00883CFE"/>
    <w:rsid w:val="0089012B"/>
    <w:rsid w:val="0089255D"/>
    <w:rsid w:val="00893DF2"/>
    <w:rsid w:val="008A19F8"/>
    <w:rsid w:val="008A2751"/>
    <w:rsid w:val="008C0299"/>
    <w:rsid w:val="008C0BBB"/>
    <w:rsid w:val="008C3085"/>
    <w:rsid w:val="008C4DE4"/>
    <w:rsid w:val="008C76EA"/>
    <w:rsid w:val="008D1D49"/>
    <w:rsid w:val="008D27BF"/>
    <w:rsid w:val="008D3A7C"/>
    <w:rsid w:val="008D7EEE"/>
    <w:rsid w:val="008E4A71"/>
    <w:rsid w:val="008E5378"/>
    <w:rsid w:val="008F0020"/>
    <w:rsid w:val="008F00F0"/>
    <w:rsid w:val="008F05AC"/>
    <w:rsid w:val="008F0736"/>
    <w:rsid w:val="008F456E"/>
    <w:rsid w:val="008F475A"/>
    <w:rsid w:val="008F4C64"/>
    <w:rsid w:val="008F5BC7"/>
    <w:rsid w:val="008F7BC6"/>
    <w:rsid w:val="008F7E54"/>
    <w:rsid w:val="009026A6"/>
    <w:rsid w:val="009053CA"/>
    <w:rsid w:val="00907BFF"/>
    <w:rsid w:val="00910090"/>
    <w:rsid w:val="00912BE2"/>
    <w:rsid w:val="00916BAF"/>
    <w:rsid w:val="00916CA6"/>
    <w:rsid w:val="00917E72"/>
    <w:rsid w:val="00921344"/>
    <w:rsid w:val="00922D97"/>
    <w:rsid w:val="00925EF4"/>
    <w:rsid w:val="009267B0"/>
    <w:rsid w:val="00926F59"/>
    <w:rsid w:val="0093225B"/>
    <w:rsid w:val="00932E50"/>
    <w:rsid w:val="00933B52"/>
    <w:rsid w:val="009410EB"/>
    <w:rsid w:val="00945DE4"/>
    <w:rsid w:val="00945E3F"/>
    <w:rsid w:val="00950BBB"/>
    <w:rsid w:val="009526C8"/>
    <w:rsid w:val="009546A5"/>
    <w:rsid w:val="0095651F"/>
    <w:rsid w:val="0096357D"/>
    <w:rsid w:val="00963AFC"/>
    <w:rsid w:val="00964126"/>
    <w:rsid w:val="0098193D"/>
    <w:rsid w:val="00981F42"/>
    <w:rsid w:val="009828CD"/>
    <w:rsid w:val="00982D82"/>
    <w:rsid w:val="00982E3A"/>
    <w:rsid w:val="0098358E"/>
    <w:rsid w:val="00984E9B"/>
    <w:rsid w:val="00986323"/>
    <w:rsid w:val="00991912"/>
    <w:rsid w:val="00994AC4"/>
    <w:rsid w:val="00994D0D"/>
    <w:rsid w:val="00995076"/>
    <w:rsid w:val="00997348"/>
    <w:rsid w:val="009A1ACC"/>
    <w:rsid w:val="009A374E"/>
    <w:rsid w:val="009A4C0C"/>
    <w:rsid w:val="009A5E68"/>
    <w:rsid w:val="009A6FA1"/>
    <w:rsid w:val="009B5901"/>
    <w:rsid w:val="009C1B18"/>
    <w:rsid w:val="009C491D"/>
    <w:rsid w:val="009C7411"/>
    <w:rsid w:val="009C761A"/>
    <w:rsid w:val="009D0328"/>
    <w:rsid w:val="009D06FF"/>
    <w:rsid w:val="009D1008"/>
    <w:rsid w:val="009D210A"/>
    <w:rsid w:val="009D2151"/>
    <w:rsid w:val="009D5EED"/>
    <w:rsid w:val="009D60C4"/>
    <w:rsid w:val="009D7A50"/>
    <w:rsid w:val="009E0B25"/>
    <w:rsid w:val="009E574B"/>
    <w:rsid w:val="009E58CF"/>
    <w:rsid w:val="009E5B62"/>
    <w:rsid w:val="009E650B"/>
    <w:rsid w:val="009E672D"/>
    <w:rsid w:val="009F2817"/>
    <w:rsid w:val="009F2BBE"/>
    <w:rsid w:val="009F45FD"/>
    <w:rsid w:val="009F7290"/>
    <w:rsid w:val="00A01580"/>
    <w:rsid w:val="00A03195"/>
    <w:rsid w:val="00A031AF"/>
    <w:rsid w:val="00A052D9"/>
    <w:rsid w:val="00A07AF6"/>
    <w:rsid w:val="00A13E9D"/>
    <w:rsid w:val="00A143A9"/>
    <w:rsid w:val="00A14902"/>
    <w:rsid w:val="00A17E10"/>
    <w:rsid w:val="00A21440"/>
    <w:rsid w:val="00A357E7"/>
    <w:rsid w:val="00A43158"/>
    <w:rsid w:val="00A441DC"/>
    <w:rsid w:val="00A459E1"/>
    <w:rsid w:val="00A535F1"/>
    <w:rsid w:val="00A5497C"/>
    <w:rsid w:val="00A56D10"/>
    <w:rsid w:val="00A66BFD"/>
    <w:rsid w:val="00A67B6D"/>
    <w:rsid w:val="00A76BB0"/>
    <w:rsid w:val="00A81E1D"/>
    <w:rsid w:val="00A917DF"/>
    <w:rsid w:val="00A97777"/>
    <w:rsid w:val="00AA0A0B"/>
    <w:rsid w:val="00AA0FF1"/>
    <w:rsid w:val="00AA67AE"/>
    <w:rsid w:val="00AB15A1"/>
    <w:rsid w:val="00AB15C3"/>
    <w:rsid w:val="00AB1791"/>
    <w:rsid w:val="00AB1AF4"/>
    <w:rsid w:val="00AC07F3"/>
    <w:rsid w:val="00AC13DE"/>
    <w:rsid w:val="00AC310F"/>
    <w:rsid w:val="00AC3672"/>
    <w:rsid w:val="00AC3FFF"/>
    <w:rsid w:val="00AC47C9"/>
    <w:rsid w:val="00AC751D"/>
    <w:rsid w:val="00AD0D8E"/>
    <w:rsid w:val="00AD237A"/>
    <w:rsid w:val="00AE1C1E"/>
    <w:rsid w:val="00AF0A2D"/>
    <w:rsid w:val="00AF0CEF"/>
    <w:rsid w:val="00AF4441"/>
    <w:rsid w:val="00AF66C3"/>
    <w:rsid w:val="00AF7B6D"/>
    <w:rsid w:val="00B02ACD"/>
    <w:rsid w:val="00B04ED9"/>
    <w:rsid w:val="00B04FCE"/>
    <w:rsid w:val="00B13A03"/>
    <w:rsid w:val="00B14B3A"/>
    <w:rsid w:val="00B1704D"/>
    <w:rsid w:val="00B33F8C"/>
    <w:rsid w:val="00B374D4"/>
    <w:rsid w:val="00B40B62"/>
    <w:rsid w:val="00B41809"/>
    <w:rsid w:val="00B42409"/>
    <w:rsid w:val="00B442FF"/>
    <w:rsid w:val="00B47E67"/>
    <w:rsid w:val="00B5198C"/>
    <w:rsid w:val="00B60E58"/>
    <w:rsid w:val="00B61B01"/>
    <w:rsid w:val="00B645C0"/>
    <w:rsid w:val="00B66A29"/>
    <w:rsid w:val="00B66AA5"/>
    <w:rsid w:val="00B66B76"/>
    <w:rsid w:val="00B72919"/>
    <w:rsid w:val="00B73DCF"/>
    <w:rsid w:val="00B81B5C"/>
    <w:rsid w:val="00B86B85"/>
    <w:rsid w:val="00BA0C05"/>
    <w:rsid w:val="00BA3ED4"/>
    <w:rsid w:val="00BA6103"/>
    <w:rsid w:val="00BA66C8"/>
    <w:rsid w:val="00BA6CFD"/>
    <w:rsid w:val="00BB0EF8"/>
    <w:rsid w:val="00BB2B2D"/>
    <w:rsid w:val="00BB5D8A"/>
    <w:rsid w:val="00BC2C0A"/>
    <w:rsid w:val="00BC5817"/>
    <w:rsid w:val="00BC581A"/>
    <w:rsid w:val="00BC61CC"/>
    <w:rsid w:val="00BC6230"/>
    <w:rsid w:val="00BD0E29"/>
    <w:rsid w:val="00BD2773"/>
    <w:rsid w:val="00BD4915"/>
    <w:rsid w:val="00BF0165"/>
    <w:rsid w:val="00BF1945"/>
    <w:rsid w:val="00BF2AE9"/>
    <w:rsid w:val="00BF49A1"/>
    <w:rsid w:val="00BF510C"/>
    <w:rsid w:val="00BF5751"/>
    <w:rsid w:val="00BF77D6"/>
    <w:rsid w:val="00C010A7"/>
    <w:rsid w:val="00C02D4E"/>
    <w:rsid w:val="00C0550F"/>
    <w:rsid w:val="00C07299"/>
    <w:rsid w:val="00C11E22"/>
    <w:rsid w:val="00C13F91"/>
    <w:rsid w:val="00C142E5"/>
    <w:rsid w:val="00C177A4"/>
    <w:rsid w:val="00C22EC2"/>
    <w:rsid w:val="00C32639"/>
    <w:rsid w:val="00C37AF4"/>
    <w:rsid w:val="00C427E1"/>
    <w:rsid w:val="00C42997"/>
    <w:rsid w:val="00C46A40"/>
    <w:rsid w:val="00C52FF2"/>
    <w:rsid w:val="00C54DB6"/>
    <w:rsid w:val="00C554E0"/>
    <w:rsid w:val="00C55E8B"/>
    <w:rsid w:val="00C56B93"/>
    <w:rsid w:val="00C636A1"/>
    <w:rsid w:val="00C6404D"/>
    <w:rsid w:val="00C64935"/>
    <w:rsid w:val="00C6497E"/>
    <w:rsid w:val="00C649D4"/>
    <w:rsid w:val="00C65771"/>
    <w:rsid w:val="00C66B8D"/>
    <w:rsid w:val="00C67E62"/>
    <w:rsid w:val="00C72A48"/>
    <w:rsid w:val="00C763F0"/>
    <w:rsid w:val="00C826B0"/>
    <w:rsid w:val="00C82B3F"/>
    <w:rsid w:val="00C82BD6"/>
    <w:rsid w:val="00C82FC4"/>
    <w:rsid w:val="00C837CC"/>
    <w:rsid w:val="00CA1A50"/>
    <w:rsid w:val="00CA2D50"/>
    <w:rsid w:val="00CA6372"/>
    <w:rsid w:val="00CA6D15"/>
    <w:rsid w:val="00CA7E08"/>
    <w:rsid w:val="00CD12E2"/>
    <w:rsid w:val="00CD1F81"/>
    <w:rsid w:val="00CD5D1A"/>
    <w:rsid w:val="00CE4C66"/>
    <w:rsid w:val="00CE7E77"/>
    <w:rsid w:val="00CF4259"/>
    <w:rsid w:val="00CF4866"/>
    <w:rsid w:val="00CF4C7F"/>
    <w:rsid w:val="00CF62F9"/>
    <w:rsid w:val="00CF634D"/>
    <w:rsid w:val="00CF71E6"/>
    <w:rsid w:val="00CF78A8"/>
    <w:rsid w:val="00D0476D"/>
    <w:rsid w:val="00D109EE"/>
    <w:rsid w:val="00D146C5"/>
    <w:rsid w:val="00D154A5"/>
    <w:rsid w:val="00D21591"/>
    <w:rsid w:val="00D22770"/>
    <w:rsid w:val="00D301DF"/>
    <w:rsid w:val="00D306A0"/>
    <w:rsid w:val="00D327AA"/>
    <w:rsid w:val="00D4137E"/>
    <w:rsid w:val="00D4786F"/>
    <w:rsid w:val="00D53875"/>
    <w:rsid w:val="00D546F4"/>
    <w:rsid w:val="00D56E3F"/>
    <w:rsid w:val="00D62846"/>
    <w:rsid w:val="00D639D3"/>
    <w:rsid w:val="00D67C3F"/>
    <w:rsid w:val="00D73C29"/>
    <w:rsid w:val="00D76FD7"/>
    <w:rsid w:val="00D840B2"/>
    <w:rsid w:val="00D868AE"/>
    <w:rsid w:val="00D942A0"/>
    <w:rsid w:val="00D94478"/>
    <w:rsid w:val="00D97CB1"/>
    <w:rsid w:val="00DA1D34"/>
    <w:rsid w:val="00DB1B98"/>
    <w:rsid w:val="00DB4159"/>
    <w:rsid w:val="00DD3A96"/>
    <w:rsid w:val="00DD6425"/>
    <w:rsid w:val="00DE6EE7"/>
    <w:rsid w:val="00DF69C6"/>
    <w:rsid w:val="00DF70E9"/>
    <w:rsid w:val="00E0222C"/>
    <w:rsid w:val="00E042F7"/>
    <w:rsid w:val="00E07174"/>
    <w:rsid w:val="00E0791E"/>
    <w:rsid w:val="00E1052E"/>
    <w:rsid w:val="00E1280B"/>
    <w:rsid w:val="00E13660"/>
    <w:rsid w:val="00E20296"/>
    <w:rsid w:val="00E2063A"/>
    <w:rsid w:val="00E20D5E"/>
    <w:rsid w:val="00E21065"/>
    <w:rsid w:val="00E3121B"/>
    <w:rsid w:val="00E31D8C"/>
    <w:rsid w:val="00E31E15"/>
    <w:rsid w:val="00E32F80"/>
    <w:rsid w:val="00E34645"/>
    <w:rsid w:val="00E36C4D"/>
    <w:rsid w:val="00E52ABD"/>
    <w:rsid w:val="00E543CA"/>
    <w:rsid w:val="00E56C4A"/>
    <w:rsid w:val="00E56E19"/>
    <w:rsid w:val="00E57325"/>
    <w:rsid w:val="00E663A1"/>
    <w:rsid w:val="00E73770"/>
    <w:rsid w:val="00E7680D"/>
    <w:rsid w:val="00E80A96"/>
    <w:rsid w:val="00E8295B"/>
    <w:rsid w:val="00E847FE"/>
    <w:rsid w:val="00E85A1E"/>
    <w:rsid w:val="00E9058F"/>
    <w:rsid w:val="00E97122"/>
    <w:rsid w:val="00E97378"/>
    <w:rsid w:val="00EA0DED"/>
    <w:rsid w:val="00EA2323"/>
    <w:rsid w:val="00EB1022"/>
    <w:rsid w:val="00EB3AC4"/>
    <w:rsid w:val="00EB6563"/>
    <w:rsid w:val="00EB66DA"/>
    <w:rsid w:val="00EC6528"/>
    <w:rsid w:val="00EC7821"/>
    <w:rsid w:val="00ED3D73"/>
    <w:rsid w:val="00ED4423"/>
    <w:rsid w:val="00EE6951"/>
    <w:rsid w:val="00EF3370"/>
    <w:rsid w:val="00EF67BF"/>
    <w:rsid w:val="00EF7788"/>
    <w:rsid w:val="00F027A3"/>
    <w:rsid w:val="00F0735B"/>
    <w:rsid w:val="00F107BE"/>
    <w:rsid w:val="00F11519"/>
    <w:rsid w:val="00F130D1"/>
    <w:rsid w:val="00F23E7C"/>
    <w:rsid w:val="00F27F08"/>
    <w:rsid w:val="00F308B0"/>
    <w:rsid w:val="00F30921"/>
    <w:rsid w:val="00F309AE"/>
    <w:rsid w:val="00F311F0"/>
    <w:rsid w:val="00F35913"/>
    <w:rsid w:val="00F36EA1"/>
    <w:rsid w:val="00F37BE3"/>
    <w:rsid w:val="00F42050"/>
    <w:rsid w:val="00F43173"/>
    <w:rsid w:val="00F43D69"/>
    <w:rsid w:val="00F44C2B"/>
    <w:rsid w:val="00F4514E"/>
    <w:rsid w:val="00F47A88"/>
    <w:rsid w:val="00F51DFE"/>
    <w:rsid w:val="00F548DF"/>
    <w:rsid w:val="00F55DEB"/>
    <w:rsid w:val="00F64672"/>
    <w:rsid w:val="00F72B05"/>
    <w:rsid w:val="00F80180"/>
    <w:rsid w:val="00F802AC"/>
    <w:rsid w:val="00F8161D"/>
    <w:rsid w:val="00F845A7"/>
    <w:rsid w:val="00F862BB"/>
    <w:rsid w:val="00F8647C"/>
    <w:rsid w:val="00F86AD4"/>
    <w:rsid w:val="00F86C1E"/>
    <w:rsid w:val="00F872C0"/>
    <w:rsid w:val="00F94431"/>
    <w:rsid w:val="00F96843"/>
    <w:rsid w:val="00FA0616"/>
    <w:rsid w:val="00FA4E45"/>
    <w:rsid w:val="00FA625F"/>
    <w:rsid w:val="00FA6781"/>
    <w:rsid w:val="00FB0AAA"/>
    <w:rsid w:val="00FB1FA6"/>
    <w:rsid w:val="00FC160D"/>
    <w:rsid w:val="00FC5395"/>
    <w:rsid w:val="00FD423B"/>
    <w:rsid w:val="00FD456F"/>
    <w:rsid w:val="00FD5C2E"/>
    <w:rsid w:val="00FD6BC1"/>
    <w:rsid w:val="00FE19B7"/>
    <w:rsid w:val="00FE48A7"/>
    <w:rsid w:val="00FE730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106862B-3475-4A9A-8E6A-FDA29732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ED"/>
    <w:pPr>
      <w:spacing w:after="200" w:line="276" w:lineRule="auto"/>
    </w:pPr>
  </w:style>
  <w:style w:type="paragraph" w:styleId="Heading4">
    <w:name w:val="heading 4"/>
    <w:basedOn w:val="Normal"/>
    <w:next w:val="Normal"/>
    <w:link w:val="Heading4Char"/>
    <w:qFormat/>
    <w:rsid w:val="00EA0DED"/>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0DED"/>
    <w:rPr>
      <w:rFonts w:ascii="Arial" w:eastAsia="Times New Roman" w:hAnsi="Arial" w:cs="Times New Roman"/>
      <w:sz w:val="28"/>
      <w:szCs w:val="24"/>
      <w:lang w:val="en-GB"/>
    </w:rPr>
  </w:style>
  <w:style w:type="paragraph" w:styleId="BodyText">
    <w:name w:val="Body Text"/>
    <w:basedOn w:val="Normal"/>
    <w:link w:val="BodyTextChar"/>
    <w:rsid w:val="00EA0DE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A0DE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A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ED"/>
  </w:style>
  <w:style w:type="paragraph" w:styleId="BalloonText">
    <w:name w:val="Balloon Text"/>
    <w:basedOn w:val="Normal"/>
    <w:link w:val="BalloonTextChar"/>
    <w:uiPriority w:val="99"/>
    <w:semiHidden/>
    <w:unhideWhenUsed/>
    <w:rsid w:val="0018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05"/>
    <w:rPr>
      <w:rFonts w:ascii="Tahoma" w:hAnsi="Tahoma" w:cs="Tahoma"/>
      <w:sz w:val="16"/>
      <w:szCs w:val="16"/>
    </w:rPr>
  </w:style>
  <w:style w:type="paragraph" w:styleId="FootnoteText">
    <w:name w:val="footnote text"/>
    <w:basedOn w:val="Normal"/>
    <w:link w:val="FootnoteTextChar"/>
    <w:uiPriority w:val="99"/>
    <w:unhideWhenUsed/>
    <w:rsid w:val="00D63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9D3"/>
    <w:rPr>
      <w:sz w:val="20"/>
      <w:szCs w:val="20"/>
    </w:rPr>
  </w:style>
  <w:style w:type="character" w:styleId="FootnoteReference">
    <w:name w:val="footnote reference"/>
    <w:basedOn w:val="DefaultParagraphFont"/>
    <w:uiPriority w:val="99"/>
    <w:unhideWhenUsed/>
    <w:rsid w:val="00D639D3"/>
    <w:rPr>
      <w:vertAlign w:val="superscript"/>
    </w:rPr>
  </w:style>
  <w:style w:type="paragraph" w:styleId="ListParagraph">
    <w:name w:val="List Paragraph"/>
    <w:basedOn w:val="Normal"/>
    <w:uiPriority w:val="34"/>
    <w:qFormat/>
    <w:rsid w:val="00704C74"/>
    <w:pPr>
      <w:ind w:left="720"/>
      <w:contextualSpacing/>
    </w:pPr>
  </w:style>
  <w:style w:type="character" w:styleId="Hyperlink">
    <w:name w:val="Hyperlink"/>
    <w:basedOn w:val="DefaultParagraphFont"/>
    <w:uiPriority w:val="99"/>
    <w:semiHidden/>
    <w:unhideWhenUsed/>
    <w:rsid w:val="00B5198C"/>
    <w:rPr>
      <w:b/>
      <w:bCs/>
      <w:i w:val="0"/>
      <w:iCs w:val="0"/>
      <w:color w:val="0B4B0B"/>
      <w:u w:val="single"/>
    </w:rPr>
  </w:style>
  <w:style w:type="paragraph" w:styleId="EndnoteText">
    <w:name w:val="endnote text"/>
    <w:basedOn w:val="Normal"/>
    <w:link w:val="EndnoteTextChar"/>
    <w:uiPriority w:val="99"/>
    <w:semiHidden/>
    <w:unhideWhenUsed/>
    <w:rsid w:val="005F7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505"/>
    <w:rPr>
      <w:sz w:val="20"/>
      <w:szCs w:val="20"/>
    </w:rPr>
  </w:style>
  <w:style w:type="character" w:styleId="EndnoteReference">
    <w:name w:val="endnote reference"/>
    <w:basedOn w:val="DefaultParagraphFont"/>
    <w:uiPriority w:val="99"/>
    <w:semiHidden/>
    <w:unhideWhenUsed/>
    <w:rsid w:val="005F7505"/>
    <w:rPr>
      <w:vertAlign w:val="superscript"/>
    </w:rPr>
  </w:style>
  <w:style w:type="paragraph" w:customStyle="1" w:styleId="Default">
    <w:name w:val="Default"/>
    <w:rsid w:val="003E745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56E3F"/>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40301">
      <w:bodyDiv w:val="1"/>
      <w:marLeft w:val="0"/>
      <w:marRight w:val="0"/>
      <w:marTop w:val="0"/>
      <w:marBottom w:val="0"/>
      <w:divBdr>
        <w:top w:val="none" w:sz="0" w:space="0" w:color="auto"/>
        <w:left w:val="none" w:sz="0" w:space="0" w:color="auto"/>
        <w:bottom w:val="none" w:sz="0" w:space="0" w:color="auto"/>
        <w:right w:val="none" w:sz="0" w:space="0" w:color="auto"/>
      </w:divBdr>
      <w:divsChild>
        <w:div w:id="814104794">
          <w:marLeft w:val="0"/>
          <w:marRight w:val="0"/>
          <w:marTop w:val="0"/>
          <w:marBottom w:val="0"/>
          <w:divBdr>
            <w:top w:val="none" w:sz="0" w:space="0" w:color="auto"/>
            <w:left w:val="none" w:sz="0" w:space="0" w:color="auto"/>
            <w:bottom w:val="none" w:sz="0" w:space="0" w:color="auto"/>
            <w:right w:val="none" w:sz="0" w:space="0" w:color="auto"/>
          </w:divBdr>
        </w:div>
        <w:div w:id="310718218">
          <w:marLeft w:val="0"/>
          <w:marRight w:val="0"/>
          <w:marTop w:val="0"/>
          <w:marBottom w:val="0"/>
          <w:divBdr>
            <w:top w:val="none" w:sz="0" w:space="0" w:color="auto"/>
            <w:left w:val="none" w:sz="0" w:space="0" w:color="auto"/>
            <w:bottom w:val="none" w:sz="0" w:space="0" w:color="auto"/>
            <w:right w:val="none" w:sz="0" w:space="0" w:color="auto"/>
          </w:divBdr>
        </w:div>
        <w:div w:id="631642218">
          <w:marLeft w:val="0"/>
          <w:marRight w:val="0"/>
          <w:marTop w:val="0"/>
          <w:marBottom w:val="0"/>
          <w:divBdr>
            <w:top w:val="none" w:sz="0" w:space="0" w:color="auto"/>
            <w:left w:val="none" w:sz="0" w:space="0" w:color="auto"/>
            <w:bottom w:val="none" w:sz="0" w:space="0" w:color="auto"/>
            <w:right w:val="none" w:sz="0" w:space="0" w:color="auto"/>
          </w:divBdr>
        </w:div>
        <w:div w:id="417866218">
          <w:marLeft w:val="0"/>
          <w:marRight w:val="0"/>
          <w:marTop w:val="0"/>
          <w:marBottom w:val="0"/>
          <w:divBdr>
            <w:top w:val="none" w:sz="0" w:space="0" w:color="auto"/>
            <w:left w:val="none" w:sz="0" w:space="0" w:color="auto"/>
            <w:bottom w:val="none" w:sz="0" w:space="0" w:color="auto"/>
            <w:right w:val="none" w:sz="0" w:space="0" w:color="auto"/>
          </w:divBdr>
        </w:div>
        <w:div w:id="246351258">
          <w:marLeft w:val="0"/>
          <w:marRight w:val="0"/>
          <w:marTop w:val="0"/>
          <w:marBottom w:val="0"/>
          <w:divBdr>
            <w:top w:val="none" w:sz="0" w:space="0" w:color="auto"/>
            <w:left w:val="none" w:sz="0" w:space="0" w:color="auto"/>
            <w:bottom w:val="none" w:sz="0" w:space="0" w:color="auto"/>
            <w:right w:val="none" w:sz="0" w:space="0" w:color="auto"/>
          </w:divBdr>
        </w:div>
        <w:div w:id="1548638402">
          <w:marLeft w:val="0"/>
          <w:marRight w:val="0"/>
          <w:marTop w:val="0"/>
          <w:marBottom w:val="0"/>
          <w:divBdr>
            <w:top w:val="none" w:sz="0" w:space="0" w:color="auto"/>
            <w:left w:val="none" w:sz="0" w:space="0" w:color="auto"/>
            <w:bottom w:val="none" w:sz="0" w:space="0" w:color="auto"/>
            <w:right w:val="none" w:sz="0" w:space="0" w:color="auto"/>
          </w:divBdr>
        </w:div>
        <w:div w:id="649360867">
          <w:marLeft w:val="0"/>
          <w:marRight w:val="0"/>
          <w:marTop w:val="0"/>
          <w:marBottom w:val="0"/>
          <w:divBdr>
            <w:top w:val="none" w:sz="0" w:space="0" w:color="auto"/>
            <w:left w:val="none" w:sz="0" w:space="0" w:color="auto"/>
            <w:bottom w:val="none" w:sz="0" w:space="0" w:color="auto"/>
            <w:right w:val="none" w:sz="0" w:space="0" w:color="auto"/>
          </w:divBdr>
        </w:div>
        <w:div w:id="843740711">
          <w:marLeft w:val="0"/>
          <w:marRight w:val="0"/>
          <w:marTop w:val="0"/>
          <w:marBottom w:val="0"/>
          <w:divBdr>
            <w:top w:val="none" w:sz="0" w:space="0" w:color="auto"/>
            <w:left w:val="none" w:sz="0" w:space="0" w:color="auto"/>
            <w:bottom w:val="none" w:sz="0" w:space="0" w:color="auto"/>
            <w:right w:val="none" w:sz="0" w:space="0" w:color="auto"/>
          </w:divBdr>
        </w:div>
        <w:div w:id="1462262170">
          <w:marLeft w:val="0"/>
          <w:marRight w:val="0"/>
          <w:marTop w:val="0"/>
          <w:marBottom w:val="0"/>
          <w:divBdr>
            <w:top w:val="none" w:sz="0" w:space="0" w:color="auto"/>
            <w:left w:val="none" w:sz="0" w:space="0" w:color="auto"/>
            <w:bottom w:val="none" w:sz="0" w:space="0" w:color="auto"/>
            <w:right w:val="none" w:sz="0" w:space="0" w:color="auto"/>
          </w:divBdr>
        </w:div>
        <w:div w:id="427427658">
          <w:marLeft w:val="0"/>
          <w:marRight w:val="0"/>
          <w:marTop w:val="0"/>
          <w:marBottom w:val="0"/>
          <w:divBdr>
            <w:top w:val="none" w:sz="0" w:space="0" w:color="auto"/>
            <w:left w:val="none" w:sz="0" w:space="0" w:color="auto"/>
            <w:bottom w:val="none" w:sz="0" w:space="0" w:color="auto"/>
            <w:right w:val="none" w:sz="0" w:space="0" w:color="auto"/>
          </w:divBdr>
        </w:div>
        <w:div w:id="583688031">
          <w:marLeft w:val="0"/>
          <w:marRight w:val="0"/>
          <w:marTop w:val="0"/>
          <w:marBottom w:val="0"/>
          <w:divBdr>
            <w:top w:val="none" w:sz="0" w:space="0" w:color="auto"/>
            <w:left w:val="none" w:sz="0" w:space="0" w:color="auto"/>
            <w:bottom w:val="none" w:sz="0" w:space="0" w:color="auto"/>
            <w:right w:val="none" w:sz="0" w:space="0" w:color="auto"/>
          </w:divBdr>
        </w:div>
        <w:div w:id="1784883278">
          <w:marLeft w:val="0"/>
          <w:marRight w:val="0"/>
          <w:marTop w:val="0"/>
          <w:marBottom w:val="0"/>
          <w:divBdr>
            <w:top w:val="none" w:sz="0" w:space="0" w:color="auto"/>
            <w:left w:val="none" w:sz="0" w:space="0" w:color="auto"/>
            <w:bottom w:val="none" w:sz="0" w:space="0" w:color="auto"/>
            <w:right w:val="none" w:sz="0" w:space="0" w:color="auto"/>
          </w:divBdr>
        </w:div>
        <w:div w:id="969941353">
          <w:marLeft w:val="0"/>
          <w:marRight w:val="0"/>
          <w:marTop w:val="0"/>
          <w:marBottom w:val="0"/>
          <w:divBdr>
            <w:top w:val="none" w:sz="0" w:space="0" w:color="auto"/>
            <w:left w:val="none" w:sz="0" w:space="0" w:color="auto"/>
            <w:bottom w:val="none" w:sz="0" w:space="0" w:color="auto"/>
            <w:right w:val="none" w:sz="0" w:space="0" w:color="auto"/>
          </w:divBdr>
        </w:div>
        <w:div w:id="1334453775">
          <w:marLeft w:val="0"/>
          <w:marRight w:val="0"/>
          <w:marTop w:val="0"/>
          <w:marBottom w:val="0"/>
          <w:divBdr>
            <w:top w:val="none" w:sz="0" w:space="0" w:color="auto"/>
            <w:left w:val="none" w:sz="0" w:space="0" w:color="auto"/>
            <w:bottom w:val="none" w:sz="0" w:space="0" w:color="auto"/>
            <w:right w:val="none" w:sz="0" w:space="0" w:color="auto"/>
          </w:divBdr>
        </w:div>
        <w:div w:id="512308378">
          <w:marLeft w:val="0"/>
          <w:marRight w:val="0"/>
          <w:marTop w:val="0"/>
          <w:marBottom w:val="0"/>
          <w:divBdr>
            <w:top w:val="none" w:sz="0" w:space="0" w:color="auto"/>
            <w:left w:val="none" w:sz="0" w:space="0" w:color="auto"/>
            <w:bottom w:val="none" w:sz="0" w:space="0" w:color="auto"/>
            <w:right w:val="none" w:sz="0" w:space="0" w:color="auto"/>
          </w:divBdr>
        </w:div>
        <w:div w:id="339360356">
          <w:marLeft w:val="0"/>
          <w:marRight w:val="0"/>
          <w:marTop w:val="0"/>
          <w:marBottom w:val="0"/>
          <w:divBdr>
            <w:top w:val="none" w:sz="0" w:space="0" w:color="auto"/>
            <w:left w:val="none" w:sz="0" w:space="0" w:color="auto"/>
            <w:bottom w:val="none" w:sz="0" w:space="0" w:color="auto"/>
            <w:right w:val="none" w:sz="0" w:space="0" w:color="auto"/>
          </w:divBdr>
        </w:div>
        <w:div w:id="789202225">
          <w:marLeft w:val="0"/>
          <w:marRight w:val="0"/>
          <w:marTop w:val="0"/>
          <w:marBottom w:val="0"/>
          <w:divBdr>
            <w:top w:val="none" w:sz="0" w:space="0" w:color="auto"/>
            <w:left w:val="none" w:sz="0" w:space="0" w:color="auto"/>
            <w:bottom w:val="none" w:sz="0" w:space="0" w:color="auto"/>
            <w:right w:val="none" w:sz="0" w:space="0" w:color="auto"/>
          </w:divBdr>
        </w:div>
        <w:div w:id="36256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2017-05-11T18:30:00+00:00</Judgment_x0020_Date>
    <Year xmlns="aec0a7e9-5f5c-4ba9-87b2-85cfc8a38b86">2017</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7E79C-D2A5-484D-8787-7E6C361C5F95}"/>
</file>

<file path=customXml/itemProps2.xml><?xml version="1.0" encoding="utf-8"?>
<ds:datastoreItem xmlns:ds="http://schemas.openxmlformats.org/officeDocument/2006/customXml" ds:itemID="{5E89883C-1D8C-41FB-9BA5-D259DFD39255}"/>
</file>

<file path=customXml/itemProps3.xml><?xml version="1.0" encoding="utf-8"?>
<ds:datastoreItem xmlns:ds="http://schemas.openxmlformats.org/officeDocument/2006/customXml" ds:itemID="{B4A9425D-4BCF-42DA-B6EF-537CDCA61A8F}"/>
</file>

<file path=customXml/itemProps4.xml><?xml version="1.0" encoding="utf-8"?>
<ds:datastoreItem xmlns:ds="http://schemas.openxmlformats.org/officeDocument/2006/customXml" ds:itemID="{A9DF892F-B254-446D-BCA9-80B9316E8B12}"/>
</file>

<file path=docProps/app.xml><?xml version="1.0" encoding="utf-8"?>
<Properties xmlns="http://schemas.openxmlformats.org/officeDocument/2006/extended-properties" xmlns:vt="http://schemas.openxmlformats.org/officeDocument/2006/docPropsVTypes">
  <Template>Normal</Template>
  <TotalTime>1</TotalTime>
  <Pages>18</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Ambunda</cp:lastModifiedBy>
  <cp:revision>2</cp:revision>
  <cp:lastPrinted>2017-06-01T06:29:00Z</cp:lastPrinted>
  <dcterms:created xsi:type="dcterms:W3CDTF">2017-06-09T13:37:00Z</dcterms:created>
  <dcterms:modified xsi:type="dcterms:W3CDTF">2017-06-09T13:37:00Z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