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D07164"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7022A" w:rsidRDefault="0007022A" w:rsidP="00C41B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07022A" w:rsidRDefault="0007022A" w:rsidP="00C41BE2">
                      <w:pPr>
                        <w:jc w:val="center"/>
                      </w:pPr>
                    </w:p>
                  </w:txbxContent>
                </v:textbox>
              </v:shape>
            </w:pict>
          </mc:Fallback>
        </mc:AlternateContent>
      </w:r>
      <w:r w:rsidR="001B7E1F" w:rsidRPr="006E026B">
        <w:rPr>
          <w:rFonts w:ascii="Arial" w:hAnsi="Arial" w:cs="Arial"/>
          <w:b/>
          <w:sz w:val="24"/>
          <w:szCs w:val="24"/>
        </w:rPr>
        <w:t>REPUBLIC OF NAMIBIA</w:t>
      </w:r>
    </w:p>
    <w:p w:rsidR="001B7E1F" w:rsidRPr="00D26B1A" w:rsidRDefault="00D07164" w:rsidP="001B7E1F">
      <w:pPr>
        <w:spacing w:after="0" w:line="360" w:lineRule="auto"/>
        <w:jc w:val="center"/>
        <w:rPr>
          <w:b/>
          <w:sz w:val="16"/>
          <w:szCs w:val="16"/>
        </w:rPr>
      </w:pPr>
      <w:r w:rsidRPr="00552306">
        <w:rPr>
          <w:b/>
          <w:noProof/>
          <w:sz w:val="32"/>
          <w:szCs w:val="32"/>
        </w:rPr>
        <w:drawing>
          <wp:inline distT="0" distB="0" distL="0" distR="0">
            <wp:extent cx="1162050" cy="1219200"/>
            <wp:effectExtent l="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219200"/>
                    </a:xfrm>
                    <a:prstGeom prst="rect">
                      <a:avLst/>
                    </a:prstGeom>
                    <a:noFill/>
                    <a:ln>
                      <a:noFill/>
                    </a:ln>
                  </pic:spPr>
                </pic:pic>
              </a:graphicData>
            </a:graphic>
          </wp:inline>
        </w:drawing>
      </w:r>
    </w:p>
    <w:p w:rsidR="001B7E1F" w:rsidRPr="00E833B3" w:rsidRDefault="001B7E1F" w:rsidP="001B7E1F">
      <w:pPr>
        <w:spacing w:after="0" w:line="360" w:lineRule="auto"/>
        <w:jc w:val="center"/>
        <w:rPr>
          <w:rFonts w:ascii="Arial" w:hAnsi="Arial" w:cs="Arial"/>
          <w:b/>
          <w:sz w:val="2"/>
          <w:szCs w:val="2"/>
        </w:rPr>
      </w:pPr>
    </w:p>
    <w:p w:rsidR="001B7E1F" w:rsidRPr="006E026B" w:rsidRDefault="00B363F7"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Pr="00EE2C8A" w:rsidRDefault="001B7E1F" w:rsidP="001B7E1F">
      <w:pPr>
        <w:spacing w:after="0" w:line="360" w:lineRule="auto"/>
        <w:jc w:val="center"/>
        <w:rPr>
          <w:rFonts w:ascii="Arial" w:hAnsi="Arial" w:cs="Arial"/>
          <w:b/>
          <w:sz w:val="20"/>
          <w:szCs w:val="20"/>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380248" w:rsidRPr="00EE2C8A" w:rsidRDefault="00380248" w:rsidP="00210695">
      <w:pPr>
        <w:tabs>
          <w:tab w:val="right" w:pos="9000"/>
        </w:tabs>
        <w:spacing w:after="0" w:line="360" w:lineRule="auto"/>
        <w:jc w:val="center"/>
        <w:rPr>
          <w:rFonts w:ascii="Arial" w:hAnsi="Arial" w:cs="Arial"/>
          <w:sz w:val="20"/>
          <w:szCs w:val="20"/>
        </w:rPr>
      </w:pPr>
    </w:p>
    <w:p w:rsidR="001B7E1F" w:rsidRDefault="001B7E1F" w:rsidP="00380248">
      <w:pPr>
        <w:tabs>
          <w:tab w:val="right" w:pos="9000"/>
        </w:tabs>
        <w:spacing w:after="0" w:line="360" w:lineRule="auto"/>
        <w:jc w:val="right"/>
        <w:rPr>
          <w:rFonts w:ascii="Arial" w:hAnsi="Arial" w:cs="Arial"/>
          <w:sz w:val="24"/>
          <w:szCs w:val="24"/>
        </w:rPr>
      </w:pPr>
      <w:r w:rsidRPr="006E026B">
        <w:rPr>
          <w:rFonts w:ascii="Arial" w:hAnsi="Arial" w:cs="Arial"/>
          <w:sz w:val="24"/>
          <w:szCs w:val="24"/>
        </w:rPr>
        <w:t>Case no</w:t>
      </w:r>
      <w:r>
        <w:rPr>
          <w:rFonts w:ascii="Arial" w:hAnsi="Arial" w:cs="Arial"/>
          <w:sz w:val="24"/>
          <w:szCs w:val="24"/>
        </w:rPr>
        <w:t xml:space="preserve">: </w:t>
      </w:r>
      <w:r w:rsidR="00DF0BEA">
        <w:rPr>
          <w:rFonts w:ascii="Arial" w:hAnsi="Arial" w:cs="Arial"/>
          <w:sz w:val="24"/>
          <w:szCs w:val="24"/>
        </w:rPr>
        <w:t>LC</w:t>
      </w:r>
      <w:r w:rsidR="000B07B3">
        <w:rPr>
          <w:rFonts w:ascii="Arial" w:hAnsi="Arial" w:cs="Arial"/>
          <w:sz w:val="24"/>
          <w:szCs w:val="24"/>
        </w:rPr>
        <w:t>A</w:t>
      </w:r>
      <w:r w:rsidR="00DF0BEA">
        <w:rPr>
          <w:rFonts w:ascii="Arial" w:hAnsi="Arial" w:cs="Arial"/>
          <w:sz w:val="24"/>
          <w:szCs w:val="24"/>
        </w:rPr>
        <w:t xml:space="preserve"> </w:t>
      </w:r>
      <w:r w:rsidR="00E24E19">
        <w:rPr>
          <w:rFonts w:ascii="Arial" w:hAnsi="Arial" w:cs="Arial"/>
          <w:sz w:val="24"/>
          <w:szCs w:val="24"/>
        </w:rPr>
        <w:t>32</w:t>
      </w:r>
      <w:r>
        <w:rPr>
          <w:rFonts w:ascii="Arial" w:hAnsi="Arial" w:cs="Arial"/>
          <w:sz w:val="24"/>
          <w:szCs w:val="24"/>
        </w:rPr>
        <w:t>/20</w:t>
      </w:r>
      <w:r w:rsidR="00406102">
        <w:rPr>
          <w:rFonts w:ascii="Arial" w:hAnsi="Arial" w:cs="Arial"/>
          <w:sz w:val="24"/>
          <w:szCs w:val="24"/>
        </w:rPr>
        <w:t>1</w:t>
      </w:r>
      <w:r w:rsidR="00710D32">
        <w:rPr>
          <w:rFonts w:ascii="Arial" w:hAnsi="Arial" w:cs="Arial"/>
          <w:sz w:val="24"/>
          <w:szCs w:val="24"/>
        </w:rPr>
        <w:t>6</w:t>
      </w:r>
    </w:p>
    <w:p w:rsidR="001B7E1F" w:rsidRDefault="001B7E1F" w:rsidP="00863B56">
      <w:pPr>
        <w:spacing w:after="0" w:line="360" w:lineRule="auto"/>
        <w:jc w:val="both"/>
        <w:rPr>
          <w:rFonts w:ascii="Arial" w:hAnsi="Arial" w:cs="Arial"/>
          <w:sz w:val="24"/>
          <w:szCs w:val="24"/>
        </w:rPr>
      </w:pPr>
    </w:p>
    <w:p w:rsidR="001B7E1F" w:rsidRPr="006E026B" w:rsidRDefault="001B7E1F" w:rsidP="00863B56">
      <w:pPr>
        <w:spacing w:after="0" w:line="360" w:lineRule="auto"/>
        <w:jc w:val="both"/>
        <w:rPr>
          <w:rFonts w:ascii="Arial" w:hAnsi="Arial" w:cs="Arial"/>
          <w:sz w:val="24"/>
          <w:szCs w:val="24"/>
        </w:rPr>
      </w:pPr>
      <w:r w:rsidRPr="006E026B">
        <w:rPr>
          <w:rFonts w:ascii="Arial" w:hAnsi="Arial" w:cs="Arial"/>
          <w:sz w:val="24"/>
          <w:szCs w:val="24"/>
        </w:rPr>
        <w:t>In the matter between:</w:t>
      </w:r>
    </w:p>
    <w:p w:rsidR="001B7E1F" w:rsidRPr="00B53862" w:rsidRDefault="001B7E1F" w:rsidP="00863B56">
      <w:pPr>
        <w:spacing w:after="0" w:line="360" w:lineRule="auto"/>
        <w:jc w:val="both"/>
        <w:rPr>
          <w:rFonts w:ascii="Arial" w:hAnsi="Arial" w:cs="Arial"/>
          <w:sz w:val="24"/>
          <w:szCs w:val="24"/>
        </w:rPr>
      </w:pPr>
    </w:p>
    <w:p w:rsidR="00B53862" w:rsidRDefault="00E24E19" w:rsidP="00B53862">
      <w:pPr>
        <w:tabs>
          <w:tab w:val="right" w:pos="9000"/>
        </w:tabs>
        <w:rPr>
          <w:rFonts w:ascii="Arial" w:hAnsi="Arial" w:cs="Arial"/>
          <w:b/>
          <w:sz w:val="24"/>
          <w:szCs w:val="24"/>
          <w:lang w:val="en-GB"/>
        </w:rPr>
      </w:pPr>
      <w:r>
        <w:rPr>
          <w:rFonts w:ascii="Arial" w:hAnsi="Arial" w:cs="Arial"/>
          <w:b/>
          <w:sz w:val="24"/>
          <w:szCs w:val="24"/>
          <w:lang w:val="en-GB"/>
        </w:rPr>
        <w:t>FIDES BANK NAMIBIA</w:t>
      </w:r>
      <w:r w:rsidR="00B53862" w:rsidRPr="00B53862">
        <w:rPr>
          <w:rFonts w:ascii="Arial" w:hAnsi="Arial" w:cs="Arial"/>
          <w:b/>
          <w:sz w:val="24"/>
          <w:szCs w:val="24"/>
          <w:lang w:val="en-GB"/>
        </w:rPr>
        <w:tab/>
      </w:r>
      <w:r>
        <w:rPr>
          <w:rFonts w:ascii="Arial" w:hAnsi="Arial" w:cs="Arial"/>
          <w:b/>
          <w:sz w:val="24"/>
          <w:szCs w:val="24"/>
          <w:lang w:val="en-GB"/>
        </w:rPr>
        <w:t xml:space="preserve">FIRST </w:t>
      </w:r>
      <w:r w:rsidR="00194C25">
        <w:rPr>
          <w:rFonts w:ascii="Arial" w:hAnsi="Arial" w:cs="Arial"/>
          <w:b/>
          <w:sz w:val="24"/>
          <w:szCs w:val="24"/>
          <w:lang w:val="en-GB"/>
        </w:rPr>
        <w:t>APPELLANT</w:t>
      </w:r>
    </w:p>
    <w:p w:rsidR="00E24E19" w:rsidRPr="00B53862" w:rsidRDefault="00E24E19" w:rsidP="00B53862">
      <w:pPr>
        <w:tabs>
          <w:tab w:val="right" w:pos="9000"/>
        </w:tabs>
        <w:rPr>
          <w:rFonts w:ascii="Arial" w:hAnsi="Arial" w:cs="Arial"/>
          <w:b/>
          <w:sz w:val="24"/>
          <w:szCs w:val="24"/>
          <w:lang w:val="en-GB"/>
        </w:rPr>
      </w:pPr>
      <w:r>
        <w:rPr>
          <w:rFonts w:ascii="Arial" w:hAnsi="Arial" w:cs="Arial"/>
          <w:b/>
          <w:sz w:val="24"/>
          <w:szCs w:val="24"/>
          <w:lang w:val="en-GB"/>
        </w:rPr>
        <w:t>TRUSTCO BANK NAMIBIA</w:t>
      </w:r>
      <w:r>
        <w:rPr>
          <w:rFonts w:ascii="Arial" w:hAnsi="Arial" w:cs="Arial"/>
          <w:b/>
          <w:sz w:val="24"/>
          <w:szCs w:val="24"/>
          <w:lang w:val="en-GB"/>
        </w:rPr>
        <w:tab/>
        <w:t>SECOND APPELLANT</w:t>
      </w:r>
    </w:p>
    <w:p w:rsidR="00FB3626" w:rsidRPr="00EE2C8A" w:rsidRDefault="00FB3626" w:rsidP="001B7E1F">
      <w:pPr>
        <w:spacing w:after="0" w:line="360" w:lineRule="auto"/>
        <w:jc w:val="both"/>
        <w:rPr>
          <w:rFonts w:ascii="Arial" w:hAnsi="Arial" w:cs="Arial"/>
        </w:rPr>
      </w:pPr>
    </w:p>
    <w:p w:rsidR="001B7E1F" w:rsidRPr="00B53862" w:rsidRDefault="00FB3626" w:rsidP="001B7E1F">
      <w:pPr>
        <w:spacing w:after="0" w:line="360" w:lineRule="auto"/>
        <w:jc w:val="both"/>
        <w:rPr>
          <w:rFonts w:ascii="Arial" w:hAnsi="Arial" w:cs="Arial"/>
          <w:sz w:val="24"/>
          <w:szCs w:val="24"/>
        </w:rPr>
      </w:pPr>
      <w:r w:rsidRPr="00B53862">
        <w:rPr>
          <w:rFonts w:ascii="Arial" w:hAnsi="Arial" w:cs="Arial"/>
          <w:sz w:val="24"/>
          <w:szCs w:val="24"/>
        </w:rPr>
        <w:t>a</w:t>
      </w:r>
      <w:r w:rsidR="001B7E1F" w:rsidRPr="00B53862">
        <w:rPr>
          <w:rFonts w:ascii="Arial" w:hAnsi="Arial" w:cs="Arial"/>
          <w:sz w:val="24"/>
          <w:szCs w:val="24"/>
        </w:rPr>
        <w:t>nd</w:t>
      </w:r>
    </w:p>
    <w:p w:rsidR="00FB3626" w:rsidRPr="00EE2C8A" w:rsidRDefault="00FB3626" w:rsidP="001B7E1F">
      <w:pPr>
        <w:spacing w:after="0" w:line="360" w:lineRule="auto"/>
        <w:jc w:val="both"/>
        <w:rPr>
          <w:rFonts w:ascii="Arial" w:hAnsi="Arial" w:cs="Arial"/>
        </w:rPr>
      </w:pPr>
    </w:p>
    <w:p w:rsidR="00D32E7E" w:rsidRPr="00B53862" w:rsidRDefault="00E24E19" w:rsidP="001B7E1F">
      <w:pPr>
        <w:tabs>
          <w:tab w:val="right" w:pos="9000"/>
        </w:tabs>
        <w:spacing w:after="0" w:line="360" w:lineRule="auto"/>
        <w:jc w:val="both"/>
        <w:rPr>
          <w:rFonts w:ascii="Arial" w:hAnsi="Arial" w:cs="Arial"/>
          <w:b/>
          <w:sz w:val="24"/>
          <w:szCs w:val="24"/>
        </w:rPr>
      </w:pPr>
      <w:r>
        <w:rPr>
          <w:rFonts w:ascii="Arial" w:hAnsi="Arial" w:cs="Arial"/>
          <w:b/>
          <w:sz w:val="24"/>
          <w:szCs w:val="24"/>
        </w:rPr>
        <w:t>SEM SHIPEFI &amp; 92 OTHERS</w:t>
      </w:r>
      <w:r w:rsidR="00D32E7E">
        <w:rPr>
          <w:rFonts w:ascii="Arial" w:hAnsi="Arial" w:cs="Arial"/>
          <w:b/>
          <w:sz w:val="24"/>
          <w:szCs w:val="24"/>
        </w:rPr>
        <w:tab/>
        <w:t>RESPONDENT</w:t>
      </w:r>
      <w:r>
        <w:rPr>
          <w:rFonts w:ascii="Arial" w:hAnsi="Arial" w:cs="Arial"/>
          <w:b/>
          <w:sz w:val="24"/>
          <w:szCs w:val="24"/>
        </w:rPr>
        <w:t>S</w:t>
      </w:r>
    </w:p>
    <w:p w:rsidR="00C24C6E" w:rsidRPr="00F933A7" w:rsidRDefault="00C24C6E" w:rsidP="001B7E1F">
      <w:pPr>
        <w:spacing w:after="0" w:line="360" w:lineRule="auto"/>
        <w:ind w:left="2160" w:hanging="2160"/>
        <w:jc w:val="both"/>
        <w:rPr>
          <w:rFonts w:ascii="Arial" w:hAnsi="Arial" w:cs="Arial"/>
          <w:sz w:val="24"/>
          <w:szCs w:val="24"/>
        </w:rPr>
      </w:pPr>
    </w:p>
    <w:p w:rsidR="001B7E1F" w:rsidRPr="005D6C92" w:rsidRDefault="001B7E1F"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sidR="008C3957">
        <w:rPr>
          <w:rFonts w:ascii="Arial" w:hAnsi="Arial" w:cs="Arial"/>
          <w:b/>
          <w:sz w:val="24"/>
          <w:szCs w:val="24"/>
        </w:rPr>
        <w:tab/>
      </w:r>
      <w:r w:rsidR="00E24E19">
        <w:rPr>
          <w:rFonts w:ascii="Arial" w:hAnsi="Arial" w:cs="Arial"/>
          <w:i/>
          <w:sz w:val="24"/>
          <w:szCs w:val="24"/>
        </w:rPr>
        <w:t>Fides Bank Namibia</w:t>
      </w:r>
      <w:r w:rsidR="00B53862">
        <w:rPr>
          <w:rFonts w:ascii="Arial" w:hAnsi="Arial" w:cs="Arial"/>
          <w:i/>
          <w:sz w:val="24"/>
          <w:szCs w:val="24"/>
        </w:rPr>
        <w:t xml:space="preserve"> v </w:t>
      </w:r>
      <w:r w:rsidR="00E24E19">
        <w:rPr>
          <w:rFonts w:ascii="Arial" w:hAnsi="Arial" w:cs="Arial"/>
          <w:i/>
          <w:sz w:val="24"/>
          <w:szCs w:val="24"/>
        </w:rPr>
        <w:t>Shipefi</w:t>
      </w:r>
      <w:r w:rsidR="00454598">
        <w:rPr>
          <w:rFonts w:ascii="Arial" w:hAnsi="Arial" w:cs="Arial"/>
          <w:i/>
          <w:sz w:val="24"/>
          <w:szCs w:val="24"/>
        </w:rPr>
        <w:t xml:space="preserve"> </w:t>
      </w:r>
      <w:r w:rsidRPr="005D6C92">
        <w:rPr>
          <w:rFonts w:ascii="Arial" w:hAnsi="Arial" w:cs="Arial"/>
          <w:sz w:val="24"/>
          <w:szCs w:val="24"/>
        </w:rPr>
        <w:t>(</w:t>
      </w:r>
      <w:r w:rsidR="00DF0BEA">
        <w:rPr>
          <w:rFonts w:ascii="Arial" w:hAnsi="Arial" w:cs="Arial"/>
          <w:sz w:val="24"/>
          <w:szCs w:val="24"/>
        </w:rPr>
        <w:t>LC</w:t>
      </w:r>
      <w:r w:rsidR="000B07B3">
        <w:rPr>
          <w:rFonts w:ascii="Arial" w:hAnsi="Arial" w:cs="Arial"/>
          <w:sz w:val="24"/>
          <w:szCs w:val="24"/>
        </w:rPr>
        <w:t>A</w:t>
      </w:r>
      <w:r w:rsidR="00DF0BEA">
        <w:rPr>
          <w:rFonts w:ascii="Arial" w:hAnsi="Arial" w:cs="Arial"/>
          <w:sz w:val="24"/>
          <w:szCs w:val="24"/>
        </w:rPr>
        <w:t xml:space="preserve"> </w:t>
      </w:r>
      <w:r w:rsidR="00E24E19">
        <w:rPr>
          <w:rFonts w:ascii="Arial" w:hAnsi="Arial" w:cs="Arial"/>
          <w:sz w:val="24"/>
          <w:szCs w:val="24"/>
        </w:rPr>
        <w:t>32</w:t>
      </w:r>
      <w:r w:rsidR="00DF0BEA">
        <w:rPr>
          <w:rFonts w:ascii="Arial" w:hAnsi="Arial" w:cs="Arial"/>
          <w:sz w:val="24"/>
          <w:szCs w:val="24"/>
        </w:rPr>
        <w:t>/201</w:t>
      </w:r>
      <w:r w:rsidR="00710D32">
        <w:rPr>
          <w:rFonts w:ascii="Arial" w:hAnsi="Arial" w:cs="Arial"/>
          <w:sz w:val="24"/>
          <w:szCs w:val="24"/>
        </w:rPr>
        <w:t>6</w:t>
      </w:r>
      <w:r w:rsidRPr="005D6C92">
        <w:rPr>
          <w:rFonts w:ascii="Arial" w:hAnsi="Arial" w:cs="Arial"/>
          <w:sz w:val="24"/>
          <w:szCs w:val="24"/>
        </w:rPr>
        <w:t>) [20</w:t>
      </w:r>
      <w:r w:rsidR="008C3957">
        <w:rPr>
          <w:rFonts w:ascii="Arial" w:hAnsi="Arial" w:cs="Arial"/>
          <w:sz w:val="24"/>
          <w:szCs w:val="24"/>
        </w:rPr>
        <w:t>1</w:t>
      </w:r>
      <w:r w:rsidR="00CF7297">
        <w:rPr>
          <w:rFonts w:ascii="Arial" w:hAnsi="Arial" w:cs="Arial"/>
          <w:sz w:val="24"/>
          <w:szCs w:val="24"/>
        </w:rPr>
        <w:t>7</w:t>
      </w:r>
      <w:r w:rsidRPr="005D6C92">
        <w:rPr>
          <w:rFonts w:ascii="Arial" w:hAnsi="Arial" w:cs="Arial"/>
          <w:sz w:val="24"/>
          <w:szCs w:val="24"/>
        </w:rPr>
        <w:t>] NA</w:t>
      </w:r>
      <w:r w:rsidR="00B363F7">
        <w:rPr>
          <w:rFonts w:ascii="Arial" w:hAnsi="Arial" w:cs="Arial"/>
          <w:sz w:val="24"/>
          <w:szCs w:val="24"/>
        </w:rPr>
        <w:t>L</w:t>
      </w:r>
      <w:r w:rsidRPr="005D6C92">
        <w:rPr>
          <w:rFonts w:ascii="Arial" w:hAnsi="Arial" w:cs="Arial"/>
          <w:sz w:val="24"/>
          <w:szCs w:val="24"/>
        </w:rPr>
        <w:t>C</w:t>
      </w:r>
      <w:r w:rsidR="008C3957">
        <w:rPr>
          <w:rFonts w:ascii="Arial" w:hAnsi="Arial" w:cs="Arial"/>
          <w:sz w:val="24"/>
          <w:szCs w:val="24"/>
        </w:rPr>
        <w:t>M</w:t>
      </w:r>
      <w:r w:rsidRPr="005D6C92">
        <w:rPr>
          <w:rFonts w:ascii="Arial" w:hAnsi="Arial" w:cs="Arial"/>
          <w:sz w:val="24"/>
          <w:szCs w:val="24"/>
        </w:rPr>
        <w:t xml:space="preserve">D </w:t>
      </w:r>
      <w:r w:rsidR="00B62CED">
        <w:rPr>
          <w:rFonts w:ascii="Arial" w:hAnsi="Arial" w:cs="Arial"/>
          <w:sz w:val="24"/>
          <w:szCs w:val="24"/>
        </w:rPr>
        <w:t>25</w:t>
      </w:r>
      <w:r w:rsidRPr="005D6C92">
        <w:rPr>
          <w:rFonts w:ascii="Arial" w:hAnsi="Arial" w:cs="Arial"/>
          <w:sz w:val="24"/>
          <w:szCs w:val="24"/>
        </w:rPr>
        <w:t xml:space="preserve"> (</w:t>
      </w:r>
      <w:r w:rsidR="00E24E19">
        <w:rPr>
          <w:rFonts w:ascii="Arial" w:hAnsi="Arial" w:cs="Arial"/>
          <w:sz w:val="24"/>
          <w:szCs w:val="24"/>
        </w:rPr>
        <w:t>21 July</w:t>
      </w:r>
      <w:r w:rsidR="00B53862">
        <w:rPr>
          <w:rFonts w:ascii="Arial" w:hAnsi="Arial" w:cs="Arial"/>
          <w:sz w:val="24"/>
          <w:szCs w:val="24"/>
        </w:rPr>
        <w:t xml:space="preserve"> 201</w:t>
      </w:r>
      <w:r w:rsidR="00CF7297">
        <w:rPr>
          <w:rFonts w:ascii="Arial" w:hAnsi="Arial" w:cs="Arial"/>
          <w:sz w:val="24"/>
          <w:szCs w:val="24"/>
        </w:rPr>
        <w:t>7</w:t>
      </w:r>
      <w:r w:rsidRPr="005D6C92">
        <w:rPr>
          <w:rFonts w:ascii="Arial" w:hAnsi="Arial" w:cs="Arial"/>
          <w:sz w:val="24"/>
          <w:szCs w:val="24"/>
        </w:rPr>
        <w:t>)</w:t>
      </w:r>
    </w:p>
    <w:p w:rsidR="007C2B64" w:rsidRPr="006E026B" w:rsidRDefault="007C2B64" w:rsidP="001B7E1F">
      <w:pPr>
        <w:spacing w:after="0" w:line="360" w:lineRule="auto"/>
        <w:ind w:left="2160" w:hanging="2160"/>
        <w:jc w:val="both"/>
        <w:rPr>
          <w:rFonts w:ascii="Arial" w:hAnsi="Arial" w:cs="Arial"/>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222B3B">
        <w:rPr>
          <w:rFonts w:ascii="Arial" w:hAnsi="Arial" w:cs="Arial"/>
          <w:sz w:val="24"/>
          <w:szCs w:val="24"/>
        </w:rPr>
        <w:t>ANGULA DJP</w:t>
      </w:r>
    </w:p>
    <w:p w:rsidR="001B7E1F" w:rsidRPr="006E026B" w:rsidRDefault="001B7E1F" w:rsidP="0037096D">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E24E19">
        <w:rPr>
          <w:rFonts w:ascii="Arial" w:hAnsi="Arial" w:cs="Arial"/>
          <w:b/>
          <w:sz w:val="24"/>
          <w:szCs w:val="24"/>
        </w:rPr>
        <w:t>17 February</w:t>
      </w:r>
      <w:r w:rsidR="00695CD9" w:rsidRPr="00695CD9">
        <w:rPr>
          <w:rFonts w:ascii="Arial" w:hAnsi="Arial" w:cs="Arial"/>
          <w:b/>
          <w:sz w:val="24"/>
          <w:szCs w:val="24"/>
        </w:rPr>
        <w:t xml:space="preserve"> 2017</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E24E19">
        <w:rPr>
          <w:rFonts w:ascii="Arial" w:hAnsi="Arial" w:cs="Arial"/>
          <w:b/>
          <w:sz w:val="24"/>
          <w:szCs w:val="24"/>
        </w:rPr>
        <w:t>21 July</w:t>
      </w:r>
      <w:r w:rsidR="00695CD9">
        <w:rPr>
          <w:rFonts w:ascii="Arial" w:hAnsi="Arial" w:cs="Arial"/>
          <w:b/>
          <w:sz w:val="24"/>
          <w:szCs w:val="24"/>
        </w:rPr>
        <w:t xml:space="preserve"> 2017</w:t>
      </w:r>
    </w:p>
    <w:p w:rsidR="001B7E1F" w:rsidRPr="006E026B" w:rsidRDefault="001B7E1F" w:rsidP="001B7E1F">
      <w:pPr>
        <w:spacing w:after="0" w:line="360" w:lineRule="auto"/>
        <w:jc w:val="both"/>
        <w:rPr>
          <w:rFonts w:ascii="Arial" w:hAnsi="Arial" w:cs="Arial"/>
          <w:b/>
          <w:sz w:val="24"/>
          <w:szCs w:val="24"/>
        </w:rPr>
      </w:pPr>
    </w:p>
    <w:p w:rsidR="00AA2539" w:rsidRDefault="00AA2539" w:rsidP="001B7E1F">
      <w:pPr>
        <w:spacing w:after="0" w:line="360" w:lineRule="auto"/>
        <w:jc w:val="both"/>
        <w:rPr>
          <w:rFonts w:ascii="Arial" w:eastAsia="Arial" w:hAnsi="Arial" w:cs="Arial"/>
          <w:color w:val="000000"/>
          <w:sz w:val="24"/>
          <w:szCs w:val="24"/>
          <w:lang w:eastAsia="en-ZA"/>
        </w:rPr>
      </w:pPr>
      <w:r w:rsidRPr="00AA2539">
        <w:rPr>
          <w:rFonts w:ascii="Arial" w:hAnsi="Arial" w:cs="Arial"/>
          <w:b/>
          <w:bCs/>
          <w:sz w:val="24"/>
          <w:szCs w:val="24"/>
        </w:rPr>
        <w:t>Flynote:</w:t>
      </w:r>
      <w:r>
        <w:rPr>
          <w:rFonts w:ascii="Arial" w:hAnsi="Arial" w:cs="Arial"/>
          <w:bCs/>
          <w:sz w:val="24"/>
          <w:szCs w:val="24"/>
        </w:rPr>
        <w:tab/>
      </w:r>
      <w:r w:rsidR="00EE59D4" w:rsidRPr="00EE59D4">
        <w:rPr>
          <w:rFonts w:ascii="Arial" w:hAnsi="Arial" w:cs="Arial"/>
          <w:bCs/>
          <w:sz w:val="24"/>
          <w:szCs w:val="24"/>
        </w:rPr>
        <w:t xml:space="preserve">Labour Court – Appeals </w:t>
      </w:r>
      <w:r w:rsidR="005F6547">
        <w:rPr>
          <w:rFonts w:ascii="Arial" w:hAnsi="Arial" w:cs="Arial"/>
          <w:bCs/>
          <w:sz w:val="24"/>
          <w:szCs w:val="24"/>
        </w:rPr>
        <w:t>–</w:t>
      </w:r>
      <w:r w:rsidR="00EE59D4" w:rsidRPr="00EE59D4">
        <w:rPr>
          <w:rFonts w:ascii="Arial" w:hAnsi="Arial" w:cs="Arial"/>
          <w:bCs/>
          <w:sz w:val="24"/>
          <w:szCs w:val="24"/>
        </w:rPr>
        <w:t xml:space="preserve"> </w:t>
      </w:r>
      <w:r w:rsidR="005F6547">
        <w:rPr>
          <w:rFonts w:ascii="Arial" w:hAnsi="Arial" w:cs="Arial"/>
          <w:bCs/>
          <w:sz w:val="24"/>
          <w:szCs w:val="24"/>
        </w:rPr>
        <w:t xml:space="preserve">Appellants relying on </w:t>
      </w:r>
      <w:r w:rsidR="00EE59D4" w:rsidRPr="00EE59D4">
        <w:rPr>
          <w:rFonts w:ascii="Arial" w:eastAsia="Arial" w:hAnsi="Arial" w:cs="Arial"/>
          <w:color w:val="000000"/>
          <w:sz w:val="24"/>
          <w:szCs w:val="24"/>
          <w:lang w:eastAsia="en-ZA"/>
        </w:rPr>
        <w:t>Rule 5 of the Rules relating to the Conduct of Conciliation and Arbitration – If proceedings are jointly instituted or opposed by more than one person, the employees may mandate one of their number to sign</w:t>
      </w:r>
      <w:r w:rsidR="00F003E9">
        <w:rPr>
          <w:rFonts w:ascii="Arial" w:eastAsia="Arial" w:hAnsi="Arial" w:cs="Arial"/>
          <w:color w:val="000000"/>
          <w:sz w:val="24"/>
          <w:szCs w:val="24"/>
          <w:lang w:eastAsia="en-ZA"/>
        </w:rPr>
        <w:t xml:space="preserve"> the referral</w:t>
      </w:r>
      <w:r w:rsidR="00EE59D4" w:rsidRPr="00EE59D4">
        <w:rPr>
          <w:rFonts w:ascii="Arial" w:eastAsia="Arial" w:hAnsi="Arial" w:cs="Arial"/>
          <w:color w:val="000000"/>
          <w:sz w:val="24"/>
          <w:szCs w:val="24"/>
          <w:lang w:eastAsia="en-ZA"/>
        </w:rPr>
        <w:t xml:space="preserve"> document on their behalf – A statement authorizing the employee mandated to sign documents on their behalf must be signed by each employee and attached to the referral document or opposition, together with a legible list of their full names and addresses</w:t>
      </w:r>
      <w:r w:rsidR="00446288">
        <w:rPr>
          <w:rFonts w:ascii="Arial" w:eastAsia="Arial" w:hAnsi="Arial" w:cs="Arial"/>
          <w:color w:val="000000"/>
          <w:sz w:val="24"/>
          <w:szCs w:val="24"/>
          <w:lang w:eastAsia="en-ZA"/>
        </w:rPr>
        <w:t xml:space="preserve"> –</w:t>
      </w:r>
      <w:r w:rsidR="00EE59D4" w:rsidRPr="00EE59D4">
        <w:rPr>
          <w:rFonts w:ascii="Arial" w:eastAsia="Arial" w:hAnsi="Arial" w:cs="Arial"/>
          <w:color w:val="000000"/>
          <w:sz w:val="24"/>
          <w:szCs w:val="24"/>
          <w:lang w:eastAsia="en-ZA"/>
        </w:rPr>
        <w:t xml:space="preserve"> The appellants’ complaints in this regard rejected for lack of merit</w:t>
      </w:r>
      <w:r w:rsidR="00F003E9">
        <w:rPr>
          <w:rFonts w:ascii="Arial" w:eastAsia="Arial" w:hAnsi="Arial" w:cs="Arial"/>
          <w:color w:val="000000"/>
          <w:sz w:val="24"/>
          <w:szCs w:val="24"/>
          <w:lang w:eastAsia="en-ZA"/>
        </w:rPr>
        <w:t>.</w:t>
      </w:r>
    </w:p>
    <w:p w:rsidR="00F003E9" w:rsidRDefault="00F003E9" w:rsidP="001B7E1F">
      <w:pPr>
        <w:spacing w:after="0" w:line="360" w:lineRule="auto"/>
        <w:jc w:val="both"/>
        <w:rPr>
          <w:rFonts w:ascii="Arial" w:hAnsi="Arial" w:cs="Arial"/>
          <w:bCs/>
          <w:sz w:val="24"/>
          <w:szCs w:val="24"/>
        </w:rPr>
      </w:pPr>
    </w:p>
    <w:p w:rsidR="00844C4C" w:rsidRPr="009E0568" w:rsidRDefault="00AA2539" w:rsidP="001B7E1F">
      <w:pPr>
        <w:spacing w:after="0" w:line="360" w:lineRule="auto"/>
        <w:jc w:val="both"/>
        <w:rPr>
          <w:rFonts w:ascii="Arial" w:hAnsi="Arial" w:cs="Arial"/>
          <w:bCs/>
          <w:sz w:val="24"/>
          <w:szCs w:val="24"/>
        </w:rPr>
      </w:pPr>
      <w:r w:rsidRPr="00AA2539">
        <w:rPr>
          <w:rFonts w:ascii="Arial" w:hAnsi="Arial" w:cs="Arial"/>
          <w:b/>
          <w:bCs/>
          <w:sz w:val="24"/>
          <w:szCs w:val="24"/>
        </w:rPr>
        <w:t>Summary:</w:t>
      </w:r>
      <w:r>
        <w:rPr>
          <w:rFonts w:ascii="Arial" w:hAnsi="Arial" w:cs="Arial"/>
          <w:bCs/>
          <w:sz w:val="24"/>
          <w:szCs w:val="24"/>
        </w:rPr>
        <w:tab/>
      </w:r>
      <w:r w:rsidR="00EE59D4">
        <w:rPr>
          <w:rFonts w:ascii="Arial" w:hAnsi="Arial" w:cs="Arial"/>
          <w:bCs/>
          <w:sz w:val="24"/>
          <w:szCs w:val="24"/>
        </w:rPr>
        <w:t>The appellants lodged an a</w:t>
      </w:r>
      <w:r w:rsidR="00EE59D4" w:rsidRPr="00EE59D4">
        <w:rPr>
          <w:rFonts w:ascii="Arial" w:hAnsi="Arial" w:cs="Arial"/>
          <w:bCs/>
          <w:sz w:val="24"/>
          <w:szCs w:val="24"/>
        </w:rPr>
        <w:t>ppeal against the ruling by an arbitrator wh</w:t>
      </w:r>
      <w:r w:rsidR="00EE59D4" w:rsidRPr="009E0568">
        <w:rPr>
          <w:rFonts w:ascii="Arial" w:hAnsi="Arial" w:cs="Arial"/>
          <w:bCs/>
          <w:sz w:val="24"/>
          <w:szCs w:val="24"/>
        </w:rPr>
        <w:t>ereby the arbitrator dismissed the appellants</w:t>
      </w:r>
      <w:r w:rsidR="00B72BA6">
        <w:rPr>
          <w:rFonts w:ascii="Arial" w:hAnsi="Arial" w:cs="Arial"/>
          <w:bCs/>
          <w:sz w:val="24"/>
          <w:szCs w:val="24"/>
        </w:rPr>
        <w:t>’</w:t>
      </w:r>
      <w:r w:rsidR="00EE59D4" w:rsidRPr="009E0568">
        <w:rPr>
          <w:rFonts w:ascii="Arial" w:hAnsi="Arial" w:cs="Arial"/>
          <w:bCs/>
          <w:sz w:val="24"/>
          <w:szCs w:val="24"/>
        </w:rPr>
        <w:t xml:space="preserve"> point </w:t>
      </w:r>
      <w:r w:rsidR="00EE59D4" w:rsidRPr="009E0568">
        <w:rPr>
          <w:rFonts w:ascii="Arial" w:hAnsi="Arial" w:cs="Arial"/>
          <w:bCs/>
          <w:i/>
          <w:sz w:val="24"/>
          <w:szCs w:val="24"/>
        </w:rPr>
        <w:t>in limine</w:t>
      </w:r>
      <w:r w:rsidR="00EE59D4" w:rsidRPr="009E0568">
        <w:rPr>
          <w:rFonts w:ascii="Arial" w:hAnsi="Arial" w:cs="Arial"/>
          <w:bCs/>
          <w:sz w:val="24"/>
          <w:szCs w:val="24"/>
        </w:rPr>
        <w:t xml:space="preserve"> that the respondents’ referral document (Form LC 21) was defective in that the respondents had failed to comply with the provisions of Rule 5 of the Rules relating to the Conduct of Conciliation and Arbitration. The point </w:t>
      </w:r>
      <w:r w:rsidR="00EE59D4" w:rsidRPr="009E0568">
        <w:rPr>
          <w:rFonts w:ascii="Arial" w:hAnsi="Arial" w:cs="Arial"/>
          <w:bCs/>
          <w:i/>
          <w:sz w:val="24"/>
          <w:szCs w:val="24"/>
        </w:rPr>
        <w:t>in limine</w:t>
      </w:r>
      <w:r w:rsidR="00EE59D4" w:rsidRPr="009E0568">
        <w:rPr>
          <w:rFonts w:ascii="Arial" w:hAnsi="Arial" w:cs="Arial"/>
          <w:bCs/>
          <w:sz w:val="24"/>
          <w:szCs w:val="24"/>
        </w:rPr>
        <w:t xml:space="preserve"> is twofold: firstly that there were no statements by the rest of the respondents attached to the referral document </w:t>
      </w:r>
      <w:r w:rsidR="00446288" w:rsidRPr="009E0568">
        <w:rPr>
          <w:rFonts w:ascii="Arial" w:hAnsi="Arial" w:cs="Arial"/>
          <w:bCs/>
          <w:sz w:val="24"/>
          <w:szCs w:val="24"/>
        </w:rPr>
        <w:t>authorizing</w:t>
      </w:r>
      <w:r w:rsidR="00EE59D4" w:rsidRPr="009E0568">
        <w:rPr>
          <w:rFonts w:ascii="Arial" w:hAnsi="Arial" w:cs="Arial"/>
          <w:bCs/>
          <w:sz w:val="24"/>
          <w:szCs w:val="24"/>
        </w:rPr>
        <w:t xml:space="preserve"> the first respondent, Sem Shipefi, to institute the proceedings on their behalf or to sign the documents on their behalf; and secondly that there was no proof that the respondents had given the Union, NAFINU, a mandate to institute the proceedings on their behalf.</w:t>
      </w:r>
      <w:r w:rsidR="009E0568" w:rsidRPr="009E0568">
        <w:rPr>
          <w:rFonts w:ascii="Arial" w:hAnsi="Arial" w:cs="Arial"/>
          <w:bCs/>
          <w:sz w:val="24"/>
          <w:szCs w:val="24"/>
        </w:rPr>
        <w:t xml:space="preserve"> Several</w:t>
      </w:r>
      <w:r w:rsidR="001960FA" w:rsidRPr="009E0568">
        <w:rPr>
          <w:rFonts w:ascii="Arial" w:hAnsi="Arial" w:cs="Arial"/>
          <w:bCs/>
          <w:sz w:val="24"/>
          <w:szCs w:val="24"/>
        </w:rPr>
        <w:t xml:space="preserve"> </w:t>
      </w:r>
      <w:r w:rsidR="00EE59D4" w:rsidRPr="009E0568">
        <w:rPr>
          <w:rFonts w:ascii="Arial" w:hAnsi="Arial" w:cs="Arial"/>
          <w:bCs/>
          <w:sz w:val="24"/>
          <w:szCs w:val="24"/>
        </w:rPr>
        <w:t xml:space="preserve">points </w:t>
      </w:r>
      <w:r w:rsidR="00EE59D4" w:rsidRPr="009E0568">
        <w:rPr>
          <w:rFonts w:ascii="Arial" w:hAnsi="Arial" w:cs="Arial"/>
          <w:bCs/>
          <w:i/>
          <w:sz w:val="24"/>
          <w:szCs w:val="24"/>
        </w:rPr>
        <w:t>in limine</w:t>
      </w:r>
      <w:r w:rsidR="001960FA" w:rsidRPr="009E0568">
        <w:rPr>
          <w:rFonts w:ascii="Arial" w:hAnsi="Arial" w:cs="Arial"/>
          <w:bCs/>
          <w:sz w:val="24"/>
          <w:szCs w:val="24"/>
        </w:rPr>
        <w:t xml:space="preserve"> raised and court held as follows:</w:t>
      </w:r>
    </w:p>
    <w:p w:rsidR="005626F4" w:rsidRPr="009E0568" w:rsidRDefault="005626F4" w:rsidP="00844C4C">
      <w:pPr>
        <w:spacing w:after="0" w:line="360" w:lineRule="auto"/>
        <w:jc w:val="both"/>
        <w:rPr>
          <w:rFonts w:ascii="Arial" w:eastAsia="Arial" w:hAnsi="Arial" w:cs="Arial"/>
          <w:color w:val="000000"/>
          <w:sz w:val="24"/>
          <w:szCs w:val="24"/>
          <w:lang w:eastAsia="en-ZA"/>
        </w:rPr>
      </w:pPr>
    </w:p>
    <w:p w:rsidR="00844C4C" w:rsidRPr="009E0568" w:rsidRDefault="00844C4C" w:rsidP="00844C4C">
      <w:pPr>
        <w:spacing w:after="0" w:line="360" w:lineRule="auto"/>
        <w:jc w:val="both"/>
        <w:rPr>
          <w:rFonts w:ascii="Arial" w:eastAsia="Arial" w:hAnsi="Arial" w:cs="Arial"/>
          <w:color w:val="000000"/>
          <w:sz w:val="24"/>
          <w:szCs w:val="24"/>
          <w:lang w:eastAsia="en-ZA"/>
        </w:rPr>
      </w:pPr>
      <w:r w:rsidRPr="009E0568">
        <w:rPr>
          <w:rFonts w:ascii="Arial" w:eastAsia="Arial" w:hAnsi="Arial" w:cs="Arial"/>
          <w:i/>
          <w:color w:val="000000"/>
          <w:sz w:val="24"/>
          <w:szCs w:val="24"/>
          <w:lang w:eastAsia="en-ZA"/>
        </w:rPr>
        <w:t>Held that</w:t>
      </w:r>
      <w:r w:rsidRPr="009E0568">
        <w:rPr>
          <w:rFonts w:ascii="Arial" w:eastAsia="Arial" w:hAnsi="Arial" w:cs="Arial"/>
          <w:color w:val="000000"/>
          <w:sz w:val="24"/>
          <w:szCs w:val="24"/>
          <w:lang w:eastAsia="en-ZA"/>
        </w:rPr>
        <w:t xml:space="preserve">: </w:t>
      </w:r>
      <w:r w:rsidR="009E0568" w:rsidRPr="009E0568">
        <w:rPr>
          <w:rFonts w:ascii="Arial" w:eastAsia="Arial" w:hAnsi="Arial" w:cs="Arial"/>
          <w:color w:val="000000"/>
          <w:sz w:val="24"/>
          <w:szCs w:val="24"/>
          <w:lang w:eastAsia="en-ZA"/>
        </w:rPr>
        <w:t xml:space="preserve">the </w:t>
      </w:r>
      <w:r w:rsidR="006C0E0F">
        <w:rPr>
          <w:rFonts w:ascii="Arial" w:eastAsia="Arial" w:hAnsi="Arial" w:cs="Arial"/>
          <w:color w:val="000000"/>
          <w:sz w:val="24"/>
          <w:szCs w:val="24"/>
          <w:lang w:eastAsia="en-ZA"/>
        </w:rPr>
        <w:t>arbitrator was correct in holding</w:t>
      </w:r>
      <w:r w:rsidR="00E45E25">
        <w:rPr>
          <w:rFonts w:ascii="Arial" w:eastAsia="Arial" w:hAnsi="Arial" w:cs="Arial"/>
          <w:color w:val="000000"/>
          <w:sz w:val="24"/>
          <w:szCs w:val="24"/>
          <w:lang w:eastAsia="en-ZA"/>
        </w:rPr>
        <w:t xml:space="preserve"> that in</w:t>
      </w:r>
      <w:r w:rsidR="006C0E0F">
        <w:rPr>
          <w:rFonts w:ascii="Arial" w:eastAsia="Arial" w:hAnsi="Arial" w:cs="Arial"/>
          <w:color w:val="000000"/>
          <w:sz w:val="24"/>
          <w:szCs w:val="24"/>
          <w:lang w:eastAsia="en-ZA"/>
        </w:rPr>
        <w:t xml:space="preserve"> </w:t>
      </w:r>
      <w:r w:rsidRPr="009E0568">
        <w:rPr>
          <w:rFonts w:ascii="Arial" w:eastAsia="Arial" w:hAnsi="Arial" w:cs="Arial"/>
          <w:color w:val="000000"/>
          <w:sz w:val="24"/>
          <w:szCs w:val="24"/>
          <w:lang w:eastAsia="en-ZA"/>
        </w:rPr>
        <w:t>the absence of evidence by the appellants as to whom of the 92 respondents had not given mandate to NAFI</w:t>
      </w:r>
      <w:r w:rsidR="000C5A8B">
        <w:rPr>
          <w:rFonts w:ascii="Arial" w:eastAsia="Arial" w:hAnsi="Arial" w:cs="Arial"/>
          <w:color w:val="000000"/>
          <w:sz w:val="24"/>
          <w:szCs w:val="24"/>
          <w:lang w:eastAsia="en-ZA"/>
        </w:rPr>
        <w:t xml:space="preserve">NU to institute the proceedings and </w:t>
      </w:r>
      <w:r w:rsidR="006C0E0F">
        <w:rPr>
          <w:rFonts w:ascii="Arial" w:eastAsia="Arial" w:hAnsi="Arial" w:cs="Arial"/>
          <w:color w:val="000000"/>
          <w:sz w:val="24"/>
          <w:szCs w:val="24"/>
          <w:lang w:eastAsia="en-ZA"/>
        </w:rPr>
        <w:t xml:space="preserve">evidence </w:t>
      </w:r>
      <w:r w:rsidRPr="009E0568">
        <w:rPr>
          <w:rFonts w:ascii="Arial" w:eastAsia="Arial" w:hAnsi="Arial" w:cs="Arial"/>
          <w:color w:val="000000"/>
          <w:sz w:val="24"/>
          <w:szCs w:val="24"/>
          <w:lang w:eastAsia="en-ZA"/>
        </w:rPr>
        <w:t xml:space="preserve">before </w:t>
      </w:r>
      <w:r w:rsidR="006C0E0F">
        <w:rPr>
          <w:rFonts w:ascii="Arial" w:eastAsia="Arial" w:hAnsi="Arial" w:cs="Arial"/>
          <w:color w:val="000000"/>
          <w:sz w:val="24"/>
          <w:szCs w:val="24"/>
          <w:lang w:eastAsia="en-ZA"/>
        </w:rPr>
        <w:t>him</w:t>
      </w:r>
      <w:r w:rsidR="00E45E25">
        <w:rPr>
          <w:rFonts w:ascii="Arial" w:eastAsia="Arial" w:hAnsi="Arial" w:cs="Arial"/>
          <w:color w:val="000000"/>
          <w:sz w:val="24"/>
          <w:szCs w:val="24"/>
          <w:lang w:eastAsia="en-ZA"/>
        </w:rPr>
        <w:t>,</w:t>
      </w:r>
      <w:r w:rsidR="006C0E0F">
        <w:rPr>
          <w:rFonts w:ascii="Arial" w:eastAsia="Arial" w:hAnsi="Arial" w:cs="Arial"/>
          <w:color w:val="000000"/>
          <w:sz w:val="24"/>
          <w:szCs w:val="24"/>
          <w:lang w:eastAsia="en-ZA"/>
        </w:rPr>
        <w:t xml:space="preserve"> indicated</w:t>
      </w:r>
      <w:r w:rsidRPr="009E0568">
        <w:rPr>
          <w:rFonts w:ascii="Arial" w:eastAsia="Arial" w:hAnsi="Arial" w:cs="Arial"/>
          <w:color w:val="000000"/>
          <w:sz w:val="24"/>
          <w:szCs w:val="24"/>
          <w:lang w:eastAsia="en-ZA"/>
        </w:rPr>
        <w:t xml:space="preserve"> that such mandate had been given to NAFINU by all the respondents</w:t>
      </w:r>
      <w:r w:rsidRPr="009E0568">
        <w:rPr>
          <w:rFonts w:ascii="Arial" w:hAnsi="Arial" w:cs="Arial"/>
          <w:sz w:val="24"/>
          <w:szCs w:val="24"/>
        </w:rPr>
        <w:t>.</w:t>
      </w:r>
    </w:p>
    <w:p w:rsidR="00844C4C" w:rsidRDefault="00844C4C" w:rsidP="00844C4C">
      <w:pPr>
        <w:spacing w:after="0" w:line="360" w:lineRule="auto"/>
        <w:jc w:val="both"/>
        <w:rPr>
          <w:rFonts w:ascii="Arial" w:eastAsia="Arial" w:hAnsi="Arial" w:cs="Arial"/>
          <w:color w:val="000000"/>
          <w:sz w:val="24"/>
          <w:szCs w:val="24"/>
          <w:lang w:eastAsia="en-ZA"/>
        </w:rPr>
      </w:pPr>
    </w:p>
    <w:p w:rsidR="009E0568" w:rsidRDefault="00844C4C" w:rsidP="00844C4C">
      <w:pPr>
        <w:spacing w:after="0" w:line="360" w:lineRule="auto"/>
        <w:jc w:val="both"/>
        <w:rPr>
          <w:rFonts w:ascii="Arial" w:eastAsia="Arial" w:hAnsi="Arial" w:cs="Arial"/>
          <w:color w:val="000000"/>
          <w:sz w:val="24"/>
          <w:szCs w:val="24"/>
          <w:lang w:eastAsia="en-ZA"/>
        </w:rPr>
      </w:pPr>
      <w:r w:rsidRPr="009E0568">
        <w:rPr>
          <w:rFonts w:ascii="Arial" w:eastAsia="Arial" w:hAnsi="Arial" w:cs="Arial"/>
          <w:i/>
          <w:color w:val="000000"/>
          <w:sz w:val="24"/>
          <w:szCs w:val="24"/>
          <w:lang w:eastAsia="en-ZA"/>
        </w:rPr>
        <w:t>Held that</w:t>
      </w:r>
      <w:r w:rsidRPr="009E0568">
        <w:rPr>
          <w:rFonts w:ascii="Arial" w:eastAsia="Arial" w:hAnsi="Arial" w:cs="Arial"/>
          <w:color w:val="000000"/>
          <w:sz w:val="24"/>
          <w:szCs w:val="24"/>
          <w:lang w:eastAsia="en-ZA"/>
        </w:rPr>
        <w:t xml:space="preserve">: </w:t>
      </w:r>
      <w:r w:rsidR="000C5A8B">
        <w:rPr>
          <w:rFonts w:ascii="Arial" w:eastAsia="Arial" w:hAnsi="Arial" w:cs="Arial"/>
          <w:color w:val="000000"/>
          <w:sz w:val="24"/>
          <w:szCs w:val="24"/>
          <w:lang w:eastAsia="en-ZA"/>
        </w:rPr>
        <w:t>on the issue whether the arbitrator was correct in taking the view that since the appellant</w:t>
      </w:r>
      <w:r w:rsidR="0030722F">
        <w:rPr>
          <w:rFonts w:ascii="Arial" w:eastAsia="Arial" w:hAnsi="Arial" w:cs="Arial"/>
          <w:color w:val="000000"/>
          <w:sz w:val="24"/>
          <w:szCs w:val="24"/>
          <w:lang w:eastAsia="en-ZA"/>
        </w:rPr>
        <w:t>s</w:t>
      </w:r>
      <w:r w:rsidR="000C5A8B">
        <w:rPr>
          <w:rFonts w:ascii="Arial" w:eastAsia="Arial" w:hAnsi="Arial" w:cs="Arial"/>
          <w:color w:val="000000"/>
          <w:sz w:val="24"/>
          <w:szCs w:val="24"/>
          <w:lang w:eastAsia="en-ZA"/>
        </w:rPr>
        <w:t xml:space="preserve"> had </w:t>
      </w:r>
      <w:r w:rsidR="00E4361A">
        <w:rPr>
          <w:rFonts w:ascii="Arial" w:eastAsia="Arial" w:hAnsi="Arial" w:cs="Arial"/>
          <w:color w:val="000000"/>
          <w:sz w:val="24"/>
          <w:szCs w:val="24"/>
          <w:lang w:eastAsia="en-ZA"/>
        </w:rPr>
        <w:t>‘</w:t>
      </w:r>
      <w:r w:rsidR="000C5A8B">
        <w:rPr>
          <w:rFonts w:ascii="Arial" w:eastAsia="Arial" w:hAnsi="Arial" w:cs="Arial"/>
          <w:color w:val="000000"/>
          <w:sz w:val="24"/>
          <w:szCs w:val="24"/>
          <w:lang w:eastAsia="en-ZA"/>
        </w:rPr>
        <w:t>indicated</w:t>
      </w:r>
      <w:r w:rsidR="00E4361A">
        <w:rPr>
          <w:rFonts w:ascii="Arial" w:eastAsia="Arial" w:hAnsi="Arial" w:cs="Arial"/>
          <w:color w:val="000000"/>
          <w:sz w:val="24"/>
          <w:szCs w:val="24"/>
          <w:lang w:eastAsia="en-ZA"/>
        </w:rPr>
        <w:t>’</w:t>
      </w:r>
      <w:r w:rsidR="000C5A8B">
        <w:rPr>
          <w:rFonts w:ascii="Arial" w:eastAsia="Arial" w:hAnsi="Arial" w:cs="Arial"/>
          <w:color w:val="000000"/>
          <w:sz w:val="24"/>
          <w:szCs w:val="24"/>
          <w:lang w:eastAsia="en-ZA"/>
        </w:rPr>
        <w:t xml:space="preserve"> at the conciliation stage of the proceedings that </w:t>
      </w:r>
      <w:r w:rsidR="00E45E25">
        <w:rPr>
          <w:rFonts w:ascii="Arial" w:eastAsia="Arial" w:hAnsi="Arial" w:cs="Arial"/>
          <w:color w:val="000000"/>
          <w:sz w:val="24"/>
          <w:szCs w:val="24"/>
          <w:lang w:eastAsia="en-ZA"/>
        </w:rPr>
        <w:t>they</w:t>
      </w:r>
      <w:r w:rsidR="000C5A8B">
        <w:rPr>
          <w:rFonts w:ascii="Arial" w:eastAsia="Arial" w:hAnsi="Arial" w:cs="Arial"/>
          <w:color w:val="000000"/>
          <w:sz w:val="24"/>
          <w:szCs w:val="24"/>
          <w:lang w:eastAsia="en-ZA"/>
        </w:rPr>
        <w:t xml:space="preserve"> intended to </w:t>
      </w:r>
      <w:r w:rsidR="00E45E25">
        <w:rPr>
          <w:rFonts w:ascii="Arial" w:eastAsia="Arial" w:hAnsi="Arial" w:cs="Arial"/>
          <w:color w:val="000000"/>
          <w:sz w:val="24"/>
          <w:szCs w:val="24"/>
          <w:lang w:eastAsia="en-ZA"/>
        </w:rPr>
        <w:t>raise</w:t>
      </w:r>
      <w:r w:rsidR="000C5A8B">
        <w:rPr>
          <w:rFonts w:ascii="Arial" w:eastAsia="Arial" w:hAnsi="Arial" w:cs="Arial"/>
          <w:color w:val="000000"/>
          <w:sz w:val="24"/>
          <w:szCs w:val="24"/>
          <w:lang w:eastAsia="en-ZA"/>
        </w:rPr>
        <w:t xml:space="preserve"> the point </w:t>
      </w:r>
      <w:r w:rsidR="00C04036">
        <w:rPr>
          <w:rFonts w:ascii="Arial" w:eastAsia="Arial" w:hAnsi="Arial" w:cs="Arial"/>
          <w:color w:val="000000"/>
          <w:sz w:val="24"/>
          <w:szCs w:val="24"/>
          <w:lang w:eastAsia="en-ZA"/>
        </w:rPr>
        <w:t xml:space="preserve">of lack of mandate at the arbitration stage that it </w:t>
      </w:r>
      <w:r w:rsidR="00E45E25">
        <w:rPr>
          <w:rFonts w:ascii="Arial" w:eastAsia="Arial" w:hAnsi="Arial" w:cs="Arial"/>
          <w:color w:val="000000"/>
          <w:sz w:val="24"/>
          <w:szCs w:val="24"/>
          <w:lang w:eastAsia="en-ZA"/>
        </w:rPr>
        <w:t>was not permissible for the appellants to attempt to raise the point at the arbitration. The court</w:t>
      </w:r>
      <w:r w:rsidR="00C04036">
        <w:rPr>
          <w:rFonts w:ascii="Arial" w:eastAsia="Arial" w:hAnsi="Arial" w:cs="Arial"/>
          <w:color w:val="000000"/>
          <w:sz w:val="24"/>
          <w:szCs w:val="24"/>
          <w:lang w:eastAsia="en-ZA"/>
        </w:rPr>
        <w:t xml:space="preserve"> held that the arbitrator was correct in this regard</w:t>
      </w:r>
      <w:r w:rsidRPr="009E0568">
        <w:rPr>
          <w:rFonts w:ascii="Arial" w:eastAsia="Arial" w:hAnsi="Arial" w:cs="Arial"/>
          <w:color w:val="000000"/>
          <w:sz w:val="24"/>
          <w:szCs w:val="24"/>
          <w:lang w:eastAsia="en-ZA"/>
        </w:rPr>
        <w:t>.</w:t>
      </w:r>
      <w:r w:rsidR="00E45E25">
        <w:rPr>
          <w:rFonts w:ascii="Arial" w:eastAsia="Arial" w:hAnsi="Arial" w:cs="Arial"/>
          <w:color w:val="000000"/>
          <w:sz w:val="24"/>
          <w:szCs w:val="24"/>
          <w:lang w:eastAsia="en-ZA"/>
        </w:rPr>
        <w:t xml:space="preserve"> The court reasoned i</w:t>
      </w:r>
      <w:r w:rsidR="00B22F14">
        <w:rPr>
          <w:rFonts w:ascii="Arial" w:eastAsia="Arial" w:hAnsi="Arial" w:cs="Arial"/>
          <w:color w:val="000000"/>
          <w:sz w:val="24"/>
          <w:szCs w:val="24"/>
          <w:lang w:eastAsia="en-ZA"/>
        </w:rPr>
        <w:t>t was not enough for the appellants to have merely ‘indicated’ that they in</w:t>
      </w:r>
      <w:r w:rsidR="00E45E25">
        <w:rPr>
          <w:rFonts w:ascii="Arial" w:eastAsia="Arial" w:hAnsi="Arial" w:cs="Arial"/>
          <w:color w:val="000000"/>
          <w:sz w:val="24"/>
          <w:szCs w:val="24"/>
          <w:lang w:eastAsia="en-ZA"/>
        </w:rPr>
        <w:t>tended to raise that the poi</w:t>
      </w:r>
      <w:r w:rsidR="00B22F14">
        <w:rPr>
          <w:rFonts w:ascii="Arial" w:eastAsia="Arial" w:hAnsi="Arial" w:cs="Arial"/>
          <w:color w:val="000000"/>
          <w:sz w:val="24"/>
          <w:szCs w:val="24"/>
          <w:lang w:eastAsia="en-ZA"/>
        </w:rPr>
        <w:t xml:space="preserve">nt </w:t>
      </w:r>
      <w:r w:rsidR="00B22F14" w:rsidRPr="00B22F14">
        <w:rPr>
          <w:rFonts w:ascii="Arial" w:eastAsia="Arial" w:hAnsi="Arial" w:cs="Arial"/>
          <w:i/>
          <w:color w:val="000000"/>
          <w:sz w:val="24"/>
          <w:szCs w:val="24"/>
          <w:lang w:eastAsia="en-ZA"/>
        </w:rPr>
        <w:t>in limine</w:t>
      </w:r>
      <w:r w:rsidR="00E45E25">
        <w:rPr>
          <w:rFonts w:ascii="Arial" w:eastAsia="Arial" w:hAnsi="Arial" w:cs="Arial"/>
          <w:color w:val="000000"/>
          <w:sz w:val="24"/>
          <w:szCs w:val="24"/>
          <w:lang w:eastAsia="en-ZA"/>
        </w:rPr>
        <w:t xml:space="preserve"> at the arbitration proceedings</w:t>
      </w:r>
      <w:r w:rsidR="00B22F14">
        <w:rPr>
          <w:rFonts w:ascii="Arial" w:eastAsia="Arial" w:hAnsi="Arial" w:cs="Arial"/>
          <w:color w:val="000000"/>
          <w:sz w:val="24"/>
          <w:szCs w:val="24"/>
          <w:lang w:eastAsia="en-ZA"/>
        </w:rPr>
        <w:t>. The appellants ought to have taken the point there and then</w:t>
      </w:r>
      <w:r w:rsidR="00E45E25">
        <w:rPr>
          <w:rFonts w:ascii="Arial" w:eastAsia="Arial" w:hAnsi="Arial" w:cs="Arial"/>
          <w:color w:val="000000"/>
          <w:sz w:val="24"/>
          <w:szCs w:val="24"/>
          <w:lang w:eastAsia="en-ZA"/>
        </w:rPr>
        <w:t xml:space="preserve"> at the conciliation stage</w:t>
      </w:r>
      <w:r w:rsidR="00B22F14">
        <w:rPr>
          <w:rFonts w:ascii="Arial" w:eastAsia="Arial" w:hAnsi="Arial" w:cs="Arial"/>
          <w:color w:val="000000"/>
          <w:sz w:val="24"/>
          <w:szCs w:val="24"/>
          <w:lang w:eastAsia="en-ZA"/>
        </w:rPr>
        <w:t xml:space="preserve">. Failure to do so would result in the inference that the </w:t>
      </w:r>
      <w:r w:rsidR="00A336B5">
        <w:rPr>
          <w:rFonts w:ascii="Arial" w:eastAsia="Arial" w:hAnsi="Arial" w:cs="Arial"/>
          <w:color w:val="000000"/>
          <w:sz w:val="24"/>
          <w:szCs w:val="24"/>
          <w:lang w:eastAsia="en-ZA"/>
        </w:rPr>
        <w:t>appellants</w:t>
      </w:r>
      <w:r w:rsidR="00B22F14">
        <w:rPr>
          <w:rFonts w:ascii="Arial" w:eastAsia="Arial" w:hAnsi="Arial" w:cs="Arial"/>
          <w:color w:val="000000"/>
          <w:sz w:val="24"/>
          <w:szCs w:val="24"/>
          <w:lang w:eastAsia="en-ZA"/>
        </w:rPr>
        <w:t xml:space="preserve"> had ratified the alleged defect attendant upon the referral document.</w:t>
      </w:r>
    </w:p>
    <w:p w:rsidR="003547D6" w:rsidRPr="00446288" w:rsidRDefault="003547D6" w:rsidP="00844C4C">
      <w:pPr>
        <w:spacing w:after="0" w:line="360" w:lineRule="auto"/>
        <w:jc w:val="both"/>
        <w:rPr>
          <w:rFonts w:ascii="Arial" w:eastAsia="Arial" w:hAnsi="Arial" w:cs="Arial"/>
          <w:color w:val="000000"/>
          <w:sz w:val="24"/>
          <w:szCs w:val="24"/>
          <w:lang w:eastAsia="en-ZA"/>
        </w:rPr>
      </w:pPr>
    </w:p>
    <w:p w:rsidR="00AA2539" w:rsidRPr="009E0568" w:rsidRDefault="00425223" w:rsidP="001B7E1F">
      <w:pPr>
        <w:spacing w:after="0" w:line="360" w:lineRule="auto"/>
        <w:jc w:val="both"/>
        <w:rPr>
          <w:rFonts w:ascii="Arial" w:hAnsi="Arial" w:cs="Arial"/>
          <w:bCs/>
          <w:sz w:val="24"/>
          <w:szCs w:val="24"/>
        </w:rPr>
      </w:pPr>
      <w:r w:rsidRPr="009E0568">
        <w:rPr>
          <w:rFonts w:ascii="Arial" w:hAnsi="Arial" w:cs="Arial"/>
          <w:bCs/>
          <w:sz w:val="24"/>
          <w:szCs w:val="24"/>
        </w:rPr>
        <w:t xml:space="preserve">Appeal </w:t>
      </w:r>
      <w:r w:rsidR="005F6547">
        <w:rPr>
          <w:rFonts w:ascii="Arial" w:hAnsi="Arial" w:cs="Arial"/>
          <w:bCs/>
          <w:sz w:val="24"/>
          <w:szCs w:val="24"/>
        </w:rPr>
        <w:t xml:space="preserve">accordingly </w:t>
      </w:r>
      <w:r w:rsidRPr="009E0568">
        <w:rPr>
          <w:rFonts w:ascii="Arial" w:hAnsi="Arial" w:cs="Arial"/>
          <w:bCs/>
          <w:sz w:val="24"/>
          <w:szCs w:val="24"/>
        </w:rPr>
        <w:t>dismissed.</w:t>
      </w:r>
    </w:p>
    <w:p w:rsidR="00EE2C8A" w:rsidRDefault="00EE2C8A" w:rsidP="001B7E1F">
      <w:pPr>
        <w:spacing w:after="0" w:line="360" w:lineRule="auto"/>
        <w:jc w:val="both"/>
        <w:rPr>
          <w:rFonts w:ascii="Arial" w:hAnsi="Arial" w:cs="Arial"/>
          <w:bCs/>
          <w:sz w:val="24"/>
          <w:szCs w:val="24"/>
        </w:rPr>
      </w:pPr>
    </w:p>
    <w:p w:rsidR="00C3175E" w:rsidRPr="00C24C6E" w:rsidRDefault="00C3175E" w:rsidP="00C3175E">
      <w:pPr>
        <w:spacing w:after="0" w:line="360" w:lineRule="auto"/>
        <w:jc w:val="both"/>
        <w:rPr>
          <w:rFonts w:ascii="Arial" w:hAnsi="Arial" w:cs="Arial"/>
          <w:bCs/>
          <w:sz w:val="24"/>
          <w:szCs w:val="24"/>
        </w:rPr>
      </w:pPr>
      <w:r w:rsidRPr="00C24C6E">
        <w:rPr>
          <w:rFonts w:ascii="Arial" w:hAnsi="Arial" w:cs="Arial"/>
          <w:bCs/>
          <w:sz w:val="24"/>
          <w:szCs w:val="24"/>
        </w:rPr>
        <w:pict>
          <v:rect id="_x0000_i1025" style="width:0;height:1.5pt" o:hralign="center" o:hrstd="t" o:hr="t" fillcolor="#a0a0a0" stroked="f"/>
        </w:pict>
      </w:r>
    </w:p>
    <w:p w:rsidR="00C3175E" w:rsidRPr="00C24C6E" w:rsidRDefault="00C3175E" w:rsidP="00C3175E">
      <w:pPr>
        <w:spacing w:after="0" w:line="360" w:lineRule="auto"/>
        <w:jc w:val="center"/>
        <w:rPr>
          <w:rFonts w:ascii="Arial" w:hAnsi="Arial" w:cs="Arial"/>
          <w:b/>
          <w:bCs/>
          <w:sz w:val="24"/>
          <w:szCs w:val="24"/>
        </w:rPr>
      </w:pPr>
      <w:r w:rsidRPr="00C24C6E">
        <w:rPr>
          <w:rFonts w:ascii="Arial" w:hAnsi="Arial" w:cs="Arial"/>
          <w:b/>
          <w:bCs/>
          <w:sz w:val="24"/>
          <w:szCs w:val="24"/>
        </w:rPr>
        <w:t>ORDER</w:t>
      </w:r>
    </w:p>
    <w:p w:rsidR="00C3175E" w:rsidRPr="00C24C6E" w:rsidRDefault="00C3175E" w:rsidP="00C3175E">
      <w:pPr>
        <w:spacing w:after="0" w:line="360" w:lineRule="auto"/>
        <w:jc w:val="center"/>
        <w:rPr>
          <w:rFonts w:ascii="Arial" w:hAnsi="Arial" w:cs="Arial"/>
          <w:b/>
          <w:bCs/>
          <w:sz w:val="24"/>
          <w:szCs w:val="24"/>
        </w:rPr>
      </w:pPr>
      <w:r w:rsidRPr="00C24C6E">
        <w:rPr>
          <w:rFonts w:ascii="Arial" w:hAnsi="Arial" w:cs="Arial"/>
          <w:bCs/>
          <w:sz w:val="24"/>
          <w:szCs w:val="24"/>
        </w:rPr>
        <w:pict>
          <v:rect id="_x0000_i1026" style="width:0;height:1.5pt" o:hralign="center" o:hrstd="t" o:hr="t" fillcolor="#a0a0a0" stroked="f"/>
        </w:pict>
      </w:r>
    </w:p>
    <w:p w:rsidR="00FD70CB" w:rsidRPr="0011223C" w:rsidRDefault="00FD70CB" w:rsidP="00BA03E3">
      <w:pPr>
        <w:tabs>
          <w:tab w:val="left" w:pos="630"/>
        </w:tabs>
        <w:spacing w:after="0" w:line="360" w:lineRule="auto"/>
        <w:jc w:val="both"/>
        <w:rPr>
          <w:rFonts w:ascii="Arial" w:hAnsi="Arial" w:cs="Arial"/>
          <w:sz w:val="24"/>
          <w:szCs w:val="24"/>
        </w:rPr>
      </w:pPr>
    </w:p>
    <w:p w:rsidR="00BA03E3" w:rsidRDefault="00BA03E3" w:rsidP="00446288">
      <w:pPr>
        <w:shd w:val="clear" w:color="auto" w:fill="FFFFFF"/>
        <w:spacing w:after="0" w:line="360" w:lineRule="auto"/>
        <w:ind w:left="540" w:hanging="540"/>
        <w:jc w:val="both"/>
        <w:rPr>
          <w:rFonts w:ascii="Arial" w:eastAsia="Times New Roman" w:hAnsi="Arial" w:cs="Arial"/>
          <w:sz w:val="24"/>
          <w:szCs w:val="24"/>
        </w:rPr>
      </w:pPr>
      <w:r>
        <w:rPr>
          <w:rFonts w:ascii="Arial" w:eastAsia="Times New Roman" w:hAnsi="Arial" w:cs="Arial"/>
          <w:sz w:val="24"/>
          <w:szCs w:val="24"/>
        </w:rPr>
        <w:lastRenderedPageBreak/>
        <w:t>(a)</w:t>
      </w:r>
      <w:r>
        <w:rPr>
          <w:rFonts w:ascii="Arial" w:eastAsia="Times New Roman" w:hAnsi="Arial" w:cs="Arial"/>
          <w:sz w:val="24"/>
          <w:szCs w:val="24"/>
        </w:rPr>
        <w:tab/>
        <w:t>The appeal is dismissed.</w:t>
      </w:r>
      <w:r w:rsidR="00446288">
        <w:rPr>
          <w:rFonts w:ascii="Arial" w:eastAsia="Times New Roman" w:hAnsi="Arial" w:cs="Arial"/>
          <w:sz w:val="24"/>
          <w:szCs w:val="24"/>
        </w:rPr>
        <w:t xml:space="preserve"> </w:t>
      </w:r>
      <w:r w:rsidR="00E67CA5">
        <w:rPr>
          <w:rFonts w:ascii="Arial" w:eastAsia="Times New Roman" w:hAnsi="Arial" w:cs="Arial"/>
          <w:sz w:val="24"/>
          <w:szCs w:val="24"/>
        </w:rPr>
        <w:t>The matter is referred back to the arbitrator to finalise the arbitration proceedings.</w:t>
      </w:r>
    </w:p>
    <w:p w:rsidR="00BA03E3" w:rsidRDefault="00BA03E3" w:rsidP="00446288">
      <w:pPr>
        <w:shd w:val="clear" w:color="auto" w:fill="FFFFFF"/>
        <w:spacing w:after="0" w:line="360" w:lineRule="auto"/>
        <w:ind w:left="540" w:hanging="540"/>
        <w:jc w:val="both"/>
        <w:rPr>
          <w:rFonts w:ascii="Arial" w:eastAsia="Times New Roman" w:hAnsi="Arial" w:cs="Arial"/>
          <w:sz w:val="24"/>
          <w:szCs w:val="24"/>
        </w:rPr>
      </w:pPr>
    </w:p>
    <w:p w:rsidR="00BA03E3" w:rsidRDefault="00BA03E3" w:rsidP="00446288">
      <w:pPr>
        <w:shd w:val="clear" w:color="auto" w:fill="FFFFFF"/>
        <w:spacing w:after="0" w:line="360" w:lineRule="auto"/>
        <w:ind w:left="540" w:hanging="540"/>
        <w:jc w:val="both"/>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t>There is no order as to costs.</w:t>
      </w:r>
    </w:p>
    <w:p w:rsidR="0011223C" w:rsidRPr="00372408" w:rsidRDefault="0011223C" w:rsidP="00BA03E3">
      <w:pPr>
        <w:tabs>
          <w:tab w:val="left" w:pos="1350"/>
        </w:tabs>
        <w:spacing w:after="0" w:line="360" w:lineRule="auto"/>
        <w:ind w:left="630" w:hanging="630"/>
        <w:jc w:val="both"/>
        <w:rPr>
          <w:rFonts w:ascii="Arial" w:hAnsi="Arial" w:cs="Arial"/>
          <w:sz w:val="20"/>
          <w:szCs w:val="20"/>
        </w:rPr>
      </w:pPr>
    </w:p>
    <w:p w:rsidR="001B7E1F" w:rsidRPr="0011223C" w:rsidRDefault="007100DD" w:rsidP="001B7E1F">
      <w:pPr>
        <w:spacing w:after="0" w:line="360" w:lineRule="auto"/>
        <w:jc w:val="both"/>
        <w:rPr>
          <w:rFonts w:ascii="Arial" w:hAnsi="Arial" w:cs="Arial"/>
          <w:bCs/>
          <w:sz w:val="24"/>
          <w:szCs w:val="24"/>
        </w:rPr>
      </w:pPr>
      <w:r w:rsidRPr="0011223C">
        <w:rPr>
          <w:rFonts w:ascii="Arial" w:hAnsi="Arial" w:cs="Arial"/>
          <w:bCs/>
          <w:sz w:val="24"/>
          <w:szCs w:val="24"/>
        </w:rPr>
        <w:pict>
          <v:rect id="_x0000_i1027" style="width:0;height:1.5pt" o:hralign="center" o:hrstd="t" o:hr="t" fillcolor="#a0a0a0" stroked="f"/>
        </w:pict>
      </w:r>
    </w:p>
    <w:p w:rsidR="001B7E1F" w:rsidRPr="0011223C" w:rsidRDefault="001B7E1F" w:rsidP="001B7E1F">
      <w:pPr>
        <w:spacing w:after="0" w:line="360" w:lineRule="auto"/>
        <w:jc w:val="center"/>
        <w:rPr>
          <w:rFonts w:ascii="Arial" w:hAnsi="Arial" w:cs="Arial"/>
          <w:b/>
          <w:sz w:val="24"/>
          <w:szCs w:val="24"/>
        </w:rPr>
      </w:pPr>
      <w:r w:rsidRPr="0011223C">
        <w:rPr>
          <w:rFonts w:ascii="Arial" w:hAnsi="Arial" w:cs="Arial"/>
          <w:b/>
          <w:sz w:val="24"/>
          <w:szCs w:val="24"/>
        </w:rPr>
        <w:t>JUDGMENT</w:t>
      </w:r>
    </w:p>
    <w:p w:rsidR="001B7E1F" w:rsidRPr="0011223C" w:rsidRDefault="007100DD" w:rsidP="001B7E1F">
      <w:pPr>
        <w:spacing w:after="0" w:line="360" w:lineRule="auto"/>
        <w:jc w:val="center"/>
        <w:rPr>
          <w:rFonts w:ascii="Arial" w:hAnsi="Arial" w:cs="Arial"/>
          <w:b/>
          <w:sz w:val="24"/>
          <w:szCs w:val="24"/>
        </w:rPr>
      </w:pPr>
      <w:r w:rsidRPr="0011223C">
        <w:rPr>
          <w:rFonts w:ascii="Arial" w:hAnsi="Arial" w:cs="Arial"/>
          <w:bCs/>
          <w:sz w:val="24"/>
          <w:szCs w:val="24"/>
        </w:rPr>
        <w:pict>
          <v:rect id="_x0000_i1028" style="width:0;height:1.5pt" o:hralign="center" o:hrstd="t" o:hr="t" fillcolor="#a0a0a0" stroked="f"/>
        </w:pict>
      </w:r>
    </w:p>
    <w:p w:rsidR="001B7E1F" w:rsidRPr="00446288" w:rsidRDefault="001B7E1F" w:rsidP="001B7E1F">
      <w:pPr>
        <w:spacing w:after="0" w:line="360" w:lineRule="auto"/>
        <w:ind w:left="1440" w:hanging="1440"/>
        <w:jc w:val="both"/>
        <w:rPr>
          <w:rFonts w:ascii="Arial" w:hAnsi="Arial" w:cs="Arial"/>
          <w:sz w:val="24"/>
          <w:szCs w:val="24"/>
        </w:rPr>
      </w:pPr>
    </w:p>
    <w:p w:rsidR="001B7E1F" w:rsidRPr="00446288" w:rsidRDefault="00884CA5" w:rsidP="001B7E1F">
      <w:pPr>
        <w:spacing w:after="0" w:line="360" w:lineRule="auto"/>
        <w:ind w:left="1440" w:hanging="1440"/>
        <w:jc w:val="both"/>
        <w:rPr>
          <w:rFonts w:ascii="Arial" w:hAnsi="Arial" w:cs="Arial"/>
          <w:b/>
          <w:i/>
          <w:sz w:val="24"/>
          <w:szCs w:val="24"/>
        </w:rPr>
      </w:pPr>
      <w:r w:rsidRPr="00446288">
        <w:rPr>
          <w:rFonts w:ascii="Arial" w:hAnsi="Arial" w:cs="Arial"/>
          <w:sz w:val="24"/>
          <w:szCs w:val="24"/>
        </w:rPr>
        <w:t>ANGULA D</w:t>
      </w:r>
      <w:r w:rsidR="00A60181" w:rsidRPr="00446288">
        <w:rPr>
          <w:rFonts w:ascii="Arial" w:hAnsi="Arial" w:cs="Arial"/>
          <w:sz w:val="24"/>
          <w:szCs w:val="24"/>
        </w:rPr>
        <w:t>J</w:t>
      </w:r>
      <w:r w:rsidRPr="00446288">
        <w:rPr>
          <w:rFonts w:ascii="Arial" w:hAnsi="Arial" w:cs="Arial"/>
          <w:sz w:val="24"/>
          <w:szCs w:val="24"/>
        </w:rPr>
        <w:t>P</w:t>
      </w:r>
      <w:r w:rsidR="001B7E1F" w:rsidRPr="00446288">
        <w:rPr>
          <w:rFonts w:ascii="Arial" w:hAnsi="Arial" w:cs="Arial"/>
          <w:sz w:val="24"/>
          <w:szCs w:val="24"/>
        </w:rPr>
        <w:t>:</w:t>
      </w:r>
    </w:p>
    <w:p w:rsidR="001B7E1F" w:rsidRPr="00446288" w:rsidRDefault="001B7E1F" w:rsidP="00BA5ADE">
      <w:pPr>
        <w:spacing w:after="0" w:line="360" w:lineRule="auto"/>
        <w:rPr>
          <w:rFonts w:ascii="Arial" w:hAnsi="Arial" w:cs="Arial"/>
          <w:sz w:val="24"/>
          <w:szCs w:val="24"/>
        </w:rPr>
      </w:pPr>
    </w:p>
    <w:p w:rsidR="00BA03E3" w:rsidRPr="00446288" w:rsidRDefault="00BA03E3" w:rsidP="00BA03E3">
      <w:pPr>
        <w:spacing w:after="0" w:line="360" w:lineRule="auto"/>
        <w:jc w:val="both"/>
        <w:rPr>
          <w:rFonts w:ascii="Arial" w:eastAsia="Arial" w:hAnsi="Arial" w:cs="Arial"/>
          <w:color w:val="000000"/>
          <w:sz w:val="24"/>
          <w:szCs w:val="24"/>
          <w:u w:val="single"/>
          <w:lang w:eastAsia="en-ZA"/>
        </w:rPr>
      </w:pPr>
      <w:r w:rsidRPr="00446288">
        <w:rPr>
          <w:rFonts w:ascii="Arial" w:eastAsia="Arial" w:hAnsi="Arial" w:cs="Arial"/>
          <w:color w:val="000000"/>
          <w:sz w:val="24"/>
          <w:szCs w:val="24"/>
          <w:u w:val="single"/>
          <w:lang w:eastAsia="en-ZA"/>
        </w:rPr>
        <w:t xml:space="preserve">Introduction  </w:t>
      </w:r>
    </w:p>
    <w:p w:rsidR="00BA03E3" w:rsidRPr="00446288" w:rsidRDefault="00BA03E3" w:rsidP="00BA5ADE">
      <w:pPr>
        <w:spacing w:after="0" w:line="360" w:lineRule="auto"/>
        <w:rPr>
          <w:rFonts w:ascii="Arial" w:hAnsi="Arial" w:cs="Arial"/>
          <w:sz w:val="24"/>
          <w:szCs w:val="24"/>
        </w:rPr>
      </w:pPr>
    </w:p>
    <w:p w:rsidR="00E0780A" w:rsidRDefault="00E0780A" w:rsidP="00E0780A">
      <w:pPr>
        <w:pStyle w:val="BodyText"/>
        <w:tabs>
          <w:tab w:val="left" w:pos="720"/>
          <w:tab w:val="left" w:pos="2268"/>
        </w:tabs>
        <w:spacing w:line="360" w:lineRule="auto"/>
        <w:jc w:val="both"/>
        <w:rPr>
          <w:rFonts w:ascii="Arial" w:hAnsi="Arial" w:cs="Arial"/>
        </w:rPr>
      </w:pPr>
      <w:r w:rsidRPr="00446288">
        <w:rPr>
          <w:rFonts w:ascii="Arial" w:hAnsi="Arial" w:cs="Arial"/>
        </w:rPr>
        <w:t>[1]</w:t>
      </w:r>
      <w:r w:rsidRPr="00446288">
        <w:rPr>
          <w:rFonts w:ascii="Arial" w:hAnsi="Arial" w:cs="Arial"/>
        </w:rPr>
        <w:tab/>
      </w:r>
      <w:r w:rsidR="00BA03E3" w:rsidRPr="00446288">
        <w:rPr>
          <w:rFonts w:ascii="Arial" w:eastAsia="Arial" w:hAnsi="Arial" w:cs="Arial"/>
          <w:color w:val="000000"/>
          <w:lang w:eastAsia="en-ZA"/>
        </w:rPr>
        <w:t xml:space="preserve">This is an appeal against the ruling by an arbitrator whereby the arbitrator dismissed the appellants’ point </w:t>
      </w:r>
      <w:r w:rsidR="00BA03E3" w:rsidRPr="00446288">
        <w:rPr>
          <w:rFonts w:ascii="Arial" w:eastAsia="Arial" w:hAnsi="Arial" w:cs="Arial"/>
          <w:i/>
          <w:color w:val="000000"/>
          <w:lang w:eastAsia="en-ZA"/>
        </w:rPr>
        <w:t>in limine</w:t>
      </w:r>
      <w:r w:rsidR="00BA03E3" w:rsidRPr="00446288">
        <w:rPr>
          <w:rFonts w:ascii="Arial" w:eastAsia="Arial" w:hAnsi="Arial" w:cs="Arial"/>
          <w:color w:val="000000"/>
          <w:lang w:eastAsia="en-ZA"/>
        </w:rPr>
        <w:t xml:space="preserve"> that the respondents’ referral document</w:t>
      </w:r>
      <w:r w:rsidR="00BA03E3">
        <w:rPr>
          <w:rFonts w:ascii="Arial" w:eastAsia="Arial" w:hAnsi="Arial" w:cs="Arial"/>
          <w:color w:val="000000"/>
          <w:lang w:eastAsia="en-ZA"/>
        </w:rPr>
        <w:t xml:space="preserve"> (Form LC 21) was defective in that the respondents had failed to comply with the provisions of Rule 5 of the Rules relating to the Conduct of Conciliation and Arbitration. The point in </w:t>
      </w:r>
      <w:r w:rsidR="00BA03E3" w:rsidRPr="009E5323">
        <w:rPr>
          <w:rFonts w:ascii="Arial" w:eastAsia="Arial" w:hAnsi="Arial" w:cs="Arial"/>
          <w:i/>
          <w:color w:val="000000"/>
          <w:lang w:eastAsia="en-ZA"/>
        </w:rPr>
        <w:t>limine</w:t>
      </w:r>
      <w:r w:rsidR="00BA03E3">
        <w:rPr>
          <w:rFonts w:ascii="Arial" w:eastAsia="Arial" w:hAnsi="Arial" w:cs="Arial"/>
          <w:color w:val="000000"/>
          <w:lang w:eastAsia="en-ZA"/>
        </w:rPr>
        <w:t xml:space="preserve"> is twofold: firstly that there were no statements by the rest of the respondents attached to the referral document authorising the first respondent, Sem Shipefi, to institute the proceedings on their behalf or to sign the documents on their behalf; and secondly that there was no proof that the respondents had given the Union, </w:t>
      </w:r>
      <w:r w:rsidR="00F9555C">
        <w:rPr>
          <w:rFonts w:ascii="Arial" w:eastAsia="Arial" w:hAnsi="Arial" w:cs="Arial"/>
          <w:color w:val="000000"/>
          <w:lang w:eastAsia="en-ZA"/>
        </w:rPr>
        <w:t>NAFINU</w:t>
      </w:r>
      <w:r w:rsidR="00BA03E3">
        <w:rPr>
          <w:rFonts w:ascii="Arial" w:eastAsia="Arial" w:hAnsi="Arial" w:cs="Arial"/>
          <w:color w:val="000000"/>
          <w:lang w:eastAsia="en-ZA"/>
        </w:rPr>
        <w:t>, a mandate to institute the proceedings on their behalf</w:t>
      </w:r>
      <w:r w:rsidR="00F52DEF">
        <w:rPr>
          <w:rFonts w:ascii="Arial" w:hAnsi="Arial" w:cs="Arial"/>
        </w:rPr>
        <w:t>.</w:t>
      </w:r>
    </w:p>
    <w:p w:rsidR="00961711" w:rsidRDefault="00961711" w:rsidP="00E0780A">
      <w:pPr>
        <w:pStyle w:val="BodyText"/>
        <w:tabs>
          <w:tab w:val="left" w:pos="720"/>
          <w:tab w:val="left" w:pos="2268"/>
        </w:tabs>
        <w:spacing w:line="360" w:lineRule="auto"/>
        <w:jc w:val="both"/>
        <w:rPr>
          <w:rFonts w:ascii="Arial" w:hAnsi="Arial" w:cs="Arial"/>
        </w:rPr>
      </w:pPr>
    </w:p>
    <w:p w:rsidR="00E24E19" w:rsidRDefault="00E24E19" w:rsidP="00E0780A">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r>
      <w:r w:rsidR="00BA03E3">
        <w:rPr>
          <w:rFonts w:ascii="Arial" w:eastAsia="Arial" w:hAnsi="Arial" w:cs="Arial"/>
          <w:color w:val="000000"/>
          <w:lang w:eastAsia="en-ZA"/>
        </w:rPr>
        <w:t>The notice of appeal reads as follows:</w:t>
      </w:r>
    </w:p>
    <w:p w:rsidR="00E0780A" w:rsidRDefault="00E0780A" w:rsidP="003F4137">
      <w:pPr>
        <w:pStyle w:val="BodyText"/>
        <w:spacing w:line="360" w:lineRule="auto"/>
        <w:jc w:val="both"/>
        <w:rPr>
          <w:rFonts w:ascii="Arial" w:hAnsi="Arial" w:cs="Arial"/>
        </w:rPr>
      </w:pPr>
    </w:p>
    <w:p w:rsidR="00BA03E3" w:rsidRPr="00355A85" w:rsidRDefault="00355A85" w:rsidP="00446288">
      <w:pPr>
        <w:tabs>
          <w:tab w:val="left" w:pos="1170"/>
        </w:tabs>
        <w:spacing w:after="0" w:line="360" w:lineRule="auto"/>
        <w:ind w:left="1170" w:hanging="450"/>
        <w:jc w:val="both"/>
        <w:rPr>
          <w:rFonts w:ascii="Arial" w:eastAsia="Arial" w:hAnsi="Arial" w:cs="Arial"/>
          <w:color w:val="000000"/>
          <w:lang w:eastAsia="en-ZA"/>
        </w:rPr>
      </w:pPr>
      <w:r>
        <w:rPr>
          <w:rFonts w:ascii="Arial" w:eastAsia="Arial" w:hAnsi="Arial" w:cs="Arial"/>
          <w:color w:val="000000"/>
          <w:lang w:eastAsia="en-ZA"/>
        </w:rPr>
        <w:t>‘</w:t>
      </w:r>
      <w:r w:rsidR="00BA03E3" w:rsidRPr="00355A85">
        <w:rPr>
          <w:rFonts w:ascii="Arial" w:eastAsia="Arial" w:hAnsi="Arial" w:cs="Arial"/>
          <w:color w:val="000000"/>
          <w:lang w:eastAsia="en-ZA"/>
        </w:rPr>
        <w:t>1</w:t>
      </w:r>
      <w:r>
        <w:rPr>
          <w:rFonts w:ascii="Arial" w:eastAsia="Arial" w:hAnsi="Arial" w:cs="Arial"/>
          <w:color w:val="000000"/>
          <w:lang w:eastAsia="en-ZA"/>
        </w:rPr>
        <w:t>.</w:t>
      </w:r>
      <w:r>
        <w:rPr>
          <w:rFonts w:ascii="Arial" w:eastAsia="Arial" w:hAnsi="Arial" w:cs="Arial"/>
          <w:color w:val="000000"/>
          <w:lang w:eastAsia="en-ZA"/>
        </w:rPr>
        <w:tab/>
      </w:r>
      <w:r w:rsidR="00BA03E3" w:rsidRPr="00355A85">
        <w:rPr>
          <w:rFonts w:ascii="Arial" w:eastAsia="Arial" w:hAnsi="Arial" w:cs="Arial"/>
          <w:color w:val="000000"/>
          <w:lang w:eastAsia="en-ZA"/>
        </w:rPr>
        <w:t>PLEASE TAKE NOTICE THAT the Appellants (Respondents in the above-mentioned arbitration intend to appeal to the Honourable Court pursuant to section 89 of the Labour Act of 2007 against the whole of the ruling of the arbitrator, Mr Lovemore Mughandira, in case CRWK 135-15 dated 26 April 2016 and delivered on 03 May 2016.</w:t>
      </w:r>
    </w:p>
    <w:p w:rsidR="00BA03E3" w:rsidRPr="00355A85" w:rsidRDefault="00BA03E3" w:rsidP="00BA03E3">
      <w:pPr>
        <w:spacing w:after="0" w:line="360" w:lineRule="auto"/>
        <w:ind w:left="720"/>
        <w:jc w:val="both"/>
        <w:rPr>
          <w:rFonts w:ascii="Arial" w:eastAsia="Arial" w:hAnsi="Arial" w:cs="Arial"/>
          <w:color w:val="000000"/>
          <w:lang w:eastAsia="en-ZA"/>
        </w:rPr>
      </w:pPr>
    </w:p>
    <w:p w:rsidR="00BA03E3" w:rsidRPr="00355A85" w:rsidRDefault="00355A85" w:rsidP="00446288">
      <w:pPr>
        <w:tabs>
          <w:tab w:val="left" w:pos="1170"/>
        </w:tabs>
        <w:spacing w:after="0" w:line="360" w:lineRule="auto"/>
        <w:ind w:left="720"/>
        <w:jc w:val="both"/>
        <w:rPr>
          <w:rFonts w:ascii="Arial" w:eastAsia="Arial" w:hAnsi="Arial" w:cs="Arial"/>
          <w:color w:val="000000"/>
          <w:lang w:eastAsia="en-ZA"/>
        </w:rPr>
      </w:pPr>
      <w:r>
        <w:rPr>
          <w:rFonts w:ascii="Arial" w:eastAsia="Arial" w:hAnsi="Arial" w:cs="Arial"/>
          <w:color w:val="000000"/>
          <w:lang w:eastAsia="en-ZA"/>
        </w:rPr>
        <w:t>2.</w:t>
      </w:r>
      <w:r>
        <w:rPr>
          <w:rFonts w:ascii="Arial" w:eastAsia="Arial" w:hAnsi="Arial" w:cs="Arial"/>
          <w:color w:val="000000"/>
          <w:lang w:eastAsia="en-ZA"/>
        </w:rPr>
        <w:tab/>
      </w:r>
      <w:r w:rsidR="00BA03E3" w:rsidRPr="00355A85">
        <w:rPr>
          <w:rFonts w:ascii="Arial" w:eastAsia="Arial" w:hAnsi="Arial" w:cs="Arial"/>
          <w:color w:val="000000"/>
          <w:lang w:eastAsia="en-ZA"/>
        </w:rPr>
        <w:t>The questions of law appealed upon are as follows:</w:t>
      </w:r>
    </w:p>
    <w:p w:rsidR="00BA03E3" w:rsidRPr="00355A85" w:rsidRDefault="00BA03E3" w:rsidP="00BA03E3">
      <w:pPr>
        <w:spacing w:after="0" w:line="360" w:lineRule="auto"/>
        <w:ind w:left="720"/>
        <w:jc w:val="both"/>
        <w:rPr>
          <w:rFonts w:ascii="Arial" w:eastAsia="Arial" w:hAnsi="Arial" w:cs="Arial"/>
          <w:color w:val="000000"/>
          <w:lang w:eastAsia="en-ZA"/>
        </w:rPr>
      </w:pPr>
    </w:p>
    <w:p w:rsidR="00BA03E3" w:rsidRPr="00355A85" w:rsidRDefault="00BA03E3" w:rsidP="00446288">
      <w:pPr>
        <w:tabs>
          <w:tab w:val="left" w:pos="1800"/>
        </w:tabs>
        <w:spacing w:after="0" w:line="360" w:lineRule="auto"/>
        <w:ind w:left="1710" w:hanging="540"/>
        <w:jc w:val="both"/>
        <w:rPr>
          <w:rFonts w:ascii="Arial" w:eastAsia="Arial" w:hAnsi="Arial" w:cs="Arial"/>
          <w:color w:val="000000"/>
          <w:lang w:eastAsia="en-ZA"/>
        </w:rPr>
      </w:pPr>
      <w:r w:rsidRPr="00355A85">
        <w:rPr>
          <w:rFonts w:ascii="Arial" w:eastAsia="Arial" w:hAnsi="Arial" w:cs="Arial"/>
          <w:color w:val="000000"/>
          <w:lang w:eastAsia="en-ZA"/>
        </w:rPr>
        <w:lastRenderedPageBreak/>
        <w:t>2.1</w:t>
      </w:r>
      <w:r w:rsidR="00355A85">
        <w:rPr>
          <w:rFonts w:ascii="Arial" w:eastAsia="Arial" w:hAnsi="Arial" w:cs="Arial"/>
          <w:color w:val="000000"/>
          <w:lang w:eastAsia="en-ZA"/>
        </w:rPr>
        <w:tab/>
      </w:r>
      <w:r w:rsidRPr="00355A85">
        <w:rPr>
          <w:rFonts w:ascii="Arial" w:eastAsia="Arial" w:hAnsi="Arial" w:cs="Arial"/>
          <w:color w:val="000000"/>
          <w:lang w:eastAsia="en-ZA"/>
        </w:rPr>
        <w:t>Whether the issue concerning a lack of mandate for the institution of the action/locus standi was fully and conclusively dealt wit</w:t>
      </w:r>
      <w:r w:rsidR="00355A85">
        <w:rPr>
          <w:rFonts w:ascii="Arial" w:eastAsia="Arial" w:hAnsi="Arial" w:cs="Arial"/>
          <w:color w:val="000000"/>
          <w:lang w:eastAsia="en-ZA"/>
        </w:rPr>
        <w:t>h in his ruling of 12 June 2015.</w:t>
      </w:r>
    </w:p>
    <w:p w:rsidR="00BA03E3" w:rsidRPr="00355A85" w:rsidRDefault="00BA03E3" w:rsidP="00355A85">
      <w:pPr>
        <w:spacing w:after="0" w:line="360" w:lineRule="auto"/>
        <w:jc w:val="both"/>
        <w:rPr>
          <w:rFonts w:ascii="Arial" w:eastAsia="Arial" w:hAnsi="Arial" w:cs="Arial"/>
          <w:color w:val="000000"/>
          <w:lang w:eastAsia="en-ZA"/>
        </w:rPr>
      </w:pPr>
    </w:p>
    <w:p w:rsidR="00BA03E3" w:rsidRPr="00355A85" w:rsidRDefault="00BA03E3" w:rsidP="00446288">
      <w:pPr>
        <w:tabs>
          <w:tab w:val="left" w:pos="1260"/>
          <w:tab w:val="left" w:pos="1710"/>
        </w:tabs>
        <w:spacing w:after="0" w:line="360" w:lineRule="auto"/>
        <w:ind w:left="1710" w:hanging="540"/>
        <w:jc w:val="both"/>
        <w:rPr>
          <w:rFonts w:ascii="Arial" w:eastAsia="Arial" w:hAnsi="Arial" w:cs="Arial"/>
          <w:color w:val="000000"/>
          <w:lang w:eastAsia="en-ZA"/>
        </w:rPr>
      </w:pPr>
      <w:r w:rsidRPr="00355A85">
        <w:rPr>
          <w:rFonts w:ascii="Arial" w:eastAsia="Arial" w:hAnsi="Arial" w:cs="Arial"/>
          <w:color w:val="000000"/>
          <w:lang w:eastAsia="en-ZA"/>
        </w:rPr>
        <w:t>2.2</w:t>
      </w:r>
      <w:r w:rsidR="00355A85">
        <w:rPr>
          <w:rFonts w:ascii="Arial" w:eastAsia="Arial" w:hAnsi="Arial" w:cs="Arial"/>
          <w:color w:val="000000"/>
          <w:lang w:eastAsia="en-ZA"/>
        </w:rPr>
        <w:tab/>
      </w:r>
      <w:r w:rsidRPr="00355A85">
        <w:rPr>
          <w:rFonts w:ascii="Arial" w:eastAsia="Arial" w:hAnsi="Arial" w:cs="Arial"/>
          <w:color w:val="000000"/>
          <w:lang w:eastAsia="en-ZA"/>
        </w:rPr>
        <w:t>Whether the arbitrator failed to take into consideration that the issue that some Respondents herein (</w:t>
      </w:r>
      <w:r w:rsidR="00A336B5">
        <w:rPr>
          <w:rFonts w:ascii="Arial" w:eastAsia="Arial" w:hAnsi="Arial" w:cs="Arial"/>
          <w:color w:val="000000"/>
          <w:lang w:eastAsia="en-ZA"/>
        </w:rPr>
        <w:t>Appellants</w:t>
      </w:r>
      <w:r w:rsidRPr="00355A85">
        <w:rPr>
          <w:rFonts w:ascii="Arial" w:eastAsia="Arial" w:hAnsi="Arial" w:cs="Arial"/>
          <w:color w:val="000000"/>
          <w:lang w:eastAsia="en-ZA"/>
        </w:rPr>
        <w:t xml:space="preserve"> in the dispute), did not give mandate to institution of th</w:t>
      </w:r>
      <w:r w:rsidR="00355A85">
        <w:rPr>
          <w:rFonts w:ascii="Arial" w:eastAsia="Arial" w:hAnsi="Arial" w:cs="Arial"/>
          <w:color w:val="000000"/>
          <w:lang w:eastAsia="en-ZA"/>
        </w:rPr>
        <w:t>e action, was raised before him.</w:t>
      </w:r>
    </w:p>
    <w:p w:rsidR="00BA03E3" w:rsidRPr="00355A85" w:rsidRDefault="00BA03E3" w:rsidP="00355A85">
      <w:pPr>
        <w:spacing w:after="0" w:line="360" w:lineRule="auto"/>
        <w:jc w:val="both"/>
        <w:rPr>
          <w:rFonts w:ascii="Arial" w:eastAsia="Arial" w:hAnsi="Arial" w:cs="Arial"/>
          <w:color w:val="000000"/>
          <w:lang w:eastAsia="en-ZA"/>
        </w:rPr>
      </w:pPr>
    </w:p>
    <w:p w:rsidR="00BA03E3" w:rsidRPr="00355A85" w:rsidRDefault="00BA03E3" w:rsidP="00446288">
      <w:pPr>
        <w:tabs>
          <w:tab w:val="left" w:pos="1890"/>
        </w:tabs>
        <w:spacing w:after="0" w:line="360" w:lineRule="auto"/>
        <w:ind w:left="1710" w:hanging="540"/>
        <w:jc w:val="both"/>
        <w:rPr>
          <w:rFonts w:ascii="Arial" w:eastAsia="Arial" w:hAnsi="Arial" w:cs="Arial"/>
          <w:color w:val="000000"/>
          <w:lang w:eastAsia="en-ZA"/>
        </w:rPr>
      </w:pPr>
      <w:r w:rsidRPr="00355A85">
        <w:rPr>
          <w:rFonts w:ascii="Arial" w:eastAsia="Arial" w:hAnsi="Arial" w:cs="Arial"/>
          <w:color w:val="000000"/>
          <w:lang w:eastAsia="en-ZA"/>
        </w:rPr>
        <w:t>2.3</w:t>
      </w:r>
      <w:r w:rsidR="00355A85">
        <w:rPr>
          <w:rFonts w:ascii="Arial" w:eastAsia="Arial" w:hAnsi="Arial" w:cs="Arial"/>
          <w:color w:val="000000"/>
          <w:lang w:eastAsia="en-ZA"/>
        </w:rPr>
        <w:tab/>
      </w:r>
      <w:r w:rsidRPr="00355A85">
        <w:rPr>
          <w:rFonts w:ascii="Arial" w:eastAsia="Arial" w:hAnsi="Arial" w:cs="Arial"/>
          <w:color w:val="000000"/>
          <w:lang w:eastAsia="en-ZA"/>
        </w:rPr>
        <w:t>Whether the arbitrator failed to take into consideration the list of signatures attached to the referral document did not comply w</w:t>
      </w:r>
      <w:r w:rsidR="00355A85">
        <w:rPr>
          <w:rFonts w:ascii="Arial" w:eastAsia="Arial" w:hAnsi="Arial" w:cs="Arial"/>
          <w:color w:val="000000"/>
          <w:lang w:eastAsia="en-ZA"/>
        </w:rPr>
        <w:t>ith the provisions of Rule 5(3).</w:t>
      </w:r>
    </w:p>
    <w:p w:rsidR="00BA03E3" w:rsidRPr="00355A85" w:rsidRDefault="00BA03E3" w:rsidP="00355A85">
      <w:pPr>
        <w:spacing w:after="0" w:line="360" w:lineRule="auto"/>
        <w:jc w:val="both"/>
        <w:rPr>
          <w:rFonts w:ascii="Arial" w:eastAsia="Arial" w:hAnsi="Arial" w:cs="Arial"/>
          <w:color w:val="000000"/>
          <w:lang w:eastAsia="en-ZA"/>
        </w:rPr>
      </w:pPr>
    </w:p>
    <w:p w:rsidR="00BA03E3" w:rsidRPr="00355A85" w:rsidRDefault="00355A85" w:rsidP="00446288">
      <w:pPr>
        <w:tabs>
          <w:tab w:val="left" w:pos="1890"/>
        </w:tabs>
        <w:spacing w:after="0" w:line="360" w:lineRule="auto"/>
        <w:ind w:left="1710" w:hanging="540"/>
        <w:jc w:val="both"/>
        <w:rPr>
          <w:rFonts w:ascii="Arial" w:eastAsia="Arial" w:hAnsi="Arial" w:cs="Arial"/>
          <w:color w:val="000000"/>
          <w:lang w:eastAsia="en-ZA"/>
        </w:rPr>
      </w:pPr>
      <w:r>
        <w:rPr>
          <w:rFonts w:ascii="Arial" w:eastAsia="Arial" w:hAnsi="Arial" w:cs="Arial"/>
          <w:color w:val="000000"/>
          <w:lang w:eastAsia="en-ZA"/>
        </w:rPr>
        <w:t>2</w:t>
      </w:r>
      <w:r w:rsidR="00BA03E3" w:rsidRPr="00355A85">
        <w:rPr>
          <w:rFonts w:ascii="Arial" w:eastAsia="Arial" w:hAnsi="Arial" w:cs="Arial"/>
          <w:color w:val="000000"/>
          <w:lang w:eastAsia="en-ZA"/>
        </w:rPr>
        <w:t>.4</w:t>
      </w:r>
      <w:r>
        <w:rPr>
          <w:rFonts w:ascii="Arial" w:eastAsia="Arial" w:hAnsi="Arial" w:cs="Arial"/>
          <w:color w:val="000000"/>
          <w:lang w:eastAsia="en-ZA"/>
        </w:rPr>
        <w:tab/>
      </w:r>
      <w:r w:rsidR="00BA03E3" w:rsidRPr="00355A85">
        <w:rPr>
          <w:rFonts w:ascii="Arial" w:eastAsia="Arial" w:hAnsi="Arial" w:cs="Arial"/>
          <w:color w:val="000000"/>
          <w:lang w:eastAsia="en-ZA"/>
        </w:rPr>
        <w:t>Whether the arbitrator failed to properly take into consideration that the issue which underlined the point taken herein, already indicated to be taken at the conciliation proceedings, but that the proper time to raise such point would be at the commencement of the arbitration p</w:t>
      </w:r>
      <w:r>
        <w:rPr>
          <w:rFonts w:ascii="Arial" w:eastAsia="Arial" w:hAnsi="Arial" w:cs="Arial"/>
          <w:color w:val="000000"/>
          <w:lang w:eastAsia="en-ZA"/>
        </w:rPr>
        <w:t>roceedings.</w:t>
      </w:r>
    </w:p>
    <w:p w:rsidR="00BA03E3" w:rsidRPr="00355A85" w:rsidRDefault="00BA03E3" w:rsidP="00355A85">
      <w:pPr>
        <w:spacing w:after="0" w:line="360" w:lineRule="auto"/>
        <w:jc w:val="both"/>
        <w:rPr>
          <w:rFonts w:ascii="Arial" w:eastAsia="Arial" w:hAnsi="Arial" w:cs="Arial"/>
          <w:color w:val="000000"/>
          <w:lang w:eastAsia="en-ZA"/>
        </w:rPr>
      </w:pPr>
    </w:p>
    <w:p w:rsidR="00BA03E3" w:rsidRPr="00355A85" w:rsidRDefault="00355A85" w:rsidP="00446288">
      <w:pPr>
        <w:tabs>
          <w:tab w:val="left" w:pos="1890"/>
        </w:tabs>
        <w:spacing w:after="0" w:line="360" w:lineRule="auto"/>
        <w:ind w:left="1710" w:hanging="540"/>
        <w:jc w:val="both"/>
        <w:rPr>
          <w:rFonts w:ascii="Arial" w:eastAsia="Arial" w:hAnsi="Arial" w:cs="Arial"/>
          <w:color w:val="000000"/>
          <w:lang w:eastAsia="en-ZA"/>
        </w:rPr>
      </w:pPr>
      <w:r>
        <w:rPr>
          <w:rFonts w:ascii="Arial" w:eastAsia="Arial" w:hAnsi="Arial" w:cs="Arial"/>
          <w:color w:val="000000"/>
          <w:lang w:eastAsia="en-ZA"/>
        </w:rPr>
        <w:t>2.5</w:t>
      </w:r>
      <w:r>
        <w:rPr>
          <w:rFonts w:ascii="Arial" w:eastAsia="Arial" w:hAnsi="Arial" w:cs="Arial"/>
          <w:color w:val="000000"/>
          <w:lang w:eastAsia="en-ZA"/>
        </w:rPr>
        <w:tab/>
      </w:r>
      <w:r w:rsidR="00BA03E3" w:rsidRPr="00355A85">
        <w:rPr>
          <w:rFonts w:ascii="Arial" w:eastAsia="Arial" w:hAnsi="Arial" w:cs="Arial"/>
          <w:color w:val="000000"/>
          <w:lang w:eastAsia="en-ZA"/>
        </w:rPr>
        <w:t xml:space="preserve">Whether the arbitrator failed and/or misdirected himself by dismissing the point </w:t>
      </w:r>
      <w:r w:rsidR="00BA03E3" w:rsidRPr="00355A85">
        <w:rPr>
          <w:rFonts w:ascii="Arial" w:eastAsia="Arial" w:hAnsi="Arial" w:cs="Arial"/>
          <w:i/>
          <w:color w:val="000000"/>
          <w:lang w:eastAsia="en-ZA"/>
        </w:rPr>
        <w:t>in limine</w:t>
      </w:r>
      <w:r w:rsidR="00BA03E3" w:rsidRPr="00355A85">
        <w:rPr>
          <w:rFonts w:ascii="Arial" w:eastAsia="Arial" w:hAnsi="Arial" w:cs="Arial"/>
          <w:color w:val="000000"/>
          <w:lang w:eastAsia="en-ZA"/>
        </w:rPr>
        <w:t xml:space="preserve">, whereas on a proper interpretation of the dispute as lodged, and Rule 5 of the Rules relating to the conduct if conciliation and arbitration, he should have upheld the point </w:t>
      </w:r>
      <w:r w:rsidR="00BA03E3" w:rsidRPr="00355A85">
        <w:rPr>
          <w:rFonts w:ascii="Arial" w:eastAsia="Arial" w:hAnsi="Arial" w:cs="Arial"/>
          <w:i/>
          <w:color w:val="000000"/>
          <w:lang w:eastAsia="en-ZA"/>
        </w:rPr>
        <w:t>in limine</w:t>
      </w:r>
      <w:r w:rsidR="00BA03E3" w:rsidRPr="00355A85">
        <w:rPr>
          <w:rFonts w:ascii="Arial" w:eastAsia="Arial" w:hAnsi="Arial" w:cs="Arial"/>
          <w:color w:val="000000"/>
          <w:lang w:eastAsia="en-ZA"/>
        </w:rPr>
        <w:t>.</w:t>
      </w:r>
    </w:p>
    <w:p w:rsidR="00BA03E3" w:rsidRPr="00355A85" w:rsidRDefault="00BA03E3" w:rsidP="00BA03E3">
      <w:pPr>
        <w:spacing w:after="0" w:line="360" w:lineRule="auto"/>
        <w:ind w:left="720"/>
        <w:jc w:val="both"/>
        <w:rPr>
          <w:rFonts w:ascii="Arial" w:eastAsia="Arial" w:hAnsi="Arial" w:cs="Arial"/>
          <w:color w:val="000000"/>
          <w:lang w:eastAsia="en-ZA"/>
        </w:rPr>
      </w:pPr>
    </w:p>
    <w:p w:rsidR="00BA03E3" w:rsidRPr="00355A85" w:rsidRDefault="00355A85" w:rsidP="006C0E0F">
      <w:pPr>
        <w:tabs>
          <w:tab w:val="left" w:pos="1170"/>
        </w:tabs>
        <w:spacing w:after="0" w:line="360" w:lineRule="auto"/>
        <w:ind w:left="720"/>
        <w:jc w:val="both"/>
        <w:rPr>
          <w:rFonts w:ascii="Arial" w:eastAsia="Arial" w:hAnsi="Arial" w:cs="Arial"/>
          <w:color w:val="000000"/>
          <w:lang w:eastAsia="en-ZA"/>
        </w:rPr>
      </w:pPr>
      <w:r>
        <w:rPr>
          <w:rFonts w:ascii="Arial" w:eastAsia="Arial" w:hAnsi="Arial" w:cs="Arial"/>
          <w:color w:val="000000"/>
          <w:lang w:eastAsia="en-ZA"/>
        </w:rPr>
        <w:t>3.</w:t>
      </w:r>
      <w:r>
        <w:rPr>
          <w:rFonts w:ascii="Arial" w:eastAsia="Arial" w:hAnsi="Arial" w:cs="Arial"/>
          <w:color w:val="000000"/>
          <w:lang w:eastAsia="en-ZA"/>
        </w:rPr>
        <w:tab/>
      </w:r>
      <w:r w:rsidR="00BA03E3" w:rsidRPr="00355A85">
        <w:rPr>
          <w:rFonts w:ascii="Arial" w:eastAsia="Arial" w:hAnsi="Arial" w:cs="Arial"/>
          <w:color w:val="000000"/>
          <w:lang w:eastAsia="en-ZA"/>
        </w:rPr>
        <w:t>The grounds of appeal are:</w:t>
      </w:r>
    </w:p>
    <w:p w:rsidR="00BA03E3" w:rsidRPr="00355A85" w:rsidRDefault="00BA03E3" w:rsidP="00BA03E3">
      <w:pPr>
        <w:spacing w:after="0" w:line="360" w:lineRule="auto"/>
        <w:ind w:left="720"/>
        <w:jc w:val="both"/>
        <w:rPr>
          <w:rFonts w:ascii="Arial" w:eastAsia="Arial" w:hAnsi="Arial" w:cs="Arial"/>
          <w:color w:val="000000"/>
          <w:lang w:eastAsia="en-ZA"/>
        </w:rPr>
      </w:pPr>
    </w:p>
    <w:p w:rsidR="00BA03E3" w:rsidRPr="00355A85" w:rsidRDefault="00BA03E3" w:rsidP="006C0E0F">
      <w:pPr>
        <w:tabs>
          <w:tab w:val="left" w:pos="1710"/>
        </w:tabs>
        <w:spacing w:after="0" w:line="360" w:lineRule="auto"/>
        <w:ind w:left="1710" w:hanging="540"/>
        <w:jc w:val="both"/>
        <w:rPr>
          <w:rFonts w:ascii="Arial" w:eastAsia="Arial" w:hAnsi="Arial" w:cs="Arial"/>
          <w:color w:val="000000"/>
          <w:lang w:eastAsia="en-ZA"/>
        </w:rPr>
      </w:pPr>
      <w:r w:rsidRPr="00355A85">
        <w:rPr>
          <w:rFonts w:ascii="Arial" w:eastAsia="Arial" w:hAnsi="Arial" w:cs="Arial"/>
          <w:color w:val="000000"/>
          <w:lang w:eastAsia="en-ZA"/>
        </w:rPr>
        <w:t>3.1</w:t>
      </w:r>
      <w:r w:rsidR="00355A85">
        <w:rPr>
          <w:rFonts w:ascii="Arial" w:eastAsia="Arial" w:hAnsi="Arial" w:cs="Arial"/>
          <w:color w:val="000000"/>
          <w:lang w:eastAsia="en-ZA"/>
        </w:rPr>
        <w:tab/>
      </w:r>
      <w:r w:rsidRPr="00355A85">
        <w:rPr>
          <w:rFonts w:ascii="Arial" w:eastAsia="Arial" w:hAnsi="Arial" w:cs="Arial"/>
          <w:color w:val="000000"/>
          <w:lang w:eastAsia="en-ZA"/>
        </w:rPr>
        <w:t>That the issue concerning a lack of mandate for the institution of the action/locus standi was not fully and conclusively dealt wit</w:t>
      </w:r>
      <w:r w:rsidR="00355A85">
        <w:rPr>
          <w:rFonts w:ascii="Arial" w:eastAsia="Arial" w:hAnsi="Arial" w:cs="Arial"/>
          <w:color w:val="000000"/>
          <w:lang w:eastAsia="en-ZA"/>
        </w:rPr>
        <w:t>h in his ruling of 12 June 2015.</w:t>
      </w:r>
    </w:p>
    <w:p w:rsidR="00BA03E3" w:rsidRPr="00355A85" w:rsidRDefault="00BA03E3" w:rsidP="00355A85">
      <w:pPr>
        <w:spacing w:after="0" w:line="360" w:lineRule="auto"/>
        <w:jc w:val="both"/>
        <w:rPr>
          <w:rFonts w:ascii="Arial" w:eastAsia="Arial" w:hAnsi="Arial" w:cs="Arial"/>
          <w:color w:val="000000"/>
          <w:lang w:eastAsia="en-ZA"/>
        </w:rPr>
      </w:pPr>
    </w:p>
    <w:p w:rsidR="00BA03E3" w:rsidRPr="00355A85" w:rsidRDefault="00355A85" w:rsidP="006C0E0F">
      <w:pPr>
        <w:tabs>
          <w:tab w:val="left" w:pos="1890"/>
        </w:tabs>
        <w:spacing w:after="0" w:line="360" w:lineRule="auto"/>
        <w:ind w:left="1710" w:hanging="540"/>
        <w:jc w:val="both"/>
        <w:rPr>
          <w:rFonts w:ascii="Arial" w:eastAsia="Arial" w:hAnsi="Arial" w:cs="Arial"/>
          <w:color w:val="000000"/>
          <w:lang w:eastAsia="en-ZA"/>
        </w:rPr>
      </w:pPr>
      <w:r>
        <w:rPr>
          <w:rFonts w:ascii="Arial" w:eastAsia="Arial" w:hAnsi="Arial" w:cs="Arial"/>
          <w:color w:val="000000"/>
          <w:lang w:eastAsia="en-ZA"/>
        </w:rPr>
        <w:t>3.</w:t>
      </w:r>
      <w:r w:rsidR="00BA03E3" w:rsidRPr="00355A85">
        <w:rPr>
          <w:rFonts w:ascii="Arial" w:eastAsia="Arial" w:hAnsi="Arial" w:cs="Arial"/>
          <w:color w:val="000000"/>
          <w:lang w:eastAsia="en-ZA"/>
        </w:rPr>
        <w:t>2</w:t>
      </w:r>
      <w:r>
        <w:rPr>
          <w:rFonts w:ascii="Arial" w:eastAsia="Arial" w:hAnsi="Arial" w:cs="Arial"/>
          <w:color w:val="000000"/>
          <w:lang w:eastAsia="en-ZA"/>
        </w:rPr>
        <w:tab/>
      </w:r>
      <w:r w:rsidR="00BA03E3" w:rsidRPr="00355A85">
        <w:rPr>
          <w:rFonts w:ascii="Arial" w:eastAsia="Arial" w:hAnsi="Arial" w:cs="Arial"/>
          <w:color w:val="000000"/>
          <w:lang w:eastAsia="en-ZA"/>
        </w:rPr>
        <w:t>That the arbitrator failed to take into consideration that the issue that some Respondents herein (</w:t>
      </w:r>
      <w:r w:rsidR="00A336B5">
        <w:rPr>
          <w:rFonts w:ascii="Arial" w:eastAsia="Arial" w:hAnsi="Arial" w:cs="Arial"/>
          <w:color w:val="000000"/>
          <w:lang w:eastAsia="en-ZA"/>
        </w:rPr>
        <w:t>Appellants</w:t>
      </w:r>
      <w:r w:rsidR="00BA03E3" w:rsidRPr="00355A85">
        <w:rPr>
          <w:rFonts w:ascii="Arial" w:eastAsia="Arial" w:hAnsi="Arial" w:cs="Arial"/>
          <w:color w:val="000000"/>
          <w:lang w:eastAsia="en-ZA"/>
        </w:rPr>
        <w:t xml:space="preserve"> in the dispute), did not give mandate to institution of the action, was raised before him and he was requested to indicate whether he would like to receive written confirmation of such, but declined to take up such invitation and would he have done so, he would have had t</w:t>
      </w:r>
      <w:r>
        <w:rPr>
          <w:rFonts w:ascii="Arial" w:eastAsia="Arial" w:hAnsi="Arial" w:cs="Arial"/>
          <w:color w:val="000000"/>
          <w:lang w:eastAsia="en-ZA"/>
        </w:rPr>
        <w:t>he relevant evidence before him.</w:t>
      </w:r>
    </w:p>
    <w:p w:rsidR="00BA03E3" w:rsidRPr="00355A85" w:rsidRDefault="00BA03E3" w:rsidP="00355A85">
      <w:pPr>
        <w:spacing w:after="0" w:line="360" w:lineRule="auto"/>
        <w:jc w:val="both"/>
        <w:rPr>
          <w:rFonts w:ascii="Arial" w:eastAsia="Arial" w:hAnsi="Arial" w:cs="Arial"/>
          <w:color w:val="000000"/>
          <w:lang w:eastAsia="en-ZA"/>
        </w:rPr>
      </w:pPr>
    </w:p>
    <w:p w:rsidR="00BA03E3" w:rsidRPr="00355A85" w:rsidRDefault="00BA03E3" w:rsidP="006C0E0F">
      <w:pPr>
        <w:tabs>
          <w:tab w:val="left" w:pos="1890"/>
        </w:tabs>
        <w:spacing w:after="0" w:line="360" w:lineRule="auto"/>
        <w:ind w:left="1710" w:hanging="540"/>
        <w:jc w:val="both"/>
        <w:rPr>
          <w:rFonts w:ascii="Arial" w:eastAsia="Arial" w:hAnsi="Arial" w:cs="Arial"/>
          <w:color w:val="000000"/>
          <w:lang w:eastAsia="en-ZA"/>
        </w:rPr>
      </w:pPr>
      <w:r w:rsidRPr="00355A85">
        <w:rPr>
          <w:rFonts w:ascii="Arial" w:eastAsia="Arial" w:hAnsi="Arial" w:cs="Arial"/>
          <w:color w:val="000000"/>
          <w:lang w:eastAsia="en-ZA"/>
        </w:rPr>
        <w:t>3.3</w:t>
      </w:r>
      <w:r w:rsidR="00355A85">
        <w:rPr>
          <w:rFonts w:ascii="Arial" w:eastAsia="Arial" w:hAnsi="Arial" w:cs="Arial"/>
          <w:color w:val="000000"/>
          <w:lang w:eastAsia="en-ZA"/>
        </w:rPr>
        <w:tab/>
      </w:r>
      <w:r w:rsidRPr="00355A85">
        <w:rPr>
          <w:rFonts w:ascii="Arial" w:eastAsia="Arial" w:hAnsi="Arial" w:cs="Arial"/>
          <w:color w:val="000000"/>
          <w:lang w:eastAsia="en-ZA"/>
        </w:rPr>
        <w:t>The arbitrator failed to take into consideration the list of signatures attached to the referral document did not comply w</w:t>
      </w:r>
      <w:r w:rsidR="00355A85">
        <w:rPr>
          <w:rFonts w:ascii="Arial" w:eastAsia="Arial" w:hAnsi="Arial" w:cs="Arial"/>
          <w:color w:val="000000"/>
          <w:lang w:eastAsia="en-ZA"/>
        </w:rPr>
        <w:t>ith the provisions of Rule 5(3).</w:t>
      </w:r>
    </w:p>
    <w:p w:rsidR="00BA03E3" w:rsidRPr="00355A85" w:rsidRDefault="00BA03E3" w:rsidP="00355A85">
      <w:pPr>
        <w:spacing w:after="0" w:line="360" w:lineRule="auto"/>
        <w:jc w:val="both"/>
        <w:rPr>
          <w:rFonts w:ascii="Arial" w:eastAsia="Arial" w:hAnsi="Arial" w:cs="Arial"/>
          <w:color w:val="000000"/>
          <w:lang w:eastAsia="en-ZA"/>
        </w:rPr>
      </w:pPr>
    </w:p>
    <w:p w:rsidR="00BA03E3" w:rsidRPr="00355A85" w:rsidRDefault="00355A85" w:rsidP="006C0E0F">
      <w:pPr>
        <w:tabs>
          <w:tab w:val="left" w:pos="1890"/>
        </w:tabs>
        <w:spacing w:after="0" w:line="360" w:lineRule="auto"/>
        <w:ind w:left="1710" w:hanging="540"/>
        <w:jc w:val="both"/>
        <w:rPr>
          <w:rFonts w:ascii="Arial" w:eastAsia="Arial" w:hAnsi="Arial" w:cs="Arial"/>
          <w:color w:val="000000"/>
          <w:lang w:eastAsia="en-ZA"/>
        </w:rPr>
      </w:pPr>
      <w:r>
        <w:rPr>
          <w:rFonts w:ascii="Arial" w:eastAsia="Arial" w:hAnsi="Arial" w:cs="Arial"/>
          <w:color w:val="000000"/>
          <w:lang w:eastAsia="en-ZA"/>
        </w:rPr>
        <w:t>3.</w:t>
      </w:r>
      <w:r w:rsidR="00BA03E3" w:rsidRPr="00355A85">
        <w:rPr>
          <w:rFonts w:ascii="Arial" w:eastAsia="Arial" w:hAnsi="Arial" w:cs="Arial"/>
          <w:color w:val="000000"/>
          <w:lang w:eastAsia="en-ZA"/>
        </w:rPr>
        <w:t>4</w:t>
      </w:r>
      <w:r>
        <w:rPr>
          <w:rFonts w:ascii="Arial" w:eastAsia="Arial" w:hAnsi="Arial" w:cs="Arial"/>
          <w:color w:val="000000"/>
          <w:lang w:eastAsia="en-ZA"/>
        </w:rPr>
        <w:tab/>
      </w:r>
      <w:r w:rsidR="00BA03E3" w:rsidRPr="00355A85">
        <w:rPr>
          <w:rFonts w:ascii="Arial" w:eastAsia="Arial" w:hAnsi="Arial" w:cs="Arial"/>
          <w:color w:val="000000"/>
          <w:lang w:eastAsia="en-ZA"/>
        </w:rPr>
        <w:t>The arbitrator failed to properly take into consideration that the issue which underlined the point taken herein, was already indicated to be taken at the conciliation proceedings, but that the proper time to raise such point would be at the commencement of the arbitration proceedings, which are the formal proceedings, whereas conciliation proceedings are informal, not on record and in respect of which the presiding officer is only a conciliator and as such cannot act in the function as he did herein, being that of an arbitrator and making</w:t>
      </w:r>
      <w:r>
        <w:rPr>
          <w:rFonts w:ascii="Arial" w:eastAsia="Arial" w:hAnsi="Arial" w:cs="Arial"/>
          <w:color w:val="000000"/>
          <w:lang w:eastAsia="en-ZA"/>
        </w:rPr>
        <w:t xml:space="preserve"> accordingly appropriate ruling.</w:t>
      </w:r>
    </w:p>
    <w:p w:rsidR="00BA03E3" w:rsidRPr="00355A85" w:rsidRDefault="00BA03E3" w:rsidP="00355A85">
      <w:pPr>
        <w:spacing w:after="0" w:line="360" w:lineRule="auto"/>
        <w:jc w:val="both"/>
        <w:rPr>
          <w:rFonts w:ascii="Arial" w:eastAsia="Arial" w:hAnsi="Arial" w:cs="Arial"/>
          <w:color w:val="000000"/>
          <w:lang w:eastAsia="en-ZA"/>
        </w:rPr>
      </w:pPr>
    </w:p>
    <w:p w:rsidR="00BA03E3" w:rsidRDefault="00355A85" w:rsidP="006C0E0F">
      <w:pPr>
        <w:pStyle w:val="BodyText"/>
        <w:tabs>
          <w:tab w:val="left" w:pos="1890"/>
        </w:tabs>
        <w:spacing w:line="360" w:lineRule="auto"/>
        <w:ind w:left="1710" w:hanging="540"/>
        <w:jc w:val="both"/>
        <w:rPr>
          <w:rFonts w:ascii="Arial" w:hAnsi="Arial" w:cs="Arial"/>
        </w:rPr>
      </w:pPr>
      <w:r>
        <w:rPr>
          <w:rFonts w:ascii="Arial" w:eastAsia="Arial" w:hAnsi="Arial" w:cs="Arial"/>
          <w:color w:val="000000"/>
          <w:sz w:val="22"/>
          <w:szCs w:val="22"/>
          <w:lang w:eastAsia="en-ZA"/>
        </w:rPr>
        <w:t>3.</w:t>
      </w:r>
      <w:r w:rsidR="00BA03E3" w:rsidRPr="00355A85">
        <w:rPr>
          <w:rFonts w:ascii="Arial" w:eastAsia="Arial" w:hAnsi="Arial" w:cs="Arial"/>
          <w:color w:val="000000"/>
          <w:sz w:val="22"/>
          <w:szCs w:val="22"/>
          <w:lang w:eastAsia="en-ZA"/>
        </w:rPr>
        <w:t>5</w:t>
      </w:r>
      <w:r>
        <w:rPr>
          <w:rFonts w:ascii="Arial" w:eastAsia="Arial" w:hAnsi="Arial" w:cs="Arial"/>
          <w:color w:val="000000"/>
          <w:sz w:val="22"/>
          <w:szCs w:val="22"/>
          <w:lang w:eastAsia="en-ZA"/>
        </w:rPr>
        <w:tab/>
      </w:r>
      <w:r w:rsidR="00BA03E3" w:rsidRPr="00355A85">
        <w:rPr>
          <w:rFonts w:ascii="Arial" w:eastAsia="Arial" w:hAnsi="Arial" w:cs="Arial"/>
          <w:color w:val="000000"/>
          <w:sz w:val="22"/>
          <w:szCs w:val="22"/>
          <w:lang w:eastAsia="en-ZA"/>
        </w:rPr>
        <w:t xml:space="preserve">The arbitrator failed and/or misdirected himself by dismissing the point </w:t>
      </w:r>
      <w:r w:rsidR="00BA03E3" w:rsidRPr="00355A85">
        <w:rPr>
          <w:rFonts w:ascii="Arial" w:eastAsia="Arial" w:hAnsi="Arial" w:cs="Arial"/>
          <w:i/>
          <w:color w:val="000000"/>
          <w:sz w:val="22"/>
          <w:szCs w:val="22"/>
          <w:lang w:eastAsia="en-ZA"/>
        </w:rPr>
        <w:t>in limine</w:t>
      </w:r>
      <w:r w:rsidR="00BA03E3" w:rsidRPr="00355A85">
        <w:rPr>
          <w:rFonts w:ascii="Arial" w:eastAsia="Arial" w:hAnsi="Arial" w:cs="Arial"/>
          <w:color w:val="000000"/>
          <w:sz w:val="22"/>
          <w:szCs w:val="22"/>
          <w:lang w:eastAsia="en-ZA"/>
        </w:rPr>
        <w:t xml:space="preserve">, whereas on a proper interpretation of the dispute as lodged, and Rule 5 of the Rules relating to the conduct if conciliation and arbitration, he should have upheld the point </w:t>
      </w:r>
      <w:r w:rsidR="00BA03E3" w:rsidRPr="00355A85">
        <w:rPr>
          <w:rFonts w:ascii="Arial" w:eastAsia="Arial" w:hAnsi="Arial" w:cs="Arial"/>
          <w:i/>
          <w:color w:val="000000"/>
          <w:sz w:val="22"/>
          <w:szCs w:val="22"/>
          <w:lang w:eastAsia="en-ZA"/>
        </w:rPr>
        <w:t>in limine</w:t>
      </w:r>
      <w:r w:rsidR="00BA03E3" w:rsidRPr="00355A85">
        <w:rPr>
          <w:rFonts w:ascii="Arial" w:eastAsia="Arial" w:hAnsi="Arial" w:cs="Arial"/>
          <w:color w:val="000000"/>
          <w:sz w:val="22"/>
          <w:szCs w:val="22"/>
          <w:lang w:eastAsia="en-ZA"/>
        </w:rPr>
        <w:t>.</w:t>
      </w:r>
      <w:r>
        <w:rPr>
          <w:rFonts w:ascii="Arial" w:eastAsia="Arial" w:hAnsi="Arial" w:cs="Arial"/>
          <w:color w:val="000000"/>
          <w:sz w:val="22"/>
          <w:szCs w:val="22"/>
          <w:lang w:eastAsia="en-ZA"/>
        </w:rPr>
        <w:t>’</w:t>
      </w:r>
    </w:p>
    <w:p w:rsidR="00BA03E3" w:rsidRPr="00635A6B" w:rsidRDefault="00BA03E3" w:rsidP="003F4137">
      <w:pPr>
        <w:pStyle w:val="BodyText"/>
        <w:spacing w:line="360" w:lineRule="auto"/>
        <w:jc w:val="both"/>
        <w:rPr>
          <w:rFonts w:ascii="Arial" w:hAnsi="Arial" w:cs="Arial"/>
        </w:rPr>
      </w:pPr>
    </w:p>
    <w:p w:rsidR="00071840" w:rsidRPr="00E0780A" w:rsidRDefault="00536EAB" w:rsidP="003F4137">
      <w:pPr>
        <w:pStyle w:val="BodyText"/>
        <w:spacing w:line="360" w:lineRule="auto"/>
        <w:jc w:val="both"/>
        <w:rPr>
          <w:rFonts w:ascii="Arial" w:hAnsi="Arial" w:cs="Arial"/>
        </w:rPr>
      </w:pPr>
      <w:r w:rsidRPr="00635A6B">
        <w:rPr>
          <w:rFonts w:ascii="Arial" w:hAnsi="Arial" w:cs="Arial"/>
        </w:rPr>
        <w:t>[3]</w:t>
      </w:r>
      <w:r w:rsidRPr="00635A6B">
        <w:rPr>
          <w:rFonts w:ascii="Arial" w:hAnsi="Arial" w:cs="Arial"/>
        </w:rPr>
        <w:tab/>
      </w:r>
      <w:r w:rsidR="00BA03E3">
        <w:rPr>
          <w:rFonts w:ascii="Arial" w:eastAsia="Arial" w:hAnsi="Arial" w:cs="Arial"/>
          <w:color w:val="000000"/>
          <w:lang w:eastAsia="en-ZA"/>
        </w:rPr>
        <w:t>Mr Mueller appeared for the appellants whereas Ms Katjipuka appeared for the respondents. Counsel filed comprehensive heads of arguments. The court wishes to express its appreciation for their diligence</w:t>
      </w:r>
      <w:r w:rsidR="003628E4">
        <w:rPr>
          <w:rFonts w:ascii="Arial" w:hAnsi="Arial" w:cs="Arial"/>
        </w:rPr>
        <w:t>.</w:t>
      </w:r>
    </w:p>
    <w:p w:rsidR="000A36D1" w:rsidRDefault="000A36D1" w:rsidP="00BA03E3">
      <w:pPr>
        <w:tabs>
          <w:tab w:val="left" w:pos="1350"/>
        </w:tabs>
        <w:spacing w:after="0" w:line="360" w:lineRule="auto"/>
        <w:jc w:val="both"/>
        <w:rPr>
          <w:rFonts w:ascii="Arial" w:hAnsi="Arial" w:cs="Arial"/>
          <w:sz w:val="24"/>
          <w:szCs w:val="24"/>
        </w:rPr>
      </w:pPr>
    </w:p>
    <w:p w:rsidR="00BA03E3" w:rsidRPr="00996323" w:rsidRDefault="00BA03E3" w:rsidP="00BA03E3">
      <w:pPr>
        <w:spacing w:after="0" w:line="360" w:lineRule="auto"/>
        <w:jc w:val="both"/>
        <w:rPr>
          <w:rFonts w:ascii="Arial" w:eastAsia="Arial" w:hAnsi="Arial" w:cs="Arial"/>
          <w:color w:val="000000"/>
          <w:sz w:val="24"/>
          <w:szCs w:val="24"/>
          <w:u w:val="single"/>
          <w:lang w:eastAsia="en-ZA"/>
        </w:rPr>
      </w:pPr>
      <w:r w:rsidRPr="00996323">
        <w:rPr>
          <w:rFonts w:ascii="Arial" w:eastAsia="Arial" w:hAnsi="Arial" w:cs="Arial"/>
          <w:color w:val="000000"/>
          <w:sz w:val="24"/>
          <w:szCs w:val="24"/>
          <w:u w:val="single"/>
          <w:lang w:eastAsia="en-ZA"/>
        </w:rPr>
        <w:t>Factual Background</w:t>
      </w:r>
    </w:p>
    <w:p w:rsidR="00BA03E3" w:rsidRDefault="00BA03E3" w:rsidP="00BA03E3">
      <w:pPr>
        <w:tabs>
          <w:tab w:val="left" w:pos="1350"/>
        </w:tabs>
        <w:spacing w:after="0" w:line="360" w:lineRule="auto"/>
        <w:jc w:val="both"/>
        <w:rPr>
          <w:rFonts w:ascii="Arial" w:hAnsi="Arial" w:cs="Arial"/>
          <w:sz w:val="24"/>
          <w:szCs w:val="24"/>
        </w:rPr>
      </w:pPr>
    </w:p>
    <w:p w:rsidR="000E6399" w:rsidRPr="00790FF4" w:rsidRDefault="00536EAB" w:rsidP="00BA03E3">
      <w:pPr>
        <w:spacing w:after="0" w:line="360" w:lineRule="auto"/>
        <w:jc w:val="both"/>
        <w:rPr>
          <w:rFonts w:ascii="Arial" w:hAnsi="Arial" w:cs="Arial"/>
          <w:sz w:val="24"/>
          <w:szCs w:val="24"/>
        </w:rPr>
      </w:pPr>
      <w:r w:rsidRPr="00790FF4">
        <w:rPr>
          <w:rFonts w:ascii="Arial" w:hAnsi="Arial" w:cs="Arial"/>
          <w:sz w:val="24"/>
          <w:szCs w:val="24"/>
        </w:rPr>
        <w:t>[4]</w:t>
      </w:r>
      <w:r w:rsidRPr="00790FF4">
        <w:rPr>
          <w:rFonts w:ascii="Arial" w:hAnsi="Arial" w:cs="Arial"/>
          <w:sz w:val="24"/>
          <w:szCs w:val="24"/>
        </w:rPr>
        <w:tab/>
      </w:r>
      <w:r w:rsidR="00BA03E3">
        <w:rPr>
          <w:rFonts w:ascii="Arial" w:eastAsia="Arial" w:hAnsi="Arial" w:cs="Arial"/>
          <w:color w:val="000000"/>
          <w:sz w:val="24"/>
          <w:szCs w:val="24"/>
          <w:lang w:eastAsia="en-ZA"/>
        </w:rPr>
        <w:t>It is common cause that the first appellant</w:t>
      </w:r>
      <w:r w:rsidR="00222B3B">
        <w:rPr>
          <w:rFonts w:ascii="Arial" w:eastAsia="Arial" w:hAnsi="Arial" w:cs="Arial"/>
          <w:color w:val="000000"/>
          <w:sz w:val="24"/>
          <w:szCs w:val="24"/>
          <w:lang w:eastAsia="en-ZA"/>
        </w:rPr>
        <w:t>’s</w:t>
      </w:r>
      <w:r w:rsidR="00BA03E3">
        <w:rPr>
          <w:rFonts w:ascii="Arial" w:eastAsia="Arial" w:hAnsi="Arial" w:cs="Arial"/>
          <w:color w:val="000000"/>
          <w:sz w:val="24"/>
          <w:szCs w:val="24"/>
          <w:lang w:eastAsia="en-ZA"/>
        </w:rPr>
        <w:t xml:space="preserve"> business operation was taken over by the second appellant and that the first appellant no longer exists. On 10 February 2014, the first appellant informed the Namibian Financial Institutions Union (‘</w:t>
      </w:r>
      <w:r w:rsidR="00F9555C">
        <w:rPr>
          <w:rFonts w:ascii="Arial" w:eastAsia="Arial" w:hAnsi="Arial" w:cs="Arial"/>
          <w:color w:val="000000"/>
          <w:sz w:val="24"/>
          <w:szCs w:val="24"/>
          <w:lang w:eastAsia="en-ZA"/>
        </w:rPr>
        <w:t>NAFINU</w:t>
      </w:r>
      <w:r w:rsidR="00BA03E3">
        <w:rPr>
          <w:rFonts w:ascii="Arial" w:eastAsia="Arial" w:hAnsi="Arial" w:cs="Arial"/>
          <w:color w:val="000000"/>
          <w:sz w:val="24"/>
          <w:szCs w:val="24"/>
          <w:lang w:eastAsia="en-ZA"/>
        </w:rPr>
        <w:t xml:space="preserve">’) of its decision to retrench its employees. </w:t>
      </w:r>
      <w:r w:rsidR="00F9555C">
        <w:rPr>
          <w:rFonts w:ascii="Arial" w:eastAsia="Arial" w:hAnsi="Arial" w:cs="Arial"/>
          <w:color w:val="000000"/>
          <w:sz w:val="24"/>
          <w:szCs w:val="24"/>
          <w:lang w:eastAsia="en-ZA"/>
        </w:rPr>
        <w:t>NAFINU</w:t>
      </w:r>
      <w:r w:rsidR="00BA03E3">
        <w:rPr>
          <w:rFonts w:ascii="Arial" w:eastAsia="Arial" w:hAnsi="Arial" w:cs="Arial"/>
          <w:color w:val="000000"/>
          <w:sz w:val="24"/>
          <w:szCs w:val="24"/>
          <w:lang w:eastAsia="en-ZA"/>
        </w:rPr>
        <w:t xml:space="preserve"> has been the recognized trade union for the employees of the appellants. It is alleged that the respondents are all members of </w:t>
      </w:r>
      <w:r w:rsidR="00F9555C">
        <w:rPr>
          <w:rFonts w:ascii="Arial" w:eastAsia="Arial" w:hAnsi="Arial" w:cs="Arial"/>
          <w:color w:val="000000"/>
          <w:sz w:val="24"/>
          <w:szCs w:val="24"/>
          <w:lang w:eastAsia="en-ZA"/>
        </w:rPr>
        <w:t>NAFINU</w:t>
      </w:r>
      <w:r w:rsidR="00BA03E3">
        <w:rPr>
          <w:rFonts w:ascii="Arial" w:eastAsia="Arial" w:hAnsi="Arial" w:cs="Arial"/>
          <w:color w:val="000000"/>
          <w:sz w:val="24"/>
          <w:szCs w:val="24"/>
          <w:lang w:eastAsia="en-ZA"/>
        </w:rPr>
        <w:t xml:space="preserve">. </w:t>
      </w:r>
      <w:r w:rsidR="00BA03E3" w:rsidRPr="003D36D4">
        <w:rPr>
          <w:rFonts w:ascii="Arial" w:eastAsia="Arial" w:hAnsi="Arial" w:cs="Arial"/>
          <w:color w:val="000000"/>
          <w:sz w:val="24"/>
          <w:szCs w:val="24"/>
          <w:lang w:eastAsia="en-ZA"/>
        </w:rPr>
        <w:t>On 17 February 2015</w:t>
      </w:r>
      <w:r w:rsidR="00BA03E3">
        <w:rPr>
          <w:rFonts w:ascii="Arial" w:eastAsia="Arial" w:hAnsi="Arial" w:cs="Arial"/>
          <w:color w:val="000000"/>
          <w:sz w:val="24"/>
          <w:szCs w:val="24"/>
          <w:lang w:eastAsia="en-ZA"/>
        </w:rPr>
        <w:t>,</w:t>
      </w:r>
      <w:r w:rsidR="00BA03E3" w:rsidRPr="003D36D4">
        <w:rPr>
          <w:rFonts w:ascii="Arial" w:eastAsia="Arial" w:hAnsi="Arial" w:cs="Arial"/>
          <w:color w:val="000000"/>
          <w:sz w:val="24"/>
          <w:szCs w:val="24"/>
          <w:lang w:eastAsia="en-ZA"/>
        </w:rPr>
        <w:t xml:space="preserve"> the respondents referred their dispute to the Labour Commissioner</w:t>
      </w:r>
      <w:r w:rsidR="00BA03E3">
        <w:rPr>
          <w:rFonts w:ascii="Arial" w:eastAsia="Arial" w:hAnsi="Arial" w:cs="Arial"/>
          <w:color w:val="000000"/>
          <w:sz w:val="24"/>
          <w:szCs w:val="24"/>
          <w:lang w:eastAsia="en-ZA"/>
        </w:rPr>
        <w:t xml:space="preserve"> claiming that they had been unfairly dismissed</w:t>
      </w:r>
      <w:r w:rsidR="003628E4">
        <w:rPr>
          <w:rFonts w:ascii="Arial" w:hAnsi="Arial" w:cs="Arial"/>
          <w:sz w:val="24"/>
          <w:szCs w:val="24"/>
        </w:rPr>
        <w:t>.</w:t>
      </w:r>
    </w:p>
    <w:p w:rsidR="004B006A" w:rsidRDefault="004B006A" w:rsidP="00536EAB">
      <w:pPr>
        <w:spacing w:after="0" w:line="360" w:lineRule="auto"/>
        <w:jc w:val="both"/>
        <w:rPr>
          <w:rFonts w:ascii="Arial" w:hAnsi="Arial" w:cs="Arial"/>
          <w:sz w:val="24"/>
          <w:szCs w:val="24"/>
        </w:rPr>
      </w:pPr>
    </w:p>
    <w:p w:rsidR="004B006A" w:rsidRDefault="00B76CA7" w:rsidP="00B76CA7">
      <w:pPr>
        <w:spacing w:after="0" w:line="360" w:lineRule="auto"/>
        <w:jc w:val="both"/>
        <w:rPr>
          <w:rFonts w:ascii="Arial" w:hAnsi="Arial" w:cs="Arial"/>
          <w:sz w:val="24"/>
          <w:szCs w:val="24"/>
        </w:rPr>
      </w:pPr>
      <w:r w:rsidRPr="00790FF4">
        <w:rPr>
          <w:rFonts w:ascii="Arial" w:hAnsi="Arial" w:cs="Arial"/>
          <w:sz w:val="24"/>
          <w:szCs w:val="24"/>
        </w:rPr>
        <w:t>[</w:t>
      </w:r>
      <w:r w:rsidR="00972A52" w:rsidRPr="00790FF4">
        <w:rPr>
          <w:rFonts w:ascii="Arial" w:hAnsi="Arial" w:cs="Arial"/>
          <w:sz w:val="24"/>
          <w:szCs w:val="24"/>
        </w:rPr>
        <w:t>5</w:t>
      </w:r>
      <w:r w:rsidRPr="00790FF4">
        <w:rPr>
          <w:rFonts w:ascii="Arial" w:hAnsi="Arial" w:cs="Arial"/>
          <w:sz w:val="24"/>
          <w:szCs w:val="24"/>
        </w:rPr>
        <w:t>]</w:t>
      </w:r>
      <w:r w:rsidRPr="00790FF4">
        <w:rPr>
          <w:rFonts w:ascii="Arial" w:hAnsi="Arial" w:cs="Arial"/>
          <w:sz w:val="24"/>
          <w:szCs w:val="24"/>
        </w:rPr>
        <w:tab/>
      </w:r>
      <w:r w:rsidR="00BA03E3">
        <w:rPr>
          <w:rFonts w:ascii="Arial" w:eastAsia="Arial" w:hAnsi="Arial" w:cs="Arial"/>
          <w:color w:val="000000"/>
          <w:sz w:val="24"/>
          <w:szCs w:val="24"/>
          <w:lang w:eastAsia="en-ZA"/>
        </w:rPr>
        <w:t xml:space="preserve">The matter started off with conciliation proceedings, which failed. Thereafter arbitration proceedings commenced. </w:t>
      </w:r>
      <w:r w:rsidR="00BA03E3" w:rsidRPr="007C4302">
        <w:rPr>
          <w:rFonts w:ascii="Arial" w:eastAsia="Arial" w:hAnsi="Arial" w:cs="Arial"/>
          <w:color w:val="000000"/>
          <w:sz w:val="24"/>
          <w:szCs w:val="24"/>
          <w:lang w:eastAsia="en-ZA"/>
        </w:rPr>
        <w:t xml:space="preserve">The proceedings </w:t>
      </w:r>
      <w:r w:rsidR="00BA03E3">
        <w:rPr>
          <w:rFonts w:ascii="Arial" w:eastAsia="Arial" w:hAnsi="Arial" w:cs="Arial"/>
          <w:color w:val="000000"/>
          <w:sz w:val="24"/>
          <w:szCs w:val="24"/>
          <w:lang w:eastAsia="en-ZA"/>
        </w:rPr>
        <w:t>were</w:t>
      </w:r>
      <w:r w:rsidR="00BA03E3" w:rsidRPr="007C4302">
        <w:rPr>
          <w:rFonts w:ascii="Arial" w:eastAsia="Arial" w:hAnsi="Arial" w:cs="Arial"/>
          <w:color w:val="000000"/>
          <w:sz w:val="24"/>
          <w:szCs w:val="24"/>
          <w:lang w:eastAsia="en-ZA"/>
        </w:rPr>
        <w:t xml:space="preserve"> </w:t>
      </w:r>
      <w:r w:rsidR="00BA03E3">
        <w:rPr>
          <w:rFonts w:ascii="Arial" w:eastAsia="Arial" w:hAnsi="Arial" w:cs="Arial"/>
          <w:color w:val="000000"/>
          <w:sz w:val="24"/>
          <w:szCs w:val="24"/>
          <w:lang w:eastAsia="en-ZA"/>
        </w:rPr>
        <w:t xml:space="preserve">bogged down by applications on </w:t>
      </w:r>
      <w:r w:rsidR="00BA03E3" w:rsidRPr="007C4302">
        <w:rPr>
          <w:rFonts w:ascii="Arial" w:eastAsia="Arial" w:hAnsi="Arial" w:cs="Arial"/>
          <w:color w:val="000000"/>
          <w:sz w:val="24"/>
          <w:szCs w:val="24"/>
          <w:lang w:eastAsia="en-ZA"/>
        </w:rPr>
        <w:t xml:space="preserve">a series of points </w:t>
      </w:r>
      <w:r w:rsidR="00BA03E3" w:rsidRPr="007C4302">
        <w:rPr>
          <w:rFonts w:ascii="Arial" w:eastAsia="Arial" w:hAnsi="Arial" w:cs="Arial"/>
          <w:i/>
          <w:color w:val="000000"/>
          <w:sz w:val="24"/>
          <w:szCs w:val="24"/>
          <w:lang w:eastAsia="en-ZA"/>
        </w:rPr>
        <w:t>in limine</w:t>
      </w:r>
      <w:r w:rsidR="00BA03E3" w:rsidRPr="007C4302">
        <w:rPr>
          <w:rFonts w:ascii="Arial" w:eastAsia="Arial" w:hAnsi="Arial" w:cs="Arial"/>
          <w:color w:val="000000"/>
          <w:sz w:val="24"/>
          <w:szCs w:val="24"/>
          <w:lang w:eastAsia="en-ZA"/>
        </w:rPr>
        <w:t xml:space="preserve"> raised by the appellants</w:t>
      </w:r>
      <w:r w:rsidR="00BA03E3">
        <w:rPr>
          <w:rFonts w:ascii="Arial" w:eastAsia="Arial" w:hAnsi="Arial" w:cs="Arial"/>
          <w:color w:val="000000"/>
          <w:sz w:val="24"/>
          <w:szCs w:val="24"/>
          <w:lang w:eastAsia="en-ZA"/>
        </w:rPr>
        <w:t xml:space="preserve">. I will recount the various points </w:t>
      </w:r>
      <w:r w:rsidR="00BA03E3" w:rsidRPr="009E5323">
        <w:rPr>
          <w:rFonts w:ascii="Arial" w:eastAsia="Arial" w:hAnsi="Arial" w:cs="Arial"/>
          <w:i/>
          <w:color w:val="000000"/>
          <w:sz w:val="24"/>
          <w:szCs w:val="24"/>
          <w:lang w:eastAsia="en-ZA"/>
        </w:rPr>
        <w:t>in limine</w:t>
      </w:r>
      <w:r w:rsidR="00BA03E3">
        <w:rPr>
          <w:rFonts w:ascii="Arial" w:eastAsia="Arial" w:hAnsi="Arial" w:cs="Arial"/>
          <w:color w:val="000000"/>
          <w:sz w:val="24"/>
          <w:szCs w:val="24"/>
          <w:lang w:eastAsia="en-ZA"/>
        </w:rPr>
        <w:t xml:space="preserve"> raised by the appellants culminating in the point </w:t>
      </w:r>
      <w:r w:rsidR="00BA03E3" w:rsidRPr="008302DB">
        <w:rPr>
          <w:rFonts w:ascii="Arial" w:eastAsia="Arial" w:hAnsi="Arial" w:cs="Arial"/>
          <w:i/>
          <w:color w:val="000000"/>
          <w:sz w:val="24"/>
          <w:szCs w:val="24"/>
          <w:lang w:eastAsia="en-ZA"/>
        </w:rPr>
        <w:t>in limine</w:t>
      </w:r>
      <w:r w:rsidR="00BA03E3">
        <w:rPr>
          <w:rFonts w:ascii="Arial" w:eastAsia="Arial" w:hAnsi="Arial" w:cs="Arial"/>
          <w:color w:val="000000"/>
          <w:sz w:val="24"/>
          <w:szCs w:val="24"/>
          <w:lang w:eastAsia="en-ZA"/>
        </w:rPr>
        <w:t xml:space="preserve"> which forms the subject matter of this appeal</w:t>
      </w:r>
      <w:r w:rsidR="003628E4">
        <w:rPr>
          <w:rFonts w:ascii="Arial" w:hAnsi="Arial" w:cs="Arial"/>
          <w:sz w:val="24"/>
          <w:szCs w:val="24"/>
        </w:rPr>
        <w:t>.</w:t>
      </w:r>
    </w:p>
    <w:p w:rsidR="004B006A" w:rsidRDefault="004B006A" w:rsidP="00B76CA7">
      <w:pPr>
        <w:spacing w:after="0" w:line="360" w:lineRule="auto"/>
        <w:jc w:val="both"/>
        <w:rPr>
          <w:rFonts w:ascii="Arial" w:hAnsi="Arial" w:cs="Arial"/>
          <w:sz w:val="24"/>
          <w:szCs w:val="24"/>
        </w:rPr>
      </w:pPr>
    </w:p>
    <w:p w:rsidR="002D234F" w:rsidRDefault="002D234F" w:rsidP="00B76CA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A03E3" w:rsidRPr="003D36D4">
        <w:rPr>
          <w:rFonts w:ascii="Arial" w:eastAsia="Arial" w:hAnsi="Arial" w:cs="Arial"/>
          <w:color w:val="000000"/>
          <w:sz w:val="24"/>
          <w:szCs w:val="24"/>
          <w:lang w:eastAsia="en-ZA"/>
        </w:rPr>
        <w:t>On 29 April</w:t>
      </w:r>
      <w:r w:rsidR="00BA03E3">
        <w:rPr>
          <w:rFonts w:ascii="Arial" w:eastAsia="Arial" w:hAnsi="Arial" w:cs="Arial"/>
          <w:color w:val="000000"/>
          <w:sz w:val="24"/>
          <w:szCs w:val="24"/>
          <w:lang w:eastAsia="en-ZA"/>
        </w:rPr>
        <w:t xml:space="preserve"> 2015,</w:t>
      </w:r>
      <w:r w:rsidR="00BA03E3" w:rsidRPr="003D36D4">
        <w:rPr>
          <w:rFonts w:ascii="Arial" w:eastAsia="Arial" w:hAnsi="Arial" w:cs="Arial"/>
          <w:color w:val="000000"/>
          <w:sz w:val="24"/>
          <w:szCs w:val="24"/>
          <w:lang w:eastAsia="en-ZA"/>
        </w:rPr>
        <w:t xml:space="preserve"> the arbitrator delivered a preliminary ruling on certain points raised by the </w:t>
      </w:r>
      <w:r w:rsidR="00BA03E3">
        <w:rPr>
          <w:rFonts w:ascii="Arial" w:eastAsia="Arial" w:hAnsi="Arial" w:cs="Arial"/>
          <w:color w:val="000000"/>
          <w:sz w:val="24"/>
          <w:szCs w:val="24"/>
          <w:lang w:eastAsia="en-ZA"/>
        </w:rPr>
        <w:t>appellants,</w:t>
      </w:r>
      <w:r w:rsidR="00BA03E3" w:rsidRPr="003D36D4">
        <w:rPr>
          <w:rFonts w:ascii="Arial" w:eastAsia="Arial" w:hAnsi="Arial" w:cs="Arial"/>
          <w:color w:val="000000"/>
          <w:sz w:val="24"/>
          <w:szCs w:val="24"/>
          <w:lang w:eastAsia="en-ZA"/>
        </w:rPr>
        <w:t xml:space="preserve"> including a request for discovery of certain documents, a request to subpoena some </w:t>
      </w:r>
      <w:r w:rsidR="00BA03E3">
        <w:rPr>
          <w:rFonts w:ascii="Arial" w:eastAsia="Arial" w:hAnsi="Arial" w:cs="Arial"/>
          <w:color w:val="000000"/>
          <w:sz w:val="24"/>
          <w:szCs w:val="24"/>
          <w:lang w:eastAsia="en-ZA"/>
        </w:rPr>
        <w:t>86 (</w:t>
      </w:r>
      <w:r w:rsidR="00BA03E3" w:rsidRPr="003D36D4">
        <w:rPr>
          <w:rFonts w:ascii="Arial" w:eastAsia="Arial" w:hAnsi="Arial" w:cs="Arial"/>
          <w:color w:val="000000"/>
          <w:sz w:val="24"/>
          <w:szCs w:val="24"/>
          <w:lang w:eastAsia="en-ZA"/>
        </w:rPr>
        <w:t>eighty six</w:t>
      </w:r>
      <w:r w:rsidR="00BA03E3">
        <w:rPr>
          <w:rFonts w:ascii="Arial" w:eastAsia="Arial" w:hAnsi="Arial" w:cs="Arial"/>
          <w:color w:val="000000"/>
          <w:sz w:val="24"/>
          <w:szCs w:val="24"/>
          <w:lang w:eastAsia="en-ZA"/>
        </w:rPr>
        <w:t>)</w:t>
      </w:r>
      <w:r w:rsidR="00BA03E3" w:rsidRPr="003D36D4">
        <w:rPr>
          <w:rFonts w:ascii="Arial" w:eastAsia="Arial" w:hAnsi="Arial" w:cs="Arial"/>
          <w:color w:val="000000"/>
          <w:sz w:val="24"/>
          <w:szCs w:val="24"/>
          <w:lang w:eastAsia="en-ZA"/>
        </w:rPr>
        <w:t xml:space="preserve"> witnesses, and a request to be allowed </w:t>
      </w:r>
      <w:r w:rsidR="00BA03E3">
        <w:rPr>
          <w:rFonts w:ascii="Arial" w:eastAsia="Arial" w:hAnsi="Arial" w:cs="Arial"/>
          <w:color w:val="000000"/>
          <w:sz w:val="24"/>
          <w:szCs w:val="24"/>
          <w:lang w:eastAsia="en-ZA"/>
        </w:rPr>
        <w:t>legal representation</w:t>
      </w:r>
      <w:r w:rsidR="00C87A9D">
        <w:rPr>
          <w:rFonts w:ascii="Arial" w:hAnsi="Arial" w:cs="Arial"/>
          <w:sz w:val="24"/>
          <w:szCs w:val="24"/>
        </w:rPr>
        <w:t>.</w:t>
      </w:r>
    </w:p>
    <w:p w:rsidR="007B133B" w:rsidRPr="005A0895" w:rsidRDefault="007B133B" w:rsidP="005A0895">
      <w:pPr>
        <w:spacing w:after="0" w:line="360" w:lineRule="auto"/>
        <w:jc w:val="both"/>
        <w:rPr>
          <w:rFonts w:ascii="Arial" w:hAnsi="Arial" w:cs="Arial"/>
          <w:sz w:val="24"/>
          <w:szCs w:val="24"/>
        </w:rPr>
      </w:pPr>
    </w:p>
    <w:p w:rsidR="00D32E7E" w:rsidRDefault="00D32E7E" w:rsidP="0050128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A03E3" w:rsidRPr="003D36D4">
        <w:rPr>
          <w:rFonts w:ascii="Arial" w:eastAsia="Arial" w:hAnsi="Arial" w:cs="Arial"/>
          <w:color w:val="000000"/>
          <w:sz w:val="24"/>
          <w:szCs w:val="24"/>
          <w:lang w:eastAsia="en-ZA"/>
        </w:rPr>
        <w:t xml:space="preserve">The arbitrator granted the </w:t>
      </w:r>
      <w:r w:rsidR="00BA03E3">
        <w:rPr>
          <w:rFonts w:ascii="Arial" w:eastAsia="Arial" w:hAnsi="Arial" w:cs="Arial"/>
          <w:color w:val="000000"/>
          <w:sz w:val="24"/>
          <w:szCs w:val="24"/>
          <w:lang w:eastAsia="en-ZA"/>
        </w:rPr>
        <w:t>appellants’</w:t>
      </w:r>
      <w:r w:rsidR="00BA03E3" w:rsidRPr="003D36D4">
        <w:rPr>
          <w:rFonts w:ascii="Arial" w:eastAsia="Arial" w:hAnsi="Arial" w:cs="Arial"/>
          <w:color w:val="000000"/>
          <w:sz w:val="24"/>
          <w:szCs w:val="24"/>
          <w:lang w:eastAsia="en-ZA"/>
        </w:rPr>
        <w:t xml:space="preserve"> application regarding the discovery of </w:t>
      </w:r>
      <w:r w:rsidR="00BA03E3">
        <w:rPr>
          <w:rFonts w:ascii="Arial" w:eastAsia="Arial" w:hAnsi="Arial" w:cs="Arial"/>
          <w:color w:val="000000"/>
          <w:sz w:val="24"/>
          <w:szCs w:val="24"/>
          <w:lang w:eastAsia="en-ZA"/>
        </w:rPr>
        <w:t xml:space="preserve">certain </w:t>
      </w:r>
      <w:r w:rsidR="00BA03E3" w:rsidRPr="003D36D4">
        <w:rPr>
          <w:rFonts w:ascii="Arial" w:eastAsia="Arial" w:hAnsi="Arial" w:cs="Arial"/>
          <w:color w:val="000000"/>
          <w:sz w:val="24"/>
          <w:szCs w:val="24"/>
          <w:lang w:eastAsia="en-ZA"/>
        </w:rPr>
        <w:t>specified documents and order</w:t>
      </w:r>
      <w:r w:rsidR="00BA03E3">
        <w:rPr>
          <w:rFonts w:ascii="Arial" w:eastAsia="Arial" w:hAnsi="Arial" w:cs="Arial"/>
          <w:color w:val="000000"/>
          <w:sz w:val="24"/>
          <w:szCs w:val="24"/>
          <w:lang w:eastAsia="en-ZA"/>
        </w:rPr>
        <w:t>ed</w:t>
      </w:r>
      <w:r w:rsidR="00BA03E3" w:rsidRPr="003D36D4">
        <w:rPr>
          <w:rFonts w:ascii="Arial" w:eastAsia="Arial" w:hAnsi="Arial" w:cs="Arial"/>
          <w:color w:val="000000"/>
          <w:sz w:val="24"/>
          <w:szCs w:val="24"/>
          <w:lang w:eastAsia="en-ZA"/>
        </w:rPr>
        <w:t xml:space="preserve"> the applicant to make the discovery of </w:t>
      </w:r>
      <w:r w:rsidR="00BA03E3">
        <w:rPr>
          <w:rFonts w:ascii="Arial" w:eastAsia="Arial" w:hAnsi="Arial" w:cs="Arial"/>
          <w:color w:val="000000"/>
          <w:sz w:val="24"/>
          <w:szCs w:val="24"/>
          <w:lang w:eastAsia="en-ZA"/>
        </w:rPr>
        <w:t>such</w:t>
      </w:r>
      <w:r w:rsidR="00BA03E3" w:rsidRPr="003D36D4">
        <w:rPr>
          <w:rFonts w:ascii="Arial" w:eastAsia="Arial" w:hAnsi="Arial" w:cs="Arial"/>
          <w:color w:val="000000"/>
          <w:sz w:val="24"/>
          <w:szCs w:val="24"/>
          <w:lang w:eastAsia="en-ZA"/>
        </w:rPr>
        <w:t xml:space="preserve"> documents specified </w:t>
      </w:r>
      <w:r w:rsidR="00BA03E3">
        <w:rPr>
          <w:rFonts w:ascii="Arial" w:eastAsia="Arial" w:hAnsi="Arial" w:cs="Arial"/>
          <w:color w:val="000000"/>
          <w:sz w:val="24"/>
          <w:szCs w:val="24"/>
          <w:lang w:eastAsia="en-ZA"/>
        </w:rPr>
        <w:t xml:space="preserve">and requested </w:t>
      </w:r>
      <w:r w:rsidR="00BA03E3" w:rsidRPr="003D36D4">
        <w:rPr>
          <w:rFonts w:ascii="Arial" w:eastAsia="Arial" w:hAnsi="Arial" w:cs="Arial"/>
          <w:color w:val="000000"/>
          <w:sz w:val="24"/>
          <w:szCs w:val="24"/>
          <w:lang w:eastAsia="en-ZA"/>
        </w:rPr>
        <w:t xml:space="preserve">by the </w:t>
      </w:r>
      <w:r w:rsidR="00BA03E3">
        <w:rPr>
          <w:rFonts w:ascii="Arial" w:eastAsia="Arial" w:hAnsi="Arial" w:cs="Arial"/>
          <w:color w:val="000000"/>
          <w:sz w:val="24"/>
          <w:szCs w:val="24"/>
          <w:lang w:eastAsia="en-ZA"/>
        </w:rPr>
        <w:t xml:space="preserve">appellants. </w:t>
      </w:r>
      <w:r w:rsidR="00BA03E3" w:rsidRPr="003D36D4">
        <w:rPr>
          <w:rFonts w:ascii="Arial" w:eastAsia="Arial" w:hAnsi="Arial" w:cs="Arial"/>
          <w:color w:val="000000"/>
          <w:sz w:val="24"/>
          <w:szCs w:val="24"/>
          <w:lang w:eastAsia="en-ZA"/>
        </w:rPr>
        <w:t>Both applications for leave to subpoena witnesses and to be legal</w:t>
      </w:r>
      <w:r w:rsidR="00BA03E3">
        <w:rPr>
          <w:rFonts w:ascii="Arial" w:eastAsia="Arial" w:hAnsi="Arial" w:cs="Arial"/>
          <w:color w:val="000000"/>
          <w:sz w:val="24"/>
          <w:szCs w:val="24"/>
          <w:lang w:eastAsia="en-ZA"/>
        </w:rPr>
        <w:t>ly</w:t>
      </w:r>
      <w:r w:rsidR="00BA03E3" w:rsidRPr="003D36D4">
        <w:rPr>
          <w:rFonts w:ascii="Arial" w:eastAsia="Arial" w:hAnsi="Arial" w:cs="Arial"/>
          <w:color w:val="000000"/>
          <w:sz w:val="24"/>
          <w:szCs w:val="24"/>
          <w:lang w:eastAsia="en-ZA"/>
        </w:rPr>
        <w:t xml:space="preserve"> represented were dismissed due to non-</w:t>
      </w:r>
      <w:r w:rsidR="00BA03E3">
        <w:rPr>
          <w:rFonts w:ascii="Arial" w:eastAsia="Arial" w:hAnsi="Arial" w:cs="Arial"/>
          <w:color w:val="000000"/>
          <w:sz w:val="24"/>
          <w:szCs w:val="24"/>
          <w:lang w:eastAsia="en-ZA"/>
        </w:rPr>
        <w:t>compliance with the r</w:t>
      </w:r>
      <w:r w:rsidR="00BA03E3" w:rsidRPr="003D36D4">
        <w:rPr>
          <w:rFonts w:ascii="Arial" w:eastAsia="Arial" w:hAnsi="Arial" w:cs="Arial"/>
          <w:color w:val="000000"/>
          <w:sz w:val="24"/>
          <w:szCs w:val="24"/>
          <w:lang w:eastAsia="en-ZA"/>
        </w:rPr>
        <w:t>ules governing arbitration proceedings</w:t>
      </w:r>
      <w:r w:rsidR="008C2C5B">
        <w:rPr>
          <w:rFonts w:ascii="Arial" w:hAnsi="Arial" w:cs="Arial"/>
          <w:sz w:val="24"/>
          <w:szCs w:val="24"/>
        </w:rPr>
        <w:t>.</w:t>
      </w:r>
    </w:p>
    <w:p w:rsidR="0083793A" w:rsidRDefault="0083793A" w:rsidP="00B76CA7">
      <w:pPr>
        <w:spacing w:after="0" w:line="360" w:lineRule="auto"/>
        <w:jc w:val="both"/>
        <w:rPr>
          <w:rFonts w:ascii="Arial" w:hAnsi="Arial" w:cs="Arial"/>
          <w:sz w:val="24"/>
          <w:szCs w:val="24"/>
        </w:rPr>
      </w:pPr>
    </w:p>
    <w:p w:rsidR="0083793A" w:rsidRDefault="0083793A" w:rsidP="00B76CA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BA03E3" w:rsidRPr="003D36D4">
        <w:rPr>
          <w:rFonts w:ascii="Arial" w:eastAsia="Arial" w:hAnsi="Arial" w:cs="Arial"/>
          <w:color w:val="000000"/>
          <w:sz w:val="24"/>
          <w:szCs w:val="24"/>
          <w:lang w:eastAsia="en-ZA"/>
        </w:rPr>
        <w:t>Thereafter</w:t>
      </w:r>
      <w:r w:rsidR="00BA03E3">
        <w:rPr>
          <w:rFonts w:ascii="Arial" w:eastAsia="Arial" w:hAnsi="Arial" w:cs="Arial"/>
          <w:color w:val="000000"/>
          <w:sz w:val="24"/>
          <w:szCs w:val="24"/>
          <w:lang w:eastAsia="en-ZA"/>
        </w:rPr>
        <w:t>,</w:t>
      </w:r>
      <w:r w:rsidR="00BA03E3" w:rsidRPr="003D36D4">
        <w:rPr>
          <w:rFonts w:ascii="Arial" w:eastAsia="Arial" w:hAnsi="Arial" w:cs="Arial"/>
          <w:color w:val="000000"/>
          <w:sz w:val="24"/>
          <w:szCs w:val="24"/>
          <w:lang w:eastAsia="en-ZA"/>
        </w:rPr>
        <w:t xml:space="preserve"> on 6 May 2015</w:t>
      </w:r>
      <w:r w:rsidR="00BA03E3">
        <w:rPr>
          <w:rFonts w:ascii="Arial" w:eastAsia="Arial" w:hAnsi="Arial" w:cs="Arial"/>
          <w:color w:val="000000"/>
          <w:sz w:val="24"/>
          <w:szCs w:val="24"/>
          <w:lang w:eastAsia="en-ZA"/>
        </w:rPr>
        <w:t>,</w:t>
      </w:r>
      <w:r w:rsidR="00BA03E3" w:rsidRPr="003D36D4">
        <w:rPr>
          <w:rFonts w:ascii="Arial" w:eastAsia="Arial" w:hAnsi="Arial" w:cs="Arial"/>
          <w:color w:val="000000"/>
          <w:sz w:val="24"/>
          <w:szCs w:val="24"/>
          <w:lang w:eastAsia="en-ZA"/>
        </w:rPr>
        <w:t xml:space="preserve"> the </w:t>
      </w:r>
      <w:r w:rsidR="00BA03E3">
        <w:rPr>
          <w:rFonts w:ascii="Arial" w:eastAsia="Arial" w:hAnsi="Arial" w:cs="Arial"/>
          <w:color w:val="000000"/>
          <w:sz w:val="24"/>
          <w:szCs w:val="24"/>
          <w:lang w:eastAsia="en-ZA"/>
        </w:rPr>
        <w:t>appellants</w:t>
      </w:r>
      <w:r w:rsidR="00BA03E3" w:rsidRPr="003D36D4">
        <w:rPr>
          <w:rFonts w:ascii="Arial" w:eastAsia="Arial" w:hAnsi="Arial" w:cs="Arial"/>
          <w:color w:val="000000"/>
          <w:sz w:val="24"/>
          <w:szCs w:val="24"/>
          <w:lang w:eastAsia="en-ZA"/>
        </w:rPr>
        <w:t xml:space="preserve"> filed</w:t>
      </w:r>
      <w:r w:rsidR="00BA03E3">
        <w:rPr>
          <w:rFonts w:ascii="Arial" w:eastAsia="Arial" w:hAnsi="Arial" w:cs="Arial"/>
          <w:color w:val="000000"/>
          <w:sz w:val="24"/>
          <w:szCs w:val="24"/>
          <w:lang w:eastAsia="en-ZA"/>
        </w:rPr>
        <w:t xml:space="preserve"> yet</w:t>
      </w:r>
      <w:r w:rsidR="00BA03E3" w:rsidRPr="003D36D4">
        <w:rPr>
          <w:rFonts w:ascii="Arial" w:eastAsia="Arial" w:hAnsi="Arial" w:cs="Arial"/>
          <w:color w:val="000000"/>
          <w:sz w:val="24"/>
          <w:szCs w:val="24"/>
          <w:lang w:eastAsia="en-ZA"/>
        </w:rPr>
        <w:t xml:space="preserve"> another application repeating their application to be allowed legal representation contending </w:t>
      </w:r>
      <w:r w:rsidR="00BA03E3" w:rsidRPr="003D36D4">
        <w:rPr>
          <w:rFonts w:ascii="Arial" w:eastAsia="Arial" w:hAnsi="Arial" w:cs="Arial"/>
          <w:i/>
          <w:color w:val="000000"/>
          <w:sz w:val="24"/>
          <w:szCs w:val="24"/>
          <w:lang w:eastAsia="en-ZA"/>
        </w:rPr>
        <w:t>inter alia</w:t>
      </w:r>
      <w:r w:rsidR="00BA03E3" w:rsidRPr="003D36D4">
        <w:rPr>
          <w:rFonts w:ascii="Arial" w:eastAsia="Arial" w:hAnsi="Arial" w:cs="Arial"/>
          <w:color w:val="000000"/>
          <w:sz w:val="24"/>
          <w:szCs w:val="24"/>
          <w:lang w:eastAsia="en-ZA"/>
        </w:rPr>
        <w:t xml:space="preserve"> that the matter </w:t>
      </w:r>
      <w:r w:rsidR="000457F0">
        <w:rPr>
          <w:rFonts w:ascii="Arial" w:eastAsia="Arial" w:hAnsi="Arial" w:cs="Arial"/>
          <w:color w:val="000000"/>
          <w:sz w:val="24"/>
          <w:szCs w:val="24"/>
          <w:lang w:eastAsia="en-ZA"/>
        </w:rPr>
        <w:t>is</w:t>
      </w:r>
      <w:r w:rsidR="00BA03E3" w:rsidRPr="003D36D4">
        <w:rPr>
          <w:rFonts w:ascii="Arial" w:eastAsia="Arial" w:hAnsi="Arial" w:cs="Arial"/>
          <w:color w:val="000000"/>
          <w:sz w:val="24"/>
          <w:szCs w:val="24"/>
          <w:lang w:eastAsia="en-ZA"/>
        </w:rPr>
        <w:t xml:space="preserve"> complex. The arbitrator deliver</w:t>
      </w:r>
      <w:r w:rsidR="00BA03E3">
        <w:rPr>
          <w:rFonts w:ascii="Arial" w:eastAsia="Arial" w:hAnsi="Arial" w:cs="Arial"/>
          <w:color w:val="000000"/>
          <w:sz w:val="24"/>
          <w:szCs w:val="24"/>
          <w:lang w:eastAsia="en-ZA"/>
        </w:rPr>
        <w:t>ed</w:t>
      </w:r>
      <w:r w:rsidR="00BA03E3" w:rsidRPr="003D36D4">
        <w:rPr>
          <w:rFonts w:ascii="Arial" w:eastAsia="Arial" w:hAnsi="Arial" w:cs="Arial"/>
          <w:color w:val="000000"/>
          <w:sz w:val="24"/>
          <w:szCs w:val="24"/>
          <w:lang w:eastAsia="en-ZA"/>
        </w:rPr>
        <w:t xml:space="preserve"> his ruling on the 12 June 2015 </w:t>
      </w:r>
      <w:r w:rsidR="00BA03E3">
        <w:rPr>
          <w:rFonts w:ascii="Arial" w:eastAsia="Arial" w:hAnsi="Arial" w:cs="Arial"/>
          <w:color w:val="000000"/>
          <w:sz w:val="24"/>
          <w:szCs w:val="24"/>
          <w:lang w:eastAsia="en-ZA"/>
        </w:rPr>
        <w:t>holding</w:t>
      </w:r>
      <w:r w:rsidR="00BA03E3" w:rsidRPr="003D36D4">
        <w:rPr>
          <w:rFonts w:ascii="Arial" w:eastAsia="Arial" w:hAnsi="Arial" w:cs="Arial"/>
          <w:color w:val="000000"/>
          <w:sz w:val="24"/>
          <w:szCs w:val="24"/>
          <w:lang w:eastAsia="en-ZA"/>
        </w:rPr>
        <w:t xml:space="preserve"> that the matter </w:t>
      </w:r>
      <w:r w:rsidR="000457F0">
        <w:rPr>
          <w:rFonts w:ascii="Arial" w:eastAsia="Arial" w:hAnsi="Arial" w:cs="Arial"/>
          <w:color w:val="000000"/>
          <w:sz w:val="24"/>
          <w:szCs w:val="24"/>
          <w:lang w:eastAsia="en-ZA"/>
        </w:rPr>
        <w:t>is</w:t>
      </w:r>
      <w:r w:rsidR="00BA03E3" w:rsidRPr="003D36D4">
        <w:rPr>
          <w:rFonts w:ascii="Arial" w:eastAsia="Arial" w:hAnsi="Arial" w:cs="Arial"/>
          <w:color w:val="000000"/>
          <w:sz w:val="24"/>
          <w:szCs w:val="24"/>
          <w:lang w:eastAsia="en-ZA"/>
        </w:rPr>
        <w:t xml:space="preserve"> complex as envisaged by section </w:t>
      </w:r>
      <w:r w:rsidR="00BA03E3">
        <w:rPr>
          <w:rFonts w:ascii="Arial" w:eastAsia="Arial" w:hAnsi="Arial" w:cs="Arial"/>
          <w:color w:val="000000"/>
          <w:sz w:val="24"/>
          <w:szCs w:val="24"/>
          <w:lang w:eastAsia="en-ZA"/>
        </w:rPr>
        <w:t>86</w:t>
      </w:r>
      <w:r w:rsidR="00BA03E3" w:rsidRPr="003D36D4">
        <w:rPr>
          <w:rFonts w:ascii="Arial" w:eastAsia="Arial" w:hAnsi="Arial" w:cs="Arial"/>
          <w:color w:val="000000"/>
          <w:sz w:val="24"/>
          <w:szCs w:val="24"/>
          <w:lang w:eastAsia="en-ZA"/>
        </w:rPr>
        <w:t>(13) of the Labour Act, Act No 11 of 2007</w:t>
      </w:r>
      <w:r w:rsidR="00BA03E3">
        <w:rPr>
          <w:rFonts w:ascii="Arial" w:eastAsia="Arial" w:hAnsi="Arial" w:cs="Arial"/>
          <w:color w:val="000000"/>
          <w:sz w:val="24"/>
          <w:szCs w:val="24"/>
          <w:lang w:eastAsia="en-ZA"/>
        </w:rPr>
        <w:t xml:space="preserve"> (‘the Act’), </w:t>
      </w:r>
      <w:r w:rsidR="00BA03E3" w:rsidRPr="003D36D4">
        <w:rPr>
          <w:rFonts w:ascii="Arial" w:eastAsia="Arial" w:hAnsi="Arial" w:cs="Arial"/>
          <w:color w:val="000000"/>
          <w:sz w:val="24"/>
          <w:szCs w:val="24"/>
          <w:lang w:eastAsia="en-ZA"/>
        </w:rPr>
        <w:t xml:space="preserve">and ordered that the </w:t>
      </w:r>
      <w:r w:rsidR="00BA03E3">
        <w:rPr>
          <w:rFonts w:ascii="Arial" w:eastAsia="Arial" w:hAnsi="Arial" w:cs="Arial"/>
          <w:color w:val="000000"/>
          <w:sz w:val="24"/>
          <w:szCs w:val="24"/>
          <w:lang w:eastAsia="en-ZA"/>
        </w:rPr>
        <w:t>appellants</w:t>
      </w:r>
      <w:r w:rsidR="00BA03E3" w:rsidRPr="003D36D4">
        <w:rPr>
          <w:rFonts w:ascii="Arial" w:eastAsia="Arial" w:hAnsi="Arial" w:cs="Arial"/>
          <w:color w:val="000000"/>
          <w:sz w:val="24"/>
          <w:szCs w:val="24"/>
          <w:lang w:eastAsia="en-ZA"/>
        </w:rPr>
        <w:t xml:space="preserve"> be represented by</w:t>
      </w:r>
      <w:r w:rsidR="000457F0">
        <w:rPr>
          <w:rFonts w:ascii="Arial" w:eastAsia="Arial" w:hAnsi="Arial" w:cs="Arial"/>
          <w:color w:val="000000"/>
          <w:sz w:val="24"/>
          <w:szCs w:val="24"/>
          <w:lang w:eastAsia="en-ZA"/>
        </w:rPr>
        <w:t xml:space="preserve">        </w:t>
      </w:r>
      <w:r w:rsidR="00BA03E3" w:rsidRPr="003D36D4">
        <w:rPr>
          <w:rFonts w:ascii="Arial" w:eastAsia="Arial" w:hAnsi="Arial" w:cs="Arial"/>
          <w:color w:val="000000"/>
          <w:sz w:val="24"/>
          <w:szCs w:val="24"/>
          <w:lang w:eastAsia="en-ZA"/>
        </w:rPr>
        <w:t xml:space="preserve"> Mr Richard Mueller of Mueller Legal Practitioners</w:t>
      </w:r>
      <w:r w:rsidR="007032E5">
        <w:rPr>
          <w:rFonts w:ascii="Arial" w:hAnsi="Arial" w:cs="Arial"/>
          <w:sz w:val="24"/>
          <w:szCs w:val="24"/>
        </w:rPr>
        <w:t>.</w:t>
      </w:r>
    </w:p>
    <w:p w:rsidR="0083793A" w:rsidRDefault="0083793A" w:rsidP="00B76CA7">
      <w:pPr>
        <w:spacing w:after="0" w:line="360" w:lineRule="auto"/>
        <w:jc w:val="both"/>
        <w:rPr>
          <w:rFonts w:ascii="Arial" w:hAnsi="Arial" w:cs="Arial"/>
          <w:sz w:val="24"/>
          <w:szCs w:val="24"/>
        </w:rPr>
      </w:pPr>
    </w:p>
    <w:p w:rsidR="0083793A" w:rsidRDefault="0083793A" w:rsidP="00B76CA7">
      <w:pPr>
        <w:spacing w:after="0" w:line="360" w:lineRule="auto"/>
        <w:jc w:val="both"/>
        <w:rPr>
          <w:rFonts w:ascii="Arial" w:hAnsi="Arial" w:cs="Arial"/>
          <w:sz w:val="24"/>
          <w:szCs w:val="24"/>
        </w:rPr>
      </w:pPr>
      <w:r>
        <w:rPr>
          <w:rFonts w:ascii="Arial" w:hAnsi="Arial" w:cs="Arial"/>
          <w:sz w:val="24"/>
          <w:szCs w:val="24"/>
        </w:rPr>
        <w:t>[9]</w:t>
      </w:r>
      <w:r w:rsidR="0011223C">
        <w:rPr>
          <w:rFonts w:ascii="Arial" w:hAnsi="Arial" w:cs="Arial"/>
          <w:sz w:val="24"/>
          <w:szCs w:val="24"/>
        </w:rPr>
        <w:tab/>
      </w:r>
      <w:r w:rsidR="00BA03E3">
        <w:rPr>
          <w:rFonts w:ascii="Arial" w:eastAsia="Arial" w:hAnsi="Arial" w:cs="Arial"/>
          <w:color w:val="000000"/>
          <w:sz w:val="24"/>
          <w:szCs w:val="24"/>
          <w:lang w:eastAsia="en-ZA"/>
        </w:rPr>
        <w:t>O</w:t>
      </w:r>
      <w:r w:rsidR="00BA03E3" w:rsidRPr="003D36D4">
        <w:rPr>
          <w:rFonts w:ascii="Arial" w:eastAsia="Arial" w:hAnsi="Arial" w:cs="Arial"/>
          <w:color w:val="000000"/>
          <w:sz w:val="24"/>
          <w:szCs w:val="24"/>
          <w:lang w:eastAsia="en-ZA"/>
        </w:rPr>
        <w:t>n or about 13 April 201</w:t>
      </w:r>
      <w:r w:rsidR="00BA03E3">
        <w:rPr>
          <w:rFonts w:ascii="Arial" w:eastAsia="Arial" w:hAnsi="Arial" w:cs="Arial"/>
          <w:color w:val="000000"/>
          <w:sz w:val="24"/>
          <w:szCs w:val="24"/>
          <w:lang w:eastAsia="en-ZA"/>
        </w:rPr>
        <w:t>6</w:t>
      </w:r>
      <w:r w:rsidR="00BA03E3" w:rsidRPr="003D36D4">
        <w:rPr>
          <w:rFonts w:ascii="Arial" w:eastAsia="Arial" w:hAnsi="Arial" w:cs="Arial"/>
          <w:color w:val="000000"/>
          <w:sz w:val="24"/>
          <w:szCs w:val="24"/>
          <w:lang w:eastAsia="en-ZA"/>
        </w:rPr>
        <w:t xml:space="preserve">, the </w:t>
      </w:r>
      <w:r w:rsidR="00BA03E3">
        <w:rPr>
          <w:rFonts w:ascii="Arial" w:eastAsia="Arial" w:hAnsi="Arial" w:cs="Arial"/>
          <w:color w:val="000000"/>
          <w:sz w:val="24"/>
          <w:szCs w:val="24"/>
          <w:lang w:eastAsia="en-ZA"/>
        </w:rPr>
        <w:t>appellants</w:t>
      </w:r>
      <w:r w:rsidR="00BA03E3" w:rsidRPr="003D36D4">
        <w:rPr>
          <w:rFonts w:ascii="Arial" w:eastAsia="Arial" w:hAnsi="Arial" w:cs="Arial"/>
          <w:color w:val="000000"/>
          <w:sz w:val="24"/>
          <w:szCs w:val="24"/>
          <w:lang w:eastAsia="en-ZA"/>
        </w:rPr>
        <w:t xml:space="preserve"> raised</w:t>
      </w:r>
      <w:r w:rsidR="00BA03E3">
        <w:rPr>
          <w:rFonts w:ascii="Arial" w:eastAsia="Arial" w:hAnsi="Arial" w:cs="Arial"/>
          <w:color w:val="000000"/>
          <w:sz w:val="24"/>
          <w:szCs w:val="24"/>
          <w:lang w:eastAsia="en-ZA"/>
        </w:rPr>
        <w:t xml:space="preserve"> yet a further</w:t>
      </w:r>
      <w:r w:rsidR="00BA03E3" w:rsidRPr="003D36D4">
        <w:rPr>
          <w:rFonts w:ascii="Arial" w:eastAsia="Arial" w:hAnsi="Arial" w:cs="Arial"/>
          <w:color w:val="000000"/>
          <w:sz w:val="24"/>
          <w:szCs w:val="24"/>
          <w:lang w:eastAsia="en-ZA"/>
        </w:rPr>
        <w:t xml:space="preserve"> point </w:t>
      </w:r>
      <w:r w:rsidR="00BA03E3" w:rsidRPr="008302DB">
        <w:rPr>
          <w:rFonts w:ascii="Arial" w:eastAsia="Arial" w:hAnsi="Arial" w:cs="Arial"/>
          <w:i/>
          <w:color w:val="000000"/>
          <w:sz w:val="24"/>
          <w:szCs w:val="24"/>
          <w:lang w:eastAsia="en-ZA"/>
        </w:rPr>
        <w:t>in limine</w:t>
      </w:r>
      <w:r w:rsidR="00BA03E3" w:rsidRPr="003D36D4">
        <w:rPr>
          <w:rFonts w:ascii="Arial" w:eastAsia="Arial" w:hAnsi="Arial" w:cs="Arial"/>
          <w:color w:val="000000"/>
          <w:sz w:val="24"/>
          <w:szCs w:val="24"/>
          <w:lang w:eastAsia="en-ZA"/>
        </w:rPr>
        <w:t xml:space="preserve"> that the </w:t>
      </w:r>
      <w:r w:rsidR="00A336B5">
        <w:rPr>
          <w:rFonts w:ascii="Arial" w:eastAsia="Arial" w:hAnsi="Arial" w:cs="Arial"/>
          <w:color w:val="000000"/>
          <w:sz w:val="24"/>
          <w:szCs w:val="24"/>
          <w:lang w:eastAsia="en-ZA"/>
        </w:rPr>
        <w:t>appellants</w:t>
      </w:r>
      <w:r w:rsidR="00BA03E3" w:rsidRPr="003D36D4">
        <w:rPr>
          <w:rFonts w:ascii="Arial" w:eastAsia="Arial" w:hAnsi="Arial" w:cs="Arial"/>
          <w:color w:val="000000"/>
          <w:sz w:val="24"/>
          <w:szCs w:val="24"/>
          <w:lang w:eastAsia="en-ZA"/>
        </w:rPr>
        <w:t>’ referral</w:t>
      </w:r>
      <w:r w:rsidR="00BA03E3">
        <w:rPr>
          <w:rFonts w:ascii="Arial" w:eastAsia="Arial" w:hAnsi="Arial" w:cs="Arial"/>
          <w:color w:val="000000"/>
          <w:sz w:val="24"/>
          <w:szCs w:val="24"/>
          <w:lang w:eastAsia="en-ZA"/>
        </w:rPr>
        <w:t xml:space="preserve"> document</w:t>
      </w:r>
      <w:r w:rsidR="00BA03E3" w:rsidRPr="003D36D4">
        <w:rPr>
          <w:rFonts w:ascii="Arial" w:eastAsia="Arial" w:hAnsi="Arial" w:cs="Arial"/>
          <w:color w:val="000000"/>
          <w:sz w:val="24"/>
          <w:szCs w:val="24"/>
          <w:lang w:eastAsia="en-ZA"/>
        </w:rPr>
        <w:t xml:space="preserve">, </w:t>
      </w:r>
      <w:r w:rsidR="00BA03E3">
        <w:rPr>
          <w:rFonts w:ascii="Arial" w:eastAsia="Arial" w:hAnsi="Arial" w:cs="Arial"/>
          <w:color w:val="000000"/>
          <w:sz w:val="24"/>
          <w:szCs w:val="24"/>
          <w:lang w:eastAsia="en-ZA"/>
        </w:rPr>
        <w:t>(</w:t>
      </w:r>
      <w:r w:rsidR="00BA03E3" w:rsidRPr="003D36D4">
        <w:rPr>
          <w:rFonts w:ascii="Arial" w:eastAsia="Arial" w:hAnsi="Arial" w:cs="Arial"/>
          <w:color w:val="000000"/>
          <w:sz w:val="24"/>
          <w:szCs w:val="24"/>
          <w:lang w:eastAsia="en-ZA"/>
        </w:rPr>
        <w:t>Form LC</w:t>
      </w:r>
      <w:r w:rsidR="00BA03E3">
        <w:rPr>
          <w:rFonts w:ascii="Arial" w:eastAsia="Arial" w:hAnsi="Arial" w:cs="Arial"/>
          <w:color w:val="000000"/>
          <w:sz w:val="24"/>
          <w:szCs w:val="24"/>
          <w:lang w:eastAsia="en-ZA"/>
        </w:rPr>
        <w:t xml:space="preserve"> </w:t>
      </w:r>
      <w:r w:rsidR="00BA03E3" w:rsidRPr="003D36D4">
        <w:rPr>
          <w:rFonts w:ascii="Arial" w:eastAsia="Arial" w:hAnsi="Arial" w:cs="Arial"/>
          <w:color w:val="000000"/>
          <w:sz w:val="24"/>
          <w:szCs w:val="24"/>
          <w:lang w:eastAsia="en-ZA"/>
        </w:rPr>
        <w:t>21</w:t>
      </w:r>
      <w:r w:rsidR="00BA03E3">
        <w:rPr>
          <w:rFonts w:ascii="Arial" w:eastAsia="Arial" w:hAnsi="Arial" w:cs="Arial"/>
          <w:color w:val="000000"/>
          <w:sz w:val="24"/>
          <w:szCs w:val="24"/>
          <w:lang w:eastAsia="en-ZA"/>
        </w:rPr>
        <w:t>)</w:t>
      </w:r>
      <w:r w:rsidR="00BA03E3" w:rsidRPr="003D36D4">
        <w:rPr>
          <w:rFonts w:ascii="Arial" w:eastAsia="Arial" w:hAnsi="Arial" w:cs="Arial"/>
          <w:color w:val="000000"/>
          <w:sz w:val="24"/>
          <w:szCs w:val="24"/>
          <w:lang w:eastAsia="en-ZA"/>
        </w:rPr>
        <w:t xml:space="preserve"> was defective for want of compliance with the provisions of Rule 5 </w:t>
      </w:r>
      <w:r w:rsidR="00BA03E3">
        <w:rPr>
          <w:rFonts w:ascii="Arial" w:eastAsia="Arial" w:hAnsi="Arial" w:cs="Arial"/>
          <w:color w:val="000000"/>
          <w:sz w:val="24"/>
          <w:szCs w:val="24"/>
          <w:lang w:eastAsia="en-ZA"/>
        </w:rPr>
        <w:t>relating</w:t>
      </w:r>
      <w:r w:rsidR="00BA03E3" w:rsidRPr="003D36D4">
        <w:rPr>
          <w:rFonts w:ascii="Arial" w:eastAsia="Arial" w:hAnsi="Arial" w:cs="Arial"/>
          <w:color w:val="000000"/>
          <w:sz w:val="24"/>
          <w:szCs w:val="24"/>
          <w:lang w:eastAsia="en-ZA"/>
        </w:rPr>
        <w:t xml:space="preserve"> to the conduct of Conciliation and Arbitration</w:t>
      </w:r>
      <w:r w:rsidR="00BA03E3">
        <w:rPr>
          <w:rFonts w:ascii="Arial" w:eastAsia="Arial" w:hAnsi="Arial" w:cs="Arial"/>
          <w:color w:val="000000"/>
          <w:sz w:val="24"/>
          <w:szCs w:val="24"/>
          <w:lang w:eastAsia="en-ZA"/>
        </w:rPr>
        <w:t xml:space="preserve"> proceedings</w:t>
      </w:r>
      <w:r w:rsidR="00BA03E3" w:rsidRPr="003D36D4">
        <w:rPr>
          <w:rFonts w:ascii="Arial" w:eastAsia="Arial" w:hAnsi="Arial" w:cs="Arial"/>
          <w:color w:val="000000"/>
          <w:sz w:val="24"/>
          <w:szCs w:val="24"/>
          <w:lang w:eastAsia="en-ZA"/>
        </w:rPr>
        <w:t xml:space="preserve">. </w:t>
      </w:r>
      <w:r w:rsidR="00BA03E3">
        <w:rPr>
          <w:rFonts w:ascii="Arial" w:eastAsia="Arial" w:hAnsi="Arial" w:cs="Arial"/>
          <w:color w:val="000000"/>
          <w:sz w:val="24"/>
          <w:szCs w:val="24"/>
          <w:lang w:eastAsia="en-ZA"/>
        </w:rPr>
        <w:t xml:space="preserve">Having heard and considered </w:t>
      </w:r>
      <w:r w:rsidR="00BA03E3" w:rsidRPr="003D36D4">
        <w:rPr>
          <w:rFonts w:ascii="Arial" w:eastAsia="Arial" w:hAnsi="Arial" w:cs="Arial"/>
          <w:color w:val="000000"/>
          <w:sz w:val="24"/>
          <w:szCs w:val="24"/>
          <w:lang w:eastAsia="en-ZA"/>
        </w:rPr>
        <w:t xml:space="preserve">the parties’ submissions, </w:t>
      </w:r>
      <w:r w:rsidR="00BA03E3" w:rsidRPr="00C330C0">
        <w:rPr>
          <w:rFonts w:ascii="Arial" w:eastAsia="Arial" w:hAnsi="Arial" w:cs="Arial"/>
          <w:color w:val="000000"/>
          <w:sz w:val="24"/>
          <w:szCs w:val="24"/>
          <w:lang w:eastAsia="en-ZA"/>
        </w:rPr>
        <w:t xml:space="preserve">on 26 April 2016, the arbitrator ruled that the dispute had in fact been properly referred and dismissed the appellants’ point </w:t>
      </w:r>
      <w:r w:rsidR="00BA03E3" w:rsidRPr="00602C79">
        <w:rPr>
          <w:rFonts w:ascii="Arial" w:eastAsia="Arial" w:hAnsi="Arial" w:cs="Arial"/>
          <w:i/>
          <w:color w:val="000000"/>
          <w:sz w:val="24"/>
          <w:szCs w:val="24"/>
          <w:lang w:eastAsia="en-ZA"/>
        </w:rPr>
        <w:t>in limine</w:t>
      </w:r>
      <w:r w:rsidR="00BA03E3" w:rsidRPr="00C330C0">
        <w:rPr>
          <w:rFonts w:ascii="Arial" w:eastAsia="Arial" w:hAnsi="Arial" w:cs="Arial"/>
          <w:color w:val="000000"/>
          <w:sz w:val="24"/>
          <w:szCs w:val="24"/>
          <w:lang w:eastAsia="en-ZA"/>
        </w:rPr>
        <w:t>.</w:t>
      </w:r>
      <w:r w:rsidR="00BA03E3">
        <w:rPr>
          <w:rFonts w:ascii="Arial" w:eastAsia="Arial" w:hAnsi="Arial" w:cs="Arial"/>
          <w:color w:val="000000"/>
          <w:sz w:val="24"/>
          <w:szCs w:val="24"/>
          <w:lang w:eastAsia="en-ZA"/>
        </w:rPr>
        <w:t xml:space="preserve"> That ruling is the subject matter of this appeal</w:t>
      </w:r>
      <w:r w:rsidR="001F471B">
        <w:rPr>
          <w:rFonts w:ascii="Arial" w:hAnsi="Arial" w:cs="Arial"/>
          <w:sz w:val="24"/>
          <w:szCs w:val="24"/>
        </w:rPr>
        <w:t>.</w:t>
      </w:r>
    </w:p>
    <w:p w:rsidR="0083793A" w:rsidRDefault="0083793A" w:rsidP="00B76CA7">
      <w:pPr>
        <w:spacing w:after="0" w:line="360" w:lineRule="auto"/>
        <w:jc w:val="both"/>
        <w:rPr>
          <w:rFonts w:ascii="Arial" w:hAnsi="Arial" w:cs="Arial"/>
          <w:sz w:val="24"/>
          <w:szCs w:val="24"/>
        </w:rPr>
      </w:pPr>
    </w:p>
    <w:p w:rsidR="0083793A" w:rsidRDefault="0083793A" w:rsidP="00B76CA7">
      <w:pPr>
        <w:spacing w:after="0" w:line="360" w:lineRule="auto"/>
        <w:jc w:val="both"/>
        <w:rPr>
          <w:rFonts w:ascii="Arial" w:hAnsi="Arial" w:cs="Arial"/>
          <w:sz w:val="24"/>
          <w:szCs w:val="24"/>
        </w:rPr>
      </w:pPr>
      <w:r>
        <w:rPr>
          <w:rFonts w:ascii="Arial" w:hAnsi="Arial" w:cs="Arial"/>
          <w:sz w:val="24"/>
          <w:szCs w:val="24"/>
        </w:rPr>
        <w:t>[10]</w:t>
      </w:r>
      <w:r w:rsidR="0011223C">
        <w:rPr>
          <w:rFonts w:ascii="Arial" w:hAnsi="Arial" w:cs="Arial"/>
          <w:sz w:val="24"/>
          <w:szCs w:val="24"/>
        </w:rPr>
        <w:tab/>
      </w:r>
      <w:r w:rsidR="00BA03E3">
        <w:rPr>
          <w:rFonts w:ascii="Arial" w:eastAsia="Arial" w:hAnsi="Arial" w:cs="Arial"/>
          <w:color w:val="000000"/>
          <w:sz w:val="24"/>
          <w:szCs w:val="24"/>
          <w:lang w:eastAsia="en-ZA"/>
        </w:rPr>
        <w:t xml:space="preserve">The notice of appeal pursuant to section 89(1) of the Act states that this appeal is directed against the whole ruling of the arbitrator dated </w:t>
      </w:r>
      <w:r w:rsidR="00BA03E3" w:rsidRPr="008302DB">
        <w:rPr>
          <w:rFonts w:ascii="Arial" w:eastAsia="Arial" w:hAnsi="Arial" w:cs="Arial"/>
          <w:color w:val="000000"/>
          <w:sz w:val="24"/>
          <w:szCs w:val="24"/>
          <w:lang w:eastAsia="en-ZA"/>
        </w:rPr>
        <w:t>26 April 2016</w:t>
      </w:r>
      <w:r w:rsidR="00BA03E3">
        <w:rPr>
          <w:rFonts w:ascii="Arial" w:eastAsia="Arial" w:hAnsi="Arial" w:cs="Arial"/>
          <w:color w:val="000000"/>
          <w:sz w:val="24"/>
          <w:szCs w:val="24"/>
          <w:lang w:eastAsia="en-ZA"/>
        </w:rPr>
        <w:t xml:space="preserve"> and delivered on 3 May 2016. As mentioned earlier, the appellants had raised a point </w:t>
      </w:r>
      <w:r w:rsidR="00BA03E3" w:rsidRPr="008302DB">
        <w:rPr>
          <w:rFonts w:ascii="Arial" w:eastAsia="Arial" w:hAnsi="Arial" w:cs="Arial"/>
          <w:i/>
          <w:color w:val="000000"/>
          <w:sz w:val="24"/>
          <w:szCs w:val="24"/>
          <w:lang w:eastAsia="en-ZA"/>
        </w:rPr>
        <w:t>in limine</w:t>
      </w:r>
      <w:r w:rsidR="00BA03E3">
        <w:rPr>
          <w:rFonts w:ascii="Arial" w:eastAsia="Arial" w:hAnsi="Arial" w:cs="Arial"/>
          <w:color w:val="000000"/>
          <w:sz w:val="24"/>
          <w:szCs w:val="24"/>
          <w:lang w:eastAsia="en-ZA"/>
        </w:rPr>
        <w:t xml:space="preserve"> that</w:t>
      </w:r>
      <w:r w:rsidR="00BA03E3" w:rsidRPr="003D36D4">
        <w:rPr>
          <w:rFonts w:ascii="Arial" w:eastAsia="Arial" w:hAnsi="Arial" w:cs="Arial"/>
          <w:color w:val="000000"/>
          <w:sz w:val="24"/>
          <w:szCs w:val="24"/>
          <w:lang w:eastAsia="en-ZA"/>
        </w:rPr>
        <w:t xml:space="preserve"> </w:t>
      </w:r>
      <w:r w:rsidR="00BA03E3">
        <w:rPr>
          <w:rFonts w:ascii="Arial" w:eastAsia="Arial" w:hAnsi="Arial" w:cs="Arial"/>
          <w:color w:val="000000"/>
          <w:sz w:val="24"/>
          <w:szCs w:val="24"/>
          <w:lang w:eastAsia="en-ZA"/>
        </w:rPr>
        <w:t xml:space="preserve">respondents referral document in the </w:t>
      </w:r>
      <w:r w:rsidR="00BA03E3" w:rsidRPr="003D36D4">
        <w:rPr>
          <w:rFonts w:ascii="Arial" w:eastAsia="Arial" w:hAnsi="Arial" w:cs="Arial"/>
          <w:color w:val="000000"/>
          <w:sz w:val="24"/>
          <w:szCs w:val="24"/>
          <w:lang w:eastAsia="en-ZA"/>
        </w:rPr>
        <w:t>Form LC</w:t>
      </w:r>
      <w:r w:rsidR="00BA03E3">
        <w:rPr>
          <w:rFonts w:ascii="Arial" w:eastAsia="Arial" w:hAnsi="Arial" w:cs="Arial"/>
          <w:color w:val="000000"/>
          <w:sz w:val="24"/>
          <w:szCs w:val="24"/>
          <w:lang w:eastAsia="en-ZA"/>
        </w:rPr>
        <w:t xml:space="preserve"> </w:t>
      </w:r>
      <w:r w:rsidR="00BA03E3" w:rsidRPr="003D36D4">
        <w:rPr>
          <w:rFonts w:ascii="Arial" w:eastAsia="Arial" w:hAnsi="Arial" w:cs="Arial"/>
          <w:color w:val="000000"/>
          <w:sz w:val="24"/>
          <w:szCs w:val="24"/>
          <w:lang w:eastAsia="en-ZA"/>
        </w:rPr>
        <w:t>21 was defective for want of compliance with the provisions of Rule 5</w:t>
      </w:r>
      <w:r w:rsidR="00BA03E3">
        <w:rPr>
          <w:rFonts w:ascii="Arial" w:eastAsia="Arial" w:hAnsi="Arial" w:cs="Arial"/>
          <w:color w:val="000000"/>
          <w:sz w:val="24"/>
          <w:szCs w:val="24"/>
          <w:lang w:eastAsia="en-ZA"/>
        </w:rPr>
        <w:t>. In particular, there were no statements by the rest of the respondents attached to the referral document authorizing the first respondent, Sem Shipefi, to institute the proceedings on their behalf or to sign the</w:t>
      </w:r>
      <w:r w:rsidR="00602C79">
        <w:rPr>
          <w:rFonts w:ascii="Arial" w:eastAsia="Arial" w:hAnsi="Arial" w:cs="Arial"/>
          <w:color w:val="000000"/>
          <w:sz w:val="24"/>
          <w:szCs w:val="24"/>
          <w:lang w:eastAsia="en-ZA"/>
        </w:rPr>
        <w:t xml:space="preserve"> referral</w:t>
      </w:r>
      <w:r w:rsidR="00BA03E3">
        <w:rPr>
          <w:rFonts w:ascii="Arial" w:eastAsia="Arial" w:hAnsi="Arial" w:cs="Arial"/>
          <w:color w:val="000000"/>
          <w:sz w:val="24"/>
          <w:szCs w:val="24"/>
          <w:lang w:eastAsia="en-ZA"/>
        </w:rPr>
        <w:t xml:space="preserve"> document on their behalf nor was there proof indicating that the representative of </w:t>
      </w:r>
      <w:r w:rsidR="00F9555C">
        <w:rPr>
          <w:rFonts w:ascii="Arial" w:eastAsia="Arial" w:hAnsi="Arial" w:cs="Arial"/>
          <w:color w:val="000000"/>
          <w:sz w:val="24"/>
          <w:szCs w:val="24"/>
          <w:lang w:eastAsia="en-ZA"/>
        </w:rPr>
        <w:t>NAFINU</w:t>
      </w:r>
      <w:r w:rsidR="00BA03E3">
        <w:rPr>
          <w:rFonts w:ascii="Arial" w:eastAsia="Arial" w:hAnsi="Arial" w:cs="Arial"/>
          <w:color w:val="000000"/>
          <w:sz w:val="24"/>
          <w:szCs w:val="24"/>
          <w:lang w:eastAsia="en-ZA"/>
        </w:rPr>
        <w:t xml:space="preserve"> was authorized to sign the documents on behalf of the respondents. Accordingly, so the argument goes, the dispute was not properly referred to the Labour Commissioner and therefore the proceedings constitute a nullity</w:t>
      </w:r>
      <w:r w:rsidR="008A2118">
        <w:rPr>
          <w:rFonts w:ascii="Arial" w:hAnsi="Arial" w:cs="Arial"/>
          <w:sz w:val="24"/>
          <w:szCs w:val="24"/>
        </w:rPr>
        <w:t>.</w:t>
      </w:r>
    </w:p>
    <w:p w:rsidR="0083793A" w:rsidRDefault="0083793A" w:rsidP="00B76CA7">
      <w:pPr>
        <w:spacing w:after="0" w:line="360" w:lineRule="auto"/>
        <w:jc w:val="both"/>
        <w:rPr>
          <w:rFonts w:ascii="Arial" w:hAnsi="Arial" w:cs="Arial"/>
          <w:sz w:val="24"/>
          <w:szCs w:val="24"/>
        </w:rPr>
      </w:pPr>
    </w:p>
    <w:p w:rsidR="0083793A" w:rsidRDefault="0011223C" w:rsidP="00B76CA7">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A03E3">
        <w:rPr>
          <w:rFonts w:ascii="Arial" w:eastAsia="Arial" w:hAnsi="Arial" w:cs="Arial"/>
          <w:color w:val="000000"/>
          <w:sz w:val="24"/>
          <w:szCs w:val="24"/>
          <w:lang w:eastAsia="en-ZA"/>
        </w:rPr>
        <w:t xml:space="preserve">The respondents opposed the appeal on two grounds. The first ground is that the arbitrator’s ruling in question was preliminary in nature. It is therefore not </w:t>
      </w:r>
      <w:r w:rsidR="00BA03E3" w:rsidRPr="009E5323">
        <w:rPr>
          <w:rFonts w:ascii="Arial" w:eastAsia="Arial" w:hAnsi="Arial" w:cs="Arial"/>
          <w:color w:val="000000"/>
          <w:sz w:val="24"/>
          <w:szCs w:val="24"/>
          <w:lang w:eastAsia="en-ZA"/>
        </w:rPr>
        <w:t>appealable</w:t>
      </w:r>
      <w:r w:rsidR="00BA03E3">
        <w:rPr>
          <w:rFonts w:ascii="Arial" w:eastAsia="Arial" w:hAnsi="Arial" w:cs="Arial"/>
          <w:color w:val="000000"/>
          <w:sz w:val="24"/>
          <w:szCs w:val="24"/>
          <w:lang w:eastAsia="en-ZA"/>
        </w:rPr>
        <w:t xml:space="preserve"> and accordingly this appeal is premature</w:t>
      </w:r>
      <w:r w:rsidR="00BA03E3" w:rsidRPr="00973435">
        <w:rPr>
          <w:rFonts w:ascii="Arial" w:eastAsia="Arial" w:hAnsi="Arial" w:cs="Arial"/>
          <w:color w:val="000000"/>
          <w:sz w:val="24"/>
          <w:szCs w:val="24"/>
          <w:lang w:eastAsia="en-ZA"/>
        </w:rPr>
        <w:t>. The second point of opposition is that the question as to who may sign the referral document and the consequences of non-compliance has been authoritatively and conclusively determined by the courts in case law.</w:t>
      </w:r>
      <w:r w:rsidR="00BA03E3">
        <w:rPr>
          <w:rFonts w:ascii="Arial" w:eastAsia="Arial" w:hAnsi="Arial" w:cs="Arial"/>
          <w:color w:val="000000"/>
          <w:sz w:val="24"/>
          <w:szCs w:val="24"/>
          <w:lang w:eastAsia="en-ZA"/>
        </w:rPr>
        <w:t xml:space="preserve"> </w:t>
      </w:r>
      <w:r w:rsidR="00013506">
        <w:rPr>
          <w:rFonts w:ascii="Arial" w:eastAsia="Arial" w:hAnsi="Arial" w:cs="Arial"/>
          <w:color w:val="000000"/>
          <w:sz w:val="24"/>
          <w:szCs w:val="24"/>
          <w:lang w:eastAsia="en-ZA"/>
        </w:rPr>
        <w:t>W</w:t>
      </w:r>
      <w:r w:rsidR="00BA03E3">
        <w:rPr>
          <w:rFonts w:ascii="Arial" w:eastAsia="Arial" w:hAnsi="Arial" w:cs="Arial"/>
          <w:color w:val="000000"/>
          <w:sz w:val="24"/>
          <w:szCs w:val="24"/>
          <w:lang w:eastAsia="en-ZA"/>
        </w:rPr>
        <w:t>hat the case law says will be elaborated upon later in this judgment</w:t>
      </w:r>
      <w:r w:rsidR="00A13BB8">
        <w:rPr>
          <w:rFonts w:ascii="Arial" w:hAnsi="Arial" w:cs="Arial"/>
          <w:sz w:val="24"/>
          <w:szCs w:val="24"/>
        </w:rPr>
        <w:t>.</w:t>
      </w:r>
    </w:p>
    <w:p w:rsidR="0011223C" w:rsidRDefault="0011223C" w:rsidP="00B76CA7">
      <w:pPr>
        <w:spacing w:after="0" w:line="360" w:lineRule="auto"/>
        <w:jc w:val="both"/>
        <w:rPr>
          <w:rFonts w:ascii="Arial" w:hAnsi="Arial" w:cs="Arial"/>
          <w:sz w:val="24"/>
          <w:szCs w:val="24"/>
        </w:rPr>
      </w:pPr>
    </w:p>
    <w:p w:rsidR="00BA03E3" w:rsidRPr="009E5323" w:rsidRDefault="00BA03E3" w:rsidP="00BA03E3">
      <w:pPr>
        <w:spacing w:after="0" w:line="360" w:lineRule="auto"/>
        <w:jc w:val="both"/>
        <w:rPr>
          <w:rFonts w:ascii="Arial" w:eastAsia="Arial" w:hAnsi="Arial" w:cs="Arial"/>
          <w:color w:val="000000"/>
          <w:sz w:val="24"/>
          <w:szCs w:val="24"/>
          <w:u w:val="single"/>
          <w:lang w:eastAsia="en-ZA"/>
        </w:rPr>
      </w:pPr>
      <w:r>
        <w:rPr>
          <w:rFonts w:ascii="Arial" w:eastAsia="Arial" w:hAnsi="Arial" w:cs="Arial"/>
          <w:color w:val="000000"/>
          <w:sz w:val="24"/>
          <w:szCs w:val="24"/>
          <w:u w:val="single"/>
          <w:lang w:eastAsia="en-ZA"/>
        </w:rPr>
        <w:t>Questions of Law</w:t>
      </w:r>
    </w:p>
    <w:p w:rsidR="00BA03E3" w:rsidRDefault="00BA03E3" w:rsidP="00B76CA7">
      <w:pPr>
        <w:spacing w:after="0" w:line="360" w:lineRule="auto"/>
        <w:jc w:val="both"/>
        <w:rPr>
          <w:rFonts w:ascii="Arial" w:hAnsi="Arial" w:cs="Arial"/>
          <w:sz w:val="24"/>
          <w:szCs w:val="24"/>
        </w:rPr>
      </w:pPr>
    </w:p>
    <w:p w:rsidR="00BA03E3" w:rsidRPr="009E5323" w:rsidRDefault="00BA03E3" w:rsidP="00BA03E3">
      <w:pPr>
        <w:spacing w:after="0" w:line="360" w:lineRule="auto"/>
        <w:jc w:val="both"/>
        <w:rPr>
          <w:rFonts w:ascii="Arial" w:eastAsia="Arial" w:hAnsi="Arial" w:cs="Arial"/>
          <w:i/>
          <w:color w:val="000000"/>
          <w:sz w:val="24"/>
          <w:szCs w:val="24"/>
          <w:lang w:eastAsia="en-ZA"/>
        </w:rPr>
      </w:pPr>
      <w:r>
        <w:rPr>
          <w:rFonts w:ascii="Arial" w:eastAsia="Arial" w:hAnsi="Arial" w:cs="Arial"/>
          <w:i/>
          <w:color w:val="000000"/>
          <w:sz w:val="24"/>
          <w:szCs w:val="24"/>
          <w:lang w:eastAsia="en-ZA"/>
        </w:rPr>
        <w:t xml:space="preserve">Question </w:t>
      </w:r>
      <w:r w:rsidRPr="009E5323">
        <w:rPr>
          <w:rFonts w:ascii="Arial" w:eastAsia="Arial" w:hAnsi="Arial" w:cs="Arial"/>
          <w:i/>
          <w:color w:val="000000"/>
          <w:sz w:val="24"/>
          <w:szCs w:val="24"/>
          <w:lang w:eastAsia="en-ZA"/>
        </w:rPr>
        <w:t>2.1.1</w:t>
      </w:r>
    </w:p>
    <w:p w:rsidR="00BA03E3" w:rsidRDefault="00BA03E3" w:rsidP="00B76CA7">
      <w:pPr>
        <w:spacing w:after="0" w:line="360" w:lineRule="auto"/>
        <w:jc w:val="both"/>
        <w:rPr>
          <w:rFonts w:ascii="Arial" w:hAnsi="Arial" w:cs="Arial"/>
          <w:sz w:val="24"/>
          <w:szCs w:val="24"/>
        </w:rPr>
      </w:pPr>
    </w:p>
    <w:p w:rsidR="0011223C" w:rsidRDefault="0011223C" w:rsidP="00B76CA7">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A03E3">
        <w:rPr>
          <w:rFonts w:ascii="Arial" w:eastAsia="Arial" w:hAnsi="Arial" w:cs="Arial"/>
          <w:color w:val="000000"/>
          <w:sz w:val="24"/>
          <w:szCs w:val="24"/>
          <w:lang w:eastAsia="en-ZA"/>
        </w:rPr>
        <w:t>The first question of law is w</w:t>
      </w:r>
      <w:r w:rsidR="00BA03E3" w:rsidRPr="00A11F37">
        <w:rPr>
          <w:rFonts w:ascii="Arial" w:eastAsia="Arial" w:hAnsi="Arial" w:cs="Arial"/>
          <w:color w:val="000000"/>
          <w:sz w:val="24"/>
          <w:szCs w:val="24"/>
          <w:lang w:eastAsia="en-ZA"/>
        </w:rPr>
        <w:t>hether the issue concerning a lack of mandate for the institution of the action</w:t>
      </w:r>
      <w:r w:rsidR="0075049B">
        <w:rPr>
          <w:rFonts w:ascii="Arial" w:eastAsia="Arial" w:hAnsi="Arial" w:cs="Arial"/>
          <w:color w:val="000000"/>
          <w:sz w:val="24"/>
          <w:szCs w:val="24"/>
          <w:lang w:eastAsia="en-ZA"/>
        </w:rPr>
        <w:t xml:space="preserve"> (</w:t>
      </w:r>
      <w:r w:rsidR="00BA03E3" w:rsidRPr="00A11F37">
        <w:rPr>
          <w:rFonts w:ascii="Arial" w:eastAsia="Arial" w:hAnsi="Arial" w:cs="Arial"/>
          <w:i/>
          <w:color w:val="000000"/>
          <w:sz w:val="24"/>
          <w:szCs w:val="24"/>
          <w:lang w:eastAsia="en-ZA"/>
        </w:rPr>
        <w:t>locus standi</w:t>
      </w:r>
      <w:r w:rsidR="0075049B">
        <w:rPr>
          <w:rFonts w:ascii="Arial" w:eastAsia="Arial" w:hAnsi="Arial" w:cs="Arial"/>
          <w:color w:val="000000"/>
          <w:sz w:val="24"/>
          <w:szCs w:val="24"/>
          <w:lang w:eastAsia="en-ZA"/>
        </w:rPr>
        <w:t xml:space="preserve">) </w:t>
      </w:r>
      <w:r w:rsidR="00BA03E3" w:rsidRPr="00A11F37">
        <w:rPr>
          <w:rFonts w:ascii="Arial" w:eastAsia="Arial" w:hAnsi="Arial" w:cs="Arial"/>
          <w:color w:val="000000"/>
          <w:sz w:val="24"/>
          <w:szCs w:val="24"/>
          <w:lang w:eastAsia="en-ZA"/>
        </w:rPr>
        <w:t>was fully and conclusively dealt</w:t>
      </w:r>
      <w:r w:rsidR="00BA03E3">
        <w:rPr>
          <w:rFonts w:ascii="Arial" w:eastAsia="Arial" w:hAnsi="Arial" w:cs="Arial"/>
          <w:color w:val="000000"/>
          <w:sz w:val="24"/>
          <w:szCs w:val="24"/>
          <w:lang w:eastAsia="en-ZA"/>
        </w:rPr>
        <w:t xml:space="preserve"> with</w:t>
      </w:r>
      <w:r w:rsidR="00BA03E3" w:rsidRPr="00A11F37">
        <w:rPr>
          <w:rFonts w:ascii="Arial" w:eastAsia="Arial" w:hAnsi="Arial" w:cs="Arial"/>
          <w:color w:val="000000"/>
          <w:sz w:val="24"/>
          <w:szCs w:val="24"/>
          <w:lang w:eastAsia="en-ZA"/>
        </w:rPr>
        <w:t xml:space="preserve"> </w:t>
      </w:r>
      <w:r w:rsidR="00BA03E3">
        <w:rPr>
          <w:rFonts w:ascii="Arial" w:eastAsia="Arial" w:hAnsi="Arial" w:cs="Arial"/>
          <w:color w:val="000000"/>
          <w:sz w:val="24"/>
          <w:szCs w:val="24"/>
          <w:lang w:eastAsia="en-ZA"/>
        </w:rPr>
        <w:t>(by the arbitrator)</w:t>
      </w:r>
      <w:r w:rsidR="00BA03E3" w:rsidRPr="00A11F37">
        <w:rPr>
          <w:rFonts w:ascii="Arial" w:eastAsia="Arial" w:hAnsi="Arial" w:cs="Arial"/>
          <w:color w:val="000000"/>
          <w:sz w:val="24"/>
          <w:szCs w:val="24"/>
          <w:lang w:eastAsia="en-ZA"/>
        </w:rPr>
        <w:t xml:space="preserve"> in his ruling of 12 June 2015</w:t>
      </w:r>
      <w:r w:rsidR="00BA03E3">
        <w:rPr>
          <w:rFonts w:ascii="Arial" w:eastAsia="Arial" w:hAnsi="Arial" w:cs="Arial"/>
          <w:color w:val="000000"/>
          <w:sz w:val="24"/>
          <w:szCs w:val="24"/>
          <w:lang w:eastAsia="en-ZA"/>
        </w:rPr>
        <w:t>. It would appear that this question is aimed at the arbitrator’s statement at paragraph 3 of his Ruling of 26 June 2016 where he said the following:</w:t>
      </w:r>
    </w:p>
    <w:p w:rsidR="0011223C" w:rsidRPr="00BA03E3" w:rsidRDefault="0011223C" w:rsidP="00B76CA7">
      <w:pPr>
        <w:spacing w:after="0" w:line="360" w:lineRule="auto"/>
        <w:jc w:val="both"/>
        <w:rPr>
          <w:rFonts w:ascii="Arial" w:hAnsi="Arial" w:cs="Arial"/>
          <w:sz w:val="24"/>
          <w:szCs w:val="24"/>
        </w:rPr>
      </w:pPr>
    </w:p>
    <w:p w:rsidR="00BA03E3" w:rsidRPr="00BA03E3" w:rsidRDefault="00BA03E3" w:rsidP="00BA03E3">
      <w:pPr>
        <w:spacing w:after="0" w:line="360" w:lineRule="auto"/>
        <w:ind w:firstLine="720"/>
        <w:jc w:val="both"/>
        <w:rPr>
          <w:rFonts w:ascii="Arial" w:hAnsi="Arial" w:cs="Arial"/>
        </w:rPr>
      </w:pPr>
      <w:r w:rsidRPr="00BA03E3">
        <w:rPr>
          <w:rFonts w:ascii="Arial" w:eastAsia="Arial" w:hAnsi="Arial" w:cs="Arial"/>
          <w:color w:val="000000"/>
          <w:lang w:eastAsia="en-ZA"/>
        </w:rPr>
        <w:t xml:space="preserve">‘These issues were dealt with in my ruling dated 12 June 2015 and the matter was set down for </w:t>
      </w:r>
      <w:r w:rsidRPr="00BA03E3">
        <w:rPr>
          <w:rFonts w:ascii="Arial" w:eastAsia="Arial" w:hAnsi="Arial" w:cs="Arial"/>
          <w:color w:val="000000"/>
          <w:u w:val="single"/>
          <w:lang w:eastAsia="en-ZA"/>
        </w:rPr>
        <w:t>Conciliation meeting</w:t>
      </w:r>
      <w:r w:rsidRPr="00BA03E3">
        <w:rPr>
          <w:rFonts w:ascii="Arial" w:eastAsia="Arial" w:hAnsi="Arial" w:cs="Arial"/>
          <w:color w:val="000000"/>
          <w:lang w:eastAsia="en-ZA"/>
        </w:rPr>
        <w:t xml:space="preserve"> on 29 June 2015 which was held and subsequently Conciliation meeting we arranged for 8</w:t>
      </w:r>
      <w:r w:rsidRPr="00BA03E3">
        <w:rPr>
          <w:rFonts w:ascii="Arial" w:eastAsia="Arial" w:hAnsi="Arial" w:cs="Arial"/>
          <w:color w:val="000000"/>
          <w:vertAlign w:val="superscript"/>
          <w:lang w:eastAsia="en-ZA"/>
        </w:rPr>
        <w:t>th</w:t>
      </w:r>
      <w:r w:rsidRPr="00BA03E3">
        <w:rPr>
          <w:rFonts w:ascii="Arial" w:eastAsia="Arial" w:hAnsi="Arial" w:cs="Arial"/>
          <w:color w:val="000000"/>
          <w:lang w:eastAsia="en-ZA"/>
        </w:rPr>
        <w:t>, 14</w:t>
      </w:r>
      <w:r w:rsidR="00BB0943" w:rsidRPr="00BB0943">
        <w:rPr>
          <w:rFonts w:ascii="Arial" w:eastAsia="Arial" w:hAnsi="Arial" w:cs="Arial"/>
          <w:color w:val="000000"/>
          <w:vertAlign w:val="superscript"/>
          <w:lang w:eastAsia="en-ZA"/>
        </w:rPr>
        <w:t>th</w:t>
      </w:r>
      <w:r w:rsidR="00BB0943">
        <w:rPr>
          <w:rFonts w:ascii="Arial" w:eastAsia="Arial" w:hAnsi="Arial" w:cs="Arial"/>
          <w:color w:val="000000"/>
          <w:lang w:eastAsia="en-ZA"/>
        </w:rPr>
        <w:t xml:space="preserve"> </w:t>
      </w:r>
      <w:r w:rsidRPr="00BA03E3">
        <w:rPr>
          <w:rFonts w:ascii="Arial" w:eastAsia="Arial" w:hAnsi="Arial" w:cs="Arial"/>
          <w:color w:val="000000"/>
          <w:lang w:eastAsia="en-ZA"/>
        </w:rPr>
        <w:t>and 21</w:t>
      </w:r>
      <w:r w:rsidRPr="00BA03E3">
        <w:rPr>
          <w:rFonts w:ascii="Arial" w:eastAsia="Arial" w:hAnsi="Arial" w:cs="Arial"/>
          <w:color w:val="000000"/>
          <w:vertAlign w:val="superscript"/>
          <w:lang w:eastAsia="en-ZA"/>
        </w:rPr>
        <w:t>st</w:t>
      </w:r>
      <w:r w:rsidRPr="00BA03E3">
        <w:rPr>
          <w:rFonts w:ascii="Arial" w:eastAsia="Arial" w:hAnsi="Arial" w:cs="Arial"/>
          <w:color w:val="000000"/>
          <w:lang w:eastAsia="en-ZA"/>
        </w:rPr>
        <w:t xml:space="preserve"> day of July 2015. Furthermore Conciliation meeting was set down and held on 14 day of August 2015.’</w:t>
      </w:r>
    </w:p>
    <w:p w:rsidR="00BA03E3" w:rsidRDefault="00BA03E3" w:rsidP="00B76CA7">
      <w:pPr>
        <w:spacing w:after="0" w:line="360" w:lineRule="auto"/>
        <w:jc w:val="both"/>
        <w:rPr>
          <w:rFonts w:ascii="Arial" w:hAnsi="Arial" w:cs="Arial"/>
          <w:sz w:val="24"/>
          <w:szCs w:val="24"/>
        </w:rPr>
      </w:pPr>
    </w:p>
    <w:p w:rsidR="0011223C" w:rsidRDefault="0011223C" w:rsidP="00B76CA7">
      <w:pPr>
        <w:spacing w:after="0" w:line="360" w:lineRule="auto"/>
        <w:jc w:val="both"/>
        <w:rPr>
          <w:rFonts w:ascii="Arial" w:hAnsi="Arial" w:cs="Arial"/>
          <w:sz w:val="24"/>
          <w:szCs w:val="24"/>
        </w:rPr>
      </w:pPr>
      <w:r>
        <w:rPr>
          <w:rFonts w:ascii="Arial" w:hAnsi="Arial" w:cs="Arial"/>
          <w:sz w:val="24"/>
          <w:szCs w:val="24"/>
        </w:rPr>
        <w:t>[1</w:t>
      </w:r>
      <w:r w:rsidR="0043699E">
        <w:rPr>
          <w:rFonts w:ascii="Arial" w:hAnsi="Arial" w:cs="Arial"/>
          <w:sz w:val="24"/>
          <w:szCs w:val="24"/>
        </w:rPr>
        <w:t>3</w:t>
      </w:r>
      <w:r>
        <w:rPr>
          <w:rFonts w:ascii="Arial" w:hAnsi="Arial" w:cs="Arial"/>
          <w:sz w:val="24"/>
          <w:szCs w:val="24"/>
        </w:rPr>
        <w:t>]</w:t>
      </w:r>
      <w:r>
        <w:rPr>
          <w:rFonts w:ascii="Arial" w:hAnsi="Arial" w:cs="Arial"/>
          <w:sz w:val="24"/>
          <w:szCs w:val="24"/>
        </w:rPr>
        <w:tab/>
      </w:r>
      <w:r w:rsidR="00BA03E3">
        <w:rPr>
          <w:rFonts w:ascii="Arial" w:eastAsia="Arial" w:hAnsi="Arial" w:cs="Arial"/>
          <w:color w:val="000000"/>
          <w:sz w:val="24"/>
          <w:szCs w:val="24"/>
          <w:lang w:eastAsia="en-ZA"/>
        </w:rPr>
        <w:t>Furthermore the arbitrator stated at paragraph 8 of his Ruling as follows:</w:t>
      </w:r>
    </w:p>
    <w:p w:rsidR="0011223C" w:rsidRPr="00BA03E3" w:rsidRDefault="0011223C" w:rsidP="00B76CA7">
      <w:pPr>
        <w:spacing w:after="0" w:line="360" w:lineRule="auto"/>
        <w:jc w:val="both"/>
        <w:rPr>
          <w:rFonts w:ascii="Arial" w:hAnsi="Arial" w:cs="Arial"/>
          <w:sz w:val="24"/>
          <w:szCs w:val="24"/>
        </w:rPr>
      </w:pPr>
    </w:p>
    <w:p w:rsidR="00BA03E3" w:rsidRPr="00BA03E3" w:rsidRDefault="00BA03E3" w:rsidP="00BA03E3">
      <w:pPr>
        <w:spacing w:after="0" w:line="360" w:lineRule="auto"/>
        <w:ind w:firstLine="720"/>
        <w:jc w:val="both"/>
        <w:rPr>
          <w:rFonts w:ascii="Arial" w:eastAsia="Arial" w:hAnsi="Arial" w:cs="Arial"/>
          <w:color w:val="000000"/>
          <w:lang w:eastAsia="en-ZA"/>
        </w:rPr>
      </w:pPr>
      <w:r w:rsidRPr="00BA03E3">
        <w:rPr>
          <w:rFonts w:ascii="Arial" w:eastAsia="Arial" w:hAnsi="Arial" w:cs="Arial"/>
          <w:color w:val="000000"/>
          <w:lang w:eastAsia="en-ZA"/>
        </w:rPr>
        <w:t xml:space="preserve">‘Non-existent </w:t>
      </w:r>
      <w:r w:rsidR="00A336B5">
        <w:rPr>
          <w:rFonts w:ascii="Arial" w:eastAsia="Arial" w:hAnsi="Arial" w:cs="Arial"/>
          <w:color w:val="000000"/>
          <w:lang w:eastAsia="en-ZA"/>
        </w:rPr>
        <w:t>appellants</w:t>
      </w:r>
    </w:p>
    <w:p w:rsidR="00BA03E3" w:rsidRPr="00BA03E3" w:rsidRDefault="00BA03E3" w:rsidP="00BA03E3">
      <w:pPr>
        <w:spacing w:after="0" w:line="360" w:lineRule="auto"/>
        <w:jc w:val="both"/>
        <w:rPr>
          <w:rFonts w:ascii="Arial" w:eastAsia="Arial" w:hAnsi="Arial" w:cs="Arial"/>
          <w:color w:val="000000"/>
          <w:lang w:eastAsia="en-ZA"/>
        </w:rPr>
      </w:pPr>
    </w:p>
    <w:p w:rsidR="00BA03E3" w:rsidRPr="00BA03E3" w:rsidRDefault="00BA03E3" w:rsidP="00BA03E3">
      <w:pPr>
        <w:spacing w:after="0" w:line="360" w:lineRule="auto"/>
        <w:ind w:left="720" w:firstLine="720"/>
        <w:jc w:val="both"/>
        <w:rPr>
          <w:rFonts w:ascii="Arial" w:eastAsia="Arial" w:hAnsi="Arial" w:cs="Arial"/>
          <w:color w:val="000000"/>
          <w:lang w:eastAsia="en-ZA"/>
        </w:rPr>
      </w:pPr>
      <w:r w:rsidRPr="00BA03E3">
        <w:rPr>
          <w:rFonts w:ascii="Arial" w:eastAsia="Arial" w:hAnsi="Arial" w:cs="Arial"/>
          <w:color w:val="000000"/>
          <w:lang w:eastAsia="en-ZA"/>
        </w:rPr>
        <w:t xml:space="preserve">The respondents specifically queried the </w:t>
      </w:r>
      <w:r w:rsidRPr="0075049B">
        <w:rPr>
          <w:rFonts w:ascii="Arial" w:eastAsia="Arial" w:hAnsi="Arial" w:cs="Arial"/>
          <w:i/>
          <w:color w:val="000000"/>
          <w:lang w:eastAsia="en-ZA"/>
        </w:rPr>
        <w:t>locus standi</w:t>
      </w:r>
      <w:r w:rsidRPr="00BA03E3">
        <w:rPr>
          <w:rFonts w:ascii="Arial" w:eastAsia="Arial" w:hAnsi="Arial" w:cs="Arial"/>
          <w:color w:val="000000"/>
          <w:lang w:eastAsia="en-ZA"/>
        </w:rPr>
        <w:t xml:space="preserve"> of the </w:t>
      </w:r>
      <w:r w:rsidR="00A336B5">
        <w:rPr>
          <w:rFonts w:ascii="Arial" w:eastAsia="Arial" w:hAnsi="Arial" w:cs="Arial"/>
          <w:color w:val="000000"/>
          <w:lang w:eastAsia="en-ZA"/>
        </w:rPr>
        <w:t>Appellants</w:t>
      </w:r>
      <w:r w:rsidRPr="00BA03E3">
        <w:rPr>
          <w:rFonts w:ascii="Arial" w:eastAsia="Arial" w:hAnsi="Arial" w:cs="Arial"/>
          <w:color w:val="000000"/>
          <w:lang w:eastAsia="en-ZA"/>
        </w:rPr>
        <w:t xml:space="preserve">’ representatives. Essentially the Respondents seek to advance the legal argument that there is no mandate from some of the </w:t>
      </w:r>
      <w:r w:rsidR="00A336B5">
        <w:rPr>
          <w:rFonts w:ascii="Arial" w:eastAsia="Arial" w:hAnsi="Arial" w:cs="Arial"/>
          <w:color w:val="000000"/>
          <w:lang w:eastAsia="en-ZA"/>
        </w:rPr>
        <w:t>Appellants</w:t>
      </w:r>
      <w:r w:rsidRPr="00BA03E3">
        <w:rPr>
          <w:rFonts w:ascii="Arial" w:eastAsia="Arial" w:hAnsi="Arial" w:cs="Arial"/>
          <w:color w:val="000000"/>
          <w:lang w:eastAsia="en-ZA"/>
        </w:rPr>
        <w:t xml:space="preserve"> to institute the current claims made against the Respondents. A number of the members on the lists are employed in Trustco Group, upon enquiring they informed they know nothing about the complaint. There is a further argument made by the Respondents that the list of Applicant is of is fabricated; Ad paragraph 20 of the Respondents sworn affidavit of Ryan McDougall.</w:t>
      </w:r>
    </w:p>
    <w:p w:rsidR="00BA03E3" w:rsidRPr="00BA03E3" w:rsidRDefault="00BA03E3" w:rsidP="00BA03E3">
      <w:pPr>
        <w:spacing w:after="0" w:line="360" w:lineRule="auto"/>
        <w:jc w:val="both"/>
        <w:rPr>
          <w:rFonts w:ascii="Arial" w:eastAsia="Arial" w:hAnsi="Arial" w:cs="Arial"/>
          <w:color w:val="000000"/>
          <w:lang w:eastAsia="en-ZA"/>
        </w:rPr>
      </w:pPr>
    </w:p>
    <w:p w:rsidR="00BA03E3" w:rsidRPr="00BA03E3" w:rsidRDefault="00BA03E3" w:rsidP="000E4BA3">
      <w:pPr>
        <w:spacing w:after="0" w:line="360" w:lineRule="auto"/>
        <w:ind w:left="720" w:firstLine="720"/>
        <w:jc w:val="both"/>
        <w:rPr>
          <w:rFonts w:ascii="Arial" w:hAnsi="Arial" w:cs="Arial"/>
          <w:sz w:val="24"/>
          <w:szCs w:val="24"/>
        </w:rPr>
      </w:pPr>
      <w:r w:rsidRPr="00BA03E3">
        <w:rPr>
          <w:rFonts w:ascii="Arial" w:eastAsia="Arial" w:hAnsi="Arial" w:cs="Arial"/>
          <w:color w:val="000000"/>
          <w:lang w:eastAsia="en-ZA"/>
        </w:rPr>
        <w:t xml:space="preserve">I accept that these legal issues pertaining to mandate could be of some sufficient complexity </w:t>
      </w:r>
      <w:r w:rsidRPr="00BA03E3">
        <w:rPr>
          <w:rFonts w:ascii="Arial" w:eastAsia="Arial" w:hAnsi="Arial" w:cs="Arial"/>
          <w:color w:val="000000"/>
          <w:u w:val="single"/>
          <w:lang w:eastAsia="en-ZA"/>
        </w:rPr>
        <w:t xml:space="preserve">however again the Respondents fail to lay a basis as to which of the 92 </w:t>
      </w:r>
      <w:r w:rsidR="00A336B5">
        <w:rPr>
          <w:rFonts w:ascii="Arial" w:eastAsia="Arial" w:hAnsi="Arial" w:cs="Arial"/>
          <w:color w:val="000000"/>
          <w:u w:val="single"/>
          <w:lang w:eastAsia="en-ZA"/>
        </w:rPr>
        <w:t>Appellants</w:t>
      </w:r>
      <w:r w:rsidRPr="00BA03E3">
        <w:rPr>
          <w:rFonts w:ascii="Arial" w:eastAsia="Arial" w:hAnsi="Arial" w:cs="Arial"/>
          <w:color w:val="000000"/>
          <w:u w:val="single"/>
          <w:lang w:eastAsia="en-ZA"/>
        </w:rPr>
        <w:t xml:space="preserve"> have not given proper mandate for the institution of the current proceedings</w:t>
      </w:r>
      <w:r>
        <w:rPr>
          <w:rFonts w:ascii="Arial" w:eastAsia="Arial" w:hAnsi="Arial" w:cs="Arial"/>
          <w:color w:val="000000"/>
          <w:u w:val="single"/>
          <w:lang w:eastAsia="en-ZA"/>
        </w:rPr>
        <w:t>.</w:t>
      </w:r>
      <w:r>
        <w:rPr>
          <w:rFonts w:ascii="Arial" w:eastAsia="Arial" w:hAnsi="Arial" w:cs="Arial"/>
          <w:color w:val="000000"/>
          <w:lang w:eastAsia="en-ZA"/>
        </w:rPr>
        <w:t>’</w:t>
      </w:r>
      <w:r w:rsidRPr="00BA03E3">
        <w:rPr>
          <w:rFonts w:ascii="Arial" w:eastAsia="Arial" w:hAnsi="Arial" w:cs="Arial"/>
          <w:color w:val="000000"/>
          <w:lang w:eastAsia="en-ZA"/>
        </w:rPr>
        <w:t>(My underlining for emphasis)</w:t>
      </w:r>
    </w:p>
    <w:p w:rsidR="00BA03E3" w:rsidRPr="00BA03E3" w:rsidRDefault="00BA03E3" w:rsidP="00B76CA7">
      <w:pPr>
        <w:spacing w:after="0" w:line="360" w:lineRule="auto"/>
        <w:jc w:val="both"/>
        <w:rPr>
          <w:rFonts w:ascii="Arial" w:hAnsi="Arial" w:cs="Arial"/>
          <w:sz w:val="24"/>
          <w:szCs w:val="24"/>
        </w:rPr>
      </w:pPr>
    </w:p>
    <w:p w:rsidR="0011223C" w:rsidRDefault="0011223C" w:rsidP="00B76CA7">
      <w:pPr>
        <w:spacing w:after="0" w:line="360" w:lineRule="auto"/>
        <w:jc w:val="both"/>
        <w:rPr>
          <w:rFonts w:ascii="Arial" w:hAnsi="Arial" w:cs="Arial"/>
          <w:sz w:val="24"/>
          <w:szCs w:val="24"/>
        </w:rPr>
      </w:pPr>
      <w:r>
        <w:rPr>
          <w:rFonts w:ascii="Arial" w:hAnsi="Arial" w:cs="Arial"/>
          <w:sz w:val="24"/>
          <w:szCs w:val="24"/>
        </w:rPr>
        <w:t>[1</w:t>
      </w:r>
      <w:r w:rsidR="007E548F">
        <w:rPr>
          <w:rFonts w:ascii="Arial" w:hAnsi="Arial" w:cs="Arial"/>
          <w:sz w:val="24"/>
          <w:szCs w:val="24"/>
        </w:rPr>
        <w:t>4</w:t>
      </w:r>
      <w:r>
        <w:rPr>
          <w:rFonts w:ascii="Arial" w:hAnsi="Arial" w:cs="Arial"/>
          <w:sz w:val="24"/>
          <w:szCs w:val="24"/>
        </w:rPr>
        <w:t>]</w:t>
      </w:r>
      <w:r>
        <w:rPr>
          <w:rFonts w:ascii="Arial" w:hAnsi="Arial" w:cs="Arial"/>
          <w:sz w:val="24"/>
          <w:szCs w:val="24"/>
        </w:rPr>
        <w:tab/>
      </w:r>
      <w:r w:rsidR="000E4BA3">
        <w:rPr>
          <w:rFonts w:ascii="Arial" w:eastAsia="Arial" w:hAnsi="Arial" w:cs="Arial"/>
          <w:color w:val="000000"/>
          <w:sz w:val="24"/>
          <w:szCs w:val="24"/>
          <w:lang w:eastAsia="en-ZA"/>
        </w:rPr>
        <w:t>Counsel for the respondents submits in her heads of argument that the appellants’ ground of appeal in this regard is so vague that it renders a meaningful response thereto, impossible. I agree with Counsel’s predicament. I must confess that I have the same challenge in comprehending this ground of appeal. To the extent I understand the question, I will endeavour to deal with it and provide an answer</w:t>
      </w:r>
      <w:r w:rsidR="00B71592">
        <w:rPr>
          <w:rFonts w:ascii="Arial" w:hAnsi="Arial" w:cs="Arial"/>
          <w:sz w:val="24"/>
          <w:szCs w:val="24"/>
        </w:rPr>
        <w:t>.</w:t>
      </w:r>
    </w:p>
    <w:p w:rsidR="0011223C" w:rsidRDefault="0011223C" w:rsidP="00B76CA7">
      <w:pPr>
        <w:spacing w:after="0" w:line="360" w:lineRule="auto"/>
        <w:jc w:val="both"/>
        <w:rPr>
          <w:rFonts w:ascii="Arial" w:hAnsi="Arial" w:cs="Arial"/>
          <w:sz w:val="24"/>
          <w:szCs w:val="24"/>
        </w:rPr>
      </w:pPr>
    </w:p>
    <w:p w:rsidR="0011223C" w:rsidRDefault="00771A23" w:rsidP="00B76CA7">
      <w:pPr>
        <w:spacing w:after="0" w:line="360" w:lineRule="auto"/>
        <w:jc w:val="both"/>
        <w:rPr>
          <w:rFonts w:ascii="Arial" w:hAnsi="Arial" w:cs="Arial"/>
          <w:sz w:val="24"/>
          <w:szCs w:val="24"/>
        </w:rPr>
      </w:pPr>
      <w:r>
        <w:rPr>
          <w:rFonts w:ascii="Arial" w:hAnsi="Arial" w:cs="Arial"/>
          <w:sz w:val="24"/>
          <w:szCs w:val="24"/>
        </w:rPr>
        <w:t>[15</w:t>
      </w:r>
      <w:r w:rsidR="0011223C">
        <w:rPr>
          <w:rFonts w:ascii="Arial" w:hAnsi="Arial" w:cs="Arial"/>
          <w:sz w:val="24"/>
          <w:szCs w:val="24"/>
        </w:rPr>
        <w:t>]</w:t>
      </w:r>
      <w:r w:rsidR="0011223C">
        <w:rPr>
          <w:rFonts w:ascii="Arial" w:hAnsi="Arial" w:cs="Arial"/>
          <w:sz w:val="24"/>
          <w:szCs w:val="24"/>
        </w:rPr>
        <w:tab/>
      </w:r>
      <w:r w:rsidR="00884CA5">
        <w:rPr>
          <w:rFonts w:ascii="Arial" w:eastAsia="Arial" w:hAnsi="Arial" w:cs="Arial"/>
          <w:color w:val="000000"/>
          <w:sz w:val="24"/>
          <w:szCs w:val="24"/>
          <w:lang w:eastAsia="en-ZA"/>
        </w:rPr>
        <w:t xml:space="preserve">In my view, on the proper reading of the arbitrators Ruling of 12 June 2015, in particular the portion I have underlined, by stating that the respondents had failed to lay a basis </w:t>
      </w:r>
      <w:r w:rsidR="00884CA5" w:rsidRPr="00665733">
        <w:rPr>
          <w:rFonts w:ascii="Arial" w:eastAsia="Arial" w:hAnsi="Arial" w:cs="Arial"/>
          <w:color w:val="000000"/>
          <w:sz w:val="24"/>
          <w:szCs w:val="24"/>
          <w:lang w:eastAsia="en-ZA"/>
        </w:rPr>
        <w:t xml:space="preserve">as to which of the 92 </w:t>
      </w:r>
      <w:r w:rsidR="00A336B5">
        <w:rPr>
          <w:rFonts w:ascii="Arial" w:eastAsia="Arial" w:hAnsi="Arial" w:cs="Arial"/>
          <w:color w:val="000000"/>
          <w:sz w:val="24"/>
          <w:szCs w:val="24"/>
          <w:lang w:eastAsia="en-ZA"/>
        </w:rPr>
        <w:t>Appellants</w:t>
      </w:r>
      <w:r w:rsidR="00884CA5" w:rsidRPr="00665733">
        <w:rPr>
          <w:rFonts w:ascii="Arial" w:eastAsia="Arial" w:hAnsi="Arial" w:cs="Arial"/>
          <w:color w:val="000000"/>
          <w:sz w:val="24"/>
          <w:szCs w:val="24"/>
          <w:lang w:eastAsia="en-ZA"/>
        </w:rPr>
        <w:t xml:space="preserve"> have not given proper mandate </w:t>
      </w:r>
      <w:r w:rsidR="00884CA5">
        <w:rPr>
          <w:rFonts w:ascii="Arial" w:eastAsia="Arial" w:hAnsi="Arial" w:cs="Arial"/>
          <w:color w:val="000000"/>
          <w:sz w:val="24"/>
          <w:szCs w:val="24"/>
          <w:lang w:eastAsia="en-ZA"/>
        </w:rPr>
        <w:t>for</w:t>
      </w:r>
      <w:r w:rsidR="00884CA5" w:rsidRPr="00665733">
        <w:rPr>
          <w:rFonts w:ascii="Arial" w:eastAsia="Arial" w:hAnsi="Arial" w:cs="Arial"/>
          <w:color w:val="000000"/>
          <w:sz w:val="24"/>
          <w:szCs w:val="24"/>
          <w:lang w:eastAsia="en-ZA"/>
        </w:rPr>
        <w:t xml:space="preserve"> the institution of the current proceedings</w:t>
      </w:r>
      <w:r w:rsidR="00884CA5">
        <w:rPr>
          <w:rFonts w:ascii="Arial" w:eastAsia="Arial" w:hAnsi="Arial" w:cs="Arial"/>
          <w:color w:val="000000"/>
          <w:sz w:val="24"/>
          <w:szCs w:val="24"/>
          <w:lang w:eastAsia="en-ZA"/>
        </w:rPr>
        <w:t>, the arbitrator</w:t>
      </w:r>
      <w:r w:rsidR="00884CA5" w:rsidRPr="00665733">
        <w:rPr>
          <w:rFonts w:ascii="Arial" w:eastAsia="Arial" w:hAnsi="Arial" w:cs="Arial"/>
          <w:color w:val="000000"/>
          <w:sz w:val="24"/>
          <w:szCs w:val="24"/>
          <w:lang w:eastAsia="en-ZA"/>
        </w:rPr>
        <w:t xml:space="preserve"> had made a finding</w:t>
      </w:r>
      <w:r w:rsidR="00884CA5">
        <w:rPr>
          <w:rFonts w:ascii="Arial" w:eastAsia="Arial" w:hAnsi="Arial" w:cs="Arial"/>
          <w:color w:val="000000"/>
          <w:sz w:val="24"/>
          <w:szCs w:val="24"/>
          <w:lang w:eastAsia="en-ZA"/>
        </w:rPr>
        <w:t xml:space="preserve"> that the respondents were properly before him. This conclusion is, in my view, supported by the arbitrator’s own statement at paragraph 3 of his 26 June 2016 ruling that he considered that aspect in his 12 June 2015 ruling having been dealt with and disposed of or concluded</w:t>
      </w:r>
      <w:r w:rsidR="00B86352">
        <w:rPr>
          <w:rFonts w:ascii="Arial" w:hAnsi="Arial" w:cs="Arial"/>
          <w:sz w:val="24"/>
          <w:szCs w:val="24"/>
        </w:rPr>
        <w:t>.</w:t>
      </w:r>
    </w:p>
    <w:p w:rsidR="0011223C" w:rsidRDefault="0011223C" w:rsidP="00804871">
      <w:pPr>
        <w:spacing w:after="0" w:line="360" w:lineRule="auto"/>
        <w:jc w:val="both"/>
        <w:rPr>
          <w:rFonts w:ascii="Arial" w:hAnsi="Arial" w:cs="Arial"/>
          <w:sz w:val="24"/>
          <w:szCs w:val="24"/>
        </w:rPr>
      </w:pPr>
    </w:p>
    <w:p w:rsidR="0011223C" w:rsidRDefault="0011223C" w:rsidP="00804871">
      <w:pPr>
        <w:spacing w:after="0" w:line="360" w:lineRule="auto"/>
        <w:jc w:val="both"/>
        <w:rPr>
          <w:rFonts w:ascii="Arial" w:hAnsi="Arial" w:cs="Arial"/>
          <w:sz w:val="24"/>
          <w:szCs w:val="24"/>
        </w:rPr>
      </w:pPr>
      <w:r>
        <w:rPr>
          <w:rFonts w:ascii="Arial" w:hAnsi="Arial" w:cs="Arial"/>
          <w:sz w:val="24"/>
          <w:szCs w:val="24"/>
        </w:rPr>
        <w:t>[1</w:t>
      </w:r>
      <w:r w:rsidR="00771A23">
        <w:rPr>
          <w:rFonts w:ascii="Arial" w:hAnsi="Arial" w:cs="Arial"/>
          <w:sz w:val="24"/>
          <w:szCs w:val="24"/>
        </w:rPr>
        <w:t>6</w:t>
      </w:r>
      <w:r>
        <w:rPr>
          <w:rFonts w:ascii="Arial" w:hAnsi="Arial" w:cs="Arial"/>
          <w:sz w:val="24"/>
          <w:szCs w:val="24"/>
        </w:rPr>
        <w:t>]</w:t>
      </w:r>
      <w:r>
        <w:rPr>
          <w:rFonts w:ascii="Arial" w:hAnsi="Arial" w:cs="Arial"/>
          <w:sz w:val="24"/>
          <w:szCs w:val="24"/>
        </w:rPr>
        <w:tab/>
      </w:r>
      <w:r w:rsidR="00884CA5">
        <w:rPr>
          <w:rFonts w:ascii="Arial" w:eastAsia="Arial" w:hAnsi="Arial" w:cs="Arial"/>
          <w:color w:val="000000"/>
          <w:sz w:val="24"/>
          <w:szCs w:val="24"/>
          <w:lang w:eastAsia="en-ZA"/>
        </w:rPr>
        <w:t>It is necessary to keep in mind that that this appeal is directed against the arbitrator’s ruling of 26 April 2016 and not against the ruling of 12 June 2015. For that reason, I find it unnecessary to dwell further on the arbitrator’s ruling of 12 June 2015</w:t>
      </w:r>
      <w:r w:rsidR="003F448C">
        <w:rPr>
          <w:rFonts w:ascii="Arial" w:hAnsi="Arial" w:cs="Arial"/>
          <w:sz w:val="24"/>
          <w:szCs w:val="24"/>
        </w:rPr>
        <w:t>.</w:t>
      </w:r>
    </w:p>
    <w:p w:rsidR="0011223C" w:rsidRDefault="0011223C" w:rsidP="00B76CA7">
      <w:pPr>
        <w:spacing w:after="0" w:line="360" w:lineRule="auto"/>
        <w:jc w:val="both"/>
        <w:rPr>
          <w:rFonts w:ascii="Arial" w:hAnsi="Arial" w:cs="Arial"/>
          <w:sz w:val="24"/>
          <w:szCs w:val="24"/>
        </w:rPr>
      </w:pPr>
    </w:p>
    <w:p w:rsidR="0011223C" w:rsidRDefault="0011223C" w:rsidP="00B76CA7">
      <w:pPr>
        <w:spacing w:after="0" w:line="360" w:lineRule="auto"/>
        <w:jc w:val="both"/>
        <w:rPr>
          <w:rFonts w:ascii="Arial" w:hAnsi="Arial" w:cs="Arial"/>
          <w:sz w:val="24"/>
          <w:szCs w:val="24"/>
        </w:rPr>
      </w:pPr>
      <w:r>
        <w:rPr>
          <w:rFonts w:ascii="Arial" w:hAnsi="Arial" w:cs="Arial"/>
          <w:sz w:val="24"/>
          <w:szCs w:val="24"/>
        </w:rPr>
        <w:t>[1</w:t>
      </w:r>
      <w:r w:rsidR="00231DE1">
        <w:rPr>
          <w:rFonts w:ascii="Arial" w:hAnsi="Arial" w:cs="Arial"/>
          <w:sz w:val="24"/>
          <w:szCs w:val="24"/>
        </w:rPr>
        <w:t>7</w:t>
      </w:r>
      <w:r>
        <w:rPr>
          <w:rFonts w:ascii="Arial" w:hAnsi="Arial" w:cs="Arial"/>
          <w:sz w:val="24"/>
          <w:szCs w:val="24"/>
        </w:rPr>
        <w:t>]</w:t>
      </w:r>
      <w:r>
        <w:rPr>
          <w:rFonts w:ascii="Arial" w:hAnsi="Arial" w:cs="Arial"/>
          <w:sz w:val="24"/>
          <w:szCs w:val="24"/>
        </w:rPr>
        <w:tab/>
      </w:r>
      <w:r w:rsidR="00884CA5">
        <w:rPr>
          <w:rFonts w:ascii="Arial" w:eastAsia="Arial" w:hAnsi="Arial" w:cs="Arial"/>
          <w:color w:val="000000"/>
          <w:sz w:val="24"/>
          <w:szCs w:val="24"/>
          <w:lang w:eastAsia="en-ZA"/>
        </w:rPr>
        <w:t xml:space="preserve">Furthermore, upon proper scrutiny of the appellants’ ground or question of law in this regard, the appellants appear to have accepted that the arbitrator had made a finding regarding the issue of mandate/ </w:t>
      </w:r>
      <w:r w:rsidR="00884CA5" w:rsidRPr="006E68D5">
        <w:rPr>
          <w:rFonts w:ascii="Arial" w:eastAsia="Arial" w:hAnsi="Arial" w:cs="Arial"/>
          <w:i/>
          <w:color w:val="000000"/>
          <w:sz w:val="24"/>
          <w:szCs w:val="24"/>
          <w:lang w:eastAsia="en-ZA"/>
        </w:rPr>
        <w:t>locus standi.</w:t>
      </w:r>
      <w:r w:rsidR="00884CA5">
        <w:rPr>
          <w:rFonts w:ascii="Arial" w:eastAsia="Arial" w:hAnsi="Arial" w:cs="Arial"/>
          <w:color w:val="000000"/>
          <w:sz w:val="24"/>
          <w:szCs w:val="24"/>
          <w:lang w:eastAsia="en-ZA"/>
        </w:rPr>
        <w:t xml:space="preserve"> The appellants gripe is that the issue was not ‘</w:t>
      </w:r>
      <w:r w:rsidR="00884CA5" w:rsidRPr="00B3763C">
        <w:rPr>
          <w:rFonts w:ascii="Arial" w:eastAsia="Arial" w:hAnsi="Arial" w:cs="Arial"/>
          <w:i/>
          <w:color w:val="000000"/>
          <w:sz w:val="24"/>
          <w:szCs w:val="24"/>
          <w:lang w:eastAsia="en-ZA"/>
        </w:rPr>
        <w:t>fully and conclusively dealt with</w:t>
      </w:r>
      <w:r w:rsidR="00884CA5">
        <w:rPr>
          <w:rFonts w:ascii="Arial" w:eastAsia="Arial" w:hAnsi="Arial" w:cs="Arial"/>
          <w:color w:val="000000"/>
          <w:sz w:val="24"/>
          <w:szCs w:val="24"/>
          <w:lang w:eastAsia="en-ZA"/>
        </w:rPr>
        <w:t>’</w:t>
      </w:r>
      <w:r w:rsidR="00884CA5" w:rsidRPr="00884CA5">
        <w:rPr>
          <w:rFonts w:ascii="Arial" w:eastAsia="Arial" w:hAnsi="Arial" w:cs="Arial"/>
          <w:color w:val="000000"/>
          <w:sz w:val="24"/>
          <w:szCs w:val="24"/>
          <w:lang w:eastAsia="en-ZA"/>
        </w:rPr>
        <w:t>.</w:t>
      </w:r>
      <w:r w:rsidR="00884CA5">
        <w:rPr>
          <w:rFonts w:ascii="Arial" w:eastAsia="Arial" w:hAnsi="Arial" w:cs="Arial"/>
          <w:i/>
          <w:color w:val="000000"/>
          <w:sz w:val="24"/>
          <w:szCs w:val="24"/>
          <w:lang w:eastAsia="en-ZA"/>
        </w:rPr>
        <w:t xml:space="preserve"> </w:t>
      </w:r>
      <w:r w:rsidR="00884CA5">
        <w:rPr>
          <w:rFonts w:ascii="Arial" w:eastAsia="Arial" w:hAnsi="Arial" w:cs="Arial"/>
          <w:color w:val="000000"/>
          <w:sz w:val="24"/>
          <w:szCs w:val="24"/>
          <w:lang w:eastAsia="en-ZA"/>
        </w:rPr>
        <w:t>In my view, the firmness or sufficiency of a finding cannot constitute a ground of appeal.</w:t>
      </w:r>
      <w:r w:rsidR="00884CA5">
        <w:rPr>
          <w:rFonts w:ascii="Arial" w:eastAsia="Arial" w:hAnsi="Arial" w:cs="Arial"/>
          <w:i/>
          <w:color w:val="000000"/>
          <w:sz w:val="24"/>
          <w:szCs w:val="24"/>
          <w:lang w:eastAsia="en-ZA"/>
        </w:rPr>
        <w:t xml:space="preserve"> </w:t>
      </w:r>
      <w:r w:rsidR="00884CA5">
        <w:rPr>
          <w:rFonts w:ascii="Arial" w:eastAsia="Arial" w:hAnsi="Arial" w:cs="Arial"/>
          <w:color w:val="000000"/>
          <w:sz w:val="24"/>
          <w:szCs w:val="24"/>
          <w:lang w:eastAsia="en-ZA"/>
        </w:rPr>
        <w:t>In terms of the rules, the ground of appeal must be directed against a specific finding of the court or tribunal. The conclusiveness of a finding cannot constitute a ground for appeal. The appellants’ complaint in this regard could perhaps be addressed through review proceedings, but not appeal proceedings</w:t>
      </w:r>
      <w:r w:rsidR="00A422BD">
        <w:rPr>
          <w:rFonts w:ascii="Arial" w:hAnsi="Arial" w:cs="Arial"/>
          <w:sz w:val="24"/>
          <w:szCs w:val="24"/>
        </w:rPr>
        <w:t>.</w:t>
      </w:r>
    </w:p>
    <w:p w:rsidR="0011223C" w:rsidRDefault="0011223C" w:rsidP="00B76CA7">
      <w:pPr>
        <w:spacing w:after="0" w:line="360" w:lineRule="auto"/>
        <w:jc w:val="both"/>
        <w:rPr>
          <w:rFonts w:ascii="Arial" w:hAnsi="Arial" w:cs="Arial"/>
          <w:sz w:val="24"/>
          <w:szCs w:val="24"/>
        </w:rPr>
      </w:pPr>
    </w:p>
    <w:p w:rsidR="0011223C" w:rsidRDefault="0011223C" w:rsidP="00B76CA7">
      <w:pPr>
        <w:spacing w:after="0" w:line="360" w:lineRule="auto"/>
        <w:jc w:val="both"/>
        <w:rPr>
          <w:rFonts w:ascii="Arial" w:hAnsi="Arial" w:cs="Arial"/>
          <w:sz w:val="24"/>
          <w:szCs w:val="24"/>
        </w:rPr>
      </w:pPr>
      <w:r>
        <w:rPr>
          <w:rFonts w:ascii="Arial" w:hAnsi="Arial" w:cs="Arial"/>
          <w:sz w:val="24"/>
          <w:szCs w:val="24"/>
        </w:rPr>
        <w:t>[</w:t>
      </w:r>
      <w:r w:rsidR="002367CB">
        <w:rPr>
          <w:rFonts w:ascii="Arial" w:hAnsi="Arial" w:cs="Arial"/>
          <w:sz w:val="24"/>
          <w:szCs w:val="24"/>
        </w:rPr>
        <w:t>18</w:t>
      </w:r>
      <w:r>
        <w:rPr>
          <w:rFonts w:ascii="Arial" w:hAnsi="Arial" w:cs="Arial"/>
          <w:sz w:val="24"/>
          <w:szCs w:val="24"/>
        </w:rPr>
        <w:t>]</w:t>
      </w:r>
      <w:r>
        <w:rPr>
          <w:rFonts w:ascii="Arial" w:hAnsi="Arial" w:cs="Arial"/>
          <w:sz w:val="24"/>
          <w:szCs w:val="24"/>
        </w:rPr>
        <w:tab/>
      </w:r>
      <w:r w:rsidR="00884CA5">
        <w:rPr>
          <w:rFonts w:ascii="Arial" w:eastAsia="Arial" w:hAnsi="Arial" w:cs="Arial"/>
          <w:color w:val="000000"/>
          <w:sz w:val="24"/>
          <w:szCs w:val="24"/>
          <w:lang w:eastAsia="en-ZA"/>
        </w:rPr>
        <w:t>I have therefore arrived at the conclusion that the legal question</w:t>
      </w:r>
      <w:r w:rsidR="0075049B">
        <w:rPr>
          <w:rFonts w:ascii="Arial" w:eastAsia="Arial" w:hAnsi="Arial" w:cs="Arial"/>
          <w:color w:val="000000"/>
          <w:sz w:val="24"/>
          <w:szCs w:val="24"/>
          <w:lang w:eastAsia="en-ZA"/>
        </w:rPr>
        <w:t xml:space="preserve"> posed by the appellants</w:t>
      </w:r>
      <w:r w:rsidR="00884CA5">
        <w:rPr>
          <w:rFonts w:ascii="Arial" w:eastAsia="Arial" w:hAnsi="Arial" w:cs="Arial"/>
          <w:color w:val="000000"/>
          <w:sz w:val="24"/>
          <w:szCs w:val="24"/>
          <w:lang w:eastAsia="en-ZA"/>
        </w:rPr>
        <w:t xml:space="preserve"> in this regard must be answered in the affirmative, namely that the arbitrator’s ruling must be understood to have h</w:t>
      </w:r>
      <w:r w:rsidR="00BB0943">
        <w:rPr>
          <w:rFonts w:ascii="Arial" w:eastAsia="Arial" w:hAnsi="Arial" w:cs="Arial"/>
          <w:color w:val="000000"/>
          <w:sz w:val="24"/>
          <w:szCs w:val="24"/>
          <w:lang w:eastAsia="en-ZA"/>
        </w:rPr>
        <w:t>e</w:t>
      </w:r>
      <w:r w:rsidR="00884CA5">
        <w:rPr>
          <w:rFonts w:ascii="Arial" w:eastAsia="Arial" w:hAnsi="Arial" w:cs="Arial"/>
          <w:color w:val="000000"/>
          <w:sz w:val="24"/>
          <w:szCs w:val="24"/>
          <w:lang w:eastAsia="en-ZA"/>
        </w:rPr>
        <w:t xml:space="preserve">ld that in the absence of evidence by the appellants as to whom of the 92 respondents had not given mandate to </w:t>
      </w:r>
      <w:r w:rsidR="00F9555C">
        <w:rPr>
          <w:rFonts w:ascii="Arial" w:eastAsia="Arial" w:hAnsi="Arial" w:cs="Arial"/>
          <w:color w:val="000000"/>
          <w:sz w:val="24"/>
          <w:szCs w:val="24"/>
          <w:lang w:eastAsia="en-ZA"/>
        </w:rPr>
        <w:t>NAFINU</w:t>
      </w:r>
      <w:r w:rsidR="00884CA5">
        <w:rPr>
          <w:rFonts w:ascii="Arial" w:eastAsia="Arial" w:hAnsi="Arial" w:cs="Arial"/>
          <w:color w:val="000000"/>
          <w:sz w:val="24"/>
          <w:szCs w:val="24"/>
          <w:lang w:eastAsia="en-ZA"/>
        </w:rPr>
        <w:t xml:space="preserve"> to institute the proceedings, the arbitrator had accepted, on the information before him, that such mandate had been given to </w:t>
      </w:r>
      <w:r w:rsidR="00F9555C">
        <w:rPr>
          <w:rFonts w:ascii="Arial" w:eastAsia="Arial" w:hAnsi="Arial" w:cs="Arial"/>
          <w:color w:val="000000"/>
          <w:sz w:val="24"/>
          <w:szCs w:val="24"/>
          <w:lang w:eastAsia="en-ZA"/>
        </w:rPr>
        <w:t>NAFINU</w:t>
      </w:r>
      <w:r w:rsidR="00884CA5">
        <w:rPr>
          <w:rFonts w:ascii="Arial" w:eastAsia="Arial" w:hAnsi="Arial" w:cs="Arial"/>
          <w:color w:val="000000"/>
          <w:sz w:val="24"/>
          <w:szCs w:val="24"/>
          <w:lang w:eastAsia="en-ZA"/>
        </w:rPr>
        <w:t xml:space="preserve"> by all the respondents</w:t>
      </w:r>
      <w:r w:rsidR="00F358E4">
        <w:rPr>
          <w:rFonts w:ascii="Arial" w:hAnsi="Arial" w:cs="Arial"/>
          <w:sz w:val="24"/>
          <w:szCs w:val="24"/>
        </w:rPr>
        <w:t>.</w:t>
      </w:r>
      <w:r w:rsidR="0075049B">
        <w:rPr>
          <w:rFonts w:ascii="Arial" w:hAnsi="Arial" w:cs="Arial"/>
          <w:sz w:val="24"/>
          <w:szCs w:val="24"/>
        </w:rPr>
        <w:t xml:space="preserve"> It would appear thus that the arbitrator was satisfied that the information before his established </w:t>
      </w:r>
      <w:r w:rsidR="0075049B" w:rsidRPr="0075049B">
        <w:rPr>
          <w:rFonts w:ascii="Arial" w:hAnsi="Arial" w:cs="Arial"/>
          <w:i/>
          <w:sz w:val="24"/>
          <w:szCs w:val="24"/>
        </w:rPr>
        <w:t>prima facie</w:t>
      </w:r>
      <w:r w:rsidR="0075049B">
        <w:rPr>
          <w:rFonts w:ascii="Arial" w:hAnsi="Arial" w:cs="Arial"/>
          <w:sz w:val="24"/>
          <w:szCs w:val="24"/>
        </w:rPr>
        <w:t xml:space="preserve"> that the respondents had given a mandate to act on their behalf and it was upon the appellants to disprove that </w:t>
      </w:r>
      <w:r w:rsidR="0075049B" w:rsidRPr="0075049B">
        <w:rPr>
          <w:rFonts w:ascii="Arial" w:hAnsi="Arial" w:cs="Arial"/>
          <w:i/>
          <w:sz w:val="24"/>
          <w:szCs w:val="24"/>
        </w:rPr>
        <w:t>prima facie</w:t>
      </w:r>
      <w:r w:rsidR="0075049B">
        <w:rPr>
          <w:rFonts w:ascii="Arial" w:hAnsi="Arial" w:cs="Arial"/>
          <w:sz w:val="24"/>
          <w:szCs w:val="24"/>
        </w:rPr>
        <w:t xml:space="preserve"> evidence.</w:t>
      </w:r>
    </w:p>
    <w:p w:rsidR="00710D32" w:rsidRDefault="00710D32" w:rsidP="00B76CA7">
      <w:pPr>
        <w:spacing w:after="0" w:line="360" w:lineRule="auto"/>
        <w:jc w:val="both"/>
        <w:rPr>
          <w:rFonts w:ascii="Arial" w:hAnsi="Arial" w:cs="Arial"/>
          <w:sz w:val="24"/>
          <w:szCs w:val="24"/>
        </w:rPr>
      </w:pPr>
    </w:p>
    <w:p w:rsidR="00884CA5" w:rsidRPr="009E5323" w:rsidRDefault="00884CA5" w:rsidP="00884CA5">
      <w:pPr>
        <w:spacing w:after="0" w:line="360" w:lineRule="auto"/>
        <w:jc w:val="both"/>
        <w:rPr>
          <w:rFonts w:ascii="Arial" w:eastAsia="Arial" w:hAnsi="Arial" w:cs="Arial"/>
          <w:i/>
          <w:color w:val="000000"/>
          <w:sz w:val="24"/>
          <w:szCs w:val="24"/>
          <w:lang w:eastAsia="en-ZA"/>
        </w:rPr>
      </w:pPr>
      <w:r w:rsidRPr="00304701">
        <w:rPr>
          <w:rFonts w:ascii="Arial" w:eastAsia="Arial" w:hAnsi="Arial" w:cs="Arial"/>
          <w:i/>
          <w:color w:val="000000"/>
          <w:sz w:val="24"/>
          <w:szCs w:val="24"/>
          <w:lang w:eastAsia="en-ZA"/>
        </w:rPr>
        <w:t xml:space="preserve">Question </w:t>
      </w:r>
      <w:r w:rsidRPr="009E5323">
        <w:rPr>
          <w:rFonts w:ascii="Arial" w:eastAsia="Arial" w:hAnsi="Arial" w:cs="Arial"/>
          <w:i/>
          <w:color w:val="000000"/>
          <w:sz w:val="24"/>
          <w:szCs w:val="24"/>
          <w:lang w:eastAsia="en-ZA"/>
        </w:rPr>
        <w:t>2.1.2</w:t>
      </w:r>
    </w:p>
    <w:p w:rsidR="00884CA5" w:rsidRDefault="00884CA5" w:rsidP="00B76CA7">
      <w:pPr>
        <w:spacing w:after="0" w:line="360" w:lineRule="auto"/>
        <w:jc w:val="both"/>
        <w:rPr>
          <w:rFonts w:ascii="Arial" w:hAnsi="Arial" w:cs="Arial"/>
          <w:sz w:val="24"/>
          <w:szCs w:val="24"/>
        </w:rPr>
      </w:pPr>
    </w:p>
    <w:p w:rsidR="00710D32" w:rsidRDefault="00710D32" w:rsidP="00B76CA7">
      <w:pPr>
        <w:spacing w:after="0" w:line="360" w:lineRule="auto"/>
        <w:jc w:val="both"/>
        <w:rPr>
          <w:rFonts w:ascii="Arial" w:hAnsi="Arial" w:cs="Arial"/>
          <w:sz w:val="24"/>
          <w:szCs w:val="24"/>
        </w:rPr>
      </w:pPr>
      <w:r>
        <w:rPr>
          <w:rFonts w:ascii="Arial" w:hAnsi="Arial" w:cs="Arial"/>
          <w:sz w:val="24"/>
          <w:szCs w:val="24"/>
        </w:rPr>
        <w:t>[</w:t>
      </w:r>
      <w:r w:rsidR="002367CB">
        <w:rPr>
          <w:rFonts w:ascii="Arial" w:hAnsi="Arial" w:cs="Arial"/>
          <w:sz w:val="24"/>
          <w:szCs w:val="24"/>
        </w:rPr>
        <w:t>19</w:t>
      </w:r>
      <w:r>
        <w:rPr>
          <w:rFonts w:ascii="Arial" w:hAnsi="Arial" w:cs="Arial"/>
          <w:sz w:val="24"/>
          <w:szCs w:val="24"/>
        </w:rPr>
        <w:t>]</w:t>
      </w:r>
      <w:r>
        <w:rPr>
          <w:rFonts w:ascii="Arial" w:hAnsi="Arial" w:cs="Arial"/>
          <w:sz w:val="24"/>
          <w:szCs w:val="24"/>
        </w:rPr>
        <w:tab/>
      </w:r>
      <w:r w:rsidR="00884CA5">
        <w:rPr>
          <w:rFonts w:ascii="Arial" w:eastAsia="Arial" w:hAnsi="Arial" w:cs="Arial"/>
          <w:color w:val="000000"/>
          <w:sz w:val="24"/>
          <w:szCs w:val="24"/>
          <w:lang w:eastAsia="en-ZA"/>
        </w:rPr>
        <w:t xml:space="preserve">The next question to be considered is whether the arbitrator failed to take into consideration the issue that some of the </w:t>
      </w:r>
      <w:r w:rsidR="0024137E">
        <w:rPr>
          <w:rFonts w:ascii="Arial" w:eastAsia="Arial" w:hAnsi="Arial" w:cs="Arial"/>
          <w:color w:val="000000"/>
          <w:sz w:val="24"/>
          <w:szCs w:val="24"/>
          <w:lang w:eastAsia="en-ZA"/>
        </w:rPr>
        <w:t>r</w:t>
      </w:r>
      <w:r w:rsidR="00884CA5">
        <w:rPr>
          <w:rFonts w:ascii="Arial" w:eastAsia="Arial" w:hAnsi="Arial" w:cs="Arial"/>
          <w:color w:val="000000"/>
          <w:sz w:val="24"/>
          <w:szCs w:val="24"/>
          <w:lang w:eastAsia="en-ZA"/>
        </w:rPr>
        <w:t>espondents did not give a mandate for the institution of the action. In my view</w:t>
      </w:r>
      <w:r w:rsidR="00BB0943">
        <w:rPr>
          <w:rFonts w:ascii="Arial" w:eastAsia="Arial" w:hAnsi="Arial" w:cs="Arial"/>
          <w:color w:val="000000"/>
          <w:sz w:val="24"/>
          <w:szCs w:val="24"/>
          <w:lang w:eastAsia="en-ZA"/>
        </w:rPr>
        <w:t>,</w:t>
      </w:r>
      <w:r w:rsidR="00884CA5">
        <w:rPr>
          <w:rFonts w:ascii="Arial" w:eastAsia="Arial" w:hAnsi="Arial" w:cs="Arial"/>
          <w:color w:val="000000"/>
          <w:sz w:val="24"/>
          <w:szCs w:val="24"/>
          <w:lang w:eastAsia="en-ZA"/>
        </w:rPr>
        <w:t xml:space="preserve"> this question is almost the same as the preceding one, but rephrased slight</w:t>
      </w:r>
      <w:r w:rsidR="00BB0943">
        <w:rPr>
          <w:rFonts w:ascii="Arial" w:eastAsia="Arial" w:hAnsi="Arial" w:cs="Arial"/>
          <w:color w:val="000000"/>
          <w:sz w:val="24"/>
          <w:szCs w:val="24"/>
          <w:lang w:eastAsia="en-ZA"/>
        </w:rPr>
        <w:t>ly</w:t>
      </w:r>
      <w:r w:rsidR="00884CA5">
        <w:rPr>
          <w:rFonts w:ascii="Arial" w:eastAsia="Arial" w:hAnsi="Arial" w:cs="Arial"/>
          <w:color w:val="000000"/>
          <w:sz w:val="24"/>
          <w:szCs w:val="24"/>
          <w:lang w:eastAsia="en-ZA"/>
        </w:rPr>
        <w:t xml:space="preserve"> differently.</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Pr>
          <w:rFonts w:ascii="Arial" w:eastAsia="Arial" w:hAnsi="Arial" w:cs="Arial"/>
          <w:color w:val="000000"/>
          <w:sz w:val="24"/>
          <w:szCs w:val="24"/>
          <w:lang w:eastAsia="en-ZA"/>
        </w:rPr>
        <w:t xml:space="preserve">In support of the foregoing question, appellants point out that they were in possession of written information indicating that some of the respondents did not give a mandate for the institution of the action, but that the offer by the appellants to hand into evidence the documents was not taken up by the arbitrator. </w:t>
      </w:r>
      <w:r w:rsidR="0024137E">
        <w:rPr>
          <w:rFonts w:ascii="Arial" w:eastAsia="Arial" w:hAnsi="Arial" w:cs="Arial"/>
          <w:color w:val="000000"/>
          <w:sz w:val="24"/>
          <w:szCs w:val="24"/>
          <w:lang w:eastAsia="en-ZA"/>
        </w:rPr>
        <w:t>The a</w:t>
      </w:r>
      <w:r>
        <w:rPr>
          <w:rFonts w:ascii="Arial" w:eastAsia="Arial" w:hAnsi="Arial" w:cs="Arial"/>
          <w:color w:val="000000"/>
          <w:sz w:val="24"/>
          <w:szCs w:val="24"/>
          <w:lang w:eastAsia="en-ZA"/>
        </w:rPr>
        <w:t>ppellants contend that should the arbitrator have taken up the offer, he would have had the relevant evidence before him.</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eastAsia="Arial" w:hAnsi="Arial" w:cs="Arial"/>
          <w:color w:val="000000"/>
          <w:sz w:val="24"/>
          <w:szCs w:val="24"/>
          <w:lang w:eastAsia="en-ZA"/>
        </w:rPr>
        <w:t xml:space="preserve">At page 262 of the record, the legal representative for the appellants is recorded as having said the following while addressing the arbitrator regarding the appellants’ </w:t>
      </w:r>
      <w:r w:rsidR="0024137E">
        <w:rPr>
          <w:rFonts w:ascii="Arial" w:eastAsia="Arial" w:hAnsi="Arial" w:cs="Arial"/>
          <w:color w:val="000000"/>
          <w:sz w:val="24"/>
          <w:szCs w:val="24"/>
          <w:lang w:eastAsia="en-ZA"/>
        </w:rPr>
        <w:t>contention</w:t>
      </w:r>
      <w:r>
        <w:rPr>
          <w:rFonts w:ascii="Arial" w:eastAsia="Arial" w:hAnsi="Arial" w:cs="Arial"/>
          <w:color w:val="000000"/>
          <w:sz w:val="24"/>
          <w:szCs w:val="24"/>
          <w:lang w:eastAsia="en-ZA"/>
        </w:rPr>
        <w:t xml:space="preserve"> of </w:t>
      </w:r>
      <w:r w:rsidR="0024137E">
        <w:rPr>
          <w:rFonts w:ascii="Arial" w:eastAsia="Arial" w:hAnsi="Arial" w:cs="Arial"/>
          <w:color w:val="000000"/>
          <w:sz w:val="24"/>
          <w:szCs w:val="24"/>
          <w:lang w:eastAsia="en-ZA"/>
        </w:rPr>
        <w:t xml:space="preserve">lack of </w:t>
      </w:r>
      <w:r>
        <w:rPr>
          <w:rFonts w:ascii="Arial" w:eastAsia="Arial" w:hAnsi="Arial" w:cs="Arial"/>
          <w:color w:val="000000"/>
          <w:sz w:val="24"/>
          <w:szCs w:val="24"/>
          <w:lang w:eastAsia="en-ZA"/>
        </w:rPr>
        <w:t>mandate:</w:t>
      </w:r>
    </w:p>
    <w:p w:rsidR="00884CA5" w:rsidRPr="00884CA5" w:rsidRDefault="00884CA5" w:rsidP="00B76CA7">
      <w:pPr>
        <w:spacing w:after="0" w:line="360" w:lineRule="auto"/>
        <w:jc w:val="both"/>
        <w:rPr>
          <w:rFonts w:ascii="Arial" w:hAnsi="Arial" w:cs="Arial"/>
          <w:sz w:val="24"/>
          <w:szCs w:val="24"/>
        </w:rPr>
      </w:pPr>
    </w:p>
    <w:p w:rsidR="00884CA5" w:rsidRPr="00884CA5" w:rsidRDefault="00884CA5" w:rsidP="00884CA5">
      <w:pPr>
        <w:spacing w:after="0" w:line="360" w:lineRule="auto"/>
        <w:ind w:firstLine="720"/>
        <w:jc w:val="both"/>
        <w:rPr>
          <w:rFonts w:ascii="Arial" w:eastAsia="Arial" w:hAnsi="Arial" w:cs="Arial"/>
          <w:color w:val="000000"/>
          <w:lang w:eastAsia="en-ZA"/>
        </w:rPr>
      </w:pPr>
      <w:r>
        <w:rPr>
          <w:rFonts w:ascii="Arial" w:eastAsia="Arial" w:hAnsi="Arial" w:cs="Arial"/>
          <w:color w:val="000000"/>
          <w:lang w:eastAsia="en-ZA"/>
        </w:rPr>
        <w:t>‘</w:t>
      </w:r>
      <w:r w:rsidRPr="00884CA5">
        <w:rPr>
          <w:rFonts w:ascii="Arial" w:eastAsia="Arial" w:hAnsi="Arial" w:cs="Arial"/>
          <w:color w:val="000000"/>
          <w:lang w:eastAsia="en-ZA"/>
        </w:rPr>
        <w:t xml:space="preserve">For respondents: I raised in the context that I said </w:t>
      </w:r>
      <w:r w:rsidRPr="00884CA5">
        <w:rPr>
          <w:rFonts w:ascii="Arial" w:eastAsia="Arial" w:hAnsi="Arial" w:cs="Arial"/>
          <w:color w:val="000000"/>
          <w:u w:val="single"/>
          <w:lang w:eastAsia="en-ZA"/>
        </w:rPr>
        <w:t>we’ve got doubts</w:t>
      </w:r>
      <w:r w:rsidRPr="00884CA5">
        <w:rPr>
          <w:rFonts w:ascii="Arial" w:eastAsia="Arial" w:hAnsi="Arial" w:cs="Arial"/>
          <w:color w:val="000000"/>
          <w:lang w:eastAsia="en-ZA"/>
        </w:rPr>
        <w:t xml:space="preserve"> and that is the reason that we are challenging it, about the consent to have instituted the action; the signing of documents, the consent to have instituted, the mandate call it whatever you want to call it. The two people I cannot remember Asnath. It could be; it could not be, I cannot remember. I think the two people Mr Vries, I think it is correct, that was mentioned when we analysed the employees and I think I said two people were dismissed, they were not part of the retrenchment group. I think so. I don’t know whether I remember a number. But it is just to get that, from my perspective.</w:t>
      </w:r>
    </w:p>
    <w:p w:rsidR="00884CA5" w:rsidRPr="00884CA5" w:rsidRDefault="00884CA5" w:rsidP="00884CA5">
      <w:pPr>
        <w:spacing w:after="0" w:line="360" w:lineRule="auto"/>
        <w:jc w:val="both"/>
        <w:rPr>
          <w:rFonts w:ascii="Arial" w:eastAsia="Arial" w:hAnsi="Arial" w:cs="Arial"/>
          <w:color w:val="000000"/>
          <w:lang w:eastAsia="en-ZA"/>
        </w:rPr>
      </w:pPr>
    </w:p>
    <w:p w:rsidR="00884CA5" w:rsidRPr="00884CA5" w:rsidRDefault="00884CA5" w:rsidP="00884CA5">
      <w:pPr>
        <w:spacing w:after="0" w:line="360" w:lineRule="auto"/>
        <w:jc w:val="both"/>
        <w:rPr>
          <w:rFonts w:ascii="Arial" w:eastAsia="Arial" w:hAnsi="Arial" w:cs="Arial"/>
          <w:color w:val="000000"/>
          <w:lang w:eastAsia="en-ZA"/>
        </w:rPr>
      </w:pPr>
      <w:r w:rsidRPr="00884CA5">
        <w:rPr>
          <w:rFonts w:ascii="Arial" w:eastAsia="Arial" w:hAnsi="Arial" w:cs="Arial"/>
          <w:color w:val="000000"/>
          <w:lang w:eastAsia="en-ZA"/>
        </w:rPr>
        <w:t>Chairperson: Okay.</w:t>
      </w:r>
    </w:p>
    <w:p w:rsidR="00884CA5" w:rsidRPr="00884CA5" w:rsidRDefault="00884CA5" w:rsidP="00884CA5">
      <w:pPr>
        <w:spacing w:after="0" w:line="360" w:lineRule="auto"/>
        <w:jc w:val="both"/>
        <w:rPr>
          <w:rFonts w:ascii="Arial" w:eastAsia="Arial" w:hAnsi="Arial" w:cs="Arial"/>
          <w:color w:val="000000"/>
          <w:lang w:eastAsia="en-ZA"/>
        </w:rPr>
      </w:pPr>
    </w:p>
    <w:p w:rsidR="00884CA5" w:rsidRPr="00884CA5" w:rsidRDefault="00884CA5" w:rsidP="00884CA5">
      <w:pPr>
        <w:spacing w:after="0" w:line="360" w:lineRule="auto"/>
        <w:ind w:firstLine="720"/>
        <w:jc w:val="both"/>
        <w:rPr>
          <w:rFonts w:ascii="Arial" w:hAnsi="Arial" w:cs="Arial"/>
          <w:sz w:val="24"/>
          <w:szCs w:val="24"/>
        </w:rPr>
      </w:pPr>
      <w:r w:rsidRPr="00884CA5">
        <w:rPr>
          <w:rFonts w:ascii="Arial" w:eastAsia="Arial" w:hAnsi="Arial" w:cs="Arial"/>
          <w:color w:val="000000"/>
          <w:lang w:eastAsia="en-ZA"/>
        </w:rPr>
        <w:t>For respondents: I don’t have to disclose that I can call them to come and testify if need be, but that is for the next round</w:t>
      </w:r>
      <w:r>
        <w:rPr>
          <w:rFonts w:ascii="Arial" w:eastAsia="Arial" w:hAnsi="Arial" w:cs="Arial"/>
          <w:color w:val="000000"/>
          <w:lang w:eastAsia="en-ZA"/>
        </w:rPr>
        <w:t>.’</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Pr>
          <w:rFonts w:ascii="Arial" w:eastAsia="Arial" w:hAnsi="Arial" w:cs="Arial"/>
          <w:color w:val="000000"/>
          <w:sz w:val="24"/>
          <w:szCs w:val="24"/>
          <w:lang w:eastAsia="en-ZA"/>
        </w:rPr>
        <w:t xml:space="preserve">What is significant from the above extract, in my view, is the fact that counsel for the appellants (respondents </w:t>
      </w:r>
      <w:r w:rsidRPr="00884CA5">
        <w:rPr>
          <w:rFonts w:ascii="Arial" w:eastAsia="Arial" w:hAnsi="Arial" w:cs="Arial"/>
          <w:i/>
          <w:color w:val="000000"/>
          <w:sz w:val="24"/>
          <w:szCs w:val="24"/>
          <w:lang w:eastAsia="en-ZA"/>
        </w:rPr>
        <w:t>a quo</w:t>
      </w:r>
      <w:r>
        <w:rPr>
          <w:rFonts w:ascii="Arial" w:eastAsia="Arial" w:hAnsi="Arial" w:cs="Arial"/>
          <w:color w:val="000000"/>
          <w:sz w:val="24"/>
          <w:szCs w:val="24"/>
          <w:lang w:eastAsia="en-ZA"/>
        </w:rPr>
        <w:t>) accepted the responsibility to call those employees as witnesses to prove that they did not give mandate to the Union to institute the action.</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Pr>
          <w:rFonts w:ascii="Arial" w:eastAsia="Arial" w:hAnsi="Arial" w:cs="Arial"/>
          <w:color w:val="000000"/>
          <w:sz w:val="24"/>
          <w:szCs w:val="24"/>
          <w:lang w:eastAsia="en-ZA"/>
        </w:rPr>
        <w:t xml:space="preserve">Furthermore, the reason or ground upon which the appellants were challenging the respondents mandate to </w:t>
      </w:r>
      <w:r w:rsidR="00F9555C">
        <w:rPr>
          <w:rFonts w:ascii="Arial" w:eastAsia="Arial" w:hAnsi="Arial" w:cs="Arial"/>
          <w:color w:val="000000"/>
          <w:sz w:val="24"/>
          <w:szCs w:val="24"/>
          <w:lang w:eastAsia="en-ZA"/>
        </w:rPr>
        <w:t>NAFINU</w:t>
      </w:r>
      <w:r>
        <w:rPr>
          <w:rFonts w:ascii="Arial" w:eastAsia="Arial" w:hAnsi="Arial" w:cs="Arial"/>
          <w:color w:val="000000"/>
          <w:sz w:val="24"/>
          <w:szCs w:val="24"/>
          <w:lang w:eastAsia="en-ZA"/>
        </w:rPr>
        <w:t xml:space="preserve"> was based on mere doubts. In addition, the appellants did not know the number of employees who allegedly did not sign the consent or mandate documents. Counsel for the respondents, correctly in my view, observed that it is difficult to see how </w:t>
      </w:r>
      <w:r w:rsidR="00F9555C">
        <w:rPr>
          <w:rFonts w:ascii="Arial" w:eastAsia="Arial" w:hAnsi="Arial" w:cs="Arial"/>
          <w:color w:val="000000"/>
          <w:sz w:val="24"/>
          <w:szCs w:val="24"/>
          <w:lang w:eastAsia="en-ZA"/>
        </w:rPr>
        <w:t>NAFINU</w:t>
      </w:r>
      <w:r>
        <w:rPr>
          <w:rFonts w:ascii="Arial" w:eastAsia="Arial" w:hAnsi="Arial" w:cs="Arial"/>
          <w:color w:val="000000"/>
          <w:sz w:val="24"/>
          <w:szCs w:val="24"/>
          <w:lang w:eastAsia="en-ZA"/>
        </w:rPr>
        <w:t xml:space="preserve"> could be expected to address the appellants’ challenge in this regard which is based on doubts or for that matter how the arbitrator could be expected to make a finding based on mere doubts rather than evidence. If one have regard to how the ground of appeal has been framed, read in the context of the extract from the record of the proceedings (quoted above), it is clear that the ground of appeal has been framed in such a way as to shift the blame from the appellants to the arbitrator. The ground of appeal gives the impression that the arbitrator declined to accept the document with information about the respondents who allegedly did not sign the consent or mandate document.  However, upon reading the extract from the record, it is clear that it was the responsibility of the appellants to produce the evidence before the arbitrator. Indeed, the legal practitioner for the appellants accepted the responsibility to call such employees as witnesses and in fact undertook to do so at ‘the next round’. As it will appear later in this judgment, the respondent had submitted a document signed by all of the </w:t>
      </w:r>
      <w:r w:rsidR="00A336B5">
        <w:rPr>
          <w:rFonts w:ascii="Arial" w:eastAsia="Arial" w:hAnsi="Arial" w:cs="Arial"/>
          <w:color w:val="000000"/>
          <w:sz w:val="24"/>
          <w:szCs w:val="24"/>
          <w:lang w:eastAsia="en-ZA"/>
        </w:rPr>
        <w:t>appellants</w:t>
      </w:r>
      <w:r>
        <w:rPr>
          <w:rFonts w:ascii="Arial" w:eastAsia="Arial" w:hAnsi="Arial" w:cs="Arial"/>
          <w:color w:val="000000"/>
          <w:sz w:val="24"/>
          <w:szCs w:val="24"/>
          <w:lang w:eastAsia="en-ZA"/>
        </w:rPr>
        <w:t xml:space="preserve"> giving </w:t>
      </w:r>
      <w:r w:rsidR="00F9555C">
        <w:rPr>
          <w:rFonts w:ascii="Arial" w:eastAsia="Arial" w:hAnsi="Arial" w:cs="Arial"/>
          <w:color w:val="000000"/>
          <w:sz w:val="24"/>
          <w:szCs w:val="24"/>
          <w:lang w:eastAsia="en-ZA"/>
        </w:rPr>
        <w:t>NAFINU</w:t>
      </w:r>
      <w:r>
        <w:rPr>
          <w:rFonts w:ascii="Arial" w:eastAsia="Arial" w:hAnsi="Arial" w:cs="Arial"/>
          <w:color w:val="000000"/>
          <w:sz w:val="24"/>
          <w:szCs w:val="24"/>
          <w:lang w:eastAsia="en-ZA"/>
        </w:rPr>
        <w:t xml:space="preserve"> the mandate to represent them.</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Pr>
          <w:rFonts w:ascii="Arial" w:eastAsia="Arial" w:hAnsi="Arial" w:cs="Arial"/>
          <w:color w:val="000000"/>
          <w:sz w:val="24"/>
          <w:szCs w:val="24"/>
          <w:lang w:eastAsia="en-ZA"/>
        </w:rPr>
        <w:t>This issue was touched upon when dealing with the previous question. It is to be noted that th</w:t>
      </w:r>
      <w:r w:rsidR="00FC07A0">
        <w:rPr>
          <w:rFonts w:ascii="Arial" w:eastAsia="Arial" w:hAnsi="Arial" w:cs="Arial"/>
          <w:color w:val="000000"/>
          <w:sz w:val="24"/>
          <w:szCs w:val="24"/>
          <w:lang w:eastAsia="en-ZA"/>
        </w:rPr>
        <w:t>e</w:t>
      </w:r>
      <w:r>
        <w:rPr>
          <w:rFonts w:ascii="Arial" w:eastAsia="Arial" w:hAnsi="Arial" w:cs="Arial"/>
          <w:color w:val="000000"/>
          <w:sz w:val="24"/>
          <w:szCs w:val="24"/>
          <w:lang w:eastAsia="en-ZA"/>
        </w:rPr>
        <w:t xml:space="preserve"> arbitrator took the view, correctly in my view, that it was incumbent upon the appellants to prove whom of the 92 respondents ha</w:t>
      </w:r>
      <w:r w:rsidR="00FC07A0">
        <w:rPr>
          <w:rFonts w:ascii="Arial" w:eastAsia="Arial" w:hAnsi="Arial" w:cs="Arial"/>
          <w:color w:val="000000"/>
          <w:sz w:val="24"/>
          <w:szCs w:val="24"/>
          <w:lang w:eastAsia="en-ZA"/>
        </w:rPr>
        <w:t>d</w:t>
      </w:r>
      <w:r>
        <w:rPr>
          <w:rFonts w:ascii="Arial" w:eastAsia="Arial" w:hAnsi="Arial" w:cs="Arial"/>
          <w:color w:val="000000"/>
          <w:sz w:val="24"/>
          <w:szCs w:val="24"/>
          <w:lang w:eastAsia="en-ZA"/>
        </w:rPr>
        <w:t xml:space="preserve"> not given the proper mandate for the institution of the proceedings, and that the appellants failed to do so. In the course of analysing the evidence, the arbitrator said the following at paragraph 10 of the Ruling of 26 April 2016:</w:t>
      </w:r>
    </w:p>
    <w:p w:rsidR="00884CA5" w:rsidRDefault="00884CA5" w:rsidP="00B76CA7">
      <w:pPr>
        <w:spacing w:after="0" w:line="360" w:lineRule="auto"/>
        <w:jc w:val="both"/>
        <w:rPr>
          <w:rFonts w:ascii="Arial" w:hAnsi="Arial" w:cs="Arial"/>
          <w:sz w:val="24"/>
          <w:szCs w:val="24"/>
        </w:rPr>
      </w:pPr>
    </w:p>
    <w:p w:rsidR="00884CA5" w:rsidRPr="00884CA5" w:rsidRDefault="00884CA5" w:rsidP="00884CA5">
      <w:pPr>
        <w:spacing w:after="0" w:line="360" w:lineRule="auto"/>
        <w:ind w:firstLine="720"/>
        <w:jc w:val="both"/>
        <w:rPr>
          <w:rFonts w:ascii="Arial" w:hAnsi="Arial" w:cs="Arial"/>
        </w:rPr>
      </w:pPr>
      <w:r>
        <w:rPr>
          <w:rFonts w:ascii="Arial" w:eastAsia="Arial" w:hAnsi="Arial" w:cs="Arial"/>
          <w:color w:val="000000"/>
          <w:lang w:eastAsia="en-ZA"/>
        </w:rPr>
        <w:t>‘</w:t>
      </w:r>
      <w:r w:rsidRPr="00884CA5">
        <w:rPr>
          <w:rFonts w:ascii="Arial" w:eastAsia="Arial" w:hAnsi="Arial" w:cs="Arial"/>
          <w:color w:val="000000"/>
          <w:lang w:eastAsia="en-ZA"/>
        </w:rPr>
        <w:t>In this case the referral document states that the App</w:t>
      </w:r>
      <w:r>
        <w:rPr>
          <w:rFonts w:ascii="Arial" w:eastAsia="Arial" w:hAnsi="Arial" w:cs="Arial"/>
          <w:color w:val="000000"/>
          <w:lang w:eastAsia="en-ZA"/>
        </w:rPr>
        <w:t>licant is ‘Sem Shipefi &amp; Others’</w:t>
      </w:r>
      <w:r w:rsidRPr="00884CA5">
        <w:rPr>
          <w:rFonts w:ascii="Arial" w:eastAsia="Arial" w:hAnsi="Arial" w:cs="Arial"/>
          <w:color w:val="000000"/>
          <w:lang w:eastAsia="en-ZA"/>
        </w:rPr>
        <w:t xml:space="preserve">. The Other applicant per list attached to the referral document are in fact 92 </w:t>
      </w:r>
      <w:r w:rsidR="00A336B5">
        <w:rPr>
          <w:rFonts w:ascii="Arial" w:eastAsia="Arial" w:hAnsi="Arial" w:cs="Arial"/>
          <w:color w:val="000000"/>
          <w:lang w:eastAsia="en-ZA"/>
        </w:rPr>
        <w:t>Appellants</w:t>
      </w:r>
      <w:r w:rsidRPr="00884CA5">
        <w:rPr>
          <w:rFonts w:ascii="Arial" w:eastAsia="Arial" w:hAnsi="Arial" w:cs="Arial"/>
          <w:color w:val="000000"/>
          <w:lang w:eastAsia="en-ZA"/>
        </w:rPr>
        <w:t xml:space="preserve"> who affixed their signatures on a list </w:t>
      </w:r>
      <w:r w:rsidR="0024137E" w:rsidRPr="00884CA5">
        <w:rPr>
          <w:rFonts w:ascii="Arial" w:eastAsia="Arial" w:hAnsi="Arial" w:cs="Arial"/>
          <w:color w:val="000000"/>
          <w:lang w:eastAsia="en-ZA"/>
        </w:rPr>
        <w:t>authorizing</w:t>
      </w:r>
      <w:r w:rsidRPr="00884CA5">
        <w:rPr>
          <w:rFonts w:ascii="Arial" w:eastAsia="Arial" w:hAnsi="Arial" w:cs="Arial"/>
          <w:color w:val="000000"/>
          <w:lang w:eastAsia="en-ZA"/>
        </w:rPr>
        <w:t xml:space="preserve"> </w:t>
      </w:r>
      <w:r w:rsidR="00F9555C">
        <w:rPr>
          <w:rFonts w:ascii="Arial" w:eastAsia="Arial" w:hAnsi="Arial" w:cs="Arial"/>
          <w:color w:val="000000"/>
          <w:lang w:eastAsia="en-ZA"/>
        </w:rPr>
        <w:t>NAFINU</w:t>
      </w:r>
      <w:r w:rsidRPr="00884CA5">
        <w:rPr>
          <w:rFonts w:ascii="Arial" w:eastAsia="Arial" w:hAnsi="Arial" w:cs="Arial"/>
          <w:color w:val="000000"/>
          <w:lang w:eastAsia="en-ZA"/>
        </w:rPr>
        <w:t xml:space="preserve"> to represent them in the Conciliation and Arbitration proceedings in this matter</w:t>
      </w:r>
      <w:r>
        <w:rPr>
          <w:rFonts w:ascii="Arial" w:eastAsia="Arial" w:hAnsi="Arial" w:cs="Arial"/>
          <w:color w:val="000000"/>
          <w:lang w:eastAsia="en-ZA"/>
        </w:rPr>
        <w:t>.’</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eastAsia="Arial" w:hAnsi="Arial" w:cs="Arial"/>
          <w:color w:val="000000"/>
          <w:sz w:val="24"/>
          <w:szCs w:val="24"/>
          <w:lang w:eastAsia="en-ZA"/>
        </w:rPr>
        <w:t>Furthermore at paragraph 22 of the Ruling the arbitrator said the following:</w:t>
      </w:r>
    </w:p>
    <w:p w:rsidR="00884CA5" w:rsidRDefault="00884CA5" w:rsidP="00B76CA7">
      <w:pPr>
        <w:spacing w:after="0" w:line="360" w:lineRule="auto"/>
        <w:jc w:val="both"/>
        <w:rPr>
          <w:rFonts w:ascii="Arial" w:hAnsi="Arial" w:cs="Arial"/>
          <w:sz w:val="24"/>
          <w:szCs w:val="24"/>
        </w:rPr>
      </w:pPr>
    </w:p>
    <w:p w:rsidR="00884CA5" w:rsidRPr="00884CA5" w:rsidRDefault="00884CA5" w:rsidP="0024137E">
      <w:pPr>
        <w:spacing w:after="0" w:line="360" w:lineRule="auto"/>
        <w:ind w:firstLine="720"/>
        <w:jc w:val="both"/>
        <w:rPr>
          <w:rFonts w:ascii="Arial" w:hAnsi="Arial" w:cs="Arial"/>
        </w:rPr>
      </w:pPr>
      <w:r>
        <w:rPr>
          <w:rFonts w:ascii="Arial" w:eastAsia="Arial" w:hAnsi="Arial" w:cs="Arial"/>
          <w:color w:val="000000"/>
          <w:lang w:eastAsia="en-ZA"/>
        </w:rPr>
        <w:t>‘</w:t>
      </w:r>
      <w:r w:rsidRPr="00884CA5">
        <w:rPr>
          <w:rFonts w:ascii="Arial" w:eastAsia="Arial" w:hAnsi="Arial" w:cs="Arial"/>
          <w:color w:val="000000"/>
          <w:lang w:eastAsia="en-ZA"/>
        </w:rPr>
        <w:t xml:space="preserve">Insofar as the respondents take the point in limiting that the referral documents when not properly </w:t>
      </w:r>
      <w:r w:rsidR="0024137E" w:rsidRPr="00884CA5">
        <w:rPr>
          <w:rFonts w:ascii="Arial" w:eastAsia="Arial" w:hAnsi="Arial" w:cs="Arial"/>
          <w:color w:val="000000"/>
          <w:lang w:eastAsia="en-ZA"/>
        </w:rPr>
        <w:t>authorized</w:t>
      </w:r>
      <w:r w:rsidRPr="00884CA5">
        <w:rPr>
          <w:rFonts w:ascii="Arial" w:eastAsia="Arial" w:hAnsi="Arial" w:cs="Arial"/>
          <w:color w:val="000000"/>
          <w:lang w:eastAsia="en-ZA"/>
        </w:rPr>
        <w:t xml:space="preserve"> for the reason that some of the cited </w:t>
      </w:r>
      <w:r w:rsidR="00A336B5">
        <w:rPr>
          <w:rFonts w:ascii="Arial" w:eastAsia="Arial" w:hAnsi="Arial" w:cs="Arial"/>
          <w:color w:val="000000"/>
          <w:lang w:eastAsia="en-ZA"/>
        </w:rPr>
        <w:t>appellants</w:t>
      </w:r>
      <w:r w:rsidRPr="00884CA5">
        <w:rPr>
          <w:rFonts w:ascii="Arial" w:eastAsia="Arial" w:hAnsi="Arial" w:cs="Arial"/>
          <w:color w:val="000000"/>
          <w:lang w:eastAsia="en-ZA"/>
        </w:rPr>
        <w:t xml:space="preserve"> on the Referral Form declined to partake in the proceedings, alternatively never gave any mandate to </w:t>
      </w:r>
      <w:r w:rsidR="00F9555C">
        <w:rPr>
          <w:rFonts w:ascii="Arial" w:eastAsia="Arial" w:hAnsi="Arial" w:cs="Arial"/>
          <w:color w:val="000000"/>
          <w:lang w:eastAsia="en-ZA"/>
        </w:rPr>
        <w:t>NAFINU</w:t>
      </w:r>
      <w:r w:rsidRPr="00884CA5">
        <w:rPr>
          <w:rFonts w:ascii="Arial" w:eastAsia="Arial" w:hAnsi="Arial" w:cs="Arial"/>
          <w:color w:val="000000"/>
          <w:lang w:eastAsia="en-ZA"/>
        </w:rPr>
        <w:t xml:space="preserve"> to institute action on their behalf, I must mention that no such evidence has been placed before me notwithstanding the fact that the respondents had mentioned this aspect in their previous preliminary points and the Application for legal repre</w:t>
      </w:r>
      <w:r>
        <w:rPr>
          <w:rFonts w:ascii="Arial" w:eastAsia="Arial" w:hAnsi="Arial" w:cs="Arial"/>
          <w:color w:val="000000"/>
          <w:lang w:eastAsia="en-ZA"/>
        </w:rPr>
        <w:t>sentation.’</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E473A">
        <w:rPr>
          <w:rFonts w:ascii="Arial" w:eastAsia="Arial" w:hAnsi="Arial" w:cs="Arial"/>
          <w:color w:val="000000"/>
          <w:sz w:val="24"/>
          <w:szCs w:val="24"/>
          <w:lang w:eastAsia="en-ZA"/>
        </w:rPr>
        <w:t xml:space="preserve">It appears to be common cause that the respondents were 92 in total. From the statement by the arbitrator above, it appears that all 92 respondents signed the document </w:t>
      </w:r>
      <w:r w:rsidR="0024137E">
        <w:rPr>
          <w:rFonts w:ascii="Arial" w:eastAsia="Arial" w:hAnsi="Arial" w:cs="Arial"/>
          <w:color w:val="000000"/>
          <w:sz w:val="24"/>
          <w:szCs w:val="24"/>
          <w:lang w:eastAsia="en-ZA"/>
        </w:rPr>
        <w:t>authorizing</w:t>
      </w:r>
      <w:r w:rsidR="00FE473A">
        <w:rPr>
          <w:rFonts w:ascii="Arial" w:eastAsia="Arial" w:hAnsi="Arial" w:cs="Arial"/>
          <w:color w:val="000000"/>
          <w:sz w:val="24"/>
          <w:szCs w:val="24"/>
          <w:lang w:eastAsia="en-ZA"/>
        </w:rPr>
        <w:t xml:space="preserve"> </w:t>
      </w:r>
      <w:r w:rsidR="00F9555C">
        <w:rPr>
          <w:rFonts w:ascii="Arial" w:eastAsia="Arial" w:hAnsi="Arial" w:cs="Arial"/>
          <w:color w:val="000000"/>
          <w:sz w:val="24"/>
          <w:szCs w:val="24"/>
          <w:lang w:eastAsia="en-ZA"/>
        </w:rPr>
        <w:t>NAFINU</w:t>
      </w:r>
      <w:r w:rsidR="00FE473A">
        <w:rPr>
          <w:rFonts w:ascii="Arial" w:eastAsia="Arial" w:hAnsi="Arial" w:cs="Arial"/>
          <w:color w:val="000000"/>
          <w:sz w:val="24"/>
          <w:szCs w:val="24"/>
          <w:lang w:eastAsia="en-ZA"/>
        </w:rPr>
        <w:t xml:space="preserve"> to represent them. The appellants appeared to be unable to say how many respondents should have signed the referral document given their contention, based on mere doubts, that not all retrenched employees had signed the referral document and the list giving </w:t>
      </w:r>
      <w:r w:rsidR="00F9555C">
        <w:rPr>
          <w:rFonts w:ascii="Arial" w:eastAsia="Arial" w:hAnsi="Arial" w:cs="Arial"/>
          <w:color w:val="000000"/>
          <w:sz w:val="24"/>
          <w:szCs w:val="24"/>
          <w:lang w:eastAsia="en-ZA"/>
        </w:rPr>
        <w:t>NAFINU</w:t>
      </w:r>
      <w:r w:rsidR="00FE473A">
        <w:rPr>
          <w:rFonts w:ascii="Arial" w:eastAsia="Arial" w:hAnsi="Arial" w:cs="Arial"/>
          <w:color w:val="000000"/>
          <w:sz w:val="24"/>
          <w:szCs w:val="24"/>
          <w:lang w:eastAsia="en-ZA"/>
        </w:rPr>
        <w:t xml:space="preserve"> the mandate to represent them.</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15609">
        <w:rPr>
          <w:rFonts w:ascii="Arial" w:eastAsia="Arial" w:hAnsi="Arial" w:cs="Arial"/>
          <w:color w:val="000000"/>
          <w:sz w:val="24"/>
          <w:szCs w:val="24"/>
          <w:lang w:eastAsia="en-ZA"/>
        </w:rPr>
        <w:t xml:space="preserve">In the circumstances the </w:t>
      </w:r>
      <w:r w:rsidR="00A336B5">
        <w:rPr>
          <w:rFonts w:ascii="Arial" w:eastAsia="Arial" w:hAnsi="Arial" w:cs="Arial"/>
          <w:color w:val="000000"/>
          <w:sz w:val="24"/>
          <w:szCs w:val="24"/>
          <w:lang w:eastAsia="en-ZA"/>
        </w:rPr>
        <w:t>appellants</w:t>
      </w:r>
      <w:r w:rsidR="00415609">
        <w:rPr>
          <w:rFonts w:ascii="Arial" w:eastAsia="Arial" w:hAnsi="Arial" w:cs="Arial"/>
          <w:color w:val="000000"/>
          <w:sz w:val="24"/>
          <w:szCs w:val="24"/>
          <w:lang w:eastAsia="en-ZA"/>
        </w:rPr>
        <w:t xml:space="preserve">’ question whether the arbitrator failed to take into consideration the issue that some of the respondents did not give a mandate to the institution of the action must be answered in the negative. </w:t>
      </w:r>
      <w:r w:rsidR="00415609" w:rsidRPr="00437652">
        <w:rPr>
          <w:rFonts w:ascii="Arial" w:eastAsia="Arial" w:hAnsi="Arial" w:cs="Arial"/>
          <w:color w:val="000000"/>
          <w:sz w:val="24"/>
          <w:szCs w:val="24"/>
          <w:lang w:eastAsia="en-ZA"/>
        </w:rPr>
        <w:t>The arbitrator considered the issue and concluded that it was for the appellants to place evidence before him</w:t>
      </w:r>
      <w:r w:rsidR="00437652" w:rsidRPr="00437652">
        <w:rPr>
          <w:rFonts w:ascii="Arial" w:eastAsia="Arial" w:hAnsi="Arial" w:cs="Arial"/>
          <w:color w:val="000000"/>
          <w:sz w:val="24"/>
          <w:szCs w:val="24"/>
          <w:lang w:eastAsia="en-ZA"/>
        </w:rPr>
        <w:t>,</w:t>
      </w:r>
      <w:r w:rsidR="00415609" w:rsidRPr="00437652">
        <w:rPr>
          <w:rFonts w:ascii="Arial" w:eastAsia="Arial" w:hAnsi="Arial" w:cs="Arial"/>
          <w:color w:val="000000"/>
          <w:sz w:val="24"/>
          <w:szCs w:val="24"/>
          <w:lang w:eastAsia="en-ZA"/>
        </w:rPr>
        <w:t xml:space="preserve"> to prove </w:t>
      </w:r>
      <w:r w:rsidR="00437652" w:rsidRPr="00437652">
        <w:rPr>
          <w:rFonts w:ascii="Arial" w:eastAsia="Arial" w:hAnsi="Arial" w:cs="Arial"/>
          <w:color w:val="000000"/>
          <w:sz w:val="24"/>
          <w:szCs w:val="24"/>
          <w:lang w:eastAsia="en-ZA"/>
        </w:rPr>
        <w:t>who</w:t>
      </w:r>
      <w:r w:rsidR="00415609" w:rsidRPr="00437652">
        <w:rPr>
          <w:rFonts w:ascii="Arial" w:eastAsia="Arial" w:hAnsi="Arial" w:cs="Arial"/>
          <w:color w:val="000000"/>
          <w:sz w:val="24"/>
          <w:szCs w:val="24"/>
          <w:lang w:eastAsia="en-ZA"/>
        </w:rPr>
        <w:t xml:space="preserve"> of the respondents did not give a mandate to </w:t>
      </w:r>
      <w:r w:rsidR="00F9555C" w:rsidRPr="00437652">
        <w:rPr>
          <w:rFonts w:ascii="Arial" w:eastAsia="Arial" w:hAnsi="Arial" w:cs="Arial"/>
          <w:color w:val="000000"/>
          <w:sz w:val="24"/>
          <w:szCs w:val="24"/>
          <w:lang w:eastAsia="en-ZA"/>
        </w:rPr>
        <w:t>NAFINU</w:t>
      </w:r>
      <w:r w:rsidR="00415609" w:rsidRPr="00437652">
        <w:rPr>
          <w:rFonts w:ascii="Arial" w:eastAsia="Arial" w:hAnsi="Arial" w:cs="Arial"/>
          <w:color w:val="000000"/>
          <w:sz w:val="24"/>
          <w:szCs w:val="24"/>
          <w:lang w:eastAsia="en-ZA"/>
        </w:rPr>
        <w:t xml:space="preserve"> to institute the action</w:t>
      </w:r>
      <w:r w:rsidR="00415609">
        <w:rPr>
          <w:rFonts w:ascii="Arial" w:eastAsia="Arial" w:hAnsi="Arial" w:cs="Arial"/>
          <w:color w:val="000000"/>
          <w:sz w:val="24"/>
          <w:szCs w:val="24"/>
          <w:lang w:eastAsia="en-ZA"/>
        </w:rPr>
        <w:t xml:space="preserve">. Furthermore, as a matter of fact, as pointed out earlier in this judgment, the appellants had accepted that it was their responsibility to produce such evidence by calling the employees who were allegedly listed as respondents but did not sign the referral document mandating </w:t>
      </w:r>
      <w:r w:rsidR="00F9555C">
        <w:rPr>
          <w:rFonts w:ascii="Arial" w:eastAsia="Arial" w:hAnsi="Arial" w:cs="Arial"/>
          <w:color w:val="000000"/>
          <w:sz w:val="24"/>
          <w:szCs w:val="24"/>
          <w:lang w:eastAsia="en-ZA"/>
        </w:rPr>
        <w:t>NAFINU</w:t>
      </w:r>
      <w:r w:rsidR="00415609">
        <w:rPr>
          <w:rFonts w:ascii="Arial" w:eastAsia="Arial" w:hAnsi="Arial" w:cs="Arial"/>
          <w:color w:val="000000"/>
          <w:sz w:val="24"/>
          <w:szCs w:val="24"/>
          <w:lang w:eastAsia="en-ZA"/>
        </w:rPr>
        <w:t xml:space="preserve"> to represent them. For the foregoing reasons, the legal question must be answered in the affirmative, namely that the arbitrator did indeed consider the issue of mandate, and found that, on the information before him, a mandate had been given to </w:t>
      </w:r>
      <w:r w:rsidR="00F9555C">
        <w:rPr>
          <w:rFonts w:ascii="Arial" w:eastAsia="Arial" w:hAnsi="Arial" w:cs="Arial"/>
          <w:color w:val="000000"/>
          <w:sz w:val="24"/>
          <w:szCs w:val="24"/>
          <w:lang w:eastAsia="en-ZA"/>
        </w:rPr>
        <w:t>NAFINU</w:t>
      </w:r>
      <w:r w:rsidR="00415609">
        <w:rPr>
          <w:rFonts w:ascii="Arial" w:eastAsia="Arial" w:hAnsi="Arial" w:cs="Arial"/>
          <w:color w:val="000000"/>
          <w:sz w:val="24"/>
          <w:szCs w:val="24"/>
          <w:lang w:eastAsia="en-ZA"/>
        </w:rPr>
        <w:t xml:space="preserve"> by the respondents.</w:t>
      </w:r>
    </w:p>
    <w:p w:rsidR="00884CA5" w:rsidRDefault="00884CA5" w:rsidP="00B76CA7">
      <w:pPr>
        <w:spacing w:after="0" w:line="360" w:lineRule="auto"/>
        <w:jc w:val="both"/>
        <w:rPr>
          <w:rFonts w:ascii="Arial" w:hAnsi="Arial" w:cs="Arial"/>
          <w:sz w:val="24"/>
          <w:szCs w:val="24"/>
        </w:rPr>
      </w:pPr>
    </w:p>
    <w:p w:rsidR="00415609" w:rsidRPr="00B90CC5" w:rsidRDefault="00415609" w:rsidP="00415609">
      <w:pPr>
        <w:spacing w:after="0" w:line="360" w:lineRule="auto"/>
        <w:jc w:val="both"/>
        <w:rPr>
          <w:rFonts w:ascii="Arial" w:eastAsia="Arial" w:hAnsi="Arial" w:cs="Arial"/>
          <w:i/>
          <w:color w:val="000000"/>
          <w:sz w:val="24"/>
          <w:szCs w:val="24"/>
          <w:lang w:eastAsia="en-ZA"/>
        </w:rPr>
      </w:pPr>
      <w:r>
        <w:rPr>
          <w:rFonts w:ascii="Arial" w:eastAsia="Arial" w:hAnsi="Arial" w:cs="Arial"/>
          <w:i/>
          <w:color w:val="000000"/>
          <w:sz w:val="24"/>
          <w:szCs w:val="24"/>
          <w:lang w:eastAsia="en-ZA"/>
        </w:rPr>
        <w:t xml:space="preserve">Question </w:t>
      </w:r>
      <w:r w:rsidRPr="00B90CC5">
        <w:rPr>
          <w:rFonts w:ascii="Arial" w:eastAsia="Arial" w:hAnsi="Arial" w:cs="Arial"/>
          <w:i/>
          <w:color w:val="000000"/>
          <w:sz w:val="24"/>
          <w:szCs w:val="24"/>
          <w:lang w:eastAsia="en-ZA"/>
        </w:rPr>
        <w:t>2.1.</w:t>
      </w:r>
      <w:r>
        <w:rPr>
          <w:rFonts w:ascii="Arial" w:eastAsia="Arial" w:hAnsi="Arial" w:cs="Arial"/>
          <w:i/>
          <w:color w:val="000000"/>
          <w:sz w:val="24"/>
          <w:szCs w:val="24"/>
          <w:lang w:eastAsia="en-ZA"/>
        </w:rPr>
        <w:t>3</w:t>
      </w:r>
    </w:p>
    <w:p w:rsidR="00415609" w:rsidRDefault="00415609"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415609">
        <w:rPr>
          <w:rFonts w:ascii="Arial" w:eastAsia="Arial" w:hAnsi="Arial" w:cs="Arial"/>
          <w:color w:val="000000"/>
          <w:sz w:val="24"/>
          <w:szCs w:val="24"/>
          <w:lang w:eastAsia="en-ZA"/>
        </w:rPr>
        <w:t>The next question to be considered is whether the arbitrator failed to take into consideration that the list of signatures attached to the referral document did not comply with the provisions of Rule 5(3).</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15609">
        <w:rPr>
          <w:rFonts w:ascii="Arial" w:eastAsia="Arial" w:hAnsi="Arial" w:cs="Arial"/>
          <w:color w:val="000000"/>
          <w:sz w:val="24"/>
          <w:szCs w:val="24"/>
          <w:lang w:eastAsia="en-ZA"/>
        </w:rPr>
        <w:t xml:space="preserve">In bolstering the weight of this question counsel for the appellants submits that the lists attached to the referral document are not in full compliance with Rule 5(3) since most of the names only give the physical address of a town, some indicate an erf number, none of them indicate a postal address, email address, fax number or even a telephone number. Counsel further submits that there is no proof that the lists actually relate to the institution or the authority to institute the action. Furthermore, Counsel contends that there is no proof that those stated as ‘the former employees’ are indeed the names that appear on the list and that those names are members of </w:t>
      </w:r>
      <w:r w:rsidR="00F9555C">
        <w:rPr>
          <w:rFonts w:ascii="Arial" w:eastAsia="Arial" w:hAnsi="Arial" w:cs="Arial"/>
          <w:color w:val="000000"/>
          <w:sz w:val="24"/>
          <w:szCs w:val="24"/>
          <w:lang w:eastAsia="en-ZA"/>
        </w:rPr>
        <w:t>NAFINU</w:t>
      </w:r>
      <w:r w:rsidR="00415609">
        <w:rPr>
          <w:rFonts w:ascii="Arial" w:eastAsia="Arial" w:hAnsi="Arial" w:cs="Arial"/>
          <w:color w:val="000000"/>
          <w:sz w:val="24"/>
          <w:szCs w:val="24"/>
          <w:lang w:eastAsia="en-ZA"/>
        </w:rPr>
        <w:t xml:space="preserve">. Counsel further points out that </w:t>
      </w:r>
      <w:r w:rsidR="00F9555C">
        <w:rPr>
          <w:rFonts w:ascii="Arial" w:eastAsia="Arial" w:hAnsi="Arial" w:cs="Arial"/>
          <w:color w:val="000000"/>
          <w:sz w:val="24"/>
          <w:szCs w:val="24"/>
          <w:lang w:eastAsia="en-ZA"/>
        </w:rPr>
        <w:t>NAFINU</w:t>
      </w:r>
      <w:r w:rsidR="00415609">
        <w:rPr>
          <w:rFonts w:ascii="Arial" w:eastAsia="Arial" w:hAnsi="Arial" w:cs="Arial"/>
          <w:color w:val="000000"/>
          <w:sz w:val="24"/>
          <w:szCs w:val="24"/>
          <w:lang w:eastAsia="en-ZA"/>
        </w:rPr>
        <w:t xml:space="preserve"> was indicated as the applicant in the Form LC 21 whereas the dispute that was lodged indicates the Applicant as Sem Shipefi &amp; 92 Others.</w:t>
      </w:r>
    </w:p>
    <w:p w:rsidR="00884CA5"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15609">
        <w:rPr>
          <w:rFonts w:ascii="Arial" w:eastAsia="Arial" w:hAnsi="Arial" w:cs="Arial"/>
          <w:color w:val="000000"/>
          <w:sz w:val="24"/>
          <w:szCs w:val="24"/>
          <w:lang w:eastAsia="en-ZA"/>
        </w:rPr>
        <w:t>It is the respondents’ case that the arbitrator was correct when he found that the dispute had been properly referred to the Labour Commissioner, and that, in terms of the provisions of the Act, the Union officials are authorized to automatically represent employees at Conciliation and Arbitration proceedings.</w:t>
      </w:r>
    </w:p>
    <w:p w:rsidR="00884CA5" w:rsidRPr="00492B09" w:rsidRDefault="00884CA5" w:rsidP="00B76CA7">
      <w:pPr>
        <w:spacing w:after="0" w:line="360" w:lineRule="auto"/>
        <w:jc w:val="both"/>
        <w:rPr>
          <w:rFonts w:ascii="Arial" w:hAnsi="Arial" w:cs="Arial"/>
          <w:sz w:val="24"/>
          <w:szCs w:val="24"/>
        </w:rPr>
      </w:pPr>
    </w:p>
    <w:p w:rsidR="00884CA5" w:rsidRDefault="00884CA5" w:rsidP="00B76CA7">
      <w:pPr>
        <w:spacing w:after="0" w:line="360" w:lineRule="auto"/>
        <w:jc w:val="both"/>
        <w:rPr>
          <w:rFonts w:ascii="Arial" w:eastAsia="Arial" w:hAnsi="Arial" w:cs="Arial"/>
          <w:color w:val="000000"/>
          <w:sz w:val="24"/>
          <w:szCs w:val="24"/>
          <w:lang w:eastAsia="en-ZA"/>
        </w:rPr>
      </w:pPr>
      <w:r w:rsidRPr="00492B09">
        <w:rPr>
          <w:rFonts w:ascii="Arial" w:hAnsi="Arial" w:cs="Arial"/>
          <w:sz w:val="24"/>
          <w:szCs w:val="24"/>
        </w:rPr>
        <w:t>[30]</w:t>
      </w:r>
      <w:r w:rsidRPr="00492B09">
        <w:rPr>
          <w:rFonts w:ascii="Arial" w:hAnsi="Arial" w:cs="Arial"/>
          <w:sz w:val="24"/>
          <w:szCs w:val="24"/>
        </w:rPr>
        <w:tab/>
      </w:r>
      <w:r w:rsidR="00492B09" w:rsidRPr="00492B09">
        <w:rPr>
          <w:rFonts w:ascii="Arial" w:eastAsia="Arial" w:hAnsi="Arial" w:cs="Arial"/>
          <w:color w:val="000000"/>
          <w:sz w:val="24"/>
          <w:szCs w:val="24"/>
          <w:lang w:eastAsia="en-ZA"/>
        </w:rPr>
        <w:t>Rule 5 of the rules relating to the Conduct of Conciliation and Arbitration reads as follows:</w:t>
      </w:r>
    </w:p>
    <w:p w:rsidR="00492B09" w:rsidRDefault="00492B09" w:rsidP="00B76CA7">
      <w:pPr>
        <w:spacing w:after="0" w:line="360" w:lineRule="auto"/>
        <w:jc w:val="both"/>
        <w:rPr>
          <w:rFonts w:ascii="Arial" w:eastAsia="Arial" w:hAnsi="Arial" w:cs="Arial"/>
          <w:color w:val="000000"/>
          <w:sz w:val="24"/>
          <w:szCs w:val="24"/>
          <w:lang w:eastAsia="en-ZA"/>
        </w:rPr>
      </w:pPr>
    </w:p>
    <w:p w:rsidR="002E7B24" w:rsidRPr="002E7B24" w:rsidRDefault="002E7B24" w:rsidP="002E7B24">
      <w:pPr>
        <w:spacing w:after="0" w:line="360" w:lineRule="auto"/>
        <w:ind w:firstLine="720"/>
        <w:jc w:val="both"/>
        <w:rPr>
          <w:rFonts w:ascii="Arial" w:eastAsia="Arial" w:hAnsi="Arial" w:cs="Arial"/>
          <w:color w:val="000000"/>
          <w:lang w:eastAsia="en-ZA"/>
        </w:rPr>
      </w:pPr>
      <w:r>
        <w:rPr>
          <w:rFonts w:ascii="Arial" w:eastAsia="Arial" w:hAnsi="Arial" w:cs="Arial"/>
          <w:color w:val="000000"/>
          <w:lang w:eastAsia="en-ZA"/>
        </w:rPr>
        <w:t>‘</w:t>
      </w:r>
      <w:r w:rsidRPr="002E7B24">
        <w:rPr>
          <w:rFonts w:ascii="Arial" w:eastAsia="Arial" w:hAnsi="Arial" w:cs="Arial"/>
          <w:color w:val="000000"/>
          <w:lang w:eastAsia="en-ZA"/>
        </w:rPr>
        <w:t>Rule 5</w:t>
      </w:r>
    </w:p>
    <w:p w:rsidR="002E7B24" w:rsidRPr="002E7B24" w:rsidRDefault="002E7B24" w:rsidP="002E7B24">
      <w:pPr>
        <w:spacing w:after="0" w:line="360" w:lineRule="auto"/>
        <w:jc w:val="both"/>
        <w:rPr>
          <w:rFonts w:ascii="Arial" w:eastAsia="Arial" w:hAnsi="Arial" w:cs="Arial"/>
          <w:color w:val="000000"/>
          <w:lang w:eastAsia="en-ZA"/>
        </w:rPr>
      </w:pPr>
    </w:p>
    <w:p w:rsidR="002E7B24" w:rsidRPr="002E7B24" w:rsidRDefault="002E7B24" w:rsidP="002E7B24">
      <w:pPr>
        <w:spacing w:after="0" w:line="360" w:lineRule="auto"/>
        <w:ind w:firstLine="720"/>
        <w:jc w:val="both"/>
        <w:rPr>
          <w:rFonts w:ascii="Arial" w:eastAsia="Arial" w:hAnsi="Arial" w:cs="Arial"/>
          <w:color w:val="000000"/>
          <w:lang w:eastAsia="en-ZA"/>
        </w:rPr>
      </w:pPr>
      <w:r w:rsidRPr="002E7B24">
        <w:rPr>
          <w:rFonts w:ascii="Arial" w:eastAsia="Arial" w:hAnsi="Arial" w:cs="Arial"/>
          <w:color w:val="000000"/>
          <w:lang w:eastAsia="en-ZA"/>
        </w:rPr>
        <w:t>Signing of documents</w:t>
      </w:r>
    </w:p>
    <w:p w:rsidR="002E7B24" w:rsidRPr="002E7B24" w:rsidRDefault="002E7B24" w:rsidP="002E7B24">
      <w:pPr>
        <w:spacing w:after="0" w:line="360" w:lineRule="auto"/>
        <w:jc w:val="both"/>
        <w:rPr>
          <w:rFonts w:ascii="Arial" w:eastAsia="Arial" w:hAnsi="Arial" w:cs="Arial"/>
          <w:color w:val="000000"/>
          <w:lang w:eastAsia="en-ZA"/>
        </w:rPr>
      </w:pPr>
    </w:p>
    <w:p w:rsidR="002E7B24" w:rsidRPr="002E7B24" w:rsidRDefault="002E7B24" w:rsidP="0024137E">
      <w:pPr>
        <w:pStyle w:val="ListParagraph"/>
        <w:numPr>
          <w:ilvl w:val="0"/>
          <w:numId w:val="23"/>
        </w:numPr>
        <w:tabs>
          <w:tab w:val="left" w:pos="1260"/>
        </w:tabs>
        <w:spacing w:line="360" w:lineRule="auto"/>
        <w:ind w:left="1260" w:hanging="540"/>
        <w:contextualSpacing/>
        <w:jc w:val="both"/>
        <w:rPr>
          <w:rFonts w:ascii="Arial" w:eastAsia="Arial" w:hAnsi="Arial" w:cs="Arial"/>
          <w:color w:val="000000"/>
          <w:sz w:val="22"/>
          <w:szCs w:val="22"/>
          <w:lang w:eastAsia="en-ZA"/>
        </w:rPr>
      </w:pPr>
      <w:r w:rsidRPr="002E7B24">
        <w:rPr>
          <w:rFonts w:ascii="Arial" w:eastAsia="Arial" w:hAnsi="Arial" w:cs="Arial"/>
          <w:color w:val="000000"/>
          <w:sz w:val="22"/>
          <w:szCs w:val="22"/>
          <w:lang w:eastAsia="en-ZA"/>
        </w:rPr>
        <w:t>A document that a party must sign in terms o</w:t>
      </w:r>
      <w:r>
        <w:rPr>
          <w:rFonts w:ascii="Arial" w:eastAsia="Arial" w:hAnsi="Arial" w:cs="Arial"/>
          <w:color w:val="000000"/>
          <w:sz w:val="22"/>
          <w:szCs w:val="22"/>
          <w:lang w:eastAsia="en-ZA"/>
        </w:rPr>
        <w:t xml:space="preserve">f the Act or these rules may be </w:t>
      </w:r>
      <w:r w:rsidRPr="002E7B24">
        <w:rPr>
          <w:rFonts w:ascii="Arial" w:eastAsia="Arial" w:hAnsi="Arial" w:cs="Arial"/>
          <w:color w:val="000000"/>
          <w:sz w:val="22"/>
          <w:szCs w:val="22"/>
          <w:lang w:eastAsia="en-ZA"/>
        </w:rPr>
        <w:t>signed by the party or by a person entitled in terms of the Act or these rules to represent</w:t>
      </w:r>
      <w:r>
        <w:rPr>
          <w:rFonts w:ascii="Arial" w:eastAsia="Arial" w:hAnsi="Arial" w:cs="Arial"/>
          <w:color w:val="000000"/>
          <w:sz w:val="22"/>
          <w:szCs w:val="22"/>
          <w:lang w:eastAsia="en-ZA"/>
        </w:rPr>
        <w:t xml:space="preserve"> that party in the proceedings.</w:t>
      </w:r>
    </w:p>
    <w:p w:rsidR="002E7B24" w:rsidRPr="002E7B24" w:rsidRDefault="002E7B24" w:rsidP="002E7B24">
      <w:pPr>
        <w:spacing w:after="0" w:line="360" w:lineRule="auto"/>
        <w:jc w:val="both"/>
        <w:rPr>
          <w:rFonts w:ascii="Arial" w:eastAsia="Arial" w:hAnsi="Arial" w:cs="Arial"/>
          <w:color w:val="000000"/>
          <w:lang w:eastAsia="en-ZA"/>
        </w:rPr>
      </w:pPr>
    </w:p>
    <w:p w:rsidR="002E7B24" w:rsidRPr="002E7B24" w:rsidRDefault="002E7B24" w:rsidP="0024137E">
      <w:pPr>
        <w:pStyle w:val="ListParagraph"/>
        <w:numPr>
          <w:ilvl w:val="0"/>
          <w:numId w:val="23"/>
        </w:numPr>
        <w:tabs>
          <w:tab w:val="left" w:pos="1260"/>
        </w:tabs>
        <w:spacing w:line="360" w:lineRule="auto"/>
        <w:ind w:left="1260" w:hanging="540"/>
        <w:contextualSpacing/>
        <w:jc w:val="both"/>
        <w:rPr>
          <w:rFonts w:ascii="Arial" w:eastAsia="Arial" w:hAnsi="Arial" w:cs="Arial"/>
          <w:color w:val="000000"/>
          <w:sz w:val="22"/>
          <w:szCs w:val="22"/>
          <w:lang w:eastAsia="en-ZA"/>
        </w:rPr>
      </w:pPr>
      <w:r w:rsidRPr="002E7B24">
        <w:rPr>
          <w:rFonts w:ascii="Arial" w:eastAsia="Arial" w:hAnsi="Arial" w:cs="Arial"/>
          <w:color w:val="000000"/>
          <w:sz w:val="22"/>
          <w:szCs w:val="22"/>
          <w:lang w:eastAsia="en-ZA"/>
        </w:rPr>
        <w:t xml:space="preserve">If proceedings are jointly instituted or opposed by more than one employee, the employees may mandate one of their number to sign documents on their behalf. </w:t>
      </w:r>
    </w:p>
    <w:p w:rsidR="002E7B24" w:rsidRPr="002E7B24" w:rsidRDefault="002E7B24" w:rsidP="002E7B24">
      <w:pPr>
        <w:pStyle w:val="ListParagraph"/>
        <w:ind w:left="0"/>
        <w:rPr>
          <w:rFonts w:ascii="Arial" w:eastAsia="Arial" w:hAnsi="Arial" w:cs="Arial"/>
          <w:color w:val="000000"/>
          <w:sz w:val="22"/>
          <w:szCs w:val="22"/>
          <w:lang w:eastAsia="en-ZA"/>
        </w:rPr>
      </w:pPr>
    </w:p>
    <w:p w:rsidR="002E7B24" w:rsidRPr="002E7B24" w:rsidRDefault="002E7B24" w:rsidP="0024137E">
      <w:pPr>
        <w:tabs>
          <w:tab w:val="left" w:pos="1260"/>
        </w:tabs>
        <w:spacing w:after="0" w:line="360" w:lineRule="auto"/>
        <w:ind w:left="1260" w:hanging="540"/>
        <w:jc w:val="both"/>
        <w:rPr>
          <w:rFonts w:ascii="Arial" w:eastAsia="Arial" w:hAnsi="Arial" w:cs="Arial"/>
          <w:color w:val="000000"/>
          <w:lang w:eastAsia="en-ZA"/>
        </w:rPr>
      </w:pPr>
      <w:r>
        <w:rPr>
          <w:rFonts w:ascii="Arial" w:eastAsia="Arial" w:hAnsi="Arial" w:cs="Arial"/>
          <w:color w:val="000000"/>
          <w:lang w:eastAsia="en-ZA"/>
        </w:rPr>
        <w:t>(3)</w:t>
      </w:r>
      <w:r>
        <w:rPr>
          <w:rFonts w:ascii="Arial" w:eastAsia="Arial" w:hAnsi="Arial" w:cs="Arial"/>
          <w:color w:val="000000"/>
          <w:lang w:eastAsia="en-ZA"/>
        </w:rPr>
        <w:tab/>
      </w:r>
      <w:r w:rsidRPr="002E7B24">
        <w:rPr>
          <w:rFonts w:ascii="Arial" w:eastAsia="Arial" w:hAnsi="Arial" w:cs="Arial"/>
          <w:color w:val="000000"/>
          <w:lang w:eastAsia="en-ZA"/>
        </w:rPr>
        <w:t>A statement authorizing the employee referred to in subrule (2) to sign documents must be signed by each employee and attached to the referral document or opposition, together with a legible list of their full names and addresses.</w:t>
      </w:r>
      <w:r>
        <w:rPr>
          <w:rFonts w:ascii="Arial" w:eastAsia="Arial" w:hAnsi="Arial" w:cs="Arial"/>
          <w:color w:val="000000"/>
          <w:lang w:eastAsia="en-ZA"/>
        </w:rPr>
        <w:t>’</w:t>
      </w:r>
    </w:p>
    <w:p w:rsidR="002E7B24" w:rsidRDefault="002E7B24"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[31]</w:t>
      </w:r>
      <w:r>
        <w:rPr>
          <w:rFonts w:ascii="Arial" w:eastAsia="Arial" w:hAnsi="Arial" w:cs="Arial"/>
          <w:color w:val="000000"/>
          <w:sz w:val="24"/>
          <w:szCs w:val="24"/>
          <w:lang w:eastAsia="en-ZA"/>
        </w:rPr>
        <w:tab/>
      </w:r>
      <w:r w:rsidR="002E7B24">
        <w:rPr>
          <w:rFonts w:ascii="Arial" w:eastAsia="Arial" w:hAnsi="Arial" w:cs="Arial"/>
          <w:color w:val="000000"/>
          <w:sz w:val="24"/>
          <w:szCs w:val="24"/>
          <w:lang w:eastAsia="en-ZA"/>
        </w:rPr>
        <w:t xml:space="preserve">The arbitrator in his Ruling of 26 April 2016 at paragraph 26 found that reading Rule (5) and Rule 14 together with section 86(12) leads to the conclusion that </w:t>
      </w:r>
      <w:r w:rsidR="002E7B24" w:rsidRPr="009E5323">
        <w:rPr>
          <w:rFonts w:ascii="Arial" w:eastAsia="Arial" w:hAnsi="Arial" w:cs="Arial"/>
          <w:i/>
          <w:color w:val="000000"/>
          <w:sz w:val="24"/>
          <w:szCs w:val="24"/>
          <w:lang w:eastAsia="en-ZA"/>
        </w:rPr>
        <w:t>ex facie</w:t>
      </w:r>
      <w:r w:rsidR="002E7B24">
        <w:rPr>
          <w:rFonts w:ascii="Arial" w:eastAsia="Arial" w:hAnsi="Arial" w:cs="Arial"/>
          <w:color w:val="000000"/>
          <w:sz w:val="24"/>
          <w:szCs w:val="24"/>
          <w:lang w:eastAsia="en-ZA"/>
        </w:rPr>
        <w:t xml:space="preserve"> </w:t>
      </w:r>
      <w:r w:rsidR="0037273A">
        <w:rPr>
          <w:rFonts w:ascii="Arial" w:eastAsia="Arial" w:hAnsi="Arial" w:cs="Arial"/>
          <w:color w:val="000000"/>
          <w:sz w:val="24"/>
          <w:szCs w:val="24"/>
          <w:lang w:eastAsia="en-ZA"/>
        </w:rPr>
        <w:t xml:space="preserve">the </w:t>
      </w:r>
      <w:r w:rsidR="002E7B24">
        <w:rPr>
          <w:rFonts w:ascii="Arial" w:eastAsia="Arial" w:hAnsi="Arial" w:cs="Arial"/>
          <w:color w:val="000000"/>
          <w:sz w:val="24"/>
          <w:szCs w:val="24"/>
          <w:lang w:eastAsia="en-ZA"/>
        </w:rPr>
        <w:t xml:space="preserve">Form LC 21, </w:t>
      </w:r>
      <w:r w:rsidR="0037273A">
        <w:rPr>
          <w:rFonts w:ascii="Arial" w:eastAsia="Arial" w:hAnsi="Arial" w:cs="Arial"/>
          <w:color w:val="000000"/>
          <w:sz w:val="24"/>
          <w:szCs w:val="24"/>
          <w:lang w:eastAsia="en-ZA"/>
        </w:rPr>
        <w:t xml:space="preserve">in </w:t>
      </w:r>
      <w:r w:rsidR="002E7B24">
        <w:rPr>
          <w:rFonts w:ascii="Arial" w:eastAsia="Arial" w:hAnsi="Arial" w:cs="Arial"/>
          <w:color w:val="000000"/>
          <w:sz w:val="24"/>
          <w:szCs w:val="24"/>
          <w:lang w:eastAsia="en-ZA"/>
        </w:rPr>
        <w:t>the proceedings before him, were properly signed pursuant to the aforementioned Rules by the respondents’ representative. The arbitrator, correctly in my view, reasoned that Rule 14 on its own, stipulates that the party must sign the form. However, Rule 14 provides that the form must be signed in accordance with Rule 5. The arbitrator further reasoned that this means that the form must be signed either by the party or by the Union representative who is entitled to represent a party at the proceedings, and furthermore that section 86(12) makes it clear that only a Union representative has an automatic right to represent a party to a dispute.</w:t>
      </w:r>
    </w:p>
    <w:p w:rsidR="00492B09" w:rsidRDefault="00492B09"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[32]</w:t>
      </w:r>
      <w:r>
        <w:rPr>
          <w:rFonts w:ascii="Arial" w:eastAsia="Arial" w:hAnsi="Arial" w:cs="Arial"/>
          <w:color w:val="000000"/>
          <w:sz w:val="24"/>
          <w:szCs w:val="24"/>
          <w:lang w:eastAsia="en-ZA"/>
        </w:rPr>
        <w:tab/>
      </w:r>
      <w:r w:rsidR="002E7B24">
        <w:rPr>
          <w:rFonts w:ascii="Arial" w:eastAsia="Arial" w:hAnsi="Arial" w:cs="Arial"/>
          <w:color w:val="000000"/>
          <w:sz w:val="24"/>
          <w:szCs w:val="24"/>
          <w:lang w:eastAsia="en-ZA"/>
        </w:rPr>
        <w:t>The foregoing exposition appears to have been accepted by counsel for the appellants who stated in his heads of argument that a Union is by law entitled to sign a referral document and to represent is members. I agree with counsel for the respondents that, in view of the fact that the respondents are represented by the Union, all services of processes and communication have to be effected or conducted through the Union’s office as the representative of the respondents. On the other hand, failure to provide information such as erf numbers or fax and email might just be a true reflection of the real situation prevailing in some parts of our country such as communal rural areas where there are no erf numbers or telephone lines. In any event, even accepting for the sake of the argument that such information has not been provided as stipulated by the rules, the appellants do not indicate what prejudice, if any, they may suffer as a result of the absence of such information. Counsel for the respondents submits, correctly in view, that even if it were to be found that the referral document is defective for non-compliance with Rule 5(3), such non-compliance would not render the referral document a nullity for the same reason that non-compliance with Rules 5(1) and (2) do not render the referral, subsequent proceedings and ensuing award, a nullity. This submission finds support in the judgment</w:t>
      </w:r>
      <w:r w:rsidR="00F75154">
        <w:rPr>
          <w:rFonts w:ascii="Arial" w:eastAsia="Arial" w:hAnsi="Arial" w:cs="Arial"/>
          <w:color w:val="000000"/>
          <w:sz w:val="24"/>
          <w:szCs w:val="24"/>
          <w:lang w:eastAsia="en-ZA"/>
        </w:rPr>
        <w:t>s</w:t>
      </w:r>
      <w:r w:rsidR="002E7B24">
        <w:rPr>
          <w:rFonts w:ascii="Arial" w:eastAsia="Arial" w:hAnsi="Arial" w:cs="Arial"/>
          <w:color w:val="000000"/>
          <w:sz w:val="24"/>
          <w:szCs w:val="24"/>
          <w:lang w:eastAsia="en-ZA"/>
        </w:rPr>
        <w:t xml:space="preserve"> of </w:t>
      </w:r>
      <w:r w:rsidR="002E7B24" w:rsidRPr="00FE504C">
        <w:rPr>
          <w:rFonts w:ascii="Arial" w:eastAsia="Arial" w:hAnsi="Arial" w:cs="Arial"/>
          <w:i/>
          <w:color w:val="000000"/>
          <w:sz w:val="24"/>
          <w:szCs w:val="24"/>
          <w:lang w:eastAsia="en-ZA"/>
        </w:rPr>
        <w:t xml:space="preserve">Purity Manganese </w:t>
      </w:r>
      <w:r w:rsidR="002E7B24" w:rsidRPr="00FE504C">
        <w:rPr>
          <w:rFonts w:ascii="Arial" w:eastAsia="Arial" w:hAnsi="Arial" w:cs="Arial"/>
          <w:color w:val="000000"/>
          <w:sz w:val="24"/>
          <w:szCs w:val="24"/>
          <w:lang w:eastAsia="en-ZA"/>
        </w:rPr>
        <w:t xml:space="preserve">and </w:t>
      </w:r>
      <w:r w:rsidR="002E7B24" w:rsidRPr="00FE504C">
        <w:rPr>
          <w:rFonts w:ascii="Arial" w:eastAsia="Arial" w:hAnsi="Arial" w:cs="Arial"/>
          <w:i/>
          <w:color w:val="000000"/>
          <w:sz w:val="24"/>
          <w:szCs w:val="24"/>
          <w:lang w:eastAsia="en-ZA"/>
        </w:rPr>
        <w:t>Simana</w:t>
      </w:r>
      <w:r w:rsidR="002E7B24">
        <w:rPr>
          <w:rFonts w:ascii="Arial" w:eastAsia="Arial" w:hAnsi="Arial" w:cs="Arial"/>
          <w:color w:val="000000"/>
          <w:sz w:val="24"/>
          <w:szCs w:val="24"/>
          <w:lang w:eastAsia="en-ZA"/>
        </w:rPr>
        <w:t>, to which reference will be made later in this judgment.</w:t>
      </w:r>
    </w:p>
    <w:p w:rsidR="00492B09" w:rsidRDefault="00492B09"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[33]</w:t>
      </w:r>
      <w:r>
        <w:rPr>
          <w:rFonts w:ascii="Arial" w:eastAsia="Arial" w:hAnsi="Arial" w:cs="Arial"/>
          <w:color w:val="000000"/>
          <w:sz w:val="24"/>
          <w:szCs w:val="24"/>
          <w:lang w:eastAsia="en-ZA"/>
        </w:rPr>
        <w:tab/>
      </w:r>
      <w:r w:rsidR="00596E1F">
        <w:rPr>
          <w:rFonts w:ascii="Arial" w:eastAsia="Arial" w:hAnsi="Arial" w:cs="Arial"/>
          <w:color w:val="000000"/>
          <w:sz w:val="24"/>
          <w:szCs w:val="24"/>
          <w:lang w:eastAsia="en-ZA"/>
        </w:rPr>
        <w:t xml:space="preserve">Regarding the appellants’ complaint that there is no proof that the lists relate to the institution of the action or the giving of authority to </w:t>
      </w:r>
      <w:r w:rsidR="00F9555C">
        <w:rPr>
          <w:rFonts w:ascii="Arial" w:eastAsia="Arial" w:hAnsi="Arial" w:cs="Arial"/>
          <w:color w:val="000000"/>
          <w:sz w:val="24"/>
          <w:szCs w:val="24"/>
          <w:lang w:eastAsia="en-ZA"/>
        </w:rPr>
        <w:t>NAFINU</w:t>
      </w:r>
      <w:r w:rsidR="00596E1F">
        <w:rPr>
          <w:rFonts w:ascii="Arial" w:eastAsia="Arial" w:hAnsi="Arial" w:cs="Arial"/>
          <w:color w:val="000000"/>
          <w:sz w:val="24"/>
          <w:szCs w:val="24"/>
          <w:lang w:eastAsia="en-ZA"/>
        </w:rPr>
        <w:t xml:space="preserve"> to institute the action, it would appear to me that this is a matter for evidence. The documents must be accepted for what they profess to be. Its veracity and how it correlates to each other will be established at the hearing though witnesses and cross-examination of such witnesses. This also applies to the appellants’ complaint that there is no proof that the respondents are indeed ‘former employees’ nor that they are members of </w:t>
      </w:r>
      <w:r w:rsidR="00F9555C">
        <w:rPr>
          <w:rFonts w:ascii="Arial" w:eastAsia="Arial" w:hAnsi="Arial" w:cs="Arial"/>
          <w:color w:val="000000"/>
          <w:sz w:val="24"/>
          <w:szCs w:val="24"/>
          <w:lang w:eastAsia="en-ZA"/>
        </w:rPr>
        <w:t>NAFINU</w:t>
      </w:r>
      <w:r w:rsidR="00596E1F">
        <w:rPr>
          <w:rFonts w:ascii="Arial" w:eastAsia="Arial" w:hAnsi="Arial" w:cs="Arial"/>
          <w:color w:val="000000"/>
          <w:sz w:val="24"/>
          <w:szCs w:val="24"/>
          <w:lang w:eastAsia="en-ZA"/>
        </w:rPr>
        <w:t xml:space="preserve">. Proof of the veracity of the information contained in those documents will and can only be verified at the oral hearing of the matter. The appellants’ complaints are thus misplaced, and are therefore rejected for lack of merit. In any event, one would reasonably expect the appellants, as former employers of the respondents, to have records of the respondents, including membership </w:t>
      </w:r>
      <w:r w:rsidR="00805304">
        <w:rPr>
          <w:rFonts w:ascii="Arial" w:eastAsia="Arial" w:hAnsi="Arial" w:cs="Arial"/>
          <w:color w:val="000000"/>
          <w:sz w:val="24"/>
          <w:szCs w:val="24"/>
          <w:lang w:eastAsia="en-ZA"/>
        </w:rPr>
        <w:t>in</w:t>
      </w:r>
      <w:r w:rsidR="00596E1F">
        <w:rPr>
          <w:rFonts w:ascii="Arial" w:eastAsia="Arial" w:hAnsi="Arial" w:cs="Arial"/>
          <w:color w:val="000000"/>
          <w:sz w:val="24"/>
          <w:szCs w:val="24"/>
          <w:lang w:eastAsia="en-ZA"/>
        </w:rPr>
        <w:t xml:space="preserve"> </w:t>
      </w:r>
      <w:r w:rsidR="00F9555C">
        <w:rPr>
          <w:rFonts w:ascii="Arial" w:eastAsia="Arial" w:hAnsi="Arial" w:cs="Arial"/>
          <w:color w:val="000000"/>
          <w:sz w:val="24"/>
          <w:szCs w:val="24"/>
          <w:lang w:eastAsia="en-ZA"/>
        </w:rPr>
        <w:t>NAFINU</w:t>
      </w:r>
      <w:r w:rsidR="00596E1F">
        <w:rPr>
          <w:rFonts w:ascii="Arial" w:eastAsia="Arial" w:hAnsi="Arial" w:cs="Arial"/>
          <w:color w:val="000000"/>
          <w:sz w:val="24"/>
          <w:szCs w:val="24"/>
          <w:lang w:eastAsia="en-ZA"/>
        </w:rPr>
        <w:t xml:space="preserve">. After all the appellants had a recognition agreement with </w:t>
      </w:r>
      <w:r w:rsidR="00F9555C">
        <w:rPr>
          <w:rFonts w:ascii="Arial" w:eastAsia="Arial" w:hAnsi="Arial" w:cs="Arial"/>
          <w:color w:val="000000"/>
          <w:sz w:val="24"/>
          <w:szCs w:val="24"/>
          <w:lang w:eastAsia="en-ZA"/>
        </w:rPr>
        <w:t>NAFINU</w:t>
      </w:r>
      <w:r w:rsidR="00596E1F">
        <w:rPr>
          <w:rFonts w:ascii="Arial" w:eastAsia="Arial" w:hAnsi="Arial" w:cs="Arial"/>
          <w:color w:val="000000"/>
          <w:sz w:val="24"/>
          <w:szCs w:val="24"/>
          <w:lang w:eastAsia="en-ZA"/>
        </w:rPr>
        <w:t xml:space="preserve"> by which </w:t>
      </w:r>
      <w:r w:rsidR="00F9555C">
        <w:rPr>
          <w:rFonts w:ascii="Arial" w:eastAsia="Arial" w:hAnsi="Arial" w:cs="Arial"/>
          <w:color w:val="000000"/>
          <w:sz w:val="24"/>
          <w:szCs w:val="24"/>
          <w:lang w:eastAsia="en-ZA"/>
        </w:rPr>
        <w:t>NAFINU</w:t>
      </w:r>
      <w:r w:rsidR="00596E1F">
        <w:rPr>
          <w:rFonts w:ascii="Arial" w:eastAsia="Arial" w:hAnsi="Arial" w:cs="Arial"/>
          <w:color w:val="000000"/>
          <w:sz w:val="24"/>
          <w:szCs w:val="24"/>
          <w:lang w:eastAsia="en-ZA"/>
        </w:rPr>
        <w:t xml:space="preserve"> was recognized as representative of the appellants’ employees in the bargaining unit.</w:t>
      </w:r>
    </w:p>
    <w:p w:rsidR="00492B09" w:rsidRDefault="00492B09" w:rsidP="00B76CA7">
      <w:pPr>
        <w:spacing w:after="0" w:line="360" w:lineRule="auto"/>
        <w:jc w:val="both"/>
        <w:rPr>
          <w:rFonts w:ascii="Arial" w:eastAsia="Arial" w:hAnsi="Arial" w:cs="Arial"/>
          <w:color w:val="000000"/>
          <w:sz w:val="24"/>
          <w:szCs w:val="24"/>
          <w:lang w:eastAsia="en-ZA"/>
        </w:rPr>
      </w:pPr>
    </w:p>
    <w:p w:rsidR="00626E78" w:rsidRDefault="00626E78" w:rsidP="00626E78">
      <w:pPr>
        <w:spacing w:after="0" w:line="360" w:lineRule="auto"/>
        <w:jc w:val="both"/>
        <w:rPr>
          <w:rFonts w:ascii="Arial" w:eastAsia="Arial" w:hAnsi="Arial" w:cs="Arial"/>
          <w:i/>
          <w:color w:val="000000"/>
          <w:sz w:val="24"/>
          <w:szCs w:val="24"/>
          <w:lang w:eastAsia="en-ZA"/>
        </w:rPr>
      </w:pPr>
      <w:r>
        <w:rPr>
          <w:rFonts w:ascii="Arial" w:eastAsia="Arial" w:hAnsi="Arial" w:cs="Arial"/>
          <w:i/>
          <w:color w:val="000000"/>
          <w:sz w:val="24"/>
          <w:szCs w:val="24"/>
          <w:lang w:eastAsia="en-ZA"/>
        </w:rPr>
        <w:t>Question</w:t>
      </w:r>
      <w:r w:rsidRPr="00B90CC5">
        <w:rPr>
          <w:rFonts w:ascii="Arial" w:eastAsia="Arial" w:hAnsi="Arial" w:cs="Arial"/>
          <w:i/>
          <w:color w:val="000000"/>
          <w:sz w:val="24"/>
          <w:szCs w:val="24"/>
          <w:lang w:eastAsia="en-ZA"/>
        </w:rPr>
        <w:t xml:space="preserve"> 2.1.</w:t>
      </w:r>
      <w:r>
        <w:rPr>
          <w:rFonts w:ascii="Arial" w:eastAsia="Arial" w:hAnsi="Arial" w:cs="Arial"/>
          <w:i/>
          <w:color w:val="000000"/>
          <w:sz w:val="24"/>
          <w:szCs w:val="24"/>
          <w:lang w:eastAsia="en-ZA"/>
        </w:rPr>
        <w:t>4</w:t>
      </w:r>
    </w:p>
    <w:p w:rsidR="00626E78" w:rsidRDefault="00626E78"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[34]</w:t>
      </w:r>
      <w:r>
        <w:rPr>
          <w:rFonts w:ascii="Arial" w:eastAsia="Arial" w:hAnsi="Arial" w:cs="Arial"/>
          <w:color w:val="000000"/>
          <w:sz w:val="24"/>
          <w:szCs w:val="24"/>
          <w:lang w:eastAsia="en-ZA"/>
        </w:rPr>
        <w:tab/>
      </w:r>
      <w:r w:rsidR="00626E78">
        <w:rPr>
          <w:rFonts w:ascii="Arial" w:eastAsia="Arial" w:hAnsi="Arial" w:cs="Arial"/>
          <w:color w:val="000000"/>
          <w:sz w:val="24"/>
          <w:szCs w:val="24"/>
          <w:lang w:eastAsia="en-ZA"/>
        </w:rPr>
        <w:t>The next question of law posed by the appellants is w</w:t>
      </w:r>
      <w:r w:rsidR="00626E78" w:rsidRPr="002D66AD">
        <w:rPr>
          <w:rFonts w:ascii="Arial" w:eastAsia="Arial" w:hAnsi="Arial" w:cs="Arial"/>
          <w:color w:val="000000"/>
          <w:sz w:val="24"/>
          <w:szCs w:val="24"/>
          <w:lang w:eastAsia="en-ZA"/>
        </w:rPr>
        <w:t>hether the arbitrator failed to properly take into consideration that the</w:t>
      </w:r>
      <w:r w:rsidR="00626E78">
        <w:rPr>
          <w:rFonts w:ascii="Arial" w:eastAsia="Arial" w:hAnsi="Arial" w:cs="Arial"/>
          <w:color w:val="000000"/>
          <w:sz w:val="24"/>
          <w:szCs w:val="24"/>
          <w:lang w:eastAsia="en-ZA"/>
        </w:rPr>
        <w:t xml:space="preserve"> appellant</w:t>
      </w:r>
      <w:r w:rsidR="00B72BA6">
        <w:rPr>
          <w:rFonts w:ascii="Arial" w:eastAsia="Arial" w:hAnsi="Arial" w:cs="Arial"/>
          <w:color w:val="000000"/>
          <w:sz w:val="24"/>
          <w:szCs w:val="24"/>
          <w:lang w:eastAsia="en-ZA"/>
        </w:rPr>
        <w:t>s</w:t>
      </w:r>
      <w:r w:rsidR="00626E78">
        <w:rPr>
          <w:rFonts w:ascii="Arial" w:eastAsia="Arial" w:hAnsi="Arial" w:cs="Arial"/>
          <w:color w:val="000000"/>
          <w:sz w:val="24"/>
          <w:szCs w:val="24"/>
          <w:lang w:eastAsia="en-ZA"/>
        </w:rPr>
        <w:t xml:space="preserve"> had </w:t>
      </w:r>
      <w:r w:rsidR="00626E78" w:rsidRPr="002D66AD">
        <w:rPr>
          <w:rFonts w:ascii="Arial" w:eastAsia="Arial" w:hAnsi="Arial" w:cs="Arial"/>
          <w:color w:val="000000"/>
          <w:sz w:val="24"/>
          <w:szCs w:val="24"/>
          <w:lang w:eastAsia="en-ZA"/>
        </w:rPr>
        <w:t>already indicated at the conciliation proceedings</w:t>
      </w:r>
      <w:r w:rsidR="00626E78">
        <w:rPr>
          <w:rFonts w:ascii="Arial" w:eastAsia="Arial" w:hAnsi="Arial" w:cs="Arial"/>
          <w:color w:val="000000"/>
          <w:sz w:val="24"/>
          <w:szCs w:val="24"/>
          <w:lang w:eastAsia="en-ZA"/>
        </w:rPr>
        <w:t xml:space="preserve"> that they intended to take the point of authority or mandate to institute proceedings</w:t>
      </w:r>
      <w:r w:rsidR="00626E78" w:rsidRPr="002D66AD">
        <w:rPr>
          <w:rFonts w:ascii="Arial" w:eastAsia="Arial" w:hAnsi="Arial" w:cs="Arial"/>
          <w:color w:val="000000"/>
          <w:sz w:val="24"/>
          <w:szCs w:val="24"/>
          <w:lang w:eastAsia="en-ZA"/>
        </w:rPr>
        <w:t>, but that the proper time to raise such point would be at the commencement of the arbitration proceedings</w:t>
      </w:r>
      <w:r w:rsidR="00626E78">
        <w:rPr>
          <w:rFonts w:ascii="Arial" w:eastAsia="Arial" w:hAnsi="Arial" w:cs="Arial"/>
          <w:color w:val="000000"/>
          <w:sz w:val="24"/>
          <w:szCs w:val="24"/>
          <w:lang w:eastAsia="en-ZA"/>
        </w:rPr>
        <w:t>. As with other questions, the question is rephrased into a ground of appeal, namely that t</w:t>
      </w:r>
      <w:r w:rsidR="00626E78" w:rsidRPr="002D66AD">
        <w:rPr>
          <w:rFonts w:ascii="Arial" w:eastAsia="Arial" w:hAnsi="Arial" w:cs="Arial"/>
          <w:color w:val="000000"/>
          <w:sz w:val="24"/>
          <w:szCs w:val="24"/>
          <w:lang w:eastAsia="en-ZA"/>
        </w:rPr>
        <w:t xml:space="preserve">he arbitrator failed to properly take into consideration that the issue </w:t>
      </w:r>
      <w:r w:rsidR="00626E78">
        <w:rPr>
          <w:rFonts w:ascii="Arial" w:eastAsia="Arial" w:hAnsi="Arial" w:cs="Arial"/>
          <w:color w:val="000000"/>
          <w:sz w:val="24"/>
          <w:szCs w:val="24"/>
          <w:lang w:eastAsia="en-ZA"/>
        </w:rPr>
        <w:t>of authority or mandate</w:t>
      </w:r>
      <w:r w:rsidR="00626E78" w:rsidRPr="002D66AD">
        <w:rPr>
          <w:rFonts w:ascii="Arial" w:eastAsia="Arial" w:hAnsi="Arial" w:cs="Arial"/>
          <w:color w:val="000000"/>
          <w:sz w:val="24"/>
          <w:szCs w:val="24"/>
          <w:lang w:eastAsia="en-ZA"/>
        </w:rPr>
        <w:t xml:space="preserve"> was already indicated at the conciliation proceedings, but that the proper time to raise such point would be at the commencement of the arbitration proceedings</w:t>
      </w:r>
      <w:r w:rsidR="00626E78">
        <w:rPr>
          <w:rFonts w:ascii="Arial" w:eastAsia="Arial" w:hAnsi="Arial" w:cs="Arial"/>
          <w:color w:val="000000"/>
          <w:sz w:val="24"/>
          <w:szCs w:val="24"/>
          <w:lang w:eastAsia="en-ZA"/>
        </w:rPr>
        <w:t>.</w:t>
      </w:r>
      <w:r w:rsidR="00626E78" w:rsidRPr="002D66AD">
        <w:rPr>
          <w:rFonts w:ascii="Arial" w:eastAsia="Arial" w:hAnsi="Arial" w:cs="Arial"/>
          <w:color w:val="000000"/>
          <w:sz w:val="24"/>
          <w:szCs w:val="24"/>
          <w:lang w:eastAsia="en-ZA"/>
        </w:rPr>
        <w:t xml:space="preserve"> </w:t>
      </w:r>
      <w:r w:rsidR="00626E78">
        <w:rPr>
          <w:rFonts w:ascii="Arial" w:eastAsia="Arial" w:hAnsi="Arial" w:cs="Arial"/>
          <w:color w:val="000000"/>
          <w:sz w:val="24"/>
          <w:szCs w:val="24"/>
          <w:lang w:eastAsia="en-ZA"/>
        </w:rPr>
        <w:t>In this connection Counsel points out that arbitration proceedings</w:t>
      </w:r>
      <w:r w:rsidR="00626E78" w:rsidRPr="002D66AD">
        <w:rPr>
          <w:rFonts w:ascii="Arial" w:eastAsia="Arial" w:hAnsi="Arial" w:cs="Arial"/>
          <w:color w:val="000000"/>
          <w:sz w:val="24"/>
          <w:szCs w:val="24"/>
          <w:lang w:eastAsia="en-ZA"/>
        </w:rPr>
        <w:t xml:space="preserve"> are</w:t>
      </w:r>
      <w:r w:rsidR="00626E78">
        <w:rPr>
          <w:rFonts w:ascii="Arial" w:eastAsia="Arial" w:hAnsi="Arial" w:cs="Arial"/>
          <w:color w:val="000000"/>
          <w:sz w:val="24"/>
          <w:szCs w:val="24"/>
          <w:lang w:eastAsia="en-ZA"/>
        </w:rPr>
        <w:t xml:space="preserve"> </w:t>
      </w:r>
      <w:r w:rsidR="00626E78" w:rsidRPr="002D66AD">
        <w:rPr>
          <w:rFonts w:ascii="Arial" w:eastAsia="Arial" w:hAnsi="Arial" w:cs="Arial"/>
          <w:color w:val="000000"/>
          <w:sz w:val="24"/>
          <w:szCs w:val="24"/>
          <w:lang w:eastAsia="en-ZA"/>
        </w:rPr>
        <w:t>formal, whereas conciliation proceedings are informal</w:t>
      </w:r>
      <w:r w:rsidR="00626E78">
        <w:rPr>
          <w:rFonts w:ascii="Arial" w:eastAsia="Arial" w:hAnsi="Arial" w:cs="Arial"/>
          <w:color w:val="000000"/>
          <w:sz w:val="24"/>
          <w:szCs w:val="24"/>
          <w:lang w:eastAsia="en-ZA"/>
        </w:rPr>
        <w:t xml:space="preserve"> and</w:t>
      </w:r>
      <w:r w:rsidR="00626E78" w:rsidRPr="002D66AD">
        <w:rPr>
          <w:rFonts w:ascii="Arial" w:eastAsia="Arial" w:hAnsi="Arial" w:cs="Arial"/>
          <w:color w:val="000000"/>
          <w:sz w:val="24"/>
          <w:szCs w:val="24"/>
          <w:lang w:eastAsia="en-ZA"/>
        </w:rPr>
        <w:t xml:space="preserve"> not on record</w:t>
      </w:r>
      <w:r w:rsidR="00626E78">
        <w:rPr>
          <w:rFonts w:ascii="Arial" w:eastAsia="Arial" w:hAnsi="Arial" w:cs="Arial"/>
          <w:color w:val="000000"/>
          <w:sz w:val="24"/>
          <w:szCs w:val="24"/>
          <w:lang w:eastAsia="en-ZA"/>
        </w:rPr>
        <w:t>.</w:t>
      </w:r>
      <w:r w:rsidR="00626E78" w:rsidRPr="002D66AD">
        <w:rPr>
          <w:rFonts w:ascii="Arial" w:eastAsia="Arial" w:hAnsi="Arial" w:cs="Arial"/>
          <w:color w:val="000000"/>
          <w:sz w:val="24"/>
          <w:szCs w:val="24"/>
          <w:lang w:eastAsia="en-ZA"/>
        </w:rPr>
        <w:t xml:space="preserve"> </w:t>
      </w:r>
      <w:r w:rsidR="00626E78">
        <w:rPr>
          <w:rFonts w:ascii="Arial" w:eastAsia="Arial" w:hAnsi="Arial" w:cs="Arial"/>
          <w:color w:val="000000"/>
          <w:sz w:val="24"/>
          <w:szCs w:val="24"/>
          <w:lang w:eastAsia="en-ZA"/>
        </w:rPr>
        <w:t>I</w:t>
      </w:r>
      <w:r w:rsidR="00626E78" w:rsidRPr="002D66AD">
        <w:rPr>
          <w:rFonts w:ascii="Arial" w:eastAsia="Arial" w:hAnsi="Arial" w:cs="Arial"/>
          <w:color w:val="000000"/>
          <w:sz w:val="24"/>
          <w:szCs w:val="24"/>
          <w:lang w:eastAsia="en-ZA"/>
        </w:rPr>
        <w:t xml:space="preserve">n </w:t>
      </w:r>
      <w:r w:rsidR="00626E78">
        <w:rPr>
          <w:rFonts w:ascii="Arial" w:eastAsia="Arial" w:hAnsi="Arial" w:cs="Arial"/>
          <w:color w:val="000000"/>
          <w:sz w:val="24"/>
          <w:szCs w:val="24"/>
          <w:lang w:eastAsia="en-ZA"/>
        </w:rPr>
        <w:t>conciliation proceedings,</w:t>
      </w:r>
      <w:r w:rsidR="00626E78" w:rsidRPr="002D66AD">
        <w:rPr>
          <w:rFonts w:ascii="Arial" w:eastAsia="Arial" w:hAnsi="Arial" w:cs="Arial"/>
          <w:color w:val="000000"/>
          <w:sz w:val="24"/>
          <w:szCs w:val="24"/>
          <w:lang w:eastAsia="en-ZA"/>
        </w:rPr>
        <w:t xml:space="preserve"> the presiding officer is only a conciliator and as such cannot act in the function as he did herein, </w:t>
      </w:r>
      <w:r w:rsidR="00626E78">
        <w:rPr>
          <w:rFonts w:ascii="Arial" w:eastAsia="Arial" w:hAnsi="Arial" w:cs="Arial"/>
          <w:color w:val="000000"/>
          <w:sz w:val="24"/>
          <w:szCs w:val="24"/>
          <w:lang w:eastAsia="en-ZA"/>
        </w:rPr>
        <w:t>as</w:t>
      </w:r>
      <w:r w:rsidR="00626E78" w:rsidRPr="002D66AD">
        <w:rPr>
          <w:rFonts w:ascii="Arial" w:eastAsia="Arial" w:hAnsi="Arial" w:cs="Arial"/>
          <w:color w:val="000000"/>
          <w:sz w:val="24"/>
          <w:szCs w:val="24"/>
          <w:lang w:eastAsia="en-ZA"/>
        </w:rPr>
        <w:t xml:space="preserve"> an arbitrator </w:t>
      </w:r>
      <w:r w:rsidR="00626E78">
        <w:rPr>
          <w:rFonts w:ascii="Arial" w:eastAsia="Arial" w:hAnsi="Arial" w:cs="Arial"/>
          <w:color w:val="000000"/>
          <w:sz w:val="24"/>
          <w:szCs w:val="24"/>
          <w:lang w:eastAsia="en-ZA"/>
        </w:rPr>
        <w:t>in</w:t>
      </w:r>
      <w:r w:rsidR="00626E78" w:rsidRPr="002D66AD">
        <w:rPr>
          <w:rFonts w:ascii="Arial" w:eastAsia="Arial" w:hAnsi="Arial" w:cs="Arial"/>
          <w:color w:val="000000"/>
          <w:sz w:val="24"/>
          <w:szCs w:val="24"/>
          <w:lang w:eastAsia="en-ZA"/>
        </w:rPr>
        <w:t xml:space="preserve"> making</w:t>
      </w:r>
      <w:r w:rsidR="00E81FE7">
        <w:rPr>
          <w:rFonts w:ascii="Arial" w:eastAsia="Arial" w:hAnsi="Arial" w:cs="Arial"/>
          <w:color w:val="000000"/>
          <w:sz w:val="24"/>
          <w:szCs w:val="24"/>
          <w:lang w:eastAsia="en-ZA"/>
        </w:rPr>
        <w:t xml:space="preserve"> </w:t>
      </w:r>
      <w:r w:rsidR="00626E78">
        <w:rPr>
          <w:rFonts w:ascii="Arial" w:eastAsia="Arial" w:hAnsi="Arial" w:cs="Arial"/>
          <w:color w:val="000000"/>
          <w:sz w:val="24"/>
          <w:szCs w:val="24"/>
          <w:lang w:eastAsia="en-ZA"/>
        </w:rPr>
        <w:t xml:space="preserve">an </w:t>
      </w:r>
      <w:r w:rsidR="00626E78" w:rsidRPr="002D66AD">
        <w:rPr>
          <w:rFonts w:ascii="Arial" w:eastAsia="Arial" w:hAnsi="Arial" w:cs="Arial"/>
          <w:color w:val="000000"/>
          <w:sz w:val="24"/>
          <w:szCs w:val="24"/>
          <w:lang w:eastAsia="en-ZA"/>
        </w:rPr>
        <w:t>appropriate ruling</w:t>
      </w:r>
      <w:r w:rsidR="00626E78">
        <w:rPr>
          <w:rFonts w:ascii="Arial" w:eastAsia="Arial" w:hAnsi="Arial" w:cs="Arial"/>
          <w:color w:val="000000"/>
          <w:sz w:val="24"/>
          <w:szCs w:val="24"/>
          <w:lang w:eastAsia="en-ZA"/>
        </w:rPr>
        <w:t>.</w:t>
      </w:r>
    </w:p>
    <w:p w:rsidR="00492B09" w:rsidRDefault="00492B09"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[35]</w:t>
      </w:r>
      <w:r>
        <w:rPr>
          <w:rFonts w:ascii="Arial" w:eastAsia="Arial" w:hAnsi="Arial" w:cs="Arial"/>
          <w:color w:val="000000"/>
          <w:sz w:val="24"/>
          <w:szCs w:val="24"/>
          <w:lang w:eastAsia="en-ZA"/>
        </w:rPr>
        <w:tab/>
      </w:r>
      <w:r w:rsidR="00431321">
        <w:rPr>
          <w:rFonts w:ascii="Arial" w:eastAsia="Arial" w:hAnsi="Arial" w:cs="Arial"/>
          <w:color w:val="000000"/>
          <w:sz w:val="24"/>
          <w:szCs w:val="24"/>
          <w:lang w:eastAsia="en-ZA"/>
        </w:rPr>
        <w:t xml:space="preserve">The issue for decision here is at what stage of the proceedings a party should raise the issue of defective referral. As noted in the preceding paragraph, appellants submit that the defect should be raised at the commencement of arbitration proceedings, </w:t>
      </w:r>
      <w:r w:rsidR="00431321" w:rsidRPr="002D66AD">
        <w:rPr>
          <w:rFonts w:ascii="Arial" w:eastAsia="Arial" w:hAnsi="Arial" w:cs="Arial"/>
          <w:color w:val="000000"/>
          <w:sz w:val="24"/>
          <w:szCs w:val="24"/>
          <w:lang w:eastAsia="en-ZA"/>
        </w:rPr>
        <w:t xml:space="preserve">which are formal, whereas conciliation proceedings </w:t>
      </w:r>
      <w:r w:rsidR="00431321">
        <w:rPr>
          <w:rFonts w:ascii="Arial" w:eastAsia="Arial" w:hAnsi="Arial" w:cs="Arial"/>
          <w:color w:val="000000"/>
          <w:sz w:val="24"/>
          <w:szCs w:val="24"/>
          <w:lang w:eastAsia="en-ZA"/>
        </w:rPr>
        <w:t>are informal. Counsel for the respondents, on the other hand, submits that defective referral should be raised prior to participation in the proceedings.</w:t>
      </w:r>
    </w:p>
    <w:p w:rsidR="00492B09" w:rsidRDefault="00492B09"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[36]</w:t>
      </w:r>
      <w:r>
        <w:rPr>
          <w:rFonts w:ascii="Arial" w:eastAsia="Arial" w:hAnsi="Arial" w:cs="Arial"/>
          <w:color w:val="000000"/>
          <w:sz w:val="24"/>
          <w:szCs w:val="24"/>
          <w:lang w:eastAsia="en-ZA"/>
        </w:rPr>
        <w:tab/>
      </w:r>
      <w:r w:rsidR="00A93312">
        <w:rPr>
          <w:rFonts w:ascii="Arial" w:eastAsia="Arial" w:hAnsi="Arial" w:cs="Arial"/>
          <w:color w:val="000000"/>
          <w:sz w:val="24"/>
          <w:szCs w:val="24"/>
          <w:lang w:eastAsia="en-ZA"/>
        </w:rPr>
        <w:t xml:space="preserve">Counsel for the respondents supports the arbitrator’s dismissal of the appellants point </w:t>
      </w:r>
      <w:r w:rsidR="00A93312" w:rsidRPr="00EC1D53">
        <w:rPr>
          <w:rFonts w:ascii="Arial" w:eastAsia="Arial" w:hAnsi="Arial" w:cs="Arial"/>
          <w:i/>
          <w:color w:val="000000"/>
          <w:sz w:val="24"/>
          <w:szCs w:val="24"/>
          <w:lang w:eastAsia="en-ZA"/>
        </w:rPr>
        <w:t>in limine</w:t>
      </w:r>
      <w:r w:rsidR="00A93312">
        <w:rPr>
          <w:rFonts w:ascii="Arial" w:eastAsia="Arial" w:hAnsi="Arial" w:cs="Arial"/>
          <w:color w:val="000000"/>
          <w:sz w:val="24"/>
          <w:szCs w:val="24"/>
          <w:lang w:eastAsia="en-ZA"/>
        </w:rPr>
        <w:t xml:space="preserve"> when he held that the appellant</w:t>
      </w:r>
      <w:r w:rsidR="00B72BA6">
        <w:rPr>
          <w:rFonts w:ascii="Arial" w:eastAsia="Arial" w:hAnsi="Arial" w:cs="Arial"/>
          <w:color w:val="000000"/>
          <w:sz w:val="24"/>
          <w:szCs w:val="24"/>
          <w:lang w:eastAsia="en-ZA"/>
        </w:rPr>
        <w:t>s</w:t>
      </w:r>
      <w:r w:rsidR="00A93312">
        <w:rPr>
          <w:rFonts w:ascii="Arial" w:eastAsia="Arial" w:hAnsi="Arial" w:cs="Arial"/>
          <w:color w:val="000000"/>
          <w:sz w:val="24"/>
          <w:szCs w:val="24"/>
          <w:lang w:eastAsia="en-ZA"/>
        </w:rPr>
        <w:t xml:space="preserve"> had participated in the conciliation proceedings without raising objection of defective referral. In doing so, the arbitrator relied on a number judgments of this court starting off with </w:t>
      </w:r>
      <w:r w:rsidR="00A93312" w:rsidRPr="002243DC">
        <w:rPr>
          <w:rFonts w:ascii="Arial" w:eastAsia="Arial" w:hAnsi="Arial" w:cs="Arial"/>
          <w:i/>
          <w:color w:val="000000"/>
          <w:sz w:val="24"/>
          <w:szCs w:val="24"/>
          <w:lang w:eastAsia="en-ZA"/>
        </w:rPr>
        <w:t>Purity Manganese</w:t>
      </w:r>
      <w:r w:rsidR="00A93312">
        <w:rPr>
          <w:rFonts w:ascii="Arial" w:eastAsia="Arial" w:hAnsi="Arial" w:cs="Arial"/>
          <w:color w:val="000000"/>
          <w:sz w:val="24"/>
          <w:szCs w:val="24"/>
          <w:lang w:eastAsia="en-ZA"/>
        </w:rPr>
        <w:t xml:space="preserve"> v </w:t>
      </w:r>
      <w:r w:rsidR="00A93312" w:rsidRPr="005A4081">
        <w:rPr>
          <w:rFonts w:ascii="Arial" w:eastAsia="Arial" w:hAnsi="Arial" w:cs="Arial"/>
          <w:i/>
          <w:color w:val="000000"/>
          <w:sz w:val="24"/>
          <w:szCs w:val="24"/>
          <w:lang w:eastAsia="en-ZA"/>
        </w:rPr>
        <w:t>Katjivena</w:t>
      </w:r>
      <w:r w:rsidR="00A93312">
        <w:rPr>
          <w:rStyle w:val="FootnoteReference"/>
          <w:rFonts w:ascii="Arial" w:eastAsia="Arial" w:hAnsi="Arial" w:cs="Arial"/>
          <w:color w:val="000000"/>
          <w:sz w:val="24"/>
          <w:szCs w:val="24"/>
          <w:lang w:eastAsia="en-ZA"/>
        </w:rPr>
        <w:footnoteReference w:id="1"/>
      </w:r>
      <w:r w:rsidR="00A93312">
        <w:rPr>
          <w:rFonts w:ascii="Arial" w:eastAsia="Arial" w:hAnsi="Arial" w:cs="Arial"/>
          <w:color w:val="000000"/>
          <w:sz w:val="24"/>
          <w:szCs w:val="24"/>
          <w:lang w:eastAsia="en-ZA"/>
        </w:rPr>
        <w:t>.</w:t>
      </w:r>
    </w:p>
    <w:p w:rsidR="00492B09" w:rsidRDefault="00492B09"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[37]</w:t>
      </w:r>
      <w:r>
        <w:rPr>
          <w:rFonts w:ascii="Arial" w:eastAsia="Arial" w:hAnsi="Arial" w:cs="Arial"/>
          <w:color w:val="000000"/>
          <w:sz w:val="24"/>
          <w:szCs w:val="24"/>
          <w:lang w:eastAsia="en-ZA"/>
        </w:rPr>
        <w:tab/>
      </w:r>
      <w:r w:rsidR="00A93312">
        <w:rPr>
          <w:rFonts w:ascii="Arial" w:eastAsia="Arial" w:hAnsi="Arial" w:cs="Arial"/>
          <w:color w:val="000000"/>
          <w:sz w:val="24"/>
          <w:szCs w:val="24"/>
          <w:lang w:eastAsia="en-ZA"/>
        </w:rPr>
        <w:t xml:space="preserve">In the Purity Manganese matter, the applicant and the third respondent had participated in the </w:t>
      </w:r>
      <w:r w:rsidR="005B7D8F">
        <w:rPr>
          <w:rFonts w:ascii="Arial" w:eastAsia="Arial" w:hAnsi="Arial" w:cs="Arial"/>
          <w:color w:val="000000"/>
          <w:sz w:val="24"/>
          <w:szCs w:val="24"/>
          <w:lang w:eastAsia="en-ZA"/>
        </w:rPr>
        <w:t xml:space="preserve">conciliation proceedings. </w:t>
      </w:r>
      <w:r w:rsidR="00A93312">
        <w:rPr>
          <w:rFonts w:ascii="Arial" w:eastAsia="Arial" w:hAnsi="Arial" w:cs="Arial"/>
          <w:color w:val="000000"/>
          <w:sz w:val="24"/>
          <w:szCs w:val="24"/>
          <w:lang w:eastAsia="en-ZA"/>
        </w:rPr>
        <w:t xml:space="preserve">The third respondent had failed to sign the referral form, but the applicant did not take a point during the conciliation proceedings that the referral form had not been signed. After the conciliation had failed and the arbitration proceeding had commenced, the applicant raised the point of defective referral. This is exactly what happened </w:t>
      </w:r>
      <w:r w:rsidR="00A93312" w:rsidRPr="009E5323">
        <w:rPr>
          <w:rFonts w:ascii="Arial" w:eastAsia="Arial" w:hAnsi="Arial" w:cs="Arial"/>
          <w:i/>
          <w:color w:val="000000"/>
          <w:sz w:val="24"/>
          <w:szCs w:val="24"/>
          <w:lang w:eastAsia="en-ZA"/>
        </w:rPr>
        <w:t xml:space="preserve">in </w:t>
      </w:r>
      <w:r w:rsidR="00A93312" w:rsidRPr="00650854">
        <w:rPr>
          <w:rFonts w:ascii="Arial" w:eastAsia="Arial" w:hAnsi="Arial" w:cs="Arial"/>
          <w:i/>
          <w:color w:val="000000"/>
          <w:sz w:val="24"/>
          <w:szCs w:val="24"/>
          <w:lang w:eastAsia="en-ZA"/>
        </w:rPr>
        <w:t>casu</w:t>
      </w:r>
      <w:r w:rsidR="00A93312">
        <w:rPr>
          <w:rFonts w:ascii="Arial" w:eastAsia="Arial" w:hAnsi="Arial" w:cs="Arial"/>
          <w:color w:val="000000"/>
          <w:sz w:val="24"/>
          <w:szCs w:val="24"/>
          <w:lang w:eastAsia="en-ZA"/>
        </w:rPr>
        <w:t xml:space="preserve">. In that matter, the court held that once parties have participated in the proceedings that are the consequence of the submission and delivery of a referral form, then it would not be open to the other protagonist to take the point of defective referral because the question of authority would then not arise. The arbitrator also referred to the matter of </w:t>
      </w:r>
      <w:r w:rsidR="00A93312" w:rsidRPr="003215D3">
        <w:rPr>
          <w:rFonts w:ascii="Arial" w:eastAsia="Arial" w:hAnsi="Arial" w:cs="Arial"/>
          <w:i/>
          <w:color w:val="000000"/>
          <w:sz w:val="24"/>
          <w:szCs w:val="24"/>
          <w:lang w:eastAsia="en-ZA"/>
        </w:rPr>
        <w:t>Auto Exec CC v Johan van Wyk</w:t>
      </w:r>
      <w:r w:rsidR="00A93312" w:rsidRPr="003215D3">
        <w:rPr>
          <w:rStyle w:val="FootnoteReference"/>
          <w:rFonts w:ascii="Arial" w:eastAsia="Arial" w:hAnsi="Arial" w:cs="Arial"/>
          <w:color w:val="000000"/>
          <w:sz w:val="24"/>
          <w:szCs w:val="24"/>
          <w:lang w:eastAsia="en-ZA"/>
        </w:rPr>
        <w:footnoteReference w:id="2"/>
      </w:r>
      <w:r w:rsidR="005B7D8F">
        <w:rPr>
          <w:rFonts w:ascii="Arial" w:eastAsia="Arial" w:hAnsi="Arial" w:cs="Arial"/>
          <w:color w:val="000000"/>
          <w:sz w:val="24"/>
          <w:szCs w:val="24"/>
          <w:lang w:eastAsia="en-ZA"/>
        </w:rPr>
        <w:t xml:space="preserve">. </w:t>
      </w:r>
      <w:r w:rsidR="00A93312" w:rsidRPr="003215D3">
        <w:rPr>
          <w:rFonts w:ascii="Arial" w:eastAsia="Arial" w:hAnsi="Arial" w:cs="Arial"/>
          <w:color w:val="000000"/>
          <w:sz w:val="24"/>
          <w:szCs w:val="24"/>
          <w:lang w:eastAsia="en-ZA"/>
        </w:rPr>
        <w:t xml:space="preserve">In that </w:t>
      </w:r>
      <w:r w:rsidR="00A93312">
        <w:rPr>
          <w:rFonts w:ascii="Arial" w:eastAsia="Arial" w:hAnsi="Arial" w:cs="Arial"/>
          <w:color w:val="000000"/>
          <w:sz w:val="24"/>
          <w:szCs w:val="24"/>
          <w:lang w:eastAsia="en-ZA"/>
        </w:rPr>
        <w:t xml:space="preserve">matter, the applicant applied to review and set aside the award on the ground that the referral form (LC 21) had not been signed by the referring party. The court followed the </w:t>
      </w:r>
      <w:r w:rsidR="00A93312" w:rsidRPr="00EC1D53">
        <w:rPr>
          <w:rFonts w:ascii="Arial" w:eastAsia="Arial" w:hAnsi="Arial" w:cs="Arial"/>
          <w:i/>
          <w:color w:val="000000"/>
          <w:sz w:val="24"/>
          <w:szCs w:val="24"/>
          <w:lang w:eastAsia="en-ZA"/>
        </w:rPr>
        <w:t>Purity Manganese</w:t>
      </w:r>
      <w:r w:rsidR="00A93312">
        <w:rPr>
          <w:rFonts w:ascii="Arial" w:eastAsia="Arial" w:hAnsi="Arial" w:cs="Arial"/>
          <w:color w:val="000000"/>
          <w:sz w:val="24"/>
          <w:szCs w:val="24"/>
          <w:lang w:eastAsia="en-ZA"/>
        </w:rPr>
        <w:t xml:space="preserve"> judgment holding that the rule giver had not intended that proceedings would result in nullity where the referral form had not been signed and where the parties had participated in the proceedings. The participation amounted to a ratification </w:t>
      </w:r>
      <w:r w:rsidR="005B7D8F">
        <w:rPr>
          <w:rFonts w:ascii="Arial" w:eastAsia="Arial" w:hAnsi="Arial" w:cs="Arial"/>
          <w:color w:val="000000"/>
          <w:sz w:val="24"/>
          <w:szCs w:val="24"/>
          <w:lang w:eastAsia="en-ZA"/>
        </w:rPr>
        <w:t xml:space="preserve">of the unsigned referral form. </w:t>
      </w:r>
      <w:r w:rsidR="00A93312">
        <w:rPr>
          <w:rFonts w:ascii="Arial" w:eastAsia="Arial" w:hAnsi="Arial" w:cs="Arial"/>
          <w:color w:val="000000"/>
          <w:sz w:val="24"/>
          <w:szCs w:val="24"/>
          <w:lang w:eastAsia="en-ZA"/>
        </w:rPr>
        <w:t xml:space="preserve">Finally, the arbitrator also referred to the matter of </w:t>
      </w:r>
      <w:r w:rsidR="00A93312" w:rsidRPr="007648AD">
        <w:rPr>
          <w:rFonts w:ascii="Arial" w:eastAsia="Arial" w:hAnsi="Arial" w:cs="Arial"/>
          <w:i/>
          <w:color w:val="000000"/>
          <w:sz w:val="24"/>
          <w:szCs w:val="24"/>
          <w:lang w:eastAsia="en-ZA"/>
        </w:rPr>
        <w:t>Katjotjo v Ministry of Home Affairs</w:t>
      </w:r>
      <w:r w:rsidR="00A93312">
        <w:rPr>
          <w:rStyle w:val="FootnoteReference"/>
          <w:rFonts w:ascii="Arial" w:eastAsia="Arial" w:hAnsi="Arial" w:cs="Arial"/>
          <w:i/>
          <w:color w:val="000000"/>
          <w:sz w:val="24"/>
          <w:szCs w:val="24"/>
          <w:lang w:eastAsia="en-ZA"/>
        </w:rPr>
        <w:footnoteReference w:id="3"/>
      </w:r>
      <w:r w:rsidR="00A93312" w:rsidRPr="007648AD">
        <w:rPr>
          <w:rFonts w:ascii="Arial" w:eastAsia="Arial" w:hAnsi="Arial" w:cs="Arial"/>
          <w:i/>
          <w:color w:val="000000"/>
          <w:sz w:val="24"/>
          <w:szCs w:val="24"/>
          <w:lang w:eastAsia="en-ZA"/>
        </w:rPr>
        <w:t>.</w:t>
      </w:r>
      <w:r w:rsidR="00A93312">
        <w:rPr>
          <w:rFonts w:ascii="Arial" w:eastAsia="Arial" w:hAnsi="Arial" w:cs="Arial"/>
          <w:color w:val="000000"/>
          <w:sz w:val="24"/>
          <w:szCs w:val="24"/>
          <w:lang w:eastAsia="en-ZA"/>
        </w:rPr>
        <w:t xml:space="preserve"> In that matter the respondent took the point that the referral form LC 21 had not been signed by the appellant</w:t>
      </w:r>
      <w:r w:rsidR="00B72BA6">
        <w:rPr>
          <w:rFonts w:ascii="Arial" w:eastAsia="Arial" w:hAnsi="Arial" w:cs="Arial"/>
          <w:color w:val="000000"/>
          <w:sz w:val="24"/>
          <w:szCs w:val="24"/>
          <w:lang w:eastAsia="en-ZA"/>
        </w:rPr>
        <w:t>s</w:t>
      </w:r>
      <w:r w:rsidR="00A93312">
        <w:rPr>
          <w:rFonts w:ascii="Arial" w:eastAsia="Arial" w:hAnsi="Arial" w:cs="Arial"/>
          <w:color w:val="000000"/>
          <w:sz w:val="24"/>
          <w:szCs w:val="24"/>
          <w:lang w:eastAsia="en-ZA"/>
        </w:rPr>
        <w:t xml:space="preserve"> herself but had been signed by a Union representative. As a result, there was no referral because the dispute had not been properly referred resulting in nullity. The court held that the Union representative was entitled to sign the referral form on behalf of the appellant</w:t>
      </w:r>
      <w:r w:rsidR="00B72BA6">
        <w:rPr>
          <w:rFonts w:ascii="Arial" w:eastAsia="Arial" w:hAnsi="Arial" w:cs="Arial"/>
          <w:color w:val="000000"/>
          <w:sz w:val="24"/>
          <w:szCs w:val="24"/>
          <w:lang w:eastAsia="en-ZA"/>
        </w:rPr>
        <w:t>s</w:t>
      </w:r>
      <w:r w:rsidR="00A93312">
        <w:rPr>
          <w:rFonts w:ascii="Arial" w:eastAsia="Arial" w:hAnsi="Arial" w:cs="Arial"/>
          <w:color w:val="000000"/>
          <w:sz w:val="24"/>
          <w:szCs w:val="24"/>
          <w:lang w:eastAsia="en-ZA"/>
        </w:rPr>
        <w:t xml:space="preserve">. Referring to the respondents’ approach to the matter, the court remarked at paragraph 33 of the judgment as follows: </w:t>
      </w:r>
      <w:r w:rsidR="005B7D8F">
        <w:rPr>
          <w:rFonts w:ascii="Arial" w:eastAsia="Arial" w:hAnsi="Arial" w:cs="Arial"/>
          <w:color w:val="000000"/>
          <w:sz w:val="24"/>
          <w:szCs w:val="24"/>
          <w:lang w:eastAsia="en-ZA"/>
        </w:rPr>
        <w:t>‘</w:t>
      </w:r>
      <w:r w:rsidR="00A93312" w:rsidRPr="009E5323">
        <w:rPr>
          <w:rFonts w:ascii="Arial" w:eastAsia="Arial" w:hAnsi="Arial" w:cs="Arial"/>
          <w:i/>
          <w:color w:val="000000"/>
          <w:sz w:val="24"/>
          <w:szCs w:val="24"/>
          <w:lang w:eastAsia="en-ZA"/>
        </w:rPr>
        <w:t>Conciliation proceedings were also proceeded with.</w:t>
      </w:r>
      <w:r w:rsidR="00A93312">
        <w:rPr>
          <w:rFonts w:ascii="Arial" w:eastAsia="Arial" w:hAnsi="Arial" w:cs="Arial"/>
          <w:color w:val="000000"/>
          <w:sz w:val="24"/>
          <w:szCs w:val="24"/>
          <w:lang w:eastAsia="en-ZA"/>
        </w:rPr>
        <w:t xml:space="preserve"> </w:t>
      </w:r>
      <w:r w:rsidR="00A93312" w:rsidRPr="007648AD">
        <w:rPr>
          <w:rFonts w:ascii="Arial" w:eastAsia="Arial" w:hAnsi="Arial" w:cs="Arial"/>
          <w:i/>
          <w:color w:val="000000"/>
          <w:sz w:val="24"/>
          <w:szCs w:val="24"/>
          <w:lang w:eastAsia="en-ZA"/>
        </w:rPr>
        <w:t>Respondents had ample opportunity to raise this point at the outset, and if am wrong in my interpretation of the Rules and the Act on this point, I find that the respondents’ participation in the earlier proceedings vitiated any irregularity, following the reasoning in Purity Manganese</w:t>
      </w:r>
      <w:r w:rsidR="005B7D8F">
        <w:rPr>
          <w:rFonts w:ascii="Arial" w:eastAsia="Arial" w:hAnsi="Arial" w:cs="Arial"/>
          <w:i/>
          <w:color w:val="000000"/>
          <w:sz w:val="24"/>
          <w:szCs w:val="24"/>
          <w:lang w:eastAsia="en-ZA"/>
        </w:rPr>
        <w:t>.’</w:t>
      </w:r>
      <w:r w:rsidR="00A93312">
        <w:rPr>
          <w:rFonts w:ascii="Arial" w:eastAsia="Arial" w:hAnsi="Arial" w:cs="Arial"/>
          <w:color w:val="000000"/>
          <w:sz w:val="24"/>
          <w:szCs w:val="24"/>
          <w:lang w:eastAsia="en-ZA"/>
        </w:rPr>
        <w:t xml:space="preserve"> The court accordingly held that any non-compliance would not have vitiated the proceedings in the circumstances of that case.</w:t>
      </w:r>
    </w:p>
    <w:p w:rsidR="00492B09" w:rsidRDefault="00492B09"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[38]</w:t>
      </w:r>
      <w:r>
        <w:rPr>
          <w:rFonts w:ascii="Arial" w:eastAsia="Arial" w:hAnsi="Arial" w:cs="Arial"/>
          <w:color w:val="000000"/>
          <w:sz w:val="24"/>
          <w:szCs w:val="24"/>
          <w:lang w:eastAsia="en-ZA"/>
        </w:rPr>
        <w:tab/>
      </w:r>
      <w:r w:rsidR="005B7D8F">
        <w:rPr>
          <w:rFonts w:ascii="Arial" w:eastAsia="Arial" w:hAnsi="Arial" w:cs="Arial"/>
          <w:color w:val="000000"/>
          <w:sz w:val="24"/>
          <w:szCs w:val="24"/>
          <w:lang w:eastAsia="en-ZA"/>
        </w:rPr>
        <w:t xml:space="preserve">In the face of the authorities cited above the appellants persist in their stance that the appropriate stage to raise the </w:t>
      </w:r>
      <w:r w:rsidR="005B7D8F" w:rsidRPr="009E5323">
        <w:rPr>
          <w:rFonts w:ascii="Arial" w:eastAsia="Arial" w:hAnsi="Arial" w:cs="Arial"/>
          <w:color w:val="000000"/>
          <w:sz w:val="24"/>
          <w:szCs w:val="24"/>
          <w:lang w:eastAsia="en-ZA"/>
        </w:rPr>
        <w:t>point</w:t>
      </w:r>
      <w:r w:rsidR="005B7D8F" w:rsidRPr="00BC185F">
        <w:rPr>
          <w:rFonts w:ascii="Arial" w:eastAsia="Arial" w:hAnsi="Arial" w:cs="Arial"/>
          <w:i/>
          <w:color w:val="000000"/>
          <w:sz w:val="24"/>
          <w:szCs w:val="24"/>
          <w:lang w:eastAsia="en-ZA"/>
        </w:rPr>
        <w:t xml:space="preserve"> in limine</w:t>
      </w:r>
      <w:r w:rsidR="005B7D8F">
        <w:rPr>
          <w:rFonts w:ascii="Arial" w:eastAsia="Arial" w:hAnsi="Arial" w:cs="Arial"/>
          <w:color w:val="000000"/>
          <w:sz w:val="24"/>
          <w:szCs w:val="24"/>
          <w:lang w:eastAsia="en-ZA"/>
        </w:rPr>
        <w:t xml:space="preserve"> regarding defective referral was at the arbitration stage and not earlier at the conciliation stage. Counsel for the appellants points out that what happened in this matter is distinguishable from what had happened in the matter </w:t>
      </w:r>
      <w:r w:rsidR="005B7D8F" w:rsidRPr="009F67CD">
        <w:rPr>
          <w:rFonts w:ascii="Arial" w:eastAsia="Arial" w:hAnsi="Arial" w:cs="Arial"/>
          <w:i/>
          <w:color w:val="000000"/>
          <w:sz w:val="24"/>
          <w:szCs w:val="24"/>
          <w:lang w:eastAsia="en-ZA"/>
        </w:rPr>
        <w:t xml:space="preserve">of Methealth Namibia Administrators (Pty) Ltd vs </w:t>
      </w:r>
      <w:r w:rsidR="005B7D8F" w:rsidRPr="00EC1D53">
        <w:rPr>
          <w:rFonts w:ascii="Arial" w:eastAsia="Arial" w:hAnsi="Arial" w:cs="Arial"/>
          <w:i/>
          <w:color w:val="000000"/>
          <w:sz w:val="24"/>
          <w:szCs w:val="24"/>
          <w:lang w:eastAsia="en-ZA"/>
        </w:rPr>
        <w:t>Matuzee</w:t>
      </w:r>
      <w:r w:rsidR="005B7D8F" w:rsidRPr="00EC1D53">
        <w:rPr>
          <w:rStyle w:val="FootnoteReference"/>
          <w:rFonts w:ascii="Arial" w:eastAsia="Arial" w:hAnsi="Arial" w:cs="Arial"/>
          <w:color w:val="000000"/>
          <w:sz w:val="24"/>
          <w:szCs w:val="24"/>
          <w:lang w:eastAsia="en-ZA"/>
        </w:rPr>
        <w:footnoteReference w:id="4"/>
      </w:r>
      <w:r w:rsidR="005B7D8F">
        <w:rPr>
          <w:rFonts w:ascii="Arial" w:eastAsia="Arial" w:hAnsi="Arial" w:cs="Arial"/>
          <w:color w:val="000000"/>
          <w:sz w:val="24"/>
          <w:szCs w:val="24"/>
          <w:lang w:eastAsia="en-ZA"/>
        </w:rPr>
        <w:t xml:space="preserve">. In that matter, the </w:t>
      </w:r>
      <w:r w:rsidR="005B7D8F" w:rsidRPr="002A79A5">
        <w:rPr>
          <w:rFonts w:ascii="Arial" w:eastAsia="Arial" w:hAnsi="Arial" w:cs="Arial"/>
          <w:color w:val="000000"/>
          <w:sz w:val="24"/>
          <w:szCs w:val="24"/>
          <w:lang w:eastAsia="en-ZA"/>
        </w:rPr>
        <w:t>point</w:t>
      </w:r>
      <w:r w:rsidR="005B7D8F" w:rsidRPr="003140AB">
        <w:rPr>
          <w:rFonts w:ascii="Arial" w:eastAsia="Arial" w:hAnsi="Arial" w:cs="Arial"/>
          <w:i/>
          <w:color w:val="000000"/>
          <w:sz w:val="24"/>
          <w:szCs w:val="24"/>
          <w:lang w:eastAsia="en-ZA"/>
        </w:rPr>
        <w:t xml:space="preserve"> in limine</w:t>
      </w:r>
      <w:r w:rsidR="005B7D8F">
        <w:rPr>
          <w:rFonts w:ascii="Arial" w:eastAsia="Arial" w:hAnsi="Arial" w:cs="Arial"/>
          <w:color w:val="000000"/>
          <w:sz w:val="24"/>
          <w:szCs w:val="24"/>
          <w:lang w:eastAsia="en-ZA"/>
        </w:rPr>
        <w:t xml:space="preserve"> relating to the respondents failure to have signed the referral form or to attach statements as contemplated by Rule 5(3) was not raised at the conciliation proceedings but was only raised at the arbitration proceedings after the evidence had already been led. By contrast, in the present matter, the applicant had ‘indicated’ during the conciliation proceedings that the point would be raised at the commencement of the arbitration proceedings and it was indeed so raised. Counsel further points out that both in the matters of </w:t>
      </w:r>
      <w:r w:rsidR="005B7D8F" w:rsidRPr="00F663DD">
        <w:rPr>
          <w:rFonts w:ascii="Arial" w:eastAsia="Arial" w:hAnsi="Arial" w:cs="Arial"/>
          <w:i/>
          <w:color w:val="000000"/>
          <w:sz w:val="24"/>
          <w:szCs w:val="24"/>
          <w:lang w:eastAsia="en-ZA"/>
        </w:rPr>
        <w:t>Waterberg Wilderness Lodge v Uses and Others</w:t>
      </w:r>
      <w:r w:rsidR="005B7D8F">
        <w:rPr>
          <w:rStyle w:val="FootnoteReference"/>
          <w:rFonts w:ascii="Arial" w:eastAsia="Arial" w:hAnsi="Arial" w:cs="Arial"/>
          <w:color w:val="000000"/>
          <w:sz w:val="24"/>
          <w:szCs w:val="24"/>
          <w:lang w:eastAsia="en-ZA"/>
        </w:rPr>
        <w:footnoteReference w:id="5"/>
      </w:r>
      <w:r w:rsidR="005B7D8F">
        <w:rPr>
          <w:rFonts w:ascii="Arial" w:eastAsia="Arial" w:hAnsi="Arial" w:cs="Arial"/>
          <w:color w:val="000000"/>
          <w:sz w:val="24"/>
          <w:szCs w:val="24"/>
          <w:lang w:eastAsia="en-ZA"/>
        </w:rPr>
        <w:t xml:space="preserve"> and </w:t>
      </w:r>
      <w:r w:rsidR="005B7D8F" w:rsidRPr="00EC1D53">
        <w:rPr>
          <w:rFonts w:ascii="Arial" w:eastAsia="Arial" w:hAnsi="Arial" w:cs="Arial"/>
          <w:i/>
          <w:color w:val="000000"/>
          <w:sz w:val="24"/>
          <w:szCs w:val="24"/>
          <w:lang w:eastAsia="en-ZA"/>
        </w:rPr>
        <w:t>Agribank v Simana &amp; Another</w:t>
      </w:r>
      <w:r w:rsidR="005B7D8F" w:rsidRPr="00EC1D53">
        <w:rPr>
          <w:rStyle w:val="FootnoteReference"/>
          <w:rFonts w:ascii="Arial" w:eastAsia="Arial" w:hAnsi="Arial" w:cs="Arial"/>
          <w:i/>
          <w:color w:val="000000"/>
          <w:sz w:val="24"/>
          <w:szCs w:val="24"/>
          <w:lang w:eastAsia="en-ZA"/>
        </w:rPr>
        <w:footnoteReference w:id="6"/>
      </w:r>
      <w:r w:rsidR="005B7D8F">
        <w:rPr>
          <w:rFonts w:ascii="Arial" w:eastAsia="Arial" w:hAnsi="Arial" w:cs="Arial"/>
          <w:i/>
          <w:color w:val="000000"/>
          <w:sz w:val="24"/>
          <w:szCs w:val="24"/>
          <w:lang w:eastAsia="en-ZA"/>
        </w:rPr>
        <w:t>,</w:t>
      </w:r>
      <w:r w:rsidR="005B7D8F">
        <w:rPr>
          <w:rFonts w:ascii="Arial" w:eastAsia="Arial" w:hAnsi="Arial" w:cs="Arial"/>
          <w:color w:val="000000"/>
          <w:sz w:val="24"/>
          <w:szCs w:val="24"/>
          <w:lang w:eastAsia="en-ZA"/>
        </w:rPr>
        <w:t xml:space="preserve"> the point was raised on appeal and not during the preceding proceedings and was upheld.</w:t>
      </w:r>
    </w:p>
    <w:p w:rsidR="00492B09" w:rsidRDefault="00492B09"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[39]</w:t>
      </w:r>
      <w:r>
        <w:rPr>
          <w:rFonts w:ascii="Arial" w:eastAsia="Arial" w:hAnsi="Arial" w:cs="Arial"/>
          <w:color w:val="000000"/>
          <w:sz w:val="24"/>
          <w:szCs w:val="24"/>
          <w:lang w:eastAsia="en-ZA"/>
        </w:rPr>
        <w:tab/>
      </w:r>
      <w:r w:rsidR="005B7D8F">
        <w:rPr>
          <w:rFonts w:ascii="Arial" w:eastAsia="Arial" w:hAnsi="Arial" w:cs="Arial"/>
          <w:color w:val="000000"/>
          <w:sz w:val="24"/>
          <w:szCs w:val="24"/>
          <w:lang w:eastAsia="en-ZA"/>
        </w:rPr>
        <w:t xml:space="preserve">First of all my reading of the </w:t>
      </w:r>
      <w:r w:rsidR="005B7D8F" w:rsidRPr="00F663DD">
        <w:rPr>
          <w:rFonts w:ascii="Arial" w:eastAsia="Arial" w:hAnsi="Arial" w:cs="Arial"/>
          <w:i/>
          <w:color w:val="000000"/>
          <w:sz w:val="24"/>
          <w:szCs w:val="24"/>
          <w:lang w:eastAsia="en-ZA"/>
        </w:rPr>
        <w:t>Agribank</w:t>
      </w:r>
      <w:r w:rsidR="005B7D8F">
        <w:rPr>
          <w:rFonts w:ascii="Arial" w:eastAsia="Arial" w:hAnsi="Arial" w:cs="Arial"/>
          <w:i/>
          <w:color w:val="000000"/>
          <w:sz w:val="24"/>
          <w:szCs w:val="24"/>
          <w:lang w:eastAsia="en-ZA"/>
        </w:rPr>
        <w:t xml:space="preserve"> </w:t>
      </w:r>
      <w:r w:rsidR="005B7D8F" w:rsidRPr="009E5323">
        <w:rPr>
          <w:rFonts w:ascii="Arial" w:eastAsia="Arial" w:hAnsi="Arial" w:cs="Arial"/>
          <w:color w:val="000000"/>
          <w:sz w:val="24"/>
          <w:szCs w:val="24"/>
          <w:lang w:eastAsia="en-ZA"/>
        </w:rPr>
        <w:t>(</w:t>
      </w:r>
      <w:r w:rsidR="005B7D8F">
        <w:rPr>
          <w:rFonts w:ascii="Arial" w:eastAsia="Arial" w:hAnsi="Arial" w:cs="Arial"/>
          <w:i/>
          <w:color w:val="000000"/>
          <w:sz w:val="24"/>
          <w:szCs w:val="24"/>
          <w:lang w:eastAsia="en-ZA"/>
        </w:rPr>
        <w:t>supra</w:t>
      </w:r>
      <w:r w:rsidR="005B7D8F" w:rsidRPr="009E5323">
        <w:rPr>
          <w:rFonts w:ascii="Arial" w:eastAsia="Arial" w:hAnsi="Arial" w:cs="Arial"/>
          <w:color w:val="000000"/>
          <w:sz w:val="24"/>
          <w:szCs w:val="24"/>
          <w:lang w:eastAsia="en-ZA"/>
        </w:rPr>
        <w:t>)</w:t>
      </w:r>
      <w:r w:rsidR="005B7D8F" w:rsidRPr="00F663DD">
        <w:rPr>
          <w:rFonts w:ascii="Arial" w:eastAsia="Arial" w:hAnsi="Arial" w:cs="Arial"/>
          <w:i/>
          <w:color w:val="000000"/>
          <w:sz w:val="24"/>
          <w:szCs w:val="24"/>
          <w:lang w:eastAsia="en-ZA"/>
        </w:rPr>
        <w:t xml:space="preserve"> </w:t>
      </w:r>
      <w:r w:rsidR="005B7D8F">
        <w:rPr>
          <w:rFonts w:ascii="Arial" w:eastAsia="Arial" w:hAnsi="Arial" w:cs="Arial"/>
          <w:color w:val="000000"/>
          <w:sz w:val="24"/>
          <w:szCs w:val="24"/>
          <w:lang w:eastAsia="en-ZA"/>
        </w:rPr>
        <w:t xml:space="preserve">matter does not show that the point was upheld by the Supreme Court. The court held at para 21 of the judgment that the point taken by </w:t>
      </w:r>
      <w:r w:rsidR="005B7D8F" w:rsidRPr="00F663DD">
        <w:rPr>
          <w:rFonts w:ascii="Arial" w:eastAsia="Arial" w:hAnsi="Arial" w:cs="Arial"/>
          <w:i/>
          <w:color w:val="000000"/>
          <w:sz w:val="24"/>
          <w:szCs w:val="24"/>
          <w:lang w:eastAsia="en-ZA"/>
        </w:rPr>
        <w:t>Agribank</w:t>
      </w:r>
      <w:r w:rsidR="005B7D8F">
        <w:rPr>
          <w:rFonts w:ascii="Arial" w:eastAsia="Arial" w:hAnsi="Arial" w:cs="Arial"/>
          <w:color w:val="000000"/>
          <w:sz w:val="24"/>
          <w:szCs w:val="24"/>
          <w:lang w:eastAsia="en-ZA"/>
        </w:rPr>
        <w:t xml:space="preserve"> </w:t>
      </w:r>
      <w:r w:rsidR="005B7D8F" w:rsidRPr="00F663DD">
        <w:rPr>
          <w:rFonts w:ascii="Arial" w:eastAsia="Arial" w:hAnsi="Arial" w:cs="Arial"/>
          <w:i/>
          <w:color w:val="000000"/>
          <w:sz w:val="24"/>
          <w:szCs w:val="24"/>
          <w:lang w:eastAsia="en-ZA"/>
        </w:rPr>
        <w:t>(supra</w:t>
      </w:r>
      <w:r w:rsidR="005B7D8F">
        <w:rPr>
          <w:rFonts w:ascii="Arial" w:eastAsia="Arial" w:hAnsi="Arial" w:cs="Arial"/>
          <w:color w:val="000000"/>
          <w:sz w:val="24"/>
          <w:szCs w:val="24"/>
          <w:lang w:eastAsia="en-ZA"/>
        </w:rPr>
        <w:t xml:space="preserve">) was bad and should have been disallowed by the court </w:t>
      </w:r>
      <w:r w:rsidR="005B7D8F" w:rsidRPr="00980F3D">
        <w:rPr>
          <w:rFonts w:ascii="Arial" w:eastAsia="Arial" w:hAnsi="Arial" w:cs="Arial"/>
          <w:i/>
          <w:color w:val="000000"/>
          <w:sz w:val="24"/>
          <w:szCs w:val="24"/>
          <w:lang w:eastAsia="en-ZA"/>
        </w:rPr>
        <w:t>a quo</w:t>
      </w:r>
      <w:r w:rsidR="005B7D8F">
        <w:rPr>
          <w:rFonts w:ascii="Arial" w:eastAsia="Arial" w:hAnsi="Arial" w:cs="Arial"/>
          <w:color w:val="000000"/>
          <w:sz w:val="24"/>
          <w:szCs w:val="24"/>
          <w:lang w:eastAsia="en-ZA"/>
        </w:rPr>
        <w:t xml:space="preserve">. Earlier in the course of the judgment at paragraph 18, the court observed that there was no issue raised in </w:t>
      </w:r>
      <w:r w:rsidR="005B7D8F" w:rsidRPr="00F663DD">
        <w:rPr>
          <w:rFonts w:ascii="Arial" w:eastAsia="Arial" w:hAnsi="Arial" w:cs="Arial"/>
          <w:i/>
          <w:color w:val="000000"/>
          <w:sz w:val="24"/>
          <w:szCs w:val="24"/>
          <w:lang w:eastAsia="en-ZA"/>
        </w:rPr>
        <w:t>AgriBank</w:t>
      </w:r>
      <w:r w:rsidR="005B7D8F">
        <w:rPr>
          <w:rFonts w:ascii="Arial" w:eastAsia="Arial" w:hAnsi="Arial" w:cs="Arial"/>
          <w:color w:val="000000"/>
          <w:sz w:val="24"/>
          <w:szCs w:val="24"/>
          <w:lang w:eastAsia="en-ZA"/>
        </w:rPr>
        <w:t xml:space="preserve"> either before or during the arbitration about the non-compliance with Rule 5(1). The court further held that the arbitrator had assumed jurisdiction, heard the parties and determined the matter, and that even if one accepts that there was non-compliance, there clearly was no prejudice suffered by </w:t>
      </w:r>
      <w:r w:rsidR="005B7D8F" w:rsidRPr="00F663DD">
        <w:rPr>
          <w:rFonts w:ascii="Arial" w:eastAsia="Arial" w:hAnsi="Arial" w:cs="Arial"/>
          <w:i/>
          <w:color w:val="000000"/>
          <w:sz w:val="24"/>
          <w:szCs w:val="24"/>
          <w:lang w:eastAsia="en-ZA"/>
        </w:rPr>
        <w:t>AgriBank</w:t>
      </w:r>
      <w:r w:rsidR="005B7D8F">
        <w:rPr>
          <w:rFonts w:ascii="Arial" w:eastAsia="Arial" w:hAnsi="Arial" w:cs="Arial"/>
          <w:color w:val="000000"/>
          <w:sz w:val="24"/>
          <w:szCs w:val="24"/>
          <w:lang w:eastAsia="en-ZA"/>
        </w:rPr>
        <w:t xml:space="preserve">. Moreover, the court noted that that the issue would only arise if the rule maker intended non-compliance to be visited with nullity, thus confirming the court’s ruling in the </w:t>
      </w:r>
      <w:r w:rsidR="005B7D8F" w:rsidRPr="00980F3D">
        <w:rPr>
          <w:rFonts w:ascii="Arial" w:eastAsia="Arial" w:hAnsi="Arial" w:cs="Arial"/>
          <w:i/>
          <w:color w:val="000000"/>
          <w:sz w:val="24"/>
          <w:szCs w:val="24"/>
          <w:lang w:eastAsia="en-ZA"/>
        </w:rPr>
        <w:t>Auto Exec CC</w:t>
      </w:r>
      <w:r w:rsidR="005B7D8F">
        <w:rPr>
          <w:rFonts w:ascii="Arial" w:eastAsia="Arial" w:hAnsi="Arial" w:cs="Arial"/>
          <w:color w:val="000000"/>
          <w:sz w:val="24"/>
          <w:szCs w:val="24"/>
          <w:lang w:eastAsia="en-ZA"/>
        </w:rPr>
        <w:t xml:space="preserve"> matter.</w:t>
      </w:r>
    </w:p>
    <w:p w:rsidR="00492B09" w:rsidRDefault="00492B09" w:rsidP="00B76CA7">
      <w:pPr>
        <w:spacing w:after="0" w:line="360" w:lineRule="auto"/>
        <w:jc w:val="both"/>
        <w:rPr>
          <w:rFonts w:ascii="Arial" w:eastAsia="Arial" w:hAnsi="Arial" w:cs="Arial"/>
          <w:color w:val="000000"/>
          <w:sz w:val="24"/>
          <w:szCs w:val="24"/>
          <w:lang w:eastAsia="en-ZA"/>
        </w:rPr>
      </w:pPr>
    </w:p>
    <w:p w:rsidR="00492B09" w:rsidRDefault="00492B0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[40]</w:t>
      </w:r>
      <w:r>
        <w:rPr>
          <w:rFonts w:ascii="Arial" w:eastAsia="Arial" w:hAnsi="Arial" w:cs="Arial"/>
          <w:color w:val="000000"/>
          <w:sz w:val="24"/>
          <w:szCs w:val="24"/>
          <w:lang w:eastAsia="en-ZA"/>
        </w:rPr>
        <w:tab/>
      </w:r>
      <w:r w:rsidR="00340EBF">
        <w:rPr>
          <w:rFonts w:ascii="Arial" w:eastAsia="Arial" w:hAnsi="Arial" w:cs="Arial"/>
          <w:color w:val="000000"/>
          <w:sz w:val="24"/>
          <w:szCs w:val="24"/>
          <w:lang w:eastAsia="en-ZA"/>
        </w:rPr>
        <w:t xml:space="preserve">In respect of the matter of </w:t>
      </w:r>
      <w:r w:rsidR="00340EBF" w:rsidRPr="00F663DD">
        <w:rPr>
          <w:rFonts w:ascii="Arial" w:eastAsia="Arial" w:hAnsi="Arial" w:cs="Arial"/>
          <w:i/>
          <w:color w:val="000000"/>
          <w:sz w:val="24"/>
          <w:szCs w:val="24"/>
          <w:lang w:eastAsia="en-ZA"/>
        </w:rPr>
        <w:t>Waterberg Wilderness Lodge</w:t>
      </w:r>
      <w:r w:rsidR="00340EBF">
        <w:rPr>
          <w:rFonts w:ascii="Arial" w:eastAsia="Arial" w:hAnsi="Arial" w:cs="Arial"/>
          <w:color w:val="000000"/>
          <w:sz w:val="24"/>
          <w:szCs w:val="24"/>
          <w:lang w:eastAsia="en-ZA"/>
        </w:rPr>
        <w:t xml:space="preserve"> (</w:t>
      </w:r>
      <w:r w:rsidR="00340EBF" w:rsidRPr="00F663DD">
        <w:rPr>
          <w:rFonts w:ascii="Arial" w:eastAsia="Arial" w:hAnsi="Arial" w:cs="Arial"/>
          <w:i/>
          <w:color w:val="000000"/>
          <w:sz w:val="24"/>
          <w:szCs w:val="24"/>
          <w:lang w:eastAsia="en-ZA"/>
        </w:rPr>
        <w:t>supra</w:t>
      </w:r>
      <w:r w:rsidR="00340EBF" w:rsidRPr="009E5323">
        <w:rPr>
          <w:rFonts w:ascii="Arial" w:eastAsia="Arial" w:hAnsi="Arial" w:cs="Arial"/>
          <w:color w:val="000000"/>
          <w:sz w:val="24"/>
          <w:szCs w:val="24"/>
          <w:lang w:eastAsia="en-ZA"/>
        </w:rPr>
        <w:t>)</w:t>
      </w:r>
      <w:r w:rsidR="00340EBF">
        <w:rPr>
          <w:rFonts w:ascii="Arial" w:eastAsia="Arial" w:hAnsi="Arial" w:cs="Arial"/>
          <w:color w:val="000000"/>
          <w:sz w:val="24"/>
          <w:szCs w:val="24"/>
          <w:lang w:eastAsia="en-ZA"/>
        </w:rPr>
        <w:t xml:space="preserve">, counsel is correct that the point that the referral of the dispute was not properly referred and consequently the proceedings and the award were a nullity was raised for the first time on appeal and was upheld. It is to be noted, however, that even though the </w:t>
      </w:r>
      <w:r w:rsidR="00340EBF" w:rsidRPr="005A2226">
        <w:rPr>
          <w:rFonts w:ascii="Arial" w:eastAsia="Arial" w:hAnsi="Arial" w:cs="Arial"/>
          <w:i/>
          <w:color w:val="000000"/>
          <w:sz w:val="24"/>
          <w:szCs w:val="24"/>
          <w:lang w:eastAsia="en-ZA"/>
        </w:rPr>
        <w:t>Waterberg Wilderness</w:t>
      </w:r>
      <w:r w:rsidR="00340EBF">
        <w:rPr>
          <w:rFonts w:ascii="Arial" w:eastAsia="Arial" w:hAnsi="Arial" w:cs="Arial"/>
          <w:color w:val="000000"/>
          <w:sz w:val="24"/>
          <w:szCs w:val="24"/>
          <w:lang w:eastAsia="en-ZA"/>
        </w:rPr>
        <w:t xml:space="preserve"> </w:t>
      </w:r>
      <w:r w:rsidR="00340EBF" w:rsidRPr="005A2226">
        <w:rPr>
          <w:rFonts w:ascii="Arial" w:eastAsia="Arial" w:hAnsi="Arial" w:cs="Arial"/>
          <w:i/>
          <w:color w:val="000000"/>
          <w:sz w:val="24"/>
          <w:szCs w:val="24"/>
          <w:lang w:eastAsia="en-ZA"/>
        </w:rPr>
        <w:t>Lodge</w:t>
      </w:r>
      <w:r w:rsidR="00340EBF">
        <w:rPr>
          <w:rFonts w:ascii="Arial" w:eastAsia="Arial" w:hAnsi="Arial" w:cs="Arial"/>
          <w:color w:val="000000"/>
          <w:sz w:val="24"/>
          <w:szCs w:val="24"/>
          <w:lang w:eastAsia="en-ZA"/>
        </w:rPr>
        <w:t xml:space="preserve"> judgement was referred to in the matter of </w:t>
      </w:r>
      <w:r w:rsidR="00340EBF" w:rsidRPr="005A2226">
        <w:rPr>
          <w:rFonts w:ascii="Arial" w:eastAsia="Arial" w:hAnsi="Arial" w:cs="Arial"/>
          <w:i/>
          <w:color w:val="000000"/>
          <w:sz w:val="24"/>
          <w:szCs w:val="24"/>
          <w:lang w:eastAsia="en-ZA"/>
        </w:rPr>
        <w:t>Purity Manganese</w:t>
      </w:r>
      <w:r w:rsidR="00340EBF">
        <w:rPr>
          <w:rFonts w:ascii="Arial" w:eastAsia="Arial" w:hAnsi="Arial" w:cs="Arial"/>
          <w:i/>
          <w:color w:val="000000"/>
          <w:sz w:val="24"/>
          <w:szCs w:val="24"/>
          <w:lang w:eastAsia="en-ZA"/>
        </w:rPr>
        <w:t>,</w:t>
      </w:r>
      <w:r w:rsidR="00340EBF">
        <w:rPr>
          <w:rFonts w:ascii="Arial" w:eastAsia="Arial" w:hAnsi="Arial" w:cs="Arial"/>
          <w:color w:val="000000"/>
          <w:sz w:val="24"/>
          <w:szCs w:val="24"/>
          <w:lang w:eastAsia="en-ZA"/>
        </w:rPr>
        <w:t xml:space="preserve"> it would appear the court chose not to follow it. The Supreme Court in the matter of </w:t>
      </w:r>
      <w:r w:rsidR="00340EBF" w:rsidRPr="00F663DD">
        <w:rPr>
          <w:rFonts w:ascii="Arial" w:eastAsia="Arial" w:hAnsi="Arial" w:cs="Arial"/>
          <w:i/>
          <w:color w:val="000000"/>
          <w:sz w:val="24"/>
          <w:szCs w:val="24"/>
          <w:lang w:eastAsia="en-ZA"/>
        </w:rPr>
        <w:t>Simana</w:t>
      </w:r>
      <w:r w:rsidR="00340EBF">
        <w:rPr>
          <w:rFonts w:ascii="Arial" w:eastAsia="Arial" w:hAnsi="Arial" w:cs="Arial"/>
          <w:color w:val="000000"/>
          <w:sz w:val="24"/>
          <w:szCs w:val="24"/>
          <w:lang w:eastAsia="en-ZA"/>
        </w:rPr>
        <w:t xml:space="preserve"> </w:t>
      </w:r>
      <w:r w:rsidR="00340EBF" w:rsidRPr="003F5A95">
        <w:rPr>
          <w:rFonts w:ascii="Arial" w:eastAsia="Arial" w:hAnsi="Arial" w:cs="Arial"/>
          <w:color w:val="000000"/>
          <w:sz w:val="24"/>
          <w:szCs w:val="24"/>
          <w:lang w:eastAsia="en-ZA"/>
        </w:rPr>
        <w:t>(</w:t>
      </w:r>
      <w:r w:rsidR="00340EBF" w:rsidRPr="00F663DD">
        <w:rPr>
          <w:rFonts w:ascii="Arial" w:eastAsia="Arial" w:hAnsi="Arial" w:cs="Arial"/>
          <w:i/>
          <w:color w:val="000000"/>
          <w:sz w:val="24"/>
          <w:szCs w:val="24"/>
          <w:lang w:eastAsia="en-ZA"/>
        </w:rPr>
        <w:t>supra</w:t>
      </w:r>
      <w:r w:rsidR="00340EBF" w:rsidRPr="009E5323">
        <w:rPr>
          <w:rFonts w:ascii="Arial" w:eastAsia="Arial" w:hAnsi="Arial" w:cs="Arial"/>
          <w:color w:val="000000"/>
          <w:sz w:val="24"/>
          <w:szCs w:val="24"/>
          <w:lang w:eastAsia="en-ZA"/>
        </w:rPr>
        <w:t>)</w:t>
      </w:r>
      <w:r w:rsidR="00340EBF">
        <w:rPr>
          <w:rFonts w:ascii="Arial" w:eastAsia="Arial" w:hAnsi="Arial" w:cs="Arial"/>
          <w:color w:val="000000"/>
          <w:sz w:val="24"/>
          <w:szCs w:val="24"/>
          <w:lang w:eastAsia="en-ZA"/>
        </w:rPr>
        <w:t xml:space="preserve"> referred to both the </w:t>
      </w:r>
      <w:r w:rsidR="00340EBF" w:rsidRPr="00F663DD">
        <w:rPr>
          <w:rFonts w:ascii="Arial" w:eastAsia="Arial" w:hAnsi="Arial" w:cs="Arial"/>
          <w:i/>
          <w:color w:val="000000"/>
          <w:sz w:val="24"/>
          <w:szCs w:val="24"/>
          <w:lang w:eastAsia="en-ZA"/>
        </w:rPr>
        <w:t xml:space="preserve">Waterberg Wilderness Lodge </w:t>
      </w:r>
      <w:r w:rsidR="00340EBF" w:rsidRPr="00F663DD">
        <w:rPr>
          <w:rFonts w:ascii="Arial" w:eastAsia="Arial" w:hAnsi="Arial" w:cs="Arial"/>
          <w:color w:val="000000"/>
          <w:sz w:val="24"/>
          <w:szCs w:val="24"/>
          <w:lang w:eastAsia="en-ZA"/>
        </w:rPr>
        <w:t>and</w:t>
      </w:r>
      <w:r w:rsidR="00340EBF" w:rsidRPr="00F663DD">
        <w:rPr>
          <w:rFonts w:ascii="Arial" w:eastAsia="Arial" w:hAnsi="Arial" w:cs="Arial"/>
          <w:i/>
          <w:color w:val="000000"/>
          <w:sz w:val="24"/>
          <w:szCs w:val="24"/>
          <w:lang w:eastAsia="en-ZA"/>
        </w:rPr>
        <w:t xml:space="preserve"> the Springbok Patrols</w:t>
      </w:r>
      <w:r w:rsidR="00340EBF">
        <w:rPr>
          <w:rFonts w:ascii="Arial" w:eastAsia="Arial" w:hAnsi="Arial" w:cs="Arial"/>
          <w:color w:val="000000"/>
          <w:sz w:val="24"/>
          <w:szCs w:val="24"/>
          <w:lang w:eastAsia="en-ZA"/>
        </w:rPr>
        <w:t xml:space="preserve"> matters, which are authority for the proposition that non-compliance with Rules 5(2) and (3) would result in a referral being a nullity and setting aside of the award. The Supreme Court endorsed the Labour Court conclusion in </w:t>
      </w:r>
      <w:r w:rsidR="00340EBF" w:rsidRPr="00F663DD">
        <w:rPr>
          <w:rFonts w:ascii="Arial" w:eastAsia="Arial" w:hAnsi="Arial" w:cs="Arial"/>
          <w:i/>
          <w:color w:val="000000"/>
          <w:sz w:val="24"/>
          <w:szCs w:val="24"/>
          <w:lang w:eastAsia="en-ZA"/>
        </w:rPr>
        <w:t>Auto Exec CC</w:t>
      </w:r>
      <w:r w:rsidR="00340EBF">
        <w:rPr>
          <w:rFonts w:ascii="Arial" w:eastAsia="Arial" w:hAnsi="Arial" w:cs="Arial"/>
          <w:color w:val="000000"/>
          <w:sz w:val="24"/>
          <w:szCs w:val="24"/>
          <w:lang w:eastAsia="en-ZA"/>
        </w:rPr>
        <w:t xml:space="preserve"> (</w:t>
      </w:r>
      <w:r w:rsidR="00340EBF" w:rsidRPr="00F663DD">
        <w:rPr>
          <w:rFonts w:ascii="Arial" w:eastAsia="Arial" w:hAnsi="Arial" w:cs="Arial"/>
          <w:i/>
          <w:color w:val="000000"/>
          <w:sz w:val="24"/>
          <w:szCs w:val="24"/>
          <w:lang w:eastAsia="en-ZA"/>
        </w:rPr>
        <w:t>supra</w:t>
      </w:r>
      <w:r w:rsidR="00340EBF">
        <w:rPr>
          <w:rFonts w:ascii="Arial" w:eastAsia="Arial" w:hAnsi="Arial" w:cs="Arial"/>
          <w:color w:val="000000"/>
          <w:sz w:val="24"/>
          <w:szCs w:val="24"/>
          <w:lang w:eastAsia="en-ZA"/>
        </w:rPr>
        <w:t>) that in respect of Rule 5(1) it was not the rule maker’s intention that non-compliance would be visited with nullity. In light of that conclusion the Supreme Court found it unnecessary to consider the effect of non-compliance with Rules 5(2) and (3).</w:t>
      </w:r>
    </w:p>
    <w:p w:rsidR="00492B09" w:rsidRDefault="00492B09" w:rsidP="00B76CA7">
      <w:pPr>
        <w:spacing w:after="0" w:line="360" w:lineRule="auto"/>
        <w:jc w:val="both"/>
        <w:rPr>
          <w:rFonts w:ascii="Arial" w:eastAsia="Arial" w:hAnsi="Arial" w:cs="Arial"/>
          <w:color w:val="000000"/>
          <w:sz w:val="24"/>
          <w:szCs w:val="24"/>
          <w:lang w:eastAsia="en-ZA"/>
        </w:rPr>
      </w:pPr>
    </w:p>
    <w:p w:rsidR="00340EBF" w:rsidRDefault="00340EBF"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[41]</w:t>
      </w:r>
      <w:r>
        <w:rPr>
          <w:rFonts w:ascii="Arial" w:eastAsia="Arial" w:hAnsi="Arial" w:cs="Arial"/>
          <w:color w:val="000000"/>
          <w:sz w:val="24"/>
          <w:szCs w:val="24"/>
          <w:lang w:eastAsia="en-ZA"/>
        </w:rPr>
        <w:tab/>
      </w:r>
      <w:r w:rsidR="00A11210">
        <w:rPr>
          <w:rFonts w:ascii="Arial" w:eastAsia="Arial" w:hAnsi="Arial" w:cs="Arial"/>
          <w:color w:val="000000"/>
          <w:sz w:val="24"/>
          <w:szCs w:val="24"/>
          <w:lang w:eastAsia="en-ZA"/>
        </w:rPr>
        <w:t xml:space="preserve">Between the two conflicting views, I prefer to follow the judgments in the matters of </w:t>
      </w:r>
      <w:r w:rsidR="00A11210" w:rsidRPr="00F663DD">
        <w:rPr>
          <w:rFonts w:ascii="Arial" w:eastAsia="Arial" w:hAnsi="Arial" w:cs="Arial"/>
          <w:i/>
          <w:color w:val="000000"/>
          <w:sz w:val="24"/>
          <w:szCs w:val="24"/>
          <w:lang w:eastAsia="en-ZA"/>
        </w:rPr>
        <w:t>Purity</w:t>
      </w:r>
      <w:r w:rsidR="00A11210">
        <w:rPr>
          <w:rFonts w:ascii="Arial" w:eastAsia="Arial" w:hAnsi="Arial" w:cs="Arial"/>
          <w:color w:val="000000"/>
          <w:sz w:val="24"/>
          <w:szCs w:val="24"/>
          <w:lang w:eastAsia="en-ZA"/>
        </w:rPr>
        <w:t xml:space="preserve"> </w:t>
      </w:r>
      <w:r w:rsidR="00A11210" w:rsidRPr="000641FF">
        <w:rPr>
          <w:rFonts w:ascii="Arial" w:eastAsia="Arial" w:hAnsi="Arial" w:cs="Arial"/>
          <w:i/>
          <w:color w:val="000000"/>
          <w:sz w:val="24"/>
          <w:szCs w:val="24"/>
          <w:lang w:eastAsia="en-ZA"/>
        </w:rPr>
        <w:t>Manganese,</w:t>
      </w:r>
      <w:r w:rsidR="00A11210">
        <w:rPr>
          <w:rFonts w:ascii="Arial" w:eastAsia="Arial" w:hAnsi="Arial" w:cs="Arial"/>
          <w:i/>
          <w:color w:val="000000"/>
          <w:sz w:val="24"/>
          <w:szCs w:val="24"/>
          <w:lang w:eastAsia="en-ZA"/>
        </w:rPr>
        <w:t xml:space="preserve"> Methealth,</w:t>
      </w:r>
      <w:r w:rsidR="00A11210" w:rsidRPr="000641FF">
        <w:rPr>
          <w:rFonts w:ascii="Arial" w:eastAsia="Arial" w:hAnsi="Arial" w:cs="Arial"/>
          <w:i/>
          <w:color w:val="000000"/>
          <w:sz w:val="24"/>
          <w:szCs w:val="24"/>
          <w:lang w:eastAsia="en-ZA"/>
        </w:rPr>
        <w:t xml:space="preserve"> Katjotjo and Auto Exec CC</w:t>
      </w:r>
      <w:r w:rsidR="00A11210">
        <w:rPr>
          <w:rFonts w:ascii="Arial" w:eastAsia="Arial" w:hAnsi="Arial" w:cs="Arial"/>
          <w:color w:val="000000"/>
          <w:sz w:val="24"/>
          <w:szCs w:val="24"/>
          <w:lang w:eastAsia="en-ZA"/>
        </w:rPr>
        <w:t xml:space="preserve">. I do not do so merely because of preference but because of the convincing reason expounded by Smuts J (as he was then) in the matter of </w:t>
      </w:r>
      <w:r w:rsidR="00A11210" w:rsidRPr="005A2226">
        <w:rPr>
          <w:rFonts w:ascii="Arial" w:eastAsia="Arial" w:hAnsi="Arial" w:cs="Arial"/>
          <w:i/>
          <w:color w:val="000000"/>
          <w:sz w:val="24"/>
          <w:szCs w:val="24"/>
          <w:lang w:eastAsia="en-ZA"/>
        </w:rPr>
        <w:t>Purity</w:t>
      </w:r>
      <w:r w:rsidR="00A11210">
        <w:rPr>
          <w:rFonts w:ascii="Arial" w:eastAsia="Arial" w:hAnsi="Arial" w:cs="Arial"/>
          <w:color w:val="000000"/>
          <w:sz w:val="24"/>
          <w:szCs w:val="24"/>
          <w:lang w:eastAsia="en-ZA"/>
        </w:rPr>
        <w:t xml:space="preserve"> </w:t>
      </w:r>
      <w:r w:rsidR="00A11210" w:rsidRPr="000641FF">
        <w:rPr>
          <w:rFonts w:ascii="Arial" w:eastAsia="Arial" w:hAnsi="Arial" w:cs="Arial"/>
          <w:i/>
          <w:color w:val="000000"/>
          <w:sz w:val="24"/>
          <w:szCs w:val="24"/>
          <w:lang w:eastAsia="en-ZA"/>
        </w:rPr>
        <w:t>Manganese</w:t>
      </w:r>
      <w:r w:rsidR="00A11210">
        <w:rPr>
          <w:rFonts w:ascii="Arial" w:eastAsia="Arial" w:hAnsi="Arial" w:cs="Arial"/>
          <w:i/>
          <w:color w:val="000000"/>
          <w:sz w:val="24"/>
          <w:szCs w:val="24"/>
          <w:lang w:eastAsia="en-ZA"/>
        </w:rPr>
        <w:t>,</w:t>
      </w:r>
      <w:r w:rsidR="00A11210" w:rsidRPr="000641FF">
        <w:rPr>
          <w:rFonts w:ascii="Arial" w:eastAsia="Arial" w:hAnsi="Arial" w:cs="Arial"/>
          <w:i/>
          <w:color w:val="000000"/>
          <w:sz w:val="24"/>
          <w:szCs w:val="24"/>
          <w:lang w:eastAsia="en-ZA"/>
        </w:rPr>
        <w:t xml:space="preserve"> </w:t>
      </w:r>
      <w:r w:rsidR="00A11210">
        <w:rPr>
          <w:rFonts w:ascii="Arial" w:eastAsia="Arial" w:hAnsi="Arial" w:cs="Arial"/>
          <w:color w:val="000000"/>
          <w:sz w:val="24"/>
          <w:szCs w:val="24"/>
          <w:lang w:eastAsia="en-ZA"/>
        </w:rPr>
        <w:t>namely that once a party had participated in the proceedings without objection at the conciliation stage, it will not be open to such party to take the point at a later stage.</w:t>
      </w:r>
    </w:p>
    <w:p w:rsidR="00340EBF" w:rsidRDefault="00340EBF" w:rsidP="00B76CA7">
      <w:pPr>
        <w:spacing w:after="0" w:line="360" w:lineRule="auto"/>
        <w:jc w:val="both"/>
        <w:rPr>
          <w:rFonts w:ascii="Arial" w:eastAsia="Arial" w:hAnsi="Arial" w:cs="Arial"/>
          <w:color w:val="000000"/>
          <w:sz w:val="24"/>
          <w:szCs w:val="24"/>
          <w:lang w:eastAsia="en-ZA"/>
        </w:rPr>
      </w:pPr>
    </w:p>
    <w:p w:rsidR="00340EBF" w:rsidRDefault="00340EBF"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[42]</w:t>
      </w:r>
      <w:r>
        <w:rPr>
          <w:rFonts w:ascii="Arial" w:eastAsia="Arial" w:hAnsi="Arial" w:cs="Arial"/>
          <w:color w:val="000000"/>
          <w:sz w:val="24"/>
          <w:szCs w:val="24"/>
          <w:lang w:eastAsia="en-ZA"/>
        </w:rPr>
        <w:tab/>
      </w:r>
      <w:r w:rsidR="00A11210">
        <w:rPr>
          <w:rFonts w:ascii="Arial" w:eastAsia="Arial" w:hAnsi="Arial" w:cs="Arial"/>
          <w:color w:val="000000"/>
          <w:sz w:val="24"/>
          <w:szCs w:val="24"/>
          <w:lang w:eastAsia="en-ZA"/>
        </w:rPr>
        <w:t>The answer to the legal question posed by the appellant</w:t>
      </w:r>
      <w:r w:rsidR="001B225E">
        <w:rPr>
          <w:rFonts w:ascii="Arial" w:eastAsia="Arial" w:hAnsi="Arial" w:cs="Arial"/>
          <w:color w:val="000000"/>
          <w:sz w:val="24"/>
          <w:szCs w:val="24"/>
          <w:lang w:eastAsia="en-ZA"/>
        </w:rPr>
        <w:t>s</w:t>
      </w:r>
      <w:r w:rsidR="00A11210">
        <w:rPr>
          <w:rFonts w:ascii="Arial" w:eastAsia="Arial" w:hAnsi="Arial" w:cs="Arial"/>
          <w:color w:val="000000"/>
          <w:sz w:val="24"/>
          <w:szCs w:val="24"/>
          <w:lang w:eastAsia="en-ZA"/>
        </w:rPr>
        <w:t xml:space="preserve"> as to whether the arbitrator was correct in taking the view that since the appellant</w:t>
      </w:r>
      <w:r w:rsidR="001B225E">
        <w:rPr>
          <w:rFonts w:ascii="Arial" w:eastAsia="Arial" w:hAnsi="Arial" w:cs="Arial"/>
          <w:color w:val="000000"/>
          <w:sz w:val="24"/>
          <w:szCs w:val="24"/>
          <w:lang w:eastAsia="en-ZA"/>
        </w:rPr>
        <w:t>s</w:t>
      </w:r>
      <w:r w:rsidR="00A11210">
        <w:rPr>
          <w:rFonts w:ascii="Arial" w:eastAsia="Arial" w:hAnsi="Arial" w:cs="Arial"/>
          <w:color w:val="000000"/>
          <w:sz w:val="24"/>
          <w:szCs w:val="24"/>
          <w:lang w:eastAsia="en-ZA"/>
        </w:rPr>
        <w:t xml:space="preserve"> had indicated at the conciliation stage of the proceedings that </w:t>
      </w:r>
      <w:r w:rsidR="001B225E">
        <w:rPr>
          <w:rFonts w:ascii="Arial" w:eastAsia="Arial" w:hAnsi="Arial" w:cs="Arial"/>
          <w:color w:val="000000"/>
          <w:sz w:val="24"/>
          <w:szCs w:val="24"/>
          <w:lang w:eastAsia="en-ZA"/>
        </w:rPr>
        <w:t>they</w:t>
      </w:r>
      <w:r w:rsidR="00A11210">
        <w:rPr>
          <w:rFonts w:ascii="Arial" w:eastAsia="Arial" w:hAnsi="Arial" w:cs="Arial"/>
          <w:color w:val="000000"/>
          <w:sz w:val="24"/>
          <w:szCs w:val="24"/>
          <w:lang w:eastAsia="en-ZA"/>
        </w:rPr>
        <w:t xml:space="preserve"> intended to </w:t>
      </w:r>
      <w:r w:rsidR="001B225E">
        <w:rPr>
          <w:rFonts w:ascii="Arial" w:eastAsia="Arial" w:hAnsi="Arial" w:cs="Arial"/>
          <w:color w:val="000000"/>
          <w:sz w:val="24"/>
          <w:szCs w:val="24"/>
          <w:lang w:eastAsia="en-ZA"/>
        </w:rPr>
        <w:t>raise</w:t>
      </w:r>
      <w:r w:rsidR="00A11210">
        <w:rPr>
          <w:rFonts w:ascii="Arial" w:eastAsia="Arial" w:hAnsi="Arial" w:cs="Arial"/>
          <w:color w:val="000000"/>
          <w:sz w:val="24"/>
          <w:szCs w:val="24"/>
          <w:lang w:eastAsia="en-ZA"/>
        </w:rPr>
        <w:t xml:space="preserve"> the point </w:t>
      </w:r>
      <w:r w:rsidR="001B225E">
        <w:rPr>
          <w:rFonts w:ascii="Arial" w:eastAsia="Arial" w:hAnsi="Arial" w:cs="Arial"/>
          <w:color w:val="000000"/>
          <w:sz w:val="24"/>
          <w:szCs w:val="24"/>
          <w:lang w:eastAsia="en-ZA"/>
        </w:rPr>
        <w:t xml:space="preserve">of lack of mandate at </w:t>
      </w:r>
      <w:r w:rsidR="00A11210">
        <w:rPr>
          <w:rFonts w:ascii="Arial" w:eastAsia="Arial" w:hAnsi="Arial" w:cs="Arial"/>
          <w:color w:val="000000"/>
          <w:sz w:val="24"/>
          <w:szCs w:val="24"/>
          <w:lang w:eastAsia="en-ZA"/>
        </w:rPr>
        <w:t xml:space="preserve">the arbitration stage that it </w:t>
      </w:r>
      <w:r w:rsidR="001B225E">
        <w:rPr>
          <w:rFonts w:ascii="Arial" w:eastAsia="Arial" w:hAnsi="Arial" w:cs="Arial"/>
          <w:color w:val="000000"/>
          <w:sz w:val="24"/>
          <w:szCs w:val="24"/>
          <w:lang w:eastAsia="en-ZA"/>
        </w:rPr>
        <w:t xml:space="preserve">was not permissible for the appellants to attempt to raise the point at the arbitration stage of the </w:t>
      </w:r>
      <w:r w:rsidR="000640C6">
        <w:rPr>
          <w:rFonts w:ascii="Arial" w:eastAsia="Arial" w:hAnsi="Arial" w:cs="Arial"/>
          <w:color w:val="000000"/>
          <w:sz w:val="24"/>
          <w:szCs w:val="24"/>
          <w:lang w:eastAsia="en-ZA"/>
        </w:rPr>
        <w:t xml:space="preserve">proceedings </w:t>
      </w:r>
      <w:r w:rsidR="001B225E">
        <w:rPr>
          <w:rFonts w:ascii="Arial" w:eastAsia="Arial" w:hAnsi="Arial" w:cs="Arial"/>
          <w:color w:val="000000"/>
          <w:sz w:val="24"/>
          <w:szCs w:val="24"/>
          <w:lang w:eastAsia="en-ZA"/>
        </w:rPr>
        <w:t>because they failed to raise the point and the Conciliation stage of the proceedings</w:t>
      </w:r>
      <w:r w:rsidR="00A11210">
        <w:rPr>
          <w:rFonts w:ascii="Arial" w:eastAsia="Arial" w:hAnsi="Arial" w:cs="Arial"/>
          <w:color w:val="000000"/>
          <w:sz w:val="24"/>
          <w:szCs w:val="24"/>
          <w:lang w:eastAsia="en-ZA"/>
        </w:rPr>
        <w:t xml:space="preserve">. The conclusion I have reached is that the arbitrator was correct. It was not enough for the appellants to have merely ‘indicated’ that they intended to raise the point </w:t>
      </w:r>
      <w:r w:rsidR="00A11210" w:rsidRPr="009E5323">
        <w:rPr>
          <w:rFonts w:ascii="Arial" w:eastAsia="Arial" w:hAnsi="Arial" w:cs="Arial"/>
          <w:i/>
          <w:color w:val="000000"/>
          <w:sz w:val="24"/>
          <w:szCs w:val="24"/>
          <w:lang w:eastAsia="en-ZA"/>
        </w:rPr>
        <w:t>in limine</w:t>
      </w:r>
      <w:r w:rsidR="00A11210">
        <w:rPr>
          <w:rFonts w:ascii="Arial" w:eastAsia="Arial" w:hAnsi="Arial" w:cs="Arial"/>
          <w:color w:val="000000"/>
          <w:sz w:val="24"/>
          <w:szCs w:val="24"/>
          <w:lang w:eastAsia="en-ZA"/>
        </w:rPr>
        <w:t xml:space="preserve">. The appellants ought to have </w:t>
      </w:r>
      <w:r w:rsidR="001B225E">
        <w:rPr>
          <w:rFonts w:ascii="Arial" w:eastAsia="Arial" w:hAnsi="Arial" w:cs="Arial"/>
          <w:color w:val="000000"/>
          <w:sz w:val="24"/>
          <w:szCs w:val="24"/>
          <w:lang w:eastAsia="en-ZA"/>
        </w:rPr>
        <w:t>raised</w:t>
      </w:r>
      <w:r w:rsidR="00A11210">
        <w:rPr>
          <w:rFonts w:ascii="Arial" w:eastAsia="Arial" w:hAnsi="Arial" w:cs="Arial"/>
          <w:color w:val="000000"/>
          <w:sz w:val="24"/>
          <w:szCs w:val="24"/>
          <w:lang w:eastAsia="en-ZA"/>
        </w:rPr>
        <w:t xml:space="preserve"> the point there and then</w:t>
      </w:r>
      <w:r w:rsidR="001B225E">
        <w:rPr>
          <w:rFonts w:ascii="Arial" w:eastAsia="Arial" w:hAnsi="Arial" w:cs="Arial"/>
          <w:color w:val="000000"/>
          <w:sz w:val="24"/>
          <w:szCs w:val="24"/>
          <w:lang w:eastAsia="en-ZA"/>
        </w:rPr>
        <w:t xml:space="preserve"> at the Conciliation stage of the proceedings</w:t>
      </w:r>
      <w:r w:rsidR="00A11210">
        <w:rPr>
          <w:rFonts w:ascii="Arial" w:eastAsia="Arial" w:hAnsi="Arial" w:cs="Arial"/>
          <w:color w:val="000000"/>
          <w:sz w:val="24"/>
          <w:szCs w:val="24"/>
          <w:lang w:eastAsia="en-ZA"/>
        </w:rPr>
        <w:t xml:space="preserve">. Failure to do so would result in the inference that the </w:t>
      </w:r>
      <w:r w:rsidR="001B225E">
        <w:rPr>
          <w:rFonts w:ascii="Arial" w:eastAsia="Arial" w:hAnsi="Arial" w:cs="Arial"/>
          <w:color w:val="000000"/>
          <w:sz w:val="24"/>
          <w:szCs w:val="24"/>
          <w:lang w:eastAsia="en-ZA"/>
        </w:rPr>
        <w:t>appellants</w:t>
      </w:r>
      <w:r w:rsidR="00A11210">
        <w:rPr>
          <w:rFonts w:ascii="Arial" w:eastAsia="Arial" w:hAnsi="Arial" w:cs="Arial"/>
          <w:color w:val="000000"/>
          <w:sz w:val="24"/>
          <w:szCs w:val="24"/>
          <w:lang w:eastAsia="en-ZA"/>
        </w:rPr>
        <w:t xml:space="preserve"> had ratified the alleged defect attendant the referral document. It follows from the foregoing that this ground of appeal fails.</w:t>
      </w:r>
    </w:p>
    <w:p w:rsidR="00340EBF" w:rsidRDefault="00340EBF" w:rsidP="00B76CA7">
      <w:pPr>
        <w:spacing w:after="0" w:line="360" w:lineRule="auto"/>
        <w:jc w:val="both"/>
        <w:rPr>
          <w:rFonts w:ascii="Arial" w:eastAsia="Arial" w:hAnsi="Arial" w:cs="Arial"/>
          <w:color w:val="000000"/>
          <w:sz w:val="24"/>
          <w:szCs w:val="24"/>
          <w:lang w:eastAsia="en-ZA"/>
        </w:rPr>
      </w:pPr>
    </w:p>
    <w:p w:rsidR="00A11210" w:rsidRDefault="00A11210" w:rsidP="00A11210">
      <w:pPr>
        <w:spacing w:after="0" w:line="360" w:lineRule="auto"/>
        <w:jc w:val="both"/>
        <w:rPr>
          <w:rFonts w:ascii="Arial" w:eastAsia="Arial" w:hAnsi="Arial" w:cs="Arial"/>
          <w:i/>
          <w:color w:val="000000"/>
          <w:sz w:val="24"/>
          <w:szCs w:val="24"/>
          <w:lang w:eastAsia="en-ZA"/>
        </w:rPr>
      </w:pPr>
      <w:r>
        <w:rPr>
          <w:rFonts w:ascii="Arial" w:eastAsia="Arial" w:hAnsi="Arial" w:cs="Arial"/>
          <w:i/>
          <w:color w:val="000000"/>
          <w:sz w:val="24"/>
          <w:szCs w:val="24"/>
          <w:lang w:eastAsia="en-ZA"/>
        </w:rPr>
        <w:t>Question</w:t>
      </w:r>
      <w:r w:rsidRPr="00B90CC5">
        <w:rPr>
          <w:rFonts w:ascii="Arial" w:eastAsia="Arial" w:hAnsi="Arial" w:cs="Arial"/>
          <w:i/>
          <w:color w:val="000000"/>
          <w:sz w:val="24"/>
          <w:szCs w:val="24"/>
          <w:lang w:eastAsia="en-ZA"/>
        </w:rPr>
        <w:t xml:space="preserve"> 2.1.</w:t>
      </w:r>
      <w:r>
        <w:rPr>
          <w:rFonts w:ascii="Arial" w:eastAsia="Arial" w:hAnsi="Arial" w:cs="Arial"/>
          <w:i/>
          <w:color w:val="000000"/>
          <w:sz w:val="24"/>
          <w:szCs w:val="24"/>
          <w:lang w:eastAsia="en-ZA"/>
        </w:rPr>
        <w:t>5</w:t>
      </w:r>
    </w:p>
    <w:p w:rsidR="00A11210" w:rsidRDefault="00A11210" w:rsidP="00B76CA7">
      <w:pPr>
        <w:spacing w:after="0" w:line="360" w:lineRule="auto"/>
        <w:jc w:val="both"/>
        <w:rPr>
          <w:rFonts w:ascii="Arial" w:eastAsia="Arial" w:hAnsi="Arial" w:cs="Arial"/>
          <w:color w:val="000000"/>
          <w:sz w:val="24"/>
          <w:szCs w:val="24"/>
          <w:lang w:eastAsia="en-ZA"/>
        </w:rPr>
      </w:pPr>
    </w:p>
    <w:p w:rsidR="00340EBF" w:rsidRPr="00A11210" w:rsidRDefault="00340EBF"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[43]</w:t>
      </w:r>
      <w:r>
        <w:rPr>
          <w:rFonts w:ascii="Arial" w:eastAsia="Arial" w:hAnsi="Arial" w:cs="Arial"/>
          <w:color w:val="000000"/>
          <w:sz w:val="24"/>
          <w:szCs w:val="24"/>
          <w:lang w:eastAsia="en-ZA"/>
        </w:rPr>
        <w:tab/>
      </w:r>
      <w:r w:rsidR="00A11210">
        <w:rPr>
          <w:rFonts w:ascii="Arial" w:eastAsia="Arial" w:hAnsi="Arial" w:cs="Arial"/>
          <w:color w:val="000000"/>
          <w:sz w:val="24"/>
          <w:szCs w:val="24"/>
          <w:lang w:eastAsia="en-ZA"/>
        </w:rPr>
        <w:t>The last and final question of law posed by the appellant</w:t>
      </w:r>
      <w:r w:rsidR="00B72BA6">
        <w:rPr>
          <w:rFonts w:ascii="Arial" w:eastAsia="Arial" w:hAnsi="Arial" w:cs="Arial"/>
          <w:color w:val="000000"/>
          <w:sz w:val="24"/>
          <w:szCs w:val="24"/>
          <w:lang w:eastAsia="en-ZA"/>
        </w:rPr>
        <w:t>s</w:t>
      </w:r>
      <w:r w:rsidR="00A11210">
        <w:rPr>
          <w:rFonts w:ascii="Arial" w:eastAsia="Arial" w:hAnsi="Arial" w:cs="Arial"/>
          <w:color w:val="000000"/>
          <w:sz w:val="24"/>
          <w:szCs w:val="24"/>
          <w:lang w:eastAsia="en-ZA"/>
        </w:rPr>
        <w:t xml:space="preserve"> is w</w:t>
      </w:r>
      <w:r w:rsidR="00A11210" w:rsidRPr="00960034">
        <w:rPr>
          <w:rFonts w:ascii="Arial" w:eastAsia="Arial" w:hAnsi="Arial" w:cs="Arial"/>
          <w:color w:val="000000"/>
          <w:sz w:val="24"/>
          <w:szCs w:val="24"/>
          <w:lang w:eastAsia="en-ZA"/>
        </w:rPr>
        <w:t xml:space="preserve">hether the arbitrator failed and/or misdirected himself by dismissing the point </w:t>
      </w:r>
      <w:r w:rsidR="00A11210" w:rsidRPr="009E5323">
        <w:rPr>
          <w:rFonts w:ascii="Arial" w:eastAsia="Arial" w:hAnsi="Arial" w:cs="Arial"/>
          <w:i/>
          <w:color w:val="000000"/>
          <w:sz w:val="24"/>
          <w:szCs w:val="24"/>
          <w:lang w:eastAsia="en-ZA"/>
        </w:rPr>
        <w:t>in limine</w:t>
      </w:r>
      <w:r w:rsidR="00A11210" w:rsidRPr="00960034">
        <w:rPr>
          <w:rFonts w:ascii="Arial" w:eastAsia="Arial" w:hAnsi="Arial" w:cs="Arial"/>
          <w:color w:val="000000"/>
          <w:sz w:val="24"/>
          <w:szCs w:val="24"/>
          <w:lang w:eastAsia="en-ZA"/>
        </w:rPr>
        <w:t xml:space="preserve">, whereas on a proper interpretation of the dispute as lodged, and Rule 5 of the Rules relating to the conduct </w:t>
      </w:r>
      <w:r w:rsidR="00A11210">
        <w:rPr>
          <w:rFonts w:ascii="Arial" w:eastAsia="Arial" w:hAnsi="Arial" w:cs="Arial"/>
          <w:color w:val="000000"/>
          <w:sz w:val="24"/>
          <w:szCs w:val="24"/>
          <w:lang w:eastAsia="en-ZA"/>
        </w:rPr>
        <w:t>o</w:t>
      </w:r>
      <w:r w:rsidR="00A11210" w:rsidRPr="00960034">
        <w:rPr>
          <w:rFonts w:ascii="Arial" w:eastAsia="Arial" w:hAnsi="Arial" w:cs="Arial"/>
          <w:color w:val="000000"/>
          <w:sz w:val="24"/>
          <w:szCs w:val="24"/>
          <w:lang w:eastAsia="en-ZA"/>
        </w:rPr>
        <w:t xml:space="preserve">f conciliation and arbitration, he should have upheld the point </w:t>
      </w:r>
      <w:r w:rsidR="00A11210" w:rsidRPr="009E5323">
        <w:rPr>
          <w:rFonts w:ascii="Arial" w:eastAsia="Arial" w:hAnsi="Arial" w:cs="Arial"/>
          <w:i/>
          <w:color w:val="000000"/>
          <w:sz w:val="24"/>
          <w:szCs w:val="24"/>
          <w:lang w:eastAsia="en-ZA"/>
        </w:rPr>
        <w:t>in limine</w:t>
      </w:r>
      <w:r w:rsidR="00A11210" w:rsidRPr="002C7C72">
        <w:rPr>
          <w:rFonts w:ascii="Arial" w:eastAsia="Arial" w:hAnsi="Arial" w:cs="Arial"/>
          <w:i/>
          <w:color w:val="000000"/>
          <w:lang w:eastAsia="en-ZA"/>
        </w:rPr>
        <w:t>.</w:t>
      </w:r>
      <w:r w:rsidR="00A11210">
        <w:rPr>
          <w:rFonts w:ascii="Arial" w:eastAsia="Arial" w:hAnsi="Arial" w:cs="Arial"/>
          <w:color w:val="000000"/>
          <w:lang w:eastAsia="en-ZA"/>
        </w:rPr>
        <w:t xml:space="preserve"> </w:t>
      </w:r>
      <w:r w:rsidR="00A11210" w:rsidRPr="00960034">
        <w:rPr>
          <w:rFonts w:ascii="Arial" w:eastAsia="Arial" w:hAnsi="Arial" w:cs="Arial"/>
          <w:color w:val="000000"/>
          <w:sz w:val="24"/>
          <w:szCs w:val="24"/>
          <w:lang w:eastAsia="en-ZA"/>
        </w:rPr>
        <w:t>In my view</w:t>
      </w:r>
      <w:r w:rsidR="00A11210">
        <w:rPr>
          <w:rFonts w:ascii="Arial" w:eastAsia="Arial" w:hAnsi="Arial" w:cs="Arial"/>
          <w:color w:val="000000"/>
          <w:sz w:val="24"/>
          <w:szCs w:val="24"/>
          <w:lang w:eastAsia="en-ZA"/>
        </w:rPr>
        <w:t>,</w:t>
      </w:r>
      <w:r w:rsidR="00A11210" w:rsidRPr="00960034">
        <w:rPr>
          <w:rFonts w:ascii="Arial" w:eastAsia="Arial" w:hAnsi="Arial" w:cs="Arial"/>
          <w:color w:val="000000"/>
          <w:sz w:val="24"/>
          <w:szCs w:val="24"/>
          <w:lang w:eastAsia="en-ZA"/>
        </w:rPr>
        <w:t xml:space="preserve"> th</w:t>
      </w:r>
      <w:r w:rsidR="00A11210">
        <w:rPr>
          <w:rFonts w:ascii="Arial" w:eastAsia="Arial" w:hAnsi="Arial" w:cs="Arial"/>
          <w:color w:val="000000"/>
          <w:sz w:val="24"/>
          <w:szCs w:val="24"/>
          <w:lang w:eastAsia="en-ZA"/>
        </w:rPr>
        <w:t xml:space="preserve">is question has already been answered, but for the sake of </w:t>
      </w:r>
      <w:r w:rsidR="00A11210" w:rsidRPr="00A11210">
        <w:rPr>
          <w:rFonts w:ascii="Arial" w:eastAsia="Arial" w:hAnsi="Arial" w:cs="Arial"/>
          <w:color w:val="000000"/>
          <w:sz w:val="24"/>
          <w:szCs w:val="24"/>
          <w:lang w:eastAsia="en-ZA"/>
        </w:rPr>
        <w:t>completeness I will briefly deal with it and try to provide an answer thereto.</w:t>
      </w:r>
    </w:p>
    <w:p w:rsidR="00340EBF" w:rsidRPr="00A11210" w:rsidRDefault="00340EBF" w:rsidP="00B76CA7">
      <w:pPr>
        <w:spacing w:after="0" w:line="360" w:lineRule="auto"/>
        <w:jc w:val="both"/>
        <w:rPr>
          <w:rFonts w:ascii="Arial" w:eastAsia="Arial" w:hAnsi="Arial" w:cs="Arial"/>
          <w:color w:val="000000"/>
          <w:sz w:val="24"/>
          <w:szCs w:val="24"/>
          <w:lang w:eastAsia="en-ZA"/>
        </w:rPr>
      </w:pPr>
    </w:p>
    <w:p w:rsidR="00340EBF" w:rsidRPr="00A11210" w:rsidRDefault="00340EBF" w:rsidP="00B76CA7">
      <w:pPr>
        <w:spacing w:after="0" w:line="360" w:lineRule="auto"/>
        <w:jc w:val="both"/>
        <w:rPr>
          <w:rFonts w:ascii="Arial" w:eastAsia="Arial" w:hAnsi="Arial" w:cs="Arial"/>
          <w:color w:val="000000"/>
          <w:sz w:val="24"/>
          <w:szCs w:val="24"/>
          <w:lang w:eastAsia="en-ZA"/>
        </w:rPr>
      </w:pPr>
      <w:r w:rsidRPr="00A11210">
        <w:rPr>
          <w:rFonts w:ascii="Arial" w:eastAsia="Arial" w:hAnsi="Arial" w:cs="Arial"/>
          <w:color w:val="000000"/>
          <w:sz w:val="24"/>
          <w:szCs w:val="24"/>
          <w:lang w:eastAsia="en-ZA"/>
        </w:rPr>
        <w:t>[44]</w:t>
      </w:r>
      <w:r w:rsidRPr="00A11210">
        <w:rPr>
          <w:rFonts w:ascii="Arial" w:eastAsia="Arial" w:hAnsi="Arial" w:cs="Arial"/>
          <w:color w:val="000000"/>
          <w:sz w:val="24"/>
          <w:szCs w:val="24"/>
          <w:lang w:eastAsia="en-ZA"/>
        </w:rPr>
        <w:tab/>
      </w:r>
      <w:r w:rsidR="00A11210" w:rsidRPr="00A11210">
        <w:rPr>
          <w:rFonts w:ascii="Arial" w:eastAsia="Arial" w:hAnsi="Arial" w:cs="Arial"/>
          <w:color w:val="000000"/>
          <w:sz w:val="24"/>
          <w:szCs w:val="24"/>
          <w:lang w:eastAsia="en-ZA"/>
        </w:rPr>
        <w:t xml:space="preserve">As will become apparent, the argument advanced by counsel in support of this ground that the arbitrator failed to properly appreciate the legal position in dismissing the point </w:t>
      </w:r>
      <w:r w:rsidR="00A11210" w:rsidRPr="00A11210">
        <w:rPr>
          <w:rFonts w:ascii="Arial" w:eastAsia="Arial" w:hAnsi="Arial" w:cs="Arial"/>
          <w:i/>
          <w:color w:val="000000"/>
          <w:sz w:val="24"/>
          <w:szCs w:val="24"/>
          <w:lang w:eastAsia="en-ZA"/>
        </w:rPr>
        <w:t>in limine</w:t>
      </w:r>
      <w:r w:rsidR="00A11210" w:rsidRPr="00A11210">
        <w:rPr>
          <w:rFonts w:ascii="Arial" w:eastAsia="Arial" w:hAnsi="Arial" w:cs="Arial"/>
          <w:color w:val="000000"/>
          <w:sz w:val="24"/>
          <w:szCs w:val="24"/>
          <w:lang w:eastAsia="en-ZA"/>
        </w:rPr>
        <w:t xml:space="preserve"> does not relate or speak to this point but relates rather to the issue of proof: either absence of proof or adequacy of proof.</w:t>
      </w:r>
    </w:p>
    <w:p w:rsidR="00340EBF" w:rsidRPr="00A11210" w:rsidRDefault="00340EBF" w:rsidP="00B76CA7">
      <w:pPr>
        <w:spacing w:after="0" w:line="360" w:lineRule="auto"/>
        <w:jc w:val="both"/>
        <w:rPr>
          <w:rFonts w:ascii="Arial" w:eastAsia="Arial" w:hAnsi="Arial" w:cs="Arial"/>
          <w:color w:val="000000"/>
          <w:sz w:val="24"/>
          <w:szCs w:val="24"/>
          <w:lang w:eastAsia="en-ZA"/>
        </w:rPr>
      </w:pPr>
    </w:p>
    <w:p w:rsidR="00340EBF" w:rsidRPr="00A11210" w:rsidRDefault="00340EBF" w:rsidP="00B76CA7">
      <w:pPr>
        <w:spacing w:after="0" w:line="360" w:lineRule="auto"/>
        <w:jc w:val="both"/>
        <w:rPr>
          <w:rFonts w:ascii="Arial" w:eastAsia="Arial" w:hAnsi="Arial" w:cs="Arial"/>
          <w:color w:val="000000"/>
          <w:sz w:val="24"/>
          <w:szCs w:val="24"/>
          <w:lang w:eastAsia="en-ZA"/>
        </w:rPr>
      </w:pPr>
      <w:r w:rsidRPr="00A11210">
        <w:rPr>
          <w:rFonts w:ascii="Arial" w:eastAsia="Arial" w:hAnsi="Arial" w:cs="Arial"/>
          <w:color w:val="000000"/>
          <w:sz w:val="24"/>
          <w:szCs w:val="24"/>
          <w:lang w:eastAsia="en-ZA"/>
        </w:rPr>
        <w:t>[45]</w:t>
      </w:r>
      <w:r w:rsidRPr="00A11210">
        <w:rPr>
          <w:rFonts w:ascii="Arial" w:eastAsia="Arial" w:hAnsi="Arial" w:cs="Arial"/>
          <w:color w:val="000000"/>
          <w:sz w:val="24"/>
          <w:szCs w:val="24"/>
          <w:lang w:eastAsia="en-ZA"/>
        </w:rPr>
        <w:tab/>
      </w:r>
      <w:r w:rsidR="00A11210">
        <w:rPr>
          <w:rFonts w:ascii="Arial" w:eastAsia="Arial" w:hAnsi="Arial" w:cs="Arial"/>
          <w:color w:val="000000"/>
          <w:sz w:val="24"/>
          <w:szCs w:val="24"/>
          <w:lang w:eastAsia="en-ZA"/>
        </w:rPr>
        <w:t xml:space="preserve">Counsel submits that </w:t>
      </w:r>
      <w:r w:rsidR="00F9555C">
        <w:rPr>
          <w:rFonts w:ascii="Arial" w:eastAsia="Arial" w:hAnsi="Arial" w:cs="Arial"/>
          <w:color w:val="000000"/>
          <w:sz w:val="24"/>
          <w:szCs w:val="24"/>
          <w:lang w:eastAsia="en-ZA"/>
        </w:rPr>
        <w:t>NAFINU</w:t>
      </w:r>
      <w:r w:rsidR="00A11210">
        <w:rPr>
          <w:rFonts w:ascii="Arial" w:eastAsia="Arial" w:hAnsi="Arial" w:cs="Arial"/>
          <w:color w:val="000000"/>
          <w:sz w:val="24"/>
          <w:szCs w:val="24"/>
          <w:lang w:eastAsia="en-ZA"/>
        </w:rPr>
        <w:t xml:space="preserve"> failed to prove that the respondents in this matter are indeed its members, and that it failed to prove that the members have </w:t>
      </w:r>
      <w:r w:rsidR="00DD4D58">
        <w:rPr>
          <w:rFonts w:ascii="Arial" w:eastAsia="Arial" w:hAnsi="Arial" w:cs="Arial"/>
          <w:color w:val="000000"/>
          <w:sz w:val="24"/>
          <w:szCs w:val="24"/>
          <w:lang w:eastAsia="en-ZA"/>
        </w:rPr>
        <w:t>authorized</w:t>
      </w:r>
      <w:r w:rsidR="00A11210">
        <w:rPr>
          <w:rFonts w:ascii="Arial" w:eastAsia="Arial" w:hAnsi="Arial" w:cs="Arial"/>
          <w:color w:val="000000"/>
          <w:sz w:val="24"/>
          <w:szCs w:val="24"/>
          <w:lang w:eastAsia="en-ZA"/>
        </w:rPr>
        <w:t xml:space="preserve"> it to institute the action. Counsel submits further in this context that the facts in this matter are analogous to the facts in the </w:t>
      </w:r>
      <w:r w:rsidR="00A11210" w:rsidRPr="003B4C30">
        <w:rPr>
          <w:rFonts w:ascii="Arial" w:eastAsia="Arial" w:hAnsi="Arial" w:cs="Arial"/>
          <w:i/>
          <w:color w:val="000000"/>
          <w:sz w:val="24"/>
          <w:szCs w:val="24"/>
          <w:lang w:eastAsia="en-ZA"/>
        </w:rPr>
        <w:t>Waterberg Wilderness Lodge</w:t>
      </w:r>
      <w:r w:rsidR="00A11210">
        <w:rPr>
          <w:rFonts w:ascii="Arial" w:eastAsia="Arial" w:hAnsi="Arial" w:cs="Arial"/>
          <w:color w:val="000000"/>
          <w:sz w:val="24"/>
          <w:szCs w:val="24"/>
          <w:lang w:eastAsia="en-ZA"/>
        </w:rPr>
        <w:t xml:space="preserve"> matter (</w:t>
      </w:r>
      <w:r w:rsidR="00A11210" w:rsidRPr="003B4C30">
        <w:rPr>
          <w:rFonts w:ascii="Arial" w:eastAsia="Arial" w:hAnsi="Arial" w:cs="Arial"/>
          <w:i/>
          <w:color w:val="000000"/>
          <w:sz w:val="24"/>
          <w:szCs w:val="24"/>
          <w:lang w:eastAsia="en-ZA"/>
        </w:rPr>
        <w:t>supra)</w:t>
      </w:r>
      <w:r w:rsidR="00A11210">
        <w:rPr>
          <w:rFonts w:ascii="Arial" w:eastAsia="Arial" w:hAnsi="Arial" w:cs="Arial"/>
          <w:color w:val="000000"/>
          <w:sz w:val="24"/>
          <w:szCs w:val="24"/>
          <w:lang w:eastAsia="en-ZA"/>
        </w:rPr>
        <w:t xml:space="preserve">. In </w:t>
      </w:r>
      <w:r w:rsidR="00DD4D58">
        <w:rPr>
          <w:rFonts w:ascii="Arial" w:eastAsia="Arial" w:hAnsi="Arial" w:cs="Arial"/>
          <w:color w:val="000000"/>
          <w:sz w:val="24"/>
          <w:szCs w:val="24"/>
          <w:lang w:eastAsia="en-ZA"/>
        </w:rPr>
        <w:t xml:space="preserve">that </w:t>
      </w:r>
      <w:r w:rsidR="00A11210">
        <w:rPr>
          <w:rFonts w:ascii="Arial" w:eastAsia="Arial" w:hAnsi="Arial" w:cs="Arial"/>
          <w:color w:val="000000"/>
          <w:sz w:val="24"/>
          <w:szCs w:val="24"/>
          <w:lang w:eastAsia="en-ZA"/>
        </w:rPr>
        <w:t xml:space="preserve">matter, the court found that, except for Ms Uses who had signed the referral documents, the rest of the respondents had not signed the referral document. In this matter, so the argument continues, there is no statement indicating </w:t>
      </w:r>
      <w:r w:rsidR="00DD4D58">
        <w:rPr>
          <w:rFonts w:ascii="Arial" w:eastAsia="Arial" w:hAnsi="Arial" w:cs="Arial"/>
          <w:color w:val="000000"/>
          <w:sz w:val="24"/>
          <w:szCs w:val="24"/>
          <w:lang w:eastAsia="en-ZA"/>
        </w:rPr>
        <w:t>authorization</w:t>
      </w:r>
      <w:r w:rsidR="00A11210">
        <w:rPr>
          <w:rFonts w:ascii="Arial" w:eastAsia="Arial" w:hAnsi="Arial" w:cs="Arial"/>
          <w:color w:val="000000"/>
          <w:sz w:val="24"/>
          <w:szCs w:val="24"/>
          <w:lang w:eastAsia="en-ZA"/>
        </w:rPr>
        <w:t xml:space="preserve"> that either Sem Shipefi (the first respondent) or </w:t>
      </w:r>
      <w:r w:rsidR="00F9555C">
        <w:rPr>
          <w:rFonts w:ascii="Arial" w:eastAsia="Arial" w:hAnsi="Arial" w:cs="Arial"/>
          <w:color w:val="000000"/>
          <w:sz w:val="24"/>
          <w:szCs w:val="24"/>
          <w:lang w:eastAsia="en-ZA"/>
        </w:rPr>
        <w:t>NAFINU</w:t>
      </w:r>
      <w:r w:rsidR="00A11210">
        <w:rPr>
          <w:rFonts w:ascii="Arial" w:eastAsia="Arial" w:hAnsi="Arial" w:cs="Arial"/>
          <w:color w:val="000000"/>
          <w:sz w:val="24"/>
          <w:szCs w:val="24"/>
          <w:lang w:eastAsia="en-ZA"/>
        </w:rPr>
        <w:t xml:space="preserve">’s officer bearer was </w:t>
      </w:r>
      <w:r w:rsidR="00DD4D58">
        <w:rPr>
          <w:rFonts w:ascii="Arial" w:eastAsia="Arial" w:hAnsi="Arial" w:cs="Arial"/>
          <w:color w:val="000000"/>
          <w:sz w:val="24"/>
          <w:szCs w:val="24"/>
          <w:lang w:eastAsia="en-ZA"/>
        </w:rPr>
        <w:t>authorized</w:t>
      </w:r>
      <w:r w:rsidR="00A11210">
        <w:rPr>
          <w:rFonts w:ascii="Arial" w:eastAsia="Arial" w:hAnsi="Arial" w:cs="Arial"/>
          <w:color w:val="000000"/>
          <w:sz w:val="24"/>
          <w:szCs w:val="24"/>
          <w:lang w:eastAsia="en-ZA"/>
        </w:rPr>
        <w:t xml:space="preserve"> to sign the referral document.</w:t>
      </w:r>
    </w:p>
    <w:p w:rsidR="00340EBF" w:rsidRDefault="00340EBF" w:rsidP="00B76CA7">
      <w:pPr>
        <w:spacing w:after="0" w:line="360" w:lineRule="auto"/>
        <w:jc w:val="both"/>
        <w:rPr>
          <w:rFonts w:ascii="Arial" w:eastAsia="Arial" w:hAnsi="Arial" w:cs="Arial"/>
          <w:color w:val="000000"/>
          <w:sz w:val="24"/>
          <w:szCs w:val="24"/>
          <w:lang w:eastAsia="en-ZA"/>
        </w:rPr>
      </w:pPr>
    </w:p>
    <w:p w:rsidR="00340EBF" w:rsidRDefault="00340EBF"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[46]</w:t>
      </w:r>
      <w:r>
        <w:rPr>
          <w:rFonts w:ascii="Arial" w:eastAsia="Arial" w:hAnsi="Arial" w:cs="Arial"/>
          <w:color w:val="000000"/>
          <w:sz w:val="24"/>
          <w:szCs w:val="24"/>
          <w:lang w:eastAsia="en-ZA"/>
        </w:rPr>
        <w:tab/>
      </w:r>
      <w:r w:rsidR="00C86D04">
        <w:rPr>
          <w:rFonts w:ascii="Arial" w:eastAsia="Arial" w:hAnsi="Arial" w:cs="Arial"/>
          <w:color w:val="000000"/>
          <w:sz w:val="24"/>
          <w:szCs w:val="24"/>
          <w:lang w:eastAsia="en-ZA"/>
        </w:rPr>
        <w:t>In his Ruling on 26 April 2016 the arbitrator dealt and analysed the information before him at paragraphs 7 and 8 as follows:</w:t>
      </w:r>
    </w:p>
    <w:p w:rsidR="00F944E3" w:rsidRDefault="00F944E3" w:rsidP="00B76CA7">
      <w:pPr>
        <w:spacing w:after="0" w:line="360" w:lineRule="auto"/>
        <w:jc w:val="both"/>
        <w:rPr>
          <w:rFonts w:ascii="Arial" w:eastAsia="Arial" w:hAnsi="Arial" w:cs="Arial"/>
          <w:color w:val="000000"/>
          <w:sz w:val="24"/>
          <w:szCs w:val="24"/>
          <w:lang w:eastAsia="en-ZA"/>
        </w:rPr>
      </w:pPr>
    </w:p>
    <w:p w:rsidR="00C86D04" w:rsidRPr="00C86D04" w:rsidRDefault="00C86D04" w:rsidP="00C86D04">
      <w:pPr>
        <w:spacing w:after="0" w:line="360" w:lineRule="auto"/>
        <w:ind w:firstLine="720"/>
        <w:jc w:val="both"/>
        <w:rPr>
          <w:rFonts w:ascii="Arial" w:eastAsia="Arial" w:hAnsi="Arial" w:cs="Arial"/>
          <w:color w:val="000000"/>
          <w:lang w:eastAsia="en-ZA"/>
        </w:rPr>
      </w:pPr>
      <w:r>
        <w:rPr>
          <w:rFonts w:ascii="Arial" w:eastAsia="Arial" w:hAnsi="Arial" w:cs="Arial"/>
          <w:color w:val="000000"/>
          <w:lang w:eastAsia="en-ZA"/>
        </w:rPr>
        <w:t>‘</w:t>
      </w:r>
      <w:r w:rsidRPr="00C86D04">
        <w:rPr>
          <w:rFonts w:ascii="Arial" w:eastAsia="Arial" w:hAnsi="Arial" w:cs="Arial"/>
          <w:color w:val="000000"/>
          <w:lang w:eastAsia="en-ZA"/>
        </w:rPr>
        <w:t xml:space="preserve">The referral document as submitted by the </w:t>
      </w:r>
      <w:r w:rsidR="00A336B5">
        <w:rPr>
          <w:rFonts w:ascii="Arial" w:eastAsia="Arial" w:hAnsi="Arial" w:cs="Arial"/>
          <w:color w:val="000000"/>
          <w:lang w:eastAsia="en-ZA"/>
        </w:rPr>
        <w:t>Appellants</w:t>
      </w:r>
      <w:r w:rsidRPr="00C86D04">
        <w:rPr>
          <w:rFonts w:ascii="Arial" w:eastAsia="Arial" w:hAnsi="Arial" w:cs="Arial"/>
          <w:color w:val="000000"/>
          <w:lang w:eastAsia="en-ZA"/>
        </w:rPr>
        <w:t xml:space="preserve"> an on record states as follows:’ ‘We the former employees of Fides Bank Namibia herewith give authorization to </w:t>
      </w:r>
      <w:r w:rsidR="00F9555C">
        <w:rPr>
          <w:rFonts w:ascii="Arial" w:eastAsia="Arial" w:hAnsi="Arial" w:cs="Arial"/>
          <w:color w:val="000000"/>
          <w:lang w:eastAsia="en-ZA"/>
        </w:rPr>
        <w:t>NAFINU</w:t>
      </w:r>
      <w:r w:rsidRPr="00C86D04">
        <w:rPr>
          <w:rFonts w:ascii="Arial" w:eastAsia="Arial" w:hAnsi="Arial" w:cs="Arial"/>
          <w:color w:val="000000"/>
          <w:lang w:eastAsia="en-ZA"/>
        </w:rPr>
        <w:t xml:space="preserve"> to represent us during the conciliation/arbitration proceedings. THANK YOU’.</w:t>
      </w:r>
    </w:p>
    <w:p w:rsidR="00C86D04" w:rsidRPr="00C86D04" w:rsidRDefault="00C86D04" w:rsidP="00C86D04">
      <w:pPr>
        <w:spacing w:after="0" w:line="360" w:lineRule="auto"/>
        <w:jc w:val="both"/>
        <w:rPr>
          <w:rFonts w:ascii="Arial" w:eastAsia="Arial" w:hAnsi="Arial" w:cs="Arial"/>
          <w:color w:val="000000"/>
          <w:lang w:eastAsia="en-ZA"/>
        </w:rPr>
      </w:pPr>
    </w:p>
    <w:p w:rsidR="00C86D04" w:rsidRPr="00C86D04" w:rsidRDefault="00C86D04" w:rsidP="00C86D04">
      <w:pPr>
        <w:tabs>
          <w:tab w:val="left" w:pos="1260"/>
        </w:tabs>
        <w:spacing w:after="0" w:line="360" w:lineRule="auto"/>
        <w:ind w:firstLine="720"/>
        <w:jc w:val="both"/>
        <w:rPr>
          <w:rFonts w:ascii="Arial" w:eastAsia="Arial" w:hAnsi="Arial" w:cs="Arial"/>
          <w:color w:val="000000"/>
          <w:lang w:eastAsia="en-ZA"/>
        </w:rPr>
      </w:pPr>
      <w:r>
        <w:rPr>
          <w:rFonts w:ascii="Arial" w:eastAsia="Arial" w:hAnsi="Arial" w:cs="Arial"/>
          <w:color w:val="000000"/>
          <w:lang w:eastAsia="en-ZA"/>
        </w:rPr>
        <w:t>[8]</w:t>
      </w:r>
      <w:r>
        <w:rPr>
          <w:rFonts w:ascii="Arial" w:eastAsia="Arial" w:hAnsi="Arial" w:cs="Arial"/>
          <w:color w:val="000000"/>
          <w:lang w:eastAsia="en-ZA"/>
        </w:rPr>
        <w:tab/>
      </w:r>
      <w:r w:rsidRPr="00C86D04">
        <w:rPr>
          <w:rFonts w:ascii="Arial" w:eastAsia="Arial" w:hAnsi="Arial" w:cs="Arial"/>
          <w:color w:val="000000"/>
          <w:lang w:eastAsia="en-ZA"/>
        </w:rPr>
        <w:t xml:space="preserve">This is then followed by a list of names of the </w:t>
      </w:r>
      <w:r w:rsidR="00A336B5">
        <w:rPr>
          <w:rFonts w:ascii="Arial" w:eastAsia="Arial" w:hAnsi="Arial" w:cs="Arial"/>
          <w:color w:val="000000"/>
          <w:lang w:eastAsia="en-ZA"/>
        </w:rPr>
        <w:t>Appellants</w:t>
      </w:r>
      <w:r w:rsidRPr="00C86D04">
        <w:rPr>
          <w:rFonts w:ascii="Arial" w:eastAsia="Arial" w:hAnsi="Arial" w:cs="Arial"/>
          <w:color w:val="000000"/>
          <w:lang w:eastAsia="en-ZA"/>
        </w:rPr>
        <w:t xml:space="preserve"> and signature per referral document list (i), (ii), (iii) and (iv). On the face of it all the </w:t>
      </w:r>
      <w:r w:rsidR="00A336B5">
        <w:rPr>
          <w:rFonts w:ascii="Arial" w:eastAsia="Arial" w:hAnsi="Arial" w:cs="Arial"/>
          <w:color w:val="000000"/>
          <w:lang w:eastAsia="en-ZA"/>
        </w:rPr>
        <w:t>Appellants</w:t>
      </w:r>
      <w:r w:rsidRPr="00C86D04">
        <w:rPr>
          <w:rFonts w:ascii="Arial" w:eastAsia="Arial" w:hAnsi="Arial" w:cs="Arial"/>
          <w:color w:val="000000"/>
          <w:lang w:eastAsia="en-ZA"/>
        </w:rPr>
        <w:t xml:space="preserve"> affixed their signatures to the list of </w:t>
      </w:r>
      <w:r w:rsidR="00A336B5">
        <w:rPr>
          <w:rFonts w:ascii="Arial" w:eastAsia="Arial" w:hAnsi="Arial" w:cs="Arial"/>
          <w:color w:val="000000"/>
          <w:lang w:eastAsia="en-ZA"/>
        </w:rPr>
        <w:t>Appellants</w:t>
      </w:r>
      <w:r w:rsidRPr="00C86D04">
        <w:rPr>
          <w:rFonts w:ascii="Arial" w:eastAsia="Arial" w:hAnsi="Arial" w:cs="Arial"/>
          <w:color w:val="000000"/>
          <w:lang w:eastAsia="en-ZA"/>
        </w:rPr>
        <w:t xml:space="preserve"> so at</w:t>
      </w:r>
      <w:r>
        <w:rPr>
          <w:rFonts w:ascii="Arial" w:eastAsia="Arial" w:hAnsi="Arial" w:cs="Arial"/>
          <w:color w:val="000000"/>
          <w:lang w:eastAsia="en-ZA"/>
        </w:rPr>
        <w:t>tached to the referral document.’</w:t>
      </w:r>
    </w:p>
    <w:p w:rsidR="00C86D04" w:rsidRDefault="00C86D04" w:rsidP="00B76CA7">
      <w:pPr>
        <w:spacing w:after="0" w:line="360" w:lineRule="auto"/>
        <w:jc w:val="both"/>
        <w:rPr>
          <w:rFonts w:ascii="Arial" w:eastAsia="Arial" w:hAnsi="Arial" w:cs="Arial"/>
          <w:color w:val="000000"/>
          <w:sz w:val="24"/>
          <w:szCs w:val="24"/>
          <w:lang w:eastAsia="en-ZA"/>
        </w:rPr>
      </w:pPr>
    </w:p>
    <w:p w:rsidR="00F944E3" w:rsidRDefault="00F944E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[47]</w:t>
      </w:r>
      <w:r>
        <w:rPr>
          <w:rFonts w:ascii="Arial" w:eastAsia="Arial" w:hAnsi="Arial" w:cs="Arial"/>
          <w:color w:val="000000"/>
          <w:sz w:val="24"/>
          <w:szCs w:val="24"/>
          <w:lang w:eastAsia="en-ZA"/>
        </w:rPr>
        <w:tab/>
      </w:r>
      <w:r w:rsidR="00F408E2">
        <w:rPr>
          <w:rFonts w:ascii="Arial" w:eastAsia="Arial" w:hAnsi="Arial" w:cs="Arial"/>
          <w:color w:val="000000"/>
          <w:sz w:val="24"/>
          <w:szCs w:val="24"/>
          <w:lang w:eastAsia="en-ZA"/>
        </w:rPr>
        <w:t xml:space="preserve">The arbitrator thus found that the respondents had authorized </w:t>
      </w:r>
      <w:r w:rsidR="00F9555C">
        <w:rPr>
          <w:rFonts w:ascii="Arial" w:eastAsia="Arial" w:hAnsi="Arial" w:cs="Arial"/>
          <w:color w:val="000000"/>
          <w:sz w:val="24"/>
          <w:szCs w:val="24"/>
          <w:lang w:eastAsia="en-ZA"/>
        </w:rPr>
        <w:t>NAFINU</w:t>
      </w:r>
      <w:r w:rsidR="00F408E2">
        <w:rPr>
          <w:rFonts w:ascii="Arial" w:eastAsia="Arial" w:hAnsi="Arial" w:cs="Arial"/>
          <w:color w:val="000000"/>
          <w:sz w:val="24"/>
          <w:szCs w:val="24"/>
          <w:lang w:eastAsia="en-ZA"/>
        </w:rPr>
        <w:t xml:space="preserve"> to represent them. In my view, this is a finding of fact and not of law. This court can only interfere in a finding of fact if such a finding is one which no arbitrator could reasonably have made in that such finding is vitiated by lack of reasons tantamount to no finding at all</w:t>
      </w:r>
      <w:r w:rsidR="00F408E2">
        <w:rPr>
          <w:rStyle w:val="FootnoteReference"/>
          <w:rFonts w:ascii="Arial" w:eastAsia="Arial" w:hAnsi="Arial" w:cs="Arial"/>
          <w:color w:val="000000"/>
          <w:sz w:val="24"/>
          <w:szCs w:val="24"/>
          <w:lang w:eastAsia="en-ZA"/>
        </w:rPr>
        <w:footnoteReference w:id="7"/>
      </w:r>
      <w:r w:rsidR="00F408E2">
        <w:rPr>
          <w:rFonts w:ascii="Arial" w:eastAsia="Arial" w:hAnsi="Arial" w:cs="Arial"/>
          <w:color w:val="000000"/>
          <w:sz w:val="24"/>
          <w:szCs w:val="24"/>
          <w:lang w:eastAsia="en-ZA"/>
        </w:rPr>
        <w:t>. This court cannot say that the finding of the arbitrator in the present matter is of such a nature. In my view, the arbitrator’s ruling was based upon proper and indeed unassailable reasoning.</w:t>
      </w:r>
    </w:p>
    <w:p w:rsidR="00F944E3" w:rsidRDefault="00F944E3" w:rsidP="00B76CA7">
      <w:pPr>
        <w:spacing w:after="0" w:line="360" w:lineRule="auto"/>
        <w:jc w:val="both"/>
        <w:rPr>
          <w:rFonts w:ascii="Arial" w:eastAsia="Arial" w:hAnsi="Arial" w:cs="Arial"/>
          <w:color w:val="000000"/>
          <w:sz w:val="24"/>
          <w:szCs w:val="24"/>
          <w:lang w:eastAsia="en-ZA"/>
        </w:rPr>
      </w:pPr>
    </w:p>
    <w:p w:rsidR="00F944E3" w:rsidRDefault="00F944E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[48]</w:t>
      </w:r>
      <w:r>
        <w:rPr>
          <w:rFonts w:ascii="Arial" w:eastAsia="Arial" w:hAnsi="Arial" w:cs="Arial"/>
          <w:color w:val="000000"/>
          <w:sz w:val="24"/>
          <w:szCs w:val="24"/>
          <w:lang w:eastAsia="en-ZA"/>
        </w:rPr>
        <w:tab/>
      </w:r>
      <w:r w:rsidR="0083439B">
        <w:rPr>
          <w:rFonts w:ascii="Arial" w:eastAsia="Arial" w:hAnsi="Arial" w:cs="Arial"/>
          <w:color w:val="000000"/>
          <w:sz w:val="24"/>
          <w:szCs w:val="24"/>
          <w:lang w:eastAsia="en-ZA"/>
        </w:rPr>
        <w:t xml:space="preserve">The next complaint by the appellants is that </w:t>
      </w:r>
      <w:r w:rsidR="00F9555C">
        <w:rPr>
          <w:rFonts w:ascii="Arial" w:eastAsia="Arial" w:hAnsi="Arial" w:cs="Arial"/>
          <w:color w:val="000000"/>
          <w:sz w:val="24"/>
          <w:szCs w:val="24"/>
          <w:lang w:eastAsia="en-ZA"/>
        </w:rPr>
        <w:t>NAFINU</w:t>
      </w:r>
      <w:r w:rsidR="0083439B">
        <w:rPr>
          <w:rFonts w:ascii="Arial" w:eastAsia="Arial" w:hAnsi="Arial" w:cs="Arial"/>
          <w:color w:val="000000"/>
          <w:sz w:val="24"/>
          <w:szCs w:val="24"/>
          <w:lang w:eastAsia="en-ZA"/>
        </w:rPr>
        <w:t xml:space="preserve"> had failed to prove that the respondents are its members.</w:t>
      </w:r>
    </w:p>
    <w:p w:rsidR="00F944E3" w:rsidRDefault="00F944E3" w:rsidP="00B76CA7">
      <w:pPr>
        <w:spacing w:after="0" w:line="360" w:lineRule="auto"/>
        <w:jc w:val="both"/>
        <w:rPr>
          <w:rFonts w:ascii="Arial" w:eastAsia="Arial" w:hAnsi="Arial" w:cs="Arial"/>
          <w:color w:val="000000"/>
          <w:sz w:val="24"/>
          <w:szCs w:val="24"/>
          <w:lang w:eastAsia="en-ZA"/>
        </w:rPr>
      </w:pPr>
    </w:p>
    <w:p w:rsidR="00F944E3" w:rsidRDefault="00F944E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[49]</w:t>
      </w:r>
      <w:r>
        <w:rPr>
          <w:rFonts w:ascii="Arial" w:eastAsia="Arial" w:hAnsi="Arial" w:cs="Arial"/>
          <w:color w:val="000000"/>
          <w:sz w:val="24"/>
          <w:szCs w:val="24"/>
          <w:lang w:eastAsia="en-ZA"/>
        </w:rPr>
        <w:tab/>
      </w:r>
      <w:r w:rsidR="0083439B">
        <w:rPr>
          <w:rFonts w:ascii="Arial" w:eastAsia="Arial" w:hAnsi="Arial" w:cs="Arial"/>
          <w:color w:val="000000"/>
          <w:sz w:val="24"/>
          <w:szCs w:val="24"/>
          <w:lang w:eastAsia="en-ZA"/>
        </w:rPr>
        <w:t xml:space="preserve">In his Ruling of 29 April 2015 following an application for discovery by the appellants, the arbitrator ordered the respondents to make discovery of the certain documents </w:t>
      </w:r>
      <w:r w:rsidR="0083439B" w:rsidRPr="003B4C30">
        <w:rPr>
          <w:rFonts w:ascii="Arial" w:eastAsia="Arial" w:hAnsi="Arial" w:cs="Arial"/>
          <w:i/>
          <w:color w:val="000000"/>
          <w:sz w:val="24"/>
          <w:szCs w:val="24"/>
          <w:lang w:eastAsia="en-ZA"/>
        </w:rPr>
        <w:t>inter alia</w:t>
      </w:r>
      <w:r w:rsidR="0083439B">
        <w:rPr>
          <w:rFonts w:ascii="Arial" w:eastAsia="Arial" w:hAnsi="Arial" w:cs="Arial"/>
          <w:color w:val="000000"/>
          <w:sz w:val="24"/>
          <w:szCs w:val="24"/>
          <w:lang w:eastAsia="en-ZA"/>
        </w:rPr>
        <w:t xml:space="preserve"> (ii) </w:t>
      </w:r>
      <w:r w:rsidR="0083439B" w:rsidRPr="00BD2C62">
        <w:rPr>
          <w:rFonts w:ascii="Arial" w:eastAsia="Arial" w:hAnsi="Arial" w:cs="Arial"/>
          <w:i/>
          <w:color w:val="000000"/>
          <w:sz w:val="24"/>
          <w:szCs w:val="24"/>
          <w:lang w:eastAsia="en-ZA"/>
        </w:rPr>
        <w:t>proof of membership of each Applicant of the Union (iii) proof of paid up membership of each Applicant of the Union</w:t>
      </w:r>
      <w:r w:rsidR="0083439B">
        <w:rPr>
          <w:rFonts w:ascii="Arial" w:eastAsia="Arial" w:hAnsi="Arial" w:cs="Arial"/>
          <w:color w:val="000000"/>
          <w:sz w:val="24"/>
          <w:szCs w:val="24"/>
          <w:lang w:eastAsia="en-ZA"/>
        </w:rPr>
        <w:t xml:space="preserve">. The arbitrator further ordered that such documents must be produced within a reasonable time. It is not clear from the record whether or when those documents were produced. In my view, and as a matter of procedure, the documents have not yet been admitted into evidence. It could only have been produced at the trial stage when submitted into evidence either by agreement or through witnesses. The proceedings had not reached that stage at the time the point </w:t>
      </w:r>
      <w:r w:rsidR="0083439B" w:rsidRPr="00C650BB">
        <w:rPr>
          <w:rFonts w:ascii="Arial" w:eastAsia="Arial" w:hAnsi="Arial" w:cs="Arial"/>
          <w:i/>
          <w:color w:val="000000"/>
          <w:sz w:val="24"/>
          <w:szCs w:val="24"/>
          <w:lang w:eastAsia="en-ZA"/>
        </w:rPr>
        <w:t>in limine</w:t>
      </w:r>
      <w:r w:rsidR="0083439B">
        <w:rPr>
          <w:rFonts w:ascii="Arial" w:eastAsia="Arial" w:hAnsi="Arial" w:cs="Arial"/>
          <w:color w:val="000000"/>
          <w:sz w:val="24"/>
          <w:szCs w:val="24"/>
          <w:lang w:eastAsia="en-ZA"/>
        </w:rPr>
        <w:t xml:space="preserve"> which forms the subject matter of this appeal was raised and dismissed. This approach to resolution of labour disputes is to be discouraged. Counsel for the respondents referred to the judgment in the matter of </w:t>
      </w:r>
      <w:r w:rsidR="00F9555C">
        <w:rPr>
          <w:rFonts w:ascii="Arial" w:eastAsia="Arial" w:hAnsi="Arial" w:cs="Arial"/>
          <w:i/>
          <w:color w:val="000000"/>
          <w:sz w:val="24"/>
          <w:szCs w:val="24"/>
          <w:lang w:eastAsia="en-ZA"/>
        </w:rPr>
        <w:t>NAFINU</w:t>
      </w:r>
      <w:r w:rsidR="0083439B" w:rsidRPr="00C650BB">
        <w:rPr>
          <w:rFonts w:ascii="Arial" w:eastAsia="Arial" w:hAnsi="Arial" w:cs="Arial"/>
          <w:i/>
          <w:color w:val="000000"/>
          <w:sz w:val="24"/>
          <w:szCs w:val="24"/>
          <w:lang w:eastAsia="en-ZA"/>
        </w:rPr>
        <w:t xml:space="preserve"> v </w:t>
      </w:r>
      <w:r w:rsidR="00124D35">
        <w:rPr>
          <w:rFonts w:ascii="Arial" w:eastAsia="Arial" w:hAnsi="Arial" w:cs="Arial"/>
          <w:i/>
          <w:color w:val="000000"/>
          <w:sz w:val="24"/>
          <w:szCs w:val="24"/>
          <w:lang w:eastAsia="en-ZA"/>
        </w:rPr>
        <w:t>Nedbank Namibia Limited</w:t>
      </w:r>
      <w:r w:rsidR="0083439B" w:rsidRPr="00C650BB">
        <w:rPr>
          <w:rStyle w:val="FootnoteReference"/>
          <w:rFonts w:ascii="Arial" w:eastAsia="Arial" w:hAnsi="Arial" w:cs="Arial"/>
          <w:i/>
          <w:color w:val="000000"/>
          <w:sz w:val="24"/>
          <w:szCs w:val="24"/>
          <w:lang w:eastAsia="en-ZA"/>
        </w:rPr>
        <w:footnoteReference w:id="8"/>
      </w:r>
      <w:r w:rsidR="0083439B" w:rsidRPr="00C650BB">
        <w:rPr>
          <w:rFonts w:ascii="Arial" w:eastAsia="Arial" w:hAnsi="Arial" w:cs="Arial"/>
          <w:color w:val="000000"/>
          <w:sz w:val="24"/>
          <w:szCs w:val="24"/>
          <w:lang w:eastAsia="en-ZA"/>
        </w:rPr>
        <w:t xml:space="preserve"> where the Supreme Court by the mouth of Smuts J analysed the scheme of the Labour Act and concluded that the statutory intention behind the arbitration of dispute is to determine all labour disputes with due speed. The arbitrator in his ruling remarked</w:t>
      </w:r>
      <w:r w:rsidR="0083439B">
        <w:rPr>
          <w:rFonts w:ascii="Arial" w:eastAsia="Arial" w:hAnsi="Arial" w:cs="Arial"/>
          <w:color w:val="000000"/>
          <w:sz w:val="24"/>
          <w:szCs w:val="24"/>
          <w:lang w:eastAsia="en-ZA"/>
        </w:rPr>
        <w:t xml:space="preserve">, correctly in my </w:t>
      </w:r>
      <w:r w:rsidR="00D8249D">
        <w:rPr>
          <w:rFonts w:ascii="Arial" w:eastAsia="Arial" w:hAnsi="Arial" w:cs="Arial"/>
          <w:color w:val="000000"/>
          <w:sz w:val="24"/>
          <w:szCs w:val="24"/>
          <w:lang w:eastAsia="en-ZA"/>
        </w:rPr>
        <w:t>view that</w:t>
      </w:r>
      <w:r w:rsidR="0083439B" w:rsidRPr="00C650BB">
        <w:rPr>
          <w:rFonts w:ascii="Arial" w:eastAsia="Arial" w:hAnsi="Arial" w:cs="Arial"/>
          <w:color w:val="000000"/>
          <w:sz w:val="24"/>
          <w:szCs w:val="24"/>
          <w:lang w:eastAsia="en-ZA"/>
        </w:rPr>
        <w:t xml:space="preserve"> the appellants decided to raise the points in limine </w:t>
      </w:r>
      <w:r w:rsidR="0083439B" w:rsidRPr="009E5323">
        <w:rPr>
          <w:rFonts w:ascii="Arial" w:eastAsia="Arial" w:hAnsi="Arial" w:cs="Arial"/>
          <w:i/>
          <w:color w:val="000000"/>
          <w:sz w:val="24"/>
          <w:szCs w:val="24"/>
          <w:lang w:eastAsia="en-ZA"/>
        </w:rPr>
        <w:t>‘in</w:t>
      </w:r>
      <w:r w:rsidR="0083439B" w:rsidRPr="00C650BB">
        <w:rPr>
          <w:rFonts w:ascii="Arial" w:eastAsia="Arial" w:hAnsi="Arial" w:cs="Arial"/>
          <w:color w:val="000000"/>
          <w:sz w:val="24"/>
          <w:szCs w:val="24"/>
          <w:lang w:eastAsia="en-ZA"/>
        </w:rPr>
        <w:t xml:space="preserve"> </w:t>
      </w:r>
      <w:r w:rsidR="0083439B" w:rsidRPr="009E5323">
        <w:rPr>
          <w:rFonts w:ascii="Arial" w:eastAsia="Arial" w:hAnsi="Arial" w:cs="Arial"/>
          <w:i/>
          <w:color w:val="000000"/>
          <w:sz w:val="24"/>
          <w:szCs w:val="24"/>
          <w:lang w:eastAsia="en-ZA"/>
        </w:rPr>
        <w:t>instalments’.</w:t>
      </w:r>
      <w:r w:rsidR="0083439B" w:rsidRPr="00C650BB">
        <w:rPr>
          <w:rFonts w:ascii="Arial" w:eastAsia="Arial" w:hAnsi="Arial" w:cs="Arial"/>
          <w:color w:val="000000"/>
          <w:sz w:val="24"/>
          <w:szCs w:val="24"/>
          <w:lang w:eastAsia="en-ZA"/>
        </w:rPr>
        <w:t xml:space="preserve"> This is </w:t>
      </w:r>
      <w:r w:rsidR="0083439B">
        <w:rPr>
          <w:rFonts w:ascii="Arial" w:eastAsia="Arial" w:hAnsi="Arial" w:cs="Arial"/>
          <w:color w:val="000000"/>
          <w:sz w:val="24"/>
          <w:szCs w:val="24"/>
          <w:lang w:eastAsia="en-ZA"/>
        </w:rPr>
        <w:t xml:space="preserve">should </w:t>
      </w:r>
      <w:r w:rsidR="0083439B" w:rsidRPr="00C650BB">
        <w:rPr>
          <w:rFonts w:ascii="Arial" w:eastAsia="Arial" w:hAnsi="Arial" w:cs="Arial"/>
          <w:color w:val="000000"/>
          <w:sz w:val="24"/>
          <w:szCs w:val="24"/>
          <w:lang w:eastAsia="en-ZA"/>
        </w:rPr>
        <w:t xml:space="preserve">not </w:t>
      </w:r>
      <w:r w:rsidR="0083439B">
        <w:rPr>
          <w:rFonts w:ascii="Arial" w:eastAsia="Arial" w:hAnsi="Arial" w:cs="Arial"/>
          <w:color w:val="000000"/>
          <w:sz w:val="24"/>
          <w:szCs w:val="24"/>
          <w:lang w:eastAsia="en-ZA"/>
        </w:rPr>
        <w:t>allowed</w:t>
      </w:r>
      <w:r w:rsidR="0083439B" w:rsidRPr="00C650BB">
        <w:rPr>
          <w:rFonts w:ascii="Arial" w:eastAsia="Arial" w:hAnsi="Arial" w:cs="Arial"/>
          <w:color w:val="000000"/>
          <w:sz w:val="24"/>
          <w:szCs w:val="24"/>
          <w:lang w:eastAsia="en-ZA"/>
        </w:rPr>
        <w:t>.</w:t>
      </w:r>
      <w:r w:rsidR="0083439B">
        <w:rPr>
          <w:rFonts w:ascii="Arial" w:eastAsia="Arial" w:hAnsi="Arial" w:cs="Arial"/>
          <w:color w:val="000000"/>
          <w:sz w:val="24"/>
          <w:szCs w:val="24"/>
          <w:lang w:eastAsia="en-ZA"/>
        </w:rPr>
        <w:t xml:space="preserve"> The hearing on merits has not yet commenced almost two years and half after the claim was lodged. Such approach would only result in peace-meal litigations of labour disputes, and thus hamper the speedy resolution of labour disputes before the Labour Commissioner</w:t>
      </w:r>
      <w:r w:rsidR="00981207">
        <w:rPr>
          <w:rFonts w:ascii="Arial" w:eastAsia="Arial" w:hAnsi="Arial" w:cs="Arial"/>
          <w:color w:val="000000"/>
          <w:sz w:val="24"/>
          <w:szCs w:val="24"/>
          <w:lang w:eastAsia="en-ZA"/>
        </w:rPr>
        <w:t>.</w:t>
      </w:r>
    </w:p>
    <w:p w:rsidR="00F944E3" w:rsidRDefault="00F944E3" w:rsidP="00B76CA7">
      <w:pPr>
        <w:spacing w:after="0" w:line="360" w:lineRule="auto"/>
        <w:jc w:val="both"/>
        <w:rPr>
          <w:rFonts w:ascii="Arial" w:eastAsia="Arial" w:hAnsi="Arial" w:cs="Arial"/>
          <w:color w:val="000000"/>
          <w:sz w:val="24"/>
          <w:szCs w:val="24"/>
          <w:lang w:eastAsia="en-ZA"/>
        </w:rPr>
      </w:pPr>
    </w:p>
    <w:p w:rsidR="00F944E3" w:rsidRDefault="00F944E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[50]</w:t>
      </w:r>
      <w:r>
        <w:rPr>
          <w:rFonts w:ascii="Arial" w:eastAsia="Arial" w:hAnsi="Arial" w:cs="Arial"/>
          <w:color w:val="000000"/>
          <w:sz w:val="24"/>
          <w:szCs w:val="24"/>
          <w:lang w:eastAsia="en-ZA"/>
        </w:rPr>
        <w:tab/>
      </w:r>
      <w:r w:rsidR="00981207">
        <w:rPr>
          <w:rFonts w:ascii="Arial" w:eastAsia="Arial" w:hAnsi="Arial" w:cs="Arial"/>
          <w:color w:val="000000"/>
          <w:sz w:val="24"/>
          <w:szCs w:val="24"/>
          <w:lang w:eastAsia="en-ZA"/>
        </w:rPr>
        <w:t xml:space="preserve">The fact that some of the respondents might not be members of </w:t>
      </w:r>
      <w:r w:rsidR="00F9555C">
        <w:rPr>
          <w:rFonts w:ascii="Arial" w:eastAsia="Arial" w:hAnsi="Arial" w:cs="Arial"/>
          <w:color w:val="000000"/>
          <w:sz w:val="24"/>
          <w:szCs w:val="24"/>
          <w:lang w:eastAsia="en-ZA"/>
        </w:rPr>
        <w:t>NAFINU</w:t>
      </w:r>
      <w:r w:rsidR="00981207">
        <w:rPr>
          <w:rFonts w:ascii="Arial" w:eastAsia="Arial" w:hAnsi="Arial" w:cs="Arial"/>
          <w:color w:val="000000"/>
          <w:sz w:val="24"/>
          <w:szCs w:val="24"/>
          <w:lang w:eastAsia="en-ZA"/>
        </w:rPr>
        <w:t xml:space="preserve"> would not operate as a bar to </w:t>
      </w:r>
      <w:r w:rsidR="00F9555C">
        <w:rPr>
          <w:rFonts w:ascii="Arial" w:eastAsia="Arial" w:hAnsi="Arial" w:cs="Arial"/>
          <w:color w:val="000000"/>
          <w:sz w:val="24"/>
          <w:szCs w:val="24"/>
          <w:lang w:eastAsia="en-ZA"/>
        </w:rPr>
        <w:t>NAFINU</w:t>
      </w:r>
      <w:r w:rsidR="00981207">
        <w:rPr>
          <w:rFonts w:ascii="Arial" w:eastAsia="Arial" w:hAnsi="Arial" w:cs="Arial"/>
          <w:color w:val="000000"/>
          <w:sz w:val="24"/>
          <w:szCs w:val="24"/>
          <w:lang w:eastAsia="en-ZA"/>
        </w:rPr>
        <w:t xml:space="preserve"> representing such respondents. Section 64(14) of the Act </w:t>
      </w:r>
      <w:r w:rsidR="00531606">
        <w:rPr>
          <w:rFonts w:ascii="Arial" w:eastAsia="Arial" w:hAnsi="Arial" w:cs="Arial"/>
          <w:color w:val="000000"/>
          <w:sz w:val="24"/>
          <w:szCs w:val="24"/>
          <w:lang w:eastAsia="en-ZA"/>
        </w:rPr>
        <w:t xml:space="preserve">provides </w:t>
      </w:r>
      <w:r w:rsidR="00981207">
        <w:rPr>
          <w:rFonts w:ascii="Arial" w:eastAsia="Arial" w:hAnsi="Arial" w:cs="Arial"/>
          <w:color w:val="000000"/>
          <w:sz w:val="24"/>
          <w:szCs w:val="24"/>
          <w:lang w:eastAsia="en-ZA"/>
        </w:rPr>
        <w:t xml:space="preserve">that a trade union which has been recognized as an exclusive bargain agent in respect of the bargaining unit in question, has a duty to represent, for the purpose of sub-section (1), the interest of every employee falling in that bargaining unit, whether or not the employees are members of that trade union. The appellants’ argument appears to have lost sight of the legal position that once a Union has been recognized by an employer as a representative for its employees, it has a right to represent all the employees in that bargaining unit. </w:t>
      </w:r>
      <w:r w:rsidR="00531606">
        <w:rPr>
          <w:rFonts w:ascii="Arial" w:eastAsia="Arial" w:hAnsi="Arial" w:cs="Arial"/>
          <w:color w:val="000000"/>
          <w:sz w:val="24"/>
          <w:szCs w:val="24"/>
          <w:lang w:eastAsia="en-ZA"/>
        </w:rPr>
        <w:t>The Union cannot only represent</w:t>
      </w:r>
      <w:r w:rsidR="00981207">
        <w:rPr>
          <w:rFonts w:ascii="Arial" w:eastAsia="Arial" w:hAnsi="Arial" w:cs="Arial"/>
          <w:color w:val="000000"/>
          <w:sz w:val="24"/>
          <w:szCs w:val="24"/>
          <w:lang w:eastAsia="en-ZA"/>
        </w:rPr>
        <w:t xml:space="preserve"> those employees in the bargaining unit who are its registered members</w:t>
      </w:r>
      <w:r w:rsidR="00981207">
        <w:rPr>
          <w:rStyle w:val="FootnoteReference"/>
          <w:rFonts w:ascii="Arial" w:eastAsia="Arial" w:hAnsi="Arial" w:cs="Arial"/>
          <w:color w:val="000000"/>
          <w:sz w:val="24"/>
          <w:szCs w:val="24"/>
          <w:lang w:eastAsia="en-ZA"/>
        </w:rPr>
        <w:footnoteReference w:id="9"/>
      </w:r>
      <w:r w:rsidR="00981207">
        <w:rPr>
          <w:rFonts w:ascii="Arial" w:eastAsia="Arial" w:hAnsi="Arial" w:cs="Arial"/>
          <w:color w:val="000000"/>
          <w:sz w:val="24"/>
          <w:szCs w:val="24"/>
          <w:lang w:eastAsia="en-ZA"/>
        </w:rPr>
        <w:t>.</w:t>
      </w:r>
    </w:p>
    <w:p w:rsidR="00F944E3" w:rsidRDefault="00F944E3" w:rsidP="00B76CA7">
      <w:pPr>
        <w:spacing w:after="0" w:line="360" w:lineRule="auto"/>
        <w:jc w:val="both"/>
        <w:rPr>
          <w:rFonts w:ascii="Arial" w:eastAsia="Arial" w:hAnsi="Arial" w:cs="Arial"/>
          <w:color w:val="000000"/>
          <w:sz w:val="24"/>
          <w:szCs w:val="24"/>
          <w:lang w:eastAsia="en-ZA"/>
        </w:rPr>
      </w:pPr>
    </w:p>
    <w:p w:rsidR="00F944E3" w:rsidRDefault="00F944E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[51]</w:t>
      </w:r>
      <w:r>
        <w:rPr>
          <w:rFonts w:ascii="Arial" w:eastAsia="Arial" w:hAnsi="Arial" w:cs="Arial"/>
          <w:color w:val="000000"/>
          <w:sz w:val="24"/>
          <w:szCs w:val="24"/>
          <w:lang w:eastAsia="en-ZA"/>
        </w:rPr>
        <w:tab/>
      </w:r>
      <w:r w:rsidR="00F9555C">
        <w:rPr>
          <w:rFonts w:ascii="Arial" w:eastAsia="Arial" w:hAnsi="Arial" w:cs="Arial"/>
          <w:color w:val="000000"/>
          <w:sz w:val="24"/>
          <w:szCs w:val="24"/>
          <w:lang w:eastAsia="en-ZA"/>
        </w:rPr>
        <w:t>In my view the provisions of section 64(14) read with sections 86(12) and rules 5 and 14 completely destroy the appellants’ argument in this regard.</w:t>
      </w:r>
    </w:p>
    <w:p w:rsidR="00F944E3" w:rsidRDefault="00F944E3" w:rsidP="00B76CA7">
      <w:pPr>
        <w:spacing w:after="0" w:line="360" w:lineRule="auto"/>
        <w:jc w:val="both"/>
        <w:rPr>
          <w:rFonts w:ascii="Arial" w:eastAsia="Arial" w:hAnsi="Arial" w:cs="Arial"/>
          <w:color w:val="000000"/>
          <w:sz w:val="24"/>
          <w:szCs w:val="24"/>
          <w:lang w:eastAsia="en-ZA"/>
        </w:rPr>
      </w:pPr>
    </w:p>
    <w:p w:rsidR="00F944E3" w:rsidRDefault="00F944E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[52]</w:t>
      </w:r>
      <w:r>
        <w:rPr>
          <w:rFonts w:ascii="Arial" w:eastAsia="Arial" w:hAnsi="Arial" w:cs="Arial"/>
          <w:color w:val="000000"/>
          <w:sz w:val="24"/>
          <w:szCs w:val="24"/>
          <w:lang w:eastAsia="en-ZA"/>
        </w:rPr>
        <w:tab/>
      </w:r>
      <w:r w:rsidR="00F9555C">
        <w:rPr>
          <w:rFonts w:ascii="Arial" w:eastAsia="Arial" w:hAnsi="Arial" w:cs="Arial"/>
          <w:color w:val="000000"/>
          <w:sz w:val="24"/>
          <w:szCs w:val="24"/>
          <w:lang w:eastAsia="en-ZA"/>
        </w:rPr>
        <w:t>It was common cause that NAFINU is the recognized trade union at Fides Bank at the time of the alleged dismissal of the respondents and therefore NAFINU has the right to represent all the employees in the bargaining unit. It follows</w:t>
      </w:r>
      <w:r w:rsidR="00F200C0">
        <w:rPr>
          <w:rFonts w:ascii="Arial" w:eastAsia="Arial" w:hAnsi="Arial" w:cs="Arial"/>
          <w:color w:val="000000"/>
          <w:sz w:val="24"/>
          <w:szCs w:val="24"/>
          <w:lang w:eastAsia="en-ZA"/>
        </w:rPr>
        <w:t>,</w:t>
      </w:r>
      <w:r w:rsidR="00F9555C">
        <w:rPr>
          <w:rFonts w:ascii="Arial" w:eastAsia="Arial" w:hAnsi="Arial" w:cs="Arial"/>
          <w:color w:val="000000"/>
          <w:sz w:val="24"/>
          <w:szCs w:val="24"/>
          <w:lang w:eastAsia="en-ZA"/>
        </w:rPr>
        <w:t xml:space="preserve"> in my view</w:t>
      </w:r>
      <w:r w:rsidR="00F200C0">
        <w:rPr>
          <w:rFonts w:ascii="Arial" w:eastAsia="Arial" w:hAnsi="Arial" w:cs="Arial"/>
          <w:color w:val="000000"/>
          <w:sz w:val="24"/>
          <w:szCs w:val="24"/>
          <w:lang w:eastAsia="en-ZA"/>
        </w:rPr>
        <w:t>,</w:t>
      </w:r>
      <w:r w:rsidR="00F9555C">
        <w:rPr>
          <w:rFonts w:ascii="Arial" w:eastAsia="Arial" w:hAnsi="Arial" w:cs="Arial"/>
          <w:color w:val="000000"/>
          <w:sz w:val="24"/>
          <w:szCs w:val="24"/>
          <w:lang w:eastAsia="en-ZA"/>
        </w:rPr>
        <w:t xml:space="preserve"> that even </w:t>
      </w:r>
      <w:r w:rsidR="00F200C0">
        <w:rPr>
          <w:rFonts w:ascii="Arial" w:eastAsia="Arial" w:hAnsi="Arial" w:cs="Arial"/>
          <w:color w:val="000000"/>
          <w:sz w:val="24"/>
          <w:szCs w:val="24"/>
          <w:lang w:eastAsia="en-ZA"/>
        </w:rPr>
        <w:t xml:space="preserve">if </w:t>
      </w:r>
      <w:r w:rsidR="00F9555C">
        <w:rPr>
          <w:rFonts w:ascii="Arial" w:eastAsia="Arial" w:hAnsi="Arial" w:cs="Arial"/>
          <w:color w:val="000000"/>
          <w:sz w:val="24"/>
          <w:szCs w:val="24"/>
          <w:lang w:eastAsia="en-ZA"/>
        </w:rPr>
        <w:t>it were to be found that some of the respondents were not registered members of NAFINU</w:t>
      </w:r>
      <w:r w:rsidR="00F200C0">
        <w:rPr>
          <w:rFonts w:ascii="Arial" w:eastAsia="Arial" w:hAnsi="Arial" w:cs="Arial"/>
          <w:color w:val="000000"/>
          <w:sz w:val="24"/>
          <w:szCs w:val="24"/>
          <w:lang w:eastAsia="en-ZA"/>
        </w:rPr>
        <w:t>,</w:t>
      </w:r>
      <w:r w:rsidR="00F9555C">
        <w:rPr>
          <w:rFonts w:ascii="Arial" w:eastAsia="Arial" w:hAnsi="Arial" w:cs="Arial"/>
          <w:color w:val="000000"/>
          <w:sz w:val="24"/>
          <w:szCs w:val="24"/>
          <w:lang w:eastAsia="en-ZA"/>
        </w:rPr>
        <w:t xml:space="preserve"> they would be entitled to be represented by NAFINU </w:t>
      </w:r>
      <w:r w:rsidR="00F200C0">
        <w:rPr>
          <w:rFonts w:ascii="Arial" w:eastAsia="Arial" w:hAnsi="Arial" w:cs="Arial"/>
          <w:color w:val="000000"/>
          <w:sz w:val="24"/>
          <w:szCs w:val="24"/>
          <w:lang w:eastAsia="en-ZA"/>
        </w:rPr>
        <w:t>by</w:t>
      </w:r>
      <w:r w:rsidR="00F9555C">
        <w:rPr>
          <w:rFonts w:ascii="Arial" w:eastAsia="Arial" w:hAnsi="Arial" w:cs="Arial"/>
          <w:color w:val="000000"/>
          <w:sz w:val="24"/>
          <w:szCs w:val="24"/>
          <w:lang w:eastAsia="en-ZA"/>
        </w:rPr>
        <w:t xml:space="preserve"> the mere fact that NAFINU is the recognized Union for the bargaining unit to which the respondents belong. In my view, having recognized NAFINU as representative of its employees in that bargaining unit, it is impermissible for the appellants to raise this point. The point is accordingly rejected as bad in law. In any event even if I am not correct in this finding</w:t>
      </w:r>
      <w:r w:rsidR="00F200C0">
        <w:rPr>
          <w:rFonts w:ascii="Arial" w:eastAsia="Arial" w:hAnsi="Arial" w:cs="Arial"/>
          <w:color w:val="000000"/>
          <w:sz w:val="24"/>
          <w:szCs w:val="24"/>
          <w:lang w:eastAsia="en-ZA"/>
        </w:rPr>
        <w:t>,</w:t>
      </w:r>
      <w:r w:rsidR="00F9555C">
        <w:rPr>
          <w:rFonts w:ascii="Arial" w:eastAsia="Arial" w:hAnsi="Arial" w:cs="Arial"/>
          <w:color w:val="000000"/>
          <w:sz w:val="24"/>
          <w:szCs w:val="24"/>
          <w:lang w:eastAsia="en-ZA"/>
        </w:rPr>
        <w:t xml:space="preserve"> I have already found that the arbitrator was correct in his finding that on the information before him, the respondents had mandated NAFINU in writing to represent them.</w:t>
      </w:r>
    </w:p>
    <w:p w:rsidR="00F944E3" w:rsidRDefault="00F944E3" w:rsidP="00B76CA7">
      <w:pPr>
        <w:spacing w:after="0" w:line="360" w:lineRule="auto"/>
        <w:jc w:val="both"/>
        <w:rPr>
          <w:rFonts w:ascii="Arial" w:eastAsia="Arial" w:hAnsi="Arial" w:cs="Arial"/>
          <w:color w:val="000000"/>
          <w:sz w:val="24"/>
          <w:szCs w:val="24"/>
          <w:lang w:eastAsia="en-ZA"/>
        </w:rPr>
      </w:pPr>
    </w:p>
    <w:p w:rsidR="00F944E3" w:rsidRDefault="00F944E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[53]</w:t>
      </w:r>
      <w:r>
        <w:rPr>
          <w:rFonts w:ascii="Arial" w:eastAsia="Arial" w:hAnsi="Arial" w:cs="Arial"/>
          <w:color w:val="000000"/>
          <w:sz w:val="24"/>
          <w:szCs w:val="24"/>
          <w:lang w:eastAsia="en-ZA"/>
        </w:rPr>
        <w:tab/>
      </w:r>
      <w:r w:rsidR="00A221C6">
        <w:rPr>
          <w:rFonts w:ascii="Arial" w:eastAsia="Arial" w:hAnsi="Arial" w:cs="Arial"/>
          <w:color w:val="000000"/>
          <w:sz w:val="24"/>
          <w:szCs w:val="24"/>
          <w:lang w:eastAsia="en-ZA"/>
        </w:rPr>
        <w:t>In the result, I make the following order:</w:t>
      </w:r>
    </w:p>
    <w:p w:rsidR="00F944E3" w:rsidRDefault="00F944E3" w:rsidP="00B76CA7">
      <w:pPr>
        <w:spacing w:after="0" w:line="360" w:lineRule="auto"/>
        <w:jc w:val="both"/>
        <w:rPr>
          <w:rFonts w:ascii="Arial" w:eastAsia="Arial" w:hAnsi="Arial" w:cs="Arial"/>
          <w:color w:val="000000"/>
          <w:sz w:val="24"/>
          <w:szCs w:val="24"/>
          <w:lang w:eastAsia="en-ZA"/>
        </w:rPr>
      </w:pPr>
    </w:p>
    <w:p w:rsidR="00884CA5" w:rsidRDefault="00884CA5" w:rsidP="00D8249D">
      <w:pPr>
        <w:shd w:val="clear" w:color="auto" w:fill="FFFFFF"/>
        <w:tabs>
          <w:tab w:val="left" w:pos="1260"/>
        </w:tabs>
        <w:spacing w:after="0" w:line="360" w:lineRule="auto"/>
        <w:ind w:left="1260" w:hanging="540"/>
        <w:jc w:val="both"/>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D8249D">
        <w:rPr>
          <w:rFonts w:ascii="Arial" w:eastAsia="Times New Roman" w:hAnsi="Arial" w:cs="Arial"/>
          <w:sz w:val="24"/>
          <w:szCs w:val="24"/>
        </w:rPr>
        <w:t>The appeal is dismissed. The matter is referred back to the arbitrator to finalise the arbitration proceedings</w:t>
      </w:r>
      <w:r>
        <w:rPr>
          <w:rFonts w:ascii="Arial" w:eastAsia="Times New Roman" w:hAnsi="Arial" w:cs="Arial"/>
          <w:sz w:val="24"/>
          <w:szCs w:val="24"/>
        </w:rPr>
        <w:t>.</w:t>
      </w:r>
    </w:p>
    <w:p w:rsidR="00884CA5" w:rsidRDefault="00884CA5" w:rsidP="00D8249D">
      <w:pPr>
        <w:shd w:val="clear" w:color="auto" w:fill="FFFFFF"/>
        <w:spacing w:after="0" w:line="360" w:lineRule="auto"/>
        <w:jc w:val="both"/>
        <w:rPr>
          <w:rFonts w:ascii="Arial" w:eastAsia="Times New Roman" w:hAnsi="Arial" w:cs="Arial"/>
          <w:sz w:val="24"/>
          <w:szCs w:val="24"/>
        </w:rPr>
      </w:pPr>
    </w:p>
    <w:p w:rsidR="00884CA5" w:rsidRDefault="00884CA5" w:rsidP="00884CA5">
      <w:pPr>
        <w:shd w:val="clear" w:color="auto" w:fill="FFFFFF"/>
        <w:tabs>
          <w:tab w:val="left" w:pos="1260"/>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t>There is no order as to costs.</w:t>
      </w:r>
    </w:p>
    <w:p w:rsidR="002D234F" w:rsidRDefault="002D234F" w:rsidP="00D05D12">
      <w:pPr>
        <w:spacing w:after="0" w:line="360" w:lineRule="auto"/>
        <w:jc w:val="both"/>
        <w:rPr>
          <w:rFonts w:ascii="Arial" w:hAnsi="Arial" w:cs="Arial"/>
          <w:sz w:val="24"/>
          <w:szCs w:val="24"/>
        </w:rPr>
      </w:pPr>
    </w:p>
    <w:p w:rsidR="004C0E07" w:rsidRDefault="004C0E07" w:rsidP="00D05D12">
      <w:pPr>
        <w:spacing w:after="0" w:line="360" w:lineRule="auto"/>
        <w:jc w:val="both"/>
        <w:rPr>
          <w:rFonts w:ascii="Arial" w:hAnsi="Arial" w:cs="Arial"/>
          <w:sz w:val="24"/>
          <w:szCs w:val="24"/>
        </w:rPr>
      </w:pPr>
    </w:p>
    <w:p w:rsidR="004C0E07" w:rsidRDefault="004C0E07" w:rsidP="00D05D12">
      <w:pPr>
        <w:spacing w:after="0" w:line="360" w:lineRule="auto"/>
        <w:jc w:val="both"/>
        <w:rPr>
          <w:rFonts w:ascii="Arial" w:hAnsi="Arial" w:cs="Arial"/>
          <w:sz w:val="24"/>
          <w:szCs w:val="24"/>
        </w:rPr>
      </w:pPr>
    </w:p>
    <w:p w:rsidR="00815FDC" w:rsidRPr="00F427F1" w:rsidRDefault="00815FDC" w:rsidP="00380248">
      <w:pPr>
        <w:spacing w:after="0" w:line="360" w:lineRule="auto"/>
        <w:jc w:val="both"/>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AD29A5">
        <w:rPr>
          <w:rFonts w:ascii="Arial" w:hAnsi="Arial" w:cs="Arial"/>
          <w:sz w:val="24"/>
          <w:szCs w:val="24"/>
        </w:rPr>
        <w:t>--</w:t>
      </w:r>
      <w:r w:rsidRPr="006E026B">
        <w:rPr>
          <w:rFonts w:ascii="Arial" w:hAnsi="Arial" w:cs="Arial"/>
          <w:sz w:val="24"/>
          <w:szCs w:val="24"/>
        </w:rPr>
        <w:t>-----------</w:t>
      </w:r>
    </w:p>
    <w:p w:rsidR="00884CA5" w:rsidRPr="006E026B" w:rsidRDefault="00884CA5" w:rsidP="00884CA5">
      <w:pPr>
        <w:spacing w:after="0" w:line="360" w:lineRule="auto"/>
        <w:jc w:val="right"/>
        <w:rPr>
          <w:rFonts w:ascii="Arial" w:hAnsi="Arial" w:cs="Arial"/>
          <w:sz w:val="24"/>
          <w:szCs w:val="24"/>
        </w:rPr>
      </w:pPr>
      <w:r>
        <w:rPr>
          <w:rFonts w:ascii="Arial" w:hAnsi="Arial" w:cs="Arial"/>
          <w:sz w:val="24"/>
          <w:szCs w:val="24"/>
        </w:rPr>
        <w:t>H Angula</w:t>
      </w:r>
    </w:p>
    <w:p w:rsidR="0011223C" w:rsidRPr="004C0E07" w:rsidRDefault="00884CA5" w:rsidP="00884CA5">
      <w:pPr>
        <w:spacing w:after="0" w:line="360" w:lineRule="auto"/>
        <w:jc w:val="right"/>
        <w:rPr>
          <w:rFonts w:ascii="Arial" w:hAnsi="Arial" w:cs="Arial"/>
          <w:sz w:val="24"/>
          <w:szCs w:val="24"/>
        </w:rPr>
      </w:pPr>
      <w:r>
        <w:rPr>
          <w:rFonts w:ascii="Arial" w:hAnsi="Arial" w:cs="Arial"/>
          <w:sz w:val="24"/>
          <w:szCs w:val="24"/>
        </w:rPr>
        <w:t>Deputy-Judge President</w:t>
      </w:r>
    </w:p>
    <w:p w:rsidR="00C41BE2" w:rsidRPr="004C0E07" w:rsidRDefault="00C41BE2" w:rsidP="00755AB9">
      <w:pPr>
        <w:spacing w:after="0" w:line="360" w:lineRule="auto"/>
        <w:jc w:val="both"/>
        <w:rPr>
          <w:rFonts w:ascii="Arial" w:hAnsi="Arial" w:cs="Arial"/>
          <w:sz w:val="24"/>
          <w:szCs w:val="24"/>
        </w:rPr>
      </w:pPr>
    </w:p>
    <w:p w:rsidR="0027197D" w:rsidRPr="004C0E07" w:rsidRDefault="001B7E1F" w:rsidP="00C41BE2">
      <w:pPr>
        <w:spacing w:after="0" w:line="360" w:lineRule="auto"/>
        <w:jc w:val="both"/>
        <w:rPr>
          <w:rFonts w:ascii="Arial" w:eastAsia="Times New Roman" w:hAnsi="Arial" w:cs="Arial"/>
          <w:sz w:val="24"/>
          <w:szCs w:val="24"/>
          <w:lang w:val="en-GB"/>
        </w:rPr>
      </w:pPr>
      <w:r w:rsidRPr="004C0E07">
        <w:rPr>
          <w:rFonts w:ascii="Arial" w:eastAsia="Times New Roman" w:hAnsi="Arial" w:cs="Arial"/>
          <w:sz w:val="24"/>
          <w:szCs w:val="24"/>
          <w:lang w:val="en-GB"/>
        </w:rPr>
        <w:br w:type="page"/>
      </w: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Default="001B7E1F" w:rsidP="001B7E1F">
      <w:pPr>
        <w:pStyle w:val="BodyText"/>
        <w:autoSpaceDE w:val="0"/>
        <w:autoSpaceDN w:val="0"/>
        <w:adjustRightInd w:val="0"/>
        <w:spacing w:line="360" w:lineRule="auto"/>
        <w:jc w:val="both"/>
        <w:rPr>
          <w:rFonts w:ascii="Arial" w:hAnsi="Arial" w:cs="Arial"/>
        </w:rPr>
      </w:pPr>
    </w:p>
    <w:p w:rsidR="00B53862" w:rsidRDefault="00B53862" w:rsidP="001B7E1F">
      <w:pPr>
        <w:pStyle w:val="BodyText"/>
        <w:autoSpaceDE w:val="0"/>
        <w:autoSpaceDN w:val="0"/>
        <w:adjustRightInd w:val="0"/>
        <w:spacing w:line="360" w:lineRule="auto"/>
        <w:jc w:val="both"/>
        <w:rPr>
          <w:rFonts w:ascii="Arial" w:hAnsi="Arial" w:cs="Arial"/>
        </w:rPr>
      </w:pPr>
    </w:p>
    <w:p w:rsidR="00E24E19" w:rsidRDefault="00710D32" w:rsidP="00E24E19">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APPELLANT</w:t>
      </w:r>
      <w:r w:rsidR="00E24E19">
        <w:rPr>
          <w:rFonts w:ascii="Arial" w:hAnsi="Arial" w:cs="Arial"/>
          <w:sz w:val="24"/>
          <w:szCs w:val="24"/>
        </w:rPr>
        <w:t>S</w:t>
      </w:r>
      <w:r w:rsidR="008C3957" w:rsidRPr="00923EB6">
        <w:rPr>
          <w:rFonts w:ascii="Arial" w:hAnsi="Arial" w:cs="Arial"/>
          <w:sz w:val="24"/>
          <w:szCs w:val="24"/>
        </w:rPr>
        <w:t>:</w:t>
      </w:r>
      <w:r w:rsidR="001B7E1F" w:rsidRPr="00923EB6">
        <w:rPr>
          <w:rFonts w:ascii="Arial" w:hAnsi="Arial" w:cs="Arial"/>
          <w:sz w:val="24"/>
          <w:szCs w:val="24"/>
        </w:rPr>
        <w:tab/>
      </w:r>
      <w:r w:rsidR="00923EB6">
        <w:rPr>
          <w:rFonts w:ascii="Arial" w:hAnsi="Arial" w:cs="Arial"/>
          <w:sz w:val="24"/>
          <w:szCs w:val="24"/>
        </w:rPr>
        <w:tab/>
      </w:r>
      <w:r w:rsidR="00E24E19">
        <w:rPr>
          <w:rFonts w:ascii="Arial" w:hAnsi="Arial" w:cs="Arial"/>
          <w:sz w:val="24"/>
          <w:szCs w:val="24"/>
        </w:rPr>
        <w:t>R T D MUELLER</w:t>
      </w:r>
    </w:p>
    <w:p w:rsidR="00206E37" w:rsidRPr="00923EB6" w:rsidRDefault="00E24E19" w:rsidP="00E24E19">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Instructed by Mueller Legal Practitioners, Windhoek</w:t>
      </w:r>
    </w:p>
    <w:p w:rsidR="003D3357" w:rsidRDefault="003D3357" w:rsidP="001B7E1F">
      <w:pPr>
        <w:tabs>
          <w:tab w:val="left" w:pos="1394"/>
          <w:tab w:val="left" w:pos="2528"/>
          <w:tab w:val="left" w:pos="3780"/>
        </w:tabs>
        <w:spacing w:after="0" w:line="360" w:lineRule="auto"/>
        <w:ind w:left="3780" w:hanging="3780"/>
        <w:jc w:val="both"/>
        <w:rPr>
          <w:rFonts w:ascii="Arial" w:hAnsi="Arial" w:cs="Arial"/>
          <w:sz w:val="24"/>
          <w:szCs w:val="24"/>
        </w:rPr>
      </w:pPr>
    </w:p>
    <w:p w:rsidR="00436D1E" w:rsidRPr="00923EB6" w:rsidRDefault="00436D1E" w:rsidP="001B7E1F">
      <w:pPr>
        <w:tabs>
          <w:tab w:val="left" w:pos="1394"/>
          <w:tab w:val="left" w:pos="2528"/>
          <w:tab w:val="left" w:pos="3780"/>
        </w:tabs>
        <w:spacing w:after="0" w:line="360" w:lineRule="auto"/>
        <w:ind w:left="3780" w:hanging="3780"/>
        <w:jc w:val="both"/>
        <w:rPr>
          <w:rFonts w:ascii="Arial" w:hAnsi="Arial" w:cs="Arial"/>
          <w:sz w:val="24"/>
          <w:szCs w:val="24"/>
        </w:rPr>
      </w:pPr>
    </w:p>
    <w:p w:rsidR="00206E37" w:rsidRDefault="00206E37" w:rsidP="001B7E1F">
      <w:pPr>
        <w:tabs>
          <w:tab w:val="left" w:pos="1394"/>
          <w:tab w:val="left" w:pos="2528"/>
          <w:tab w:val="left" w:pos="3780"/>
        </w:tabs>
        <w:spacing w:after="0" w:line="360" w:lineRule="auto"/>
        <w:ind w:left="3780" w:hanging="3780"/>
        <w:jc w:val="both"/>
        <w:rPr>
          <w:rFonts w:ascii="Arial" w:hAnsi="Arial" w:cs="Arial"/>
          <w:sz w:val="24"/>
          <w:szCs w:val="24"/>
        </w:rPr>
      </w:pPr>
    </w:p>
    <w:p w:rsidR="00E24E19" w:rsidRDefault="00436D1E" w:rsidP="00E24E19">
      <w:pPr>
        <w:tabs>
          <w:tab w:val="left" w:pos="1394"/>
          <w:tab w:val="left" w:pos="2528"/>
          <w:tab w:val="left" w:pos="3150"/>
        </w:tabs>
        <w:spacing w:after="0" w:line="360" w:lineRule="auto"/>
        <w:ind w:left="2970" w:hanging="2970"/>
        <w:jc w:val="both"/>
        <w:rPr>
          <w:rFonts w:ascii="Arial" w:hAnsi="Arial" w:cs="Arial"/>
          <w:sz w:val="24"/>
          <w:szCs w:val="24"/>
        </w:rPr>
      </w:pPr>
      <w:r w:rsidRPr="00923EB6">
        <w:rPr>
          <w:rFonts w:ascii="Arial" w:hAnsi="Arial" w:cs="Arial"/>
          <w:sz w:val="24"/>
          <w:szCs w:val="24"/>
        </w:rPr>
        <w:t>RESPONDENT</w:t>
      </w:r>
      <w:r w:rsidR="00E24E19">
        <w:rPr>
          <w:rFonts w:ascii="Arial" w:hAnsi="Arial" w:cs="Arial"/>
          <w:sz w:val="24"/>
          <w:szCs w:val="24"/>
        </w:rPr>
        <w:t>S</w:t>
      </w:r>
      <w:r w:rsidRPr="000E7777">
        <w:rPr>
          <w:rFonts w:ascii="Arial" w:hAnsi="Arial" w:cs="Arial"/>
          <w:sz w:val="24"/>
          <w:szCs w:val="24"/>
        </w:rPr>
        <w:t>:</w:t>
      </w:r>
      <w:r>
        <w:rPr>
          <w:rFonts w:ascii="Arial" w:hAnsi="Arial" w:cs="Arial"/>
          <w:sz w:val="24"/>
          <w:szCs w:val="24"/>
        </w:rPr>
        <w:tab/>
      </w:r>
      <w:r>
        <w:rPr>
          <w:rFonts w:ascii="Arial" w:hAnsi="Arial" w:cs="Arial"/>
          <w:sz w:val="24"/>
          <w:szCs w:val="24"/>
        </w:rPr>
        <w:tab/>
      </w:r>
      <w:r w:rsidR="00E24E19">
        <w:rPr>
          <w:rFonts w:ascii="Arial" w:hAnsi="Arial" w:cs="Arial"/>
          <w:sz w:val="24"/>
          <w:szCs w:val="24"/>
        </w:rPr>
        <w:t>U KATJIPUKA</w:t>
      </w:r>
    </w:p>
    <w:p w:rsidR="00E24E19" w:rsidRDefault="00E24E19" w:rsidP="00E24E19">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Nixon Marcus Public Law Office, Windhoek</w:t>
      </w:r>
    </w:p>
    <w:p w:rsidR="00436D1E" w:rsidRDefault="00436D1E" w:rsidP="00436D1E">
      <w:pPr>
        <w:autoSpaceDE w:val="0"/>
        <w:autoSpaceDN w:val="0"/>
        <w:adjustRightInd w:val="0"/>
        <w:spacing w:after="0" w:line="360" w:lineRule="auto"/>
        <w:ind w:left="2970"/>
        <w:jc w:val="both"/>
        <w:rPr>
          <w:rFonts w:ascii="Arial" w:hAnsi="Arial" w:cs="Arial"/>
          <w:sz w:val="24"/>
          <w:szCs w:val="24"/>
        </w:rPr>
      </w:pPr>
    </w:p>
    <w:p w:rsidR="00436D1E" w:rsidRPr="000E7777" w:rsidRDefault="00436D1E" w:rsidP="001B7E1F">
      <w:pPr>
        <w:tabs>
          <w:tab w:val="left" w:pos="1394"/>
          <w:tab w:val="left" w:pos="2528"/>
          <w:tab w:val="left" w:pos="3780"/>
        </w:tabs>
        <w:spacing w:after="0" w:line="360" w:lineRule="auto"/>
        <w:ind w:left="3780" w:hanging="3780"/>
        <w:jc w:val="both"/>
        <w:rPr>
          <w:rFonts w:ascii="Arial" w:hAnsi="Arial" w:cs="Arial"/>
          <w:sz w:val="24"/>
          <w:szCs w:val="24"/>
        </w:rPr>
      </w:pPr>
    </w:p>
    <w:p w:rsidR="00206E37" w:rsidRPr="000E7777" w:rsidRDefault="00206E37" w:rsidP="00206E37">
      <w:pPr>
        <w:autoSpaceDE w:val="0"/>
        <w:autoSpaceDN w:val="0"/>
        <w:adjustRightInd w:val="0"/>
        <w:spacing w:after="0" w:line="360" w:lineRule="auto"/>
        <w:jc w:val="both"/>
        <w:rPr>
          <w:rFonts w:ascii="Arial" w:hAnsi="Arial" w:cs="Arial"/>
          <w:sz w:val="24"/>
          <w:szCs w:val="24"/>
        </w:rPr>
      </w:pPr>
    </w:p>
    <w:sectPr w:rsidR="00206E37" w:rsidRPr="000E7777" w:rsidSect="00446288">
      <w:headerReference w:type="default" r:id="rId13"/>
      <w:pgSz w:w="11907" w:h="16839" w:code="9"/>
      <w:pgMar w:top="810" w:right="1440" w:bottom="108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4F" w:rsidRDefault="00367D4F" w:rsidP="00741B0B">
      <w:pPr>
        <w:spacing w:after="0" w:line="240" w:lineRule="auto"/>
      </w:pPr>
      <w:r>
        <w:separator/>
      </w:r>
    </w:p>
  </w:endnote>
  <w:endnote w:type="continuationSeparator" w:id="0">
    <w:p w:rsidR="00367D4F" w:rsidRDefault="00367D4F"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4F" w:rsidRDefault="00367D4F" w:rsidP="00741B0B">
      <w:pPr>
        <w:spacing w:after="0" w:line="240" w:lineRule="auto"/>
      </w:pPr>
      <w:r>
        <w:separator/>
      </w:r>
    </w:p>
  </w:footnote>
  <w:footnote w:type="continuationSeparator" w:id="0">
    <w:p w:rsidR="00367D4F" w:rsidRDefault="00367D4F" w:rsidP="00741B0B">
      <w:pPr>
        <w:spacing w:after="0" w:line="240" w:lineRule="auto"/>
      </w:pPr>
      <w:r>
        <w:continuationSeparator/>
      </w:r>
    </w:p>
  </w:footnote>
  <w:footnote w:id="1">
    <w:p w:rsidR="00A93312" w:rsidRPr="00A93312" w:rsidRDefault="00A93312" w:rsidP="00A93312">
      <w:pPr>
        <w:pStyle w:val="FootnoteText"/>
        <w:rPr>
          <w:rFonts w:ascii="Arial" w:hAnsi="Arial" w:cs="Arial"/>
          <w:sz w:val="18"/>
          <w:szCs w:val="18"/>
          <w:lang w:val="en-US"/>
        </w:rPr>
      </w:pPr>
      <w:r w:rsidRPr="00A93312">
        <w:rPr>
          <w:rStyle w:val="FootnoteReference"/>
          <w:rFonts w:ascii="Arial" w:hAnsi="Arial" w:cs="Arial"/>
          <w:sz w:val="18"/>
          <w:szCs w:val="18"/>
        </w:rPr>
        <w:footnoteRef/>
      </w:r>
      <w:r w:rsidRPr="00A93312">
        <w:rPr>
          <w:rFonts w:ascii="Arial" w:hAnsi="Arial" w:cs="Arial"/>
          <w:sz w:val="18"/>
          <w:szCs w:val="18"/>
        </w:rPr>
        <w:t xml:space="preserve"> (</w:t>
      </w:r>
      <w:r w:rsidRPr="00A93312">
        <w:rPr>
          <w:rFonts w:ascii="Arial" w:hAnsi="Arial" w:cs="Arial"/>
          <w:sz w:val="18"/>
          <w:szCs w:val="18"/>
          <w:lang w:val="en-US"/>
        </w:rPr>
        <w:t>LC 86/2012) [2014] NALCDM 10 (26)</w:t>
      </w:r>
      <w:r>
        <w:rPr>
          <w:rFonts w:ascii="Arial" w:hAnsi="Arial" w:cs="Arial"/>
          <w:sz w:val="18"/>
          <w:szCs w:val="18"/>
          <w:lang w:val="en-US"/>
        </w:rPr>
        <w:t>.</w:t>
      </w:r>
    </w:p>
  </w:footnote>
  <w:footnote w:id="2">
    <w:p w:rsidR="00A93312" w:rsidRPr="005B7D8F" w:rsidRDefault="00A93312" w:rsidP="00A93312">
      <w:pPr>
        <w:pStyle w:val="FootnoteText"/>
        <w:rPr>
          <w:rFonts w:ascii="Arial" w:hAnsi="Arial" w:cs="Arial"/>
          <w:sz w:val="18"/>
          <w:szCs w:val="18"/>
          <w:lang w:val="en-US"/>
        </w:rPr>
      </w:pPr>
      <w:r w:rsidRPr="005B7D8F">
        <w:rPr>
          <w:rStyle w:val="FootnoteReference"/>
          <w:rFonts w:ascii="Arial" w:hAnsi="Arial" w:cs="Arial"/>
          <w:sz w:val="18"/>
          <w:szCs w:val="18"/>
        </w:rPr>
        <w:footnoteRef/>
      </w:r>
      <w:r w:rsidRPr="005B7D8F">
        <w:rPr>
          <w:rFonts w:ascii="Arial" w:hAnsi="Arial" w:cs="Arial"/>
          <w:sz w:val="18"/>
          <w:szCs w:val="18"/>
        </w:rPr>
        <w:t xml:space="preserve"> </w:t>
      </w:r>
      <w:r w:rsidRPr="005B7D8F">
        <w:rPr>
          <w:rFonts w:ascii="Arial" w:hAnsi="Arial" w:cs="Arial"/>
          <w:sz w:val="18"/>
          <w:szCs w:val="18"/>
          <w:lang w:val="en-US"/>
        </w:rPr>
        <w:t>(LC 150/2013) [2014] NALCMD 16 (16 April 2014)</w:t>
      </w:r>
      <w:r w:rsidR="005B7D8F" w:rsidRPr="005B7D8F">
        <w:rPr>
          <w:rFonts w:ascii="Arial" w:hAnsi="Arial" w:cs="Arial"/>
          <w:sz w:val="18"/>
          <w:szCs w:val="18"/>
          <w:lang w:val="en-US"/>
        </w:rPr>
        <w:t>.</w:t>
      </w:r>
    </w:p>
  </w:footnote>
  <w:footnote w:id="3">
    <w:p w:rsidR="00A93312" w:rsidRPr="005B7D8F" w:rsidRDefault="00A93312" w:rsidP="00A93312">
      <w:pPr>
        <w:pStyle w:val="FootnoteText"/>
        <w:rPr>
          <w:rFonts w:ascii="Arial" w:hAnsi="Arial" w:cs="Arial"/>
          <w:sz w:val="18"/>
          <w:szCs w:val="18"/>
          <w:lang w:val="en-US"/>
        </w:rPr>
      </w:pPr>
      <w:r w:rsidRPr="005B7D8F">
        <w:rPr>
          <w:rStyle w:val="FootnoteReference"/>
          <w:rFonts w:ascii="Arial" w:hAnsi="Arial" w:cs="Arial"/>
          <w:sz w:val="18"/>
          <w:szCs w:val="18"/>
        </w:rPr>
        <w:footnoteRef/>
      </w:r>
      <w:r w:rsidRPr="005B7D8F">
        <w:rPr>
          <w:rFonts w:ascii="Arial" w:hAnsi="Arial" w:cs="Arial"/>
          <w:sz w:val="18"/>
          <w:szCs w:val="18"/>
        </w:rPr>
        <w:t xml:space="preserve"> </w:t>
      </w:r>
      <w:r w:rsidRPr="005B7D8F">
        <w:rPr>
          <w:rFonts w:ascii="Arial" w:hAnsi="Arial" w:cs="Arial"/>
          <w:sz w:val="18"/>
          <w:szCs w:val="18"/>
          <w:lang w:val="en-US"/>
        </w:rPr>
        <w:t>(LCA 14-2015) [2016] NALCMD 1 (18 January 2016)</w:t>
      </w:r>
      <w:r w:rsidR="005B7D8F" w:rsidRPr="005B7D8F">
        <w:rPr>
          <w:rFonts w:ascii="Arial" w:hAnsi="Arial" w:cs="Arial"/>
          <w:sz w:val="18"/>
          <w:szCs w:val="18"/>
          <w:lang w:val="en-US"/>
        </w:rPr>
        <w:t>.</w:t>
      </w:r>
    </w:p>
  </w:footnote>
  <w:footnote w:id="4">
    <w:p w:rsidR="005B7D8F" w:rsidRPr="005B7D8F" w:rsidRDefault="005B7D8F" w:rsidP="005B7D8F">
      <w:pPr>
        <w:pStyle w:val="FootnoteText"/>
        <w:rPr>
          <w:rFonts w:ascii="Arial" w:hAnsi="Arial" w:cs="Arial"/>
          <w:sz w:val="18"/>
          <w:szCs w:val="18"/>
          <w:lang w:val="en-US"/>
        </w:rPr>
      </w:pPr>
      <w:r w:rsidRPr="005B7D8F">
        <w:rPr>
          <w:rStyle w:val="FootnoteReference"/>
          <w:rFonts w:ascii="Arial" w:hAnsi="Arial" w:cs="Arial"/>
          <w:sz w:val="18"/>
          <w:szCs w:val="18"/>
        </w:rPr>
        <w:footnoteRef/>
      </w:r>
      <w:r w:rsidRPr="005B7D8F">
        <w:rPr>
          <w:rFonts w:ascii="Arial" w:hAnsi="Arial" w:cs="Arial"/>
          <w:sz w:val="18"/>
          <w:szCs w:val="18"/>
        </w:rPr>
        <w:t xml:space="preserve"> </w:t>
      </w:r>
      <w:r w:rsidRPr="005B7D8F">
        <w:rPr>
          <w:rFonts w:ascii="Arial" w:hAnsi="Arial" w:cs="Arial"/>
          <w:sz w:val="18"/>
          <w:szCs w:val="18"/>
          <w:lang w:val="en-US"/>
        </w:rPr>
        <w:t>(LCA 22/2014) [2015] NALCMD 5 (18 March 2015)</w:t>
      </w:r>
      <w:r>
        <w:rPr>
          <w:rFonts w:ascii="Arial" w:hAnsi="Arial" w:cs="Arial"/>
          <w:sz w:val="18"/>
          <w:szCs w:val="18"/>
          <w:lang w:val="en-US"/>
        </w:rPr>
        <w:t>.</w:t>
      </w:r>
    </w:p>
  </w:footnote>
  <w:footnote w:id="5">
    <w:p w:rsidR="005B7D8F" w:rsidRPr="005B7D8F" w:rsidRDefault="005B7D8F" w:rsidP="005B7D8F">
      <w:pPr>
        <w:pStyle w:val="FootnoteText"/>
        <w:rPr>
          <w:rFonts w:ascii="Arial" w:hAnsi="Arial" w:cs="Arial"/>
          <w:sz w:val="18"/>
          <w:szCs w:val="18"/>
          <w:lang w:val="en-US"/>
        </w:rPr>
      </w:pPr>
      <w:r w:rsidRPr="005B7D8F">
        <w:rPr>
          <w:rStyle w:val="FootnoteReference"/>
          <w:rFonts w:ascii="Arial" w:hAnsi="Arial" w:cs="Arial"/>
          <w:sz w:val="18"/>
          <w:szCs w:val="18"/>
        </w:rPr>
        <w:footnoteRef/>
      </w:r>
      <w:r w:rsidRPr="005B7D8F">
        <w:rPr>
          <w:rFonts w:ascii="Arial" w:hAnsi="Arial" w:cs="Arial"/>
          <w:sz w:val="18"/>
          <w:szCs w:val="18"/>
        </w:rPr>
        <w:t xml:space="preserve"> </w:t>
      </w:r>
      <w:r w:rsidRPr="005B7D8F">
        <w:rPr>
          <w:rFonts w:ascii="Arial" w:hAnsi="Arial" w:cs="Arial"/>
          <w:sz w:val="18"/>
          <w:szCs w:val="18"/>
          <w:lang w:val="en-US"/>
        </w:rPr>
        <w:t>(LCA 16/2011) [2011] NAHC 322 (20 October 2011)</w:t>
      </w:r>
      <w:r>
        <w:rPr>
          <w:rFonts w:ascii="Arial" w:hAnsi="Arial" w:cs="Arial"/>
          <w:sz w:val="18"/>
          <w:szCs w:val="18"/>
          <w:lang w:val="en-US"/>
        </w:rPr>
        <w:t>.</w:t>
      </w:r>
    </w:p>
  </w:footnote>
  <w:footnote w:id="6">
    <w:p w:rsidR="005B7D8F" w:rsidRPr="005B7D8F" w:rsidRDefault="005B7D8F" w:rsidP="005B7D8F">
      <w:pPr>
        <w:pStyle w:val="FootnoteText"/>
        <w:rPr>
          <w:rFonts w:ascii="Arial" w:hAnsi="Arial" w:cs="Arial"/>
          <w:sz w:val="18"/>
          <w:szCs w:val="18"/>
          <w:lang w:val="en-US"/>
        </w:rPr>
      </w:pPr>
      <w:r w:rsidRPr="005B7D8F">
        <w:rPr>
          <w:rStyle w:val="FootnoteReference"/>
          <w:rFonts w:ascii="Arial" w:hAnsi="Arial" w:cs="Arial"/>
          <w:sz w:val="18"/>
          <w:szCs w:val="18"/>
        </w:rPr>
        <w:footnoteRef/>
      </w:r>
      <w:r w:rsidRPr="005B7D8F">
        <w:rPr>
          <w:rFonts w:ascii="Arial" w:hAnsi="Arial" w:cs="Arial"/>
          <w:sz w:val="18"/>
          <w:szCs w:val="18"/>
        </w:rPr>
        <w:t xml:space="preserve"> (</w:t>
      </w:r>
      <w:r w:rsidRPr="005B7D8F">
        <w:rPr>
          <w:rFonts w:ascii="Arial" w:hAnsi="Arial" w:cs="Arial"/>
          <w:sz w:val="18"/>
          <w:szCs w:val="18"/>
          <w:lang w:val="en-US"/>
        </w:rPr>
        <w:t>SA 17-2014) NASC 915 (July 2016)</w:t>
      </w:r>
      <w:r>
        <w:rPr>
          <w:rFonts w:ascii="Arial" w:hAnsi="Arial" w:cs="Arial"/>
          <w:sz w:val="18"/>
          <w:szCs w:val="18"/>
          <w:lang w:val="en-US"/>
        </w:rPr>
        <w:t>.</w:t>
      </w:r>
    </w:p>
  </w:footnote>
  <w:footnote w:id="7">
    <w:p w:rsidR="00F408E2" w:rsidRPr="0024137E" w:rsidRDefault="00F408E2" w:rsidP="00F408E2">
      <w:pPr>
        <w:pStyle w:val="FootnoteText"/>
        <w:rPr>
          <w:rFonts w:ascii="Arial" w:hAnsi="Arial" w:cs="Arial"/>
          <w:sz w:val="18"/>
          <w:szCs w:val="18"/>
          <w:lang w:val="en-US"/>
        </w:rPr>
      </w:pPr>
      <w:r w:rsidRPr="0024137E">
        <w:rPr>
          <w:rStyle w:val="FootnoteReference"/>
          <w:rFonts w:ascii="Arial" w:hAnsi="Arial" w:cs="Arial"/>
          <w:sz w:val="18"/>
          <w:szCs w:val="18"/>
        </w:rPr>
        <w:footnoteRef/>
      </w:r>
      <w:r w:rsidRPr="0024137E">
        <w:rPr>
          <w:rFonts w:ascii="Arial" w:hAnsi="Arial" w:cs="Arial"/>
          <w:sz w:val="18"/>
          <w:szCs w:val="18"/>
        </w:rPr>
        <w:t xml:space="preserve"> </w:t>
      </w:r>
      <w:r w:rsidRPr="0024137E">
        <w:rPr>
          <w:rFonts w:ascii="Arial" w:hAnsi="Arial" w:cs="Arial"/>
          <w:sz w:val="18"/>
          <w:szCs w:val="18"/>
          <w:lang w:val="en-US"/>
        </w:rPr>
        <w:t xml:space="preserve">See </w:t>
      </w:r>
      <w:r w:rsidRPr="0024137E">
        <w:rPr>
          <w:rFonts w:ascii="Arial" w:hAnsi="Arial" w:cs="Arial"/>
          <w:i/>
          <w:sz w:val="18"/>
          <w:szCs w:val="18"/>
          <w:lang w:val="en-US"/>
        </w:rPr>
        <w:t>Visagie v Namibia Development Corporation</w:t>
      </w:r>
      <w:r w:rsidRPr="0024137E">
        <w:rPr>
          <w:rFonts w:ascii="Arial" w:hAnsi="Arial" w:cs="Arial"/>
          <w:sz w:val="18"/>
          <w:szCs w:val="18"/>
          <w:lang w:val="en-US"/>
        </w:rPr>
        <w:t xml:space="preserve"> 1999 NR 219 at 224.</w:t>
      </w:r>
    </w:p>
  </w:footnote>
  <w:footnote w:id="8">
    <w:p w:rsidR="0083439B" w:rsidRPr="0024137E" w:rsidRDefault="0083439B" w:rsidP="0083439B">
      <w:pPr>
        <w:pStyle w:val="FootnoteText"/>
        <w:rPr>
          <w:rFonts w:ascii="Arial" w:hAnsi="Arial" w:cs="Arial"/>
          <w:sz w:val="18"/>
          <w:szCs w:val="18"/>
          <w:lang w:val="en-US"/>
        </w:rPr>
      </w:pPr>
      <w:r w:rsidRPr="0024137E">
        <w:rPr>
          <w:rStyle w:val="FootnoteReference"/>
          <w:rFonts w:ascii="Arial" w:hAnsi="Arial" w:cs="Arial"/>
          <w:sz w:val="18"/>
          <w:szCs w:val="18"/>
        </w:rPr>
        <w:footnoteRef/>
      </w:r>
      <w:r w:rsidRPr="0024137E">
        <w:rPr>
          <w:rFonts w:ascii="Arial" w:hAnsi="Arial" w:cs="Arial"/>
          <w:sz w:val="18"/>
          <w:szCs w:val="18"/>
        </w:rPr>
        <w:t xml:space="preserve"> </w:t>
      </w:r>
      <w:r w:rsidR="00124D35" w:rsidRPr="0024137E">
        <w:rPr>
          <w:rFonts w:ascii="Arial" w:hAnsi="Arial" w:cs="Arial"/>
          <w:sz w:val="18"/>
          <w:szCs w:val="18"/>
        </w:rPr>
        <w:t xml:space="preserve">See </w:t>
      </w:r>
      <w:r w:rsidR="00124D35" w:rsidRPr="0024137E">
        <w:rPr>
          <w:rFonts w:ascii="Arial" w:hAnsi="Arial" w:cs="Arial"/>
          <w:i/>
          <w:sz w:val="18"/>
          <w:szCs w:val="18"/>
        </w:rPr>
        <w:t xml:space="preserve">Namibia Financial </w:t>
      </w:r>
      <w:r w:rsidR="0024137E" w:rsidRPr="0024137E">
        <w:rPr>
          <w:rFonts w:ascii="Arial" w:hAnsi="Arial" w:cs="Arial"/>
          <w:i/>
          <w:sz w:val="18"/>
          <w:szCs w:val="18"/>
        </w:rPr>
        <w:t>Institutions</w:t>
      </w:r>
      <w:r w:rsidR="00124D35" w:rsidRPr="0024137E">
        <w:rPr>
          <w:rFonts w:ascii="Arial" w:hAnsi="Arial" w:cs="Arial"/>
          <w:i/>
          <w:sz w:val="18"/>
          <w:szCs w:val="18"/>
        </w:rPr>
        <w:t xml:space="preserve"> Union (NAFINU) v Nedbank Namibia Ltd &amp; Another</w:t>
      </w:r>
      <w:r w:rsidR="00124D35" w:rsidRPr="0024137E">
        <w:rPr>
          <w:rFonts w:ascii="Arial" w:hAnsi="Arial" w:cs="Arial"/>
          <w:sz w:val="18"/>
          <w:szCs w:val="18"/>
        </w:rPr>
        <w:t xml:space="preserve"> </w:t>
      </w:r>
      <w:r w:rsidR="003B3F06" w:rsidRPr="0024137E">
        <w:rPr>
          <w:rFonts w:ascii="Arial" w:hAnsi="Arial" w:cs="Arial"/>
          <w:sz w:val="18"/>
          <w:szCs w:val="18"/>
        </w:rPr>
        <w:t>(SA 26/2015) [2015] NASC 18 (23 March 2016)</w:t>
      </w:r>
      <w:r w:rsidR="00124D35" w:rsidRPr="0024137E">
        <w:rPr>
          <w:rFonts w:ascii="Arial" w:hAnsi="Arial" w:cs="Arial"/>
          <w:sz w:val="18"/>
          <w:szCs w:val="18"/>
        </w:rPr>
        <w:t>.</w:t>
      </w:r>
    </w:p>
  </w:footnote>
  <w:footnote w:id="9">
    <w:p w:rsidR="00981207" w:rsidRPr="00981207" w:rsidRDefault="00981207" w:rsidP="00981207">
      <w:pPr>
        <w:pStyle w:val="FootnoteText"/>
        <w:rPr>
          <w:rFonts w:ascii="Arial" w:hAnsi="Arial" w:cs="Arial"/>
          <w:sz w:val="18"/>
          <w:szCs w:val="18"/>
          <w:lang w:val="en-US"/>
        </w:rPr>
      </w:pPr>
      <w:r w:rsidRPr="00981207">
        <w:rPr>
          <w:rStyle w:val="FootnoteReference"/>
          <w:rFonts w:ascii="Arial" w:hAnsi="Arial" w:cs="Arial"/>
          <w:sz w:val="18"/>
          <w:szCs w:val="18"/>
        </w:rPr>
        <w:footnoteRef/>
      </w:r>
      <w:r w:rsidRPr="00981207">
        <w:rPr>
          <w:rFonts w:ascii="Arial" w:hAnsi="Arial" w:cs="Arial"/>
          <w:sz w:val="18"/>
          <w:szCs w:val="18"/>
        </w:rPr>
        <w:t xml:space="preserve"> </w:t>
      </w:r>
      <w:r w:rsidRPr="00981207">
        <w:rPr>
          <w:rFonts w:ascii="Arial" w:hAnsi="Arial" w:cs="Arial"/>
          <w:sz w:val="18"/>
          <w:szCs w:val="18"/>
          <w:lang w:val="en-US"/>
        </w:rPr>
        <w:t xml:space="preserve">See </w:t>
      </w:r>
      <w:r>
        <w:rPr>
          <w:rFonts w:ascii="Arial" w:hAnsi="Arial" w:cs="Arial"/>
          <w:i/>
          <w:sz w:val="18"/>
          <w:szCs w:val="18"/>
          <w:lang w:val="en-US"/>
        </w:rPr>
        <w:t>Pep Stores Nambia</w:t>
      </w:r>
      <w:r w:rsidRPr="00981207">
        <w:rPr>
          <w:rFonts w:ascii="Arial" w:hAnsi="Arial" w:cs="Arial"/>
          <w:i/>
          <w:sz w:val="18"/>
          <w:szCs w:val="18"/>
          <w:lang w:val="en-US"/>
        </w:rPr>
        <w:t xml:space="preserve"> (Pty) Ltd v Iyambo</w:t>
      </w:r>
      <w:r w:rsidRPr="00981207">
        <w:rPr>
          <w:rFonts w:ascii="Arial" w:hAnsi="Arial" w:cs="Arial"/>
          <w:sz w:val="18"/>
          <w:szCs w:val="18"/>
          <w:lang w:val="en-US"/>
        </w:rPr>
        <w:t xml:space="preserve"> 2001 NR 211 at page 215 A-B and page 221 A-B</w:t>
      </w:r>
      <w:r>
        <w:rPr>
          <w:rFonts w:ascii="Arial" w:hAnsi="Arial" w:cs="Arial"/>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2A" w:rsidRDefault="0007022A">
    <w:pPr>
      <w:pStyle w:val="Header"/>
      <w:jc w:val="right"/>
    </w:pPr>
    <w:r>
      <w:fldChar w:fldCharType="begin"/>
    </w:r>
    <w:r>
      <w:instrText xml:space="preserve"> PAGE   \* MERGEFORMAT </w:instrText>
    </w:r>
    <w:r>
      <w:fldChar w:fldCharType="separate"/>
    </w:r>
    <w:r w:rsidR="00D07164">
      <w:rPr>
        <w:noProof/>
      </w:rPr>
      <w:t>21</w:t>
    </w:r>
    <w:r>
      <w:fldChar w:fldCharType="end"/>
    </w:r>
  </w:p>
  <w:p w:rsidR="0007022A" w:rsidRDefault="0007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A1D"/>
    <w:multiLevelType w:val="hybridMultilevel"/>
    <w:tmpl w:val="7A2C5F8E"/>
    <w:lvl w:ilvl="0" w:tplc="66CC3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E29F2"/>
    <w:multiLevelType w:val="hybridMultilevel"/>
    <w:tmpl w:val="50A2DF4E"/>
    <w:lvl w:ilvl="0" w:tplc="3236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D0C71"/>
    <w:multiLevelType w:val="hybridMultilevel"/>
    <w:tmpl w:val="5CBE683E"/>
    <w:lvl w:ilvl="0" w:tplc="76F05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771A3"/>
    <w:multiLevelType w:val="hybridMultilevel"/>
    <w:tmpl w:val="82A2E066"/>
    <w:lvl w:ilvl="0" w:tplc="F7C87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1F6812"/>
    <w:multiLevelType w:val="hybridMultilevel"/>
    <w:tmpl w:val="28C68320"/>
    <w:lvl w:ilvl="0" w:tplc="0DE091B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F160FB5"/>
    <w:multiLevelType w:val="hybridMultilevel"/>
    <w:tmpl w:val="DF16EA6C"/>
    <w:lvl w:ilvl="0" w:tplc="398AF5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F0AE2"/>
    <w:multiLevelType w:val="hybridMultilevel"/>
    <w:tmpl w:val="80C0EE54"/>
    <w:lvl w:ilvl="0" w:tplc="66BC921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8F01398"/>
    <w:multiLevelType w:val="hybridMultilevel"/>
    <w:tmpl w:val="32D6C2AE"/>
    <w:lvl w:ilvl="0" w:tplc="706E96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9274BD5"/>
    <w:multiLevelType w:val="hybridMultilevel"/>
    <w:tmpl w:val="6C1AA534"/>
    <w:lvl w:ilvl="0" w:tplc="A3846E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BD2294B"/>
    <w:multiLevelType w:val="hybridMultilevel"/>
    <w:tmpl w:val="C8FA955E"/>
    <w:lvl w:ilvl="0" w:tplc="9556893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44E707CF"/>
    <w:multiLevelType w:val="hybridMultilevel"/>
    <w:tmpl w:val="CCCEAEF0"/>
    <w:lvl w:ilvl="0" w:tplc="5DB0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52D2B"/>
    <w:multiLevelType w:val="hybridMultilevel"/>
    <w:tmpl w:val="67EC3986"/>
    <w:lvl w:ilvl="0" w:tplc="9B64BC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F3E3977"/>
    <w:multiLevelType w:val="hybridMultilevel"/>
    <w:tmpl w:val="74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540E7C"/>
    <w:multiLevelType w:val="hybridMultilevel"/>
    <w:tmpl w:val="0E4835CA"/>
    <w:lvl w:ilvl="0" w:tplc="E6005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E4E29"/>
    <w:multiLevelType w:val="hybridMultilevel"/>
    <w:tmpl w:val="F9386736"/>
    <w:lvl w:ilvl="0" w:tplc="C3F047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444A"/>
    <w:multiLevelType w:val="hybridMultilevel"/>
    <w:tmpl w:val="8EF26BDC"/>
    <w:lvl w:ilvl="0" w:tplc="644C2FF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F86AEB"/>
    <w:multiLevelType w:val="hybridMultilevel"/>
    <w:tmpl w:val="832460D0"/>
    <w:lvl w:ilvl="0" w:tplc="58E609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A87062"/>
    <w:multiLevelType w:val="hybridMultilevel"/>
    <w:tmpl w:val="AB88EFE0"/>
    <w:lvl w:ilvl="0" w:tplc="EE14318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359A2"/>
    <w:multiLevelType w:val="hybridMultilevel"/>
    <w:tmpl w:val="679417C4"/>
    <w:lvl w:ilvl="0" w:tplc="23A6F1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3"/>
  </w:num>
  <w:num w:numId="3">
    <w:abstractNumId w:val="16"/>
  </w:num>
  <w:num w:numId="4">
    <w:abstractNumId w:val="21"/>
  </w:num>
  <w:num w:numId="5">
    <w:abstractNumId w:val="18"/>
  </w:num>
  <w:num w:numId="6">
    <w:abstractNumId w:val="6"/>
  </w:num>
  <w:num w:numId="7">
    <w:abstractNumId w:val="1"/>
  </w:num>
  <w:num w:numId="8">
    <w:abstractNumId w:val="14"/>
  </w:num>
  <w:num w:numId="9">
    <w:abstractNumId w:val="22"/>
  </w:num>
  <w:num w:numId="10">
    <w:abstractNumId w:val="4"/>
  </w:num>
  <w:num w:numId="11">
    <w:abstractNumId w:val="20"/>
  </w:num>
  <w:num w:numId="12">
    <w:abstractNumId w:val="2"/>
  </w:num>
  <w:num w:numId="13">
    <w:abstractNumId w:val="17"/>
  </w:num>
  <w:num w:numId="14">
    <w:abstractNumId w:val="12"/>
  </w:num>
  <w:num w:numId="15">
    <w:abstractNumId w:val="0"/>
  </w:num>
  <w:num w:numId="16">
    <w:abstractNumId w:val="10"/>
  </w:num>
  <w:num w:numId="17">
    <w:abstractNumId w:val="3"/>
  </w:num>
  <w:num w:numId="18">
    <w:abstractNumId w:val="5"/>
  </w:num>
  <w:num w:numId="19">
    <w:abstractNumId w:val="7"/>
  </w:num>
  <w:num w:numId="20">
    <w:abstractNumId w:val="19"/>
  </w:num>
  <w:num w:numId="21">
    <w:abstractNumId w:val="11"/>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2436"/>
    <w:rsid w:val="00006AD8"/>
    <w:rsid w:val="00007446"/>
    <w:rsid w:val="00010C81"/>
    <w:rsid w:val="00011175"/>
    <w:rsid w:val="00013506"/>
    <w:rsid w:val="0001414A"/>
    <w:rsid w:val="00016998"/>
    <w:rsid w:val="000175D1"/>
    <w:rsid w:val="00021668"/>
    <w:rsid w:val="00023C59"/>
    <w:rsid w:val="0002490F"/>
    <w:rsid w:val="00025275"/>
    <w:rsid w:val="000255DD"/>
    <w:rsid w:val="00026840"/>
    <w:rsid w:val="00027363"/>
    <w:rsid w:val="00035475"/>
    <w:rsid w:val="00035DD3"/>
    <w:rsid w:val="00037F98"/>
    <w:rsid w:val="00042AEB"/>
    <w:rsid w:val="000435C4"/>
    <w:rsid w:val="000457F0"/>
    <w:rsid w:val="00052BC0"/>
    <w:rsid w:val="00054854"/>
    <w:rsid w:val="00054EB8"/>
    <w:rsid w:val="00056DA6"/>
    <w:rsid w:val="00063043"/>
    <w:rsid w:val="000640C6"/>
    <w:rsid w:val="0006517E"/>
    <w:rsid w:val="0006599C"/>
    <w:rsid w:val="0007022A"/>
    <w:rsid w:val="000702EA"/>
    <w:rsid w:val="00070BE8"/>
    <w:rsid w:val="00071840"/>
    <w:rsid w:val="0007442D"/>
    <w:rsid w:val="00076190"/>
    <w:rsid w:val="00076A73"/>
    <w:rsid w:val="00077B38"/>
    <w:rsid w:val="000804D8"/>
    <w:rsid w:val="00080597"/>
    <w:rsid w:val="000833D2"/>
    <w:rsid w:val="00083729"/>
    <w:rsid w:val="000847B8"/>
    <w:rsid w:val="000902B0"/>
    <w:rsid w:val="00093369"/>
    <w:rsid w:val="00094DE4"/>
    <w:rsid w:val="0009657A"/>
    <w:rsid w:val="000A2462"/>
    <w:rsid w:val="000A35E5"/>
    <w:rsid w:val="000A36D1"/>
    <w:rsid w:val="000A3912"/>
    <w:rsid w:val="000A4DE3"/>
    <w:rsid w:val="000B07B3"/>
    <w:rsid w:val="000B67D2"/>
    <w:rsid w:val="000C1997"/>
    <w:rsid w:val="000C1AC7"/>
    <w:rsid w:val="000C4AE7"/>
    <w:rsid w:val="000C5A8B"/>
    <w:rsid w:val="000D0341"/>
    <w:rsid w:val="000D06A1"/>
    <w:rsid w:val="000D223B"/>
    <w:rsid w:val="000D310B"/>
    <w:rsid w:val="000D3CD3"/>
    <w:rsid w:val="000D4AF3"/>
    <w:rsid w:val="000D7643"/>
    <w:rsid w:val="000E037D"/>
    <w:rsid w:val="000E0422"/>
    <w:rsid w:val="000E0A96"/>
    <w:rsid w:val="000E1F0C"/>
    <w:rsid w:val="000E30A8"/>
    <w:rsid w:val="000E4886"/>
    <w:rsid w:val="000E4BA3"/>
    <w:rsid w:val="000E4FCC"/>
    <w:rsid w:val="000E6399"/>
    <w:rsid w:val="000F03C6"/>
    <w:rsid w:val="000F1AFB"/>
    <w:rsid w:val="000F1DE6"/>
    <w:rsid w:val="000F20FB"/>
    <w:rsid w:val="000F2BA9"/>
    <w:rsid w:val="000F2BFD"/>
    <w:rsid w:val="000F5236"/>
    <w:rsid w:val="00101FFC"/>
    <w:rsid w:val="00105726"/>
    <w:rsid w:val="00110E9C"/>
    <w:rsid w:val="0011223C"/>
    <w:rsid w:val="00113F39"/>
    <w:rsid w:val="00115F14"/>
    <w:rsid w:val="00116616"/>
    <w:rsid w:val="001178E3"/>
    <w:rsid w:val="001208BB"/>
    <w:rsid w:val="0012103B"/>
    <w:rsid w:val="00123E9C"/>
    <w:rsid w:val="00124D35"/>
    <w:rsid w:val="00132661"/>
    <w:rsid w:val="0013363A"/>
    <w:rsid w:val="00133A38"/>
    <w:rsid w:val="00134919"/>
    <w:rsid w:val="00136A2B"/>
    <w:rsid w:val="00141465"/>
    <w:rsid w:val="001421E3"/>
    <w:rsid w:val="001424E4"/>
    <w:rsid w:val="00142A5E"/>
    <w:rsid w:val="00142F10"/>
    <w:rsid w:val="001504D0"/>
    <w:rsid w:val="001529A8"/>
    <w:rsid w:val="001543FF"/>
    <w:rsid w:val="00155692"/>
    <w:rsid w:val="00162E12"/>
    <w:rsid w:val="001639F5"/>
    <w:rsid w:val="00166696"/>
    <w:rsid w:val="00167681"/>
    <w:rsid w:val="0016796E"/>
    <w:rsid w:val="00170F68"/>
    <w:rsid w:val="0017241B"/>
    <w:rsid w:val="00173A75"/>
    <w:rsid w:val="0017548E"/>
    <w:rsid w:val="00175526"/>
    <w:rsid w:val="00181B77"/>
    <w:rsid w:val="00183C5D"/>
    <w:rsid w:val="0018573B"/>
    <w:rsid w:val="00186F1D"/>
    <w:rsid w:val="00187046"/>
    <w:rsid w:val="00194B77"/>
    <w:rsid w:val="00194C25"/>
    <w:rsid w:val="00194F55"/>
    <w:rsid w:val="001960FA"/>
    <w:rsid w:val="001A1DC3"/>
    <w:rsid w:val="001A2070"/>
    <w:rsid w:val="001A2E80"/>
    <w:rsid w:val="001A31CA"/>
    <w:rsid w:val="001A38B3"/>
    <w:rsid w:val="001B225E"/>
    <w:rsid w:val="001B25A8"/>
    <w:rsid w:val="001B3AF0"/>
    <w:rsid w:val="001B508F"/>
    <w:rsid w:val="001B7E1F"/>
    <w:rsid w:val="001C07C4"/>
    <w:rsid w:val="001C157E"/>
    <w:rsid w:val="001C2121"/>
    <w:rsid w:val="001C70DB"/>
    <w:rsid w:val="001D0034"/>
    <w:rsid w:val="001D1D9D"/>
    <w:rsid w:val="001D2ECC"/>
    <w:rsid w:val="001D31AF"/>
    <w:rsid w:val="001D32C4"/>
    <w:rsid w:val="001D6631"/>
    <w:rsid w:val="001E16C3"/>
    <w:rsid w:val="001E16ED"/>
    <w:rsid w:val="001E5F68"/>
    <w:rsid w:val="001E6470"/>
    <w:rsid w:val="001F172D"/>
    <w:rsid w:val="001F1B93"/>
    <w:rsid w:val="001F3461"/>
    <w:rsid w:val="001F3536"/>
    <w:rsid w:val="001F36A3"/>
    <w:rsid w:val="001F471B"/>
    <w:rsid w:val="001F73A8"/>
    <w:rsid w:val="001F7C48"/>
    <w:rsid w:val="00201100"/>
    <w:rsid w:val="00201CC3"/>
    <w:rsid w:val="002038EB"/>
    <w:rsid w:val="0020432A"/>
    <w:rsid w:val="00204F65"/>
    <w:rsid w:val="00206E37"/>
    <w:rsid w:val="00207713"/>
    <w:rsid w:val="00210695"/>
    <w:rsid w:val="00211BA5"/>
    <w:rsid w:val="00212878"/>
    <w:rsid w:val="00212F96"/>
    <w:rsid w:val="002136A3"/>
    <w:rsid w:val="002150C9"/>
    <w:rsid w:val="00216188"/>
    <w:rsid w:val="002169BC"/>
    <w:rsid w:val="00221A20"/>
    <w:rsid w:val="00222788"/>
    <w:rsid w:val="00222B3B"/>
    <w:rsid w:val="00224A47"/>
    <w:rsid w:val="00226D3E"/>
    <w:rsid w:val="0023032F"/>
    <w:rsid w:val="00230701"/>
    <w:rsid w:val="00231340"/>
    <w:rsid w:val="00231DE1"/>
    <w:rsid w:val="00231DE9"/>
    <w:rsid w:val="00233E10"/>
    <w:rsid w:val="002367CB"/>
    <w:rsid w:val="00236BAC"/>
    <w:rsid w:val="0024137E"/>
    <w:rsid w:val="0024220D"/>
    <w:rsid w:val="002428A2"/>
    <w:rsid w:val="00243B25"/>
    <w:rsid w:val="0024515F"/>
    <w:rsid w:val="00246EA5"/>
    <w:rsid w:val="00251C81"/>
    <w:rsid w:val="00251ECF"/>
    <w:rsid w:val="002548FE"/>
    <w:rsid w:val="0026041D"/>
    <w:rsid w:val="0026045E"/>
    <w:rsid w:val="00261F8B"/>
    <w:rsid w:val="002631B9"/>
    <w:rsid w:val="00263C2F"/>
    <w:rsid w:val="00265902"/>
    <w:rsid w:val="0026751A"/>
    <w:rsid w:val="0027197D"/>
    <w:rsid w:val="00274366"/>
    <w:rsid w:val="00276291"/>
    <w:rsid w:val="00276D9C"/>
    <w:rsid w:val="002772FD"/>
    <w:rsid w:val="00277F97"/>
    <w:rsid w:val="00282072"/>
    <w:rsid w:val="00283EF2"/>
    <w:rsid w:val="00283FD0"/>
    <w:rsid w:val="00286140"/>
    <w:rsid w:val="002904D4"/>
    <w:rsid w:val="0029134E"/>
    <w:rsid w:val="0029407B"/>
    <w:rsid w:val="00295D1E"/>
    <w:rsid w:val="0029616D"/>
    <w:rsid w:val="002A0B6F"/>
    <w:rsid w:val="002A2D90"/>
    <w:rsid w:val="002A32F8"/>
    <w:rsid w:val="002A4C26"/>
    <w:rsid w:val="002A5976"/>
    <w:rsid w:val="002A79A5"/>
    <w:rsid w:val="002B01E8"/>
    <w:rsid w:val="002B1ACE"/>
    <w:rsid w:val="002B493F"/>
    <w:rsid w:val="002B5319"/>
    <w:rsid w:val="002C0278"/>
    <w:rsid w:val="002C164D"/>
    <w:rsid w:val="002C199F"/>
    <w:rsid w:val="002C1DB8"/>
    <w:rsid w:val="002C3350"/>
    <w:rsid w:val="002C3972"/>
    <w:rsid w:val="002C4BEB"/>
    <w:rsid w:val="002D0468"/>
    <w:rsid w:val="002D148C"/>
    <w:rsid w:val="002D234F"/>
    <w:rsid w:val="002D5A94"/>
    <w:rsid w:val="002E0CBA"/>
    <w:rsid w:val="002E1C7F"/>
    <w:rsid w:val="002E30D0"/>
    <w:rsid w:val="002E4364"/>
    <w:rsid w:val="002E5C2F"/>
    <w:rsid w:val="002E5FF4"/>
    <w:rsid w:val="002E7B24"/>
    <w:rsid w:val="002F0A87"/>
    <w:rsid w:val="002F3662"/>
    <w:rsid w:val="002F4A80"/>
    <w:rsid w:val="002F5005"/>
    <w:rsid w:val="002F62F1"/>
    <w:rsid w:val="00302E3D"/>
    <w:rsid w:val="003038B5"/>
    <w:rsid w:val="00303B69"/>
    <w:rsid w:val="00303D5E"/>
    <w:rsid w:val="0030417B"/>
    <w:rsid w:val="00305332"/>
    <w:rsid w:val="00305AF3"/>
    <w:rsid w:val="00307066"/>
    <w:rsid w:val="0030722F"/>
    <w:rsid w:val="00310C34"/>
    <w:rsid w:val="003117E9"/>
    <w:rsid w:val="00315F6C"/>
    <w:rsid w:val="00317ABE"/>
    <w:rsid w:val="00320150"/>
    <w:rsid w:val="0032070C"/>
    <w:rsid w:val="00322887"/>
    <w:rsid w:val="0033772A"/>
    <w:rsid w:val="00340EBF"/>
    <w:rsid w:val="00341626"/>
    <w:rsid w:val="00345985"/>
    <w:rsid w:val="00347869"/>
    <w:rsid w:val="00350383"/>
    <w:rsid w:val="00352F76"/>
    <w:rsid w:val="003547D6"/>
    <w:rsid w:val="003550B2"/>
    <w:rsid w:val="00355A85"/>
    <w:rsid w:val="00356DF3"/>
    <w:rsid w:val="00356E74"/>
    <w:rsid w:val="00361057"/>
    <w:rsid w:val="003628E4"/>
    <w:rsid w:val="00362DBA"/>
    <w:rsid w:val="00364B9C"/>
    <w:rsid w:val="00365C87"/>
    <w:rsid w:val="00367D4F"/>
    <w:rsid w:val="0037096D"/>
    <w:rsid w:val="00370AAC"/>
    <w:rsid w:val="00370BCB"/>
    <w:rsid w:val="003711EB"/>
    <w:rsid w:val="00371728"/>
    <w:rsid w:val="00371A21"/>
    <w:rsid w:val="00371F06"/>
    <w:rsid w:val="00372408"/>
    <w:rsid w:val="0037273A"/>
    <w:rsid w:val="0037369B"/>
    <w:rsid w:val="00377080"/>
    <w:rsid w:val="00380248"/>
    <w:rsid w:val="00381EAE"/>
    <w:rsid w:val="00382F8D"/>
    <w:rsid w:val="00383A36"/>
    <w:rsid w:val="00385822"/>
    <w:rsid w:val="00386722"/>
    <w:rsid w:val="00390BC0"/>
    <w:rsid w:val="00390E5F"/>
    <w:rsid w:val="00391409"/>
    <w:rsid w:val="00393B33"/>
    <w:rsid w:val="0039439B"/>
    <w:rsid w:val="003944EA"/>
    <w:rsid w:val="00397022"/>
    <w:rsid w:val="003A36D3"/>
    <w:rsid w:val="003A3734"/>
    <w:rsid w:val="003A59EB"/>
    <w:rsid w:val="003A5CE7"/>
    <w:rsid w:val="003A657D"/>
    <w:rsid w:val="003A7347"/>
    <w:rsid w:val="003B1CE5"/>
    <w:rsid w:val="003B1F43"/>
    <w:rsid w:val="003B332B"/>
    <w:rsid w:val="003B3F06"/>
    <w:rsid w:val="003B44AE"/>
    <w:rsid w:val="003B5232"/>
    <w:rsid w:val="003B61A2"/>
    <w:rsid w:val="003C2C6D"/>
    <w:rsid w:val="003C2F26"/>
    <w:rsid w:val="003D0AAF"/>
    <w:rsid w:val="003D3357"/>
    <w:rsid w:val="003D4211"/>
    <w:rsid w:val="003D4704"/>
    <w:rsid w:val="003D67E9"/>
    <w:rsid w:val="003D7CF1"/>
    <w:rsid w:val="003E1525"/>
    <w:rsid w:val="003E171F"/>
    <w:rsid w:val="003E2F15"/>
    <w:rsid w:val="003E30CE"/>
    <w:rsid w:val="003E52F4"/>
    <w:rsid w:val="003F4137"/>
    <w:rsid w:val="003F448C"/>
    <w:rsid w:val="003F528D"/>
    <w:rsid w:val="0040121B"/>
    <w:rsid w:val="00402F0F"/>
    <w:rsid w:val="00404F65"/>
    <w:rsid w:val="00406102"/>
    <w:rsid w:val="0040768F"/>
    <w:rsid w:val="00412044"/>
    <w:rsid w:val="004125EC"/>
    <w:rsid w:val="00412876"/>
    <w:rsid w:val="00412CC8"/>
    <w:rsid w:val="00413B9F"/>
    <w:rsid w:val="004154CC"/>
    <w:rsid w:val="004155F2"/>
    <w:rsid w:val="00415609"/>
    <w:rsid w:val="00415BA7"/>
    <w:rsid w:val="00416063"/>
    <w:rsid w:val="0041707D"/>
    <w:rsid w:val="0041771B"/>
    <w:rsid w:val="00417DCF"/>
    <w:rsid w:val="0042013B"/>
    <w:rsid w:val="0042169C"/>
    <w:rsid w:val="0042217E"/>
    <w:rsid w:val="00425223"/>
    <w:rsid w:val="00425DE4"/>
    <w:rsid w:val="00426E02"/>
    <w:rsid w:val="00431321"/>
    <w:rsid w:val="00431942"/>
    <w:rsid w:val="00431EE6"/>
    <w:rsid w:val="00433751"/>
    <w:rsid w:val="004341F4"/>
    <w:rsid w:val="00436978"/>
    <w:rsid w:val="0043699E"/>
    <w:rsid w:val="00436D1E"/>
    <w:rsid w:val="00437652"/>
    <w:rsid w:val="00440878"/>
    <w:rsid w:val="0044203A"/>
    <w:rsid w:val="004458EB"/>
    <w:rsid w:val="00445CB4"/>
    <w:rsid w:val="00446288"/>
    <w:rsid w:val="00452033"/>
    <w:rsid w:val="004532FA"/>
    <w:rsid w:val="00454598"/>
    <w:rsid w:val="004558C5"/>
    <w:rsid w:val="00455ECD"/>
    <w:rsid w:val="00457318"/>
    <w:rsid w:val="0046153B"/>
    <w:rsid w:val="00461B3D"/>
    <w:rsid w:val="004625C6"/>
    <w:rsid w:val="004641AB"/>
    <w:rsid w:val="00471240"/>
    <w:rsid w:val="00472747"/>
    <w:rsid w:val="00472887"/>
    <w:rsid w:val="00472C81"/>
    <w:rsid w:val="0047488B"/>
    <w:rsid w:val="00477029"/>
    <w:rsid w:val="0048131A"/>
    <w:rsid w:val="00482516"/>
    <w:rsid w:val="0048402C"/>
    <w:rsid w:val="004856A0"/>
    <w:rsid w:val="00487E17"/>
    <w:rsid w:val="00492136"/>
    <w:rsid w:val="00492B09"/>
    <w:rsid w:val="00493315"/>
    <w:rsid w:val="00493391"/>
    <w:rsid w:val="00493AA5"/>
    <w:rsid w:val="0049592C"/>
    <w:rsid w:val="00496204"/>
    <w:rsid w:val="004963CF"/>
    <w:rsid w:val="00497879"/>
    <w:rsid w:val="00497E28"/>
    <w:rsid w:val="004A0A3F"/>
    <w:rsid w:val="004A3678"/>
    <w:rsid w:val="004A5249"/>
    <w:rsid w:val="004A65C8"/>
    <w:rsid w:val="004A76BA"/>
    <w:rsid w:val="004B006A"/>
    <w:rsid w:val="004B0C5F"/>
    <w:rsid w:val="004B1427"/>
    <w:rsid w:val="004C0E07"/>
    <w:rsid w:val="004C2A86"/>
    <w:rsid w:val="004C4B90"/>
    <w:rsid w:val="004C63B5"/>
    <w:rsid w:val="004D517B"/>
    <w:rsid w:val="004E3EF7"/>
    <w:rsid w:val="004E44DD"/>
    <w:rsid w:val="004E6F0E"/>
    <w:rsid w:val="004E72BB"/>
    <w:rsid w:val="004F08B9"/>
    <w:rsid w:val="004F273A"/>
    <w:rsid w:val="004F2C88"/>
    <w:rsid w:val="004F375C"/>
    <w:rsid w:val="004F3863"/>
    <w:rsid w:val="004F3E29"/>
    <w:rsid w:val="004F7537"/>
    <w:rsid w:val="00500109"/>
    <w:rsid w:val="005010B7"/>
    <w:rsid w:val="00501280"/>
    <w:rsid w:val="005048F2"/>
    <w:rsid w:val="0050738B"/>
    <w:rsid w:val="00507D04"/>
    <w:rsid w:val="005124BB"/>
    <w:rsid w:val="00512C45"/>
    <w:rsid w:val="005144D6"/>
    <w:rsid w:val="005161F1"/>
    <w:rsid w:val="00516828"/>
    <w:rsid w:val="00516B6D"/>
    <w:rsid w:val="0051790E"/>
    <w:rsid w:val="00522E1D"/>
    <w:rsid w:val="005234B7"/>
    <w:rsid w:val="00526181"/>
    <w:rsid w:val="005265F5"/>
    <w:rsid w:val="0052676A"/>
    <w:rsid w:val="00526799"/>
    <w:rsid w:val="00526DAC"/>
    <w:rsid w:val="00530175"/>
    <w:rsid w:val="005303E7"/>
    <w:rsid w:val="00531606"/>
    <w:rsid w:val="0053339F"/>
    <w:rsid w:val="00533716"/>
    <w:rsid w:val="0053605D"/>
    <w:rsid w:val="00536160"/>
    <w:rsid w:val="00536EAB"/>
    <w:rsid w:val="005442CE"/>
    <w:rsid w:val="00546DEE"/>
    <w:rsid w:val="0054783D"/>
    <w:rsid w:val="00550284"/>
    <w:rsid w:val="005513DB"/>
    <w:rsid w:val="00552306"/>
    <w:rsid w:val="00552591"/>
    <w:rsid w:val="00553A2A"/>
    <w:rsid w:val="005541B6"/>
    <w:rsid w:val="005550E9"/>
    <w:rsid w:val="00556594"/>
    <w:rsid w:val="00561524"/>
    <w:rsid w:val="005626F4"/>
    <w:rsid w:val="005642DC"/>
    <w:rsid w:val="0056796E"/>
    <w:rsid w:val="0057152D"/>
    <w:rsid w:val="0057533F"/>
    <w:rsid w:val="00575F63"/>
    <w:rsid w:val="00576675"/>
    <w:rsid w:val="00581654"/>
    <w:rsid w:val="005825A2"/>
    <w:rsid w:val="00582F49"/>
    <w:rsid w:val="0058376F"/>
    <w:rsid w:val="00586D6F"/>
    <w:rsid w:val="00587CEB"/>
    <w:rsid w:val="0059040A"/>
    <w:rsid w:val="00594EAA"/>
    <w:rsid w:val="005958D8"/>
    <w:rsid w:val="00596557"/>
    <w:rsid w:val="00596E1F"/>
    <w:rsid w:val="00597AC5"/>
    <w:rsid w:val="005A0895"/>
    <w:rsid w:val="005A1B51"/>
    <w:rsid w:val="005A1E16"/>
    <w:rsid w:val="005A3363"/>
    <w:rsid w:val="005A413E"/>
    <w:rsid w:val="005A54AA"/>
    <w:rsid w:val="005A6984"/>
    <w:rsid w:val="005B0D26"/>
    <w:rsid w:val="005B1886"/>
    <w:rsid w:val="005B33A4"/>
    <w:rsid w:val="005B7929"/>
    <w:rsid w:val="005B7D8F"/>
    <w:rsid w:val="005C390C"/>
    <w:rsid w:val="005C3E7C"/>
    <w:rsid w:val="005C5055"/>
    <w:rsid w:val="005C7433"/>
    <w:rsid w:val="005D1AEE"/>
    <w:rsid w:val="005D2A9E"/>
    <w:rsid w:val="005D3FE8"/>
    <w:rsid w:val="005E33C8"/>
    <w:rsid w:val="005E3941"/>
    <w:rsid w:val="005E5AFB"/>
    <w:rsid w:val="005E6F85"/>
    <w:rsid w:val="005F0633"/>
    <w:rsid w:val="005F124C"/>
    <w:rsid w:val="005F1D03"/>
    <w:rsid w:val="005F2CF6"/>
    <w:rsid w:val="005F3F49"/>
    <w:rsid w:val="005F5312"/>
    <w:rsid w:val="005F5B9D"/>
    <w:rsid w:val="005F5BC6"/>
    <w:rsid w:val="005F6547"/>
    <w:rsid w:val="005F69FC"/>
    <w:rsid w:val="005F71B9"/>
    <w:rsid w:val="00601172"/>
    <w:rsid w:val="00602127"/>
    <w:rsid w:val="00602C79"/>
    <w:rsid w:val="00603E6F"/>
    <w:rsid w:val="006040B4"/>
    <w:rsid w:val="0060507E"/>
    <w:rsid w:val="00605551"/>
    <w:rsid w:val="00605D78"/>
    <w:rsid w:val="00607470"/>
    <w:rsid w:val="0062047D"/>
    <w:rsid w:val="0062326F"/>
    <w:rsid w:val="00623F5E"/>
    <w:rsid w:val="00626336"/>
    <w:rsid w:val="00626E78"/>
    <w:rsid w:val="00631F8B"/>
    <w:rsid w:val="006337FB"/>
    <w:rsid w:val="00635A6B"/>
    <w:rsid w:val="006435FD"/>
    <w:rsid w:val="00652D68"/>
    <w:rsid w:val="00654BD4"/>
    <w:rsid w:val="00656075"/>
    <w:rsid w:val="00661721"/>
    <w:rsid w:val="00661A2C"/>
    <w:rsid w:val="00661EC8"/>
    <w:rsid w:val="00663105"/>
    <w:rsid w:val="00664EC9"/>
    <w:rsid w:val="006657F1"/>
    <w:rsid w:val="00666217"/>
    <w:rsid w:val="00667490"/>
    <w:rsid w:val="00672600"/>
    <w:rsid w:val="006731F6"/>
    <w:rsid w:val="006769C0"/>
    <w:rsid w:val="00681ABC"/>
    <w:rsid w:val="00682068"/>
    <w:rsid w:val="0068222A"/>
    <w:rsid w:val="00695CD9"/>
    <w:rsid w:val="006961C1"/>
    <w:rsid w:val="00696BDE"/>
    <w:rsid w:val="006973E6"/>
    <w:rsid w:val="006A1CFE"/>
    <w:rsid w:val="006A1E1B"/>
    <w:rsid w:val="006A23A3"/>
    <w:rsid w:val="006A6B7D"/>
    <w:rsid w:val="006B25BA"/>
    <w:rsid w:val="006B456C"/>
    <w:rsid w:val="006B7993"/>
    <w:rsid w:val="006B799F"/>
    <w:rsid w:val="006C0E0F"/>
    <w:rsid w:val="006C240C"/>
    <w:rsid w:val="006C28E1"/>
    <w:rsid w:val="006C39DE"/>
    <w:rsid w:val="006C4799"/>
    <w:rsid w:val="006C4BD1"/>
    <w:rsid w:val="006C55D5"/>
    <w:rsid w:val="006D2E78"/>
    <w:rsid w:val="006D7A22"/>
    <w:rsid w:val="006E22D4"/>
    <w:rsid w:val="006E60DA"/>
    <w:rsid w:val="006E62C4"/>
    <w:rsid w:val="006F06C1"/>
    <w:rsid w:val="006F0707"/>
    <w:rsid w:val="006F0DCD"/>
    <w:rsid w:val="006F1F66"/>
    <w:rsid w:val="006F261F"/>
    <w:rsid w:val="006F6148"/>
    <w:rsid w:val="006F6E5E"/>
    <w:rsid w:val="00700EA0"/>
    <w:rsid w:val="007032E5"/>
    <w:rsid w:val="007100DD"/>
    <w:rsid w:val="0071064A"/>
    <w:rsid w:val="00710976"/>
    <w:rsid w:val="00710A36"/>
    <w:rsid w:val="00710D32"/>
    <w:rsid w:val="00711F0A"/>
    <w:rsid w:val="00712A2D"/>
    <w:rsid w:val="00717EFF"/>
    <w:rsid w:val="00720F42"/>
    <w:rsid w:val="00722385"/>
    <w:rsid w:val="007269A1"/>
    <w:rsid w:val="00733EF6"/>
    <w:rsid w:val="00733FE7"/>
    <w:rsid w:val="00734D1A"/>
    <w:rsid w:val="00735B42"/>
    <w:rsid w:val="00735B52"/>
    <w:rsid w:val="00735F30"/>
    <w:rsid w:val="0073686F"/>
    <w:rsid w:val="007369C0"/>
    <w:rsid w:val="00736E70"/>
    <w:rsid w:val="00741B0B"/>
    <w:rsid w:val="0074587A"/>
    <w:rsid w:val="0074633C"/>
    <w:rsid w:val="007464FF"/>
    <w:rsid w:val="00746EBE"/>
    <w:rsid w:val="0075002B"/>
    <w:rsid w:val="0075049B"/>
    <w:rsid w:val="00751EEB"/>
    <w:rsid w:val="00752DAC"/>
    <w:rsid w:val="00755AB9"/>
    <w:rsid w:val="00756BD1"/>
    <w:rsid w:val="00757857"/>
    <w:rsid w:val="00762855"/>
    <w:rsid w:val="0076342E"/>
    <w:rsid w:val="00763E3A"/>
    <w:rsid w:val="007642C8"/>
    <w:rsid w:val="00766E78"/>
    <w:rsid w:val="0077163B"/>
    <w:rsid w:val="007716F4"/>
    <w:rsid w:val="00771A23"/>
    <w:rsid w:val="007726CD"/>
    <w:rsid w:val="0078628A"/>
    <w:rsid w:val="00790B75"/>
    <w:rsid w:val="00790D39"/>
    <w:rsid w:val="00790FF4"/>
    <w:rsid w:val="007922B2"/>
    <w:rsid w:val="00792717"/>
    <w:rsid w:val="00792B6D"/>
    <w:rsid w:val="00793854"/>
    <w:rsid w:val="007949FF"/>
    <w:rsid w:val="00796136"/>
    <w:rsid w:val="007A0CDA"/>
    <w:rsid w:val="007A20D2"/>
    <w:rsid w:val="007A24A3"/>
    <w:rsid w:val="007A3204"/>
    <w:rsid w:val="007A3208"/>
    <w:rsid w:val="007A4D11"/>
    <w:rsid w:val="007A72C3"/>
    <w:rsid w:val="007B0343"/>
    <w:rsid w:val="007B07A2"/>
    <w:rsid w:val="007B133B"/>
    <w:rsid w:val="007C10BB"/>
    <w:rsid w:val="007C2933"/>
    <w:rsid w:val="007C2B64"/>
    <w:rsid w:val="007C42D0"/>
    <w:rsid w:val="007C5F93"/>
    <w:rsid w:val="007C76C6"/>
    <w:rsid w:val="007D2096"/>
    <w:rsid w:val="007D27A7"/>
    <w:rsid w:val="007D401B"/>
    <w:rsid w:val="007D5719"/>
    <w:rsid w:val="007D7450"/>
    <w:rsid w:val="007E3835"/>
    <w:rsid w:val="007E3E6A"/>
    <w:rsid w:val="007E427F"/>
    <w:rsid w:val="007E4763"/>
    <w:rsid w:val="007E548F"/>
    <w:rsid w:val="007E5AEA"/>
    <w:rsid w:val="007E70A6"/>
    <w:rsid w:val="007F00EA"/>
    <w:rsid w:val="007F1FF3"/>
    <w:rsid w:val="00801ACC"/>
    <w:rsid w:val="00804871"/>
    <w:rsid w:val="00805304"/>
    <w:rsid w:val="008056F5"/>
    <w:rsid w:val="008107D7"/>
    <w:rsid w:val="008110CE"/>
    <w:rsid w:val="008110DB"/>
    <w:rsid w:val="0081174D"/>
    <w:rsid w:val="008125E9"/>
    <w:rsid w:val="00812A13"/>
    <w:rsid w:val="00812B11"/>
    <w:rsid w:val="00814130"/>
    <w:rsid w:val="00815FDC"/>
    <w:rsid w:val="008172D6"/>
    <w:rsid w:val="00820E04"/>
    <w:rsid w:val="00826306"/>
    <w:rsid w:val="00826891"/>
    <w:rsid w:val="00826AA8"/>
    <w:rsid w:val="00827B7E"/>
    <w:rsid w:val="00827EC6"/>
    <w:rsid w:val="008315E3"/>
    <w:rsid w:val="0083439B"/>
    <w:rsid w:val="008345AC"/>
    <w:rsid w:val="008353BA"/>
    <w:rsid w:val="008366F8"/>
    <w:rsid w:val="00837385"/>
    <w:rsid w:val="0083793A"/>
    <w:rsid w:val="008400B6"/>
    <w:rsid w:val="008423AC"/>
    <w:rsid w:val="0084246B"/>
    <w:rsid w:val="00844C4C"/>
    <w:rsid w:val="00844D9F"/>
    <w:rsid w:val="00845D1B"/>
    <w:rsid w:val="00850C2C"/>
    <w:rsid w:val="00850CC8"/>
    <w:rsid w:val="0085182F"/>
    <w:rsid w:val="008543F7"/>
    <w:rsid w:val="0085450A"/>
    <w:rsid w:val="008551D0"/>
    <w:rsid w:val="00855D4D"/>
    <w:rsid w:val="008561A9"/>
    <w:rsid w:val="00856A6D"/>
    <w:rsid w:val="00857B4C"/>
    <w:rsid w:val="008605FD"/>
    <w:rsid w:val="00863347"/>
    <w:rsid w:val="00863B56"/>
    <w:rsid w:val="0086578D"/>
    <w:rsid w:val="0087078C"/>
    <w:rsid w:val="00870EFA"/>
    <w:rsid w:val="00871A81"/>
    <w:rsid w:val="00876F4C"/>
    <w:rsid w:val="008778BA"/>
    <w:rsid w:val="00880418"/>
    <w:rsid w:val="008804FD"/>
    <w:rsid w:val="008822CE"/>
    <w:rsid w:val="00882523"/>
    <w:rsid w:val="00882EB7"/>
    <w:rsid w:val="00883048"/>
    <w:rsid w:val="00884CA5"/>
    <w:rsid w:val="008850EE"/>
    <w:rsid w:val="008879FE"/>
    <w:rsid w:val="0089071B"/>
    <w:rsid w:val="0089084E"/>
    <w:rsid w:val="008923A0"/>
    <w:rsid w:val="00895B07"/>
    <w:rsid w:val="008961E8"/>
    <w:rsid w:val="00896D7F"/>
    <w:rsid w:val="008A0946"/>
    <w:rsid w:val="008A0CFD"/>
    <w:rsid w:val="008A2118"/>
    <w:rsid w:val="008A2BEC"/>
    <w:rsid w:val="008A5220"/>
    <w:rsid w:val="008A5A16"/>
    <w:rsid w:val="008A6405"/>
    <w:rsid w:val="008B05A9"/>
    <w:rsid w:val="008B1015"/>
    <w:rsid w:val="008B2546"/>
    <w:rsid w:val="008B6163"/>
    <w:rsid w:val="008B6AF0"/>
    <w:rsid w:val="008C0061"/>
    <w:rsid w:val="008C0D20"/>
    <w:rsid w:val="008C2C5B"/>
    <w:rsid w:val="008C3957"/>
    <w:rsid w:val="008C585B"/>
    <w:rsid w:val="008C6FBB"/>
    <w:rsid w:val="008D108B"/>
    <w:rsid w:val="008D5F2C"/>
    <w:rsid w:val="008E3401"/>
    <w:rsid w:val="008E5932"/>
    <w:rsid w:val="008E598C"/>
    <w:rsid w:val="008E6CAB"/>
    <w:rsid w:val="008E7711"/>
    <w:rsid w:val="008E7E69"/>
    <w:rsid w:val="008F037A"/>
    <w:rsid w:val="008F0B9C"/>
    <w:rsid w:val="008F31C2"/>
    <w:rsid w:val="008F7C76"/>
    <w:rsid w:val="00900FD3"/>
    <w:rsid w:val="00901F89"/>
    <w:rsid w:val="00903AA8"/>
    <w:rsid w:val="009046DE"/>
    <w:rsid w:val="00905791"/>
    <w:rsid w:val="00905F2C"/>
    <w:rsid w:val="00912496"/>
    <w:rsid w:val="00914099"/>
    <w:rsid w:val="00916DB4"/>
    <w:rsid w:val="00917DC0"/>
    <w:rsid w:val="00920271"/>
    <w:rsid w:val="00920FC3"/>
    <w:rsid w:val="00922A42"/>
    <w:rsid w:val="00923961"/>
    <w:rsid w:val="00923A95"/>
    <w:rsid w:val="00923EB6"/>
    <w:rsid w:val="00926010"/>
    <w:rsid w:val="00926AC4"/>
    <w:rsid w:val="00927563"/>
    <w:rsid w:val="00927CD3"/>
    <w:rsid w:val="009335EB"/>
    <w:rsid w:val="009403AD"/>
    <w:rsid w:val="00943DA2"/>
    <w:rsid w:val="00944542"/>
    <w:rsid w:val="009456E6"/>
    <w:rsid w:val="00945DCE"/>
    <w:rsid w:val="009509A4"/>
    <w:rsid w:val="009515BB"/>
    <w:rsid w:val="00951762"/>
    <w:rsid w:val="009519C0"/>
    <w:rsid w:val="00953FFF"/>
    <w:rsid w:val="009578EE"/>
    <w:rsid w:val="00961711"/>
    <w:rsid w:val="0096207E"/>
    <w:rsid w:val="009633DB"/>
    <w:rsid w:val="00965230"/>
    <w:rsid w:val="00965354"/>
    <w:rsid w:val="009658FC"/>
    <w:rsid w:val="009672EF"/>
    <w:rsid w:val="009673BB"/>
    <w:rsid w:val="00971B78"/>
    <w:rsid w:val="00972A52"/>
    <w:rsid w:val="00973AC2"/>
    <w:rsid w:val="009804E7"/>
    <w:rsid w:val="00981207"/>
    <w:rsid w:val="009818F7"/>
    <w:rsid w:val="00983F96"/>
    <w:rsid w:val="00984287"/>
    <w:rsid w:val="0098674B"/>
    <w:rsid w:val="009868D3"/>
    <w:rsid w:val="00986AB1"/>
    <w:rsid w:val="00987DE4"/>
    <w:rsid w:val="0099027B"/>
    <w:rsid w:val="00992A36"/>
    <w:rsid w:val="00994112"/>
    <w:rsid w:val="0099461C"/>
    <w:rsid w:val="00994BBE"/>
    <w:rsid w:val="00996404"/>
    <w:rsid w:val="009A10CC"/>
    <w:rsid w:val="009A2947"/>
    <w:rsid w:val="009A2BCD"/>
    <w:rsid w:val="009A33E8"/>
    <w:rsid w:val="009A38D5"/>
    <w:rsid w:val="009A4E6B"/>
    <w:rsid w:val="009A61EA"/>
    <w:rsid w:val="009A62FD"/>
    <w:rsid w:val="009A66B6"/>
    <w:rsid w:val="009B249A"/>
    <w:rsid w:val="009B2C34"/>
    <w:rsid w:val="009B4433"/>
    <w:rsid w:val="009B4B92"/>
    <w:rsid w:val="009B681D"/>
    <w:rsid w:val="009C6056"/>
    <w:rsid w:val="009C6CD4"/>
    <w:rsid w:val="009D35D2"/>
    <w:rsid w:val="009D365E"/>
    <w:rsid w:val="009D3C58"/>
    <w:rsid w:val="009D4125"/>
    <w:rsid w:val="009D78B8"/>
    <w:rsid w:val="009D7B2B"/>
    <w:rsid w:val="009E0568"/>
    <w:rsid w:val="009E1F1F"/>
    <w:rsid w:val="009E58A0"/>
    <w:rsid w:val="009E659A"/>
    <w:rsid w:val="009E7AAD"/>
    <w:rsid w:val="009F16CC"/>
    <w:rsid w:val="009F34B0"/>
    <w:rsid w:val="009F430D"/>
    <w:rsid w:val="009F5E96"/>
    <w:rsid w:val="009F7367"/>
    <w:rsid w:val="00A00470"/>
    <w:rsid w:val="00A018D0"/>
    <w:rsid w:val="00A109D5"/>
    <w:rsid w:val="00A11210"/>
    <w:rsid w:val="00A11F6F"/>
    <w:rsid w:val="00A13BB8"/>
    <w:rsid w:val="00A14FE4"/>
    <w:rsid w:val="00A16125"/>
    <w:rsid w:val="00A17096"/>
    <w:rsid w:val="00A221C6"/>
    <w:rsid w:val="00A242FC"/>
    <w:rsid w:val="00A26837"/>
    <w:rsid w:val="00A27366"/>
    <w:rsid w:val="00A30528"/>
    <w:rsid w:val="00A30F42"/>
    <w:rsid w:val="00A30F6A"/>
    <w:rsid w:val="00A3139A"/>
    <w:rsid w:val="00A31734"/>
    <w:rsid w:val="00A336B5"/>
    <w:rsid w:val="00A33C31"/>
    <w:rsid w:val="00A34CFE"/>
    <w:rsid w:val="00A422BD"/>
    <w:rsid w:val="00A509A2"/>
    <w:rsid w:val="00A5388C"/>
    <w:rsid w:val="00A57520"/>
    <w:rsid w:val="00A60181"/>
    <w:rsid w:val="00A6161A"/>
    <w:rsid w:val="00A62693"/>
    <w:rsid w:val="00A6297C"/>
    <w:rsid w:val="00A66824"/>
    <w:rsid w:val="00A6791D"/>
    <w:rsid w:val="00A70078"/>
    <w:rsid w:val="00A71CF6"/>
    <w:rsid w:val="00A73848"/>
    <w:rsid w:val="00A74D37"/>
    <w:rsid w:val="00A74D60"/>
    <w:rsid w:val="00A80756"/>
    <w:rsid w:val="00A8109C"/>
    <w:rsid w:val="00A828E3"/>
    <w:rsid w:val="00A82B64"/>
    <w:rsid w:val="00A85440"/>
    <w:rsid w:val="00A87E2A"/>
    <w:rsid w:val="00A90BBE"/>
    <w:rsid w:val="00A91701"/>
    <w:rsid w:val="00A9204A"/>
    <w:rsid w:val="00A92AEE"/>
    <w:rsid w:val="00A93312"/>
    <w:rsid w:val="00A939D0"/>
    <w:rsid w:val="00A93CEC"/>
    <w:rsid w:val="00A9466C"/>
    <w:rsid w:val="00AA07AA"/>
    <w:rsid w:val="00AA2539"/>
    <w:rsid w:val="00AA2883"/>
    <w:rsid w:val="00AA351E"/>
    <w:rsid w:val="00AA3D44"/>
    <w:rsid w:val="00AA755C"/>
    <w:rsid w:val="00AB18C2"/>
    <w:rsid w:val="00AB2186"/>
    <w:rsid w:val="00AB4559"/>
    <w:rsid w:val="00AB4CF2"/>
    <w:rsid w:val="00AB5FEE"/>
    <w:rsid w:val="00AB6865"/>
    <w:rsid w:val="00AC11A8"/>
    <w:rsid w:val="00AC392B"/>
    <w:rsid w:val="00AC5CF5"/>
    <w:rsid w:val="00AC6775"/>
    <w:rsid w:val="00AC7584"/>
    <w:rsid w:val="00AC77FE"/>
    <w:rsid w:val="00AD0D50"/>
    <w:rsid w:val="00AD29A5"/>
    <w:rsid w:val="00AD3B4C"/>
    <w:rsid w:val="00AD4F11"/>
    <w:rsid w:val="00AD6671"/>
    <w:rsid w:val="00AE0C9F"/>
    <w:rsid w:val="00AE197B"/>
    <w:rsid w:val="00AE1E7B"/>
    <w:rsid w:val="00AE3697"/>
    <w:rsid w:val="00AE3CFF"/>
    <w:rsid w:val="00AE4C2B"/>
    <w:rsid w:val="00AE534A"/>
    <w:rsid w:val="00AE6CF1"/>
    <w:rsid w:val="00AF1C86"/>
    <w:rsid w:val="00AF1D9D"/>
    <w:rsid w:val="00AF2CF2"/>
    <w:rsid w:val="00AF433E"/>
    <w:rsid w:val="00AF6ACC"/>
    <w:rsid w:val="00B02E57"/>
    <w:rsid w:val="00B04FD3"/>
    <w:rsid w:val="00B11CFA"/>
    <w:rsid w:val="00B11E48"/>
    <w:rsid w:val="00B13A68"/>
    <w:rsid w:val="00B15DEA"/>
    <w:rsid w:val="00B16E43"/>
    <w:rsid w:val="00B21E6E"/>
    <w:rsid w:val="00B2251D"/>
    <w:rsid w:val="00B22F14"/>
    <w:rsid w:val="00B2362F"/>
    <w:rsid w:val="00B24965"/>
    <w:rsid w:val="00B308B3"/>
    <w:rsid w:val="00B31D51"/>
    <w:rsid w:val="00B335A6"/>
    <w:rsid w:val="00B34D4D"/>
    <w:rsid w:val="00B35209"/>
    <w:rsid w:val="00B3629A"/>
    <w:rsid w:val="00B363F7"/>
    <w:rsid w:val="00B4047D"/>
    <w:rsid w:val="00B411A6"/>
    <w:rsid w:val="00B42702"/>
    <w:rsid w:val="00B43AE5"/>
    <w:rsid w:val="00B44508"/>
    <w:rsid w:val="00B51BE7"/>
    <w:rsid w:val="00B52D6B"/>
    <w:rsid w:val="00B53862"/>
    <w:rsid w:val="00B53F29"/>
    <w:rsid w:val="00B54ED2"/>
    <w:rsid w:val="00B57E27"/>
    <w:rsid w:val="00B608DC"/>
    <w:rsid w:val="00B62CED"/>
    <w:rsid w:val="00B712CA"/>
    <w:rsid w:val="00B71592"/>
    <w:rsid w:val="00B72BA6"/>
    <w:rsid w:val="00B74052"/>
    <w:rsid w:val="00B741EB"/>
    <w:rsid w:val="00B754B6"/>
    <w:rsid w:val="00B76CA7"/>
    <w:rsid w:val="00B76E97"/>
    <w:rsid w:val="00B77039"/>
    <w:rsid w:val="00B77461"/>
    <w:rsid w:val="00B831E2"/>
    <w:rsid w:val="00B85D80"/>
    <w:rsid w:val="00B86352"/>
    <w:rsid w:val="00B909E8"/>
    <w:rsid w:val="00B9148D"/>
    <w:rsid w:val="00B936A9"/>
    <w:rsid w:val="00B93799"/>
    <w:rsid w:val="00B94757"/>
    <w:rsid w:val="00B94773"/>
    <w:rsid w:val="00B94BA3"/>
    <w:rsid w:val="00B95660"/>
    <w:rsid w:val="00B979FE"/>
    <w:rsid w:val="00BA03E3"/>
    <w:rsid w:val="00BA135D"/>
    <w:rsid w:val="00BA2450"/>
    <w:rsid w:val="00BA3B04"/>
    <w:rsid w:val="00BA491F"/>
    <w:rsid w:val="00BA5ADE"/>
    <w:rsid w:val="00BA6DC9"/>
    <w:rsid w:val="00BB0943"/>
    <w:rsid w:val="00BB208C"/>
    <w:rsid w:val="00BB4C6B"/>
    <w:rsid w:val="00BB7E98"/>
    <w:rsid w:val="00BC08A5"/>
    <w:rsid w:val="00BC10D4"/>
    <w:rsid w:val="00BC1367"/>
    <w:rsid w:val="00BC142A"/>
    <w:rsid w:val="00BC5EFD"/>
    <w:rsid w:val="00BC680D"/>
    <w:rsid w:val="00BC6EA6"/>
    <w:rsid w:val="00BC7934"/>
    <w:rsid w:val="00BD2C71"/>
    <w:rsid w:val="00BD4332"/>
    <w:rsid w:val="00BD5009"/>
    <w:rsid w:val="00BE1E14"/>
    <w:rsid w:val="00BE4E37"/>
    <w:rsid w:val="00BE5622"/>
    <w:rsid w:val="00BE6D0F"/>
    <w:rsid w:val="00BF0574"/>
    <w:rsid w:val="00BF1216"/>
    <w:rsid w:val="00BF4E6B"/>
    <w:rsid w:val="00BF69D7"/>
    <w:rsid w:val="00BF7FC2"/>
    <w:rsid w:val="00C012A5"/>
    <w:rsid w:val="00C02FDA"/>
    <w:rsid w:val="00C04036"/>
    <w:rsid w:val="00C04DFE"/>
    <w:rsid w:val="00C109C3"/>
    <w:rsid w:val="00C117F3"/>
    <w:rsid w:val="00C16F12"/>
    <w:rsid w:val="00C17F87"/>
    <w:rsid w:val="00C21359"/>
    <w:rsid w:val="00C2183A"/>
    <w:rsid w:val="00C226AE"/>
    <w:rsid w:val="00C23972"/>
    <w:rsid w:val="00C24C6E"/>
    <w:rsid w:val="00C278B5"/>
    <w:rsid w:val="00C3175E"/>
    <w:rsid w:val="00C37774"/>
    <w:rsid w:val="00C37FF7"/>
    <w:rsid w:val="00C400E0"/>
    <w:rsid w:val="00C41BDA"/>
    <w:rsid w:val="00C41BE2"/>
    <w:rsid w:val="00C41D89"/>
    <w:rsid w:val="00C429FD"/>
    <w:rsid w:val="00C43D9E"/>
    <w:rsid w:val="00C50F15"/>
    <w:rsid w:val="00C52A83"/>
    <w:rsid w:val="00C52FD3"/>
    <w:rsid w:val="00C536F9"/>
    <w:rsid w:val="00C553A5"/>
    <w:rsid w:val="00C56CE5"/>
    <w:rsid w:val="00C60ADD"/>
    <w:rsid w:val="00C724AF"/>
    <w:rsid w:val="00C72C65"/>
    <w:rsid w:val="00C73DC6"/>
    <w:rsid w:val="00C75A9B"/>
    <w:rsid w:val="00C776E1"/>
    <w:rsid w:val="00C779AC"/>
    <w:rsid w:val="00C8085B"/>
    <w:rsid w:val="00C81D7A"/>
    <w:rsid w:val="00C852C4"/>
    <w:rsid w:val="00C86D04"/>
    <w:rsid w:val="00C87A9D"/>
    <w:rsid w:val="00C90E44"/>
    <w:rsid w:val="00C91C05"/>
    <w:rsid w:val="00C92D00"/>
    <w:rsid w:val="00C94C62"/>
    <w:rsid w:val="00C950A3"/>
    <w:rsid w:val="00CA1CB1"/>
    <w:rsid w:val="00CA1E99"/>
    <w:rsid w:val="00CA2C65"/>
    <w:rsid w:val="00CA3CAF"/>
    <w:rsid w:val="00CA6562"/>
    <w:rsid w:val="00CB0CCD"/>
    <w:rsid w:val="00CB1576"/>
    <w:rsid w:val="00CB397E"/>
    <w:rsid w:val="00CB7DF4"/>
    <w:rsid w:val="00CC0D7A"/>
    <w:rsid w:val="00CC123B"/>
    <w:rsid w:val="00CC2CEE"/>
    <w:rsid w:val="00CC30AB"/>
    <w:rsid w:val="00CC4301"/>
    <w:rsid w:val="00CC4BBD"/>
    <w:rsid w:val="00CC4E18"/>
    <w:rsid w:val="00CD02EF"/>
    <w:rsid w:val="00CD10F6"/>
    <w:rsid w:val="00CD146B"/>
    <w:rsid w:val="00CE4844"/>
    <w:rsid w:val="00CE5B8D"/>
    <w:rsid w:val="00CE7F57"/>
    <w:rsid w:val="00CF0E2C"/>
    <w:rsid w:val="00CF20AA"/>
    <w:rsid w:val="00CF5762"/>
    <w:rsid w:val="00CF6F8F"/>
    <w:rsid w:val="00CF7297"/>
    <w:rsid w:val="00CF7847"/>
    <w:rsid w:val="00D0101A"/>
    <w:rsid w:val="00D0287F"/>
    <w:rsid w:val="00D02C91"/>
    <w:rsid w:val="00D04196"/>
    <w:rsid w:val="00D057E0"/>
    <w:rsid w:val="00D05D12"/>
    <w:rsid w:val="00D0710B"/>
    <w:rsid w:val="00D07164"/>
    <w:rsid w:val="00D07C27"/>
    <w:rsid w:val="00D10CFF"/>
    <w:rsid w:val="00D11566"/>
    <w:rsid w:val="00D13E80"/>
    <w:rsid w:val="00D1498A"/>
    <w:rsid w:val="00D1507C"/>
    <w:rsid w:val="00D15A43"/>
    <w:rsid w:val="00D15AC5"/>
    <w:rsid w:val="00D17473"/>
    <w:rsid w:val="00D17C08"/>
    <w:rsid w:val="00D21071"/>
    <w:rsid w:val="00D229D7"/>
    <w:rsid w:val="00D26B1A"/>
    <w:rsid w:val="00D276FC"/>
    <w:rsid w:val="00D32E7E"/>
    <w:rsid w:val="00D34491"/>
    <w:rsid w:val="00D345F7"/>
    <w:rsid w:val="00D34973"/>
    <w:rsid w:val="00D429C1"/>
    <w:rsid w:val="00D42A7A"/>
    <w:rsid w:val="00D4494A"/>
    <w:rsid w:val="00D45D09"/>
    <w:rsid w:val="00D46B99"/>
    <w:rsid w:val="00D473E2"/>
    <w:rsid w:val="00D47F53"/>
    <w:rsid w:val="00D50526"/>
    <w:rsid w:val="00D60FF2"/>
    <w:rsid w:val="00D614B3"/>
    <w:rsid w:val="00D67CAF"/>
    <w:rsid w:val="00D74A06"/>
    <w:rsid w:val="00D81D68"/>
    <w:rsid w:val="00D8249D"/>
    <w:rsid w:val="00D85ECA"/>
    <w:rsid w:val="00D8709F"/>
    <w:rsid w:val="00D877BB"/>
    <w:rsid w:val="00D93A56"/>
    <w:rsid w:val="00D94993"/>
    <w:rsid w:val="00D95ABC"/>
    <w:rsid w:val="00D968C1"/>
    <w:rsid w:val="00D97FEA"/>
    <w:rsid w:val="00DA3389"/>
    <w:rsid w:val="00DA51D6"/>
    <w:rsid w:val="00DB224E"/>
    <w:rsid w:val="00DB481C"/>
    <w:rsid w:val="00DB5E57"/>
    <w:rsid w:val="00DB73B0"/>
    <w:rsid w:val="00DC0323"/>
    <w:rsid w:val="00DC167B"/>
    <w:rsid w:val="00DC184D"/>
    <w:rsid w:val="00DC1F85"/>
    <w:rsid w:val="00DC31D3"/>
    <w:rsid w:val="00DC3800"/>
    <w:rsid w:val="00DC5BCD"/>
    <w:rsid w:val="00DC697F"/>
    <w:rsid w:val="00DC79C3"/>
    <w:rsid w:val="00DD0CDD"/>
    <w:rsid w:val="00DD1C20"/>
    <w:rsid w:val="00DD3630"/>
    <w:rsid w:val="00DD3D29"/>
    <w:rsid w:val="00DD4D58"/>
    <w:rsid w:val="00DD6D3A"/>
    <w:rsid w:val="00DD7E71"/>
    <w:rsid w:val="00DE58FD"/>
    <w:rsid w:val="00DE7007"/>
    <w:rsid w:val="00DE7D4C"/>
    <w:rsid w:val="00DF048B"/>
    <w:rsid w:val="00DF0BEA"/>
    <w:rsid w:val="00DF1467"/>
    <w:rsid w:val="00DF26D0"/>
    <w:rsid w:val="00DF28B1"/>
    <w:rsid w:val="00DF5D02"/>
    <w:rsid w:val="00DF75B6"/>
    <w:rsid w:val="00E0623B"/>
    <w:rsid w:val="00E068E8"/>
    <w:rsid w:val="00E072D9"/>
    <w:rsid w:val="00E0780A"/>
    <w:rsid w:val="00E11417"/>
    <w:rsid w:val="00E128AE"/>
    <w:rsid w:val="00E15D1B"/>
    <w:rsid w:val="00E1683D"/>
    <w:rsid w:val="00E20C65"/>
    <w:rsid w:val="00E21D81"/>
    <w:rsid w:val="00E22107"/>
    <w:rsid w:val="00E24E19"/>
    <w:rsid w:val="00E261A4"/>
    <w:rsid w:val="00E26F4A"/>
    <w:rsid w:val="00E27618"/>
    <w:rsid w:val="00E30097"/>
    <w:rsid w:val="00E320B5"/>
    <w:rsid w:val="00E3319C"/>
    <w:rsid w:val="00E331E4"/>
    <w:rsid w:val="00E3527D"/>
    <w:rsid w:val="00E367E2"/>
    <w:rsid w:val="00E3768E"/>
    <w:rsid w:val="00E4361A"/>
    <w:rsid w:val="00E45E25"/>
    <w:rsid w:val="00E4701D"/>
    <w:rsid w:val="00E47C2E"/>
    <w:rsid w:val="00E47DCB"/>
    <w:rsid w:val="00E502D1"/>
    <w:rsid w:val="00E52D09"/>
    <w:rsid w:val="00E52DD7"/>
    <w:rsid w:val="00E54534"/>
    <w:rsid w:val="00E547B3"/>
    <w:rsid w:val="00E5492D"/>
    <w:rsid w:val="00E54E97"/>
    <w:rsid w:val="00E55AE4"/>
    <w:rsid w:val="00E618D1"/>
    <w:rsid w:val="00E620C1"/>
    <w:rsid w:val="00E643C6"/>
    <w:rsid w:val="00E67CA5"/>
    <w:rsid w:val="00E67FB6"/>
    <w:rsid w:val="00E73C59"/>
    <w:rsid w:val="00E73C7A"/>
    <w:rsid w:val="00E7402F"/>
    <w:rsid w:val="00E7493E"/>
    <w:rsid w:val="00E80A95"/>
    <w:rsid w:val="00E819FB"/>
    <w:rsid w:val="00E81FE7"/>
    <w:rsid w:val="00E833B3"/>
    <w:rsid w:val="00E91797"/>
    <w:rsid w:val="00E91B54"/>
    <w:rsid w:val="00E92451"/>
    <w:rsid w:val="00E92B1F"/>
    <w:rsid w:val="00E92D5A"/>
    <w:rsid w:val="00E94E05"/>
    <w:rsid w:val="00E95C1B"/>
    <w:rsid w:val="00E975DB"/>
    <w:rsid w:val="00EA125C"/>
    <w:rsid w:val="00EA331E"/>
    <w:rsid w:val="00EA3993"/>
    <w:rsid w:val="00EA449D"/>
    <w:rsid w:val="00EA564C"/>
    <w:rsid w:val="00EA6D05"/>
    <w:rsid w:val="00EB5874"/>
    <w:rsid w:val="00EB58D6"/>
    <w:rsid w:val="00EC0F87"/>
    <w:rsid w:val="00EC2BFE"/>
    <w:rsid w:val="00EC33BC"/>
    <w:rsid w:val="00EC7883"/>
    <w:rsid w:val="00ED0D78"/>
    <w:rsid w:val="00ED301C"/>
    <w:rsid w:val="00ED4019"/>
    <w:rsid w:val="00EE1DBA"/>
    <w:rsid w:val="00EE267A"/>
    <w:rsid w:val="00EE2C8A"/>
    <w:rsid w:val="00EE4F64"/>
    <w:rsid w:val="00EE5452"/>
    <w:rsid w:val="00EE59D4"/>
    <w:rsid w:val="00EE5B6A"/>
    <w:rsid w:val="00EE6B02"/>
    <w:rsid w:val="00EF2F05"/>
    <w:rsid w:val="00EF5FB5"/>
    <w:rsid w:val="00EF6732"/>
    <w:rsid w:val="00EF6AAE"/>
    <w:rsid w:val="00EF6F15"/>
    <w:rsid w:val="00F003E9"/>
    <w:rsid w:val="00F050AC"/>
    <w:rsid w:val="00F05D50"/>
    <w:rsid w:val="00F05DD7"/>
    <w:rsid w:val="00F11D78"/>
    <w:rsid w:val="00F11EAD"/>
    <w:rsid w:val="00F200C0"/>
    <w:rsid w:val="00F21C07"/>
    <w:rsid w:val="00F25278"/>
    <w:rsid w:val="00F25EB6"/>
    <w:rsid w:val="00F2794A"/>
    <w:rsid w:val="00F358E4"/>
    <w:rsid w:val="00F36AF3"/>
    <w:rsid w:val="00F37EBA"/>
    <w:rsid w:val="00F408E2"/>
    <w:rsid w:val="00F427F1"/>
    <w:rsid w:val="00F42DA3"/>
    <w:rsid w:val="00F44884"/>
    <w:rsid w:val="00F451E9"/>
    <w:rsid w:val="00F4538F"/>
    <w:rsid w:val="00F500EC"/>
    <w:rsid w:val="00F52923"/>
    <w:rsid w:val="00F52DEF"/>
    <w:rsid w:val="00F530E3"/>
    <w:rsid w:val="00F54167"/>
    <w:rsid w:val="00F54D2D"/>
    <w:rsid w:val="00F55190"/>
    <w:rsid w:val="00F61CA6"/>
    <w:rsid w:val="00F61EB1"/>
    <w:rsid w:val="00F64D2D"/>
    <w:rsid w:val="00F70BDE"/>
    <w:rsid w:val="00F72FA8"/>
    <w:rsid w:val="00F73796"/>
    <w:rsid w:val="00F73DC3"/>
    <w:rsid w:val="00F75154"/>
    <w:rsid w:val="00F77DC7"/>
    <w:rsid w:val="00F77EEE"/>
    <w:rsid w:val="00F805D5"/>
    <w:rsid w:val="00F80683"/>
    <w:rsid w:val="00F80980"/>
    <w:rsid w:val="00F8111A"/>
    <w:rsid w:val="00F81B0C"/>
    <w:rsid w:val="00F84494"/>
    <w:rsid w:val="00F85706"/>
    <w:rsid w:val="00F85A08"/>
    <w:rsid w:val="00F9214E"/>
    <w:rsid w:val="00F933A7"/>
    <w:rsid w:val="00F944E3"/>
    <w:rsid w:val="00F9555C"/>
    <w:rsid w:val="00FA0762"/>
    <w:rsid w:val="00FA092B"/>
    <w:rsid w:val="00FA0C9F"/>
    <w:rsid w:val="00FA3DCD"/>
    <w:rsid w:val="00FA6566"/>
    <w:rsid w:val="00FA6A7C"/>
    <w:rsid w:val="00FB0C05"/>
    <w:rsid w:val="00FB3626"/>
    <w:rsid w:val="00FC07A0"/>
    <w:rsid w:val="00FC3E08"/>
    <w:rsid w:val="00FC4047"/>
    <w:rsid w:val="00FC4F27"/>
    <w:rsid w:val="00FD0B2B"/>
    <w:rsid w:val="00FD3509"/>
    <w:rsid w:val="00FD4E15"/>
    <w:rsid w:val="00FD54BB"/>
    <w:rsid w:val="00FD5B39"/>
    <w:rsid w:val="00FD65C3"/>
    <w:rsid w:val="00FD70CB"/>
    <w:rsid w:val="00FE01BC"/>
    <w:rsid w:val="00FE2D02"/>
    <w:rsid w:val="00FE473A"/>
    <w:rsid w:val="00FE5BCB"/>
    <w:rsid w:val="00FF0BC7"/>
    <w:rsid w:val="00FF11F0"/>
    <w:rsid w:val="00FF2461"/>
    <w:rsid w:val="00FF2BDE"/>
    <w:rsid w:val="00FF2D94"/>
    <w:rsid w:val="00FF4C89"/>
    <w:rsid w:val="00FF52E4"/>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11782B-6905-4D6F-BE9C-519F154F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BA03E3"/>
    <w:rPr>
      <w:sz w:val="16"/>
      <w:szCs w:val="16"/>
    </w:rPr>
  </w:style>
  <w:style w:type="paragraph" w:styleId="FootnoteText">
    <w:name w:val="footnote text"/>
    <w:basedOn w:val="Normal"/>
    <w:link w:val="FootnoteTextChar"/>
    <w:uiPriority w:val="99"/>
    <w:semiHidden/>
    <w:unhideWhenUsed/>
    <w:rsid w:val="00A93312"/>
    <w:pPr>
      <w:spacing w:after="0" w:line="240" w:lineRule="auto"/>
    </w:pPr>
    <w:rPr>
      <w:sz w:val="20"/>
      <w:szCs w:val="20"/>
      <w:lang w:val="en-ZA"/>
    </w:rPr>
  </w:style>
  <w:style w:type="character" w:customStyle="1" w:styleId="FootnoteTextChar">
    <w:name w:val="Footnote Text Char"/>
    <w:link w:val="FootnoteText"/>
    <w:uiPriority w:val="99"/>
    <w:semiHidden/>
    <w:rsid w:val="00A93312"/>
    <w:rPr>
      <w:lang w:eastAsia="en-US"/>
    </w:rPr>
  </w:style>
  <w:style w:type="character" w:styleId="FootnoteReference">
    <w:name w:val="footnote reference"/>
    <w:uiPriority w:val="99"/>
    <w:semiHidden/>
    <w:unhideWhenUsed/>
    <w:rsid w:val="00A93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32519">
      <w:bodyDiv w:val="1"/>
      <w:marLeft w:val="0"/>
      <w:marRight w:val="0"/>
      <w:marTop w:val="0"/>
      <w:marBottom w:val="0"/>
      <w:divBdr>
        <w:top w:val="none" w:sz="0" w:space="0" w:color="auto"/>
        <w:left w:val="none" w:sz="0" w:space="0" w:color="auto"/>
        <w:bottom w:val="none" w:sz="0" w:space="0" w:color="auto"/>
        <w:right w:val="none" w:sz="0" w:space="0" w:color="auto"/>
      </w:divBdr>
    </w:div>
    <w:div w:id="693456277">
      <w:bodyDiv w:val="1"/>
      <w:marLeft w:val="0"/>
      <w:marRight w:val="0"/>
      <w:marTop w:val="150"/>
      <w:marBottom w:val="0"/>
      <w:divBdr>
        <w:top w:val="none" w:sz="0" w:space="0" w:color="auto"/>
        <w:left w:val="none" w:sz="0" w:space="0" w:color="auto"/>
        <w:bottom w:val="none" w:sz="0" w:space="0" w:color="auto"/>
        <w:right w:val="none" w:sz="0" w:space="0" w:color="auto"/>
      </w:divBdr>
      <w:divsChild>
        <w:div w:id="1441729191">
          <w:marLeft w:val="0"/>
          <w:marRight w:val="0"/>
          <w:marTop w:val="150"/>
          <w:marBottom w:val="0"/>
          <w:divBdr>
            <w:top w:val="single" w:sz="48" w:space="0" w:color="FFFFFF"/>
            <w:left w:val="single" w:sz="48" w:space="0" w:color="FFFFFF"/>
            <w:bottom w:val="single" w:sz="48" w:space="0" w:color="FFFFFF"/>
            <w:right w:val="single" w:sz="48" w:space="0" w:color="FFFFFF"/>
          </w:divBdr>
          <w:divsChild>
            <w:div w:id="112674399">
              <w:marLeft w:val="0"/>
              <w:marRight w:val="0"/>
              <w:marTop w:val="0"/>
              <w:marBottom w:val="0"/>
              <w:divBdr>
                <w:top w:val="none" w:sz="0" w:space="0" w:color="auto"/>
                <w:left w:val="none" w:sz="0" w:space="0" w:color="auto"/>
                <w:bottom w:val="none" w:sz="0" w:space="0" w:color="auto"/>
                <w:right w:val="none" w:sz="0" w:space="0" w:color="auto"/>
              </w:divBdr>
              <w:divsChild>
                <w:div w:id="529413534">
                  <w:marLeft w:val="0"/>
                  <w:marRight w:val="0"/>
                  <w:marTop w:val="100"/>
                  <w:marBottom w:val="100"/>
                  <w:divBdr>
                    <w:top w:val="none" w:sz="0" w:space="0" w:color="auto"/>
                    <w:left w:val="none" w:sz="0" w:space="0" w:color="auto"/>
                    <w:bottom w:val="none" w:sz="0" w:space="0" w:color="auto"/>
                    <w:right w:val="none" w:sz="0" w:space="0" w:color="auto"/>
                  </w:divBdr>
                  <w:divsChild>
                    <w:div w:id="1055545454">
                      <w:marLeft w:val="0"/>
                      <w:marRight w:val="0"/>
                      <w:marTop w:val="0"/>
                      <w:marBottom w:val="0"/>
                      <w:divBdr>
                        <w:top w:val="none" w:sz="0" w:space="0" w:color="auto"/>
                        <w:left w:val="none" w:sz="0" w:space="0" w:color="auto"/>
                        <w:bottom w:val="none" w:sz="0" w:space="0" w:color="auto"/>
                        <w:right w:val="none" w:sz="0" w:space="0" w:color="auto"/>
                      </w:divBdr>
                      <w:divsChild>
                        <w:div w:id="396057801">
                          <w:marLeft w:val="0"/>
                          <w:marRight w:val="0"/>
                          <w:marTop w:val="150"/>
                          <w:marBottom w:val="0"/>
                          <w:divBdr>
                            <w:top w:val="none" w:sz="0" w:space="0" w:color="auto"/>
                            <w:left w:val="none" w:sz="0" w:space="0" w:color="auto"/>
                            <w:bottom w:val="none" w:sz="0" w:space="0" w:color="auto"/>
                            <w:right w:val="none" w:sz="0" w:space="0" w:color="auto"/>
                          </w:divBdr>
                          <w:divsChild>
                            <w:div w:id="1546019751">
                              <w:marLeft w:val="0"/>
                              <w:marRight w:val="0"/>
                              <w:marTop w:val="0"/>
                              <w:marBottom w:val="225"/>
                              <w:divBdr>
                                <w:top w:val="single" w:sz="6" w:space="0" w:color="E2E2E2"/>
                                <w:left w:val="single" w:sz="6" w:space="0" w:color="E2E2E2"/>
                                <w:bottom w:val="single" w:sz="6" w:space="0" w:color="E2E2E2"/>
                                <w:right w:val="single" w:sz="6" w:space="0" w:color="E2E2E2"/>
                              </w:divBdr>
                              <w:divsChild>
                                <w:div w:id="951937788">
                                  <w:marLeft w:val="0"/>
                                  <w:marRight w:val="0"/>
                                  <w:marTop w:val="0"/>
                                  <w:marBottom w:val="0"/>
                                  <w:divBdr>
                                    <w:top w:val="none" w:sz="0" w:space="0" w:color="auto"/>
                                    <w:left w:val="none" w:sz="0" w:space="0" w:color="auto"/>
                                    <w:bottom w:val="none" w:sz="0" w:space="0" w:color="auto"/>
                                    <w:right w:val="none" w:sz="0" w:space="0" w:color="auto"/>
                                  </w:divBdr>
                                  <w:divsChild>
                                    <w:div w:id="638456978">
                                      <w:marLeft w:val="0"/>
                                      <w:marRight w:val="0"/>
                                      <w:marTop w:val="0"/>
                                      <w:marBottom w:val="0"/>
                                      <w:divBdr>
                                        <w:top w:val="none" w:sz="0" w:space="0" w:color="auto"/>
                                        <w:left w:val="none" w:sz="0" w:space="0" w:color="auto"/>
                                        <w:bottom w:val="none" w:sz="0" w:space="0" w:color="auto"/>
                                        <w:right w:val="none" w:sz="0" w:space="0" w:color="auto"/>
                                      </w:divBdr>
                                      <w:divsChild>
                                        <w:div w:id="1382705901">
                                          <w:marLeft w:val="0"/>
                                          <w:marRight w:val="0"/>
                                          <w:marTop w:val="0"/>
                                          <w:marBottom w:val="0"/>
                                          <w:divBdr>
                                            <w:top w:val="none" w:sz="0" w:space="0" w:color="auto"/>
                                            <w:left w:val="none" w:sz="0" w:space="0" w:color="auto"/>
                                            <w:bottom w:val="none" w:sz="0" w:space="0" w:color="auto"/>
                                            <w:right w:val="none" w:sz="0" w:space="0" w:color="auto"/>
                                          </w:divBdr>
                                          <w:divsChild>
                                            <w:div w:id="14911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2017-07-21T00:00:00Z</Judgment_x0020_Date>
    <Year xmlns="aec0a7e9-5f5c-4ba9-87b2-85cfc8a38b86">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DD00-A27B-44AC-A825-178773F024D9}">
  <ds:schemaRefs>
    <ds:schemaRef ds:uri="http://schemas.microsoft.com/sharepoint/v3/contenttype/forms"/>
  </ds:schemaRefs>
</ds:datastoreItem>
</file>

<file path=customXml/itemProps2.xml><?xml version="1.0" encoding="utf-8"?>
<ds:datastoreItem xmlns:ds="http://schemas.openxmlformats.org/officeDocument/2006/customXml" ds:itemID="{FD4EA926-EEE2-4C84-BA1B-37F1F71B8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9C060-D628-4FEB-B191-62F4577AE4E5}">
  <ds:schemaRefs>
    <ds:schemaRef ds:uri="http://schemas.microsoft.com/office/2006/metadata/longProperties"/>
  </ds:schemaRefs>
</ds:datastoreItem>
</file>

<file path=customXml/itemProps4.xml><?xml version="1.0" encoding="utf-8"?>
<ds:datastoreItem xmlns:ds="http://schemas.openxmlformats.org/officeDocument/2006/customXml" ds:itemID="{30A8B59F-6B32-4758-B023-E89BF4203195}">
  <ds:schemaRefs>
    <ds:schemaRef ds:uri="http://www.w3.org/XML/1998/namespace"/>
    <ds:schemaRef ds:uri="http://purl.org/dc/terms/"/>
    <ds:schemaRef ds:uri="http://schemas.microsoft.com/office/2006/documentManagement/types"/>
    <ds:schemaRef ds:uri="http://schemas.microsoft.com/office/2006/metadata/properties"/>
    <ds:schemaRef ds:uri="17a0f4bd-1162-49ac-b85f-dfe96a90bc01"/>
    <ds:schemaRef ds:uri="http://purl.org/dc/elements/1.1/"/>
    <ds:schemaRef ds:uri="http://schemas.openxmlformats.org/package/2006/metadata/core-properties"/>
    <ds:schemaRef ds:uri="http://schemas.microsoft.com/office/infopath/2007/PartnerControls"/>
    <ds:schemaRef ds:uri="aec0a7e9-5f5c-4ba9-87b2-85cfc8a38b86"/>
    <ds:schemaRef ds:uri="http://purl.org/dc/dcmitype/"/>
  </ds:schemaRefs>
</ds:datastoreItem>
</file>

<file path=customXml/itemProps5.xml><?xml version="1.0" encoding="utf-8"?>
<ds:datastoreItem xmlns:ds="http://schemas.openxmlformats.org/officeDocument/2006/customXml" ds:itemID="{FDD2D67D-F1BC-4E9F-8C01-C37153ED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22</Pages>
  <Words>6518</Words>
  <Characters>37158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NamibLII</cp:lastModifiedBy>
  <cp:revision>2</cp:revision>
  <cp:lastPrinted>2017-07-26T14:02:00Z</cp:lastPrinted>
  <dcterms:created xsi:type="dcterms:W3CDTF">2017-07-28T07:08:00Z</dcterms:created>
  <dcterms:modified xsi:type="dcterms:W3CDTF">2017-07-28T07:08:00Z</dcterms:modified>
</cp:coreProperties>
</file>