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A" w:rsidRPr="00E43FB0" w:rsidRDefault="00815D0C" w:rsidP="00E43FB0">
      <w:pPr>
        <w:jc w:val="center"/>
        <w:rPr>
          <w:b/>
        </w:rPr>
      </w:pPr>
      <w:bookmarkStart w:id="0" w:name="_GoBack"/>
      <w:bookmarkEnd w:id="0"/>
      <w:r w:rsidRPr="00E43FB0">
        <w:rPr>
          <w:b/>
        </w:rPr>
        <w:t>REPUBLIC OF NAMIBIA</w:t>
      </w:r>
    </w:p>
    <w:p w:rsidR="0091708A" w:rsidRPr="003B754A" w:rsidRDefault="00815D0C" w:rsidP="00E43FB0">
      <w:pPr>
        <w:ind w:right="37"/>
        <w:jc w:val="center"/>
      </w:pPr>
      <w:r w:rsidRPr="003B754A">
        <w:rPr>
          <w:noProof/>
        </w:rPr>
        <w:drawing>
          <wp:inline distT="0" distB="0" distL="0" distR="0">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1"/>
                    <a:stretch>
                      <a:fillRect/>
                    </a:stretch>
                  </pic:blipFill>
                  <pic:spPr>
                    <a:xfrm>
                      <a:off x="0" y="0"/>
                      <a:ext cx="1275588" cy="1325880"/>
                    </a:xfrm>
                    <a:prstGeom prst="rect">
                      <a:avLst/>
                    </a:prstGeom>
                  </pic:spPr>
                </pic:pic>
              </a:graphicData>
            </a:graphic>
          </wp:inline>
        </w:drawing>
      </w:r>
    </w:p>
    <w:p w:rsidR="0091708A" w:rsidRPr="003B754A" w:rsidRDefault="0091708A" w:rsidP="00E43FB0">
      <w:pPr>
        <w:jc w:val="center"/>
      </w:pPr>
    </w:p>
    <w:p w:rsidR="00536480" w:rsidRPr="003B754A" w:rsidRDefault="00741764" w:rsidP="00E43FB0">
      <w:pPr>
        <w:jc w:val="center"/>
      </w:pPr>
      <w:r w:rsidRPr="003B754A">
        <w:rPr>
          <w:b/>
        </w:rPr>
        <w:t xml:space="preserve">LABOUR </w:t>
      </w:r>
      <w:r w:rsidR="00815D0C" w:rsidRPr="003B754A">
        <w:rPr>
          <w:b/>
        </w:rPr>
        <w:t>COURT OF NAMIBIA MAIN DIVISION, WINDHOEK</w:t>
      </w:r>
    </w:p>
    <w:p w:rsidR="0091708A" w:rsidRPr="003B754A" w:rsidRDefault="00815D0C" w:rsidP="00E43FB0">
      <w:pPr>
        <w:ind w:right="37"/>
        <w:jc w:val="center"/>
      </w:pPr>
      <w:r w:rsidRPr="003B754A">
        <w:rPr>
          <w:b/>
        </w:rPr>
        <w:t>JUDGMENT</w:t>
      </w:r>
    </w:p>
    <w:p w:rsidR="0091708A" w:rsidRPr="003B754A" w:rsidRDefault="00815D0C" w:rsidP="00E43FB0">
      <w:r w:rsidRPr="003B754A">
        <w:rPr>
          <w:b/>
        </w:rPr>
        <w:t xml:space="preserve"> </w:t>
      </w:r>
      <w:r w:rsidRPr="003B754A">
        <w:t xml:space="preserve"> </w:t>
      </w:r>
    </w:p>
    <w:p w:rsidR="0091708A" w:rsidRPr="003B754A" w:rsidRDefault="00815D0C" w:rsidP="00E43FB0">
      <w:pPr>
        <w:ind w:right="37"/>
        <w:jc w:val="right"/>
      </w:pPr>
      <w:r w:rsidRPr="00E43FB0">
        <w:rPr>
          <w:b/>
        </w:rPr>
        <w:t>Case no:</w:t>
      </w:r>
      <w:r w:rsidRPr="003B754A">
        <w:t xml:space="preserve">  </w:t>
      </w:r>
      <w:r w:rsidR="00754B92" w:rsidRPr="003B754A">
        <w:t>LC</w:t>
      </w:r>
      <w:r w:rsidR="008F6313">
        <w:t>A</w:t>
      </w:r>
      <w:r w:rsidR="00754B92" w:rsidRPr="003B754A">
        <w:t xml:space="preserve"> </w:t>
      </w:r>
      <w:r w:rsidR="008F6313">
        <w:t>21/2017</w:t>
      </w:r>
    </w:p>
    <w:p w:rsidR="00EC6663" w:rsidRPr="003B754A" w:rsidRDefault="00EC6663" w:rsidP="00E43FB0"/>
    <w:p w:rsidR="00EC6663" w:rsidRPr="003B754A" w:rsidRDefault="00EC6663" w:rsidP="00E43FB0">
      <w:r w:rsidRPr="003B754A">
        <w:t>In the matter between:</w:t>
      </w:r>
    </w:p>
    <w:p w:rsidR="00EC6663" w:rsidRPr="003B754A" w:rsidRDefault="00EC6663" w:rsidP="00E43FB0">
      <w:pPr>
        <w:rPr>
          <w:b/>
        </w:rPr>
      </w:pPr>
    </w:p>
    <w:p w:rsidR="00741764" w:rsidRPr="00E43FB0" w:rsidRDefault="006617E7" w:rsidP="008F6313">
      <w:pPr>
        <w:tabs>
          <w:tab w:val="left" w:pos="720"/>
          <w:tab w:val="left" w:pos="7560"/>
        </w:tabs>
        <w:spacing w:after="0" w:line="360" w:lineRule="auto"/>
        <w:ind w:left="734" w:right="37" w:hanging="734"/>
        <w:rPr>
          <w:b/>
        </w:rPr>
      </w:pPr>
      <w:r>
        <w:rPr>
          <w:b/>
        </w:rPr>
        <w:t xml:space="preserve">HERMIE VAN ZYL </w:t>
      </w:r>
      <w:r w:rsidR="008F6313">
        <w:rPr>
          <w:b/>
        </w:rPr>
        <w:tab/>
      </w:r>
      <w:r>
        <w:rPr>
          <w:b/>
        </w:rPr>
        <w:t>1</w:t>
      </w:r>
      <w:r w:rsidRPr="006617E7">
        <w:rPr>
          <w:b/>
          <w:vertAlign w:val="superscript"/>
        </w:rPr>
        <w:t>ST</w:t>
      </w:r>
      <w:r>
        <w:rPr>
          <w:b/>
        </w:rPr>
        <w:t xml:space="preserve"> APPELLANT</w:t>
      </w:r>
    </w:p>
    <w:p w:rsidR="00741764" w:rsidRPr="003B754A" w:rsidRDefault="006617E7" w:rsidP="008F6313">
      <w:pPr>
        <w:tabs>
          <w:tab w:val="left" w:pos="1440"/>
          <w:tab w:val="left" w:pos="7470"/>
        </w:tabs>
        <w:spacing w:after="0" w:line="360" w:lineRule="auto"/>
        <w:ind w:left="734" w:hanging="734"/>
      </w:pPr>
      <w:r w:rsidRPr="00D25C2F">
        <w:rPr>
          <w:b/>
        </w:rPr>
        <w:t xml:space="preserve">THEA RAATH </w:t>
      </w:r>
      <w:r w:rsidR="008F6313">
        <w:rPr>
          <w:b/>
        </w:rPr>
        <w:tab/>
      </w:r>
      <w:r w:rsidRPr="006617E7">
        <w:rPr>
          <w:b/>
        </w:rPr>
        <w:t>2</w:t>
      </w:r>
      <w:r w:rsidRPr="006617E7">
        <w:rPr>
          <w:b/>
          <w:vertAlign w:val="superscript"/>
        </w:rPr>
        <w:t>ND</w:t>
      </w:r>
      <w:r w:rsidRPr="006617E7">
        <w:rPr>
          <w:b/>
        </w:rPr>
        <w:t xml:space="preserve"> APPELLANT</w:t>
      </w:r>
    </w:p>
    <w:p w:rsidR="006617E7" w:rsidRDefault="006617E7" w:rsidP="008F6313">
      <w:pPr>
        <w:spacing w:after="0" w:line="360" w:lineRule="auto"/>
        <w:ind w:left="734" w:hanging="734"/>
      </w:pPr>
    </w:p>
    <w:p w:rsidR="00741764" w:rsidRPr="003B754A" w:rsidRDefault="00741764" w:rsidP="00E43FB0">
      <w:r w:rsidRPr="003B754A">
        <w:t>And</w:t>
      </w:r>
    </w:p>
    <w:p w:rsidR="00741764" w:rsidRPr="003B754A" w:rsidRDefault="00741764" w:rsidP="00E43FB0"/>
    <w:p w:rsidR="00741764" w:rsidRPr="00E43FB0" w:rsidRDefault="006617E7" w:rsidP="00E43FB0">
      <w:pPr>
        <w:tabs>
          <w:tab w:val="left" w:pos="7470"/>
        </w:tabs>
        <w:ind w:right="37"/>
        <w:rPr>
          <w:b/>
        </w:rPr>
      </w:pPr>
      <w:r>
        <w:rPr>
          <w:b/>
        </w:rPr>
        <w:t>NAMIBIA SALES &amp; MARKETING CC</w:t>
      </w:r>
      <w:r w:rsidR="00741764" w:rsidRPr="00E43FB0">
        <w:rPr>
          <w:b/>
        </w:rPr>
        <w:tab/>
      </w:r>
      <w:r>
        <w:rPr>
          <w:b/>
        </w:rPr>
        <w:t xml:space="preserve">  </w:t>
      </w:r>
      <w:r w:rsidR="0059782E">
        <w:rPr>
          <w:b/>
        </w:rPr>
        <w:t xml:space="preserve"> </w:t>
      </w:r>
      <w:r w:rsidR="00E43FB0" w:rsidRPr="00E43FB0">
        <w:rPr>
          <w:b/>
        </w:rPr>
        <w:t>RESPONDENT</w:t>
      </w:r>
    </w:p>
    <w:p w:rsidR="00741764" w:rsidRPr="00E43FB0" w:rsidRDefault="00741764" w:rsidP="00E43FB0">
      <w:pPr>
        <w:tabs>
          <w:tab w:val="left" w:pos="7380"/>
        </w:tabs>
        <w:ind w:right="37"/>
        <w:rPr>
          <w:b/>
        </w:rPr>
      </w:pPr>
    </w:p>
    <w:p w:rsidR="0091708A" w:rsidRPr="006B2362" w:rsidRDefault="00815D0C" w:rsidP="00B80131">
      <w:pPr>
        <w:ind w:left="2160" w:hanging="2160"/>
        <w:rPr>
          <w:i/>
        </w:rPr>
      </w:pPr>
      <w:r w:rsidRPr="003B754A">
        <w:rPr>
          <w:b/>
          <w:i/>
        </w:rPr>
        <w:t xml:space="preserve">Neutral citation:  </w:t>
      </w:r>
      <w:r w:rsidRPr="003B754A">
        <w:rPr>
          <w:b/>
          <w:i/>
        </w:rPr>
        <w:tab/>
      </w:r>
      <w:r w:rsidR="006617E7">
        <w:rPr>
          <w:i/>
        </w:rPr>
        <w:t>Van Zyl v Namibia Sales Marketing CC (LCA 21/2017</w:t>
      </w:r>
      <w:r w:rsidR="00114C72">
        <w:rPr>
          <w:i/>
        </w:rPr>
        <w:t xml:space="preserve">) [2017] NALCMD </w:t>
      </w:r>
      <w:r w:rsidR="0042331C" w:rsidRPr="0042331C">
        <w:rPr>
          <w:i/>
          <w:color w:val="auto"/>
        </w:rPr>
        <w:t>28</w:t>
      </w:r>
      <w:r w:rsidR="006617E7">
        <w:rPr>
          <w:i/>
        </w:rPr>
        <w:t xml:space="preserve"> (01 September</w:t>
      </w:r>
      <w:r w:rsidR="00114C72" w:rsidRPr="00114C72">
        <w:rPr>
          <w:i/>
        </w:rPr>
        <w:t xml:space="preserve"> 2017)</w:t>
      </w:r>
    </w:p>
    <w:p w:rsidR="00027F47" w:rsidRPr="003B754A" w:rsidRDefault="00027F47" w:rsidP="00E43FB0"/>
    <w:p w:rsidR="00027F47" w:rsidRPr="003B754A" w:rsidRDefault="00027F47" w:rsidP="008F6313">
      <w:pPr>
        <w:spacing w:after="0" w:line="480" w:lineRule="auto"/>
        <w:rPr>
          <w:b/>
        </w:rPr>
      </w:pPr>
      <w:r w:rsidRPr="003B754A">
        <w:rPr>
          <w:b/>
        </w:rPr>
        <w:t>Coram:</w:t>
      </w:r>
      <w:r w:rsidRPr="003B754A">
        <w:rPr>
          <w:b/>
        </w:rPr>
        <w:tab/>
      </w:r>
      <w:r w:rsidRPr="003B754A">
        <w:rPr>
          <w:b/>
        </w:rPr>
        <w:tab/>
        <w:t>UEITELE, J</w:t>
      </w:r>
    </w:p>
    <w:p w:rsidR="00027F47" w:rsidRPr="009830B0" w:rsidRDefault="00027F47" w:rsidP="008F6313">
      <w:pPr>
        <w:spacing w:after="0" w:line="480" w:lineRule="auto"/>
        <w:ind w:left="734" w:right="187" w:hanging="734"/>
        <w:rPr>
          <w:b/>
        </w:rPr>
      </w:pPr>
      <w:r w:rsidRPr="003B754A">
        <w:rPr>
          <w:b/>
          <w:bCs/>
        </w:rPr>
        <w:t>Heard</w:t>
      </w:r>
      <w:r w:rsidRPr="003B754A">
        <w:rPr>
          <w:b/>
        </w:rPr>
        <w:t>:</w:t>
      </w:r>
      <w:r w:rsidRPr="003B754A">
        <w:rPr>
          <w:b/>
        </w:rPr>
        <w:tab/>
      </w:r>
      <w:r w:rsidRPr="003B754A">
        <w:rPr>
          <w:b/>
        </w:rPr>
        <w:tab/>
      </w:r>
      <w:r w:rsidR="00172D45">
        <w:rPr>
          <w:b/>
        </w:rPr>
        <w:t>04 July 2017</w:t>
      </w:r>
    </w:p>
    <w:p w:rsidR="009830B0" w:rsidRDefault="00027F47" w:rsidP="008F6313">
      <w:pPr>
        <w:spacing w:after="0" w:line="480" w:lineRule="auto"/>
        <w:ind w:left="734" w:right="187" w:hanging="734"/>
        <w:rPr>
          <w:b/>
        </w:rPr>
      </w:pPr>
      <w:r w:rsidRPr="003B754A">
        <w:rPr>
          <w:b/>
          <w:bCs/>
        </w:rPr>
        <w:t>Delivered</w:t>
      </w:r>
      <w:r w:rsidRPr="003B754A">
        <w:rPr>
          <w:b/>
        </w:rPr>
        <w:t>:</w:t>
      </w:r>
      <w:r w:rsidRPr="003B754A">
        <w:rPr>
          <w:b/>
        </w:rPr>
        <w:tab/>
      </w:r>
      <w:r w:rsidRPr="003B754A">
        <w:rPr>
          <w:b/>
        </w:rPr>
        <w:tab/>
      </w:r>
      <w:r w:rsidR="00172D45">
        <w:rPr>
          <w:b/>
        </w:rPr>
        <w:t>01 September 2017</w:t>
      </w:r>
    </w:p>
    <w:p w:rsidR="00027F47" w:rsidRPr="009830B0" w:rsidRDefault="00027F47" w:rsidP="00B770F6">
      <w:pPr>
        <w:spacing w:after="0" w:line="360" w:lineRule="auto"/>
        <w:rPr>
          <w:b/>
        </w:rPr>
      </w:pPr>
    </w:p>
    <w:p w:rsidR="00EE0674" w:rsidRDefault="00027F47" w:rsidP="00D86378">
      <w:pPr>
        <w:spacing w:after="0" w:line="360" w:lineRule="auto"/>
        <w:ind w:left="0" w:right="37" w:firstLine="0"/>
        <w:rPr>
          <w:i/>
        </w:rPr>
      </w:pPr>
      <w:r w:rsidRPr="003B754A">
        <w:rPr>
          <w:b/>
        </w:rPr>
        <w:t>Flynote:</w:t>
      </w:r>
      <w:r w:rsidRPr="003B754A">
        <w:rPr>
          <w:b/>
        </w:rPr>
        <w:tab/>
      </w:r>
      <w:r w:rsidR="00133CB6" w:rsidRPr="00133CB6">
        <w:t xml:space="preserve">Labour law - Constructive dismissal - What constitutes - </w:t>
      </w:r>
      <w:r w:rsidR="00133CB6" w:rsidRPr="003E36D5">
        <w:rPr>
          <w:i/>
        </w:rPr>
        <w:t>Onus</w:t>
      </w:r>
      <w:r w:rsidR="00133CB6" w:rsidRPr="00133CB6">
        <w:t xml:space="preserve"> on employee to prove that he did not intend to terminate contract - Constructive dismissal present where employer forcing employee to resign or where work environment such that employee would find it difficult to continue working there</w:t>
      </w:r>
      <w:r w:rsidR="00172D45">
        <w:rPr>
          <w:b/>
        </w:rPr>
        <w:t>-</w:t>
      </w:r>
      <w:r w:rsidR="00172D45" w:rsidRPr="00172D45">
        <w:t xml:space="preserve"> </w:t>
      </w:r>
      <w:r w:rsidR="00172D45" w:rsidRPr="00F9551E">
        <w:t>Principles relating to constructive dismissal restated.</w:t>
      </w:r>
    </w:p>
    <w:p w:rsidR="007E6006" w:rsidRDefault="00027F47" w:rsidP="007E6006">
      <w:pPr>
        <w:spacing w:after="0" w:line="360" w:lineRule="auto"/>
        <w:ind w:left="0" w:right="37" w:firstLine="0"/>
      </w:pPr>
      <w:r w:rsidRPr="003B754A">
        <w:rPr>
          <w:b/>
        </w:rPr>
        <w:lastRenderedPageBreak/>
        <w:t>Summary:</w:t>
      </w:r>
      <w:r w:rsidRPr="003B754A">
        <w:t xml:space="preserve"> </w:t>
      </w:r>
      <w:r w:rsidR="00EE0674" w:rsidRPr="003B754A">
        <w:t xml:space="preserve"> </w:t>
      </w:r>
      <w:r w:rsidR="007E6006">
        <w:t xml:space="preserve">The appellants, who </w:t>
      </w:r>
      <w:r w:rsidR="00490747">
        <w:t>were employed by the respondent</w:t>
      </w:r>
      <w:r w:rsidR="007E6006">
        <w:t xml:space="preserve"> as sales representative and sales manager respectively</w:t>
      </w:r>
      <w:r w:rsidR="003E36D5">
        <w:t>,</w:t>
      </w:r>
      <w:r w:rsidR="007E6006">
        <w:t xml:space="preserve"> resigned from the respondent’s employment when it became apparent that the respondent faced financial difficulties. After the appellants resigned from the respondent’s employment the respondent embarked on a retrenchment process and terminated the contracts of employment of all its employees.</w:t>
      </w:r>
    </w:p>
    <w:p w:rsidR="007E6006" w:rsidRDefault="007E6006" w:rsidP="007E6006">
      <w:pPr>
        <w:spacing w:after="0" w:line="360" w:lineRule="auto"/>
        <w:ind w:left="0" w:right="37" w:firstLine="0"/>
      </w:pPr>
    </w:p>
    <w:p w:rsidR="007E6006" w:rsidRDefault="007E6006" w:rsidP="007E6006">
      <w:pPr>
        <w:spacing w:after="0" w:line="360" w:lineRule="auto"/>
        <w:ind w:left="0" w:right="37" w:firstLine="0"/>
      </w:pPr>
      <w:r>
        <w:t xml:space="preserve">The appellants alleging that the respondent embarked on a disguised transfer of business in order to avoid paying the appellants severance packages filed a complaint of unfair dismissal with the office of the Labour Commissioner.  An arbitrator dismissed the complaint of </w:t>
      </w:r>
      <w:r w:rsidRPr="00CB1823">
        <w:rPr>
          <w:color w:val="auto"/>
        </w:rPr>
        <w:t xml:space="preserve">unfair dismissal </w:t>
      </w:r>
      <w:r w:rsidR="00CB1823">
        <w:rPr>
          <w:color w:val="auto"/>
        </w:rPr>
        <w:t>(</w:t>
      </w:r>
      <w:r w:rsidRPr="00CB1823">
        <w:rPr>
          <w:color w:val="auto"/>
        </w:rPr>
        <w:t>constructive dismissal</w:t>
      </w:r>
      <w:r w:rsidR="00CB1823">
        <w:rPr>
          <w:color w:val="auto"/>
        </w:rPr>
        <w:t>)</w:t>
      </w:r>
      <w:r w:rsidR="00490747">
        <w:t>. The appellant</w:t>
      </w:r>
      <w:r>
        <w:t>s thereafter appealed to this court.</w:t>
      </w:r>
    </w:p>
    <w:p w:rsidR="007E6006" w:rsidRDefault="007E6006" w:rsidP="007E6006">
      <w:pPr>
        <w:spacing w:after="0" w:line="360" w:lineRule="auto"/>
        <w:ind w:left="0" w:right="37" w:firstLine="0"/>
      </w:pPr>
    </w:p>
    <w:p w:rsidR="007E6006" w:rsidRDefault="007E6006" w:rsidP="007E6006">
      <w:pPr>
        <w:spacing w:after="0" w:line="360" w:lineRule="auto"/>
        <w:ind w:left="0" w:right="37" w:firstLine="0"/>
      </w:pPr>
      <w:r w:rsidRPr="007E6006">
        <w:rPr>
          <w:i/>
        </w:rPr>
        <w:t>Held</w:t>
      </w:r>
      <w:r>
        <w:t xml:space="preserve"> that </w:t>
      </w:r>
      <w:r w:rsidRPr="007E6006">
        <w:t>in this case the</w:t>
      </w:r>
      <w:r w:rsidR="008F6313">
        <w:t xml:space="preserve"> appellants </w:t>
      </w:r>
      <w:r w:rsidRPr="007E6006">
        <w:t>had voluntarily resigned and that there had been no constructive dismissal.</w:t>
      </w:r>
    </w:p>
    <w:p w:rsidR="008F6313" w:rsidRDefault="008F6313" w:rsidP="007E6006">
      <w:pPr>
        <w:spacing w:after="0" w:line="360" w:lineRule="auto"/>
        <w:ind w:left="0" w:right="37" w:firstLine="0"/>
      </w:pPr>
    </w:p>
    <w:p w:rsidR="00B770F6" w:rsidRDefault="008F6313" w:rsidP="007E6006">
      <w:pPr>
        <w:spacing w:after="0" w:line="360" w:lineRule="auto"/>
        <w:ind w:left="0" w:right="37" w:firstLine="0"/>
        <w:rPr>
          <w:rFonts w:eastAsiaTheme="minorEastAsia"/>
          <w:color w:val="auto"/>
          <w:szCs w:val="24"/>
        </w:rPr>
      </w:pPr>
      <w:r w:rsidRPr="008F6313">
        <w:rPr>
          <w:i/>
        </w:rPr>
        <w:t>Held further</w:t>
      </w:r>
      <w:r>
        <w:t xml:space="preserve"> </w:t>
      </w:r>
      <w:r w:rsidR="007E6006">
        <w:t xml:space="preserve">that </w:t>
      </w:r>
      <w:r>
        <w:t>the appellants failed to discharge the onus resting on them to prove that they were entitled to a Franke commission, or that there was a disguised transfer of business</w:t>
      </w:r>
      <w:r w:rsidR="007E6006">
        <w:t>.</w:t>
      </w:r>
    </w:p>
    <w:p w:rsidR="0091708A" w:rsidRPr="003B754A" w:rsidRDefault="00837601" w:rsidP="00B770F6">
      <w:pPr>
        <w:spacing w:after="0" w:line="360" w:lineRule="auto"/>
        <w:ind w:left="0" w:firstLine="0"/>
      </w:pPr>
      <w:r>
        <w:t xml:space="preserve"> </w:t>
      </w:r>
      <w:r w:rsidR="000F1AD0">
        <w:t>_</w:t>
      </w:r>
      <w:r w:rsidR="00815D0C" w:rsidRPr="003B754A">
        <w:t>____________________________________________________________________</w:t>
      </w:r>
    </w:p>
    <w:p w:rsidR="0091708A" w:rsidRPr="003B754A" w:rsidRDefault="00815D0C" w:rsidP="00B770F6">
      <w:pPr>
        <w:spacing w:after="0" w:line="360" w:lineRule="auto"/>
        <w:jc w:val="center"/>
      </w:pPr>
      <w:r w:rsidRPr="003B754A">
        <w:rPr>
          <w:b/>
        </w:rPr>
        <w:t>ORDER</w:t>
      </w:r>
    </w:p>
    <w:p w:rsidR="0091708A" w:rsidRDefault="00815D0C" w:rsidP="00B770F6">
      <w:pPr>
        <w:spacing w:after="0" w:line="360" w:lineRule="auto"/>
      </w:pPr>
      <w:r w:rsidRPr="003B754A">
        <w:rPr>
          <w:rFonts w:eastAsia="Calibri"/>
          <w:noProof/>
        </w:rPr>
        <mc:AlternateContent>
          <mc:Choice Requires="wpg">
            <w:drawing>
              <wp:inline distT="0" distB="0" distL="0" distR="0">
                <wp:extent cx="5981700" cy="16764"/>
                <wp:effectExtent l="0" t="0" r="0" b="0"/>
                <wp:docPr id="11104" name="Group 11104"/>
                <wp:cNvGraphicFramePr/>
                <a:graphic xmlns:a="http://schemas.openxmlformats.org/drawingml/2006/main">
                  <a:graphicData uri="http://schemas.microsoft.com/office/word/2010/wordprocessingGroup">
                    <wpg:wgp>
                      <wpg:cNvGrpSpPr/>
                      <wpg:grpSpPr>
                        <a:xfrm>
                          <a:off x="0" y="0"/>
                          <a:ext cx="5981700" cy="16764"/>
                          <a:chOff x="0" y="0"/>
                          <a:chExt cx="5981700" cy="16764"/>
                        </a:xfrm>
                      </wpg:grpSpPr>
                      <wps:wsp>
                        <wps:cNvPr id="15892" name="Shape 15892"/>
                        <wps:cNvSpPr/>
                        <wps:spPr>
                          <a:xfrm>
                            <a:off x="0" y="0"/>
                            <a:ext cx="5981700" cy="16764"/>
                          </a:xfrm>
                          <a:custGeom>
                            <a:avLst/>
                            <a:gdLst/>
                            <a:ahLst/>
                            <a:cxnLst/>
                            <a:rect l="0" t="0" r="0" b="0"/>
                            <a:pathLst>
                              <a:path w="5981700" h="16764">
                                <a:moveTo>
                                  <a:pt x="0" y="0"/>
                                </a:moveTo>
                                <a:lnTo>
                                  <a:pt x="5981700" y="0"/>
                                </a:lnTo>
                                <a:lnTo>
                                  <a:pt x="598170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BB3FA3" id="Group 11104" o:spid="_x0000_s1026" style="width:471pt;height:1.3pt;mso-position-horizontal-relative:char;mso-position-vertical-relative:line" coordsize="5981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">
                <v:shape id="Shape 15892" o:spid="_x0000_s1027" style="position:absolute;width:59817;height:167;visibility:visible;mso-wrap-style:square;v-text-anchor:top" coordsize="598170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isUA&#10;AADeAAAADwAAAGRycy9kb3ducmV2LnhtbERPTWvCQBC9C/6HZYRepG5MUTS6ShAKvRQ1ir0O2WkS&#10;mp0N2a1J++tdQfA2j/c5621vanGl1lWWFUwnEQji3OqKCwXn0/vrAoTzyBpry6TgjxxsN8PBGhNt&#10;Oz7SNfOFCCHsElRQet8kUrq8JINuYhviwH3b1qAPsC2kbrEL4aaWcRTNpcGKQ0OJDe1Kyn+yX6PA&#10;xOfisN9No+bz6/8tG6fd5XJIlXoZ9ekKhKfeP8UP94cO82eLZQz3d8IN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56KxQAAAN4AAAAPAAAAAAAAAAAAAAAAAJgCAABkcnMv&#10;ZG93bnJldi54bWxQSwUGAAAAAAQABAD1AAAAigMAAAAA&#10;" path="m,l5981700,r,16764l,16764,,e" fillcolor="black" stroked="f" strokeweight="0">
                  <v:stroke miterlimit="83231f" joinstyle="miter"/>
                  <v:path arrowok="t" textboxrect="0,0,5981700,16764"/>
                </v:shape>
                <w10:anchorlock/>
              </v:group>
            </w:pict>
          </mc:Fallback>
        </mc:AlternateContent>
      </w:r>
    </w:p>
    <w:p w:rsidR="006B2362" w:rsidRDefault="006B2362" w:rsidP="00B770F6">
      <w:pPr>
        <w:spacing w:after="0" w:line="360" w:lineRule="auto"/>
      </w:pPr>
    </w:p>
    <w:p w:rsidR="00FD2927" w:rsidRPr="00540524" w:rsidRDefault="00855EFB" w:rsidP="008F6313">
      <w:pPr>
        <w:tabs>
          <w:tab w:val="left" w:pos="720"/>
        </w:tabs>
        <w:spacing w:after="0" w:line="360" w:lineRule="auto"/>
        <w:ind w:left="0" w:right="37" w:firstLine="0"/>
        <w:rPr>
          <w:rFonts w:eastAsiaTheme="minorEastAsia"/>
          <w:color w:val="auto"/>
          <w:szCs w:val="24"/>
        </w:rPr>
      </w:pPr>
      <w:r w:rsidRPr="001307A8">
        <w:rPr>
          <w:rFonts w:eastAsiaTheme="minorEastAsia"/>
          <w:color w:val="auto"/>
          <w:szCs w:val="24"/>
        </w:rPr>
        <w:t>The</w:t>
      </w:r>
      <w:r w:rsidR="008F6313">
        <w:rPr>
          <w:rFonts w:eastAsiaTheme="minorEastAsia"/>
          <w:color w:val="auto"/>
          <w:szCs w:val="24"/>
        </w:rPr>
        <w:t xml:space="preserve"> appeal is dismissed.</w:t>
      </w:r>
      <w:r w:rsidRPr="001307A8">
        <w:rPr>
          <w:rFonts w:eastAsiaTheme="minorEastAsia"/>
          <w:color w:val="auto"/>
          <w:szCs w:val="24"/>
        </w:rPr>
        <w:t xml:space="preserve"> </w:t>
      </w:r>
    </w:p>
    <w:p w:rsidR="00FD2927" w:rsidRPr="003B754A" w:rsidRDefault="00FD2927" w:rsidP="00B770F6">
      <w:pPr>
        <w:spacing w:after="0" w:line="360" w:lineRule="auto"/>
      </w:pPr>
    </w:p>
    <w:p w:rsidR="0091708A" w:rsidRPr="003B754A" w:rsidRDefault="00815D0C" w:rsidP="00B770F6">
      <w:pPr>
        <w:tabs>
          <w:tab w:val="left" w:pos="5580"/>
        </w:tabs>
        <w:spacing w:after="0" w:line="360" w:lineRule="auto"/>
      </w:pPr>
      <w:r w:rsidRPr="003B754A">
        <w:rPr>
          <w:b/>
        </w:rPr>
        <w:t>________________________________</w:t>
      </w:r>
      <w:r w:rsidR="00027F47" w:rsidRPr="003B754A">
        <w:rPr>
          <w:b/>
        </w:rPr>
        <w:t>_____________________________________</w:t>
      </w:r>
    </w:p>
    <w:p w:rsidR="0091708A" w:rsidRPr="003B754A" w:rsidRDefault="00027F47" w:rsidP="00B770F6">
      <w:pPr>
        <w:spacing w:after="0" w:line="360" w:lineRule="auto"/>
        <w:jc w:val="center"/>
      </w:pPr>
      <w:r w:rsidRPr="003B754A">
        <w:rPr>
          <w:b/>
        </w:rPr>
        <w:t>JUDGMENT</w:t>
      </w:r>
    </w:p>
    <w:p w:rsidR="0091708A" w:rsidRPr="003B754A" w:rsidRDefault="00815D0C" w:rsidP="00B770F6">
      <w:pPr>
        <w:spacing w:after="0" w:line="360" w:lineRule="auto"/>
      </w:pPr>
      <w:r w:rsidRPr="003B754A">
        <w:rPr>
          <w:rFonts w:eastAsia="Calibri"/>
          <w:noProof/>
        </w:rPr>
        <mc:AlternateContent>
          <mc:Choice Requires="wpg">
            <w:drawing>
              <wp:inline distT="0" distB="0" distL="0" distR="0">
                <wp:extent cx="5981700" cy="18288"/>
                <wp:effectExtent l="0" t="0" r="0" b="0"/>
                <wp:docPr id="12976" name="Group 12976"/>
                <wp:cNvGraphicFramePr/>
                <a:graphic xmlns:a="http://schemas.openxmlformats.org/drawingml/2006/main">
                  <a:graphicData uri="http://schemas.microsoft.com/office/word/2010/wordprocessingGroup">
                    <wpg:wgp>
                      <wpg:cNvGrpSpPr/>
                      <wpg:grpSpPr>
                        <a:xfrm>
                          <a:off x="0" y="0"/>
                          <a:ext cx="5981700" cy="18288"/>
                          <a:chOff x="0" y="0"/>
                          <a:chExt cx="5981700" cy="18288"/>
                        </a:xfrm>
                      </wpg:grpSpPr>
                      <wps:wsp>
                        <wps:cNvPr id="15893" name="Shape 15893"/>
                        <wps:cNvSpPr/>
                        <wps:spPr>
                          <a:xfrm>
                            <a:off x="0" y="0"/>
                            <a:ext cx="5981700" cy="18288"/>
                          </a:xfrm>
                          <a:custGeom>
                            <a:avLst/>
                            <a:gdLst/>
                            <a:ahLst/>
                            <a:cxnLst/>
                            <a:rect l="0" t="0" r="0" b="0"/>
                            <a:pathLst>
                              <a:path w="5981700" h="18288">
                                <a:moveTo>
                                  <a:pt x="0" y="0"/>
                                </a:moveTo>
                                <a:lnTo>
                                  <a:pt x="5981700" y="0"/>
                                </a:lnTo>
                                <a:lnTo>
                                  <a:pt x="5981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5FF76" id="Group 12976" o:spid="_x0000_s1026" style="width:471pt;height:1.45pt;mso-position-horizontal-relative:char;mso-position-vertical-relative:line" coordsize="5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JftVKB4AgAAXwYAAA4AAAAA&#10;AAAAAAAAAAAALgIAAGRycy9lMm9Eb2MueG1sUEsBAi0AFAAGAAgAAAAhAFlGVbzbAAAAAwEAAA8A&#10;AAAAAAAAAAAAAAAA0gQAAGRycy9kb3ducmV2LnhtbFBLBQYAAAAABAAEAPMAAADaBQAAAAA=&#10;">
                <v:shape id="Shape 15893" o:spid="_x0000_s1027" style="position:absolute;width:59817;height:182;visibility:visible;mso-wrap-style:square;v-text-anchor:top" coordsize="5981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YI8YA&#10;AADeAAAADwAAAGRycy9kb3ducmV2LnhtbERP22rCQBB9L/gPywi+1Y1KSxpdxQstggWtLahvQ3ZM&#10;gtnZkF1j2q93C4W+zeFcZzJrTSkaql1hWcGgH4EgTq0uOFPw9fn6GINwHlljaZkUfJOD2bTzMMFE&#10;2xt/ULP3mQgh7BJUkHtfJVK6NCeDrm8r4sCdbW3QB1hnUtd4C+GmlMMoepYGCw4NOVa0zCm97K9G&#10;QaQ3i2KT7U7N+ueYvq0O79RuY6V63XY+BuGp9f/iP/dah/lP8csIft8JN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YI8YAAADeAAAADwAAAAAAAAAAAAAAAACYAgAAZHJz&#10;L2Rvd25yZXYueG1sUEsFBgAAAAAEAAQA9QAAAIsDAAAAAA==&#10;" path="m,l5981700,r,18288l,18288,,e" fillcolor="black" stroked="f" strokeweight="0">
                  <v:stroke miterlimit="83231f" joinstyle="miter"/>
                  <v:path arrowok="t" textboxrect="0,0,5981700,18288"/>
                </v:shape>
                <w10:anchorlock/>
              </v:group>
            </w:pict>
          </mc:Fallback>
        </mc:AlternateContent>
      </w:r>
    </w:p>
    <w:p w:rsidR="0091708A" w:rsidRPr="003B754A" w:rsidRDefault="0091708A" w:rsidP="00B770F6">
      <w:pPr>
        <w:spacing w:after="0" w:line="360" w:lineRule="auto"/>
      </w:pPr>
    </w:p>
    <w:p w:rsidR="0091708A" w:rsidRPr="00FD2927" w:rsidRDefault="00815D0C" w:rsidP="00B770F6">
      <w:pPr>
        <w:spacing w:after="0" w:line="360" w:lineRule="auto"/>
        <w:rPr>
          <w:b/>
        </w:rPr>
      </w:pPr>
      <w:r w:rsidRPr="00FD2927">
        <w:rPr>
          <w:b/>
        </w:rPr>
        <w:t xml:space="preserve">UEITELE, J  </w:t>
      </w:r>
    </w:p>
    <w:p w:rsidR="0091708A" w:rsidRPr="003B754A" w:rsidRDefault="0091708A" w:rsidP="00B770F6">
      <w:pPr>
        <w:spacing w:after="0" w:line="360" w:lineRule="auto"/>
      </w:pPr>
    </w:p>
    <w:p w:rsidR="0091708A" w:rsidRPr="003B754A" w:rsidRDefault="00027F47" w:rsidP="00B770F6">
      <w:pPr>
        <w:spacing w:after="0" w:line="360" w:lineRule="auto"/>
        <w:rPr>
          <w:u w:val="single" w:color="000000"/>
        </w:rPr>
      </w:pPr>
      <w:r w:rsidRPr="003B754A">
        <w:rPr>
          <w:u w:val="single" w:color="000000"/>
        </w:rPr>
        <w:t xml:space="preserve">The parties </w:t>
      </w:r>
    </w:p>
    <w:p w:rsidR="00027F47" w:rsidRPr="003B754A" w:rsidRDefault="00027F47" w:rsidP="00B770F6">
      <w:pPr>
        <w:spacing w:after="0" w:line="360" w:lineRule="auto"/>
        <w:rPr>
          <w:b/>
        </w:rPr>
      </w:pPr>
    </w:p>
    <w:p w:rsidR="00D86378" w:rsidRPr="003B754A" w:rsidRDefault="00702B3F" w:rsidP="00B770F6">
      <w:pPr>
        <w:spacing w:after="0" w:line="360" w:lineRule="auto"/>
        <w:ind w:left="0" w:right="37" w:firstLine="0"/>
      </w:pPr>
      <w:r w:rsidRPr="003B754A">
        <w:t>[1]</w:t>
      </w:r>
      <w:r w:rsidR="00027F47" w:rsidRPr="003B754A">
        <w:tab/>
      </w:r>
      <w:r w:rsidR="00634341" w:rsidRPr="003B754A">
        <w:t>Th</w:t>
      </w:r>
      <w:r w:rsidR="00D86378">
        <w:t>e first appellant</w:t>
      </w:r>
      <w:r w:rsidR="008F0E75">
        <w:t xml:space="preserve"> </w:t>
      </w:r>
      <w:r w:rsidR="008F0E75" w:rsidRPr="003B754A">
        <w:t>in this matter</w:t>
      </w:r>
      <w:r w:rsidR="007C6476" w:rsidRPr="003B754A">
        <w:t xml:space="preserve"> </w:t>
      </w:r>
      <w:r w:rsidR="006500F2">
        <w:t xml:space="preserve">is </w:t>
      </w:r>
      <w:r w:rsidR="00D86378">
        <w:t>Hermie Van Zyl</w:t>
      </w:r>
      <w:r w:rsidR="00624484" w:rsidRPr="003B754A">
        <w:t xml:space="preserve">, </w:t>
      </w:r>
      <w:r w:rsidR="006500F2">
        <w:t xml:space="preserve">who </w:t>
      </w:r>
      <w:r w:rsidR="00D86378">
        <w:t>was</w:t>
      </w:r>
      <w:r w:rsidR="00BE780C">
        <w:t xml:space="preserve"> employed </w:t>
      </w:r>
      <w:r w:rsidR="00BE780C" w:rsidRPr="00BE780C">
        <w:t xml:space="preserve">by the </w:t>
      </w:r>
      <w:r w:rsidR="00BE780C">
        <w:t xml:space="preserve">respondent </w:t>
      </w:r>
      <w:r w:rsidR="00BE780C" w:rsidRPr="00BE780C">
        <w:t xml:space="preserve">from </w:t>
      </w:r>
      <w:r w:rsidR="00BE780C">
        <w:t>17 May 201</w:t>
      </w:r>
      <w:r w:rsidR="007A2013">
        <w:t>0</w:t>
      </w:r>
      <w:r w:rsidR="00BE780C">
        <w:t xml:space="preserve"> as </w:t>
      </w:r>
      <w:r w:rsidR="008F0E75">
        <w:t xml:space="preserve">sales representative </w:t>
      </w:r>
      <w:r w:rsidR="00BE780C">
        <w:t xml:space="preserve">until 30 June 2016 when </w:t>
      </w:r>
      <w:r w:rsidR="00BE780C" w:rsidRPr="00BE780C">
        <w:t xml:space="preserve">he </w:t>
      </w:r>
      <w:r w:rsidR="00BE780C">
        <w:t>resigned from his employment. (</w:t>
      </w:r>
      <w:r w:rsidR="00BE780C" w:rsidRPr="00BE780C">
        <w:t>I w</w:t>
      </w:r>
      <w:r w:rsidR="00BE780C">
        <w:t>ill</w:t>
      </w:r>
      <w:r w:rsidR="008F0E75">
        <w:t>,</w:t>
      </w:r>
      <w:r w:rsidR="00BE780C">
        <w:t xml:space="preserve"> in this judgment</w:t>
      </w:r>
      <w:r w:rsidR="008F0E75">
        <w:t>,</w:t>
      </w:r>
      <w:r w:rsidR="00BE780C">
        <w:t xml:space="preserve"> refer to </w:t>
      </w:r>
      <w:r w:rsidR="006500F2">
        <w:t xml:space="preserve">the first appellant </w:t>
      </w:r>
      <w:r w:rsidR="00BE780C">
        <w:t>as ‘Mr Van Zyl</w:t>
      </w:r>
      <w:r w:rsidR="00BE780C" w:rsidRPr="00BE780C">
        <w:t>’).</w:t>
      </w:r>
    </w:p>
    <w:p w:rsidR="00D86378" w:rsidRDefault="00D86378" w:rsidP="00B770F6">
      <w:pPr>
        <w:spacing w:after="0" w:line="360" w:lineRule="auto"/>
        <w:ind w:left="0" w:right="37" w:firstLine="0"/>
      </w:pPr>
    </w:p>
    <w:p w:rsidR="00D86378" w:rsidRDefault="00446A36" w:rsidP="00B770F6">
      <w:pPr>
        <w:spacing w:after="0" w:line="360" w:lineRule="auto"/>
        <w:ind w:left="0" w:right="37" w:firstLine="0"/>
      </w:pPr>
      <w:r w:rsidRPr="003B754A">
        <w:lastRenderedPageBreak/>
        <w:t>[2]</w:t>
      </w:r>
      <w:r w:rsidRPr="003B754A">
        <w:tab/>
      </w:r>
      <w:r w:rsidR="00D86378">
        <w:t xml:space="preserve">The second appellant </w:t>
      </w:r>
      <w:r w:rsidR="006500F2">
        <w:t xml:space="preserve">is </w:t>
      </w:r>
      <w:r w:rsidR="00D86378">
        <w:t xml:space="preserve">Thea Raath </w:t>
      </w:r>
      <w:r w:rsidR="006500F2">
        <w:t xml:space="preserve">who was employed by the respondent from 1 July 2005 as </w:t>
      </w:r>
      <w:r w:rsidR="003E0D45">
        <w:t xml:space="preserve">sales manager </w:t>
      </w:r>
      <w:r w:rsidR="006500F2">
        <w:t>until</w:t>
      </w:r>
      <w:r w:rsidR="007A2013">
        <w:t xml:space="preserve"> 15</w:t>
      </w:r>
      <w:r w:rsidR="006500F2">
        <w:t xml:space="preserve"> August 2016 when she resigned from her employment. (I will</w:t>
      </w:r>
      <w:r w:rsidR="008F0E75">
        <w:t>,</w:t>
      </w:r>
      <w:r w:rsidR="006500F2">
        <w:t xml:space="preserve"> in this judgment</w:t>
      </w:r>
      <w:r w:rsidR="008F0E75">
        <w:t>,</w:t>
      </w:r>
      <w:r w:rsidR="006500F2">
        <w:t xml:space="preserve"> refer to the second appellant as Ms Raath).</w:t>
      </w:r>
      <w:r w:rsidR="00172D45">
        <w:t xml:space="preserve"> When I need to refer to the appellants jointly, I will refer to them as the appellants, but where I need to refer to them individually I will refer to them as Van Zyl or Raath.</w:t>
      </w:r>
      <w:r w:rsidR="006500F2">
        <w:t xml:space="preserve"> </w:t>
      </w:r>
    </w:p>
    <w:p w:rsidR="00D86378" w:rsidRDefault="00D86378" w:rsidP="00B770F6">
      <w:pPr>
        <w:spacing w:after="0" w:line="360" w:lineRule="auto"/>
        <w:ind w:left="0" w:right="37" w:firstLine="0"/>
      </w:pPr>
    </w:p>
    <w:p w:rsidR="00FD2927" w:rsidRPr="003B754A" w:rsidRDefault="00D86378" w:rsidP="00B770F6">
      <w:pPr>
        <w:spacing w:after="0" w:line="360" w:lineRule="auto"/>
        <w:ind w:left="0" w:right="37" w:firstLine="0"/>
      </w:pPr>
      <w:r>
        <w:t>[3]</w:t>
      </w:r>
      <w:r>
        <w:tab/>
        <w:t>The</w:t>
      </w:r>
      <w:r w:rsidR="00624484" w:rsidRPr="003B754A">
        <w:t xml:space="preserve"> </w:t>
      </w:r>
      <w:r w:rsidR="00446A36" w:rsidRPr="003B754A">
        <w:t xml:space="preserve">respondent </w:t>
      </w:r>
      <w:r w:rsidRPr="00D86378">
        <w:t>in this matt</w:t>
      </w:r>
      <w:r>
        <w:t xml:space="preserve">er </w:t>
      </w:r>
      <w:r w:rsidR="009A2E7E" w:rsidRPr="003B754A">
        <w:t xml:space="preserve">is </w:t>
      </w:r>
      <w:r>
        <w:t xml:space="preserve">Namibia Sales &amp; Marketing CC </w:t>
      </w:r>
      <w:r w:rsidRPr="00D86378">
        <w:t>a close corporation registered in accordance with the Laws of the Republic of Namibia. (I will in</w:t>
      </w:r>
      <w:r w:rsidR="003F63FB">
        <w:t xml:space="preserve"> this judgment </w:t>
      </w:r>
      <w:r>
        <w:t>refer to</w:t>
      </w:r>
      <w:r w:rsidRPr="00D86378">
        <w:t xml:space="preserve"> Namibia Sales &amp; Marketing CC </w:t>
      </w:r>
      <w:r>
        <w:t>as ‘the respondent</w:t>
      </w:r>
      <w:r w:rsidRPr="00D86378">
        <w:t>’).</w:t>
      </w:r>
      <w:r w:rsidR="00A77A8E">
        <w:t xml:space="preserve"> The respondent </w:t>
      </w:r>
      <w:r w:rsidR="00D25C2F">
        <w:t>d</w:t>
      </w:r>
      <w:r w:rsidR="003E36D5">
        <w:t xml:space="preserve">id </w:t>
      </w:r>
      <w:r w:rsidR="00D25C2F">
        <w:t xml:space="preserve">not </w:t>
      </w:r>
      <w:r w:rsidR="003E36D5">
        <w:t>participate in</w:t>
      </w:r>
      <w:r w:rsidR="00D25C2F">
        <w:t xml:space="preserve"> the appeal</w:t>
      </w:r>
      <w:r w:rsidR="003E36D5">
        <w:t xml:space="preserve"> proceedings</w:t>
      </w:r>
      <w:r w:rsidR="00D25C2F">
        <w:t xml:space="preserve">. </w:t>
      </w:r>
    </w:p>
    <w:p w:rsidR="00A77A8E" w:rsidRDefault="00A77A8E" w:rsidP="00B770F6">
      <w:pPr>
        <w:spacing w:after="0" w:line="360" w:lineRule="auto"/>
        <w:ind w:left="0" w:right="37" w:firstLine="0"/>
        <w:rPr>
          <w:u w:val="single"/>
        </w:rPr>
      </w:pPr>
    </w:p>
    <w:p w:rsidR="00027F47" w:rsidRPr="003B754A" w:rsidRDefault="007A2013" w:rsidP="00B770F6">
      <w:pPr>
        <w:spacing w:after="0" w:line="360" w:lineRule="auto"/>
        <w:ind w:left="0" w:right="37" w:firstLine="0"/>
        <w:rPr>
          <w:u w:val="single"/>
        </w:rPr>
      </w:pPr>
      <w:r>
        <w:rPr>
          <w:u w:val="single"/>
        </w:rPr>
        <w:t>The background to this appeal</w:t>
      </w:r>
    </w:p>
    <w:p w:rsidR="001F68AE" w:rsidRPr="003B754A" w:rsidRDefault="001F68AE" w:rsidP="00B770F6">
      <w:pPr>
        <w:spacing w:after="0" w:line="360" w:lineRule="auto"/>
        <w:ind w:left="0" w:right="37" w:firstLine="0"/>
      </w:pPr>
    </w:p>
    <w:p w:rsidR="003E0D45" w:rsidRDefault="0090569A" w:rsidP="00B770F6">
      <w:pPr>
        <w:spacing w:after="0" w:line="360" w:lineRule="auto"/>
        <w:ind w:left="0" w:right="37" w:firstLine="0"/>
      </w:pPr>
      <w:r w:rsidRPr="003B754A">
        <w:t>[</w:t>
      </w:r>
      <w:r w:rsidR="00012409" w:rsidRPr="003B754A">
        <w:t>4</w:t>
      </w:r>
      <w:r w:rsidRPr="003B754A">
        <w:t>]</w:t>
      </w:r>
      <w:r w:rsidRPr="003B754A">
        <w:tab/>
      </w:r>
      <w:r w:rsidR="0064543B" w:rsidRPr="003B754A">
        <w:t>As I ha</w:t>
      </w:r>
      <w:r w:rsidR="007A2013">
        <w:t>ve indicated above the appellants were employed by the respondent</w:t>
      </w:r>
      <w:r w:rsidR="003E0D45">
        <w:t xml:space="preserve">, Van Zyl started his employment with the respondent on 17 May 2010 as a sales representative. Prior to the year 2013 it appears that the </w:t>
      </w:r>
      <w:r w:rsidR="006F4144">
        <w:t xml:space="preserve">respondent </w:t>
      </w:r>
      <w:r w:rsidR="003E0D45">
        <w:t>was doing well financially.  Van Zyl testified that prior to that date each sales representative had a motor vehicle assigned to him or her and they</w:t>
      </w:r>
      <w:r w:rsidR="006F4144">
        <w:t xml:space="preserve"> were issued with the</w:t>
      </w:r>
      <w:r w:rsidR="00490747">
        <w:t xml:space="preserve"> respondent’s credit cards when on </w:t>
      </w:r>
      <w:r w:rsidR="006F4144">
        <w:t xml:space="preserve">official </w:t>
      </w:r>
      <w:r w:rsidR="00BC74E5">
        <w:t>duties and</w:t>
      </w:r>
      <w:r w:rsidR="006F4144">
        <w:t xml:space="preserve"> were also issued with </w:t>
      </w:r>
      <w:r w:rsidR="00884F56">
        <w:t>the</w:t>
      </w:r>
      <w:r w:rsidR="006F4144">
        <w:t xml:space="preserve"> respondent’s</w:t>
      </w:r>
      <w:r w:rsidR="003E0D45">
        <w:t xml:space="preserve"> </w:t>
      </w:r>
      <w:r w:rsidR="00884F56">
        <w:t>petrol</w:t>
      </w:r>
      <w:r w:rsidR="003E0D45">
        <w:t xml:space="preserve"> cards that they used to fuel up the motor vehicles when they travelled on company business.</w:t>
      </w:r>
      <w:r w:rsidR="00F34B8D">
        <w:t xml:space="preserve"> </w:t>
      </w:r>
    </w:p>
    <w:p w:rsidR="003E0D45" w:rsidRDefault="003E0D45" w:rsidP="00B770F6">
      <w:pPr>
        <w:spacing w:after="0" w:line="360" w:lineRule="auto"/>
        <w:ind w:left="0" w:right="37" w:firstLine="0"/>
      </w:pPr>
    </w:p>
    <w:p w:rsidR="008D5E8B" w:rsidRDefault="003E0D45" w:rsidP="00B770F6">
      <w:pPr>
        <w:spacing w:after="0" w:line="360" w:lineRule="auto"/>
        <w:ind w:left="0" w:right="37" w:firstLine="0"/>
      </w:pPr>
      <w:r>
        <w:t>[5]</w:t>
      </w:r>
      <w:r>
        <w:tab/>
        <w:t xml:space="preserve"> </w:t>
      </w:r>
      <w:r w:rsidR="006F4144">
        <w:t xml:space="preserve">During December 2015 Van Zyl was approached by a company called T &amp; C who offered him a position of sales representative. When he was offered that position he approached a certain Minnie the sole </w:t>
      </w:r>
      <w:r w:rsidR="008F6313">
        <w:t xml:space="preserve">and managing </w:t>
      </w:r>
      <w:r w:rsidR="006F4144">
        <w:t>member of the respondent and shared with him the offer that he received from T &amp; C. Mr Minnie allegedly expressed the desire to keep him and matched the offer that Van Zyl received from T &amp; C, he accordingly decided against leaving the employment of the respondent.</w:t>
      </w:r>
    </w:p>
    <w:p w:rsidR="008D5E8B" w:rsidRDefault="008D5E8B" w:rsidP="00B770F6">
      <w:pPr>
        <w:spacing w:after="0" w:line="360" w:lineRule="auto"/>
        <w:ind w:left="0" w:right="37" w:firstLine="0"/>
      </w:pPr>
    </w:p>
    <w:p w:rsidR="006F4144" w:rsidRDefault="008D5E8B" w:rsidP="00B770F6">
      <w:pPr>
        <w:spacing w:after="0" w:line="360" w:lineRule="auto"/>
        <w:ind w:left="0" w:right="37" w:firstLine="0"/>
      </w:pPr>
      <w:r>
        <w:t>[6]</w:t>
      </w:r>
      <w:r>
        <w:tab/>
      </w:r>
      <w:r w:rsidR="006F4144">
        <w:t xml:space="preserve">At the beginning of the year 2016 matters, according to Van Zyl, started to change for the worse. He testified that when the sales representatives had to travel they had to use one vehicle because the other vehicles would not have fuel, the credit </w:t>
      </w:r>
      <w:r w:rsidR="00884F56">
        <w:t>and the petrol cards</w:t>
      </w:r>
      <w:r w:rsidR="006F4144">
        <w:t xml:space="preserve"> were withdrawn and stock that they had to sell </w:t>
      </w:r>
      <w:r w:rsidR="008F6313">
        <w:t xml:space="preserve">and deliver to clients </w:t>
      </w:r>
      <w:r w:rsidR="006F4144">
        <w:t xml:space="preserve">was </w:t>
      </w:r>
      <w:r w:rsidR="008F6313">
        <w:t xml:space="preserve">arriving late and </w:t>
      </w:r>
      <w:r w:rsidR="006F4144">
        <w:t>in ‘in drips and drops’.</w:t>
      </w:r>
      <w:r w:rsidR="00884F56">
        <w:t xml:space="preserve"> After these experiences and after </w:t>
      </w:r>
      <w:r w:rsidR="00BC74E5">
        <w:t xml:space="preserve">having heard </w:t>
      </w:r>
      <w:r w:rsidR="008F6313">
        <w:t>‘rumours’</w:t>
      </w:r>
      <w:r w:rsidR="00884F56">
        <w:t xml:space="preserve"> that the respondent was in financial difficulties Van Zyl went back to T</w:t>
      </w:r>
      <w:r w:rsidR="00BC74E5">
        <w:t xml:space="preserve"> </w:t>
      </w:r>
      <w:r w:rsidR="00884F56">
        <w:t xml:space="preserve">&amp; C and enquired whether the position of sales representative which </w:t>
      </w:r>
      <w:r w:rsidR="008F6313">
        <w:t xml:space="preserve">that company had </w:t>
      </w:r>
      <w:r w:rsidR="00884F56">
        <w:t xml:space="preserve">offered to him was still </w:t>
      </w:r>
      <w:r w:rsidR="00884F56">
        <w:lastRenderedPageBreak/>
        <w:t xml:space="preserve">available.  After he received confirmation that the position was still available he tendered his resignation to Minnie and </w:t>
      </w:r>
      <w:r w:rsidR="008F6313">
        <w:t>on 1</w:t>
      </w:r>
      <w:r w:rsidR="00884F56">
        <w:t xml:space="preserve"> July 2016 he commenced employment with T &amp; C.</w:t>
      </w:r>
    </w:p>
    <w:p w:rsidR="00884F56" w:rsidRDefault="00884F56" w:rsidP="00B770F6">
      <w:pPr>
        <w:spacing w:after="0" w:line="360" w:lineRule="auto"/>
        <w:ind w:left="0" w:right="37" w:firstLine="0"/>
      </w:pPr>
    </w:p>
    <w:p w:rsidR="008456C5" w:rsidRDefault="006F4144" w:rsidP="00B770F6">
      <w:pPr>
        <w:spacing w:after="0" w:line="360" w:lineRule="auto"/>
        <w:ind w:left="0" w:right="37" w:firstLine="0"/>
      </w:pPr>
      <w:r>
        <w:t>[7]</w:t>
      </w:r>
      <w:r>
        <w:tab/>
      </w:r>
      <w:r w:rsidR="00812D8C">
        <w:t xml:space="preserve">As regards Ms Raath she commenced her employment with the respondent on 1 July 2005. </w:t>
      </w:r>
      <w:r w:rsidR="008456C5">
        <w:t>Ms Raath</w:t>
      </w:r>
      <w:r w:rsidR="00812D8C">
        <w:t xml:space="preserve"> testified that she was informed </w:t>
      </w:r>
      <w:r w:rsidR="008456C5">
        <w:t>by another colleague that also worked for the respondent that Minnie told him that he (Minnie) was closing down the respondent and that he was only taking a few people with him to his new company. Ms Raath did not</w:t>
      </w:r>
      <w:r w:rsidR="00BA4F10">
        <w:t>,</w:t>
      </w:r>
      <w:r w:rsidR="008456C5">
        <w:t xml:space="preserve"> in her evidence</w:t>
      </w:r>
      <w:r w:rsidR="00BA4F10">
        <w:t>,</w:t>
      </w:r>
      <w:r w:rsidR="008456C5">
        <w:t xml:space="preserve"> identify the colleague who told her about the </w:t>
      </w:r>
      <w:r w:rsidR="00BC74E5">
        <w:t xml:space="preserve">alleged </w:t>
      </w:r>
      <w:r w:rsidR="008456C5">
        <w:t>imminent closure of the respondent. The unidentified colleague</w:t>
      </w:r>
      <w:r w:rsidR="00237718">
        <w:t xml:space="preserve">s of Raath </w:t>
      </w:r>
      <w:r w:rsidR="008456C5">
        <w:t>kept on telling her to start looking for another job before it was too late. Because of</w:t>
      </w:r>
      <w:r w:rsidR="00722A23">
        <w:t xml:space="preserve"> </w:t>
      </w:r>
      <w:r w:rsidR="00BA4F10">
        <w:t>this</w:t>
      </w:r>
      <w:r w:rsidR="00722A23">
        <w:t xml:space="preserve"> information that she received Ms Raath on 12 July 2016 addressed a letter in the following terms to M</w:t>
      </w:r>
      <w:r w:rsidR="00BA4F10">
        <w:t>i</w:t>
      </w:r>
      <w:r w:rsidR="00722A23">
        <w:t>nnie:</w:t>
      </w:r>
    </w:p>
    <w:p w:rsidR="00722A23" w:rsidRDefault="00722A23" w:rsidP="00B770F6">
      <w:pPr>
        <w:spacing w:after="0" w:line="360" w:lineRule="auto"/>
        <w:ind w:left="0" w:right="37" w:firstLine="0"/>
      </w:pPr>
    </w:p>
    <w:p w:rsidR="008456C5" w:rsidRDefault="00722A23" w:rsidP="00722A23">
      <w:pPr>
        <w:spacing w:after="0" w:line="360" w:lineRule="auto"/>
        <w:ind w:left="0" w:right="43" w:firstLine="720"/>
        <w:rPr>
          <w:sz w:val="22"/>
        </w:rPr>
      </w:pPr>
      <w:r w:rsidRPr="00722A23">
        <w:rPr>
          <w:sz w:val="22"/>
        </w:rPr>
        <w:t>‘</w:t>
      </w:r>
      <w:r>
        <w:rPr>
          <w:sz w:val="22"/>
        </w:rPr>
        <w:t>Firstly I would like to thank you for giving me the opportunity to work for you for 13 years.</w:t>
      </w:r>
    </w:p>
    <w:p w:rsidR="00722A23" w:rsidRDefault="00722A23" w:rsidP="00722A23">
      <w:pPr>
        <w:spacing w:after="0" w:line="360" w:lineRule="auto"/>
        <w:ind w:left="0" w:right="43" w:firstLine="0"/>
        <w:rPr>
          <w:sz w:val="22"/>
        </w:rPr>
      </w:pPr>
    </w:p>
    <w:p w:rsidR="00722A23" w:rsidRDefault="00722A23" w:rsidP="00722A23">
      <w:pPr>
        <w:spacing w:after="0" w:line="360" w:lineRule="auto"/>
        <w:ind w:left="0" w:right="43" w:firstLine="0"/>
        <w:rPr>
          <w:sz w:val="22"/>
        </w:rPr>
      </w:pPr>
      <w:r>
        <w:rPr>
          <w:sz w:val="22"/>
        </w:rPr>
        <w:t>Please accept my resignation from Namibia Sales and Marketing. I was informed the company is closing and had no other choice to seek new employment. My last working day will be the 15</w:t>
      </w:r>
      <w:r w:rsidRPr="00722A23">
        <w:rPr>
          <w:sz w:val="22"/>
          <w:vertAlign w:val="superscript"/>
        </w:rPr>
        <w:t>th</w:t>
      </w:r>
      <w:r>
        <w:rPr>
          <w:sz w:val="22"/>
        </w:rPr>
        <w:t xml:space="preserve"> of August 2016.</w:t>
      </w:r>
    </w:p>
    <w:p w:rsidR="00722A23" w:rsidRDefault="00722A23" w:rsidP="00722A23">
      <w:pPr>
        <w:spacing w:after="0" w:line="360" w:lineRule="auto"/>
        <w:ind w:left="0" w:right="43" w:firstLine="0"/>
        <w:rPr>
          <w:sz w:val="22"/>
        </w:rPr>
      </w:pPr>
    </w:p>
    <w:p w:rsidR="00722A23" w:rsidRDefault="00722A23" w:rsidP="00722A23">
      <w:pPr>
        <w:spacing w:after="0" w:line="360" w:lineRule="auto"/>
        <w:ind w:left="0" w:right="43" w:firstLine="0"/>
        <w:rPr>
          <w:sz w:val="22"/>
        </w:rPr>
      </w:pPr>
      <w:r>
        <w:rPr>
          <w:sz w:val="22"/>
        </w:rPr>
        <w:t>Thank you for everything you have done for me in the past it was a pleasure to work with you.</w:t>
      </w:r>
    </w:p>
    <w:p w:rsidR="00722A23" w:rsidRDefault="00722A23" w:rsidP="00722A23">
      <w:pPr>
        <w:spacing w:after="0" w:line="360" w:lineRule="auto"/>
        <w:ind w:left="0" w:right="43" w:firstLine="0"/>
        <w:rPr>
          <w:sz w:val="22"/>
        </w:rPr>
      </w:pPr>
      <w:r>
        <w:rPr>
          <w:sz w:val="22"/>
        </w:rPr>
        <w:t xml:space="preserve">Regards </w:t>
      </w:r>
    </w:p>
    <w:p w:rsidR="00BA4F10" w:rsidRDefault="00BA4F10" w:rsidP="00722A23">
      <w:pPr>
        <w:spacing w:after="0" w:line="360" w:lineRule="auto"/>
        <w:ind w:left="0" w:right="43" w:firstLine="0"/>
        <w:rPr>
          <w:sz w:val="22"/>
        </w:rPr>
      </w:pPr>
    </w:p>
    <w:p w:rsidR="00722A23" w:rsidRPr="00722A23" w:rsidRDefault="00722A23" w:rsidP="00722A23">
      <w:pPr>
        <w:spacing w:after="0" w:line="360" w:lineRule="auto"/>
        <w:ind w:left="0" w:right="43" w:firstLine="0"/>
        <w:rPr>
          <w:sz w:val="22"/>
        </w:rPr>
      </w:pPr>
      <w:r>
        <w:rPr>
          <w:sz w:val="22"/>
        </w:rPr>
        <w:t>Thea Raath‘</w:t>
      </w:r>
    </w:p>
    <w:p w:rsidR="008456C5" w:rsidRDefault="008456C5" w:rsidP="00B770F6">
      <w:pPr>
        <w:spacing w:after="0" w:line="360" w:lineRule="auto"/>
        <w:ind w:left="0" w:right="37" w:firstLine="0"/>
      </w:pPr>
    </w:p>
    <w:p w:rsidR="000B3834" w:rsidRDefault="00AD0B0B" w:rsidP="00B770F6">
      <w:pPr>
        <w:spacing w:after="0" w:line="360" w:lineRule="auto"/>
        <w:ind w:left="0" w:right="37" w:firstLine="0"/>
      </w:pPr>
      <w:r w:rsidRPr="003B754A">
        <w:rPr>
          <w:lang w:val="en-GB"/>
        </w:rPr>
        <w:t>[</w:t>
      </w:r>
      <w:r w:rsidR="000B3834">
        <w:rPr>
          <w:lang w:val="en-GB"/>
        </w:rPr>
        <w:t>8</w:t>
      </w:r>
      <w:r w:rsidRPr="003B754A">
        <w:rPr>
          <w:lang w:val="en-GB"/>
        </w:rPr>
        <w:t>]</w:t>
      </w:r>
      <w:r w:rsidRPr="003B754A">
        <w:rPr>
          <w:lang w:val="en-GB"/>
        </w:rPr>
        <w:tab/>
      </w:r>
      <w:r w:rsidR="00040F01">
        <w:rPr>
          <w:lang w:val="en-GB"/>
        </w:rPr>
        <w:t>After their resignation from</w:t>
      </w:r>
      <w:r w:rsidR="007229D1">
        <w:rPr>
          <w:lang w:val="en-GB"/>
        </w:rPr>
        <w:t xml:space="preserve"> the respondent, </w:t>
      </w:r>
      <w:r w:rsidR="00040F01">
        <w:rPr>
          <w:lang w:val="en-GB"/>
        </w:rPr>
        <w:t>the</w:t>
      </w:r>
      <w:r w:rsidR="000B3834">
        <w:rPr>
          <w:lang w:val="en-GB"/>
        </w:rPr>
        <w:t xml:space="preserve"> respondent commenced a process of retrenchment whereby it ret</w:t>
      </w:r>
      <w:r w:rsidR="007229D1">
        <w:rPr>
          <w:lang w:val="en-GB"/>
        </w:rPr>
        <w:t xml:space="preserve">renched most of its employees. </w:t>
      </w:r>
      <w:r w:rsidR="0000247D">
        <w:t>The appellants alleging that the respondent embarked on a disguised transfer of business in order to avoid paying them severance packages</w:t>
      </w:r>
      <w:r w:rsidR="00490747">
        <w:t xml:space="preserve"> </w:t>
      </w:r>
      <w:r w:rsidR="0000247D">
        <w:t>filed,</w:t>
      </w:r>
      <w:r w:rsidR="0000247D" w:rsidRPr="0000247D">
        <w:t xml:space="preserve"> </w:t>
      </w:r>
      <w:r w:rsidR="0000247D" w:rsidRPr="00040F01">
        <w:t>in</w:t>
      </w:r>
      <w:r w:rsidR="0000247D" w:rsidRPr="00040F01">
        <w:rPr>
          <w:lang w:val="en-GB"/>
        </w:rPr>
        <w:t xml:space="preserve"> terms of s 85 of the Labour Act, 2007</w:t>
      </w:r>
      <w:r w:rsidR="0000247D">
        <w:rPr>
          <w:lang w:val="en-GB"/>
        </w:rPr>
        <w:t>,</w:t>
      </w:r>
      <w:r w:rsidR="0000247D">
        <w:t xml:space="preserve"> a complaint of unfair dismissal </w:t>
      </w:r>
      <w:r w:rsidR="0000247D">
        <w:rPr>
          <w:lang w:val="en-GB"/>
        </w:rPr>
        <w:t>and failure to pay severance pay</w:t>
      </w:r>
      <w:r w:rsidR="0000247D">
        <w:t xml:space="preserve"> with the office of the Labour</w:t>
      </w:r>
      <w:r w:rsidR="00490747">
        <w:t xml:space="preserve"> Commissioner</w:t>
      </w:r>
      <w:r w:rsidR="000B3834">
        <w:rPr>
          <w:lang w:val="en-GB"/>
        </w:rPr>
        <w:t>, on 17 October 2016</w:t>
      </w:r>
      <w:r w:rsidR="0035247D" w:rsidRPr="003B754A">
        <w:rPr>
          <w:lang w:val="en-GB"/>
        </w:rPr>
        <w:t xml:space="preserve">. The </w:t>
      </w:r>
      <w:r w:rsidR="0035247D" w:rsidRPr="003B754A">
        <w:t xml:space="preserve">Labour Commissioner, designated a certain Mr. </w:t>
      </w:r>
      <w:r w:rsidR="00040F01">
        <w:t xml:space="preserve">Nicolhaus Mouers </w:t>
      </w:r>
      <w:r w:rsidR="000B3834">
        <w:t>to conciliate and arbitrate over the dispute.</w:t>
      </w:r>
    </w:p>
    <w:p w:rsidR="000B3834" w:rsidRDefault="000B3834" w:rsidP="00B770F6">
      <w:pPr>
        <w:spacing w:after="0" w:line="360" w:lineRule="auto"/>
        <w:ind w:left="0" w:right="37" w:firstLine="0"/>
      </w:pPr>
    </w:p>
    <w:p w:rsidR="005749DE" w:rsidRDefault="000B3834" w:rsidP="00B770F6">
      <w:pPr>
        <w:spacing w:after="0" w:line="360" w:lineRule="auto"/>
        <w:ind w:left="0" w:right="37" w:firstLine="0"/>
      </w:pPr>
      <w:r>
        <w:t>[9]</w:t>
      </w:r>
      <w:r>
        <w:tab/>
      </w:r>
      <w:r w:rsidR="0035247D" w:rsidRPr="003B754A">
        <w:t>The m</w:t>
      </w:r>
      <w:r w:rsidR="00642904">
        <w:t>atter was first conciliated and</w:t>
      </w:r>
      <w:r w:rsidR="00040F01">
        <w:t xml:space="preserve"> </w:t>
      </w:r>
      <w:r w:rsidR="00642904">
        <w:t>at the end of the conciliation proceedings on 16 December 2016 the parties agreed to postpone the matter to 24 January 2017 to continue with the conciliation proceedings. On the 24</w:t>
      </w:r>
      <w:r w:rsidR="0000247D" w:rsidRPr="0000247D">
        <w:rPr>
          <w:vertAlign w:val="superscript"/>
        </w:rPr>
        <w:t>th</w:t>
      </w:r>
      <w:r w:rsidR="0000247D">
        <w:t xml:space="preserve"> day of</w:t>
      </w:r>
      <w:r w:rsidR="00642904">
        <w:t xml:space="preserve"> January 2017 (the date set for the continuation of the conciliation proceedings) the respondent failed to appear at that hearing.</w:t>
      </w:r>
      <w:r w:rsidR="00B24C13">
        <w:t xml:space="preserve"> </w:t>
      </w:r>
      <w:r w:rsidR="00784588">
        <w:t xml:space="preserve">Following the failure by the respondent to </w:t>
      </w:r>
      <w:r>
        <w:t>appear at that</w:t>
      </w:r>
      <w:r w:rsidRPr="000B3834">
        <w:t xml:space="preserve"> </w:t>
      </w:r>
      <w:r>
        <w:t>hearing</w:t>
      </w:r>
      <w:r w:rsidR="00784588">
        <w:t xml:space="preserve">, the arbitrator postponed </w:t>
      </w:r>
      <w:r w:rsidR="00784588">
        <w:lastRenderedPageBreak/>
        <w:t>the hearing to 28 February 2017 for arbitration proceedings</w:t>
      </w:r>
      <w:r w:rsidR="0035247D" w:rsidRPr="003B754A">
        <w:t xml:space="preserve">. </w:t>
      </w:r>
      <w:r w:rsidR="00784588">
        <w:t xml:space="preserve">Following numerous </w:t>
      </w:r>
      <w:r w:rsidR="00874CA7">
        <w:t xml:space="preserve">failed </w:t>
      </w:r>
      <w:r w:rsidR="00784588">
        <w:t>attempts by the arbitrator to get hold of the respondent the arbitrator proceed</w:t>
      </w:r>
      <w:r w:rsidR="00874CA7">
        <w:t>ed</w:t>
      </w:r>
      <w:r w:rsidR="00784588">
        <w:t xml:space="preserve"> </w:t>
      </w:r>
      <w:r w:rsidR="00874CA7">
        <w:t>to arbitrate the matter</w:t>
      </w:r>
      <w:r w:rsidR="00784588">
        <w:t xml:space="preserve"> in the absence of the respondent. </w:t>
      </w:r>
      <w:r w:rsidR="0035247D" w:rsidRPr="003B754A">
        <w:t>At the conclusion of the arbitration proceedings the arbitrator amongst others things</w:t>
      </w:r>
      <w:r w:rsidR="00D071DE" w:rsidRPr="003B754A">
        <w:t>, on</w:t>
      </w:r>
      <w:r w:rsidR="00642904">
        <w:t xml:space="preserve"> </w:t>
      </w:r>
      <w:r w:rsidR="005749DE">
        <w:t>30 March 2017</w:t>
      </w:r>
      <w:r w:rsidR="00D071DE" w:rsidRPr="003B754A">
        <w:t>,</w:t>
      </w:r>
      <w:r w:rsidR="0035247D" w:rsidRPr="003B754A">
        <w:t xml:space="preserve"> made the following rul</w:t>
      </w:r>
      <w:r w:rsidR="005749DE">
        <w:t>ing:</w:t>
      </w:r>
    </w:p>
    <w:p w:rsidR="00624484" w:rsidRPr="003B754A" w:rsidRDefault="005749DE" w:rsidP="00B770F6">
      <w:pPr>
        <w:spacing w:after="0" w:line="360" w:lineRule="auto"/>
        <w:ind w:left="0" w:right="37" w:firstLine="0"/>
        <w:rPr>
          <w:sz w:val="22"/>
        </w:rPr>
      </w:pPr>
      <w:r>
        <w:t xml:space="preserve"> </w:t>
      </w:r>
    </w:p>
    <w:p w:rsidR="005749DE" w:rsidRDefault="00D071DE" w:rsidP="00874CA7">
      <w:pPr>
        <w:spacing w:after="0" w:line="360" w:lineRule="auto"/>
        <w:ind w:left="0" w:right="37" w:firstLine="720"/>
        <w:rPr>
          <w:sz w:val="22"/>
          <w:lang w:val="en-GB"/>
        </w:rPr>
      </w:pPr>
      <w:r w:rsidRPr="00874CA7">
        <w:rPr>
          <w:sz w:val="22"/>
          <w:lang w:val="en-GB"/>
        </w:rPr>
        <w:t>‘</w:t>
      </w:r>
      <w:r w:rsidR="005749DE" w:rsidRPr="00874CA7">
        <w:rPr>
          <w:sz w:val="22"/>
          <w:lang w:val="en-GB"/>
        </w:rPr>
        <w:t>5.1</w:t>
      </w:r>
      <w:r w:rsidR="00874CA7" w:rsidRPr="00874CA7">
        <w:rPr>
          <w:sz w:val="22"/>
          <w:lang w:val="en-GB"/>
        </w:rPr>
        <w:tab/>
        <w:t>As a consequence I order that t</w:t>
      </w:r>
      <w:r w:rsidR="005749DE" w:rsidRPr="00874CA7">
        <w:rPr>
          <w:sz w:val="22"/>
          <w:lang w:val="en-GB"/>
        </w:rPr>
        <w:t>he respondent must pay to the applicants</w:t>
      </w:r>
      <w:r w:rsidR="00874CA7" w:rsidRPr="00874CA7">
        <w:rPr>
          <w:sz w:val="22"/>
          <w:lang w:val="en-GB"/>
        </w:rPr>
        <w:t xml:space="preserve"> as follows</w:t>
      </w:r>
      <w:r w:rsidR="005749DE" w:rsidRPr="00874CA7">
        <w:rPr>
          <w:sz w:val="22"/>
          <w:lang w:val="en-GB"/>
        </w:rPr>
        <w:t>:</w:t>
      </w:r>
    </w:p>
    <w:p w:rsidR="00874CA7" w:rsidRPr="00874CA7" w:rsidRDefault="00874CA7" w:rsidP="00874CA7">
      <w:pPr>
        <w:spacing w:after="0" w:line="360" w:lineRule="auto"/>
        <w:ind w:left="0" w:right="37" w:firstLine="720"/>
        <w:rPr>
          <w:sz w:val="22"/>
          <w:lang w:val="en-GB"/>
        </w:rPr>
      </w:pPr>
    </w:p>
    <w:p w:rsidR="005749DE" w:rsidRDefault="005749DE" w:rsidP="00874CA7">
      <w:pPr>
        <w:spacing w:after="0" w:line="360" w:lineRule="auto"/>
        <w:ind w:left="0" w:right="37" w:firstLine="0"/>
        <w:rPr>
          <w:sz w:val="22"/>
          <w:lang w:val="en-GB"/>
        </w:rPr>
      </w:pPr>
      <w:r w:rsidRPr="00874CA7">
        <w:rPr>
          <w:sz w:val="22"/>
          <w:lang w:val="en-GB"/>
        </w:rPr>
        <w:t>(a)</w:t>
      </w:r>
      <w:r w:rsidRPr="00874CA7">
        <w:rPr>
          <w:sz w:val="22"/>
          <w:lang w:val="en-GB"/>
        </w:rPr>
        <w:tab/>
        <w:t>Outstanding 17 leave days of N$ 41 974.93 in respect of the 1</w:t>
      </w:r>
      <w:r w:rsidRPr="00874CA7">
        <w:rPr>
          <w:sz w:val="22"/>
          <w:vertAlign w:val="superscript"/>
          <w:lang w:val="en-GB"/>
        </w:rPr>
        <w:t>st</w:t>
      </w:r>
      <w:r w:rsidRPr="00874CA7">
        <w:rPr>
          <w:sz w:val="22"/>
          <w:lang w:val="en-GB"/>
        </w:rPr>
        <w:t xml:space="preserve"> applicant</w:t>
      </w:r>
      <w:r w:rsidR="00874CA7">
        <w:rPr>
          <w:sz w:val="22"/>
          <w:lang w:val="en-GB"/>
        </w:rPr>
        <w:t xml:space="preserve"> [Van Zyl]</w:t>
      </w:r>
      <w:r w:rsidRPr="00874CA7">
        <w:rPr>
          <w:sz w:val="22"/>
          <w:lang w:val="en-GB"/>
        </w:rPr>
        <w:t>;</w:t>
      </w:r>
    </w:p>
    <w:p w:rsidR="00874CA7" w:rsidRPr="00874CA7" w:rsidRDefault="00874CA7" w:rsidP="00874CA7">
      <w:pPr>
        <w:spacing w:after="0" w:line="360" w:lineRule="auto"/>
        <w:ind w:left="0" w:right="37" w:firstLine="0"/>
        <w:rPr>
          <w:sz w:val="22"/>
          <w:lang w:val="en-GB"/>
        </w:rPr>
      </w:pPr>
    </w:p>
    <w:p w:rsidR="00D071DE" w:rsidRDefault="005749DE" w:rsidP="00874CA7">
      <w:pPr>
        <w:spacing w:after="0" w:line="360" w:lineRule="auto"/>
        <w:ind w:left="0" w:right="37" w:firstLine="0"/>
        <w:rPr>
          <w:sz w:val="22"/>
          <w:lang w:val="en-GB"/>
        </w:rPr>
      </w:pPr>
      <w:r w:rsidRPr="00874CA7">
        <w:rPr>
          <w:sz w:val="22"/>
          <w:lang w:val="en-GB"/>
        </w:rPr>
        <w:t xml:space="preserve">(b) </w:t>
      </w:r>
      <w:r w:rsidRPr="00874CA7">
        <w:rPr>
          <w:sz w:val="22"/>
          <w:lang w:val="en-GB"/>
        </w:rPr>
        <w:tab/>
        <w:t>Outstanding 22 leave days of N$ 50 752.52 in respect of 2</w:t>
      </w:r>
      <w:r w:rsidRPr="00874CA7">
        <w:rPr>
          <w:sz w:val="22"/>
          <w:vertAlign w:val="superscript"/>
          <w:lang w:val="en-GB"/>
        </w:rPr>
        <w:t>nd</w:t>
      </w:r>
      <w:r w:rsidRPr="00874CA7">
        <w:rPr>
          <w:sz w:val="22"/>
          <w:lang w:val="en-GB"/>
        </w:rPr>
        <w:t xml:space="preserve"> applicant</w:t>
      </w:r>
      <w:r w:rsidR="00874CA7">
        <w:rPr>
          <w:sz w:val="22"/>
          <w:lang w:val="en-GB"/>
        </w:rPr>
        <w:t xml:space="preserve"> [Raath]</w:t>
      </w:r>
      <w:r w:rsidRPr="00874CA7">
        <w:rPr>
          <w:sz w:val="22"/>
          <w:lang w:val="en-GB"/>
        </w:rPr>
        <w:t>;</w:t>
      </w:r>
    </w:p>
    <w:p w:rsidR="00874CA7" w:rsidRPr="00874CA7" w:rsidRDefault="00874CA7" w:rsidP="00874CA7">
      <w:pPr>
        <w:spacing w:after="0" w:line="360" w:lineRule="auto"/>
        <w:ind w:left="0" w:right="37" w:firstLine="0"/>
        <w:rPr>
          <w:sz w:val="22"/>
          <w:lang w:val="en-GB"/>
        </w:rPr>
      </w:pPr>
    </w:p>
    <w:p w:rsidR="005749DE" w:rsidRDefault="005749DE" w:rsidP="00874CA7">
      <w:pPr>
        <w:spacing w:after="0" w:line="360" w:lineRule="auto"/>
        <w:ind w:left="0" w:right="37" w:firstLine="0"/>
        <w:rPr>
          <w:sz w:val="22"/>
          <w:lang w:val="en-GB"/>
        </w:rPr>
      </w:pPr>
      <w:r w:rsidRPr="00874CA7">
        <w:rPr>
          <w:sz w:val="22"/>
          <w:lang w:val="en-GB"/>
        </w:rPr>
        <w:t>(c)</w:t>
      </w:r>
      <w:r w:rsidRPr="00874CA7">
        <w:rPr>
          <w:sz w:val="22"/>
          <w:lang w:val="en-GB"/>
        </w:rPr>
        <w:tab/>
        <w:t>Outstanding severance pay of N$ 85 000.00 in respect of 3</w:t>
      </w:r>
      <w:r w:rsidRPr="00874CA7">
        <w:rPr>
          <w:sz w:val="22"/>
          <w:vertAlign w:val="superscript"/>
          <w:lang w:val="en-GB"/>
        </w:rPr>
        <w:t>rd</w:t>
      </w:r>
      <w:r w:rsidR="009A7F0B">
        <w:rPr>
          <w:sz w:val="22"/>
          <w:lang w:val="en-GB"/>
        </w:rPr>
        <w:t xml:space="preserve"> applicant.</w:t>
      </w:r>
    </w:p>
    <w:p w:rsidR="00874CA7" w:rsidRPr="00874CA7" w:rsidRDefault="00874CA7" w:rsidP="00874CA7">
      <w:pPr>
        <w:spacing w:after="0" w:line="360" w:lineRule="auto"/>
        <w:ind w:left="0" w:right="37" w:firstLine="0"/>
        <w:rPr>
          <w:sz w:val="22"/>
          <w:lang w:val="en-GB"/>
        </w:rPr>
      </w:pPr>
    </w:p>
    <w:p w:rsidR="005749DE" w:rsidRPr="00874CA7" w:rsidRDefault="005749DE" w:rsidP="00874CA7">
      <w:pPr>
        <w:spacing w:after="0" w:line="360" w:lineRule="auto"/>
        <w:ind w:left="0" w:right="37" w:firstLine="0"/>
        <w:rPr>
          <w:sz w:val="22"/>
          <w:lang w:val="en-GB"/>
        </w:rPr>
      </w:pPr>
      <w:r w:rsidRPr="00874CA7">
        <w:rPr>
          <w:sz w:val="22"/>
          <w:lang w:val="en-GB"/>
        </w:rPr>
        <w:t>(d)</w:t>
      </w:r>
      <w:r w:rsidRPr="00874CA7">
        <w:rPr>
          <w:sz w:val="22"/>
          <w:lang w:val="en-GB"/>
        </w:rPr>
        <w:tab/>
        <w:t>The said amount must be paid on or before the 2</w:t>
      </w:r>
      <w:r w:rsidRPr="00874CA7">
        <w:rPr>
          <w:sz w:val="22"/>
          <w:vertAlign w:val="superscript"/>
          <w:lang w:val="en-GB"/>
        </w:rPr>
        <w:t>nd</w:t>
      </w:r>
      <w:r w:rsidRPr="00874CA7">
        <w:rPr>
          <w:sz w:val="22"/>
          <w:lang w:val="en-GB"/>
        </w:rPr>
        <w:t xml:space="preserve"> May 2017’. </w:t>
      </w:r>
    </w:p>
    <w:p w:rsidR="00A77A8E" w:rsidRDefault="00A77A8E" w:rsidP="00B770F6">
      <w:pPr>
        <w:spacing w:after="0" w:line="360" w:lineRule="auto"/>
        <w:ind w:left="0" w:right="37" w:firstLine="0"/>
      </w:pPr>
    </w:p>
    <w:p w:rsidR="009A7F0B" w:rsidRPr="00B23B6B" w:rsidRDefault="009A7F0B" w:rsidP="009A7F0B">
      <w:pPr>
        <w:pStyle w:val="ListParagraph"/>
        <w:spacing w:after="0" w:line="360" w:lineRule="auto"/>
        <w:ind w:left="0"/>
        <w:jc w:val="both"/>
        <w:rPr>
          <w:rFonts w:ascii="Arial" w:hAnsi="Arial" w:cs="Arial"/>
          <w:sz w:val="24"/>
          <w:szCs w:val="24"/>
          <w:u w:val="single"/>
        </w:rPr>
      </w:pPr>
      <w:r w:rsidRPr="00B23B6B">
        <w:rPr>
          <w:rFonts w:ascii="Arial" w:hAnsi="Arial" w:cs="Arial"/>
          <w:sz w:val="24"/>
          <w:szCs w:val="24"/>
          <w:u w:val="single"/>
        </w:rPr>
        <w:t>Th</w:t>
      </w:r>
      <w:r w:rsidR="00490747">
        <w:rPr>
          <w:rFonts w:ascii="Arial" w:hAnsi="Arial" w:cs="Arial"/>
          <w:sz w:val="24"/>
          <w:szCs w:val="24"/>
          <w:u w:val="single"/>
        </w:rPr>
        <w:t xml:space="preserve">e appeal, the grounds of appeal </w:t>
      </w:r>
    </w:p>
    <w:p w:rsidR="009A7F0B" w:rsidRPr="009A566B" w:rsidRDefault="009A7F0B" w:rsidP="009A7F0B">
      <w:pPr>
        <w:pStyle w:val="ListParagraph"/>
        <w:spacing w:after="0" w:line="360" w:lineRule="auto"/>
        <w:ind w:left="0"/>
        <w:rPr>
          <w:rFonts w:ascii="Arial" w:hAnsi="Arial" w:cs="Arial"/>
          <w:sz w:val="24"/>
          <w:szCs w:val="24"/>
          <w:u w:val="single"/>
        </w:rPr>
      </w:pPr>
    </w:p>
    <w:p w:rsidR="009A7F0B" w:rsidRDefault="009A7F0B" w:rsidP="009A7F0B">
      <w:pPr>
        <w:spacing w:after="0" w:line="360" w:lineRule="auto"/>
        <w:ind w:left="0" w:right="37" w:firstLine="0"/>
      </w:pPr>
      <w:r>
        <w:t>[10]</w:t>
      </w:r>
      <w:r>
        <w:tab/>
        <w:t xml:space="preserve"> Aggrieved by the</w:t>
      </w:r>
      <w:r w:rsidRPr="00D25C2F">
        <w:t xml:space="preserve"> award </w:t>
      </w:r>
      <w:r>
        <w:t xml:space="preserve">of the arbitrator handed down on 30 March 2017 Van Zyl and Raath </w:t>
      </w:r>
      <w:r w:rsidRPr="00D25C2F">
        <w:t xml:space="preserve">on </w:t>
      </w:r>
      <w:r>
        <w:t>26 April 2017</w:t>
      </w:r>
      <w:r w:rsidRPr="00D25C2F">
        <w:t>, in terms of s 86 (15) of the Labour Act,</w:t>
      </w:r>
      <w:r>
        <w:t xml:space="preserve"> 2007, appealed against ‘parts’ of </w:t>
      </w:r>
      <w:r w:rsidRPr="00D25C2F">
        <w:t>the arbitration award.</w:t>
      </w:r>
      <w:r w:rsidR="00EE59B7">
        <w:t xml:space="preserve">  The parts of the award appealed against are</w:t>
      </w:r>
      <w:r w:rsidR="0000247D">
        <w:t xml:space="preserve"> </w:t>
      </w:r>
      <w:r w:rsidR="00EE59B7">
        <w:t xml:space="preserve">the finding by the arbitrator that the </w:t>
      </w:r>
      <w:r w:rsidR="0000247D">
        <w:t xml:space="preserve">respondent: (a) </w:t>
      </w:r>
      <w:r w:rsidR="00EE59B7">
        <w:t xml:space="preserve">did not </w:t>
      </w:r>
      <w:r w:rsidR="0000247D">
        <w:t xml:space="preserve">constructively </w:t>
      </w:r>
      <w:r w:rsidR="00EE59B7">
        <w:t>dismiss</w:t>
      </w:r>
      <w:r w:rsidR="00EE59B7" w:rsidRPr="00EE59B7">
        <w:t xml:space="preserve"> </w:t>
      </w:r>
      <w:r w:rsidR="0000247D">
        <w:t>the appellants,</w:t>
      </w:r>
      <w:r w:rsidR="00EE59B7">
        <w:t xml:space="preserve"> (b) did not effect a disguised transfer </w:t>
      </w:r>
      <w:r w:rsidR="00126474">
        <w:t xml:space="preserve">of business </w:t>
      </w:r>
      <w:r w:rsidR="00EE59B7">
        <w:t xml:space="preserve">from Namibia Sales &amp; Marketing CC to Kalahari Distributors CC, (c) </w:t>
      </w:r>
      <w:r w:rsidR="0000247D">
        <w:t xml:space="preserve">the finding by the arbitrator that the appellants </w:t>
      </w:r>
      <w:r w:rsidR="00EE59B7">
        <w:t>were not entitled to notice pay, severance pay, Franke commission, incentive pay and reimbursement of traveling expenses in respect of a trip to Oshakati.</w:t>
      </w:r>
    </w:p>
    <w:p w:rsidR="00EE59B7" w:rsidRDefault="00EE59B7" w:rsidP="009A7F0B">
      <w:pPr>
        <w:spacing w:after="0" w:line="360" w:lineRule="auto"/>
        <w:ind w:left="0" w:right="37" w:firstLine="0"/>
      </w:pPr>
    </w:p>
    <w:p w:rsidR="009A7F0B" w:rsidRDefault="00EE59B7" w:rsidP="00126474">
      <w:pPr>
        <w:spacing w:after="0" w:line="360" w:lineRule="auto"/>
        <w:ind w:left="0" w:firstLine="0"/>
        <w:rPr>
          <w:szCs w:val="24"/>
        </w:rPr>
      </w:pPr>
      <w:r>
        <w:rPr>
          <w:szCs w:val="24"/>
        </w:rPr>
        <w:t>[11]</w:t>
      </w:r>
      <w:r>
        <w:rPr>
          <w:szCs w:val="24"/>
        </w:rPr>
        <w:tab/>
        <w:t>As I have indicated above the respondent did not participate in the arbitration proceedings, he equally did not participate in the appeal hearing</w:t>
      </w:r>
      <w:r w:rsidR="0000247D">
        <w:rPr>
          <w:szCs w:val="24"/>
        </w:rPr>
        <w:t xml:space="preserve"> despite efforts having been made to serve the notice of appeal on the respondent’s registered address</w:t>
      </w:r>
      <w:r>
        <w:rPr>
          <w:szCs w:val="24"/>
        </w:rPr>
        <w:t>. The appeal thus proceeded on an unopposed basis.</w:t>
      </w:r>
      <w:r w:rsidRPr="00EE59B7">
        <w:rPr>
          <w:szCs w:val="24"/>
        </w:rPr>
        <w:t xml:space="preserve"> </w:t>
      </w:r>
      <w:r w:rsidR="009A7F0B">
        <w:rPr>
          <w:szCs w:val="24"/>
        </w:rPr>
        <w:t>It is therefo</w:t>
      </w:r>
      <w:r w:rsidR="00126474">
        <w:rPr>
          <w:szCs w:val="24"/>
        </w:rPr>
        <w:t xml:space="preserve">re clear that the issues that I am called upon to resolve </w:t>
      </w:r>
      <w:r w:rsidR="009A7F0B">
        <w:rPr>
          <w:szCs w:val="24"/>
        </w:rPr>
        <w:t>are:</w:t>
      </w:r>
    </w:p>
    <w:p w:rsidR="009A7F0B" w:rsidRDefault="009A7F0B" w:rsidP="009A7F0B">
      <w:pPr>
        <w:pStyle w:val="ListParagraph"/>
        <w:ind w:hanging="720"/>
        <w:rPr>
          <w:rFonts w:ascii="Arial" w:hAnsi="Arial" w:cs="Arial"/>
          <w:sz w:val="24"/>
          <w:szCs w:val="24"/>
        </w:rPr>
      </w:pPr>
    </w:p>
    <w:p w:rsidR="009A7F0B" w:rsidRDefault="009A7F0B" w:rsidP="009A7F0B">
      <w:pPr>
        <w:pStyle w:val="ListParagraph"/>
        <w:numPr>
          <w:ilvl w:val="0"/>
          <w:numId w:val="28"/>
        </w:numPr>
        <w:spacing w:after="0" w:line="360" w:lineRule="auto"/>
        <w:ind w:hanging="720"/>
        <w:jc w:val="both"/>
        <w:rPr>
          <w:rFonts w:ascii="Arial" w:hAnsi="Arial" w:cs="Arial"/>
          <w:sz w:val="24"/>
          <w:szCs w:val="24"/>
        </w:rPr>
      </w:pPr>
      <w:r>
        <w:rPr>
          <w:rFonts w:ascii="Arial" w:hAnsi="Arial" w:cs="Arial"/>
          <w:sz w:val="24"/>
          <w:szCs w:val="24"/>
        </w:rPr>
        <w:t>Whether, on the evidence pla</w:t>
      </w:r>
      <w:r w:rsidR="007229D1">
        <w:rPr>
          <w:rFonts w:ascii="Arial" w:hAnsi="Arial" w:cs="Arial"/>
          <w:sz w:val="24"/>
          <w:szCs w:val="24"/>
        </w:rPr>
        <w:t xml:space="preserve">ced before the arbitrator, </w:t>
      </w:r>
      <w:r>
        <w:rPr>
          <w:rFonts w:ascii="Arial" w:hAnsi="Arial" w:cs="Arial"/>
          <w:sz w:val="24"/>
          <w:szCs w:val="24"/>
        </w:rPr>
        <w:t>he</w:t>
      </w:r>
      <w:r w:rsidR="007229D1">
        <w:rPr>
          <w:rFonts w:ascii="Arial" w:hAnsi="Arial" w:cs="Arial"/>
          <w:sz w:val="24"/>
          <w:szCs w:val="24"/>
        </w:rPr>
        <w:t xml:space="preserve"> was</w:t>
      </w:r>
      <w:r>
        <w:rPr>
          <w:rFonts w:ascii="Arial" w:hAnsi="Arial" w:cs="Arial"/>
          <w:sz w:val="24"/>
          <w:szCs w:val="24"/>
        </w:rPr>
        <w:t xml:space="preserve"> correct in finding that the </w:t>
      </w:r>
      <w:r w:rsidR="00126474">
        <w:rPr>
          <w:rFonts w:ascii="Arial" w:hAnsi="Arial" w:cs="Arial"/>
          <w:sz w:val="24"/>
          <w:szCs w:val="24"/>
        </w:rPr>
        <w:t xml:space="preserve">respondent </w:t>
      </w:r>
      <w:r w:rsidR="00490747">
        <w:rPr>
          <w:rFonts w:ascii="Arial" w:hAnsi="Arial" w:cs="Arial"/>
          <w:sz w:val="24"/>
          <w:szCs w:val="24"/>
        </w:rPr>
        <w:t>did not constructively dismiss</w:t>
      </w:r>
      <w:r w:rsidR="00126474">
        <w:rPr>
          <w:rFonts w:ascii="Arial" w:hAnsi="Arial" w:cs="Arial"/>
          <w:sz w:val="24"/>
          <w:szCs w:val="24"/>
        </w:rPr>
        <w:t xml:space="preserve"> the </w:t>
      </w:r>
      <w:r w:rsidR="00126474" w:rsidRPr="00126474">
        <w:rPr>
          <w:rFonts w:ascii="Arial" w:hAnsi="Arial" w:cs="Arial"/>
          <w:sz w:val="24"/>
          <w:szCs w:val="24"/>
        </w:rPr>
        <w:t>appellants (Van Zyl and Raath</w:t>
      </w:r>
      <w:r w:rsidR="00126474">
        <w:rPr>
          <w:rFonts w:ascii="Arial" w:hAnsi="Arial" w:cs="Arial"/>
          <w:sz w:val="24"/>
          <w:szCs w:val="24"/>
        </w:rPr>
        <w:t>).</w:t>
      </w:r>
    </w:p>
    <w:p w:rsidR="009A7F0B" w:rsidRDefault="009A7F0B" w:rsidP="009A7F0B">
      <w:pPr>
        <w:spacing w:after="0" w:line="360" w:lineRule="auto"/>
        <w:ind w:left="720"/>
        <w:rPr>
          <w:szCs w:val="24"/>
        </w:rPr>
      </w:pPr>
    </w:p>
    <w:p w:rsidR="009A7F0B" w:rsidRPr="00126474" w:rsidRDefault="009A7F0B" w:rsidP="009A7F0B">
      <w:pPr>
        <w:pStyle w:val="ListParagraph"/>
        <w:numPr>
          <w:ilvl w:val="0"/>
          <w:numId w:val="28"/>
        </w:numPr>
        <w:spacing w:after="0" w:line="360" w:lineRule="auto"/>
        <w:ind w:hanging="720"/>
        <w:jc w:val="both"/>
        <w:rPr>
          <w:rFonts w:ascii="Arial" w:hAnsi="Arial" w:cs="Arial"/>
          <w:sz w:val="24"/>
          <w:szCs w:val="24"/>
        </w:rPr>
      </w:pPr>
      <w:r w:rsidRPr="00126474">
        <w:rPr>
          <w:rFonts w:ascii="Arial" w:hAnsi="Arial" w:cs="Arial"/>
          <w:sz w:val="24"/>
          <w:szCs w:val="24"/>
        </w:rPr>
        <w:t xml:space="preserve">Whether, on the evidence placed before the arbitrator, </w:t>
      </w:r>
      <w:r w:rsidR="00126474" w:rsidRPr="00126474">
        <w:rPr>
          <w:rFonts w:ascii="Arial" w:hAnsi="Arial" w:cs="Arial"/>
          <w:sz w:val="24"/>
          <w:szCs w:val="24"/>
        </w:rPr>
        <w:t xml:space="preserve">the arbitrator </w:t>
      </w:r>
      <w:r w:rsidRPr="00126474">
        <w:rPr>
          <w:rFonts w:ascii="Arial" w:hAnsi="Arial" w:cs="Arial"/>
          <w:sz w:val="24"/>
          <w:szCs w:val="24"/>
        </w:rPr>
        <w:t xml:space="preserve">was correct in finding that the </w:t>
      </w:r>
      <w:r w:rsidR="00126474" w:rsidRPr="00126474">
        <w:rPr>
          <w:rFonts w:ascii="Arial" w:hAnsi="Arial" w:cs="Arial"/>
          <w:sz w:val="24"/>
          <w:szCs w:val="24"/>
        </w:rPr>
        <w:t xml:space="preserve">respondent </w:t>
      </w:r>
      <w:r w:rsidRPr="00126474">
        <w:rPr>
          <w:rFonts w:ascii="Arial" w:hAnsi="Arial" w:cs="Arial"/>
          <w:sz w:val="24"/>
          <w:szCs w:val="24"/>
        </w:rPr>
        <w:t xml:space="preserve">did not </w:t>
      </w:r>
      <w:r w:rsidR="008E52C4">
        <w:rPr>
          <w:rFonts w:ascii="Arial" w:hAnsi="Arial" w:cs="Arial"/>
          <w:sz w:val="24"/>
          <w:szCs w:val="24"/>
        </w:rPr>
        <w:t>effect</w:t>
      </w:r>
      <w:r w:rsidR="00126474" w:rsidRPr="00126474">
        <w:rPr>
          <w:rFonts w:ascii="Arial" w:hAnsi="Arial" w:cs="Arial"/>
          <w:sz w:val="24"/>
          <w:szCs w:val="24"/>
        </w:rPr>
        <w:t xml:space="preserve"> a disguised transfer of business from Namibia Sales &amp; Marketing CC to Kalahari Distributors CC</w:t>
      </w:r>
      <w:r w:rsidR="00126474">
        <w:rPr>
          <w:rFonts w:ascii="Arial" w:hAnsi="Arial" w:cs="Arial"/>
          <w:sz w:val="24"/>
          <w:szCs w:val="24"/>
        </w:rPr>
        <w:t>;</w:t>
      </w:r>
      <w:r w:rsidR="00126474" w:rsidRPr="00126474">
        <w:rPr>
          <w:rFonts w:ascii="Arial" w:hAnsi="Arial" w:cs="Arial"/>
          <w:sz w:val="24"/>
          <w:szCs w:val="24"/>
        </w:rPr>
        <w:t xml:space="preserve"> </w:t>
      </w:r>
      <w:r w:rsidRPr="00126474">
        <w:rPr>
          <w:rFonts w:ascii="Arial" w:hAnsi="Arial" w:cs="Arial"/>
          <w:sz w:val="24"/>
          <w:szCs w:val="24"/>
        </w:rPr>
        <w:t>and</w:t>
      </w:r>
    </w:p>
    <w:p w:rsidR="009A7F0B" w:rsidRPr="007508AF" w:rsidRDefault="009A7F0B" w:rsidP="009A7F0B">
      <w:pPr>
        <w:pStyle w:val="ListParagraph"/>
        <w:rPr>
          <w:rFonts w:ascii="Arial" w:hAnsi="Arial" w:cs="Arial"/>
          <w:sz w:val="24"/>
          <w:szCs w:val="24"/>
        </w:rPr>
      </w:pPr>
    </w:p>
    <w:p w:rsidR="009A7F0B" w:rsidRPr="007508AF" w:rsidRDefault="009A7F0B" w:rsidP="009A7F0B">
      <w:pPr>
        <w:pStyle w:val="ListParagraph"/>
        <w:numPr>
          <w:ilvl w:val="0"/>
          <w:numId w:val="28"/>
        </w:numPr>
        <w:spacing w:after="0" w:line="360" w:lineRule="auto"/>
        <w:ind w:hanging="720"/>
        <w:jc w:val="both"/>
        <w:rPr>
          <w:rFonts w:ascii="Arial" w:hAnsi="Arial" w:cs="Arial"/>
          <w:sz w:val="24"/>
          <w:szCs w:val="24"/>
        </w:rPr>
      </w:pPr>
      <w:r>
        <w:rPr>
          <w:rFonts w:ascii="Arial" w:hAnsi="Arial" w:cs="Arial"/>
          <w:sz w:val="24"/>
          <w:szCs w:val="24"/>
        </w:rPr>
        <w:t xml:space="preserve">Whether, on the evidence placed before the arbitrator, </w:t>
      </w:r>
      <w:r w:rsidR="00126474" w:rsidRPr="00126474">
        <w:rPr>
          <w:rFonts w:ascii="Arial" w:hAnsi="Arial" w:cs="Arial"/>
          <w:sz w:val="24"/>
          <w:szCs w:val="24"/>
        </w:rPr>
        <w:t xml:space="preserve">the arbitrator was correct in finding that </w:t>
      </w:r>
      <w:r w:rsidR="00126474">
        <w:rPr>
          <w:rFonts w:ascii="Arial" w:hAnsi="Arial" w:cs="Arial"/>
          <w:sz w:val="24"/>
          <w:szCs w:val="24"/>
        </w:rPr>
        <w:t xml:space="preserve">it was not a condition of employment that </w:t>
      </w:r>
      <w:r w:rsidR="008E52C4">
        <w:rPr>
          <w:rFonts w:ascii="Arial" w:hAnsi="Arial" w:cs="Arial"/>
          <w:sz w:val="24"/>
          <w:szCs w:val="24"/>
        </w:rPr>
        <w:t>the appellants</w:t>
      </w:r>
      <w:r w:rsidR="00126474">
        <w:rPr>
          <w:rFonts w:ascii="Arial" w:hAnsi="Arial" w:cs="Arial"/>
          <w:sz w:val="24"/>
          <w:szCs w:val="24"/>
        </w:rPr>
        <w:t xml:space="preserve"> would be paid Fran</w:t>
      </w:r>
      <w:r w:rsidR="00490747">
        <w:rPr>
          <w:rFonts w:ascii="Arial" w:hAnsi="Arial" w:cs="Arial"/>
          <w:sz w:val="24"/>
          <w:szCs w:val="24"/>
        </w:rPr>
        <w:t>ke Commission, i</w:t>
      </w:r>
      <w:r w:rsidR="00126474">
        <w:rPr>
          <w:rFonts w:ascii="Arial" w:hAnsi="Arial" w:cs="Arial"/>
          <w:sz w:val="24"/>
          <w:szCs w:val="24"/>
        </w:rPr>
        <w:t xml:space="preserve">ncentives for achieving certain targets and reimbursement of expenses incurred by </w:t>
      </w:r>
      <w:r w:rsidR="00126474" w:rsidRPr="00126474">
        <w:rPr>
          <w:rFonts w:ascii="Arial" w:hAnsi="Arial" w:cs="Arial"/>
          <w:sz w:val="24"/>
          <w:szCs w:val="24"/>
        </w:rPr>
        <w:t>Van Zyl and Raath</w:t>
      </w:r>
      <w:r w:rsidR="00126474">
        <w:rPr>
          <w:rFonts w:ascii="Arial" w:hAnsi="Arial" w:cs="Arial"/>
          <w:sz w:val="24"/>
          <w:szCs w:val="24"/>
        </w:rPr>
        <w:t xml:space="preserve"> while performing the respondents’ duties.</w:t>
      </w:r>
    </w:p>
    <w:p w:rsidR="009A7F0B" w:rsidRPr="007508AF" w:rsidRDefault="009A7F0B" w:rsidP="009A7F0B">
      <w:pPr>
        <w:pStyle w:val="ListParagraph"/>
        <w:spacing w:after="0" w:line="360" w:lineRule="auto"/>
        <w:jc w:val="both"/>
        <w:rPr>
          <w:rFonts w:ascii="Arial" w:hAnsi="Arial" w:cs="Arial"/>
          <w:sz w:val="24"/>
          <w:szCs w:val="24"/>
        </w:rPr>
      </w:pPr>
    </w:p>
    <w:p w:rsidR="009A7F0B" w:rsidRDefault="00CB1823" w:rsidP="00126474">
      <w:pPr>
        <w:widowControl w:val="0"/>
        <w:spacing w:after="0" w:line="360" w:lineRule="auto"/>
        <w:ind w:left="0" w:right="0" w:firstLine="0"/>
        <w:rPr>
          <w:szCs w:val="24"/>
        </w:rPr>
      </w:pPr>
      <w:r>
        <w:rPr>
          <w:szCs w:val="24"/>
        </w:rPr>
        <w:t>[12</w:t>
      </w:r>
      <w:r w:rsidR="00126474">
        <w:rPr>
          <w:szCs w:val="24"/>
        </w:rPr>
        <w:t>]</w:t>
      </w:r>
      <w:r w:rsidR="00126474">
        <w:rPr>
          <w:szCs w:val="24"/>
        </w:rPr>
        <w:tab/>
      </w:r>
      <w:r w:rsidR="009A7F0B">
        <w:rPr>
          <w:szCs w:val="24"/>
        </w:rPr>
        <w:t>I find it appropriate to, alb</w:t>
      </w:r>
      <w:r w:rsidR="00490747">
        <w:rPr>
          <w:szCs w:val="24"/>
        </w:rPr>
        <w:t>eit briefly, before I consider</w:t>
      </w:r>
      <w:r w:rsidR="009A7F0B">
        <w:rPr>
          <w:szCs w:val="24"/>
        </w:rPr>
        <w:t xml:space="preserve"> the issue which I am called upon to decide in this appeal briefly set out legal principles governing those aspects.</w:t>
      </w:r>
    </w:p>
    <w:p w:rsidR="009A7F0B" w:rsidRDefault="009A7F0B" w:rsidP="009A7F0B">
      <w:pPr>
        <w:spacing w:after="0" w:line="360" w:lineRule="auto"/>
        <w:rPr>
          <w:szCs w:val="24"/>
          <w:u w:val="single"/>
        </w:rPr>
      </w:pPr>
    </w:p>
    <w:p w:rsidR="009A7F0B" w:rsidRPr="00DD349F" w:rsidRDefault="009A7F0B" w:rsidP="009A7F0B">
      <w:pPr>
        <w:spacing w:after="0" w:line="360" w:lineRule="auto"/>
        <w:rPr>
          <w:szCs w:val="24"/>
          <w:u w:val="single"/>
        </w:rPr>
      </w:pPr>
      <w:r w:rsidRPr="00DD349F">
        <w:rPr>
          <w:szCs w:val="24"/>
          <w:u w:val="single"/>
        </w:rPr>
        <w:t>The applicable legal principles</w:t>
      </w:r>
    </w:p>
    <w:p w:rsidR="009A7F0B" w:rsidRDefault="009A7F0B" w:rsidP="00B770F6">
      <w:pPr>
        <w:spacing w:after="0" w:line="360" w:lineRule="auto"/>
        <w:ind w:left="0" w:right="37" w:firstLine="0"/>
      </w:pPr>
    </w:p>
    <w:p w:rsidR="009A7F0B" w:rsidRDefault="00CB1823" w:rsidP="00B770F6">
      <w:pPr>
        <w:spacing w:after="0" w:line="360" w:lineRule="auto"/>
        <w:ind w:left="0" w:right="37" w:firstLine="0"/>
      </w:pPr>
      <w:r>
        <w:t>[13</w:t>
      </w:r>
      <w:r w:rsidR="00126474">
        <w:t>]</w:t>
      </w:r>
      <w:r w:rsidR="00126474">
        <w:tab/>
        <w:t xml:space="preserve">In the matter of </w:t>
      </w:r>
      <w:r w:rsidR="00126474" w:rsidRPr="00126474">
        <w:rPr>
          <w:i/>
        </w:rPr>
        <w:t>Transnamib Limited v Swartz</w:t>
      </w:r>
      <w:r w:rsidR="00126474">
        <w:rPr>
          <w:rStyle w:val="FootnoteReference"/>
          <w:i/>
        </w:rPr>
        <w:footnoteReference w:id="1"/>
      </w:r>
      <w:r w:rsidR="00E93531">
        <w:rPr>
          <w:i/>
        </w:rPr>
        <w:t xml:space="preserve"> </w:t>
      </w:r>
      <w:r w:rsidR="00E93531">
        <w:t>this Court held that constructive dismissal occurs where:</w:t>
      </w:r>
    </w:p>
    <w:p w:rsidR="008E52C4" w:rsidRDefault="008E52C4" w:rsidP="00B770F6">
      <w:pPr>
        <w:spacing w:after="0" w:line="360" w:lineRule="auto"/>
        <w:ind w:left="0" w:right="37" w:firstLine="0"/>
      </w:pPr>
    </w:p>
    <w:p w:rsidR="00E93531" w:rsidRPr="00E93531" w:rsidRDefault="00E93531" w:rsidP="00E93531">
      <w:pPr>
        <w:spacing w:after="0" w:line="360" w:lineRule="auto"/>
        <w:ind w:left="0" w:right="37" w:firstLine="720"/>
        <w:rPr>
          <w:sz w:val="22"/>
        </w:rPr>
      </w:pPr>
      <w:r w:rsidRPr="00E93531">
        <w:rPr>
          <w:sz w:val="22"/>
        </w:rPr>
        <w:t>‘… an emp</w:t>
      </w:r>
      <w:r w:rsidR="008E52C4">
        <w:rPr>
          <w:sz w:val="22"/>
        </w:rPr>
        <w:t>loyee terminates the employment</w:t>
      </w:r>
      <w:r w:rsidR="00490747">
        <w:rPr>
          <w:sz w:val="22"/>
        </w:rPr>
        <w:t>, or agrees to the termination</w:t>
      </w:r>
      <w:r>
        <w:rPr>
          <w:sz w:val="22"/>
        </w:rPr>
        <w:t>, but this termination or agreement was prompted or caused by the conduct of the employer…’</w:t>
      </w:r>
    </w:p>
    <w:p w:rsidR="009A7F0B" w:rsidRPr="00E93531" w:rsidRDefault="009A7F0B" w:rsidP="00B770F6">
      <w:pPr>
        <w:spacing w:after="0" w:line="360" w:lineRule="auto"/>
        <w:ind w:left="0" w:right="37" w:firstLine="0"/>
        <w:rPr>
          <w:sz w:val="22"/>
        </w:rPr>
      </w:pPr>
    </w:p>
    <w:p w:rsidR="00874CA7" w:rsidRDefault="00CB1823" w:rsidP="00B770F6">
      <w:pPr>
        <w:spacing w:after="0" w:line="360" w:lineRule="auto"/>
        <w:ind w:left="0" w:right="37" w:firstLine="0"/>
      </w:pPr>
      <w:r>
        <w:t>[14</w:t>
      </w:r>
      <w:r w:rsidR="002E0D26">
        <w:t>]</w:t>
      </w:r>
      <w:r w:rsidR="002E0D26">
        <w:tab/>
      </w:r>
      <w:r w:rsidR="00E93531">
        <w:t xml:space="preserve">The court in that case (i.e. the </w:t>
      </w:r>
      <w:r w:rsidR="00E93531" w:rsidRPr="00E93531">
        <w:rPr>
          <w:i/>
        </w:rPr>
        <w:t>Transnamib Limited v Swartz</w:t>
      </w:r>
      <w:r w:rsidR="00E93531">
        <w:rPr>
          <w:i/>
        </w:rPr>
        <w:t xml:space="preserve"> </w:t>
      </w:r>
      <w:r w:rsidR="00E93531" w:rsidRPr="00E93531">
        <w:t>matter)</w:t>
      </w:r>
      <w:r w:rsidR="00E93531">
        <w:t xml:space="preserve"> further approved the submission that constructive dismissal takes place when the employer renders the relationship with the employee so intolerable that the employee (feels that he) has no option (but) to resign , the termination of the contract becomes that of the employer. </w:t>
      </w:r>
    </w:p>
    <w:p w:rsidR="00E93531" w:rsidRDefault="00E93531" w:rsidP="00B770F6">
      <w:pPr>
        <w:spacing w:after="0" w:line="360" w:lineRule="auto"/>
        <w:ind w:left="0" w:right="37" w:firstLine="0"/>
      </w:pPr>
    </w:p>
    <w:p w:rsidR="00C0415D" w:rsidRDefault="00C0415D" w:rsidP="00C0415D">
      <w:pPr>
        <w:spacing w:after="0" w:line="360" w:lineRule="auto"/>
        <w:ind w:left="0" w:right="187" w:firstLine="0"/>
      </w:pPr>
      <w:r>
        <w:t>[1</w:t>
      </w:r>
      <w:r w:rsidR="00CB1823">
        <w:t>5</w:t>
      </w:r>
      <w:r>
        <w:t>]</w:t>
      </w:r>
      <w:r>
        <w:tab/>
      </w:r>
      <w:r w:rsidRPr="00C0415D">
        <w:t>In the</w:t>
      </w:r>
      <w:r>
        <w:t xml:space="preserve"> matter of </w:t>
      </w:r>
      <w:r w:rsidRPr="00C0415D">
        <w:rPr>
          <w:i/>
        </w:rPr>
        <w:t>Kavekotora v Transnamib Holdings Ltd and Another</w:t>
      </w:r>
      <w:r>
        <w:rPr>
          <w:rStyle w:val="FootnoteReference"/>
          <w:i/>
        </w:rPr>
        <w:footnoteReference w:id="2"/>
      </w:r>
      <w:r>
        <w:rPr>
          <w:i/>
        </w:rPr>
        <w:t xml:space="preserve">  </w:t>
      </w:r>
      <w:r w:rsidRPr="00C0415D">
        <w:t>this</w:t>
      </w:r>
      <w:r>
        <w:t xml:space="preserve"> court </w:t>
      </w:r>
      <w:r w:rsidR="00357881">
        <w:t>accepted the concept of constructive dismissal a</w:t>
      </w:r>
      <w:r>
        <w:t>s eloquently ex</w:t>
      </w:r>
      <w:r w:rsidR="00357881">
        <w:t>plained by Cameron JA in the</w:t>
      </w:r>
      <w:r>
        <w:t xml:space="preserve"> South African Supreme Court of</w:t>
      </w:r>
      <w:r w:rsidR="00357881">
        <w:t xml:space="preserve"> Appeal in the following way</w:t>
      </w:r>
      <w:r w:rsidR="00F34B8D">
        <w:t>.</w:t>
      </w:r>
      <w:r w:rsidR="00357881">
        <w:rPr>
          <w:rStyle w:val="FootnoteReference"/>
        </w:rPr>
        <w:footnoteReference w:id="3"/>
      </w:r>
    </w:p>
    <w:p w:rsidR="00357881" w:rsidRDefault="00357881" w:rsidP="00C0415D">
      <w:pPr>
        <w:spacing w:after="0" w:line="360" w:lineRule="auto"/>
        <w:ind w:left="0" w:right="187" w:firstLine="0"/>
      </w:pPr>
    </w:p>
    <w:p w:rsidR="00C0415D" w:rsidRPr="00357881" w:rsidRDefault="00C0415D" w:rsidP="00357881">
      <w:pPr>
        <w:spacing w:after="0" w:line="360" w:lineRule="auto"/>
        <w:ind w:left="0" w:right="187" w:firstLine="720"/>
        <w:rPr>
          <w:sz w:val="22"/>
        </w:rPr>
      </w:pPr>
      <w:r w:rsidRPr="00357881">
        <w:rPr>
          <w:sz w:val="22"/>
        </w:rPr>
        <w:t xml:space="preserve">'[8] </w:t>
      </w:r>
      <w:r w:rsidR="00357881" w:rsidRPr="00357881">
        <w:rPr>
          <w:sz w:val="22"/>
        </w:rPr>
        <w:tab/>
      </w:r>
      <w:r w:rsidRPr="00357881">
        <w:rPr>
          <w:sz w:val="22"/>
        </w:rPr>
        <w:t xml:space="preserve">In employment law, constructive dismissal represents a victory for substance over form. Its essence is that although the employee resigns, </w:t>
      </w:r>
      <w:r w:rsidRPr="00BF1EC3">
        <w:rPr>
          <w:sz w:val="22"/>
          <w:u w:val="single"/>
        </w:rPr>
        <w:t>the causal responsibility for the termination of service is recognised as the employer's unacceptable conduct</w:t>
      </w:r>
      <w:r w:rsidRPr="00357881">
        <w:rPr>
          <w:sz w:val="22"/>
        </w:rPr>
        <w:t>, and the latter therefore remains responsible for the consequences. When the labour courts imported the concept into South African law from English law in the 1980s, they adopted the English approach, which implied into the contract of employment a general term that the employer would not without reasonable and proper cause conduct itself in a manner calculated and likely to destroy or seriously</w:t>
      </w:r>
      <w:r w:rsidR="00357881">
        <w:rPr>
          <w:sz w:val="22"/>
        </w:rPr>
        <w:t xml:space="preserve"> damage the relationship of </w:t>
      </w:r>
      <w:r w:rsidRPr="00357881">
        <w:rPr>
          <w:sz w:val="22"/>
        </w:rPr>
        <w:t>confidence and trust with the employee: breach of the term would amount to a contractual repudiation justifying the employee in resigning and claiming compensation for dismissal.'</w:t>
      </w:r>
    </w:p>
    <w:p w:rsidR="00357881" w:rsidRDefault="00357881" w:rsidP="00357881">
      <w:pPr>
        <w:spacing w:after="0" w:line="360" w:lineRule="auto"/>
        <w:ind w:left="0" w:right="187" w:firstLine="720"/>
        <w:rPr>
          <w:sz w:val="22"/>
        </w:rPr>
      </w:pPr>
    </w:p>
    <w:p w:rsidR="00C0415D" w:rsidRPr="00357881" w:rsidRDefault="00C0415D" w:rsidP="00357881">
      <w:pPr>
        <w:spacing w:after="0" w:line="360" w:lineRule="auto"/>
        <w:ind w:left="0" w:right="187" w:firstLine="0"/>
        <w:rPr>
          <w:sz w:val="22"/>
        </w:rPr>
      </w:pPr>
      <w:r w:rsidRPr="00357881">
        <w:rPr>
          <w:sz w:val="22"/>
        </w:rPr>
        <w:t>And:</w:t>
      </w:r>
    </w:p>
    <w:p w:rsidR="00357881" w:rsidRDefault="00357881" w:rsidP="00357881">
      <w:pPr>
        <w:spacing w:after="0" w:line="360" w:lineRule="auto"/>
        <w:ind w:left="0" w:right="187" w:firstLine="720"/>
        <w:rPr>
          <w:sz w:val="22"/>
        </w:rPr>
      </w:pPr>
    </w:p>
    <w:p w:rsidR="00C0415D" w:rsidRDefault="00C0415D" w:rsidP="00357881">
      <w:pPr>
        <w:spacing w:after="0" w:line="360" w:lineRule="auto"/>
        <w:ind w:left="0" w:right="187" w:firstLine="720"/>
        <w:rPr>
          <w:sz w:val="22"/>
        </w:rPr>
      </w:pPr>
      <w:r w:rsidRPr="00357881">
        <w:rPr>
          <w:sz w:val="22"/>
        </w:rPr>
        <w:t>'[12]</w:t>
      </w:r>
      <w:r w:rsidR="00357881" w:rsidRPr="00357881">
        <w:rPr>
          <w:sz w:val="22"/>
        </w:rPr>
        <w:tab/>
      </w:r>
      <w:r w:rsidRPr="00357881">
        <w:rPr>
          <w:sz w:val="22"/>
        </w:rPr>
        <w:t xml:space="preserve">In detailing this right, the parties </w:t>
      </w:r>
      <w:r w:rsidR="00357881" w:rsidRPr="00357881">
        <w:rPr>
          <w:sz w:val="22"/>
        </w:rPr>
        <w:t>freely invoked the carefully</w:t>
      </w:r>
      <w:r w:rsidRPr="00357881">
        <w:rPr>
          <w:sz w:val="22"/>
        </w:rPr>
        <w:t xml:space="preserve"> considered jurisprudence the labour courts have evolved in dealing with unfair employer-instigated resignations under the labour relations legislation of the past three decades. These cases have established that the </w:t>
      </w:r>
      <w:r w:rsidRPr="00357881">
        <w:rPr>
          <w:i/>
          <w:sz w:val="22"/>
        </w:rPr>
        <w:t>onus</w:t>
      </w:r>
      <w:r w:rsidRPr="00357881">
        <w:rPr>
          <w:sz w:val="22"/>
        </w:rPr>
        <w:t xml:space="preserve"> rests on the employee to prove that the resignation constituted</w:t>
      </w:r>
      <w:r w:rsidR="00357881" w:rsidRPr="00357881">
        <w:rPr>
          <w:sz w:val="22"/>
        </w:rPr>
        <w:t xml:space="preserve"> </w:t>
      </w:r>
      <w:r w:rsidRPr="00357881">
        <w:rPr>
          <w:sz w:val="22"/>
        </w:rPr>
        <w:t xml:space="preserve">a constructive dismissal: in other words, </w:t>
      </w:r>
      <w:r w:rsidRPr="00357881">
        <w:rPr>
          <w:sz w:val="22"/>
          <w:u w:val="single"/>
        </w:rPr>
        <w:t>the employee must prove that the resignation was not voluntary, and that it was not intended to terminate the employment relationship</w:t>
      </w:r>
      <w:r w:rsidRPr="00357881">
        <w:rPr>
          <w:sz w:val="22"/>
        </w:rPr>
        <w:t xml:space="preserve">. Once this is established, </w:t>
      </w:r>
      <w:r w:rsidRPr="00BF1EC3">
        <w:rPr>
          <w:sz w:val="22"/>
          <w:u w:val="single"/>
        </w:rPr>
        <w:t>the inquiry is whether the employer (irrespective of any intention to repudiate the contract of employment) had without reasonable and proper cause conducted itself in a manner c</w:t>
      </w:r>
      <w:r w:rsidR="00357881" w:rsidRPr="00BF1EC3">
        <w:rPr>
          <w:sz w:val="22"/>
          <w:u w:val="single"/>
        </w:rPr>
        <w:t xml:space="preserve">alculated or likely to destroy </w:t>
      </w:r>
      <w:r w:rsidRPr="00BF1EC3">
        <w:rPr>
          <w:sz w:val="22"/>
          <w:u w:val="single"/>
        </w:rPr>
        <w:t>or seriously damage the relationship of confidence and trust with the employee</w:t>
      </w:r>
      <w:r w:rsidRPr="00357881">
        <w:rPr>
          <w:sz w:val="22"/>
        </w:rPr>
        <w:t>. Looking at the employer's conduct as a whole and in its cumulative impact, the courts have asked in such cases whether its effect, judged reasonably and sensibly, was such that the employee could not be expected to put up with it.</w:t>
      </w:r>
    </w:p>
    <w:p w:rsidR="00357881" w:rsidRPr="00357881" w:rsidRDefault="00357881" w:rsidP="00357881">
      <w:pPr>
        <w:spacing w:after="0" w:line="360" w:lineRule="auto"/>
        <w:ind w:left="0" w:right="187" w:firstLine="720"/>
        <w:rPr>
          <w:sz w:val="22"/>
        </w:rPr>
      </w:pPr>
    </w:p>
    <w:p w:rsidR="00C0415D" w:rsidRPr="00357881" w:rsidRDefault="00C0415D" w:rsidP="00357881">
      <w:pPr>
        <w:spacing w:after="0" w:line="360" w:lineRule="auto"/>
        <w:ind w:left="0" w:right="187" w:firstLine="720"/>
        <w:rPr>
          <w:sz w:val="22"/>
        </w:rPr>
      </w:pPr>
      <w:r w:rsidRPr="00357881">
        <w:rPr>
          <w:sz w:val="22"/>
        </w:rPr>
        <w:t>[13]</w:t>
      </w:r>
      <w:r w:rsidR="00357881" w:rsidRPr="00357881">
        <w:rPr>
          <w:sz w:val="22"/>
        </w:rPr>
        <w:tab/>
      </w:r>
      <w:r w:rsidRPr="00357881">
        <w:rPr>
          <w:sz w:val="22"/>
        </w:rPr>
        <w:t xml:space="preserve">It deserves emphasis that the mere fact that an employee resigns because work has become intolerable does not by itself make for constructive dismissal. For one thing, the employer may not have control over what makes conditions intolerable. So the critical circumstances must have been of the employer's making. But even if the employer is responsible, it may not be to </w:t>
      </w:r>
      <w:r w:rsidR="00FC6BD7">
        <w:rPr>
          <w:sz w:val="22"/>
        </w:rPr>
        <w:t xml:space="preserve">blame. There are many things </w:t>
      </w:r>
      <w:r w:rsidRPr="00357881">
        <w:rPr>
          <w:sz w:val="22"/>
        </w:rPr>
        <w:t>an employer may fairly and reasonably do that may make an employee's position intolerable. More is needed. The employer must be culpably responsible in some way for the intolerable conditions: the conduct must (in the formulation the courts have adopted) have lacked reasonable and proper cause. Culpability does not mean that the employer must have wanted or intende</w:t>
      </w:r>
      <w:r w:rsidR="00FC6BD7">
        <w:rPr>
          <w:sz w:val="22"/>
        </w:rPr>
        <w:t>d to get rid of the employee,</w:t>
      </w:r>
      <w:r w:rsidRPr="00357881">
        <w:rPr>
          <w:sz w:val="22"/>
        </w:rPr>
        <w:t xml:space="preserve"> though in many instances of constructive</w:t>
      </w:r>
      <w:r w:rsidR="00FC6BD7">
        <w:rPr>
          <w:sz w:val="22"/>
        </w:rPr>
        <w:t xml:space="preserve"> dismissal that is the case.'</w:t>
      </w:r>
      <w:r w:rsidR="00FC6BD7">
        <w:rPr>
          <w:rStyle w:val="FootnoteReference"/>
          <w:sz w:val="22"/>
        </w:rPr>
        <w:footnoteReference w:id="4"/>
      </w:r>
      <w:r w:rsidR="00BF1EC3">
        <w:rPr>
          <w:sz w:val="22"/>
        </w:rPr>
        <w:t xml:space="preserve"> </w:t>
      </w:r>
      <w:r w:rsidR="00BF1EC3" w:rsidRPr="00BF1EC3">
        <w:rPr>
          <w:szCs w:val="24"/>
        </w:rPr>
        <w:t>(My Emphasis)</w:t>
      </w:r>
      <w:r w:rsidR="00BF1EC3">
        <w:rPr>
          <w:sz w:val="22"/>
        </w:rPr>
        <w:t xml:space="preserve"> </w:t>
      </w:r>
    </w:p>
    <w:p w:rsidR="00C0415D" w:rsidRDefault="00C0415D" w:rsidP="00C0415D">
      <w:pPr>
        <w:spacing w:after="0" w:line="360" w:lineRule="auto"/>
        <w:ind w:left="734" w:right="187" w:hanging="734"/>
        <w:rPr>
          <w:sz w:val="22"/>
        </w:rPr>
      </w:pPr>
    </w:p>
    <w:p w:rsidR="008E52C4" w:rsidRDefault="008E52C4" w:rsidP="00C0415D">
      <w:pPr>
        <w:spacing w:after="0" w:line="360" w:lineRule="auto"/>
        <w:ind w:left="734" w:right="187" w:hanging="734"/>
        <w:rPr>
          <w:sz w:val="22"/>
        </w:rPr>
      </w:pPr>
    </w:p>
    <w:p w:rsidR="008E52C4" w:rsidRDefault="008E52C4" w:rsidP="00C0415D">
      <w:pPr>
        <w:spacing w:after="0" w:line="360" w:lineRule="auto"/>
        <w:ind w:left="734" w:right="187" w:hanging="734"/>
        <w:rPr>
          <w:sz w:val="22"/>
        </w:rPr>
      </w:pPr>
    </w:p>
    <w:p w:rsidR="00D25C2F" w:rsidRDefault="00FC6BD7" w:rsidP="002E0D26">
      <w:pPr>
        <w:spacing w:after="0" w:line="360" w:lineRule="auto"/>
        <w:ind w:left="0" w:right="37" w:firstLine="0"/>
        <w:rPr>
          <w:u w:val="single"/>
        </w:rPr>
      </w:pPr>
      <w:r w:rsidRPr="00FC6BD7">
        <w:rPr>
          <w:u w:val="single"/>
        </w:rPr>
        <w:t>Discussion</w:t>
      </w:r>
    </w:p>
    <w:p w:rsidR="002E0D26" w:rsidRPr="002E0D26" w:rsidRDefault="002E0D26" w:rsidP="002E0D26">
      <w:pPr>
        <w:spacing w:after="0" w:line="360" w:lineRule="auto"/>
        <w:ind w:left="0" w:right="37" w:firstLine="0"/>
      </w:pPr>
    </w:p>
    <w:p w:rsidR="002E0D26" w:rsidRDefault="00FC6BD7" w:rsidP="002E0D26">
      <w:pPr>
        <w:pStyle w:val="Heading1"/>
        <w:spacing w:after="0" w:line="360" w:lineRule="auto"/>
        <w:jc w:val="both"/>
        <w:rPr>
          <w:b w:val="0"/>
        </w:rPr>
      </w:pPr>
      <w:r w:rsidRPr="002E0D26">
        <w:rPr>
          <w:b w:val="0"/>
        </w:rPr>
        <w:t>[1</w:t>
      </w:r>
      <w:r w:rsidR="00CB1823">
        <w:rPr>
          <w:b w:val="0"/>
        </w:rPr>
        <w:t>6</w:t>
      </w:r>
      <w:r w:rsidRPr="002E0D26">
        <w:rPr>
          <w:b w:val="0"/>
        </w:rPr>
        <w:t>]</w:t>
      </w:r>
      <w:r w:rsidRPr="002E0D26">
        <w:rPr>
          <w:b w:val="0"/>
        </w:rPr>
        <w:tab/>
        <w:t>Having briefly set out the legal principles I now proceed to apply the legal principles to the facts of this matter.</w:t>
      </w:r>
      <w:r w:rsidR="002E0D26" w:rsidRPr="002E0D26">
        <w:rPr>
          <w:b w:val="0"/>
        </w:rPr>
        <w:t xml:space="preserve"> </w:t>
      </w:r>
      <w:r w:rsidR="002E0D26">
        <w:rPr>
          <w:b w:val="0"/>
        </w:rPr>
        <w:t xml:space="preserve"> From the principles set out above i</w:t>
      </w:r>
      <w:r w:rsidR="002E0D26" w:rsidRPr="002E0D26">
        <w:rPr>
          <w:b w:val="0"/>
        </w:rPr>
        <w:t xml:space="preserve">t follows that it was incumbent upon </w:t>
      </w:r>
      <w:r w:rsidR="002E0D26" w:rsidRPr="002E0D26">
        <w:rPr>
          <w:b w:val="0"/>
          <w:szCs w:val="24"/>
        </w:rPr>
        <w:t>Van Zyl and Raath</w:t>
      </w:r>
      <w:r w:rsidR="002E0D26">
        <w:rPr>
          <w:szCs w:val="24"/>
        </w:rPr>
        <w:t xml:space="preserve"> </w:t>
      </w:r>
      <w:r w:rsidR="002E0D26" w:rsidRPr="002E0D26">
        <w:rPr>
          <w:b w:val="0"/>
        </w:rPr>
        <w:t xml:space="preserve">to </w:t>
      </w:r>
      <w:r w:rsidR="00BF1EC3">
        <w:rPr>
          <w:b w:val="0"/>
        </w:rPr>
        <w:t xml:space="preserve">first </w:t>
      </w:r>
      <w:r w:rsidR="002E0D26" w:rsidRPr="002E0D26">
        <w:rPr>
          <w:b w:val="0"/>
        </w:rPr>
        <w:t>establish that</w:t>
      </w:r>
      <w:r w:rsidR="002E0D26">
        <w:rPr>
          <w:b w:val="0"/>
        </w:rPr>
        <w:t xml:space="preserve"> their</w:t>
      </w:r>
      <w:r w:rsidR="002E0D26" w:rsidRPr="002E0D26">
        <w:rPr>
          <w:b w:val="0"/>
        </w:rPr>
        <w:t xml:space="preserve"> resignation</w:t>
      </w:r>
      <w:r w:rsidR="002E0D26">
        <w:rPr>
          <w:b w:val="0"/>
        </w:rPr>
        <w:t>s</w:t>
      </w:r>
      <w:r w:rsidR="002E0D26" w:rsidRPr="002E0D26">
        <w:rPr>
          <w:b w:val="0"/>
        </w:rPr>
        <w:t xml:space="preserve"> w</w:t>
      </w:r>
      <w:r w:rsidR="002E0D26">
        <w:rPr>
          <w:b w:val="0"/>
        </w:rPr>
        <w:t>ere</w:t>
      </w:r>
      <w:r w:rsidR="002E0D26" w:rsidRPr="002E0D26">
        <w:rPr>
          <w:b w:val="0"/>
        </w:rPr>
        <w:t xml:space="preserve"> not voluntary and was not intended to terminate the employment relationship. After establishing this, </w:t>
      </w:r>
      <w:r w:rsidR="002E0D26">
        <w:rPr>
          <w:b w:val="0"/>
        </w:rPr>
        <w:t>they</w:t>
      </w:r>
      <w:r w:rsidR="002E0D26" w:rsidRPr="002E0D26">
        <w:rPr>
          <w:b w:val="0"/>
        </w:rPr>
        <w:t xml:space="preserve"> would further need to establish that the respondent had without reasonable and proper cause conducted itself in </w:t>
      </w:r>
      <w:r w:rsidR="007229D1">
        <w:rPr>
          <w:b w:val="0"/>
        </w:rPr>
        <w:t xml:space="preserve">a </w:t>
      </w:r>
      <w:r w:rsidR="002E0D26" w:rsidRPr="002E0D26">
        <w:rPr>
          <w:b w:val="0"/>
        </w:rPr>
        <w:t xml:space="preserve">manner calculated or likely to destroy or damage the employment relationship. As was stressed by Cameron JA, the mere fact that an employee resigned because the work had become intolerable would not necessarily translate itself into a constructive dismissal. The employer would need to have been culpably responsible in some way for the intolerable conditions. </w:t>
      </w:r>
    </w:p>
    <w:p w:rsidR="002E0D26" w:rsidRDefault="002E0D26" w:rsidP="002E0D26"/>
    <w:p w:rsidR="00A059E2" w:rsidRDefault="00CB1823" w:rsidP="00A059E2">
      <w:pPr>
        <w:spacing w:after="0" w:line="360" w:lineRule="auto"/>
        <w:ind w:left="0" w:right="43" w:firstLine="0"/>
        <w:rPr>
          <w:sz w:val="22"/>
        </w:rPr>
      </w:pPr>
      <w:r>
        <w:t>[17</w:t>
      </w:r>
      <w:r w:rsidR="002E0D26">
        <w:t>]</w:t>
      </w:r>
      <w:r w:rsidR="002E0D26">
        <w:tab/>
        <w:t xml:space="preserve">In considering the first-stage enquiry, the central question is whether </w:t>
      </w:r>
      <w:r w:rsidR="002E0D26" w:rsidRPr="002E0D26">
        <w:rPr>
          <w:szCs w:val="24"/>
        </w:rPr>
        <w:t>Van Zyl and Raath</w:t>
      </w:r>
      <w:r w:rsidR="002E0D26">
        <w:t xml:space="preserve"> proved that they had no intention to end the employment relationship. </w:t>
      </w:r>
      <w:r w:rsidR="00B26896" w:rsidRPr="002E0D26">
        <w:rPr>
          <w:szCs w:val="24"/>
        </w:rPr>
        <w:t>Van Zyl</w:t>
      </w:r>
      <w:r w:rsidR="00B26896">
        <w:rPr>
          <w:szCs w:val="24"/>
        </w:rPr>
        <w:t>’s</w:t>
      </w:r>
      <w:r w:rsidR="002E0D26">
        <w:t xml:space="preserve"> evidence shows, </w:t>
      </w:r>
      <w:r w:rsidR="00B26896">
        <w:t xml:space="preserve">that it was the financial difficulties which the respondent was facing combined with the offer from T&amp;C </w:t>
      </w:r>
      <w:r w:rsidR="00BF1EC3">
        <w:t>that</w:t>
      </w:r>
      <w:r w:rsidR="00B26896">
        <w:t xml:space="preserve"> led him to tender his resignation from the respondent</w:t>
      </w:r>
      <w:r w:rsidR="00A059E2">
        <w:t>.</w:t>
      </w:r>
      <w:r w:rsidR="002E0D26">
        <w:t xml:space="preserve"> </w:t>
      </w:r>
      <w:r w:rsidR="00A8541A">
        <w:t xml:space="preserve">Herein lies </w:t>
      </w:r>
      <w:r w:rsidR="00A8541A" w:rsidRPr="002E0D26">
        <w:rPr>
          <w:szCs w:val="24"/>
        </w:rPr>
        <w:t>Van Zyl</w:t>
      </w:r>
      <w:r w:rsidR="00A8541A">
        <w:rPr>
          <w:szCs w:val="24"/>
        </w:rPr>
        <w:t>’s</w:t>
      </w:r>
      <w:r w:rsidR="00A8541A">
        <w:t xml:space="preserve"> motivation for </w:t>
      </w:r>
      <w:r w:rsidR="00BF1EC3">
        <w:t xml:space="preserve">his </w:t>
      </w:r>
      <w:r w:rsidR="00A8541A">
        <w:t>resignation.</w:t>
      </w:r>
      <w:r w:rsidR="00A059E2">
        <w:t xml:space="preserve"> Raath in her evidence testified that it is the ‘rumors’ that were going around that the respondent was facing financial </w:t>
      </w:r>
      <w:r w:rsidR="00A059E2" w:rsidRPr="00A8541A">
        <w:rPr>
          <w:szCs w:val="24"/>
        </w:rPr>
        <w:t xml:space="preserve">problems and could </w:t>
      </w:r>
      <w:r w:rsidR="00A8541A" w:rsidRPr="00A8541A">
        <w:rPr>
          <w:szCs w:val="24"/>
        </w:rPr>
        <w:t>‘</w:t>
      </w:r>
      <w:r w:rsidR="00A059E2" w:rsidRPr="00A8541A">
        <w:rPr>
          <w:szCs w:val="24"/>
        </w:rPr>
        <w:t>close shop</w:t>
      </w:r>
      <w:r w:rsidR="00A8541A" w:rsidRPr="00A8541A">
        <w:rPr>
          <w:szCs w:val="24"/>
        </w:rPr>
        <w:t>’</w:t>
      </w:r>
      <w:r w:rsidR="00A059E2" w:rsidRPr="00A8541A">
        <w:rPr>
          <w:szCs w:val="24"/>
        </w:rPr>
        <w:t xml:space="preserve"> at any time that led to her tendering her resignation. In her letter of resignation (which I hav</w:t>
      </w:r>
      <w:r w:rsidR="007229D1">
        <w:rPr>
          <w:szCs w:val="24"/>
        </w:rPr>
        <w:t xml:space="preserve">e quoted above in paragraph [7]) </w:t>
      </w:r>
      <w:r w:rsidR="00A059E2" w:rsidRPr="00A8541A">
        <w:rPr>
          <w:szCs w:val="24"/>
        </w:rPr>
        <w:t>she pleaded with the respondent for it to accept her resignation. She said she was informed that the respondent was closing so she had no choice but to seek new employment.</w:t>
      </w:r>
      <w:r w:rsidR="00A8541A" w:rsidRPr="00A8541A">
        <w:t xml:space="preserve"> </w:t>
      </w:r>
      <w:r w:rsidR="00A8541A">
        <w:t xml:space="preserve">Herein lies </w:t>
      </w:r>
      <w:r w:rsidR="00A8541A">
        <w:rPr>
          <w:szCs w:val="24"/>
        </w:rPr>
        <w:t>Raath’s</w:t>
      </w:r>
      <w:r w:rsidR="00A8541A">
        <w:t xml:space="preserve"> motivation for </w:t>
      </w:r>
      <w:r w:rsidR="007229D1">
        <w:t xml:space="preserve">her </w:t>
      </w:r>
      <w:r w:rsidR="00A8541A">
        <w:t>resignation.</w:t>
      </w:r>
      <w:r w:rsidR="00A059E2" w:rsidRPr="00A8541A">
        <w:rPr>
          <w:szCs w:val="24"/>
        </w:rPr>
        <w:t xml:space="preserve"> </w:t>
      </w:r>
      <w:r w:rsidR="00A8541A" w:rsidRPr="00A8541A">
        <w:rPr>
          <w:szCs w:val="24"/>
        </w:rPr>
        <w:t>In my view both Van Zyl and Raath voluntarily opted to resign; in other words, they intended to terminate the employment relationship.</w:t>
      </w:r>
    </w:p>
    <w:p w:rsidR="002E0D26" w:rsidRDefault="002E0D26" w:rsidP="002E0D26">
      <w:pPr>
        <w:ind w:left="0" w:firstLine="0"/>
      </w:pPr>
    </w:p>
    <w:p w:rsidR="000F00A4" w:rsidRPr="0094102C" w:rsidRDefault="00CB1823" w:rsidP="00B770F6">
      <w:pPr>
        <w:spacing w:after="0" w:line="360" w:lineRule="auto"/>
        <w:ind w:left="0" w:right="37" w:firstLine="0"/>
        <w:rPr>
          <w:szCs w:val="24"/>
        </w:rPr>
      </w:pPr>
      <w:r>
        <w:rPr>
          <w:szCs w:val="24"/>
        </w:rPr>
        <w:t>[18</w:t>
      </w:r>
      <w:r w:rsidR="0094102C" w:rsidRPr="0094102C">
        <w:rPr>
          <w:szCs w:val="24"/>
        </w:rPr>
        <w:t>]</w:t>
      </w:r>
      <w:r w:rsidR="0094102C" w:rsidRPr="0094102C">
        <w:rPr>
          <w:szCs w:val="24"/>
        </w:rPr>
        <w:tab/>
        <w:t xml:space="preserve">The next stage of the enquiry is whether the </w:t>
      </w:r>
      <w:r w:rsidR="0094102C">
        <w:rPr>
          <w:szCs w:val="24"/>
        </w:rPr>
        <w:t xml:space="preserve">respondent </w:t>
      </w:r>
      <w:r w:rsidR="0094102C" w:rsidRPr="0094102C">
        <w:rPr>
          <w:szCs w:val="24"/>
        </w:rPr>
        <w:t xml:space="preserve">(irrespective of any intention to repudiate the contract of employment) had without reasonable and proper cause conducted itself in a manner calculated or likely to destroy or seriously damage the relationship of confidence and trust with </w:t>
      </w:r>
      <w:r w:rsidR="0094102C" w:rsidRPr="00A8541A">
        <w:rPr>
          <w:szCs w:val="24"/>
        </w:rPr>
        <w:t>Van Zyl and Raath</w:t>
      </w:r>
      <w:r w:rsidR="0094102C" w:rsidRPr="0094102C">
        <w:rPr>
          <w:szCs w:val="24"/>
        </w:rPr>
        <w:t>.</w:t>
      </w:r>
      <w:r w:rsidR="0094102C">
        <w:rPr>
          <w:szCs w:val="24"/>
        </w:rPr>
        <w:t xml:space="preserve"> On the evidence of both </w:t>
      </w:r>
      <w:r w:rsidR="0094102C" w:rsidRPr="00A8541A">
        <w:rPr>
          <w:szCs w:val="24"/>
        </w:rPr>
        <w:t>Van Zyl and Raath</w:t>
      </w:r>
      <w:r w:rsidR="0094102C">
        <w:rPr>
          <w:szCs w:val="24"/>
        </w:rPr>
        <w:t xml:space="preserve"> the respondent was facing financial difficulties</w:t>
      </w:r>
      <w:r w:rsidR="007C2FFC">
        <w:rPr>
          <w:szCs w:val="24"/>
        </w:rPr>
        <w:t>,</w:t>
      </w:r>
      <w:r w:rsidR="0094102C">
        <w:rPr>
          <w:szCs w:val="24"/>
        </w:rPr>
        <w:t xml:space="preserve"> on the evidence of Ms Smith who was part of the complainants at the arbitration hearing the writing with respect to the respondent’s financial woes was already on the wall as early as 2013. She testified that she did discuss the financial situation of the respondent with Minnie and brought it to Minnie’s’ attention that the respondent’s expenditure</w:t>
      </w:r>
      <w:r w:rsidR="00E534A9">
        <w:rPr>
          <w:szCs w:val="24"/>
        </w:rPr>
        <w:t>s</w:t>
      </w:r>
      <w:r w:rsidR="0094102C">
        <w:rPr>
          <w:szCs w:val="24"/>
        </w:rPr>
        <w:t xml:space="preserve"> were exceeding it</w:t>
      </w:r>
      <w:r w:rsidR="007C2FFC">
        <w:rPr>
          <w:szCs w:val="24"/>
        </w:rPr>
        <w:t>s</w:t>
      </w:r>
      <w:r w:rsidR="0094102C">
        <w:rPr>
          <w:szCs w:val="24"/>
        </w:rPr>
        <w:t xml:space="preserve"> income. </w:t>
      </w:r>
    </w:p>
    <w:p w:rsidR="000C20F4" w:rsidRDefault="0094102C" w:rsidP="0094102C">
      <w:pPr>
        <w:spacing w:after="0" w:line="360" w:lineRule="auto"/>
        <w:ind w:left="0" w:right="37" w:firstLine="0"/>
        <w:rPr>
          <w:rFonts w:eastAsiaTheme="minorEastAsia"/>
          <w:color w:val="auto"/>
          <w:szCs w:val="24"/>
        </w:rPr>
      </w:pPr>
      <w:r w:rsidRPr="0094102C">
        <w:rPr>
          <w:rFonts w:eastAsiaTheme="minorEastAsia"/>
          <w:color w:val="auto"/>
          <w:szCs w:val="24"/>
        </w:rPr>
        <w:t>[</w:t>
      </w:r>
      <w:r w:rsidR="00CB1823">
        <w:rPr>
          <w:rFonts w:eastAsiaTheme="minorEastAsia"/>
          <w:color w:val="auto"/>
          <w:szCs w:val="24"/>
        </w:rPr>
        <w:t>19</w:t>
      </w:r>
      <w:r w:rsidRPr="0094102C">
        <w:rPr>
          <w:rFonts w:eastAsiaTheme="minorEastAsia"/>
          <w:color w:val="auto"/>
          <w:szCs w:val="24"/>
        </w:rPr>
        <w:t>]</w:t>
      </w:r>
      <w:r>
        <w:rPr>
          <w:rFonts w:eastAsiaTheme="minorEastAsia"/>
          <w:color w:val="auto"/>
          <w:szCs w:val="24"/>
        </w:rPr>
        <w:tab/>
      </w:r>
      <w:r w:rsidRPr="0094102C">
        <w:rPr>
          <w:rFonts w:eastAsiaTheme="minorEastAsia"/>
          <w:color w:val="auto"/>
          <w:szCs w:val="24"/>
        </w:rPr>
        <w:t>It cannot thus be said that the respondent had engaged in conduct which rendered the further employment of the appellant</w:t>
      </w:r>
      <w:r w:rsidR="00E534A9">
        <w:rPr>
          <w:rFonts w:eastAsiaTheme="minorEastAsia"/>
          <w:color w:val="auto"/>
          <w:szCs w:val="24"/>
        </w:rPr>
        <w:t>s</w:t>
      </w:r>
      <w:r w:rsidRPr="0094102C">
        <w:rPr>
          <w:rFonts w:eastAsiaTheme="minorEastAsia"/>
          <w:color w:val="auto"/>
          <w:szCs w:val="24"/>
        </w:rPr>
        <w:t xml:space="preserve"> intolerable. The respondent was thus not culpably responsible for </w:t>
      </w:r>
      <w:r w:rsidR="00FB0EA3" w:rsidRPr="00A8541A">
        <w:rPr>
          <w:szCs w:val="24"/>
        </w:rPr>
        <w:t>Van Zyl and Raath</w:t>
      </w:r>
      <w:r w:rsidR="00FB0EA3" w:rsidRPr="0094102C">
        <w:rPr>
          <w:rFonts w:eastAsiaTheme="minorEastAsia"/>
          <w:color w:val="auto"/>
          <w:szCs w:val="24"/>
        </w:rPr>
        <w:t xml:space="preserve"> </w:t>
      </w:r>
      <w:r w:rsidRPr="0094102C">
        <w:rPr>
          <w:rFonts w:eastAsiaTheme="minorEastAsia"/>
          <w:color w:val="auto"/>
          <w:szCs w:val="24"/>
        </w:rPr>
        <w:t xml:space="preserve">resignation in the sense </w:t>
      </w:r>
      <w:r w:rsidR="00FB0EA3">
        <w:rPr>
          <w:rFonts w:eastAsiaTheme="minorEastAsia"/>
          <w:color w:val="auto"/>
          <w:szCs w:val="24"/>
        </w:rPr>
        <w:t xml:space="preserve">that the respondent </w:t>
      </w:r>
      <w:r w:rsidR="00FB0EA3" w:rsidRPr="0094102C">
        <w:rPr>
          <w:szCs w:val="24"/>
        </w:rPr>
        <w:t xml:space="preserve">had without reasonable and proper cause conducted itself in a manner calculated or likely to destroy or seriously damage the relationship of confidence and trust with </w:t>
      </w:r>
      <w:r w:rsidR="00FB0EA3" w:rsidRPr="00A8541A">
        <w:rPr>
          <w:szCs w:val="24"/>
        </w:rPr>
        <w:t>Van Zyl and Raath</w:t>
      </w:r>
      <w:r w:rsidR="00FB0EA3">
        <w:rPr>
          <w:szCs w:val="24"/>
        </w:rPr>
        <w:t>.</w:t>
      </w:r>
      <w:r w:rsidRPr="0094102C">
        <w:rPr>
          <w:rFonts w:eastAsiaTheme="minorEastAsia"/>
          <w:color w:val="auto"/>
          <w:szCs w:val="24"/>
        </w:rPr>
        <w:t xml:space="preserve"> The arbitrator was, in my view, accordingly correct in finding that </w:t>
      </w:r>
      <w:r w:rsidR="008E52C4">
        <w:rPr>
          <w:szCs w:val="24"/>
        </w:rPr>
        <w:t>the appellants</w:t>
      </w:r>
      <w:r w:rsidR="00FB0EA3" w:rsidRPr="0094102C">
        <w:rPr>
          <w:rFonts w:eastAsiaTheme="minorEastAsia"/>
          <w:color w:val="auto"/>
          <w:szCs w:val="24"/>
        </w:rPr>
        <w:t xml:space="preserve"> </w:t>
      </w:r>
      <w:r w:rsidR="00FB0EA3">
        <w:rPr>
          <w:rFonts w:eastAsiaTheme="minorEastAsia"/>
          <w:color w:val="auto"/>
          <w:szCs w:val="24"/>
        </w:rPr>
        <w:t xml:space="preserve">did </w:t>
      </w:r>
      <w:r w:rsidR="00E534A9">
        <w:rPr>
          <w:rFonts w:eastAsiaTheme="minorEastAsia"/>
          <w:color w:val="auto"/>
          <w:szCs w:val="24"/>
        </w:rPr>
        <w:t>not discharge</w:t>
      </w:r>
      <w:r w:rsidRPr="0094102C">
        <w:rPr>
          <w:rFonts w:eastAsiaTheme="minorEastAsia"/>
          <w:color w:val="auto"/>
          <w:szCs w:val="24"/>
        </w:rPr>
        <w:t xml:space="preserve"> the </w:t>
      </w:r>
      <w:r w:rsidRPr="00FB0EA3">
        <w:rPr>
          <w:rFonts w:eastAsiaTheme="minorEastAsia"/>
          <w:i/>
          <w:color w:val="auto"/>
          <w:szCs w:val="24"/>
        </w:rPr>
        <w:t>onus</w:t>
      </w:r>
      <w:r w:rsidRPr="0094102C">
        <w:rPr>
          <w:rFonts w:eastAsiaTheme="minorEastAsia"/>
          <w:color w:val="auto"/>
          <w:szCs w:val="24"/>
        </w:rPr>
        <w:t xml:space="preserve"> to establish that </w:t>
      </w:r>
      <w:r w:rsidR="00FB0EA3">
        <w:rPr>
          <w:rFonts w:eastAsiaTheme="minorEastAsia"/>
          <w:color w:val="auto"/>
          <w:szCs w:val="24"/>
        </w:rPr>
        <w:t>they were</w:t>
      </w:r>
      <w:r w:rsidRPr="0094102C">
        <w:rPr>
          <w:rFonts w:eastAsiaTheme="minorEastAsia"/>
          <w:color w:val="auto"/>
          <w:szCs w:val="24"/>
        </w:rPr>
        <w:t xml:space="preserve"> constructively dismissed in the circumstances. </w:t>
      </w:r>
    </w:p>
    <w:p w:rsidR="00FB0EA3" w:rsidRDefault="00FB0EA3" w:rsidP="0094102C">
      <w:pPr>
        <w:spacing w:after="0" w:line="360" w:lineRule="auto"/>
        <w:ind w:left="0" w:right="37" w:firstLine="0"/>
        <w:rPr>
          <w:rFonts w:eastAsiaTheme="minorEastAsia"/>
          <w:color w:val="auto"/>
          <w:szCs w:val="24"/>
        </w:rPr>
      </w:pPr>
    </w:p>
    <w:p w:rsidR="0000247D" w:rsidRDefault="00CB1823" w:rsidP="008E52C4">
      <w:pPr>
        <w:spacing w:after="0" w:line="360" w:lineRule="auto"/>
        <w:ind w:left="0" w:right="37" w:firstLine="0"/>
        <w:rPr>
          <w:rFonts w:eastAsiaTheme="minorHAnsi"/>
          <w:color w:val="auto"/>
          <w:szCs w:val="24"/>
          <w:lang w:val="en-ZA"/>
        </w:rPr>
      </w:pPr>
      <w:r>
        <w:rPr>
          <w:rFonts w:eastAsiaTheme="minorEastAsia"/>
          <w:color w:val="auto"/>
          <w:szCs w:val="24"/>
        </w:rPr>
        <w:t>[20</w:t>
      </w:r>
      <w:r w:rsidR="007C2FFC">
        <w:rPr>
          <w:rFonts w:eastAsiaTheme="minorEastAsia"/>
          <w:color w:val="auto"/>
          <w:szCs w:val="24"/>
        </w:rPr>
        <w:t>]</w:t>
      </w:r>
      <w:r w:rsidR="007C2FFC">
        <w:rPr>
          <w:rFonts w:eastAsiaTheme="minorEastAsia"/>
          <w:color w:val="auto"/>
          <w:szCs w:val="24"/>
        </w:rPr>
        <w:tab/>
      </w:r>
      <w:r w:rsidR="008E52C4">
        <w:rPr>
          <w:rFonts w:eastAsiaTheme="minorEastAsia"/>
          <w:color w:val="auto"/>
          <w:szCs w:val="24"/>
        </w:rPr>
        <w:t>Mr Philander</w:t>
      </w:r>
      <w:r w:rsidR="00172D45">
        <w:rPr>
          <w:rFonts w:eastAsiaTheme="minorEastAsia"/>
          <w:color w:val="auto"/>
          <w:szCs w:val="24"/>
        </w:rPr>
        <w:t xml:space="preserve"> who appeared on behalf of </w:t>
      </w:r>
      <w:r w:rsidR="008E52C4">
        <w:rPr>
          <w:rFonts w:eastAsiaTheme="minorEastAsia"/>
          <w:color w:val="auto"/>
          <w:szCs w:val="24"/>
        </w:rPr>
        <w:t>the appellants argued that i</w:t>
      </w:r>
      <w:r w:rsidR="0000247D" w:rsidRPr="0000247D">
        <w:rPr>
          <w:rFonts w:eastAsiaTheme="minorHAnsi"/>
          <w:color w:val="auto"/>
          <w:szCs w:val="24"/>
          <w:lang w:val="en-ZA"/>
        </w:rPr>
        <w:t>n respect of the Franke Commission, the evidence adduced was that the commission was for a year during which the appellants sold Franke geysers and the respondent’s Mr Minnie informed them that he did not get the commission from South Africa.  Second appellant contacted the South African agent and confirmed that the respondent did receive the commission.</w:t>
      </w:r>
      <w:r w:rsidR="00E90660">
        <w:rPr>
          <w:rFonts w:eastAsiaTheme="minorHAnsi"/>
          <w:color w:val="auto"/>
          <w:szCs w:val="24"/>
          <w:lang w:val="en-ZA"/>
        </w:rPr>
        <w:t xml:space="preserve"> Because this evidence was not contested, argued Mr Philander, the appellants were entitled to the Franke commission.</w:t>
      </w:r>
    </w:p>
    <w:p w:rsidR="005E63F1" w:rsidRDefault="005E63F1" w:rsidP="008E52C4">
      <w:pPr>
        <w:spacing w:after="0" w:line="360" w:lineRule="auto"/>
        <w:ind w:left="0" w:right="37" w:firstLine="0"/>
        <w:rPr>
          <w:rFonts w:eastAsiaTheme="minorHAnsi"/>
          <w:color w:val="auto"/>
          <w:szCs w:val="24"/>
          <w:lang w:val="en-ZA"/>
        </w:rPr>
      </w:pPr>
    </w:p>
    <w:p w:rsidR="006E2E49" w:rsidRDefault="00CB1823" w:rsidP="005E63F1">
      <w:pPr>
        <w:tabs>
          <w:tab w:val="left" w:pos="720"/>
        </w:tabs>
        <w:spacing w:after="0" w:line="360" w:lineRule="auto"/>
        <w:ind w:left="0" w:right="37" w:firstLine="0"/>
      </w:pPr>
      <w:r>
        <w:t>[21</w:t>
      </w:r>
      <w:r w:rsidR="005E63F1">
        <w:t>]</w:t>
      </w:r>
      <w:r w:rsidR="005E63F1">
        <w:tab/>
        <w:t xml:space="preserve">The fact that evidence is uncontested does not by itself and without more </w:t>
      </w:r>
      <w:r w:rsidR="00492FEC">
        <w:t>mean that the court must just accept that evidence.</w:t>
      </w:r>
      <w:r w:rsidR="00C6463B" w:rsidRPr="00C6463B">
        <w:t xml:space="preserve"> </w:t>
      </w:r>
      <w:r w:rsidR="00C6463B">
        <w:t xml:space="preserve">It is settled that uncontradicted evidence is not necessarily acceptable or sufficient to discharge an onus. In </w:t>
      </w:r>
      <w:r w:rsidR="00C6463B" w:rsidRPr="00C6463B">
        <w:rPr>
          <w:i/>
        </w:rPr>
        <w:t>Kentz (Pty) Ltd v Power</w:t>
      </w:r>
      <w:r w:rsidR="00C6463B">
        <w:rPr>
          <w:rStyle w:val="FootnoteReference"/>
          <w:i/>
        </w:rPr>
        <w:footnoteReference w:id="5"/>
      </w:r>
      <w:r w:rsidR="00C6463B">
        <w:t xml:space="preserve"> Cloete J undertook a careful review of relevant cases where this principle was endorsed and applied. The learned judge pointed out that the most succinct statement of the law in this regard is to be found in </w:t>
      </w:r>
      <w:r w:rsidR="00C6463B" w:rsidRPr="00C6463B">
        <w:rPr>
          <w:i/>
        </w:rPr>
        <w:t>Siffman v Kriel</w:t>
      </w:r>
      <w:r w:rsidR="00C6463B">
        <w:rPr>
          <w:rStyle w:val="FootnoteReference"/>
          <w:i/>
        </w:rPr>
        <w:footnoteReference w:id="6"/>
      </w:r>
      <w:r w:rsidR="00C6463B">
        <w:t>, where Innes CJ said:</w:t>
      </w:r>
    </w:p>
    <w:p w:rsidR="006E2E49" w:rsidRDefault="006E2E49" w:rsidP="005E63F1">
      <w:pPr>
        <w:tabs>
          <w:tab w:val="left" w:pos="720"/>
        </w:tabs>
        <w:spacing w:after="0" w:line="360" w:lineRule="auto"/>
        <w:ind w:left="0" w:right="37" w:firstLine="0"/>
      </w:pPr>
    </w:p>
    <w:p w:rsidR="006E2E49" w:rsidRDefault="00C6463B" w:rsidP="006E2E49">
      <w:pPr>
        <w:tabs>
          <w:tab w:val="left" w:pos="720"/>
        </w:tabs>
        <w:spacing w:after="0" w:line="360" w:lineRule="auto"/>
        <w:ind w:left="0" w:right="37" w:firstLine="720"/>
      </w:pPr>
      <w:r w:rsidRPr="006E2E49">
        <w:rPr>
          <w:sz w:val="22"/>
        </w:rPr>
        <w:t>‘It does not follow, because evidence is uncontradi</w:t>
      </w:r>
      <w:r w:rsidR="006E2E49">
        <w:rPr>
          <w:sz w:val="22"/>
        </w:rPr>
        <w:t>cted, that therefore it is true …</w:t>
      </w:r>
      <w:r w:rsidRPr="006E2E49">
        <w:rPr>
          <w:sz w:val="22"/>
        </w:rPr>
        <w:t xml:space="preserve"> The story told by the person on whom the onus rests may be so improbable as not to discharge it.’</w:t>
      </w:r>
      <w:r w:rsidR="00492FEC">
        <w:t xml:space="preserve"> </w:t>
      </w:r>
    </w:p>
    <w:p w:rsidR="006E2E49" w:rsidRDefault="006E2E49" w:rsidP="006E2E49">
      <w:pPr>
        <w:tabs>
          <w:tab w:val="left" w:pos="720"/>
        </w:tabs>
        <w:spacing w:after="0" w:line="360" w:lineRule="auto"/>
        <w:ind w:left="0" w:right="37" w:firstLine="720"/>
      </w:pPr>
    </w:p>
    <w:p w:rsidR="008539B0" w:rsidRDefault="006E2E49" w:rsidP="006E2E49">
      <w:pPr>
        <w:tabs>
          <w:tab w:val="left" w:pos="720"/>
        </w:tabs>
        <w:spacing w:after="0" w:line="360" w:lineRule="auto"/>
        <w:ind w:left="0" w:right="37" w:firstLine="0"/>
      </w:pPr>
      <w:r>
        <w:t>[22]</w:t>
      </w:r>
      <w:r>
        <w:tab/>
      </w:r>
      <w:r w:rsidR="005E63F1">
        <w:t xml:space="preserve">It is </w:t>
      </w:r>
      <w:r w:rsidR="00492FEC">
        <w:t>therefore</w:t>
      </w:r>
      <w:r w:rsidR="005E63F1">
        <w:t xml:space="preserve"> necessary to establish what facts the appellants placed before the arbitrator to establish </w:t>
      </w:r>
      <w:r w:rsidR="0000390A">
        <w:t>their</w:t>
      </w:r>
      <w:r w:rsidR="005E63F1">
        <w:t xml:space="preserve"> claim to the Franke </w:t>
      </w:r>
      <w:r w:rsidR="00492FEC">
        <w:t>commission</w:t>
      </w:r>
      <w:r w:rsidR="005E63F1">
        <w:t xml:space="preserve">. </w:t>
      </w:r>
      <w:r w:rsidR="008539B0">
        <w:t>Raath testified as follows in respect of her claim to the Franke commission:</w:t>
      </w:r>
    </w:p>
    <w:p w:rsidR="008539B0" w:rsidRDefault="008539B0" w:rsidP="005E63F1">
      <w:pPr>
        <w:tabs>
          <w:tab w:val="left" w:pos="720"/>
        </w:tabs>
        <w:spacing w:after="0" w:line="360" w:lineRule="auto"/>
        <w:ind w:left="0" w:right="37" w:firstLine="0"/>
      </w:pPr>
    </w:p>
    <w:p w:rsidR="008539B0" w:rsidRPr="008539B0" w:rsidRDefault="008539B0" w:rsidP="008539B0">
      <w:pPr>
        <w:tabs>
          <w:tab w:val="left" w:pos="720"/>
        </w:tabs>
        <w:spacing w:after="0" w:line="360" w:lineRule="auto"/>
        <w:ind w:left="0" w:right="37" w:firstLine="720"/>
        <w:rPr>
          <w:sz w:val="22"/>
        </w:rPr>
      </w:pPr>
      <w:r w:rsidRPr="008539B0">
        <w:rPr>
          <w:sz w:val="22"/>
        </w:rPr>
        <w:t xml:space="preserve">‘The Franke commission </w:t>
      </w:r>
      <w:r>
        <w:rPr>
          <w:sz w:val="22"/>
        </w:rPr>
        <w:t xml:space="preserve">was for a year we were selling the Franke geysers and Riaan just kept on </w:t>
      </w:r>
      <w:r w:rsidR="00814BB7">
        <w:rPr>
          <w:sz w:val="22"/>
        </w:rPr>
        <w:t>telling us that he is not  getting the commission from South Africa. And he was lying. Because I phoned the people in South Africa and he was getting the … For the sale of the geysers... But he never gave it to us.’</w:t>
      </w:r>
    </w:p>
    <w:p w:rsidR="008539B0" w:rsidRDefault="008539B0" w:rsidP="005E63F1">
      <w:pPr>
        <w:tabs>
          <w:tab w:val="left" w:pos="720"/>
        </w:tabs>
        <w:spacing w:after="0" w:line="360" w:lineRule="auto"/>
        <w:ind w:left="0" w:right="37" w:firstLine="0"/>
      </w:pPr>
    </w:p>
    <w:p w:rsidR="0000390A" w:rsidRDefault="00CB1823" w:rsidP="005E63F1">
      <w:pPr>
        <w:tabs>
          <w:tab w:val="left" w:pos="720"/>
        </w:tabs>
        <w:spacing w:after="0" w:line="360" w:lineRule="auto"/>
        <w:ind w:left="0" w:right="37" w:firstLine="0"/>
      </w:pPr>
      <w:r>
        <w:t>[2</w:t>
      </w:r>
      <w:r w:rsidR="006E2E49">
        <w:t>3</w:t>
      </w:r>
      <w:r w:rsidR="008539B0">
        <w:t>]</w:t>
      </w:r>
      <w:r w:rsidR="008539B0">
        <w:tab/>
      </w:r>
      <w:r w:rsidR="0000390A">
        <w:t>Van Zyl testified as follows in respect of the claim to the Franke commission:</w:t>
      </w:r>
    </w:p>
    <w:p w:rsidR="0000390A" w:rsidRDefault="0000390A" w:rsidP="005E63F1">
      <w:pPr>
        <w:tabs>
          <w:tab w:val="left" w:pos="720"/>
        </w:tabs>
        <w:spacing w:after="0" w:line="360" w:lineRule="auto"/>
        <w:ind w:left="0" w:right="37" w:firstLine="0"/>
      </w:pPr>
    </w:p>
    <w:p w:rsidR="0000390A" w:rsidRPr="008539B0" w:rsidRDefault="008539B0" w:rsidP="008539B0">
      <w:pPr>
        <w:tabs>
          <w:tab w:val="left" w:pos="720"/>
        </w:tabs>
        <w:spacing w:after="0" w:line="360" w:lineRule="auto"/>
        <w:ind w:left="0" w:right="37" w:firstLine="720"/>
        <w:rPr>
          <w:sz w:val="22"/>
        </w:rPr>
      </w:pPr>
      <w:r w:rsidRPr="008539B0">
        <w:rPr>
          <w:sz w:val="22"/>
        </w:rPr>
        <w:t xml:space="preserve">‘The Franke commission </w:t>
      </w:r>
      <w:r>
        <w:rPr>
          <w:sz w:val="22"/>
        </w:rPr>
        <w:t>was paid to us on a quarterly basis that we were getting thirteen thousand. Obviously we did not see the targets or the amounts of sales that we did so that is why took it on thirteen thousand that we were getting. It is for sales that we did the Franke geysers. The heating systems. So that is the claim for the Franke commission. ...Then there is four quarters</w:t>
      </w:r>
      <w:r w:rsidR="00814BB7">
        <w:rPr>
          <w:sz w:val="22"/>
        </w:rPr>
        <w:t xml:space="preserve"> …</w:t>
      </w:r>
      <w:r>
        <w:rPr>
          <w:sz w:val="22"/>
        </w:rPr>
        <w:t xml:space="preserve"> we would get thirteen thousand per </w:t>
      </w:r>
      <w:r w:rsidR="00814BB7">
        <w:rPr>
          <w:sz w:val="22"/>
        </w:rPr>
        <w:t>quarter</w:t>
      </w:r>
      <w:r>
        <w:rPr>
          <w:sz w:val="22"/>
        </w:rPr>
        <w:t xml:space="preserve">.’ </w:t>
      </w:r>
    </w:p>
    <w:p w:rsidR="0000390A" w:rsidRDefault="0000390A" w:rsidP="005E63F1">
      <w:pPr>
        <w:tabs>
          <w:tab w:val="left" w:pos="720"/>
        </w:tabs>
        <w:spacing w:after="0" w:line="360" w:lineRule="auto"/>
        <w:ind w:left="0" w:right="37" w:firstLine="0"/>
      </w:pPr>
    </w:p>
    <w:p w:rsidR="005E63F1" w:rsidRDefault="00CB1823" w:rsidP="005E63F1">
      <w:pPr>
        <w:tabs>
          <w:tab w:val="left" w:pos="720"/>
        </w:tabs>
        <w:spacing w:after="0" w:line="360" w:lineRule="auto"/>
        <w:ind w:left="0" w:right="37" w:firstLine="0"/>
        <w:rPr>
          <w:rFonts w:eastAsiaTheme="minorHAnsi"/>
          <w:color w:val="auto"/>
          <w:szCs w:val="24"/>
          <w:lang w:val="en-ZA"/>
        </w:rPr>
      </w:pPr>
      <w:r>
        <w:t>[2</w:t>
      </w:r>
      <w:r w:rsidR="006E2E49">
        <w:t>4</w:t>
      </w:r>
      <w:r w:rsidR="00814BB7">
        <w:t>]</w:t>
      </w:r>
      <w:r w:rsidR="00814BB7">
        <w:tab/>
        <w:t xml:space="preserve">In my view the appellants placed no facts </w:t>
      </w:r>
      <w:r w:rsidR="005E63F1">
        <w:t xml:space="preserve">before the </w:t>
      </w:r>
      <w:r w:rsidR="00814BB7">
        <w:t>arbitrator to demonstrate that they were entitled to a Franke commission and the amount of the commission that they were entitled to.</w:t>
      </w:r>
      <w:r w:rsidR="005E63F1">
        <w:t xml:space="preserve"> </w:t>
      </w:r>
      <w:r w:rsidR="00814BB7">
        <w:t xml:space="preserve">I say no facts were place before the arbitrator because there is no evidence that it was a term of the employment contract whether verbally or agreed to in writing that appellants were entitled to a commission. There is no evidence of what percentage of the sales of the geysers constituted the commission, there is no evidence as </w:t>
      </w:r>
      <w:r w:rsidR="006C4B12">
        <w:t>to</w:t>
      </w:r>
      <w:r w:rsidR="00814BB7">
        <w:t xml:space="preserve"> the period in respect </w:t>
      </w:r>
      <w:r w:rsidR="006C4B12">
        <w:t xml:space="preserve">of which the commission is claimed. The </w:t>
      </w:r>
      <w:r w:rsidR="006C4B12" w:rsidRPr="006E2E49">
        <w:rPr>
          <w:i/>
        </w:rPr>
        <w:t>onus</w:t>
      </w:r>
      <w:r w:rsidR="006C4B12">
        <w:t xml:space="preserve"> was on the appellants to prove all these aspects.</w:t>
      </w:r>
      <w:r w:rsidR="005E63F1">
        <w:t xml:space="preserve"> It must be borne in mind that the establishment of facts must be by way of admissible evidence.</w:t>
      </w:r>
    </w:p>
    <w:p w:rsidR="00E90660" w:rsidRDefault="00E90660" w:rsidP="008E52C4">
      <w:pPr>
        <w:spacing w:after="0" w:line="360" w:lineRule="auto"/>
        <w:ind w:left="0" w:right="37" w:firstLine="0"/>
        <w:rPr>
          <w:rFonts w:eastAsiaTheme="minorHAnsi"/>
          <w:color w:val="auto"/>
          <w:szCs w:val="24"/>
          <w:lang w:val="en-ZA"/>
        </w:rPr>
      </w:pPr>
    </w:p>
    <w:p w:rsidR="006C4B12" w:rsidRDefault="00CB1823" w:rsidP="008E52C4">
      <w:pPr>
        <w:spacing w:after="0" w:line="360" w:lineRule="auto"/>
        <w:ind w:left="0" w:right="37" w:firstLine="0"/>
        <w:rPr>
          <w:rFonts w:eastAsiaTheme="minorHAnsi"/>
          <w:color w:val="auto"/>
          <w:szCs w:val="24"/>
          <w:lang w:val="en-GB"/>
        </w:rPr>
      </w:pPr>
      <w:r>
        <w:rPr>
          <w:rFonts w:eastAsiaTheme="minorHAnsi"/>
          <w:color w:val="auto"/>
          <w:szCs w:val="24"/>
          <w:lang w:val="en-ZA"/>
        </w:rPr>
        <w:t>[2</w:t>
      </w:r>
      <w:r w:rsidR="006E2E49">
        <w:rPr>
          <w:rFonts w:eastAsiaTheme="minorHAnsi"/>
          <w:color w:val="auto"/>
          <w:szCs w:val="24"/>
          <w:lang w:val="en-ZA"/>
        </w:rPr>
        <w:t>5</w:t>
      </w:r>
      <w:r w:rsidR="006C4B12" w:rsidRPr="006C4B12">
        <w:rPr>
          <w:rFonts w:eastAsiaTheme="minorHAnsi"/>
          <w:color w:val="auto"/>
          <w:szCs w:val="24"/>
          <w:lang w:val="en-ZA"/>
        </w:rPr>
        <w:t>]</w:t>
      </w:r>
      <w:r w:rsidR="006C4B12" w:rsidRPr="006C4B12">
        <w:rPr>
          <w:rFonts w:eastAsiaTheme="minorHAnsi"/>
          <w:color w:val="auto"/>
          <w:szCs w:val="24"/>
          <w:lang w:val="en-ZA"/>
        </w:rPr>
        <w:tab/>
        <w:t xml:space="preserve">In respect of the allegation that the conduct of the respondent </w:t>
      </w:r>
      <w:r w:rsidR="006C4B12">
        <w:rPr>
          <w:rFonts w:eastAsiaTheme="minorHAnsi"/>
          <w:color w:val="auto"/>
          <w:szCs w:val="24"/>
          <w:lang w:val="en-ZA"/>
        </w:rPr>
        <w:t>was</w:t>
      </w:r>
      <w:r w:rsidR="006C4B12" w:rsidRPr="006C4B12">
        <w:rPr>
          <w:rFonts w:eastAsiaTheme="minorHAnsi"/>
          <w:color w:val="auto"/>
          <w:szCs w:val="24"/>
          <w:lang w:val="en-GB"/>
        </w:rPr>
        <w:t xml:space="preserve"> nothing more than a disguised transfer of </w:t>
      </w:r>
      <w:r w:rsidR="006C4B12">
        <w:rPr>
          <w:rFonts w:eastAsiaTheme="minorHAnsi"/>
          <w:color w:val="auto"/>
          <w:szCs w:val="24"/>
          <w:lang w:val="en-GB"/>
        </w:rPr>
        <w:t xml:space="preserve">the respondent’s business </w:t>
      </w:r>
      <w:r w:rsidR="006C4B12" w:rsidRPr="00126474">
        <w:rPr>
          <w:szCs w:val="24"/>
        </w:rPr>
        <w:t>from Namibia Sales &amp; Marketing CC to Kalahari Distributors CC</w:t>
      </w:r>
      <w:r w:rsidR="006C4B12">
        <w:rPr>
          <w:szCs w:val="24"/>
        </w:rPr>
        <w:t xml:space="preserve">; in order </w:t>
      </w:r>
      <w:r w:rsidR="006C4B12" w:rsidRPr="006C4B12">
        <w:rPr>
          <w:rFonts w:eastAsiaTheme="minorHAnsi"/>
          <w:color w:val="auto"/>
          <w:szCs w:val="24"/>
          <w:lang w:val="en-GB"/>
        </w:rPr>
        <w:t xml:space="preserve">to circumvent </w:t>
      </w:r>
      <w:r w:rsidR="006C4B12">
        <w:rPr>
          <w:rFonts w:eastAsiaTheme="minorHAnsi"/>
          <w:color w:val="auto"/>
          <w:szCs w:val="24"/>
          <w:lang w:val="en-GB"/>
        </w:rPr>
        <w:t xml:space="preserve">the respondent having to </w:t>
      </w:r>
      <w:r w:rsidR="006C4B12" w:rsidRPr="006C4B12">
        <w:rPr>
          <w:rFonts w:eastAsiaTheme="minorHAnsi"/>
          <w:color w:val="auto"/>
          <w:szCs w:val="24"/>
          <w:lang w:val="en-GB"/>
        </w:rPr>
        <w:t xml:space="preserve">redeploy the appellants to </w:t>
      </w:r>
      <w:r w:rsidR="006C4B12" w:rsidRPr="00126474">
        <w:rPr>
          <w:szCs w:val="24"/>
        </w:rPr>
        <w:t>Kalahari Distributors CC</w:t>
      </w:r>
      <w:r w:rsidR="006C4B12" w:rsidRPr="006C4B12">
        <w:rPr>
          <w:rFonts w:eastAsiaTheme="minorHAnsi"/>
          <w:color w:val="auto"/>
          <w:szCs w:val="24"/>
          <w:lang w:val="en-GB"/>
        </w:rPr>
        <w:t xml:space="preserve"> and to circumvent t</w:t>
      </w:r>
      <w:r w:rsidR="006C4B12">
        <w:rPr>
          <w:rFonts w:eastAsiaTheme="minorHAnsi"/>
          <w:color w:val="auto"/>
          <w:szCs w:val="24"/>
          <w:lang w:val="en-GB"/>
        </w:rPr>
        <w:t xml:space="preserve">he provisions of the Labour Act, 2007 </w:t>
      </w:r>
      <w:r w:rsidR="006C4B12" w:rsidRPr="006C4B12">
        <w:rPr>
          <w:rFonts w:eastAsiaTheme="minorHAnsi"/>
          <w:color w:val="auto"/>
          <w:szCs w:val="24"/>
          <w:lang w:val="en-GB"/>
        </w:rPr>
        <w:t>insofar as it pertains to reorganisation of the respondent’s business operations</w:t>
      </w:r>
      <w:r w:rsidR="006C4B12">
        <w:rPr>
          <w:rFonts w:eastAsiaTheme="minorHAnsi"/>
          <w:color w:val="auto"/>
          <w:szCs w:val="24"/>
          <w:lang w:val="en-GB"/>
        </w:rPr>
        <w:t xml:space="preserve"> Raath testified (I quote verbatim from the record) as follows:</w:t>
      </w:r>
    </w:p>
    <w:p w:rsidR="006C4B12" w:rsidRDefault="006C4B12" w:rsidP="008E52C4">
      <w:pPr>
        <w:spacing w:after="0" w:line="360" w:lineRule="auto"/>
        <w:ind w:left="0" w:right="37" w:firstLine="0"/>
        <w:rPr>
          <w:rFonts w:eastAsiaTheme="minorHAnsi"/>
          <w:color w:val="auto"/>
          <w:szCs w:val="24"/>
          <w:lang w:val="en-GB"/>
        </w:rPr>
      </w:pPr>
    </w:p>
    <w:p w:rsidR="00B9344C" w:rsidRDefault="006C4B12" w:rsidP="00B9344C">
      <w:pPr>
        <w:tabs>
          <w:tab w:val="left" w:pos="5400"/>
        </w:tabs>
        <w:spacing w:after="0" w:line="360" w:lineRule="auto"/>
        <w:ind w:left="0" w:right="37" w:firstLine="720"/>
        <w:rPr>
          <w:rFonts w:eastAsiaTheme="minorHAnsi"/>
          <w:color w:val="auto"/>
          <w:sz w:val="22"/>
          <w:lang w:val="en-ZA"/>
        </w:rPr>
      </w:pPr>
      <w:r w:rsidRPr="006C4B12">
        <w:rPr>
          <w:rFonts w:eastAsiaTheme="minorHAnsi"/>
          <w:color w:val="auto"/>
          <w:sz w:val="22"/>
          <w:lang w:val="en-ZA"/>
        </w:rPr>
        <w:t>‘</w:t>
      </w:r>
      <w:r w:rsidR="00B9344C" w:rsidRPr="00B9344C">
        <w:rPr>
          <w:rFonts w:eastAsiaTheme="minorHAnsi"/>
          <w:color w:val="auto"/>
          <w:sz w:val="22"/>
          <w:lang w:val="en-ZA"/>
        </w:rPr>
        <w:t xml:space="preserve">REPRESENTATIVE </w:t>
      </w:r>
      <w:r w:rsidR="00B9344C">
        <w:rPr>
          <w:rFonts w:eastAsiaTheme="minorHAnsi"/>
          <w:color w:val="auto"/>
          <w:sz w:val="22"/>
          <w:lang w:val="en-ZA"/>
        </w:rPr>
        <w:t xml:space="preserve">FOR </w:t>
      </w:r>
      <w:r w:rsidR="00B9344C" w:rsidRPr="00B9344C">
        <w:rPr>
          <w:rFonts w:eastAsiaTheme="minorHAnsi"/>
          <w:color w:val="auto"/>
          <w:sz w:val="22"/>
          <w:lang w:val="en-ZA"/>
        </w:rPr>
        <w:t>THE APPLICANT</w:t>
      </w:r>
      <w:r w:rsidR="00B9344C" w:rsidRPr="00B9344C">
        <w:rPr>
          <w:rFonts w:eastAsiaTheme="minorHAnsi"/>
          <w:color w:val="auto"/>
          <w:sz w:val="22"/>
          <w:lang w:val="en-ZA"/>
        </w:rPr>
        <w:tab/>
        <w:t>I</w:t>
      </w:r>
      <w:r w:rsidR="00B9344C">
        <w:rPr>
          <w:rFonts w:eastAsiaTheme="minorHAnsi"/>
          <w:color w:val="auto"/>
          <w:sz w:val="22"/>
          <w:lang w:val="en-ZA"/>
        </w:rPr>
        <w:t>t is indicated there Kalahari Distributors. And you will see Mr Riaan Minnie’s name at the bottom of this document. Do you have any knowledge of this company and when it started and why it started?</w:t>
      </w:r>
    </w:p>
    <w:p w:rsidR="00B9344C" w:rsidRDefault="00B9344C" w:rsidP="00B9344C">
      <w:pPr>
        <w:tabs>
          <w:tab w:val="left" w:pos="5580"/>
        </w:tabs>
        <w:spacing w:after="0" w:line="360" w:lineRule="auto"/>
        <w:ind w:left="0" w:right="37" w:firstLine="630"/>
        <w:rPr>
          <w:rFonts w:eastAsiaTheme="minorHAnsi"/>
          <w:color w:val="auto"/>
          <w:sz w:val="22"/>
          <w:lang w:val="en-ZA"/>
        </w:rPr>
      </w:pPr>
    </w:p>
    <w:p w:rsidR="00B9344C" w:rsidRDefault="00B9344C" w:rsidP="00B9344C">
      <w:pPr>
        <w:spacing w:after="0" w:line="360" w:lineRule="auto"/>
        <w:ind w:left="0" w:right="37" w:firstLine="0"/>
        <w:rPr>
          <w:rFonts w:eastAsiaTheme="minorHAnsi"/>
          <w:color w:val="auto"/>
          <w:sz w:val="22"/>
          <w:lang w:val="en-ZA"/>
        </w:rPr>
      </w:pPr>
      <w:r w:rsidRPr="00B9344C">
        <w:rPr>
          <w:rFonts w:eastAsiaTheme="minorHAnsi"/>
          <w:color w:val="auto"/>
          <w:sz w:val="22"/>
          <w:lang w:val="en-ZA"/>
        </w:rPr>
        <w:t>THE APPLICANT</w:t>
      </w:r>
      <w:r>
        <w:rPr>
          <w:rFonts w:eastAsiaTheme="minorHAnsi"/>
          <w:color w:val="auto"/>
          <w:szCs w:val="24"/>
          <w:lang w:val="en-ZA"/>
        </w:rPr>
        <w:tab/>
      </w:r>
      <w:r w:rsidR="006C4B12" w:rsidRPr="006C4B12">
        <w:rPr>
          <w:rFonts w:eastAsiaTheme="minorHAnsi"/>
          <w:color w:val="auto"/>
          <w:sz w:val="22"/>
          <w:lang w:val="en-ZA"/>
        </w:rPr>
        <w:t>Yes I remember that the Kalahari Distributors when I was working by Namibia Sales and Marketing he opened that company, company so together with Fannie Albert</w:t>
      </w:r>
      <w:r>
        <w:rPr>
          <w:rFonts w:eastAsiaTheme="minorHAnsi"/>
          <w:color w:val="auto"/>
          <w:sz w:val="22"/>
          <w:lang w:val="en-ZA"/>
        </w:rPr>
        <w:t>s</w:t>
      </w:r>
      <w:r w:rsidR="006C4B12" w:rsidRPr="006C4B12">
        <w:rPr>
          <w:rFonts w:eastAsiaTheme="minorHAnsi"/>
          <w:color w:val="auto"/>
          <w:sz w:val="22"/>
          <w:lang w:val="en-ZA"/>
        </w:rPr>
        <w:t xml:space="preserve">. He also had this company </w:t>
      </w:r>
      <w:r>
        <w:rPr>
          <w:rFonts w:eastAsiaTheme="minorHAnsi"/>
          <w:color w:val="auto"/>
          <w:sz w:val="22"/>
          <w:lang w:val="en-ZA"/>
        </w:rPr>
        <w:t xml:space="preserve">because I must. Some of the working I was also working for Kalahari Distributors to put process the stock, to process the computer … </w:t>
      </w:r>
    </w:p>
    <w:p w:rsidR="00B9344C" w:rsidRDefault="00B9344C" w:rsidP="00B9344C">
      <w:pPr>
        <w:spacing w:after="0" w:line="360" w:lineRule="auto"/>
        <w:ind w:left="0" w:right="37" w:firstLine="630"/>
        <w:rPr>
          <w:rFonts w:eastAsiaTheme="minorHAnsi"/>
          <w:color w:val="auto"/>
          <w:sz w:val="22"/>
          <w:lang w:val="en-ZA"/>
        </w:rPr>
      </w:pPr>
    </w:p>
    <w:p w:rsidR="00B9344C" w:rsidRDefault="00B9344C" w:rsidP="00395A41">
      <w:pPr>
        <w:tabs>
          <w:tab w:val="left" w:pos="4770"/>
        </w:tabs>
        <w:spacing w:after="0" w:line="360" w:lineRule="auto"/>
        <w:ind w:left="0" w:right="37" w:firstLine="0"/>
        <w:rPr>
          <w:rFonts w:eastAsiaTheme="minorHAnsi"/>
          <w:color w:val="auto"/>
          <w:sz w:val="22"/>
          <w:lang w:val="en-ZA"/>
        </w:rPr>
      </w:pPr>
      <w:r w:rsidRPr="006C4B12">
        <w:rPr>
          <w:rFonts w:eastAsiaTheme="minorHAnsi"/>
          <w:color w:val="auto"/>
          <w:sz w:val="22"/>
          <w:lang w:val="en-ZA"/>
        </w:rPr>
        <w:t>‘</w:t>
      </w:r>
      <w:r w:rsidRPr="00B9344C">
        <w:rPr>
          <w:rFonts w:eastAsiaTheme="minorHAnsi"/>
          <w:color w:val="auto"/>
          <w:sz w:val="22"/>
          <w:lang w:val="en-ZA"/>
        </w:rPr>
        <w:t xml:space="preserve">REPRESENTATIVE </w:t>
      </w:r>
      <w:r>
        <w:rPr>
          <w:rFonts w:eastAsiaTheme="minorHAnsi"/>
          <w:color w:val="auto"/>
          <w:sz w:val="22"/>
          <w:lang w:val="en-ZA"/>
        </w:rPr>
        <w:t xml:space="preserve">FOR </w:t>
      </w:r>
      <w:r w:rsidRPr="00B9344C">
        <w:rPr>
          <w:rFonts w:eastAsiaTheme="minorHAnsi"/>
          <w:color w:val="auto"/>
          <w:sz w:val="22"/>
          <w:lang w:val="en-ZA"/>
        </w:rPr>
        <w:t>THE APPLICANT</w:t>
      </w:r>
      <w:r w:rsidR="00395A41">
        <w:rPr>
          <w:rFonts w:eastAsiaTheme="minorHAnsi"/>
          <w:color w:val="auto"/>
          <w:sz w:val="22"/>
          <w:lang w:val="en-ZA"/>
        </w:rPr>
        <w:t xml:space="preserve"> </w:t>
      </w:r>
      <w:r w:rsidR="00395A41">
        <w:rPr>
          <w:rFonts w:eastAsiaTheme="minorHAnsi"/>
          <w:color w:val="auto"/>
          <w:sz w:val="22"/>
          <w:lang w:val="en-ZA"/>
        </w:rPr>
        <w:tab/>
        <w:t xml:space="preserve">Is there a difference between what Namibia Sales and Marketing did and what </w:t>
      </w:r>
      <w:r w:rsidR="00395A41" w:rsidRPr="006C4B12">
        <w:rPr>
          <w:rFonts w:eastAsiaTheme="minorHAnsi"/>
          <w:color w:val="auto"/>
          <w:sz w:val="22"/>
          <w:lang w:val="en-ZA"/>
        </w:rPr>
        <w:t>Kalahari Distributors</w:t>
      </w:r>
      <w:r w:rsidR="00395A41">
        <w:rPr>
          <w:rFonts w:eastAsiaTheme="minorHAnsi"/>
          <w:color w:val="auto"/>
          <w:sz w:val="22"/>
          <w:lang w:val="en-ZA"/>
        </w:rPr>
        <w:t xml:space="preserve"> is doing? </w:t>
      </w:r>
    </w:p>
    <w:p w:rsidR="00395A41" w:rsidRDefault="00395A41" w:rsidP="00395A41">
      <w:pPr>
        <w:tabs>
          <w:tab w:val="left" w:pos="4770"/>
        </w:tabs>
        <w:spacing w:after="0" w:line="360" w:lineRule="auto"/>
        <w:ind w:left="0" w:right="37" w:firstLine="0"/>
        <w:rPr>
          <w:rFonts w:eastAsiaTheme="minorHAnsi"/>
          <w:color w:val="auto"/>
          <w:sz w:val="22"/>
          <w:lang w:val="en-ZA"/>
        </w:rPr>
      </w:pPr>
    </w:p>
    <w:p w:rsidR="00395A41" w:rsidRPr="00B9344C" w:rsidRDefault="00395A41" w:rsidP="00395A41">
      <w:pPr>
        <w:tabs>
          <w:tab w:val="left" w:pos="2160"/>
          <w:tab w:val="left" w:pos="4770"/>
        </w:tabs>
        <w:spacing w:after="0" w:line="360" w:lineRule="auto"/>
        <w:ind w:left="0" w:right="37" w:firstLine="0"/>
        <w:rPr>
          <w:rFonts w:eastAsiaTheme="minorHAnsi"/>
          <w:color w:val="auto"/>
          <w:sz w:val="22"/>
          <w:u w:val="single"/>
          <w:lang w:val="en-ZA"/>
        </w:rPr>
      </w:pPr>
      <w:r w:rsidRPr="00B9344C">
        <w:rPr>
          <w:rFonts w:eastAsiaTheme="minorHAnsi"/>
          <w:color w:val="auto"/>
          <w:sz w:val="22"/>
          <w:lang w:val="en-ZA"/>
        </w:rPr>
        <w:t>THE APPLICANT</w:t>
      </w:r>
      <w:r>
        <w:rPr>
          <w:rFonts w:eastAsiaTheme="minorHAnsi"/>
          <w:color w:val="auto"/>
          <w:sz w:val="22"/>
          <w:lang w:val="en-ZA"/>
        </w:rPr>
        <w:tab/>
        <w:t xml:space="preserve">There is, the both the both </w:t>
      </w:r>
      <w:r w:rsidR="00E534A9">
        <w:rPr>
          <w:rFonts w:eastAsiaTheme="minorHAnsi"/>
          <w:color w:val="auto"/>
          <w:sz w:val="22"/>
          <w:lang w:val="en-ZA"/>
        </w:rPr>
        <w:t>of them was, is a wholesaler.’</w:t>
      </w:r>
    </w:p>
    <w:p w:rsidR="00B9344C" w:rsidRDefault="00B9344C" w:rsidP="00B9344C">
      <w:pPr>
        <w:spacing w:after="0" w:line="360" w:lineRule="auto"/>
        <w:ind w:left="0" w:right="37" w:firstLine="630"/>
        <w:rPr>
          <w:rFonts w:eastAsiaTheme="minorHAnsi"/>
          <w:color w:val="auto"/>
          <w:sz w:val="22"/>
          <w:lang w:val="en-ZA"/>
        </w:rPr>
      </w:pPr>
    </w:p>
    <w:p w:rsidR="00395A41" w:rsidRDefault="00CB1823" w:rsidP="00B9344C">
      <w:pPr>
        <w:spacing w:after="0" w:line="360" w:lineRule="auto"/>
        <w:ind w:left="0" w:right="37" w:firstLine="0"/>
      </w:pPr>
      <w:r>
        <w:rPr>
          <w:rFonts w:eastAsiaTheme="minorHAnsi"/>
          <w:color w:val="auto"/>
          <w:szCs w:val="24"/>
          <w:lang w:val="en-ZA"/>
        </w:rPr>
        <w:t>[2</w:t>
      </w:r>
      <w:r w:rsidR="006E2E49">
        <w:rPr>
          <w:rFonts w:eastAsiaTheme="minorHAnsi"/>
          <w:color w:val="auto"/>
          <w:szCs w:val="24"/>
          <w:lang w:val="en-ZA"/>
        </w:rPr>
        <w:t>6</w:t>
      </w:r>
      <w:r w:rsidR="00395A41">
        <w:rPr>
          <w:rFonts w:eastAsiaTheme="minorHAnsi"/>
          <w:color w:val="auto"/>
          <w:szCs w:val="24"/>
          <w:lang w:val="en-ZA"/>
        </w:rPr>
        <w:t>]</w:t>
      </w:r>
      <w:r w:rsidR="00395A41">
        <w:rPr>
          <w:rFonts w:eastAsiaTheme="minorHAnsi"/>
          <w:color w:val="auto"/>
          <w:szCs w:val="24"/>
          <w:lang w:val="en-ZA"/>
        </w:rPr>
        <w:tab/>
      </w:r>
      <w:r w:rsidR="00395A41">
        <w:t xml:space="preserve">Van Zyl testified as follows in respect of </w:t>
      </w:r>
      <w:r w:rsidR="00E534A9">
        <w:t xml:space="preserve">the </w:t>
      </w:r>
      <w:r w:rsidR="00395A41">
        <w:t>alleged disguised transfer</w:t>
      </w:r>
      <w:r w:rsidR="00395A41">
        <w:rPr>
          <w:rFonts w:eastAsiaTheme="minorHAnsi"/>
          <w:color w:val="auto"/>
          <w:szCs w:val="24"/>
          <w:lang w:val="en-GB"/>
        </w:rPr>
        <w:t xml:space="preserve"> (I quote verbatim from the record)</w:t>
      </w:r>
      <w:r w:rsidR="00395A41">
        <w:t>:</w:t>
      </w:r>
    </w:p>
    <w:p w:rsidR="00395A41" w:rsidRDefault="00395A41" w:rsidP="00B9344C">
      <w:pPr>
        <w:spacing w:after="0" w:line="360" w:lineRule="auto"/>
        <w:ind w:left="0" w:right="37" w:firstLine="0"/>
      </w:pPr>
    </w:p>
    <w:p w:rsidR="00395A41" w:rsidRDefault="00395A41" w:rsidP="00395A41">
      <w:pPr>
        <w:tabs>
          <w:tab w:val="left" w:pos="5400"/>
        </w:tabs>
        <w:spacing w:after="0" w:line="360" w:lineRule="auto"/>
        <w:ind w:left="0" w:right="37" w:firstLine="720"/>
        <w:rPr>
          <w:rFonts w:eastAsiaTheme="minorHAnsi"/>
          <w:color w:val="auto"/>
          <w:sz w:val="22"/>
          <w:lang w:val="en-ZA"/>
        </w:rPr>
      </w:pPr>
      <w:r w:rsidRPr="006C4B12">
        <w:rPr>
          <w:rFonts w:eastAsiaTheme="minorHAnsi"/>
          <w:color w:val="auto"/>
          <w:sz w:val="22"/>
          <w:lang w:val="en-ZA"/>
        </w:rPr>
        <w:t>‘</w:t>
      </w:r>
      <w:r w:rsidRPr="00B9344C">
        <w:rPr>
          <w:rFonts w:eastAsiaTheme="minorHAnsi"/>
          <w:color w:val="auto"/>
          <w:sz w:val="22"/>
          <w:lang w:val="en-ZA"/>
        </w:rPr>
        <w:t xml:space="preserve">REPRESENTATIVE </w:t>
      </w:r>
      <w:r>
        <w:rPr>
          <w:rFonts w:eastAsiaTheme="minorHAnsi"/>
          <w:color w:val="auto"/>
          <w:sz w:val="22"/>
          <w:lang w:val="en-ZA"/>
        </w:rPr>
        <w:t xml:space="preserve">FOR </w:t>
      </w:r>
      <w:r w:rsidRPr="00B9344C">
        <w:rPr>
          <w:rFonts w:eastAsiaTheme="minorHAnsi"/>
          <w:color w:val="auto"/>
          <w:sz w:val="22"/>
          <w:lang w:val="en-ZA"/>
        </w:rPr>
        <w:t>THE APPLICANT</w:t>
      </w:r>
      <w:r w:rsidRPr="00B9344C">
        <w:rPr>
          <w:rFonts w:eastAsiaTheme="minorHAnsi"/>
          <w:color w:val="auto"/>
          <w:sz w:val="22"/>
          <w:lang w:val="en-ZA"/>
        </w:rPr>
        <w:tab/>
      </w:r>
      <w:r>
        <w:rPr>
          <w:rFonts w:eastAsiaTheme="minorHAnsi"/>
          <w:color w:val="auto"/>
          <w:sz w:val="22"/>
          <w:lang w:val="en-ZA"/>
        </w:rPr>
        <w:t xml:space="preserve"> Go to page number 3 please. </w:t>
      </w:r>
      <w:r w:rsidRPr="00B9344C">
        <w:rPr>
          <w:rFonts w:eastAsiaTheme="minorHAnsi"/>
          <w:color w:val="auto"/>
          <w:sz w:val="22"/>
          <w:lang w:val="en-ZA"/>
        </w:rPr>
        <w:t>I</w:t>
      </w:r>
      <w:r>
        <w:rPr>
          <w:rFonts w:eastAsiaTheme="minorHAnsi"/>
          <w:color w:val="auto"/>
          <w:sz w:val="22"/>
          <w:lang w:val="en-ZA"/>
        </w:rPr>
        <w:t>t is indicated here Kalahari Distributors. Mr Minnie’s also signed this document. Can you give the Chairperson a background of what you know about Kalahari Distributors and who the owners of this business</w:t>
      </w:r>
      <w:r w:rsidR="00E534A9">
        <w:rPr>
          <w:rFonts w:eastAsiaTheme="minorHAnsi"/>
          <w:color w:val="auto"/>
          <w:sz w:val="22"/>
          <w:lang w:val="en-ZA"/>
        </w:rPr>
        <w:t xml:space="preserve"> is.</w:t>
      </w:r>
      <w:r w:rsidR="00E76963">
        <w:rPr>
          <w:rFonts w:eastAsiaTheme="minorHAnsi"/>
          <w:color w:val="auto"/>
          <w:sz w:val="22"/>
          <w:lang w:val="en-ZA"/>
        </w:rPr>
        <w:t xml:space="preserve"> </w:t>
      </w:r>
    </w:p>
    <w:p w:rsidR="00395A41" w:rsidRDefault="00395A41" w:rsidP="00B9344C">
      <w:pPr>
        <w:spacing w:after="0" w:line="360" w:lineRule="auto"/>
        <w:ind w:left="0" w:right="37" w:firstLine="0"/>
        <w:rPr>
          <w:rFonts w:eastAsiaTheme="minorHAnsi"/>
          <w:color w:val="auto"/>
          <w:sz w:val="22"/>
          <w:lang w:val="en-ZA"/>
        </w:rPr>
      </w:pPr>
      <w:r w:rsidRPr="00B9344C">
        <w:rPr>
          <w:rFonts w:eastAsiaTheme="minorHAnsi"/>
          <w:color w:val="auto"/>
          <w:sz w:val="22"/>
          <w:lang w:val="en-ZA"/>
        </w:rPr>
        <w:t>THE APPLICANT</w:t>
      </w:r>
      <w:r>
        <w:rPr>
          <w:rFonts w:eastAsiaTheme="minorHAnsi"/>
          <w:color w:val="auto"/>
          <w:szCs w:val="24"/>
          <w:lang w:val="en-ZA"/>
        </w:rPr>
        <w:tab/>
      </w:r>
      <w:r w:rsidRPr="006C4B12">
        <w:rPr>
          <w:rFonts w:eastAsiaTheme="minorHAnsi"/>
          <w:color w:val="auto"/>
          <w:sz w:val="22"/>
          <w:lang w:val="en-ZA"/>
        </w:rPr>
        <w:t>Kalahari Distributors</w:t>
      </w:r>
      <w:r w:rsidR="00E76963">
        <w:rPr>
          <w:rFonts w:eastAsiaTheme="minorHAnsi"/>
          <w:color w:val="auto"/>
          <w:sz w:val="22"/>
          <w:lang w:val="en-ZA"/>
        </w:rPr>
        <w:t xml:space="preserve"> if I am not mistaken was opened two years ago for his father in law. And I think personally it was, he knew what he was doing. It was all two (2) year plan to stop Namibia Sales and Marketing and take everything over to Kalahari.’</w:t>
      </w:r>
    </w:p>
    <w:p w:rsidR="00E76963" w:rsidRPr="00E76963" w:rsidRDefault="00E76963" w:rsidP="00B9344C">
      <w:pPr>
        <w:spacing w:after="0" w:line="360" w:lineRule="auto"/>
        <w:ind w:left="0" w:right="37" w:firstLine="0"/>
        <w:rPr>
          <w:rFonts w:eastAsiaTheme="minorHAnsi"/>
          <w:color w:val="auto"/>
          <w:sz w:val="22"/>
          <w:lang w:val="en-ZA"/>
        </w:rPr>
      </w:pPr>
    </w:p>
    <w:p w:rsidR="0000247D" w:rsidRDefault="003F63FB" w:rsidP="00B9344C">
      <w:pPr>
        <w:spacing w:after="0" w:line="360" w:lineRule="auto"/>
        <w:ind w:left="0" w:right="37" w:firstLine="0"/>
        <w:rPr>
          <w:rFonts w:eastAsiaTheme="minorHAnsi"/>
          <w:color w:val="auto"/>
          <w:szCs w:val="24"/>
          <w:lang w:val="en-ZA"/>
        </w:rPr>
      </w:pPr>
      <w:r>
        <w:rPr>
          <w:rFonts w:eastAsiaTheme="minorHAnsi"/>
          <w:color w:val="auto"/>
          <w:szCs w:val="24"/>
          <w:lang w:val="en-ZA"/>
        </w:rPr>
        <w:t>[2</w:t>
      </w:r>
      <w:r w:rsidR="006E2E49">
        <w:rPr>
          <w:rFonts w:eastAsiaTheme="minorHAnsi"/>
          <w:color w:val="auto"/>
          <w:szCs w:val="24"/>
          <w:lang w:val="en-ZA"/>
        </w:rPr>
        <w:t>7</w:t>
      </w:r>
      <w:r w:rsidR="00E76963" w:rsidRPr="009E425A">
        <w:rPr>
          <w:rFonts w:eastAsiaTheme="minorHAnsi"/>
          <w:color w:val="auto"/>
          <w:szCs w:val="24"/>
          <w:lang w:val="en-ZA"/>
        </w:rPr>
        <w:t>]</w:t>
      </w:r>
      <w:r w:rsidR="00E76963" w:rsidRPr="009E425A">
        <w:rPr>
          <w:rFonts w:eastAsiaTheme="minorHAnsi"/>
          <w:color w:val="auto"/>
          <w:szCs w:val="24"/>
          <w:lang w:val="en-ZA"/>
        </w:rPr>
        <w:tab/>
        <w:t>The evidence of Raath and Van Zyl is not admissible evidence, it is</w:t>
      </w:r>
      <w:r w:rsidR="006E2E49">
        <w:rPr>
          <w:rFonts w:eastAsiaTheme="minorHAnsi"/>
          <w:color w:val="auto"/>
          <w:szCs w:val="24"/>
          <w:lang w:val="en-ZA"/>
        </w:rPr>
        <w:t>,</w:t>
      </w:r>
      <w:r w:rsidR="00E76963" w:rsidRPr="009E425A">
        <w:rPr>
          <w:rFonts w:eastAsiaTheme="minorHAnsi"/>
          <w:color w:val="auto"/>
          <w:szCs w:val="24"/>
          <w:lang w:val="en-ZA"/>
        </w:rPr>
        <w:t xml:space="preserve"> in my view</w:t>
      </w:r>
      <w:r w:rsidR="006E2E49">
        <w:rPr>
          <w:rFonts w:eastAsiaTheme="minorHAnsi"/>
          <w:color w:val="auto"/>
          <w:szCs w:val="24"/>
          <w:lang w:val="en-ZA"/>
        </w:rPr>
        <w:t>,</w:t>
      </w:r>
      <w:r w:rsidR="00E76963" w:rsidRPr="009E425A">
        <w:rPr>
          <w:rFonts w:eastAsiaTheme="minorHAnsi"/>
          <w:color w:val="auto"/>
          <w:szCs w:val="24"/>
          <w:lang w:val="en-ZA"/>
        </w:rPr>
        <w:t xml:space="preserve"> nothing but </w:t>
      </w:r>
      <w:r w:rsidR="006E2E49">
        <w:rPr>
          <w:rFonts w:eastAsiaTheme="minorHAnsi"/>
          <w:color w:val="auto"/>
          <w:szCs w:val="24"/>
          <w:lang w:val="en-ZA"/>
        </w:rPr>
        <w:t xml:space="preserve">unfounded </w:t>
      </w:r>
      <w:r w:rsidR="00E76963" w:rsidRPr="009E425A">
        <w:rPr>
          <w:rFonts w:eastAsiaTheme="minorHAnsi"/>
          <w:color w:val="auto"/>
          <w:szCs w:val="24"/>
          <w:lang w:val="en-ZA"/>
        </w:rPr>
        <w:t xml:space="preserve">speculations and conclusions drawn by both Raath and Van Zyl. There is not a shred of evidence that Mr Minnie the sole member of Namibia Sales and Marketing CC transferred the business of that close Corporation to Kalahari Distributors </w:t>
      </w:r>
      <w:r w:rsidR="006E2E49">
        <w:rPr>
          <w:rFonts w:eastAsiaTheme="minorHAnsi"/>
          <w:color w:val="auto"/>
          <w:szCs w:val="24"/>
          <w:lang w:val="en-ZA"/>
        </w:rPr>
        <w:t xml:space="preserve">CC </w:t>
      </w:r>
      <w:r w:rsidR="00E76963" w:rsidRPr="009E425A">
        <w:rPr>
          <w:rFonts w:eastAsiaTheme="minorHAnsi"/>
          <w:color w:val="auto"/>
          <w:szCs w:val="24"/>
          <w:lang w:val="en-ZA"/>
        </w:rPr>
        <w:t xml:space="preserve">and why he transferred that business. </w:t>
      </w:r>
      <w:r w:rsidR="009E425A" w:rsidRPr="009E425A">
        <w:rPr>
          <w:rFonts w:eastAsiaTheme="minorHAnsi"/>
          <w:color w:val="auto"/>
          <w:szCs w:val="24"/>
          <w:lang w:val="en-ZA"/>
        </w:rPr>
        <w:t>The evidence that was presented to the arbitrator was that the respondent</w:t>
      </w:r>
      <w:r w:rsidR="00610500">
        <w:rPr>
          <w:rFonts w:eastAsiaTheme="minorHAnsi"/>
          <w:color w:val="auto"/>
          <w:szCs w:val="24"/>
          <w:lang w:val="en-ZA"/>
        </w:rPr>
        <w:t>’s financial difficulties</w:t>
      </w:r>
      <w:r w:rsidR="009E425A" w:rsidRPr="009E425A">
        <w:rPr>
          <w:rFonts w:eastAsiaTheme="minorHAnsi"/>
          <w:color w:val="auto"/>
          <w:szCs w:val="24"/>
          <w:lang w:val="en-ZA"/>
        </w:rPr>
        <w:t xml:space="preserve"> let to the ‘shut down’ of Namibia Sales and Marketing CC.</w:t>
      </w:r>
      <w:r w:rsidR="009E425A">
        <w:rPr>
          <w:rFonts w:eastAsiaTheme="minorHAnsi"/>
          <w:color w:val="auto"/>
          <w:szCs w:val="24"/>
          <w:lang w:val="en-ZA"/>
        </w:rPr>
        <w:t xml:space="preserve"> The appellants bore the </w:t>
      </w:r>
      <w:r w:rsidR="009E425A" w:rsidRPr="009E425A">
        <w:rPr>
          <w:rFonts w:eastAsiaTheme="minorHAnsi"/>
          <w:i/>
          <w:color w:val="auto"/>
          <w:szCs w:val="24"/>
          <w:lang w:val="en-ZA"/>
        </w:rPr>
        <w:t xml:space="preserve">onus </w:t>
      </w:r>
      <w:r w:rsidR="009E425A">
        <w:rPr>
          <w:rFonts w:eastAsiaTheme="minorHAnsi"/>
          <w:color w:val="auto"/>
          <w:szCs w:val="24"/>
          <w:lang w:val="en-ZA"/>
        </w:rPr>
        <w:t>to place facts before the arbitrator to prove the alleged disguised actions of Minnie. The appellants failed to place those f</w:t>
      </w:r>
      <w:r w:rsidR="00610500">
        <w:rPr>
          <w:rFonts w:eastAsiaTheme="minorHAnsi"/>
          <w:color w:val="auto"/>
          <w:szCs w:val="24"/>
          <w:lang w:val="en-ZA"/>
        </w:rPr>
        <w:t>acts before the arbitrator.</w:t>
      </w:r>
      <w:r w:rsidR="00F34B8D">
        <w:rPr>
          <w:rFonts w:eastAsiaTheme="minorHAnsi"/>
          <w:color w:val="auto"/>
          <w:szCs w:val="24"/>
          <w:lang w:val="en-ZA"/>
        </w:rPr>
        <w:t xml:space="preserve"> </w:t>
      </w:r>
    </w:p>
    <w:p w:rsidR="009E425A" w:rsidRPr="009E425A" w:rsidRDefault="009E425A" w:rsidP="00B9344C">
      <w:pPr>
        <w:spacing w:after="0" w:line="360" w:lineRule="auto"/>
        <w:ind w:left="0" w:right="37" w:firstLine="0"/>
        <w:rPr>
          <w:rFonts w:eastAsiaTheme="minorHAnsi"/>
          <w:color w:val="auto"/>
          <w:szCs w:val="24"/>
          <w:lang w:val="en-ZA"/>
        </w:rPr>
      </w:pPr>
    </w:p>
    <w:p w:rsidR="0015482C" w:rsidRDefault="003F63FB" w:rsidP="0015482C">
      <w:pPr>
        <w:spacing w:after="160" w:line="360" w:lineRule="auto"/>
        <w:ind w:left="0" w:right="0" w:firstLine="0"/>
        <w:contextualSpacing/>
        <w:rPr>
          <w:szCs w:val="24"/>
        </w:rPr>
      </w:pPr>
      <w:r>
        <w:rPr>
          <w:rFonts w:eastAsiaTheme="minorHAnsi"/>
          <w:color w:val="auto"/>
          <w:szCs w:val="24"/>
          <w:lang w:val="en-ZA"/>
        </w:rPr>
        <w:t>[2</w:t>
      </w:r>
      <w:r w:rsidR="006E2E49">
        <w:rPr>
          <w:rFonts w:eastAsiaTheme="minorHAnsi"/>
          <w:color w:val="auto"/>
          <w:szCs w:val="24"/>
          <w:lang w:val="en-ZA"/>
        </w:rPr>
        <w:t>8</w:t>
      </w:r>
      <w:r w:rsidR="009E425A">
        <w:rPr>
          <w:rFonts w:eastAsiaTheme="minorHAnsi"/>
          <w:color w:val="auto"/>
          <w:szCs w:val="24"/>
          <w:lang w:val="en-ZA"/>
        </w:rPr>
        <w:t>]</w:t>
      </w:r>
      <w:r w:rsidR="009E425A">
        <w:rPr>
          <w:rFonts w:eastAsiaTheme="minorHAnsi"/>
          <w:color w:val="auto"/>
          <w:szCs w:val="24"/>
          <w:lang w:val="en-ZA"/>
        </w:rPr>
        <w:tab/>
      </w:r>
      <w:r w:rsidR="0015482C">
        <w:rPr>
          <w:rFonts w:eastAsiaTheme="minorHAnsi"/>
          <w:color w:val="auto"/>
          <w:szCs w:val="24"/>
          <w:lang w:val="en-ZA"/>
        </w:rPr>
        <w:t xml:space="preserve">In respect of the appellants contention that </w:t>
      </w:r>
      <w:r w:rsidR="0015482C">
        <w:rPr>
          <w:szCs w:val="24"/>
        </w:rPr>
        <w:t>the arbitrator, on the facts and evidence placed before him erred in finding that the appellants were not entitled to be paid incentives for achieving certain targets and to be reimbursed for expenses incurred by them while performing the respondent</w:t>
      </w:r>
      <w:r w:rsidR="00610500">
        <w:rPr>
          <w:szCs w:val="24"/>
        </w:rPr>
        <w:t>’s</w:t>
      </w:r>
      <w:r w:rsidR="0015482C">
        <w:rPr>
          <w:szCs w:val="24"/>
        </w:rPr>
        <w:t xml:space="preserve"> duties, I need only </w:t>
      </w:r>
      <w:r w:rsidR="006E2E49">
        <w:rPr>
          <w:szCs w:val="24"/>
        </w:rPr>
        <w:t xml:space="preserve">to </w:t>
      </w:r>
      <w:r w:rsidR="0015482C">
        <w:rPr>
          <w:szCs w:val="24"/>
        </w:rPr>
        <w:t>state that I hav</w:t>
      </w:r>
      <w:r w:rsidR="006E2E49">
        <w:rPr>
          <w:szCs w:val="24"/>
        </w:rPr>
        <w:t>e read the record and could not</w:t>
      </w:r>
      <w:r w:rsidR="0015482C">
        <w:rPr>
          <w:szCs w:val="24"/>
        </w:rPr>
        <w:t xml:space="preserve"> find a single piece of evidence indicating whether the alleged incentives we</w:t>
      </w:r>
      <w:r w:rsidR="006E2E49">
        <w:rPr>
          <w:szCs w:val="24"/>
        </w:rPr>
        <w:t xml:space="preserve">re payable, </w:t>
      </w:r>
      <w:r w:rsidR="00610500">
        <w:rPr>
          <w:szCs w:val="24"/>
        </w:rPr>
        <w:t>what the amount of</w:t>
      </w:r>
      <w:r w:rsidR="0015482C">
        <w:rPr>
          <w:szCs w:val="24"/>
        </w:rPr>
        <w:t xml:space="preserve"> the alleged </w:t>
      </w:r>
      <w:r w:rsidR="00610500">
        <w:rPr>
          <w:szCs w:val="24"/>
        </w:rPr>
        <w:t>incentives</w:t>
      </w:r>
      <w:r w:rsidR="0015482C">
        <w:rPr>
          <w:szCs w:val="24"/>
        </w:rPr>
        <w:t xml:space="preserve"> was and the circumstances under which the incentives were payable. </w:t>
      </w:r>
    </w:p>
    <w:p w:rsidR="0015482C" w:rsidRDefault="0015482C" w:rsidP="0015482C">
      <w:pPr>
        <w:spacing w:after="160" w:line="360" w:lineRule="auto"/>
        <w:ind w:left="0" w:right="0" w:firstLine="0"/>
        <w:contextualSpacing/>
        <w:rPr>
          <w:szCs w:val="24"/>
        </w:rPr>
      </w:pPr>
    </w:p>
    <w:p w:rsidR="00F41195" w:rsidRDefault="003F63FB" w:rsidP="0015482C">
      <w:pPr>
        <w:spacing w:after="0" w:line="360" w:lineRule="auto"/>
        <w:ind w:left="0" w:right="37" w:firstLine="0"/>
        <w:rPr>
          <w:szCs w:val="24"/>
        </w:rPr>
      </w:pPr>
      <w:r>
        <w:rPr>
          <w:szCs w:val="24"/>
        </w:rPr>
        <w:t>[2</w:t>
      </w:r>
      <w:r w:rsidR="006E2E49">
        <w:rPr>
          <w:szCs w:val="24"/>
        </w:rPr>
        <w:t>9</w:t>
      </w:r>
      <w:r w:rsidR="0015482C">
        <w:rPr>
          <w:szCs w:val="24"/>
        </w:rPr>
        <w:t>]</w:t>
      </w:r>
      <w:r w:rsidR="0015482C">
        <w:rPr>
          <w:szCs w:val="24"/>
        </w:rPr>
        <w:tab/>
      </w:r>
      <w:r w:rsidR="0015482C" w:rsidRPr="0094102C">
        <w:rPr>
          <w:rFonts w:eastAsiaTheme="minorEastAsia"/>
          <w:color w:val="auto"/>
          <w:szCs w:val="24"/>
        </w:rPr>
        <w:t xml:space="preserve">The arbitrator was, in my view, accordingly correct in finding that </w:t>
      </w:r>
      <w:r w:rsidR="0015482C">
        <w:rPr>
          <w:szCs w:val="24"/>
        </w:rPr>
        <w:t>the appellants</w:t>
      </w:r>
      <w:r w:rsidR="0015482C" w:rsidRPr="0094102C">
        <w:rPr>
          <w:rFonts w:eastAsiaTheme="minorEastAsia"/>
          <w:color w:val="auto"/>
          <w:szCs w:val="24"/>
        </w:rPr>
        <w:t xml:space="preserve"> </w:t>
      </w:r>
      <w:r w:rsidR="0015482C">
        <w:rPr>
          <w:rFonts w:eastAsiaTheme="minorEastAsia"/>
          <w:color w:val="auto"/>
          <w:szCs w:val="24"/>
        </w:rPr>
        <w:t xml:space="preserve">did </w:t>
      </w:r>
      <w:r w:rsidR="00CB1823">
        <w:rPr>
          <w:rFonts w:eastAsiaTheme="minorEastAsia"/>
          <w:color w:val="auto"/>
          <w:szCs w:val="24"/>
        </w:rPr>
        <w:t>not discharge</w:t>
      </w:r>
      <w:r w:rsidR="0015482C" w:rsidRPr="0094102C">
        <w:rPr>
          <w:rFonts w:eastAsiaTheme="minorEastAsia"/>
          <w:color w:val="auto"/>
          <w:szCs w:val="24"/>
        </w:rPr>
        <w:t xml:space="preserve"> the </w:t>
      </w:r>
      <w:r w:rsidR="0015482C" w:rsidRPr="00FB0EA3">
        <w:rPr>
          <w:rFonts w:eastAsiaTheme="minorEastAsia"/>
          <w:i/>
          <w:color w:val="auto"/>
          <w:szCs w:val="24"/>
        </w:rPr>
        <w:t>onus</w:t>
      </w:r>
      <w:r w:rsidR="0015482C" w:rsidRPr="0094102C">
        <w:rPr>
          <w:rFonts w:eastAsiaTheme="minorEastAsia"/>
          <w:color w:val="auto"/>
          <w:szCs w:val="24"/>
        </w:rPr>
        <w:t xml:space="preserve"> to establish that </w:t>
      </w:r>
      <w:r w:rsidR="0015482C">
        <w:rPr>
          <w:rFonts w:eastAsiaTheme="minorEastAsia"/>
          <w:color w:val="auto"/>
          <w:szCs w:val="24"/>
        </w:rPr>
        <w:t>they were</w:t>
      </w:r>
      <w:r w:rsidR="0015482C" w:rsidRPr="0094102C">
        <w:rPr>
          <w:rFonts w:eastAsiaTheme="minorEastAsia"/>
          <w:color w:val="auto"/>
          <w:szCs w:val="24"/>
        </w:rPr>
        <w:t xml:space="preserve"> </w:t>
      </w:r>
      <w:r w:rsidR="00CB1823">
        <w:rPr>
          <w:rFonts w:eastAsiaTheme="minorEastAsia"/>
          <w:color w:val="auto"/>
          <w:szCs w:val="24"/>
        </w:rPr>
        <w:t>entitled</w:t>
      </w:r>
      <w:r w:rsidR="0015482C">
        <w:rPr>
          <w:rFonts w:eastAsiaTheme="minorEastAsia"/>
          <w:color w:val="auto"/>
          <w:szCs w:val="24"/>
        </w:rPr>
        <w:t xml:space="preserve"> to</w:t>
      </w:r>
      <w:r w:rsidR="0015482C">
        <w:rPr>
          <w:szCs w:val="24"/>
        </w:rPr>
        <w:t xml:space="preserve"> </w:t>
      </w:r>
      <w:r w:rsidR="00CB1823">
        <w:rPr>
          <w:szCs w:val="24"/>
        </w:rPr>
        <w:t>be paid the Franke Commission, i</w:t>
      </w:r>
      <w:r w:rsidR="0015482C">
        <w:rPr>
          <w:szCs w:val="24"/>
        </w:rPr>
        <w:t xml:space="preserve">ncentives for achieving certain targets and reimbursement of expenses allegedly incurred by them while performing the respondents’ duties. </w:t>
      </w:r>
    </w:p>
    <w:p w:rsidR="00F41195" w:rsidRDefault="00F41195" w:rsidP="0015482C">
      <w:pPr>
        <w:spacing w:after="0" w:line="360" w:lineRule="auto"/>
        <w:ind w:left="0" w:right="37" w:firstLine="0"/>
        <w:rPr>
          <w:szCs w:val="24"/>
        </w:rPr>
      </w:pPr>
    </w:p>
    <w:p w:rsidR="0000247D" w:rsidRDefault="006E2E49" w:rsidP="0015482C">
      <w:pPr>
        <w:spacing w:after="0" w:line="360" w:lineRule="auto"/>
        <w:ind w:left="0" w:right="37" w:firstLine="0"/>
        <w:rPr>
          <w:szCs w:val="24"/>
        </w:rPr>
      </w:pPr>
      <w:r>
        <w:rPr>
          <w:szCs w:val="24"/>
        </w:rPr>
        <w:t>[30</w:t>
      </w:r>
      <w:r w:rsidR="00F41195">
        <w:rPr>
          <w:szCs w:val="24"/>
        </w:rPr>
        <w:t>]</w:t>
      </w:r>
      <w:r w:rsidR="00F41195">
        <w:rPr>
          <w:szCs w:val="24"/>
        </w:rPr>
        <w:tab/>
      </w:r>
      <w:r w:rsidR="0015482C">
        <w:rPr>
          <w:szCs w:val="24"/>
        </w:rPr>
        <w:t xml:space="preserve"> I accordingly make the following order.</w:t>
      </w:r>
    </w:p>
    <w:p w:rsidR="000D2A58" w:rsidRDefault="000D2A58" w:rsidP="00B770F6">
      <w:pPr>
        <w:spacing w:after="0" w:line="360" w:lineRule="auto"/>
        <w:ind w:left="0" w:right="37" w:firstLine="0"/>
        <w:rPr>
          <w:rFonts w:eastAsiaTheme="minorHAnsi"/>
          <w:color w:val="auto"/>
          <w:szCs w:val="24"/>
          <w:lang w:val="en-ZA"/>
        </w:rPr>
      </w:pPr>
    </w:p>
    <w:p w:rsidR="00F41195" w:rsidRDefault="00F41195" w:rsidP="00B770F6">
      <w:pPr>
        <w:spacing w:after="0" w:line="360" w:lineRule="auto"/>
        <w:ind w:left="0" w:right="37" w:firstLine="0"/>
        <w:rPr>
          <w:rFonts w:eastAsiaTheme="minorHAnsi"/>
          <w:color w:val="auto"/>
          <w:szCs w:val="24"/>
          <w:lang w:val="en-ZA"/>
        </w:rPr>
      </w:pPr>
      <w:r>
        <w:rPr>
          <w:rFonts w:eastAsiaTheme="minorHAnsi"/>
          <w:color w:val="auto"/>
          <w:szCs w:val="24"/>
          <w:lang w:val="en-ZA"/>
        </w:rPr>
        <w:t>The appeal is dismissed.</w:t>
      </w:r>
    </w:p>
    <w:p w:rsidR="00F41195" w:rsidRDefault="00F41195" w:rsidP="00B770F6">
      <w:pPr>
        <w:spacing w:after="0" w:line="360" w:lineRule="auto"/>
        <w:ind w:left="0" w:right="37" w:firstLine="0"/>
        <w:rPr>
          <w:rFonts w:eastAsiaTheme="minorHAnsi"/>
          <w:color w:val="auto"/>
          <w:szCs w:val="24"/>
          <w:lang w:val="en-ZA"/>
        </w:rPr>
      </w:pPr>
    </w:p>
    <w:p w:rsidR="00F41195" w:rsidRDefault="00F41195" w:rsidP="00B770F6">
      <w:pPr>
        <w:spacing w:after="0" w:line="360" w:lineRule="auto"/>
        <w:ind w:left="0" w:right="37" w:firstLine="0"/>
        <w:rPr>
          <w:rFonts w:eastAsiaTheme="minorHAnsi"/>
          <w:color w:val="auto"/>
          <w:szCs w:val="24"/>
          <w:lang w:val="en-ZA"/>
        </w:rPr>
      </w:pPr>
    </w:p>
    <w:p w:rsidR="00F41195" w:rsidRDefault="00F41195" w:rsidP="00B770F6">
      <w:pPr>
        <w:spacing w:after="0" w:line="360" w:lineRule="auto"/>
        <w:ind w:left="0" w:right="37" w:firstLine="0"/>
        <w:rPr>
          <w:rFonts w:eastAsiaTheme="minorHAnsi"/>
          <w:color w:val="auto"/>
          <w:szCs w:val="24"/>
          <w:lang w:val="en-ZA"/>
        </w:rPr>
      </w:pPr>
    </w:p>
    <w:p w:rsidR="0091708A" w:rsidRPr="00422E59" w:rsidRDefault="00422E59" w:rsidP="001307A8">
      <w:pPr>
        <w:autoSpaceDE w:val="0"/>
        <w:autoSpaceDN w:val="0"/>
        <w:adjustRightInd w:val="0"/>
        <w:spacing w:after="0" w:line="240" w:lineRule="auto"/>
        <w:ind w:left="0" w:right="0" w:firstLine="0"/>
        <w:jc w:val="right"/>
        <w:rPr>
          <w:color w:val="auto"/>
          <w:szCs w:val="24"/>
        </w:rPr>
      </w:pPr>
      <w:r w:rsidRPr="00422E59">
        <w:rPr>
          <w:rFonts w:eastAsiaTheme="minorEastAsia"/>
          <w:color w:val="auto"/>
          <w:szCs w:val="24"/>
        </w:rPr>
        <w:t>.</w:t>
      </w:r>
      <w:r w:rsidR="00815D0C" w:rsidRPr="00422E59">
        <w:rPr>
          <w:color w:val="auto"/>
          <w:szCs w:val="24"/>
        </w:rPr>
        <w:t xml:space="preserve">---------------------------------  </w:t>
      </w:r>
    </w:p>
    <w:p w:rsidR="0091708A" w:rsidRPr="003B754A" w:rsidRDefault="00815D0C" w:rsidP="001307A8">
      <w:pPr>
        <w:jc w:val="right"/>
      </w:pPr>
      <w:r w:rsidRPr="003B754A">
        <w:t xml:space="preserve">SFI Ueitele  </w:t>
      </w:r>
    </w:p>
    <w:p w:rsidR="0091708A" w:rsidRPr="003B754A" w:rsidRDefault="00815D0C" w:rsidP="001307A8">
      <w:pPr>
        <w:jc w:val="right"/>
      </w:pPr>
      <w:r w:rsidRPr="003B754A">
        <w:t xml:space="preserve">Judge  </w:t>
      </w:r>
    </w:p>
    <w:p w:rsidR="006E2E49" w:rsidRDefault="006E2E49">
      <w:pPr>
        <w:spacing w:after="160" w:line="259" w:lineRule="auto"/>
        <w:ind w:left="0" w:right="0" w:firstLine="0"/>
        <w:jc w:val="left"/>
        <w:rPr>
          <w:b/>
          <w:szCs w:val="24"/>
        </w:rPr>
      </w:pPr>
      <w:r>
        <w:rPr>
          <w:b/>
          <w:szCs w:val="24"/>
        </w:rPr>
        <w:br w:type="page"/>
      </w:r>
    </w:p>
    <w:p w:rsidR="00CB1823" w:rsidRDefault="00C617C8" w:rsidP="00F41195">
      <w:pPr>
        <w:tabs>
          <w:tab w:val="left" w:pos="1394"/>
          <w:tab w:val="left" w:pos="2528"/>
          <w:tab w:val="left" w:pos="6390"/>
          <w:tab w:val="left" w:pos="7920"/>
        </w:tabs>
        <w:spacing w:after="0" w:line="360" w:lineRule="auto"/>
        <w:rPr>
          <w:b/>
          <w:szCs w:val="24"/>
        </w:rPr>
      </w:pPr>
      <w:r>
        <w:rPr>
          <w:b/>
          <w:szCs w:val="24"/>
        </w:rPr>
        <w:t>APPE</w:t>
      </w:r>
      <w:r w:rsidR="00F441A3">
        <w:rPr>
          <w:b/>
          <w:szCs w:val="24"/>
        </w:rPr>
        <w:t>A</w:t>
      </w:r>
      <w:r>
        <w:rPr>
          <w:b/>
          <w:szCs w:val="24"/>
        </w:rPr>
        <w:t xml:space="preserve">RANCES: </w:t>
      </w:r>
    </w:p>
    <w:p w:rsidR="00C617C8" w:rsidRDefault="00C617C8" w:rsidP="00F41195">
      <w:pPr>
        <w:tabs>
          <w:tab w:val="left" w:pos="1394"/>
          <w:tab w:val="left" w:pos="2528"/>
          <w:tab w:val="left" w:pos="6390"/>
          <w:tab w:val="left" w:pos="7920"/>
        </w:tabs>
        <w:spacing w:after="0" w:line="360" w:lineRule="auto"/>
        <w:rPr>
          <w:b/>
          <w:szCs w:val="24"/>
        </w:rPr>
      </w:pPr>
    </w:p>
    <w:p w:rsidR="00F41195" w:rsidRPr="0040440A" w:rsidRDefault="00F41195" w:rsidP="006E2E49">
      <w:pPr>
        <w:tabs>
          <w:tab w:val="left" w:pos="1394"/>
          <w:tab w:val="left" w:pos="2528"/>
          <w:tab w:val="left" w:pos="6390"/>
          <w:tab w:val="left" w:pos="7920"/>
        </w:tabs>
        <w:spacing w:after="0" w:line="360" w:lineRule="auto"/>
        <w:jc w:val="left"/>
        <w:rPr>
          <w:szCs w:val="24"/>
        </w:rPr>
      </w:pPr>
      <w:r>
        <w:rPr>
          <w:b/>
          <w:szCs w:val="24"/>
        </w:rPr>
        <w:t xml:space="preserve">FIRST &amp; SECOND </w:t>
      </w:r>
      <w:r w:rsidR="00A037BC">
        <w:rPr>
          <w:b/>
          <w:szCs w:val="24"/>
        </w:rPr>
        <w:t>APPELLANT</w:t>
      </w:r>
      <w:r>
        <w:rPr>
          <w:b/>
          <w:szCs w:val="24"/>
        </w:rPr>
        <w:t>S</w:t>
      </w:r>
      <w:r w:rsidR="00CB1823">
        <w:rPr>
          <w:szCs w:val="24"/>
        </w:rPr>
        <w:t xml:space="preserve">: </w:t>
      </w:r>
      <w:r w:rsidR="00C617C8">
        <w:rPr>
          <w:szCs w:val="24"/>
        </w:rPr>
        <w:tab/>
      </w:r>
      <w:r>
        <w:rPr>
          <w:szCs w:val="24"/>
        </w:rPr>
        <w:t>R P</w:t>
      </w:r>
      <w:r w:rsidR="00CB1823">
        <w:rPr>
          <w:szCs w:val="24"/>
        </w:rPr>
        <w:t>hilander</w:t>
      </w:r>
      <w:r>
        <w:rPr>
          <w:szCs w:val="24"/>
        </w:rPr>
        <w:t xml:space="preserve"> </w:t>
      </w:r>
    </w:p>
    <w:p w:rsidR="00F41195" w:rsidRPr="00F41195" w:rsidRDefault="00C617C8" w:rsidP="00C617C8">
      <w:pPr>
        <w:spacing w:after="0" w:line="276" w:lineRule="auto"/>
        <w:ind w:left="5680" w:right="386" w:firstLine="80"/>
        <w:jc w:val="center"/>
      </w:pPr>
      <w:r>
        <w:rPr>
          <w:szCs w:val="24"/>
        </w:rPr>
        <w:t xml:space="preserve">     o</w:t>
      </w:r>
      <w:r w:rsidR="006E2E49">
        <w:rPr>
          <w:szCs w:val="24"/>
        </w:rPr>
        <w:t>f</w:t>
      </w:r>
      <w:r w:rsidR="00F41195" w:rsidRPr="00F41195">
        <w:rPr>
          <w:szCs w:val="24"/>
        </w:rPr>
        <w:t xml:space="preserve"> </w:t>
      </w:r>
      <w:r w:rsidR="00F41195" w:rsidRPr="00F41195">
        <w:t>ENSA</w:t>
      </w:r>
      <w:r w:rsidRPr="00F41195">
        <w:t>frica</w:t>
      </w:r>
      <w:r w:rsidR="00F41195" w:rsidRPr="00F41195">
        <w:t xml:space="preserve"> │Namibia </w:t>
      </w:r>
    </w:p>
    <w:p w:rsidR="00F41195" w:rsidRPr="00F41195" w:rsidRDefault="00F41195" w:rsidP="006E2E49">
      <w:pPr>
        <w:tabs>
          <w:tab w:val="left" w:pos="0"/>
        </w:tabs>
        <w:autoSpaceDE w:val="0"/>
        <w:autoSpaceDN w:val="0"/>
        <w:adjustRightInd w:val="0"/>
        <w:spacing w:after="0" w:line="360" w:lineRule="auto"/>
        <w:ind w:left="6390" w:firstLine="0"/>
        <w:rPr>
          <w:szCs w:val="24"/>
        </w:rPr>
      </w:pPr>
      <w:r w:rsidRPr="00F41195">
        <w:t>(Incorporated as Lorentz Angula Inc</w:t>
      </w:r>
      <w:r w:rsidRPr="00F41195">
        <w:rPr>
          <w:szCs w:val="24"/>
        </w:rPr>
        <w:t xml:space="preserve">, Windhoek. </w:t>
      </w:r>
    </w:p>
    <w:p w:rsidR="00F41195" w:rsidRDefault="00F41195" w:rsidP="00CB1823">
      <w:pPr>
        <w:tabs>
          <w:tab w:val="left" w:pos="4320"/>
        </w:tabs>
        <w:autoSpaceDE w:val="0"/>
        <w:autoSpaceDN w:val="0"/>
        <w:adjustRightInd w:val="0"/>
        <w:spacing w:after="0" w:line="360" w:lineRule="auto"/>
        <w:ind w:left="0" w:firstLine="0"/>
        <w:rPr>
          <w:szCs w:val="24"/>
        </w:rPr>
      </w:pPr>
    </w:p>
    <w:p w:rsidR="00F41195" w:rsidRDefault="00F41195" w:rsidP="00F41195">
      <w:pPr>
        <w:tabs>
          <w:tab w:val="left" w:pos="6390"/>
        </w:tabs>
        <w:autoSpaceDE w:val="0"/>
        <w:autoSpaceDN w:val="0"/>
        <w:adjustRightInd w:val="0"/>
        <w:spacing w:after="0" w:line="360" w:lineRule="auto"/>
      </w:pPr>
      <w:r>
        <w:rPr>
          <w:b/>
          <w:szCs w:val="24"/>
        </w:rPr>
        <w:t>RESPONDENT</w:t>
      </w:r>
      <w:r w:rsidRPr="00055DCE">
        <w:rPr>
          <w:b/>
          <w:szCs w:val="24"/>
        </w:rPr>
        <w:t>:</w:t>
      </w:r>
      <w:r>
        <w:rPr>
          <w:szCs w:val="24"/>
        </w:rPr>
        <w:tab/>
        <w:t>N</w:t>
      </w:r>
      <w:r w:rsidR="00CB1823">
        <w:rPr>
          <w:szCs w:val="24"/>
        </w:rPr>
        <w:t>o appearance</w:t>
      </w:r>
      <w:r>
        <w:rPr>
          <w:szCs w:val="24"/>
        </w:rPr>
        <w:t xml:space="preserve"> </w:t>
      </w:r>
    </w:p>
    <w:p w:rsidR="00FC6BD7" w:rsidRPr="003B754A" w:rsidRDefault="00FC6BD7" w:rsidP="00F41195">
      <w:pPr>
        <w:ind w:left="0" w:firstLine="0"/>
      </w:pPr>
    </w:p>
    <w:sectPr w:rsidR="00FC6BD7" w:rsidRPr="003B754A">
      <w:headerReference w:type="even" r:id="rId12"/>
      <w:headerReference w:type="default" r:id="rId13"/>
      <w:headerReference w:type="first" r:id="rId14"/>
      <w:pgSz w:w="11906" w:h="16838"/>
      <w:pgMar w:top="724" w:right="903" w:bottom="8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9E" w:rsidRDefault="008B419E">
      <w:pPr>
        <w:spacing w:after="0" w:line="240" w:lineRule="auto"/>
      </w:pPr>
      <w:r>
        <w:separator/>
      </w:r>
    </w:p>
  </w:endnote>
  <w:endnote w:type="continuationSeparator" w:id="0">
    <w:p w:rsidR="008B419E" w:rsidRDefault="008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9E" w:rsidRDefault="008B419E">
      <w:pPr>
        <w:tabs>
          <w:tab w:val="center" w:pos="1477"/>
          <w:tab w:val="center" w:pos="2916"/>
        </w:tabs>
        <w:spacing w:after="9" w:line="259" w:lineRule="auto"/>
        <w:ind w:left="0" w:right="0" w:firstLine="0"/>
        <w:jc w:val="left"/>
      </w:pPr>
      <w:r>
        <w:separator/>
      </w:r>
    </w:p>
  </w:footnote>
  <w:footnote w:type="continuationSeparator" w:id="0">
    <w:p w:rsidR="008B419E" w:rsidRDefault="008B419E">
      <w:pPr>
        <w:tabs>
          <w:tab w:val="center" w:pos="1477"/>
          <w:tab w:val="center" w:pos="2916"/>
        </w:tabs>
        <w:spacing w:after="9" w:line="259" w:lineRule="auto"/>
        <w:ind w:left="0" w:right="0" w:firstLine="0"/>
        <w:jc w:val="left"/>
      </w:pPr>
      <w:r>
        <w:continuationSeparator/>
      </w:r>
    </w:p>
  </w:footnote>
  <w:footnote w:id="1">
    <w:p w:rsidR="0015482C" w:rsidRDefault="0015482C" w:rsidP="00126474">
      <w:pPr>
        <w:pStyle w:val="FootnoteText"/>
        <w:tabs>
          <w:tab w:val="left" w:pos="360"/>
        </w:tabs>
      </w:pPr>
      <w:r>
        <w:rPr>
          <w:rStyle w:val="FootnoteReference"/>
        </w:rPr>
        <w:footnoteRef/>
      </w:r>
      <w:r>
        <w:t xml:space="preserve"> </w:t>
      </w:r>
      <w:r>
        <w:tab/>
        <w:t>NLLP 2002(2) 60 (NLC).</w:t>
      </w:r>
    </w:p>
  </w:footnote>
  <w:footnote w:id="2">
    <w:p w:rsidR="0015482C" w:rsidRDefault="0015482C" w:rsidP="00357881">
      <w:pPr>
        <w:pStyle w:val="FootnoteText"/>
        <w:tabs>
          <w:tab w:val="left" w:pos="360"/>
        </w:tabs>
        <w:ind w:left="360" w:hanging="360"/>
      </w:pPr>
      <w:r>
        <w:rPr>
          <w:rStyle w:val="FootnoteReference"/>
        </w:rPr>
        <w:footnoteRef/>
      </w:r>
      <w:r>
        <w:t xml:space="preserve"> </w:t>
      </w:r>
      <w:r>
        <w:tab/>
      </w:r>
      <w:r w:rsidRPr="00C0415D">
        <w:t>2012 (2) NR 443 (LC)</w:t>
      </w:r>
      <w:r>
        <w:t xml:space="preserve">. Also see </w:t>
      </w:r>
      <w:r>
        <w:rPr>
          <w:i/>
        </w:rPr>
        <w:t>Kasuto v Namibia Wildlife Resort (LCA 23/2013) [2013] NALCMD 37</w:t>
      </w:r>
      <w:r w:rsidRPr="00BB776C">
        <w:rPr>
          <w:i/>
        </w:rPr>
        <w:t xml:space="preserve"> (</w:t>
      </w:r>
      <w:r>
        <w:rPr>
          <w:i/>
        </w:rPr>
        <w:t>6 November 2013</w:t>
      </w:r>
      <w:r w:rsidRPr="00BB776C">
        <w:rPr>
          <w:i/>
        </w:rPr>
        <w:t>)</w:t>
      </w:r>
      <w:r>
        <w:rPr>
          <w:i/>
        </w:rPr>
        <w:t>.</w:t>
      </w:r>
    </w:p>
  </w:footnote>
  <w:footnote w:id="3">
    <w:p w:rsidR="0015482C" w:rsidRDefault="0015482C" w:rsidP="00357881">
      <w:pPr>
        <w:pStyle w:val="FootnoteText"/>
        <w:tabs>
          <w:tab w:val="left" w:pos="360"/>
        </w:tabs>
        <w:ind w:left="360" w:hanging="360"/>
      </w:pPr>
      <w:r>
        <w:rPr>
          <w:rStyle w:val="FootnoteReference"/>
        </w:rPr>
        <w:footnoteRef/>
      </w:r>
      <w:r>
        <w:t xml:space="preserve"> </w:t>
      </w:r>
      <w:r>
        <w:tab/>
      </w:r>
      <w:r w:rsidRPr="00357881">
        <w:rPr>
          <w:i/>
        </w:rPr>
        <w:t>Murray v Minister of Defence</w:t>
      </w:r>
      <w:r w:rsidRPr="00357881">
        <w:t xml:space="preserve"> 2009 (3) SA 130 (SCA) ([2008] 6 BCLR 513; [2008] 3 All SA 66) at para 8</w:t>
      </w:r>
      <w:r>
        <w:t>.</w:t>
      </w:r>
    </w:p>
  </w:footnote>
  <w:footnote w:id="4">
    <w:p w:rsidR="0015482C" w:rsidRPr="00FC6BD7" w:rsidRDefault="0015482C" w:rsidP="00FC6BD7">
      <w:pPr>
        <w:tabs>
          <w:tab w:val="left" w:pos="360"/>
        </w:tabs>
        <w:ind w:left="0" w:firstLine="0"/>
        <w:rPr>
          <w:color w:val="auto"/>
          <w:sz w:val="20"/>
          <w:szCs w:val="20"/>
        </w:rPr>
      </w:pPr>
      <w:r w:rsidRPr="00FC6BD7">
        <w:rPr>
          <w:rStyle w:val="FootnoteReference"/>
          <w:color w:val="auto"/>
          <w:sz w:val="20"/>
          <w:szCs w:val="20"/>
        </w:rPr>
        <w:footnoteRef/>
      </w:r>
      <w:r w:rsidRPr="00FC6BD7">
        <w:rPr>
          <w:color w:val="auto"/>
          <w:sz w:val="20"/>
          <w:szCs w:val="20"/>
        </w:rPr>
        <w:t xml:space="preserve"> </w:t>
      </w:r>
      <w:r w:rsidRPr="00FC6BD7">
        <w:rPr>
          <w:color w:val="auto"/>
          <w:sz w:val="20"/>
          <w:szCs w:val="20"/>
        </w:rPr>
        <w:tab/>
        <w:t xml:space="preserve">Also compare with the case of </w:t>
      </w:r>
      <w:r w:rsidRPr="00FC6BD7">
        <w:rPr>
          <w:i/>
          <w:color w:val="auto"/>
          <w:sz w:val="20"/>
          <w:szCs w:val="20"/>
        </w:rPr>
        <w:t>Cymot (Pty) Ltd v McLoud,</w:t>
      </w:r>
      <w:r w:rsidRPr="00FC6BD7">
        <w:rPr>
          <w:color w:val="auto"/>
          <w:sz w:val="20"/>
          <w:szCs w:val="20"/>
        </w:rPr>
        <w:t xml:space="preserve"> 2002 NR 391 (LC)</w:t>
      </w:r>
      <w:r w:rsidR="00490747">
        <w:rPr>
          <w:color w:val="auto"/>
          <w:sz w:val="20"/>
          <w:szCs w:val="20"/>
        </w:rPr>
        <w:t>.</w:t>
      </w:r>
      <w:r w:rsidRPr="00FC6BD7">
        <w:rPr>
          <w:color w:val="auto"/>
          <w:sz w:val="20"/>
          <w:szCs w:val="20"/>
        </w:rPr>
        <w:t xml:space="preserve"> </w:t>
      </w:r>
    </w:p>
    <w:p w:rsidR="0015482C" w:rsidRDefault="0015482C" w:rsidP="00FC6BD7">
      <w:pPr>
        <w:pStyle w:val="FootnoteText"/>
        <w:ind w:left="360" w:hanging="360"/>
      </w:pPr>
    </w:p>
  </w:footnote>
  <w:footnote w:id="5">
    <w:p w:rsidR="00C6463B" w:rsidRDefault="00C6463B" w:rsidP="00C6463B">
      <w:pPr>
        <w:pStyle w:val="FootnoteText"/>
        <w:tabs>
          <w:tab w:val="left" w:pos="360"/>
        </w:tabs>
      </w:pPr>
      <w:r>
        <w:rPr>
          <w:rStyle w:val="FootnoteReference"/>
        </w:rPr>
        <w:footnoteRef/>
      </w:r>
      <w:r>
        <w:t xml:space="preserve"> </w:t>
      </w:r>
      <w:r>
        <w:tab/>
        <w:t xml:space="preserve">[2002] 1 All SA 605 at para [16]. </w:t>
      </w:r>
    </w:p>
  </w:footnote>
  <w:footnote w:id="6">
    <w:p w:rsidR="00C6463B" w:rsidRDefault="00C6463B" w:rsidP="00C6463B">
      <w:pPr>
        <w:pStyle w:val="FootnoteText"/>
        <w:tabs>
          <w:tab w:val="left" w:pos="360"/>
        </w:tabs>
      </w:pPr>
      <w:r>
        <w:rPr>
          <w:rStyle w:val="FootnoteReference"/>
        </w:rPr>
        <w:footnoteRef/>
      </w:r>
      <w:r>
        <w:t xml:space="preserve"> </w:t>
      </w:r>
      <w:r>
        <w:tab/>
        <w:t>1909 TS 538</w:t>
      </w:r>
      <w:r w:rsidR="00D4118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2C" w:rsidRDefault="0015482C">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rsidR="0015482C" w:rsidRDefault="0015482C">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2C" w:rsidRDefault="0015482C">
    <w:pPr>
      <w:spacing w:after="20" w:line="259" w:lineRule="auto"/>
      <w:ind w:left="0" w:right="198" w:firstLine="0"/>
      <w:jc w:val="right"/>
    </w:pPr>
    <w:r>
      <w:fldChar w:fldCharType="begin"/>
    </w:r>
    <w:r>
      <w:instrText xml:space="preserve"> PAGE   \* MERGEFORMAT </w:instrText>
    </w:r>
    <w:r>
      <w:fldChar w:fldCharType="separate"/>
    </w:r>
    <w:r w:rsidR="00820431" w:rsidRPr="00820431">
      <w:rPr>
        <w:noProof/>
        <w:sz w:val="22"/>
      </w:rPr>
      <w:t>2</w:t>
    </w:r>
    <w:r>
      <w:rPr>
        <w:sz w:val="22"/>
      </w:rPr>
      <w:fldChar w:fldCharType="end"/>
    </w:r>
    <w:r>
      <w:rPr>
        <w:sz w:val="22"/>
      </w:rPr>
      <w:t xml:space="preserve"> </w:t>
    </w:r>
    <w:r>
      <w:t xml:space="preserve"> </w:t>
    </w:r>
  </w:p>
  <w:p w:rsidR="0015482C" w:rsidRDefault="0015482C">
    <w:pPr>
      <w:spacing w:after="0" w:line="259" w:lineRule="auto"/>
      <w:ind w:left="14" w:right="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2C" w:rsidRDefault="0015482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6E5"/>
    <w:multiLevelType w:val="hybridMultilevel"/>
    <w:tmpl w:val="45345F7E"/>
    <w:lvl w:ilvl="0" w:tplc="8DFC6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167A6"/>
    <w:multiLevelType w:val="hybridMultilevel"/>
    <w:tmpl w:val="BD227108"/>
    <w:lvl w:ilvl="0" w:tplc="A5EE3F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B0A28"/>
    <w:multiLevelType w:val="multilevel"/>
    <w:tmpl w:val="DFCC3718"/>
    <w:lvl w:ilvl="0">
      <w:start w:val="1"/>
      <w:numFmt w:val="decimal"/>
      <w:suff w:val="nothing"/>
      <w:lvlText w:val="%1"/>
      <w:lvlJc w:val="center"/>
      <w:pPr>
        <w:ind w:left="0" w:firstLine="4320"/>
      </w:pPr>
      <w:rPr>
        <w:rFonts w:hint="default"/>
      </w:rPr>
    </w:lvl>
    <w:lvl w:ilvl="1">
      <w:start w:val="1"/>
      <w:numFmt w:val="decimal"/>
      <w:pStyle w:val="HCR-Numberingaffidavit"/>
      <w:lvlText w:val="%1.%2."/>
      <w:lvlJc w:val="left"/>
      <w:pPr>
        <w:tabs>
          <w:tab w:val="num" w:pos="851"/>
        </w:tabs>
        <w:ind w:left="0" w:firstLine="0"/>
      </w:pPr>
      <w:rPr>
        <w:rFonts w:ascii="Arial" w:hAnsi="Arial" w:hint="default"/>
        <w:b w:val="0"/>
        <w:strike w:val="0"/>
        <w:sz w:val="24"/>
        <w:szCs w:val="20"/>
      </w:rPr>
    </w:lvl>
    <w:lvl w:ilvl="2">
      <w:start w:val="1"/>
      <w:numFmt w:val="decimal"/>
      <w:lvlText w:val="%1.%2.%3."/>
      <w:lvlJc w:val="left"/>
      <w:pPr>
        <w:tabs>
          <w:tab w:val="num" w:pos="1814"/>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B65692"/>
    <w:multiLevelType w:val="hybridMultilevel"/>
    <w:tmpl w:val="D5E67A06"/>
    <w:lvl w:ilvl="0" w:tplc="DD5EF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43BC">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C31E">
      <w:start w:val="2"/>
      <w:numFmt w:val="lowerLetter"/>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2938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6915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8090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105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017C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EC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EC1B78"/>
    <w:multiLevelType w:val="hybridMultilevel"/>
    <w:tmpl w:val="08A4CDFE"/>
    <w:lvl w:ilvl="0" w:tplc="032C1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C2B52"/>
    <w:multiLevelType w:val="hybridMultilevel"/>
    <w:tmpl w:val="3B2A47BE"/>
    <w:lvl w:ilvl="0" w:tplc="B0D0CE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96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2AA0">
      <w:start w:val="5"/>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E108C">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966">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22AA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AE2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027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431E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B23B66"/>
    <w:multiLevelType w:val="hybridMultilevel"/>
    <w:tmpl w:val="A2E0FA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7F7D9D"/>
    <w:multiLevelType w:val="hybridMultilevel"/>
    <w:tmpl w:val="9A24E288"/>
    <w:lvl w:ilvl="0" w:tplc="A4DE8B24">
      <w:start w:val="1"/>
      <w:numFmt w:val="decimal"/>
      <w:lvlText w:val="%1."/>
      <w:lvlJc w:val="left"/>
      <w:pPr>
        <w:tabs>
          <w:tab w:val="num" w:pos="1350"/>
        </w:tabs>
        <w:ind w:left="1350" w:hanging="720"/>
      </w:pPr>
      <w:rPr>
        <w:rFonts w:cs="Times New Roman" w:hint="default"/>
        <w:b w:val="0"/>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9" w15:restartNumberingAfterBreak="0">
    <w:nsid w:val="1BD73E45"/>
    <w:multiLevelType w:val="hybridMultilevel"/>
    <w:tmpl w:val="1614737A"/>
    <w:lvl w:ilvl="0" w:tplc="89703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0CC8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05E54">
      <w:start w:val="7"/>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01EE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A7B5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23E8C">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CA31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4D4A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C8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B456FB"/>
    <w:multiLevelType w:val="multilevel"/>
    <w:tmpl w:val="1070D4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2465CB"/>
    <w:multiLevelType w:val="multilevel"/>
    <w:tmpl w:val="D272E4A8"/>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93573B"/>
    <w:multiLevelType w:val="hybridMultilevel"/>
    <w:tmpl w:val="6AD04BCC"/>
    <w:lvl w:ilvl="0" w:tplc="21ECBE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0064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0A5E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12D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B17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0D1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24857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C6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CE83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F826B1"/>
    <w:multiLevelType w:val="hybridMultilevel"/>
    <w:tmpl w:val="215AD3AC"/>
    <w:lvl w:ilvl="0" w:tplc="272296D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4AB9E">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DAB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833FC">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3A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05C7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360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E4A">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69C6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6878B2"/>
    <w:multiLevelType w:val="hybridMultilevel"/>
    <w:tmpl w:val="E9E4765C"/>
    <w:lvl w:ilvl="0" w:tplc="4C92DE9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6B54"/>
    <w:multiLevelType w:val="multilevel"/>
    <w:tmpl w:val="DB6C383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1E7013B"/>
    <w:multiLevelType w:val="hybridMultilevel"/>
    <w:tmpl w:val="D564F296"/>
    <w:lvl w:ilvl="0" w:tplc="EC3418F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B53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665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26D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220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CF3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0E86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3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090F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C667E8"/>
    <w:multiLevelType w:val="hybridMultilevel"/>
    <w:tmpl w:val="B748E840"/>
    <w:lvl w:ilvl="0" w:tplc="87D46B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43182"/>
    <w:multiLevelType w:val="hybridMultilevel"/>
    <w:tmpl w:val="F470FC1C"/>
    <w:lvl w:ilvl="0" w:tplc="50F2C18C">
      <w:start w:val="18"/>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946027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BD4D99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B7A99F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3F8448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364035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AE0365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1A6326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C4ADA4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67A87871"/>
    <w:multiLevelType w:val="hybridMultilevel"/>
    <w:tmpl w:val="6270FFB8"/>
    <w:lvl w:ilvl="0" w:tplc="B324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17221"/>
    <w:multiLevelType w:val="hybridMultilevel"/>
    <w:tmpl w:val="4E4E8FCC"/>
    <w:lvl w:ilvl="0" w:tplc="ED58FAF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2A9B6">
      <w:start w:val="1"/>
      <w:numFmt w:val="lowerRoman"/>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AAB20">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FC82">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68AC4">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8D31A">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16B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27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20B06">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0816F9"/>
    <w:multiLevelType w:val="hybridMultilevel"/>
    <w:tmpl w:val="E7DC9E58"/>
    <w:lvl w:ilvl="0" w:tplc="FE8E5C8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CB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826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8BAC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A52E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181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AAA4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BEE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05B2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84103E"/>
    <w:multiLevelType w:val="hybridMultilevel"/>
    <w:tmpl w:val="A58C5D94"/>
    <w:lvl w:ilvl="0" w:tplc="7642461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421A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EF5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6382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8EB8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5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61E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089E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81F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8715C3"/>
    <w:multiLevelType w:val="hybridMultilevel"/>
    <w:tmpl w:val="48A67968"/>
    <w:lvl w:ilvl="0" w:tplc="01800D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12"/>
  </w:num>
  <w:num w:numId="4">
    <w:abstractNumId w:val="17"/>
  </w:num>
  <w:num w:numId="5">
    <w:abstractNumId w:val="14"/>
  </w:num>
  <w:num w:numId="6">
    <w:abstractNumId w:val="4"/>
  </w:num>
  <w:num w:numId="7">
    <w:abstractNumId w:val="6"/>
  </w:num>
  <w:num w:numId="8">
    <w:abstractNumId w:val="9"/>
  </w:num>
  <w:num w:numId="9">
    <w:abstractNumId w:val="23"/>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2"/>
  </w:num>
  <w:num w:numId="17">
    <w:abstractNumId w:val="7"/>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3"/>
  </w:num>
  <w:num w:numId="23">
    <w:abstractNumId w:val="1"/>
  </w:num>
  <w:num w:numId="24">
    <w:abstractNumId w:val="0"/>
  </w:num>
  <w:num w:numId="25">
    <w:abstractNumId w:val="2"/>
  </w:num>
  <w:num w:numId="26">
    <w:abstractNumId w:val="15"/>
  </w:num>
  <w:num w:numId="27">
    <w:abstractNumId w:val="26"/>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0247D"/>
    <w:rsid w:val="00002E08"/>
    <w:rsid w:val="0000390A"/>
    <w:rsid w:val="00007E21"/>
    <w:rsid w:val="00012409"/>
    <w:rsid w:val="00015719"/>
    <w:rsid w:val="00016CBD"/>
    <w:rsid w:val="00017E56"/>
    <w:rsid w:val="00023DE0"/>
    <w:rsid w:val="0002488A"/>
    <w:rsid w:val="00026482"/>
    <w:rsid w:val="00027F47"/>
    <w:rsid w:val="00031D82"/>
    <w:rsid w:val="0004073E"/>
    <w:rsid w:val="000407F6"/>
    <w:rsid w:val="00040F01"/>
    <w:rsid w:val="00044C52"/>
    <w:rsid w:val="000452A7"/>
    <w:rsid w:val="000537CD"/>
    <w:rsid w:val="000538BB"/>
    <w:rsid w:val="0006031A"/>
    <w:rsid w:val="000729CC"/>
    <w:rsid w:val="00074CA0"/>
    <w:rsid w:val="00080842"/>
    <w:rsid w:val="00081F50"/>
    <w:rsid w:val="00085650"/>
    <w:rsid w:val="000A4D80"/>
    <w:rsid w:val="000A6C10"/>
    <w:rsid w:val="000B19E1"/>
    <w:rsid w:val="000B3834"/>
    <w:rsid w:val="000B5F0D"/>
    <w:rsid w:val="000C20F4"/>
    <w:rsid w:val="000D2A58"/>
    <w:rsid w:val="000D33AD"/>
    <w:rsid w:val="000D3E31"/>
    <w:rsid w:val="000E34E3"/>
    <w:rsid w:val="000F00A4"/>
    <w:rsid w:val="000F1AD0"/>
    <w:rsid w:val="000F1D52"/>
    <w:rsid w:val="000F302D"/>
    <w:rsid w:val="0010557E"/>
    <w:rsid w:val="00114C72"/>
    <w:rsid w:val="00117081"/>
    <w:rsid w:val="00117649"/>
    <w:rsid w:val="00126474"/>
    <w:rsid w:val="001307A8"/>
    <w:rsid w:val="00132239"/>
    <w:rsid w:val="00133CB6"/>
    <w:rsid w:val="001419ED"/>
    <w:rsid w:val="0014391B"/>
    <w:rsid w:val="00144E3C"/>
    <w:rsid w:val="00147D58"/>
    <w:rsid w:val="0015482C"/>
    <w:rsid w:val="001562CB"/>
    <w:rsid w:val="001639F2"/>
    <w:rsid w:val="00167C89"/>
    <w:rsid w:val="00170405"/>
    <w:rsid w:val="00172D45"/>
    <w:rsid w:val="001760D4"/>
    <w:rsid w:val="00176897"/>
    <w:rsid w:val="00180DAB"/>
    <w:rsid w:val="00184414"/>
    <w:rsid w:val="00196B01"/>
    <w:rsid w:val="001B23DC"/>
    <w:rsid w:val="001B27A1"/>
    <w:rsid w:val="001C1022"/>
    <w:rsid w:val="001C586F"/>
    <w:rsid w:val="001D3EE9"/>
    <w:rsid w:val="001F04F8"/>
    <w:rsid w:val="001F1AAD"/>
    <w:rsid w:val="001F25EF"/>
    <w:rsid w:val="001F68AE"/>
    <w:rsid w:val="00217CF6"/>
    <w:rsid w:val="00224423"/>
    <w:rsid w:val="00231667"/>
    <w:rsid w:val="00232340"/>
    <w:rsid w:val="00237718"/>
    <w:rsid w:val="00251D71"/>
    <w:rsid w:val="00256E7D"/>
    <w:rsid w:val="0026627F"/>
    <w:rsid w:val="00280457"/>
    <w:rsid w:val="00291F77"/>
    <w:rsid w:val="0029793E"/>
    <w:rsid w:val="002A301F"/>
    <w:rsid w:val="002A6A2A"/>
    <w:rsid w:val="002B2D87"/>
    <w:rsid w:val="002D2708"/>
    <w:rsid w:val="002D2F0B"/>
    <w:rsid w:val="002E0D26"/>
    <w:rsid w:val="002E2E3B"/>
    <w:rsid w:val="002E5788"/>
    <w:rsid w:val="00300253"/>
    <w:rsid w:val="0030653D"/>
    <w:rsid w:val="00315BE1"/>
    <w:rsid w:val="00321671"/>
    <w:rsid w:val="003444B9"/>
    <w:rsid w:val="0034481E"/>
    <w:rsid w:val="00350856"/>
    <w:rsid w:val="0035247D"/>
    <w:rsid w:val="003544A4"/>
    <w:rsid w:val="00357881"/>
    <w:rsid w:val="00357CB6"/>
    <w:rsid w:val="00367037"/>
    <w:rsid w:val="00393654"/>
    <w:rsid w:val="00395A41"/>
    <w:rsid w:val="003A41AC"/>
    <w:rsid w:val="003B5A96"/>
    <w:rsid w:val="003B754A"/>
    <w:rsid w:val="003D0392"/>
    <w:rsid w:val="003D0ABB"/>
    <w:rsid w:val="003D1DCB"/>
    <w:rsid w:val="003D3FE4"/>
    <w:rsid w:val="003E0D45"/>
    <w:rsid w:val="003E36D5"/>
    <w:rsid w:val="003E62EE"/>
    <w:rsid w:val="003F17C9"/>
    <w:rsid w:val="003F1EED"/>
    <w:rsid w:val="003F63FB"/>
    <w:rsid w:val="003F67AE"/>
    <w:rsid w:val="003F7BD1"/>
    <w:rsid w:val="004051D5"/>
    <w:rsid w:val="00411D66"/>
    <w:rsid w:val="00413262"/>
    <w:rsid w:val="00422E59"/>
    <w:rsid w:val="0042331C"/>
    <w:rsid w:val="0042646C"/>
    <w:rsid w:val="00446A36"/>
    <w:rsid w:val="00447FC9"/>
    <w:rsid w:val="004513C6"/>
    <w:rsid w:val="00472421"/>
    <w:rsid w:val="00473142"/>
    <w:rsid w:val="00476E34"/>
    <w:rsid w:val="004815F1"/>
    <w:rsid w:val="00490747"/>
    <w:rsid w:val="00492FEC"/>
    <w:rsid w:val="004963AC"/>
    <w:rsid w:val="004B196C"/>
    <w:rsid w:val="004C36D2"/>
    <w:rsid w:val="004C4FE3"/>
    <w:rsid w:val="004D1F9E"/>
    <w:rsid w:val="004D4CCB"/>
    <w:rsid w:val="004E4FD6"/>
    <w:rsid w:val="004F7719"/>
    <w:rsid w:val="0050220E"/>
    <w:rsid w:val="0051295D"/>
    <w:rsid w:val="00513C6D"/>
    <w:rsid w:val="0051487E"/>
    <w:rsid w:val="005243AD"/>
    <w:rsid w:val="00524DD1"/>
    <w:rsid w:val="00532C37"/>
    <w:rsid w:val="00536480"/>
    <w:rsid w:val="00540524"/>
    <w:rsid w:val="0054303F"/>
    <w:rsid w:val="00543222"/>
    <w:rsid w:val="00545301"/>
    <w:rsid w:val="00570503"/>
    <w:rsid w:val="005717FE"/>
    <w:rsid w:val="005749DE"/>
    <w:rsid w:val="00574D3A"/>
    <w:rsid w:val="00581D91"/>
    <w:rsid w:val="0058337A"/>
    <w:rsid w:val="00595731"/>
    <w:rsid w:val="0059723D"/>
    <w:rsid w:val="0059782E"/>
    <w:rsid w:val="005A14A6"/>
    <w:rsid w:val="005A3A7D"/>
    <w:rsid w:val="005B2CA4"/>
    <w:rsid w:val="005C46D1"/>
    <w:rsid w:val="005D6E28"/>
    <w:rsid w:val="005E4D27"/>
    <w:rsid w:val="005E63F1"/>
    <w:rsid w:val="005F5538"/>
    <w:rsid w:val="005F73A7"/>
    <w:rsid w:val="00610500"/>
    <w:rsid w:val="00616B11"/>
    <w:rsid w:val="00617019"/>
    <w:rsid w:val="0061740E"/>
    <w:rsid w:val="006202BD"/>
    <w:rsid w:val="00624484"/>
    <w:rsid w:val="006254C1"/>
    <w:rsid w:val="00633166"/>
    <w:rsid w:val="00634341"/>
    <w:rsid w:val="00636C95"/>
    <w:rsid w:val="00640A85"/>
    <w:rsid w:val="00640D6C"/>
    <w:rsid w:val="006419F1"/>
    <w:rsid w:val="00642789"/>
    <w:rsid w:val="00642904"/>
    <w:rsid w:val="0064543B"/>
    <w:rsid w:val="006500F2"/>
    <w:rsid w:val="006505E4"/>
    <w:rsid w:val="0065778C"/>
    <w:rsid w:val="006617E7"/>
    <w:rsid w:val="006647ED"/>
    <w:rsid w:val="00680B43"/>
    <w:rsid w:val="00697587"/>
    <w:rsid w:val="006A08F0"/>
    <w:rsid w:val="006A5AE3"/>
    <w:rsid w:val="006B2362"/>
    <w:rsid w:val="006C15E1"/>
    <w:rsid w:val="006C4B12"/>
    <w:rsid w:val="006E2E49"/>
    <w:rsid w:val="006E4B6F"/>
    <w:rsid w:val="006E5ACD"/>
    <w:rsid w:val="006E67E6"/>
    <w:rsid w:val="006F204B"/>
    <w:rsid w:val="006F4144"/>
    <w:rsid w:val="00702B3F"/>
    <w:rsid w:val="00706109"/>
    <w:rsid w:val="007120B8"/>
    <w:rsid w:val="00714F78"/>
    <w:rsid w:val="007229D1"/>
    <w:rsid w:val="00722A23"/>
    <w:rsid w:val="00722C8E"/>
    <w:rsid w:val="007252C4"/>
    <w:rsid w:val="00726F04"/>
    <w:rsid w:val="00730E50"/>
    <w:rsid w:val="007324C3"/>
    <w:rsid w:val="00741764"/>
    <w:rsid w:val="00742203"/>
    <w:rsid w:val="00754B92"/>
    <w:rsid w:val="0077051E"/>
    <w:rsid w:val="007754DE"/>
    <w:rsid w:val="00782D6B"/>
    <w:rsid w:val="00784588"/>
    <w:rsid w:val="00790EDE"/>
    <w:rsid w:val="00796750"/>
    <w:rsid w:val="00796F12"/>
    <w:rsid w:val="007A2013"/>
    <w:rsid w:val="007C2FFC"/>
    <w:rsid w:val="007C6476"/>
    <w:rsid w:val="007E164D"/>
    <w:rsid w:val="007E57AF"/>
    <w:rsid w:val="007E6006"/>
    <w:rsid w:val="007F129C"/>
    <w:rsid w:val="007F48B9"/>
    <w:rsid w:val="00812D8C"/>
    <w:rsid w:val="00814BB7"/>
    <w:rsid w:val="00815D0C"/>
    <w:rsid w:val="00820431"/>
    <w:rsid w:val="00820963"/>
    <w:rsid w:val="008242C6"/>
    <w:rsid w:val="0082637E"/>
    <w:rsid w:val="00827DB1"/>
    <w:rsid w:val="00837601"/>
    <w:rsid w:val="008456C5"/>
    <w:rsid w:val="008539B0"/>
    <w:rsid w:val="00855EFB"/>
    <w:rsid w:val="00860578"/>
    <w:rsid w:val="00864789"/>
    <w:rsid w:val="00874CA7"/>
    <w:rsid w:val="008817A1"/>
    <w:rsid w:val="00883DEF"/>
    <w:rsid w:val="00884F56"/>
    <w:rsid w:val="00886762"/>
    <w:rsid w:val="00890F77"/>
    <w:rsid w:val="00891C67"/>
    <w:rsid w:val="008A224E"/>
    <w:rsid w:val="008A32EA"/>
    <w:rsid w:val="008A3693"/>
    <w:rsid w:val="008A397D"/>
    <w:rsid w:val="008B419E"/>
    <w:rsid w:val="008C39FA"/>
    <w:rsid w:val="008C6F05"/>
    <w:rsid w:val="008D5E8B"/>
    <w:rsid w:val="008D78AC"/>
    <w:rsid w:val="008E2E88"/>
    <w:rsid w:val="008E52C4"/>
    <w:rsid w:val="008F0E75"/>
    <w:rsid w:val="008F3E01"/>
    <w:rsid w:val="008F6313"/>
    <w:rsid w:val="008F66C5"/>
    <w:rsid w:val="009015BA"/>
    <w:rsid w:val="009048E1"/>
    <w:rsid w:val="0090569A"/>
    <w:rsid w:val="00905A46"/>
    <w:rsid w:val="00905D60"/>
    <w:rsid w:val="00914414"/>
    <w:rsid w:val="0091708A"/>
    <w:rsid w:val="009217CF"/>
    <w:rsid w:val="009333CA"/>
    <w:rsid w:val="009348DC"/>
    <w:rsid w:val="00937464"/>
    <w:rsid w:val="0094102C"/>
    <w:rsid w:val="009422D9"/>
    <w:rsid w:val="00943B42"/>
    <w:rsid w:val="00953F46"/>
    <w:rsid w:val="009830B0"/>
    <w:rsid w:val="00986B22"/>
    <w:rsid w:val="009878FD"/>
    <w:rsid w:val="009907B7"/>
    <w:rsid w:val="00994B1D"/>
    <w:rsid w:val="009A2E7E"/>
    <w:rsid w:val="009A6FAD"/>
    <w:rsid w:val="009A7F0B"/>
    <w:rsid w:val="009B3036"/>
    <w:rsid w:val="009C470B"/>
    <w:rsid w:val="009D206C"/>
    <w:rsid w:val="009D468C"/>
    <w:rsid w:val="009D6890"/>
    <w:rsid w:val="009E0DC2"/>
    <w:rsid w:val="009E425A"/>
    <w:rsid w:val="009F5310"/>
    <w:rsid w:val="009F6DC3"/>
    <w:rsid w:val="00A00DA1"/>
    <w:rsid w:val="00A037BC"/>
    <w:rsid w:val="00A0586C"/>
    <w:rsid w:val="00A059E2"/>
    <w:rsid w:val="00A152B2"/>
    <w:rsid w:val="00A20D26"/>
    <w:rsid w:val="00A213B4"/>
    <w:rsid w:val="00A220F0"/>
    <w:rsid w:val="00A31F63"/>
    <w:rsid w:val="00A36C0D"/>
    <w:rsid w:val="00A376C4"/>
    <w:rsid w:val="00A609CC"/>
    <w:rsid w:val="00A6311E"/>
    <w:rsid w:val="00A73A64"/>
    <w:rsid w:val="00A77A8E"/>
    <w:rsid w:val="00A82EB2"/>
    <w:rsid w:val="00A82FA0"/>
    <w:rsid w:val="00A8541A"/>
    <w:rsid w:val="00A963F3"/>
    <w:rsid w:val="00A9771F"/>
    <w:rsid w:val="00AA67B2"/>
    <w:rsid w:val="00AC0BEC"/>
    <w:rsid w:val="00AC4FBF"/>
    <w:rsid w:val="00AD0B0B"/>
    <w:rsid w:val="00AE2F82"/>
    <w:rsid w:val="00AE347C"/>
    <w:rsid w:val="00AE5447"/>
    <w:rsid w:val="00AE6CC9"/>
    <w:rsid w:val="00AE7D49"/>
    <w:rsid w:val="00AF51D4"/>
    <w:rsid w:val="00AF56D8"/>
    <w:rsid w:val="00B24C13"/>
    <w:rsid w:val="00B264F0"/>
    <w:rsid w:val="00B26896"/>
    <w:rsid w:val="00B26D0A"/>
    <w:rsid w:val="00B332D2"/>
    <w:rsid w:val="00B339FE"/>
    <w:rsid w:val="00B349E7"/>
    <w:rsid w:val="00B47753"/>
    <w:rsid w:val="00B50E44"/>
    <w:rsid w:val="00B54B81"/>
    <w:rsid w:val="00B56F62"/>
    <w:rsid w:val="00B57111"/>
    <w:rsid w:val="00B65413"/>
    <w:rsid w:val="00B67247"/>
    <w:rsid w:val="00B73B08"/>
    <w:rsid w:val="00B770F6"/>
    <w:rsid w:val="00B80131"/>
    <w:rsid w:val="00B8059B"/>
    <w:rsid w:val="00B9344C"/>
    <w:rsid w:val="00BA40E8"/>
    <w:rsid w:val="00BA4F10"/>
    <w:rsid w:val="00BA769C"/>
    <w:rsid w:val="00BB05D6"/>
    <w:rsid w:val="00BB0FB1"/>
    <w:rsid w:val="00BC2CD6"/>
    <w:rsid w:val="00BC74E5"/>
    <w:rsid w:val="00BD7C67"/>
    <w:rsid w:val="00BE780C"/>
    <w:rsid w:val="00BE7F48"/>
    <w:rsid w:val="00BF1EC3"/>
    <w:rsid w:val="00C0274C"/>
    <w:rsid w:val="00C02D5E"/>
    <w:rsid w:val="00C0415D"/>
    <w:rsid w:val="00C17CB9"/>
    <w:rsid w:val="00C21CBD"/>
    <w:rsid w:val="00C25495"/>
    <w:rsid w:val="00C4166F"/>
    <w:rsid w:val="00C47180"/>
    <w:rsid w:val="00C56AB7"/>
    <w:rsid w:val="00C617C8"/>
    <w:rsid w:val="00C6463B"/>
    <w:rsid w:val="00C6537F"/>
    <w:rsid w:val="00C65AAB"/>
    <w:rsid w:val="00C67CA3"/>
    <w:rsid w:val="00C826F1"/>
    <w:rsid w:val="00C8677F"/>
    <w:rsid w:val="00C96227"/>
    <w:rsid w:val="00C9698E"/>
    <w:rsid w:val="00C96E24"/>
    <w:rsid w:val="00CA395C"/>
    <w:rsid w:val="00CA7BED"/>
    <w:rsid w:val="00CA7E37"/>
    <w:rsid w:val="00CB1823"/>
    <w:rsid w:val="00CC03F3"/>
    <w:rsid w:val="00CE0C75"/>
    <w:rsid w:val="00CF0E8D"/>
    <w:rsid w:val="00CF26E8"/>
    <w:rsid w:val="00CF739F"/>
    <w:rsid w:val="00D048F9"/>
    <w:rsid w:val="00D04941"/>
    <w:rsid w:val="00D071DE"/>
    <w:rsid w:val="00D1422D"/>
    <w:rsid w:val="00D22E91"/>
    <w:rsid w:val="00D25C2F"/>
    <w:rsid w:val="00D25DA0"/>
    <w:rsid w:val="00D34795"/>
    <w:rsid w:val="00D4046F"/>
    <w:rsid w:val="00D41185"/>
    <w:rsid w:val="00D47D47"/>
    <w:rsid w:val="00D75B22"/>
    <w:rsid w:val="00D819F3"/>
    <w:rsid w:val="00D86378"/>
    <w:rsid w:val="00D94CBE"/>
    <w:rsid w:val="00D96009"/>
    <w:rsid w:val="00DA56A9"/>
    <w:rsid w:val="00DB2A0D"/>
    <w:rsid w:val="00DC6DF0"/>
    <w:rsid w:val="00DD3BA1"/>
    <w:rsid w:val="00DE5438"/>
    <w:rsid w:val="00DE60A2"/>
    <w:rsid w:val="00DF3379"/>
    <w:rsid w:val="00E06C6B"/>
    <w:rsid w:val="00E077B9"/>
    <w:rsid w:val="00E2136C"/>
    <w:rsid w:val="00E24E1D"/>
    <w:rsid w:val="00E26667"/>
    <w:rsid w:val="00E278B2"/>
    <w:rsid w:val="00E43FB0"/>
    <w:rsid w:val="00E534A9"/>
    <w:rsid w:val="00E721B3"/>
    <w:rsid w:val="00E74A71"/>
    <w:rsid w:val="00E76963"/>
    <w:rsid w:val="00E83986"/>
    <w:rsid w:val="00E90660"/>
    <w:rsid w:val="00E906AA"/>
    <w:rsid w:val="00E912BA"/>
    <w:rsid w:val="00E92895"/>
    <w:rsid w:val="00E93531"/>
    <w:rsid w:val="00EA22BD"/>
    <w:rsid w:val="00EA25AF"/>
    <w:rsid w:val="00EA5162"/>
    <w:rsid w:val="00EB0C04"/>
    <w:rsid w:val="00EB1949"/>
    <w:rsid w:val="00EB4C66"/>
    <w:rsid w:val="00EC6663"/>
    <w:rsid w:val="00EC6A24"/>
    <w:rsid w:val="00EC712F"/>
    <w:rsid w:val="00EE0674"/>
    <w:rsid w:val="00EE59B7"/>
    <w:rsid w:val="00EE6D52"/>
    <w:rsid w:val="00F0178A"/>
    <w:rsid w:val="00F02862"/>
    <w:rsid w:val="00F03F56"/>
    <w:rsid w:val="00F31037"/>
    <w:rsid w:val="00F3476C"/>
    <w:rsid w:val="00F34B8D"/>
    <w:rsid w:val="00F41195"/>
    <w:rsid w:val="00F441A3"/>
    <w:rsid w:val="00F63357"/>
    <w:rsid w:val="00F634CF"/>
    <w:rsid w:val="00F64A4B"/>
    <w:rsid w:val="00F763AA"/>
    <w:rsid w:val="00F76E11"/>
    <w:rsid w:val="00F81D53"/>
    <w:rsid w:val="00F83ED1"/>
    <w:rsid w:val="00F8588D"/>
    <w:rsid w:val="00F92E67"/>
    <w:rsid w:val="00FA5A11"/>
    <w:rsid w:val="00FB0EA3"/>
    <w:rsid w:val="00FB2246"/>
    <w:rsid w:val="00FB3C21"/>
    <w:rsid w:val="00FB6A3D"/>
    <w:rsid w:val="00FC6BD7"/>
    <w:rsid w:val="00FD2927"/>
    <w:rsid w:val="00FE38F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D8AF9-D7B5-40A1-8288-10A95C43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iPriority w:val="99"/>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82637E"/>
    <w:rPr>
      <w:rFonts w:ascii="Arial" w:eastAsia="Arial" w:hAnsi="Arial" w:cs="Arial"/>
      <w:color w:val="000000"/>
      <w:sz w:val="20"/>
      <w:szCs w:val="20"/>
    </w:rPr>
  </w:style>
  <w:style w:type="character" w:styleId="FootnoteReference">
    <w:name w:val="footnote reference"/>
    <w:basedOn w:val="DefaultParagraphFont"/>
    <w:uiPriority w:val="99"/>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3"/>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 w:type="paragraph" w:customStyle="1" w:styleId="HCR-Header-partyname">
    <w:name w:val="HCR: - Header - party name"/>
    <w:basedOn w:val="Normal"/>
    <w:qFormat/>
    <w:rsid w:val="00741764"/>
    <w:pPr>
      <w:tabs>
        <w:tab w:val="right" w:pos="9000"/>
      </w:tabs>
      <w:spacing w:before="720" w:after="720" w:line="360" w:lineRule="auto"/>
      <w:ind w:left="0" w:right="0" w:firstLine="0"/>
      <w:contextualSpacing/>
    </w:pPr>
    <w:rPr>
      <w:rFonts w:cs="Times New Roman"/>
      <w:b/>
      <w:caps/>
      <w:color w:val="auto"/>
      <w:lang w:val="en-GB"/>
    </w:rPr>
  </w:style>
  <w:style w:type="paragraph" w:customStyle="1" w:styleId="HCR-Numberingaffidavit">
    <w:name w:val="HCR: - Numbering: affidavit"/>
    <w:qFormat/>
    <w:rsid w:val="008F3E01"/>
    <w:pPr>
      <w:numPr>
        <w:ilvl w:val="1"/>
        <w:numId w:val="22"/>
      </w:numPr>
      <w:spacing w:before="240" w:after="240" w:line="360" w:lineRule="auto"/>
      <w:jc w:val="both"/>
      <w:outlineLvl w:val="1"/>
    </w:pPr>
    <w:rPr>
      <w:rFonts w:ascii="Arial" w:eastAsia="Times New Roman" w:hAnsi="Arial" w:cs="Times New Roman"/>
      <w:sz w:val="24"/>
      <w:szCs w:val="20"/>
    </w:rPr>
  </w:style>
  <w:style w:type="character" w:styleId="Hyperlink">
    <w:name w:val="Hyperlink"/>
    <w:basedOn w:val="DefaultParagraphFont"/>
    <w:uiPriority w:val="99"/>
    <w:semiHidden/>
    <w:unhideWhenUsed/>
    <w:rsid w:val="00D4046F"/>
    <w:rPr>
      <w:b/>
      <w:bCs/>
      <w:i w:val="0"/>
      <w:iCs w:val="0"/>
      <w:color w:val="0B4B0B"/>
      <w:u w:val="single"/>
    </w:rPr>
  </w:style>
  <w:style w:type="paragraph" w:customStyle="1" w:styleId="western">
    <w:name w:val="western"/>
    <w:basedOn w:val="Normal"/>
    <w:rsid w:val="00D4046F"/>
    <w:pPr>
      <w:spacing w:before="144" w:after="288" w:line="240" w:lineRule="auto"/>
      <w:ind w:left="0" w:right="0" w:firstLine="0"/>
      <w:jc w:val="left"/>
    </w:pPr>
    <w:rPr>
      <w:rFonts w:ascii="Times New Roman" w:eastAsia="Times New Roman" w:hAnsi="Times New Roman" w:cs="Times New Roman"/>
      <w:color w:val="auto"/>
      <w:szCs w:val="24"/>
      <w:lang w:val="en-ZA" w:eastAsia="en-ZA"/>
    </w:rPr>
  </w:style>
  <w:style w:type="paragraph" w:styleId="BodyTextIndent">
    <w:name w:val="Body Text Indent"/>
    <w:basedOn w:val="Normal"/>
    <w:link w:val="BodyTextIndentChar"/>
    <w:rsid w:val="00F41195"/>
    <w:pPr>
      <w:spacing w:after="0" w:line="240" w:lineRule="auto"/>
      <w:ind w:left="1440" w:right="0" w:firstLine="0"/>
      <w:jc w:val="left"/>
    </w:pPr>
    <w:rPr>
      <w:rFonts w:ascii="Times New Roman" w:eastAsia="Times New Roman" w:hAnsi="Times New Roman" w:cs="Times New Roman"/>
      <w:color w:val="auto"/>
      <w:szCs w:val="24"/>
      <w:lang w:val="en-GB"/>
    </w:rPr>
  </w:style>
  <w:style w:type="character" w:customStyle="1" w:styleId="BodyTextIndentChar">
    <w:name w:val="Body Text Indent Char"/>
    <w:basedOn w:val="DefaultParagraphFont"/>
    <w:link w:val="BodyTextIndent"/>
    <w:rsid w:val="00F4119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2017-08-31T18:30:00+00:00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60A0-C6E1-448C-B0CB-9E499575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16A6-9AC6-4E87-B371-8B1159926611}">
  <ds:schemaRefs>
    <ds:schemaRef ds:uri="http://schemas.microsoft.com/sharepoint/v3/contenttype/forms"/>
  </ds:schemaRefs>
</ds:datastoreItem>
</file>

<file path=customXml/itemProps3.xml><?xml version="1.0" encoding="utf-8"?>
<ds:datastoreItem xmlns:ds="http://schemas.openxmlformats.org/officeDocument/2006/customXml" ds:itemID="{43C7907B-CA92-4EB9-8E38-F375250ABBE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aec0a7e9-5f5c-4ba9-87b2-85cfc8a38b86"/>
    <ds:schemaRef ds:uri="http://www.w3.org/XML/1998/namespace"/>
  </ds:schemaRefs>
</ds:datastoreItem>
</file>

<file path=customXml/itemProps4.xml><?xml version="1.0" encoding="utf-8"?>
<ds:datastoreItem xmlns:ds="http://schemas.openxmlformats.org/officeDocument/2006/customXml" ds:itemID="{DBE48ECA-C606-4E23-8048-98AE6F01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NamibLII</cp:lastModifiedBy>
  <cp:revision>2</cp:revision>
  <cp:lastPrinted>2017-09-04T07:24:00Z</cp:lastPrinted>
  <dcterms:created xsi:type="dcterms:W3CDTF">2017-09-21T06:47:00Z</dcterms:created>
  <dcterms:modified xsi:type="dcterms:W3CDTF">2017-09-21T06:47:00Z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