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7E1F" w:rsidRPr="002D06DD" w:rsidRDefault="0027086A"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D47EB" w:rsidRPr="006D62F5" w:rsidRDefault="00AD47EB" w:rsidP="006D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D47EB" w:rsidRPr="006D62F5" w:rsidRDefault="00AD47EB" w:rsidP="006D62F5"/>
                  </w:txbxContent>
                </v:textbox>
              </v:shape>
            </w:pict>
          </mc:Fallback>
        </mc:AlternateContent>
      </w:r>
      <w:r w:rsidR="001B7E1F" w:rsidRPr="002D06DD">
        <w:rPr>
          <w:rFonts w:ascii="Arial" w:hAnsi="Arial" w:cs="Arial"/>
          <w:b/>
          <w:sz w:val="24"/>
          <w:szCs w:val="24"/>
        </w:rPr>
        <w:t>REPUBLIC OF NAMIBIA</w:t>
      </w:r>
    </w:p>
    <w:p w:rsidR="001B7E1F" w:rsidRPr="002D06DD" w:rsidRDefault="00802D9C" w:rsidP="001B7E1F">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2D06DD" w:rsidRDefault="001B7E1F" w:rsidP="001B7E1F">
      <w:pPr>
        <w:spacing w:after="0" w:line="360" w:lineRule="auto"/>
        <w:jc w:val="center"/>
        <w:rPr>
          <w:rFonts w:ascii="Arial" w:hAnsi="Arial" w:cs="Arial"/>
          <w:b/>
          <w:sz w:val="24"/>
          <w:szCs w:val="24"/>
        </w:rPr>
      </w:pPr>
    </w:p>
    <w:p w:rsidR="001B7E1F" w:rsidRPr="002D06DD" w:rsidRDefault="004C4D29"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2D06DD">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r w:rsidRPr="002D06DD">
        <w:rPr>
          <w:rFonts w:ascii="Arial" w:hAnsi="Arial" w:cs="Arial"/>
          <w:b/>
          <w:sz w:val="24"/>
          <w:szCs w:val="24"/>
        </w:rPr>
        <w:t>JUDGMENT</w:t>
      </w:r>
    </w:p>
    <w:p w:rsidR="00340FF5" w:rsidRPr="002D06DD" w:rsidRDefault="00340FF5" w:rsidP="001B7E1F">
      <w:pPr>
        <w:spacing w:after="0" w:line="360" w:lineRule="auto"/>
        <w:jc w:val="center"/>
        <w:rPr>
          <w:rFonts w:ascii="Arial" w:hAnsi="Arial" w:cs="Arial"/>
          <w:b/>
          <w:sz w:val="24"/>
          <w:szCs w:val="24"/>
        </w:rPr>
      </w:pPr>
    </w:p>
    <w:p w:rsidR="00340FF5" w:rsidRPr="00340FF5" w:rsidRDefault="00340FF5" w:rsidP="00340FF5">
      <w:pPr>
        <w:jc w:val="right"/>
        <w:rPr>
          <w:rFonts w:ascii="Arial" w:hAnsi="Arial"/>
          <w:b/>
          <w:spacing w:val="-3"/>
          <w:sz w:val="24"/>
          <w:szCs w:val="20"/>
          <w:lang w:val="en-GB"/>
        </w:rPr>
      </w:pPr>
      <w:r w:rsidRPr="00340FF5">
        <w:rPr>
          <w:rFonts w:ascii="Arial" w:hAnsi="Arial"/>
          <w:b/>
          <w:spacing w:val="-3"/>
          <w:sz w:val="24"/>
          <w:szCs w:val="20"/>
          <w:lang w:val="en-GB"/>
        </w:rPr>
        <w:t>CASE NO:  LCA 30/2015</w:t>
      </w: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p>
    <w:p w:rsidR="00340FF5" w:rsidRPr="00340FF5" w:rsidRDefault="00340FF5" w:rsidP="00340FF5">
      <w:pPr>
        <w:widowControl w:val="0"/>
        <w:spacing w:after="0" w:line="360" w:lineRule="auto"/>
        <w:jc w:val="both"/>
        <w:rPr>
          <w:rFonts w:ascii="Arial" w:hAnsi="Arial"/>
          <w:spacing w:val="-3"/>
          <w:sz w:val="24"/>
          <w:szCs w:val="20"/>
          <w:lang w:val="en-GB"/>
        </w:rPr>
      </w:pPr>
      <w:r w:rsidRPr="00340FF5">
        <w:rPr>
          <w:rFonts w:ascii="Arial" w:hAnsi="Arial"/>
          <w:spacing w:val="-3"/>
          <w:sz w:val="24"/>
          <w:szCs w:val="20"/>
          <w:lang w:val="en-GB"/>
        </w:rPr>
        <w:t>In the matter between:</w:t>
      </w:r>
    </w:p>
    <w:p w:rsidR="004C4D29" w:rsidRDefault="004C4D29" w:rsidP="00443E8F">
      <w:pPr>
        <w:tabs>
          <w:tab w:val="right" w:pos="900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NAMIBIA DIAMON</w:t>
      </w:r>
      <w:r w:rsidR="002C7C6F">
        <w:rPr>
          <w:rFonts w:ascii="Arial" w:hAnsi="Arial" w:cs="Arial"/>
          <w:b/>
          <w:sz w:val="24"/>
          <w:szCs w:val="24"/>
        </w:rPr>
        <w:t>D CORPORATION (PTY) LTD</w:t>
      </w:r>
      <w:r w:rsidR="002C7C6F">
        <w:rPr>
          <w:rFonts w:ascii="Arial" w:hAnsi="Arial" w:cs="Arial"/>
          <w:b/>
          <w:sz w:val="24"/>
          <w:szCs w:val="24"/>
        </w:rPr>
        <w:tab/>
        <w:t>APPLICAN</w:t>
      </w:r>
      <w:r>
        <w:rPr>
          <w:rFonts w:ascii="Arial" w:hAnsi="Arial" w:cs="Arial"/>
          <w:b/>
          <w:sz w:val="24"/>
          <w:szCs w:val="24"/>
        </w:rPr>
        <w:t xml:space="preserve">T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 xml:space="preserve">And </w:t>
      </w:r>
    </w:p>
    <w:p w:rsidR="00340FF5" w:rsidRDefault="00340FF5" w:rsidP="00340FF5">
      <w:pPr>
        <w:tabs>
          <w:tab w:val="right" w:pos="9360"/>
        </w:tabs>
        <w:spacing w:after="0" w:line="360" w:lineRule="auto"/>
        <w:jc w:val="both"/>
        <w:rPr>
          <w:rFonts w:ascii="Arial" w:hAnsi="Arial" w:cs="Arial"/>
          <w:b/>
          <w:sz w:val="24"/>
          <w:szCs w:val="24"/>
        </w:rPr>
      </w:pPr>
    </w:p>
    <w:p w:rsidR="00340FF5" w:rsidRDefault="00340FF5" w:rsidP="00340FF5">
      <w:pPr>
        <w:tabs>
          <w:tab w:val="right" w:pos="9360"/>
        </w:tabs>
        <w:spacing w:after="0" w:line="360" w:lineRule="auto"/>
        <w:jc w:val="both"/>
        <w:rPr>
          <w:rFonts w:ascii="Arial" w:hAnsi="Arial" w:cs="Arial"/>
          <w:b/>
          <w:sz w:val="24"/>
          <w:szCs w:val="24"/>
        </w:rPr>
      </w:pPr>
      <w:r>
        <w:rPr>
          <w:rFonts w:ascii="Arial" w:hAnsi="Arial" w:cs="Arial"/>
          <w:b/>
          <w:sz w:val="24"/>
          <w:szCs w:val="24"/>
        </w:rPr>
        <w:t>HENRY DENZIL COETZEE</w:t>
      </w:r>
      <w:r>
        <w:rPr>
          <w:rFonts w:ascii="Arial" w:hAnsi="Arial" w:cs="Arial"/>
          <w:b/>
          <w:sz w:val="24"/>
          <w:szCs w:val="24"/>
        </w:rPr>
        <w:tab/>
        <w:t xml:space="preserve">RESPONDENT </w:t>
      </w:r>
    </w:p>
    <w:p w:rsidR="00340FF5" w:rsidRDefault="00340FF5" w:rsidP="00340FF5">
      <w:pPr>
        <w:tabs>
          <w:tab w:val="right" w:pos="9360"/>
        </w:tabs>
        <w:spacing w:after="0" w:line="360" w:lineRule="auto"/>
        <w:jc w:val="both"/>
        <w:rPr>
          <w:rFonts w:ascii="Arial" w:hAnsi="Arial" w:cs="Arial"/>
          <w:b/>
          <w:sz w:val="24"/>
          <w:szCs w:val="24"/>
        </w:rPr>
      </w:pPr>
    </w:p>
    <w:p w:rsidR="00340FF5" w:rsidRPr="002D06DD" w:rsidRDefault="00340FF5" w:rsidP="00340FF5">
      <w:pPr>
        <w:tabs>
          <w:tab w:val="right" w:pos="9360"/>
        </w:tabs>
        <w:spacing w:after="0" w:line="360" w:lineRule="auto"/>
        <w:jc w:val="both"/>
        <w:rPr>
          <w:rFonts w:ascii="Arial" w:hAnsi="Arial" w:cs="Arial"/>
          <w:b/>
          <w:sz w:val="24"/>
          <w:szCs w:val="24"/>
        </w:rPr>
      </w:pPr>
    </w:p>
    <w:p w:rsidR="00443E8F" w:rsidRPr="008D7078" w:rsidRDefault="001B7E1F" w:rsidP="00340FF5">
      <w:pPr>
        <w:tabs>
          <w:tab w:val="left" w:pos="3600"/>
        </w:tabs>
        <w:spacing w:after="0" w:line="240" w:lineRule="auto"/>
        <w:ind w:left="2160" w:hanging="2160"/>
        <w:jc w:val="both"/>
        <w:rPr>
          <w:rFonts w:ascii="Arial" w:hAnsi="Arial" w:cs="Arial"/>
          <w:sz w:val="24"/>
          <w:szCs w:val="24"/>
        </w:rPr>
      </w:pPr>
      <w:r w:rsidRPr="002D06DD">
        <w:rPr>
          <w:rFonts w:ascii="Arial" w:hAnsi="Arial" w:cs="Arial"/>
          <w:b/>
          <w:sz w:val="24"/>
          <w:szCs w:val="24"/>
        </w:rPr>
        <w:t>Neutral citation:</w:t>
      </w:r>
      <w:r w:rsidR="00184C39">
        <w:rPr>
          <w:rFonts w:ascii="Arial" w:hAnsi="Arial" w:cs="Arial"/>
          <w:b/>
          <w:sz w:val="24"/>
          <w:szCs w:val="24"/>
        </w:rPr>
        <w:tab/>
      </w:r>
      <w:r w:rsidR="00563CCF" w:rsidRPr="008D7078">
        <w:rPr>
          <w:rFonts w:ascii="Arial" w:hAnsi="Arial" w:cs="Arial"/>
          <w:i/>
          <w:sz w:val="24"/>
          <w:szCs w:val="24"/>
        </w:rPr>
        <w:t>Namibia Diamond Corporation</w:t>
      </w:r>
      <w:r w:rsidR="00563CCF" w:rsidRPr="008D7078">
        <w:rPr>
          <w:rFonts w:ascii="Arial" w:hAnsi="Arial" w:cs="Arial"/>
          <w:sz w:val="24"/>
          <w:szCs w:val="24"/>
        </w:rPr>
        <w:t xml:space="preserve"> </w:t>
      </w:r>
      <w:r w:rsidR="008D7078" w:rsidRPr="008D7078">
        <w:rPr>
          <w:rFonts w:ascii="Arial" w:hAnsi="Arial" w:cs="Arial"/>
          <w:i/>
          <w:sz w:val="24"/>
          <w:szCs w:val="24"/>
        </w:rPr>
        <w:t>(Pty) Ltd</w:t>
      </w:r>
      <w:r w:rsidR="008D7078" w:rsidRPr="008D7078">
        <w:rPr>
          <w:rFonts w:ascii="Arial" w:hAnsi="Arial" w:cs="Arial"/>
          <w:sz w:val="24"/>
          <w:szCs w:val="24"/>
        </w:rPr>
        <w:t xml:space="preserve"> </w:t>
      </w:r>
      <w:r w:rsidR="00563CCF" w:rsidRPr="008D7078">
        <w:rPr>
          <w:rFonts w:ascii="Arial" w:hAnsi="Arial" w:cs="Arial"/>
          <w:i/>
          <w:sz w:val="24"/>
          <w:szCs w:val="24"/>
        </w:rPr>
        <w:t xml:space="preserve">v </w:t>
      </w:r>
      <w:r w:rsidR="008D7078" w:rsidRPr="008D7078">
        <w:rPr>
          <w:rFonts w:ascii="Arial" w:hAnsi="Arial" w:cs="Arial"/>
          <w:i/>
          <w:sz w:val="24"/>
          <w:szCs w:val="24"/>
        </w:rPr>
        <w:t>Coetzee</w:t>
      </w:r>
      <w:r w:rsidR="008D7078">
        <w:rPr>
          <w:rFonts w:ascii="Arial" w:hAnsi="Arial" w:cs="Arial"/>
          <w:sz w:val="24"/>
          <w:szCs w:val="24"/>
        </w:rPr>
        <w:t xml:space="preserve"> </w:t>
      </w:r>
      <w:r w:rsidR="00563CCF" w:rsidRPr="008D7078">
        <w:rPr>
          <w:rFonts w:ascii="Arial" w:hAnsi="Arial" w:cs="Arial"/>
          <w:sz w:val="24"/>
          <w:szCs w:val="24"/>
        </w:rPr>
        <w:t>(LCA 30/2015) [2017] NALCMD 5 (10 February 2017)</w:t>
      </w:r>
    </w:p>
    <w:p w:rsidR="001B7E1F" w:rsidRPr="002D06DD" w:rsidRDefault="001B7E1F" w:rsidP="001B7E1F">
      <w:pPr>
        <w:spacing w:after="0" w:line="360" w:lineRule="auto"/>
        <w:ind w:left="2160" w:hanging="2160"/>
        <w:jc w:val="both"/>
        <w:rPr>
          <w:rFonts w:ascii="Arial" w:hAnsi="Arial" w:cs="Arial"/>
          <w:sz w:val="24"/>
          <w:szCs w:val="24"/>
        </w:rPr>
      </w:pPr>
    </w:p>
    <w:p w:rsidR="00663B6F" w:rsidRDefault="001B7E1F" w:rsidP="00D70991">
      <w:pPr>
        <w:spacing w:after="0" w:line="240" w:lineRule="auto"/>
        <w:ind w:left="1440" w:hanging="1440"/>
        <w:jc w:val="both"/>
        <w:rPr>
          <w:rFonts w:ascii="Arial" w:hAnsi="Arial" w:cs="Arial"/>
          <w:b/>
          <w:sz w:val="24"/>
          <w:szCs w:val="24"/>
        </w:rPr>
      </w:pPr>
      <w:r w:rsidRPr="002D06DD">
        <w:rPr>
          <w:rFonts w:ascii="Arial" w:hAnsi="Arial" w:cs="Arial"/>
          <w:b/>
          <w:sz w:val="24"/>
          <w:szCs w:val="24"/>
        </w:rPr>
        <w:t>Coram:</w:t>
      </w:r>
      <w:r w:rsidRPr="002D06DD">
        <w:rPr>
          <w:rFonts w:ascii="Arial" w:hAnsi="Arial" w:cs="Arial"/>
          <w:b/>
          <w:sz w:val="24"/>
          <w:szCs w:val="24"/>
        </w:rPr>
        <w:tab/>
      </w:r>
      <w:r w:rsidR="00905799">
        <w:rPr>
          <w:rFonts w:ascii="Arial" w:hAnsi="Arial" w:cs="Arial"/>
          <w:b/>
          <w:sz w:val="24"/>
          <w:szCs w:val="24"/>
        </w:rPr>
        <w:tab/>
      </w:r>
      <w:r w:rsidR="006D62F5" w:rsidRPr="002D06DD">
        <w:rPr>
          <w:rFonts w:ascii="Arial" w:hAnsi="Arial" w:cs="Arial"/>
          <w:b/>
          <w:sz w:val="24"/>
          <w:szCs w:val="24"/>
        </w:rPr>
        <w:t>UEITELE</w:t>
      </w:r>
      <w:r w:rsidR="00443E8F" w:rsidRPr="002D06DD">
        <w:rPr>
          <w:rFonts w:ascii="Arial" w:hAnsi="Arial" w:cs="Arial"/>
          <w:b/>
          <w:sz w:val="24"/>
          <w:szCs w:val="24"/>
        </w:rPr>
        <w:t>,</w:t>
      </w:r>
      <w:r w:rsidR="006D62F5" w:rsidRPr="002D06DD">
        <w:rPr>
          <w:rFonts w:ascii="Arial" w:hAnsi="Arial" w:cs="Arial"/>
          <w:b/>
          <w:sz w:val="24"/>
          <w:szCs w:val="24"/>
        </w:rPr>
        <w:t xml:space="preserve"> J</w:t>
      </w:r>
    </w:p>
    <w:p w:rsidR="00B43570" w:rsidRPr="002D06DD" w:rsidRDefault="00B43570" w:rsidP="00D70991">
      <w:pPr>
        <w:spacing w:after="0" w:line="240" w:lineRule="auto"/>
        <w:ind w:left="1440" w:hanging="1440"/>
        <w:jc w:val="both"/>
        <w:rPr>
          <w:rFonts w:ascii="Arial" w:hAnsi="Arial" w:cs="Arial"/>
          <w:b/>
          <w:sz w:val="24"/>
          <w:szCs w:val="24"/>
        </w:rPr>
      </w:pPr>
    </w:p>
    <w:p w:rsidR="00B43570" w:rsidRDefault="001B7E1F" w:rsidP="00D70991">
      <w:pPr>
        <w:spacing w:after="0" w:line="240" w:lineRule="auto"/>
        <w:rPr>
          <w:rFonts w:ascii="Arial" w:hAnsi="Arial" w:cs="Arial"/>
          <w:b/>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E16242">
        <w:rPr>
          <w:rFonts w:ascii="Arial" w:hAnsi="Arial" w:cs="Arial"/>
          <w:b/>
          <w:sz w:val="24"/>
          <w:szCs w:val="24"/>
        </w:rPr>
        <w:tab/>
      </w:r>
      <w:r w:rsidR="008223E7">
        <w:rPr>
          <w:rFonts w:ascii="Arial" w:hAnsi="Arial" w:cs="Arial"/>
          <w:sz w:val="24"/>
          <w:szCs w:val="24"/>
        </w:rPr>
        <w:t>06 February 2017</w:t>
      </w:r>
    </w:p>
    <w:p w:rsidR="00E16242" w:rsidRPr="00340FF5" w:rsidRDefault="00E16242" w:rsidP="00D70991">
      <w:pPr>
        <w:spacing w:after="0" w:line="240" w:lineRule="auto"/>
        <w:rPr>
          <w:rFonts w:ascii="Arial" w:hAnsi="Arial" w:cs="Arial"/>
          <w:b/>
          <w:bCs/>
          <w:sz w:val="16"/>
          <w:szCs w:val="16"/>
        </w:rPr>
      </w:pPr>
    </w:p>
    <w:p w:rsidR="00106CBA" w:rsidRPr="00106CBA" w:rsidRDefault="001B7E1F" w:rsidP="00D70991">
      <w:pPr>
        <w:spacing w:after="0" w:line="24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E16242">
        <w:rPr>
          <w:rFonts w:ascii="Arial" w:hAnsi="Arial" w:cs="Arial"/>
          <w:b/>
          <w:sz w:val="24"/>
          <w:szCs w:val="24"/>
        </w:rPr>
        <w:tab/>
      </w:r>
      <w:r w:rsidR="002C7C6F">
        <w:rPr>
          <w:rFonts w:ascii="Arial" w:hAnsi="Arial" w:cs="Arial"/>
          <w:sz w:val="24"/>
          <w:szCs w:val="24"/>
        </w:rPr>
        <w:t>10 February 2017</w:t>
      </w:r>
    </w:p>
    <w:p w:rsidR="007D7C32" w:rsidRPr="002D06DD" w:rsidRDefault="007D7C32" w:rsidP="00D70991">
      <w:pPr>
        <w:spacing w:after="0" w:line="240" w:lineRule="auto"/>
        <w:jc w:val="both"/>
        <w:rPr>
          <w:rFonts w:ascii="Arial" w:hAnsi="Arial" w:cs="Arial"/>
          <w:b/>
          <w:sz w:val="24"/>
          <w:szCs w:val="24"/>
        </w:rPr>
      </w:pPr>
    </w:p>
    <w:p w:rsidR="00600273" w:rsidRDefault="00600273" w:rsidP="00D70991">
      <w:pPr>
        <w:pStyle w:val="Default"/>
        <w:jc w:val="both"/>
        <w:rPr>
          <w:b/>
        </w:rPr>
      </w:pPr>
    </w:p>
    <w:p w:rsidR="00E16242" w:rsidRDefault="009C0AD6" w:rsidP="00EC6AF7">
      <w:pPr>
        <w:pStyle w:val="Default"/>
        <w:spacing w:line="360" w:lineRule="auto"/>
        <w:jc w:val="both"/>
      </w:pPr>
      <w:r w:rsidRPr="002D06DD">
        <w:rPr>
          <w:b/>
        </w:rPr>
        <w:t>Flynote:</w:t>
      </w:r>
      <w:r w:rsidR="00E728A2" w:rsidRPr="002D06DD">
        <w:rPr>
          <w:b/>
        </w:rPr>
        <w:tab/>
      </w:r>
      <w:r w:rsidR="00E04391" w:rsidRPr="00E04391">
        <w:rPr>
          <w:i/>
        </w:rPr>
        <w:t>Labour law</w:t>
      </w:r>
      <w:r w:rsidR="00E04391" w:rsidRPr="00E04391">
        <w:t xml:space="preserve"> - Labour Court - Appeals from - Such right restricted to questions of law </w:t>
      </w:r>
      <w:r w:rsidR="00EC6AF7">
        <w:t>–</w:t>
      </w:r>
      <w:r w:rsidR="00E04391" w:rsidRPr="00E04391">
        <w:t xml:space="preserve"> </w:t>
      </w:r>
      <w:r w:rsidR="00EC6AF7">
        <w:t xml:space="preserve">Notice of Appeal or application for leave to appeal to be restricted to questions of law alone - Consequences to follow a defective notice or application for leave to appeal. </w:t>
      </w:r>
    </w:p>
    <w:p w:rsidR="00F30B70" w:rsidRDefault="00F30B70" w:rsidP="000E63A2">
      <w:pPr>
        <w:pStyle w:val="ListParagraph"/>
        <w:spacing w:after="0" w:line="360" w:lineRule="auto"/>
        <w:ind w:left="0" w:right="-40"/>
        <w:jc w:val="both"/>
        <w:rPr>
          <w:rFonts w:ascii="Arial" w:hAnsi="Arial" w:cs="Arial"/>
          <w:sz w:val="24"/>
          <w:szCs w:val="24"/>
        </w:rPr>
      </w:pPr>
    </w:p>
    <w:p w:rsidR="00340FF5" w:rsidRDefault="00DE552D" w:rsidP="00340FF5">
      <w:pPr>
        <w:pStyle w:val="ListParagraph"/>
        <w:spacing w:after="0" w:line="360" w:lineRule="auto"/>
        <w:ind w:left="0" w:right="-40"/>
        <w:jc w:val="both"/>
        <w:rPr>
          <w:rFonts w:ascii="Arial" w:hAnsi="Arial" w:cs="Arial"/>
          <w:sz w:val="24"/>
          <w:szCs w:val="24"/>
        </w:rPr>
      </w:pPr>
      <w:r w:rsidRPr="002D06DD">
        <w:rPr>
          <w:rFonts w:ascii="Arial" w:hAnsi="Arial" w:cs="Arial"/>
          <w:b/>
          <w:sz w:val="24"/>
          <w:szCs w:val="24"/>
        </w:rPr>
        <w:t>Summary:</w:t>
      </w:r>
      <w:r w:rsidR="00E728A2" w:rsidRPr="002D06DD">
        <w:rPr>
          <w:rFonts w:ascii="Arial" w:hAnsi="Arial" w:cs="Arial"/>
          <w:b/>
          <w:sz w:val="24"/>
          <w:szCs w:val="24"/>
        </w:rPr>
        <w:tab/>
      </w:r>
      <w:r w:rsidR="00513B38" w:rsidRPr="00513B38">
        <w:rPr>
          <w:rFonts w:ascii="Arial" w:hAnsi="Arial" w:cs="Arial"/>
          <w:sz w:val="24"/>
          <w:szCs w:val="24"/>
        </w:rPr>
        <w:t xml:space="preserve">The applicant, being the Namibia Diamond Corporation, seeks leave to appeal against an order of the Labour Court given on 10 February 2016 of which the </w:t>
      </w:r>
      <w:r w:rsidR="00513B38" w:rsidRPr="00513B38">
        <w:rPr>
          <w:rFonts w:ascii="Arial" w:hAnsi="Arial" w:cs="Arial"/>
          <w:sz w:val="24"/>
          <w:szCs w:val="24"/>
        </w:rPr>
        <w:lastRenderedPageBreak/>
        <w:t>reasons where delivered on 06 December 2016.</w:t>
      </w:r>
      <w:r w:rsidR="00513B38">
        <w:rPr>
          <w:rFonts w:ascii="Arial" w:hAnsi="Arial" w:cs="Arial"/>
          <w:sz w:val="24"/>
          <w:szCs w:val="24"/>
        </w:rPr>
        <w:t xml:space="preserve"> </w:t>
      </w:r>
      <w:r w:rsidR="00513B38" w:rsidRPr="00513B38">
        <w:rPr>
          <w:rFonts w:ascii="Arial" w:hAnsi="Arial" w:cs="Arial"/>
          <w:sz w:val="24"/>
          <w:szCs w:val="24"/>
        </w:rPr>
        <w:t xml:space="preserve">The applicant is not happy with the order </w:t>
      </w:r>
      <w:r w:rsidR="00513B38">
        <w:rPr>
          <w:rFonts w:ascii="Arial" w:hAnsi="Arial" w:cs="Arial"/>
          <w:sz w:val="24"/>
          <w:szCs w:val="24"/>
        </w:rPr>
        <w:t>made by this</w:t>
      </w:r>
      <w:r w:rsidR="00513B38" w:rsidRPr="00513B38">
        <w:rPr>
          <w:rFonts w:ascii="Arial" w:hAnsi="Arial" w:cs="Arial"/>
          <w:sz w:val="24"/>
          <w:szCs w:val="24"/>
        </w:rPr>
        <w:t xml:space="preserve"> Court and it accordingly gave notice of its intention to appeal against the judgment and orders made by this Court. On 27 January 2017 the applicant launched these proceedings seeking leave to appeal, against the judgment and orders of this Court to the Supreme Court.</w:t>
      </w:r>
      <w:r w:rsidR="00513B38">
        <w:rPr>
          <w:rFonts w:ascii="Arial" w:hAnsi="Arial" w:cs="Arial"/>
          <w:sz w:val="24"/>
          <w:szCs w:val="24"/>
        </w:rPr>
        <w:t xml:space="preserve"> </w:t>
      </w:r>
      <w:r w:rsidR="00513B38" w:rsidRPr="00513B38">
        <w:rPr>
          <w:rFonts w:ascii="Arial" w:hAnsi="Arial" w:cs="Arial"/>
          <w:sz w:val="24"/>
          <w:szCs w:val="24"/>
        </w:rPr>
        <w:t>The application for leave to appeal is opposed by the respondent. The prima</w:t>
      </w:r>
      <w:r w:rsidR="00513B38">
        <w:rPr>
          <w:rFonts w:ascii="Arial" w:hAnsi="Arial" w:cs="Arial"/>
          <w:sz w:val="24"/>
          <w:szCs w:val="24"/>
        </w:rPr>
        <w:t>ry objection of the respondent</w:t>
      </w:r>
      <w:r w:rsidR="00513B38" w:rsidRPr="00513B38">
        <w:rPr>
          <w:rFonts w:ascii="Arial" w:hAnsi="Arial" w:cs="Arial"/>
          <w:sz w:val="24"/>
          <w:szCs w:val="24"/>
        </w:rPr>
        <w:t>, is that the application for leave to appeal is defective and that the notice does not comply with section 89 of the Labour Act, 2007.</w:t>
      </w:r>
    </w:p>
    <w:p w:rsidR="00513B38" w:rsidRPr="00513B38" w:rsidRDefault="00513B38" w:rsidP="00340FF5">
      <w:pPr>
        <w:pStyle w:val="ListParagraph"/>
        <w:spacing w:after="0" w:line="360" w:lineRule="auto"/>
        <w:ind w:left="0" w:right="-40"/>
        <w:jc w:val="both"/>
        <w:rPr>
          <w:rFonts w:ascii="Arial" w:hAnsi="Arial" w:cs="Arial"/>
          <w:sz w:val="24"/>
          <w:szCs w:val="24"/>
        </w:rPr>
      </w:pPr>
    </w:p>
    <w:p w:rsidR="00513B38" w:rsidRDefault="00513B38" w:rsidP="00B43570">
      <w:pPr>
        <w:pStyle w:val="ListParagraph"/>
        <w:spacing w:after="0" w:line="360" w:lineRule="auto"/>
        <w:ind w:left="0" w:right="-40"/>
        <w:jc w:val="both"/>
        <w:rPr>
          <w:rFonts w:ascii="Arial" w:hAnsi="Arial" w:cs="Arial"/>
          <w:sz w:val="24"/>
          <w:szCs w:val="24"/>
        </w:rPr>
      </w:pPr>
      <w:r w:rsidRPr="00513B38">
        <w:rPr>
          <w:rFonts w:ascii="Arial" w:hAnsi="Arial" w:cs="Arial"/>
          <w:i/>
          <w:sz w:val="24"/>
          <w:szCs w:val="24"/>
        </w:rPr>
        <w:t>Held that</w:t>
      </w:r>
      <w:r>
        <w:rPr>
          <w:rFonts w:ascii="Arial" w:hAnsi="Arial" w:cs="Arial"/>
          <w:sz w:val="24"/>
          <w:szCs w:val="24"/>
        </w:rPr>
        <w:t xml:space="preserve"> the</w:t>
      </w:r>
      <w:r w:rsidRPr="00513B38">
        <w:rPr>
          <w:rFonts w:ascii="Arial" w:hAnsi="Arial" w:cs="Arial"/>
          <w:sz w:val="24"/>
          <w:szCs w:val="24"/>
        </w:rPr>
        <w:t xml:space="preserve"> application for leave to appeal is the foundation of the applicant’s notice of appeal. What the applicant is seeking from this Cou</w:t>
      </w:r>
      <w:r>
        <w:rPr>
          <w:rFonts w:ascii="Arial" w:hAnsi="Arial" w:cs="Arial"/>
          <w:sz w:val="24"/>
          <w:szCs w:val="24"/>
        </w:rPr>
        <w:t>rt is leave to appeal against</w:t>
      </w:r>
      <w:r w:rsidRPr="00513B38">
        <w:rPr>
          <w:rFonts w:ascii="Arial" w:hAnsi="Arial" w:cs="Arial"/>
          <w:sz w:val="24"/>
          <w:szCs w:val="24"/>
        </w:rPr>
        <w:t xml:space="preserve"> findings on points of law o</w:t>
      </w:r>
      <w:r>
        <w:rPr>
          <w:rFonts w:ascii="Arial" w:hAnsi="Arial" w:cs="Arial"/>
          <w:sz w:val="24"/>
          <w:szCs w:val="24"/>
        </w:rPr>
        <w:t xml:space="preserve">r </w:t>
      </w:r>
      <w:r w:rsidRPr="00513B38">
        <w:rPr>
          <w:rFonts w:ascii="Arial" w:hAnsi="Arial" w:cs="Arial"/>
          <w:sz w:val="24"/>
          <w:szCs w:val="24"/>
        </w:rPr>
        <w:t xml:space="preserve">findings </w:t>
      </w:r>
      <w:r>
        <w:rPr>
          <w:rFonts w:ascii="Arial" w:hAnsi="Arial" w:cs="Arial"/>
          <w:sz w:val="24"/>
          <w:szCs w:val="24"/>
        </w:rPr>
        <w:t xml:space="preserve">of facts or </w:t>
      </w:r>
      <w:r w:rsidRPr="00513B38">
        <w:rPr>
          <w:rFonts w:ascii="Arial" w:hAnsi="Arial" w:cs="Arial"/>
          <w:sz w:val="24"/>
          <w:szCs w:val="24"/>
        </w:rPr>
        <w:t xml:space="preserve">findings against both points of law </w:t>
      </w:r>
      <w:r w:rsidR="008223E7">
        <w:rPr>
          <w:rFonts w:ascii="Arial" w:hAnsi="Arial" w:cs="Arial"/>
          <w:sz w:val="24"/>
          <w:szCs w:val="24"/>
        </w:rPr>
        <w:t xml:space="preserve">and </w:t>
      </w:r>
      <w:r w:rsidRPr="00513B38">
        <w:rPr>
          <w:rFonts w:ascii="Arial" w:hAnsi="Arial" w:cs="Arial"/>
          <w:sz w:val="24"/>
          <w:szCs w:val="24"/>
        </w:rPr>
        <w:t>of facts and also to a</w:t>
      </w:r>
      <w:r>
        <w:rPr>
          <w:rFonts w:ascii="Arial" w:hAnsi="Arial" w:cs="Arial"/>
          <w:sz w:val="24"/>
          <w:szCs w:val="24"/>
        </w:rPr>
        <w:t>ppeal against the exercise of the court’s</w:t>
      </w:r>
      <w:r w:rsidRPr="00513B38">
        <w:rPr>
          <w:rFonts w:ascii="Arial" w:hAnsi="Arial" w:cs="Arial"/>
          <w:sz w:val="24"/>
          <w:szCs w:val="24"/>
        </w:rPr>
        <w:t xml:space="preserve"> judicial discretion. </w:t>
      </w:r>
    </w:p>
    <w:p w:rsidR="00513B38" w:rsidRDefault="00513B38" w:rsidP="00B43570">
      <w:pPr>
        <w:pStyle w:val="ListParagraph"/>
        <w:spacing w:after="0" w:line="360" w:lineRule="auto"/>
        <w:ind w:left="0" w:right="-40"/>
        <w:jc w:val="both"/>
        <w:rPr>
          <w:rFonts w:ascii="Arial" w:hAnsi="Arial" w:cs="Arial"/>
          <w:sz w:val="24"/>
          <w:szCs w:val="24"/>
        </w:rPr>
      </w:pPr>
    </w:p>
    <w:p w:rsidR="004C3FDB" w:rsidRDefault="00513B38" w:rsidP="00B43570">
      <w:pPr>
        <w:pStyle w:val="ListParagraph"/>
        <w:spacing w:after="0" w:line="360" w:lineRule="auto"/>
        <w:ind w:left="0" w:right="-40"/>
        <w:jc w:val="both"/>
        <w:rPr>
          <w:rFonts w:ascii="Arial" w:hAnsi="Arial" w:cs="Arial"/>
          <w:sz w:val="24"/>
          <w:szCs w:val="24"/>
        </w:rPr>
      </w:pPr>
      <w:r w:rsidRPr="00284A71">
        <w:rPr>
          <w:rFonts w:ascii="Arial" w:hAnsi="Arial" w:cs="Arial"/>
          <w:i/>
          <w:sz w:val="24"/>
          <w:szCs w:val="24"/>
        </w:rPr>
        <w:t>Held further</w:t>
      </w:r>
      <w:r>
        <w:rPr>
          <w:rFonts w:ascii="Arial" w:hAnsi="Arial" w:cs="Arial"/>
          <w:sz w:val="24"/>
          <w:szCs w:val="24"/>
        </w:rPr>
        <w:t xml:space="preserve"> that s</w:t>
      </w:r>
      <w:r w:rsidR="00DB4513">
        <w:rPr>
          <w:rFonts w:ascii="Arial" w:hAnsi="Arial" w:cs="Arial"/>
          <w:sz w:val="24"/>
          <w:szCs w:val="24"/>
        </w:rPr>
        <w:t>ection 89 does not grant the applicant</w:t>
      </w:r>
      <w:r>
        <w:rPr>
          <w:rFonts w:ascii="Arial" w:hAnsi="Arial" w:cs="Arial"/>
          <w:sz w:val="24"/>
          <w:szCs w:val="24"/>
        </w:rPr>
        <w:t xml:space="preserve"> the right to appeal against the court’s</w:t>
      </w:r>
      <w:r w:rsidRPr="00513B38">
        <w:rPr>
          <w:rFonts w:ascii="Arial" w:hAnsi="Arial" w:cs="Arial"/>
          <w:sz w:val="24"/>
          <w:szCs w:val="24"/>
        </w:rPr>
        <w:t xml:space="preserve"> findings on questions of facts or against th</w:t>
      </w:r>
      <w:r>
        <w:rPr>
          <w:rFonts w:ascii="Arial" w:hAnsi="Arial" w:cs="Arial"/>
          <w:sz w:val="24"/>
          <w:szCs w:val="24"/>
        </w:rPr>
        <w:t xml:space="preserve">e exercise of the courts </w:t>
      </w:r>
      <w:r w:rsidRPr="00513B38">
        <w:rPr>
          <w:rFonts w:ascii="Arial" w:hAnsi="Arial" w:cs="Arial"/>
          <w:sz w:val="24"/>
          <w:szCs w:val="24"/>
        </w:rPr>
        <w:t>discretion. It thus follows that if s 89(1)(</w:t>
      </w:r>
      <w:r w:rsidRPr="00ED181E">
        <w:rPr>
          <w:rFonts w:ascii="Arial" w:hAnsi="Arial" w:cs="Arial"/>
          <w:i/>
          <w:sz w:val="24"/>
          <w:szCs w:val="24"/>
        </w:rPr>
        <w:t>a</w:t>
      </w:r>
      <w:r w:rsidRPr="00513B38">
        <w:rPr>
          <w:rFonts w:ascii="Arial" w:hAnsi="Arial" w:cs="Arial"/>
          <w:sz w:val="24"/>
          <w:szCs w:val="24"/>
        </w:rPr>
        <w:t>) which confers on a litigant a right to appeal against a decision of the arbitrator does not confer a righ</w:t>
      </w:r>
      <w:r w:rsidR="005C5F5F">
        <w:rPr>
          <w:rFonts w:ascii="Arial" w:hAnsi="Arial" w:cs="Arial"/>
          <w:sz w:val="24"/>
          <w:szCs w:val="24"/>
        </w:rPr>
        <w:t xml:space="preserve">t to appeal against </w:t>
      </w:r>
      <w:r>
        <w:rPr>
          <w:rFonts w:ascii="Arial" w:hAnsi="Arial" w:cs="Arial"/>
          <w:sz w:val="24"/>
          <w:szCs w:val="24"/>
        </w:rPr>
        <w:t>a finding of fact</w:t>
      </w:r>
      <w:r w:rsidR="00DB4513">
        <w:rPr>
          <w:rFonts w:ascii="Arial" w:hAnsi="Arial" w:cs="Arial"/>
          <w:sz w:val="24"/>
          <w:szCs w:val="24"/>
        </w:rPr>
        <w:t>,</w:t>
      </w:r>
      <w:r>
        <w:rPr>
          <w:rFonts w:ascii="Arial" w:hAnsi="Arial" w:cs="Arial"/>
          <w:sz w:val="24"/>
          <w:szCs w:val="24"/>
        </w:rPr>
        <w:t xml:space="preserve"> the court does </w:t>
      </w:r>
      <w:r w:rsidR="00DB4513">
        <w:rPr>
          <w:rFonts w:ascii="Arial" w:hAnsi="Arial" w:cs="Arial"/>
          <w:sz w:val="24"/>
          <w:szCs w:val="24"/>
        </w:rPr>
        <w:t xml:space="preserve">not </w:t>
      </w:r>
      <w:r w:rsidRPr="00513B38">
        <w:rPr>
          <w:rFonts w:ascii="Arial" w:hAnsi="Arial" w:cs="Arial"/>
          <w:sz w:val="24"/>
          <w:szCs w:val="24"/>
        </w:rPr>
        <w:t>have the legal power to grant such a right.</w:t>
      </w:r>
    </w:p>
    <w:p w:rsidR="00284A71" w:rsidRDefault="00284A71" w:rsidP="00B43570">
      <w:pPr>
        <w:pStyle w:val="ListParagraph"/>
        <w:spacing w:after="0" w:line="360" w:lineRule="auto"/>
        <w:ind w:left="0" w:right="-40"/>
        <w:jc w:val="both"/>
        <w:rPr>
          <w:rFonts w:ascii="Arial" w:hAnsi="Arial" w:cs="Arial"/>
          <w:sz w:val="24"/>
          <w:szCs w:val="24"/>
        </w:rPr>
      </w:pPr>
    </w:p>
    <w:p w:rsidR="00600273" w:rsidRPr="00DB4513" w:rsidRDefault="00284A71" w:rsidP="00DB4513">
      <w:pPr>
        <w:pStyle w:val="ListParagraph"/>
        <w:spacing w:after="0" w:line="360" w:lineRule="auto"/>
        <w:ind w:left="0" w:right="-40"/>
        <w:jc w:val="both"/>
        <w:rPr>
          <w:rFonts w:ascii="Arial" w:hAnsi="Arial" w:cs="Arial"/>
          <w:sz w:val="24"/>
          <w:szCs w:val="24"/>
        </w:rPr>
      </w:pPr>
      <w:r w:rsidRPr="00284A71">
        <w:rPr>
          <w:rFonts w:ascii="Arial" w:hAnsi="Arial" w:cs="Arial"/>
          <w:i/>
          <w:sz w:val="24"/>
          <w:szCs w:val="24"/>
        </w:rPr>
        <w:t>Held that</w:t>
      </w:r>
      <w:r>
        <w:rPr>
          <w:rFonts w:ascii="Arial" w:hAnsi="Arial" w:cs="Arial"/>
          <w:sz w:val="24"/>
          <w:szCs w:val="24"/>
        </w:rPr>
        <w:t xml:space="preserve"> the court is of the view that once it</w:t>
      </w:r>
      <w:r w:rsidRPr="00284A71">
        <w:rPr>
          <w:rFonts w:ascii="Arial" w:hAnsi="Arial" w:cs="Arial"/>
          <w:sz w:val="24"/>
          <w:szCs w:val="24"/>
        </w:rPr>
        <w:t xml:space="preserve"> find</w:t>
      </w:r>
      <w:r>
        <w:rPr>
          <w:rFonts w:ascii="Arial" w:hAnsi="Arial" w:cs="Arial"/>
          <w:sz w:val="24"/>
          <w:szCs w:val="24"/>
        </w:rPr>
        <w:t>s</w:t>
      </w:r>
      <w:r w:rsidRPr="00284A71">
        <w:rPr>
          <w:rFonts w:ascii="Arial" w:hAnsi="Arial" w:cs="Arial"/>
          <w:sz w:val="24"/>
          <w:szCs w:val="24"/>
        </w:rPr>
        <w:t xml:space="preserve"> that the application for leave to appeal is defective, that fact alone (it is the defect) cannot and should not close the doo</w:t>
      </w:r>
      <w:r w:rsidR="00ED181E">
        <w:rPr>
          <w:rFonts w:ascii="Arial" w:hAnsi="Arial" w:cs="Arial"/>
          <w:sz w:val="24"/>
          <w:szCs w:val="24"/>
        </w:rPr>
        <w:t xml:space="preserve">rs of the Court to a litigant. </w:t>
      </w:r>
      <w:r w:rsidRPr="00284A71">
        <w:rPr>
          <w:rFonts w:ascii="Arial" w:hAnsi="Arial" w:cs="Arial"/>
          <w:sz w:val="24"/>
          <w:szCs w:val="24"/>
        </w:rPr>
        <w:t>A litigant is entitled to bring his case before the Court and to have it adjudicated by a Judge</w:t>
      </w:r>
      <w:r w:rsidR="00ED181E">
        <w:rPr>
          <w:rFonts w:ascii="Arial" w:hAnsi="Arial" w:cs="Arial"/>
          <w:sz w:val="24"/>
          <w:szCs w:val="24"/>
        </w:rPr>
        <w:t>.</w:t>
      </w:r>
      <w:r>
        <w:rPr>
          <w:rFonts w:ascii="Arial" w:hAnsi="Arial" w:cs="Arial"/>
          <w:sz w:val="24"/>
          <w:szCs w:val="24"/>
        </w:rPr>
        <w:t xml:space="preserve"> It is for that reason that the court deems it</w:t>
      </w:r>
      <w:r w:rsidRPr="00284A71">
        <w:rPr>
          <w:rFonts w:ascii="Arial" w:hAnsi="Arial" w:cs="Arial"/>
          <w:sz w:val="24"/>
          <w:szCs w:val="24"/>
        </w:rPr>
        <w:t xml:space="preserve"> appropriate </w:t>
      </w:r>
      <w:r w:rsidR="00CE7269">
        <w:rPr>
          <w:rFonts w:ascii="Arial" w:hAnsi="Arial" w:cs="Arial"/>
          <w:sz w:val="24"/>
          <w:szCs w:val="24"/>
        </w:rPr>
        <w:t xml:space="preserve">to strike the notice of appeal </w:t>
      </w:r>
      <w:r w:rsidRPr="00284A71">
        <w:rPr>
          <w:rFonts w:ascii="Arial" w:hAnsi="Arial" w:cs="Arial"/>
          <w:sz w:val="24"/>
          <w:szCs w:val="24"/>
        </w:rPr>
        <w:t>from the r</w:t>
      </w:r>
      <w:r w:rsidR="00B72D27">
        <w:rPr>
          <w:rFonts w:ascii="Arial" w:hAnsi="Arial" w:cs="Arial"/>
          <w:sz w:val="24"/>
          <w:szCs w:val="24"/>
        </w:rPr>
        <w:t xml:space="preserve">oll rather than to dismiss it. </w:t>
      </w:r>
    </w:p>
    <w:p w:rsidR="005C1A0D" w:rsidRPr="002D06DD" w:rsidRDefault="005C1A0D" w:rsidP="005C1A0D">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w:t>
      </w:r>
    </w:p>
    <w:p w:rsidR="005C1A0D" w:rsidRPr="005C1A0D" w:rsidRDefault="005C1A0D" w:rsidP="00934EBB">
      <w:pPr>
        <w:spacing w:after="0" w:line="360" w:lineRule="auto"/>
        <w:jc w:val="center"/>
        <w:rPr>
          <w:rFonts w:ascii="Arial" w:hAnsi="Arial" w:cs="Arial"/>
          <w:b/>
          <w:bCs/>
          <w:sz w:val="16"/>
          <w:szCs w:val="16"/>
        </w:rPr>
      </w:pPr>
    </w:p>
    <w:p w:rsidR="006D357A" w:rsidRPr="002D06DD" w:rsidRDefault="001B7E1F" w:rsidP="00934EBB">
      <w:pPr>
        <w:pBdr>
          <w:bottom w:val="single" w:sz="12" w:space="1" w:color="auto"/>
        </w:pBdr>
        <w:spacing w:after="0" w:line="360" w:lineRule="auto"/>
        <w:jc w:val="center"/>
        <w:rPr>
          <w:rFonts w:ascii="Arial" w:hAnsi="Arial" w:cs="Arial"/>
          <w:b/>
          <w:bCs/>
          <w:sz w:val="24"/>
          <w:szCs w:val="24"/>
        </w:rPr>
      </w:pPr>
      <w:r w:rsidRPr="002D06DD">
        <w:rPr>
          <w:rFonts w:ascii="Arial" w:hAnsi="Arial" w:cs="Arial"/>
          <w:b/>
          <w:bCs/>
          <w:sz w:val="24"/>
          <w:szCs w:val="24"/>
        </w:rPr>
        <w:t>ORDER</w:t>
      </w:r>
    </w:p>
    <w:p w:rsidR="00875A22" w:rsidRDefault="00875A22" w:rsidP="003A15C4">
      <w:pPr>
        <w:spacing w:after="0" w:line="360" w:lineRule="auto"/>
        <w:jc w:val="both"/>
        <w:rPr>
          <w:rFonts w:ascii="Arial" w:hAnsi="Arial" w:cs="Arial"/>
          <w:sz w:val="24"/>
          <w:szCs w:val="24"/>
        </w:rPr>
      </w:pPr>
    </w:p>
    <w:p w:rsidR="00875A22" w:rsidRDefault="0001274D" w:rsidP="003A15C4">
      <w:pPr>
        <w:pBdr>
          <w:bottom w:val="single" w:sz="4" w:space="1" w:color="auto"/>
        </w:pBdr>
        <w:tabs>
          <w:tab w:val="left" w:pos="450"/>
          <w:tab w:val="left" w:pos="720"/>
        </w:tabs>
        <w:spacing w:after="0" w:line="360" w:lineRule="auto"/>
        <w:jc w:val="both"/>
        <w:rPr>
          <w:rFonts w:ascii="Arial" w:hAnsi="Arial" w:cs="Arial"/>
          <w:sz w:val="24"/>
          <w:szCs w:val="24"/>
        </w:rPr>
      </w:pPr>
      <w:r w:rsidRPr="003A15C4">
        <w:rPr>
          <w:rFonts w:ascii="Arial" w:hAnsi="Arial" w:cs="Arial"/>
          <w:sz w:val="24"/>
          <w:szCs w:val="24"/>
        </w:rPr>
        <w:t>The</w:t>
      </w:r>
      <w:r w:rsidR="00BA67E4" w:rsidRPr="003A15C4">
        <w:rPr>
          <w:rFonts w:ascii="Arial" w:hAnsi="Arial" w:cs="Arial"/>
          <w:sz w:val="24"/>
          <w:szCs w:val="24"/>
        </w:rPr>
        <w:t xml:space="preserve"> application for</w:t>
      </w:r>
      <w:r w:rsidRPr="003A15C4">
        <w:rPr>
          <w:rFonts w:ascii="Arial" w:hAnsi="Arial" w:cs="Arial"/>
          <w:sz w:val="24"/>
          <w:szCs w:val="24"/>
        </w:rPr>
        <w:t xml:space="preserve"> </w:t>
      </w:r>
      <w:r w:rsidR="00B404BD" w:rsidRPr="003A15C4">
        <w:rPr>
          <w:rFonts w:ascii="Arial" w:hAnsi="Arial" w:cs="Arial"/>
          <w:sz w:val="24"/>
          <w:szCs w:val="24"/>
        </w:rPr>
        <w:t xml:space="preserve">leave to appeal is </w:t>
      </w:r>
      <w:r w:rsidR="00A920E6">
        <w:rPr>
          <w:rFonts w:ascii="Arial" w:hAnsi="Arial" w:cs="Arial"/>
          <w:sz w:val="24"/>
          <w:szCs w:val="24"/>
        </w:rPr>
        <w:t>struck from the roll</w:t>
      </w:r>
      <w:r w:rsidRPr="003A15C4">
        <w:rPr>
          <w:rFonts w:ascii="Arial" w:hAnsi="Arial" w:cs="Arial"/>
          <w:sz w:val="24"/>
          <w:szCs w:val="24"/>
        </w:rPr>
        <w:t xml:space="preserve">. </w:t>
      </w:r>
    </w:p>
    <w:p w:rsidR="003A15C4" w:rsidRPr="003A15C4" w:rsidRDefault="003A15C4" w:rsidP="003A15C4">
      <w:pPr>
        <w:pBdr>
          <w:bottom w:val="single" w:sz="4" w:space="1" w:color="auto"/>
        </w:pBdr>
        <w:tabs>
          <w:tab w:val="left" w:pos="450"/>
          <w:tab w:val="left" w:pos="720"/>
        </w:tabs>
        <w:spacing w:after="0" w:line="360" w:lineRule="auto"/>
        <w:jc w:val="both"/>
        <w:rPr>
          <w:rFonts w:ascii="Arial" w:hAnsi="Arial" w:cs="Arial"/>
          <w:sz w:val="24"/>
          <w:szCs w:val="24"/>
        </w:rPr>
      </w:pPr>
    </w:p>
    <w:p w:rsidR="003A15C4" w:rsidRDefault="003A15C4" w:rsidP="001B7E1F">
      <w:pPr>
        <w:pBdr>
          <w:bottom w:val="single" w:sz="12" w:space="1" w:color="auto"/>
        </w:pBdr>
        <w:spacing w:after="0" w:line="360" w:lineRule="auto"/>
        <w:jc w:val="center"/>
        <w:rPr>
          <w:rFonts w:ascii="Arial" w:hAnsi="Arial" w:cs="Arial"/>
          <w:b/>
          <w:sz w:val="24"/>
          <w:szCs w:val="24"/>
        </w:rPr>
      </w:pPr>
    </w:p>
    <w:p w:rsidR="001B7E1F" w:rsidRPr="002D06DD" w:rsidRDefault="001B7E1F" w:rsidP="001B7E1F">
      <w:pPr>
        <w:pBdr>
          <w:bottom w:val="single" w:sz="12" w:space="1" w:color="auto"/>
        </w:pBdr>
        <w:spacing w:after="0" w:line="360" w:lineRule="auto"/>
        <w:jc w:val="center"/>
        <w:rPr>
          <w:rFonts w:ascii="Arial" w:hAnsi="Arial" w:cs="Arial"/>
          <w:b/>
          <w:sz w:val="24"/>
          <w:szCs w:val="24"/>
        </w:rPr>
      </w:pPr>
      <w:r w:rsidRPr="002D06DD">
        <w:rPr>
          <w:rFonts w:ascii="Arial" w:hAnsi="Arial" w:cs="Arial"/>
          <w:b/>
          <w:sz w:val="24"/>
          <w:szCs w:val="24"/>
        </w:rPr>
        <w:t>JUDGMENT</w:t>
      </w:r>
    </w:p>
    <w:p w:rsidR="00934EBB" w:rsidRPr="002D06DD" w:rsidRDefault="00934EBB" w:rsidP="001B7E1F">
      <w:pPr>
        <w:spacing w:after="0" w:line="360" w:lineRule="auto"/>
        <w:ind w:left="1440" w:hanging="1440"/>
        <w:jc w:val="both"/>
        <w:rPr>
          <w:rFonts w:ascii="Arial" w:hAnsi="Arial" w:cs="Arial"/>
          <w:b/>
          <w:sz w:val="24"/>
          <w:szCs w:val="24"/>
        </w:rPr>
      </w:pPr>
    </w:p>
    <w:p w:rsidR="001B7E1F" w:rsidRDefault="006D62F5" w:rsidP="001B7E1F">
      <w:pPr>
        <w:spacing w:after="0" w:line="360" w:lineRule="auto"/>
        <w:ind w:left="1440" w:hanging="1440"/>
        <w:jc w:val="both"/>
        <w:rPr>
          <w:rFonts w:ascii="Arial" w:hAnsi="Arial" w:cs="Arial"/>
          <w:b/>
          <w:sz w:val="24"/>
          <w:szCs w:val="24"/>
        </w:rPr>
      </w:pPr>
      <w:r w:rsidRPr="002D06DD">
        <w:rPr>
          <w:rFonts w:ascii="Arial" w:hAnsi="Arial" w:cs="Arial"/>
          <w:b/>
          <w:sz w:val="24"/>
          <w:szCs w:val="24"/>
        </w:rPr>
        <w:t>UEITELE</w:t>
      </w:r>
      <w:r w:rsidR="00875A22">
        <w:rPr>
          <w:rFonts w:ascii="Arial" w:hAnsi="Arial" w:cs="Arial"/>
          <w:b/>
          <w:sz w:val="24"/>
          <w:szCs w:val="24"/>
        </w:rPr>
        <w:t>,</w:t>
      </w:r>
      <w:r w:rsidRPr="002D06DD">
        <w:rPr>
          <w:rFonts w:ascii="Arial" w:hAnsi="Arial" w:cs="Arial"/>
          <w:b/>
          <w:sz w:val="24"/>
          <w:szCs w:val="24"/>
        </w:rPr>
        <w:t xml:space="preserve"> J</w:t>
      </w:r>
    </w:p>
    <w:p w:rsidR="009A0691" w:rsidRPr="00AA1C12" w:rsidRDefault="009A0691" w:rsidP="001B7E1F">
      <w:pPr>
        <w:spacing w:after="0" w:line="360" w:lineRule="auto"/>
        <w:ind w:left="1440" w:hanging="1440"/>
        <w:jc w:val="both"/>
        <w:rPr>
          <w:rFonts w:ascii="Arial" w:hAnsi="Arial" w:cs="Arial"/>
          <w:sz w:val="24"/>
          <w:szCs w:val="24"/>
          <w:u w:val="single"/>
        </w:rPr>
      </w:pPr>
    </w:p>
    <w:p w:rsidR="0014034D" w:rsidRPr="00AA1C12" w:rsidRDefault="009A0691" w:rsidP="009A0691">
      <w:pPr>
        <w:spacing w:after="0" w:line="360" w:lineRule="auto"/>
        <w:ind w:left="720" w:hanging="720"/>
        <w:jc w:val="both"/>
        <w:rPr>
          <w:rFonts w:ascii="Arial" w:hAnsi="Arial" w:cs="Arial"/>
          <w:sz w:val="24"/>
          <w:szCs w:val="24"/>
          <w:u w:val="single"/>
        </w:rPr>
      </w:pPr>
      <w:r w:rsidRPr="00AA1C12">
        <w:rPr>
          <w:rFonts w:ascii="Arial" w:hAnsi="Arial" w:cs="Arial"/>
          <w:sz w:val="24"/>
          <w:szCs w:val="24"/>
          <w:u w:val="single"/>
        </w:rPr>
        <w:lastRenderedPageBreak/>
        <w:t xml:space="preserve">Introduction and background </w:t>
      </w:r>
    </w:p>
    <w:p w:rsidR="009A0691" w:rsidRPr="009A0691" w:rsidRDefault="009A0691" w:rsidP="009A0691">
      <w:pPr>
        <w:spacing w:after="0" w:line="360" w:lineRule="auto"/>
        <w:ind w:left="720" w:hanging="720"/>
        <w:jc w:val="both"/>
        <w:rPr>
          <w:rFonts w:ascii="Arial" w:hAnsi="Arial" w:cs="Arial"/>
          <w:b/>
          <w:sz w:val="24"/>
          <w:szCs w:val="24"/>
        </w:rPr>
      </w:pPr>
    </w:p>
    <w:p w:rsidR="0075013C" w:rsidRDefault="001B7E1F" w:rsidP="009E2130">
      <w:pPr>
        <w:spacing w:after="0" w:line="360" w:lineRule="auto"/>
        <w:jc w:val="both"/>
        <w:rPr>
          <w:rFonts w:ascii="Arial" w:hAnsi="Arial" w:cs="Arial"/>
          <w:sz w:val="24"/>
          <w:szCs w:val="24"/>
        </w:rPr>
      </w:pPr>
      <w:r w:rsidRPr="009E2130">
        <w:rPr>
          <w:rFonts w:ascii="Arial" w:hAnsi="Arial" w:cs="Arial"/>
          <w:sz w:val="24"/>
          <w:szCs w:val="24"/>
        </w:rPr>
        <w:t>[1]</w:t>
      </w:r>
      <w:r w:rsidRPr="009E2130">
        <w:rPr>
          <w:rFonts w:ascii="Arial" w:hAnsi="Arial" w:cs="Arial"/>
          <w:sz w:val="24"/>
          <w:szCs w:val="24"/>
        </w:rPr>
        <w:tab/>
      </w:r>
      <w:r w:rsidR="0075013C">
        <w:rPr>
          <w:rFonts w:ascii="Arial" w:hAnsi="Arial" w:cs="Arial"/>
          <w:sz w:val="24"/>
          <w:szCs w:val="24"/>
        </w:rPr>
        <w:t>The applicant, being the Namibia Diamond Corporation</w:t>
      </w:r>
      <w:r w:rsidR="0075013C" w:rsidRPr="0075013C">
        <w:rPr>
          <w:rFonts w:ascii="Arial" w:hAnsi="Arial" w:cs="Arial"/>
          <w:sz w:val="24"/>
          <w:szCs w:val="24"/>
        </w:rPr>
        <w:t>, seeks leave to appeal against a</w:t>
      </w:r>
      <w:r w:rsidR="00A920E6">
        <w:rPr>
          <w:rFonts w:ascii="Arial" w:hAnsi="Arial" w:cs="Arial"/>
          <w:sz w:val="24"/>
          <w:szCs w:val="24"/>
        </w:rPr>
        <w:t>n order</w:t>
      </w:r>
      <w:r w:rsidR="0075013C" w:rsidRPr="0075013C">
        <w:rPr>
          <w:rFonts w:ascii="Arial" w:hAnsi="Arial" w:cs="Arial"/>
          <w:sz w:val="24"/>
          <w:szCs w:val="24"/>
        </w:rPr>
        <w:t xml:space="preserve"> of the Labour</w:t>
      </w:r>
      <w:r w:rsidR="0075013C">
        <w:rPr>
          <w:rFonts w:ascii="Arial" w:hAnsi="Arial" w:cs="Arial"/>
          <w:sz w:val="24"/>
          <w:szCs w:val="24"/>
        </w:rPr>
        <w:t xml:space="preserve"> Court given on </w:t>
      </w:r>
      <w:r w:rsidR="00F93510" w:rsidRPr="00F93510">
        <w:rPr>
          <w:rFonts w:ascii="Arial" w:hAnsi="Arial" w:cs="Arial"/>
          <w:sz w:val="24"/>
          <w:szCs w:val="24"/>
        </w:rPr>
        <w:t>10 February</w:t>
      </w:r>
      <w:r w:rsidR="0075013C" w:rsidRPr="00F93510">
        <w:rPr>
          <w:rFonts w:ascii="Arial" w:hAnsi="Arial" w:cs="Arial"/>
          <w:sz w:val="24"/>
          <w:szCs w:val="24"/>
        </w:rPr>
        <w:t xml:space="preserve"> 2016 </w:t>
      </w:r>
      <w:r w:rsidR="00F93510" w:rsidRPr="00F93510">
        <w:rPr>
          <w:rFonts w:ascii="Arial" w:hAnsi="Arial" w:cs="Arial"/>
          <w:sz w:val="24"/>
          <w:szCs w:val="24"/>
        </w:rPr>
        <w:t>of which the reasons where delivered on 06 December 2016</w:t>
      </w:r>
      <w:r w:rsidR="0075013C">
        <w:rPr>
          <w:rFonts w:ascii="Arial" w:hAnsi="Arial" w:cs="Arial"/>
          <w:sz w:val="24"/>
          <w:szCs w:val="24"/>
        </w:rPr>
        <w:t>.</w:t>
      </w:r>
    </w:p>
    <w:p w:rsidR="00F93510" w:rsidRDefault="00F93510" w:rsidP="009E2130">
      <w:pPr>
        <w:spacing w:after="0" w:line="360" w:lineRule="auto"/>
        <w:jc w:val="both"/>
        <w:rPr>
          <w:rFonts w:ascii="Arial" w:hAnsi="Arial" w:cs="Arial"/>
          <w:sz w:val="24"/>
          <w:szCs w:val="24"/>
        </w:rPr>
      </w:pPr>
    </w:p>
    <w:p w:rsidR="009E2130" w:rsidRPr="009E2130" w:rsidRDefault="00F93510" w:rsidP="009E213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E2130" w:rsidRPr="009E2130">
        <w:rPr>
          <w:rFonts w:ascii="Arial" w:hAnsi="Arial" w:cs="Arial"/>
          <w:sz w:val="24"/>
          <w:szCs w:val="24"/>
        </w:rPr>
        <w:t>Mr. Henry Denzil Coetzee, was employed by the Namibia Diamond Company (Pty) Limited as a senior diamond sorter from 1 March 2010 until 1 December 2014 when he was dismissed from his employment on allegations that he committed acts of misconduct. He, in terms of s 85 of the Labour Act, 2007 referred a dispute of unfair dismissal and unfair labour practice to the Labour Commissioner.</w:t>
      </w:r>
    </w:p>
    <w:p w:rsidR="009E2130" w:rsidRPr="009E2130" w:rsidRDefault="009E2130" w:rsidP="009E2130">
      <w:pPr>
        <w:pStyle w:val="ListParagraph"/>
        <w:spacing w:after="0" w:line="360" w:lineRule="auto"/>
        <w:jc w:val="both"/>
        <w:rPr>
          <w:rFonts w:ascii="Arial" w:hAnsi="Arial" w:cs="Arial"/>
          <w:sz w:val="24"/>
          <w:szCs w:val="24"/>
        </w:rPr>
      </w:pPr>
    </w:p>
    <w:p w:rsidR="009E2130" w:rsidRDefault="00F93510" w:rsidP="009E2130">
      <w:pPr>
        <w:pStyle w:val="ListParagraph"/>
        <w:spacing w:after="0" w:line="360" w:lineRule="auto"/>
        <w:ind w:left="0"/>
        <w:jc w:val="both"/>
        <w:rPr>
          <w:rFonts w:ascii="Arial" w:hAnsi="Arial" w:cs="Arial"/>
          <w:sz w:val="24"/>
          <w:szCs w:val="24"/>
        </w:rPr>
      </w:pPr>
      <w:r>
        <w:rPr>
          <w:rFonts w:ascii="Arial" w:hAnsi="Arial" w:cs="Arial"/>
          <w:sz w:val="24"/>
          <w:szCs w:val="24"/>
        </w:rPr>
        <w:t>[3</w:t>
      </w:r>
      <w:r w:rsidR="002C7C6F">
        <w:rPr>
          <w:rFonts w:ascii="Arial" w:hAnsi="Arial" w:cs="Arial"/>
          <w:sz w:val="24"/>
          <w:szCs w:val="24"/>
        </w:rPr>
        <w:t>]</w:t>
      </w:r>
      <w:r w:rsidR="002C7C6F">
        <w:rPr>
          <w:rFonts w:ascii="Arial" w:hAnsi="Arial" w:cs="Arial"/>
          <w:sz w:val="24"/>
          <w:szCs w:val="24"/>
        </w:rPr>
        <w:tab/>
      </w:r>
      <w:r w:rsidR="009E2130" w:rsidRPr="009E2130">
        <w:rPr>
          <w:rFonts w:ascii="Arial" w:hAnsi="Arial" w:cs="Arial"/>
          <w:sz w:val="24"/>
          <w:szCs w:val="24"/>
        </w:rPr>
        <w:t>The Labour Commissioner appointed an arbitrator to conciliate and arbitrate the dispute. The arbitrator found that Mr. Coetzee was unfairly dismissed and order</w:t>
      </w:r>
      <w:r w:rsidR="0001274D">
        <w:rPr>
          <w:rFonts w:ascii="Arial" w:hAnsi="Arial" w:cs="Arial"/>
          <w:sz w:val="24"/>
          <w:szCs w:val="24"/>
        </w:rPr>
        <w:t>ed</w:t>
      </w:r>
      <w:r w:rsidR="009E2130" w:rsidRPr="009E2130">
        <w:rPr>
          <w:rFonts w:ascii="Arial" w:hAnsi="Arial" w:cs="Arial"/>
          <w:sz w:val="24"/>
          <w:szCs w:val="24"/>
        </w:rPr>
        <w:t xml:space="preserve"> the </w:t>
      </w:r>
      <w:r w:rsidR="00F3747E">
        <w:rPr>
          <w:rFonts w:ascii="Arial" w:hAnsi="Arial" w:cs="Arial"/>
          <w:sz w:val="24"/>
          <w:szCs w:val="24"/>
        </w:rPr>
        <w:t>applicant</w:t>
      </w:r>
      <w:r w:rsidR="009E2130" w:rsidRPr="009E2130">
        <w:rPr>
          <w:rFonts w:ascii="Arial" w:hAnsi="Arial" w:cs="Arial"/>
          <w:sz w:val="24"/>
          <w:szCs w:val="24"/>
        </w:rPr>
        <w:t xml:space="preserve"> to compensate him for 16 months’ loss of income as a result for the unfair dismissal. </w:t>
      </w:r>
      <w:r w:rsidR="009E2130">
        <w:rPr>
          <w:rFonts w:ascii="Arial" w:hAnsi="Arial" w:cs="Arial"/>
          <w:sz w:val="24"/>
          <w:szCs w:val="24"/>
        </w:rPr>
        <w:t xml:space="preserve">The </w:t>
      </w:r>
      <w:r w:rsidR="009E2130" w:rsidRPr="009E2130">
        <w:rPr>
          <w:rFonts w:ascii="Arial" w:hAnsi="Arial" w:cs="Arial"/>
          <w:sz w:val="24"/>
          <w:szCs w:val="24"/>
        </w:rPr>
        <w:t>app</w:t>
      </w:r>
      <w:r w:rsidR="00F3747E">
        <w:rPr>
          <w:rFonts w:ascii="Arial" w:hAnsi="Arial" w:cs="Arial"/>
          <w:sz w:val="24"/>
          <w:szCs w:val="24"/>
        </w:rPr>
        <w:t xml:space="preserve">licant </w:t>
      </w:r>
      <w:r w:rsidR="009E2130">
        <w:rPr>
          <w:rFonts w:ascii="Arial" w:hAnsi="Arial" w:cs="Arial"/>
          <w:sz w:val="24"/>
          <w:szCs w:val="24"/>
        </w:rPr>
        <w:t xml:space="preserve">appealed </w:t>
      </w:r>
      <w:r w:rsidR="009E2130" w:rsidRPr="009E2130">
        <w:rPr>
          <w:rFonts w:ascii="Arial" w:hAnsi="Arial" w:cs="Arial"/>
          <w:sz w:val="24"/>
          <w:szCs w:val="24"/>
        </w:rPr>
        <w:t xml:space="preserve">against the whole of the arbitration award made by </w:t>
      </w:r>
      <w:r w:rsidR="00A920E6">
        <w:rPr>
          <w:rFonts w:ascii="Arial" w:hAnsi="Arial" w:cs="Arial"/>
          <w:sz w:val="24"/>
          <w:szCs w:val="24"/>
        </w:rPr>
        <w:t>the</w:t>
      </w:r>
      <w:r w:rsidR="009E2130" w:rsidRPr="009E2130">
        <w:rPr>
          <w:rFonts w:ascii="Arial" w:hAnsi="Arial" w:cs="Arial"/>
          <w:sz w:val="24"/>
          <w:szCs w:val="24"/>
        </w:rPr>
        <w:t xml:space="preserve"> arbitrator, under s 86(15) of the Labour Act, 2007. The respondent </w:t>
      </w:r>
      <w:r w:rsidR="002461FF">
        <w:rPr>
          <w:rFonts w:ascii="Arial" w:hAnsi="Arial" w:cs="Arial"/>
          <w:sz w:val="24"/>
          <w:szCs w:val="24"/>
        </w:rPr>
        <w:t xml:space="preserve">(Henry Coetzee) </w:t>
      </w:r>
      <w:r w:rsidR="009E2130" w:rsidRPr="009E2130">
        <w:rPr>
          <w:rFonts w:ascii="Arial" w:hAnsi="Arial" w:cs="Arial"/>
          <w:sz w:val="24"/>
          <w:szCs w:val="24"/>
        </w:rPr>
        <w:t xml:space="preserve">opposed the </w:t>
      </w:r>
      <w:r w:rsidR="00F3747E">
        <w:rPr>
          <w:rFonts w:ascii="Arial" w:hAnsi="Arial" w:cs="Arial"/>
          <w:sz w:val="24"/>
          <w:szCs w:val="24"/>
        </w:rPr>
        <w:t>applicant</w:t>
      </w:r>
      <w:r w:rsidR="009E2130" w:rsidRPr="009E2130">
        <w:rPr>
          <w:rFonts w:ascii="Arial" w:hAnsi="Arial" w:cs="Arial"/>
          <w:sz w:val="24"/>
          <w:szCs w:val="24"/>
        </w:rPr>
        <w:t xml:space="preserve">’s appeal and simultaneously filed a cross-appeal arguing that the arbitrator erred by not ordering the </w:t>
      </w:r>
      <w:r w:rsidR="00F3747E">
        <w:rPr>
          <w:rFonts w:ascii="Arial" w:hAnsi="Arial" w:cs="Arial"/>
          <w:sz w:val="24"/>
          <w:szCs w:val="24"/>
        </w:rPr>
        <w:t xml:space="preserve">applicant </w:t>
      </w:r>
      <w:r w:rsidR="009E2130" w:rsidRPr="009E2130">
        <w:rPr>
          <w:rFonts w:ascii="Arial" w:hAnsi="Arial" w:cs="Arial"/>
          <w:sz w:val="24"/>
          <w:szCs w:val="24"/>
        </w:rPr>
        <w:t>to reinstate him.</w:t>
      </w:r>
    </w:p>
    <w:p w:rsidR="009E2130" w:rsidRDefault="009E2130" w:rsidP="0035048A">
      <w:pPr>
        <w:pStyle w:val="ListParagraph"/>
        <w:spacing w:after="0" w:line="360" w:lineRule="auto"/>
        <w:ind w:left="0"/>
        <w:jc w:val="both"/>
        <w:rPr>
          <w:rFonts w:ascii="Arial" w:hAnsi="Arial" w:cs="Arial"/>
          <w:sz w:val="24"/>
          <w:szCs w:val="24"/>
        </w:rPr>
      </w:pPr>
    </w:p>
    <w:p w:rsidR="00813D1B" w:rsidRPr="0035048A" w:rsidRDefault="00F93510" w:rsidP="0035048A">
      <w:pPr>
        <w:pStyle w:val="ListParagraph"/>
        <w:spacing w:after="0" w:line="360" w:lineRule="auto"/>
        <w:ind w:left="0"/>
        <w:jc w:val="both"/>
        <w:rPr>
          <w:rFonts w:ascii="Arial" w:hAnsi="Arial" w:cs="Arial"/>
          <w:sz w:val="24"/>
          <w:szCs w:val="24"/>
        </w:rPr>
      </w:pPr>
      <w:r>
        <w:rPr>
          <w:rFonts w:ascii="Arial" w:hAnsi="Arial" w:cs="Arial"/>
          <w:sz w:val="24"/>
          <w:szCs w:val="24"/>
        </w:rPr>
        <w:t>[4</w:t>
      </w:r>
      <w:r w:rsidR="002C7C6F">
        <w:rPr>
          <w:rFonts w:ascii="Arial" w:hAnsi="Arial" w:cs="Arial"/>
          <w:sz w:val="24"/>
          <w:szCs w:val="24"/>
        </w:rPr>
        <w:t>]</w:t>
      </w:r>
      <w:r w:rsidR="002C7C6F">
        <w:rPr>
          <w:rFonts w:ascii="Arial" w:hAnsi="Arial" w:cs="Arial"/>
          <w:sz w:val="24"/>
          <w:szCs w:val="24"/>
        </w:rPr>
        <w:tab/>
      </w:r>
      <w:r w:rsidR="002461FF">
        <w:rPr>
          <w:rFonts w:ascii="Arial" w:hAnsi="Arial" w:cs="Arial"/>
          <w:sz w:val="24"/>
          <w:szCs w:val="24"/>
        </w:rPr>
        <w:t>In the Labour Court the app</w:t>
      </w:r>
      <w:r w:rsidR="00F3747E">
        <w:rPr>
          <w:rFonts w:ascii="Arial" w:hAnsi="Arial" w:cs="Arial"/>
          <w:sz w:val="24"/>
          <w:szCs w:val="24"/>
        </w:rPr>
        <w:t>licant</w:t>
      </w:r>
      <w:r w:rsidR="002461FF">
        <w:rPr>
          <w:rFonts w:ascii="Arial" w:hAnsi="Arial" w:cs="Arial"/>
          <w:sz w:val="24"/>
          <w:szCs w:val="24"/>
        </w:rPr>
        <w:t xml:space="preserve"> appealed </w:t>
      </w:r>
      <w:r w:rsidR="0035048A" w:rsidRPr="0035048A">
        <w:rPr>
          <w:rFonts w:ascii="Arial" w:hAnsi="Arial" w:cs="Arial"/>
          <w:sz w:val="24"/>
          <w:szCs w:val="24"/>
        </w:rPr>
        <w:t xml:space="preserve">against </w:t>
      </w:r>
      <w:r w:rsidR="0035048A">
        <w:rPr>
          <w:rFonts w:ascii="Arial" w:hAnsi="Arial" w:cs="Arial"/>
          <w:sz w:val="24"/>
          <w:szCs w:val="24"/>
        </w:rPr>
        <w:t xml:space="preserve">the whole of the arbitration </w:t>
      </w:r>
      <w:r w:rsidR="0035048A" w:rsidRPr="0035048A">
        <w:rPr>
          <w:rFonts w:ascii="Arial" w:hAnsi="Arial" w:cs="Arial"/>
          <w:sz w:val="24"/>
          <w:szCs w:val="24"/>
        </w:rPr>
        <w:t xml:space="preserve">award made by </w:t>
      </w:r>
      <w:r w:rsidR="00A920E6">
        <w:rPr>
          <w:rFonts w:ascii="Arial" w:hAnsi="Arial" w:cs="Arial"/>
          <w:sz w:val="24"/>
          <w:szCs w:val="24"/>
        </w:rPr>
        <w:t>the</w:t>
      </w:r>
      <w:r w:rsidR="00C82973">
        <w:rPr>
          <w:rFonts w:ascii="Arial" w:hAnsi="Arial" w:cs="Arial"/>
          <w:sz w:val="24"/>
          <w:szCs w:val="24"/>
        </w:rPr>
        <w:t xml:space="preserve"> arbitrator</w:t>
      </w:r>
      <w:r w:rsidR="0035048A" w:rsidRPr="0035048A">
        <w:rPr>
          <w:rFonts w:ascii="Arial" w:hAnsi="Arial" w:cs="Arial"/>
          <w:sz w:val="24"/>
          <w:szCs w:val="24"/>
        </w:rPr>
        <w:t xml:space="preserve"> under s</w:t>
      </w:r>
      <w:r w:rsidR="00C82973">
        <w:rPr>
          <w:rFonts w:ascii="Arial" w:hAnsi="Arial" w:cs="Arial"/>
          <w:sz w:val="24"/>
          <w:szCs w:val="24"/>
        </w:rPr>
        <w:t xml:space="preserve"> 86(15) of the Labour Act, 2007</w:t>
      </w:r>
      <w:r w:rsidR="0035048A" w:rsidRPr="0035048A">
        <w:rPr>
          <w:rFonts w:ascii="Arial" w:hAnsi="Arial" w:cs="Arial"/>
          <w:sz w:val="24"/>
          <w:szCs w:val="24"/>
        </w:rPr>
        <w:t xml:space="preserve"> on</w:t>
      </w:r>
      <w:r w:rsidR="0035048A">
        <w:rPr>
          <w:rFonts w:ascii="Arial" w:hAnsi="Arial" w:cs="Arial"/>
          <w:sz w:val="24"/>
          <w:szCs w:val="24"/>
        </w:rPr>
        <w:t xml:space="preserve"> 16 April 201</w:t>
      </w:r>
      <w:r w:rsidR="00A920E6">
        <w:rPr>
          <w:rFonts w:ascii="Arial" w:hAnsi="Arial" w:cs="Arial"/>
          <w:sz w:val="24"/>
          <w:szCs w:val="24"/>
        </w:rPr>
        <w:t>5</w:t>
      </w:r>
      <w:r w:rsidR="0035048A" w:rsidRPr="0035048A">
        <w:t xml:space="preserve"> </w:t>
      </w:r>
      <w:r w:rsidR="0035048A" w:rsidRPr="0035048A">
        <w:rPr>
          <w:rFonts w:ascii="Arial" w:hAnsi="Arial" w:cs="Arial"/>
          <w:sz w:val="24"/>
          <w:szCs w:val="24"/>
        </w:rPr>
        <w:t xml:space="preserve">holding that the respondent was unfairly dismissed by the </w:t>
      </w:r>
      <w:r w:rsidR="00236E05" w:rsidRPr="00DC6439">
        <w:rPr>
          <w:rFonts w:ascii="Arial" w:hAnsi="Arial" w:cs="Arial"/>
          <w:sz w:val="24"/>
          <w:szCs w:val="24"/>
        </w:rPr>
        <w:t>applicant</w:t>
      </w:r>
      <w:r w:rsidR="0035048A" w:rsidRPr="00DC6439">
        <w:rPr>
          <w:rFonts w:ascii="Arial" w:hAnsi="Arial" w:cs="Arial"/>
          <w:sz w:val="24"/>
          <w:szCs w:val="24"/>
        </w:rPr>
        <w:t xml:space="preserve"> </w:t>
      </w:r>
      <w:r w:rsidR="0035048A" w:rsidRPr="0035048A">
        <w:rPr>
          <w:rFonts w:ascii="Arial" w:hAnsi="Arial" w:cs="Arial"/>
          <w:sz w:val="24"/>
          <w:szCs w:val="24"/>
        </w:rPr>
        <w:t xml:space="preserve">and, for that reason, </w:t>
      </w:r>
      <w:r w:rsidR="00813D1B">
        <w:rPr>
          <w:rFonts w:ascii="Arial" w:hAnsi="Arial" w:cs="Arial"/>
          <w:sz w:val="24"/>
          <w:szCs w:val="24"/>
        </w:rPr>
        <w:t>order</w:t>
      </w:r>
      <w:r w:rsidR="00F3747E">
        <w:rPr>
          <w:rFonts w:ascii="Arial" w:hAnsi="Arial" w:cs="Arial"/>
          <w:sz w:val="24"/>
          <w:szCs w:val="24"/>
        </w:rPr>
        <w:t>ed</w:t>
      </w:r>
      <w:r w:rsidR="00813D1B">
        <w:rPr>
          <w:rFonts w:ascii="Arial" w:hAnsi="Arial" w:cs="Arial"/>
          <w:sz w:val="24"/>
          <w:szCs w:val="24"/>
        </w:rPr>
        <w:t xml:space="preserve"> the </w:t>
      </w:r>
      <w:r w:rsidR="00F3747E">
        <w:rPr>
          <w:rFonts w:ascii="Arial" w:hAnsi="Arial" w:cs="Arial"/>
          <w:sz w:val="24"/>
          <w:szCs w:val="24"/>
        </w:rPr>
        <w:t>applicant to compensate the respondent</w:t>
      </w:r>
      <w:r w:rsidR="00813D1B">
        <w:rPr>
          <w:rFonts w:ascii="Arial" w:hAnsi="Arial" w:cs="Arial"/>
          <w:sz w:val="24"/>
          <w:szCs w:val="24"/>
        </w:rPr>
        <w:t xml:space="preserve"> for 16 months’ loss of income.</w:t>
      </w:r>
      <w:r w:rsidR="0035048A" w:rsidRPr="0035048A">
        <w:rPr>
          <w:rFonts w:ascii="Arial" w:hAnsi="Arial" w:cs="Arial"/>
          <w:sz w:val="24"/>
          <w:szCs w:val="24"/>
        </w:rPr>
        <w:t xml:space="preserve"> </w:t>
      </w:r>
      <w:r w:rsidR="002461FF">
        <w:rPr>
          <w:rFonts w:ascii="Arial" w:hAnsi="Arial" w:cs="Arial"/>
          <w:sz w:val="24"/>
          <w:szCs w:val="24"/>
        </w:rPr>
        <w:t>In the Labour Court I dismissed the appeal and found that t</w:t>
      </w:r>
      <w:r w:rsidR="002461FF" w:rsidRPr="002461FF">
        <w:rPr>
          <w:rFonts w:ascii="Arial" w:hAnsi="Arial" w:cs="Arial"/>
          <w:sz w:val="24"/>
          <w:szCs w:val="24"/>
        </w:rPr>
        <w:t>he dism</w:t>
      </w:r>
      <w:r w:rsidR="002461FF">
        <w:rPr>
          <w:rFonts w:ascii="Arial" w:hAnsi="Arial" w:cs="Arial"/>
          <w:sz w:val="24"/>
          <w:szCs w:val="24"/>
        </w:rPr>
        <w:t>issal of Henry Denzil Coetzee was</w:t>
      </w:r>
      <w:r w:rsidR="002461FF" w:rsidRPr="002461FF">
        <w:rPr>
          <w:rFonts w:ascii="Arial" w:hAnsi="Arial" w:cs="Arial"/>
          <w:sz w:val="24"/>
          <w:szCs w:val="24"/>
        </w:rPr>
        <w:t xml:space="preserve"> substa</w:t>
      </w:r>
      <w:r w:rsidR="002461FF">
        <w:rPr>
          <w:rFonts w:ascii="Arial" w:hAnsi="Arial" w:cs="Arial"/>
          <w:sz w:val="24"/>
          <w:szCs w:val="24"/>
        </w:rPr>
        <w:t>ntively and procedurally unfair and ordered t</w:t>
      </w:r>
      <w:r w:rsidR="002461FF" w:rsidRPr="002461FF">
        <w:rPr>
          <w:rFonts w:ascii="Arial" w:hAnsi="Arial" w:cs="Arial"/>
          <w:sz w:val="24"/>
          <w:szCs w:val="24"/>
        </w:rPr>
        <w:t xml:space="preserve">he </w:t>
      </w:r>
      <w:r w:rsidR="001E15CA">
        <w:rPr>
          <w:rFonts w:ascii="Arial" w:hAnsi="Arial" w:cs="Arial"/>
          <w:sz w:val="24"/>
          <w:szCs w:val="24"/>
        </w:rPr>
        <w:t>applicant</w:t>
      </w:r>
      <w:r w:rsidR="002461FF" w:rsidRPr="002461FF">
        <w:rPr>
          <w:rFonts w:ascii="Arial" w:hAnsi="Arial" w:cs="Arial"/>
          <w:sz w:val="24"/>
          <w:szCs w:val="24"/>
        </w:rPr>
        <w:t xml:space="preserve"> to reinstate Mr. Henry Denzil Coetzee and to pay him an amount equal to the monthly remuneration he would have received had he not been unfairly dismissed.</w:t>
      </w:r>
    </w:p>
    <w:p w:rsidR="00D346F0" w:rsidRDefault="00D346F0" w:rsidP="00CF0757">
      <w:pPr>
        <w:pStyle w:val="ListParagraph"/>
        <w:spacing w:after="0" w:line="360" w:lineRule="auto"/>
        <w:ind w:left="0"/>
        <w:jc w:val="both"/>
        <w:rPr>
          <w:rFonts w:ascii="Arial" w:hAnsi="Arial" w:cs="Arial"/>
          <w:sz w:val="24"/>
          <w:szCs w:val="24"/>
        </w:rPr>
      </w:pPr>
    </w:p>
    <w:p w:rsidR="0027628F" w:rsidRDefault="00F93510" w:rsidP="00CF0757">
      <w:pPr>
        <w:pStyle w:val="ListParagraph"/>
        <w:spacing w:after="0" w:line="360" w:lineRule="auto"/>
        <w:ind w:left="0"/>
        <w:jc w:val="both"/>
        <w:rPr>
          <w:rFonts w:ascii="Arial" w:hAnsi="Arial" w:cs="Arial"/>
          <w:sz w:val="24"/>
          <w:szCs w:val="24"/>
        </w:rPr>
      </w:pPr>
      <w:r>
        <w:rPr>
          <w:rFonts w:ascii="Arial" w:hAnsi="Arial" w:cs="Arial"/>
          <w:sz w:val="24"/>
          <w:szCs w:val="24"/>
        </w:rPr>
        <w:t>[5</w:t>
      </w:r>
      <w:r w:rsidR="002C7C6F">
        <w:rPr>
          <w:rFonts w:ascii="Arial" w:hAnsi="Arial" w:cs="Arial"/>
          <w:sz w:val="24"/>
          <w:szCs w:val="24"/>
        </w:rPr>
        <w:t>]</w:t>
      </w:r>
      <w:r w:rsidR="002C7C6F">
        <w:rPr>
          <w:rFonts w:ascii="Arial" w:hAnsi="Arial" w:cs="Arial"/>
          <w:sz w:val="24"/>
          <w:szCs w:val="24"/>
        </w:rPr>
        <w:tab/>
      </w:r>
      <w:r w:rsidR="00E33646">
        <w:rPr>
          <w:rFonts w:ascii="Arial" w:hAnsi="Arial" w:cs="Arial"/>
          <w:sz w:val="24"/>
          <w:szCs w:val="24"/>
        </w:rPr>
        <w:t xml:space="preserve">The </w:t>
      </w:r>
      <w:r w:rsidR="00600273">
        <w:rPr>
          <w:rFonts w:ascii="Arial" w:hAnsi="Arial" w:cs="Arial"/>
          <w:sz w:val="24"/>
          <w:szCs w:val="24"/>
        </w:rPr>
        <w:t>applicant</w:t>
      </w:r>
      <w:r w:rsidR="00E33646" w:rsidRPr="00E33646">
        <w:rPr>
          <w:rFonts w:ascii="Arial" w:hAnsi="Arial" w:cs="Arial"/>
          <w:sz w:val="24"/>
          <w:szCs w:val="24"/>
        </w:rPr>
        <w:t xml:space="preserve"> </w:t>
      </w:r>
      <w:r w:rsidR="00D37D97">
        <w:rPr>
          <w:rFonts w:ascii="Arial" w:hAnsi="Arial" w:cs="Arial"/>
          <w:sz w:val="24"/>
          <w:szCs w:val="24"/>
        </w:rPr>
        <w:t>is</w:t>
      </w:r>
      <w:r w:rsidR="00E33646" w:rsidRPr="00E33646">
        <w:rPr>
          <w:rFonts w:ascii="Arial" w:hAnsi="Arial" w:cs="Arial"/>
          <w:sz w:val="24"/>
          <w:szCs w:val="24"/>
        </w:rPr>
        <w:t xml:space="preserve"> not happy with the order</w:t>
      </w:r>
      <w:r w:rsidR="00D37D97">
        <w:rPr>
          <w:rFonts w:ascii="Arial" w:hAnsi="Arial" w:cs="Arial"/>
          <w:sz w:val="24"/>
          <w:szCs w:val="24"/>
        </w:rPr>
        <w:t xml:space="preserve"> I</w:t>
      </w:r>
      <w:r w:rsidR="00E33646" w:rsidRPr="00E33646">
        <w:rPr>
          <w:rFonts w:ascii="Arial" w:hAnsi="Arial" w:cs="Arial"/>
          <w:sz w:val="24"/>
          <w:szCs w:val="24"/>
        </w:rPr>
        <w:t xml:space="preserve"> made </w:t>
      </w:r>
      <w:r w:rsidR="00D37D97">
        <w:rPr>
          <w:rFonts w:ascii="Arial" w:hAnsi="Arial" w:cs="Arial"/>
          <w:sz w:val="24"/>
          <w:szCs w:val="24"/>
        </w:rPr>
        <w:t xml:space="preserve">in </w:t>
      </w:r>
      <w:r w:rsidR="00E33646" w:rsidRPr="00E33646">
        <w:rPr>
          <w:rFonts w:ascii="Arial" w:hAnsi="Arial" w:cs="Arial"/>
          <w:sz w:val="24"/>
          <w:szCs w:val="24"/>
        </w:rPr>
        <w:t xml:space="preserve">this </w:t>
      </w:r>
      <w:r w:rsidR="00E04391">
        <w:rPr>
          <w:rFonts w:ascii="Arial" w:hAnsi="Arial" w:cs="Arial"/>
          <w:sz w:val="24"/>
          <w:szCs w:val="24"/>
        </w:rPr>
        <w:t>C</w:t>
      </w:r>
      <w:r w:rsidR="00E33646" w:rsidRPr="00E33646">
        <w:rPr>
          <w:rFonts w:ascii="Arial" w:hAnsi="Arial" w:cs="Arial"/>
          <w:sz w:val="24"/>
          <w:szCs w:val="24"/>
        </w:rPr>
        <w:t>o</w:t>
      </w:r>
      <w:r w:rsidR="00E33646">
        <w:rPr>
          <w:rFonts w:ascii="Arial" w:hAnsi="Arial" w:cs="Arial"/>
          <w:sz w:val="24"/>
          <w:szCs w:val="24"/>
        </w:rPr>
        <w:t xml:space="preserve">urt and it accordingly </w:t>
      </w:r>
      <w:r w:rsidR="00E04391">
        <w:rPr>
          <w:rFonts w:ascii="Arial" w:hAnsi="Arial" w:cs="Arial"/>
          <w:sz w:val="24"/>
          <w:szCs w:val="24"/>
        </w:rPr>
        <w:t>gave</w:t>
      </w:r>
      <w:r w:rsidR="00E33646">
        <w:rPr>
          <w:rFonts w:ascii="Arial" w:hAnsi="Arial" w:cs="Arial"/>
          <w:sz w:val="24"/>
          <w:szCs w:val="24"/>
        </w:rPr>
        <w:t xml:space="preserve"> notice of</w:t>
      </w:r>
      <w:r w:rsidR="00E04391">
        <w:rPr>
          <w:rFonts w:ascii="Arial" w:hAnsi="Arial" w:cs="Arial"/>
          <w:sz w:val="24"/>
          <w:szCs w:val="24"/>
        </w:rPr>
        <w:t xml:space="preserve"> its intention to</w:t>
      </w:r>
      <w:r w:rsidR="00E33646" w:rsidRPr="00E33646">
        <w:rPr>
          <w:rFonts w:ascii="Arial" w:hAnsi="Arial" w:cs="Arial"/>
          <w:sz w:val="24"/>
          <w:szCs w:val="24"/>
        </w:rPr>
        <w:t xml:space="preserve"> appeal </w:t>
      </w:r>
      <w:r w:rsidR="00E04391">
        <w:rPr>
          <w:rFonts w:ascii="Arial" w:hAnsi="Arial" w:cs="Arial"/>
          <w:sz w:val="24"/>
          <w:szCs w:val="24"/>
        </w:rPr>
        <w:t>against the judgment and orders made by this Court. On</w:t>
      </w:r>
      <w:r w:rsidR="00AD47EB">
        <w:rPr>
          <w:rFonts w:ascii="Arial" w:hAnsi="Arial" w:cs="Arial"/>
          <w:sz w:val="24"/>
          <w:szCs w:val="24"/>
        </w:rPr>
        <w:t xml:space="preserve"> 27 January 2017 </w:t>
      </w:r>
      <w:r w:rsidR="00576D2D">
        <w:rPr>
          <w:rFonts w:ascii="Arial" w:hAnsi="Arial" w:cs="Arial"/>
          <w:sz w:val="24"/>
          <w:szCs w:val="24"/>
        </w:rPr>
        <w:t xml:space="preserve">the applicant </w:t>
      </w:r>
      <w:r w:rsidR="00E04391">
        <w:rPr>
          <w:rFonts w:ascii="Arial" w:hAnsi="Arial" w:cs="Arial"/>
          <w:sz w:val="24"/>
          <w:szCs w:val="24"/>
        </w:rPr>
        <w:t xml:space="preserve">launched these proceedings </w:t>
      </w:r>
      <w:r w:rsidR="0001274D">
        <w:rPr>
          <w:rFonts w:ascii="Arial" w:hAnsi="Arial" w:cs="Arial"/>
          <w:sz w:val="24"/>
          <w:szCs w:val="24"/>
        </w:rPr>
        <w:t>seeking</w:t>
      </w:r>
      <w:r w:rsidR="00AD47EB">
        <w:rPr>
          <w:rFonts w:ascii="Arial" w:hAnsi="Arial" w:cs="Arial"/>
          <w:sz w:val="24"/>
          <w:szCs w:val="24"/>
        </w:rPr>
        <w:t xml:space="preserve"> leave to appeal</w:t>
      </w:r>
      <w:r w:rsidR="0001274D">
        <w:rPr>
          <w:rFonts w:ascii="Arial" w:hAnsi="Arial" w:cs="Arial"/>
          <w:sz w:val="24"/>
          <w:szCs w:val="24"/>
        </w:rPr>
        <w:t xml:space="preserve"> </w:t>
      </w:r>
      <w:r w:rsidR="00E33646" w:rsidRPr="00E33646">
        <w:rPr>
          <w:rFonts w:ascii="Arial" w:hAnsi="Arial" w:cs="Arial"/>
          <w:sz w:val="24"/>
          <w:szCs w:val="24"/>
        </w:rPr>
        <w:t xml:space="preserve">against the </w:t>
      </w:r>
      <w:r w:rsidR="00E04391">
        <w:rPr>
          <w:rFonts w:ascii="Arial" w:hAnsi="Arial" w:cs="Arial"/>
          <w:sz w:val="24"/>
          <w:szCs w:val="24"/>
        </w:rPr>
        <w:t xml:space="preserve">judgment and </w:t>
      </w:r>
      <w:r w:rsidR="00576D2D">
        <w:rPr>
          <w:rFonts w:ascii="Arial" w:hAnsi="Arial" w:cs="Arial"/>
          <w:sz w:val="24"/>
          <w:szCs w:val="24"/>
        </w:rPr>
        <w:t>orders of this</w:t>
      </w:r>
      <w:r w:rsidR="00E33646" w:rsidRPr="00E33646">
        <w:rPr>
          <w:rFonts w:ascii="Arial" w:hAnsi="Arial" w:cs="Arial"/>
          <w:sz w:val="24"/>
          <w:szCs w:val="24"/>
        </w:rPr>
        <w:t xml:space="preserve"> Court to the Supreme Court. </w:t>
      </w:r>
    </w:p>
    <w:p w:rsidR="0027628F" w:rsidRDefault="0027628F" w:rsidP="00CF0757">
      <w:pPr>
        <w:pStyle w:val="ListParagraph"/>
        <w:spacing w:after="0" w:line="360" w:lineRule="auto"/>
        <w:ind w:left="0"/>
        <w:jc w:val="both"/>
        <w:rPr>
          <w:rFonts w:ascii="Arial" w:hAnsi="Arial" w:cs="Arial"/>
          <w:sz w:val="24"/>
          <w:szCs w:val="24"/>
        </w:rPr>
      </w:pPr>
    </w:p>
    <w:p w:rsidR="00583BA6" w:rsidRDefault="00F93510" w:rsidP="00CF075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[6</w:t>
      </w:r>
      <w:r w:rsidR="0079572C">
        <w:rPr>
          <w:rFonts w:ascii="Arial" w:hAnsi="Arial" w:cs="Arial"/>
          <w:sz w:val="24"/>
          <w:szCs w:val="24"/>
        </w:rPr>
        <w:t>]</w:t>
      </w:r>
      <w:r w:rsidR="0079572C">
        <w:rPr>
          <w:rFonts w:ascii="Arial" w:hAnsi="Arial" w:cs="Arial"/>
          <w:sz w:val="24"/>
          <w:szCs w:val="24"/>
        </w:rPr>
        <w:tab/>
      </w:r>
      <w:r w:rsidR="006969E6">
        <w:rPr>
          <w:rFonts w:ascii="Arial" w:hAnsi="Arial" w:cs="Arial"/>
          <w:sz w:val="24"/>
          <w:szCs w:val="24"/>
        </w:rPr>
        <w:t>T</w:t>
      </w:r>
      <w:r w:rsidR="006969E6" w:rsidRPr="006969E6">
        <w:rPr>
          <w:rFonts w:ascii="Arial" w:hAnsi="Arial" w:cs="Arial"/>
          <w:sz w:val="24"/>
          <w:szCs w:val="24"/>
        </w:rPr>
        <w:t xml:space="preserve">he application for leave to appeal is opposed by </w:t>
      </w:r>
      <w:r w:rsidR="00600273">
        <w:rPr>
          <w:rFonts w:ascii="Arial" w:hAnsi="Arial" w:cs="Arial"/>
          <w:sz w:val="24"/>
          <w:szCs w:val="24"/>
        </w:rPr>
        <w:t xml:space="preserve">the </w:t>
      </w:r>
      <w:r w:rsidR="006969E6">
        <w:rPr>
          <w:rFonts w:ascii="Arial" w:hAnsi="Arial" w:cs="Arial"/>
          <w:sz w:val="24"/>
          <w:szCs w:val="24"/>
        </w:rPr>
        <w:t xml:space="preserve">respondent. </w:t>
      </w:r>
      <w:r w:rsidR="00984314">
        <w:rPr>
          <w:rFonts w:ascii="Arial" w:hAnsi="Arial" w:cs="Arial"/>
          <w:sz w:val="24"/>
          <w:szCs w:val="24"/>
        </w:rPr>
        <w:t>The</w:t>
      </w:r>
      <w:r w:rsidR="00984314" w:rsidRPr="00984314">
        <w:rPr>
          <w:rFonts w:ascii="Arial" w:hAnsi="Arial" w:cs="Arial"/>
          <w:sz w:val="24"/>
          <w:szCs w:val="24"/>
        </w:rPr>
        <w:t xml:space="preserve"> primary</w:t>
      </w:r>
      <w:r w:rsidR="00984314">
        <w:rPr>
          <w:rFonts w:ascii="Arial" w:hAnsi="Arial" w:cs="Arial"/>
          <w:sz w:val="24"/>
          <w:szCs w:val="24"/>
        </w:rPr>
        <w:t xml:space="preserve"> objection of the </w:t>
      </w:r>
      <w:r w:rsidR="00984314" w:rsidRPr="00984314">
        <w:rPr>
          <w:rFonts w:ascii="Arial" w:hAnsi="Arial" w:cs="Arial"/>
          <w:sz w:val="24"/>
          <w:szCs w:val="24"/>
        </w:rPr>
        <w:t>respondent, represented by Mr. Namandje,</w:t>
      </w:r>
      <w:r w:rsidR="00AD6136">
        <w:rPr>
          <w:rFonts w:ascii="Arial" w:hAnsi="Arial" w:cs="Arial"/>
          <w:sz w:val="24"/>
          <w:szCs w:val="24"/>
        </w:rPr>
        <w:t xml:space="preserve"> is that</w:t>
      </w:r>
      <w:r w:rsidR="00984314">
        <w:rPr>
          <w:rFonts w:ascii="Arial" w:hAnsi="Arial" w:cs="Arial"/>
          <w:sz w:val="24"/>
          <w:szCs w:val="24"/>
        </w:rPr>
        <w:t xml:space="preserve"> </w:t>
      </w:r>
      <w:r w:rsidR="00984314" w:rsidRPr="00984314">
        <w:rPr>
          <w:rFonts w:ascii="Arial" w:hAnsi="Arial" w:cs="Arial"/>
          <w:sz w:val="24"/>
          <w:szCs w:val="24"/>
        </w:rPr>
        <w:t xml:space="preserve">the </w:t>
      </w:r>
      <w:r w:rsidR="0027628F">
        <w:rPr>
          <w:rFonts w:ascii="Arial" w:hAnsi="Arial" w:cs="Arial"/>
          <w:sz w:val="24"/>
          <w:szCs w:val="24"/>
        </w:rPr>
        <w:t xml:space="preserve">application for leave </w:t>
      </w:r>
      <w:r w:rsidR="00AD6136">
        <w:rPr>
          <w:rFonts w:ascii="Arial" w:hAnsi="Arial" w:cs="Arial"/>
          <w:sz w:val="24"/>
          <w:szCs w:val="24"/>
        </w:rPr>
        <w:t>to appeal</w:t>
      </w:r>
      <w:r w:rsidR="0027628F">
        <w:rPr>
          <w:rFonts w:ascii="Arial" w:hAnsi="Arial" w:cs="Arial"/>
          <w:sz w:val="24"/>
          <w:szCs w:val="24"/>
        </w:rPr>
        <w:t xml:space="preserve"> </w:t>
      </w:r>
      <w:r w:rsidR="00AD6136">
        <w:rPr>
          <w:rFonts w:ascii="Arial" w:hAnsi="Arial" w:cs="Arial"/>
          <w:sz w:val="24"/>
          <w:szCs w:val="24"/>
        </w:rPr>
        <w:t>is defective</w:t>
      </w:r>
      <w:r w:rsidR="00343E0D">
        <w:rPr>
          <w:rFonts w:ascii="Arial" w:hAnsi="Arial" w:cs="Arial"/>
          <w:sz w:val="24"/>
          <w:szCs w:val="24"/>
        </w:rPr>
        <w:t xml:space="preserve"> and that the </w:t>
      </w:r>
      <w:r w:rsidR="00984314">
        <w:rPr>
          <w:rFonts w:ascii="Arial" w:hAnsi="Arial" w:cs="Arial"/>
          <w:sz w:val="24"/>
          <w:szCs w:val="24"/>
        </w:rPr>
        <w:t>notice does not comply</w:t>
      </w:r>
      <w:r w:rsidR="00343E0D">
        <w:rPr>
          <w:rFonts w:ascii="Arial" w:hAnsi="Arial" w:cs="Arial"/>
          <w:sz w:val="24"/>
          <w:szCs w:val="24"/>
        </w:rPr>
        <w:t xml:space="preserve"> with section 89 of the </w:t>
      </w:r>
      <w:r w:rsidR="006969E6">
        <w:rPr>
          <w:rFonts w:ascii="Arial" w:hAnsi="Arial" w:cs="Arial"/>
          <w:sz w:val="24"/>
          <w:szCs w:val="24"/>
        </w:rPr>
        <w:t>Labour Act</w:t>
      </w:r>
      <w:r w:rsidR="00AD6136">
        <w:rPr>
          <w:rFonts w:ascii="Arial" w:hAnsi="Arial" w:cs="Arial"/>
          <w:sz w:val="24"/>
          <w:szCs w:val="24"/>
        </w:rPr>
        <w:t>, 2007</w:t>
      </w:r>
      <w:r w:rsidR="006969E6">
        <w:rPr>
          <w:rFonts w:ascii="Arial" w:hAnsi="Arial" w:cs="Arial"/>
          <w:sz w:val="24"/>
          <w:szCs w:val="24"/>
        </w:rPr>
        <w:t>.</w:t>
      </w:r>
    </w:p>
    <w:p w:rsidR="00D70991" w:rsidRDefault="00D70991" w:rsidP="00343E0D">
      <w:pPr>
        <w:rPr>
          <w:rFonts w:ascii="Arial" w:hAnsi="Arial" w:cs="Arial"/>
          <w:sz w:val="24"/>
          <w:szCs w:val="24"/>
          <w:u w:val="single"/>
        </w:rPr>
      </w:pPr>
    </w:p>
    <w:p w:rsidR="00343E0D" w:rsidRPr="00D346F0" w:rsidRDefault="00343E0D" w:rsidP="00343E0D">
      <w:pPr>
        <w:rPr>
          <w:rFonts w:ascii="Arial" w:hAnsi="Arial" w:cs="Arial"/>
          <w:sz w:val="24"/>
          <w:szCs w:val="24"/>
          <w:u w:val="single"/>
        </w:rPr>
      </w:pPr>
      <w:r w:rsidRPr="00D346F0">
        <w:rPr>
          <w:rFonts w:ascii="Arial" w:hAnsi="Arial" w:cs="Arial"/>
          <w:sz w:val="24"/>
          <w:szCs w:val="24"/>
          <w:u w:val="single"/>
        </w:rPr>
        <w:t>The applicable legal principles</w:t>
      </w:r>
    </w:p>
    <w:p w:rsidR="002C7C6F" w:rsidRPr="0079572C" w:rsidRDefault="002C7C6F" w:rsidP="0079572C">
      <w:pPr>
        <w:tabs>
          <w:tab w:val="left" w:pos="720"/>
        </w:tabs>
        <w:spacing w:after="0" w:line="360" w:lineRule="auto"/>
        <w:jc w:val="both"/>
        <w:rPr>
          <w:rFonts w:ascii="Arial" w:hAnsi="Arial" w:cs="Arial"/>
          <w:sz w:val="24"/>
          <w:szCs w:val="24"/>
        </w:rPr>
      </w:pPr>
    </w:p>
    <w:p w:rsidR="002C7C6F" w:rsidRDefault="00F93510" w:rsidP="0079572C">
      <w:pPr>
        <w:tabs>
          <w:tab w:val="left" w:pos="720"/>
        </w:tabs>
        <w:spacing w:after="0" w:line="360" w:lineRule="auto"/>
        <w:jc w:val="both"/>
        <w:rPr>
          <w:rFonts w:ascii="Arial" w:hAnsi="Arial" w:cs="Arial"/>
          <w:sz w:val="24"/>
          <w:szCs w:val="24"/>
        </w:rPr>
      </w:pPr>
      <w:r>
        <w:rPr>
          <w:rFonts w:ascii="Arial" w:hAnsi="Arial" w:cs="Arial"/>
          <w:sz w:val="24"/>
          <w:szCs w:val="24"/>
        </w:rPr>
        <w:t>[7</w:t>
      </w:r>
      <w:r w:rsidR="00343E0D">
        <w:rPr>
          <w:rFonts w:ascii="Arial" w:hAnsi="Arial" w:cs="Arial"/>
          <w:sz w:val="24"/>
          <w:szCs w:val="24"/>
        </w:rPr>
        <w:t>]</w:t>
      </w:r>
      <w:r w:rsidR="00343E0D">
        <w:rPr>
          <w:rFonts w:ascii="Arial" w:hAnsi="Arial" w:cs="Arial"/>
          <w:sz w:val="24"/>
          <w:szCs w:val="24"/>
        </w:rPr>
        <w:tab/>
      </w:r>
      <w:r w:rsidR="00343E0D" w:rsidRPr="00343E0D">
        <w:rPr>
          <w:rFonts w:ascii="Arial" w:hAnsi="Arial" w:cs="Arial"/>
          <w:sz w:val="24"/>
          <w:szCs w:val="24"/>
        </w:rPr>
        <w:t>Labour Relations in Namibia are governed by the Labour Act, 2007</w:t>
      </w:r>
      <w:r w:rsidR="00343E0D">
        <w:rPr>
          <w:rStyle w:val="FootnoteReference"/>
          <w:rFonts w:ascii="Arial" w:hAnsi="Arial" w:cs="Arial"/>
          <w:sz w:val="24"/>
          <w:szCs w:val="24"/>
        </w:rPr>
        <w:footnoteReference w:id="1"/>
      </w:r>
      <w:r w:rsidR="00343E0D">
        <w:rPr>
          <w:rFonts w:ascii="Arial" w:hAnsi="Arial" w:cs="Arial"/>
          <w:sz w:val="24"/>
          <w:szCs w:val="24"/>
        </w:rPr>
        <w:t xml:space="preserve"> </w:t>
      </w:r>
      <w:r w:rsidR="00343E0D" w:rsidRPr="00343E0D">
        <w:rPr>
          <w:rFonts w:ascii="Arial" w:hAnsi="Arial" w:cs="Arial"/>
          <w:sz w:val="24"/>
          <w:szCs w:val="24"/>
        </w:rPr>
        <w:t>the section</w:t>
      </w:r>
      <w:r w:rsidR="00343E0D">
        <w:rPr>
          <w:rFonts w:ascii="Arial" w:hAnsi="Arial" w:cs="Arial"/>
          <w:sz w:val="24"/>
          <w:szCs w:val="24"/>
        </w:rPr>
        <w:t xml:space="preserve"> that is relevant for purposes of leave to appeal is s 89</w:t>
      </w:r>
      <w:r w:rsidR="00343E0D" w:rsidRPr="00343E0D">
        <w:rPr>
          <w:rFonts w:ascii="Arial" w:hAnsi="Arial" w:cs="Arial"/>
          <w:sz w:val="24"/>
          <w:szCs w:val="24"/>
        </w:rPr>
        <w:t>. That section reads as follows:</w:t>
      </w:r>
    </w:p>
    <w:p w:rsidR="00343E0D" w:rsidRDefault="00343E0D" w:rsidP="0079572C">
      <w:pPr>
        <w:tabs>
          <w:tab w:val="left" w:pos="720"/>
        </w:tabs>
        <w:spacing w:after="0" w:line="360" w:lineRule="auto"/>
        <w:jc w:val="both"/>
        <w:rPr>
          <w:rFonts w:ascii="Arial" w:hAnsi="Arial" w:cs="Arial"/>
          <w:sz w:val="24"/>
          <w:szCs w:val="24"/>
        </w:rPr>
      </w:pPr>
    </w:p>
    <w:p w:rsidR="006C5AB4" w:rsidRPr="00B530F7" w:rsidRDefault="00343E0D" w:rsidP="00175294">
      <w:pPr>
        <w:tabs>
          <w:tab w:val="left" w:pos="720"/>
        </w:tabs>
        <w:spacing w:after="0" w:line="360" w:lineRule="auto"/>
        <w:ind w:left="720"/>
        <w:jc w:val="both"/>
        <w:rPr>
          <w:rFonts w:ascii="Arial" w:hAnsi="Arial" w:cs="Arial"/>
        </w:rPr>
      </w:pPr>
      <w:r w:rsidRPr="00B530F7">
        <w:rPr>
          <w:rFonts w:ascii="Arial" w:hAnsi="Arial" w:cs="Arial"/>
        </w:rPr>
        <w:t>‘</w:t>
      </w:r>
      <w:r w:rsidR="00D70991" w:rsidRPr="00B530F7">
        <w:rPr>
          <w:rFonts w:ascii="Arial" w:hAnsi="Arial" w:cs="Arial"/>
          <w:b/>
        </w:rPr>
        <w:t>89</w:t>
      </w:r>
      <w:r w:rsidR="00D70991" w:rsidRPr="00B530F7">
        <w:rPr>
          <w:rFonts w:ascii="Arial" w:hAnsi="Arial" w:cs="Arial"/>
          <w:b/>
        </w:rPr>
        <w:tab/>
      </w:r>
      <w:r w:rsidR="006C5AB4" w:rsidRPr="00B530F7">
        <w:rPr>
          <w:rFonts w:ascii="Arial" w:hAnsi="Arial" w:cs="Arial"/>
          <w:b/>
        </w:rPr>
        <w:t>Appeals or reviews of arbitration awards</w:t>
      </w:r>
    </w:p>
    <w:p w:rsidR="006C5AB4" w:rsidRPr="00B530F7" w:rsidRDefault="006C5AB4" w:rsidP="006C5AB4">
      <w:pPr>
        <w:tabs>
          <w:tab w:val="left" w:pos="720"/>
        </w:tabs>
        <w:spacing w:after="0" w:line="360" w:lineRule="auto"/>
        <w:ind w:left="720" w:hanging="720"/>
        <w:jc w:val="both"/>
        <w:rPr>
          <w:rFonts w:ascii="Arial" w:hAnsi="Arial" w:cs="Arial"/>
        </w:rPr>
      </w:pPr>
    </w:p>
    <w:p w:rsidR="006C5AB4" w:rsidRPr="00B530F7" w:rsidRDefault="006C5AB4" w:rsidP="00B530F7">
      <w:pPr>
        <w:tabs>
          <w:tab w:val="left" w:pos="720"/>
        </w:tabs>
        <w:spacing w:after="0" w:line="360" w:lineRule="auto"/>
        <w:ind w:firstLine="810"/>
        <w:jc w:val="both"/>
        <w:rPr>
          <w:rFonts w:ascii="Arial" w:hAnsi="Arial" w:cs="Arial"/>
        </w:rPr>
      </w:pPr>
      <w:r w:rsidRPr="00B530F7">
        <w:rPr>
          <w:rFonts w:ascii="Arial" w:hAnsi="Arial" w:cs="Arial"/>
        </w:rPr>
        <w:t xml:space="preserve">(1) </w:t>
      </w:r>
      <w:r w:rsidR="00D70991" w:rsidRPr="00B530F7">
        <w:rPr>
          <w:rFonts w:ascii="Arial" w:hAnsi="Arial" w:cs="Arial"/>
        </w:rPr>
        <w:tab/>
      </w:r>
      <w:r w:rsidRPr="00B530F7">
        <w:rPr>
          <w:rFonts w:ascii="Arial" w:hAnsi="Arial" w:cs="Arial"/>
        </w:rPr>
        <w:t xml:space="preserve">A party to a dispute may appeal to the Labour Court against an arbitrator’s award made in terms of section 86 - </w:t>
      </w:r>
    </w:p>
    <w:p w:rsidR="00B530F7" w:rsidRDefault="00B530F7" w:rsidP="006C5AB4">
      <w:pPr>
        <w:tabs>
          <w:tab w:val="left" w:pos="720"/>
        </w:tabs>
        <w:spacing w:after="0" w:line="360" w:lineRule="auto"/>
        <w:jc w:val="both"/>
        <w:rPr>
          <w:rFonts w:ascii="Arial" w:hAnsi="Arial" w:cs="Arial"/>
        </w:rPr>
      </w:pPr>
    </w:p>
    <w:p w:rsidR="006C5AB4" w:rsidRPr="00B530F7" w:rsidRDefault="006A6705" w:rsidP="006C5AB4">
      <w:pPr>
        <w:tabs>
          <w:tab w:val="left" w:pos="720"/>
        </w:tabs>
        <w:spacing w:after="0" w:line="360" w:lineRule="auto"/>
        <w:jc w:val="both"/>
        <w:rPr>
          <w:rFonts w:ascii="Arial" w:hAnsi="Arial" w:cs="Arial"/>
        </w:rPr>
      </w:pPr>
      <w:r>
        <w:rPr>
          <w:rFonts w:ascii="Arial" w:hAnsi="Arial" w:cs="Arial"/>
        </w:rPr>
        <w:tab/>
      </w:r>
      <w:r w:rsidR="006C5AB4" w:rsidRPr="00B530F7">
        <w:rPr>
          <w:rFonts w:ascii="Arial" w:hAnsi="Arial" w:cs="Arial"/>
        </w:rPr>
        <w:t>(a)</w:t>
      </w:r>
      <w:r w:rsidR="006C5AB4" w:rsidRPr="00B530F7">
        <w:rPr>
          <w:rFonts w:ascii="Arial" w:hAnsi="Arial" w:cs="Arial"/>
        </w:rPr>
        <w:tab/>
      </w:r>
      <w:r w:rsidR="006C5AB4" w:rsidRPr="008C5785">
        <w:rPr>
          <w:rFonts w:ascii="Arial" w:hAnsi="Arial" w:cs="Arial"/>
          <w:i/>
          <w:u w:val="single"/>
        </w:rPr>
        <w:t>o</w:t>
      </w:r>
      <w:r w:rsidR="00C34FD7" w:rsidRPr="008C5785">
        <w:rPr>
          <w:rFonts w:ascii="Arial" w:hAnsi="Arial" w:cs="Arial"/>
          <w:i/>
          <w:u w:val="single"/>
        </w:rPr>
        <w:t>n any question of law alone</w:t>
      </w:r>
      <w:r w:rsidR="00D346F0" w:rsidRPr="00B530F7">
        <w:rPr>
          <w:rFonts w:ascii="Arial" w:hAnsi="Arial" w:cs="Arial"/>
        </w:rPr>
        <w:t>.</w:t>
      </w:r>
      <w:r w:rsidR="006C5AB4" w:rsidRPr="00B530F7">
        <w:rPr>
          <w:rFonts w:ascii="Arial" w:hAnsi="Arial" w:cs="Arial"/>
        </w:rPr>
        <w:t>’</w:t>
      </w:r>
    </w:p>
    <w:p w:rsidR="002C7C6F" w:rsidRPr="0079572C" w:rsidRDefault="002C7C6F" w:rsidP="006C5AB4">
      <w:pPr>
        <w:tabs>
          <w:tab w:val="left" w:pos="720"/>
        </w:tabs>
        <w:spacing w:after="0" w:line="360" w:lineRule="auto"/>
        <w:ind w:left="720" w:hanging="720"/>
        <w:jc w:val="both"/>
        <w:rPr>
          <w:rFonts w:ascii="Arial" w:hAnsi="Arial" w:cs="Arial"/>
          <w:sz w:val="24"/>
          <w:szCs w:val="24"/>
        </w:rPr>
      </w:pPr>
    </w:p>
    <w:p w:rsidR="00C42150" w:rsidRDefault="00F93510" w:rsidP="0079572C">
      <w:pPr>
        <w:tabs>
          <w:tab w:val="left" w:pos="720"/>
        </w:tabs>
        <w:spacing w:after="0" w:line="360" w:lineRule="auto"/>
        <w:jc w:val="both"/>
        <w:rPr>
          <w:rFonts w:ascii="Arial" w:hAnsi="Arial" w:cs="Arial"/>
          <w:sz w:val="24"/>
          <w:szCs w:val="24"/>
        </w:rPr>
      </w:pPr>
      <w:r>
        <w:rPr>
          <w:rFonts w:ascii="Arial" w:hAnsi="Arial" w:cs="Arial"/>
          <w:sz w:val="24"/>
          <w:szCs w:val="24"/>
        </w:rPr>
        <w:t>[8</w:t>
      </w:r>
      <w:r w:rsidR="00B404BD">
        <w:rPr>
          <w:rFonts w:ascii="Arial" w:hAnsi="Arial" w:cs="Arial"/>
          <w:sz w:val="24"/>
          <w:szCs w:val="24"/>
        </w:rPr>
        <w:t>]</w:t>
      </w:r>
      <w:r w:rsidR="00B404BD">
        <w:rPr>
          <w:rFonts w:ascii="Arial" w:hAnsi="Arial" w:cs="Arial"/>
          <w:sz w:val="24"/>
          <w:szCs w:val="24"/>
        </w:rPr>
        <w:tab/>
      </w:r>
      <w:r w:rsidR="00C42150">
        <w:rPr>
          <w:rFonts w:ascii="Arial" w:hAnsi="Arial" w:cs="Arial"/>
          <w:sz w:val="24"/>
          <w:szCs w:val="24"/>
        </w:rPr>
        <w:t>Section 18 of the High Court Act, 1990 reads as follows:</w:t>
      </w:r>
    </w:p>
    <w:p w:rsidR="00C42150" w:rsidRDefault="00C42150" w:rsidP="0079572C">
      <w:pPr>
        <w:tabs>
          <w:tab w:val="left" w:pos="720"/>
        </w:tabs>
        <w:spacing w:after="0" w:line="360" w:lineRule="auto"/>
        <w:jc w:val="both"/>
        <w:rPr>
          <w:rFonts w:ascii="Arial" w:hAnsi="Arial" w:cs="Arial"/>
          <w:sz w:val="24"/>
          <w:szCs w:val="24"/>
        </w:rPr>
      </w:pPr>
    </w:p>
    <w:p w:rsidR="00C42150" w:rsidRPr="00C42150" w:rsidRDefault="00C42150" w:rsidP="00C42150">
      <w:pPr>
        <w:tabs>
          <w:tab w:val="left" w:pos="720"/>
        </w:tabs>
        <w:spacing w:after="0" w:line="360" w:lineRule="auto"/>
        <w:ind w:firstLine="720"/>
        <w:jc w:val="both"/>
        <w:rPr>
          <w:rFonts w:ascii="Arial" w:hAnsi="Arial" w:cs="Arial"/>
        </w:rPr>
      </w:pPr>
      <w:r>
        <w:rPr>
          <w:rFonts w:ascii="Arial" w:hAnsi="Arial" w:cs="Arial"/>
        </w:rPr>
        <w:t>‘</w:t>
      </w:r>
      <w:r w:rsidRPr="00C42150">
        <w:rPr>
          <w:rFonts w:ascii="Arial" w:hAnsi="Arial" w:cs="Arial"/>
          <w:b/>
        </w:rPr>
        <w:t>18</w:t>
      </w:r>
      <w:r w:rsidRPr="00C42150">
        <w:rPr>
          <w:rFonts w:ascii="Arial" w:hAnsi="Arial" w:cs="Arial"/>
          <w:b/>
        </w:rPr>
        <w:tab/>
        <w:t>Appeals against judgment or order of High Court in civil proceedings</w:t>
      </w:r>
    </w:p>
    <w:p w:rsidR="00C42150" w:rsidRPr="00C42150" w:rsidRDefault="008C5785" w:rsidP="00C42150">
      <w:pPr>
        <w:tabs>
          <w:tab w:val="left" w:pos="720"/>
        </w:tabs>
        <w:spacing w:after="0" w:line="360" w:lineRule="auto"/>
        <w:ind w:firstLine="720"/>
        <w:jc w:val="both"/>
        <w:rPr>
          <w:rFonts w:ascii="Arial" w:hAnsi="Arial" w:cs="Arial"/>
        </w:rPr>
      </w:pPr>
      <w:r>
        <w:rPr>
          <w:rFonts w:ascii="Arial" w:hAnsi="Arial" w:cs="Arial"/>
        </w:rPr>
        <w:t>(1)</w:t>
      </w:r>
      <w:r>
        <w:rPr>
          <w:rFonts w:ascii="Arial" w:hAnsi="Arial" w:cs="Arial"/>
        </w:rPr>
        <w:tab/>
      </w:r>
      <w:r w:rsidR="00C42150" w:rsidRPr="00C42150">
        <w:rPr>
          <w:rFonts w:ascii="Arial" w:hAnsi="Arial" w:cs="Arial"/>
        </w:rPr>
        <w:t>An appeal from a judgment or order of the High Court in any civil proceedings or against any judgment or order of the High Court given on appeal shall, except in so far as this section otherwise provides, be heard by the Supreme Court.</w:t>
      </w:r>
    </w:p>
    <w:p w:rsidR="008C5785" w:rsidRDefault="008C5785" w:rsidP="00C42150">
      <w:pPr>
        <w:tabs>
          <w:tab w:val="left" w:pos="720"/>
        </w:tabs>
        <w:spacing w:after="0" w:line="360" w:lineRule="auto"/>
        <w:ind w:firstLine="720"/>
        <w:jc w:val="both"/>
        <w:rPr>
          <w:rFonts w:ascii="Arial" w:hAnsi="Arial" w:cs="Arial"/>
        </w:rPr>
      </w:pPr>
    </w:p>
    <w:p w:rsidR="00C42150" w:rsidRPr="00C42150" w:rsidRDefault="00C42150" w:rsidP="00C42150">
      <w:pPr>
        <w:tabs>
          <w:tab w:val="left" w:pos="720"/>
        </w:tabs>
        <w:spacing w:after="0" w:line="360" w:lineRule="auto"/>
        <w:ind w:firstLine="720"/>
        <w:jc w:val="both"/>
        <w:rPr>
          <w:rFonts w:ascii="Arial" w:hAnsi="Arial" w:cs="Arial"/>
        </w:rPr>
      </w:pPr>
      <w:r w:rsidRPr="00C42150">
        <w:rPr>
          <w:rFonts w:ascii="Arial" w:hAnsi="Arial" w:cs="Arial"/>
        </w:rPr>
        <w:t>(2)</w:t>
      </w:r>
      <w:r w:rsidR="008C5785">
        <w:rPr>
          <w:rFonts w:ascii="Arial" w:hAnsi="Arial" w:cs="Arial"/>
        </w:rPr>
        <w:tab/>
      </w:r>
      <w:r w:rsidRPr="00C42150">
        <w:rPr>
          <w:rFonts w:ascii="Arial" w:hAnsi="Arial" w:cs="Arial"/>
        </w:rPr>
        <w:t>An appeal from any judgment or order of the High Court in civil proceedings shall lie-</w:t>
      </w:r>
    </w:p>
    <w:p w:rsidR="00C42150" w:rsidRPr="00C42150" w:rsidRDefault="006A6705" w:rsidP="008C5785">
      <w:pPr>
        <w:tabs>
          <w:tab w:val="left" w:pos="720"/>
        </w:tabs>
        <w:spacing w:after="0" w:line="360" w:lineRule="auto"/>
        <w:ind w:left="720" w:hanging="720"/>
        <w:jc w:val="both"/>
        <w:rPr>
          <w:rFonts w:ascii="Arial" w:hAnsi="Arial" w:cs="Arial"/>
        </w:rPr>
      </w:pPr>
      <w:r>
        <w:rPr>
          <w:rFonts w:ascii="Arial" w:hAnsi="Arial" w:cs="Arial"/>
        </w:rPr>
        <w:tab/>
      </w:r>
      <w:r w:rsidR="00C42150" w:rsidRPr="00C42150">
        <w:rPr>
          <w:rFonts w:ascii="Arial" w:hAnsi="Arial" w:cs="Arial"/>
        </w:rPr>
        <w:t>(a)</w:t>
      </w:r>
      <w:r w:rsidR="00C42150" w:rsidRPr="00C42150">
        <w:rPr>
          <w:rFonts w:ascii="Arial" w:hAnsi="Arial" w:cs="Arial"/>
        </w:rPr>
        <w:tab/>
        <w:t>in the case of that court sitting as a court of first inst</w:t>
      </w:r>
      <w:r>
        <w:rPr>
          <w:rFonts w:ascii="Arial" w:hAnsi="Arial" w:cs="Arial"/>
        </w:rPr>
        <w:t xml:space="preserve">ance, whether the full court or </w:t>
      </w:r>
      <w:r w:rsidR="00C42150" w:rsidRPr="00C42150">
        <w:rPr>
          <w:rFonts w:ascii="Arial" w:hAnsi="Arial" w:cs="Arial"/>
        </w:rPr>
        <w:t>otherwise, to the Supreme Court, as of right, and no leave to appeal shall be required;</w:t>
      </w:r>
    </w:p>
    <w:p w:rsidR="008C5785" w:rsidRDefault="008C5785" w:rsidP="008C5785">
      <w:pPr>
        <w:tabs>
          <w:tab w:val="left" w:pos="720"/>
        </w:tabs>
        <w:spacing w:after="0" w:line="360" w:lineRule="auto"/>
        <w:jc w:val="both"/>
        <w:rPr>
          <w:rFonts w:ascii="Arial" w:hAnsi="Arial" w:cs="Arial"/>
        </w:rPr>
      </w:pPr>
    </w:p>
    <w:p w:rsidR="00C42150" w:rsidRDefault="006A6705" w:rsidP="006A6705">
      <w:pPr>
        <w:tabs>
          <w:tab w:val="left" w:pos="720"/>
        </w:tabs>
        <w:spacing w:after="0" w:line="360" w:lineRule="auto"/>
        <w:ind w:left="720" w:hanging="720"/>
        <w:jc w:val="both"/>
        <w:rPr>
          <w:rFonts w:ascii="Arial" w:hAnsi="Arial" w:cs="Arial"/>
        </w:rPr>
      </w:pPr>
      <w:r>
        <w:rPr>
          <w:rFonts w:ascii="Arial" w:hAnsi="Arial" w:cs="Arial"/>
        </w:rPr>
        <w:tab/>
      </w:r>
      <w:r w:rsidR="00C42150" w:rsidRPr="00C42150">
        <w:rPr>
          <w:rFonts w:ascii="Arial" w:hAnsi="Arial" w:cs="Arial"/>
        </w:rPr>
        <w:t>(b)</w:t>
      </w:r>
      <w:r w:rsidR="00C42150" w:rsidRPr="00C42150">
        <w:rPr>
          <w:rFonts w:ascii="Arial" w:hAnsi="Arial" w:cs="Arial"/>
        </w:rPr>
        <w:tab/>
        <w:t>in the case of that court sitting as a court of appeal, whether the full court</w:t>
      </w:r>
      <w:r>
        <w:rPr>
          <w:rFonts w:ascii="Arial" w:hAnsi="Arial" w:cs="Arial"/>
        </w:rPr>
        <w:t xml:space="preserve"> or otherwise, to </w:t>
      </w:r>
      <w:r w:rsidR="00C42150" w:rsidRPr="00C42150">
        <w:rPr>
          <w:rFonts w:ascii="Arial" w:hAnsi="Arial" w:cs="Arial"/>
        </w:rPr>
        <w:t>the Supreme Court if leave to appeal is granted by the court which has given the judgment or has made the order or, in the event of such leave being refused, leave to appeal is granted by the Supreme Court.</w:t>
      </w:r>
      <w:r w:rsidR="008C5785">
        <w:rPr>
          <w:rFonts w:ascii="Arial" w:hAnsi="Arial" w:cs="Arial"/>
        </w:rPr>
        <w:t>’</w:t>
      </w:r>
    </w:p>
    <w:p w:rsidR="008C5785" w:rsidRPr="00C42150" w:rsidRDefault="008C5785" w:rsidP="008C5785">
      <w:pPr>
        <w:tabs>
          <w:tab w:val="left" w:pos="720"/>
        </w:tabs>
        <w:spacing w:after="0" w:line="360" w:lineRule="auto"/>
        <w:ind w:left="720" w:hanging="720"/>
        <w:jc w:val="both"/>
        <w:rPr>
          <w:rFonts w:ascii="Arial" w:hAnsi="Arial" w:cs="Arial"/>
        </w:rPr>
      </w:pPr>
    </w:p>
    <w:p w:rsidR="00980C79" w:rsidRPr="00980C79" w:rsidRDefault="00980C79" w:rsidP="00980C79">
      <w:pPr>
        <w:autoSpaceDE w:val="0"/>
        <w:autoSpaceDN w:val="0"/>
        <w:adjustRightInd w:val="0"/>
        <w:rPr>
          <w:rFonts w:ascii="Arial" w:hAnsi="Arial" w:cs="Arial"/>
          <w:sz w:val="24"/>
          <w:szCs w:val="24"/>
          <w:u w:val="single"/>
        </w:rPr>
      </w:pPr>
      <w:r w:rsidRPr="00980C79">
        <w:rPr>
          <w:rFonts w:ascii="Arial" w:hAnsi="Arial" w:cs="Arial"/>
          <w:sz w:val="24"/>
          <w:szCs w:val="24"/>
          <w:u w:val="single"/>
        </w:rPr>
        <w:t xml:space="preserve">Consideration of the </w:t>
      </w:r>
      <w:r>
        <w:rPr>
          <w:rFonts w:ascii="Arial" w:hAnsi="Arial" w:cs="Arial"/>
          <w:sz w:val="24"/>
          <w:szCs w:val="24"/>
          <w:u w:val="single"/>
        </w:rPr>
        <w:t>leave</w:t>
      </w:r>
      <w:r w:rsidRPr="00980C79">
        <w:rPr>
          <w:rFonts w:ascii="Arial" w:hAnsi="Arial" w:cs="Arial"/>
          <w:sz w:val="24"/>
          <w:szCs w:val="24"/>
          <w:u w:val="single"/>
        </w:rPr>
        <w:t xml:space="preserve"> sought by the applicant</w:t>
      </w:r>
      <w:r>
        <w:rPr>
          <w:rFonts w:ascii="Arial" w:hAnsi="Arial" w:cs="Arial"/>
          <w:sz w:val="24"/>
          <w:szCs w:val="24"/>
          <w:u w:val="single"/>
        </w:rPr>
        <w:t>.</w:t>
      </w:r>
    </w:p>
    <w:p w:rsidR="00980C79" w:rsidRDefault="00980C79" w:rsidP="00B92B41">
      <w:pPr>
        <w:tabs>
          <w:tab w:val="left" w:pos="720"/>
        </w:tabs>
        <w:spacing w:after="0" w:line="360" w:lineRule="auto"/>
        <w:jc w:val="both"/>
        <w:rPr>
          <w:rFonts w:ascii="Arial" w:hAnsi="Arial" w:cs="Arial"/>
          <w:sz w:val="24"/>
          <w:szCs w:val="24"/>
        </w:rPr>
      </w:pPr>
    </w:p>
    <w:p w:rsidR="00980C79" w:rsidRDefault="00D37D97" w:rsidP="00B92B41">
      <w:pPr>
        <w:tabs>
          <w:tab w:val="left" w:pos="720"/>
        </w:tabs>
        <w:spacing w:after="0" w:line="360" w:lineRule="auto"/>
        <w:jc w:val="both"/>
        <w:rPr>
          <w:rFonts w:ascii="Arial" w:hAnsi="Arial" w:cs="Arial"/>
          <w:sz w:val="24"/>
          <w:szCs w:val="24"/>
        </w:rPr>
      </w:pPr>
      <w:r>
        <w:rPr>
          <w:rFonts w:ascii="Arial" w:hAnsi="Arial" w:cs="Arial"/>
          <w:sz w:val="24"/>
          <w:szCs w:val="24"/>
        </w:rPr>
        <w:t>[9</w:t>
      </w:r>
      <w:r w:rsidR="00B464BB">
        <w:rPr>
          <w:rFonts w:ascii="Arial" w:hAnsi="Arial" w:cs="Arial"/>
          <w:sz w:val="24"/>
          <w:szCs w:val="24"/>
        </w:rPr>
        <w:t>]</w:t>
      </w:r>
      <w:r w:rsidR="00B464BB">
        <w:rPr>
          <w:rFonts w:ascii="Arial" w:hAnsi="Arial" w:cs="Arial"/>
          <w:sz w:val="24"/>
          <w:szCs w:val="24"/>
        </w:rPr>
        <w:tab/>
      </w:r>
      <w:r w:rsidR="00980C79">
        <w:rPr>
          <w:rFonts w:ascii="Arial" w:hAnsi="Arial" w:cs="Arial"/>
          <w:sz w:val="24"/>
          <w:szCs w:val="24"/>
        </w:rPr>
        <w:t xml:space="preserve">In considering whether to grant or not to grant the leave </w:t>
      </w:r>
      <w:r w:rsidR="00506FC3">
        <w:rPr>
          <w:rFonts w:ascii="Arial" w:hAnsi="Arial" w:cs="Arial"/>
          <w:sz w:val="24"/>
          <w:szCs w:val="24"/>
        </w:rPr>
        <w:t>sought by</w:t>
      </w:r>
      <w:r w:rsidR="00980C79">
        <w:rPr>
          <w:rFonts w:ascii="Arial" w:hAnsi="Arial" w:cs="Arial"/>
          <w:sz w:val="24"/>
          <w:szCs w:val="24"/>
        </w:rPr>
        <w:t xml:space="preserve"> the applicant</w:t>
      </w:r>
      <w:r w:rsidR="00506FC3">
        <w:rPr>
          <w:rFonts w:ascii="Arial" w:hAnsi="Arial" w:cs="Arial"/>
          <w:sz w:val="24"/>
          <w:szCs w:val="24"/>
        </w:rPr>
        <w:t xml:space="preserve"> I deem it necessary to quote the ap</w:t>
      </w:r>
      <w:r w:rsidR="00ED181E">
        <w:rPr>
          <w:rFonts w:ascii="Arial" w:hAnsi="Arial" w:cs="Arial"/>
          <w:sz w:val="24"/>
          <w:szCs w:val="24"/>
        </w:rPr>
        <w:t xml:space="preserve">plication for leave to appeal. </w:t>
      </w:r>
      <w:r w:rsidR="00506FC3">
        <w:rPr>
          <w:rFonts w:ascii="Arial" w:hAnsi="Arial" w:cs="Arial"/>
          <w:sz w:val="24"/>
          <w:szCs w:val="24"/>
        </w:rPr>
        <w:t>The appli</w:t>
      </w:r>
      <w:r w:rsidR="00C82973">
        <w:rPr>
          <w:rFonts w:ascii="Arial" w:hAnsi="Arial" w:cs="Arial"/>
          <w:sz w:val="24"/>
          <w:szCs w:val="24"/>
        </w:rPr>
        <w:t xml:space="preserve">cation for leave to appeal </w:t>
      </w:r>
      <w:r w:rsidR="00506FC3">
        <w:rPr>
          <w:rFonts w:ascii="Arial" w:hAnsi="Arial" w:cs="Arial"/>
          <w:sz w:val="24"/>
          <w:szCs w:val="24"/>
        </w:rPr>
        <w:t>amongst other things reads as follows:</w:t>
      </w:r>
    </w:p>
    <w:p w:rsidR="00506FC3" w:rsidRDefault="00506FC3" w:rsidP="00B92B41">
      <w:pPr>
        <w:tabs>
          <w:tab w:val="left" w:pos="720"/>
        </w:tabs>
        <w:spacing w:after="0" w:line="360" w:lineRule="auto"/>
        <w:jc w:val="both"/>
        <w:rPr>
          <w:rFonts w:ascii="Arial" w:hAnsi="Arial" w:cs="Arial"/>
          <w:sz w:val="24"/>
          <w:szCs w:val="24"/>
        </w:rPr>
      </w:pPr>
    </w:p>
    <w:p w:rsidR="00506FC3" w:rsidRPr="00506FC3" w:rsidRDefault="00506FC3" w:rsidP="00506FC3">
      <w:pPr>
        <w:widowControl w:val="0"/>
        <w:spacing w:after="0" w:line="360" w:lineRule="auto"/>
        <w:ind w:firstLine="720"/>
        <w:jc w:val="both"/>
        <w:rPr>
          <w:rFonts w:ascii="Arial" w:hAnsi="Arial"/>
          <w:spacing w:val="-3"/>
          <w:lang w:val="en-GB"/>
        </w:rPr>
      </w:pPr>
      <w:r w:rsidRPr="00506FC3">
        <w:rPr>
          <w:rFonts w:ascii="Arial" w:hAnsi="Arial"/>
          <w:spacing w:val="-3"/>
          <w:lang w:val="en-GB"/>
        </w:rPr>
        <w:t>‘</w:t>
      </w:r>
      <w:r w:rsidRPr="00506FC3">
        <w:rPr>
          <w:rFonts w:ascii="Arial" w:hAnsi="Arial"/>
          <w:b/>
          <w:spacing w:val="-3"/>
          <w:lang w:val="en-GB"/>
        </w:rPr>
        <w:t>KINDLY TAKE NOTICE</w:t>
      </w:r>
      <w:r w:rsidRPr="00506FC3">
        <w:rPr>
          <w:rFonts w:ascii="Arial" w:hAnsi="Arial"/>
          <w:spacing w:val="-3"/>
          <w:lang w:val="en-GB"/>
        </w:rPr>
        <w:t xml:space="preserve"> that the applicant is applying, on a date to be arranged with the registrar, for leave to appeal to the Supreme Court of Namibia against the whole of the judgment and/or order delivered by the Honourable Mr Justice Ueitele on 6 December 2016 in the above matter when he dismissed the applicant’s appeal, granted the respondent’s cross-appeal and amended the arbitrator’s award by reinstating the respondent and awarding him an amount equal to the monthly remuneration he would have received had he not been unfairly dismissed.  </w:t>
      </w:r>
    </w:p>
    <w:p w:rsidR="00506FC3" w:rsidRPr="00506FC3" w:rsidRDefault="00506FC3" w:rsidP="00506FC3">
      <w:pPr>
        <w:widowControl w:val="0"/>
        <w:spacing w:after="0" w:line="360" w:lineRule="auto"/>
        <w:jc w:val="both"/>
        <w:rPr>
          <w:rFonts w:ascii="Arial" w:hAnsi="Arial"/>
          <w:spacing w:val="-3"/>
          <w:lang w:val="en-GB"/>
        </w:rPr>
      </w:pPr>
    </w:p>
    <w:p w:rsidR="00506FC3" w:rsidRPr="00506FC3" w:rsidRDefault="00506FC3" w:rsidP="00506FC3">
      <w:pPr>
        <w:widowControl w:val="0"/>
        <w:spacing w:after="0" w:line="360" w:lineRule="auto"/>
        <w:jc w:val="both"/>
        <w:rPr>
          <w:rFonts w:ascii="Arial" w:hAnsi="Arial"/>
          <w:spacing w:val="-3"/>
          <w:sz w:val="24"/>
          <w:szCs w:val="20"/>
          <w:lang w:val="en-GB"/>
        </w:rPr>
      </w:pPr>
      <w:r w:rsidRPr="00506FC3">
        <w:rPr>
          <w:rFonts w:ascii="Arial" w:hAnsi="Arial"/>
          <w:b/>
          <w:spacing w:val="-3"/>
          <w:lang w:val="en-GB"/>
        </w:rPr>
        <w:t>TAKE NOTICE FURTHER</w:t>
      </w:r>
      <w:r w:rsidRPr="00506FC3">
        <w:rPr>
          <w:rFonts w:ascii="Arial" w:hAnsi="Arial"/>
          <w:spacing w:val="-3"/>
          <w:lang w:val="en-GB"/>
        </w:rPr>
        <w:t xml:space="preserve"> that the grounds on which the applicant seeks leave to appeal are the following, </w:t>
      </w:r>
      <w:r w:rsidRPr="00506FC3">
        <w:rPr>
          <w:rFonts w:ascii="Arial" w:hAnsi="Arial"/>
          <w:spacing w:val="-3"/>
          <w:u w:val="single"/>
          <w:lang w:val="en-GB"/>
        </w:rPr>
        <w:t>namely that the learned judge erred in the law and/or on the facts and/or did not exercise his discretion in a judicial manner and/or misdirected himself in one or more of the following respects</w:t>
      </w:r>
      <w:r w:rsidRPr="00506FC3">
        <w:rPr>
          <w:rFonts w:ascii="Arial" w:hAnsi="Arial"/>
          <w:spacing w:val="-3"/>
          <w:lang w:val="en-GB"/>
        </w:rPr>
        <w:t>:</w:t>
      </w:r>
      <w:r>
        <w:rPr>
          <w:rFonts w:ascii="Arial" w:hAnsi="Arial"/>
          <w:spacing w:val="-3"/>
          <w:lang w:val="en-GB"/>
        </w:rPr>
        <w:t>’</w:t>
      </w:r>
      <w:r w:rsidRPr="00506FC3">
        <w:rPr>
          <w:rFonts w:ascii="Arial" w:hAnsi="Arial"/>
          <w:spacing w:val="-3"/>
          <w:sz w:val="24"/>
          <w:szCs w:val="20"/>
          <w:lang w:val="en-GB"/>
        </w:rPr>
        <w:t xml:space="preserve">  </w:t>
      </w:r>
    </w:p>
    <w:p w:rsidR="00506FC3" w:rsidRDefault="00506FC3" w:rsidP="00506FC3">
      <w:pPr>
        <w:tabs>
          <w:tab w:val="left" w:pos="720"/>
        </w:tabs>
        <w:spacing w:after="0" w:line="360" w:lineRule="auto"/>
        <w:ind w:left="720"/>
        <w:jc w:val="both"/>
        <w:rPr>
          <w:rFonts w:ascii="Arial" w:hAnsi="Arial" w:cs="Arial"/>
          <w:sz w:val="24"/>
          <w:szCs w:val="24"/>
        </w:rPr>
      </w:pPr>
    </w:p>
    <w:p w:rsidR="003A15C4" w:rsidRDefault="008A4364" w:rsidP="003A15C4">
      <w:pPr>
        <w:pStyle w:val="Default"/>
        <w:spacing w:line="360" w:lineRule="auto"/>
        <w:jc w:val="both"/>
        <w:rPr>
          <w:bCs/>
        </w:rPr>
      </w:pPr>
      <w:r>
        <w:t>[1</w:t>
      </w:r>
      <w:r w:rsidR="00D37D97">
        <w:t>0</w:t>
      </w:r>
      <w:r>
        <w:t>]</w:t>
      </w:r>
      <w:r>
        <w:tab/>
      </w:r>
      <w:r>
        <w:rPr>
          <w:bCs/>
        </w:rPr>
        <w:t xml:space="preserve">The provisions of section 89 of the Act were considered by this Court in the unreported judgment of </w:t>
      </w:r>
      <w:r w:rsidRPr="008A4364">
        <w:rPr>
          <w:bCs/>
          <w:i/>
        </w:rPr>
        <w:t xml:space="preserve">Shoprite Namibia (Pty) Ltd </w:t>
      </w:r>
      <w:r w:rsidRPr="008A4364">
        <w:rPr>
          <w:i/>
        </w:rPr>
        <w:t xml:space="preserve">v </w:t>
      </w:r>
      <w:r w:rsidRPr="008A4364">
        <w:rPr>
          <w:bCs/>
          <w:i/>
        </w:rPr>
        <w:t>Faustino Moises Paulo</w:t>
      </w:r>
      <w:r>
        <w:rPr>
          <w:rStyle w:val="FootnoteReference"/>
          <w:bCs/>
          <w:i/>
        </w:rPr>
        <w:footnoteReference w:id="2"/>
      </w:r>
      <w:r>
        <w:rPr>
          <w:b/>
          <w:bCs/>
        </w:rPr>
        <w:t xml:space="preserve"> </w:t>
      </w:r>
      <w:r>
        <w:rPr>
          <w:bCs/>
        </w:rPr>
        <w:t>where Parker J said:</w:t>
      </w:r>
    </w:p>
    <w:p w:rsidR="008A4364" w:rsidRDefault="008A4364" w:rsidP="003A15C4">
      <w:pPr>
        <w:pStyle w:val="Default"/>
        <w:spacing w:line="360" w:lineRule="auto"/>
        <w:jc w:val="both"/>
        <w:rPr>
          <w:bCs/>
        </w:rPr>
      </w:pPr>
      <w:r>
        <w:rPr>
          <w:bCs/>
        </w:rPr>
        <w:t xml:space="preserve">  </w:t>
      </w:r>
    </w:p>
    <w:p w:rsidR="008A4364" w:rsidRPr="00D37D97" w:rsidRDefault="003A15C4" w:rsidP="00D37D97">
      <w:pPr>
        <w:autoSpaceDE w:val="0"/>
        <w:autoSpaceDN w:val="0"/>
        <w:adjustRightInd w:val="0"/>
        <w:spacing w:after="0" w:line="360" w:lineRule="auto"/>
        <w:ind w:firstLine="720"/>
        <w:jc w:val="both"/>
        <w:rPr>
          <w:rFonts w:ascii="Arial" w:hAnsi="Arial" w:cs="Arial"/>
        </w:rPr>
      </w:pPr>
      <w:r w:rsidRPr="00D37D97">
        <w:rPr>
          <w:rFonts w:ascii="Arial" w:hAnsi="Arial" w:cs="Arial"/>
        </w:rPr>
        <w:t>‘The predicative adjective “</w:t>
      </w:r>
      <w:r w:rsidR="008A4364" w:rsidRPr="00D37D97">
        <w:rPr>
          <w:rFonts w:ascii="Arial" w:hAnsi="Arial" w:cs="Arial"/>
        </w:rPr>
        <w:t>alone</w:t>
      </w:r>
      <w:r w:rsidRPr="00D37D97">
        <w:rPr>
          <w:rFonts w:ascii="Arial" w:hAnsi="Arial" w:cs="Arial"/>
        </w:rPr>
        <w:t>” qualifying “</w:t>
      </w:r>
      <w:r w:rsidR="008A4364" w:rsidRPr="00D37D97">
        <w:rPr>
          <w:rFonts w:ascii="Arial" w:hAnsi="Arial" w:cs="Arial"/>
        </w:rPr>
        <w:t>law</w:t>
      </w:r>
      <w:r w:rsidRPr="00D37D97">
        <w:rPr>
          <w:rFonts w:ascii="Arial" w:hAnsi="Arial" w:cs="Arial"/>
        </w:rPr>
        <w:t>” means “</w:t>
      </w:r>
      <w:r w:rsidR="008A4364" w:rsidRPr="00D37D97">
        <w:rPr>
          <w:rFonts w:ascii="Arial" w:hAnsi="Arial" w:cs="Arial"/>
        </w:rPr>
        <w:t>without others present</w:t>
      </w:r>
      <w:r w:rsidRPr="00D37D97">
        <w:rPr>
          <w:rFonts w:ascii="Arial" w:hAnsi="Arial" w:cs="Arial"/>
        </w:rPr>
        <w:t>”</w:t>
      </w:r>
      <w:r w:rsidR="008A4364" w:rsidRPr="00D37D97">
        <w:rPr>
          <w:rFonts w:ascii="Arial" w:hAnsi="Arial" w:cs="Arial"/>
        </w:rPr>
        <w:t>.) Accordingly, the interpretation and application of s. 89 (1) (a) lead indubitably to the conclusion that this Court is entitled to hear an appeal on a question of law alone if the matter, as in the instant case, does not fall under s. 89 (1) (b). A ‘question of law alone’ means a question of law alone w</w:t>
      </w:r>
      <w:r w:rsidR="00ED181E">
        <w:rPr>
          <w:rFonts w:ascii="Arial" w:hAnsi="Arial" w:cs="Arial"/>
        </w:rPr>
        <w:t>ithout anything else present, e</w:t>
      </w:r>
      <w:r w:rsidR="008A4364" w:rsidRPr="00D37D97">
        <w:rPr>
          <w:rFonts w:ascii="Arial" w:hAnsi="Arial" w:cs="Arial"/>
        </w:rPr>
        <w:t xml:space="preserve">g. opinion or fact. It is trite that a notice of appeal must specify the grounds of the appeal and the notice must be carefully framed, for an appellant has no right in the hearing of an appeal to rely on any grounds of appeal not specified in the notice of appeal. In this regard it has also been said that precision in specifying grounds of appeal is ‘not a matter of </w:t>
      </w:r>
      <w:r w:rsidR="00C82973">
        <w:rPr>
          <w:rFonts w:ascii="Arial" w:hAnsi="Arial" w:cs="Arial"/>
        </w:rPr>
        <w:t>form but a matter of substance ..</w:t>
      </w:r>
      <w:r w:rsidR="00640D10">
        <w:rPr>
          <w:rFonts w:ascii="Arial" w:hAnsi="Arial" w:cs="Arial"/>
        </w:rPr>
        <w:t>.</w:t>
      </w:r>
      <w:r w:rsidR="008A4364" w:rsidRPr="00D37D97">
        <w:rPr>
          <w:rFonts w:ascii="Arial" w:hAnsi="Arial" w:cs="Arial"/>
        </w:rPr>
        <w:t xml:space="preserve"> necessary to enable appeals to be justly disposed of.’</w:t>
      </w:r>
    </w:p>
    <w:p w:rsidR="00D37D97" w:rsidRDefault="00D37D97" w:rsidP="00D37D97">
      <w:pPr>
        <w:tabs>
          <w:tab w:val="left" w:pos="720"/>
        </w:tabs>
        <w:spacing w:after="0" w:line="360" w:lineRule="auto"/>
        <w:ind w:left="720"/>
        <w:jc w:val="both"/>
        <w:rPr>
          <w:rFonts w:ascii="Arial" w:hAnsi="Arial" w:cs="Arial"/>
          <w:sz w:val="24"/>
          <w:szCs w:val="24"/>
        </w:rPr>
      </w:pPr>
    </w:p>
    <w:p w:rsidR="006F0FB4" w:rsidRDefault="00D37D97" w:rsidP="006F0FB4">
      <w:pPr>
        <w:tabs>
          <w:tab w:val="left" w:pos="720"/>
        </w:tabs>
        <w:spacing w:after="0" w:line="360" w:lineRule="auto"/>
        <w:jc w:val="both"/>
        <w:rPr>
          <w:rFonts w:ascii="Arial" w:hAnsi="Arial"/>
          <w:spacing w:val="-3"/>
          <w:sz w:val="24"/>
          <w:szCs w:val="24"/>
          <w:lang w:val="en-GB"/>
        </w:rPr>
      </w:pPr>
      <w:r>
        <w:rPr>
          <w:rFonts w:ascii="Arial" w:hAnsi="Arial" w:cs="Arial"/>
          <w:sz w:val="24"/>
          <w:szCs w:val="24"/>
        </w:rPr>
        <w:t>[11]</w:t>
      </w:r>
      <w:r>
        <w:rPr>
          <w:rFonts w:ascii="Arial" w:hAnsi="Arial" w:cs="Arial"/>
          <w:sz w:val="24"/>
          <w:szCs w:val="24"/>
        </w:rPr>
        <w:tab/>
        <w:t xml:space="preserve">In the matter of </w:t>
      </w:r>
      <w:r w:rsidRPr="0067668B">
        <w:rPr>
          <w:rFonts w:ascii="Arial" w:hAnsi="Arial" w:cs="Arial"/>
          <w:i/>
          <w:sz w:val="24"/>
          <w:szCs w:val="24"/>
        </w:rPr>
        <w:t>President of the Republic of Namibia v Vlasiu</w:t>
      </w:r>
      <w:r>
        <w:rPr>
          <w:rStyle w:val="FootnoteReference"/>
          <w:rFonts w:ascii="Arial" w:hAnsi="Arial" w:cs="Arial"/>
          <w:sz w:val="24"/>
          <w:szCs w:val="24"/>
        </w:rPr>
        <w:footnoteReference w:id="3"/>
      </w:r>
      <w:r>
        <w:rPr>
          <w:rFonts w:ascii="Arial" w:hAnsi="Arial" w:cs="Arial"/>
          <w:sz w:val="24"/>
          <w:szCs w:val="24"/>
        </w:rPr>
        <w:t xml:space="preserve"> Justice O’Linn held that</w:t>
      </w:r>
      <w:r w:rsidR="00A37D05">
        <w:rPr>
          <w:rFonts w:ascii="Arial" w:hAnsi="Arial" w:cs="Arial"/>
          <w:sz w:val="24"/>
          <w:szCs w:val="24"/>
        </w:rPr>
        <w:t>,</w:t>
      </w:r>
      <w:r>
        <w:rPr>
          <w:rFonts w:ascii="Arial" w:hAnsi="Arial" w:cs="Arial"/>
          <w:sz w:val="24"/>
          <w:szCs w:val="24"/>
        </w:rPr>
        <w:t xml:space="preserve"> in circumstance</w:t>
      </w:r>
      <w:r w:rsidR="00C24ECA">
        <w:rPr>
          <w:rFonts w:ascii="Arial" w:hAnsi="Arial" w:cs="Arial"/>
          <w:sz w:val="24"/>
          <w:szCs w:val="24"/>
        </w:rPr>
        <w:t>s</w:t>
      </w:r>
      <w:r>
        <w:rPr>
          <w:rFonts w:ascii="Arial" w:hAnsi="Arial" w:cs="Arial"/>
          <w:sz w:val="24"/>
          <w:szCs w:val="24"/>
        </w:rPr>
        <w:t xml:space="preserve"> where </w:t>
      </w:r>
      <w:r w:rsidR="00A37D05">
        <w:rPr>
          <w:rFonts w:ascii="Arial" w:hAnsi="Arial" w:cs="Arial"/>
          <w:sz w:val="24"/>
          <w:szCs w:val="24"/>
        </w:rPr>
        <w:t xml:space="preserve">a party’s right to </w:t>
      </w:r>
      <w:r w:rsidRPr="00D37D97">
        <w:rPr>
          <w:rFonts w:ascii="Arial" w:hAnsi="Arial" w:cs="Arial"/>
          <w:sz w:val="24"/>
          <w:szCs w:val="24"/>
        </w:rPr>
        <w:t>appeal</w:t>
      </w:r>
      <w:r w:rsidR="00A37D05">
        <w:rPr>
          <w:rFonts w:ascii="Arial" w:hAnsi="Arial" w:cs="Arial"/>
          <w:sz w:val="24"/>
          <w:szCs w:val="24"/>
        </w:rPr>
        <w:t xml:space="preserve"> is</w:t>
      </w:r>
      <w:r w:rsidRPr="00D37D97">
        <w:rPr>
          <w:rFonts w:ascii="Arial" w:hAnsi="Arial" w:cs="Arial"/>
          <w:sz w:val="24"/>
          <w:szCs w:val="24"/>
        </w:rPr>
        <w:t xml:space="preserve"> restricted to questions of law</w:t>
      </w:r>
      <w:r w:rsidR="00A37D05">
        <w:rPr>
          <w:rFonts w:ascii="Arial" w:hAnsi="Arial" w:cs="Arial"/>
          <w:sz w:val="24"/>
          <w:szCs w:val="24"/>
        </w:rPr>
        <w:t xml:space="preserve"> and that party</w:t>
      </w:r>
      <w:r w:rsidR="001A6FD2">
        <w:rPr>
          <w:rFonts w:ascii="Arial" w:hAnsi="Arial" w:cs="Arial"/>
          <w:sz w:val="24"/>
          <w:szCs w:val="24"/>
        </w:rPr>
        <w:t xml:space="preserve">’s </w:t>
      </w:r>
      <w:r w:rsidRPr="00D37D97">
        <w:rPr>
          <w:rFonts w:ascii="Arial" w:hAnsi="Arial" w:cs="Arial"/>
          <w:sz w:val="24"/>
          <w:szCs w:val="24"/>
        </w:rPr>
        <w:t>notice of appeal purpor</w:t>
      </w:r>
      <w:r w:rsidR="001A6FD2">
        <w:rPr>
          <w:rFonts w:ascii="Arial" w:hAnsi="Arial" w:cs="Arial"/>
          <w:sz w:val="24"/>
          <w:szCs w:val="24"/>
        </w:rPr>
        <w:t>ts to be an appeal against the “</w:t>
      </w:r>
      <w:r w:rsidR="00C24ECA">
        <w:rPr>
          <w:rFonts w:ascii="Arial" w:hAnsi="Arial" w:cs="Arial"/>
          <w:sz w:val="24"/>
          <w:szCs w:val="24"/>
        </w:rPr>
        <w:t>w</w:t>
      </w:r>
      <w:r w:rsidRPr="00D37D97">
        <w:rPr>
          <w:rFonts w:ascii="Arial" w:hAnsi="Arial" w:cs="Arial"/>
          <w:sz w:val="24"/>
          <w:szCs w:val="24"/>
        </w:rPr>
        <w:t>hole of the judgment and order as to cost</w:t>
      </w:r>
      <w:r w:rsidR="001A6FD2">
        <w:rPr>
          <w:rFonts w:ascii="Arial" w:hAnsi="Arial" w:cs="Arial"/>
          <w:sz w:val="24"/>
          <w:szCs w:val="24"/>
        </w:rPr>
        <w:t>”</w:t>
      </w:r>
      <w:r w:rsidRPr="00D37D97">
        <w:rPr>
          <w:rFonts w:ascii="Arial" w:hAnsi="Arial" w:cs="Arial"/>
          <w:sz w:val="24"/>
          <w:szCs w:val="24"/>
        </w:rPr>
        <w:t xml:space="preserve"> such </w:t>
      </w:r>
      <w:r w:rsidR="001A6FD2" w:rsidRPr="00D37D97">
        <w:rPr>
          <w:rFonts w:ascii="Arial" w:hAnsi="Arial" w:cs="Arial"/>
          <w:sz w:val="24"/>
          <w:szCs w:val="24"/>
        </w:rPr>
        <w:t>notice of appeal</w:t>
      </w:r>
      <w:r w:rsidR="006F0FB4">
        <w:rPr>
          <w:rFonts w:ascii="Arial" w:hAnsi="Arial" w:cs="Arial"/>
          <w:sz w:val="24"/>
          <w:szCs w:val="24"/>
        </w:rPr>
        <w:t xml:space="preserve"> is defective. </w:t>
      </w:r>
      <w:r w:rsidR="006F0FB4" w:rsidRPr="006F0FB4">
        <w:rPr>
          <w:rFonts w:ascii="Arial" w:hAnsi="Arial" w:cs="Arial"/>
          <w:sz w:val="24"/>
          <w:szCs w:val="24"/>
        </w:rPr>
        <w:t xml:space="preserve">It thus follow that in so far as the </w:t>
      </w:r>
      <w:r w:rsidR="006F0FB4" w:rsidRPr="006F0FB4">
        <w:rPr>
          <w:rFonts w:ascii="Arial" w:hAnsi="Arial" w:cs="Arial"/>
          <w:sz w:val="24"/>
          <w:szCs w:val="24"/>
        </w:rPr>
        <w:lastRenderedPageBreak/>
        <w:t xml:space="preserve">applicant purports to apply for leave to appeal against </w:t>
      </w:r>
      <w:r w:rsidR="006F0FB4">
        <w:rPr>
          <w:rFonts w:ascii="Arial" w:hAnsi="Arial" w:cs="Arial"/>
          <w:sz w:val="24"/>
          <w:szCs w:val="24"/>
        </w:rPr>
        <w:t xml:space="preserve">my findings of </w:t>
      </w:r>
      <w:r w:rsidR="006F0FB4">
        <w:rPr>
          <w:rFonts w:ascii="Arial" w:hAnsi="Arial"/>
          <w:spacing w:val="-3"/>
          <w:sz w:val="24"/>
          <w:szCs w:val="24"/>
          <w:lang w:val="en-GB"/>
        </w:rPr>
        <w:t xml:space="preserve">law </w:t>
      </w:r>
      <w:r w:rsidR="006F0FB4" w:rsidRPr="00506FC3">
        <w:rPr>
          <w:rFonts w:ascii="Arial" w:hAnsi="Arial"/>
          <w:spacing w:val="-3"/>
          <w:sz w:val="24"/>
          <w:szCs w:val="24"/>
          <w:lang w:val="en-GB"/>
        </w:rPr>
        <w:t xml:space="preserve">or </w:t>
      </w:r>
      <w:r w:rsidR="006F0FB4">
        <w:rPr>
          <w:rFonts w:ascii="Arial" w:hAnsi="Arial"/>
          <w:spacing w:val="-3"/>
          <w:sz w:val="24"/>
          <w:szCs w:val="24"/>
          <w:lang w:val="en-GB"/>
        </w:rPr>
        <w:t xml:space="preserve">facts or both facts and law or against the exercise of my judicial discretion the application is defective. </w:t>
      </w:r>
      <w:r w:rsidR="00041442">
        <w:rPr>
          <w:rFonts w:ascii="Arial" w:hAnsi="Arial"/>
          <w:spacing w:val="-3"/>
          <w:sz w:val="24"/>
          <w:szCs w:val="24"/>
          <w:lang w:val="en-GB"/>
        </w:rPr>
        <w:t xml:space="preserve">I </w:t>
      </w:r>
      <w:r w:rsidR="008D3E25">
        <w:rPr>
          <w:rFonts w:ascii="Arial" w:hAnsi="Arial"/>
          <w:spacing w:val="-3"/>
          <w:sz w:val="24"/>
          <w:szCs w:val="24"/>
          <w:lang w:val="en-GB"/>
        </w:rPr>
        <w:t>say the</w:t>
      </w:r>
      <w:r w:rsidR="00041442">
        <w:rPr>
          <w:rFonts w:ascii="Arial" w:hAnsi="Arial"/>
          <w:spacing w:val="-3"/>
          <w:sz w:val="24"/>
          <w:szCs w:val="24"/>
          <w:lang w:val="en-GB"/>
        </w:rPr>
        <w:t xml:space="preserve"> application is defective because </w:t>
      </w:r>
      <w:r w:rsidR="008D3E25">
        <w:rPr>
          <w:rFonts w:ascii="Arial" w:hAnsi="Arial"/>
          <w:spacing w:val="-3"/>
          <w:sz w:val="24"/>
          <w:szCs w:val="24"/>
          <w:lang w:val="en-GB"/>
        </w:rPr>
        <w:t>s 89(1)(</w:t>
      </w:r>
      <w:r w:rsidR="008D3E25" w:rsidRPr="000F1771">
        <w:rPr>
          <w:rFonts w:ascii="Arial" w:hAnsi="Arial"/>
          <w:i/>
          <w:spacing w:val="-3"/>
          <w:sz w:val="24"/>
          <w:szCs w:val="24"/>
          <w:lang w:val="en-GB"/>
        </w:rPr>
        <w:t>a</w:t>
      </w:r>
      <w:r w:rsidR="008D3E25">
        <w:rPr>
          <w:rFonts w:ascii="Arial" w:hAnsi="Arial"/>
          <w:spacing w:val="-3"/>
          <w:sz w:val="24"/>
          <w:szCs w:val="24"/>
          <w:lang w:val="en-GB"/>
        </w:rPr>
        <w:t xml:space="preserve">) of the </w:t>
      </w:r>
      <w:r w:rsidR="00F5780B">
        <w:rPr>
          <w:rFonts w:ascii="Arial" w:hAnsi="Arial"/>
          <w:spacing w:val="-3"/>
          <w:sz w:val="24"/>
          <w:szCs w:val="24"/>
          <w:lang w:val="en-GB"/>
        </w:rPr>
        <w:t>Labour Act, 2007 only</w:t>
      </w:r>
      <w:r w:rsidR="008D3E25">
        <w:rPr>
          <w:rFonts w:ascii="Arial" w:hAnsi="Arial"/>
          <w:spacing w:val="-3"/>
          <w:sz w:val="24"/>
          <w:szCs w:val="24"/>
          <w:lang w:val="en-GB"/>
        </w:rPr>
        <w:t xml:space="preserve"> confers a ri</w:t>
      </w:r>
      <w:r w:rsidR="00CD0754">
        <w:rPr>
          <w:rFonts w:ascii="Arial" w:hAnsi="Arial"/>
          <w:spacing w:val="-3"/>
          <w:sz w:val="24"/>
          <w:szCs w:val="24"/>
          <w:lang w:val="en-GB"/>
        </w:rPr>
        <w:t xml:space="preserve">ght </w:t>
      </w:r>
      <w:r w:rsidR="008D3E25">
        <w:rPr>
          <w:rFonts w:ascii="Arial" w:hAnsi="Arial"/>
          <w:spacing w:val="-3"/>
          <w:sz w:val="24"/>
          <w:szCs w:val="24"/>
          <w:lang w:val="en-GB"/>
        </w:rPr>
        <w:t>on t</w:t>
      </w:r>
      <w:r w:rsidR="00CD0754">
        <w:rPr>
          <w:rFonts w:ascii="Arial" w:hAnsi="Arial"/>
          <w:spacing w:val="-3"/>
          <w:sz w:val="24"/>
          <w:szCs w:val="24"/>
          <w:lang w:val="en-GB"/>
        </w:rPr>
        <w:t xml:space="preserve">he applicant </w:t>
      </w:r>
      <w:r w:rsidR="008D3E25">
        <w:rPr>
          <w:rFonts w:ascii="Arial" w:hAnsi="Arial"/>
          <w:spacing w:val="-3"/>
          <w:sz w:val="24"/>
          <w:szCs w:val="24"/>
          <w:lang w:val="en-GB"/>
        </w:rPr>
        <w:t>to appeal against questions of law alone.</w:t>
      </w:r>
      <w:r w:rsidR="00041442">
        <w:rPr>
          <w:rFonts w:ascii="Arial" w:hAnsi="Arial"/>
          <w:spacing w:val="-3"/>
          <w:sz w:val="24"/>
          <w:szCs w:val="24"/>
          <w:lang w:val="en-GB"/>
        </w:rPr>
        <w:t xml:space="preserve"> </w:t>
      </w:r>
      <w:r w:rsidR="006F0FB4" w:rsidRPr="00506FC3">
        <w:rPr>
          <w:rFonts w:ascii="Arial" w:hAnsi="Arial"/>
          <w:spacing w:val="-3"/>
          <w:sz w:val="24"/>
          <w:szCs w:val="24"/>
          <w:lang w:val="en-GB"/>
        </w:rPr>
        <w:t xml:space="preserve"> </w:t>
      </w:r>
    </w:p>
    <w:p w:rsidR="00041442" w:rsidRPr="006F0FB4" w:rsidRDefault="00041442" w:rsidP="006F0FB4">
      <w:pPr>
        <w:tabs>
          <w:tab w:val="left" w:pos="720"/>
        </w:tabs>
        <w:spacing w:after="0" w:line="360" w:lineRule="auto"/>
        <w:jc w:val="both"/>
        <w:rPr>
          <w:rFonts w:ascii="Arial" w:hAnsi="Arial" w:cs="Arial"/>
          <w:sz w:val="24"/>
          <w:szCs w:val="24"/>
        </w:rPr>
      </w:pPr>
    </w:p>
    <w:p w:rsidR="008A4364" w:rsidRPr="000369C1" w:rsidRDefault="00F5780B" w:rsidP="000369C1">
      <w:pPr>
        <w:tabs>
          <w:tab w:val="left" w:pos="720"/>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37D97" w:rsidRPr="00A00AFD">
        <w:rPr>
          <w:rFonts w:ascii="Arial" w:hAnsi="Arial" w:cs="Arial"/>
          <w:sz w:val="24"/>
          <w:szCs w:val="24"/>
        </w:rPr>
        <w:t xml:space="preserve"> </w:t>
      </w:r>
      <w:r w:rsidRPr="00F5780B">
        <w:rPr>
          <w:rFonts w:ascii="Arial" w:hAnsi="Arial" w:cs="Arial"/>
          <w:sz w:val="24"/>
          <w:szCs w:val="24"/>
        </w:rPr>
        <w:t xml:space="preserve">Mr. Dicks referred me to the matter of </w:t>
      </w:r>
      <w:r w:rsidRPr="00F5780B">
        <w:rPr>
          <w:rFonts w:ascii="Arial" w:hAnsi="Arial"/>
          <w:i/>
          <w:sz w:val="24"/>
          <w:szCs w:val="24"/>
        </w:rPr>
        <w:t>Van Rensburg v Wilderness Air Namibia (Pty) Ltd</w:t>
      </w:r>
      <w:r w:rsidRPr="00F5780B">
        <w:rPr>
          <w:rStyle w:val="FootnoteReference"/>
          <w:rFonts w:ascii="Arial" w:hAnsi="Arial"/>
          <w:i/>
          <w:sz w:val="24"/>
          <w:szCs w:val="24"/>
        </w:rPr>
        <w:footnoteReference w:id="4"/>
      </w:r>
      <w:r w:rsidRPr="00F5780B">
        <w:rPr>
          <w:rFonts w:ascii="Arial" w:hAnsi="Arial"/>
          <w:i/>
          <w:sz w:val="24"/>
          <w:szCs w:val="24"/>
        </w:rPr>
        <w:t xml:space="preserve"> </w:t>
      </w:r>
      <w:r w:rsidRPr="00F5780B">
        <w:rPr>
          <w:rFonts w:ascii="Arial" w:hAnsi="Arial"/>
          <w:sz w:val="24"/>
          <w:szCs w:val="24"/>
        </w:rPr>
        <w:t>where O Reagan AJA said:</w:t>
      </w:r>
      <w:r w:rsidRPr="00F5780B">
        <w:rPr>
          <w:rFonts w:ascii="Arial" w:hAnsi="Arial" w:cs="Arial"/>
          <w:sz w:val="24"/>
          <w:szCs w:val="24"/>
          <w:lang w:val="en-GB"/>
        </w:rPr>
        <w:t xml:space="preserve"> </w:t>
      </w:r>
    </w:p>
    <w:p w:rsidR="00F5780B" w:rsidRPr="00F5780B" w:rsidRDefault="00F5780B" w:rsidP="00F5780B">
      <w:pPr>
        <w:spacing w:after="0" w:line="360" w:lineRule="auto"/>
        <w:ind w:left="-108"/>
        <w:jc w:val="both"/>
        <w:rPr>
          <w:rFonts w:ascii="Arial" w:hAnsi="Arial" w:cs="Arial"/>
          <w:sz w:val="24"/>
          <w:szCs w:val="24"/>
          <w:lang w:val="en-GB"/>
        </w:rPr>
      </w:pPr>
    </w:p>
    <w:p w:rsidR="00F5780B" w:rsidRPr="00F5780B" w:rsidRDefault="00F5780B" w:rsidP="00F5780B">
      <w:pPr>
        <w:pStyle w:val="ListParagraph"/>
        <w:spacing w:after="0" w:line="360" w:lineRule="auto"/>
        <w:ind w:left="0" w:firstLine="720"/>
        <w:jc w:val="both"/>
        <w:rPr>
          <w:rFonts w:ascii="Arial" w:hAnsi="Arial"/>
        </w:rPr>
      </w:pPr>
      <w:r w:rsidRPr="00F5780B">
        <w:rPr>
          <w:rFonts w:ascii="Arial" w:hAnsi="Arial"/>
        </w:rPr>
        <w:t>‘[62]</w:t>
      </w:r>
      <w:r w:rsidRPr="00F5780B">
        <w:rPr>
          <w:rFonts w:ascii="Arial" w:hAnsi="Arial"/>
        </w:rPr>
        <w:tab/>
        <w:t>Moreover, as explained above, determining what constitutes a question of law is an issue that continues to trouble courts and accordingly it will continue to trouble litigants.  Given that difficulty, to read s 89(1)</w:t>
      </w:r>
      <w:r w:rsidRPr="00F5780B">
        <w:rPr>
          <w:rFonts w:ascii="Arial" w:hAnsi="Arial"/>
          <w:i/>
        </w:rPr>
        <w:t>(</w:t>
      </w:r>
      <w:r w:rsidRPr="00ED181E">
        <w:rPr>
          <w:rFonts w:ascii="Arial" w:hAnsi="Arial"/>
        </w:rPr>
        <w:t>a</w:t>
      </w:r>
      <w:r w:rsidRPr="00F5780B">
        <w:rPr>
          <w:rFonts w:ascii="Arial" w:hAnsi="Arial"/>
          <w:i/>
        </w:rPr>
        <w:t>)</w:t>
      </w:r>
      <w:r w:rsidRPr="00F5780B">
        <w:rPr>
          <w:rFonts w:ascii="Arial" w:hAnsi="Arial"/>
        </w:rPr>
        <w:t xml:space="preserve"> to oust the jurisdiction of the Labour Court because an appellant has failed correctly to identify a question of law would be inequitable. Instead, s 89(1)</w:t>
      </w:r>
      <w:r w:rsidRPr="00F5780B">
        <w:rPr>
          <w:rFonts w:ascii="Arial" w:hAnsi="Arial"/>
          <w:i/>
        </w:rPr>
        <w:t>(</w:t>
      </w:r>
      <w:r w:rsidRPr="00ED181E">
        <w:rPr>
          <w:rFonts w:ascii="Arial" w:hAnsi="Arial"/>
        </w:rPr>
        <w:t>a</w:t>
      </w:r>
      <w:r w:rsidRPr="00F5780B">
        <w:rPr>
          <w:rFonts w:ascii="Arial" w:hAnsi="Arial"/>
          <w:i/>
        </w:rPr>
        <w:t>)</w:t>
      </w:r>
      <w:r w:rsidRPr="00F5780B">
        <w:rPr>
          <w:rFonts w:ascii="Arial" w:hAnsi="Arial"/>
        </w:rPr>
        <w:t xml:space="preserve"> should be properly construed to limit the appellate jurisdiction of the Labour Court to questions of law. Where grounds of appeal are raised that are not questions of law, the Labour Court should simply dismiss them as improperly raised, but any ground of appeal that does raise a question of law should be addressed on the merits.</w:t>
      </w:r>
      <w:r>
        <w:rPr>
          <w:rFonts w:ascii="Arial" w:hAnsi="Arial"/>
        </w:rPr>
        <w:t>’</w:t>
      </w:r>
    </w:p>
    <w:p w:rsidR="00F5780B" w:rsidRDefault="00F5780B" w:rsidP="00F5780B">
      <w:pPr>
        <w:pStyle w:val="ListParagraph"/>
        <w:spacing w:after="0" w:line="360" w:lineRule="auto"/>
        <w:ind w:left="0"/>
        <w:jc w:val="both"/>
        <w:rPr>
          <w:rFonts w:ascii="Arial" w:hAnsi="Arial"/>
        </w:rPr>
      </w:pPr>
    </w:p>
    <w:p w:rsidR="00F5780B" w:rsidRDefault="00F5780B" w:rsidP="00F5780B">
      <w:pPr>
        <w:pStyle w:val="ListParagraph"/>
        <w:spacing w:after="0" w:line="360" w:lineRule="auto"/>
        <w:ind w:left="0"/>
        <w:jc w:val="both"/>
        <w:rPr>
          <w:rFonts w:ascii="Arial" w:hAnsi="Arial"/>
          <w:sz w:val="24"/>
          <w:szCs w:val="24"/>
        </w:rPr>
      </w:pPr>
      <w:r w:rsidRPr="00F5780B">
        <w:rPr>
          <w:rFonts w:ascii="Arial" w:hAnsi="Arial"/>
          <w:sz w:val="24"/>
          <w:szCs w:val="24"/>
        </w:rPr>
        <w:t>[1</w:t>
      </w:r>
      <w:r w:rsidR="000369C1">
        <w:rPr>
          <w:rFonts w:ascii="Arial" w:hAnsi="Arial"/>
          <w:sz w:val="24"/>
          <w:szCs w:val="24"/>
        </w:rPr>
        <w:t>3</w:t>
      </w:r>
      <w:r w:rsidRPr="00F5780B">
        <w:rPr>
          <w:rFonts w:ascii="Arial" w:hAnsi="Arial"/>
          <w:sz w:val="24"/>
          <w:szCs w:val="24"/>
        </w:rPr>
        <w:t>]</w:t>
      </w:r>
      <w:r w:rsidRPr="00F5780B">
        <w:rPr>
          <w:rFonts w:ascii="Arial" w:hAnsi="Arial"/>
          <w:sz w:val="24"/>
          <w:szCs w:val="24"/>
        </w:rPr>
        <w:tab/>
      </w:r>
      <w:r>
        <w:rPr>
          <w:rFonts w:ascii="Arial" w:hAnsi="Arial"/>
          <w:sz w:val="24"/>
          <w:szCs w:val="24"/>
        </w:rPr>
        <w:t>Mr.</w:t>
      </w:r>
      <w:r w:rsidR="000D12F7">
        <w:rPr>
          <w:rFonts w:ascii="Arial" w:hAnsi="Arial"/>
          <w:sz w:val="24"/>
          <w:szCs w:val="24"/>
        </w:rPr>
        <w:t xml:space="preserve"> Dicks accordingly argued that</w:t>
      </w:r>
      <w:r>
        <w:rPr>
          <w:rFonts w:ascii="Arial" w:hAnsi="Arial"/>
          <w:sz w:val="24"/>
          <w:szCs w:val="24"/>
        </w:rPr>
        <w:t xml:space="preserve"> it </w:t>
      </w:r>
      <w:r w:rsidR="000D12F7">
        <w:rPr>
          <w:rFonts w:ascii="Arial" w:hAnsi="Arial"/>
          <w:sz w:val="24"/>
          <w:szCs w:val="24"/>
        </w:rPr>
        <w:t>will be inequitable for me to refuse to grant the applicant leave to appeal simply because the application for leave to appeal is overbroad and refers to ‘questions of law’</w:t>
      </w:r>
      <w:r w:rsidR="000369C1">
        <w:rPr>
          <w:rFonts w:ascii="Arial" w:hAnsi="Arial"/>
          <w:sz w:val="24"/>
          <w:szCs w:val="24"/>
        </w:rPr>
        <w:t xml:space="preserve">, </w:t>
      </w:r>
      <w:r w:rsidR="000D12F7">
        <w:rPr>
          <w:rFonts w:ascii="Arial" w:hAnsi="Arial"/>
          <w:sz w:val="24"/>
          <w:szCs w:val="24"/>
        </w:rPr>
        <w:t xml:space="preserve">to </w:t>
      </w:r>
      <w:r w:rsidR="000369C1">
        <w:rPr>
          <w:rFonts w:ascii="Arial" w:hAnsi="Arial"/>
          <w:sz w:val="24"/>
          <w:szCs w:val="24"/>
        </w:rPr>
        <w:t>‘</w:t>
      </w:r>
      <w:r w:rsidR="000D12F7">
        <w:rPr>
          <w:rFonts w:ascii="Arial" w:hAnsi="Arial"/>
          <w:sz w:val="24"/>
          <w:szCs w:val="24"/>
        </w:rPr>
        <w:t>questions of fact’</w:t>
      </w:r>
      <w:r w:rsidR="000369C1">
        <w:rPr>
          <w:rFonts w:ascii="Arial" w:hAnsi="Arial"/>
          <w:sz w:val="24"/>
          <w:szCs w:val="24"/>
        </w:rPr>
        <w:t xml:space="preserve"> and to the ‘exercise of judicial discretion’</w:t>
      </w:r>
      <w:r w:rsidR="000D12F7">
        <w:rPr>
          <w:rFonts w:ascii="Arial" w:hAnsi="Arial"/>
          <w:sz w:val="24"/>
          <w:szCs w:val="24"/>
        </w:rPr>
        <w:t>.  Mr. Namandje o</w:t>
      </w:r>
      <w:r w:rsidR="000369C1">
        <w:rPr>
          <w:rFonts w:ascii="Arial" w:hAnsi="Arial"/>
          <w:sz w:val="24"/>
          <w:szCs w:val="24"/>
        </w:rPr>
        <w:t>n</w:t>
      </w:r>
      <w:r w:rsidR="000D12F7">
        <w:rPr>
          <w:rFonts w:ascii="Arial" w:hAnsi="Arial"/>
          <w:sz w:val="24"/>
          <w:szCs w:val="24"/>
        </w:rPr>
        <w:t xml:space="preserve"> the other hand argued that the </w:t>
      </w:r>
      <w:r w:rsidR="000D12F7" w:rsidRPr="00F5780B">
        <w:rPr>
          <w:rFonts w:ascii="Arial" w:hAnsi="Arial"/>
          <w:i/>
          <w:sz w:val="24"/>
          <w:szCs w:val="24"/>
        </w:rPr>
        <w:t>Van Rensburg</w:t>
      </w:r>
      <w:r w:rsidR="000D12F7">
        <w:rPr>
          <w:rFonts w:ascii="Arial" w:hAnsi="Arial"/>
          <w:i/>
          <w:sz w:val="24"/>
          <w:szCs w:val="24"/>
        </w:rPr>
        <w:t xml:space="preserve"> </w:t>
      </w:r>
      <w:r w:rsidR="000369C1">
        <w:rPr>
          <w:rFonts w:ascii="Arial" w:hAnsi="Arial"/>
          <w:sz w:val="24"/>
          <w:szCs w:val="24"/>
        </w:rPr>
        <w:t>matter</w:t>
      </w:r>
      <w:r w:rsidR="000D12F7">
        <w:rPr>
          <w:rFonts w:ascii="Arial" w:hAnsi="Arial"/>
          <w:sz w:val="24"/>
          <w:szCs w:val="24"/>
        </w:rPr>
        <w:t xml:space="preserve"> is not helpful to the applicant because the consideration of </w:t>
      </w:r>
      <w:r w:rsidR="000369C1">
        <w:rPr>
          <w:rFonts w:ascii="Arial" w:hAnsi="Arial"/>
          <w:sz w:val="24"/>
          <w:szCs w:val="24"/>
        </w:rPr>
        <w:t xml:space="preserve">whether </w:t>
      </w:r>
      <w:r w:rsidR="000D12F7">
        <w:rPr>
          <w:rFonts w:ascii="Arial" w:hAnsi="Arial"/>
          <w:sz w:val="24"/>
          <w:szCs w:val="24"/>
        </w:rPr>
        <w:t xml:space="preserve">the grounds of appeal </w:t>
      </w:r>
      <w:r w:rsidR="00270470">
        <w:rPr>
          <w:rFonts w:ascii="Arial" w:hAnsi="Arial"/>
          <w:sz w:val="24"/>
          <w:szCs w:val="24"/>
        </w:rPr>
        <w:t>constitute</w:t>
      </w:r>
      <w:r w:rsidR="000369C1">
        <w:rPr>
          <w:rFonts w:ascii="Arial" w:hAnsi="Arial"/>
          <w:sz w:val="24"/>
          <w:szCs w:val="24"/>
        </w:rPr>
        <w:t xml:space="preserve"> </w:t>
      </w:r>
      <w:r w:rsidR="00270470">
        <w:rPr>
          <w:rFonts w:ascii="Arial" w:hAnsi="Arial"/>
          <w:sz w:val="24"/>
          <w:szCs w:val="24"/>
        </w:rPr>
        <w:t>points of law or</w:t>
      </w:r>
      <w:r w:rsidR="000369C1">
        <w:rPr>
          <w:rFonts w:ascii="Arial" w:hAnsi="Arial"/>
          <w:sz w:val="24"/>
          <w:szCs w:val="24"/>
        </w:rPr>
        <w:t xml:space="preserve"> points of fact </w:t>
      </w:r>
      <w:r w:rsidR="000D12F7">
        <w:rPr>
          <w:rFonts w:ascii="Arial" w:hAnsi="Arial"/>
          <w:sz w:val="24"/>
          <w:szCs w:val="24"/>
        </w:rPr>
        <w:t xml:space="preserve">can only be embarked upon when there is a proper </w:t>
      </w:r>
      <w:r w:rsidR="000369C1">
        <w:rPr>
          <w:rFonts w:ascii="Arial" w:hAnsi="Arial"/>
          <w:sz w:val="24"/>
          <w:szCs w:val="24"/>
        </w:rPr>
        <w:t xml:space="preserve">and valid </w:t>
      </w:r>
      <w:r w:rsidR="000D12F7">
        <w:rPr>
          <w:rFonts w:ascii="Arial" w:hAnsi="Arial"/>
          <w:sz w:val="24"/>
          <w:szCs w:val="24"/>
        </w:rPr>
        <w:t>application for leave to appeal. In this matter, argued Mr. Namandje</w:t>
      </w:r>
      <w:r w:rsidR="000369C1">
        <w:rPr>
          <w:rFonts w:ascii="Arial" w:hAnsi="Arial"/>
          <w:sz w:val="24"/>
          <w:szCs w:val="24"/>
        </w:rPr>
        <w:t>,</w:t>
      </w:r>
      <w:r w:rsidR="000D12F7">
        <w:rPr>
          <w:rFonts w:ascii="Arial" w:hAnsi="Arial"/>
          <w:sz w:val="24"/>
          <w:szCs w:val="24"/>
        </w:rPr>
        <w:t xml:space="preserve"> there is no proper </w:t>
      </w:r>
      <w:r w:rsidR="000369C1">
        <w:rPr>
          <w:rFonts w:ascii="Arial" w:hAnsi="Arial"/>
          <w:sz w:val="24"/>
          <w:szCs w:val="24"/>
        </w:rPr>
        <w:t xml:space="preserve">and valid </w:t>
      </w:r>
      <w:r w:rsidR="000D12F7">
        <w:rPr>
          <w:rFonts w:ascii="Arial" w:hAnsi="Arial"/>
          <w:sz w:val="24"/>
          <w:szCs w:val="24"/>
        </w:rPr>
        <w:t>application</w:t>
      </w:r>
      <w:r w:rsidR="000369C1">
        <w:rPr>
          <w:rFonts w:ascii="Arial" w:hAnsi="Arial"/>
          <w:sz w:val="24"/>
          <w:szCs w:val="24"/>
        </w:rPr>
        <w:t xml:space="preserve"> for leave to appeal</w:t>
      </w:r>
      <w:r w:rsidR="000D12F7">
        <w:rPr>
          <w:rFonts w:ascii="Arial" w:hAnsi="Arial"/>
          <w:sz w:val="24"/>
          <w:szCs w:val="24"/>
        </w:rPr>
        <w:t xml:space="preserve"> </w:t>
      </w:r>
      <w:r w:rsidR="00E647F9">
        <w:rPr>
          <w:rFonts w:ascii="Arial" w:hAnsi="Arial"/>
          <w:sz w:val="24"/>
          <w:szCs w:val="24"/>
        </w:rPr>
        <w:t xml:space="preserve">because the application that is before Court seeks leave to appeal against questions of both law and fact. </w:t>
      </w:r>
      <w:r w:rsidR="000D12F7">
        <w:rPr>
          <w:rFonts w:ascii="Arial" w:hAnsi="Arial"/>
          <w:sz w:val="24"/>
          <w:szCs w:val="24"/>
        </w:rPr>
        <w:t xml:space="preserve"> </w:t>
      </w:r>
    </w:p>
    <w:p w:rsidR="000D12F7" w:rsidRDefault="000D12F7" w:rsidP="00F5780B">
      <w:pPr>
        <w:pStyle w:val="ListParagraph"/>
        <w:spacing w:after="0" w:line="360" w:lineRule="auto"/>
        <w:ind w:left="0"/>
        <w:jc w:val="both"/>
        <w:rPr>
          <w:rFonts w:ascii="Arial" w:hAnsi="Arial"/>
          <w:sz w:val="24"/>
          <w:szCs w:val="24"/>
        </w:rPr>
      </w:pPr>
    </w:p>
    <w:p w:rsidR="00733C28" w:rsidRDefault="00E647F9" w:rsidP="00F5780B">
      <w:pPr>
        <w:pStyle w:val="ListParagraph"/>
        <w:spacing w:after="0" w:line="360" w:lineRule="auto"/>
        <w:ind w:left="0"/>
        <w:jc w:val="both"/>
        <w:rPr>
          <w:rFonts w:ascii="Arial" w:hAnsi="Arial"/>
          <w:sz w:val="24"/>
          <w:szCs w:val="24"/>
        </w:rPr>
      </w:pPr>
      <w:r>
        <w:rPr>
          <w:rFonts w:ascii="Arial" w:hAnsi="Arial"/>
          <w:sz w:val="24"/>
          <w:szCs w:val="24"/>
        </w:rPr>
        <w:t>[1</w:t>
      </w:r>
      <w:r w:rsidR="00483336">
        <w:rPr>
          <w:rFonts w:ascii="Arial" w:hAnsi="Arial"/>
          <w:sz w:val="24"/>
          <w:szCs w:val="24"/>
        </w:rPr>
        <w:t>4</w:t>
      </w:r>
      <w:r>
        <w:rPr>
          <w:rFonts w:ascii="Arial" w:hAnsi="Arial"/>
          <w:sz w:val="24"/>
          <w:szCs w:val="24"/>
        </w:rPr>
        <w:t>]</w:t>
      </w:r>
      <w:r>
        <w:rPr>
          <w:rFonts w:ascii="Arial" w:hAnsi="Arial"/>
          <w:sz w:val="24"/>
          <w:szCs w:val="24"/>
        </w:rPr>
        <w:tab/>
      </w:r>
      <w:r w:rsidR="00733C28">
        <w:rPr>
          <w:rFonts w:ascii="Arial" w:hAnsi="Arial"/>
          <w:sz w:val="24"/>
          <w:szCs w:val="24"/>
        </w:rPr>
        <w:t xml:space="preserve">In the </w:t>
      </w:r>
      <w:r w:rsidR="00733C28" w:rsidRPr="00733C28">
        <w:rPr>
          <w:rFonts w:ascii="Arial" w:hAnsi="Arial"/>
          <w:i/>
          <w:sz w:val="24"/>
          <w:szCs w:val="24"/>
        </w:rPr>
        <w:t>Van Rensburg</w:t>
      </w:r>
      <w:r w:rsidR="00733C28">
        <w:rPr>
          <w:rFonts w:ascii="Arial" w:hAnsi="Arial"/>
          <w:sz w:val="24"/>
          <w:szCs w:val="24"/>
        </w:rPr>
        <w:t xml:space="preserve"> matter </w:t>
      </w:r>
      <w:r w:rsidR="00733C28" w:rsidRPr="00F5780B">
        <w:rPr>
          <w:rFonts w:ascii="Arial" w:hAnsi="Arial"/>
          <w:sz w:val="24"/>
          <w:szCs w:val="24"/>
        </w:rPr>
        <w:t xml:space="preserve">O Reagan </w:t>
      </w:r>
      <w:r w:rsidR="00733C28">
        <w:rPr>
          <w:rFonts w:ascii="Arial" w:hAnsi="Arial"/>
          <w:sz w:val="24"/>
          <w:szCs w:val="24"/>
        </w:rPr>
        <w:t xml:space="preserve">AJA </w:t>
      </w:r>
      <w:r w:rsidR="00270470">
        <w:rPr>
          <w:rFonts w:ascii="Arial" w:hAnsi="Arial"/>
          <w:sz w:val="24"/>
          <w:szCs w:val="24"/>
        </w:rPr>
        <w:t>cautioned that</w:t>
      </w:r>
      <w:r w:rsidR="00733C28">
        <w:rPr>
          <w:rFonts w:ascii="Arial" w:hAnsi="Arial"/>
          <w:sz w:val="24"/>
          <w:szCs w:val="24"/>
        </w:rPr>
        <w:t>:</w:t>
      </w:r>
    </w:p>
    <w:p w:rsidR="00733C28" w:rsidRDefault="00733C28" w:rsidP="00F5780B">
      <w:pPr>
        <w:pStyle w:val="ListParagraph"/>
        <w:spacing w:after="0" w:line="360" w:lineRule="auto"/>
        <w:ind w:left="0"/>
        <w:jc w:val="both"/>
        <w:rPr>
          <w:rFonts w:ascii="Arial" w:hAnsi="Arial"/>
          <w:sz w:val="24"/>
          <w:szCs w:val="24"/>
        </w:rPr>
      </w:pPr>
    </w:p>
    <w:p w:rsidR="00733C28" w:rsidRPr="00733C28" w:rsidRDefault="00733C28" w:rsidP="00733C28">
      <w:pPr>
        <w:pStyle w:val="ListParagraph"/>
        <w:spacing w:after="0" w:line="360" w:lineRule="auto"/>
        <w:ind w:left="0" w:firstLine="720"/>
        <w:jc w:val="both"/>
        <w:rPr>
          <w:rFonts w:ascii="Arial" w:hAnsi="Arial"/>
        </w:rPr>
      </w:pPr>
      <w:r w:rsidRPr="00733C28">
        <w:rPr>
          <w:rFonts w:ascii="Arial" w:hAnsi="Arial"/>
        </w:rPr>
        <w:t>‘This approach</w:t>
      </w:r>
      <w:r w:rsidR="00270470">
        <w:rPr>
          <w:rFonts w:ascii="Arial" w:hAnsi="Arial"/>
        </w:rPr>
        <w:t xml:space="preserve"> [i.e. the approach set out in paragraph 62 of that judgment]</w:t>
      </w:r>
      <w:r w:rsidRPr="00733C28">
        <w:rPr>
          <w:rFonts w:ascii="Arial" w:hAnsi="Arial"/>
        </w:rPr>
        <w:t xml:space="preserve"> does not absolve litigants of their responsibility to take care in framing their notices of appeal. Good practice requires litigants to be aware of the scope of their right to appeal and to draft notices of appeal with knowledge of and attention to the governing statutory provisions.</w:t>
      </w:r>
      <w:r>
        <w:rPr>
          <w:rFonts w:ascii="Arial" w:hAnsi="Arial"/>
        </w:rPr>
        <w:t>’</w:t>
      </w:r>
      <w:r w:rsidRPr="00733C28">
        <w:rPr>
          <w:rFonts w:ascii="Arial" w:hAnsi="Arial"/>
        </w:rPr>
        <w:t xml:space="preserve"> </w:t>
      </w:r>
    </w:p>
    <w:p w:rsidR="00733C28" w:rsidRDefault="00733C28" w:rsidP="00F5780B">
      <w:pPr>
        <w:pStyle w:val="ListParagraph"/>
        <w:spacing w:after="0" w:line="360" w:lineRule="auto"/>
        <w:ind w:left="0"/>
        <w:jc w:val="both"/>
        <w:rPr>
          <w:rFonts w:ascii="Arial" w:hAnsi="Arial"/>
          <w:sz w:val="24"/>
          <w:szCs w:val="24"/>
        </w:rPr>
      </w:pPr>
    </w:p>
    <w:p w:rsidR="000369C1" w:rsidRDefault="00733C28" w:rsidP="000369C1">
      <w:pPr>
        <w:tabs>
          <w:tab w:val="left" w:pos="720"/>
        </w:tabs>
        <w:spacing w:after="0" w:line="360" w:lineRule="auto"/>
        <w:jc w:val="both"/>
        <w:rPr>
          <w:rFonts w:ascii="Arial" w:hAnsi="Arial" w:cs="Arial"/>
          <w:sz w:val="24"/>
          <w:szCs w:val="24"/>
        </w:rPr>
      </w:pPr>
      <w:r>
        <w:rPr>
          <w:rFonts w:ascii="Arial" w:hAnsi="Arial"/>
          <w:sz w:val="24"/>
          <w:szCs w:val="24"/>
        </w:rPr>
        <w:t>[1</w:t>
      </w:r>
      <w:r w:rsidR="00483336">
        <w:rPr>
          <w:rFonts w:ascii="Arial" w:hAnsi="Arial"/>
          <w:sz w:val="24"/>
          <w:szCs w:val="24"/>
        </w:rPr>
        <w:t>5</w:t>
      </w:r>
      <w:r>
        <w:rPr>
          <w:rFonts w:ascii="Arial" w:hAnsi="Arial"/>
          <w:sz w:val="24"/>
          <w:szCs w:val="24"/>
        </w:rPr>
        <w:t>]</w:t>
      </w:r>
      <w:r>
        <w:rPr>
          <w:rFonts w:ascii="Arial" w:hAnsi="Arial"/>
          <w:sz w:val="24"/>
          <w:szCs w:val="24"/>
        </w:rPr>
        <w:tab/>
      </w:r>
      <w:r w:rsidR="000369C1">
        <w:rPr>
          <w:rFonts w:ascii="Arial" w:hAnsi="Arial" w:cs="Arial"/>
          <w:sz w:val="24"/>
          <w:szCs w:val="24"/>
        </w:rPr>
        <w:t xml:space="preserve">In the matter of </w:t>
      </w:r>
      <w:r w:rsidR="000369C1" w:rsidRPr="00C42150">
        <w:rPr>
          <w:rFonts w:ascii="Arial" w:hAnsi="Arial" w:cs="Arial"/>
          <w:i/>
          <w:sz w:val="24"/>
          <w:szCs w:val="24"/>
        </w:rPr>
        <w:t>S v Kakololo</w:t>
      </w:r>
      <w:r w:rsidR="000369C1">
        <w:rPr>
          <w:rStyle w:val="FootnoteReference"/>
          <w:rFonts w:ascii="Arial" w:hAnsi="Arial" w:cs="Arial"/>
          <w:sz w:val="24"/>
          <w:szCs w:val="24"/>
        </w:rPr>
        <w:footnoteReference w:id="5"/>
      </w:r>
      <w:r w:rsidR="000369C1">
        <w:rPr>
          <w:rFonts w:ascii="Arial" w:hAnsi="Arial" w:cs="Arial"/>
          <w:sz w:val="24"/>
          <w:szCs w:val="24"/>
        </w:rPr>
        <w:t xml:space="preserve"> the following was stated: </w:t>
      </w:r>
    </w:p>
    <w:p w:rsidR="000369C1" w:rsidRDefault="000369C1" w:rsidP="000369C1">
      <w:pPr>
        <w:tabs>
          <w:tab w:val="left" w:pos="720"/>
        </w:tabs>
        <w:spacing w:after="0" w:line="360" w:lineRule="auto"/>
        <w:jc w:val="both"/>
        <w:rPr>
          <w:rFonts w:ascii="Arial" w:hAnsi="Arial" w:cs="Arial"/>
          <w:sz w:val="24"/>
          <w:szCs w:val="24"/>
        </w:rPr>
      </w:pPr>
    </w:p>
    <w:p w:rsidR="000369C1" w:rsidRPr="006F0FB4" w:rsidRDefault="000369C1" w:rsidP="000369C1">
      <w:pPr>
        <w:spacing w:line="360" w:lineRule="auto"/>
        <w:ind w:firstLine="720"/>
        <w:jc w:val="both"/>
        <w:rPr>
          <w:rFonts w:ascii="Arial" w:hAnsi="Arial" w:cs="Arial"/>
          <w:sz w:val="24"/>
          <w:szCs w:val="24"/>
        </w:rPr>
      </w:pPr>
      <w:r w:rsidRPr="00C42150">
        <w:rPr>
          <w:rFonts w:ascii="Arial" w:hAnsi="Arial" w:cs="Arial"/>
        </w:rPr>
        <w:t>‘The noting of an appeal constitutes the very foundation on which the case of the appellant must stand or fall</w:t>
      </w:r>
      <w:r>
        <w:rPr>
          <w:rFonts w:ascii="Arial" w:hAnsi="Arial" w:cs="Arial"/>
        </w:rPr>
        <w:t>…</w:t>
      </w:r>
      <w:r w:rsidRPr="00C42150">
        <w:rPr>
          <w:rFonts w:ascii="Arial" w:hAnsi="Arial" w:cs="Arial"/>
        </w:rPr>
        <w:t>It serves to inform the trial magistrate in clear and specific terms which part of his or her judgment is being appealed against, what the grounds are on which the appeal is being brought and whether they relate to issues of law or fact or both</w:t>
      </w:r>
      <w:r w:rsidR="00DC6439">
        <w:rPr>
          <w:rFonts w:ascii="Arial" w:hAnsi="Arial" w:cs="Arial"/>
        </w:rPr>
        <w:t>…</w:t>
      </w:r>
      <w:r w:rsidR="004866B9">
        <w:rPr>
          <w:rFonts w:ascii="Arial" w:hAnsi="Arial" w:cs="Arial"/>
        </w:rPr>
        <w:t>.</w:t>
      </w:r>
      <w:r w:rsidRPr="00C42150">
        <w:rPr>
          <w:rFonts w:ascii="Arial" w:hAnsi="Arial" w:cs="Arial"/>
        </w:rPr>
        <w:t xml:space="preserve"> The notice also serves to inform the respondent of the case it is required to meet and, regard being had to the record and the magistrate’s reasons, whether it should concede or oppose the appeal. Finally, it crystallizes the disputes and determines the parameters within which the Court of Appeal will have to decide the case </w:t>
      </w:r>
      <w:r w:rsidR="000F1771">
        <w:rPr>
          <w:rFonts w:ascii="Arial" w:hAnsi="Arial" w:cs="Arial"/>
        </w:rPr>
        <w:t>..</w:t>
      </w:r>
      <w:r w:rsidRPr="00C42150">
        <w:rPr>
          <w:rFonts w:ascii="Arial" w:hAnsi="Arial" w:cs="Arial"/>
        </w:rPr>
        <w:t xml:space="preserve">. </w:t>
      </w:r>
      <w:r>
        <w:rPr>
          <w:rFonts w:ascii="Arial" w:hAnsi="Arial" w:cs="Arial"/>
        </w:rPr>
        <w:t>“</w:t>
      </w:r>
      <w:r w:rsidRPr="00C42150">
        <w:rPr>
          <w:rFonts w:ascii="Arial" w:hAnsi="Arial" w:cs="Arial"/>
        </w:rPr>
        <w:t xml:space="preserve">an attorney filing such a notice assumes the </w:t>
      </w:r>
      <w:r w:rsidRPr="00C42150">
        <w:rPr>
          <w:rFonts w:ascii="Arial" w:hAnsi="Arial" w:cs="Arial"/>
          <w:i/>
        </w:rPr>
        <w:t>onus</w:t>
      </w:r>
      <w:r w:rsidRPr="00C42150">
        <w:rPr>
          <w:rFonts w:ascii="Arial" w:hAnsi="Arial" w:cs="Arial"/>
        </w:rPr>
        <w:t xml:space="preserve"> of satisfying this Court, when the case comes on for hearing, that the appeal has been properly noted” and that, if the notice “is not a proper notice, all the consequences of a failure to note an appeal properly in terms of the Rules necessarily follow.”. Expounding</w:t>
      </w:r>
      <w:r w:rsidR="000F1771">
        <w:rPr>
          <w:rFonts w:ascii="Arial" w:hAnsi="Arial" w:cs="Arial"/>
        </w:rPr>
        <w:t xml:space="preserve"> on what those consequences are ..</w:t>
      </w:r>
      <w:r w:rsidR="00C24ECA">
        <w:rPr>
          <w:rFonts w:ascii="Arial" w:hAnsi="Arial" w:cs="Arial"/>
        </w:rPr>
        <w:t>.</w:t>
      </w:r>
      <w:r w:rsidR="000F1771">
        <w:rPr>
          <w:rFonts w:ascii="Arial" w:hAnsi="Arial" w:cs="Arial"/>
        </w:rPr>
        <w:t xml:space="preserve"> </w:t>
      </w:r>
      <w:r w:rsidRPr="00C42150">
        <w:rPr>
          <w:rFonts w:ascii="Arial" w:hAnsi="Arial" w:cs="Arial"/>
        </w:rPr>
        <w:t>when dealing with a “notice” in which no grounds were mentioned said (at p. 675) that it “was not a valid notice of appeal, and as such it was no notice of appeal at all.”.</w:t>
      </w:r>
      <w:r>
        <w:rPr>
          <w:rFonts w:ascii="Arial" w:hAnsi="Arial" w:cs="Arial"/>
        </w:rPr>
        <w:t>..</w:t>
      </w:r>
      <w:r w:rsidR="000F1771">
        <w:rPr>
          <w:rFonts w:ascii="Arial" w:hAnsi="Arial" w:cs="Arial"/>
        </w:rPr>
        <w:t>.</w:t>
      </w:r>
      <w:r>
        <w:rPr>
          <w:rFonts w:ascii="Arial" w:hAnsi="Arial" w:cs="Arial"/>
        </w:rPr>
        <w:t xml:space="preserve"> Such a notice is a nullity</w:t>
      </w:r>
      <w:r w:rsidRPr="00C42150">
        <w:rPr>
          <w:rFonts w:ascii="Arial" w:hAnsi="Arial" w:cs="Arial"/>
        </w:rPr>
        <w:t xml:space="preserve"> and does not have any force or effect.</w:t>
      </w:r>
      <w:r>
        <w:rPr>
          <w:rFonts w:ascii="Arial" w:hAnsi="Arial" w:cs="Arial"/>
          <w:sz w:val="24"/>
          <w:szCs w:val="24"/>
        </w:rPr>
        <w:t xml:space="preserve">’ </w:t>
      </w:r>
      <w:r w:rsidRPr="00A00AFD">
        <w:rPr>
          <w:rFonts w:ascii="Arial" w:hAnsi="Arial" w:cs="Arial"/>
          <w:sz w:val="24"/>
          <w:szCs w:val="24"/>
        </w:rPr>
        <w:t xml:space="preserve"> </w:t>
      </w:r>
    </w:p>
    <w:p w:rsidR="000369C1" w:rsidRDefault="000369C1" w:rsidP="00F5780B">
      <w:pPr>
        <w:pStyle w:val="ListParagraph"/>
        <w:spacing w:after="0" w:line="360" w:lineRule="auto"/>
        <w:ind w:left="0"/>
        <w:jc w:val="both"/>
        <w:rPr>
          <w:rFonts w:ascii="Arial" w:hAnsi="Arial"/>
          <w:sz w:val="24"/>
          <w:szCs w:val="24"/>
        </w:rPr>
      </w:pPr>
    </w:p>
    <w:p w:rsidR="008A4364" w:rsidRDefault="00483336" w:rsidP="006E7540">
      <w:pPr>
        <w:pStyle w:val="ListParagraph"/>
        <w:spacing w:after="0" w:line="360" w:lineRule="auto"/>
        <w:ind w:left="0"/>
        <w:jc w:val="both"/>
        <w:rPr>
          <w:rFonts w:ascii="Arial" w:hAnsi="Arial"/>
          <w:sz w:val="24"/>
          <w:szCs w:val="24"/>
        </w:rPr>
      </w:pPr>
      <w:r>
        <w:rPr>
          <w:rFonts w:ascii="Arial" w:hAnsi="Arial"/>
          <w:sz w:val="24"/>
          <w:szCs w:val="24"/>
        </w:rPr>
        <w:t>[16]</w:t>
      </w:r>
      <w:r>
        <w:rPr>
          <w:rFonts w:ascii="Arial" w:hAnsi="Arial"/>
          <w:sz w:val="24"/>
          <w:szCs w:val="24"/>
        </w:rPr>
        <w:tab/>
      </w:r>
      <w:r w:rsidR="00733C28">
        <w:rPr>
          <w:rFonts w:ascii="Arial" w:hAnsi="Arial"/>
          <w:sz w:val="24"/>
          <w:szCs w:val="24"/>
        </w:rPr>
        <w:t xml:space="preserve">I am </w:t>
      </w:r>
      <w:r w:rsidR="005612BB">
        <w:rPr>
          <w:rFonts w:ascii="Arial" w:hAnsi="Arial"/>
          <w:sz w:val="24"/>
          <w:szCs w:val="24"/>
        </w:rPr>
        <w:t>of the</w:t>
      </w:r>
      <w:r w:rsidR="00733C28">
        <w:rPr>
          <w:rFonts w:ascii="Arial" w:hAnsi="Arial"/>
          <w:sz w:val="24"/>
          <w:szCs w:val="24"/>
        </w:rPr>
        <w:t xml:space="preserve"> view that the approach adopted </w:t>
      </w:r>
      <w:r w:rsidR="005612BB">
        <w:rPr>
          <w:rFonts w:ascii="Arial" w:hAnsi="Arial"/>
          <w:sz w:val="24"/>
          <w:szCs w:val="24"/>
        </w:rPr>
        <w:t xml:space="preserve">by the Supreme Court </w:t>
      </w:r>
      <w:r w:rsidR="00733C28">
        <w:rPr>
          <w:rFonts w:ascii="Arial" w:hAnsi="Arial"/>
          <w:sz w:val="24"/>
          <w:szCs w:val="24"/>
        </w:rPr>
        <w:t xml:space="preserve">in the </w:t>
      </w:r>
      <w:r w:rsidR="00733C28" w:rsidRPr="00733C28">
        <w:rPr>
          <w:rFonts w:ascii="Arial" w:hAnsi="Arial"/>
          <w:i/>
          <w:sz w:val="24"/>
          <w:szCs w:val="24"/>
        </w:rPr>
        <w:t>Van Rensburg</w:t>
      </w:r>
      <w:r w:rsidR="00733C28">
        <w:rPr>
          <w:rFonts w:ascii="Arial" w:hAnsi="Arial"/>
          <w:sz w:val="24"/>
          <w:szCs w:val="24"/>
        </w:rPr>
        <w:t xml:space="preserve"> matter is </w:t>
      </w:r>
      <w:r w:rsidR="005612BB">
        <w:rPr>
          <w:rFonts w:ascii="Arial" w:hAnsi="Arial"/>
          <w:sz w:val="24"/>
          <w:szCs w:val="24"/>
        </w:rPr>
        <w:t xml:space="preserve">to ensure that the Court </w:t>
      </w:r>
      <w:r>
        <w:rPr>
          <w:rFonts w:ascii="Arial" w:hAnsi="Arial"/>
          <w:sz w:val="24"/>
          <w:szCs w:val="24"/>
        </w:rPr>
        <w:t>does not abdicate its</w:t>
      </w:r>
      <w:r w:rsidR="005612BB">
        <w:rPr>
          <w:rFonts w:ascii="Arial" w:hAnsi="Arial"/>
          <w:sz w:val="24"/>
          <w:szCs w:val="24"/>
        </w:rPr>
        <w:t xml:space="preserve"> Constitutional mandate to adjudicate over dispute</w:t>
      </w:r>
      <w:r w:rsidR="00270470">
        <w:rPr>
          <w:rFonts w:ascii="Arial" w:hAnsi="Arial"/>
          <w:sz w:val="24"/>
          <w:szCs w:val="24"/>
        </w:rPr>
        <w:t xml:space="preserve">s that come before it </w:t>
      </w:r>
      <w:r>
        <w:rPr>
          <w:rFonts w:ascii="Arial" w:hAnsi="Arial"/>
          <w:sz w:val="24"/>
          <w:szCs w:val="24"/>
        </w:rPr>
        <w:t xml:space="preserve">and </w:t>
      </w:r>
      <w:r w:rsidR="00270470">
        <w:rPr>
          <w:rFonts w:ascii="Arial" w:hAnsi="Arial"/>
          <w:sz w:val="24"/>
          <w:szCs w:val="24"/>
        </w:rPr>
        <w:t xml:space="preserve">to </w:t>
      </w:r>
      <w:r>
        <w:rPr>
          <w:rFonts w:ascii="Arial" w:hAnsi="Arial"/>
          <w:sz w:val="24"/>
          <w:szCs w:val="24"/>
        </w:rPr>
        <w:t>administer</w:t>
      </w:r>
      <w:r w:rsidR="005612BB">
        <w:rPr>
          <w:rFonts w:ascii="Arial" w:hAnsi="Arial"/>
          <w:sz w:val="24"/>
          <w:szCs w:val="24"/>
        </w:rPr>
        <w:t xml:space="preserve"> </w:t>
      </w:r>
      <w:r w:rsidR="00CD0754">
        <w:rPr>
          <w:rFonts w:ascii="Arial" w:hAnsi="Arial"/>
          <w:sz w:val="24"/>
          <w:szCs w:val="24"/>
        </w:rPr>
        <w:t>justice</w:t>
      </w:r>
      <w:r w:rsidR="00270470">
        <w:rPr>
          <w:rFonts w:ascii="Arial" w:hAnsi="Arial"/>
          <w:sz w:val="24"/>
          <w:szCs w:val="24"/>
        </w:rPr>
        <w:t>. The approach</w:t>
      </w:r>
      <w:r w:rsidR="00CD0754">
        <w:rPr>
          <w:rFonts w:ascii="Arial" w:hAnsi="Arial"/>
          <w:sz w:val="24"/>
          <w:szCs w:val="24"/>
        </w:rPr>
        <w:t xml:space="preserve"> </w:t>
      </w:r>
      <w:r w:rsidR="00270470">
        <w:rPr>
          <w:rFonts w:ascii="Arial" w:hAnsi="Arial"/>
          <w:sz w:val="24"/>
          <w:szCs w:val="24"/>
        </w:rPr>
        <w:t xml:space="preserve">is </w:t>
      </w:r>
      <w:r w:rsidR="00CD0754">
        <w:rPr>
          <w:rFonts w:ascii="Arial" w:hAnsi="Arial"/>
          <w:sz w:val="24"/>
          <w:szCs w:val="24"/>
        </w:rPr>
        <w:t>not</w:t>
      </w:r>
      <w:r w:rsidR="00733C28">
        <w:rPr>
          <w:rFonts w:ascii="Arial" w:hAnsi="Arial"/>
          <w:sz w:val="24"/>
          <w:szCs w:val="24"/>
        </w:rPr>
        <w:t xml:space="preserve"> a license to litigants to disregard the statutory </w:t>
      </w:r>
      <w:r w:rsidR="006E0406">
        <w:rPr>
          <w:rFonts w:ascii="Arial" w:hAnsi="Arial"/>
          <w:sz w:val="24"/>
          <w:szCs w:val="24"/>
        </w:rPr>
        <w:t>provisions and to carelessly draft their notices of appeal. A</w:t>
      </w:r>
      <w:r w:rsidR="00E647F9">
        <w:rPr>
          <w:rFonts w:ascii="Arial" w:hAnsi="Arial"/>
          <w:sz w:val="24"/>
          <w:szCs w:val="24"/>
        </w:rPr>
        <w:t xml:space="preserve">lthough the </w:t>
      </w:r>
      <w:r w:rsidR="009402CF">
        <w:rPr>
          <w:rFonts w:ascii="Arial" w:hAnsi="Arial"/>
          <w:i/>
          <w:sz w:val="24"/>
          <w:szCs w:val="24"/>
        </w:rPr>
        <w:t>Kakolol</w:t>
      </w:r>
      <w:r w:rsidR="00E647F9" w:rsidRPr="00E647F9">
        <w:rPr>
          <w:rFonts w:ascii="Arial" w:hAnsi="Arial"/>
          <w:i/>
          <w:sz w:val="24"/>
          <w:szCs w:val="24"/>
        </w:rPr>
        <w:t>o</w:t>
      </w:r>
      <w:r w:rsidR="00E647F9" w:rsidRPr="00E647F9">
        <w:rPr>
          <w:rFonts w:ascii="Arial" w:hAnsi="Arial"/>
          <w:sz w:val="24"/>
          <w:szCs w:val="24"/>
        </w:rPr>
        <w:t xml:space="preserve"> </w:t>
      </w:r>
      <w:r w:rsidR="00E647F9">
        <w:rPr>
          <w:rFonts w:ascii="Arial" w:hAnsi="Arial"/>
          <w:sz w:val="24"/>
          <w:szCs w:val="24"/>
        </w:rPr>
        <w:t xml:space="preserve">matter deals with criminal proceedings the reasoning in that matter is applicable to this matter. The application for leave to appeal is the foundation of the applicant’s notice of appeal. What the applicant is seeking from this Court is leave to appeal against my findings on points of law or my findings </w:t>
      </w:r>
      <w:r w:rsidR="006A6705">
        <w:rPr>
          <w:rFonts w:ascii="Arial" w:hAnsi="Arial"/>
          <w:sz w:val="24"/>
          <w:szCs w:val="24"/>
        </w:rPr>
        <w:t xml:space="preserve">on </w:t>
      </w:r>
      <w:r w:rsidR="00E647F9">
        <w:rPr>
          <w:rFonts w:ascii="Arial" w:hAnsi="Arial"/>
          <w:sz w:val="24"/>
          <w:szCs w:val="24"/>
        </w:rPr>
        <w:t>facts or my findings against</w:t>
      </w:r>
      <w:r w:rsidR="009402CF">
        <w:rPr>
          <w:rFonts w:ascii="Arial" w:hAnsi="Arial"/>
          <w:sz w:val="24"/>
          <w:szCs w:val="24"/>
        </w:rPr>
        <w:t xml:space="preserve"> both points of law and </w:t>
      </w:r>
      <w:r w:rsidR="00E647F9">
        <w:rPr>
          <w:rFonts w:ascii="Arial" w:hAnsi="Arial"/>
          <w:sz w:val="24"/>
          <w:szCs w:val="24"/>
        </w:rPr>
        <w:t xml:space="preserve">of facts and also to appeal against the exercise of my judicial discretion. </w:t>
      </w:r>
      <w:r w:rsidR="00733C28">
        <w:rPr>
          <w:rFonts w:ascii="Arial" w:hAnsi="Arial"/>
          <w:sz w:val="24"/>
          <w:szCs w:val="24"/>
        </w:rPr>
        <w:t xml:space="preserve">Section </w:t>
      </w:r>
      <w:r w:rsidR="006E0406">
        <w:rPr>
          <w:rFonts w:ascii="Arial" w:hAnsi="Arial"/>
          <w:sz w:val="24"/>
          <w:szCs w:val="24"/>
        </w:rPr>
        <w:t>89 does not grant them the right to appeal against my findings on questions of facts or against the exercise of my</w:t>
      </w:r>
      <w:r w:rsidR="000F1771">
        <w:rPr>
          <w:rFonts w:ascii="Arial" w:hAnsi="Arial"/>
          <w:sz w:val="24"/>
          <w:szCs w:val="24"/>
        </w:rPr>
        <w:t xml:space="preserve"> judicial </w:t>
      </w:r>
      <w:r w:rsidR="006E0406">
        <w:rPr>
          <w:rFonts w:ascii="Arial" w:hAnsi="Arial"/>
          <w:sz w:val="24"/>
          <w:szCs w:val="24"/>
        </w:rPr>
        <w:t>discretion.</w:t>
      </w:r>
      <w:r w:rsidR="006E7540">
        <w:rPr>
          <w:rFonts w:ascii="Arial" w:hAnsi="Arial"/>
          <w:sz w:val="24"/>
          <w:szCs w:val="24"/>
        </w:rPr>
        <w:t xml:space="preserve"> It thus follows that if</w:t>
      </w:r>
      <w:r w:rsidR="00436E78">
        <w:rPr>
          <w:rFonts w:ascii="Arial" w:hAnsi="Arial"/>
          <w:sz w:val="24"/>
          <w:szCs w:val="24"/>
        </w:rPr>
        <w:t xml:space="preserve"> s 89(1)(</w:t>
      </w:r>
      <w:r w:rsidR="00436E78" w:rsidRPr="004866B9">
        <w:rPr>
          <w:rFonts w:ascii="Arial" w:hAnsi="Arial"/>
          <w:i/>
          <w:sz w:val="24"/>
          <w:szCs w:val="24"/>
        </w:rPr>
        <w:t>a</w:t>
      </w:r>
      <w:r w:rsidR="00436E78">
        <w:rPr>
          <w:rFonts w:ascii="Arial" w:hAnsi="Arial"/>
          <w:sz w:val="24"/>
          <w:szCs w:val="24"/>
        </w:rPr>
        <w:t xml:space="preserve">) </w:t>
      </w:r>
      <w:r w:rsidR="006E7540">
        <w:rPr>
          <w:rFonts w:ascii="Arial" w:hAnsi="Arial"/>
          <w:sz w:val="24"/>
          <w:szCs w:val="24"/>
        </w:rPr>
        <w:t xml:space="preserve">which confers on a litigant a right to appeal against </w:t>
      </w:r>
      <w:r w:rsidR="00436E78">
        <w:rPr>
          <w:rFonts w:ascii="Arial" w:hAnsi="Arial"/>
          <w:sz w:val="24"/>
          <w:szCs w:val="24"/>
        </w:rPr>
        <w:t>a</w:t>
      </w:r>
      <w:r w:rsidR="006E7540">
        <w:rPr>
          <w:rFonts w:ascii="Arial" w:hAnsi="Arial"/>
          <w:sz w:val="24"/>
          <w:szCs w:val="24"/>
        </w:rPr>
        <w:t xml:space="preserve"> </w:t>
      </w:r>
      <w:r w:rsidR="00436E78">
        <w:rPr>
          <w:rFonts w:ascii="Arial" w:hAnsi="Arial"/>
          <w:sz w:val="24"/>
          <w:szCs w:val="24"/>
        </w:rPr>
        <w:t xml:space="preserve">decision of the arbitrator does not confer a right </w:t>
      </w:r>
      <w:r w:rsidR="00C24ECA">
        <w:rPr>
          <w:rFonts w:ascii="Arial" w:hAnsi="Arial"/>
          <w:sz w:val="24"/>
          <w:szCs w:val="24"/>
        </w:rPr>
        <w:t>to appeal against a finding of fact and</w:t>
      </w:r>
      <w:r w:rsidR="00436E78">
        <w:rPr>
          <w:rFonts w:ascii="Arial" w:hAnsi="Arial"/>
          <w:sz w:val="24"/>
          <w:szCs w:val="24"/>
        </w:rPr>
        <w:t xml:space="preserve"> I do </w:t>
      </w:r>
      <w:r w:rsidR="005C5F5F">
        <w:rPr>
          <w:rFonts w:ascii="Arial" w:hAnsi="Arial"/>
          <w:sz w:val="24"/>
          <w:szCs w:val="24"/>
        </w:rPr>
        <w:t>not</w:t>
      </w:r>
      <w:r w:rsidR="00436E78">
        <w:rPr>
          <w:rFonts w:ascii="Arial" w:hAnsi="Arial"/>
          <w:sz w:val="24"/>
          <w:szCs w:val="24"/>
        </w:rPr>
        <w:t xml:space="preserve"> have the legal power to grant such a right.</w:t>
      </w:r>
    </w:p>
    <w:p w:rsidR="006E7540" w:rsidRDefault="006E7540" w:rsidP="006E7540">
      <w:pPr>
        <w:pStyle w:val="ListParagraph"/>
        <w:spacing w:after="0" w:line="360" w:lineRule="auto"/>
        <w:ind w:left="0"/>
        <w:jc w:val="both"/>
        <w:rPr>
          <w:rFonts w:ascii="Arial" w:hAnsi="Arial" w:cs="Arial"/>
          <w:sz w:val="24"/>
          <w:szCs w:val="24"/>
        </w:rPr>
      </w:pPr>
    </w:p>
    <w:p w:rsidR="00D71768" w:rsidRDefault="00A77DAA" w:rsidP="006E7540">
      <w:pPr>
        <w:tabs>
          <w:tab w:val="left" w:pos="720"/>
        </w:tabs>
        <w:spacing w:after="0" w:line="360" w:lineRule="auto"/>
        <w:jc w:val="both"/>
        <w:rPr>
          <w:rFonts w:ascii="Arial" w:hAnsi="Arial" w:cs="Arial"/>
          <w:sz w:val="24"/>
          <w:szCs w:val="24"/>
        </w:rPr>
      </w:pPr>
      <w:r>
        <w:rPr>
          <w:rFonts w:ascii="Arial" w:hAnsi="Arial" w:cs="Arial"/>
          <w:sz w:val="24"/>
          <w:szCs w:val="24"/>
        </w:rPr>
        <w:lastRenderedPageBreak/>
        <w:t>[</w:t>
      </w:r>
      <w:r w:rsidRPr="00436E78">
        <w:rPr>
          <w:rFonts w:ascii="Arial" w:hAnsi="Arial" w:cs="Arial"/>
          <w:sz w:val="24"/>
          <w:szCs w:val="24"/>
        </w:rPr>
        <w:t>17]</w:t>
      </w:r>
      <w:r w:rsidRPr="00436E78">
        <w:rPr>
          <w:rFonts w:ascii="Arial" w:hAnsi="Arial" w:cs="Arial"/>
          <w:sz w:val="24"/>
          <w:szCs w:val="24"/>
        </w:rPr>
        <w:tab/>
      </w:r>
      <w:r w:rsidR="006E7540" w:rsidRPr="00436E78">
        <w:rPr>
          <w:rFonts w:ascii="Arial" w:hAnsi="Arial" w:cs="Arial"/>
          <w:sz w:val="24"/>
          <w:szCs w:val="24"/>
        </w:rPr>
        <w:t xml:space="preserve">I am therefore of the </w:t>
      </w:r>
      <w:r w:rsidR="00436E78" w:rsidRPr="00436E78">
        <w:rPr>
          <w:rFonts w:ascii="Arial" w:hAnsi="Arial" w:cs="Arial"/>
          <w:sz w:val="24"/>
          <w:szCs w:val="24"/>
        </w:rPr>
        <w:t xml:space="preserve">view that once I find that the application for leave to appeal is defective, </w:t>
      </w:r>
      <w:r w:rsidR="00436E78">
        <w:rPr>
          <w:rFonts w:ascii="Arial" w:hAnsi="Arial" w:cs="Arial"/>
          <w:sz w:val="24"/>
          <w:szCs w:val="24"/>
        </w:rPr>
        <w:t xml:space="preserve">that fact alone (it is the defect) </w:t>
      </w:r>
      <w:r w:rsidR="006E7540" w:rsidRPr="00436E78">
        <w:rPr>
          <w:rFonts w:ascii="Arial" w:hAnsi="Arial" w:cs="Arial"/>
          <w:sz w:val="24"/>
          <w:szCs w:val="24"/>
        </w:rPr>
        <w:t xml:space="preserve">cannot </w:t>
      </w:r>
      <w:r w:rsidR="00436E78">
        <w:rPr>
          <w:rFonts w:ascii="Arial" w:hAnsi="Arial" w:cs="Arial"/>
          <w:sz w:val="24"/>
          <w:szCs w:val="24"/>
        </w:rPr>
        <w:t>and should not</w:t>
      </w:r>
      <w:r w:rsidR="006E7540" w:rsidRPr="00436E78">
        <w:rPr>
          <w:rFonts w:ascii="Arial" w:hAnsi="Arial" w:cs="Arial"/>
          <w:sz w:val="24"/>
          <w:szCs w:val="24"/>
        </w:rPr>
        <w:t xml:space="preserve"> close the doors of the Court to a litigant.  A litigant is entitled to bring his case before the Court and to have it adjudicated by a Judge.  </w:t>
      </w:r>
      <w:r w:rsidR="00436E78">
        <w:rPr>
          <w:rFonts w:ascii="Arial" w:hAnsi="Arial" w:cs="Arial"/>
          <w:sz w:val="24"/>
          <w:szCs w:val="24"/>
        </w:rPr>
        <w:t xml:space="preserve">It is for that reason that I </w:t>
      </w:r>
      <w:r w:rsidR="000F1771">
        <w:rPr>
          <w:rFonts w:ascii="Arial" w:hAnsi="Arial" w:cs="Arial"/>
          <w:sz w:val="24"/>
          <w:szCs w:val="24"/>
        </w:rPr>
        <w:t xml:space="preserve">am of the view </w:t>
      </w:r>
      <w:r w:rsidR="00D71768">
        <w:rPr>
          <w:rFonts w:ascii="Arial" w:hAnsi="Arial" w:cs="Arial"/>
          <w:sz w:val="24"/>
          <w:szCs w:val="24"/>
        </w:rPr>
        <w:t xml:space="preserve">that the appropriate consequences for a </w:t>
      </w:r>
      <w:r w:rsidR="000F1771">
        <w:rPr>
          <w:rFonts w:ascii="Arial" w:hAnsi="Arial" w:cs="Arial"/>
          <w:sz w:val="24"/>
          <w:szCs w:val="24"/>
        </w:rPr>
        <w:t>defective notice is to strike the notice</w:t>
      </w:r>
      <w:r w:rsidR="00D71768">
        <w:rPr>
          <w:rFonts w:ascii="Arial" w:hAnsi="Arial" w:cs="Arial"/>
          <w:sz w:val="24"/>
          <w:szCs w:val="24"/>
        </w:rPr>
        <w:t xml:space="preserve"> from the roll rather than to </w:t>
      </w:r>
      <w:r w:rsidR="00436E78">
        <w:rPr>
          <w:rFonts w:ascii="Arial" w:hAnsi="Arial" w:cs="Arial"/>
          <w:sz w:val="24"/>
          <w:szCs w:val="24"/>
        </w:rPr>
        <w:t>dismiss</w:t>
      </w:r>
      <w:r w:rsidR="00D71768">
        <w:rPr>
          <w:rFonts w:ascii="Arial" w:hAnsi="Arial" w:cs="Arial"/>
          <w:sz w:val="24"/>
          <w:szCs w:val="24"/>
        </w:rPr>
        <w:t xml:space="preserve"> it.</w:t>
      </w:r>
      <w:r w:rsidR="00436E78">
        <w:rPr>
          <w:rFonts w:ascii="Arial" w:hAnsi="Arial" w:cs="Arial"/>
          <w:sz w:val="24"/>
          <w:szCs w:val="24"/>
        </w:rPr>
        <w:t xml:space="preserve"> </w:t>
      </w:r>
      <w:r w:rsidR="00D71768">
        <w:rPr>
          <w:rFonts w:ascii="Arial" w:hAnsi="Arial" w:cs="Arial"/>
          <w:sz w:val="24"/>
          <w:szCs w:val="24"/>
        </w:rPr>
        <w:t xml:space="preserve"> </w:t>
      </w:r>
    </w:p>
    <w:p w:rsidR="00D71768" w:rsidRDefault="00D71768" w:rsidP="006E7540">
      <w:pPr>
        <w:tabs>
          <w:tab w:val="left" w:pos="720"/>
        </w:tabs>
        <w:spacing w:after="0" w:line="360" w:lineRule="auto"/>
        <w:jc w:val="both"/>
        <w:rPr>
          <w:rFonts w:ascii="Arial" w:hAnsi="Arial" w:cs="Arial"/>
          <w:sz w:val="24"/>
          <w:szCs w:val="24"/>
        </w:rPr>
      </w:pPr>
    </w:p>
    <w:p w:rsidR="00C34FD7" w:rsidRPr="00436E78" w:rsidRDefault="00D71768" w:rsidP="006E7540">
      <w:pPr>
        <w:tabs>
          <w:tab w:val="left" w:pos="720"/>
        </w:tabs>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 I make the following order.</w:t>
      </w:r>
    </w:p>
    <w:p w:rsidR="002C7C6F" w:rsidRPr="00436E78" w:rsidRDefault="002C7C6F" w:rsidP="0079572C">
      <w:pPr>
        <w:tabs>
          <w:tab w:val="left" w:pos="720"/>
        </w:tabs>
        <w:spacing w:after="0" w:line="360" w:lineRule="auto"/>
        <w:jc w:val="both"/>
        <w:rPr>
          <w:rFonts w:ascii="Arial" w:hAnsi="Arial" w:cs="Arial"/>
          <w:sz w:val="24"/>
          <w:szCs w:val="24"/>
        </w:rPr>
      </w:pPr>
    </w:p>
    <w:p w:rsidR="00A53F58" w:rsidRDefault="00D71768" w:rsidP="00D71768">
      <w:pPr>
        <w:spacing w:after="0" w:line="360" w:lineRule="auto"/>
        <w:jc w:val="both"/>
        <w:rPr>
          <w:rFonts w:ascii="Arial" w:hAnsi="Arial" w:cs="Arial"/>
          <w:sz w:val="24"/>
          <w:szCs w:val="24"/>
        </w:rPr>
      </w:pPr>
      <w:r>
        <w:rPr>
          <w:rFonts w:ascii="Arial" w:hAnsi="Arial" w:cs="Arial"/>
          <w:sz w:val="24"/>
          <w:szCs w:val="24"/>
        </w:rPr>
        <w:t>The application for leave to appeal is struck from the roll and I make no order as to costs.</w:t>
      </w:r>
    </w:p>
    <w:p w:rsidR="00D71768" w:rsidRDefault="00D71768" w:rsidP="00D71768">
      <w:pPr>
        <w:spacing w:after="0" w:line="360" w:lineRule="auto"/>
        <w:jc w:val="both"/>
        <w:rPr>
          <w:rFonts w:ascii="Arial" w:hAnsi="Arial" w:cs="Arial"/>
          <w:sz w:val="24"/>
          <w:szCs w:val="24"/>
        </w:rPr>
      </w:pPr>
    </w:p>
    <w:p w:rsidR="00D71768" w:rsidRDefault="00D71768" w:rsidP="00D71768">
      <w:pPr>
        <w:spacing w:after="0" w:line="360" w:lineRule="auto"/>
        <w:jc w:val="both"/>
        <w:rPr>
          <w:rFonts w:ascii="Arial" w:hAnsi="Arial" w:cs="Arial"/>
          <w:sz w:val="24"/>
          <w:szCs w:val="24"/>
        </w:rPr>
      </w:pPr>
    </w:p>
    <w:p w:rsidR="00D71768" w:rsidRPr="00D71768" w:rsidRDefault="00D71768" w:rsidP="00D71768">
      <w:pPr>
        <w:spacing w:after="0" w:line="360" w:lineRule="auto"/>
        <w:jc w:val="both"/>
        <w:rPr>
          <w:rFonts w:ascii="Arial" w:hAnsi="Arial" w:cs="Arial"/>
          <w:sz w:val="24"/>
          <w:szCs w:val="24"/>
        </w:rPr>
      </w:pP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w:t>
      </w: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SFI Ueitele</w:t>
      </w: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Judge</w:t>
      </w:r>
    </w:p>
    <w:p w:rsidR="00FD5DA8" w:rsidRPr="00055DCE" w:rsidRDefault="00FD5DA8" w:rsidP="00FD5DA8">
      <w:pPr>
        <w:tabs>
          <w:tab w:val="right" w:pos="9360"/>
        </w:tabs>
        <w:jc w:val="both"/>
        <w:rPr>
          <w:rFonts w:ascii="Arial" w:hAnsi="Arial" w:cs="Arial"/>
          <w:b/>
          <w:sz w:val="24"/>
          <w:szCs w:val="24"/>
        </w:rPr>
      </w:pPr>
      <w:r>
        <w:rPr>
          <w:rFonts w:ascii="Arial" w:hAnsi="Arial" w:cs="Arial"/>
          <w:sz w:val="24"/>
          <w:szCs w:val="24"/>
        </w:rPr>
        <w:br w:type="page"/>
      </w:r>
      <w:r w:rsidRPr="00055DCE">
        <w:rPr>
          <w:rFonts w:ascii="Arial" w:hAnsi="Arial" w:cs="Arial"/>
          <w:b/>
          <w:sz w:val="24"/>
          <w:szCs w:val="24"/>
        </w:rPr>
        <w:lastRenderedPageBreak/>
        <w:t>APPEARANCES</w:t>
      </w:r>
    </w:p>
    <w:p w:rsidR="00FD5DA8" w:rsidRDefault="00FD5DA8" w:rsidP="00FD5DA8">
      <w:pPr>
        <w:tabs>
          <w:tab w:val="left" w:pos="1394"/>
          <w:tab w:val="left" w:pos="2528"/>
          <w:tab w:val="left" w:pos="5220"/>
        </w:tabs>
        <w:spacing w:after="0" w:line="360" w:lineRule="auto"/>
        <w:jc w:val="both"/>
        <w:rPr>
          <w:rFonts w:ascii="Arial" w:hAnsi="Arial" w:cs="Arial"/>
          <w:sz w:val="24"/>
          <w:szCs w:val="24"/>
        </w:rPr>
      </w:pPr>
    </w:p>
    <w:p w:rsidR="00FD5DA8" w:rsidRPr="0040440A" w:rsidRDefault="00B94D12" w:rsidP="00173F78">
      <w:pPr>
        <w:tabs>
          <w:tab w:val="left" w:pos="1394"/>
          <w:tab w:val="left" w:pos="2528"/>
          <w:tab w:val="left" w:pos="5040"/>
          <w:tab w:val="left" w:pos="7920"/>
        </w:tabs>
        <w:spacing w:after="0" w:line="360" w:lineRule="auto"/>
        <w:jc w:val="both"/>
        <w:rPr>
          <w:rFonts w:ascii="Arial" w:hAnsi="Arial" w:cs="Arial"/>
          <w:sz w:val="24"/>
          <w:szCs w:val="24"/>
        </w:rPr>
      </w:pPr>
      <w:r w:rsidRPr="00055DCE">
        <w:rPr>
          <w:rFonts w:ascii="Arial" w:hAnsi="Arial" w:cs="Arial"/>
          <w:b/>
          <w:sz w:val="24"/>
          <w:szCs w:val="24"/>
        </w:rPr>
        <w:t>APPLICANT</w:t>
      </w:r>
      <w:r w:rsidR="00FD5DA8">
        <w:rPr>
          <w:rFonts w:ascii="Arial" w:hAnsi="Arial" w:cs="Arial"/>
          <w:sz w:val="24"/>
          <w:szCs w:val="24"/>
        </w:rPr>
        <w:t>:</w:t>
      </w:r>
      <w:r w:rsidR="00FD5DA8">
        <w:rPr>
          <w:rFonts w:ascii="Arial" w:hAnsi="Arial" w:cs="Arial"/>
          <w:sz w:val="24"/>
          <w:szCs w:val="24"/>
        </w:rPr>
        <w:tab/>
      </w:r>
      <w:r w:rsidR="006D7869">
        <w:rPr>
          <w:rFonts w:ascii="Arial" w:hAnsi="Arial" w:cs="Arial"/>
          <w:sz w:val="24"/>
          <w:szCs w:val="24"/>
        </w:rPr>
        <w:tab/>
      </w:r>
      <w:r w:rsidR="006D2AB0">
        <w:rPr>
          <w:rFonts w:ascii="Arial" w:hAnsi="Arial" w:cs="Arial"/>
          <w:sz w:val="24"/>
          <w:szCs w:val="24"/>
        </w:rPr>
        <w:t>J.</w:t>
      </w:r>
      <w:r w:rsidR="00DC6439">
        <w:rPr>
          <w:rFonts w:ascii="Arial" w:hAnsi="Arial" w:cs="Arial"/>
          <w:sz w:val="24"/>
          <w:szCs w:val="24"/>
        </w:rPr>
        <w:t xml:space="preserve"> </w:t>
      </w:r>
      <w:r w:rsidR="00173F78">
        <w:rPr>
          <w:rFonts w:ascii="Arial" w:hAnsi="Arial" w:cs="Arial"/>
          <w:sz w:val="24"/>
          <w:szCs w:val="24"/>
        </w:rPr>
        <w:t>Dicks</w:t>
      </w:r>
      <w:r w:rsidR="00DC6439">
        <w:rPr>
          <w:rFonts w:ascii="Arial" w:hAnsi="Arial" w:cs="Arial"/>
          <w:sz w:val="24"/>
          <w:szCs w:val="24"/>
        </w:rPr>
        <w:t xml:space="preserve"> </w:t>
      </w:r>
      <w:r w:rsidR="00640D10">
        <w:rPr>
          <w:rFonts w:ascii="Arial" w:hAnsi="Arial" w:cs="Arial"/>
          <w:sz w:val="24"/>
          <w:szCs w:val="24"/>
        </w:rPr>
        <w:t xml:space="preserve"> </w:t>
      </w:r>
    </w:p>
    <w:p w:rsidR="00FD5DA8" w:rsidRDefault="00173F78" w:rsidP="000356A1">
      <w:pPr>
        <w:tabs>
          <w:tab w:val="left" w:pos="432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 xml:space="preserve">Instructed by </w:t>
      </w:r>
      <w:r w:rsidR="000356A1">
        <w:rPr>
          <w:rFonts w:ascii="Arial" w:hAnsi="Arial" w:cs="Arial"/>
          <w:sz w:val="24"/>
          <w:szCs w:val="24"/>
        </w:rPr>
        <w:t>Kopplinger Boltman, Windhoek</w:t>
      </w:r>
    </w:p>
    <w:p w:rsidR="0013234F" w:rsidRDefault="0013234F" w:rsidP="00FD5DA8">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FD5DA8">
      <w:pPr>
        <w:tabs>
          <w:tab w:val="left" w:pos="4320"/>
        </w:tabs>
        <w:autoSpaceDE w:val="0"/>
        <w:autoSpaceDN w:val="0"/>
        <w:adjustRightInd w:val="0"/>
        <w:spacing w:after="0" w:line="360" w:lineRule="auto"/>
        <w:jc w:val="both"/>
        <w:rPr>
          <w:rFonts w:ascii="Arial" w:hAnsi="Arial" w:cs="Arial"/>
          <w:sz w:val="24"/>
          <w:szCs w:val="24"/>
        </w:rPr>
      </w:pPr>
    </w:p>
    <w:p w:rsidR="00173F78" w:rsidRPr="00173F78" w:rsidRDefault="0013234F" w:rsidP="00173F78">
      <w:pPr>
        <w:tabs>
          <w:tab w:val="left" w:pos="504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RESPONDENT</w:t>
      </w:r>
      <w:r w:rsidR="00FD5DA8" w:rsidRPr="00055DCE">
        <w:rPr>
          <w:rFonts w:ascii="Arial" w:hAnsi="Arial" w:cs="Arial"/>
          <w:b/>
          <w:sz w:val="24"/>
          <w:szCs w:val="24"/>
        </w:rPr>
        <w:t>:</w:t>
      </w:r>
      <w:r w:rsidR="00FD5DA8">
        <w:rPr>
          <w:rFonts w:ascii="Arial" w:hAnsi="Arial" w:cs="Arial"/>
          <w:sz w:val="24"/>
          <w:szCs w:val="24"/>
        </w:rPr>
        <w:tab/>
      </w:r>
      <w:r w:rsidR="00173F78" w:rsidRPr="00173F78">
        <w:rPr>
          <w:rFonts w:ascii="Arial" w:hAnsi="Arial" w:cs="Arial"/>
          <w:sz w:val="24"/>
          <w:szCs w:val="24"/>
        </w:rPr>
        <w:t>S</w:t>
      </w:r>
      <w:r w:rsidR="006D2AB0">
        <w:rPr>
          <w:rFonts w:ascii="Arial" w:hAnsi="Arial" w:cs="Arial"/>
          <w:sz w:val="24"/>
          <w:szCs w:val="24"/>
        </w:rPr>
        <w:t>.</w:t>
      </w:r>
      <w:r w:rsidR="00173F78" w:rsidRPr="00173F78">
        <w:rPr>
          <w:rFonts w:ascii="Arial" w:hAnsi="Arial" w:cs="Arial"/>
          <w:sz w:val="24"/>
          <w:szCs w:val="24"/>
        </w:rPr>
        <w:t xml:space="preserve"> Namandje</w:t>
      </w:r>
      <w:r w:rsidR="000356A1">
        <w:rPr>
          <w:rFonts w:ascii="Arial" w:hAnsi="Arial" w:cs="Arial"/>
          <w:sz w:val="24"/>
          <w:szCs w:val="24"/>
        </w:rPr>
        <w:t xml:space="preserve"> </w:t>
      </w:r>
    </w:p>
    <w:p w:rsidR="00173F78" w:rsidRDefault="00173F78" w:rsidP="00173F78">
      <w:pPr>
        <w:tabs>
          <w:tab w:val="left" w:pos="5040"/>
        </w:tabs>
        <w:autoSpaceDE w:val="0"/>
        <w:autoSpaceDN w:val="0"/>
        <w:adjustRightInd w:val="0"/>
        <w:spacing w:after="0" w:line="360" w:lineRule="auto"/>
        <w:jc w:val="both"/>
        <w:rPr>
          <w:rFonts w:ascii="Arial" w:hAnsi="Arial" w:cs="Arial"/>
        </w:rPr>
      </w:pPr>
      <w:r>
        <w:rPr>
          <w:rFonts w:ascii="Arial" w:hAnsi="Arial" w:cs="Arial"/>
          <w:sz w:val="24"/>
          <w:szCs w:val="24"/>
        </w:rPr>
        <w:tab/>
      </w:r>
      <w:r w:rsidR="00ED181E">
        <w:rPr>
          <w:rFonts w:ascii="Arial" w:hAnsi="Arial" w:cs="Arial"/>
          <w:sz w:val="24"/>
          <w:szCs w:val="24"/>
        </w:rPr>
        <w:t xml:space="preserve">Of </w:t>
      </w:r>
      <w:r w:rsidRPr="00173F78">
        <w:rPr>
          <w:rFonts w:ascii="Arial" w:hAnsi="Arial" w:cs="Arial"/>
          <w:sz w:val="24"/>
          <w:szCs w:val="24"/>
        </w:rPr>
        <w:t>Sisa Namandje &amp; Co Inc, Windhoek</w:t>
      </w:r>
    </w:p>
    <w:p w:rsidR="00FD5DA8" w:rsidRDefault="00FD5DA8" w:rsidP="0013234F">
      <w:pPr>
        <w:pStyle w:val="BodyTextIndent"/>
        <w:tabs>
          <w:tab w:val="left" w:pos="5040"/>
        </w:tabs>
        <w:spacing w:line="360" w:lineRule="auto"/>
        <w:ind w:left="5040"/>
        <w:jc w:val="both"/>
        <w:rPr>
          <w:rFonts w:ascii="Arial" w:hAnsi="Arial" w:cs="Arial"/>
        </w:rPr>
      </w:pPr>
    </w:p>
    <w:p w:rsidR="0027628F" w:rsidRDefault="0027628F" w:rsidP="000F1771">
      <w:pPr>
        <w:spacing w:after="0" w:line="240" w:lineRule="auto"/>
        <w:rPr>
          <w:rFonts w:ascii="Arial" w:hAnsi="Arial" w:cs="Arial"/>
        </w:rPr>
      </w:pPr>
    </w:p>
    <w:sectPr w:rsidR="0027628F" w:rsidSect="0013234F">
      <w:headerReference w:type="default" r:id="rId12"/>
      <w:pgSz w:w="11907" w:h="16839" w:code="9"/>
      <w:pgMar w:top="99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4C" w:rsidRDefault="00D3384C" w:rsidP="00741B0B">
      <w:pPr>
        <w:spacing w:after="0" w:line="240" w:lineRule="auto"/>
      </w:pPr>
      <w:r>
        <w:separator/>
      </w:r>
    </w:p>
  </w:endnote>
  <w:endnote w:type="continuationSeparator" w:id="0">
    <w:p w:rsidR="00D3384C" w:rsidRDefault="00D3384C"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4C" w:rsidRDefault="00D3384C" w:rsidP="00741B0B">
      <w:pPr>
        <w:spacing w:after="0" w:line="240" w:lineRule="auto"/>
      </w:pPr>
      <w:r>
        <w:separator/>
      </w:r>
    </w:p>
  </w:footnote>
  <w:footnote w:type="continuationSeparator" w:id="0">
    <w:p w:rsidR="00D3384C" w:rsidRDefault="00D3384C" w:rsidP="00741B0B">
      <w:pPr>
        <w:spacing w:after="0" w:line="240" w:lineRule="auto"/>
      </w:pPr>
      <w:r>
        <w:continuationSeparator/>
      </w:r>
    </w:p>
  </w:footnote>
  <w:footnote w:id="1">
    <w:p w:rsidR="00AD47EB" w:rsidRDefault="00AD47EB">
      <w:pPr>
        <w:pStyle w:val="FootnoteText"/>
      </w:pPr>
      <w:r>
        <w:rPr>
          <w:rStyle w:val="FootnoteReference"/>
        </w:rPr>
        <w:footnoteRef/>
      </w:r>
      <w:r>
        <w:t xml:space="preserve"> </w:t>
      </w:r>
      <w:r w:rsidRPr="00343E0D">
        <w:t>Act No. 11</w:t>
      </w:r>
      <w:r w:rsidR="006A6705">
        <w:t xml:space="preserve"> </w:t>
      </w:r>
      <w:r w:rsidRPr="00343E0D">
        <w:t>of 2007.</w:t>
      </w:r>
    </w:p>
  </w:footnote>
  <w:footnote w:id="2">
    <w:p w:rsidR="008A4364" w:rsidRPr="003A15C4" w:rsidRDefault="008A4364" w:rsidP="003A15C4">
      <w:pPr>
        <w:pStyle w:val="FootnoteText"/>
        <w:tabs>
          <w:tab w:val="left" w:pos="360"/>
        </w:tabs>
        <w:spacing w:line="276" w:lineRule="auto"/>
        <w:ind w:left="360" w:hanging="360"/>
        <w:rPr>
          <w:rFonts w:ascii="Arial" w:hAnsi="Arial" w:cs="Arial"/>
        </w:rPr>
      </w:pPr>
      <w:r w:rsidRPr="003A15C4">
        <w:rPr>
          <w:rStyle w:val="FootnoteReference"/>
          <w:rFonts w:ascii="Arial" w:hAnsi="Arial" w:cs="Arial"/>
        </w:rPr>
        <w:footnoteRef/>
      </w:r>
      <w:r w:rsidRPr="003A15C4">
        <w:rPr>
          <w:rFonts w:ascii="Arial" w:hAnsi="Arial" w:cs="Arial"/>
        </w:rPr>
        <w:t xml:space="preserve"> </w:t>
      </w:r>
      <w:r w:rsidRPr="003A15C4">
        <w:rPr>
          <w:rFonts w:ascii="Arial" w:hAnsi="Arial" w:cs="Arial"/>
        </w:rPr>
        <w:tab/>
      </w:r>
      <w:r w:rsidR="003A15C4" w:rsidRPr="003A15C4">
        <w:rPr>
          <w:rFonts w:ascii="Arial" w:hAnsi="Arial" w:cs="Arial"/>
        </w:rPr>
        <w:t>An unreported judgment of the Labour Court of Namibia Case No.</w:t>
      </w:r>
      <w:r w:rsidR="003A15C4">
        <w:rPr>
          <w:rFonts w:ascii="Arial" w:hAnsi="Arial" w:cs="Arial"/>
        </w:rPr>
        <w:t xml:space="preserve"> </w:t>
      </w:r>
      <w:r w:rsidR="003A15C4" w:rsidRPr="003A15C4">
        <w:rPr>
          <w:rFonts w:ascii="Arial" w:hAnsi="Arial" w:cs="Arial"/>
          <w:bCs/>
        </w:rPr>
        <w:t>LCA 02/2010</w:t>
      </w:r>
      <w:r w:rsidR="003A15C4" w:rsidRPr="003A15C4">
        <w:rPr>
          <w:rFonts w:ascii="Arial" w:hAnsi="Arial" w:cs="Arial"/>
        </w:rPr>
        <w:t xml:space="preserve"> </w:t>
      </w:r>
      <w:r w:rsidR="003A15C4">
        <w:rPr>
          <w:rFonts w:ascii="Arial" w:hAnsi="Arial" w:cs="Arial"/>
        </w:rPr>
        <w:t>delivered on 07 March 2011.</w:t>
      </w:r>
    </w:p>
  </w:footnote>
  <w:footnote w:id="3">
    <w:p w:rsidR="00D37D97" w:rsidRPr="001A6FD2" w:rsidRDefault="00D37D97" w:rsidP="001A6FD2">
      <w:pPr>
        <w:pStyle w:val="FootnoteText"/>
        <w:tabs>
          <w:tab w:val="left" w:pos="360"/>
        </w:tabs>
        <w:rPr>
          <w:rFonts w:ascii="Arial" w:hAnsi="Arial" w:cs="Arial"/>
        </w:rPr>
      </w:pPr>
      <w:r w:rsidRPr="001A6FD2">
        <w:rPr>
          <w:rStyle w:val="FootnoteReference"/>
          <w:rFonts w:ascii="Arial" w:hAnsi="Arial" w:cs="Arial"/>
        </w:rPr>
        <w:footnoteRef/>
      </w:r>
      <w:r w:rsidRPr="001A6FD2">
        <w:rPr>
          <w:rFonts w:ascii="Arial" w:hAnsi="Arial" w:cs="Arial"/>
        </w:rPr>
        <w:t xml:space="preserve"> </w:t>
      </w:r>
      <w:r w:rsidR="001A6FD2" w:rsidRPr="001A6FD2">
        <w:rPr>
          <w:rFonts w:ascii="Arial" w:hAnsi="Arial" w:cs="Arial"/>
        </w:rPr>
        <w:tab/>
      </w:r>
      <w:r w:rsidRPr="001A6FD2">
        <w:rPr>
          <w:rFonts w:ascii="Arial" w:hAnsi="Arial" w:cs="Arial"/>
        </w:rPr>
        <w:t>1996 NR 36 (LC).</w:t>
      </w:r>
    </w:p>
  </w:footnote>
  <w:footnote w:id="4">
    <w:p w:rsidR="00F5780B" w:rsidRDefault="00F5780B" w:rsidP="0086622C">
      <w:pPr>
        <w:tabs>
          <w:tab w:val="left" w:pos="360"/>
        </w:tabs>
        <w:jc w:val="both"/>
        <w:rPr>
          <w:rFonts w:ascii="Arial" w:hAnsi="Arial"/>
          <w:sz w:val="24"/>
          <w:szCs w:val="24"/>
        </w:rPr>
      </w:pPr>
      <w:r w:rsidRPr="00F5780B">
        <w:rPr>
          <w:rStyle w:val="FootnoteReference"/>
          <w:rFonts w:ascii="Arial" w:hAnsi="Arial" w:cs="Arial"/>
        </w:rPr>
        <w:footnoteRef/>
      </w:r>
      <w:r w:rsidR="0086622C">
        <w:rPr>
          <w:rFonts w:ascii="Arial" w:hAnsi="Arial" w:cs="Arial"/>
        </w:rPr>
        <w:t xml:space="preserve"> </w:t>
      </w:r>
      <w:r w:rsidR="0086622C">
        <w:rPr>
          <w:rFonts w:ascii="Arial" w:hAnsi="Arial" w:cs="Arial"/>
        </w:rPr>
        <w:tab/>
      </w:r>
      <w:r w:rsidRPr="00F5780B">
        <w:rPr>
          <w:rFonts w:ascii="Arial" w:hAnsi="Arial" w:cs="Arial"/>
          <w:sz w:val="20"/>
          <w:szCs w:val="20"/>
        </w:rPr>
        <w:t>An unreported judgment of the Supreme Court of Namibia</w:t>
      </w:r>
      <w:r>
        <w:rPr>
          <w:rFonts w:ascii="Arial" w:hAnsi="Arial" w:cs="Arial"/>
          <w:sz w:val="20"/>
          <w:szCs w:val="20"/>
        </w:rPr>
        <w:t xml:space="preserve"> Case No</w:t>
      </w:r>
      <w:r w:rsidRPr="00F5780B">
        <w:rPr>
          <w:rFonts w:ascii="Arial" w:hAnsi="Arial"/>
          <w:sz w:val="20"/>
          <w:szCs w:val="20"/>
        </w:rPr>
        <w:t>: SA 33/2013</w:t>
      </w:r>
      <w:r>
        <w:rPr>
          <w:rFonts w:ascii="Arial" w:hAnsi="Arial"/>
          <w:sz w:val="20"/>
          <w:szCs w:val="20"/>
        </w:rPr>
        <w:t xml:space="preserve"> delivered on 11 April 2016.</w:t>
      </w:r>
    </w:p>
    <w:p w:rsidR="00F5780B" w:rsidRPr="00F5780B" w:rsidRDefault="00F5780B" w:rsidP="00F5780B">
      <w:pPr>
        <w:pStyle w:val="FootnoteText"/>
        <w:tabs>
          <w:tab w:val="left" w:pos="360"/>
        </w:tabs>
        <w:rPr>
          <w:rFonts w:ascii="Arial" w:hAnsi="Arial" w:cs="Arial"/>
        </w:rPr>
      </w:pPr>
    </w:p>
  </w:footnote>
  <w:footnote w:id="5">
    <w:p w:rsidR="000369C1" w:rsidRDefault="000369C1" w:rsidP="000369C1">
      <w:pPr>
        <w:pStyle w:val="FootnoteText"/>
        <w:tabs>
          <w:tab w:val="left" w:pos="360"/>
        </w:tabs>
      </w:pPr>
      <w:r w:rsidRPr="001A6FD2">
        <w:rPr>
          <w:rStyle w:val="FootnoteReference"/>
          <w:rFonts w:ascii="Arial" w:hAnsi="Arial" w:cs="Arial"/>
        </w:rPr>
        <w:footnoteRef/>
      </w:r>
      <w:r w:rsidRPr="001A6FD2">
        <w:rPr>
          <w:rFonts w:ascii="Arial" w:hAnsi="Arial" w:cs="Arial"/>
        </w:rPr>
        <w:t xml:space="preserve"> </w:t>
      </w:r>
      <w:r w:rsidRPr="001A6FD2">
        <w:rPr>
          <w:rFonts w:ascii="Arial" w:hAnsi="Arial" w:cs="Arial"/>
        </w:rPr>
        <w:tab/>
        <w:t>2004 NR 7</w:t>
      </w:r>
      <w:r w:rsidR="006A670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EB" w:rsidRPr="00A33474" w:rsidRDefault="00AD47EB">
    <w:pPr>
      <w:pStyle w:val="Header"/>
      <w:jc w:val="right"/>
      <w:rPr>
        <w:rFonts w:ascii="Arial" w:hAnsi="Arial" w:cs="Arial"/>
      </w:rPr>
    </w:pPr>
    <w:r w:rsidRPr="00A33474">
      <w:rPr>
        <w:rFonts w:ascii="Arial" w:hAnsi="Arial" w:cs="Arial"/>
      </w:rPr>
      <w:fldChar w:fldCharType="begin"/>
    </w:r>
    <w:r w:rsidRPr="00A33474">
      <w:rPr>
        <w:rFonts w:ascii="Arial" w:hAnsi="Arial" w:cs="Arial"/>
      </w:rPr>
      <w:instrText xml:space="preserve"> PAGE   \* MERGEFORMAT </w:instrText>
    </w:r>
    <w:r w:rsidRPr="00A33474">
      <w:rPr>
        <w:rFonts w:ascii="Arial" w:hAnsi="Arial" w:cs="Arial"/>
      </w:rPr>
      <w:fldChar w:fldCharType="separate"/>
    </w:r>
    <w:r w:rsidR="00787EC1">
      <w:rPr>
        <w:rFonts w:ascii="Arial" w:hAnsi="Arial" w:cs="Arial"/>
        <w:noProof/>
      </w:rPr>
      <w:t>3</w:t>
    </w:r>
    <w:r w:rsidRPr="00A33474">
      <w:rPr>
        <w:rFonts w:ascii="Arial" w:hAnsi="Arial" w:cs="Arial"/>
        <w:noProof/>
      </w:rPr>
      <w:fldChar w:fldCharType="end"/>
    </w:r>
  </w:p>
  <w:p w:rsidR="00AD47EB" w:rsidRDefault="00AD4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BCB"/>
    <w:multiLevelType w:val="hybridMultilevel"/>
    <w:tmpl w:val="F5BA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1BAC"/>
    <w:multiLevelType w:val="hybridMultilevel"/>
    <w:tmpl w:val="E02208F6"/>
    <w:lvl w:ilvl="0" w:tplc="845AE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E05A2"/>
    <w:multiLevelType w:val="hybridMultilevel"/>
    <w:tmpl w:val="7798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742"/>
    <w:multiLevelType w:val="hybridMultilevel"/>
    <w:tmpl w:val="561287EE"/>
    <w:lvl w:ilvl="0" w:tplc="227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5D290C"/>
    <w:multiLevelType w:val="hybridMultilevel"/>
    <w:tmpl w:val="CEE810BA"/>
    <w:lvl w:ilvl="0" w:tplc="9B0C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344E6"/>
    <w:multiLevelType w:val="hybridMultilevel"/>
    <w:tmpl w:val="672EA6A4"/>
    <w:lvl w:ilvl="0" w:tplc="A55A08E4">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1C3C16"/>
    <w:multiLevelType w:val="multilevel"/>
    <w:tmpl w:val="8AA8C51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CC1D0E"/>
    <w:multiLevelType w:val="hybridMultilevel"/>
    <w:tmpl w:val="C590DD9A"/>
    <w:lvl w:ilvl="0" w:tplc="AE1CFBD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FD5294"/>
    <w:multiLevelType w:val="hybridMultilevel"/>
    <w:tmpl w:val="B3740368"/>
    <w:lvl w:ilvl="0" w:tplc="962CA9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F4A5B"/>
    <w:multiLevelType w:val="multilevel"/>
    <w:tmpl w:val="FA7AC1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color w:val="auto"/>
      </w:rPr>
    </w:lvl>
    <w:lvl w:ilvl="2">
      <w:start w:val="1"/>
      <w:numFmt w:val="decimal"/>
      <w:lvlText w:val="7.%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1D006C"/>
    <w:multiLevelType w:val="hybridMultilevel"/>
    <w:tmpl w:val="02BE8D30"/>
    <w:lvl w:ilvl="0" w:tplc="5F20D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648E8"/>
    <w:multiLevelType w:val="multilevel"/>
    <w:tmpl w:val="986C15E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91D64E8"/>
    <w:multiLevelType w:val="hybridMultilevel"/>
    <w:tmpl w:val="1C761A8A"/>
    <w:lvl w:ilvl="0" w:tplc="588EA01E">
      <w:start w:val="1"/>
      <w:numFmt w:val="lowerLetter"/>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6D11F29"/>
    <w:multiLevelType w:val="hybridMultilevel"/>
    <w:tmpl w:val="B61A7E80"/>
    <w:lvl w:ilvl="0" w:tplc="CA2EB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AB77C9"/>
    <w:multiLevelType w:val="hybridMultilevel"/>
    <w:tmpl w:val="4EDE24A0"/>
    <w:lvl w:ilvl="0" w:tplc="2D70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F12312"/>
    <w:multiLevelType w:val="hybridMultilevel"/>
    <w:tmpl w:val="C5F49A92"/>
    <w:lvl w:ilvl="0" w:tplc="B154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81CD5"/>
    <w:multiLevelType w:val="hybridMultilevel"/>
    <w:tmpl w:val="F012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B5963"/>
    <w:multiLevelType w:val="hybridMultilevel"/>
    <w:tmpl w:val="42BC8562"/>
    <w:lvl w:ilvl="0" w:tplc="CC7AD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67F4483"/>
    <w:multiLevelType w:val="hybridMultilevel"/>
    <w:tmpl w:val="788E4EB4"/>
    <w:lvl w:ilvl="0" w:tplc="A95EE9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336576"/>
    <w:multiLevelType w:val="hybridMultilevel"/>
    <w:tmpl w:val="1C6A7E86"/>
    <w:lvl w:ilvl="0" w:tplc="63FC2F0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24F74"/>
    <w:multiLevelType w:val="hybridMultilevel"/>
    <w:tmpl w:val="CDFCD408"/>
    <w:lvl w:ilvl="0" w:tplc="AD7AD48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356E88"/>
    <w:multiLevelType w:val="hybridMultilevel"/>
    <w:tmpl w:val="376A2E7C"/>
    <w:lvl w:ilvl="0" w:tplc="A91C2476">
      <w:start w:val="1"/>
      <w:numFmt w:val="decimal"/>
      <w:lvlText w:val="(%1)"/>
      <w:lvlJc w:val="left"/>
      <w:pPr>
        <w:ind w:left="2250" w:hanging="108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01D392A"/>
    <w:multiLevelType w:val="hybridMultilevel"/>
    <w:tmpl w:val="80640EA2"/>
    <w:lvl w:ilvl="0" w:tplc="73BA15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011DFB"/>
    <w:multiLevelType w:val="hybridMultilevel"/>
    <w:tmpl w:val="7818B116"/>
    <w:lvl w:ilvl="0" w:tplc="D6D69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B5329"/>
    <w:multiLevelType w:val="hybridMultilevel"/>
    <w:tmpl w:val="36A263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60E02E60"/>
    <w:multiLevelType w:val="hybridMultilevel"/>
    <w:tmpl w:val="674AEAAA"/>
    <w:lvl w:ilvl="0" w:tplc="AA8890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7C2AEC"/>
    <w:multiLevelType w:val="hybridMultilevel"/>
    <w:tmpl w:val="9B442622"/>
    <w:lvl w:ilvl="0" w:tplc="BB7E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508E6"/>
    <w:multiLevelType w:val="hybridMultilevel"/>
    <w:tmpl w:val="42CAD352"/>
    <w:lvl w:ilvl="0" w:tplc="84B80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05D3F"/>
    <w:multiLevelType w:val="hybridMultilevel"/>
    <w:tmpl w:val="C6D43892"/>
    <w:lvl w:ilvl="0" w:tplc="FC2A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531395"/>
    <w:multiLevelType w:val="hybridMultilevel"/>
    <w:tmpl w:val="E26E53AA"/>
    <w:lvl w:ilvl="0" w:tplc="76D2F6EE">
      <w:start w:val="1"/>
      <w:numFmt w:val="decimal"/>
      <w:lvlText w:val="[%1]"/>
      <w:lvlJc w:val="left"/>
      <w:pPr>
        <w:ind w:left="1146"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F850135"/>
    <w:multiLevelType w:val="hybridMultilevel"/>
    <w:tmpl w:val="40A20146"/>
    <w:lvl w:ilvl="0" w:tplc="DCB6D7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EF2E29"/>
    <w:multiLevelType w:val="multilevel"/>
    <w:tmpl w:val="4350B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9533A1C"/>
    <w:multiLevelType w:val="hybridMultilevel"/>
    <w:tmpl w:val="28605A7E"/>
    <w:lvl w:ilvl="0" w:tplc="021A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95007E"/>
    <w:multiLevelType w:val="multilevel"/>
    <w:tmpl w:val="B54CD2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AE328C3"/>
    <w:multiLevelType w:val="hybridMultilevel"/>
    <w:tmpl w:val="8200C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D2303F6"/>
    <w:multiLevelType w:val="hybridMultilevel"/>
    <w:tmpl w:val="E8B4CD1C"/>
    <w:lvl w:ilvl="0" w:tplc="DC322D1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2"/>
  </w:num>
  <w:num w:numId="3">
    <w:abstractNumId w:val="10"/>
  </w:num>
  <w:num w:numId="4">
    <w:abstractNumId w:val="7"/>
  </w:num>
  <w:num w:numId="5">
    <w:abstractNumId w:val="18"/>
  </w:num>
  <w:num w:numId="6">
    <w:abstractNumId w:val="17"/>
  </w:num>
  <w:num w:numId="7">
    <w:abstractNumId w:val="22"/>
  </w:num>
  <w:num w:numId="8">
    <w:abstractNumId w:val="30"/>
  </w:num>
  <w:num w:numId="9">
    <w:abstractNumId w:val="3"/>
  </w:num>
  <w:num w:numId="10">
    <w:abstractNumId w:val="25"/>
  </w:num>
  <w:num w:numId="11">
    <w:abstractNumId w:val="20"/>
  </w:num>
  <w:num w:numId="12">
    <w:abstractNumId w:val="8"/>
  </w:num>
  <w:num w:numId="13">
    <w:abstractNumId w:val="1"/>
  </w:num>
  <w:num w:numId="14">
    <w:abstractNumId w:val="9"/>
  </w:num>
  <w:num w:numId="15">
    <w:abstractNumId w:val="31"/>
  </w:num>
  <w:num w:numId="16">
    <w:abstractNumId w:val="14"/>
  </w:num>
  <w:num w:numId="17">
    <w:abstractNumId w:val="12"/>
  </w:num>
  <w:num w:numId="18">
    <w:abstractNumId w:val="11"/>
  </w:num>
  <w:num w:numId="19">
    <w:abstractNumId w:val="33"/>
  </w:num>
  <w:num w:numId="20">
    <w:abstractNumId w:val="6"/>
  </w:num>
  <w:num w:numId="21">
    <w:abstractNumId w:val="23"/>
  </w:num>
  <w:num w:numId="22">
    <w:abstractNumId w:val="2"/>
  </w:num>
  <w:num w:numId="23">
    <w:abstractNumId w:val="26"/>
  </w:num>
  <w:num w:numId="24">
    <w:abstractNumId w:val="19"/>
  </w:num>
  <w:num w:numId="25">
    <w:abstractNumId w:val="13"/>
  </w:num>
  <w:num w:numId="26">
    <w:abstractNumId w:val="16"/>
  </w:num>
  <w:num w:numId="27">
    <w:abstractNumId w:val="21"/>
  </w:num>
  <w:num w:numId="28">
    <w:abstractNumId w:val="15"/>
  </w:num>
  <w:num w:numId="29">
    <w:abstractNumId w:val="2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35"/>
  </w:num>
  <w:num w:numId="34">
    <w:abstractNumId w:val="0"/>
  </w:num>
  <w:num w:numId="35">
    <w:abstractNumId w:val="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5"/>
    <w:rsid w:val="00004249"/>
    <w:rsid w:val="00007649"/>
    <w:rsid w:val="0001274D"/>
    <w:rsid w:val="00017F25"/>
    <w:rsid w:val="00026438"/>
    <w:rsid w:val="00026A09"/>
    <w:rsid w:val="000356A1"/>
    <w:rsid w:val="000369C1"/>
    <w:rsid w:val="00037A1F"/>
    <w:rsid w:val="00040EC2"/>
    <w:rsid w:val="00041442"/>
    <w:rsid w:val="0004330C"/>
    <w:rsid w:val="00055DCE"/>
    <w:rsid w:val="000620C6"/>
    <w:rsid w:val="00063DD9"/>
    <w:rsid w:val="000752D2"/>
    <w:rsid w:val="00075C49"/>
    <w:rsid w:val="00076266"/>
    <w:rsid w:val="00076E49"/>
    <w:rsid w:val="000914B8"/>
    <w:rsid w:val="00095002"/>
    <w:rsid w:val="000A2025"/>
    <w:rsid w:val="000A5503"/>
    <w:rsid w:val="000B3C86"/>
    <w:rsid w:val="000B6BD7"/>
    <w:rsid w:val="000C1638"/>
    <w:rsid w:val="000C6D9F"/>
    <w:rsid w:val="000D12F7"/>
    <w:rsid w:val="000D43E4"/>
    <w:rsid w:val="000D7D4D"/>
    <w:rsid w:val="000E3237"/>
    <w:rsid w:val="000E3C8B"/>
    <w:rsid w:val="000E552C"/>
    <w:rsid w:val="000E63A2"/>
    <w:rsid w:val="000F1771"/>
    <w:rsid w:val="000F30A6"/>
    <w:rsid w:val="00106CBA"/>
    <w:rsid w:val="00111842"/>
    <w:rsid w:val="001124EC"/>
    <w:rsid w:val="00115F10"/>
    <w:rsid w:val="00130EBD"/>
    <w:rsid w:val="0013122A"/>
    <w:rsid w:val="0013234F"/>
    <w:rsid w:val="001365FE"/>
    <w:rsid w:val="0014034D"/>
    <w:rsid w:val="0014210A"/>
    <w:rsid w:val="0014282D"/>
    <w:rsid w:val="0014398C"/>
    <w:rsid w:val="00144B8E"/>
    <w:rsid w:val="00145CCB"/>
    <w:rsid w:val="001530AE"/>
    <w:rsid w:val="00163CCD"/>
    <w:rsid w:val="00164A45"/>
    <w:rsid w:val="00170A78"/>
    <w:rsid w:val="00173B02"/>
    <w:rsid w:val="00173F78"/>
    <w:rsid w:val="00175294"/>
    <w:rsid w:val="00184C39"/>
    <w:rsid w:val="00191936"/>
    <w:rsid w:val="00192722"/>
    <w:rsid w:val="001964C2"/>
    <w:rsid w:val="0019675A"/>
    <w:rsid w:val="001A44FF"/>
    <w:rsid w:val="001A6FD2"/>
    <w:rsid w:val="001B5014"/>
    <w:rsid w:val="001B651D"/>
    <w:rsid w:val="001B6D31"/>
    <w:rsid w:val="001B7E1F"/>
    <w:rsid w:val="001C1E3C"/>
    <w:rsid w:val="001D44E0"/>
    <w:rsid w:val="001D6BC5"/>
    <w:rsid w:val="001D7597"/>
    <w:rsid w:val="001E15CA"/>
    <w:rsid w:val="001E15DD"/>
    <w:rsid w:val="001E4990"/>
    <w:rsid w:val="001E7E23"/>
    <w:rsid w:val="001F2B04"/>
    <w:rsid w:val="001F695C"/>
    <w:rsid w:val="00201637"/>
    <w:rsid w:val="00202C06"/>
    <w:rsid w:val="00202F56"/>
    <w:rsid w:val="002040C5"/>
    <w:rsid w:val="00212627"/>
    <w:rsid w:val="0021425D"/>
    <w:rsid w:val="00220ACC"/>
    <w:rsid w:val="00221689"/>
    <w:rsid w:val="00236E05"/>
    <w:rsid w:val="00240BCD"/>
    <w:rsid w:val="0024336E"/>
    <w:rsid w:val="00245448"/>
    <w:rsid w:val="002461FF"/>
    <w:rsid w:val="00254F13"/>
    <w:rsid w:val="00257BAB"/>
    <w:rsid w:val="0026071A"/>
    <w:rsid w:val="002615FD"/>
    <w:rsid w:val="00263C23"/>
    <w:rsid w:val="00270470"/>
    <w:rsid w:val="0027080A"/>
    <w:rsid w:val="0027086A"/>
    <w:rsid w:val="0027628F"/>
    <w:rsid w:val="0028361D"/>
    <w:rsid w:val="00284A71"/>
    <w:rsid w:val="002A2332"/>
    <w:rsid w:val="002A5A7B"/>
    <w:rsid w:val="002B1080"/>
    <w:rsid w:val="002B241D"/>
    <w:rsid w:val="002B3CA3"/>
    <w:rsid w:val="002B67CF"/>
    <w:rsid w:val="002C1505"/>
    <w:rsid w:val="002C433A"/>
    <w:rsid w:val="002C69B1"/>
    <w:rsid w:val="002C7C6F"/>
    <w:rsid w:val="002D06DD"/>
    <w:rsid w:val="002D282B"/>
    <w:rsid w:val="002D50F5"/>
    <w:rsid w:val="002D67B2"/>
    <w:rsid w:val="002E056C"/>
    <w:rsid w:val="002E3980"/>
    <w:rsid w:val="002E7883"/>
    <w:rsid w:val="002F3A13"/>
    <w:rsid w:val="002F4316"/>
    <w:rsid w:val="002F748E"/>
    <w:rsid w:val="002F7808"/>
    <w:rsid w:val="00304627"/>
    <w:rsid w:val="00321501"/>
    <w:rsid w:val="00323143"/>
    <w:rsid w:val="00323D92"/>
    <w:rsid w:val="003317AC"/>
    <w:rsid w:val="003344E8"/>
    <w:rsid w:val="003361A3"/>
    <w:rsid w:val="00340FF5"/>
    <w:rsid w:val="00343431"/>
    <w:rsid w:val="00343712"/>
    <w:rsid w:val="00343E0D"/>
    <w:rsid w:val="0035048A"/>
    <w:rsid w:val="0035247F"/>
    <w:rsid w:val="003526B8"/>
    <w:rsid w:val="003917CA"/>
    <w:rsid w:val="003919B5"/>
    <w:rsid w:val="0039279B"/>
    <w:rsid w:val="003A15C4"/>
    <w:rsid w:val="003A2D3E"/>
    <w:rsid w:val="003B1D40"/>
    <w:rsid w:val="003B2829"/>
    <w:rsid w:val="003C2CDB"/>
    <w:rsid w:val="003C34E7"/>
    <w:rsid w:val="003C6D34"/>
    <w:rsid w:val="003D060E"/>
    <w:rsid w:val="003D262F"/>
    <w:rsid w:val="003D273A"/>
    <w:rsid w:val="003D4B41"/>
    <w:rsid w:val="003D558A"/>
    <w:rsid w:val="003D6C70"/>
    <w:rsid w:val="003E2F60"/>
    <w:rsid w:val="003F2626"/>
    <w:rsid w:val="003F28EA"/>
    <w:rsid w:val="003F30A3"/>
    <w:rsid w:val="00400C30"/>
    <w:rsid w:val="004026A4"/>
    <w:rsid w:val="00402826"/>
    <w:rsid w:val="0040414B"/>
    <w:rsid w:val="004064BB"/>
    <w:rsid w:val="0041320C"/>
    <w:rsid w:val="004163D2"/>
    <w:rsid w:val="00420AA1"/>
    <w:rsid w:val="00420E03"/>
    <w:rsid w:val="00420FAF"/>
    <w:rsid w:val="00424A07"/>
    <w:rsid w:val="00426227"/>
    <w:rsid w:val="0043013A"/>
    <w:rsid w:val="00435F41"/>
    <w:rsid w:val="00436E78"/>
    <w:rsid w:val="00440A0B"/>
    <w:rsid w:val="00443E8F"/>
    <w:rsid w:val="0044673D"/>
    <w:rsid w:val="004478B4"/>
    <w:rsid w:val="00447C5B"/>
    <w:rsid w:val="00447DE3"/>
    <w:rsid w:val="00456D8A"/>
    <w:rsid w:val="00457064"/>
    <w:rsid w:val="00466E51"/>
    <w:rsid w:val="00480DC4"/>
    <w:rsid w:val="00483336"/>
    <w:rsid w:val="004837B4"/>
    <w:rsid w:val="004845C8"/>
    <w:rsid w:val="004866B9"/>
    <w:rsid w:val="00490662"/>
    <w:rsid w:val="004906DD"/>
    <w:rsid w:val="004933F3"/>
    <w:rsid w:val="0049378A"/>
    <w:rsid w:val="00496A59"/>
    <w:rsid w:val="00497F8C"/>
    <w:rsid w:val="004A2803"/>
    <w:rsid w:val="004A55A6"/>
    <w:rsid w:val="004B1C76"/>
    <w:rsid w:val="004C05A5"/>
    <w:rsid w:val="004C3FDB"/>
    <w:rsid w:val="004C4D29"/>
    <w:rsid w:val="004C4F60"/>
    <w:rsid w:val="004C55A8"/>
    <w:rsid w:val="004C79F6"/>
    <w:rsid w:val="004E7528"/>
    <w:rsid w:val="004F4824"/>
    <w:rsid w:val="00502BBC"/>
    <w:rsid w:val="00504FE9"/>
    <w:rsid w:val="00506FC3"/>
    <w:rsid w:val="00511EE9"/>
    <w:rsid w:val="00513B38"/>
    <w:rsid w:val="00515840"/>
    <w:rsid w:val="005251CF"/>
    <w:rsid w:val="00525C1A"/>
    <w:rsid w:val="00526781"/>
    <w:rsid w:val="00534C01"/>
    <w:rsid w:val="00540949"/>
    <w:rsid w:val="00543171"/>
    <w:rsid w:val="00554CDA"/>
    <w:rsid w:val="00556ED7"/>
    <w:rsid w:val="005605BC"/>
    <w:rsid w:val="005612BB"/>
    <w:rsid w:val="005632D0"/>
    <w:rsid w:val="00563CCF"/>
    <w:rsid w:val="00571064"/>
    <w:rsid w:val="00576D2D"/>
    <w:rsid w:val="005803FA"/>
    <w:rsid w:val="00583BA6"/>
    <w:rsid w:val="00583CC8"/>
    <w:rsid w:val="005903EB"/>
    <w:rsid w:val="00592AC9"/>
    <w:rsid w:val="005968BC"/>
    <w:rsid w:val="005A74CB"/>
    <w:rsid w:val="005A7736"/>
    <w:rsid w:val="005B0EEA"/>
    <w:rsid w:val="005B1E80"/>
    <w:rsid w:val="005B3070"/>
    <w:rsid w:val="005B669A"/>
    <w:rsid w:val="005C1A0D"/>
    <w:rsid w:val="005C5F5F"/>
    <w:rsid w:val="005D4DF3"/>
    <w:rsid w:val="005E3C33"/>
    <w:rsid w:val="005E5066"/>
    <w:rsid w:val="005E6025"/>
    <w:rsid w:val="005E75B2"/>
    <w:rsid w:val="005F2CB9"/>
    <w:rsid w:val="0060006A"/>
    <w:rsid w:val="00600273"/>
    <w:rsid w:val="00601308"/>
    <w:rsid w:val="006014EC"/>
    <w:rsid w:val="006023DF"/>
    <w:rsid w:val="00606E45"/>
    <w:rsid w:val="006111DB"/>
    <w:rsid w:val="00613523"/>
    <w:rsid w:val="006215A0"/>
    <w:rsid w:val="00622241"/>
    <w:rsid w:val="00626511"/>
    <w:rsid w:val="006347D5"/>
    <w:rsid w:val="006350CD"/>
    <w:rsid w:val="00635BE9"/>
    <w:rsid w:val="00640D10"/>
    <w:rsid w:val="006449A4"/>
    <w:rsid w:val="00651792"/>
    <w:rsid w:val="00653044"/>
    <w:rsid w:val="0065642B"/>
    <w:rsid w:val="00657CF2"/>
    <w:rsid w:val="0066365B"/>
    <w:rsid w:val="00663B6F"/>
    <w:rsid w:val="00667DB7"/>
    <w:rsid w:val="006721BB"/>
    <w:rsid w:val="0067668B"/>
    <w:rsid w:val="00681F47"/>
    <w:rsid w:val="006948BE"/>
    <w:rsid w:val="006969E6"/>
    <w:rsid w:val="006A2953"/>
    <w:rsid w:val="006A2E2B"/>
    <w:rsid w:val="006A3FC1"/>
    <w:rsid w:val="006A5B5E"/>
    <w:rsid w:val="006A6705"/>
    <w:rsid w:val="006A72CB"/>
    <w:rsid w:val="006A756F"/>
    <w:rsid w:val="006B284C"/>
    <w:rsid w:val="006C0DC8"/>
    <w:rsid w:val="006C5AB4"/>
    <w:rsid w:val="006D035E"/>
    <w:rsid w:val="006D203C"/>
    <w:rsid w:val="006D2AB0"/>
    <w:rsid w:val="006D357A"/>
    <w:rsid w:val="006D46DF"/>
    <w:rsid w:val="006D62F5"/>
    <w:rsid w:val="006D7869"/>
    <w:rsid w:val="006E0406"/>
    <w:rsid w:val="006E1343"/>
    <w:rsid w:val="006E229D"/>
    <w:rsid w:val="006E6372"/>
    <w:rsid w:val="006E7540"/>
    <w:rsid w:val="006F0FB4"/>
    <w:rsid w:val="006F20E3"/>
    <w:rsid w:val="006F28DC"/>
    <w:rsid w:val="006F3917"/>
    <w:rsid w:val="006F70B2"/>
    <w:rsid w:val="00702713"/>
    <w:rsid w:val="00705283"/>
    <w:rsid w:val="007059AA"/>
    <w:rsid w:val="00706567"/>
    <w:rsid w:val="0071057D"/>
    <w:rsid w:val="00716136"/>
    <w:rsid w:val="007254A7"/>
    <w:rsid w:val="00733C28"/>
    <w:rsid w:val="0074194E"/>
    <w:rsid w:val="00741B0B"/>
    <w:rsid w:val="00744179"/>
    <w:rsid w:val="007478A9"/>
    <w:rsid w:val="0075013C"/>
    <w:rsid w:val="00760B35"/>
    <w:rsid w:val="00761F06"/>
    <w:rsid w:val="00764E07"/>
    <w:rsid w:val="00771CB3"/>
    <w:rsid w:val="00774135"/>
    <w:rsid w:val="007803EE"/>
    <w:rsid w:val="00785B44"/>
    <w:rsid w:val="007861C8"/>
    <w:rsid w:val="00787EC1"/>
    <w:rsid w:val="00791744"/>
    <w:rsid w:val="00792B12"/>
    <w:rsid w:val="0079572C"/>
    <w:rsid w:val="007A0D35"/>
    <w:rsid w:val="007A176A"/>
    <w:rsid w:val="007A19C8"/>
    <w:rsid w:val="007B0CEA"/>
    <w:rsid w:val="007B4D7F"/>
    <w:rsid w:val="007C2328"/>
    <w:rsid w:val="007C77C1"/>
    <w:rsid w:val="007D208F"/>
    <w:rsid w:val="007D7C32"/>
    <w:rsid w:val="007E14C7"/>
    <w:rsid w:val="007F336D"/>
    <w:rsid w:val="00801C63"/>
    <w:rsid w:val="00802D9C"/>
    <w:rsid w:val="00806EDF"/>
    <w:rsid w:val="00810D30"/>
    <w:rsid w:val="00813D1B"/>
    <w:rsid w:val="00814706"/>
    <w:rsid w:val="008223E7"/>
    <w:rsid w:val="00824E21"/>
    <w:rsid w:val="00833E41"/>
    <w:rsid w:val="00846415"/>
    <w:rsid w:val="00851742"/>
    <w:rsid w:val="00852D0E"/>
    <w:rsid w:val="0085318E"/>
    <w:rsid w:val="00854EE4"/>
    <w:rsid w:val="00856480"/>
    <w:rsid w:val="008578C8"/>
    <w:rsid w:val="008611D8"/>
    <w:rsid w:val="00863C9C"/>
    <w:rsid w:val="0086622C"/>
    <w:rsid w:val="00870A17"/>
    <w:rsid w:val="008725D8"/>
    <w:rsid w:val="00875A22"/>
    <w:rsid w:val="00877892"/>
    <w:rsid w:val="00887286"/>
    <w:rsid w:val="0089230E"/>
    <w:rsid w:val="008934BE"/>
    <w:rsid w:val="008A4364"/>
    <w:rsid w:val="008A4B77"/>
    <w:rsid w:val="008A5779"/>
    <w:rsid w:val="008B33F5"/>
    <w:rsid w:val="008C5785"/>
    <w:rsid w:val="008C5886"/>
    <w:rsid w:val="008D3E25"/>
    <w:rsid w:val="008D606B"/>
    <w:rsid w:val="008D61DD"/>
    <w:rsid w:val="008D6D18"/>
    <w:rsid w:val="008D7078"/>
    <w:rsid w:val="008E30B3"/>
    <w:rsid w:val="008E3BFF"/>
    <w:rsid w:val="008E782F"/>
    <w:rsid w:val="008F7BFB"/>
    <w:rsid w:val="00905799"/>
    <w:rsid w:val="00905A75"/>
    <w:rsid w:val="009111A2"/>
    <w:rsid w:val="00912B3E"/>
    <w:rsid w:val="00915373"/>
    <w:rsid w:val="00915411"/>
    <w:rsid w:val="00931C02"/>
    <w:rsid w:val="00934EBB"/>
    <w:rsid w:val="009402CF"/>
    <w:rsid w:val="00945DCE"/>
    <w:rsid w:val="00946561"/>
    <w:rsid w:val="0095551A"/>
    <w:rsid w:val="00957BAE"/>
    <w:rsid w:val="0096323C"/>
    <w:rsid w:val="00967F3F"/>
    <w:rsid w:val="00970B48"/>
    <w:rsid w:val="0097506F"/>
    <w:rsid w:val="00980C79"/>
    <w:rsid w:val="00982F3A"/>
    <w:rsid w:val="00984314"/>
    <w:rsid w:val="00984DCF"/>
    <w:rsid w:val="00986504"/>
    <w:rsid w:val="00987E37"/>
    <w:rsid w:val="009963C4"/>
    <w:rsid w:val="009A0691"/>
    <w:rsid w:val="009A3F6A"/>
    <w:rsid w:val="009A551A"/>
    <w:rsid w:val="009B12B9"/>
    <w:rsid w:val="009B567A"/>
    <w:rsid w:val="009C05E0"/>
    <w:rsid w:val="009C0AD6"/>
    <w:rsid w:val="009C52A4"/>
    <w:rsid w:val="009C5305"/>
    <w:rsid w:val="009D3E91"/>
    <w:rsid w:val="009D5A69"/>
    <w:rsid w:val="009D74DD"/>
    <w:rsid w:val="009E2130"/>
    <w:rsid w:val="009E278E"/>
    <w:rsid w:val="009E7B42"/>
    <w:rsid w:val="009F61A0"/>
    <w:rsid w:val="00A00AFD"/>
    <w:rsid w:val="00A11F83"/>
    <w:rsid w:val="00A21AC3"/>
    <w:rsid w:val="00A23A24"/>
    <w:rsid w:val="00A25478"/>
    <w:rsid w:val="00A31BC9"/>
    <w:rsid w:val="00A32C14"/>
    <w:rsid w:val="00A330B6"/>
    <w:rsid w:val="00A33474"/>
    <w:rsid w:val="00A353C8"/>
    <w:rsid w:val="00A37D05"/>
    <w:rsid w:val="00A40CD7"/>
    <w:rsid w:val="00A46EFA"/>
    <w:rsid w:val="00A53F58"/>
    <w:rsid w:val="00A639AB"/>
    <w:rsid w:val="00A67743"/>
    <w:rsid w:val="00A70295"/>
    <w:rsid w:val="00A77DAA"/>
    <w:rsid w:val="00A82DB4"/>
    <w:rsid w:val="00A920E6"/>
    <w:rsid w:val="00AA05F1"/>
    <w:rsid w:val="00AA1C12"/>
    <w:rsid w:val="00AA4435"/>
    <w:rsid w:val="00AB0635"/>
    <w:rsid w:val="00AB6F1C"/>
    <w:rsid w:val="00AB708B"/>
    <w:rsid w:val="00AC23E3"/>
    <w:rsid w:val="00AC67D5"/>
    <w:rsid w:val="00AD1FEB"/>
    <w:rsid w:val="00AD47EB"/>
    <w:rsid w:val="00AD6136"/>
    <w:rsid w:val="00AD6D66"/>
    <w:rsid w:val="00AE153C"/>
    <w:rsid w:val="00AE1E2B"/>
    <w:rsid w:val="00AE4043"/>
    <w:rsid w:val="00AE4A92"/>
    <w:rsid w:val="00AF2201"/>
    <w:rsid w:val="00AF49CE"/>
    <w:rsid w:val="00B101AB"/>
    <w:rsid w:val="00B23D82"/>
    <w:rsid w:val="00B2481D"/>
    <w:rsid w:val="00B2592B"/>
    <w:rsid w:val="00B2789E"/>
    <w:rsid w:val="00B336E9"/>
    <w:rsid w:val="00B3475A"/>
    <w:rsid w:val="00B404BD"/>
    <w:rsid w:val="00B42B77"/>
    <w:rsid w:val="00B43570"/>
    <w:rsid w:val="00B43B3D"/>
    <w:rsid w:val="00B446D5"/>
    <w:rsid w:val="00B464BB"/>
    <w:rsid w:val="00B46A9F"/>
    <w:rsid w:val="00B47786"/>
    <w:rsid w:val="00B530F7"/>
    <w:rsid w:val="00B56FF3"/>
    <w:rsid w:val="00B62E00"/>
    <w:rsid w:val="00B63277"/>
    <w:rsid w:val="00B66823"/>
    <w:rsid w:val="00B72D27"/>
    <w:rsid w:val="00B9005C"/>
    <w:rsid w:val="00B92B41"/>
    <w:rsid w:val="00B936A9"/>
    <w:rsid w:val="00B94D12"/>
    <w:rsid w:val="00B94DCB"/>
    <w:rsid w:val="00BA177D"/>
    <w:rsid w:val="00BA55F3"/>
    <w:rsid w:val="00BA67E4"/>
    <w:rsid w:val="00BB2E0D"/>
    <w:rsid w:val="00BB47E7"/>
    <w:rsid w:val="00BB64AC"/>
    <w:rsid w:val="00BB6B8A"/>
    <w:rsid w:val="00BC2238"/>
    <w:rsid w:val="00BC5DFE"/>
    <w:rsid w:val="00BD16B3"/>
    <w:rsid w:val="00BE0C39"/>
    <w:rsid w:val="00BE1A95"/>
    <w:rsid w:val="00BE72AF"/>
    <w:rsid w:val="00BF3389"/>
    <w:rsid w:val="00C01B49"/>
    <w:rsid w:val="00C06183"/>
    <w:rsid w:val="00C07FB9"/>
    <w:rsid w:val="00C115FD"/>
    <w:rsid w:val="00C12D21"/>
    <w:rsid w:val="00C16208"/>
    <w:rsid w:val="00C2101B"/>
    <w:rsid w:val="00C21C65"/>
    <w:rsid w:val="00C24ECA"/>
    <w:rsid w:val="00C2780E"/>
    <w:rsid w:val="00C27953"/>
    <w:rsid w:val="00C3196C"/>
    <w:rsid w:val="00C34FD7"/>
    <w:rsid w:val="00C37534"/>
    <w:rsid w:val="00C4203A"/>
    <w:rsid w:val="00C42150"/>
    <w:rsid w:val="00C54BC3"/>
    <w:rsid w:val="00C572D5"/>
    <w:rsid w:val="00C60791"/>
    <w:rsid w:val="00C70630"/>
    <w:rsid w:val="00C75D9C"/>
    <w:rsid w:val="00C815FC"/>
    <w:rsid w:val="00C82973"/>
    <w:rsid w:val="00C90F66"/>
    <w:rsid w:val="00C959C2"/>
    <w:rsid w:val="00C9653F"/>
    <w:rsid w:val="00CA50E1"/>
    <w:rsid w:val="00CA6E94"/>
    <w:rsid w:val="00CB01D0"/>
    <w:rsid w:val="00CD0754"/>
    <w:rsid w:val="00CD211F"/>
    <w:rsid w:val="00CD3F99"/>
    <w:rsid w:val="00CD7774"/>
    <w:rsid w:val="00CE2505"/>
    <w:rsid w:val="00CE2AE2"/>
    <w:rsid w:val="00CE4382"/>
    <w:rsid w:val="00CE5E69"/>
    <w:rsid w:val="00CE6318"/>
    <w:rsid w:val="00CE7269"/>
    <w:rsid w:val="00CF0757"/>
    <w:rsid w:val="00CF3696"/>
    <w:rsid w:val="00CF6783"/>
    <w:rsid w:val="00CF6DBB"/>
    <w:rsid w:val="00D03D97"/>
    <w:rsid w:val="00D078D5"/>
    <w:rsid w:val="00D1073D"/>
    <w:rsid w:val="00D1102A"/>
    <w:rsid w:val="00D15701"/>
    <w:rsid w:val="00D15FC1"/>
    <w:rsid w:val="00D2149A"/>
    <w:rsid w:val="00D23756"/>
    <w:rsid w:val="00D32FCF"/>
    <w:rsid w:val="00D3384C"/>
    <w:rsid w:val="00D346F0"/>
    <w:rsid w:val="00D360A3"/>
    <w:rsid w:val="00D37D97"/>
    <w:rsid w:val="00D450E2"/>
    <w:rsid w:val="00D47D0F"/>
    <w:rsid w:val="00D571A5"/>
    <w:rsid w:val="00D57F61"/>
    <w:rsid w:val="00D634B8"/>
    <w:rsid w:val="00D671D1"/>
    <w:rsid w:val="00D70991"/>
    <w:rsid w:val="00D71768"/>
    <w:rsid w:val="00D754DF"/>
    <w:rsid w:val="00D763BC"/>
    <w:rsid w:val="00D779AB"/>
    <w:rsid w:val="00D81435"/>
    <w:rsid w:val="00D86BA1"/>
    <w:rsid w:val="00D939E1"/>
    <w:rsid w:val="00DB05C2"/>
    <w:rsid w:val="00DB2A28"/>
    <w:rsid w:val="00DB4513"/>
    <w:rsid w:val="00DC230C"/>
    <w:rsid w:val="00DC6439"/>
    <w:rsid w:val="00DD7810"/>
    <w:rsid w:val="00DE4701"/>
    <w:rsid w:val="00DE552D"/>
    <w:rsid w:val="00DE5E02"/>
    <w:rsid w:val="00E00E25"/>
    <w:rsid w:val="00E0154C"/>
    <w:rsid w:val="00E0352D"/>
    <w:rsid w:val="00E04391"/>
    <w:rsid w:val="00E16242"/>
    <w:rsid w:val="00E2377D"/>
    <w:rsid w:val="00E25AF5"/>
    <w:rsid w:val="00E32218"/>
    <w:rsid w:val="00E33646"/>
    <w:rsid w:val="00E36068"/>
    <w:rsid w:val="00E4125C"/>
    <w:rsid w:val="00E4331D"/>
    <w:rsid w:val="00E647F9"/>
    <w:rsid w:val="00E66553"/>
    <w:rsid w:val="00E67A2A"/>
    <w:rsid w:val="00E728A2"/>
    <w:rsid w:val="00E845EB"/>
    <w:rsid w:val="00E9292D"/>
    <w:rsid w:val="00E93C48"/>
    <w:rsid w:val="00E93C98"/>
    <w:rsid w:val="00EA014C"/>
    <w:rsid w:val="00EA0C59"/>
    <w:rsid w:val="00EA10B3"/>
    <w:rsid w:val="00EA37CD"/>
    <w:rsid w:val="00EA4623"/>
    <w:rsid w:val="00EA6809"/>
    <w:rsid w:val="00EB03B9"/>
    <w:rsid w:val="00EB0777"/>
    <w:rsid w:val="00EB1E1B"/>
    <w:rsid w:val="00EC6A07"/>
    <w:rsid w:val="00EC6AF7"/>
    <w:rsid w:val="00EC7CCC"/>
    <w:rsid w:val="00ED10F3"/>
    <w:rsid w:val="00ED181E"/>
    <w:rsid w:val="00ED1A67"/>
    <w:rsid w:val="00ED4A57"/>
    <w:rsid w:val="00EF6470"/>
    <w:rsid w:val="00F03A3D"/>
    <w:rsid w:val="00F03C6A"/>
    <w:rsid w:val="00F17D41"/>
    <w:rsid w:val="00F21128"/>
    <w:rsid w:val="00F27343"/>
    <w:rsid w:val="00F301F9"/>
    <w:rsid w:val="00F30B70"/>
    <w:rsid w:val="00F33B54"/>
    <w:rsid w:val="00F3747E"/>
    <w:rsid w:val="00F41819"/>
    <w:rsid w:val="00F435FD"/>
    <w:rsid w:val="00F43B1E"/>
    <w:rsid w:val="00F573E2"/>
    <w:rsid w:val="00F5780B"/>
    <w:rsid w:val="00F60208"/>
    <w:rsid w:val="00F67764"/>
    <w:rsid w:val="00F71020"/>
    <w:rsid w:val="00F729C6"/>
    <w:rsid w:val="00F74C59"/>
    <w:rsid w:val="00F77E76"/>
    <w:rsid w:val="00F811AD"/>
    <w:rsid w:val="00F84292"/>
    <w:rsid w:val="00F84328"/>
    <w:rsid w:val="00F86E2C"/>
    <w:rsid w:val="00F9302A"/>
    <w:rsid w:val="00F93141"/>
    <w:rsid w:val="00F93510"/>
    <w:rsid w:val="00FA0A25"/>
    <w:rsid w:val="00FA7ADB"/>
    <w:rsid w:val="00FC0CA1"/>
    <w:rsid w:val="00FD5DA8"/>
    <w:rsid w:val="00FD64BD"/>
    <w:rsid w:val="00FE25B9"/>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17C11-B58D-4D0E-9B9C-32EB8EEB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uiPriority w:val="9"/>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6">
    <w:name w:val="heading 6"/>
    <w:basedOn w:val="Normal"/>
    <w:next w:val="Normal"/>
    <w:link w:val="Heading6Char"/>
    <w:uiPriority w:val="9"/>
    <w:semiHidden/>
    <w:unhideWhenUsed/>
    <w:qFormat/>
    <w:rsid w:val="00A639A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iPriority w:val="99"/>
    <w:unhideWhenUsed/>
    <w:rsid w:val="00A353C8"/>
    <w:pPr>
      <w:spacing w:after="0" w:line="240" w:lineRule="auto"/>
    </w:pPr>
    <w:rPr>
      <w:sz w:val="20"/>
      <w:szCs w:val="20"/>
    </w:rPr>
  </w:style>
  <w:style w:type="character" w:customStyle="1" w:styleId="FootnoteTextChar">
    <w:name w:val="Footnote Text Char"/>
    <w:link w:val="FootnoteText"/>
    <w:uiPriority w:val="99"/>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62">
      <w:bodyDiv w:val="1"/>
      <w:marLeft w:val="0"/>
      <w:marRight w:val="0"/>
      <w:marTop w:val="0"/>
      <w:marBottom w:val="0"/>
      <w:divBdr>
        <w:top w:val="none" w:sz="0" w:space="0" w:color="auto"/>
        <w:left w:val="none" w:sz="0" w:space="0" w:color="auto"/>
        <w:bottom w:val="none" w:sz="0" w:space="0" w:color="auto"/>
        <w:right w:val="none" w:sz="0" w:space="0" w:color="auto"/>
      </w:divBdr>
    </w:div>
    <w:div w:id="559828866">
      <w:bodyDiv w:val="1"/>
      <w:marLeft w:val="0"/>
      <w:marRight w:val="0"/>
      <w:marTop w:val="0"/>
      <w:marBottom w:val="0"/>
      <w:divBdr>
        <w:top w:val="none" w:sz="0" w:space="0" w:color="auto"/>
        <w:left w:val="none" w:sz="0" w:space="0" w:color="auto"/>
        <w:bottom w:val="none" w:sz="0" w:space="0" w:color="auto"/>
        <w:right w:val="none" w:sz="0" w:space="0" w:color="auto"/>
      </w:divBdr>
    </w:div>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291478930">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 w:id="1947229499">
      <w:bodyDiv w:val="1"/>
      <w:marLeft w:val="0"/>
      <w:marRight w:val="0"/>
      <w:marTop w:val="0"/>
      <w:marBottom w:val="0"/>
      <w:divBdr>
        <w:top w:val="none" w:sz="0" w:space="0" w:color="auto"/>
        <w:left w:val="none" w:sz="0" w:space="0" w:color="auto"/>
        <w:bottom w:val="none" w:sz="0" w:space="0" w:color="auto"/>
        <w:right w:val="none" w:sz="0" w:space="0" w:color="auto"/>
      </w:divBdr>
    </w:div>
    <w:div w:id="20643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2017-02-09T18:30:00+00:00</Judgment_x0020_Date>
    <Year xmlns="aec0a7e9-5f5c-4ba9-87b2-85cfc8a38b86">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B0D-0D2C-4C00-8AA6-9B063CDF6396}"/>
</file>

<file path=customXml/itemProps2.xml><?xml version="1.0" encoding="utf-8"?>
<ds:datastoreItem xmlns:ds="http://schemas.openxmlformats.org/officeDocument/2006/customXml" ds:itemID="{839A8B2F-DC84-4F6F-ABDF-D881C1186359}"/>
</file>

<file path=customXml/itemProps3.xml><?xml version="1.0" encoding="utf-8"?>
<ds:datastoreItem xmlns:ds="http://schemas.openxmlformats.org/officeDocument/2006/customXml" ds:itemID="{4E3C7BA9-26CF-46C8-B890-75F3C2829372}"/>
</file>

<file path=customXml/itemProps4.xml><?xml version="1.0" encoding="utf-8"?>
<ds:datastoreItem xmlns:ds="http://schemas.openxmlformats.org/officeDocument/2006/customXml" ds:itemID="{0355D64B-75F6-4BC1-AF03-379899EEBF21}"/>
</file>

<file path=docProps/app.xml><?xml version="1.0" encoding="utf-8"?>
<Properties xmlns="http://schemas.openxmlformats.org/officeDocument/2006/extended-properties" xmlns:vt="http://schemas.openxmlformats.org/officeDocument/2006/docPropsVTypes">
  <Template>JUDGMENT TEMPLATE</Template>
  <TotalTime>0</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sueitele</dc:creator>
  <cp:keywords/>
  <dc:description/>
  <cp:lastModifiedBy>Lotta Ambunda</cp:lastModifiedBy>
  <cp:revision>2</cp:revision>
  <cp:lastPrinted>2017-02-10T08:04:00Z</cp:lastPrinted>
  <dcterms:created xsi:type="dcterms:W3CDTF">2017-02-14T07:46:00Z</dcterms:created>
  <dcterms:modified xsi:type="dcterms:W3CDTF">2017-02-14T07:46:00Z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