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591DA" w14:textId="77777777" w:rsidR="00B4140B" w:rsidRPr="006E026B" w:rsidRDefault="00B4140B" w:rsidP="00B4140B">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51B0522" wp14:editId="58A0E0C9">
                <wp:simplePos x="0" y="0"/>
                <wp:positionH relativeFrom="column">
                  <wp:posOffset>4552950</wp:posOffset>
                </wp:positionH>
                <wp:positionV relativeFrom="paragraph">
                  <wp:posOffset>-57150</wp:posOffset>
                </wp:positionV>
                <wp:extent cx="1562100" cy="2476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20C35CEE" w14:textId="77777777" w:rsidR="004E2686" w:rsidRDefault="004E2686" w:rsidP="00B414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052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" strokecolor="white">
                <v:path arrowok="t"/>
                <v:textbox>
                  <w:txbxContent>
                    <w:p w14:paraId="20C35CEE" w14:textId="77777777" w:rsidR="004E2686" w:rsidRDefault="004E2686" w:rsidP="00B4140B">
                      <w:pPr>
                        <w:jc w:val="center"/>
                      </w:pPr>
                    </w:p>
                  </w:txbxContent>
                </v:textbox>
              </v:shape>
            </w:pict>
          </mc:Fallback>
        </mc:AlternateContent>
      </w:r>
      <w:r>
        <w:rPr>
          <w:rFonts w:ascii="Arial" w:hAnsi="Arial" w:cs="Arial"/>
          <w:b/>
          <w:sz w:val="24"/>
          <w:szCs w:val="24"/>
        </w:rPr>
        <w:t xml:space="preserve"> </w:t>
      </w:r>
      <w:r w:rsidRPr="006E026B">
        <w:rPr>
          <w:rFonts w:ascii="Arial" w:hAnsi="Arial" w:cs="Arial"/>
          <w:b/>
          <w:sz w:val="24"/>
          <w:szCs w:val="24"/>
        </w:rPr>
        <w:t>REPUBLIC OF NAMIBIA</w:t>
      </w:r>
    </w:p>
    <w:p w14:paraId="21893795" w14:textId="77777777" w:rsidR="00B4140B" w:rsidRPr="00D26B1A" w:rsidRDefault="00B4140B" w:rsidP="00B4140B">
      <w:pPr>
        <w:spacing w:after="0" w:line="360" w:lineRule="auto"/>
        <w:jc w:val="center"/>
        <w:rPr>
          <w:b/>
          <w:sz w:val="16"/>
          <w:szCs w:val="16"/>
        </w:rPr>
      </w:pPr>
      <w:r w:rsidRPr="00552306">
        <w:rPr>
          <w:b/>
          <w:noProof/>
          <w:sz w:val="32"/>
          <w:szCs w:val="32"/>
        </w:rPr>
        <w:drawing>
          <wp:inline distT="0" distB="0" distL="0" distR="0" wp14:anchorId="2EDC6D64" wp14:editId="595D5E28">
            <wp:extent cx="1273175" cy="1326515"/>
            <wp:effectExtent l="0" t="0" r="0" b="0"/>
            <wp:docPr id="5"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28262260" w14:textId="77777777" w:rsidR="00B4140B" w:rsidRPr="00E833B3" w:rsidRDefault="00B4140B" w:rsidP="00B4140B">
      <w:pPr>
        <w:spacing w:after="0" w:line="360" w:lineRule="auto"/>
        <w:jc w:val="center"/>
        <w:rPr>
          <w:rFonts w:ascii="Arial" w:hAnsi="Arial" w:cs="Arial"/>
          <w:b/>
          <w:sz w:val="2"/>
          <w:szCs w:val="2"/>
        </w:rPr>
      </w:pPr>
    </w:p>
    <w:p w14:paraId="5A018F25" w14:textId="77777777" w:rsidR="00B4140B" w:rsidRPr="006E026B" w:rsidRDefault="00B4140B" w:rsidP="00A35A69">
      <w:pPr>
        <w:spacing w:after="0" w:line="240" w:lineRule="auto"/>
        <w:jc w:val="center"/>
        <w:rPr>
          <w:rFonts w:ascii="Arial" w:hAnsi="Arial" w:cs="Arial"/>
          <w:bCs/>
          <w:sz w:val="24"/>
          <w:szCs w:val="24"/>
        </w:rPr>
      </w:pPr>
      <w:r>
        <w:rPr>
          <w:rFonts w:ascii="Arial" w:hAnsi="Arial" w:cs="Arial"/>
          <w:b/>
          <w:sz w:val="24"/>
          <w:szCs w:val="24"/>
        </w:rPr>
        <w:t>LABOUR</w:t>
      </w:r>
      <w:r w:rsidRPr="006E026B">
        <w:rPr>
          <w:rFonts w:ascii="Arial" w:hAnsi="Arial" w:cs="Arial"/>
          <w:b/>
          <w:sz w:val="24"/>
          <w:szCs w:val="24"/>
        </w:rPr>
        <w:t xml:space="preserve"> COURT OF NAMIBIA MAIN DIVISION, WINDHOEK</w:t>
      </w:r>
    </w:p>
    <w:p w14:paraId="08DD6938" w14:textId="77777777" w:rsidR="00B4140B" w:rsidRPr="00EE2C8A" w:rsidRDefault="00B4140B" w:rsidP="00A35A69">
      <w:pPr>
        <w:spacing w:after="0" w:line="240" w:lineRule="auto"/>
        <w:jc w:val="center"/>
        <w:rPr>
          <w:rFonts w:ascii="Arial" w:hAnsi="Arial" w:cs="Arial"/>
          <w:b/>
          <w:sz w:val="20"/>
          <w:szCs w:val="20"/>
        </w:rPr>
      </w:pPr>
    </w:p>
    <w:p w14:paraId="311A369A" w14:textId="77777777" w:rsidR="00B4140B" w:rsidRDefault="00B4140B" w:rsidP="00A35A69">
      <w:pPr>
        <w:spacing w:after="0" w:line="240" w:lineRule="auto"/>
        <w:jc w:val="center"/>
        <w:rPr>
          <w:rFonts w:ascii="Arial" w:hAnsi="Arial" w:cs="Arial"/>
          <w:b/>
          <w:sz w:val="24"/>
          <w:szCs w:val="24"/>
        </w:rPr>
      </w:pPr>
      <w:r w:rsidRPr="006E026B">
        <w:rPr>
          <w:rFonts w:ascii="Arial" w:hAnsi="Arial" w:cs="Arial"/>
          <w:b/>
          <w:sz w:val="24"/>
          <w:szCs w:val="24"/>
        </w:rPr>
        <w:t>JUDGMENT</w:t>
      </w:r>
    </w:p>
    <w:p w14:paraId="55AD80B2" w14:textId="77777777" w:rsidR="00B4140B" w:rsidRPr="00EE2C8A" w:rsidRDefault="00B4140B" w:rsidP="00B4140B">
      <w:pPr>
        <w:tabs>
          <w:tab w:val="right" w:pos="9000"/>
        </w:tabs>
        <w:spacing w:after="0" w:line="360" w:lineRule="auto"/>
        <w:jc w:val="center"/>
        <w:rPr>
          <w:rFonts w:ascii="Arial" w:hAnsi="Arial" w:cs="Arial"/>
          <w:sz w:val="20"/>
          <w:szCs w:val="20"/>
        </w:rPr>
      </w:pPr>
    </w:p>
    <w:p w14:paraId="7C2F02D4" w14:textId="26C66E1D" w:rsidR="00B4140B" w:rsidRDefault="00B4140B" w:rsidP="00B4140B">
      <w:pPr>
        <w:tabs>
          <w:tab w:val="right" w:pos="9000"/>
        </w:tabs>
        <w:spacing w:after="0" w:line="360" w:lineRule="auto"/>
        <w:jc w:val="right"/>
        <w:rPr>
          <w:rFonts w:ascii="Arial" w:hAnsi="Arial" w:cs="Arial"/>
          <w:sz w:val="24"/>
          <w:szCs w:val="24"/>
        </w:rPr>
      </w:pPr>
      <w:r w:rsidRPr="006E026B">
        <w:rPr>
          <w:rFonts w:ascii="Arial" w:hAnsi="Arial" w:cs="Arial"/>
          <w:sz w:val="24"/>
          <w:szCs w:val="24"/>
        </w:rPr>
        <w:t>Case no</w:t>
      </w:r>
      <w:r>
        <w:rPr>
          <w:rFonts w:ascii="Arial" w:hAnsi="Arial" w:cs="Arial"/>
          <w:sz w:val="24"/>
          <w:szCs w:val="24"/>
        </w:rPr>
        <w:t>: LCA 16 &amp; 19 / 2017</w:t>
      </w:r>
    </w:p>
    <w:p w14:paraId="328C7AE0" w14:textId="77777777" w:rsidR="00B4140B" w:rsidRDefault="00B4140B" w:rsidP="00B4140B">
      <w:pPr>
        <w:spacing w:after="0" w:line="360" w:lineRule="auto"/>
        <w:jc w:val="both"/>
        <w:rPr>
          <w:rFonts w:ascii="Arial" w:hAnsi="Arial" w:cs="Arial"/>
          <w:sz w:val="24"/>
          <w:szCs w:val="24"/>
        </w:rPr>
      </w:pPr>
    </w:p>
    <w:p w14:paraId="5252A097" w14:textId="77777777" w:rsidR="00B4140B" w:rsidRPr="006E026B" w:rsidRDefault="00B4140B" w:rsidP="00B4140B">
      <w:pPr>
        <w:spacing w:after="0" w:line="360" w:lineRule="auto"/>
        <w:jc w:val="both"/>
        <w:rPr>
          <w:rFonts w:ascii="Arial" w:hAnsi="Arial" w:cs="Arial"/>
          <w:sz w:val="24"/>
          <w:szCs w:val="24"/>
        </w:rPr>
      </w:pPr>
      <w:r w:rsidRPr="006E026B">
        <w:rPr>
          <w:rFonts w:ascii="Arial" w:hAnsi="Arial" w:cs="Arial"/>
          <w:sz w:val="24"/>
          <w:szCs w:val="24"/>
        </w:rPr>
        <w:t>In the matter between:</w:t>
      </w:r>
    </w:p>
    <w:p w14:paraId="46E7AA0E" w14:textId="77777777" w:rsidR="00B4140B" w:rsidRPr="00B53862" w:rsidRDefault="00B4140B" w:rsidP="00B4140B">
      <w:pPr>
        <w:spacing w:after="0" w:line="360" w:lineRule="auto"/>
        <w:jc w:val="both"/>
        <w:rPr>
          <w:rFonts w:ascii="Arial" w:hAnsi="Arial" w:cs="Arial"/>
          <w:sz w:val="24"/>
          <w:szCs w:val="24"/>
        </w:rPr>
      </w:pPr>
    </w:p>
    <w:p w14:paraId="4073B5D3" w14:textId="5613E401" w:rsidR="00B4140B" w:rsidRPr="00B53862" w:rsidRDefault="00B4140B" w:rsidP="00B4140B">
      <w:pPr>
        <w:tabs>
          <w:tab w:val="right" w:pos="9000"/>
        </w:tabs>
        <w:rPr>
          <w:rFonts w:ascii="Arial" w:hAnsi="Arial" w:cs="Arial"/>
          <w:b/>
          <w:sz w:val="24"/>
          <w:szCs w:val="24"/>
          <w:lang w:val="en-GB"/>
        </w:rPr>
      </w:pPr>
      <w:r>
        <w:rPr>
          <w:rFonts w:ascii="Arial" w:hAnsi="Arial" w:cs="Arial"/>
          <w:b/>
          <w:sz w:val="24"/>
          <w:szCs w:val="24"/>
          <w:lang w:val="en-GB"/>
        </w:rPr>
        <w:t xml:space="preserve">DR. </w:t>
      </w:r>
      <w:r w:rsidR="00053133">
        <w:rPr>
          <w:rFonts w:ascii="Arial" w:hAnsi="Arial" w:cs="Arial"/>
          <w:b/>
          <w:sz w:val="24"/>
          <w:szCs w:val="24"/>
          <w:lang w:val="en-GB"/>
        </w:rPr>
        <w:t xml:space="preserve">KUIRI F. TJIPANGANDJARA </w:t>
      </w:r>
      <w:r w:rsidR="00053133">
        <w:rPr>
          <w:rFonts w:ascii="Arial" w:hAnsi="Arial" w:cs="Arial"/>
          <w:b/>
          <w:sz w:val="24"/>
          <w:szCs w:val="24"/>
          <w:lang w:val="en-GB"/>
        </w:rPr>
        <w:tab/>
        <w:t>APPELLA</w:t>
      </w:r>
      <w:r>
        <w:rPr>
          <w:rFonts w:ascii="Arial" w:hAnsi="Arial" w:cs="Arial"/>
          <w:b/>
          <w:sz w:val="24"/>
          <w:szCs w:val="24"/>
          <w:lang w:val="en-GB"/>
        </w:rPr>
        <w:t>NT</w:t>
      </w:r>
    </w:p>
    <w:p w14:paraId="32133838" w14:textId="77777777" w:rsidR="00B4140B" w:rsidRPr="00EE2C8A" w:rsidRDefault="00B4140B" w:rsidP="00B4140B">
      <w:pPr>
        <w:spacing w:after="0" w:line="360" w:lineRule="auto"/>
        <w:jc w:val="both"/>
        <w:rPr>
          <w:rFonts w:ascii="Arial" w:hAnsi="Arial" w:cs="Arial"/>
        </w:rPr>
      </w:pPr>
    </w:p>
    <w:p w14:paraId="26608AA5" w14:textId="1DD37B9C" w:rsidR="00B4140B" w:rsidRPr="00B53862" w:rsidRDefault="0021328B" w:rsidP="00B4140B">
      <w:pPr>
        <w:spacing w:after="0" w:line="360" w:lineRule="auto"/>
        <w:jc w:val="both"/>
        <w:rPr>
          <w:rFonts w:ascii="Arial" w:hAnsi="Arial" w:cs="Arial"/>
          <w:sz w:val="24"/>
          <w:szCs w:val="24"/>
        </w:rPr>
      </w:pPr>
      <w:r>
        <w:rPr>
          <w:rFonts w:ascii="Arial" w:hAnsi="Arial" w:cs="Arial"/>
          <w:sz w:val="24"/>
          <w:szCs w:val="24"/>
        </w:rPr>
        <w:t>a</w:t>
      </w:r>
      <w:r w:rsidR="00B4140B" w:rsidRPr="00B53862">
        <w:rPr>
          <w:rFonts w:ascii="Arial" w:hAnsi="Arial" w:cs="Arial"/>
          <w:sz w:val="24"/>
          <w:szCs w:val="24"/>
        </w:rPr>
        <w:t>nd</w:t>
      </w:r>
    </w:p>
    <w:p w14:paraId="60B3AEA9" w14:textId="77777777" w:rsidR="00B4140B" w:rsidRPr="00EE2C8A" w:rsidRDefault="00B4140B" w:rsidP="00B4140B">
      <w:pPr>
        <w:spacing w:after="0" w:line="360" w:lineRule="auto"/>
        <w:jc w:val="both"/>
        <w:rPr>
          <w:rFonts w:ascii="Arial" w:hAnsi="Arial" w:cs="Arial"/>
        </w:rPr>
      </w:pPr>
    </w:p>
    <w:p w14:paraId="1C93E04B" w14:textId="77777777" w:rsidR="00B4140B" w:rsidRDefault="00B4140B" w:rsidP="00B4140B">
      <w:pPr>
        <w:tabs>
          <w:tab w:val="right" w:pos="9000"/>
        </w:tabs>
        <w:spacing w:after="0" w:line="360" w:lineRule="auto"/>
        <w:jc w:val="both"/>
        <w:rPr>
          <w:rFonts w:ascii="Arial" w:hAnsi="Arial" w:cs="Arial"/>
          <w:b/>
          <w:sz w:val="24"/>
          <w:szCs w:val="24"/>
        </w:rPr>
      </w:pPr>
    </w:p>
    <w:p w14:paraId="6840779D" w14:textId="79F27CBF" w:rsidR="00B4140B" w:rsidRDefault="00B4140B" w:rsidP="00B4140B">
      <w:pPr>
        <w:tabs>
          <w:tab w:val="right" w:pos="9000"/>
        </w:tabs>
        <w:spacing w:after="0" w:line="360" w:lineRule="auto"/>
        <w:jc w:val="both"/>
        <w:rPr>
          <w:rFonts w:ascii="Arial" w:hAnsi="Arial" w:cs="Arial"/>
          <w:b/>
          <w:sz w:val="24"/>
          <w:szCs w:val="24"/>
        </w:rPr>
      </w:pPr>
      <w:r>
        <w:rPr>
          <w:rFonts w:ascii="Arial" w:hAnsi="Arial" w:cs="Arial"/>
          <w:b/>
          <w:sz w:val="24"/>
          <w:szCs w:val="24"/>
        </w:rPr>
        <w:t xml:space="preserve">NAMIBIA WATER CORPORATION LTD </w:t>
      </w:r>
      <w:r>
        <w:rPr>
          <w:rFonts w:ascii="Arial" w:hAnsi="Arial" w:cs="Arial"/>
          <w:b/>
          <w:sz w:val="24"/>
          <w:szCs w:val="24"/>
        </w:rPr>
        <w:tab/>
        <w:t>FIRST RESPONDENT</w:t>
      </w:r>
    </w:p>
    <w:p w14:paraId="0C39A34C" w14:textId="6FF0EFD8" w:rsidR="00B4140B" w:rsidRDefault="00B4140B" w:rsidP="00B4140B">
      <w:pPr>
        <w:tabs>
          <w:tab w:val="right" w:pos="9000"/>
        </w:tabs>
        <w:spacing w:after="0" w:line="360" w:lineRule="auto"/>
        <w:jc w:val="both"/>
        <w:rPr>
          <w:rFonts w:ascii="Arial" w:hAnsi="Arial" w:cs="Arial"/>
          <w:b/>
          <w:sz w:val="24"/>
          <w:szCs w:val="24"/>
        </w:rPr>
      </w:pPr>
      <w:r>
        <w:rPr>
          <w:rFonts w:ascii="Arial" w:hAnsi="Arial" w:cs="Arial"/>
          <w:b/>
          <w:sz w:val="24"/>
          <w:szCs w:val="24"/>
        </w:rPr>
        <w:t xml:space="preserve">KYLLIKI SIHLAHLA, N.O. </w:t>
      </w:r>
      <w:r>
        <w:rPr>
          <w:rFonts w:ascii="Arial" w:hAnsi="Arial" w:cs="Arial"/>
          <w:b/>
          <w:sz w:val="24"/>
          <w:szCs w:val="24"/>
        </w:rPr>
        <w:tab/>
        <w:t>SECOND RESPONDENT</w:t>
      </w:r>
    </w:p>
    <w:p w14:paraId="1A3A453F" w14:textId="295DB678" w:rsidR="00B4140B" w:rsidRDefault="00B4140B" w:rsidP="00B4140B">
      <w:pPr>
        <w:tabs>
          <w:tab w:val="right" w:pos="9000"/>
        </w:tabs>
        <w:spacing w:after="0" w:line="360" w:lineRule="auto"/>
        <w:jc w:val="both"/>
        <w:rPr>
          <w:rFonts w:ascii="Arial" w:hAnsi="Arial" w:cs="Arial"/>
          <w:b/>
          <w:sz w:val="24"/>
          <w:szCs w:val="24"/>
        </w:rPr>
      </w:pPr>
      <w:r>
        <w:rPr>
          <w:rFonts w:ascii="Arial" w:hAnsi="Arial" w:cs="Arial"/>
          <w:b/>
          <w:sz w:val="24"/>
          <w:szCs w:val="24"/>
        </w:rPr>
        <w:t>THE LABOUR COMMISSIONER</w:t>
      </w:r>
      <w:r>
        <w:rPr>
          <w:rFonts w:ascii="Arial" w:hAnsi="Arial" w:cs="Arial"/>
          <w:b/>
          <w:sz w:val="24"/>
          <w:szCs w:val="24"/>
        </w:rPr>
        <w:tab/>
        <w:t>THIRD RESPONDENT</w:t>
      </w:r>
    </w:p>
    <w:p w14:paraId="092E2204" w14:textId="77777777" w:rsidR="00B4140B" w:rsidRDefault="00B4140B" w:rsidP="00B4140B">
      <w:pPr>
        <w:tabs>
          <w:tab w:val="right" w:pos="9000"/>
        </w:tabs>
        <w:spacing w:after="0" w:line="360" w:lineRule="auto"/>
        <w:jc w:val="both"/>
        <w:rPr>
          <w:rFonts w:ascii="Arial" w:hAnsi="Arial" w:cs="Arial"/>
          <w:b/>
          <w:sz w:val="24"/>
          <w:szCs w:val="24"/>
        </w:rPr>
      </w:pPr>
    </w:p>
    <w:p w14:paraId="49DBA056" w14:textId="2645005B" w:rsidR="00B4140B" w:rsidRPr="00A35A69" w:rsidRDefault="0021328B" w:rsidP="00B4140B">
      <w:pPr>
        <w:tabs>
          <w:tab w:val="right" w:pos="9000"/>
        </w:tabs>
        <w:spacing w:after="0" w:line="360" w:lineRule="auto"/>
        <w:jc w:val="both"/>
        <w:rPr>
          <w:rFonts w:ascii="Arial" w:hAnsi="Arial" w:cs="Arial"/>
          <w:sz w:val="24"/>
          <w:szCs w:val="24"/>
        </w:rPr>
      </w:pPr>
      <w:r>
        <w:rPr>
          <w:rFonts w:ascii="Arial" w:hAnsi="Arial" w:cs="Arial"/>
          <w:sz w:val="24"/>
          <w:szCs w:val="24"/>
        </w:rPr>
        <w:t>a</w:t>
      </w:r>
      <w:r w:rsidR="00A35A69">
        <w:rPr>
          <w:rFonts w:ascii="Arial" w:hAnsi="Arial" w:cs="Arial"/>
          <w:sz w:val="24"/>
          <w:szCs w:val="24"/>
        </w:rPr>
        <w:t>nd</w:t>
      </w:r>
    </w:p>
    <w:p w14:paraId="487F42ED" w14:textId="77777777" w:rsidR="00B4140B" w:rsidRDefault="00B4140B" w:rsidP="00B4140B">
      <w:pPr>
        <w:spacing w:after="0" w:line="360" w:lineRule="auto"/>
        <w:ind w:left="2160" w:hanging="2160"/>
        <w:jc w:val="both"/>
        <w:rPr>
          <w:rFonts w:ascii="Arial" w:hAnsi="Arial" w:cs="Arial"/>
          <w:sz w:val="24"/>
          <w:szCs w:val="24"/>
        </w:rPr>
      </w:pPr>
    </w:p>
    <w:p w14:paraId="0CE947A7" w14:textId="0EE9F836" w:rsidR="00B4140B" w:rsidRDefault="00B4140B" w:rsidP="00B4140B">
      <w:pPr>
        <w:tabs>
          <w:tab w:val="right" w:pos="9000"/>
        </w:tabs>
        <w:spacing w:after="0" w:line="360" w:lineRule="auto"/>
        <w:jc w:val="both"/>
        <w:rPr>
          <w:rFonts w:ascii="Arial" w:hAnsi="Arial" w:cs="Arial"/>
          <w:b/>
          <w:sz w:val="24"/>
          <w:szCs w:val="24"/>
        </w:rPr>
      </w:pPr>
      <w:r>
        <w:rPr>
          <w:rFonts w:ascii="Arial" w:hAnsi="Arial" w:cs="Arial"/>
          <w:b/>
          <w:sz w:val="24"/>
          <w:szCs w:val="24"/>
        </w:rPr>
        <w:t xml:space="preserve">NAMWATER CORPORATION LTD </w:t>
      </w:r>
      <w:r>
        <w:rPr>
          <w:rFonts w:ascii="Arial" w:hAnsi="Arial" w:cs="Arial"/>
          <w:b/>
          <w:sz w:val="24"/>
          <w:szCs w:val="24"/>
        </w:rPr>
        <w:tab/>
        <w:t xml:space="preserve">APPELLANT </w:t>
      </w:r>
    </w:p>
    <w:p w14:paraId="1EE9EB06" w14:textId="77777777" w:rsidR="00B4140B" w:rsidRDefault="00B4140B" w:rsidP="00B4140B">
      <w:pPr>
        <w:tabs>
          <w:tab w:val="right" w:pos="9000"/>
        </w:tabs>
        <w:spacing w:after="0" w:line="360" w:lineRule="auto"/>
        <w:jc w:val="both"/>
        <w:rPr>
          <w:rFonts w:ascii="Arial" w:hAnsi="Arial" w:cs="Arial"/>
          <w:b/>
          <w:sz w:val="24"/>
          <w:szCs w:val="24"/>
        </w:rPr>
      </w:pPr>
    </w:p>
    <w:p w14:paraId="40E3D77B" w14:textId="5B4D044D" w:rsidR="00B4140B" w:rsidRPr="00B4140B" w:rsidRDefault="0021328B" w:rsidP="00B4140B">
      <w:pPr>
        <w:tabs>
          <w:tab w:val="right" w:pos="9000"/>
        </w:tabs>
        <w:spacing w:after="0" w:line="360" w:lineRule="auto"/>
        <w:jc w:val="both"/>
        <w:rPr>
          <w:rFonts w:ascii="Arial" w:hAnsi="Arial" w:cs="Arial"/>
          <w:sz w:val="24"/>
          <w:szCs w:val="24"/>
        </w:rPr>
      </w:pPr>
      <w:r>
        <w:rPr>
          <w:rFonts w:ascii="Arial" w:hAnsi="Arial" w:cs="Arial"/>
          <w:sz w:val="24"/>
          <w:szCs w:val="24"/>
        </w:rPr>
        <w:t>a</w:t>
      </w:r>
      <w:r w:rsidR="00B4140B" w:rsidRPr="00B4140B">
        <w:rPr>
          <w:rFonts w:ascii="Arial" w:hAnsi="Arial" w:cs="Arial"/>
          <w:sz w:val="24"/>
          <w:szCs w:val="24"/>
        </w:rPr>
        <w:t xml:space="preserve">nd </w:t>
      </w:r>
    </w:p>
    <w:p w14:paraId="7FCE556F" w14:textId="77777777" w:rsidR="00B4140B" w:rsidRDefault="00B4140B" w:rsidP="00B4140B">
      <w:pPr>
        <w:tabs>
          <w:tab w:val="right" w:pos="9000"/>
        </w:tabs>
        <w:spacing w:after="0" w:line="360" w:lineRule="auto"/>
        <w:jc w:val="both"/>
        <w:rPr>
          <w:rFonts w:ascii="Arial" w:hAnsi="Arial" w:cs="Arial"/>
          <w:b/>
          <w:sz w:val="24"/>
          <w:szCs w:val="24"/>
        </w:rPr>
      </w:pPr>
    </w:p>
    <w:p w14:paraId="719EDBCA" w14:textId="3494010C" w:rsidR="00B4140B" w:rsidRPr="00B4140B" w:rsidRDefault="00B4140B" w:rsidP="00B4140B">
      <w:pPr>
        <w:tabs>
          <w:tab w:val="right" w:pos="9000"/>
        </w:tabs>
        <w:rPr>
          <w:rFonts w:ascii="Arial" w:hAnsi="Arial" w:cs="Arial"/>
          <w:b/>
          <w:sz w:val="24"/>
          <w:szCs w:val="24"/>
          <w:lang w:val="en-GB"/>
        </w:rPr>
      </w:pPr>
      <w:r>
        <w:rPr>
          <w:rFonts w:ascii="Arial" w:hAnsi="Arial" w:cs="Arial"/>
          <w:b/>
          <w:sz w:val="24"/>
          <w:szCs w:val="24"/>
          <w:lang w:val="en-GB"/>
        </w:rPr>
        <w:t xml:space="preserve">DR. KUIRI F. TJIPANGANDJARA </w:t>
      </w:r>
      <w:r>
        <w:rPr>
          <w:rFonts w:ascii="Arial" w:hAnsi="Arial" w:cs="Arial"/>
          <w:b/>
          <w:sz w:val="24"/>
          <w:szCs w:val="24"/>
          <w:lang w:val="en-GB"/>
        </w:rPr>
        <w:tab/>
        <w:t>RESPONDENT</w:t>
      </w:r>
      <w:r w:rsidR="00C7727B">
        <w:rPr>
          <w:rFonts w:ascii="Arial" w:hAnsi="Arial" w:cs="Arial"/>
          <w:b/>
          <w:sz w:val="24"/>
          <w:szCs w:val="24"/>
        </w:rPr>
        <w:t xml:space="preserve"> </w:t>
      </w:r>
      <w:r>
        <w:rPr>
          <w:rFonts w:ascii="Arial" w:hAnsi="Arial" w:cs="Arial"/>
          <w:b/>
          <w:sz w:val="24"/>
          <w:szCs w:val="24"/>
        </w:rPr>
        <w:tab/>
      </w:r>
    </w:p>
    <w:p w14:paraId="7320DA39" w14:textId="77777777" w:rsidR="004D6974" w:rsidRPr="004D6974" w:rsidRDefault="004D6974" w:rsidP="004D6974">
      <w:pPr>
        <w:spacing w:after="0" w:line="360" w:lineRule="auto"/>
        <w:ind w:left="2160" w:hanging="2160"/>
        <w:jc w:val="both"/>
        <w:rPr>
          <w:rFonts w:ascii="Arial" w:hAnsi="Arial" w:cs="Arial"/>
          <w:i/>
          <w:sz w:val="24"/>
          <w:szCs w:val="24"/>
        </w:rPr>
      </w:pPr>
      <w:r w:rsidRPr="004D6974">
        <w:rPr>
          <w:rFonts w:ascii="Arial" w:hAnsi="Arial" w:cs="Arial"/>
          <w:i/>
          <w:sz w:val="24"/>
          <w:szCs w:val="24"/>
        </w:rPr>
        <w:t xml:space="preserve">Neutral citation: </w:t>
      </w:r>
      <w:r w:rsidRPr="004D6974">
        <w:rPr>
          <w:rFonts w:ascii="Arial" w:hAnsi="Arial" w:cs="Arial"/>
          <w:i/>
          <w:sz w:val="24"/>
          <w:szCs w:val="24"/>
        </w:rPr>
        <w:tab/>
      </w:r>
      <w:bookmarkStart w:id="0" w:name="_GoBack"/>
      <w:r w:rsidRPr="004D6974">
        <w:rPr>
          <w:rFonts w:ascii="Arial" w:hAnsi="Arial" w:cs="Arial"/>
          <w:i/>
          <w:sz w:val="24"/>
          <w:szCs w:val="24"/>
        </w:rPr>
        <w:t>Tjpangandjara v Namibia Water Corporation Limited &amp; Others (LCA 16 &amp; 19/2017) [2018] NAHCMD 30 (9 November 2018)</w:t>
      </w:r>
      <w:bookmarkEnd w:id="0"/>
    </w:p>
    <w:p w14:paraId="4546FA1A" w14:textId="77777777" w:rsidR="00B4140B" w:rsidRPr="006E026B" w:rsidRDefault="00B4140B" w:rsidP="00B4140B">
      <w:pPr>
        <w:spacing w:after="0" w:line="360" w:lineRule="auto"/>
        <w:ind w:left="2160" w:hanging="2160"/>
        <w:jc w:val="both"/>
        <w:rPr>
          <w:rFonts w:ascii="Arial" w:hAnsi="Arial" w:cs="Arial"/>
          <w:sz w:val="24"/>
          <w:szCs w:val="24"/>
        </w:rPr>
      </w:pPr>
    </w:p>
    <w:p w14:paraId="4E609EDD" w14:textId="77777777" w:rsidR="004D6974" w:rsidRDefault="004D6974" w:rsidP="00B4140B">
      <w:pPr>
        <w:spacing w:after="0" w:line="360" w:lineRule="auto"/>
        <w:ind w:left="1440" w:hanging="1440"/>
        <w:jc w:val="both"/>
        <w:rPr>
          <w:rFonts w:ascii="Arial" w:hAnsi="Arial" w:cs="Arial"/>
          <w:b/>
          <w:sz w:val="24"/>
          <w:szCs w:val="24"/>
        </w:rPr>
      </w:pPr>
    </w:p>
    <w:p w14:paraId="6BBB5C53" w14:textId="77777777" w:rsidR="004D6974" w:rsidRDefault="004D6974" w:rsidP="00B4140B">
      <w:pPr>
        <w:spacing w:after="0" w:line="360" w:lineRule="auto"/>
        <w:ind w:left="1440" w:hanging="1440"/>
        <w:jc w:val="both"/>
        <w:rPr>
          <w:rFonts w:ascii="Arial" w:hAnsi="Arial" w:cs="Arial"/>
          <w:b/>
          <w:sz w:val="24"/>
          <w:szCs w:val="24"/>
        </w:rPr>
      </w:pPr>
    </w:p>
    <w:p w14:paraId="05FC8712" w14:textId="6A90A3BB" w:rsidR="00A35A69" w:rsidRPr="0084291A" w:rsidRDefault="00B4140B" w:rsidP="0084291A">
      <w:pPr>
        <w:spacing w:after="0" w:line="360" w:lineRule="auto"/>
        <w:ind w:left="1440" w:hanging="1440"/>
        <w:jc w:val="both"/>
        <w:rPr>
          <w:rFonts w:ascii="Arial" w:hAnsi="Arial" w:cs="Arial"/>
          <w:b/>
          <w:i/>
          <w:sz w:val="24"/>
          <w:szCs w:val="24"/>
        </w:rPr>
      </w:pPr>
      <w:r w:rsidRPr="006E026B">
        <w:rPr>
          <w:rFonts w:ascii="Arial" w:hAnsi="Arial" w:cs="Arial"/>
          <w:b/>
          <w:sz w:val="24"/>
          <w:szCs w:val="24"/>
        </w:rPr>
        <w:lastRenderedPageBreak/>
        <w:t>Coram:</w:t>
      </w:r>
      <w:r w:rsidRPr="006E026B">
        <w:rPr>
          <w:rFonts w:ascii="Arial" w:hAnsi="Arial" w:cs="Arial"/>
          <w:sz w:val="24"/>
          <w:szCs w:val="24"/>
        </w:rPr>
        <w:tab/>
      </w:r>
      <w:r>
        <w:rPr>
          <w:rFonts w:ascii="Arial" w:hAnsi="Arial" w:cs="Arial"/>
          <w:sz w:val="24"/>
          <w:szCs w:val="24"/>
        </w:rPr>
        <w:t>M</w:t>
      </w:r>
      <w:r w:rsidR="00A35A69">
        <w:rPr>
          <w:rFonts w:ascii="Arial" w:hAnsi="Arial" w:cs="Arial"/>
          <w:sz w:val="24"/>
          <w:szCs w:val="24"/>
        </w:rPr>
        <w:t>asuku</w:t>
      </w:r>
      <w:r>
        <w:rPr>
          <w:rFonts w:ascii="Arial" w:hAnsi="Arial" w:cs="Arial"/>
          <w:sz w:val="24"/>
          <w:szCs w:val="24"/>
        </w:rPr>
        <w:t>, J</w:t>
      </w:r>
    </w:p>
    <w:p w14:paraId="09B3F349" w14:textId="7773113D" w:rsidR="004D6974" w:rsidRPr="0084291A" w:rsidRDefault="004D6974" w:rsidP="004D6974">
      <w:pPr>
        <w:spacing w:after="0" w:line="360" w:lineRule="auto"/>
        <w:ind w:left="1440" w:hanging="1440"/>
        <w:rPr>
          <w:rFonts w:ascii="Arial" w:hAnsi="Arial" w:cs="Arial"/>
          <w:b/>
          <w:sz w:val="24"/>
          <w:szCs w:val="24"/>
        </w:rPr>
      </w:pPr>
      <w:r w:rsidRPr="0084291A">
        <w:rPr>
          <w:rFonts w:ascii="Arial" w:hAnsi="Arial" w:cs="Arial"/>
          <w:b/>
          <w:bCs/>
          <w:sz w:val="24"/>
          <w:szCs w:val="24"/>
        </w:rPr>
        <w:t>Heard</w:t>
      </w:r>
      <w:r w:rsidRPr="0084291A">
        <w:rPr>
          <w:rFonts w:ascii="Arial" w:hAnsi="Arial" w:cs="Arial"/>
          <w:b/>
          <w:sz w:val="24"/>
          <w:szCs w:val="24"/>
        </w:rPr>
        <w:t>:</w:t>
      </w:r>
      <w:r w:rsidRPr="0084291A">
        <w:rPr>
          <w:rFonts w:ascii="Arial" w:hAnsi="Arial" w:cs="Arial"/>
          <w:b/>
          <w:sz w:val="24"/>
          <w:szCs w:val="24"/>
        </w:rPr>
        <w:tab/>
      </w:r>
      <w:r w:rsidR="001E0795" w:rsidRPr="0084291A">
        <w:rPr>
          <w:rFonts w:ascii="Arial" w:hAnsi="Arial" w:cs="Arial"/>
          <w:b/>
          <w:sz w:val="24"/>
          <w:szCs w:val="24"/>
        </w:rPr>
        <w:t>11 May 2018</w:t>
      </w:r>
    </w:p>
    <w:p w14:paraId="5788E467" w14:textId="77777777" w:rsidR="004D6974" w:rsidRPr="0084291A" w:rsidRDefault="004D6974" w:rsidP="004D6974">
      <w:pPr>
        <w:spacing w:after="0" w:line="360" w:lineRule="auto"/>
        <w:rPr>
          <w:rFonts w:ascii="Arial" w:hAnsi="Arial" w:cs="Arial"/>
          <w:b/>
          <w:sz w:val="24"/>
          <w:szCs w:val="24"/>
        </w:rPr>
      </w:pPr>
      <w:r w:rsidRPr="0084291A">
        <w:rPr>
          <w:rFonts w:ascii="Arial" w:hAnsi="Arial" w:cs="Arial"/>
          <w:b/>
          <w:bCs/>
          <w:sz w:val="24"/>
          <w:szCs w:val="24"/>
        </w:rPr>
        <w:t>Delivered</w:t>
      </w:r>
      <w:r w:rsidRPr="0084291A">
        <w:rPr>
          <w:rFonts w:ascii="Arial" w:hAnsi="Arial" w:cs="Arial"/>
          <w:b/>
          <w:sz w:val="24"/>
          <w:szCs w:val="24"/>
        </w:rPr>
        <w:t>:</w:t>
      </w:r>
      <w:r w:rsidRPr="0084291A">
        <w:rPr>
          <w:rFonts w:ascii="Arial" w:hAnsi="Arial" w:cs="Arial"/>
          <w:b/>
          <w:sz w:val="24"/>
          <w:szCs w:val="24"/>
        </w:rPr>
        <w:tab/>
        <w:t>9 November 2018</w:t>
      </w:r>
    </w:p>
    <w:p w14:paraId="7697AA48" w14:textId="77777777" w:rsidR="00B4140B" w:rsidRPr="006E026B" w:rsidRDefault="00B4140B" w:rsidP="00B4140B">
      <w:pPr>
        <w:spacing w:after="0" w:line="360" w:lineRule="auto"/>
        <w:jc w:val="both"/>
        <w:rPr>
          <w:rFonts w:ascii="Arial" w:hAnsi="Arial" w:cs="Arial"/>
          <w:b/>
          <w:sz w:val="24"/>
          <w:szCs w:val="24"/>
        </w:rPr>
      </w:pPr>
    </w:p>
    <w:p w14:paraId="43217209" w14:textId="0CDFEBB7" w:rsidR="001B0C2B" w:rsidRPr="00C06B1D" w:rsidRDefault="00B4140B" w:rsidP="001B0C2B">
      <w:pPr>
        <w:spacing w:after="0" w:line="360" w:lineRule="auto"/>
        <w:jc w:val="both"/>
        <w:rPr>
          <w:rFonts w:ascii="Arial" w:hAnsi="Arial" w:cs="Arial"/>
          <w:b/>
          <w:bCs/>
          <w:sz w:val="24"/>
          <w:szCs w:val="24"/>
        </w:rPr>
      </w:pPr>
      <w:r w:rsidRPr="00AA2539">
        <w:rPr>
          <w:rFonts w:ascii="Arial" w:hAnsi="Arial" w:cs="Arial"/>
          <w:b/>
          <w:bCs/>
          <w:sz w:val="24"/>
          <w:szCs w:val="24"/>
        </w:rPr>
        <w:t>Flynote:</w:t>
      </w:r>
      <w:r w:rsidR="001D19A1">
        <w:rPr>
          <w:rFonts w:ascii="Arial" w:hAnsi="Arial" w:cs="Arial"/>
          <w:bCs/>
          <w:sz w:val="24"/>
          <w:szCs w:val="24"/>
        </w:rPr>
        <w:t xml:space="preserve"> </w:t>
      </w:r>
      <w:r>
        <w:rPr>
          <w:rFonts w:ascii="Arial" w:hAnsi="Arial" w:cs="Arial"/>
          <w:bCs/>
          <w:sz w:val="24"/>
          <w:szCs w:val="24"/>
        </w:rPr>
        <w:t xml:space="preserve">Labour law – </w:t>
      </w:r>
      <w:r w:rsidRPr="00AB3423">
        <w:rPr>
          <w:rFonts w:ascii="Arial" w:hAnsi="Arial" w:cs="Arial"/>
          <w:bCs/>
          <w:sz w:val="24"/>
          <w:szCs w:val="24"/>
        </w:rPr>
        <w:t>Labour</w:t>
      </w:r>
      <w:r>
        <w:rPr>
          <w:rFonts w:ascii="Arial" w:hAnsi="Arial" w:cs="Arial"/>
          <w:bCs/>
          <w:sz w:val="24"/>
          <w:szCs w:val="24"/>
        </w:rPr>
        <w:t xml:space="preserve"> Court – </w:t>
      </w:r>
      <w:r w:rsidR="00390743">
        <w:rPr>
          <w:rFonts w:ascii="Arial" w:hAnsi="Arial" w:cs="Arial"/>
          <w:bCs/>
          <w:sz w:val="24"/>
          <w:szCs w:val="24"/>
        </w:rPr>
        <w:t>Arbitration A</w:t>
      </w:r>
      <w:r w:rsidR="006F3586">
        <w:rPr>
          <w:rFonts w:ascii="Arial" w:hAnsi="Arial" w:cs="Arial"/>
          <w:bCs/>
          <w:sz w:val="24"/>
          <w:szCs w:val="24"/>
        </w:rPr>
        <w:t>ward</w:t>
      </w:r>
      <w:r w:rsidR="00390743">
        <w:rPr>
          <w:rFonts w:ascii="Arial" w:hAnsi="Arial" w:cs="Arial"/>
          <w:bCs/>
          <w:sz w:val="24"/>
          <w:szCs w:val="24"/>
        </w:rPr>
        <w:t xml:space="preserve"> not appropriate</w:t>
      </w:r>
      <w:r w:rsidRPr="00AB3423">
        <w:rPr>
          <w:rFonts w:ascii="Arial" w:hAnsi="Arial" w:cs="Arial"/>
          <w:bCs/>
          <w:sz w:val="24"/>
          <w:szCs w:val="24"/>
        </w:rPr>
        <w:t xml:space="preserve"> – </w:t>
      </w:r>
      <w:r w:rsidR="00390743">
        <w:rPr>
          <w:rFonts w:ascii="Arial" w:hAnsi="Arial" w:cs="Arial"/>
          <w:bCs/>
          <w:sz w:val="24"/>
          <w:szCs w:val="24"/>
        </w:rPr>
        <w:t>App</w:t>
      </w:r>
      <w:r w:rsidR="00C06B1D">
        <w:rPr>
          <w:rFonts w:ascii="Arial" w:hAnsi="Arial" w:cs="Arial"/>
          <w:bCs/>
          <w:sz w:val="24"/>
          <w:szCs w:val="24"/>
        </w:rPr>
        <w:t>ell</w:t>
      </w:r>
      <w:r w:rsidR="00390743">
        <w:rPr>
          <w:rFonts w:ascii="Arial" w:hAnsi="Arial" w:cs="Arial"/>
          <w:bCs/>
          <w:sz w:val="24"/>
          <w:szCs w:val="24"/>
        </w:rPr>
        <w:t xml:space="preserve">ant brought an </w:t>
      </w:r>
      <w:r w:rsidR="00C84D9C">
        <w:rPr>
          <w:rFonts w:ascii="Arial" w:hAnsi="Arial" w:cs="Arial"/>
          <w:bCs/>
          <w:sz w:val="24"/>
          <w:szCs w:val="24"/>
        </w:rPr>
        <w:t xml:space="preserve">appeal </w:t>
      </w:r>
      <w:r w:rsidR="00390743">
        <w:rPr>
          <w:rFonts w:ascii="Arial" w:hAnsi="Arial" w:cs="Arial"/>
          <w:bCs/>
          <w:sz w:val="24"/>
          <w:szCs w:val="24"/>
        </w:rPr>
        <w:t xml:space="preserve">against </w:t>
      </w:r>
      <w:r w:rsidR="00C84D9C">
        <w:rPr>
          <w:rFonts w:ascii="Arial" w:hAnsi="Arial" w:cs="Arial"/>
          <w:bCs/>
          <w:sz w:val="24"/>
          <w:szCs w:val="24"/>
        </w:rPr>
        <w:t xml:space="preserve">certain parts of the arbitration award – </w:t>
      </w:r>
      <w:r w:rsidR="000A2C82">
        <w:rPr>
          <w:rFonts w:ascii="Arial" w:hAnsi="Arial" w:cs="Arial"/>
          <w:bCs/>
          <w:sz w:val="24"/>
          <w:szCs w:val="24"/>
        </w:rPr>
        <w:t>A party to a dispute may appeal to the Labour Court against an arbitrator’s award made in terms of section 86 on any question of law</w:t>
      </w:r>
      <w:r w:rsidR="000A2C82">
        <w:rPr>
          <w:rFonts w:ascii="Arial" w:eastAsia="Times New Roman" w:hAnsi="Arial" w:cs="Arial"/>
          <w:bCs/>
          <w:sz w:val="24"/>
          <w:szCs w:val="24"/>
          <w:lang w:val="en-ZA"/>
        </w:rPr>
        <w:t xml:space="preserve">. </w:t>
      </w:r>
      <w:r w:rsidR="000A2C82">
        <w:rPr>
          <w:rFonts w:ascii="Arial" w:hAnsi="Arial" w:cs="Arial"/>
          <w:bCs/>
          <w:sz w:val="24"/>
          <w:szCs w:val="24"/>
        </w:rPr>
        <w:t xml:space="preserve">The powers that the arbitrator has to grant an award emanates from Section 89(15) </w:t>
      </w:r>
      <w:r w:rsidR="000A2C82" w:rsidRPr="00AB3423">
        <w:rPr>
          <w:rFonts w:ascii="Arial" w:hAnsi="Arial" w:cs="Arial"/>
          <w:bCs/>
          <w:sz w:val="24"/>
          <w:szCs w:val="24"/>
        </w:rPr>
        <w:t>of the Labour Act</w:t>
      </w:r>
      <w:r w:rsidR="000A2C82">
        <w:rPr>
          <w:rFonts w:ascii="Arial" w:hAnsi="Arial" w:cs="Arial"/>
          <w:bCs/>
          <w:sz w:val="24"/>
          <w:szCs w:val="24"/>
        </w:rPr>
        <w:t>,</w:t>
      </w:r>
      <w:r w:rsidR="00F07F7C">
        <w:rPr>
          <w:rFonts w:ascii="Arial" w:hAnsi="Arial" w:cs="Arial"/>
          <w:bCs/>
          <w:sz w:val="24"/>
          <w:szCs w:val="24"/>
        </w:rPr>
        <w:t xml:space="preserve"> 2007.</w:t>
      </w:r>
      <w:r w:rsidR="001B0C2B">
        <w:rPr>
          <w:rFonts w:ascii="Arial" w:hAnsi="Arial" w:cs="Arial"/>
          <w:bCs/>
          <w:sz w:val="24"/>
          <w:szCs w:val="24"/>
        </w:rPr>
        <w:t xml:space="preserve"> </w:t>
      </w:r>
      <w:r w:rsidR="001B0C2B" w:rsidRPr="00AB3423">
        <w:rPr>
          <w:rFonts w:ascii="Arial" w:hAnsi="Arial" w:cs="Arial"/>
          <w:bCs/>
          <w:sz w:val="24"/>
          <w:szCs w:val="24"/>
        </w:rPr>
        <w:t>Labour</w:t>
      </w:r>
      <w:r w:rsidR="001B0C2B">
        <w:rPr>
          <w:rFonts w:ascii="Arial" w:hAnsi="Arial" w:cs="Arial"/>
          <w:bCs/>
          <w:sz w:val="24"/>
          <w:szCs w:val="24"/>
        </w:rPr>
        <w:t xml:space="preserve"> Court – </w:t>
      </w:r>
      <w:r w:rsidR="001B0C2B" w:rsidRPr="00AB3423">
        <w:rPr>
          <w:rFonts w:ascii="Arial" w:hAnsi="Arial" w:cs="Arial"/>
          <w:bCs/>
          <w:sz w:val="24"/>
          <w:szCs w:val="24"/>
        </w:rPr>
        <w:t xml:space="preserve">Jurisdiction – </w:t>
      </w:r>
      <w:r w:rsidR="001B0C2B">
        <w:rPr>
          <w:rFonts w:ascii="Arial" w:hAnsi="Arial" w:cs="Arial"/>
          <w:bCs/>
          <w:sz w:val="24"/>
          <w:szCs w:val="24"/>
        </w:rPr>
        <w:t xml:space="preserve">Appellant brought a </w:t>
      </w:r>
      <w:r w:rsidR="006914AC">
        <w:rPr>
          <w:rFonts w:ascii="Arial" w:hAnsi="Arial" w:cs="Arial"/>
          <w:bCs/>
          <w:sz w:val="24"/>
          <w:szCs w:val="24"/>
        </w:rPr>
        <w:t>cross appeal</w:t>
      </w:r>
      <w:r w:rsidR="000731CB">
        <w:rPr>
          <w:rFonts w:ascii="Arial" w:hAnsi="Arial" w:cs="Arial"/>
          <w:bCs/>
          <w:sz w:val="24"/>
          <w:szCs w:val="24"/>
        </w:rPr>
        <w:t xml:space="preserve"> pursuant to section 89(1)(a) of the Labour Act, 2007 read with Rule 17 (1)(</w:t>
      </w:r>
      <w:r w:rsidR="000731CB" w:rsidRPr="00CE52C9">
        <w:rPr>
          <w:rFonts w:ascii="Arial" w:hAnsi="Arial" w:cs="Arial"/>
          <w:bCs/>
          <w:i/>
          <w:sz w:val="24"/>
          <w:szCs w:val="24"/>
        </w:rPr>
        <w:t>c</w:t>
      </w:r>
      <w:r w:rsidR="000731CB">
        <w:rPr>
          <w:rFonts w:ascii="Arial" w:hAnsi="Arial" w:cs="Arial"/>
          <w:bCs/>
          <w:sz w:val="24"/>
          <w:szCs w:val="24"/>
        </w:rPr>
        <w:t>) agains</w:t>
      </w:r>
      <w:r w:rsidR="002F4D41">
        <w:rPr>
          <w:rFonts w:ascii="Arial" w:hAnsi="Arial" w:cs="Arial"/>
          <w:bCs/>
          <w:sz w:val="24"/>
          <w:szCs w:val="24"/>
        </w:rPr>
        <w:t>t</w:t>
      </w:r>
      <w:r w:rsidR="000731CB">
        <w:rPr>
          <w:rFonts w:ascii="Arial" w:hAnsi="Arial" w:cs="Arial"/>
          <w:bCs/>
          <w:sz w:val="24"/>
          <w:szCs w:val="24"/>
        </w:rPr>
        <w:t xml:space="preserve"> the whole of the decision or order of the Arbitrator </w:t>
      </w:r>
      <w:r w:rsidR="001B0C2B">
        <w:rPr>
          <w:rFonts w:ascii="Arial" w:hAnsi="Arial" w:cs="Arial"/>
          <w:bCs/>
          <w:sz w:val="24"/>
          <w:szCs w:val="24"/>
        </w:rPr>
        <w:t xml:space="preserve">– </w:t>
      </w:r>
      <w:r w:rsidR="00F3549A">
        <w:rPr>
          <w:rFonts w:ascii="Arial" w:hAnsi="Arial" w:cs="Arial"/>
          <w:bCs/>
          <w:sz w:val="24"/>
          <w:szCs w:val="24"/>
        </w:rPr>
        <w:t xml:space="preserve">Arbitrator has </w:t>
      </w:r>
      <w:r w:rsidR="001B0C2B" w:rsidRPr="00AB3423">
        <w:rPr>
          <w:rFonts w:ascii="Arial" w:hAnsi="Arial" w:cs="Arial"/>
          <w:bCs/>
          <w:sz w:val="24"/>
          <w:szCs w:val="24"/>
        </w:rPr>
        <w:t xml:space="preserve">no jurisdiction to </w:t>
      </w:r>
      <w:r w:rsidR="00F3549A">
        <w:rPr>
          <w:rFonts w:ascii="Arial" w:hAnsi="Arial" w:cs="Arial"/>
          <w:bCs/>
          <w:sz w:val="24"/>
          <w:szCs w:val="24"/>
        </w:rPr>
        <w:t xml:space="preserve">order the appellant to end the lockout of the </w:t>
      </w:r>
      <w:r w:rsidR="006914AC">
        <w:rPr>
          <w:rFonts w:ascii="Arial" w:hAnsi="Arial" w:cs="Arial"/>
          <w:bCs/>
          <w:sz w:val="24"/>
          <w:szCs w:val="24"/>
        </w:rPr>
        <w:t>r</w:t>
      </w:r>
      <w:r w:rsidR="00F3549A">
        <w:rPr>
          <w:rFonts w:ascii="Arial" w:hAnsi="Arial" w:cs="Arial"/>
          <w:bCs/>
          <w:sz w:val="24"/>
          <w:szCs w:val="24"/>
        </w:rPr>
        <w:t>espondent</w:t>
      </w:r>
      <w:r w:rsidR="001B0C2B">
        <w:rPr>
          <w:rFonts w:ascii="Arial" w:eastAsia="Times New Roman" w:hAnsi="Arial" w:cs="Arial"/>
          <w:bCs/>
          <w:sz w:val="24"/>
          <w:szCs w:val="24"/>
          <w:lang w:val="en-ZA"/>
        </w:rPr>
        <w:t>.</w:t>
      </w:r>
      <w:r w:rsidR="00C06B1D">
        <w:rPr>
          <w:rFonts w:ascii="Arial" w:eastAsia="Times New Roman" w:hAnsi="Arial" w:cs="Arial"/>
          <w:bCs/>
          <w:sz w:val="24"/>
          <w:szCs w:val="24"/>
          <w:lang w:val="en-ZA"/>
        </w:rPr>
        <w:t xml:space="preserve"> </w:t>
      </w:r>
      <w:r w:rsidR="00C06B1D">
        <w:rPr>
          <w:rFonts w:ascii="Arial" w:eastAsia="Times New Roman" w:hAnsi="Arial" w:cs="Arial"/>
          <w:b/>
          <w:bCs/>
          <w:sz w:val="24"/>
          <w:szCs w:val="24"/>
          <w:lang w:val="en-ZA"/>
        </w:rPr>
        <w:t>Jurisdiction</w:t>
      </w:r>
      <w:r w:rsidR="00C06B1D" w:rsidRPr="00C06B1D">
        <w:rPr>
          <w:rFonts w:ascii="Arial" w:eastAsia="Times New Roman" w:hAnsi="Arial" w:cs="Arial"/>
          <w:b/>
          <w:bCs/>
          <w:sz w:val="24"/>
          <w:szCs w:val="24"/>
          <w:lang w:val="en-ZA"/>
        </w:rPr>
        <w:t xml:space="preserve"> of arbitrator </w:t>
      </w:r>
      <w:r w:rsidR="00C06B1D">
        <w:rPr>
          <w:rFonts w:ascii="Arial" w:eastAsia="Times New Roman" w:hAnsi="Arial" w:cs="Arial"/>
          <w:b/>
          <w:bCs/>
          <w:sz w:val="24"/>
          <w:szCs w:val="24"/>
          <w:lang w:val="en-ZA"/>
        </w:rPr>
        <w:t xml:space="preserve">– power </w:t>
      </w:r>
      <w:r w:rsidR="00C06B1D" w:rsidRPr="00C06B1D">
        <w:rPr>
          <w:rFonts w:ascii="Arial" w:eastAsia="Times New Roman" w:hAnsi="Arial" w:cs="Arial"/>
          <w:b/>
          <w:bCs/>
          <w:sz w:val="24"/>
          <w:szCs w:val="24"/>
          <w:lang w:val="en-ZA"/>
        </w:rPr>
        <w:t>to grant an award emanates from Section 86 (15</w:t>
      </w:r>
      <w:r w:rsidR="004D6974" w:rsidRPr="00C06B1D">
        <w:rPr>
          <w:rFonts w:ascii="Arial" w:eastAsia="Times New Roman" w:hAnsi="Arial" w:cs="Arial"/>
          <w:b/>
          <w:bCs/>
          <w:sz w:val="24"/>
          <w:szCs w:val="24"/>
          <w:lang w:val="en-ZA"/>
        </w:rPr>
        <w:t>) of</w:t>
      </w:r>
      <w:r w:rsidR="00C06B1D" w:rsidRPr="00C06B1D">
        <w:rPr>
          <w:rFonts w:ascii="Arial" w:eastAsia="Times New Roman" w:hAnsi="Arial" w:cs="Arial"/>
          <w:b/>
          <w:bCs/>
          <w:sz w:val="24"/>
          <w:szCs w:val="24"/>
          <w:lang w:val="en-ZA"/>
        </w:rPr>
        <w:t xml:space="preserve"> the Labour Act, 2007</w:t>
      </w:r>
      <w:r w:rsidR="00C06B1D">
        <w:rPr>
          <w:rFonts w:ascii="Arial" w:eastAsia="Times New Roman" w:hAnsi="Arial" w:cs="Arial"/>
          <w:b/>
          <w:bCs/>
          <w:sz w:val="24"/>
          <w:szCs w:val="24"/>
          <w:lang w:val="en-ZA"/>
        </w:rPr>
        <w:t>. Condonation – Non-compliance with the rules of this Honourable Court</w:t>
      </w:r>
      <w:r w:rsidR="007268A1">
        <w:rPr>
          <w:rFonts w:ascii="Arial" w:eastAsia="Times New Roman" w:hAnsi="Arial" w:cs="Arial"/>
          <w:b/>
          <w:bCs/>
          <w:sz w:val="24"/>
          <w:szCs w:val="24"/>
          <w:lang w:val="en-ZA"/>
        </w:rPr>
        <w:t xml:space="preserve">. </w:t>
      </w:r>
    </w:p>
    <w:p w14:paraId="448C9A04" w14:textId="77777777" w:rsidR="005E2458" w:rsidRDefault="005E2458" w:rsidP="00523395">
      <w:pPr>
        <w:spacing w:after="0" w:line="360" w:lineRule="auto"/>
        <w:jc w:val="both"/>
        <w:rPr>
          <w:rFonts w:ascii="Arial" w:hAnsi="Arial" w:cs="Arial"/>
          <w:bCs/>
          <w:sz w:val="24"/>
          <w:szCs w:val="24"/>
          <w:lang w:val="en-ZA"/>
        </w:rPr>
      </w:pPr>
    </w:p>
    <w:p w14:paraId="0B40926C" w14:textId="573466B5" w:rsidR="00523395" w:rsidRPr="009539DC" w:rsidRDefault="005E2458" w:rsidP="00523395">
      <w:pPr>
        <w:spacing w:after="0" w:line="360" w:lineRule="auto"/>
        <w:jc w:val="both"/>
        <w:rPr>
          <w:rFonts w:ascii="Arial" w:hAnsi="Arial" w:cs="Arial"/>
          <w:bCs/>
          <w:sz w:val="24"/>
          <w:szCs w:val="24"/>
          <w:lang w:val="en-ZA"/>
        </w:rPr>
      </w:pPr>
      <w:r w:rsidRPr="00AA2539">
        <w:rPr>
          <w:rFonts w:ascii="Arial" w:hAnsi="Arial" w:cs="Arial"/>
          <w:b/>
          <w:bCs/>
          <w:sz w:val="24"/>
          <w:szCs w:val="24"/>
        </w:rPr>
        <w:t>Summary:</w:t>
      </w:r>
      <w:r>
        <w:rPr>
          <w:rFonts w:ascii="Arial" w:hAnsi="Arial" w:cs="Arial"/>
          <w:b/>
          <w:bCs/>
          <w:sz w:val="24"/>
          <w:szCs w:val="24"/>
        </w:rPr>
        <w:t xml:space="preserve"> </w:t>
      </w:r>
      <w:r w:rsidRPr="005E2458">
        <w:rPr>
          <w:rFonts w:ascii="Arial" w:hAnsi="Arial" w:cs="Arial"/>
          <w:bCs/>
          <w:sz w:val="24"/>
          <w:szCs w:val="24"/>
        </w:rPr>
        <w:t>Labour Law –</w:t>
      </w:r>
      <w:r w:rsidR="006D20E0">
        <w:rPr>
          <w:rFonts w:ascii="Arial" w:hAnsi="Arial" w:cs="Arial"/>
          <w:bCs/>
          <w:sz w:val="24"/>
          <w:szCs w:val="24"/>
        </w:rPr>
        <w:t xml:space="preserve"> </w:t>
      </w:r>
      <w:r w:rsidRPr="005E2458">
        <w:rPr>
          <w:rFonts w:ascii="Arial" w:hAnsi="Arial" w:cs="Arial"/>
          <w:bCs/>
          <w:sz w:val="24"/>
          <w:szCs w:val="24"/>
        </w:rPr>
        <w:t>Appeal</w:t>
      </w:r>
      <w:r>
        <w:rPr>
          <w:rFonts w:ascii="Arial" w:hAnsi="Arial" w:cs="Arial"/>
          <w:b/>
          <w:bCs/>
          <w:sz w:val="24"/>
          <w:szCs w:val="24"/>
        </w:rPr>
        <w:t xml:space="preserve"> </w:t>
      </w:r>
      <w:r>
        <w:rPr>
          <w:rFonts w:ascii="Arial" w:hAnsi="Arial" w:cs="Arial"/>
          <w:bCs/>
          <w:sz w:val="24"/>
          <w:szCs w:val="24"/>
        </w:rPr>
        <w:t xml:space="preserve">against </w:t>
      </w:r>
      <w:r w:rsidR="006D20E0">
        <w:rPr>
          <w:rFonts w:ascii="Arial" w:hAnsi="Arial" w:cs="Arial"/>
          <w:bCs/>
          <w:sz w:val="24"/>
          <w:szCs w:val="24"/>
        </w:rPr>
        <w:t xml:space="preserve">arbitrator award – Arbitrator </w:t>
      </w:r>
      <w:r w:rsidR="00FF06D8">
        <w:rPr>
          <w:rFonts w:ascii="Arial" w:hAnsi="Arial" w:cs="Arial"/>
          <w:bCs/>
          <w:sz w:val="24"/>
          <w:szCs w:val="24"/>
          <w:lang w:val="en-ZA"/>
        </w:rPr>
        <w:t>erred in law in not granting the declarations sought by the applicant</w:t>
      </w:r>
      <w:r w:rsidR="002F4D41">
        <w:rPr>
          <w:rFonts w:ascii="Arial" w:hAnsi="Arial" w:cs="Arial"/>
          <w:bCs/>
          <w:sz w:val="24"/>
          <w:szCs w:val="24"/>
          <w:lang w:val="en-ZA"/>
        </w:rPr>
        <w:t xml:space="preserve">. </w:t>
      </w:r>
      <w:r w:rsidR="009548ED">
        <w:rPr>
          <w:rFonts w:ascii="Arial" w:hAnsi="Arial" w:cs="Arial"/>
          <w:bCs/>
          <w:sz w:val="24"/>
          <w:szCs w:val="24"/>
          <w:lang w:val="en-ZA"/>
        </w:rPr>
        <w:t>App</w:t>
      </w:r>
      <w:r w:rsidR="00523395" w:rsidRPr="00AB3423">
        <w:rPr>
          <w:rFonts w:ascii="Arial" w:hAnsi="Arial" w:cs="Arial"/>
          <w:bCs/>
          <w:sz w:val="24"/>
          <w:szCs w:val="24"/>
          <w:lang w:val="en-ZA"/>
        </w:rPr>
        <w:t xml:space="preserve">lication to </w:t>
      </w:r>
      <w:r w:rsidR="009548ED">
        <w:rPr>
          <w:rFonts w:ascii="Arial" w:hAnsi="Arial" w:cs="Arial"/>
          <w:bCs/>
          <w:sz w:val="24"/>
          <w:szCs w:val="24"/>
          <w:lang w:val="en-ZA"/>
        </w:rPr>
        <w:t>appeal</w:t>
      </w:r>
      <w:r w:rsidR="00523395" w:rsidRPr="00AB3423">
        <w:rPr>
          <w:rFonts w:ascii="Arial" w:hAnsi="Arial" w:cs="Arial"/>
          <w:bCs/>
          <w:sz w:val="24"/>
          <w:szCs w:val="24"/>
          <w:lang w:val="en-ZA"/>
        </w:rPr>
        <w:t xml:space="preserve"> and set aside an arbitrator’s decision </w:t>
      </w:r>
      <w:r w:rsidR="00594375">
        <w:rPr>
          <w:rFonts w:ascii="Arial" w:hAnsi="Arial" w:cs="Arial"/>
          <w:bCs/>
          <w:sz w:val="24"/>
          <w:szCs w:val="24"/>
          <w:lang w:val="en-ZA"/>
        </w:rPr>
        <w:t xml:space="preserve">not </w:t>
      </w:r>
      <w:r w:rsidR="00523395" w:rsidRPr="00AB3423">
        <w:rPr>
          <w:rFonts w:ascii="Arial" w:hAnsi="Arial" w:cs="Arial"/>
          <w:bCs/>
          <w:sz w:val="24"/>
          <w:szCs w:val="24"/>
          <w:lang w:val="en-ZA"/>
        </w:rPr>
        <w:t xml:space="preserve">to </w:t>
      </w:r>
      <w:r w:rsidR="00B858D5">
        <w:rPr>
          <w:rFonts w:ascii="Arial" w:hAnsi="Arial" w:cs="Arial"/>
          <w:bCs/>
          <w:sz w:val="24"/>
          <w:szCs w:val="24"/>
          <w:lang w:val="en-ZA"/>
        </w:rPr>
        <w:t xml:space="preserve">grant the applicants the relief sought, which is, to declare that the industrial action of lockout deployed by the respondent against the applicant </w:t>
      </w:r>
      <w:r w:rsidR="00D16E93">
        <w:rPr>
          <w:rFonts w:ascii="Arial" w:hAnsi="Arial" w:cs="Arial"/>
          <w:bCs/>
          <w:sz w:val="24"/>
          <w:szCs w:val="24"/>
          <w:lang w:val="en-ZA"/>
        </w:rPr>
        <w:t>was unlawful, null and void</w:t>
      </w:r>
      <w:r w:rsidR="00313DE6">
        <w:rPr>
          <w:rFonts w:ascii="Arial" w:hAnsi="Arial" w:cs="Arial"/>
          <w:bCs/>
          <w:sz w:val="24"/>
          <w:szCs w:val="24"/>
          <w:lang w:val="en-ZA"/>
        </w:rPr>
        <w:t xml:space="preserve">. </w:t>
      </w:r>
      <w:r w:rsidR="00D16E93">
        <w:rPr>
          <w:rFonts w:ascii="Arial" w:hAnsi="Arial" w:cs="Arial"/>
          <w:bCs/>
          <w:sz w:val="24"/>
          <w:szCs w:val="24"/>
          <w:lang w:val="en-ZA"/>
        </w:rPr>
        <w:t>Failure by arbitrator to declare that the industrial action of lockout is not available to the respondent when the lockout is intended to be deployed</w:t>
      </w:r>
      <w:r w:rsidR="00313DE6">
        <w:rPr>
          <w:rFonts w:ascii="Arial" w:hAnsi="Arial" w:cs="Arial"/>
          <w:bCs/>
          <w:sz w:val="24"/>
          <w:szCs w:val="24"/>
          <w:lang w:val="en-ZA"/>
        </w:rPr>
        <w:t xml:space="preserve"> against an individual employee – Failure to declare that, the provisions of section 34 of the Labour Act, 2007 were applicable and the first respondent was bound to comply with those provisions. </w:t>
      </w:r>
      <w:r w:rsidR="00FE68CA">
        <w:rPr>
          <w:rFonts w:ascii="Arial" w:hAnsi="Arial" w:cs="Arial"/>
          <w:bCs/>
          <w:sz w:val="24"/>
          <w:szCs w:val="24"/>
          <w:lang w:val="en-ZA"/>
        </w:rPr>
        <w:t xml:space="preserve">Failure to grant an award for costs. </w:t>
      </w:r>
      <w:r w:rsidR="000F61D7">
        <w:rPr>
          <w:rFonts w:ascii="Arial" w:hAnsi="Arial" w:cs="Arial"/>
          <w:bCs/>
          <w:sz w:val="24"/>
          <w:szCs w:val="24"/>
          <w:lang w:val="en-ZA"/>
        </w:rPr>
        <w:t>A cross appeal was filed by the appellant</w:t>
      </w:r>
      <w:r w:rsidR="009539DC">
        <w:rPr>
          <w:rFonts w:ascii="Arial" w:hAnsi="Arial" w:cs="Arial"/>
          <w:bCs/>
          <w:sz w:val="24"/>
          <w:szCs w:val="24"/>
          <w:lang w:val="en-ZA"/>
        </w:rPr>
        <w:t>.</w:t>
      </w:r>
    </w:p>
    <w:p w14:paraId="473DE810" w14:textId="77777777" w:rsidR="00523395" w:rsidRPr="00C24C6E" w:rsidRDefault="00D63150" w:rsidP="00523395">
      <w:pPr>
        <w:spacing w:after="0" w:line="360" w:lineRule="auto"/>
        <w:jc w:val="both"/>
        <w:rPr>
          <w:rFonts w:ascii="Arial" w:hAnsi="Arial" w:cs="Arial"/>
          <w:bCs/>
          <w:sz w:val="24"/>
          <w:szCs w:val="24"/>
        </w:rPr>
      </w:pPr>
      <w:r>
        <w:rPr>
          <w:rFonts w:ascii="Arial" w:hAnsi="Arial" w:cs="Arial"/>
          <w:bCs/>
          <w:noProof/>
          <w:sz w:val="24"/>
          <w:szCs w:val="24"/>
        </w:rPr>
        <w:pict w14:anchorId="02D1A282">
          <v:rect id="_x0000_i1025" alt="" style="width:451pt;height:.05pt;mso-width-percent:0;mso-height-percent:0;mso-width-percent:0;mso-height-percent:0" o:hralign="center" o:hrstd="t" o:hr="t" fillcolor="#a0a0a0" stroked="f"/>
        </w:pict>
      </w:r>
    </w:p>
    <w:p w14:paraId="2CFC9BCF" w14:textId="77777777" w:rsidR="00523395" w:rsidRPr="00C24C6E" w:rsidRDefault="00523395" w:rsidP="00523395">
      <w:pPr>
        <w:spacing w:after="0" w:line="360" w:lineRule="auto"/>
        <w:jc w:val="center"/>
        <w:rPr>
          <w:rFonts w:ascii="Arial" w:hAnsi="Arial" w:cs="Arial"/>
          <w:b/>
          <w:bCs/>
          <w:sz w:val="24"/>
          <w:szCs w:val="24"/>
        </w:rPr>
      </w:pPr>
      <w:r w:rsidRPr="00C24C6E">
        <w:rPr>
          <w:rFonts w:ascii="Arial" w:hAnsi="Arial" w:cs="Arial"/>
          <w:b/>
          <w:bCs/>
          <w:sz w:val="24"/>
          <w:szCs w:val="24"/>
        </w:rPr>
        <w:t>ORDER</w:t>
      </w:r>
    </w:p>
    <w:p w14:paraId="71F2208C" w14:textId="77777777" w:rsidR="00523395" w:rsidRPr="00C24C6E" w:rsidRDefault="00D63150" w:rsidP="00523395">
      <w:pPr>
        <w:spacing w:after="0" w:line="360" w:lineRule="auto"/>
        <w:jc w:val="center"/>
        <w:rPr>
          <w:rFonts w:ascii="Arial" w:hAnsi="Arial" w:cs="Arial"/>
          <w:b/>
          <w:bCs/>
          <w:sz w:val="24"/>
          <w:szCs w:val="24"/>
        </w:rPr>
      </w:pPr>
      <w:r>
        <w:rPr>
          <w:rFonts w:ascii="Arial" w:hAnsi="Arial" w:cs="Arial"/>
          <w:bCs/>
          <w:noProof/>
          <w:sz w:val="24"/>
          <w:szCs w:val="24"/>
        </w:rPr>
        <w:pict w14:anchorId="2DA1AF5C">
          <v:rect id="_x0000_i1026" alt="" style="width:451pt;height:.05pt;mso-width-percent:0;mso-height-percent:0;mso-width-percent:0;mso-height-percent:0" o:hralign="center" o:hrstd="t" o:hr="t" fillcolor="#a0a0a0" stroked="f"/>
        </w:pict>
      </w:r>
    </w:p>
    <w:p w14:paraId="70D79E95" w14:textId="77777777" w:rsidR="00523395" w:rsidRDefault="00523395" w:rsidP="00523395">
      <w:pPr>
        <w:tabs>
          <w:tab w:val="left" w:pos="450"/>
          <w:tab w:val="left" w:pos="1260"/>
        </w:tabs>
        <w:spacing w:after="0" w:line="360" w:lineRule="auto"/>
        <w:jc w:val="both"/>
        <w:rPr>
          <w:rFonts w:ascii="Arial" w:hAnsi="Arial" w:cs="Arial"/>
          <w:sz w:val="24"/>
          <w:szCs w:val="24"/>
        </w:rPr>
      </w:pPr>
    </w:p>
    <w:p w14:paraId="26A58043" w14:textId="77777777" w:rsidR="0021328B" w:rsidRPr="00AD7EAD" w:rsidRDefault="0021328B" w:rsidP="0021328B">
      <w:pPr>
        <w:pStyle w:val="ListParagraph"/>
        <w:numPr>
          <w:ilvl w:val="0"/>
          <w:numId w:val="4"/>
        </w:numPr>
        <w:spacing w:after="0" w:line="360" w:lineRule="auto"/>
        <w:jc w:val="both"/>
        <w:rPr>
          <w:rFonts w:ascii="Arial" w:hAnsi="Arial" w:cs="Arial"/>
          <w:sz w:val="24"/>
        </w:rPr>
      </w:pPr>
      <w:r w:rsidRPr="00AD7EAD">
        <w:rPr>
          <w:rFonts w:ascii="Arial" w:hAnsi="Arial" w:cs="Arial"/>
          <w:sz w:val="24"/>
        </w:rPr>
        <w:t>The appellant’s application for condonation is granted as prayed.</w:t>
      </w:r>
    </w:p>
    <w:p w14:paraId="363646BC" w14:textId="77777777" w:rsidR="0021328B" w:rsidRPr="00AD7EAD" w:rsidRDefault="0021328B" w:rsidP="0021328B">
      <w:pPr>
        <w:pStyle w:val="ListParagraph"/>
        <w:numPr>
          <w:ilvl w:val="0"/>
          <w:numId w:val="4"/>
        </w:numPr>
        <w:spacing w:after="0" w:line="360" w:lineRule="auto"/>
        <w:jc w:val="both"/>
        <w:rPr>
          <w:rFonts w:ascii="Arial" w:hAnsi="Arial" w:cs="Arial"/>
          <w:sz w:val="24"/>
        </w:rPr>
      </w:pPr>
      <w:r w:rsidRPr="00AD7EAD">
        <w:rPr>
          <w:rFonts w:ascii="Arial" w:hAnsi="Arial" w:cs="Arial"/>
          <w:sz w:val="24"/>
        </w:rPr>
        <w:t xml:space="preserve">The </w:t>
      </w:r>
      <w:r>
        <w:rPr>
          <w:rFonts w:ascii="Arial" w:hAnsi="Arial" w:cs="Arial"/>
          <w:sz w:val="24"/>
        </w:rPr>
        <w:t>appellant’s</w:t>
      </w:r>
      <w:r w:rsidRPr="00AD7EAD">
        <w:rPr>
          <w:rFonts w:ascii="Arial" w:hAnsi="Arial" w:cs="Arial"/>
          <w:sz w:val="24"/>
        </w:rPr>
        <w:t xml:space="preserve"> appeal is upheld</w:t>
      </w:r>
      <w:r w:rsidRPr="00AD7EAD">
        <w:rPr>
          <w:rFonts w:ascii="Arial" w:hAnsi="Arial" w:cs="Arial"/>
          <w:sz w:val="24"/>
          <w:szCs w:val="24"/>
        </w:rPr>
        <w:t>.</w:t>
      </w:r>
    </w:p>
    <w:p w14:paraId="5B445D35" w14:textId="77777777" w:rsidR="0021328B" w:rsidRDefault="0021328B" w:rsidP="0021328B">
      <w:pPr>
        <w:spacing w:after="0" w:line="360" w:lineRule="auto"/>
        <w:ind w:left="426"/>
        <w:jc w:val="both"/>
        <w:rPr>
          <w:rFonts w:ascii="Arial" w:hAnsi="Arial" w:cs="Arial"/>
          <w:sz w:val="24"/>
          <w:szCs w:val="24"/>
        </w:rPr>
      </w:pPr>
      <w:r>
        <w:rPr>
          <w:rFonts w:ascii="Arial" w:hAnsi="Arial" w:cs="Arial"/>
          <w:sz w:val="24"/>
        </w:rPr>
        <w:t>3. There is no order as to costs</w:t>
      </w:r>
      <w:r>
        <w:rPr>
          <w:rFonts w:ascii="Arial" w:hAnsi="Arial" w:cs="Arial"/>
          <w:sz w:val="24"/>
          <w:szCs w:val="24"/>
        </w:rPr>
        <w:t>.</w:t>
      </w:r>
    </w:p>
    <w:p w14:paraId="68B89BF5" w14:textId="77777777" w:rsidR="0021328B" w:rsidRDefault="0021328B" w:rsidP="0021328B">
      <w:pPr>
        <w:spacing w:after="0" w:line="360" w:lineRule="auto"/>
        <w:jc w:val="both"/>
        <w:rPr>
          <w:rFonts w:ascii="Arial" w:hAnsi="Arial" w:cs="Arial"/>
          <w:sz w:val="24"/>
          <w:szCs w:val="24"/>
        </w:rPr>
      </w:pPr>
    </w:p>
    <w:p w14:paraId="0D4400D1" w14:textId="6A27CECE" w:rsidR="0021328B" w:rsidRPr="005C0014" w:rsidRDefault="0021328B" w:rsidP="0021328B">
      <w:pPr>
        <w:spacing w:after="0" w:line="360" w:lineRule="auto"/>
        <w:jc w:val="both"/>
        <w:rPr>
          <w:rFonts w:ascii="Arial" w:hAnsi="Arial" w:cs="Arial"/>
          <w:sz w:val="24"/>
          <w:szCs w:val="24"/>
        </w:rPr>
      </w:pPr>
      <w:r>
        <w:rPr>
          <w:rFonts w:ascii="Arial" w:hAnsi="Arial" w:cs="Arial"/>
          <w:sz w:val="24"/>
          <w:szCs w:val="24"/>
          <w:lang w:val="en-ZA"/>
        </w:rPr>
        <w:lastRenderedPageBreak/>
        <w:t xml:space="preserve">  I make the following order on the cross-appeal:</w:t>
      </w:r>
    </w:p>
    <w:p w14:paraId="04DFFA3E" w14:textId="77777777" w:rsidR="0021328B" w:rsidRDefault="0021328B" w:rsidP="0021328B">
      <w:pPr>
        <w:spacing w:after="0" w:line="360" w:lineRule="auto"/>
        <w:jc w:val="both"/>
        <w:rPr>
          <w:rFonts w:ascii="Arial" w:hAnsi="Arial" w:cs="Arial"/>
          <w:sz w:val="24"/>
          <w:szCs w:val="24"/>
        </w:rPr>
      </w:pPr>
      <w:r>
        <w:rPr>
          <w:rFonts w:ascii="Arial" w:hAnsi="Arial" w:cs="Arial"/>
          <w:sz w:val="24"/>
        </w:rPr>
        <w:tab/>
        <w:t xml:space="preserve">1. </w:t>
      </w:r>
      <w:r w:rsidRPr="00B05295">
        <w:rPr>
          <w:rFonts w:ascii="Arial" w:hAnsi="Arial" w:cs="Arial"/>
          <w:sz w:val="24"/>
        </w:rPr>
        <w:t xml:space="preserve">The </w:t>
      </w:r>
      <w:r>
        <w:rPr>
          <w:rFonts w:ascii="Arial" w:hAnsi="Arial" w:cs="Arial"/>
          <w:sz w:val="24"/>
        </w:rPr>
        <w:t>cross-appeal is dismissed</w:t>
      </w:r>
      <w:r>
        <w:rPr>
          <w:rFonts w:ascii="Arial" w:hAnsi="Arial" w:cs="Arial"/>
          <w:sz w:val="24"/>
          <w:szCs w:val="24"/>
        </w:rPr>
        <w:t>.</w:t>
      </w:r>
    </w:p>
    <w:p w14:paraId="1F8FC55D" w14:textId="77777777" w:rsidR="0021328B" w:rsidRDefault="0021328B" w:rsidP="0021328B">
      <w:pPr>
        <w:spacing w:after="0" w:line="360" w:lineRule="auto"/>
        <w:jc w:val="both"/>
        <w:rPr>
          <w:rFonts w:ascii="Arial" w:hAnsi="Arial" w:cs="Arial"/>
          <w:sz w:val="24"/>
        </w:rPr>
      </w:pPr>
      <w:r>
        <w:rPr>
          <w:rFonts w:ascii="Arial" w:hAnsi="Arial" w:cs="Arial"/>
          <w:sz w:val="24"/>
        </w:rPr>
        <w:tab/>
        <w:t>2. There is no order as to costs.</w:t>
      </w:r>
    </w:p>
    <w:p w14:paraId="119D21E4" w14:textId="77777777" w:rsidR="004D6974" w:rsidRDefault="004D6974" w:rsidP="0021328B">
      <w:pPr>
        <w:spacing w:after="0" w:line="360" w:lineRule="auto"/>
        <w:jc w:val="both"/>
        <w:rPr>
          <w:rFonts w:ascii="Arial" w:hAnsi="Arial" w:cs="Arial"/>
          <w:sz w:val="24"/>
          <w:szCs w:val="24"/>
        </w:rPr>
      </w:pPr>
    </w:p>
    <w:p w14:paraId="44A39495" w14:textId="2727383F" w:rsidR="00523395" w:rsidRPr="0011223C" w:rsidRDefault="00523395" w:rsidP="0021328B">
      <w:pPr>
        <w:pBdr>
          <w:top w:val="single" w:sz="4" w:space="1" w:color="auto"/>
        </w:pBdr>
        <w:spacing w:after="0" w:line="360" w:lineRule="auto"/>
        <w:jc w:val="both"/>
        <w:rPr>
          <w:rFonts w:ascii="Arial" w:hAnsi="Arial" w:cs="Arial"/>
          <w:bCs/>
          <w:sz w:val="24"/>
          <w:szCs w:val="24"/>
        </w:rPr>
      </w:pPr>
    </w:p>
    <w:p w14:paraId="5287E202" w14:textId="77777777" w:rsidR="00523395" w:rsidRPr="0011223C" w:rsidRDefault="00523395" w:rsidP="0021328B">
      <w:pPr>
        <w:spacing w:after="0" w:line="240" w:lineRule="auto"/>
        <w:jc w:val="center"/>
        <w:rPr>
          <w:rFonts w:ascii="Arial" w:hAnsi="Arial" w:cs="Arial"/>
          <w:b/>
          <w:sz w:val="24"/>
          <w:szCs w:val="24"/>
        </w:rPr>
      </w:pPr>
      <w:r w:rsidRPr="0011223C">
        <w:rPr>
          <w:rFonts w:ascii="Arial" w:hAnsi="Arial" w:cs="Arial"/>
          <w:b/>
          <w:sz w:val="24"/>
          <w:szCs w:val="24"/>
        </w:rPr>
        <w:t>JUDGMENT</w:t>
      </w:r>
    </w:p>
    <w:p w14:paraId="1FA785E2" w14:textId="6B751D21" w:rsidR="00523395" w:rsidRPr="005E6F69" w:rsidRDefault="00523395" w:rsidP="0021328B">
      <w:pPr>
        <w:pBdr>
          <w:bottom w:val="single" w:sz="4" w:space="1" w:color="auto"/>
        </w:pBdr>
        <w:spacing w:after="0" w:line="240" w:lineRule="auto"/>
        <w:jc w:val="center"/>
        <w:rPr>
          <w:rFonts w:ascii="Arial" w:hAnsi="Arial" w:cs="Arial"/>
          <w:b/>
          <w:sz w:val="24"/>
          <w:szCs w:val="24"/>
        </w:rPr>
      </w:pPr>
    </w:p>
    <w:p w14:paraId="52109131" w14:textId="77777777" w:rsidR="0021328B" w:rsidRDefault="0021328B" w:rsidP="00523395">
      <w:pPr>
        <w:spacing w:after="0" w:line="360" w:lineRule="auto"/>
        <w:ind w:left="1440" w:hanging="1440"/>
        <w:jc w:val="both"/>
        <w:rPr>
          <w:rFonts w:ascii="Arial" w:hAnsi="Arial" w:cs="Arial"/>
          <w:sz w:val="24"/>
          <w:szCs w:val="24"/>
        </w:rPr>
      </w:pPr>
    </w:p>
    <w:p w14:paraId="78C7FA40" w14:textId="08D78625" w:rsidR="00523395" w:rsidRPr="0011223C" w:rsidRDefault="00EA0A20" w:rsidP="00523395">
      <w:pPr>
        <w:spacing w:after="0" w:line="360" w:lineRule="auto"/>
        <w:ind w:left="1440" w:hanging="1440"/>
        <w:jc w:val="both"/>
        <w:rPr>
          <w:rFonts w:ascii="Arial" w:hAnsi="Arial" w:cs="Arial"/>
          <w:b/>
          <w:i/>
          <w:sz w:val="24"/>
          <w:szCs w:val="24"/>
        </w:rPr>
      </w:pPr>
      <w:r>
        <w:rPr>
          <w:rFonts w:ascii="Arial" w:hAnsi="Arial" w:cs="Arial"/>
          <w:sz w:val="24"/>
          <w:szCs w:val="24"/>
        </w:rPr>
        <w:t>MASUKU J</w:t>
      </w:r>
      <w:r w:rsidR="00523395" w:rsidRPr="0011223C">
        <w:rPr>
          <w:rFonts w:ascii="Arial" w:hAnsi="Arial" w:cs="Arial"/>
          <w:sz w:val="24"/>
          <w:szCs w:val="24"/>
        </w:rPr>
        <w:t>:</w:t>
      </w:r>
    </w:p>
    <w:p w14:paraId="2AD87092" w14:textId="77777777" w:rsidR="00523395" w:rsidRDefault="00523395" w:rsidP="00523395">
      <w:pPr>
        <w:spacing w:after="0" w:line="360" w:lineRule="auto"/>
        <w:rPr>
          <w:rFonts w:ascii="Arial" w:hAnsi="Arial" w:cs="Arial"/>
          <w:sz w:val="24"/>
          <w:szCs w:val="24"/>
        </w:rPr>
      </w:pPr>
    </w:p>
    <w:p w14:paraId="4C636CAD" w14:textId="44DA5947" w:rsidR="00523395" w:rsidRPr="009E5323" w:rsidRDefault="00523395" w:rsidP="00523395">
      <w:pPr>
        <w:spacing w:after="0" w:line="360" w:lineRule="auto"/>
        <w:jc w:val="both"/>
        <w:rPr>
          <w:rFonts w:ascii="Arial" w:eastAsia="Arial" w:hAnsi="Arial" w:cs="Arial"/>
          <w:color w:val="000000"/>
          <w:sz w:val="24"/>
          <w:szCs w:val="24"/>
          <w:u w:val="single"/>
          <w:lang w:eastAsia="en-ZA"/>
        </w:rPr>
      </w:pPr>
      <w:r>
        <w:rPr>
          <w:rFonts w:ascii="Arial" w:eastAsia="Arial" w:hAnsi="Arial" w:cs="Arial"/>
          <w:color w:val="000000"/>
          <w:sz w:val="24"/>
          <w:szCs w:val="24"/>
          <w:u w:val="single"/>
          <w:lang w:eastAsia="en-ZA"/>
        </w:rPr>
        <w:t>Introduction</w:t>
      </w:r>
      <w:r w:rsidR="00751F43">
        <w:rPr>
          <w:rFonts w:ascii="Arial" w:eastAsia="Arial" w:hAnsi="Arial" w:cs="Arial"/>
          <w:color w:val="000000"/>
          <w:sz w:val="24"/>
          <w:szCs w:val="24"/>
          <w:u w:val="single"/>
          <w:lang w:eastAsia="en-ZA"/>
        </w:rPr>
        <w:t xml:space="preserve"> and background</w:t>
      </w:r>
      <w:r>
        <w:rPr>
          <w:rFonts w:ascii="Arial" w:eastAsia="Arial" w:hAnsi="Arial" w:cs="Arial"/>
          <w:color w:val="000000"/>
          <w:sz w:val="24"/>
          <w:szCs w:val="24"/>
          <w:u w:val="single"/>
          <w:lang w:eastAsia="en-ZA"/>
        </w:rPr>
        <w:t>:</w:t>
      </w:r>
    </w:p>
    <w:p w14:paraId="1D4D084F" w14:textId="77777777" w:rsidR="00523395" w:rsidRDefault="00523395" w:rsidP="00523395">
      <w:pPr>
        <w:spacing w:after="0" w:line="360" w:lineRule="auto"/>
        <w:rPr>
          <w:rFonts w:ascii="Arial" w:hAnsi="Arial" w:cs="Arial"/>
          <w:sz w:val="24"/>
          <w:szCs w:val="24"/>
        </w:rPr>
      </w:pPr>
    </w:p>
    <w:p w14:paraId="57C97B2C" w14:textId="6BF9DA59" w:rsidR="00EA4CB9" w:rsidRPr="00EA4CB9" w:rsidRDefault="00B2676D" w:rsidP="00A26B72">
      <w:pPr>
        <w:spacing w:after="0" w:line="360" w:lineRule="auto"/>
        <w:jc w:val="both"/>
        <w:rPr>
          <w:rFonts w:ascii="Arial" w:eastAsia="Times New Roman" w:hAnsi="Arial" w:cs="Arial"/>
          <w:color w:val="000000"/>
          <w:sz w:val="24"/>
          <w:szCs w:val="24"/>
        </w:rPr>
      </w:pPr>
      <w:r w:rsidRPr="00EA4CB9">
        <w:rPr>
          <w:rFonts w:ascii="Arial" w:hAnsi="Arial" w:cs="Arial"/>
          <w:sz w:val="24"/>
          <w:szCs w:val="24"/>
        </w:rPr>
        <w:t>[1]</w:t>
      </w:r>
      <w:r w:rsidR="00053133">
        <w:rPr>
          <w:rFonts w:ascii="Arial" w:hAnsi="Arial" w:cs="Arial"/>
          <w:sz w:val="24"/>
          <w:szCs w:val="24"/>
        </w:rPr>
        <w:tab/>
      </w:r>
      <w:r w:rsidR="00B90F25" w:rsidRPr="00EA4CB9">
        <w:rPr>
          <w:rFonts w:ascii="Arial" w:eastAsia="Times New Roman" w:hAnsi="Arial" w:cs="Arial"/>
          <w:color w:val="000000"/>
          <w:sz w:val="24"/>
          <w:szCs w:val="24"/>
        </w:rPr>
        <w:t>In this matter there is an appeal and a cross-appeal</w:t>
      </w:r>
      <w:r w:rsidR="00EA4CB9" w:rsidRPr="00EA4CB9">
        <w:rPr>
          <w:rFonts w:ascii="Arial" w:eastAsia="Times New Roman" w:hAnsi="Arial" w:cs="Arial"/>
          <w:color w:val="000000"/>
          <w:sz w:val="24"/>
          <w:szCs w:val="24"/>
        </w:rPr>
        <w:t xml:space="preserve">. </w:t>
      </w:r>
      <w:r w:rsidR="000B2BE1">
        <w:rPr>
          <w:rFonts w:ascii="Arial" w:eastAsia="Times New Roman" w:hAnsi="Arial" w:cs="Arial"/>
          <w:color w:val="000000"/>
          <w:sz w:val="24"/>
          <w:szCs w:val="24"/>
        </w:rPr>
        <w:t>The</w:t>
      </w:r>
      <w:r w:rsidR="001E3828">
        <w:rPr>
          <w:rFonts w:ascii="Arial" w:eastAsia="Times New Roman" w:hAnsi="Arial" w:cs="Arial"/>
          <w:color w:val="000000"/>
          <w:sz w:val="24"/>
          <w:szCs w:val="24"/>
        </w:rPr>
        <w:t xml:space="preserve"> </w:t>
      </w:r>
      <w:r w:rsidR="00C2639F">
        <w:rPr>
          <w:rFonts w:ascii="Arial" w:eastAsia="Times New Roman" w:hAnsi="Arial" w:cs="Arial"/>
          <w:color w:val="000000"/>
          <w:sz w:val="24"/>
          <w:szCs w:val="24"/>
        </w:rPr>
        <w:t>appeal by</w:t>
      </w:r>
      <w:r w:rsidR="007106CB">
        <w:rPr>
          <w:rFonts w:ascii="Arial" w:eastAsia="Times New Roman" w:hAnsi="Arial" w:cs="Arial"/>
          <w:color w:val="000000"/>
          <w:sz w:val="24"/>
          <w:szCs w:val="24"/>
        </w:rPr>
        <w:t xml:space="preserve"> </w:t>
      </w:r>
      <w:r w:rsidR="00053133">
        <w:rPr>
          <w:rFonts w:ascii="Arial" w:eastAsia="Times New Roman" w:hAnsi="Arial" w:cs="Arial"/>
          <w:color w:val="000000"/>
          <w:sz w:val="24"/>
          <w:szCs w:val="24"/>
        </w:rPr>
        <w:t>the appella</w:t>
      </w:r>
      <w:r w:rsidR="00EC1D2B">
        <w:rPr>
          <w:rFonts w:ascii="Arial" w:eastAsia="Times New Roman" w:hAnsi="Arial" w:cs="Arial"/>
          <w:color w:val="000000"/>
          <w:sz w:val="24"/>
          <w:szCs w:val="24"/>
        </w:rPr>
        <w:t>nt</w:t>
      </w:r>
      <w:r w:rsidR="001E3828">
        <w:rPr>
          <w:rFonts w:ascii="Arial" w:eastAsia="Times New Roman" w:hAnsi="Arial" w:cs="Arial"/>
          <w:color w:val="000000"/>
          <w:sz w:val="24"/>
          <w:szCs w:val="24"/>
        </w:rPr>
        <w:t xml:space="preserve"> </w:t>
      </w:r>
      <w:r w:rsidR="00A26B72">
        <w:rPr>
          <w:rFonts w:ascii="Arial" w:eastAsia="Times New Roman" w:hAnsi="Arial" w:cs="Arial"/>
          <w:color w:val="000000"/>
          <w:sz w:val="24"/>
          <w:szCs w:val="24"/>
        </w:rPr>
        <w:t xml:space="preserve">is against certain parts of the arbitration award including orders issued by the </w:t>
      </w:r>
      <w:r w:rsidR="00053133">
        <w:rPr>
          <w:rFonts w:ascii="Arial" w:eastAsia="Times New Roman" w:hAnsi="Arial" w:cs="Arial"/>
          <w:color w:val="000000"/>
          <w:sz w:val="24"/>
          <w:szCs w:val="24"/>
        </w:rPr>
        <w:t xml:space="preserve">Arbitrator, the </w:t>
      </w:r>
      <w:r w:rsidR="00A26B72">
        <w:rPr>
          <w:rFonts w:ascii="Arial" w:eastAsia="Times New Roman" w:hAnsi="Arial" w:cs="Arial"/>
          <w:color w:val="000000"/>
          <w:sz w:val="24"/>
          <w:szCs w:val="24"/>
        </w:rPr>
        <w:t>2</w:t>
      </w:r>
      <w:r w:rsidR="00A26B72" w:rsidRPr="00A26B72">
        <w:rPr>
          <w:rFonts w:ascii="Arial" w:eastAsia="Times New Roman" w:hAnsi="Arial" w:cs="Arial"/>
          <w:color w:val="000000"/>
          <w:sz w:val="24"/>
          <w:szCs w:val="24"/>
          <w:vertAlign w:val="superscript"/>
        </w:rPr>
        <w:t>nd</w:t>
      </w:r>
      <w:r w:rsidR="00A26B72">
        <w:rPr>
          <w:rFonts w:ascii="Arial" w:eastAsia="Times New Roman" w:hAnsi="Arial" w:cs="Arial"/>
          <w:color w:val="000000"/>
          <w:sz w:val="24"/>
          <w:szCs w:val="24"/>
        </w:rPr>
        <w:t xml:space="preserve"> respondent</w:t>
      </w:r>
      <w:r w:rsidR="00053133">
        <w:rPr>
          <w:rFonts w:ascii="Arial" w:eastAsia="Times New Roman" w:hAnsi="Arial" w:cs="Arial"/>
          <w:color w:val="000000"/>
          <w:sz w:val="24"/>
          <w:szCs w:val="24"/>
        </w:rPr>
        <w:t xml:space="preserve"> herein</w:t>
      </w:r>
      <w:r w:rsidR="00A26B72">
        <w:rPr>
          <w:rFonts w:ascii="Arial" w:eastAsia="Times New Roman" w:hAnsi="Arial" w:cs="Arial"/>
          <w:color w:val="000000"/>
          <w:sz w:val="24"/>
          <w:szCs w:val="24"/>
        </w:rPr>
        <w:t>, deliv</w:t>
      </w:r>
      <w:r w:rsidR="000B2BE1">
        <w:rPr>
          <w:rFonts w:ascii="Arial" w:eastAsia="Times New Roman" w:hAnsi="Arial" w:cs="Arial"/>
          <w:color w:val="000000"/>
          <w:sz w:val="24"/>
          <w:szCs w:val="24"/>
        </w:rPr>
        <w:t>ere</w:t>
      </w:r>
      <w:r w:rsidR="00053133">
        <w:rPr>
          <w:rFonts w:ascii="Arial" w:eastAsia="Times New Roman" w:hAnsi="Arial" w:cs="Arial"/>
          <w:color w:val="000000"/>
          <w:sz w:val="24"/>
          <w:szCs w:val="24"/>
        </w:rPr>
        <w:t>d on the 8 March 2017. The</w:t>
      </w:r>
      <w:r w:rsidR="00A26B72" w:rsidRPr="00EA4CB9">
        <w:rPr>
          <w:rFonts w:ascii="Arial" w:eastAsia="Times New Roman" w:hAnsi="Arial" w:cs="Arial"/>
          <w:color w:val="000000"/>
          <w:sz w:val="24"/>
          <w:szCs w:val="24"/>
        </w:rPr>
        <w:t xml:space="preserve"> cross-appeal </w:t>
      </w:r>
      <w:r w:rsidR="000B2BE1">
        <w:rPr>
          <w:rFonts w:ascii="Arial" w:eastAsia="Times New Roman" w:hAnsi="Arial" w:cs="Arial"/>
          <w:color w:val="000000"/>
          <w:sz w:val="24"/>
          <w:szCs w:val="24"/>
        </w:rPr>
        <w:t xml:space="preserve">is lodged </w:t>
      </w:r>
      <w:r w:rsidR="007106CB">
        <w:rPr>
          <w:rFonts w:ascii="Arial" w:eastAsia="Times New Roman" w:hAnsi="Arial" w:cs="Arial"/>
          <w:color w:val="000000"/>
          <w:sz w:val="24"/>
          <w:szCs w:val="24"/>
        </w:rPr>
        <w:t>by NAMWATER,</w:t>
      </w:r>
      <w:r w:rsidR="00EC1D2B">
        <w:rPr>
          <w:rFonts w:ascii="Arial" w:eastAsia="Times New Roman" w:hAnsi="Arial" w:cs="Arial"/>
          <w:color w:val="000000"/>
          <w:sz w:val="24"/>
          <w:szCs w:val="24"/>
        </w:rPr>
        <w:t xml:space="preserve"> </w:t>
      </w:r>
      <w:r w:rsidR="00C2639F">
        <w:rPr>
          <w:rFonts w:ascii="Arial" w:eastAsia="Times New Roman" w:hAnsi="Arial" w:cs="Arial"/>
          <w:color w:val="000000"/>
          <w:sz w:val="24"/>
          <w:szCs w:val="24"/>
        </w:rPr>
        <w:t xml:space="preserve">against the </w:t>
      </w:r>
      <w:r w:rsidR="00A11FB9">
        <w:rPr>
          <w:rFonts w:ascii="Arial" w:eastAsia="Times New Roman" w:hAnsi="Arial" w:cs="Arial"/>
          <w:color w:val="000000"/>
          <w:sz w:val="24"/>
          <w:szCs w:val="24"/>
        </w:rPr>
        <w:t xml:space="preserve">whole award </w:t>
      </w:r>
      <w:r w:rsidR="00A26B72">
        <w:rPr>
          <w:rFonts w:ascii="Arial" w:eastAsia="Times New Roman" w:hAnsi="Arial" w:cs="Arial"/>
          <w:color w:val="000000"/>
          <w:sz w:val="24"/>
          <w:szCs w:val="24"/>
        </w:rPr>
        <w:t xml:space="preserve">of the </w:t>
      </w:r>
      <w:r w:rsidR="00EA4CB9">
        <w:rPr>
          <w:rFonts w:ascii="Arial" w:eastAsia="Times New Roman" w:hAnsi="Arial" w:cs="Arial"/>
          <w:color w:val="000000"/>
          <w:sz w:val="24"/>
          <w:szCs w:val="24"/>
        </w:rPr>
        <w:t>Arbitrator</w:t>
      </w:r>
      <w:r w:rsidR="00EA4CB9" w:rsidRPr="00EA4CB9">
        <w:rPr>
          <w:rFonts w:ascii="Arial" w:eastAsia="Times New Roman" w:hAnsi="Arial" w:cs="Arial"/>
          <w:color w:val="000000"/>
          <w:sz w:val="24"/>
          <w:szCs w:val="24"/>
        </w:rPr>
        <w:t xml:space="preserve">. </w:t>
      </w:r>
    </w:p>
    <w:p w14:paraId="1B912B43" w14:textId="77777777" w:rsidR="004A385B" w:rsidRDefault="004A385B" w:rsidP="00523395">
      <w:pPr>
        <w:pStyle w:val="BodyText"/>
        <w:tabs>
          <w:tab w:val="left" w:pos="720"/>
          <w:tab w:val="left" w:pos="2268"/>
        </w:tabs>
        <w:spacing w:line="360" w:lineRule="auto"/>
        <w:jc w:val="both"/>
        <w:rPr>
          <w:rFonts w:ascii="Arial" w:hAnsi="Arial" w:cs="Arial"/>
        </w:rPr>
      </w:pPr>
    </w:p>
    <w:p w14:paraId="6462C219" w14:textId="639B95D9" w:rsidR="007A593E" w:rsidRPr="004B652C" w:rsidRDefault="00053133" w:rsidP="007A593E">
      <w:pPr>
        <w:pStyle w:val="BodyText"/>
        <w:tabs>
          <w:tab w:val="left" w:pos="720"/>
          <w:tab w:val="left" w:pos="2268"/>
        </w:tabs>
        <w:spacing w:line="360" w:lineRule="auto"/>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EC1D2B" w:rsidRPr="004B652C">
        <w:rPr>
          <w:rFonts w:ascii="Arial" w:hAnsi="Arial" w:cs="Arial"/>
          <w:color w:val="000000" w:themeColor="text1"/>
          <w:lang w:val="en-ZA"/>
        </w:rPr>
        <w:t>The parties to the</w:t>
      </w:r>
      <w:r w:rsidR="00CE52C9">
        <w:rPr>
          <w:rFonts w:ascii="Arial" w:hAnsi="Arial" w:cs="Arial"/>
          <w:color w:val="000000" w:themeColor="text1"/>
          <w:lang w:val="en-ZA"/>
        </w:rPr>
        <w:t>se proceedings are Dr. Kuiri</w:t>
      </w:r>
      <w:r w:rsidR="00EC1D2B" w:rsidRPr="004B652C">
        <w:rPr>
          <w:rFonts w:ascii="Arial" w:hAnsi="Arial" w:cs="Arial"/>
          <w:color w:val="000000" w:themeColor="text1"/>
          <w:lang w:val="en-ZA"/>
        </w:rPr>
        <w:t xml:space="preserve"> T</w:t>
      </w:r>
      <w:r w:rsidR="00CE52C9">
        <w:rPr>
          <w:rFonts w:ascii="Arial" w:hAnsi="Arial" w:cs="Arial"/>
          <w:color w:val="000000" w:themeColor="text1"/>
          <w:lang w:val="en-ZA"/>
        </w:rPr>
        <w:t>jipangandjara,</w:t>
      </w:r>
      <w:r w:rsidR="00074B1B">
        <w:rPr>
          <w:rFonts w:ascii="Arial" w:hAnsi="Arial" w:cs="Arial"/>
          <w:color w:val="000000" w:themeColor="text1"/>
          <w:lang w:val="en-ZA"/>
        </w:rPr>
        <w:t xml:space="preserve"> the appella</w:t>
      </w:r>
      <w:r w:rsidR="00EC1D2B" w:rsidRPr="004B652C">
        <w:rPr>
          <w:rFonts w:ascii="Arial" w:hAnsi="Arial" w:cs="Arial"/>
          <w:color w:val="000000" w:themeColor="text1"/>
          <w:lang w:val="en-ZA"/>
        </w:rPr>
        <w:t xml:space="preserve">nt in his capacity as the employee of the first respondent. The first respondent is </w:t>
      </w:r>
      <w:r w:rsidR="00CE52C9">
        <w:rPr>
          <w:rFonts w:ascii="Arial" w:hAnsi="Arial" w:cs="Arial"/>
          <w:color w:val="000000" w:themeColor="text1"/>
        </w:rPr>
        <w:t>Namibia Water Corporation Ltd, the app</w:t>
      </w:r>
      <w:r w:rsidR="00A67FEA">
        <w:rPr>
          <w:rFonts w:ascii="Arial" w:hAnsi="Arial" w:cs="Arial"/>
          <w:color w:val="000000" w:themeColor="text1"/>
        </w:rPr>
        <w:t>ell</w:t>
      </w:r>
      <w:r w:rsidR="00CE52C9">
        <w:rPr>
          <w:rFonts w:ascii="Arial" w:hAnsi="Arial" w:cs="Arial"/>
          <w:color w:val="000000" w:themeColor="text1"/>
        </w:rPr>
        <w:t>ant’s employer</w:t>
      </w:r>
      <w:r w:rsidR="00CE52C9">
        <w:rPr>
          <w:rFonts w:ascii="Arial" w:hAnsi="Arial" w:cs="Arial"/>
          <w:color w:val="000000" w:themeColor="text1"/>
          <w:lang w:val="en-ZA"/>
        </w:rPr>
        <w:t xml:space="preserve">. The </w:t>
      </w:r>
      <w:r w:rsidR="004D6974">
        <w:rPr>
          <w:rFonts w:ascii="Arial" w:hAnsi="Arial" w:cs="Arial"/>
          <w:color w:val="000000" w:themeColor="text1"/>
          <w:lang w:val="en-ZA"/>
        </w:rPr>
        <w:t>second respondent</w:t>
      </w:r>
      <w:r w:rsidR="00CE52C9">
        <w:rPr>
          <w:rFonts w:ascii="Arial" w:hAnsi="Arial" w:cs="Arial"/>
          <w:color w:val="000000" w:themeColor="text1"/>
          <w:lang w:val="en-ZA"/>
        </w:rPr>
        <w:t xml:space="preserve"> is Ms.</w:t>
      </w:r>
      <w:r w:rsidR="00EC1D2B" w:rsidRPr="004B652C">
        <w:rPr>
          <w:rFonts w:ascii="Arial" w:hAnsi="Arial" w:cs="Arial"/>
          <w:color w:val="000000" w:themeColor="text1"/>
          <w:lang w:val="en-ZA"/>
        </w:rPr>
        <w:t xml:space="preserve"> </w:t>
      </w:r>
      <w:r w:rsidR="00EC1D2B" w:rsidRPr="004B652C">
        <w:rPr>
          <w:rFonts w:ascii="Arial" w:hAnsi="Arial" w:cs="Arial"/>
          <w:color w:val="000000" w:themeColor="text1"/>
        </w:rPr>
        <w:t>K</w:t>
      </w:r>
      <w:r w:rsidR="00CE52C9">
        <w:rPr>
          <w:rFonts w:ascii="Arial" w:hAnsi="Arial" w:cs="Arial"/>
          <w:color w:val="000000" w:themeColor="text1"/>
        </w:rPr>
        <w:t>ylliki Sihlahla</w:t>
      </w:r>
      <w:r w:rsidR="00EC1D2B" w:rsidRPr="004B652C">
        <w:rPr>
          <w:rFonts w:ascii="Arial" w:hAnsi="Arial" w:cs="Arial"/>
          <w:color w:val="000000" w:themeColor="text1"/>
        </w:rPr>
        <w:t xml:space="preserve"> </w:t>
      </w:r>
      <w:r w:rsidR="00EC1D2B" w:rsidRPr="00053133">
        <w:rPr>
          <w:rFonts w:ascii="Arial" w:hAnsi="Arial" w:cs="Arial"/>
          <w:i/>
          <w:color w:val="000000" w:themeColor="text1"/>
        </w:rPr>
        <w:t>N.O.</w:t>
      </w:r>
      <w:r>
        <w:rPr>
          <w:rFonts w:ascii="Arial" w:hAnsi="Arial" w:cs="Arial"/>
          <w:i/>
          <w:color w:val="000000" w:themeColor="text1"/>
        </w:rPr>
        <w:t>,</w:t>
      </w:r>
      <w:r w:rsidR="00EC1D2B" w:rsidRPr="004B652C">
        <w:rPr>
          <w:rFonts w:ascii="Arial" w:hAnsi="Arial" w:cs="Arial"/>
          <w:color w:val="000000" w:themeColor="text1"/>
        </w:rPr>
        <w:t xml:space="preserve"> </w:t>
      </w:r>
      <w:r w:rsidR="00EC1D2B" w:rsidRPr="004B652C">
        <w:rPr>
          <w:rFonts w:ascii="Arial" w:hAnsi="Arial" w:cs="Arial"/>
          <w:color w:val="000000" w:themeColor="text1"/>
          <w:lang w:val="en-ZA"/>
        </w:rPr>
        <w:t>cited in her nominal capacity as the arbitrator, employed by the Labour Commissioner.  Th</w:t>
      </w:r>
      <w:r w:rsidR="00CE52C9">
        <w:rPr>
          <w:rFonts w:ascii="Arial" w:hAnsi="Arial" w:cs="Arial"/>
          <w:color w:val="000000" w:themeColor="text1"/>
          <w:lang w:val="en-ZA"/>
        </w:rPr>
        <w:t>e third respondent is the Labour Commissioner.</w:t>
      </w:r>
      <w:r w:rsidR="00EC1D2B" w:rsidRPr="004B652C">
        <w:rPr>
          <w:rFonts w:ascii="Arial" w:hAnsi="Arial" w:cs="Arial"/>
          <w:color w:val="000000" w:themeColor="text1"/>
          <w:lang w:val="en-ZA"/>
        </w:rPr>
        <w:t xml:space="preserve"> It is </w:t>
      </w:r>
      <w:r w:rsidR="00CE52C9">
        <w:rPr>
          <w:rFonts w:ascii="Arial" w:hAnsi="Arial" w:cs="Arial"/>
          <w:color w:val="000000" w:themeColor="text1"/>
          <w:lang w:val="en-ZA"/>
        </w:rPr>
        <w:t>the</w:t>
      </w:r>
      <w:r w:rsidR="00EC1D2B" w:rsidRPr="004B652C">
        <w:rPr>
          <w:rFonts w:ascii="Arial" w:hAnsi="Arial" w:cs="Arial"/>
          <w:color w:val="000000" w:themeColor="text1"/>
          <w:lang w:val="en-ZA"/>
        </w:rPr>
        <w:t xml:space="preserve"> decision</w:t>
      </w:r>
      <w:r w:rsidR="00CE52C9">
        <w:rPr>
          <w:rFonts w:ascii="Arial" w:hAnsi="Arial" w:cs="Arial"/>
          <w:color w:val="000000" w:themeColor="text1"/>
          <w:lang w:val="en-ZA"/>
        </w:rPr>
        <w:t xml:space="preserve"> of the arbi</w:t>
      </w:r>
      <w:r>
        <w:rPr>
          <w:rFonts w:ascii="Arial" w:hAnsi="Arial" w:cs="Arial"/>
          <w:color w:val="000000" w:themeColor="text1"/>
          <w:lang w:val="en-ZA"/>
        </w:rPr>
        <w:t>t</w:t>
      </w:r>
      <w:r w:rsidR="00CE52C9">
        <w:rPr>
          <w:rFonts w:ascii="Arial" w:hAnsi="Arial" w:cs="Arial"/>
          <w:color w:val="000000" w:themeColor="text1"/>
          <w:lang w:val="en-ZA"/>
        </w:rPr>
        <w:t xml:space="preserve">rator that </w:t>
      </w:r>
      <w:r w:rsidR="00EC1D2B" w:rsidRPr="004B652C">
        <w:rPr>
          <w:rFonts w:ascii="Arial" w:hAnsi="Arial" w:cs="Arial"/>
          <w:color w:val="000000" w:themeColor="text1"/>
          <w:lang w:val="en-ZA"/>
        </w:rPr>
        <w:t>is sought to be appealed and set aside</w:t>
      </w:r>
      <w:r w:rsidR="00EC1D2B" w:rsidRPr="004B652C">
        <w:rPr>
          <w:rFonts w:ascii="Arial" w:hAnsi="Arial" w:cs="Arial"/>
          <w:color w:val="000000" w:themeColor="text1"/>
        </w:rPr>
        <w:t xml:space="preserve">. </w:t>
      </w:r>
      <w:r w:rsidR="00A82A64" w:rsidRPr="004B652C">
        <w:rPr>
          <w:rFonts w:ascii="Arial" w:hAnsi="Arial" w:cs="Arial"/>
          <w:color w:val="000000" w:themeColor="text1"/>
        </w:rPr>
        <w:t xml:space="preserve">For this purpose, </w:t>
      </w:r>
      <w:r w:rsidR="007106CB" w:rsidRPr="004B652C">
        <w:rPr>
          <w:rFonts w:ascii="Arial" w:hAnsi="Arial" w:cs="Arial"/>
          <w:color w:val="000000" w:themeColor="text1"/>
        </w:rPr>
        <w:t>I</w:t>
      </w:r>
      <w:r w:rsidR="000B2BE1" w:rsidRPr="004B652C">
        <w:rPr>
          <w:rFonts w:ascii="Arial" w:hAnsi="Arial" w:cs="Arial"/>
          <w:color w:val="000000" w:themeColor="text1"/>
        </w:rPr>
        <w:t xml:space="preserve"> shall refer to the parties as a</w:t>
      </w:r>
      <w:r>
        <w:rPr>
          <w:rFonts w:ascii="Arial" w:hAnsi="Arial" w:cs="Arial"/>
          <w:color w:val="000000" w:themeColor="text1"/>
        </w:rPr>
        <w:t>ppellant and</w:t>
      </w:r>
      <w:r w:rsidR="00116ACB" w:rsidRPr="004B652C">
        <w:rPr>
          <w:rFonts w:ascii="Arial" w:hAnsi="Arial" w:cs="Arial"/>
          <w:color w:val="000000" w:themeColor="text1"/>
        </w:rPr>
        <w:t xml:space="preserve"> r</w:t>
      </w:r>
      <w:r w:rsidR="000B2BE1" w:rsidRPr="004B652C">
        <w:rPr>
          <w:rFonts w:ascii="Arial" w:hAnsi="Arial" w:cs="Arial"/>
          <w:color w:val="000000" w:themeColor="text1"/>
        </w:rPr>
        <w:t>espondent in the a</w:t>
      </w:r>
      <w:r w:rsidR="00116ACB" w:rsidRPr="004B652C">
        <w:rPr>
          <w:rFonts w:ascii="Arial" w:hAnsi="Arial" w:cs="Arial"/>
          <w:color w:val="000000" w:themeColor="text1"/>
        </w:rPr>
        <w:t xml:space="preserve">ppeal and </w:t>
      </w:r>
      <w:r>
        <w:rPr>
          <w:rFonts w:ascii="Arial" w:hAnsi="Arial" w:cs="Arial"/>
          <w:color w:val="000000" w:themeColor="text1"/>
        </w:rPr>
        <w:t>in the</w:t>
      </w:r>
      <w:r w:rsidR="00116ACB" w:rsidRPr="004B652C">
        <w:rPr>
          <w:rFonts w:ascii="Arial" w:hAnsi="Arial" w:cs="Arial"/>
          <w:color w:val="000000" w:themeColor="text1"/>
        </w:rPr>
        <w:t xml:space="preserve"> cross-appeal</w:t>
      </w:r>
      <w:r>
        <w:rPr>
          <w:rFonts w:ascii="Arial" w:hAnsi="Arial" w:cs="Arial"/>
          <w:color w:val="000000" w:themeColor="text1"/>
        </w:rPr>
        <w:t xml:space="preserve"> as well</w:t>
      </w:r>
      <w:r w:rsidR="00116ACB" w:rsidRPr="004B652C">
        <w:rPr>
          <w:rFonts w:ascii="Arial" w:hAnsi="Arial" w:cs="Arial"/>
          <w:color w:val="000000" w:themeColor="text1"/>
        </w:rPr>
        <w:t>.</w:t>
      </w:r>
      <w:r w:rsidR="007A593E" w:rsidRPr="004B652C">
        <w:rPr>
          <w:rFonts w:ascii="Arial" w:hAnsi="Arial" w:cs="Arial"/>
          <w:color w:val="000000" w:themeColor="text1"/>
        </w:rPr>
        <w:t xml:space="preserve"> I now commence with the appeal.</w:t>
      </w:r>
    </w:p>
    <w:p w14:paraId="77B1739B" w14:textId="77777777" w:rsidR="007A593E" w:rsidRDefault="007A593E" w:rsidP="00EC1D2B">
      <w:pPr>
        <w:pStyle w:val="BodyText"/>
        <w:tabs>
          <w:tab w:val="left" w:pos="720"/>
          <w:tab w:val="left" w:pos="2268"/>
        </w:tabs>
        <w:spacing w:line="360" w:lineRule="auto"/>
        <w:jc w:val="both"/>
        <w:rPr>
          <w:rFonts w:ascii="Arial" w:hAnsi="Arial" w:cs="Arial"/>
        </w:rPr>
      </w:pPr>
    </w:p>
    <w:p w14:paraId="25166813" w14:textId="63549D75" w:rsidR="006D20E0" w:rsidRDefault="00053133" w:rsidP="00A01554">
      <w:pPr>
        <w:pStyle w:val="BodyText"/>
        <w:spacing w:line="360" w:lineRule="auto"/>
        <w:jc w:val="both"/>
        <w:rPr>
          <w:rFonts w:ascii="Arial" w:hAnsi="Arial" w:cs="Arial"/>
        </w:rPr>
      </w:pPr>
      <w:r>
        <w:rPr>
          <w:rFonts w:ascii="Arial" w:hAnsi="Arial" w:cs="Arial"/>
        </w:rPr>
        <w:t>[3]</w:t>
      </w:r>
      <w:r>
        <w:rPr>
          <w:rFonts w:ascii="Arial" w:hAnsi="Arial" w:cs="Arial"/>
        </w:rPr>
        <w:tab/>
      </w:r>
      <w:r w:rsidR="008963F7">
        <w:rPr>
          <w:rFonts w:ascii="Arial" w:hAnsi="Arial" w:cs="Arial"/>
        </w:rPr>
        <w:t>I fin</w:t>
      </w:r>
      <w:r w:rsidR="00F5347A">
        <w:rPr>
          <w:rFonts w:ascii="Arial" w:hAnsi="Arial" w:cs="Arial"/>
        </w:rPr>
        <w:t xml:space="preserve">d it appropriate to </w:t>
      </w:r>
      <w:r>
        <w:rPr>
          <w:rFonts w:ascii="Arial" w:hAnsi="Arial" w:cs="Arial"/>
        </w:rPr>
        <w:t xml:space="preserve">first </w:t>
      </w:r>
      <w:r w:rsidR="00F5347A">
        <w:rPr>
          <w:rFonts w:ascii="Arial" w:hAnsi="Arial" w:cs="Arial"/>
        </w:rPr>
        <w:t>mention that three matters involving both parties were referred to the L</w:t>
      </w:r>
      <w:r>
        <w:rPr>
          <w:rFonts w:ascii="Arial" w:hAnsi="Arial" w:cs="Arial"/>
        </w:rPr>
        <w:t>abour Commissioner regarding a</w:t>
      </w:r>
      <w:r w:rsidR="00F5347A">
        <w:rPr>
          <w:rFonts w:ascii="Arial" w:hAnsi="Arial" w:cs="Arial"/>
        </w:rPr>
        <w:t xml:space="preserve"> restructuring exercise </w:t>
      </w:r>
      <w:r>
        <w:rPr>
          <w:rFonts w:ascii="Arial" w:hAnsi="Arial" w:cs="Arial"/>
        </w:rPr>
        <w:t>effected by the respondent</w:t>
      </w:r>
      <w:r w:rsidR="00F5347A">
        <w:rPr>
          <w:rFonts w:ascii="Arial" w:hAnsi="Arial" w:cs="Arial"/>
        </w:rPr>
        <w:t>. The first matter</w:t>
      </w:r>
      <w:r w:rsidR="00CE52C9">
        <w:rPr>
          <w:rFonts w:ascii="Arial" w:hAnsi="Arial" w:cs="Arial"/>
        </w:rPr>
        <w:t>,</w:t>
      </w:r>
      <w:r w:rsidR="00F5347A">
        <w:rPr>
          <w:rFonts w:ascii="Arial" w:hAnsi="Arial" w:cs="Arial"/>
        </w:rPr>
        <w:t xml:space="preserve"> under case CRWK 85-15</w:t>
      </w:r>
      <w:r w:rsidR="000B2BE1">
        <w:rPr>
          <w:rFonts w:ascii="Arial" w:hAnsi="Arial" w:cs="Arial"/>
        </w:rPr>
        <w:t>,</w:t>
      </w:r>
      <w:r>
        <w:rPr>
          <w:rFonts w:ascii="Arial" w:hAnsi="Arial" w:cs="Arial"/>
        </w:rPr>
        <w:t xml:space="preserve"> was referred by the appella</w:t>
      </w:r>
      <w:r w:rsidR="00F5347A">
        <w:rPr>
          <w:rFonts w:ascii="Arial" w:hAnsi="Arial" w:cs="Arial"/>
        </w:rPr>
        <w:t>nt a</w:t>
      </w:r>
      <w:r w:rsidR="004B652C">
        <w:rPr>
          <w:rFonts w:ascii="Arial" w:hAnsi="Arial" w:cs="Arial"/>
        </w:rPr>
        <w:t>nd the disputes were about the unilateral change of terms and conditions; and unfair labour p</w:t>
      </w:r>
      <w:r w:rsidR="00F5347A">
        <w:rPr>
          <w:rFonts w:ascii="Arial" w:hAnsi="Arial" w:cs="Arial"/>
        </w:rPr>
        <w:t>ractice</w:t>
      </w:r>
      <w:r>
        <w:rPr>
          <w:rFonts w:ascii="Arial" w:hAnsi="Arial" w:cs="Arial"/>
        </w:rPr>
        <w:t xml:space="preserve"> allegedly committed by the respondent</w:t>
      </w:r>
      <w:r w:rsidR="00F5347A">
        <w:rPr>
          <w:rFonts w:ascii="Arial" w:hAnsi="Arial" w:cs="Arial"/>
        </w:rPr>
        <w:t>. This matter was dealt with by arbitrator, Mr. Otto Nangombe</w:t>
      </w:r>
      <w:r w:rsidR="00CE52C9">
        <w:rPr>
          <w:rFonts w:ascii="Arial" w:hAnsi="Arial" w:cs="Arial"/>
        </w:rPr>
        <w:t>. In this case, the</w:t>
      </w:r>
      <w:r w:rsidR="00F5347A">
        <w:rPr>
          <w:rFonts w:ascii="Arial" w:hAnsi="Arial" w:cs="Arial"/>
        </w:rPr>
        <w:t xml:space="preserve"> parties reached a voluntary agreement entered into on 25 February 2015 and a certificate of resolved dispute was </w:t>
      </w:r>
      <w:r w:rsidR="00CE52C9">
        <w:rPr>
          <w:rFonts w:ascii="Arial" w:hAnsi="Arial" w:cs="Arial"/>
        </w:rPr>
        <w:t xml:space="preserve">accordingly </w:t>
      </w:r>
      <w:r w:rsidR="00F5347A">
        <w:rPr>
          <w:rFonts w:ascii="Arial" w:hAnsi="Arial" w:cs="Arial"/>
        </w:rPr>
        <w:t xml:space="preserve">issued. </w:t>
      </w:r>
    </w:p>
    <w:p w14:paraId="40298B90" w14:textId="77777777" w:rsidR="002F0298" w:rsidRDefault="002F0298" w:rsidP="00A01554">
      <w:pPr>
        <w:pStyle w:val="BodyText"/>
        <w:spacing w:line="360" w:lineRule="auto"/>
        <w:jc w:val="both"/>
        <w:rPr>
          <w:rFonts w:ascii="Arial" w:hAnsi="Arial" w:cs="Arial"/>
        </w:rPr>
      </w:pPr>
    </w:p>
    <w:p w14:paraId="5D0DBD08" w14:textId="2FA71DF6" w:rsidR="006D20E0" w:rsidRDefault="00053133" w:rsidP="00A01554">
      <w:pPr>
        <w:pStyle w:val="BodyText"/>
        <w:spacing w:line="360" w:lineRule="auto"/>
        <w:jc w:val="both"/>
        <w:rPr>
          <w:rFonts w:ascii="Arial" w:hAnsi="Arial" w:cs="Arial"/>
        </w:rPr>
      </w:pPr>
      <w:r>
        <w:rPr>
          <w:rFonts w:ascii="Arial" w:hAnsi="Arial" w:cs="Arial"/>
        </w:rPr>
        <w:lastRenderedPageBreak/>
        <w:t>[4]</w:t>
      </w:r>
      <w:r>
        <w:rPr>
          <w:rFonts w:ascii="Arial" w:hAnsi="Arial" w:cs="Arial"/>
        </w:rPr>
        <w:tab/>
      </w:r>
      <w:r w:rsidR="00F5347A">
        <w:rPr>
          <w:rFonts w:ascii="Arial" w:hAnsi="Arial" w:cs="Arial"/>
        </w:rPr>
        <w:t>The second matter</w:t>
      </w:r>
      <w:r w:rsidR="00CE52C9">
        <w:rPr>
          <w:rFonts w:ascii="Arial" w:hAnsi="Arial" w:cs="Arial"/>
        </w:rPr>
        <w:t>,</w:t>
      </w:r>
      <w:r w:rsidR="00F5347A">
        <w:rPr>
          <w:rFonts w:ascii="Arial" w:hAnsi="Arial" w:cs="Arial"/>
        </w:rPr>
        <w:t xml:space="preserve"> under case CRWK 86-15</w:t>
      </w:r>
      <w:r w:rsidR="00CE52C9">
        <w:rPr>
          <w:rFonts w:ascii="Arial" w:hAnsi="Arial" w:cs="Arial"/>
        </w:rPr>
        <w:t>,</w:t>
      </w:r>
      <w:r w:rsidR="00F5347A">
        <w:rPr>
          <w:rFonts w:ascii="Arial" w:hAnsi="Arial" w:cs="Arial"/>
        </w:rPr>
        <w:t xml:space="preserve"> </w:t>
      </w:r>
      <w:r>
        <w:rPr>
          <w:rFonts w:ascii="Arial" w:hAnsi="Arial" w:cs="Arial"/>
        </w:rPr>
        <w:t>which was referred by the</w:t>
      </w:r>
      <w:r w:rsidR="004B652C">
        <w:rPr>
          <w:rFonts w:ascii="Arial" w:hAnsi="Arial" w:cs="Arial"/>
        </w:rPr>
        <w:t xml:space="preserve"> respondent</w:t>
      </w:r>
      <w:r>
        <w:rPr>
          <w:rFonts w:ascii="Arial" w:hAnsi="Arial" w:cs="Arial"/>
        </w:rPr>
        <w:t>,</w:t>
      </w:r>
      <w:r w:rsidR="004B652C">
        <w:rPr>
          <w:rFonts w:ascii="Arial" w:hAnsi="Arial" w:cs="Arial"/>
        </w:rPr>
        <w:t xml:space="preserve"> </w:t>
      </w:r>
      <w:r w:rsidR="00CE52C9">
        <w:rPr>
          <w:rFonts w:ascii="Arial" w:hAnsi="Arial" w:cs="Arial"/>
        </w:rPr>
        <w:t>w</w:t>
      </w:r>
      <w:r w:rsidR="004B652C">
        <w:rPr>
          <w:rFonts w:ascii="Arial" w:hAnsi="Arial" w:cs="Arial"/>
        </w:rPr>
        <w:t>as a dispute of i</w:t>
      </w:r>
      <w:r w:rsidR="00F5347A">
        <w:rPr>
          <w:rFonts w:ascii="Arial" w:hAnsi="Arial" w:cs="Arial"/>
        </w:rPr>
        <w:t>nterest. This matter w</w:t>
      </w:r>
      <w:r w:rsidR="00CE52C9">
        <w:rPr>
          <w:rFonts w:ascii="Arial" w:hAnsi="Arial" w:cs="Arial"/>
        </w:rPr>
        <w:t>as dealt with by the arbitrator</w:t>
      </w:r>
      <w:r w:rsidR="00F5347A">
        <w:rPr>
          <w:rFonts w:ascii="Arial" w:hAnsi="Arial" w:cs="Arial"/>
        </w:rPr>
        <w:t xml:space="preserve"> Mr. Sackey Aipinge. The matter could not be</w:t>
      </w:r>
      <w:r w:rsidR="00CE52C9">
        <w:rPr>
          <w:rFonts w:ascii="Arial" w:hAnsi="Arial" w:cs="Arial"/>
        </w:rPr>
        <w:t xml:space="preserve"> settled at conciliation</w:t>
      </w:r>
      <w:r w:rsidR="00F5347A">
        <w:rPr>
          <w:rFonts w:ascii="Arial" w:hAnsi="Arial" w:cs="Arial"/>
        </w:rPr>
        <w:t xml:space="preserve"> and a certificate of unresolved dispute was </w:t>
      </w:r>
      <w:r w:rsidR="00CE52C9">
        <w:rPr>
          <w:rFonts w:ascii="Arial" w:hAnsi="Arial" w:cs="Arial"/>
        </w:rPr>
        <w:t xml:space="preserve">thus </w:t>
      </w:r>
      <w:r w:rsidR="00F5347A">
        <w:rPr>
          <w:rFonts w:ascii="Arial" w:hAnsi="Arial" w:cs="Arial"/>
        </w:rPr>
        <w:t xml:space="preserve">issued. This </w:t>
      </w:r>
      <w:r>
        <w:rPr>
          <w:rFonts w:ascii="Arial" w:hAnsi="Arial" w:cs="Arial"/>
        </w:rPr>
        <w:t xml:space="preserve">dispute </w:t>
      </w:r>
      <w:r w:rsidR="00F5347A">
        <w:rPr>
          <w:rFonts w:ascii="Arial" w:hAnsi="Arial" w:cs="Arial"/>
        </w:rPr>
        <w:t xml:space="preserve">resulted in the </w:t>
      </w:r>
      <w:r w:rsidR="003F67F6">
        <w:rPr>
          <w:rFonts w:ascii="Arial" w:hAnsi="Arial" w:cs="Arial"/>
        </w:rPr>
        <w:t xml:space="preserve">first </w:t>
      </w:r>
      <w:r w:rsidR="00F5347A">
        <w:rPr>
          <w:rFonts w:ascii="Arial" w:hAnsi="Arial" w:cs="Arial"/>
        </w:rPr>
        <w:t>respondent locking out the app</w:t>
      </w:r>
      <w:r w:rsidR="00C34F4A">
        <w:rPr>
          <w:rFonts w:ascii="Arial" w:hAnsi="Arial" w:cs="Arial"/>
        </w:rPr>
        <w:t>ell</w:t>
      </w:r>
      <w:r w:rsidR="00F5347A">
        <w:rPr>
          <w:rFonts w:ascii="Arial" w:hAnsi="Arial" w:cs="Arial"/>
        </w:rPr>
        <w:t xml:space="preserve">ant. </w:t>
      </w:r>
    </w:p>
    <w:p w14:paraId="4109FC42" w14:textId="77777777" w:rsidR="006D20E0" w:rsidRDefault="006D20E0" w:rsidP="00A01554">
      <w:pPr>
        <w:pStyle w:val="BodyText"/>
        <w:spacing w:line="360" w:lineRule="auto"/>
        <w:jc w:val="both"/>
        <w:rPr>
          <w:rFonts w:ascii="Arial" w:hAnsi="Arial" w:cs="Arial"/>
        </w:rPr>
      </w:pPr>
    </w:p>
    <w:p w14:paraId="3BAFFAAD" w14:textId="5F10D50C" w:rsidR="008963F7" w:rsidRDefault="00053133" w:rsidP="00A01554">
      <w:pPr>
        <w:pStyle w:val="BodyText"/>
        <w:spacing w:line="360" w:lineRule="auto"/>
        <w:jc w:val="both"/>
        <w:rPr>
          <w:rFonts w:ascii="Arial" w:hAnsi="Arial" w:cs="Arial"/>
        </w:rPr>
      </w:pPr>
      <w:r>
        <w:rPr>
          <w:rFonts w:ascii="Arial" w:hAnsi="Arial" w:cs="Arial"/>
        </w:rPr>
        <w:t>[5]</w:t>
      </w:r>
      <w:r>
        <w:rPr>
          <w:rFonts w:ascii="Arial" w:hAnsi="Arial" w:cs="Arial"/>
        </w:rPr>
        <w:tab/>
      </w:r>
      <w:r w:rsidR="00F5347A">
        <w:rPr>
          <w:rFonts w:ascii="Arial" w:hAnsi="Arial" w:cs="Arial"/>
        </w:rPr>
        <w:t>The third matter</w:t>
      </w:r>
      <w:r w:rsidR="003F67F6">
        <w:rPr>
          <w:rFonts w:ascii="Arial" w:hAnsi="Arial" w:cs="Arial"/>
        </w:rPr>
        <w:t xml:space="preserve"> is the instant one</w:t>
      </w:r>
      <w:r w:rsidR="00CE52C9">
        <w:rPr>
          <w:rFonts w:ascii="Arial" w:hAnsi="Arial" w:cs="Arial"/>
        </w:rPr>
        <w:t>, CRWK 294-15. The</w:t>
      </w:r>
      <w:r>
        <w:rPr>
          <w:rFonts w:ascii="Arial" w:hAnsi="Arial" w:cs="Arial"/>
        </w:rPr>
        <w:t xml:space="preserve"> appell</w:t>
      </w:r>
      <w:r w:rsidR="003F67F6">
        <w:rPr>
          <w:rFonts w:ascii="Arial" w:hAnsi="Arial" w:cs="Arial"/>
        </w:rPr>
        <w:t>ant submit</w:t>
      </w:r>
      <w:r w:rsidR="00CE52C9">
        <w:rPr>
          <w:rFonts w:ascii="Arial" w:hAnsi="Arial" w:cs="Arial"/>
        </w:rPr>
        <w:t>s</w:t>
      </w:r>
      <w:r>
        <w:rPr>
          <w:rFonts w:ascii="Arial" w:hAnsi="Arial" w:cs="Arial"/>
        </w:rPr>
        <w:t xml:space="preserve"> that it was the</w:t>
      </w:r>
      <w:r w:rsidR="003F67F6">
        <w:rPr>
          <w:rFonts w:ascii="Arial" w:hAnsi="Arial" w:cs="Arial"/>
        </w:rPr>
        <w:t xml:space="preserve"> respondent</w:t>
      </w:r>
      <w:r w:rsidR="00BA6A3F">
        <w:rPr>
          <w:rFonts w:ascii="Arial" w:hAnsi="Arial" w:cs="Arial"/>
        </w:rPr>
        <w:t>’</w:t>
      </w:r>
      <w:r w:rsidR="003F67F6">
        <w:rPr>
          <w:rFonts w:ascii="Arial" w:hAnsi="Arial" w:cs="Arial"/>
        </w:rPr>
        <w:t>s refusal to implement the settlement agreement and his conduct after the conclusion of this agreement that gave rise to the following disputes; refusal to bargain alternatively bargaining in bad faith; the refusal and</w:t>
      </w:r>
      <w:r w:rsidR="00BA6A3F">
        <w:rPr>
          <w:rFonts w:ascii="Arial" w:hAnsi="Arial" w:cs="Arial"/>
        </w:rPr>
        <w:t>/</w:t>
      </w:r>
      <w:r w:rsidR="003F67F6">
        <w:rPr>
          <w:rFonts w:ascii="Arial" w:hAnsi="Arial" w:cs="Arial"/>
        </w:rPr>
        <w:t>or failure to implement the terms of the</w:t>
      </w:r>
      <w:r w:rsidR="00BA6A3F">
        <w:rPr>
          <w:rFonts w:ascii="Arial" w:hAnsi="Arial" w:cs="Arial"/>
        </w:rPr>
        <w:t xml:space="preserve"> </w:t>
      </w:r>
      <w:r w:rsidR="003F67F6">
        <w:rPr>
          <w:rFonts w:ascii="Arial" w:hAnsi="Arial" w:cs="Arial"/>
        </w:rPr>
        <w:t>settlement agreement; and non-compliance with or contravention of section 51(4) fo</w:t>
      </w:r>
      <w:r w:rsidR="008C280B">
        <w:rPr>
          <w:rFonts w:ascii="Arial" w:hAnsi="Arial" w:cs="Arial"/>
        </w:rPr>
        <w:t>r</w:t>
      </w:r>
      <w:r w:rsidR="003F67F6">
        <w:rPr>
          <w:rFonts w:ascii="Arial" w:hAnsi="Arial" w:cs="Arial"/>
        </w:rPr>
        <w:t xml:space="preserve"> the Act</w:t>
      </w:r>
      <w:r w:rsidR="000B2BE1">
        <w:rPr>
          <w:rFonts w:ascii="Arial" w:hAnsi="Arial" w:cs="Arial"/>
        </w:rPr>
        <w:t>,</w:t>
      </w:r>
      <w:r w:rsidR="003F67F6">
        <w:rPr>
          <w:rFonts w:ascii="Arial" w:hAnsi="Arial" w:cs="Arial"/>
        </w:rPr>
        <w:t xml:space="preserve"> alternatively</w:t>
      </w:r>
      <w:r w:rsidR="000B2BE1">
        <w:rPr>
          <w:rFonts w:ascii="Arial" w:hAnsi="Arial" w:cs="Arial"/>
        </w:rPr>
        <w:t>,</w:t>
      </w:r>
      <w:r w:rsidR="003F67F6">
        <w:rPr>
          <w:rFonts w:ascii="Arial" w:hAnsi="Arial" w:cs="Arial"/>
        </w:rPr>
        <w:t xml:space="preserve"> failure to refrain from effecting a unilateral alteration of the terms and condition of employment.</w:t>
      </w:r>
    </w:p>
    <w:p w14:paraId="25057004" w14:textId="77777777" w:rsidR="008F7973" w:rsidRDefault="008F7973" w:rsidP="00A01554">
      <w:pPr>
        <w:pStyle w:val="BodyText"/>
        <w:spacing w:line="360" w:lineRule="auto"/>
        <w:jc w:val="both"/>
        <w:rPr>
          <w:rFonts w:ascii="Arial" w:hAnsi="Arial" w:cs="Arial"/>
        </w:rPr>
      </w:pPr>
    </w:p>
    <w:p w14:paraId="5CA70612" w14:textId="7E704A26" w:rsidR="008F7973" w:rsidRPr="00806662" w:rsidRDefault="00E31D5A" w:rsidP="00A01554">
      <w:pPr>
        <w:pStyle w:val="BodyText"/>
        <w:spacing w:line="360" w:lineRule="auto"/>
        <w:jc w:val="both"/>
        <w:rPr>
          <w:rFonts w:ascii="Arial" w:hAnsi="Arial" w:cs="Arial"/>
          <w:lang w:val="en-ZA"/>
        </w:rPr>
      </w:pPr>
      <w:r w:rsidRPr="00806662">
        <w:rPr>
          <w:rFonts w:ascii="Arial" w:hAnsi="Arial" w:cs="Arial"/>
          <w:lang w:val="en-ZA"/>
        </w:rPr>
        <w:t>[6</w:t>
      </w:r>
      <w:r w:rsidR="00053133" w:rsidRPr="00806662">
        <w:rPr>
          <w:rFonts w:ascii="Arial" w:hAnsi="Arial" w:cs="Arial"/>
          <w:lang w:val="en-ZA"/>
        </w:rPr>
        <w:t>]</w:t>
      </w:r>
      <w:r w:rsidR="00053133" w:rsidRPr="00806662">
        <w:rPr>
          <w:rFonts w:ascii="Arial" w:hAnsi="Arial" w:cs="Arial"/>
          <w:lang w:val="en-ZA"/>
        </w:rPr>
        <w:tab/>
      </w:r>
      <w:r w:rsidR="00053133" w:rsidRPr="00806662">
        <w:rPr>
          <w:rFonts w:ascii="Arial" w:hAnsi="Arial" w:cs="Arial"/>
        </w:rPr>
        <w:t>The</w:t>
      </w:r>
      <w:r w:rsidR="008F7973" w:rsidRPr="00806662">
        <w:rPr>
          <w:rFonts w:ascii="Arial" w:hAnsi="Arial" w:cs="Arial"/>
        </w:rPr>
        <w:t xml:space="preserve"> respondent </w:t>
      </w:r>
      <w:r w:rsidR="004B652C" w:rsidRPr="00806662">
        <w:rPr>
          <w:rFonts w:ascii="Arial" w:hAnsi="Arial" w:cs="Arial"/>
          <w:lang w:val="en-ZA"/>
        </w:rPr>
        <w:t>opposed the appeal and the a</w:t>
      </w:r>
      <w:r w:rsidR="008F7973" w:rsidRPr="00806662">
        <w:rPr>
          <w:rFonts w:ascii="Arial" w:hAnsi="Arial" w:cs="Arial"/>
          <w:lang w:val="en-ZA"/>
        </w:rPr>
        <w:t>pp</w:t>
      </w:r>
      <w:r w:rsidR="00053133" w:rsidRPr="00806662">
        <w:rPr>
          <w:rFonts w:ascii="Arial" w:hAnsi="Arial" w:cs="Arial"/>
          <w:lang w:val="en-ZA"/>
        </w:rPr>
        <w:t>ell</w:t>
      </w:r>
      <w:r w:rsidR="008F7973" w:rsidRPr="00806662">
        <w:rPr>
          <w:rFonts w:ascii="Arial" w:hAnsi="Arial" w:cs="Arial"/>
          <w:lang w:val="en-ZA"/>
        </w:rPr>
        <w:t>ant opposed the cross-appeal, in terms of rule 17(16) of the La</w:t>
      </w:r>
      <w:r w:rsidR="004B652C" w:rsidRPr="00806662">
        <w:rPr>
          <w:rFonts w:ascii="Arial" w:hAnsi="Arial" w:cs="Arial"/>
          <w:lang w:val="en-ZA"/>
        </w:rPr>
        <w:t xml:space="preserve">bour Court </w:t>
      </w:r>
      <w:r w:rsidR="00053133" w:rsidRPr="00806662">
        <w:rPr>
          <w:rFonts w:ascii="Arial" w:hAnsi="Arial" w:cs="Arial"/>
          <w:lang w:val="en-ZA"/>
        </w:rPr>
        <w:t>Rules. The respondent, however,</w:t>
      </w:r>
      <w:r w:rsidR="008F7973" w:rsidRPr="00806662">
        <w:rPr>
          <w:rFonts w:ascii="Arial" w:hAnsi="Arial" w:cs="Arial"/>
          <w:lang w:val="en-ZA"/>
        </w:rPr>
        <w:t xml:space="preserve"> </w:t>
      </w:r>
      <w:r w:rsidR="0084291A" w:rsidRPr="00806662">
        <w:rPr>
          <w:rFonts w:ascii="Arial" w:hAnsi="Arial" w:cs="Arial"/>
          <w:lang w:val="en-ZA"/>
        </w:rPr>
        <w:t>argued</w:t>
      </w:r>
      <w:r w:rsidR="004B652C" w:rsidRPr="00806662">
        <w:rPr>
          <w:rFonts w:ascii="Arial" w:hAnsi="Arial" w:cs="Arial"/>
          <w:lang w:val="en-ZA"/>
        </w:rPr>
        <w:t xml:space="preserve"> that the a</w:t>
      </w:r>
      <w:r w:rsidR="00053133" w:rsidRPr="00806662">
        <w:rPr>
          <w:rFonts w:ascii="Arial" w:hAnsi="Arial" w:cs="Arial"/>
          <w:lang w:val="en-ZA"/>
        </w:rPr>
        <w:t>ppell</w:t>
      </w:r>
      <w:r w:rsidR="008F7973" w:rsidRPr="00806662">
        <w:rPr>
          <w:rFonts w:ascii="Arial" w:hAnsi="Arial" w:cs="Arial"/>
          <w:lang w:val="en-ZA"/>
        </w:rPr>
        <w:t>ant’s appeal was not properly opposed as no notice to opp</w:t>
      </w:r>
      <w:r w:rsidR="00CE52C9" w:rsidRPr="00806662">
        <w:rPr>
          <w:rFonts w:ascii="Arial" w:hAnsi="Arial" w:cs="Arial"/>
          <w:lang w:val="en-ZA"/>
        </w:rPr>
        <w:t>ose or grounds of opposition were</w:t>
      </w:r>
      <w:r w:rsidR="008F7973" w:rsidRPr="00806662">
        <w:rPr>
          <w:rFonts w:ascii="Arial" w:hAnsi="Arial" w:cs="Arial"/>
          <w:lang w:val="en-ZA"/>
        </w:rPr>
        <w:t xml:space="preserve"> filed, nor was a condonation </w:t>
      </w:r>
      <w:r w:rsidR="00CE52C9" w:rsidRPr="00806662">
        <w:rPr>
          <w:rFonts w:ascii="Arial" w:hAnsi="Arial" w:cs="Arial"/>
          <w:lang w:val="en-ZA"/>
        </w:rPr>
        <w:t>application delivered</w:t>
      </w:r>
      <w:r w:rsidR="008F7973" w:rsidRPr="00806662">
        <w:rPr>
          <w:rFonts w:ascii="Arial" w:hAnsi="Arial" w:cs="Arial"/>
          <w:lang w:val="en-ZA"/>
        </w:rPr>
        <w:t xml:space="preserve"> in terms of rule 17(6) of the Labour Court Rules and section 89(2)</w:t>
      </w:r>
      <w:r w:rsidR="00CE52C9" w:rsidRPr="00806662">
        <w:rPr>
          <w:rFonts w:ascii="Arial" w:hAnsi="Arial" w:cs="Arial"/>
          <w:lang w:val="en-ZA"/>
        </w:rPr>
        <w:t>. It is accordingly argued that</w:t>
      </w:r>
      <w:r w:rsidR="008F7973" w:rsidRPr="00806662">
        <w:rPr>
          <w:rFonts w:ascii="Arial" w:hAnsi="Arial" w:cs="Arial"/>
          <w:lang w:val="en-ZA"/>
        </w:rPr>
        <w:t xml:space="preserve"> there is no </w:t>
      </w:r>
      <w:r w:rsidR="00CE52C9" w:rsidRPr="00806662">
        <w:rPr>
          <w:rFonts w:ascii="Arial" w:hAnsi="Arial" w:cs="Arial"/>
          <w:lang w:val="en-ZA"/>
        </w:rPr>
        <w:t>prope</w:t>
      </w:r>
      <w:r w:rsidR="00BA6A3F" w:rsidRPr="00806662">
        <w:rPr>
          <w:rFonts w:ascii="Arial" w:hAnsi="Arial" w:cs="Arial"/>
          <w:lang w:val="en-ZA"/>
        </w:rPr>
        <w:t>r</w:t>
      </w:r>
      <w:r w:rsidR="00CE52C9" w:rsidRPr="00806662">
        <w:rPr>
          <w:rFonts w:ascii="Arial" w:hAnsi="Arial" w:cs="Arial"/>
          <w:lang w:val="en-ZA"/>
        </w:rPr>
        <w:t xml:space="preserve"> </w:t>
      </w:r>
      <w:r w:rsidR="008F7973" w:rsidRPr="00806662">
        <w:rPr>
          <w:rFonts w:ascii="Arial" w:hAnsi="Arial" w:cs="Arial"/>
          <w:lang w:val="en-ZA"/>
        </w:rPr>
        <w:t>appeal before this court.</w:t>
      </w:r>
    </w:p>
    <w:p w14:paraId="6700BC18" w14:textId="77777777" w:rsidR="002E36BD" w:rsidRDefault="002E36BD" w:rsidP="00A01554">
      <w:pPr>
        <w:pStyle w:val="BodyText"/>
        <w:spacing w:line="360" w:lineRule="auto"/>
        <w:jc w:val="both"/>
        <w:rPr>
          <w:rFonts w:ascii="Arial" w:hAnsi="Arial" w:cs="Arial"/>
        </w:rPr>
      </w:pPr>
    </w:p>
    <w:p w14:paraId="79D7CDD7" w14:textId="5E979E7B" w:rsidR="002E36BD" w:rsidRDefault="00E31D5A" w:rsidP="002E36BD">
      <w:pPr>
        <w:spacing w:after="0" w:line="360" w:lineRule="auto"/>
        <w:jc w:val="both"/>
        <w:rPr>
          <w:rFonts w:ascii="Arial" w:hAnsi="Arial" w:cs="Arial"/>
          <w:bCs/>
          <w:sz w:val="24"/>
          <w:szCs w:val="24"/>
          <w:lang w:val="en-ZA"/>
        </w:rPr>
      </w:pPr>
      <w:r>
        <w:rPr>
          <w:rFonts w:ascii="Arial" w:hAnsi="Arial" w:cs="Arial"/>
          <w:bCs/>
          <w:sz w:val="24"/>
          <w:szCs w:val="24"/>
          <w:lang w:val="en-ZA"/>
        </w:rPr>
        <w:t>[7</w:t>
      </w:r>
      <w:r w:rsidR="00053133">
        <w:rPr>
          <w:rFonts w:ascii="Arial" w:hAnsi="Arial" w:cs="Arial"/>
          <w:bCs/>
          <w:sz w:val="24"/>
          <w:szCs w:val="24"/>
          <w:lang w:val="en-ZA"/>
        </w:rPr>
        <w:t>]</w:t>
      </w:r>
      <w:r w:rsidR="00053133">
        <w:rPr>
          <w:rFonts w:ascii="Arial" w:hAnsi="Arial" w:cs="Arial"/>
          <w:bCs/>
          <w:sz w:val="24"/>
          <w:szCs w:val="24"/>
          <w:lang w:val="en-ZA"/>
        </w:rPr>
        <w:tab/>
      </w:r>
      <w:r w:rsidR="004B652C">
        <w:rPr>
          <w:rFonts w:ascii="Arial" w:hAnsi="Arial" w:cs="Arial"/>
          <w:bCs/>
          <w:sz w:val="24"/>
          <w:szCs w:val="24"/>
          <w:lang w:val="en-ZA"/>
        </w:rPr>
        <w:t>The</w:t>
      </w:r>
      <w:r w:rsidR="002E36BD">
        <w:rPr>
          <w:rFonts w:ascii="Arial" w:hAnsi="Arial" w:cs="Arial"/>
          <w:bCs/>
          <w:sz w:val="24"/>
          <w:szCs w:val="24"/>
          <w:lang w:val="en-ZA"/>
        </w:rPr>
        <w:t xml:space="preserve"> arbitrator</w:t>
      </w:r>
      <w:r w:rsidR="00CD2F12">
        <w:rPr>
          <w:rFonts w:ascii="Arial" w:hAnsi="Arial" w:cs="Arial"/>
          <w:bCs/>
          <w:sz w:val="24"/>
          <w:szCs w:val="24"/>
          <w:lang w:val="en-ZA"/>
        </w:rPr>
        <w:t>, Ms</w:t>
      </w:r>
      <w:r w:rsidR="004D6974">
        <w:rPr>
          <w:rFonts w:ascii="Arial" w:hAnsi="Arial" w:cs="Arial"/>
          <w:bCs/>
          <w:sz w:val="24"/>
          <w:szCs w:val="24"/>
          <w:lang w:val="en-ZA"/>
        </w:rPr>
        <w:t>.</w:t>
      </w:r>
      <w:r w:rsidR="00CD2F12">
        <w:rPr>
          <w:rFonts w:ascii="Arial" w:hAnsi="Arial" w:cs="Arial"/>
          <w:bCs/>
          <w:sz w:val="24"/>
          <w:szCs w:val="24"/>
          <w:lang w:val="en-ZA"/>
        </w:rPr>
        <w:t xml:space="preserve"> Sihlahla, </w:t>
      </w:r>
      <w:r w:rsidR="002E36BD">
        <w:rPr>
          <w:rFonts w:ascii="Arial" w:hAnsi="Arial" w:cs="Arial"/>
          <w:bCs/>
          <w:sz w:val="24"/>
          <w:szCs w:val="24"/>
          <w:lang w:val="en-ZA"/>
        </w:rPr>
        <w:t xml:space="preserve">in her award ordered the first respondent to implement the terms of the settlement agreement signed on 25 February 2015; and to end the lockout and allow the applicant to return to work so that proper consultations can commence without any delay; and both parties are ordered to engage in the process of consultations and </w:t>
      </w:r>
      <w:r w:rsidR="00053133">
        <w:rPr>
          <w:rFonts w:ascii="Arial" w:hAnsi="Arial" w:cs="Arial"/>
          <w:bCs/>
          <w:sz w:val="24"/>
          <w:szCs w:val="24"/>
          <w:lang w:val="en-ZA"/>
        </w:rPr>
        <w:t xml:space="preserve">to </w:t>
      </w:r>
      <w:r w:rsidR="002E36BD">
        <w:rPr>
          <w:rFonts w:ascii="Arial" w:hAnsi="Arial" w:cs="Arial"/>
          <w:bCs/>
          <w:sz w:val="24"/>
          <w:szCs w:val="24"/>
          <w:lang w:val="en-ZA"/>
        </w:rPr>
        <w:t xml:space="preserve">do so in good faith and in line with the voluntary settlement </w:t>
      </w:r>
      <w:r w:rsidR="004B652C">
        <w:rPr>
          <w:rFonts w:ascii="Arial" w:hAnsi="Arial" w:cs="Arial"/>
          <w:bCs/>
          <w:sz w:val="24"/>
          <w:szCs w:val="24"/>
          <w:lang w:val="en-ZA"/>
        </w:rPr>
        <w:t>agre</w:t>
      </w:r>
      <w:r w:rsidR="00053133">
        <w:rPr>
          <w:rFonts w:ascii="Arial" w:hAnsi="Arial" w:cs="Arial"/>
          <w:bCs/>
          <w:sz w:val="24"/>
          <w:szCs w:val="24"/>
          <w:lang w:val="en-ZA"/>
        </w:rPr>
        <w:t>ement. T</w:t>
      </w:r>
      <w:r w:rsidR="00CD2F12">
        <w:rPr>
          <w:rFonts w:ascii="Arial" w:hAnsi="Arial" w:cs="Arial"/>
          <w:bCs/>
          <w:sz w:val="24"/>
          <w:szCs w:val="24"/>
          <w:lang w:val="en-ZA"/>
        </w:rPr>
        <w:t>here is</w:t>
      </w:r>
      <w:r w:rsidR="004B652C">
        <w:rPr>
          <w:rFonts w:ascii="Arial" w:hAnsi="Arial" w:cs="Arial"/>
          <w:bCs/>
          <w:sz w:val="24"/>
          <w:szCs w:val="24"/>
          <w:lang w:val="en-ZA"/>
        </w:rPr>
        <w:t xml:space="preserve"> no order </w:t>
      </w:r>
      <w:r w:rsidR="00CD2F12">
        <w:rPr>
          <w:rFonts w:ascii="Arial" w:hAnsi="Arial" w:cs="Arial"/>
          <w:bCs/>
          <w:sz w:val="24"/>
          <w:szCs w:val="24"/>
          <w:lang w:val="en-ZA"/>
        </w:rPr>
        <w:t xml:space="preserve">as </w:t>
      </w:r>
      <w:r w:rsidR="004B652C">
        <w:rPr>
          <w:rFonts w:ascii="Arial" w:hAnsi="Arial" w:cs="Arial"/>
          <w:bCs/>
          <w:sz w:val="24"/>
          <w:szCs w:val="24"/>
          <w:lang w:val="en-ZA"/>
        </w:rPr>
        <w:t>to costs</w:t>
      </w:r>
      <w:r w:rsidR="002E36BD">
        <w:rPr>
          <w:rFonts w:ascii="Arial" w:hAnsi="Arial" w:cs="Arial"/>
          <w:bCs/>
          <w:sz w:val="24"/>
          <w:szCs w:val="24"/>
          <w:lang w:val="en-ZA"/>
        </w:rPr>
        <w:t>.</w:t>
      </w:r>
    </w:p>
    <w:p w14:paraId="26514FBC" w14:textId="77777777" w:rsidR="00CE46FE" w:rsidRDefault="00CE46FE" w:rsidP="007A593E">
      <w:pPr>
        <w:spacing w:after="0" w:line="360" w:lineRule="auto"/>
        <w:jc w:val="both"/>
        <w:rPr>
          <w:rFonts w:ascii="Arial" w:hAnsi="Arial" w:cs="Arial"/>
          <w:sz w:val="24"/>
          <w:szCs w:val="24"/>
          <w:u w:val="single"/>
          <w:lang w:val="en-ZA"/>
        </w:rPr>
      </w:pPr>
    </w:p>
    <w:p w14:paraId="4B05129B" w14:textId="77777777" w:rsidR="007A593E" w:rsidRPr="00B02D41" w:rsidRDefault="007A593E" w:rsidP="007A593E">
      <w:pPr>
        <w:spacing w:after="0" w:line="360" w:lineRule="auto"/>
        <w:jc w:val="both"/>
        <w:rPr>
          <w:rFonts w:ascii="Arial" w:hAnsi="Arial" w:cs="Arial"/>
          <w:sz w:val="24"/>
          <w:szCs w:val="24"/>
          <w:u w:val="single"/>
          <w:lang w:val="en-ZA"/>
        </w:rPr>
      </w:pPr>
      <w:r w:rsidRPr="00B02D41">
        <w:rPr>
          <w:rFonts w:ascii="Arial" w:hAnsi="Arial" w:cs="Arial"/>
          <w:sz w:val="24"/>
          <w:szCs w:val="24"/>
          <w:u w:val="single"/>
          <w:lang w:val="en-ZA"/>
        </w:rPr>
        <w:t xml:space="preserve">Brief </w:t>
      </w:r>
      <w:r>
        <w:rPr>
          <w:rFonts w:ascii="Arial" w:hAnsi="Arial" w:cs="Arial"/>
          <w:sz w:val="24"/>
          <w:szCs w:val="24"/>
          <w:u w:val="single"/>
          <w:lang w:val="en-ZA"/>
        </w:rPr>
        <w:t>factual b</w:t>
      </w:r>
      <w:r w:rsidRPr="00B02D41">
        <w:rPr>
          <w:rFonts w:ascii="Arial" w:hAnsi="Arial" w:cs="Arial"/>
          <w:sz w:val="24"/>
          <w:szCs w:val="24"/>
          <w:u w:val="single"/>
          <w:lang w:val="en-ZA"/>
        </w:rPr>
        <w:t>ackground</w:t>
      </w:r>
    </w:p>
    <w:p w14:paraId="1CA79695" w14:textId="77777777" w:rsidR="007A593E" w:rsidRPr="00171290" w:rsidRDefault="007A593E" w:rsidP="007A593E">
      <w:pPr>
        <w:pStyle w:val="BodyText"/>
        <w:spacing w:line="360" w:lineRule="auto"/>
        <w:jc w:val="both"/>
        <w:rPr>
          <w:rFonts w:ascii="Arial" w:hAnsi="Arial" w:cs="Arial"/>
        </w:rPr>
      </w:pPr>
    </w:p>
    <w:p w14:paraId="64489689" w14:textId="78BA2D51" w:rsidR="007A593E" w:rsidRDefault="00E31D5A" w:rsidP="007A593E">
      <w:pPr>
        <w:pStyle w:val="BodyText"/>
        <w:spacing w:line="360" w:lineRule="auto"/>
        <w:jc w:val="both"/>
        <w:rPr>
          <w:rFonts w:ascii="Arial" w:hAnsi="Arial" w:cs="Arial"/>
        </w:rPr>
      </w:pPr>
      <w:r>
        <w:rPr>
          <w:rFonts w:ascii="Arial" w:hAnsi="Arial" w:cs="Arial"/>
        </w:rPr>
        <w:t>[8</w:t>
      </w:r>
      <w:r w:rsidR="00053133">
        <w:rPr>
          <w:rFonts w:ascii="Arial" w:hAnsi="Arial" w:cs="Arial"/>
        </w:rPr>
        <w:t>]</w:t>
      </w:r>
      <w:r w:rsidR="00053133">
        <w:rPr>
          <w:rFonts w:ascii="Arial" w:hAnsi="Arial" w:cs="Arial"/>
        </w:rPr>
        <w:tab/>
      </w:r>
      <w:r w:rsidR="000B2BE1">
        <w:rPr>
          <w:rFonts w:ascii="Arial" w:hAnsi="Arial" w:cs="Arial"/>
        </w:rPr>
        <w:t>In 1998, the a</w:t>
      </w:r>
      <w:r w:rsidR="007A593E">
        <w:rPr>
          <w:rFonts w:ascii="Arial" w:hAnsi="Arial" w:cs="Arial"/>
        </w:rPr>
        <w:t xml:space="preserve">pplicant applied for </w:t>
      </w:r>
      <w:r w:rsidR="00617E2A">
        <w:rPr>
          <w:rFonts w:ascii="Arial" w:hAnsi="Arial" w:cs="Arial"/>
        </w:rPr>
        <w:t>the</w:t>
      </w:r>
      <w:r w:rsidR="00AB0FA1">
        <w:rPr>
          <w:rFonts w:ascii="Arial" w:hAnsi="Arial" w:cs="Arial"/>
        </w:rPr>
        <w:t xml:space="preserve"> position of </w:t>
      </w:r>
      <w:r w:rsidR="00617E2A">
        <w:rPr>
          <w:rFonts w:ascii="Arial" w:hAnsi="Arial" w:cs="Arial"/>
        </w:rPr>
        <w:t>General Manager</w:t>
      </w:r>
      <w:r w:rsidR="00073D82">
        <w:rPr>
          <w:rFonts w:ascii="Arial" w:hAnsi="Arial" w:cs="Arial"/>
        </w:rPr>
        <w:t>:</w:t>
      </w:r>
      <w:r w:rsidR="00617E2A">
        <w:rPr>
          <w:rFonts w:ascii="Arial" w:hAnsi="Arial" w:cs="Arial"/>
        </w:rPr>
        <w:t xml:space="preserve"> Operations as advertised by the </w:t>
      </w:r>
      <w:r w:rsidR="000B2BE1">
        <w:rPr>
          <w:rFonts w:ascii="Arial" w:hAnsi="Arial" w:cs="Arial"/>
        </w:rPr>
        <w:t xml:space="preserve">first respondent </w:t>
      </w:r>
      <w:r w:rsidR="00617E2A">
        <w:rPr>
          <w:rFonts w:ascii="Arial" w:hAnsi="Arial" w:cs="Arial"/>
        </w:rPr>
        <w:t xml:space="preserve">in the local </w:t>
      </w:r>
      <w:r w:rsidR="000B2BE1">
        <w:rPr>
          <w:rFonts w:ascii="Arial" w:hAnsi="Arial" w:cs="Arial"/>
        </w:rPr>
        <w:t>newspaper. The a</w:t>
      </w:r>
      <w:r w:rsidR="007A593E">
        <w:rPr>
          <w:rFonts w:ascii="Arial" w:hAnsi="Arial" w:cs="Arial"/>
        </w:rPr>
        <w:t>pplicant was interviewed</w:t>
      </w:r>
      <w:r w:rsidR="00BF6936">
        <w:rPr>
          <w:rFonts w:ascii="Arial" w:hAnsi="Arial" w:cs="Arial"/>
        </w:rPr>
        <w:t>,</w:t>
      </w:r>
      <w:r w:rsidR="007A593E">
        <w:rPr>
          <w:rFonts w:ascii="Arial" w:hAnsi="Arial" w:cs="Arial"/>
        </w:rPr>
        <w:t xml:space="preserve"> and after an assessment</w:t>
      </w:r>
      <w:r w:rsidR="00BF6936">
        <w:rPr>
          <w:rFonts w:ascii="Arial" w:hAnsi="Arial" w:cs="Arial"/>
        </w:rPr>
        <w:t xml:space="preserve"> he </w:t>
      </w:r>
      <w:r w:rsidR="007A593E">
        <w:rPr>
          <w:rFonts w:ascii="Arial" w:hAnsi="Arial" w:cs="Arial"/>
        </w:rPr>
        <w:t xml:space="preserve">was offered </w:t>
      </w:r>
      <w:r w:rsidR="00617E2A">
        <w:rPr>
          <w:rFonts w:ascii="Arial" w:hAnsi="Arial" w:cs="Arial"/>
        </w:rPr>
        <w:t>the position</w:t>
      </w:r>
      <w:r w:rsidR="000B2BE1">
        <w:rPr>
          <w:rFonts w:ascii="Arial" w:hAnsi="Arial" w:cs="Arial"/>
        </w:rPr>
        <w:t xml:space="preserve"> which he accepted. </w:t>
      </w:r>
    </w:p>
    <w:p w14:paraId="4FC3FFC1" w14:textId="77777777" w:rsidR="007A593E" w:rsidRDefault="007A593E" w:rsidP="007A593E">
      <w:pPr>
        <w:pStyle w:val="BodyText"/>
        <w:spacing w:line="360" w:lineRule="auto"/>
        <w:jc w:val="both"/>
        <w:rPr>
          <w:rFonts w:ascii="Arial" w:hAnsi="Arial" w:cs="Arial"/>
        </w:rPr>
      </w:pPr>
    </w:p>
    <w:p w14:paraId="2D375DDD" w14:textId="022C1EFD" w:rsidR="007A593E" w:rsidRDefault="00E31D5A" w:rsidP="007A593E">
      <w:pPr>
        <w:pStyle w:val="BodyText"/>
        <w:spacing w:line="360" w:lineRule="auto"/>
        <w:jc w:val="both"/>
        <w:rPr>
          <w:rFonts w:ascii="Arial" w:hAnsi="Arial" w:cs="Arial"/>
        </w:rPr>
      </w:pPr>
      <w:r>
        <w:rPr>
          <w:rFonts w:ascii="Arial" w:hAnsi="Arial" w:cs="Arial"/>
        </w:rPr>
        <w:lastRenderedPageBreak/>
        <w:t>[9</w:t>
      </w:r>
      <w:r w:rsidR="00053133">
        <w:rPr>
          <w:rFonts w:ascii="Arial" w:hAnsi="Arial" w:cs="Arial"/>
        </w:rPr>
        <w:t>]</w:t>
      </w:r>
      <w:r w:rsidR="00053133">
        <w:rPr>
          <w:rFonts w:ascii="Arial" w:hAnsi="Arial" w:cs="Arial"/>
        </w:rPr>
        <w:tab/>
      </w:r>
      <w:r w:rsidR="000B2BE1">
        <w:rPr>
          <w:rFonts w:ascii="Arial" w:hAnsi="Arial" w:cs="Arial"/>
        </w:rPr>
        <w:t>In 2006, the a</w:t>
      </w:r>
      <w:r w:rsidR="007A593E">
        <w:rPr>
          <w:rFonts w:ascii="Arial" w:hAnsi="Arial" w:cs="Arial"/>
        </w:rPr>
        <w:t>pplicant</w:t>
      </w:r>
      <w:r w:rsidR="00A618E1">
        <w:rPr>
          <w:rFonts w:ascii="Arial" w:hAnsi="Arial" w:cs="Arial"/>
        </w:rPr>
        <w:t>,</w:t>
      </w:r>
      <w:r w:rsidR="007A593E">
        <w:rPr>
          <w:rFonts w:ascii="Arial" w:hAnsi="Arial" w:cs="Arial"/>
        </w:rPr>
        <w:t xml:space="preserve"> after consultation </w:t>
      </w:r>
      <w:r w:rsidR="00073D82">
        <w:rPr>
          <w:rFonts w:ascii="Arial" w:hAnsi="Arial" w:cs="Arial"/>
        </w:rPr>
        <w:t xml:space="preserve">with </w:t>
      </w:r>
      <w:r w:rsidR="007A593E">
        <w:rPr>
          <w:rFonts w:ascii="Arial" w:hAnsi="Arial" w:cs="Arial"/>
        </w:rPr>
        <w:t xml:space="preserve">the </w:t>
      </w:r>
      <w:r w:rsidR="000B2BE1">
        <w:rPr>
          <w:rFonts w:ascii="Arial" w:hAnsi="Arial" w:cs="Arial"/>
        </w:rPr>
        <w:t>first respondent</w:t>
      </w:r>
      <w:r w:rsidR="007A593E">
        <w:rPr>
          <w:rFonts w:ascii="Arial" w:hAnsi="Arial" w:cs="Arial"/>
        </w:rPr>
        <w:t>, was transferred to the position of General Manager: Engineering and Scientific Servic</w:t>
      </w:r>
      <w:r w:rsidR="00053133">
        <w:rPr>
          <w:rFonts w:ascii="Arial" w:hAnsi="Arial" w:cs="Arial"/>
        </w:rPr>
        <w:t>es, a position he held up to</w:t>
      </w:r>
      <w:r w:rsidR="007A593E">
        <w:rPr>
          <w:rFonts w:ascii="Arial" w:hAnsi="Arial" w:cs="Arial"/>
        </w:rPr>
        <w:t xml:space="preserve"> 7</w:t>
      </w:r>
      <w:r w:rsidR="00053133">
        <w:rPr>
          <w:rFonts w:ascii="Arial" w:hAnsi="Arial" w:cs="Arial"/>
        </w:rPr>
        <w:t xml:space="preserve"> July 2014. On</w:t>
      </w:r>
      <w:r w:rsidR="007A593E">
        <w:rPr>
          <w:rFonts w:ascii="Arial" w:hAnsi="Arial" w:cs="Arial"/>
        </w:rPr>
        <w:t xml:space="preserve"> 7 July 2014, the</w:t>
      </w:r>
      <w:r w:rsidR="000B2BE1">
        <w:rPr>
          <w:rFonts w:ascii="Arial" w:hAnsi="Arial" w:cs="Arial"/>
        </w:rPr>
        <w:t xml:space="preserve"> respondent</w:t>
      </w:r>
      <w:r w:rsidR="007A593E">
        <w:rPr>
          <w:rFonts w:ascii="Arial" w:hAnsi="Arial" w:cs="Arial"/>
        </w:rPr>
        <w:t>, implemented the revised structure and unilaterally abolish</w:t>
      </w:r>
      <w:r w:rsidR="008F098B">
        <w:rPr>
          <w:rFonts w:ascii="Arial" w:hAnsi="Arial" w:cs="Arial"/>
        </w:rPr>
        <w:t>ed</w:t>
      </w:r>
      <w:r w:rsidR="007A593E">
        <w:rPr>
          <w:rFonts w:ascii="Arial" w:hAnsi="Arial" w:cs="Arial"/>
        </w:rPr>
        <w:t xml:space="preserve"> the applican</w:t>
      </w:r>
      <w:r w:rsidR="000B2BE1">
        <w:rPr>
          <w:rFonts w:ascii="Arial" w:hAnsi="Arial" w:cs="Arial"/>
        </w:rPr>
        <w:t xml:space="preserve">t’s position, </w:t>
      </w:r>
      <w:r w:rsidR="008F098B">
        <w:rPr>
          <w:rFonts w:ascii="Arial" w:hAnsi="Arial" w:cs="Arial"/>
        </w:rPr>
        <w:t xml:space="preserve">by handing him an </w:t>
      </w:r>
      <w:r w:rsidR="007A593E">
        <w:rPr>
          <w:rFonts w:ascii="Arial" w:hAnsi="Arial" w:cs="Arial"/>
        </w:rPr>
        <w:t>appoint</w:t>
      </w:r>
      <w:r w:rsidR="008F098B">
        <w:rPr>
          <w:rFonts w:ascii="Arial" w:hAnsi="Arial" w:cs="Arial"/>
        </w:rPr>
        <w:t xml:space="preserve">ment letter to </w:t>
      </w:r>
      <w:r w:rsidR="00173CBC">
        <w:rPr>
          <w:rFonts w:ascii="Arial" w:hAnsi="Arial" w:cs="Arial"/>
        </w:rPr>
        <w:t xml:space="preserve">a </w:t>
      </w:r>
      <w:r w:rsidR="008F098B">
        <w:rPr>
          <w:rFonts w:ascii="Arial" w:hAnsi="Arial" w:cs="Arial"/>
        </w:rPr>
        <w:t xml:space="preserve">new </w:t>
      </w:r>
      <w:r w:rsidR="007A593E">
        <w:rPr>
          <w:rFonts w:ascii="Arial" w:hAnsi="Arial" w:cs="Arial"/>
        </w:rPr>
        <w:t>position</w:t>
      </w:r>
      <w:r w:rsidR="00073D82">
        <w:rPr>
          <w:rFonts w:ascii="Arial" w:hAnsi="Arial" w:cs="Arial"/>
        </w:rPr>
        <w:t xml:space="preserve"> of Chief: Water Supply – Central</w:t>
      </w:r>
      <w:r w:rsidR="00920350">
        <w:rPr>
          <w:rFonts w:ascii="Arial" w:hAnsi="Arial" w:cs="Arial"/>
        </w:rPr>
        <w:t>.</w:t>
      </w:r>
      <w:r w:rsidR="00920350">
        <w:rPr>
          <w:rStyle w:val="FootnoteReference"/>
          <w:rFonts w:ascii="Arial" w:hAnsi="Arial" w:cs="Arial"/>
        </w:rPr>
        <w:footnoteReference w:id="1"/>
      </w:r>
    </w:p>
    <w:p w14:paraId="09093F02" w14:textId="77777777" w:rsidR="00284E8D" w:rsidRDefault="00284E8D" w:rsidP="00523395">
      <w:pPr>
        <w:pStyle w:val="BodyText"/>
        <w:tabs>
          <w:tab w:val="left" w:pos="720"/>
          <w:tab w:val="left" w:pos="2268"/>
        </w:tabs>
        <w:spacing w:line="360" w:lineRule="auto"/>
        <w:jc w:val="both"/>
        <w:rPr>
          <w:rFonts w:ascii="Arial" w:hAnsi="Arial" w:cs="Arial"/>
          <w:u w:val="single"/>
        </w:rPr>
      </w:pPr>
    </w:p>
    <w:p w14:paraId="2725CB9E" w14:textId="2CB4890A" w:rsidR="00EC1D2B" w:rsidRDefault="007A593E" w:rsidP="00523395">
      <w:pPr>
        <w:pStyle w:val="BodyText"/>
        <w:tabs>
          <w:tab w:val="left" w:pos="720"/>
          <w:tab w:val="left" w:pos="2268"/>
        </w:tabs>
        <w:spacing w:line="360" w:lineRule="auto"/>
        <w:jc w:val="both"/>
        <w:rPr>
          <w:rFonts w:ascii="Arial" w:hAnsi="Arial" w:cs="Arial"/>
          <w:u w:val="single"/>
        </w:rPr>
      </w:pPr>
      <w:r w:rsidRPr="007A593E">
        <w:rPr>
          <w:rFonts w:ascii="Arial" w:hAnsi="Arial" w:cs="Arial"/>
          <w:u w:val="single"/>
        </w:rPr>
        <w:t xml:space="preserve">Issues for determination in </w:t>
      </w:r>
      <w:r w:rsidR="00053133">
        <w:rPr>
          <w:rFonts w:ascii="Arial" w:hAnsi="Arial" w:cs="Arial"/>
          <w:u w:val="single"/>
        </w:rPr>
        <w:t xml:space="preserve">the </w:t>
      </w:r>
      <w:r w:rsidRPr="007A593E">
        <w:rPr>
          <w:rFonts w:ascii="Arial" w:hAnsi="Arial" w:cs="Arial"/>
          <w:u w:val="single"/>
        </w:rPr>
        <w:t>appeal</w:t>
      </w:r>
    </w:p>
    <w:p w14:paraId="35B948C1" w14:textId="77777777" w:rsidR="00CE46FE" w:rsidRDefault="00CE46FE" w:rsidP="00523395">
      <w:pPr>
        <w:pStyle w:val="BodyText"/>
        <w:tabs>
          <w:tab w:val="left" w:pos="720"/>
          <w:tab w:val="left" w:pos="2268"/>
        </w:tabs>
        <w:spacing w:line="360" w:lineRule="auto"/>
        <w:jc w:val="both"/>
        <w:rPr>
          <w:rFonts w:ascii="Arial" w:hAnsi="Arial" w:cs="Arial"/>
          <w:u w:val="single"/>
        </w:rPr>
      </w:pPr>
    </w:p>
    <w:p w14:paraId="578ED253" w14:textId="493ABA79" w:rsidR="00A618E1" w:rsidRDefault="00E31D5A" w:rsidP="00CE46FE">
      <w:pPr>
        <w:spacing w:after="0" w:line="360" w:lineRule="auto"/>
        <w:jc w:val="both"/>
        <w:rPr>
          <w:rFonts w:ascii="Arial" w:hAnsi="Arial" w:cs="Arial"/>
          <w:bCs/>
          <w:sz w:val="24"/>
          <w:szCs w:val="24"/>
          <w:lang w:val="en-ZA"/>
        </w:rPr>
      </w:pPr>
      <w:r>
        <w:rPr>
          <w:rFonts w:ascii="Arial" w:hAnsi="Arial" w:cs="Arial"/>
          <w:bCs/>
          <w:sz w:val="24"/>
          <w:szCs w:val="24"/>
          <w:lang w:val="en-ZA"/>
        </w:rPr>
        <w:t>[10</w:t>
      </w:r>
      <w:r w:rsidR="00433FCD">
        <w:rPr>
          <w:rFonts w:ascii="Arial" w:hAnsi="Arial" w:cs="Arial"/>
          <w:bCs/>
          <w:sz w:val="24"/>
          <w:szCs w:val="24"/>
          <w:lang w:val="en-ZA"/>
        </w:rPr>
        <w:t>]</w:t>
      </w:r>
      <w:r w:rsidR="00A618E1">
        <w:rPr>
          <w:rFonts w:ascii="Arial" w:hAnsi="Arial" w:cs="Arial"/>
          <w:bCs/>
          <w:sz w:val="24"/>
          <w:szCs w:val="24"/>
          <w:lang w:val="en-ZA"/>
        </w:rPr>
        <w:tab/>
        <w:t>The following issues arise for determination in this appeal:</w:t>
      </w:r>
      <w:r w:rsidR="00433FCD">
        <w:rPr>
          <w:rFonts w:ascii="Arial" w:hAnsi="Arial" w:cs="Arial"/>
          <w:bCs/>
          <w:sz w:val="24"/>
          <w:szCs w:val="24"/>
          <w:lang w:val="en-ZA"/>
        </w:rPr>
        <w:t xml:space="preserve"> </w:t>
      </w:r>
    </w:p>
    <w:p w14:paraId="6D109357" w14:textId="77777777" w:rsidR="00EB6430" w:rsidRDefault="00EB6430" w:rsidP="00CE46FE">
      <w:pPr>
        <w:spacing w:after="0" w:line="360" w:lineRule="auto"/>
        <w:jc w:val="both"/>
        <w:rPr>
          <w:rFonts w:ascii="Arial" w:hAnsi="Arial" w:cs="Arial"/>
          <w:bCs/>
          <w:sz w:val="24"/>
          <w:szCs w:val="24"/>
          <w:lang w:val="en-ZA"/>
        </w:rPr>
      </w:pPr>
    </w:p>
    <w:p w14:paraId="026C39A3" w14:textId="30F97543" w:rsidR="00B47778" w:rsidRDefault="00A618E1" w:rsidP="00CE46FE">
      <w:pPr>
        <w:spacing w:after="0" w:line="360" w:lineRule="auto"/>
        <w:jc w:val="both"/>
        <w:rPr>
          <w:rFonts w:ascii="Arial" w:hAnsi="Arial" w:cs="Arial"/>
          <w:bCs/>
          <w:sz w:val="24"/>
          <w:szCs w:val="24"/>
          <w:lang w:val="en-ZA"/>
        </w:rPr>
      </w:pPr>
      <w:r>
        <w:rPr>
          <w:rFonts w:ascii="Arial" w:hAnsi="Arial" w:cs="Arial"/>
          <w:bCs/>
          <w:sz w:val="24"/>
          <w:szCs w:val="24"/>
          <w:lang w:val="en-ZA"/>
        </w:rPr>
        <w:t xml:space="preserve">(a) </w:t>
      </w:r>
      <w:r w:rsidR="003156DC">
        <w:rPr>
          <w:rFonts w:ascii="Arial" w:hAnsi="Arial" w:cs="Arial"/>
          <w:bCs/>
          <w:sz w:val="24"/>
          <w:szCs w:val="24"/>
          <w:lang w:val="en-ZA"/>
        </w:rPr>
        <w:t xml:space="preserve">Whether the </w:t>
      </w:r>
      <w:r w:rsidR="00B47778">
        <w:rPr>
          <w:rFonts w:ascii="Arial" w:hAnsi="Arial" w:cs="Arial"/>
          <w:bCs/>
          <w:sz w:val="24"/>
          <w:szCs w:val="24"/>
          <w:lang w:val="en-ZA"/>
        </w:rPr>
        <w:t>respondent acted or bargaine</w:t>
      </w:r>
      <w:r w:rsidR="00AD7EAD">
        <w:rPr>
          <w:rFonts w:ascii="Arial" w:hAnsi="Arial" w:cs="Arial"/>
          <w:bCs/>
          <w:sz w:val="24"/>
          <w:szCs w:val="24"/>
          <w:lang w:val="en-ZA"/>
        </w:rPr>
        <w:t>d in good faith with the appella</w:t>
      </w:r>
      <w:r w:rsidR="00B47778">
        <w:rPr>
          <w:rFonts w:ascii="Arial" w:hAnsi="Arial" w:cs="Arial"/>
          <w:bCs/>
          <w:sz w:val="24"/>
          <w:szCs w:val="24"/>
          <w:lang w:val="en-ZA"/>
        </w:rPr>
        <w:t>nt when the respondent lock</w:t>
      </w:r>
      <w:r w:rsidR="00053133">
        <w:rPr>
          <w:rFonts w:ascii="Arial" w:hAnsi="Arial" w:cs="Arial"/>
          <w:bCs/>
          <w:sz w:val="24"/>
          <w:szCs w:val="24"/>
          <w:lang w:val="en-ZA"/>
        </w:rPr>
        <w:t>ed</w:t>
      </w:r>
      <w:r w:rsidR="00B47778">
        <w:rPr>
          <w:rFonts w:ascii="Arial" w:hAnsi="Arial" w:cs="Arial"/>
          <w:bCs/>
          <w:sz w:val="24"/>
          <w:szCs w:val="24"/>
          <w:lang w:val="en-ZA"/>
        </w:rPr>
        <w:t xml:space="preserve"> out the applicant with the view to compel him to accept the new position;</w:t>
      </w:r>
    </w:p>
    <w:p w14:paraId="4EE4B3CD" w14:textId="77777777" w:rsidR="00B47778" w:rsidRDefault="00B47778" w:rsidP="00CE46FE">
      <w:pPr>
        <w:spacing w:after="0" w:line="360" w:lineRule="auto"/>
        <w:jc w:val="both"/>
        <w:rPr>
          <w:rFonts w:ascii="Arial" w:hAnsi="Arial" w:cs="Arial"/>
          <w:bCs/>
          <w:sz w:val="24"/>
          <w:szCs w:val="24"/>
          <w:lang w:val="en-ZA"/>
        </w:rPr>
      </w:pPr>
    </w:p>
    <w:p w14:paraId="1A1790D3" w14:textId="2B6908A2" w:rsidR="00B47778" w:rsidRDefault="00A618E1" w:rsidP="00CE46FE">
      <w:pPr>
        <w:spacing w:after="0" w:line="360" w:lineRule="auto"/>
        <w:jc w:val="both"/>
        <w:rPr>
          <w:rFonts w:ascii="Arial" w:hAnsi="Arial" w:cs="Arial"/>
          <w:bCs/>
          <w:sz w:val="24"/>
          <w:szCs w:val="24"/>
          <w:lang w:val="en-ZA"/>
        </w:rPr>
      </w:pPr>
      <w:r>
        <w:rPr>
          <w:rFonts w:ascii="Arial" w:hAnsi="Arial" w:cs="Arial"/>
          <w:bCs/>
          <w:sz w:val="24"/>
          <w:szCs w:val="24"/>
          <w:lang w:val="en-ZA"/>
        </w:rPr>
        <w:t>(b)</w:t>
      </w:r>
      <w:r w:rsidR="00053133">
        <w:rPr>
          <w:rFonts w:ascii="Arial" w:hAnsi="Arial" w:cs="Arial"/>
          <w:bCs/>
          <w:sz w:val="24"/>
          <w:szCs w:val="24"/>
          <w:lang w:val="en-ZA"/>
        </w:rPr>
        <w:t xml:space="preserve"> Whether in fact the respondent</w:t>
      </w:r>
      <w:r w:rsidR="00B47778">
        <w:rPr>
          <w:rFonts w:ascii="Arial" w:hAnsi="Arial" w:cs="Arial"/>
          <w:bCs/>
          <w:sz w:val="24"/>
          <w:szCs w:val="24"/>
          <w:lang w:val="en-ZA"/>
        </w:rPr>
        <w:t xml:space="preserve"> offered</w:t>
      </w:r>
      <w:r w:rsidR="00053133">
        <w:rPr>
          <w:rFonts w:ascii="Arial" w:hAnsi="Arial" w:cs="Arial"/>
          <w:bCs/>
          <w:sz w:val="24"/>
          <w:szCs w:val="24"/>
          <w:lang w:val="en-ZA"/>
        </w:rPr>
        <w:t xml:space="preserve"> other alternatives to the appell</w:t>
      </w:r>
      <w:r w:rsidR="00B47778">
        <w:rPr>
          <w:rFonts w:ascii="Arial" w:hAnsi="Arial" w:cs="Arial"/>
          <w:bCs/>
          <w:sz w:val="24"/>
          <w:szCs w:val="24"/>
          <w:lang w:val="en-ZA"/>
        </w:rPr>
        <w:t>ant after the parties agreed that the resp</w:t>
      </w:r>
      <w:r w:rsidR="00053133">
        <w:rPr>
          <w:rFonts w:ascii="Arial" w:hAnsi="Arial" w:cs="Arial"/>
          <w:bCs/>
          <w:sz w:val="24"/>
          <w:szCs w:val="24"/>
          <w:lang w:val="en-ZA"/>
        </w:rPr>
        <w:t>ondent was to consult the appell</w:t>
      </w:r>
      <w:r w:rsidR="00B47778">
        <w:rPr>
          <w:rFonts w:ascii="Arial" w:hAnsi="Arial" w:cs="Arial"/>
          <w:bCs/>
          <w:sz w:val="24"/>
          <w:szCs w:val="24"/>
          <w:lang w:val="en-ZA"/>
        </w:rPr>
        <w:t>ant and give him other alternatives other than the offer for the new position;</w:t>
      </w:r>
    </w:p>
    <w:p w14:paraId="629D2156" w14:textId="77777777" w:rsidR="00B47778" w:rsidRDefault="00B47778" w:rsidP="00CE46FE">
      <w:pPr>
        <w:spacing w:after="0" w:line="360" w:lineRule="auto"/>
        <w:jc w:val="both"/>
        <w:rPr>
          <w:rFonts w:ascii="Arial" w:hAnsi="Arial" w:cs="Arial"/>
          <w:bCs/>
          <w:sz w:val="24"/>
          <w:szCs w:val="24"/>
          <w:lang w:val="en-ZA"/>
        </w:rPr>
      </w:pPr>
    </w:p>
    <w:p w14:paraId="70897A56" w14:textId="7823ECCC" w:rsidR="00B47778" w:rsidRDefault="00A618E1" w:rsidP="00CE46FE">
      <w:pPr>
        <w:spacing w:after="0" w:line="360" w:lineRule="auto"/>
        <w:jc w:val="both"/>
        <w:rPr>
          <w:rFonts w:ascii="Arial" w:hAnsi="Arial" w:cs="Arial"/>
          <w:bCs/>
          <w:sz w:val="24"/>
          <w:szCs w:val="24"/>
          <w:lang w:val="en-ZA"/>
        </w:rPr>
      </w:pPr>
      <w:r>
        <w:rPr>
          <w:rFonts w:ascii="Arial" w:hAnsi="Arial" w:cs="Arial"/>
          <w:bCs/>
          <w:sz w:val="24"/>
          <w:szCs w:val="24"/>
          <w:lang w:val="en-ZA"/>
        </w:rPr>
        <w:t>(c)</w:t>
      </w:r>
      <w:r w:rsidR="00B47778">
        <w:rPr>
          <w:rFonts w:ascii="Arial" w:hAnsi="Arial" w:cs="Arial"/>
          <w:bCs/>
          <w:sz w:val="24"/>
          <w:szCs w:val="24"/>
          <w:lang w:val="en-ZA"/>
        </w:rPr>
        <w:t xml:space="preserve"> Whether the first respondent implemented the terms of the settlement agreement; </w:t>
      </w:r>
    </w:p>
    <w:p w14:paraId="6F1E3FC2" w14:textId="77777777" w:rsidR="00235988" w:rsidRDefault="00235988" w:rsidP="00CE46FE">
      <w:pPr>
        <w:spacing w:after="0" w:line="360" w:lineRule="auto"/>
        <w:jc w:val="both"/>
        <w:rPr>
          <w:rFonts w:ascii="Arial" w:hAnsi="Arial" w:cs="Arial"/>
          <w:bCs/>
          <w:sz w:val="24"/>
          <w:szCs w:val="24"/>
          <w:lang w:val="en-ZA"/>
        </w:rPr>
      </w:pPr>
    </w:p>
    <w:p w14:paraId="2BE9ABC9" w14:textId="76D895D3" w:rsidR="00B47778" w:rsidRDefault="00A618E1" w:rsidP="00CE46FE">
      <w:pPr>
        <w:spacing w:after="0" w:line="360" w:lineRule="auto"/>
        <w:jc w:val="both"/>
        <w:rPr>
          <w:rFonts w:ascii="Arial" w:hAnsi="Arial" w:cs="Arial"/>
          <w:bCs/>
          <w:sz w:val="24"/>
          <w:szCs w:val="24"/>
          <w:u w:val="single"/>
          <w:lang w:val="en-ZA"/>
        </w:rPr>
      </w:pPr>
      <w:r>
        <w:rPr>
          <w:rFonts w:ascii="Arial" w:hAnsi="Arial" w:cs="Arial"/>
          <w:bCs/>
          <w:sz w:val="24"/>
          <w:szCs w:val="24"/>
          <w:u w:val="single"/>
          <w:lang w:val="en-ZA"/>
        </w:rPr>
        <w:t xml:space="preserve">Grounds </w:t>
      </w:r>
      <w:r w:rsidR="00235988">
        <w:rPr>
          <w:rFonts w:ascii="Arial" w:hAnsi="Arial" w:cs="Arial"/>
          <w:bCs/>
          <w:sz w:val="24"/>
          <w:szCs w:val="24"/>
          <w:u w:val="single"/>
          <w:lang w:val="en-ZA"/>
        </w:rPr>
        <w:t>o</w:t>
      </w:r>
      <w:r>
        <w:rPr>
          <w:rFonts w:ascii="Arial" w:hAnsi="Arial" w:cs="Arial"/>
          <w:bCs/>
          <w:sz w:val="24"/>
          <w:szCs w:val="24"/>
          <w:u w:val="single"/>
          <w:lang w:val="en-ZA"/>
        </w:rPr>
        <w:t>f</w:t>
      </w:r>
      <w:r w:rsidR="00235988">
        <w:rPr>
          <w:rFonts w:ascii="Arial" w:hAnsi="Arial" w:cs="Arial"/>
          <w:bCs/>
          <w:sz w:val="24"/>
          <w:szCs w:val="24"/>
          <w:u w:val="single"/>
          <w:lang w:val="en-ZA"/>
        </w:rPr>
        <w:t xml:space="preserve"> O</w:t>
      </w:r>
      <w:r>
        <w:rPr>
          <w:rFonts w:ascii="Arial" w:hAnsi="Arial" w:cs="Arial"/>
          <w:bCs/>
          <w:sz w:val="24"/>
          <w:szCs w:val="24"/>
          <w:u w:val="single"/>
          <w:lang w:val="en-ZA"/>
        </w:rPr>
        <w:t>pposition</w:t>
      </w:r>
    </w:p>
    <w:p w14:paraId="56645868" w14:textId="77777777" w:rsidR="00B23B0E" w:rsidRDefault="00B23B0E" w:rsidP="00CE46FE">
      <w:pPr>
        <w:spacing w:after="0" w:line="360" w:lineRule="auto"/>
        <w:jc w:val="both"/>
        <w:rPr>
          <w:rFonts w:ascii="Arial" w:hAnsi="Arial" w:cs="Arial"/>
          <w:bCs/>
          <w:sz w:val="24"/>
          <w:szCs w:val="24"/>
          <w:lang w:val="en-ZA"/>
        </w:rPr>
      </w:pPr>
    </w:p>
    <w:p w14:paraId="7398A162" w14:textId="16C8883D" w:rsidR="00D54F4B" w:rsidRDefault="00E31D5A" w:rsidP="00CE46FE">
      <w:pPr>
        <w:spacing w:after="0" w:line="360" w:lineRule="auto"/>
        <w:jc w:val="both"/>
        <w:rPr>
          <w:rFonts w:ascii="Arial" w:hAnsi="Arial" w:cs="Arial"/>
          <w:bCs/>
          <w:sz w:val="24"/>
          <w:szCs w:val="24"/>
          <w:lang w:val="en-ZA"/>
        </w:rPr>
      </w:pPr>
      <w:r>
        <w:rPr>
          <w:rFonts w:ascii="Arial" w:hAnsi="Arial" w:cs="Arial"/>
          <w:bCs/>
          <w:sz w:val="24"/>
          <w:szCs w:val="24"/>
          <w:lang w:val="en-ZA"/>
        </w:rPr>
        <w:t>[1</w:t>
      </w:r>
      <w:r w:rsidR="00EB6430">
        <w:rPr>
          <w:rFonts w:ascii="Arial" w:hAnsi="Arial" w:cs="Arial"/>
          <w:bCs/>
          <w:sz w:val="24"/>
          <w:szCs w:val="24"/>
          <w:lang w:val="en-ZA"/>
        </w:rPr>
        <w:t>1</w:t>
      </w:r>
      <w:r w:rsidR="00053133">
        <w:rPr>
          <w:rFonts w:ascii="Arial" w:hAnsi="Arial" w:cs="Arial"/>
          <w:bCs/>
          <w:sz w:val="24"/>
          <w:szCs w:val="24"/>
          <w:lang w:val="en-ZA"/>
        </w:rPr>
        <w:t>]</w:t>
      </w:r>
      <w:r w:rsidR="00053133">
        <w:rPr>
          <w:rFonts w:ascii="Arial" w:hAnsi="Arial" w:cs="Arial"/>
          <w:bCs/>
          <w:sz w:val="24"/>
          <w:szCs w:val="24"/>
          <w:lang w:val="en-ZA"/>
        </w:rPr>
        <w:tab/>
      </w:r>
      <w:r w:rsidR="00B23B0E">
        <w:rPr>
          <w:rFonts w:ascii="Arial" w:hAnsi="Arial" w:cs="Arial"/>
          <w:bCs/>
          <w:sz w:val="24"/>
          <w:szCs w:val="24"/>
          <w:lang w:val="en-ZA"/>
        </w:rPr>
        <w:t xml:space="preserve">The </w:t>
      </w:r>
      <w:r w:rsidR="00053133">
        <w:rPr>
          <w:rFonts w:ascii="Arial" w:hAnsi="Arial" w:cs="Arial"/>
          <w:bCs/>
          <w:sz w:val="24"/>
          <w:szCs w:val="24"/>
          <w:lang w:val="en-ZA"/>
        </w:rPr>
        <w:t>representative of the respondent, Ms. Mbu</w:t>
      </w:r>
      <w:r w:rsidR="003D7B3D">
        <w:rPr>
          <w:rFonts w:ascii="Arial" w:hAnsi="Arial" w:cs="Arial"/>
          <w:bCs/>
          <w:sz w:val="24"/>
          <w:szCs w:val="24"/>
          <w:lang w:val="en-ZA"/>
        </w:rPr>
        <w:t xml:space="preserve">dje, stated </w:t>
      </w:r>
      <w:r w:rsidR="00A618E1">
        <w:rPr>
          <w:rFonts w:ascii="Arial" w:hAnsi="Arial" w:cs="Arial"/>
          <w:bCs/>
          <w:sz w:val="24"/>
          <w:szCs w:val="24"/>
          <w:lang w:val="en-ZA"/>
        </w:rPr>
        <w:t xml:space="preserve">at the arbitration hearing </w:t>
      </w:r>
      <w:r w:rsidR="003D7B3D">
        <w:rPr>
          <w:rFonts w:ascii="Arial" w:hAnsi="Arial" w:cs="Arial"/>
          <w:bCs/>
          <w:sz w:val="24"/>
          <w:szCs w:val="24"/>
          <w:lang w:val="en-ZA"/>
        </w:rPr>
        <w:t xml:space="preserve">that </w:t>
      </w:r>
      <w:r w:rsidR="00347689">
        <w:rPr>
          <w:rFonts w:ascii="Arial" w:hAnsi="Arial" w:cs="Arial"/>
          <w:bCs/>
          <w:sz w:val="24"/>
          <w:szCs w:val="24"/>
          <w:lang w:val="en-ZA"/>
        </w:rPr>
        <w:t>the on</w:t>
      </w:r>
      <w:r w:rsidR="00053133">
        <w:rPr>
          <w:rFonts w:ascii="Arial" w:hAnsi="Arial" w:cs="Arial"/>
          <w:bCs/>
          <w:sz w:val="24"/>
          <w:szCs w:val="24"/>
          <w:lang w:val="en-ZA"/>
        </w:rPr>
        <w:t>us of proof rested on the appell</w:t>
      </w:r>
      <w:r w:rsidR="00347689">
        <w:rPr>
          <w:rFonts w:ascii="Arial" w:hAnsi="Arial" w:cs="Arial"/>
          <w:bCs/>
          <w:sz w:val="24"/>
          <w:szCs w:val="24"/>
          <w:lang w:val="en-ZA"/>
        </w:rPr>
        <w:t>ant to pro</w:t>
      </w:r>
      <w:r w:rsidR="0084291A">
        <w:rPr>
          <w:rFonts w:ascii="Arial" w:hAnsi="Arial" w:cs="Arial"/>
          <w:bCs/>
          <w:sz w:val="24"/>
          <w:szCs w:val="24"/>
          <w:lang w:val="en-ZA"/>
        </w:rPr>
        <w:t>ve that the conduct of the</w:t>
      </w:r>
      <w:r w:rsidR="00347689">
        <w:rPr>
          <w:rFonts w:ascii="Arial" w:hAnsi="Arial" w:cs="Arial"/>
          <w:bCs/>
          <w:sz w:val="24"/>
          <w:szCs w:val="24"/>
          <w:lang w:val="en-ZA"/>
        </w:rPr>
        <w:t xml:space="preserve"> respondent in so far as the </w:t>
      </w:r>
      <w:r w:rsidR="003D7B3D">
        <w:rPr>
          <w:rFonts w:ascii="Arial" w:hAnsi="Arial" w:cs="Arial"/>
          <w:bCs/>
          <w:sz w:val="24"/>
          <w:szCs w:val="24"/>
          <w:lang w:val="en-ZA"/>
        </w:rPr>
        <w:t xml:space="preserve">lockout was unlawful for one person. In April 2015, the applicant lodged an urgent application with the Labour Court challenging </w:t>
      </w:r>
      <w:r w:rsidR="00A618E1">
        <w:rPr>
          <w:rFonts w:ascii="Arial" w:hAnsi="Arial" w:cs="Arial"/>
          <w:bCs/>
          <w:sz w:val="24"/>
          <w:szCs w:val="24"/>
          <w:lang w:val="en-ZA"/>
        </w:rPr>
        <w:t>the lawfulness of the lockout of</w:t>
      </w:r>
      <w:r w:rsidR="003D7B3D">
        <w:rPr>
          <w:rFonts w:ascii="Arial" w:hAnsi="Arial" w:cs="Arial"/>
          <w:bCs/>
          <w:sz w:val="24"/>
          <w:szCs w:val="24"/>
          <w:lang w:val="en-ZA"/>
        </w:rPr>
        <w:t xml:space="preserve"> one person. </w:t>
      </w:r>
    </w:p>
    <w:p w14:paraId="1CFC79CB" w14:textId="77777777" w:rsidR="00D54F4B" w:rsidRDefault="00D54F4B" w:rsidP="00CE46FE">
      <w:pPr>
        <w:spacing w:after="0" w:line="360" w:lineRule="auto"/>
        <w:jc w:val="both"/>
        <w:rPr>
          <w:rFonts w:ascii="Arial" w:hAnsi="Arial" w:cs="Arial"/>
          <w:bCs/>
          <w:sz w:val="24"/>
          <w:szCs w:val="24"/>
          <w:lang w:val="en-ZA"/>
        </w:rPr>
      </w:pPr>
    </w:p>
    <w:p w14:paraId="6569F225" w14:textId="7BCF8D07" w:rsidR="00EF1A29" w:rsidRDefault="00E31D5A" w:rsidP="00CE46FE">
      <w:pPr>
        <w:spacing w:after="0" w:line="360" w:lineRule="auto"/>
        <w:jc w:val="both"/>
        <w:rPr>
          <w:rFonts w:ascii="Arial" w:hAnsi="Arial" w:cs="Arial"/>
          <w:bCs/>
          <w:sz w:val="24"/>
          <w:szCs w:val="24"/>
          <w:lang w:val="en-ZA"/>
        </w:rPr>
      </w:pPr>
      <w:r>
        <w:rPr>
          <w:rFonts w:ascii="Arial" w:hAnsi="Arial" w:cs="Arial"/>
          <w:bCs/>
          <w:sz w:val="24"/>
          <w:szCs w:val="24"/>
          <w:lang w:val="en-ZA"/>
        </w:rPr>
        <w:t>[1</w:t>
      </w:r>
      <w:r w:rsidR="00EB6430">
        <w:rPr>
          <w:rFonts w:ascii="Arial" w:hAnsi="Arial" w:cs="Arial"/>
          <w:bCs/>
          <w:sz w:val="24"/>
          <w:szCs w:val="24"/>
          <w:lang w:val="en-ZA"/>
        </w:rPr>
        <w:t>2</w:t>
      </w:r>
      <w:r w:rsidR="00053133">
        <w:rPr>
          <w:rFonts w:ascii="Arial" w:hAnsi="Arial" w:cs="Arial"/>
          <w:bCs/>
          <w:sz w:val="24"/>
          <w:szCs w:val="24"/>
          <w:lang w:val="en-ZA"/>
        </w:rPr>
        <w:t>]</w:t>
      </w:r>
      <w:r w:rsidR="00053133">
        <w:rPr>
          <w:rFonts w:ascii="Arial" w:hAnsi="Arial" w:cs="Arial"/>
          <w:bCs/>
          <w:sz w:val="24"/>
          <w:szCs w:val="24"/>
          <w:lang w:val="en-ZA"/>
        </w:rPr>
        <w:tab/>
      </w:r>
      <w:r w:rsidR="003D7B3D">
        <w:rPr>
          <w:rFonts w:ascii="Arial" w:hAnsi="Arial" w:cs="Arial"/>
          <w:bCs/>
          <w:sz w:val="24"/>
          <w:szCs w:val="24"/>
          <w:lang w:val="en-ZA"/>
        </w:rPr>
        <w:t xml:space="preserve">The </w:t>
      </w:r>
      <w:r w:rsidR="00EB6430">
        <w:rPr>
          <w:rFonts w:ascii="Arial" w:hAnsi="Arial" w:cs="Arial"/>
          <w:bCs/>
          <w:sz w:val="24"/>
          <w:szCs w:val="24"/>
          <w:lang w:val="en-ZA"/>
        </w:rPr>
        <w:t>Labour C</w:t>
      </w:r>
      <w:r w:rsidR="003D7B3D">
        <w:rPr>
          <w:rFonts w:ascii="Arial" w:hAnsi="Arial" w:cs="Arial"/>
          <w:bCs/>
          <w:sz w:val="24"/>
          <w:szCs w:val="24"/>
          <w:lang w:val="en-ZA"/>
        </w:rPr>
        <w:t xml:space="preserve">ourt found that the matter lodged was not urgent </w:t>
      </w:r>
      <w:r w:rsidR="00205825">
        <w:rPr>
          <w:rFonts w:ascii="Arial" w:hAnsi="Arial" w:cs="Arial"/>
          <w:bCs/>
          <w:sz w:val="24"/>
          <w:szCs w:val="24"/>
          <w:lang w:val="en-ZA"/>
        </w:rPr>
        <w:t xml:space="preserve">and the court </w:t>
      </w:r>
      <w:r w:rsidR="003D7B3D">
        <w:rPr>
          <w:rFonts w:ascii="Arial" w:hAnsi="Arial" w:cs="Arial"/>
          <w:bCs/>
          <w:sz w:val="24"/>
          <w:szCs w:val="24"/>
          <w:lang w:val="en-ZA"/>
        </w:rPr>
        <w:t xml:space="preserve">did </w:t>
      </w:r>
      <w:r w:rsidR="00A618E1">
        <w:rPr>
          <w:rFonts w:ascii="Arial" w:hAnsi="Arial" w:cs="Arial"/>
          <w:bCs/>
          <w:sz w:val="24"/>
          <w:szCs w:val="24"/>
          <w:lang w:val="en-ZA"/>
        </w:rPr>
        <w:t>not engage</w:t>
      </w:r>
      <w:r w:rsidR="00205825">
        <w:rPr>
          <w:rFonts w:ascii="Arial" w:hAnsi="Arial" w:cs="Arial"/>
          <w:bCs/>
          <w:sz w:val="24"/>
          <w:szCs w:val="24"/>
          <w:lang w:val="en-ZA"/>
        </w:rPr>
        <w:t xml:space="preserve"> </w:t>
      </w:r>
      <w:r w:rsidR="00053133">
        <w:rPr>
          <w:rFonts w:ascii="Arial" w:hAnsi="Arial" w:cs="Arial"/>
          <w:bCs/>
          <w:sz w:val="24"/>
          <w:szCs w:val="24"/>
          <w:lang w:val="en-ZA"/>
        </w:rPr>
        <w:t xml:space="preserve">in </w:t>
      </w:r>
      <w:r w:rsidR="00205825">
        <w:rPr>
          <w:rFonts w:ascii="Arial" w:hAnsi="Arial" w:cs="Arial"/>
          <w:bCs/>
          <w:sz w:val="24"/>
          <w:szCs w:val="24"/>
          <w:lang w:val="en-ZA"/>
        </w:rPr>
        <w:t xml:space="preserve">the </w:t>
      </w:r>
      <w:r w:rsidR="003D7B3D">
        <w:rPr>
          <w:rFonts w:ascii="Arial" w:hAnsi="Arial" w:cs="Arial"/>
          <w:bCs/>
          <w:sz w:val="24"/>
          <w:szCs w:val="24"/>
          <w:lang w:val="en-ZA"/>
        </w:rPr>
        <w:t>merits of the case</w:t>
      </w:r>
      <w:r w:rsidR="00205825">
        <w:rPr>
          <w:rFonts w:ascii="Arial" w:hAnsi="Arial" w:cs="Arial"/>
          <w:bCs/>
          <w:sz w:val="24"/>
          <w:szCs w:val="24"/>
          <w:lang w:val="en-ZA"/>
        </w:rPr>
        <w:t xml:space="preserve">. </w:t>
      </w:r>
      <w:r w:rsidR="008F64C7">
        <w:rPr>
          <w:rFonts w:ascii="Arial" w:hAnsi="Arial" w:cs="Arial"/>
          <w:bCs/>
          <w:sz w:val="24"/>
          <w:szCs w:val="24"/>
          <w:lang w:val="en-ZA"/>
        </w:rPr>
        <w:t>Ms. Mbudje</w:t>
      </w:r>
      <w:r w:rsidR="00D54F4B">
        <w:rPr>
          <w:rFonts w:ascii="Arial" w:hAnsi="Arial" w:cs="Arial"/>
          <w:bCs/>
          <w:sz w:val="24"/>
          <w:szCs w:val="24"/>
          <w:lang w:val="en-ZA"/>
        </w:rPr>
        <w:t xml:space="preserve"> further argued that</w:t>
      </w:r>
      <w:r w:rsidR="00053133">
        <w:rPr>
          <w:rFonts w:ascii="Arial" w:hAnsi="Arial" w:cs="Arial"/>
          <w:bCs/>
          <w:sz w:val="24"/>
          <w:szCs w:val="24"/>
          <w:lang w:val="en-ZA"/>
        </w:rPr>
        <w:t>, should the appell</w:t>
      </w:r>
      <w:r w:rsidR="00205825">
        <w:rPr>
          <w:rFonts w:ascii="Arial" w:hAnsi="Arial" w:cs="Arial"/>
          <w:bCs/>
          <w:sz w:val="24"/>
          <w:szCs w:val="24"/>
          <w:lang w:val="en-ZA"/>
        </w:rPr>
        <w:t xml:space="preserve">ant wish to challenge the lawfulness of the lockout which still persists, the onus rests on him to lodge a civil claim. </w:t>
      </w:r>
      <w:r w:rsidR="003D7B3D">
        <w:rPr>
          <w:rFonts w:ascii="Arial" w:hAnsi="Arial" w:cs="Arial"/>
          <w:bCs/>
          <w:sz w:val="24"/>
          <w:szCs w:val="24"/>
          <w:lang w:val="en-ZA"/>
        </w:rPr>
        <w:t xml:space="preserve"> </w:t>
      </w:r>
      <w:r w:rsidR="004E47C1">
        <w:rPr>
          <w:rFonts w:ascii="Arial" w:hAnsi="Arial" w:cs="Arial"/>
          <w:bCs/>
          <w:sz w:val="24"/>
          <w:szCs w:val="24"/>
          <w:lang w:val="en-ZA"/>
        </w:rPr>
        <w:t>T</w:t>
      </w:r>
      <w:r w:rsidR="006C2B46">
        <w:rPr>
          <w:rFonts w:ascii="Arial" w:hAnsi="Arial" w:cs="Arial"/>
          <w:bCs/>
          <w:sz w:val="24"/>
          <w:szCs w:val="24"/>
          <w:lang w:val="en-ZA"/>
        </w:rPr>
        <w:t>he</w:t>
      </w:r>
      <w:r w:rsidR="00D54F4B">
        <w:rPr>
          <w:rFonts w:ascii="Arial" w:hAnsi="Arial" w:cs="Arial"/>
          <w:bCs/>
          <w:sz w:val="24"/>
          <w:szCs w:val="24"/>
          <w:lang w:val="en-ZA"/>
        </w:rPr>
        <w:t xml:space="preserve">n, </w:t>
      </w:r>
      <w:r w:rsidR="004D6974">
        <w:rPr>
          <w:rFonts w:ascii="Arial" w:hAnsi="Arial" w:cs="Arial"/>
          <w:bCs/>
          <w:sz w:val="24"/>
          <w:szCs w:val="24"/>
          <w:lang w:val="en-ZA"/>
        </w:rPr>
        <w:t>the respondent</w:t>
      </w:r>
      <w:r w:rsidR="006C2B46">
        <w:rPr>
          <w:rFonts w:ascii="Arial" w:hAnsi="Arial" w:cs="Arial"/>
          <w:bCs/>
          <w:sz w:val="24"/>
          <w:szCs w:val="24"/>
          <w:lang w:val="en-ZA"/>
        </w:rPr>
        <w:t xml:space="preserve"> opted to close its case without </w:t>
      </w:r>
      <w:r w:rsidR="006C2B46">
        <w:rPr>
          <w:rFonts w:ascii="Arial" w:hAnsi="Arial" w:cs="Arial"/>
          <w:bCs/>
          <w:sz w:val="24"/>
          <w:szCs w:val="24"/>
          <w:lang w:val="en-ZA"/>
        </w:rPr>
        <w:lastRenderedPageBreak/>
        <w:t xml:space="preserve">presenting any evidence on merits </w:t>
      </w:r>
      <w:r w:rsidR="004E47C1">
        <w:rPr>
          <w:rFonts w:ascii="Arial" w:hAnsi="Arial" w:cs="Arial"/>
          <w:bCs/>
          <w:sz w:val="24"/>
          <w:szCs w:val="24"/>
          <w:lang w:val="en-ZA"/>
        </w:rPr>
        <w:t xml:space="preserve">and even on points in </w:t>
      </w:r>
      <w:r w:rsidR="004E47C1" w:rsidRPr="004E47C1">
        <w:rPr>
          <w:rFonts w:ascii="Arial" w:hAnsi="Arial" w:cs="Arial"/>
          <w:bCs/>
          <w:i/>
          <w:sz w:val="24"/>
          <w:szCs w:val="24"/>
          <w:lang w:val="en-ZA"/>
        </w:rPr>
        <w:t>limine</w:t>
      </w:r>
      <w:r w:rsidR="004E47C1">
        <w:rPr>
          <w:rFonts w:ascii="Arial" w:hAnsi="Arial" w:cs="Arial"/>
          <w:bCs/>
          <w:sz w:val="24"/>
          <w:szCs w:val="24"/>
          <w:lang w:val="en-ZA"/>
        </w:rPr>
        <w:t xml:space="preserve"> it raised.</w:t>
      </w:r>
      <w:r w:rsidR="006C2B46">
        <w:rPr>
          <w:rFonts w:ascii="Arial" w:hAnsi="Arial" w:cs="Arial"/>
          <w:bCs/>
          <w:sz w:val="24"/>
          <w:szCs w:val="24"/>
          <w:lang w:val="en-ZA"/>
        </w:rPr>
        <w:t xml:space="preserve"> </w:t>
      </w:r>
      <w:r w:rsidR="004E47C1">
        <w:rPr>
          <w:rFonts w:ascii="Arial" w:hAnsi="Arial" w:cs="Arial"/>
          <w:bCs/>
          <w:sz w:val="24"/>
          <w:szCs w:val="24"/>
          <w:lang w:val="en-ZA"/>
        </w:rPr>
        <w:t>The arbitrator</w:t>
      </w:r>
      <w:r w:rsidR="00A618E1">
        <w:rPr>
          <w:rFonts w:ascii="Arial" w:hAnsi="Arial" w:cs="Arial"/>
          <w:bCs/>
          <w:sz w:val="24"/>
          <w:szCs w:val="24"/>
          <w:lang w:val="en-ZA"/>
        </w:rPr>
        <w:t>’</w:t>
      </w:r>
      <w:r w:rsidR="004E47C1">
        <w:rPr>
          <w:rFonts w:ascii="Arial" w:hAnsi="Arial" w:cs="Arial"/>
          <w:bCs/>
          <w:sz w:val="24"/>
          <w:szCs w:val="24"/>
          <w:lang w:val="en-ZA"/>
        </w:rPr>
        <w:t>s award was therefore solely based on the evidence of the applicant.</w:t>
      </w:r>
    </w:p>
    <w:p w14:paraId="649FA230" w14:textId="16426AA8" w:rsidR="00AD7EAD" w:rsidRDefault="00AD7EAD" w:rsidP="00CE46FE">
      <w:pPr>
        <w:spacing w:after="0" w:line="360" w:lineRule="auto"/>
        <w:jc w:val="both"/>
        <w:rPr>
          <w:rFonts w:ascii="Arial" w:hAnsi="Arial" w:cs="Arial"/>
          <w:bCs/>
          <w:sz w:val="24"/>
          <w:szCs w:val="24"/>
          <w:lang w:val="en-ZA"/>
        </w:rPr>
      </w:pPr>
    </w:p>
    <w:p w14:paraId="0D02758B" w14:textId="77777777" w:rsidR="00A33B8F" w:rsidRDefault="00A33B8F" w:rsidP="00CE46FE">
      <w:pPr>
        <w:spacing w:after="0" w:line="360" w:lineRule="auto"/>
        <w:jc w:val="both"/>
        <w:rPr>
          <w:rFonts w:ascii="Arial" w:hAnsi="Arial" w:cs="Arial"/>
          <w:bCs/>
          <w:sz w:val="24"/>
          <w:szCs w:val="24"/>
          <w:lang w:val="en-ZA"/>
        </w:rPr>
      </w:pPr>
    </w:p>
    <w:p w14:paraId="5B1DF5AF" w14:textId="3BC892AD" w:rsidR="00AD7EAD" w:rsidRDefault="00AD7EAD" w:rsidP="00CE46FE">
      <w:pPr>
        <w:spacing w:after="0" w:line="360" w:lineRule="auto"/>
        <w:jc w:val="both"/>
        <w:rPr>
          <w:rFonts w:ascii="Arial" w:hAnsi="Arial" w:cs="Arial"/>
          <w:bCs/>
          <w:sz w:val="24"/>
          <w:szCs w:val="24"/>
          <w:u w:val="single"/>
          <w:lang w:val="en-ZA"/>
        </w:rPr>
      </w:pPr>
      <w:r>
        <w:rPr>
          <w:rFonts w:ascii="Arial" w:hAnsi="Arial" w:cs="Arial"/>
          <w:bCs/>
          <w:sz w:val="24"/>
          <w:szCs w:val="24"/>
          <w:u w:val="single"/>
          <w:lang w:val="en-ZA"/>
        </w:rPr>
        <w:t>Application for condonation</w:t>
      </w:r>
    </w:p>
    <w:p w14:paraId="27672A25" w14:textId="73C34075" w:rsidR="00AD7EAD" w:rsidRDefault="00AD7EAD" w:rsidP="00CE46FE">
      <w:pPr>
        <w:spacing w:after="0" w:line="360" w:lineRule="auto"/>
        <w:jc w:val="both"/>
        <w:rPr>
          <w:rFonts w:ascii="Arial" w:hAnsi="Arial" w:cs="Arial"/>
          <w:bCs/>
          <w:sz w:val="24"/>
          <w:szCs w:val="24"/>
          <w:u w:val="single"/>
          <w:lang w:val="en-ZA"/>
        </w:rPr>
      </w:pPr>
    </w:p>
    <w:p w14:paraId="248CB9F3" w14:textId="5CAE7066" w:rsidR="00C22B8F" w:rsidRPr="00106F93" w:rsidRDefault="00C22B8F" w:rsidP="00CE46FE">
      <w:pPr>
        <w:spacing w:after="0" w:line="360" w:lineRule="auto"/>
        <w:jc w:val="both"/>
        <w:rPr>
          <w:rFonts w:ascii="Arial" w:hAnsi="Arial" w:cs="Arial"/>
          <w:bCs/>
          <w:sz w:val="24"/>
          <w:szCs w:val="24"/>
          <w:lang w:val="en-ZA"/>
        </w:rPr>
      </w:pPr>
      <w:r w:rsidRPr="00106F93">
        <w:rPr>
          <w:rFonts w:ascii="Arial" w:hAnsi="Arial" w:cs="Arial"/>
          <w:bCs/>
          <w:sz w:val="24"/>
          <w:szCs w:val="24"/>
          <w:lang w:val="en-ZA"/>
        </w:rPr>
        <w:t>[1</w:t>
      </w:r>
      <w:r w:rsidR="00B8612C" w:rsidRPr="00106F93">
        <w:rPr>
          <w:rFonts w:ascii="Arial" w:hAnsi="Arial" w:cs="Arial"/>
          <w:bCs/>
          <w:sz w:val="24"/>
          <w:szCs w:val="24"/>
          <w:lang w:val="en-ZA"/>
        </w:rPr>
        <w:t>3</w:t>
      </w:r>
      <w:r w:rsidRPr="00106F93">
        <w:rPr>
          <w:rFonts w:ascii="Arial" w:hAnsi="Arial" w:cs="Arial"/>
          <w:bCs/>
          <w:sz w:val="24"/>
          <w:szCs w:val="24"/>
          <w:lang w:val="en-ZA"/>
        </w:rPr>
        <w:t>]</w:t>
      </w:r>
      <w:r w:rsidRPr="00106F93">
        <w:rPr>
          <w:rFonts w:ascii="Arial" w:hAnsi="Arial" w:cs="Arial"/>
          <w:bCs/>
          <w:sz w:val="24"/>
          <w:szCs w:val="24"/>
          <w:lang w:val="en-ZA"/>
        </w:rPr>
        <w:tab/>
        <w:t>The appellant has made an application for condonation in respect of his non-compliance with the rules of this Honourable Court in relation to the following defaults; his late filing of his notice to oppose the respondent’s appeal, his late filing of this statement containing the grounds to oppose the respondent’s appeal, his late filing of his heads of argument in both appeals, in the event that it is found that his appeal has lapsed, his late prosecution of appeal.</w:t>
      </w:r>
    </w:p>
    <w:p w14:paraId="29FEE3B9" w14:textId="3272F957" w:rsidR="00EB56AA" w:rsidRPr="00106F93" w:rsidRDefault="00EB56AA" w:rsidP="00CE46FE">
      <w:pPr>
        <w:spacing w:after="0" w:line="360" w:lineRule="auto"/>
        <w:jc w:val="both"/>
        <w:rPr>
          <w:rFonts w:ascii="Arial" w:hAnsi="Arial" w:cs="Arial"/>
          <w:bCs/>
          <w:sz w:val="24"/>
          <w:szCs w:val="24"/>
          <w:lang w:val="en-ZA"/>
        </w:rPr>
      </w:pPr>
    </w:p>
    <w:p w14:paraId="7FD43CDE" w14:textId="43C3C775" w:rsidR="00EB56AA" w:rsidRPr="00106F93" w:rsidRDefault="00EB56AA" w:rsidP="00CE46FE">
      <w:pPr>
        <w:spacing w:after="0" w:line="360" w:lineRule="auto"/>
        <w:jc w:val="both"/>
        <w:rPr>
          <w:rFonts w:ascii="Arial" w:hAnsi="Arial" w:cs="Arial"/>
          <w:bCs/>
          <w:sz w:val="24"/>
          <w:szCs w:val="24"/>
          <w:lang w:val="en-ZA"/>
        </w:rPr>
      </w:pPr>
      <w:r w:rsidRPr="00106F93">
        <w:rPr>
          <w:rFonts w:ascii="Arial" w:hAnsi="Arial" w:cs="Arial"/>
          <w:bCs/>
          <w:sz w:val="24"/>
          <w:szCs w:val="24"/>
          <w:lang w:val="en-ZA"/>
        </w:rPr>
        <w:t>[1</w:t>
      </w:r>
      <w:r w:rsidR="00B8612C" w:rsidRPr="00106F93">
        <w:rPr>
          <w:rFonts w:ascii="Arial" w:hAnsi="Arial" w:cs="Arial"/>
          <w:bCs/>
          <w:sz w:val="24"/>
          <w:szCs w:val="24"/>
          <w:lang w:val="en-ZA"/>
        </w:rPr>
        <w:t>4</w:t>
      </w:r>
      <w:r w:rsidRPr="00106F93">
        <w:rPr>
          <w:rFonts w:ascii="Arial" w:hAnsi="Arial" w:cs="Arial"/>
          <w:bCs/>
          <w:sz w:val="24"/>
          <w:szCs w:val="24"/>
          <w:lang w:val="en-ZA"/>
        </w:rPr>
        <w:t>]</w:t>
      </w:r>
      <w:r w:rsidRPr="00106F93">
        <w:rPr>
          <w:rFonts w:ascii="Arial" w:hAnsi="Arial" w:cs="Arial"/>
          <w:bCs/>
          <w:sz w:val="24"/>
          <w:szCs w:val="24"/>
          <w:lang w:val="en-ZA"/>
        </w:rPr>
        <w:tab/>
        <w:t xml:space="preserve">In my view, the reasons for default </w:t>
      </w:r>
      <w:r w:rsidR="00956344" w:rsidRPr="00106F93">
        <w:rPr>
          <w:rFonts w:ascii="Arial" w:hAnsi="Arial" w:cs="Arial"/>
          <w:bCs/>
          <w:sz w:val="24"/>
          <w:szCs w:val="24"/>
          <w:lang w:val="en-ZA"/>
        </w:rPr>
        <w:t>furnished</w:t>
      </w:r>
      <w:r w:rsidRPr="00106F93">
        <w:rPr>
          <w:rFonts w:ascii="Arial" w:hAnsi="Arial" w:cs="Arial"/>
          <w:bCs/>
          <w:sz w:val="24"/>
          <w:szCs w:val="24"/>
          <w:lang w:val="en-ZA"/>
        </w:rPr>
        <w:t xml:space="preserve"> by the appellant </w:t>
      </w:r>
      <w:r w:rsidR="00956344" w:rsidRPr="00106F93">
        <w:rPr>
          <w:rFonts w:ascii="Arial" w:hAnsi="Arial" w:cs="Arial"/>
          <w:bCs/>
          <w:sz w:val="24"/>
          <w:szCs w:val="24"/>
          <w:lang w:val="en-ZA"/>
        </w:rPr>
        <w:t xml:space="preserve">of </w:t>
      </w:r>
      <w:r w:rsidRPr="00106F93">
        <w:rPr>
          <w:rFonts w:ascii="Arial" w:hAnsi="Arial" w:cs="Arial"/>
          <w:bCs/>
          <w:sz w:val="24"/>
          <w:szCs w:val="24"/>
          <w:lang w:val="en-ZA"/>
        </w:rPr>
        <w:t xml:space="preserve">lack of funds </w:t>
      </w:r>
      <w:r w:rsidR="00956344" w:rsidRPr="00106F93">
        <w:rPr>
          <w:rFonts w:ascii="Arial" w:hAnsi="Arial" w:cs="Arial"/>
          <w:bCs/>
          <w:sz w:val="24"/>
          <w:szCs w:val="24"/>
          <w:lang w:val="en-ZA"/>
        </w:rPr>
        <w:t>is condoned by this court. I further submit that good cause has been shown in term</w:t>
      </w:r>
      <w:r w:rsidR="004E532D" w:rsidRPr="00106F93">
        <w:rPr>
          <w:rFonts w:ascii="Arial" w:hAnsi="Arial" w:cs="Arial"/>
          <w:bCs/>
          <w:sz w:val="24"/>
          <w:szCs w:val="24"/>
          <w:lang w:val="en-ZA"/>
        </w:rPr>
        <w:t>s</w:t>
      </w:r>
      <w:r w:rsidR="00956344" w:rsidRPr="00106F93">
        <w:rPr>
          <w:rFonts w:ascii="Arial" w:hAnsi="Arial" w:cs="Arial"/>
          <w:bCs/>
          <w:sz w:val="24"/>
          <w:szCs w:val="24"/>
          <w:lang w:val="en-ZA"/>
        </w:rPr>
        <w:t xml:space="preserve"> of rule 15 of the Labour Court Rules, </w:t>
      </w:r>
      <w:r w:rsidR="004E532D" w:rsidRPr="00106F93">
        <w:rPr>
          <w:rFonts w:ascii="Arial" w:hAnsi="Arial" w:cs="Arial"/>
          <w:bCs/>
          <w:sz w:val="24"/>
          <w:szCs w:val="24"/>
          <w:lang w:val="en-ZA"/>
        </w:rPr>
        <w:t xml:space="preserve">and no evidence of wilful default on the part of the appellant and his reasons for the default are </w:t>
      </w:r>
      <w:r w:rsidR="00B8612C" w:rsidRPr="00106F93">
        <w:rPr>
          <w:rFonts w:ascii="Arial" w:hAnsi="Arial" w:cs="Arial"/>
          <w:bCs/>
          <w:sz w:val="24"/>
          <w:szCs w:val="24"/>
          <w:lang w:val="en-ZA"/>
        </w:rPr>
        <w:t>condoned</w:t>
      </w:r>
      <w:r w:rsidR="004E532D" w:rsidRPr="00106F93">
        <w:rPr>
          <w:rFonts w:ascii="Arial" w:hAnsi="Arial" w:cs="Arial"/>
          <w:bCs/>
          <w:sz w:val="24"/>
          <w:szCs w:val="24"/>
          <w:lang w:val="en-ZA"/>
        </w:rPr>
        <w:t xml:space="preserve">. The appellant is a layperson </w:t>
      </w:r>
      <w:r w:rsidR="00B33DEE" w:rsidRPr="00106F93">
        <w:rPr>
          <w:rFonts w:ascii="Arial" w:hAnsi="Arial" w:cs="Arial"/>
          <w:bCs/>
          <w:sz w:val="24"/>
          <w:szCs w:val="24"/>
          <w:lang w:val="en-ZA"/>
        </w:rPr>
        <w:t xml:space="preserve">in law and he could not on his own comply with the rules without the services of a legal practitioner. </w:t>
      </w:r>
    </w:p>
    <w:p w14:paraId="46B9A159" w14:textId="77777777" w:rsidR="003D7B3D" w:rsidRDefault="003D7B3D" w:rsidP="00CE46FE">
      <w:pPr>
        <w:spacing w:after="0" w:line="360" w:lineRule="auto"/>
        <w:jc w:val="both"/>
        <w:rPr>
          <w:rFonts w:ascii="Arial" w:hAnsi="Arial" w:cs="Arial"/>
          <w:bCs/>
          <w:sz w:val="24"/>
          <w:szCs w:val="24"/>
          <w:lang w:val="en-ZA"/>
        </w:rPr>
      </w:pPr>
    </w:p>
    <w:p w14:paraId="7BBAB882" w14:textId="4A6004DB" w:rsidR="00A73CE7" w:rsidRDefault="00D17819" w:rsidP="00CE46FE">
      <w:pPr>
        <w:spacing w:after="0" w:line="360" w:lineRule="auto"/>
        <w:jc w:val="both"/>
        <w:rPr>
          <w:rFonts w:ascii="Arial" w:hAnsi="Arial" w:cs="Arial"/>
          <w:bCs/>
          <w:sz w:val="24"/>
          <w:szCs w:val="24"/>
          <w:u w:val="single"/>
          <w:lang w:val="en-ZA"/>
        </w:rPr>
      </w:pPr>
      <w:r>
        <w:rPr>
          <w:rFonts w:ascii="Arial" w:hAnsi="Arial" w:cs="Arial"/>
          <w:bCs/>
          <w:sz w:val="24"/>
          <w:szCs w:val="24"/>
          <w:u w:val="single"/>
          <w:lang w:val="en-ZA"/>
        </w:rPr>
        <w:t xml:space="preserve">Considering the grounds of appeal </w:t>
      </w:r>
    </w:p>
    <w:p w14:paraId="60A71A27" w14:textId="77777777" w:rsidR="00D17819" w:rsidRDefault="00D17819" w:rsidP="00CE46FE">
      <w:pPr>
        <w:spacing w:after="0" w:line="360" w:lineRule="auto"/>
        <w:jc w:val="both"/>
        <w:rPr>
          <w:rFonts w:ascii="Arial" w:hAnsi="Arial" w:cs="Arial"/>
          <w:bCs/>
          <w:sz w:val="24"/>
          <w:szCs w:val="24"/>
          <w:u w:val="single"/>
          <w:lang w:val="en-ZA"/>
        </w:rPr>
      </w:pPr>
    </w:p>
    <w:p w14:paraId="2D3C74E5" w14:textId="2CA8994B" w:rsidR="00A73CE7" w:rsidRPr="00053133" w:rsidRDefault="00E31D5A" w:rsidP="00A73CE7">
      <w:pPr>
        <w:spacing w:after="0" w:line="360" w:lineRule="auto"/>
        <w:jc w:val="both"/>
        <w:rPr>
          <w:rFonts w:ascii="Arial" w:hAnsi="Arial" w:cs="Arial"/>
          <w:bCs/>
          <w:sz w:val="24"/>
          <w:szCs w:val="24"/>
          <w:lang w:val="en-ZA"/>
        </w:rPr>
      </w:pPr>
      <w:r>
        <w:rPr>
          <w:rFonts w:ascii="Arial" w:hAnsi="Arial" w:cs="Arial"/>
          <w:bCs/>
          <w:sz w:val="24"/>
          <w:szCs w:val="24"/>
          <w:lang w:val="en-ZA"/>
        </w:rPr>
        <w:t>[1</w:t>
      </w:r>
      <w:r w:rsidR="00B8612C">
        <w:rPr>
          <w:rFonts w:ascii="Arial" w:hAnsi="Arial" w:cs="Arial"/>
          <w:bCs/>
          <w:sz w:val="24"/>
          <w:szCs w:val="24"/>
          <w:lang w:val="en-ZA"/>
        </w:rPr>
        <w:t>5</w:t>
      </w:r>
      <w:r w:rsidR="00053133">
        <w:rPr>
          <w:rFonts w:ascii="Arial" w:hAnsi="Arial" w:cs="Arial"/>
          <w:bCs/>
          <w:sz w:val="24"/>
          <w:szCs w:val="24"/>
          <w:lang w:val="en-ZA"/>
        </w:rPr>
        <w:t>]</w:t>
      </w:r>
      <w:r w:rsidR="00053133">
        <w:rPr>
          <w:rFonts w:ascii="Arial" w:hAnsi="Arial" w:cs="Arial"/>
          <w:bCs/>
          <w:sz w:val="24"/>
          <w:szCs w:val="24"/>
          <w:lang w:val="en-ZA"/>
        </w:rPr>
        <w:tab/>
      </w:r>
      <w:r w:rsidR="00D17819">
        <w:rPr>
          <w:rFonts w:ascii="Arial" w:hAnsi="Arial" w:cs="Arial"/>
          <w:bCs/>
          <w:sz w:val="24"/>
          <w:szCs w:val="24"/>
          <w:lang w:val="en-ZA"/>
        </w:rPr>
        <w:t xml:space="preserve">The </w:t>
      </w:r>
      <w:r w:rsidR="00053133">
        <w:rPr>
          <w:rFonts w:ascii="Arial" w:hAnsi="Arial" w:cs="Arial"/>
          <w:bCs/>
          <w:sz w:val="24"/>
          <w:szCs w:val="24"/>
          <w:lang w:val="en-ZA"/>
        </w:rPr>
        <w:t>appell</w:t>
      </w:r>
      <w:r w:rsidR="00D17819">
        <w:rPr>
          <w:rFonts w:ascii="Arial" w:hAnsi="Arial" w:cs="Arial"/>
          <w:bCs/>
          <w:sz w:val="24"/>
          <w:szCs w:val="24"/>
          <w:lang w:val="en-ZA"/>
        </w:rPr>
        <w:t>ant’s first ground of appeal is that the arbitrator erred in law</w:t>
      </w:r>
      <w:r w:rsidR="00A618E1">
        <w:rPr>
          <w:rFonts w:ascii="Arial" w:hAnsi="Arial" w:cs="Arial"/>
          <w:bCs/>
          <w:sz w:val="24"/>
          <w:szCs w:val="24"/>
          <w:lang w:val="en-ZA"/>
        </w:rPr>
        <w:t xml:space="preserve"> in not granting the declarator sought by him</w:t>
      </w:r>
      <w:r w:rsidR="00D17819">
        <w:rPr>
          <w:rFonts w:ascii="Arial" w:hAnsi="Arial" w:cs="Arial"/>
          <w:bCs/>
          <w:sz w:val="24"/>
          <w:szCs w:val="24"/>
          <w:lang w:val="en-ZA"/>
        </w:rPr>
        <w:t>. The powers that the arbitrato</w:t>
      </w:r>
      <w:r w:rsidR="00A618E1">
        <w:rPr>
          <w:rFonts w:ascii="Arial" w:hAnsi="Arial" w:cs="Arial"/>
          <w:bCs/>
          <w:sz w:val="24"/>
          <w:szCs w:val="24"/>
          <w:lang w:val="en-ZA"/>
        </w:rPr>
        <w:t>r has to grant an award emanate from s.</w:t>
      </w:r>
      <w:r w:rsidR="00D17819">
        <w:rPr>
          <w:rFonts w:ascii="Arial" w:hAnsi="Arial" w:cs="Arial"/>
          <w:bCs/>
          <w:sz w:val="24"/>
          <w:szCs w:val="24"/>
          <w:lang w:val="en-ZA"/>
        </w:rPr>
        <w:t xml:space="preserve"> 86 (15) of </w:t>
      </w:r>
      <w:r w:rsidR="008B5B6F">
        <w:rPr>
          <w:rFonts w:ascii="Arial" w:hAnsi="Arial" w:cs="Arial"/>
          <w:bCs/>
          <w:sz w:val="24"/>
          <w:szCs w:val="24"/>
          <w:lang w:val="en-ZA"/>
        </w:rPr>
        <w:t>Labour</w:t>
      </w:r>
      <w:r w:rsidR="00A618E1">
        <w:rPr>
          <w:rFonts w:ascii="Arial" w:hAnsi="Arial" w:cs="Arial"/>
          <w:bCs/>
          <w:sz w:val="24"/>
          <w:szCs w:val="24"/>
          <w:lang w:val="en-ZA"/>
        </w:rPr>
        <w:t xml:space="preserve"> Act, which</w:t>
      </w:r>
      <w:r w:rsidR="006515FF">
        <w:rPr>
          <w:rFonts w:ascii="Arial" w:hAnsi="Arial" w:cs="Arial"/>
          <w:bCs/>
          <w:sz w:val="24"/>
          <w:szCs w:val="24"/>
          <w:lang w:val="en-ZA"/>
        </w:rPr>
        <w:t xml:space="preserve"> provides that an</w:t>
      </w:r>
      <w:r w:rsidR="00A73CE7">
        <w:rPr>
          <w:rFonts w:ascii="Arial" w:hAnsi="Arial" w:cs="Arial"/>
          <w:sz w:val="24"/>
          <w:szCs w:val="24"/>
          <w:lang w:val="en-ZA"/>
        </w:rPr>
        <w:t xml:space="preserve"> arbitrator may make any appropriate arbitration award including;</w:t>
      </w:r>
    </w:p>
    <w:p w14:paraId="2BD1FB3E" w14:textId="77777777" w:rsidR="00D17819" w:rsidRPr="00D17819" w:rsidRDefault="00D17819" w:rsidP="00A73CE7">
      <w:pPr>
        <w:spacing w:after="0" w:line="360" w:lineRule="auto"/>
        <w:jc w:val="both"/>
        <w:rPr>
          <w:rFonts w:ascii="Arial" w:hAnsi="Arial" w:cs="Arial"/>
          <w:bCs/>
          <w:lang w:val="en-ZA"/>
        </w:rPr>
      </w:pPr>
    </w:p>
    <w:p w14:paraId="035D302A" w14:textId="6ED65623"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r>
      <w:r w:rsidR="00D17819" w:rsidRPr="00D17819">
        <w:rPr>
          <w:rFonts w:ascii="Arial" w:hAnsi="Arial" w:cs="Arial"/>
          <w:lang w:val="en-ZA"/>
        </w:rPr>
        <w:t>‘</w:t>
      </w:r>
      <w:r w:rsidRPr="00D17819">
        <w:rPr>
          <w:rFonts w:ascii="Arial" w:hAnsi="Arial" w:cs="Arial"/>
          <w:lang w:val="en-ZA"/>
        </w:rPr>
        <w:t>(a) an interdict;</w:t>
      </w:r>
    </w:p>
    <w:p w14:paraId="290D6CDD" w14:textId="77777777"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t>(b) on order directing the performance of any act that will remedy a wrong;</w:t>
      </w:r>
    </w:p>
    <w:p w14:paraId="03161735" w14:textId="77777777"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t>(c) a declaratory order;</w:t>
      </w:r>
    </w:p>
    <w:p w14:paraId="0184F339" w14:textId="77777777"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t>(d) an order of reinstatement of an employee;</w:t>
      </w:r>
    </w:p>
    <w:p w14:paraId="64737034" w14:textId="77777777"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t>(e) an award of compensation; and</w:t>
      </w:r>
    </w:p>
    <w:p w14:paraId="3BA468F4" w14:textId="13C37258" w:rsidR="00A73CE7" w:rsidRPr="00D17819" w:rsidRDefault="00A73CE7" w:rsidP="00A73CE7">
      <w:pPr>
        <w:spacing w:after="0" w:line="360" w:lineRule="auto"/>
        <w:jc w:val="both"/>
        <w:rPr>
          <w:rFonts w:ascii="Arial" w:hAnsi="Arial" w:cs="Arial"/>
          <w:lang w:val="en-ZA"/>
        </w:rPr>
      </w:pPr>
      <w:r w:rsidRPr="00D17819">
        <w:rPr>
          <w:rFonts w:ascii="Arial" w:hAnsi="Arial" w:cs="Arial"/>
          <w:lang w:val="en-ZA"/>
        </w:rPr>
        <w:tab/>
        <w:t>(f) subject to subsection (16), an order of costs;</w:t>
      </w:r>
      <w:r w:rsidR="00D17819" w:rsidRPr="00D17819">
        <w:rPr>
          <w:rFonts w:ascii="Arial" w:hAnsi="Arial" w:cs="Arial"/>
          <w:lang w:val="en-ZA"/>
        </w:rPr>
        <w:t>’</w:t>
      </w:r>
    </w:p>
    <w:p w14:paraId="644F4547" w14:textId="77777777" w:rsidR="00511938" w:rsidRDefault="00511938" w:rsidP="00F27021">
      <w:pPr>
        <w:pStyle w:val="BodyText"/>
        <w:tabs>
          <w:tab w:val="left" w:pos="720"/>
          <w:tab w:val="left" w:pos="2268"/>
        </w:tabs>
        <w:spacing w:line="360" w:lineRule="auto"/>
        <w:jc w:val="both"/>
        <w:rPr>
          <w:rFonts w:ascii="Arial" w:hAnsi="Arial" w:cs="Arial"/>
        </w:rPr>
      </w:pPr>
    </w:p>
    <w:p w14:paraId="6D1BE743" w14:textId="4248EF2C" w:rsidR="00B17727" w:rsidRDefault="005A6BD0" w:rsidP="00F27021">
      <w:pPr>
        <w:pStyle w:val="BodyText"/>
        <w:tabs>
          <w:tab w:val="left" w:pos="720"/>
          <w:tab w:val="left" w:pos="2268"/>
        </w:tabs>
        <w:spacing w:line="360" w:lineRule="auto"/>
        <w:jc w:val="both"/>
        <w:rPr>
          <w:rFonts w:ascii="Arial" w:hAnsi="Arial" w:cs="Arial"/>
        </w:rPr>
      </w:pPr>
      <w:r>
        <w:rPr>
          <w:rFonts w:ascii="Arial" w:hAnsi="Arial" w:cs="Arial"/>
        </w:rPr>
        <w:lastRenderedPageBreak/>
        <w:t>[1</w:t>
      </w:r>
      <w:r w:rsidR="00A33B8F">
        <w:rPr>
          <w:rFonts w:ascii="Arial" w:hAnsi="Arial" w:cs="Arial"/>
        </w:rPr>
        <w:t>6</w:t>
      </w:r>
      <w:r>
        <w:rPr>
          <w:rFonts w:ascii="Arial" w:hAnsi="Arial" w:cs="Arial"/>
        </w:rPr>
        <w:t>]</w:t>
      </w:r>
      <w:r>
        <w:rPr>
          <w:rFonts w:ascii="Arial" w:hAnsi="Arial" w:cs="Arial"/>
        </w:rPr>
        <w:tab/>
      </w:r>
      <w:r w:rsidR="00F27021">
        <w:rPr>
          <w:rFonts w:ascii="Arial" w:hAnsi="Arial" w:cs="Arial"/>
        </w:rPr>
        <w:t>I pause here to state that it is common cause that</w:t>
      </w:r>
      <w:r w:rsidR="006515FF">
        <w:rPr>
          <w:rFonts w:ascii="Arial" w:hAnsi="Arial" w:cs="Arial"/>
        </w:rPr>
        <w:t xml:space="preserve"> the</w:t>
      </w:r>
      <w:r w:rsidR="00F27021">
        <w:rPr>
          <w:rFonts w:ascii="Arial" w:hAnsi="Arial" w:cs="Arial"/>
        </w:rPr>
        <w:t xml:space="preserve"> </w:t>
      </w:r>
      <w:r w:rsidR="00B55A02">
        <w:rPr>
          <w:rFonts w:ascii="Arial" w:hAnsi="Arial" w:cs="Arial"/>
        </w:rPr>
        <w:t>restructuring exerc</w:t>
      </w:r>
      <w:r w:rsidR="006515FF">
        <w:rPr>
          <w:rFonts w:ascii="Arial" w:hAnsi="Arial" w:cs="Arial"/>
        </w:rPr>
        <w:t xml:space="preserve">ise took place within the </w:t>
      </w:r>
      <w:r w:rsidR="00B55A02">
        <w:rPr>
          <w:rFonts w:ascii="Arial" w:hAnsi="Arial" w:cs="Arial"/>
        </w:rPr>
        <w:t xml:space="preserve">respondent’s company and as a result the </w:t>
      </w:r>
      <w:r w:rsidR="006515FF">
        <w:rPr>
          <w:rFonts w:ascii="Arial" w:hAnsi="Arial" w:cs="Arial"/>
        </w:rPr>
        <w:t>appell</w:t>
      </w:r>
      <w:r w:rsidR="00D54F4B">
        <w:rPr>
          <w:rFonts w:ascii="Arial" w:hAnsi="Arial" w:cs="Arial"/>
        </w:rPr>
        <w:t>ant’s</w:t>
      </w:r>
      <w:r w:rsidR="00F27021">
        <w:rPr>
          <w:rFonts w:ascii="Arial" w:hAnsi="Arial" w:cs="Arial"/>
        </w:rPr>
        <w:t xml:space="preserve"> position was abolished. </w:t>
      </w:r>
      <w:r w:rsidR="00F33401">
        <w:rPr>
          <w:rFonts w:ascii="Arial" w:hAnsi="Arial" w:cs="Arial"/>
        </w:rPr>
        <w:t xml:space="preserve">The respondent’s conduct to unilaterally change or later any term or condition of employment of the appellant is of a serious nature. </w:t>
      </w:r>
    </w:p>
    <w:p w14:paraId="7A645358" w14:textId="77777777" w:rsidR="00B17727" w:rsidRDefault="00B17727" w:rsidP="00F27021">
      <w:pPr>
        <w:pStyle w:val="BodyText"/>
        <w:tabs>
          <w:tab w:val="left" w:pos="720"/>
          <w:tab w:val="left" w:pos="2268"/>
        </w:tabs>
        <w:spacing w:line="360" w:lineRule="auto"/>
        <w:jc w:val="both"/>
        <w:rPr>
          <w:rFonts w:ascii="Arial" w:hAnsi="Arial" w:cs="Arial"/>
        </w:rPr>
      </w:pPr>
    </w:p>
    <w:p w14:paraId="7468F60C" w14:textId="5F8FBFF3" w:rsidR="009F3A0A" w:rsidRPr="00106F93" w:rsidRDefault="00197868" w:rsidP="00F27021">
      <w:pPr>
        <w:pStyle w:val="BodyText"/>
        <w:tabs>
          <w:tab w:val="left" w:pos="720"/>
          <w:tab w:val="left" w:pos="2268"/>
        </w:tabs>
        <w:spacing w:line="360" w:lineRule="auto"/>
        <w:jc w:val="both"/>
        <w:rPr>
          <w:rFonts w:ascii="Arial" w:hAnsi="Arial" w:cs="Arial"/>
        </w:rPr>
      </w:pPr>
      <w:r w:rsidRPr="00106F93">
        <w:rPr>
          <w:rFonts w:ascii="Arial" w:hAnsi="Arial" w:cs="Arial"/>
        </w:rPr>
        <w:t>[1</w:t>
      </w:r>
      <w:r w:rsidR="009204B6" w:rsidRPr="00106F93">
        <w:rPr>
          <w:rFonts w:ascii="Arial" w:hAnsi="Arial" w:cs="Arial"/>
        </w:rPr>
        <w:t>7</w:t>
      </w:r>
      <w:r w:rsidRPr="00106F93">
        <w:rPr>
          <w:rFonts w:ascii="Arial" w:hAnsi="Arial" w:cs="Arial"/>
        </w:rPr>
        <w:t>]</w:t>
      </w:r>
      <w:r w:rsidRPr="00106F93">
        <w:rPr>
          <w:rFonts w:ascii="Arial" w:hAnsi="Arial" w:cs="Arial"/>
        </w:rPr>
        <w:tab/>
      </w:r>
      <w:r w:rsidR="00F33401" w:rsidRPr="00106F93">
        <w:rPr>
          <w:rFonts w:ascii="Arial" w:hAnsi="Arial" w:cs="Arial"/>
        </w:rPr>
        <w:t xml:space="preserve">In a similar matter that came before the Labour Court on appeal in </w:t>
      </w:r>
      <w:r w:rsidR="00F33401" w:rsidRPr="00106F93">
        <w:rPr>
          <w:rFonts w:ascii="Arial" w:hAnsi="Arial" w:cs="Arial"/>
          <w:i/>
        </w:rPr>
        <w:t>Shanjeka v Transnamib Holdings Ltd</w:t>
      </w:r>
      <w:r w:rsidR="00F33401" w:rsidRPr="00106F93">
        <w:rPr>
          <w:rStyle w:val="FootnoteReference"/>
          <w:rFonts w:ascii="Arial" w:hAnsi="Arial" w:cs="Arial"/>
        </w:rPr>
        <w:footnoteReference w:id="2"/>
      </w:r>
      <w:r w:rsidR="00F33401" w:rsidRPr="00106F93">
        <w:rPr>
          <w:rFonts w:ascii="Arial" w:hAnsi="Arial" w:cs="Arial"/>
        </w:rPr>
        <w:t xml:space="preserve"> the court found that the respondent did unilaterally change the terms and conditions of employment of the respondent. It follows that respondent contravened s. 50(1)(e) of the Labour Act and consequently made itself </w:t>
      </w:r>
      <w:r w:rsidR="009F3A0A" w:rsidRPr="00106F93">
        <w:rPr>
          <w:rFonts w:ascii="Arial" w:hAnsi="Arial" w:cs="Arial"/>
        </w:rPr>
        <w:t>g</w:t>
      </w:r>
      <w:r w:rsidR="00F33401" w:rsidRPr="00106F93">
        <w:rPr>
          <w:rFonts w:ascii="Arial" w:hAnsi="Arial" w:cs="Arial"/>
        </w:rPr>
        <w:t>uilty of unfair labour practice.</w:t>
      </w:r>
      <w:r w:rsidR="00B17727" w:rsidRPr="00106F93">
        <w:rPr>
          <w:rFonts w:ascii="Arial" w:hAnsi="Arial" w:cs="Arial"/>
        </w:rPr>
        <w:t xml:space="preserve"> </w:t>
      </w:r>
      <w:r w:rsidR="009F3A0A" w:rsidRPr="00106F93">
        <w:rPr>
          <w:rFonts w:ascii="Arial" w:hAnsi="Arial" w:cs="Arial"/>
        </w:rPr>
        <w:t xml:space="preserve">S. 50(1) states that: </w:t>
      </w:r>
      <w:r w:rsidR="009F3A0A" w:rsidRPr="00106F93">
        <w:rPr>
          <w:rFonts w:ascii="Arial" w:hAnsi="Arial" w:cs="Arial"/>
          <w:i/>
        </w:rPr>
        <w:t xml:space="preserve">It is unfair labour practice for an employer or an employers’ organisation- </w:t>
      </w:r>
    </w:p>
    <w:p w14:paraId="45FD6EC7" w14:textId="77777777" w:rsidR="00B17727" w:rsidRPr="00106F93" w:rsidRDefault="00B17727" w:rsidP="00F27021">
      <w:pPr>
        <w:pStyle w:val="BodyText"/>
        <w:tabs>
          <w:tab w:val="left" w:pos="720"/>
          <w:tab w:val="left" w:pos="2268"/>
        </w:tabs>
        <w:spacing w:line="360" w:lineRule="auto"/>
        <w:jc w:val="both"/>
        <w:rPr>
          <w:rFonts w:ascii="Arial" w:hAnsi="Arial" w:cs="Arial"/>
        </w:rPr>
      </w:pPr>
    </w:p>
    <w:p w14:paraId="43DBFDEB" w14:textId="6FD78911" w:rsidR="009F3A0A" w:rsidRPr="00106F93" w:rsidRDefault="009F3A0A" w:rsidP="00F27021">
      <w:pPr>
        <w:pStyle w:val="BodyText"/>
        <w:tabs>
          <w:tab w:val="left" w:pos="720"/>
          <w:tab w:val="left" w:pos="2268"/>
        </w:tabs>
        <w:spacing w:line="360" w:lineRule="auto"/>
        <w:jc w:val="both"/>
        <w:rPr>
          <w:rFonts w:ascii="Arial" w:hAnsi="Arial" w:cs="Arial"/>
          <w:i/>
        </w:rPr>
      </w:pPr>
      <w:r w:rsidRPr="00106F93">
        <w:rPr>
          <w:rFonts w:ascii="Arial" w:hAnsi="Arial" w:cs="Arial"/>
          <w:i/>
        </w:rPr>
        <w:tab/>
        <w:t>(e) to unilaterally alter any term or condition of employment.</w:t>
      </w:r>
    </w:p>
    <w:p w14:paraId="2858C057" w14:textId="77777777" w:rsidR="009F3A0A" w:rsidRPr="00106F93" w:rsidRDefault="009F3A0A" w:rsidP="00F27021">
      <w:pPr>
        <w:pStyle w:val="BodyText"/>
        <w:tabs>
          <w:tab w:val="left" w:pos="720"/>
          <w:tab w:val="left" w:pos="2268"/>
        </w:tabs>
        <w:spacing w:line="360" w:lineRule="auto"/>
        <w:jc w:val="both"/>
        <w:rPr>
          <w:rFonts w:ascii="Arial" w:hAnsi="Arial" w:cs="Arial"/>
        </w:rPr>
      </w:pPr>
    </w:p>
    <w:p w14:paraId="3B0926A6" w14:textId="759B73CF" w:rsidR="00F33401" w:rsidRPr="00106F93" w:rsidRDefault="00197868" w:rsidP="00F27021">
      <w:pPr>
        <w:pStyle w:val="BodyText"/>
        <w:tabs>
          <w:tab w:val="left" w:pos="720"/>
          <w:tab w:val="left" w:pos="2268"/>
        </w:tabs>
        <w:spacing w:line="360" w:lineRule="auto"/>
        <w:jc w:val="both"/>
        <w:rPr>
          <w:rFonts w:ascii="Arial" w:hAnsi="Arial" w:cs="Arial"/>
        </w:rPr>
      </w:pPr>
      <w:r w:rsidRPr="00106F93">
        <w:rPr>
          <w:rFonts w:ascii="Arial" w:hAnsi="Arial" w:cs="Arial"/>
        </w:rPr>
        <w:t>[1</w:t>
      </w:r>
      <w:r w:rsidR="009204B6" w:rsidRPr="00106F93">
        <w:rPr>
          <w:rFonts w:ascii="Arial" w:hAnsi="Arial" w:cs="Arial"/>
        </w:rPr>
        <w:t>8</w:t>
      </w:r>
      <w:r w:rsidRPr="00106F93">
        <w:rPr>
          <w:rFonts w:ascii="Arial" w:hAnsi="Arial" w:cs="Arial"/>
        </w:rPr>
        <w:t>]</w:t>
      </w:r>
      <w:r w:rsidRPr="00106F93">
        <w:rPr>
          <w:rFonts w:ascii="Arial" w:hAnsi="Arial" w:cs="Arial"/>
        </w:rPr>
        <w:tab/>
      </w:r>
      <w:r w:rsidR="00F2757F" w:rsidRPr="00106F93">
        <w:rPr>
          <w:rFonts w:ascii="Arial" w:hAnsi="Arial" w:cs="Arial"/>
        </w:rPr>
        <w:t xml:space="preserve">I am of the view that once a binding employment agreement is in place between an employer and employee, the law prohibits the employer to unilaterally change any terms or conditions that both parties have agreed on. In this instance, to abolish </w:t>
      </w:r>
      <w:r w:rsidR="00D54009" w:rsidRPr="00106F93">
        <w:rPr>
          <w:rFonts w:ascii="Arial" w:hAnsi="Arial" w:cs="Arial"/>
        </w:rPr>
        <w:t xml:space="preserve">by reason of restructuring, </w:t>
      </w:r>
      <w:r w:rsidR="00F2757F" w:rsidRPr="00106F93">
        <w:rPr>
          <w:rFonts w:ascii="Arial" w:hAnsi="Arial" w:cs="Arial"/>
        </w:rPr>
        <w:t>the position of the appellant, without applying the provisions of s 34 of the Act and bargain or negotiate in good faith</w:t>
      </w:r>
      <w:r w:rsidR="00D54009" w:rsidRPr="00106F93">
        <w:rPr>
          <w:rFonts w:ascii="Arial" w:hAnsi="Arial" w:cs="Arial"/>
        </w:rPr>
        <w:t>, with the appellant is a violation.</w:t>
      </w:r>
    </w:p>
    <w:p w14:paraId="5F050732" w14:textId="5EF1F463" w:rsidR="004E2686" w:rsidRDefault="004E2686" w:rsidP="00F27021">
      <w:pPr>
        <w:pStyle w:val="BodyText"/>
        <w:tabs>
          <w:tab w:val="left" w:pos="720"/>
          <w:tab w:val="left" w:pos="2268"/>
        </w:tabs>
        <w:spacing w:line="360" w:lineRule="auto"/>
        <w:jc w:val="both"/>
        <w:rPr>
          <w:rFonts w:ascii="Arial" w:hAnsi="Arial" w:cs="Arial"/>
          <w:b/>
        </w:rPr>
      </w:pPr>
    </w:p>
    <w:p w14:paraId="03395C80" w14:textId="63D9CC0E" w:rsidR="004E2686" w:rsidRPr="004E2686" w:rsidRDefault="004E2686" w:rsidP="00F27021">
      <w:pPr>
        <w:pStyle w:val="BodyText"/>
        <w:tabs>
          <w:tab w:val="left" w:pos="720"/>
          <w:tab w:val="left" w:pos="2268"/>
        </w:tabs>
        <w:spacing w:line="360" w:lineRule="auto"/>
        <w:jc w:val="both"/>
        <w:rPr>
          <w:rFonts w:ascii="Arial" w:hAnsi="Arial" w:cs="Arial"/>
          <w:i/>
        </w:rPr>
      </w:pPr>
      <w:r w:rsidRPr="00493802">
        <w:rPr>
          <w:rFonts w:ascii="Arial" w:hAnsi="Arial" w:cs="Arial"/>
        </w:rPr>
        <w:t>[</w:t>
      </w:r>
      <w:r w:rsidR="009204B6">
        <w:rPr>
          <w:rFonts w:ascii="Arial" w:hAnsi="Arial" w:cs="Arial"/>
        </w:rPr>
        <w:t>19</w:t>
      </w:r>
      <w:r w:rsidRPr="00493802">
        <w:rPr>
          <w:rFonts w:ascii="Arial" w:hAnsi="Arial" w:cs="Arial"/>
        </w:rPr>
        <w:t>]</w:t>
      </w:r>
      <w:r w:rsidRPr="00493802">
        <w:rPr>
          <w:rFonts w:ascii="Arial" w:hAnsi="Arial" w:cs="Arial"/>
        </w:rPr>
        <w:tab/>
      </w:r>
      <w:r>
        <w:rPr>
          <w:rFonts w:ascii="Arial" w:hAnsi="Arial" w:cs="Arial"/>
        </w:rPr>
        <w:t>T</w:t>
      </w:r>
      <w:r w:rsidRPr="00493802">
        <w:rPr>
          <w:rFonts w:ascii="Arial" w:hAnsi="Arial" w:cs="Arial"/>
        </w:rPr>
        <w:t>he new position offered to the appellant as a result of the restructuring in a letter dated 7 July 2014, did not meet the appellant’s approval. The appellant contested by writing a letter to the CEO of the respondent which was copied to the chairperson of the first respondent’s Board, as well as the Human Resources Committee. The CEO’s response was a mere one liner that; ‘I would like reiterate here that the decision contained in my letter to you of 7 July 2014 remains</w:t>
      </w:r>
      <w:r w:rsidRPr="00493802">
        <w:rPr>
          <w:rFonts w:ascii="Arial" w:hAnsi="Arial" w:cs="Arial"/>
          <w:i/>
        </w:rPr>
        <w:t>.’</w:t>
      </w:r>
    </w:p>
    <w:p w14:paraId="187B4801" w14:textId="77777777" w:rsidR="00D54009" w:rsidRDefault="00D54009" w:rsidP="00F27021">
      <w:pPr>
        <w:pStyle w:val="BodyText"/>
        <w:tabs>
          <w:tab w:val="left" w:pos="720"/>
          <w:tab w:val="left" w:pos="2268"/>
        </w:tabs>
        <w:spacing w:line="360" w:lineRule="auto"/>
        <w:jc w:val="both"/>
        <w:rPr>
          <w:rFonts w:ascii="Arial" w:hAnsi="Arial" w:cs="Arial"/>
        </w:rPr>
      </w:pPr>
    </w:p>
    <w:p w14:paraId="6C6F5C82" w14:textId="4679384A" w:rsidR="00F27021" w:rsidRPr="00F27021" w:rsidRDefault="00D54009" w:rsidP="00F27021">
      <w:pPr>
        <w:pStyle w:val="BodyText"/>
        <w:tabs>
          <w:tab w:val="left" w:pos="720"/>
          <w:tab w:val="left" w:pos="2268"/>
        </w:tabs>
        <w:spacing w:line="360" w:lineRule="auto"/>
        <w:jc w:val="both"/>
        <w:rPr>
          <w:rFonts w:ascii="Arial" w:hAnsi="Arial" w:cs="Arial"/>
        </w:rPr>
      </w:pPr>
      <w:r>
        <w:rPr>
          <w:rFonts w:ascii="Arial" w:hAnsi="Arial" w:cs="Arial"/>
        </w:rPr>
        <w:t>[20]</w:t>
      </w:r>
      <w:r>
        <w:rPr>
          <w:rFonts w:ascii="Arial" w:hAnsi="Arial" w:cs="Arial"/>
        </w:rPr>
        <w:tab/>
      </w:r>
      <w:r w:rsidR="00F27021">
        <w:rPr>
          <w:rFonts w:ascii="Arial" w:hAnsi="Arial" w:cs="Arial"/>
        </w:rPr>
        <w:t>R</w:t>
      </w:r>
      <w:r w:rsidR="00F27021" w:rsidRPr="00F27021">
        <w:rPr>
          <w:rFonts w:ascii="Arial" w:hAnsi="Arial" w:cs="Arial"/>
        </w:rPr>
        <w:t>estructuring normally takes place when an organisation decides to review and reorganise its operations in order to optimize its operations. When this takes place</w:t>
      </w:r>
      <w:r w:rsidR="00A618E1">
        <w:rPr>
          <w:rFonts w:ascii="Arial" w:hAnsi="Arial" w:cs="Arial"/>
        </w:rPr>
        <w:t>, the Act</w:t>
      </w:r>
      <w:r w:rsidR="006515FF">
        <w:rPr>
          <w:rFonts w:ascii="Arial" w:hAnsi="Arial" w:cs="Arial"/>
        </w:rPr>
        <w:t>,</w:t>
      </w:r>
      <w:r w:rsidR="00A618E1">
        <w:rPr>
          <w:rFonts w:ascii="Arial" w:hAnsi="Arial" w:cs="Arial"/>
        </w:rPr>
        <w:t xml:space="preserve"> under s.</w:t>
      </w:r>
      <w:r w:rsidR="006515FF">
        <w:rPr>
          <w:rFonts w:ascii="Arial" w:hAnsi="Arial" w:cs="Arial"/>
        </w:rPr>
        <w:t xml:space="preserve"> 34 makes provision</w:t>
      </w:r>
      <w:r w:rsidR="00F27021" w:rsidRPr="00F27021">
        <w:rPr>
          <w:rFonts w:ascii="Arial" w:hAnsi="Arial" w:cs="Arial"/>
        </w:rPr>
        <w:t xml:space="preserve"> for guidelines to be followed in o</w:t>
      </w:r>
      <w:r w:rsidR="00A618E1">
        <w:rPr>
          <w:rFonts w:ascii="Arial" w:hAnsi="Arial" w:cs="Arial"/>
        </w:rPr>
        <w:t>rder to ensure that the</w:t>
      </w:r>
      <w:r w:rsidR="00F27021" w:rsidRPr="00F27021">
        <w:rPr>
          <w:rFonts w:ascii="Arial" w:hAnsi="Arial" w:cs="Arial"/>
        </w:rPr>
        <w:t xml:space="preserve"> employees </w:t>
      </w:r>
      <w:r w:rsidR="00A618E1">
        <w:rPr>
          <w:rFonts w:ascii="Arial" w:hAnsi="Arial" w:cs="Arial"/>
        </w:rPr>
        <w:t xml:space="preserve">affected </w:t>
      </w:r>
      <w:r w:rsidR="00F27021" w:rsidRPr="00F27021">
        <w:rPr>
          <w:rFonts w:ascii="Arial" w:hAnsi="Arial" w:cs="Arial"/>
        </w:rPr>
        <w:t xml:space="preserve">as a result of the restructuring are treated fairly. </w:t>
      </w:r>
    </w:p>
    <w:p w14:paraId="3CB4500A" w14:textId="77777777" w:rsidR="00F27021" w:rsidRDefault="00F27021" w:rsidP="00EC1D2B">
      <w:pPr>
        <w:pStyle w:val="BodyText"/>
        <w:tabs>
          <w:tab w:val="left" w:pos="720"/>
          <w:tab w:val="left" w:pos="2268"/>
        </w:tabs>
        <w:spacing w:line="360" w:lineRule="auto"/>
        <w:jc w:val="both"/>
        <w:rPr>
          <w:rFonts w:ascii="Arial" w:hAnsi="Arial" w:cs="Arial"/>
        </w:rPr>
      </w:pPr>
    </w:p>
    <w:p w14:paraId="6B63996A" w14:textId="598FBB34" w:rsidR="00B55A02" w:rsidRDefault="00E31D5A" w:rsidP="00EC1D2B">
      <w:pPr>
        <w:pStyle w:val="BodyText"/>
        <w:tabs>
          <w:tab w:val="left" w:pos="720"/>
          <w:tab w:val="left" w:pos="2268"/>
        </w:tabs>
        <w:spacing w:line="360" w:lineRule="auto"/>
        <w:jc w:val="both"/>
        <w:rPr>
          <w:rFonts w:ascii="Arial" w:hAnsi="Arial" w:cs="Arial"/>
        </w:rPr>
      </w:pPr>
      <w:r>
        <w:rPr>
          <w:rFonts w:ascii="Arial" w:hAnsi="Arial" w:cs="Arial"/>
        </w:rPr>
        <w:lastRenderedPageBreak/>
        <w:t>[</w:t>
      </w:r>
      <w:r w:rsidR="009204B6">
        <w:rPr>
          <w:rFonts w:ascii="Arial" w:hAnsi="Arial" w:cs="Arial"/>
        </w:rPr>
        <w:t>21</w:t>
      </w:r>
      <w:r w:rsidR="006515FF">
        <w:rPr>
          <w:rFonts w:ascii="Arial" w:hAnsi="Arial" w:cs="Arial"/>
        </w:rPr>
        <w:t>]</w:t>
      </w:r>
      <w:r w:rsidR="006515FF">
        <w:rPr>
          <w:rFonts w:ascii="Arial" w:hAnsi="Arial" w:cs="Arial"/>
        </w:rPr>
        <w:tab/>
      </w:r>
      <w:r w:rsidR="00A618E1">
        <w:rPr>
          <w:rFonts w:ascii="Arial" w:hAnsi="Arial" w:cs="Arial"/>
        </w:rPr>
        <w:t>S</w:t>
      </w:r>
      <w:r w:rsidR="006515FF">
        <w:rPr>
          <w:rFonts w:ascii="Arial" w:hAnsi="Arial" w:cs="Arial"/>
        </w:rPr>
        <w:t>.</w:t>
      </w:r>
      <w:r w:rsidR="00B55A02">
        <w:rPr>
          <w:rFonts w:ascii="Arial" w:hAnsi="Arial" w:cs="Arial"/>
        </w:rPr>
        <w:t xml:space="preserve"> 34 of the Act provides as follows:</w:t>
      </w:r>
    </w:p>
    <w:p w14:paraId="6701553E" w14:textId="77777777" w:rsidR="00B55A02" w:rsidRDefault="00B55A02" w:rsidP="00EC1D2B">
      <w:pPr>
        <w:pStyle w:val="BodyText"/>
        <w:tabs>
          <w:tab w:val="left" w:pos="720"/>
          <w:tab w:val="left" w:pos="2268"/>
        </w:tabs>
        <w:spacing w:line="360" w:lineRule="auto"/>
        <w:jc w:val="both"/>
        <w:rPr>
          <w:rFonts w:ascii="Arial" w:hAnsi="Arial" w:cs="Arial"/>
        </w:rPr>
      </w:pPr>
    </w:p>
    <w:p w14:paraId="03A382F1" w14:textId="42FAAE47" w:rsidR="00B55A02" w:rsidRPr="008709E0"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B55A02" w:rsidRPr="008709E0">
        <w:rPr>
          <w:rFonts w:ascii="Arial" w:hAnsi="Arial" w:cs="Arial"/>
          <w:sz w:val="22"/>
          <w:szCs w:val="22"/>
        </w:rPr>
        <w:t xml:space="preserve">‘If the reason for an intended dismissal is the reduction of the workforce arising from </w:t>
      </w:r>
      <w:r>
        <w:rPr>
          <w:rFonts w:ascii="Arial" w:hAnsi="Arial" w:cs="Arial"/>
          <w:sz w:val="22"/>
          <w:szCs w:val="22"/>
        </w:rPr>
        <w:tab/>
      </w:r>
      <w:r w:rsidR="00B55A02" w:rsidRPr="008709E0">
        <w:rPr>
          <w:rFonts w:ascii="Arial" w:hAnsi="Arial" w:cs="Arial"/>
          <w:sz w:val="22"/>
          <w:szCs w:val="22"/>
        </w:rPr>
        <w:t xml:space="preserve">the re-organising or transfer of the business or the discontinuance or reduction of the </w:t>
      </w:r>
      <w:r>
        <w:rPr>
          <w:rFonts w:ascii="Arial" w:hAnsi="Arial" w:cs="Arial"/>
          <w:sz w:val="22"/>
          <w:szCs w:val="22"/>
        </w:rPr>
        <w:tab/>
      </w:r>
      <w:r w:rsidR="00B55A02" w:rsidRPr="008709E0">
        <w:rPr>
          <w:rFonts w:ascii="Arial" w:hAnsi="Arial" w:cs="Arial"/>
          <w:sz w:val="22"/>
          <w:szCs w:val="22"/>
        </w:rPr>
        <w:t>business for economic or technological reasons, an employer must:</w:t>
      </w:r>
    </w:p>
    <w:p w14:paraId="24078E9C" w14:textId="77777777" w:rsidR="00B55A02" w:rsidRPr="008709E0" w:rsidRDefault="00B55A02" w:rsidP="00EC1D2B">
      <w:pPr>
        <w:pStyle w:val="BodyText"/>
        <w:tabs>
          <w:tab w:val="left" w:pos="720"/>
          <w:tab w:val="left" w:pos="2268"/>
        </w:tabs>
        <w:spacing w:line="360" w:lineRule="auto"/>
        <w:jc w:val="both"/>
        <w:rPr>
          <w:rFonts w:ascii="Arial" w:hAnsi="Arial" w:cs="Arial"/>
          <w:sz w:val="22"/>
          <w:szCs w:val="22"/>
        </w:rPr>
      </w:pPr>
    </w:p>
    <w:p w14:paraId="222F4260" w14:textId="30DEC3B9" w:rsidR="00B55A02" w:rsidRDefault="00D54009" w:rsidP="006515FF">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B55A02" w:rsidRPr="008709E0">
        <w:rPr>
          <w:rFonts w:ascii="Arial" w:hAnsi="Arial" w:cs="Arial"/>
          <w:sz w:val="22"/>
          <w:szCs w:val="22"/>
        </w:rPr>
        <w:t xml:space="preserve">(a) at least four weeks before the intended dismissals are to take place, inform the </w:t>
      </w:r>
      <w:r>
        <w:rPr>
          <w:rFonts w:ascii="Arial" w:hAnsi="Arial" w:cs="Arial"/>
          <w:sz w:val="22"/>
          <w:szCs w:val="22"/>
        </w:rPr>
        <w:tab/>
      </w:r>
      <w:r w:rsidR="00B55A02" w:rsidRPr="008709E0">
        <w:rPr>
          <w:rFonts w:ascii="Arial" w:hAnsi="Arial" w:cs="Arial"/>
          <w:sz w:val="22"/>
          <w:szCs w:val="22"/>
        </w:rPr>
        <w:t xml:space="preserve">Labour Commissioner and any trade union which the employer has recognised as the </w:t>
      </w:r>
      <w:r>
        <w:rPr>
          <w:rFonts w:ascii="Arial" w:hAnsi="Arial" w:cs="Arial"/>
          <w:sz w:val="22"/>
          <w:szCs w:val="22"/>
        </w:rPr>
        <w:tab/>
      </w:r>
      <w:r w:rsidR="00B55A02" w:rsidRPr="008709E0">
        <w:rPr>
          <w:rFonts w:ascii="Arial" w:hAnsi="Arial" w:cs="Arial"/>
          <w:sz w:val="22"/>
          <w:szCs w:val="22"/>
        </w:rPr>
        <w:t>exclusive bargaining agent in respect of the employees of –</w:t>
      </w:r>
    </w:p>
    <w:p w14:paraId="742C72BC" w14:textId="77777777" w:rsidR="00106F93" w:rsidRPr="008709E0" w:rsidRDefault="00106F93" w:rsidP="006515FF">
      <w:pPr>
        <w:pStyle w:val="BodyText"/>
        <w:tabs>
          <w:tab w:val="left" w:pos="720"/>
          <w:tab w:val="left" w:pos="2268"/>
        </w:tabs>
        <w:spacing w:line="360" w:lineRule="auto"/>
        <w:jc w:val="both"/>
        <w:rPr>
          <w:rFonts w:ascii="Arial" w:hAnsi="Arial" w:cs="Arial"/>
          <w:sz w:val="22"/>
          <w:szCs w:val="22"/>
        </w:rPr>
      </w:pPr>
    </w:p>
    <w:p w14:paraId="7CD62582" w14:textId="6D075297" w:rsidR="00B55A02" w:rsidRPr="008709E0" w:rsidRDefault="00B55A02" w:rsidP="00EC1D2B">
      <w:pPr>
        <w:pStyle w:val="BodyText"/>
        <w:tabs>
          <w:tab w:val="left" w:pos="720"/>
          <w:tab w:val="left" w:pos="2268"/>
        </w:tabs>
        <w:spacing w:line="360" w:lineRule="auto"/>
        <w:jc w:val="both"/>
        <w:rPr>
          <w:rFonts w:ascii="Arial" w:hAnsi="Arial" w:cs="Arial"/>
          <w:sz w:val="22"/>
          <w:szCs w:val="22"/>
        </w:rPr>
      </w:pPr>
      <w:r w:rsidRPr="008709E0">
        <w:rPr>
          <w:rFonts w:ascii="Arial" w:hAnsi="Arial" w:cs="Arial"/>
          <w:sz w:val="22"/>
          <w:szCs w:val="22"/>
        </w:rPr>
        <w:tab/>
      </w:r>
      <w:r w:rsidR="00D54009">
        <w:rPr>
          <w:rFonts w:ascii="Arial" w:hAnsi="Arial" w:cs="Arial"/>
          <w:sz w:val="22"/>
          <w:szCs w:val="22"/>
        </w:rPr>
        <w:tab/>
      </w:r>
      <w:r w:rsidRPr="008709E0">
        <w:rPr>
          <w:rFonts w:ascii="Arial" w:hAnsi="Arial" w:cs="Arial"/>
          <w:sz w:val="22"/>
          <w:szCs w:val="22"/>
        </w:rPr>
        <w:t>(i) the intended dismissals;</w:t>
      </w:r>
    </w:p>
    <w:p w14:paraId="04CAAB6B" w14:textId="4CF86882" w:rsidR="00B55A02" w:rsidRPr="008709E0" w:rsidRDefault="00B55A02" w:rsidP="00EC1D2B">
      <w:pPr>
        <w:pStyle w:val="BodyText"/>
        <w:tabs>
          <w:tab w:val="left" w:pos="720"/>
          <w:tab w:val="left" w:pos="2268"/>
        </w:tabs>
        <w:spacing w:line="360" w:lineRule="auto"/>
        <w:jc w:val="both"/>
        <w:rPr>
          <w:rFonts w:ascii="Arial" w:hAnsi="Arial" w:cs="Arial"/>
          <w:sz w:val="22"/>
          <w:szCs w:val="22"/>
        </w:rPr>
      </w:pPr>
      <w:r w:rsidRPr="008709E0">
        <w:rPr>
          <w:rFonts w:ascii="Arial" w:hAnsi="Arial" w:cs="Arial"/>
          <w:sz w:val="22"/>
          <w:szCs w:val="22"/>
        </w:rPr>
        <w:tab/>
      </w:r>
      <w:r w:rsidR="00D54009">
        <w:rPr>
          <w:rFonts w:ascii="Arial" w:hAnsi="Arial" w:cs="Arial"/>
          <w:sz w:val="22"/>
          <w:szCs w:val="22"/>
        </w:rPr>
        <w:tab/>
      </w:r>
      <w:r w:rsidRPr="008709E0">
        <w:rPr>
          <w:rFonts w:ascii="Arial" w:hAnsi="Arial" w:cs="Arial"/>
          <w:sz w:val="22"/>
          <w:szCs w:val="22"/>
        </w:rPr>
        <w:t>(ii) the reasons for the reduction in the workforce;</w:t>
      </w:r>
    </w:p>
    <w:p w14:paraId="30A1EFEC" w14:textId="70CE3497" w:rsidR="00B55A02" w:rsidRPr="008709E0" w:rsidRDefault="00B55A02" w:rsidP="00EC1D2B">
      <w:pPr>
        <w:pStyle w:val="BodyText"/>
        <w:tabs>
          <w:tab w:val="left" w:pos="720"/>
          <w:tab w:val="left" w:pos="2268"/>
        </w:tabs>
        <w:spacing w:line="360" w:lineRule="auto"/>
        <w:jc w:val="both"/>
        <w:rPr>
          <w:rFonts w:ascii="Arial" w:hAnsi="Arial" w:cs="Arial"/>
          <w:sz w:val="22"/>
          <w:szCs w:val="22"/>
        </w:rPr>
      </w:pPr>
      <w:r w:rsidRPr="008709E0">
        <w:rPr>
          <w:rFonts w:ascii="Arial" w:hAnsi="Arial" w:cs="Arial"/>
          <w:sz w:val="22"/>
          <w:szCs w:val="22"/>
        </w:rPr>
        <w:tab/>
      </w:r>
      <w:r w:rsidR="00D54009">
        <w:rPr>
          <w:rFonts w:ascii="Arial" w:hAnsi="Arial" w:cs="Arial"/>
          <w:sz w:val="22"/>
          <w:szCs w:val="22"/>
        </w:rPr>
        <w:tab/>
      </w:r>
      <w:r w:rsidRPr="008709E0">
        <w:rPr>
          <w:rFonts w:ascii="Arial" w:hAnsi="Arial" w:cs="Arial"/>
          <w:sz w:val="22"/>
          <w:szCs w:val="22"/>
        </w:rPr>
        <w:t>(iii) the number of categories of employees affected; and</w:t>
      </w:r>
    </w:p>
    <w:p w14:paraId="38802355" w14:textId="31C47E3E" w:rsidR="007640A5" w:rsidRPr="008709E0" w:rsidRDefault="007640A5" w:rsidP="00EC1D2B">
      <w:pPr>
        <w:pStyle w:val="BodyText"/>
        <w:tabs>
          <w:tab w:val="left" w:pos="720"/>
          <w:tab w:val="left" w:pos="2268"/>
        </w:tabs>
        <w:spacing w:line="360" w:lineRule="auto"/>
        <w:jc w:val="both"/>
        <w:rPr>
          <w:rFonts w:ascii="Arial" w:hAnsi="Arial" w:cs="Arial"/>
          <w:sz w:val="22"/>
          <w:szCs w:val="22"/>
        </w:rPr>
      </w:pPr>
      <w:r w:rsidRPr="008709E0">
        <w:rPr>
          <w:rFonts w:ascii="Arial" w:hAnsi="Arial" w:cs="Arial"/>
          <w:sz w:val="22"/>
          <w:szCs w:val="22"/>
        </w:rPr>
        <w:tab/>
      </w:r>
      <w:r w:rsidR="00D54009">
        <w:rPr>
          <w:rFonts w:ascii="Arial" w:hAnsi="Arial" w:cs="Arial"/>
          <w:sz w:val="22"/>
          <w:szCs w:val="22"/>
        </w:rPr>
        <w:tab/>
      </w:r>
      <w:r w:rsidRPr="008709E0">
        <w:rPr>
          <w:rFonts w:ascii="Arial" w:hAnsi="Arial" w:cs="Arial"/>
          <w:sz w:val="22"/>
          <w:szCs w:val="22"/>
        </w:rPr>
        <w:t>(iv) the date of the dismissals;</w:t>
      </w:r>
    </w:p>
    <w:p w14:paraId="5413330A" w14:textId="77777777" w:rsidR="007640A5" w:rsidRPr="008709E0" w:rsidRDefault="007640A5" w:rsidP="00EC1D2B">
      <w:pPr>
        <w:pStyle w:val="BodyText"/>
        <w:tabs>
          <w:tab w:val="left" w:pos="720"/>
          <w:tab w:val="left" w:pos="2268"/>
        </w:tabs>
        <w:spacing w:line="360" w:lineRule="auto"/>
        <w:jc w:val="both"/>
        <w:rPr>
          <w:rFonts w:ascii="Arial" w:hAnsi="Arial" w:cs="Arial"/>
          <w:sz w:val="22"/>
          <w:szCs w:val="22"/>
        </w:rPr>
      </w:pPr>
    </w:p>
    <w:p w14:paraId="4EEBE09E" w14:textId="0A340A72" w:rsidR="007640A5"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7640A5" w:rsidRPr="008709E0">
        <w:rPr>
          <w:rFonts w:ascii="Arial" w:hAnsi="Arial" w:cs="Arial"/>
          <w:sz w:val="22"/>
          <w:szCs w:val="22"/>
        </w:rPr>
        <w:t xml:space="preserve">(b) if there is no trade union recognised as the exclusive bargaining agent in respect </w:t>
      </w:r>
      <w:r>
        <w:rPr>
          <w:rFonts w:ascii="Arial" w:hAnsi="Arial" w:cs="Arial"/>
          <w:sz w:val="22"/>
          <w:szCs w:val="22"/>
        </w:rPr>
        <w:tab/>
      </w:r>
      <w:r w:rsidR="007640A5" w:rsidRPr="008709E0">
        <w:rPr>
          <w:rFonts w:ascii="Arial" w:hAnsi="Arial" w:cs="Arial"/>
          <w:sz w:val="22"/>
          <w:szCs w:val="22"/>
        </w:rPr>
        <w:t xml:space="preserve">of the employees, give the information contemplated, give the information </w:t>
      </w:r>
      <w:r>
        <w:rPr>
          <w:rFonts w:ascii="Arial" w:hAnsi="Arial" w:cs="Arial"/>
          <w:sz w:val="22"/>
          <w:szCs w:val="22"/>
        </w:rPr>
        <w:tab/>
      </w:r>
      <w:r w:rsidR="007640A5" w:rsidRPr="008709E0">
        <w:rPr>
          <w:rFonts w:ascii="Arial" w:hAnsi="Arial" w:cs="Arial"/>
          <w:sz w:val="22"/>
          <w:szCs w:val="22"/>
        </w:rPr>
        <w:t xml:space="preserve">contemplated in paragraph (a) to the workplace representative elected in terms of </w:t>
      </w:r>
      <w:r w:rsidR="008709E0">
        <w:rPr>
          <w:rFonts w:ascii="Arial" w:hAnsi="Arial" w:cs="Arial"/>
          <w:sz w:val="22"/>
          <w:szCs w:val="22"/>
        </w:rPr>
        <w:tab/>
      </w:r>
      <w:r w:rsidR="007640A5" w:rsidRPr="008709E0">
        <w:rPr>
          <w:rFonts w:ascii="Arial" w:hAnsi="Arial" w:cs="Arial"/>
          <w:sz w:val="22"/>
          <w:szCs w:val="22"/>
        </w:rPr>
        <w:t>section 67</w:t>
      </w:r>
      <w:r w:rsidR="007F2BAC">
        <w:rPr>
          <w:rFonts w:ascii="Arial" w:hAnsi="Arial" w:cs="Arial"/>
          <w:sz w:val="22"/>
          <w:szCs w:val="22"/>
        </w:rPr>
        <w:t xml:space="preserve"> </w:t>
      </w:r>
      <w:r w:rsidR="007640A5" w:rsidRPr="008709E0">
        <w:rPr>
          <w:rFonts w:ascii="Arial" w:hAnsi="Arial" w:cs="Arial"/>
          <w:sz w:val="22"/>
          <w:szCs w:val="22"/>
        </w:rPr>
        <w:t>and</w:t>
      </w:r>
      <w:r w:rsidR="007F2BAC">
        <w:rPr>
          <w:rFonts w:ascii="Arial" w:hAnsi="Arial" w:cs="Arial"/>
          <w:sz w:val="22"/>
          <w:szCs w:val="22"/>
        </w:rPr>
        <w:t xml:space="preserve"> </w:t>
      </w:r>
      <w:r w:rsidR="007640A5" w:rsidRPr="008709E0">
        <w:rPr>
          <w:rFonts w:ascii="Arial" w:hAnsi="Arial" w:cs="Arial"/>
          <w:sz w:val="22"/>
          <w:szCs w:val="22"/>
        </w:rPr>
        <w:t>the</w:t>
      </w:r>
      <w:r w:rsidR="007F2BAC">
        <w:rPr>
          <w:rFonts w:ascii="Arial" w:hAnsi="Arial" w:cs="Arial"/>
          <w:sz w:val="22"/>
          <w:szCs w:val="22"/>
        </w:rPr>
        <w:t xml:space="preserve"> </w:t>
      </w:r>
      <w:r w:rsidR="007640A5" w:rsidRPr="008709E0">
        <w:rPr>
          <w:rFonts w:ascii="Arial" w:hAnsi="Arial" w:cs="Arial"/>
          <w:sz w:val="22"/>
          <w:szCs w:val="22"/>
        </w:rPr>
        <w:t>employees at least four weeks before the intended dismissals;</w:t>
      </w:r>
    </w:p>
    <w:p w14:paraId="1D06D604" w14:textId="77777777" w:rsidR="00922034" w:rsidRDefault="00922034" w:rsidP="00EC1D2B">
      <w:pPr>
        <w:pStyle w:val="BodyText"/>
        <w:tabs>
          <w:tab w:val="left" w:pos="720"/>
          <w:tab w:val="left" w:pos="2268"/>
        </w:tabs>
        <w:spacing w:line="360" w:lineRule="auto"/>
        <w:jc w:val="both"/>
        <w:rPr>
          <w:rFonts w:ascii="Arial" w:hAnsi="Arial" w:cs="Arial"/>
          <w:sz w:val="22"/>
          <w:szCs w:val="22"/>
        </w:rPr>
      </w:pPr>
    </w:p>
    <w:p w14:paraId="2A4D2382" w14:textId="088AE8A9" w:rsidR="00922034"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2D2A52">
        <w:rPr>
          <w:rFonts w:ascii="Arial" w:hAnsi="Arial" w:cs="Arial"/>
          <w:sz w:val="22"/>
          <w:szCs w:val="22"/>
        </w:rPr>
        <w:t>(</w:t>
      </w:r>
      <w:r w:rsidR="00922034">
        <w:rPr>
          <w:rFonts w:ascii="Arial" w:hAnsi="Arial" w:cs="Arial"/>
          <w:sz w:val="22"/>
          <w:szCs w:val="22"/>
        </w:rPr>
        <w:t xml:space="preserve">c) </w:t>
      </w:r>
      <w:r w:rsidR="002D2A52">
        <w:rPr>
          <w:rFonts w:ascii="Arial" w:hAnsi="Arial" w:cs="Arial"/>
          <w:sz w:val="22"/>
          <w:szCs w:val="22"/>
        </w:rPr>
        <w:t>subject to subsection (3) disclose all relevant infor</w:t>
      </w:r>
      <w:r w:rsidR="006515FF">
        <w:rPr>
          <w:rFonts w:ascii="Arial" w:hAnsi="Arial" w:cs="Arial"/>
          <w:sz w:val="22"/>
          <w:szCs w:val="22"/>
        </w:rPr>
        <w:t xml:space="preserve">mation necessary for the trade </w:t>
      </w:r>
      <w:r>
        <w:rPr>
          <w:rFonts w:ascii="Arial" w:hAnsi="Arial" w:cs="Arial"/>
          <w:sz w:val="22"/>
          <w:szCs w:val="22"/>
        </w:rPr>
        <w:tab/>
      </w:r>
      <w:r w:rsidR="002D2A52">
        <w:rPr>
          <w:rFonts w:ascii="Arial" w:hAnsi="Arial" w:cs="Arial"/>
          <w:sz w:val="22"/>
          <w:szCs w:val="22"/>
        </w:rPr>
        <w:t xml:space="preserve">union or workplace representative to engage effectively in the negotiations over the </w:t>
      </w:r>
      <w:r>
        <w:rPr>
          <w:rFonts w:ascii="Arial" w:hAnsi="Arial" w:cs="Arial"/>
          <w:sz w:val="22"/>
          <w:szCs w:val="22"/>
        </w:rPr>
        <w:tab/>
      </w:r>
      <w:r w:rsidR="002D2A52">
        <w:rPr>
          <w:rFonts w:ascii="Arial" w:hAnsi="Arial" w:cs="Arial"/>
          <w:sz w:val="22"/>
          <w:szCs w:val="22"/>
        </w:rPr>
        <w:t>intended dismissals;</w:t>
      </w:r>
    </w:p>
    <w:p w14:paraId="3AC07E58" w14:textId="77777777" w:rsidR="002D2A52" w:rsidRDefault="002D2A52" w:rsidP="00EC1D2B">
      <w:pPr>
        <w:pStyle w:val="BodyText"/>
        <w:tabs>
          <w:tab w:val="left" w:pos="720"/>
          <w:tab w:val="left" w:pos="2268"/>
        </w:tabs>
        <w:spacing w:line="360" w:lineRule="auto"/>
        <w:jc w:val="both"/>
        <w:rPr>
          <w:rFonts w:ascii="Arial" w:hAnsi="Arial" w:cs="Arial"/>
          <w:sz w:val="22"/>
          <w:szCs w:val="22"/>
        </w:rPr>
      </w:pPr>
    </w:p>
    <w:p w14:paraId="1FC73BD9" w14:textId="540C40A2"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sidR="002D2A52">
        <w:rPr>
          <w:rFonts w:ascii="Arial" w:hAnsi="Arial" w:cs="Arial"/>
          <w:sz w:val="22"/>
          <w:szCs w:val="22"/>
        </w:rPr>
        <w:t>(d) negotiate in good faith with the trade union or workplace union representative on;</w:t>
      </w:r>
    </w:p>
    <w:p w14:paraId="296D7BFD" w14:textId="77777777" w:rsidR="00106F93" w:rsidRDefault="00106F93" w:rsidP="00EC1D2B">
      <w:pPr>
        <w:pStyle w:val="BodyText"/>
        <w:tabs>
          <w:tab w:val="left" w:pos="720"/>
          <w:tab w:val="left" w:pos="2268"/>
        </w:tabs>
        <w:spacing w:line="360" w:lineRule="auto"/>
        <w:jc w:val="both"/>
        <w:rPr>
          <w:rFonts w:ascii="Arial" w:hAnsi="Arial" w:cs="Arial"/>
          <w:sz w:val="22"/>
          <w:szCs w:val="22"/>
        </w:rPr>
      </w:pPr>
    </w:p>
    <w:p w14:paraId="0E633E58" w14:textId="38DC9EF4"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2D2A52">
        <w:rPr>
          <w:rFonts w:ascii="Arial" w:hAnsi="Arial" w:cs="Arial"/>
          <w:sz w:val="22"/>
          <w:szCs w:val="22"/>
        </w:rPr>
        <w:t>(i) alternatives to dismissals;</w:t>
      </w:r>
    </w:p>
    <w:p w14:paraId="08C1C98B" w14:textId="02CAD68E"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2D2A52">
        <w:rPr>
          <w:rFonts w:ascii="Arial" w:hAnsi="Arial" w:cs="Arial"/>
          <w:sz w:val="22"/>
          <w:szCs w:val="22"/>
        </w:rPr>
        <w:t>(ii) the criteria for selecting the employees for dismissal;</w:t>
      </w:r>
    </w:p>
    <w:p w14:paraId="58DEFF2A" w14:textId="3A95A5E1"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2D2A52">
        <w:rPr>
          <w:rFonts w:ascii="Arial" w:hAnsi="Arial" w:cs="Arial"/>
          <w:sz w:val="22"/>
          <w:szCs w:val="22"/>
        </w:rPr>
        <w:t>(iii) how to minimise the dismissals;</w:t>
      </w:r>
    </w:p>
    <w:p w14:paraId="71FC02D7" w14:textId="1A098D99"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2D2A52">
        <w:rPr>
          <w:rFonts w:ascii="Arial" w:hAnsi="Arial" w:cs="Arial"/>
          <w:sz w:val="22"/>
          <w:szCs w:val="22"/>
        </w:rPr>
        <w:t>(iv) the conditions on which the dismissals are to take place; and</w:t>
      </w:r>
    </w:p>
    <w:p w14:paraId="1D0F10BC" w14:textId="7A0DB0CC" w:rsidR="002D2A52" w:rsidRDefault="00D54009"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sidR="002D2A52">
        <w:rPr>
          <w:rFonts w:ascii="Arial" w:hAnsi="Arial" w:cs="Arial"/>
          <w:sz w:val="22"/>
          <w:szCs w:val="22"/>
        </w:rPr>
        <w:t>(v) how to avert the ad</w:t>
      </w:r>
      <w:r w:rsidR="00A618E1">
        <w:rPr>
          <w:rFonts w:ascii="Arial" w:hAnsi="Arial" w:cs="Arial"/>
          <w:sz w:val="22"/>
          <w:szCs w:val="22"/>
        </w:rPr>
        <w:t>verse effects to the dismissals.’</w:t>
      </w:r>
    </w:p>
    <w:p w14:paraId="7A448C6C" w14:textId="77777777" w:rsidR="009204B6" w:rsidRDefault="009204B6" w:rsidP="00EC1D2B">
      <w:pPr>
        <w:pStyle w:val="BodyText"/>
        <w:tabs>
          <w:tab w:val="left" w:pos="720"/>
          <w:tab w:val="left" w:pos="2268"/>
        </w:tabs>
        <w:spacing w:line="360" w:lineRule="auto"/>
        <w:jc w:val="both"/>
        <w:rPr>
          <w:rFonts w:ascii="Arial" w:hAnsi="Arial" w:cs="Arial"/>
          <w:sz w:val="22"/>
          <w:szCs w:val="22"/>
        </w:rPr>
      </w:pPr>
    </w:p>
    <w:p w14:paraId="59E1528B" w14:textId="77777777" w:rsidR="004E2686" w:rsidRDefault="004E2686" w:rsidP="00EC1D2B">
      <w:pPr>
        <w:pStyle w:val="BodyText"/>
        <w:tabs>
          <w:tab w:val="left" w:pos="720"/>
          <w:tab w:val="left" w:pos="2268"/>
        </w:tabs>
        <w:spacing w:line="360" w:lineRule="auto"/>
        <w:jc w:val="both"/>
        <w:rPr>
          <w:rFonts w:ascii="Arial" w:hAnsi="Arial" w:cs="Arial"/>
          <w:sz w:val="22"/>
          <w:szCs w:val="22"/>
        </w:rPr>
      </w:pPr>
    </w:p>
    <w:p w14:paraId="34288A3E" w14:textId="77777777" w:rsidR="004E2686" w:rsidRPr="007D6F46" w:rsidRDefault="004E2686" w:rsidP="004E2686">
      <w:pPr>
        <w:pStyle w:val="BodyText"/>
        <w:tabs>
          <w:tab w:val="left" w:pos="720"/>
          <w:tab w:val="left" w:pos="2268"/>
        </w:tabs>
        <w:spacing w:line="360" w:lineRule="auto"/>
        <w:jc w:val="both"/>
        <w:rPr>
          <w:rFonts w:ascii="Arial" w:hAnsi="Arial" w:cs="Arial"/>
          <w:i/>
        </w:rPr>
      </w:pPr>
      <w:r>
        <w:rPr>
          <w:rFonts w:ascii="Arial" w:hAnsi="Arial" w:cs="Arial"/>
        </w:rPr>
        <w:lastRenderedPageBreak/>
        <w:t>[22]</w:t>
      </w:r>
      <w:r>
        <w:rPr>
          <w:rFonts w:ascii="Arial" w:hAnsi="Arial" w:cs="Arial"/>
        </w:rPr>
        <w:tab/>
        <w:t xml:space="preserve">In </w:t>
      </w:r>
      <w:bookmarkStart w:id="1" w:name="_Toc510794187"/>
      <w:r w:rsidRPr="00273DA7">
        <w:rPr>
          <w:rFonts w:ascii="Arial" w:hAnsi="Arial" w:cs="Arial"/>
          <w:i/>
          <w:color w:val="000000" w:themeColor="text1"/>
        </w:rPr>
        <w:t>Matuzee v Sihlahla</w:t>
      </w:r>
      <w:r w:rsidRPr="00273DA7">
        <w:rPr>
          <w:rStyle w:val="FootnoteReference"/>
          <w:rFonts w:ascii="Arial" w:hAnsi="Arial" w:cs="Arial"/>
          <w:i/>
          <w:color w:val="000000" w:themeColor="text1"/>
        </w:rPr>
        <w:footnoteReference w:id="3"/>
      </w:r>
      <w:r w:rsidRPr="00273DA7">
        <w:rPr>
          <w:rFonts w:ascii="Arial" w:hAnsi="Arial" w:cs="Arial"/>
          <w:b/>
          <w:i/>
          <w:color w:val="000000" w:themeColor="text1"/>
        </w:rPr>
        <w:t xml:space="preserve"> </w:t>
      </w:r>
      <w:bookmarkEnd w:id="1"/>
      <w:r w:rsidRPr="00673C9C">
        <w:rPr>
          <w:rFonts w:ascii="Arial" w:hAnsi="Arial" w:cs="Arial"/>
          <w:color w:val="000000" w:themeColor="text1"/>
        </w:rPr>
        <w:t>the court held tha</w:t>
      </w:r>
      <w:r>
        <w:rPr>
          <w:rFonts w:ascii="Arial" w:hAnsi="Arial" w:cs="Arial"/>
          <w:color w:val="000000" w:themeColor="text1"/>
        </w:rPr>
        <w:t xml:space="preserve">t </w:t>
      </w:r>
      <w:r>
        <w:rPr>
          <w:rFonts w:ascii="Arial" w:eastAsia="Calibri" w:hAnsi="Arial" w:cs="Arial"/>
        </w:rPr>
        <w:t>d</w:t>
      </w:r>
      <w:r w:rsidRPr="00CA6920">
        <w:rPr>
          <w:rFonts w:ascii="Arial" w:eastAsia="Calibri" w:hAnsi="Arial" w:cs="Arial"/>
        </w:rPr>
        <w:t>ismissal for operational requirements must be substantively and procedurally fair</w:t>
      </w:r>
      <w:r>
        <w:rPr>
          <w:rFonts w:ascii="Arial" w:eastAsia="Calibri" w:hAnsi="Arial" w:cs="Arial"/>
        </w:rPr>
        <w:t>.</w:t>
      </w:r>
      <w:r>
        <w:rPr>
          <w:rFonts w:ascii="Arial" w:eastAsia="Arial" w:hAnsi="Arial" w:cs="Arial"/>
          <w:color w:val="000000"/>
          <w:lang w:eastAsia="en-ZA"/>
        </w:rPr>
        <w:t xml:space="preserve"> The court further found that</w:t>
      </w:r>
      <w:r w:rsidRPr="00CA6920">
        <w:rPr>
          <w:rFonts w:ascii="Arial" w:eastAsia="Arial" w:hAnsi="Arial" w:cs="Arial"/>
          <w:color w:val="000000"/>
          <w:lang w:eastAsia="en-ZA"/>
        </w:rPr>
        <w:t xml:space="preserve"> the</w:t>
      </w:r>
      <w:r>
        <w:rPr>
          <w:rFonts w:ascii="Arial" w:eastAsia="Arial" w:hAnsi="Arial" w:cs="Arial"/>
          <w:color w:val="000000"/>
          <w:lang w:eastAsia="en-ZA"/>
        </w:rPr>
        <w:t xml:space="preserve"> second</w:t>
      </w:r>
      <w:r w:rsidRPr="00CA6920">
        <w:rPr>
          <w:rFonts w:ascii="Arial" w:eastAsia="Arial" w:hAnsi="Arial" w:cs="Arial"/>
          <w:color w:val="000000"/>
          <w:lang w:eastAsia="en-ZA"/>
        </w:rPr>
        <w:t xml:space="preserve"> respondent failed to furnish the appellant with the necessary documentary information to enable him to understand the business case upon which redundancy was premised</w:t>
      </w:r>
      <w:r>
        <w:rPr>
          <w:rFonts w:ascii="Arial" w:eastAsia="Arial" w:hAnsi="Arial" w:cs="Arial"/>
          <w:color w:val="000000"/>
          <w:lang w:eastAsia="en-ZA"/>
        </w:rPr>
        <w:t xml:space="preserve"> and h</w:t>
      </w:r>
      <w:r w:rsidRPr="00CA6920">
        <w:rPr>
          <w:rFonts w:ascii="Arial" w:eastAsia="Arial" w:hAnsi="Arial" w:cs="Arial"/>
          <w:color w:val="000000"/>
          <w:lang w:eastAsia="en-ZA"/>
        </w:rPr>
        <w:t xml:space="preserve">ence </w:t>
      </w:r>
      <w:r>
        <w:rPr>
          <w:rFonts w:ascii="Arial" w:eastAsia="Arial" w:hAnsi="Arial" w:cs="Arial"/>
          <w:color w:val="000000"/>
          <w:lang w:eastAsia="en-ZA"/>
        </w:rPr>
        <w:t xml:space="preserve">the </w:t>
      </w:r>
      <w:r w:rsidRPr="00CA6920">
        <w:rPr>
          <w:rFonts w:ascii="Arial" w:eastAsia="Arial" w:hAnsi="Arial" w:cs="Arial"/>
          <w:color w:val="000000"/>
          <w:lang w:eastAsia="en-ZA"/>
        </w:rPr>
        <w:t xml:space="preserve">retrenchment, was procedurally unfair and rejected the respondent’s claim that the documents requested by the appellant were privileged. </w:t>
      </w:r>
      <w:r>
        <w:rPr>
          <w:rFonts w:ascii="Arial" w:eastAsia="Arial" w:hAnsi="Arial" w:cs="Arial"/>
          <w:color w:val="000000"/>
          <w:lang w:eastAsia="en-ZA"/>
        </w:rPr>
        <w:t>T</w:t>
      </w:r>
      <w:r w:rsidRPr="00CA6920">
        <w:rPr>
          <w:rFonts w:ascii="Arial" w:eastAsia="Arial" w:hAnsi="Arial" w:cs="Arial"/>
          <w:color w:val="000000"/>
          <w:lang w:eastAsia="en-ZA"/>
        </w:rPr>
        <w:t xml:space="preserve">he </w:t>
      </w:r>
      <w:r>
        <w:rPr>
          <w:rFonts w:ascii="Arial" w:eastAsia="Arial" w:hAnsi="Arial" w:cs="Arial"/>
          <w:color w:val="000000"/>
          <w:lang w:eastAsia="en-ZA"/>
        </w:rPr>
        <w:t xml:space="preserve">second </w:t>
      </w:r>
      <w:r w:rsidRPr="00CA6920">
        <w:rPr>
          <w:rFonts w:ascii="Arial" w:eastAsia="Arial" w:hAnsi="Arial" w:cs="Arial"/>
          <w:color w:val="000000"/>
          <w:lang w:eastAsia="en-ZA"/>
        </w:rPr>
        <w:t>respondent’s failure to consult and engage the appellant in order to meaningfully discuss alternatives to dismissal, constituted procedural unfairness.</w:t>
      </w:r>
    </w:p>
    <w:p w14:paraId="0844B71C" w14:textId="4CC26D20" w:rsidR="00F27021" w:rsidRDefault="00A618E1" w:rsidP="00EC1D2B">
      <w:pPr>
        <w:pStyle w:val="BodyText"/>
        <w:tabs>
          <w:tab w:val="left" w:pos="720"/>
          <w:tab w:val="left" w:pos="2268"/>
        </w:tabs>
        <w:spacing w:line="360" w:lineRule="auto"/>
        <w:jc w:val="both"/>
        <w:rPr>
          <w:rFonts w:ascii="Arial" w:hAnsi="Arial" w:cs="Arial"/>
          <w:sz w:val="22"/>
          <w:szCs w:val="22"/>
        </w:rPr>
      </w:pPr>
      <w:r>
        <w:rPr>
          <w:rFonts w:ascii="Arial" w:hAnsi="Arial" w:cs="Arial"/>
          <w:sz w:val="22"/>
          <w:szCs w:val="22"/>
        </w:rPr>
        <w:tab/>
      </w:r>
    </w:p>
    <w:p w14:paraId="5DFFCC25" w14:textId="68617F1E" w:rsidR="00804861" w:rsidRPr="00106F93" w:rsidRDefault="00E31D5A" w:rsidP="00EC1D2B">
      <w:pPr>
        <w:pStyle w:val="BodyText"/>
        <w:tabs>
          <w:tab w:val="left" w:pos="720"/>
          <w:tab w:val="left" w:pos="2268"/>
        </w:tabs>
        <w:spacing w:line="360" w:lineRule="auto"/>
        <w:jc w:val="both"/>
        <w:rPr>
          <w:rFonts w:ascii="Arial" w:hAnsi="Arial" w:cs="Arial"/>
        </w:rPr>
      </w:pPr>
      <w:r w:rsidRPr="00106F93">
        <w:rPr>
          <w:rFonts w:ascii="Arial" w:hAnsi="Arial" w:cs="Arial"/>
        </w:rPr>
        <w:t>[</w:t>
      </w:r>
      <w:r w:rsidR="009204B6" w:rsidRPr="00106F93">
        <w:rPr>
          <w:rFonts w:ascii="Arial" w:hAnsi="Arial" w:cs="Arial"/>
        </w:rPr>
        <w:t>23</w:t>
      </w:r>
      <w:r w:rsidR="00F27021" w:rsidRPr="00106F93">
        <w:rPr>
          <w:rFonts w:ascii="Arial" w:hAnsi="Arial" w:cs="Arial"/>
        </w:rPr>
        <w:t xml:space="preserve">] </w:t>
      </w:r>
      <w:r w:rsidR="00A618E1" w:rsidRPr="00106F93">
        <w:rPr>
          <w:rFonts w:ascii="Arial" w:hAnsi="Arial" w:cs="Arial"/>
        </w:rPr>
        <w:tab/>
      </w:r>
      <w:r w:rsidR="00804861" w:rsidRPr="00106F93">
        <w:rPr>
          <w:rFonts w:ascii="Arial" w:hAnsi="Arial" w:cs="Arial"/>
        </w:rPr>
        <w:t xml:space="preserve">In Namibia Wildlife the Supreme Court endorsed a decision by the Arbitrator who found that s. 34 of the Labour Court obliged an employer acting in terms of that section to </w:t>
      </w:r>
      <w:r w:rsidR="00804861" w:rsidRPr="00106F93">
        <w:rPr>
          <w:rFonts w:ascii="Arial" w:hAnsi="Arial" w:cs="Arial"/>
          <w:i/>
        </w:rPr>
        <w:t>play open cards</w:t>
      </w:r>
      <w:r w:rsidR="00804861" w:rsidRPr="00106F93">
        <w:rPr>
          <w:rFonts w:ascii="Arial" w:hAnsi="Arial" w:cs="Arial"/>
        </w:rPr>
        <w:t>. Namibia Wildlife withheld the redeployment information until the two employees accepted to be redeployed as he found that to be inconsistent with the provisions of s. 34. I endorse th</w:t>
      </w:r>
      <w:r w:rsidR="00151031" w:rsidRPr="00106F93">
        <w:rPr>
          <w:rFonts w:ascii="Arial" w:hAnsi="Arial" w:cs="Arial"/>
        </w:rPr>
        <w:t>at</w:t>
      </w:r>
      <w:r w:rsidR="009B0A4B" w:rsidRPr="00106F93">
        <w:rPr>
          <w:rFonts w:ascii="Arial" w:hAnsi="Arial" w:cs="Arial"/>
        </w:rPr>
        <w:t>, th</w:t>
      </w:r>
      <w:r w:rsidR="004E2686" w:rsidRPr="00106F93">
        <w:rPr>
          <w:rFonts w:ascii="Arial" w:hAnsi="Arial" w:cs="Arial"/>
        </w:rPr>
        <w:t>is</w:t>
      </w:r>
      <w:r w:rsidR="00804861" w:rsidRPr="00106F93">
        <w:rPr>
          <w:rFonts w:ascii="Arial" w:hAnsi="Arial" w:cs="Arial"/>
        </w:rPr>
        <w:t xml:space="preserve"> finding </w:t>
      </w:r>
      <w:r w:rsidR="00151031" w:rsidRPr="00106F93">
        <w:rPr>
          <w:rFonts w:ascii="Arial" w:hAnsi="Arial" w:cs="Arial"/>
        </w:rPr>
        <w:t xml:space="preserve">be applied in </w:t>
      </w:r>
      <w:r w:rsidR="00804861" w:rsidRPr="00106F93">
        <w:rPr>
          <w:rFonts w:ascii="Arial" w:hAnsi="Arial" w:cs="Arial"/>
        </w:rPr>
        <w:t>the present matter</w:t>
      </w:r>
      <w:r w:rsidR="009B0A4B" w:rsidRPr="00106F93">
        <w:rPr>
          <w:rFonts w:ascii="Arial" w:hAnsi="Arial" w:cs="Arial"/>
        </w:rPr>
        <w:t xml:space="preserve"> and I find that all other issued are as a result disposed of.</w:t>
      </w:r>
    </w:p>
    <w:p w14:paraId="01D33206" w14:textId="77777777" w:rsidR="008F7973" w:rsidRDefault="008F7973" w:rsidP="008F7973">
      <w:pPr>
        <w:pStyle w:val="BodyText"/>
        <w:tabs>
          <w:tab w:val="left" w:pos="720"/>
          <w:tab w:val="left" w:pos="2268"/>
        </w:tabs>
        <w:spacing w:line="360" w:lineRule="auto"/>
        <w:jc w:val="both"/>
        <w:rPr>
          <w:rFonts w:ascii="Arial" w:hAnsi="Arial" w:cs="Arial"/>
        </w:rPr>
      </w:pPr>
    </w:p>
    <w:p w14:paraId="3591B708" w14:textId="11622305" w:rsidR="008F7973" w:rsidRPr="008F7973" w:rsidRDefault="008F7973" w:rsidP="008F7973">
      <w:pPr>
        <w:pStyle w:val="BodyText"/>
        <w:spacing w:line="360" w:lineRule="auto"/>
        <w:jc w:val="both"/>
        <w:rPr>
          <w:rFonts w:ascii="Arial" w:hAnsi="Arial" w:cs="Arial"/>
          <w:u w:val="single"/>
        </w:rPr>
      </w:pPr>
      <w:r w:rsidRPr="008F7973">
        <w:rPr>
          <w:rFonts w:ascii="Arial" w:hAnsi="Arial" w:cs="Arial"/>
          <w:u w:val="single"/>
        </w:rPr>
        <w:t>Cross-appeal</w:t>
      </w:r>
    </w:p>
    <w:p w14:paraId="30D78456" w14:textId="77777777" w:rsidR="008F7973" w:rsidRDefault="008F7973" w:rsidP="008F7973">
      <w:pPr>
        <w:pStyle w:val="BodyText"/>
        <w:spacing w:line="360" w:lineRule="auto"/>
        <w:jc w:val="both"/>
        <w:rPr>
          <w:rFonts w:ascii="Arial" w:hAnsi="Arial" w:cs="Arial"/>
        </w:rPr>
      </w:pPr>
    </w:p>
    <w:p w14:paraId="1C7D5BFD" w14:textId="39537F8E" w:rsidR="008F7973" w:rsidRDefault="0090529D" w:rsidP="008F7973">
      <w:pPr>
        <w:pStyle w:val="BodyText"/>
        <w:spacing w:line="360" w:lineRule="auto"/>
        <w:jc w:val="both"/>
        <w:rPr>
          <w:rFonts w:ascii="Arial" w:hAnsi="Arial" w:cs="Arial"/>
        </w:rPr>
      </w:pPr>
      <w:r>
        <w:rPr>
          <w:rFonts w:ascii="Arial" w:hAnsi="Arial" w:cs="Arial"/>
        </w:rPr>
        <w:t>[2</w:t>
      </w:r>
      <w:r w:rsidR="009204B6">
        <w:rPr>
          <w:rFonts w:ascii="Arial" w:hAnsi="Arial" w:cs="Arial"/>
        </w:rPr>
        <w:t>4</w:t>
      </w:r>
      <w:r w:rsidR="00EB6D16">
        <w:rPr>
          <w:rFonts w:ascii="Arial" w:hAnsi="Arial" w:cs="Arial"/>
        </w:rPr>
        <w:t>]</w:t>
      </w:r>
      <w:r w:rsidR="00EB6D16">
        <w:rPr>
          <w:rFonts w:ascii="Arial" w:hAnsi="Arial" w:cs="Arial"/>
        </w:rPr>
        <w:tab/>
      </w:r>
      <w:r w:rsidR="008F7973">
        <w:rPr>
          <w:rFonts w:ascii="Arial" w:hAnsi="Arial" w:cs="Arial"/>
        </w:rPr>
        <w:t>I now turn to th</w:t>
      </w:r>
      <w:r w:rsidR="006515FF">
        <w:rPr>
          <w:rFonts w:ascii="Arial" w:hAnsi="Arial" w:cs="Arial"/>
        </w:rPr>
        <w:t>e cross-appeal by the respondent</w:t>
      </w:r>
      <w:r w:rsidR="008F7973">
        <w:rPr>
          <w:rFonts w:ascii="Arial" w:hAnsi="Arial" w:cs="Arial"/>
        </w:rPr>
        <w:t>. O</w:t>
      </w:r>
      <w:r w:rsidR="006515FF">
        <w:rPr>
          <w:rFonts w:ascii="Arial" w:hAnsi="Arial" w:cs="Arial"/>
        </w:rPr>
        <w:t>n 3 February 2015, the respondent</w:t>
      </w:r>
      <w:r w:rsidR="008F7973">
        <w:rPr>
          <w:rFonts w:ascii="Arial" w:hAnsi="Arial" w:cs="Arial"/>
        </w:rPr>
        <w:t xml:space="preserve"> referred a dispute of interest regarding the implementation of the revised structure. On 9</w:t>
      </w:r>
      <w:r w:rsidR="00EB6D16">
        <w:rPr>
          <w:rFonts w:ascii="Arial" w:hAnsi="Arial" w:cs="Arial"/>
          <w:vertAlign w:val="superscript"/>
        </w:rPr>
        <w:t xml:space="preserve"> </w:t>
      </w:r>
      <w:r w:rsidR="008F7973">
        <w:rPr>
          <w:rFonts w:ascii="Arial" w:hAnsi="Arial" w:cs="Arial"/>
        </w:rPr>
        <w:t>March 2015, a meeting was called by the f</w:t>
      </w:r>
      <w:r w:rsidR="006515FF">
        <w:rPr>
          <w:rFonts w:ascii="Arial" w:hAnsi="Arial" w:cs="Arial"/>
        </w:rPr>
        <w:t>irst respondent with the responde</w:t>
      </w:r>
      <w:r w:rsidR="008F7973">
        <w:rPr>
          <w:rFonts w:ascii="Arial" w:hAnsi="Arial" w:cs="Arial"/>
        </w:rPr>
        <w:t xml:space="preserve">nt to give effect to the </w:t>
      </w:r>
      <w:r w:rsidR="006515FF">
        <w:rPr>
          <w:rFonts w:ascii="Arial" w:hAnsi="Arial" w:cs="Arial"/>
        </w:rPr>
        <w:t>settlement agreement. The appell</w:t>
      </w:r>
      <w:r w:rsidR="008F7973">
        <w:rPr>
          <w:rFonts w:ascii="Arial" w:hAnsi="Arial" w:cs="Arial"/>
        </w:rPr>
        <w:t>ant demanded that the dispute of interest lodge</w:t>
      </w:r>
      <w:r w:rsidR="00EB6D16">
        <w:rPr>
          <w:rFonts w:ascii="Arial" w:hAnsi="Arial" w:cs="Arial"/>
        </w:rPr>
        <w:t>d to his knowledge be withdrawn and that i</w:t>
      </w:r>
      <w:r w:rsidR="008F7973">
        <w:rPr>
          <w:rFonts w:ascii="Arial" w:hAnsi="Arial" w:cs="Arial"/>
        </w:rPr>
        <w:t xml:space="preserve">n </w:t>
      </w:r>
      <w:r w:rsidR="00EB6D16">
        <w:rPr>
          <w:rFonts w:ascii="Arial" w:hAnsi="Arial" w:cs="Arial"/>
        </w:rPr>
        <w:t xml:space="preserve">the </w:t>
      </w:r>
      <w:r w:rsidR="008F7973">
        <w:rPr>
          <w:rFonts w:ascii="Arial" w:hAnsi="Arial" w:cs="Arial"/>
        </w:rPr>
        <w:t>absence of compliance with his demand, no further discussion would take place. I will return to the dispute of interest shortly.</w:t>
      </w:r>
    </w:p>
    <w:p w14:paraId="410492AB" w14:textId="77777777" w:rsidR="00476C60" w:rsidRDefault="00476C60" w:rsidP="00523395">
      <w:pPr>
        <w:pStyle w:val="BodyText"/>
        <w:spacing w:line="360" w:lineRule="auto"/>
        <w:jc w:val="both"/>
        <w:rPr>
          <w:rFonts w:ascii="Arial" w:hAnsi="Arial" w:cs="Arial"/>
        </w:rPr>
      </w:pPr>
    </w:p>
    <w:p w14:paraId="2A06F159" w14:textId="77777777" w:rsidR="00D35216" w:rsidRPr="004248C2" w:rsidRDefault="00D35216" w:rsidP="00D35216">
      <w:pPr>
        <w:spacing w:after="0" w:line="360" w:lineRule="auto"/>
        <w:jc w:val="both"/>
        <w:rPr>
          <w:rFonts w:ascii="Arial" w:hAnsi="Arial" w:cs="Arial"/>
          <w:sz w:val="24"/>
          <w:szCs w:val="24"/>
          <w:u w:val="single"/>
          <w:lang w:val="en-ZA"/>
        </w:rPr>
      </w:pPr>
      <w:r w:rsidRPr="004248C2">
        <w:rPr>
          <w:rFonts w:ascii="Arial" w:hAnsi="Arial" w:cs="Arial"/>
          <w:sz w:val="24"/>
          <w:szCs w:val="24"/>
          <w:u w:val="single"/>
          <w:lang w:val="en-ZA"/>
        </w:rPr>
        <w:t>Issue</w:t>
      </w:r>
      <w:r>
        <w:rPr>
          <w:rFonts w:ascii="Arial" w:hAnsi="Arial" w:cs="Arial"/>
          <w:sz w:val="24"/>
          <w:szCs w:val="24"/>
          <w:u w:val="single"/>
          <w:lang w:val="en-ZA"/>
        </w:rPr>
        <w:t>s for determination</w:t>
      </w:r>
    </w:p>
    <w:p w14:paraId="44D7E8B3" w14:textId="77777777" w:rsidR="00D35216" w:rsidRDefault="00D35216" w:rsidP="00523395">
      <w:pPr>
        <w:pStyle w:val="BodyText"/>
        <w:spacing w:line="360" w:lineRule="auto"/>
        <w:jc w:val="both"/>
        <w:rPr>
          <w:rFonts w:ascii="Arial" w:hAnsi="Arial" w:cs="Arial"/>
        </w:rPr>
      </w:pPr>
    </w:p>
    <w:p w14:paraId="06B09AFE" w14:textId="712ACAB7" w:rsidR="00476C60" w:rsidRPr="00852C99" w:rsidRDefault="0090529D" w:rsidP="00523395">
      <w:pPr>
        <w:pStyle w:val="BodyText"/>
        <w:spacing w:line="360" w:lineRule="auto"/>
        <w:jc w:val="both"/>
        <w:rPr>
          <w:rFonts w:ascii="Arial" w:hAnsi="Arial" w:cs="Arial"/>
        </w:rPr>
      </w:pPr>
      <w:r w:rsidRPr="00852C99">
        <w:rPr>
          <w:rFonts w:ascii="Arial" w:hAnsi="Arial" w:cs="Arial"/>
        </w:rPr>
        <w:t>[2</w:t>
      </w:r>
      <w:r w:rsidR="009204B6">
        <w:rPr>
          <w:rFonts w:ascii="Arial" w:hAnsi="Arial" w:cs="Arial"/>
        </w:rPr>
        <w:t>5</w:t>
      </w:r>
      <w:r w:rsidR="00EB6D16" w:rsidRPr="00852C99">
        <w:rPr>
          <w:rFonts w:ascii="Arial" w:hAnsi="Arial" w:cs="Arial"/>
        </w:rPr>
        <w:t>]</w:t>
      </w:r>
      <w:r w:rsidR="00EB6D16" w:rsidRPr="00852C99">
        <w:rPr>
          <w:rFonts w:ascii="Arial" w:hAnsi="Arial" w:cs="Arial"/>
        </w:rPr>
        <w:tab/>
      </w:r>
      <w:r w:rsidR="006515FF">
        <w:rPr>
          <w:rFonts w:ascii="Arial" w:hAnsi="Arial" w:cs="Arial"/>
        </w:rPr>
        <w:t>The responde</w:t>
      </w:r>
      <w:r w:rsidR="00FC1687" w:rsidRPr="00852C99">
        <w:rPr>
          <w:rFonts w:ascii="Arial" w:hAnsi="Arial" w:cs="Arial"/>
        </w:rPr>
        <w:t xml:space="preserve">nt’s central contentions in this </w:t>
      </w:r>
      <w:r w:rsidR="006515FF">
        <w:rPr>
          <w:rFonts w:ascii="Arial" w:hAnsi="Arial" w:cs="Arial"/>
        </w:rPr>
        <w:t>cross-</w:t>
      </w:r>
      <w:r w:rsidR="00FC1687" w:rsidRPr="00852C99">
        <w:rPr>
          <w:rFonts w:ascii="Arial" w:hAnsi="Arial" w:cs="Arial"/>
        </w:rPr>
        <w:t xml:space="preserve">appeal are that the arbitrator did not have jurisdiction to end its lockout of the respondent as all statutory requirements for a valid lockout had been complied with and only the Labour Court </w:t>
      </w:r>
      <w:r w:rsidR="00FC1687" w:rsidRPr="00852C99">
        <w:rPr>
          <w:rFonts w:ascii="Arial" w:hAnsi="Arial" w:cs="Arial"/>
        </w:rPr>
        <w:lastRenderedPageBreak/>
        <w:t xml:space="preserve">could set aside the statutory process or any party thereof and then direct the appellant to end its lockout. </w:t>
      </w:r>
    </w:p>
    <w:p w14:paraId="76ADFCC8" w14:textId="77777777" w:rsidR="00FE046B" w:rsidRPr="00852C99" w:rsidRDefault="00FE046B" w:rsidP="00523395">
      <w:pPr>
        <w:spacing w:after="0" w:line="360" w:lineRule="auto"/>
        <w:jc w:val="both"/>
        <w:rPr>
          <w:rFonts w:ascii="Arial" w:hAnsi="Arial" w:cs="Arial"/>
          <w:sz w:val="24"/>
          <w:szCs w:val="24"/>
          <w:lang w:val="en-ZA"/>
        </w:rPr>
      </w:pPr>
    </w:p>
    <w:p w14:paraId="401CD297" w14:textId="1C37D3C3" w:rsidR="00523395" w:rsidRPr="00852C99" w:rsidRDefault="0090529D" w:rsidP="00523395">
      <w:pPr>
        <w:spacing w:after="0" w:line="360" w:lineRule="auto"/>
        <w:jc w:val="both"/>
        <w:rPr>
          <w:rFonts w:ascii="Arial" w:hAnsi="Arial" w:cs="Arial"/>
          <w:sz w:val="24"/>
          <w:szCs w:val="24"/>
        </w:rPr>
      </w:pPr>
      <w:r w:rsidRPr="00852C99">
        <w:rPr>
          <w:rFonts w:ascii="Arial" w:hAnsi="Arial" w:cs="Arial"/>
          <w:sz w:val="24"/>
          <w:szCs w:val="24"/>
          <w:lang w:val="en-ZA"/>
        </w:rPr>
        <w:t>[2</w:t>
      </w:r>
      <w:r w:rsidR="009204B6">
        <w:rPr>
          <w:rFonts w:ascii="Arial" w:hAnsi="Arial" w:cs="Arial"/>
          <w:sz w:val="24"/>
          <w:szCs w:val="24"/>
          <w:lang w:val="en-ZA"/>
        </w:rPr>
        <w:t>6</w:t>
      </w:r>
      <w:r w:rsidR="00EB6D16" w:rsidRPr="00852C99">
        <w:rPr>
          <w:rFonts w:ascii="Arial" w:hAnsi="Arial" w:cs="Arial"/>
          <w:sz w:val="24"/>
          <w:szCs w:val="24"/>
          <w:lang w:val="en-ZA"/>
        </w:rPr>
        <w:t>]</w:t>
      </w:r>
      <w:r w:rsidR="00EB6D16" w:rsidRPr="00852C99">
        <w:rPr>
          <w:rFonts w:ascii="Arial" w:hAnsi="Arial" w:cs="Arial"/>
          <w:sz w:val="24"/>
          <w:szCs w:val="24"/>
          <w:lang w:val="en-ZA"/>
        </w:rPr>
        <w:tab/>
        <w:t>The other is issue is whether the arbitrator could</w:t>
      </w:r>
      <w:r w:rsidR="00FE046B" w:rsidRPr="00852C99">
        <w:rPr>
          <w:rFonts w:ascii="Arial" w:hAnsi="Arial" w:cs="Arial"/>
          <w:sz w:val="24"/>
          <w:szCs w:val="24"/>
          <w:lang w:val="en-ZA"/>
        </w:rPr>
        <w:t xml:space="preserve">, as a matter of law, refuse to deal with the points in </w:t>
      </w:r>
      <w:r w:rsidR="00FE046B" w:rsidRPr="00852C99">
        <w:rPr>
          <w:rFonts w:ascii="Arial" w:hAnsi="Arial" w:cs="Arial"/>
          <w:i/>
          <w:sz w:val="24"/>
          <w:szCs w:val="24"/>
          <w:lang w:val="en-ZA"/>
        </w:rPr>
        <w:t>limine</w:t>
      </w:r>
      <w:r w:rsidR="00FE046B" w:rsidRPr="00852C99">
        <w:rPr>
          <w:rFonts w:ascii="Arial" w:hAnsi="Arial" w:cs="Arial"/>
          <w:sz w:val="24"/>
          <w:szCs w:val="24"/>
          <w:lang w:val="en-ZA"/>
        </w:rPr>
        <w:t xml:space="preserve"> raised before her by the appellant. </w:t>
      </w:r>
    </w:p>
    <w:p w14:paraId="2CC7B509" w14:textId="77777777" w:rsidR="00523395" w:rsidRPr="00852C99" w:rsidRDefault="00523395" w:rsidP="00523395">
      <w:pPr>
        <w:spacing w:after="0" w:line="360" w:lineRule="auto"/>
        <w:jc w:val="both"/>
        <w:rPr>
          <w:rFonts w:ascii="Arial" w:hAnsi="Arial" w:cs="Arial"/>
          <w:sz w:val="24"/>
          <w:szCs w:val="24"/>
        </w:rPr>
      </w:pPr>
    </w:p>
    <w:p w14:paraId="70C50F08" w14:textId="64622FB7" w:rsidR="009204B6" w:rsidRPr="00852C99" w:rsidRDefault="0090529D" w:rsidP="00523395">
      <w:pPr>
        <w:spacing w:after="0" w:line="360" w:lineRule="auto"/>
        <w:jc w:val="both"/>
        <w:rPr>
          <w:rFonts w:ascii="Arial" w:hAnsi="Arial" w:cs="Arial"/>
          <w:sz w:val="24"/>
          <w:szCs w:val="24"/>
        </w:rPr>
      </w:pPr>
      <w:r w:rsidRPr="00852C99">
        <w:rPr>
          <w:rFonts w:ascii="Arial" w:hAnsi="Arial" w:cs="Arial"/>
          <w:sz w:val="24"/>
          <w:szCs w:val="24"/>
        </w:rPr>
        <w:t>[</w:t>
      </w:r>
      <w:r w:rsidR="009204B6">
        <w:rPr>
          <w:rFonts w:ascii="Arial" w:hAnsi="Arial" w:cs="Arial"/>
          <w:sz w:val="24"/>
          <w:szCs w:val="24"/>
        </w:rPr>
        <w:t>27</w:t>
      </w:r>
      <w:r w:rsidR="004B03B5" w:rsidRPr="00852C99">
        <w:rPr>
          <w:rFonts w:ascii="Arial" w:hAnsi="Arial" w:cs="Arial"/>
          <w:sz w:val="24"/>
          <w:szCs w:val="24"/>
        </w:rPr>
        <w:t>]</w:t>
      </w:r>
      <w:r w:rsidR="004B03B5" w:rsidRPr="00852C99">
        <w:rPr>
          <w:rFonts w:ascii="Arial" w:hAnsi="Arial" w:cs="Arial"/>
          <w:sz w:val="24"/>
          <w:szCs w:val="24"/>
        </w:rPr>
        <w:tab/>
        <w:t>The last issue is w</w:t>
      </w:r>
      <w:r w:rsidR="006607FC" w:rsidRPr="00852C99">
        <w:rPr>
          <w:rFonts w:ascii="Arial" w:hAnsi="Arial" w:cs="Arial"/>
          <w:sz w:val="24"/>
          <w:szCs w:val="24"/>
        </w:rPr>
        <w:t xml:space="preserve">hether no reasonable arbitrator could have found that the </w:t>
      </w:r>
      <w:r w:rsidR="00CF7819">
        <w:rPr>
          <w:rFonts w:ascii="Arial" w:hAnsi="Arial" w:cs="Arial"/>
          <w:sz w:val="24"/>
          <w:szCs w:val="24"/>
        </w:rPr>
        <w:t>respondent</w:t>
      </w:r>
      <w:r w:rsidR="006607FC" w:rsidRPr="00852C99">
        <w:rPr>
          <w:rFonts w:ascii="Arial" w:hAnsi="Arial" w:cs="Arial"/>
          <w:sz w:val="24"/>
          <w:szCs w:val="24"/>
        </w:rPr>
        <w:t xml:space="preserve"> had acted in bad faith and failed to implement the terms of the parties</w:t>
      </w:r>
      <w:r w:rsidR="00FA6CBE" w:rsidRPr="00852C99">
        <w:rPr>
          <w:rFonts w:ascii="Arial" w:hAnsi="Arial" w:cs="Arial"/>
          <w:sz w:val="24"/>
          <w:szCs w:val="24"/>
        </w:rPr>
        <w:t>’</w:t>
      </w:r>
      <w:r w:rsidR="006607FC" w:rsidRPr="00852C99">
        <w:rPr>
          <w:rFonts w:ascii="Arial" w:hAnsi="Arial" w:cs="Arial"/>
          <w:sz w:val="24"/>
          <w:szCs w:val="24"/>
        </w:rPr>
        <w:t xml:space="preserve"> settlement agreement. </w:t>
      </w:r>
    </w:p>
    <w:p w14:paraId="3316795C" w14:textId="77777777" w:rsidR="006D7030" w:rsidRPr="00570D8D" w:rsidRDefault="006D7030" w:rsidP="00523395">
      <w:pPr>
        <w:spacing w:after="0" w:line="360" w:lineRule="auto"/>
        <w:jc w:val="both"/>
        <w:rPr>
          <w:rFonts w:ascii="Arial" w:hAnsi="Arial" w:cs="Arial"/>
          <w:sz w:val="24"/>
          <w:szCs w:val="24"/>
        </w:rPr>
      </w:pPr>
    </w:p>
    <w:p w14:paraId="778B8661" w14:textId="5DA95713" w:rsidR="00322DEE" w:rsidRDefault="00781B66" w:rsidP="00523395">
      <w:pPr>
        <w:spacing w:after="0" w:line="360" w:lineRule="auto"/>
        <w:jc w:val="both"/>
        <w:rPr>
          <w:rFonts w:ascii="Arial" w:hAnsi="Arial" w:cs="Arial"/>
          <w:sz w:val="24"/>
          <w:szCs w:val="24"/>
          <w:u w:val="single"/>
        </w:rPr>
      </w:pPr>
      <w:r>
        <w:rPr>
          <w:rFonts w:ascii="Arial" w:hAnsi="Arial" w:cs="Arial"/>
          <w:sz w:val="24"/>
          <w:szCs w:val="24"/>
          <w:u w:val="single"/>
        </w:rPr>
        <w:t>The law and application of facts</w:t>
      </w:r>
    </w:p>
    <w:p w14:paraId="49A687EA" w14:textId="77777777" w:rsidR="00E274B1" w:rsidRDefault="00E274B1" w:rsidP="00523395">
      <w:pPr>
        <w:spacing w:after="0" w:line="360" w:lineRule="auto"/>
        <w:jc w:val="both"/>
        <w:rPr>
          <w:rFonts w:ascii="Arial" w:hAnsi="Arial" w:cs="Arial"/>
          <w:sz w:val="24"/>
          <w:szCs w:val="24"/>
          <w:u w:val="single"/>
        </w:rPr>
      </w:pPr>
    </w:p>
    <w:p w14:paraId="0ACBE9FD" w14:textId="7B99783C" w:rsidR="00C03013" w:rsidRDefault="00B84E82" w:rsidP="00523395">
      <w:pPr>
        <w:spacing w:after="0" w:line="360" w:lineRule="auto"/>
        <w:jc w:val="both"/>
        <w:rPr>
          <w:rFonts w:ascii="Arial" w:hAnsi="Arial" w:cs="Arial"/>
          <w:sz w:val="24"/>
          <w:szCs w:val="24"/>
          <w:u w:val="single"/>
        </w:rPr>
      </w:pPr>
      <w:r>
        <w:rPr>
          <w:rFonts w:ascii="Arial" w:hAnsi="Arial" w:cs="Arial"/>
          <w:sz w:val="24"/>
          <w:szCs w:val="24"/>
          <w:u w:val="single"/>
        </w:rPr>
        <w:t xml:space="preserve">Jurisdiction </w:t>
      </w:r>
      <w:r w:rsidR="00322DEE">
        <w:rPr>
          <w:rFonts w:ascii="Arial" w:hAnsi="Arial" w:cs="Arial"/>
          <w:sz w:val="24"/>
          <w:szCs w:val="24"/>
          <w:u w:val="single"/>
        </w:rPr>
        <w:t xml:space="preserve">to end lockout </w:t>
      </w:r>
    </w:p>
    <w:p w14:paraId="4BB3D421" w14:textId="77777777" w:rsidR="00322DEE" w:rsidRPr="00B335A0" w:rsidRDefault="00322DEE" w:rsidP="00523395">
      <w:pPr>
        <w:spacing w:after="0" w:line="360" w:lineRule="auto"/>
        <w:jc w:val="both"/>
        <w:rPr>
          <w:rFonts w:ascii="Arial" w:hAnsi="Arial" w:cs="Arial"/>
          <w:sz w:val="24"/>
          <w:szCs w:val="24"/>
          <w:u w:val="single"/>
        </w:rPr>
      </w:pPr>
    </w:p>
    <w:p w14:paraId="2C418266" w14:textId="6E3E186E" w:rsidR="002F0298" w:rsidRPr="00053133" w:rsidRDefault="00D95CF9" w:rsidP="002F0298">
      <w:pPr>
        <w:spacing w:after="0" w:line="360" w:lineRule="auto"/>
        <w:jc w:val="both"/>
        <w:rPr>
          <w:rFonts w:ascii="Arial" w:hAnsi="Arial" w:cs="Arial"/>
          <w:bCs/>
          <w:sz w:val="24"/>
          <w:szCs w:val="24"/>
          <w:lang w:val="en-ZA"/>
        </w:rPr>
      </w:pPr>
      <w:r w:rsidRPr="001D7DA7">
        <w:rPr>
          <w:rFonts w:ascii="Arial" w:hAnsi="Arial" w:cs="Arial"/>
          <w:sz w:val="24"/>
          <w:szCs w:val="24"/>
        </w:rPr>
        <w:t xml:space="preserve"> </w:t>
      </w:r>
      <w:r w:rsidR="0090529D" w:rsidRPr="001D7DA7">
        <w:rPr>
          <w:rFonts w:ascii="Arial" w:hAnsi="Arial" w:cs="Arial"/>
          <w:sz w:val="24"/>
          <w:szCs w:val="24"/>
        </w:rPr>
        <w:t>[</w:t>
      </w:r>
      <w:r w:rsidR="009204B6">
        <w:rPr>
          <w:rFonts w:ascii="Arial" w:hAnsi="Arial" w:cs="Arial"/>
          <w:sz w:val="24"/>
          <w:szCs w:val="24"/>
        </w:rPr>
        <w:t>28</w:t>
      </w:r>
      <w:r w:rsidR="00E31D5A" w:rsidRPr="001D7DA7">
        <w:rPr>
          <w:rFonts w:ascii="Arial" w:hAnsi="Arial" w:cs="Arial"/>
          <w:sz w:val="24"/>
          <w:szCs w:val="24"/>
        </w:rPr>
        <w:t xml:space="preserve">] </w:t>
      </w:r>
      <w:r w:rsidR="001D7DA7" w:rsidRPr="001D7DA7">
        <w:rPr>
          <w:rFonts w:ascii="Arial" w:hAnsi="Arial" w:cs="Arial"/>
          <w:sz w:val="24"/>
          <w:szCs w:val="24"/>
        </w:rPr>
        <w:t xml:space="preserve">The first question of law which the appellant wants this court to resolve is as follows: </w:t>
      </w:r>
      <w:r w:rsidR="001D7DA7" w:rsidRPr="001D7DA7">
        <w:rPr>
          <w:rFonts w:ascii="Arial" w:hAnsi="Arial" w:cs="Arial"/>
          <w:i/>
          <w:sz w:val="24"/>
          <w:szCs w:val="24"/>
        </w:rPr>
        <w:t>‘Whether the arbitrator did not have jurisdiction to end its lockout of the respondent</w:t>
      </w:r>
      <w:r w:rsidR="00695B61">
        <w:rPr>
          <w:rFonts w:ascii="Arial" w:hAnsi="Arial" w:cs="Arial"/>
          <w:i/>
          <w:sz w:val="24"/>
          <w:szCs w:val="24"/>
        </w:rPr>
        <w:t>;</w:t>
      </w:r>
      <w:r w:rsidR="001D7DA7">
        <w:rPr>
          <w:rFonts w:ascii="Arial" w:hAnsi="Arial" w:cs="Arial"/>
          <w:i/>
          <w:sz w:val="24"/>
          <w:szCs w:val="24"/>
        </w:rPr>
        <w:t>’</w:t>
      </w:r>
      <w:r w:rsidR="001D7DA7">
        <w:rPr>
          <w:rFonts w:ascii="Arial" w:hAnsi="Arial" w:cs="Arial"/>
          <w:sz w:val="24"/>
          <w:szCs w:val="24"/>
        </w:rPr>
        <w:t xml:space="preserve"> </w:t>
      </w:r>
      <w:r w:rsidR="002F0298">
        <w:rPr>
          <w:rFonts w:ascii="Arial" w:hAnsi="Arial" w:cs="Arial"/>
          <w:bCs/>
          <w:sz w:val="24"/>
          <w:szCs w:val="24"/>
          <w:lang w:val="en-ZA"/>
        </w:rPr>
        <w:t>The powers that the arbitrator has to grant an award emanate from s. 86 (15) of Labour Act, which provides that an</w:t>
      </w:r>
      <w:r w:rsidR="002F0298">
        <w:rPr>
          <w:rFonts w:ascii="Arial" w:hAnsi="Arial" w:cs="Arial"/>
          <w:sz w:val="24"/>
          <w:szCs w:val="24"/>
          <w:lang w:val="en-ZA"/>
        </w:rPr>
        <w:t xml:space="preserve"> arbitrator may make any appropriate arbitration award including;</w:t>
      </w:r>
    </w:p>
    <w:p w14:paraId="683441B1" w14:textId="77777777" w:rsidR="002F0298" w:rsidRPr="00D17819" w:rsidRDefault="002F0298" w:rsidP="002F0298">
      <w:pPr>
        <w:spacing w:after="0" w:line="360" w:lineRule="auto"/>
        <w:jc w:val="both"/>
        <w:rPr>
          <w:rFonts w:ascii="Arial" w:hAnsi="Arial" w:cs="Arial"/>
          <w:bCs/>
          <w:lang w:val="en-ZA"/>
        </w:rPr>
      </w:pPr>
    </w:p>
    <w:p w14:paraId="37C91DCF"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‘(a) an interdict;</w:t>
      </w:r>
    </w:p>
    <w:p w14:paraId="3989675D"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(b) on order directing the performance of any act that will remedy a wrong;</w:t>
      </w:r>
    </w:p>
    <w:p w14:paraId="674F3A77"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(c) a declaratory order;</w:t>
      </w:r>
    </w:p>
    <w:p w14:paraId="6582E5B5"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(d) an order of reinstatement of an employee;</w:t>
      </w:r>
    </w:p>
    <w:p w14:paraId="69B341F8"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(e) an award of compensation; and</w:t>
      </w:r>
    </w:p>
    <w:p w14:paraId="1CF6B28B" w14:textId="77777777" w:rsidR="002F0298" w:rsidRPr="00D17819" w:rsidRDefault="002F0298" w:rsidP="002F0298">
      <w:pPr>
        <w:spacing w:after="0" w:line="360" w:lineRule="auto"/>
        <w:jc w:val="both"/>
        <w:rPr>
          <w:rFonts w:ascii="Arial" w:hAnsi="Arial" w:cs="Arial"/>
          <w:lang w:val="en-ZA"/>
        </w:rPr>
      </w:pPr>
      <w:r w:rsidRPr="00D17819">
        <w:rPr>
          <w:rFonts w:ascii="Arial" w:hAnsi="Arial" w:cs="Arial"/>
          <w:lang w:val="en-ZA"/>
        </w:rPr>
        <w:tab/>
        <w:t>(f) subject to subsection (16), an order of costs;’</w:t>
      </w:r>
    </w:p>
    <w:p w14:paraId="4C336F7B" w14:textId="77777777" w:rsidR="002F0298" w:rsidRDefault="002F0298" w:rsidP="006D7030">
      <w:pPr>
        <w:spacing w:after="0" w:line="360" w:lineRule="auto"/>
        <w:jc w:val="both"/>
        <w:rPr>
          <w:rFonts w:ascii="Arial" w:hAnsi="Arial" w:cs="Arial"/>
          <w:sz w:val="24"/>
          <w:szCs w:val="24"/>
        </w:rPr>
      </w:pPr>
    </w:p>
    <w:p w14:paraId="3752B2A3" w14:textId="3BC939B1" w:rsidR="002F0298" w:rsidRPr="00106F93" w:rsidRDefault="002F0298" w:rsidP="002F0298">
      <w:pPr>
        <w:pStyle w:val="BodyText"/>
        <w:tabs>
          <w:tab w:val="left" w:pos="720"/>
          <w:tab w:val="left" w:pos="2268"/>
        </w:tabs>
        <w:spacing w:line="360" w:lineRule="auto"/>
        <w:jc w:val="both"/>
        <w:rPr>
          <w:rFonts w:ascii="Arial" w:hAnsi="Arial" w:cs="Arial"/>
        </w:rPr>
      </w:pPr>
      <w:r w:rsidRPr="00106F93">
        <w:rPr>
          <w:rFonts w:ascii="Arial" w:hAnsi="Arial" w:cs="Arial"/>
        </w:rPr>
        <w:t>[</w:t>
      </w:r>
      <w:r w:rsidR="009204B6" w:rsidRPr="00106F93">
        <w:rPr>
          <w:rFonts w:ascii="Arial" w:hAnsi="Arial" w:cs="Arial"/>
        </w:rPr>
        <w:t>29</w:t>
      </w:r>
      <w:r w:rsidRPr="00106F93">
        <w:rPr>
          <w:rFonts w:ascii="Arial" w:hAnsi="Arial" w:cs="Arial"/>
        </w:rPr>
        <w:t>]</w:t>
      </w:r>
      <w:r w:rsidRPr="00106F93">
        <w:rPr>
          <w:rFonts w:ascii="Arial" w:hAnsi="Arial" w:cs="Arial"/>
        </w:rPr>
        <w:tab/>
        <w:t xml:space="preserve">The representative of the appellant, Mr. Khama stated that in terms of section 86(15)(b) of the Act, the Arbitrator is conferred with the power to direct the </w:t>
      </w:r>
      <w:r w:rsidRPr="00106F93">
        <w:rPr>
          <w:rFonts w:ascii="Arial" w:hAnsi="Arial" w:cs="Arial"/>
          <w:i/>
        </w:rPr>
        <w:t>performance of any act that will remedy any wrong</w:t>
      </w:r>
      <w:r w:rsidRPr="00106F93">
        <w:rPr>
          <w:rFonts w:ascii="Arial" w:hAnsi="Arial" w:cs="Arial"/>
        </w:rPr>
        <w:t>. The Arbitrator directed to end a lock-out that will remedy a wrong, in that, when the settlement agreement of 25 February 2015 was signed, both parties intended to put effect to the terms of the agreement. I agree such powers is bestowed onto the arbitrator to execute and has done so suitably.</w:t>
      </w:r>
    </w:p>
    <w:p w14:paraId="65D49511" w14:textId="3A0D55B5" w:rsidR="002F0298" w:rsidRPr="00106F93" w:rsidRDefault="002F0298" w:rsidP="006D7030">
      <w:pPr>
        <w:spacing w:after="0" w:line="360" w:lineRule="auto"/>
        <w:jc w:val="both"/>
        <w:rPr>
          <w:rFonts w:ascii="Arial" w:hAnsi="Arial" w:cs="Arial"/>
          <w:sz w:val="24"/>
          <w:szCs w:val="24"/>
        </w:rPr>
      </w:pPr>
    </w:p>
    <w:p w14:paraId="3F000915" w14:textId="2A358F74" w:rsidR="004E2686" w:rsidRPr="00106F93" w:rsidRDefault="009204B6" w:rsidP="004E2686">
      <w:pPr>
        <w:pStyle w:val="BodyText"/>
        <w:tabs>
          <w:tab w:val="left" w:pos="720"/>
          <w:tab w:val="left" w:pos="2268"/>
        </w:tabs>
        <w:spacing w:line="360" w:lineRule="auto"/>
        <w:jc w:val="both"/>
        <w:rPr>
          <w:rFonts w:ascii="Arial" w:hAnsi="Arial" w:cs="Arial"/>
        </w:rPr>
      </w:pPr>
      <w:r w:rsidRPr="00106F93">
        <w:rPr>
          <w:rFonts w:ascii="Arial" w:hAnsi="Arial" w:cs="Arial"/>
        </w:rPr>
        <w:lastRenderedPageBreak/>
        <w:t>[30]</w:t>
      </w:r>
      <w:r w:rsidRPr="00106F93">
        <w:rPr>
          <w:rFonts w:ascii="Arial" w:hAnsi="Arial" w:cs="Arial"/>
        </w:rPr>
        <w:tab/>
      </w:r>
      <w:r w:rsidR="004E2686" w:rsidRPr="00106F93">
        <w:rPr>
          <w:rFonts w:ascii="Arial" w:hAnsi="Arial" w:cs="Arial"/>
        </w:rPr>
        <w:t xml:space="preserve">Mr. Khama further argued that the respondent is not entitled to deploy the relief of a lock-out against the appellant as the appellant is an individual employee. The legislature did not intend to confer the relief of lock-out on the employer if the lock-out is against an individual employee. The Industrial Court in South Africa held as follows on this point. </w:t>
      </w:r>
      <w:r w:rsidR="004E2686" w:rsidRPr="00106F93">
        <w:rPr>
          <w:rFonts w:ascii="Arial" w:hAnsi="Arial" w:cs="Arial"/>
          <w:i/>
        </w:rPr>
        <w:t>Fischer v Clinic Holdings Ltd</w:t>
      </w:r>
      <w:r w:rsidR="004E2686" w:rsidRPr="00106F93">
        <w:rPr>
          <w:rFonts w:ascii="Arial" w:hAnsi="Arial" w:cs="Arial"/>
        </w:rPr>
        <w:t>,</w:t>
      </w:r>
      <w:r w:rsidR="004E2686" w:rsidRPr="00106F93">
        <w:rPr>
          <w:rStyle w:val="FootnoteReference"/>
          <w:rFonts w:ascii="Arial" w:hAnsi="Arial" w:cs="Arial"/>
        </w:rPr>
        <w:footnoteReference w:id="4"/>
      </w:r>
      <w:r w:rsidR="004E2686" w:rsidRPr="00106F93">
        <w:rPr>
          <w:rFonts w:ascii="Arial" w:hAnsi="Arial" w:cs="Arial"/>
        </w:rPr>
        <w:t xml:space="preserve"> the court held that; ‘</w:t>
      </w:r>
      <w:r w:rsidR="004E2686" w:rsidRPr="00106F93">
        <w:rPr>
          <w:rFonts w:ascii="Arial" w:hAnsi="Arial" w:cs="Arial"/>
          <w:i/>
        </w:rPr>
        <w:t xml:space="preserve">For these reasons, I have concluded that a lock-out cannot be imposed against an individual employee.’ </w:t>
      </w:r>
      <w:r w:rsidR="004E2686" w:rsidRPr="00106F93">
        <w:rPr>
          <w:rFonts w:ascii="Arial" w:hAnsi="Arial" w:cs="Arial"/>
        </w:rPr>
        <w:t>This principle was similarly adopted in a number of other cases.</w:t>
      </w:r>
      <w:r w:rsidR="004E2686" w:rsidRPr="00106F93">
        <w:rPr>
          <w:rStyle w:val="FootnoteReference"/>
          <w:rFonts w:ascii="Arial" w:hAnsi="Arial" w:cs="Arial"/>
        </w:rPr>
        <w:footnoteReference w:id="5"/>
      </w:r>
      <w:r w:rsidR="004E2686" w:rsidRPr="00106F93">
        <w:rPr>
          <w:rFonts w:ascii="Arial" w:hAnsi="Arial" w:cs="Arial"/>
        </w:rPr>
        <w:t xml:space="preserve"> </w:t>
      </w:r>
    </w:p>
    <w:p w14:paraId="7EB96D55" w14:textId="2AA45FF9" w:rsidR="003D1557" w:rsidRPr="00106F93" w:rsidRDefault="003D1557" w:rsidP="004E2686">
      <w:pPr>
        <w:pStyle w:val="BodyText"/>
        <w:tabs>
          <w:tab w:val="left" w:pos="720"/>
          <w:tab w:val="left" w:pos="2268"/>
        </w:tabs>
        <w:spacing w:line="360" w:lineRule="auto"/>
        <w:jc w:val="both"/>
        <w:rPr>
          <w:rFonts w:ascii="Arial" w:hAnsi="Arial" w:cs="Arial"/>
        </w:rPr>
      </w:pPr>
    </w:p>
    <w:p w14:paraId="23661DCD" w14:textId="7861BCE1" w:rsidR="003D1557" w:rsidRPr="00106F93" w:rsidRDefault="003D1557" w:rsidP="003D1557">
      <w:pPr>
        <w:pStyle w:val="BodyText"/>
        <w:tabs>
          <w:tab w:val="left" w:pos="720"/>
          <w:tab w:val="left" w:pos="2268"/>
        </w:tabs>
        <w:spacing w:line="360" w:lineRule="auto"/>
        <w:jc w:val="both"/>
        <w:rPr>
          <w:rFonts w:ascii="Arial" w:hAnsi="Arial" w:cs="Arial"/>
        </w:rPr>
      </w:pPr>
      <w:r w:rsidRPr="00106F93">
        <w:rPr>
          <w:rFonts w:ascii="Arial" w:hAnsi="Arial" w:cs="Arial"/>
        </w:rPr>
        <w:t>[</w:t>
      </w:r>
      <w:r w:rsidR="009204B6" w:rsidRPr="00106F93">
        <w:rPr>
          <w:rFonts w:ascii="Arial" w:hAnsi="Arial" w:cs="Arial"/>
        </w:rPr>
        <w:t>31</w:t>
      </w:r>
      <w:r w:rsidRPr="00106F93">
        <w:rPr>
          <w:rFonts w:ascii="Arial" w:hAnsi="Arial" w:cs="Arial"/>
        </w:rPr>
        <w:t>]</w:t>
      </w:r>
      <w:r w:rsidRPr="00106F93">
        <w:rPr>
          <w:rFonts w:ascii="Arial" w:hAnsi="Arial" w:cs="Arial"/>
        </w:rPr>
        <w:tab/>
        <w:t xml:space="preserve">I agree with the appellant’s that a lock-out cannot be deployed by an employer against one employee. In terms of section 1 of the Act, lock-out means a total or partial refusal by one or more employers to allow their </w:t>
      </w:r>
      <w:r w:rsidRPr="00106F93">
        <w:rPr>
          <w:rFonts w:ascii="Arial" w:hAnsi="Arial" w:cs="Arial"/>
          <w:u w:val="single"/>
        </w:rPr>
        <w:t>employees</w:t>
      </w:r>
      <w:r w:rsidRPr="00106F93">
        <w:rPr>
          <w:rFonts w:ascii="Arial" w:hAnsi="Arial" w:cs="Arial"/>
        </w:rPr>
        <w:t xml:space="preserve"> to work, if the refusal is to compel </w:t>
      </w:r>
      <w:r w:rsidRPr="00106F93">
        <w:rPr>
          <w:rFonts w:ascii="Arial" w:hAnsi="Arial" w:cs="Arial"/>
          <w:u w:val="single"/>
        </w:rPr>
        <w:t>those employees or employees</w:t>
      </w:r>
      <w:r w:rsidRPr="00106F93">
        <w:rPr>
          <w:rFonts w:ascii="Arial" w:hAnsi="Arial" w:cs="Arial"/>
        </w:rPr>
        <w:t xml:space="preserve"> of any other employer to accept, modify or abandon any demand that may form the subject matter of a dispute of interest. This definition by implication excludes a single employee. </w:t>
      </w:r>
    </w:p>
    <w:p w14:paraId="42FBA2E8" w14:textId="77777777" w:rsidR="00EF299C" w:rsidRPr="00EF299C" w:rsidRDefault="00EF299C" w:rsidP="00523395">
      <w:pPr>
        <w:spacing w:after="0" w:line="360" w:lineRule="auto"/>
        <w:jc w:val="both"/>
        <w:rPr>
          <w:rFonts w:ascii="Arial" w:hAnsi="Arial" w:cs="Arial"/>
          <w:sz w:val="24"/>
          <w:szCs w:val="24"/>
        </w:rPr>
      </w:pPr>
    </w:p>
    <w:p w14:paraId="72019848" w14:textId="6E3E1FA3" w:rsidR="00A80C34" w:rsidRPr="007318AA" w:rsidRDefault="003C2D53" w:rsidP="00523395">
      <w:pPr>
        <w:spacing w:after="0" w:line="360" w:lineRule="auto"/>
        <w:jc w:val="both"/>
        <w:rPr>
          <w:rFonts w:ascii="Arial" w:hAnsi="Arial" w:cs="Arial"/>
          <w:sz w:val="24"/>
          <w:szCs w:val="24"/>
          <w:u w:val="single"/>
        </w:rPr>
      </w:pPr>
      <w:r>
        <w:rPr>
          <w:rFonts w:ascii="Arial" w:hAnsi="Arial" w:cs="Arial"/>
          <w:sz w:val="24"/>
          <w:szCs w:val="24"/>
          <w:u w:val="single"/>
        </w:rPr>
        <w:t>Refusal to deal with p</w:t>
      </w:r>
      <w:r w:rsidR="007318AA" w:rsidRPr="007318AA">
        <w:rPr>
          <w:rFonts w:ascii="Arial" w:hAnsi="Arial" w:cs="Arial"/>
          <w:sz w:val="24"/>
          <w:szCs w:val="24"/>
          <w:u w:val="single"/>
        </w:rPr>
        <w:t xml:space="preserve">oints in </w:t>
      </w:r>
      <w:r w:rsidR="007318AA" w:rsidRPr="007318AA">
        <w:rPr>
          <w:rFonts w:ascii="Arial" w:hAnsi="Arial" w:cs="Arial"/>
          <w:i/>
          <w:sz w:val="24"/>
          <w:szCs w:val="24"/>
          <w:u w:val="single"/>
        </w:rPr>
        <w:t>limine</w:t>
      </w:r>
    </w:p>
    <w:p w14:paraId="4E25D552" w14:textId="1C758C46" w:rsidR="007318AA" w:rsidRDefault="007318AA" w:rsidP="00523395">
      <w:pPr>
        <w:spacing w:after="0" w:line="360" w:lineRule="auto"/>
        <w:jc w:val="both"/>
        <w:rPr>
          <w:rFonts w:ascii="Arial" w:hAnsi="Arial" w:cs="Arial"/>
          <w:sz w:val="24"/>
          <w:szCs w:val="24"/>
        </w:rPr>
      </w:pPr>
    </w:p>
    <w:p w14:paraId="649318F8" w14:textId="30A5985C" w:rsidR="007318AA" w:rsidRPr="00CC0B68" w:rsidRDefault="007318AA" w:rsidP="00523395">
      <w:pPr>
        <w:spacing w:after="0" w:line="360" w:lineRule="auto"/>
        <w:jc w:val="both"/>
        <w:rPr>
          <w:rFonts w:ascii="Arial" w:hAnsi="Arial" w:cs="Arial"/>
          <w:sz w:val="24"/>
          <w:szCs w:val="24"/>
        </w:rPr>
      </w:pPr>
      <w:r>
        <w:rPr>
          <w:rFonts w:ascii="Arial" w:hAnsi="Arial" w:cs="Arial"/>
          <w:sz w:val="24"/>
          <w:szCs w:val="24"/>
        </w:rPr>
        <w:t>[</w:t>
      </w:r>
      <w:r w:rsidR="009204B6">
        <w:rPr>
          <w:rFonts w:ascii="Arial" w:hAnsi="Arial" w:cs="Arial"/>
          <w:sz w:val="24"/>
          <w:szCs w:val="24"/>
        </w:rPr>
        <w:t>32</w:t>
      </w:r>
      <w:r>
        <w:rPr>
          <w:rFonts w:ascii="Arial" w:hAnsi="Arial" w:cs="Arial"/>
          <w:sz w:val="24"/>
          <w:szCs w:val="24"/>
        </w:rPr>
        <w:t>]</w:t>
      </w:r>
      <w:r w:rsidR="003D3265">
        <w:rPr>
          <w:rFonts w:ascii="Arial" w:hAnsi="Arial" w:cs="Arial"/>
          <w:sz w:val="24"/>
          <w:szCs w:val="24"/>
        </w:rPr>
        <w:tab/>
      </w:r>
      <w:r w:rsidR="00353BF2">
        <w:rPr>
          <w:rFonts w:ascii="Arial" w:hAnsi="Arial" w:cs="Arial"/>
          <w:sz w:val="24"/>
          <w:szCs w:val="24"/>
        </w:rPr>
        <w:t xml:space="preserve">On this issue </w:t>
      </w:r>
      <w:r w:rsidR="00165364" w:rsidRPr="00852C99">
        <w:rPr>
          <w:rFonts w:ascii="Arial" w:hAnsi="Arial" w:cs="Arial"/>
          <w:sz w:val="24"/>
          <w:szCs w:val="24"/>
          <w:lang w:val="en-ZA"/>
        </w:rPr>
        <w:t xml:space="preserve">whether the arbitrator could, as a matter of law, refuse to deal with the points in </w:t>
      </w:r>
      <w:r w:rsidR="00165364" w:rsidRPr="00852C99">
        <w:rPr>
          <w:rFonts w:ascii="Arial" w:hAnsi="Arial" w:cs="Arial"/>
          <w:i/>
          <w:sz w:val="24"/>
          <w:szCs w:val="24"/>
          <w:lang w:val="en-ZA"/>
        </w:rPr>
        <w:t>limine</w:t>
      </w:r>
      <w:r w:rsidR="00165364" w:rsidRPr="00852C99">
        <w:rPr>
          <w:rFonts w:ascii="Arial" w:hAnsi="Arial" w:cs="Arial"/>
          <w:sz w:val="24"/>
          <w:szCs w:val="24"/>
          <w:lang w:val="en-ZA"/>
        </w:rPr>
        <w:t xml:space="preserve"> raised before her by the </w:t>
      </w:r>
      <w:r w:rsidR="00CC0B68">
        <w:rPr>
          <w:rFonts w:ascii="Arial" w:hAnsi="Arial" w:cs="Arial"/>
          <w:sz w:val="24"/>
          <w:szCs w:val="24"/>
          <w:lang w:val="en-ZA"/>
        </w:rPr>
        <w:t>respondent</w:t>
      </w:r>
      <w:r w:rsidR="003D3265">
        <w:rPr>
          <w:rFonts w:ascii="Arial" w:hAnsi="Arial" w:cs="Arial"/>
          <w:sz w:val="24"/>
          <w:szCs w:val="24"/>
          <w:lang w:val="en-ZA"/>
        </w:rPr>
        <w:t>, t</w:t>
      </w:r>
      <w:r>
        <w:rPr>
          <w:rFonts w:ascii="Arial" w:hAnsi="Arial" w:cs="Arial"/>
          <w:sz w:val="24"/>
          <w:szCs w:val="24"/>
        </w:rPr>
        <w:t xml:space="preserve">he arbitrator </w:t>
      </w:r>
      <w:r w:rsidR="00165364">
        <w:rPr>
          <w:rFonts w:ascii="Arial" w:hAnsi="Arial" w:cs="Arial"/>
          <w:sz w:val="24"/>
          <w:szCs w:val="24"/>
        </w:rPr>
        <w:t xml:space="preserve">in her award stated that </w:t>
      </w:r>
      <w:r>
        <w:rPr>
          <w:rFonts w:ascii="Arial" w:hAnsi="Arial" w:cs="Arial"/>
          <w:sz w:val="24"/>
          <w:szCs w:val="24"/>
        </w:rPr>
        <w:t>she</w:t>
      </w:r>
      <w:r w:rsidR="003D3265">
        <w:rPr>
          <w:rFonts w:ascii="Arial" w:hAnsi="Arial" w:cs="Arial"/>
          <w:sz w:val="24"/>
          <w:szCs w:val="24"/>
        </w:rPr>
        <w:t xml:space="preserve"> only had evidence of the appell</w:t>
      </w:r>
      <w:r>
        <w:rPr>
          <w:rFonts w:ascii="Arial" w:hAnsi="Arial" w:cs="Arial"/>
          <w:sz w:val="24"/>
          <w:szCs w:val="24"/>
        </w:rPr>
        <w:t>ant before her since the respondent opted to close its case without presenting any evidence on merits</w:t>
      </w:r>
      <w:r w:rsidR="00F16E33">
        <w:rPr>
          <w:rFonts w:ascii="Arial" w:hAnsi="Arial" w:cs="Arial"/>
          <w:sz w:val="24"/>
          <w:szCs w:val="24"/>
        </w:rPr>
        <w:t xml:space="preserve">. </w:t>
      </w:r>
      <w:r w:rsidR="00CC0B68">
        <w:rPr>
          <w:rFonts w:ascii="Arial" w:hAnsi="Arial" w:cs="Arial"/>
          <w:sz w:val="24"/>
          <w:szCs w:val="24"/>
        </w:rPr>
        <w:t>The</w:t>
      </w:r>
      <w:r w:rsidR="00E9606B">
        <w:rPr>
          <w:rFonts w:ascii="Arial" w:hAnsi="Arial" w:cs="Arial"/>
          <w:sz w:val="24"/>
          <w:szCs w:val="24"/>
        </w:rPr>
        <w:t xml:space="preserve"> arbitrator</w:t>
      </w:r>
      <w:r w:rsidR="00074B1B">
        <w:rPr>
          <w:rFonts w:ascii="Arial" w:hAnsi="Arial" w:cs="Arial"/>
          <w:sz w:val="24"/>
          <w:szCs w:val="24"/>
        </w:rPr>
        <w:t>’s</w:t>
      </w:r>
      <w:r w:rsidR="004F681E">
        <w:rPr>
          <w:rFonts w:ascii="Arial" w:hAnsi="Arial" w:cs="Arial"/>
          <w:sz w:val="24"/>
          <w:szCs w:val="24"/>
        </w:rPr>
        <w:t xml:space="preserve"> </w:t>
      </w:r>
      <w:r w:rsidR="00FC3A9B" w:rsidRPr="00852C99">
        <w:rPr>
          <w:rFonts w:ascii="Arial" w:hAnsi="Arial" w:cs="Arial"/>
          <w:sz w:val="24"/>
          <w:szCs w:val="24"/>
          <w:lang w:val="en-ZA"/>
        </w:rPr>
        <w:t xml:space="preserve">reason for declining to address the points of law </w:t>
      </w:r>
      <w:r w:rsidR="004F681E">
        <w:rPr>
          <w:rFonts w:ascii="Arial" w:hAnsi="Arial" w:cs="Arial"/>
          <w:sz w:val="24"/>
          <w:szCs w:val="24"/>
          <w:lang w:val="en-ZA"/>
        </w:rPr>
        <w:t>a</w:t>
      </w:r>
      <w:r w:rsidR="00FC3A9B" w:rsidRPr="00852C99">
        <w:rPr>
          <w:rFonts w:ascii="Arial" w:hAnsi="Arial" w:cs="Arial"/>
          <w:sz w:val="24"/>
          <w:szCs w:val="24"/>
          <w:lang w:val="en-ZA"/>
        </w:rPr>
        <w:t xml:space="preserve">s the </w:t>
      </w:r>
      <w:r w:rsidR="00CC0B68">
        <w:rPr>
          <w:rFonts w:ascii="Arial" w:hAnsi="Arial" w:cs="Arial"/>
          <w:sz w:val="24"/>
          <w:szCs w:val="24"/>
          <w:lang w:val="en-ZA"/>
        </w:rPr>
        <w:t>respondent</w:t>
      </w:r>
      <w:r w:rsidR="00FC3A9B" w:rsidRPr="00852C99">
        <w:rPr>
          <w:rFonts w:ascii="Arial" w:hAnsi="Arial" w:cs="Arial"/>
          <w:sz w:val="24"/>
          <w:szCs w:val="24"/>
          <w:lang w:val="en-ZA"/>
        </w:rPr>
        <w:t xml:space="preserve"> did not lead evidence on the points </w:t>
      </w:r>
      <w:r w:rsidR="00CC0B68">
        <w:rPr>
          <w:rFonts w:ascii="Arial" w:hAnsi="Arial" w:cs="Arial"/>
          <w:sz w:val="24"/>
          <w:szCs w:val="24"/>
          <w:lang w:val="en-ZA"/>
        </w:rPr>
        <w:t xml:space="preserve">and </w:t>
      </w:r>
      <w:r w:rsidR="00FC3A9B" w:rsidRPr="00852C99">
        <w:rPr>
          <w:rFonts w:ascii="Arial" w:hAnsi="Arial" w:cs="Arial"/>
          <w:sz w:val="24"/>
          <w:szCs w:val="24"/>
          <w:lang w:val="en-ZA"/>
        </w:rPr>
        <w:t>are unsupported in fact and law because the points arise from common cause facts and were expressly raised in arguments at the start and repeated at the end of the arbitration proceedings.</w:t>
      </w:r>
      <w:r w:rsidR="006428C5">
        <w:rPr>
          <w:rFonts w:ascii="Arial" w:hAnsi="Arial" w:cs="Arial"/>
          <w:sz w:val="24"/>
          <w:szCs w:val="24"/>
          <w:lang w:val="en-ZA"/>
        </w:rPr>
        <w:t xml:space="preserve"> WAS SHE CORRECT IN THIS POSITION?</w:t>
      </w:r>
    </w:p>
    <w:p w14:paraId="4CEA8737" w14:textId="5C5234E0" w:rsidR="00A1584E" w:rsidRDefault="00A1584E" w:rsidP="00523395">
      <w:pPr>
        <w:spacing w:after="0" w:line="360" w:lineRule="auto"/>
        <w:jc w:val="both"/>
        <w:rPr>
          <w:rFonts w:ascii="Arial" w:hAnsi="Arial" w:cs="Arial"/>
          <w:sz w:val="24"/>
          <w:szCs w:val="24"/>
        </w:rPr>
      </w:pPr>
    </w:p>
    <w:p w14:paraId="5AFE9D68" w14:textId="4D2C868C" w:rsidR="00A1584E" w:rsidRDefault="00DB55E1" w:rsidP="00A1584E">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w:t>
      </w:r>
      <w:r w:rsidR="002961C4">
        <w:rPr>
          <w:rFonts w:ascii="Arial" w:eastAsia="Times New Roman" w:hAnsi="Arial" w:cs="Arial"/>
          <w:sz w:val="24"/>
          <w:szCs w:val="24"/>
          <w:lang w:val="en-GB"/>
        </w:rPr>
        <w:t>33</w:t>
      </w:r>
      <w:r>
        <w:rPr>
          <w:rFonts w:ascii="Arial" w:eastAsia="Times New Roman" w:hAnsi="Arial" w:cs="Arial"/>
          <w:sz w:val="24"/>
          <w:szCs w:val="24"/>
          <w:lang w:val="en-GB"/>
        </w:rPr>
        <w:t>]</w:t>
      </w:r>
      <w:r w:rsidR="00CC0B68">
        <w:rPr>
          <w:rFonts w:ascii="Arial" w:eastAsia="Times New Roman" w:hAnsi="Arial" w:cs="Arial"/>
          <w:sz w:val="24"/>
          <w:szCs w:val="24"/>
          <w:lang w:val="en-GB"/>
        </w:rPr>
        <w:tab/>
      </w:r>
      <w:r w:rsidR="00A1584E" w:rsidRPr="00837640">
        <w:rPr>
          <w:rFonts w:ascii="Arial" w:eastAsia="Times New Roman" w:hAnsi="Arial" w:cs="Arial"/>
          <w:sz w:val="24"/>
          <w:szCs w:val="24"/>
          <w:lang w:val="en-GB"/>
        </w:rPr>
        <w:t xml:space="preserve">Section 89(1) (a) of the Act restricts a </w:t>
      </w:r>
      <w:r>
        <w:rPr>
          <w:rFonts w:ascii="Arial" w:eastAsia="Times New Roman" w:hAnsi="Arial" w:cs="Arial"/>
          <w:sz w:val="24"/>
          <w:szCs w:val="24"/>
          <w:lang w:val="en-GB"/>
        </w:rPr>
        <w:t>respondent</w:t>
      </w:r>
      <w:r w:rsidR="00A1584E" w:rsidRPr="00837640">
        <w:rPr>
          <w:rFonts w:ascii="Arial" w:eastAsia="Times New Roman" w:hAnsi="Arial" w:cs="Arial"/>
          <w:sz w:val="24"/>
          <w:szCs w:val="24"/>
          <w:lang w:val="en-GB"/>
        </w:rPr>
        <w:t xml:space="preserve">’s right to appeal to this court against an arbitrator’s award made in terms of section 86, to questions of </w:t>
      </w:r>
      <w:r w:rsidR="00A1584E" w:rsidRPr="00837640">
        <w:rPr>
          <w:rFonts w:ascii="Arial" w:eastAsia="Times New Roman" w:hAnsi="Arial" w:cs="Arial"/>
          <w:i/>
          <w:sz w:val="24"/>
          <w:szCs w:val="24"/>
          <w:lang w:val="en-GB"/>
        </w:rPr>
        <w:t>law only.</w:t>
      </w:r>
      <w:r w:rsidR="00A1584E" w:rsidRPr="00837640">
        <w:rPr>
          <w:rFonts w:ascii="Arial" w:eastAsia="Times New Roman" w:hAnsi="Arial" w:cs="Arial"/>
          <w:sz w:val="24"/>
          <w:szCs w:val="24"/>
          <w:lang w:val="en-GB"/>
        </w:rPr>
        <w:t xml:space="preserve"> Section 89(1)(a) of the Act, 2007 in material part provides as follows: </w:t>
      </w:r>
    </w:p>
    <w:p w14:paraId="74E97A91" w14:textId="77777777" w:rsidR="00A1584E" w:rsidRPr="00837640" w:rsidRDefault="00A1584E" w:rsidP="00A1584E">
      <w:pPr>
        <w:spacing w:after="0" w:line="360" w:lineRule="auto"/>
        <w:jc w:val="both"/>
        <w:rPr>
          <w:rFonts w:ascii="Arial" w:eastAsia="Times New Roman" w:hAnsi="Arial" w:cs="Arial"/>
          <w:sz w:val="24"/>
          <w:szCs w:val="24"/>
          <w:lang w:val="en-GB"/>
        </w:rPr>
      </w:pPr>
    </w:p>
    <w:p w14:paraId="3C0FFA12" w14:textId="77777777" w:rsidR="00A1584E" w:rsidRDefault="00A1584E" w:rsidP="00A1584E">
      <w:pPr>
        <w:tabs>
          <w:tab w:val="left" w:pos="720"/>
          <w:tab w:val="left" w:pos="1440"/>
        </w:tabs>
        <w:autoSpaceDE w:val="0"/>
        <w:autoSpaceDN w:val="0"/>
        <w:adjustRightInd w:val="0"/>
        <w:spacing w:after="0" w:line="360" w:lineRule="auto"/>
        <w:ind w:left="720"/>
        <w:jc w:val="both"/>
        <w:rPr>
          <w:rFonts w:ascii="Arial" w:eastAsia="Times New Roman" w:hAnsi="Arial" w:cs="Arial"/>
          <w:color w:val="000000"/>
        </w:rPr>
      </w:pPr>
      <w:r>
        <w:rPr>
          <w:rFonts w:ascii="Arial" w:eastAsia="Times New Roman" w:hAnsi="Arial" w:cs="Arial"/>
          <w:color w:val="000000"/>
        </w:rPr>
        <w:lastRenderedPageBreak/>
        <w:t>‘</w:t>
      </w:r>
      <w:r w:rsidRPr="002375D2">
        <w:rPr>
          <w:rFonts w:ascii="Arial" w:eastAsia="Times New Roman" w:hAnsi="Arial" w:cs="Arial"/>
          <w:color w:val="000000"/>
        </w:rPr>
        <w:t>89</w:t>
      </w:r>
      <w:r w:rsidRPr="002375D2">
        <w:rPr>
          <w:rFonts w:ascii="Arial" w:eastAsia="Times New Roman" w:hAnsi="Arial" w:cs="Arial"/>
          <w:color w:val="000000"/>
        </w:rPr>
        <w:tab/>
        <w:t>(1)</w:t>
      </w:r>
      <w:r w:rsidRPr="002375D2">
        <w:rPr>
          <w:rFonts w:ascii="Arial" w:eastAsia="Times New Roman" w:hAnsi="Arial" w:cs="Arial"/>
          <w:color w:val="000000"/>
        </w:rPr>
        <w:tab/>
        <w:t xml:space="preserve">A party to a dispute may appeal to the Labour Court against an Arbitrator’s award in terms of Section 86- </w:t>
      </w:r>
    </w:p>
    <w:p w14:paraId="4BF965DF" w14:textId="77777777" w:rsidR="00A1584E" w:rsidRPr="002375D2" w:rsidRDefault="00A1584E" w:rsidP="00A1584E">
      <w:pPr>
        <w:tabs>
          <w:tab w:val="left" w:pos="720"/>
          <w:tab w:val="left" w:pos="1440"/>
        </w:tabs>
        <w:autoSpaceDE w:val="0"/>
        <w:autoSpaceDN w:val="0"/>
        <w:adjustRightInd w:val="0"/>
        <w:spacing w:after="0" w:line="360" w:lineRule="auto"/>
        <w:jc w:val="both"/>
        <w:rPr>
          <w:rFonts w:ascii="Arial" w:eastAsia="Times New Roman" w:hAnsi="Arial" w:cs="Arial"/>
          <w:color w:val="000000"/>
        </w:rPr>
      </w:pPr>
    </w:p>
    <w:p w14:paraId="39C5F3FA" w14:textId="77777777" w:rsidR="00A1584E" w:rsidRPr="002375D2" w:rsidRDefault="00A1584E" w:rsidP="00A1584E">
      <w:pPr>
        <w:pStyle w:val="ListParagraph"/>
        <w:numPr>
          <w:ilvl w:val="0"/>
          <w:numId w:val="5"/>
        </w:numPr>
        <w:tabs>
          <w:tab w:val="left" w:pos="720"/>
          <w:tab w:val="left" w:pos="1440"/>
        </w:tabs>
        <w:autoSpaceDE w:val="0"/>
        <w:autoSpaceDN w:val="0"/>
        <w:adjustRightInd w:val="0"/>
        <w:spacing w:after="0" w:line="360" w:lineRule="auto"/>
        <w:jc w:val="both"/>
        <w:rPr>
          <w:rFonts w:ascii="Arial" w:eastAsia="Times New Roman" w:hAnsi="Arial" w:cs="Arial"/>
          <w:color w:val="000000"/>
        </w:rPr>
      </w:pPr>
      <w:r w:rsidRPr="002375D2">
        <w:rPr>
          <w:rFonts w:ascii="Arial" w:eastAsia="Times New Roman" w:hAnsi="Arial" w:cs="Arial"/>
          <w:color w:val="000000"/>
        </w:rPr>
        <w:t xml:space="preserve">on any question of law alone; or </w:t>
      </w:r>
    </w:p>
    <w:p w14:paraId="7A2DA119" w14:textId="77777777" w:rsidR="00A1584E" w:rsidRPr="002375D2" w:rsidRDefault="00A1584E" w:rsidP="00A1584E">
      <w:pPr>
        <w:pStyle w:val="ListParagraph"/>
        <w:tabs>
          <w:tab w:val="left" w:pos="720"/>
          <w:tab w:val="left" w:pos="1440"/>
        </w:tabs>
        <w:autoSpaceDE w:val="0"/>
        <w:autoSpaceDN w:val="0"/>
        <w:adjustRightInd w:val="0"/>
        <w:spacing w:after="0" w:line="360" w:lineRule="auto"/>
        <w:ind w:left="2160"/>
        <w:jc w:val="both"/>
        <w:rPr>
          <w:rFonts w:ascii="Arial" w:eastAsia="Times New Roman" w:hAnsi="Arial" w:cs="Arial"/>
          <w:color w:val="000000"/>
        </w:rPr>
      </w:pPr>
    </w:p>
    <w:p w14:paraId="438A2FC5" w14:textId="77777777" w:rsidR="00A1584E" w:rsidRPr="002375D2" w:rsidRDefault="00A1584E" w:rsidP="00A1584E">
      <w:pPr>
        <w:tabs>
          <w:tab w:val="left" w:pos="720"/>
          <w:tab w:val="left" w:pos="1440"/>
        </w:tabs>
        <w:spacing w:after="0" w:line="360" w:lineRule="auto"/>
        <w:ind w:left="720" w:firstLine="720"/>
        <w:jc w:val="both"/>
        <w:rPr>
          <w:rFonts w:ascii="Arial" w:eastAsia="Times New Roman" w:hAnsi="Arial" w:cs="Arial"/>
          <w:lang w:val="en-GB"/>
        </w:rPr>
      </w:pPr>
      <w:r w:rsidRPr="002375D2">
        <w:rPr>
          <w:rFonts w:ascii="Arial" w:eastAsia="Times New Roman" w:hAnsi="Arial" w:cs="Arial"/>
          <w:lang w:val="en-GB"/>
        </w:rPr>
        <w:t>(b)</w:t>
      </w:r>
      <w:r w:rsidRPr="002375D2">
        <w:rPr>
          <w:rFonts w:ascii="Arial" w:eastAsia="Times New Roman" w:hAnsi="Arial" w:cs="Arial"/>
          <w:lang w:val="en-GB"/>
        </w:rPr>
        <w:tab/>
        <w:t>in the case of award in a dispute initially referred to the Labour Commissioner in terms of Section 7 (1) (a) on question of fact, law or mixed fact and law</w:t>
      </w:r>
      <w:r>
        <w:rPr>
          <w:rFonts w:ascii="Arial" w:eastAsia="Times New Roman" w:hAnsi="Arial" w:cs="Arial"/>
          <w:lang w:val="en-GB"/>
        </w:rPr>
        <w:t>’</w:t>
      </w:r>
      <w:r w:rsidRPr="002375D2">
        <w:rPr>
          <w:rFonts w:ascii="Arial" w:eastAsia="Times New Roman" w:hAnsi="Arial" w:cs="Arial"/>
          <w:lang w:val="en-GB"/>
        </w:rPr>
        <w:t>.</w:t>
      </w:r>
    </w:p>
    <w:p w14:paraId="58C364CB" w14:textId="77777777" w:rsidR="00A1584E" w:rsidRDefault="00A1584E" w:rsidP="00523395">
      <w:pPr>
        <w:spacing w:after="0" w:line="360" w:lineRule="auto"/>
        <w:jc w:val="both"/>
        <w:rPr>
          <w:rFonts w:ascii="Arial" w:hAnsi="Arial" w:cs="Arial"/>
          <w:sz w:val="24"/>
          <w:szCs w:val="24"/>
        </w:rPr>
      </w:pPr>
    </w:p>
    <w:p w14:paraId="1323D02E" w14:textId="6B852D71" w:rsidR="00CC0B68" w:rsidRDefault="00CC0B68" w:rsidP="00CC0B68">
      <w:pPr>
        <w:autoSpaceDE w:val="0"/>
        <w:autoSpaceDN w:val="0"/>
        <w:adjustRightInd w:val="0"/>
        <w:spacing w:after="0" w:line="36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w:t>
      </w:r>
      <w:r w:rsidR="002961C4">
        <w:rPr>
          <w:rFonts w:ascii="Arial" w:eastAsia="Times New Roman" w:hAnsi="Arial" w:cs="Arial"/>
          <w:bCs/>
          <w:color w:val="000000"/>
          <w:sz w:val="24"/>
          <w:szCs w:val="24"/>
        </w:rPr>
        <w:t>34</w:t>
      </w:r>
      <w:r>
        <w:rPr>
          <w:rFonts w:ascii="Arial" w:eastAsia="Times New Roman" w:hAnsi="Arial" w:cs="Arial"/>
          <w:bCs/>
          <w:color w:val="000000"/>
          <w:sz w:val="24"/>
          <w:szCs w:val="24"/>
        </w:rPr>
        <w:t>]</w:t>
      </w:r>
      <w:r w:rsidR="00C86370">
        <w:rPr>
          <w:rFonts w:ascii="Arial" w:eastAsia="Times New Roman" w:hAnsi="Arial" w:cs="Arial"/>
          <w:bCs/>
          <w:color w:val="000000"/>
          <w:sz w:val="24"/>
          <w:szCs w:val="24"/>
        </w:rPr>
        <w:tab/>
      </w:r>
      <w:r w:rsidRPr="00837640">
        <w:rPr>
          <w:rFonts w:ascii="Arial" w:eastAsia="Times New Roman" w:hAnsi="Arial" w:cs="Arial"/>
          <w:bCs/>
          <w:color w:val="000000"/>
          <w:sz w:val="24"/>
          <w:szCs w:val="24"/>
        </w:rPr>
        <w:t xml:space="preserve">The provisions of s 89 of the Act were considered by this Court in the unreported judgment of </w:t>
      </w:r>
      <w:r w:rsidRPr="00106F93">
        <w:rPr>
          <w:rFonts w:ascii="Arial" w:eastAsia="Times New Roman" w:hAnsi="Arial" w:cs="Arial"/>
          <w:bCs/>
          <w:i/>
          <w:color w:val="000000"/>
          <w:sz w:val="24"/>
          <w:szCs w:val="24"/>
        </w:rPr>
        <w:t xml:space="preserve">Shoprite Namibia (Pty) Ltd Appellant </w:t>
      </w:r>
      <w:r w:rsidRPr="00106F93">
        <w:rPr>
          <w:rFonts w:ascii="Arial" w:eastAsia="Times New Roman" w:hAnsi="Arial" w:cs="Arial"/>
          <w:i/>
          <w:color w:val="000000"/>
          <w:sz w:val="24"/>
          <w:szCs w:val="24"/>
        </w:rPr>
        <w:t xml:space="preserve">v </w:t>
      </w:r>
      <w:r w:rsidRPr="00106F93">
        <w:rPr>
          <w:rFonts w:ascii="Arial" w:eastAsia="Times New Roman" w:hAnsi="Arial" w:cs="Arial"/>
          <w:bCs/>
          <w:i/>
          <w:color w:val="000000"/>
          <w:sz w:val="24"/>
          <w:szCs w:val="24"/>
        </w:rPr>
        <w:t xml:space="preserve">Faustino Moises Paulo:  </w:t>
      </w:r>
      <w:r w:rsidRPr="00106F93">
        <w:rPr>
          <w:rFonts w:ascii="Arial" w:eastAsia="Times New Roman" w:hAnsi="Arial" w:cs="Arial"/>
          <w:bCs/>
          <w:color w:val="000000"/>
          <w:sz w:val="24"/>
          <w:szCs w:val="24"/>
        </w:rPr>
        <w:t xml:space="preserve">Case No: LCA 02/2010 </w:t>
      </w:r>
      <w:r>
        <w:rPr>
          <w:rFonts w:ascii="Arial" w:eastAsia="Times New Roman" w:hAnsi="Arial" w:cs="Arial"/>
          <w:bCs/>
          <w:color w:val="000000"/>
          <w:sz w:val="24"/>
          <w:szCs w:val="24"/>
        </w:rPr>
        <w:t>where Parker, J said:</w:t>
      </w:r>
    </w:p>
    <w:p w14:paraId="5FF63466" w14:textId="77777777" w:rsidR="00CC0B68" w:rsidRPr="00837640" w:rsidRDefault="00CC0B68" w:rsidP="00CC0B68">
      <w:pPr>
        <w:autoSpaceDE w:val="0"/>
        <w:autoSpaceDN w:val="0"/>
        <w:adjustRightInd w:val="0"/>
        <w:spacing w:after="0" w:line="360" w:lineRule="auto"/>
        <w:jc w:val="both"/>
        <w:rPr>
          <w:rFonts w:ascii="Arial" w:eastAsia="Times New Roman" w:hAnsi="Arial" w:cs="Arial"/>
          <w:bCs/>
          <w:color w:val="000000"/>
          <w:sz w:val="24"/>
          <w:szCs w:val="24"/>
        </w:rPr>
      </w:pPr>
    </w:p>
    <w:p w14:paraId="03452189" w14:textId="77777777" w:rsidR="00CC0B68" w:rsidRPr="00EC6DA2" w:rsidRDefault="00CC0B68" w:rsidP="00CC0B68">
      <w:pPr>
        <w:autoSpaceDE w:val="0"/>
        <w:autoSpaceDN w:val="0"/>
        <w:adjustRightInd w:val="0"/>
        <w:spacing w:after="0" w:line="360" w:lineRule="auto"/>
        <w:ind w:left="720"/>
        <w:jc w:val="both"/>
        <w:rPr>
          <w:rFonts w:ascii="Arial" w:eastAsia="Times New Roman" w:hAnsi="Arial" w:cs="Arial"/>
          <w:lang w:val="en-GB"/>
        </w:rPr>
      </w:pPr>
      <w:r w:rsidRPr="00EC6DA2">
        <w:rPr>
          <w:rFonts w:ascii="Arial" w:eastAsia="Times New Roman" w:hAnsi="Arial" w:cs="Arial"/>
          <w:lang w:val="en-GB"/>
        </w:rPr>
        <w:t>‘The predicative adjective ‘alone’ qualifying ‘law’ means ‘without others present’. (</w:t>
      </w:r>
      <w:r w:rsidRPr="00EC6DA2">
        <w:rPr>
          <w:rFonts w:ascii="Arial" w:eastAsia="Times New Roman" w:hAnsi="Arial" w:cs="Arial"/>
          <w:i/>
          <w:iCs/>
          <w:lang w:val="en-GB"/>
        </w:rPr>
        <w:t>Concise Oxford Dictionary</w:t>
      </w:r>
      <w:r w:rsidRPr="00EC6DA2">
        <w:rPr>
          <w:rFonts w:ascii="Arial" w:eastAsia="Times New Roman" w:hAnsi="Arial" w:cs="Arial"/>
          <w:lang w:val="en-GB"/>
        </w:rPr>
        <w:t>, 10th edn) Accordingly, the interpretation and application of s</w:t>
      </w:r>
      <w:r>
        <w:rPr>
          <w:rFonts w:ascii="Arial" w:eastAsia="Times New Roman" w:hAnsi="Arial" w:cs="Arial"/>
          <w:lang w:val="en-GB"/>
        </w:rPr>
        <w:t xml:space="preserve"> 89(1)</w:t>
      </w:r>
      <w:r w:rsidRPr="00EC6DA2">
        <w:rPr>
          <w:rFonts w:ascii="Arial" w:eastAsia="Times New Roman" w:hAnsi="Arial" w:cs="Arial"/>
          <w:lang w:val="en-GB"/>
        </w:rPr>
        <w:t>(a) lead indubitably to the conclusion that this Court is entitled to hear an appeal on a question of law alone if the matter, as in the instant case, does not fall under s. 89</w:t>
      </w:r>
      <w:r>
        <w:rPr>
          <w:rFonts w:ascii="Arial" w:eastAsia="Times New Roman" w:hAnsi="Arial" w:cs="Arial"/>
          <w:lang w:val="en-GB"/>
        </w:rPr>
        <w:t>(1)</w:t>
      </w:r>
      <w:r w:rsidRPr="00EC6DA2">
        <w:rPr>
          <w:rFonts w:ascii="Arial" w:eastAsia="Times New Roman" w:hAnsi="Arial" w:cs="Arial"/>
          <w:lang w:val="en-GB"/>
        </w:rPr>
        <w:t>(b). A ‘question of law alone’ means a question of law alone without anything else present, e.g. opinion or fact. It is trite that a notice of appeal must specify the grounds of the appeal and the notice must be carefully framed, for an appellant has no right in the hearing of an appeal to rely on any grounds of appeal not specified in the notice of appeal. In this regard it has also been said that precision in specifying grounds of appeal is ‘not a matter of form but a matter of substance … necessary to enable appeals to be justly disposed of (</w:t>
      </w:r>
      <w:r w:rsidRPr="00EC6DA2">
        <w:rPr>
          <w:rFonts w:ascii="Arial" w:eastAsia="Times New Roman" w:hAnsi="Arial" w:cs="Arial"/>
          <w:i/>
          <w:iCs/>
          <w:lang w:val="en-GB"/>
        </w:rPr>
        <w:t xml:space="preserve">Johnson v Johnson </w:t>
      </w:r>
      <w:r w:rsidRPr="00EC6DA2">
        <w:rPr>
          <w:rFonts w:ascii="Arial" w:eastAsia="Times New Roman" w:hAnsi="Arial" w:cs="Arial"/>
          <w:lang w:val="en-GB"/>
        </w:rPr>
        <w:t xml:space="preserve">[1969] 1 W.L.R. 1044 at 1046 </w:t>
      </w:r>
      <w:r w:rsidRPr="00EC6DA2">
        <w:rPr>
          <w:rFonts w:ascii="Arial" w:eastAsia="Times New Roman" w:hAnsi="Arial" w:cs="Arial"/>
          <w:i/>
          <w:iCs/>
          <w:lang w:val="en-GB"/>
        </w:rPr>
        <w:t xml:space="preserve">per </w:t>
      </w:r>
      <w:r w:rsidRPr="00EC6DA2">
        <w:rPr>
          <w:rFonts w:ascii="Arial" w:eastAsia="Times New Roman" w:hAnsi="Arial" w:cs="Arial"/>
          <w:lang w:val="en-GB"/>
        </w:rPr>
        <w:t>Brandon J).’</w:t>
      </w:r>
    </w:p>
    <w:p w14:paraId="0E2432EE" w14:textId="77777777" w:rsidR="00CC0B68" w:rsidRPr="00837640" w:rsidRDefault="00CC0B68" w:rsidP="00CC0B68">
      <w:pPr>
        <w:autoSpaceDE w:val="0"/>
        <w:autoSpaceDN w:val="0"/>
        <w:adjustRightInd w:val="0"/>
        <w:spacing w:after="0" w:line="360" w:lineRule="auto"/>
        <w:ind w:left="284"/>
        <w:jc w:val="both"/>
        <w:rPr>
          <w:rFonts w:ascii="Arial" w:eastAsia="Times New Roman" w:hAnsi="Arial" w:cs="Arial"/>
          <w:sz w:val="24"/>
          <w:szCs w:val="24"/>
        </w:rPr>
      </w:pPr>
    </w:p>
    <w:p w14:paraId="5A08B928" w14:textId="32D2EA0F" w:rsidR="00B759EC" w:rsidRDefault="00CC0B68" w:rsidP="00CC0B68">
      <w:pPr>
        <w:tabs>
          <w:tab w:val="left" w:pos="720"/>
          <w:tab w:val="left" w:pos="1440"/>
        </w:tabs>
        <w:spacing w:after="0" w:line="360" w:lineRule="auto"/>
        <w:jc w:val="both"/>
        <w:rPr>
          <w:rFonts w:ascii="Arial" w:eastAsia="Times New Roman" w:hAnsi="Arial" w:cs="Arial"/>
          <w:sz w:val="24"/>
          <w:szCs w:val="24"/>
        </w:rPr>
      </w:pPr>
      <w:r w:rsidRPr="00837640">
        <w:rPr>
          <w:rFonts w:ascii="Arial" w:eastAsia="Times New Roman" w:hAnsi="Arial" w:cs="Arial"/>
          <w:sz w:val="24"/>
          <w:szCs w:val="24"/>
        </w:rPr>
        <w:t>[</w:t>
      </w:r>
      <w:r w:rsidR="002961C4">
        <w:rPr>
          <w:rFonts w:ascii="Arial" w:eastAsia="Times New Roman" w:hAnsi="Arial" w:cs="Arial"/>
          <w:sz w:val="24"/>
          <w:szCs w:val="24"/>
        </w:rPr>
        <w:t>35</w:t>
      </w:r>
      <w:r w:rsidRPr="00837640">
        <w:rPr>
          <w:rFonts w:ascii="Arial" w:eastAsia="Times New Roman" w:hAnsi="Arial" w:cs="Arial"/>
          <w:sz w:val="24"/>
          <w:szCs w:val="24"/>
        </w:rPr>
        <w:t>]</w:t>
      </w:r>
      <w:r w:rsidRPr="00837640">
        <w:rPr>
          <w:rFonts w:ascii="Arial" w:eastAsia="Times New Roman" w:hAnsi="Arial" w:cs="Arial"/>
          <w:sz w:val="24"/>
          <w:szCs w:val="24"/>
        </w:rPr>
        <w:tab/>
        <w:t xml:space="preserve">It thus follows that in so far as the </w:t>
      </w:r>
      <w:r w:rsidR="00C57118">
        <w:rPr>
          <w:rFonts w:ascii="Arial" w:eastAsia="Times New Roman" w:hAnsi="Arial" w:cs="Arial"/>
          <w:sz w:val="24"/>
          <w:szCs w:val="24"/>
        </w:rPr>
        <w:t xml:space="preserve">arbitrator’s award purports in relation to the points in </w:t>
      </w:r>
      <w:r w:rsidR="00C57118" w:rsidRPr="00C57118">
        <w:rPr>
          <w:rFonts w:ascii="Arial" w:eastAsia="Times New Roman" w:hAnsi="Arial" w:cs="Arial"/>
          <w:i/>
          <w:sz w:val="24"/>
          <w:szCs w:val="24"/>
        </w:rPr>
        <w:t>limine</w:t>
      </w:r>
      <w:r w:rsidR="00C57118">
        <w:rPr>
          <w:rFonts w:ascii="Arial" w:eastAsia="Times New Roman" w:hAnsi="Arial" w:cs="Arial"/>
          <w:sz w:val="24"/>
          <w:szCs w:val="24"/>
        </w:rPr>
        <w:t xml:space="preserve"> raised by the respondent, there was neither oral nor documentary evidence adduced before her and such points were only mentioned in the opening statements as well as the closing arguments.</w:t>
      </w:r>
      <w:r w:rsidR="00B759EC">
        <w:rPr>
          <w:rStyle w:val="FootnoteReference"/>
          <w:rFonts w:ascii="Arial" w:eastAsia="Times New Roman" w:hAnsi="Arial" w:cs="Arial"/>
          <w:sz w:val="24"/>
          <w:szCs w:val="24"/>
        </w:rPr>
        <w:footnoteReference w:id="6"/>
      </w:r>
      <w:r w:rsidR="00C57118">
        <w:rPr>
          <w:rFonts w:ascii="Arial" w:eastAsia="Times New Roman" w:hAnsi="Arial" w:cs="Arial"/>
          <w:sz w:val="24"/>
          <w:szCs w:val="24"/>
        </w:rPr>
        <w:t xml:space="preserve"> The respondent could have presented evidence on the points in </w:t>
      </w:r>
      <w:r w:rsidR="00C57118" w:rsidRPr="00C57118">
        <w:rPr>
          <w:rFonts w:ascii="Arial" w:eastAsia="Times New Roman" w:hAnsi="Arial" w:cs="Arial"/>
          <w:i/>
          <w:sz w:val="24"/>
          <w:szCs w:val="24"/>
        </w:rPr>
        <w:t>limine</w:t>
      </w:r>
      <w:r w:rsidR="00C57118">
        <w:rPr>
          <w:rFonts w:ascii="Arial" w:eastAsia="Times New Roman" w:hAnsi="Arial" w:cs="Arial"/>
          <w:sz w:val="24"/>
          <w:szCs w:val="24"/>
        </w:rPr>
        <w:t xml:space="preserve"> and the appellant would have been also afforded an opportunity to rebut such evidence if it so wished and she could have asked questions for clarity purposes. However, the respondent since abandoned its request by deciding </w:t>
      </w:r>
      <w:r w:rsidR="00C57118">
        <w:rPr>
          <w:rFonts w:ascii="Arial" w:eastAsia="Times New Roman" w:hAnsi="Arial" w:cs="Arial"/>
          <w:sz w:val="24"/>
          <w:szCs w:val="24"/>
        </w:rPr>
        <w:lastRenderedPageBreak/>
        <w:t xml:space="preserve">to close its case without leading any evidence and in this light, the arbitrator regarded the issue as purely academic. </w:t>
      </w:r>
    </w:p>
    <w:p w14:paraId="6815572D" w14:textId="77777777" w:rsidR="00B759EC" w:rsidRDefault="00B759EC" w:rsidP="00CC0B68">
      <w:pPr>
        <w:tabs>
          <w:tab w:val="left" w:pos="720"/>
          <w:tab w:val="left" w:pos="1440"/>
        </w:tabs>
        <w:spacing w:after="0" w:line="360" w:lineRule="auto"/>
        <w:jc w:val="both"/>
        <w:rPr>
          <w:rFonts w:ascii="Arial" w:eastAsia="Times New Roman" w:hAnsi="Arial" w:cs="Arial"/>
          <w:sz w:val="24"/>
          <w:szCs w:val="24"/>
        </w:rPr>
      </w:pPr>
    </w:p>
    <w:p w14:paraId="7A61AFEF" w14:textId="5D83E725" w:rsidR="00C57118" w:rsidRDefault="00B759EC" w:rsidP="00CC0B68">
      <w:pPr>
        <w:tabs>
          <w:tab w:val="left" w:pos="720"/>
          <w:tab w:val="left" w:pos="1440"/>
        </w:tabs>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2961C4">
        <w:rPr>
          <w:rFonts w:ascii="Arial" w:eastAsia="Times New Roman" w:hAnsi="Arial" w:cs="Arial"/>
          <w:sz w:val="24"/>
          <w:szCs w:val="24"/>
        </w:rPr>
        <w:t>36</w:t>
      </w:r>
      <w:r>
        <w:rPr>
          <w:rFonts w:ascii="Arial" w:eastAsia="Times New Roman" w:hAnsi="Arial" w:cs="Arial"/>
          <w:sz w:val="24"/>
          <w:szCs w:val="24"/>
        </w:rPr>
        <w:t>]</w:t>
      </w:r>
      <w:r>
        <w:rPr>
          <w:rFonts w:ascii="Arial" w:eastAsia="Times New Roman" w:hAnsi="Arial" w:cs="Arial"/>
          <w:sz w:val="24"/>
          <w:szCs w:val="24"/>
        </w:rPr>
        <w:tab/>
      </w:r>
      <w:r w:rsidR="00C57118">
        <w:rPr>
          <w:rFonts w:ascii="Arial" w:eastAsia="Times New Roman" w:hAnsi="Arial" w:cs="Arial"/>
          <w:sz w:val="24"/>
          <w:szCs w:val="24"/>
        </w:rPr>
        <w:t xml:space="preserve">I am of the view that the arbitrator did not err, as a matter of law, refuse to deal with the points in </w:t>
      </w:r>
      <w:r w:rsidR="00C57118" w:rsidRPr="00B759EC">
        <w:rPr>
          <w:rFonts w:ascii="Arial" w:eastAsia="Times New Roman" w:hAnsi="Arial" w:cs="Arial"/>
          <w:i/>
          <w:sz w:val="24"/>
          <w:szCs w:val="24"/>
        </w:rPr>
        <w:t>limine</w:t>
      </w:r>
      <w:r w:rsidR="00C57118">
        <w:rPr>
          <w:rFonts w:ascii="Arial" w:eastAsia="Times New Roman" w:hAnsi="Arial" w:cs="Arial"/>
          <w:sz w:val="24"/>
          <w:szCs w:val="24"/>
        </w:rPr>
        <w:t xml:space="preserve"> </w:t>
      </w:r>
      <w:r>
        <w:rPr>
          <w:rFonts w:ascii="Arial" w:eastAsia="Times New Roman" w:hAnsi="Arial" w:cs="Arial"/>
          <w:sz w:val="24"/>
          <w:szCs w:val="24"/>
        </w:rPr>
        <w:t>but merely acted reasonably to treat this as academic in the sense that whether or not in any event the position was going to be abolished because of restructuring it was proper for the respondent to attend to the appellant’s concerns and clarify what it meant in order for the appellant to make an informed decision and to air his concerns before the alteration are affected.</w:t>
      </w:r>
    </w:p>
    <w:p w14:paraId="2A1FE32F" w14:textId="683A6B41" w:rsidR="003D1557" w:rsidRDefault="00940225" w:rsidP="00106F93">
      <w:pPr>
        <w:tabs>
          <w:tab w:val="left" w:pos="720"/>
        </w:tabs>
        <w:spacing w:after="0" w:line="360" w:lineRule="auto"/>
        <w:jc w:val="both"/>
        <w:rPr>
          <w:rFonts w:ascii="Arial" w:hAnsi="Arial" w:cs="Arial"/>
          <w:sz w:val="24"/>
          <w:szCs w:val="24"/>
        </w:rPr>
      </w:pPr>
      <w:r>
        <w:rPr>
          <w:rFonts w:ascii="Arial" w:hAnsi="Arial" w:cs="Arial"/>
          <w:sz w:val="24"/>
          <w:szCs w:val="24"/>
        </w:rPr>
        <w:t xml:space="preserve"> </w:t>
      </w:r>
    </w:p>
    <w:p w14:paraId="348DEA37" w14:textId="2EDE6BB2" w:rsidR="00940225" w:rsidRDefault="0018673C" w:rsidP="00523395">
      <w:pPr>
        <w:spacing w:after="0" w:line="360" w:lineRule="auto"/>
        <w:jc w:val="both"/>
        <w:rPr>
          <w:rFonts w:ascii="Arial" w:hAnsi="Arial" w:cs="Arial"/>
          <w:sz w:val="24"/>
          <w:szCs w:val="24"/>
          <w:u w:val="single"/>
        </w:rPr>
      </w:pPr>
      <w:r>
        <w:rPr>
          <w:rFonts w:ascii="Arial" w:hAnsi="Arial" w:cs="Arial"/>
          <w:sz w:val="24"/>
          <w:szCs w:val="24"/>
          <w:u w:val="single"/>
        </w:rPr>
        <w:t>Respondent acted in bad faith and failed to implement the terms of the settlement agreement</w:t>
      </w:r>
      <w:r w:rsidR="00940225" w:rsidRPr="00940225">
        <w:rPr>
          <w:rFonts w:ascii="Arial" w:hAnsi="Arial" w:cs="Arial"/>
          <w:sz w:val="24"/>
          <w:szCs w:val="24"/>
          <w:u w:val="single"/>
        </w:rPr>
        <w:t xml:space="preserve"> </w:t>
      </w:r>
    </w:p>
    <w:p w14:paraId="72B823C5" w14:textId="1D412D43" w:rsidR="003D1557" w:rsidRDefault="003D1557" w:rsidP="00523395">
      <w:pPr>
        <w:spacing w:after="0" w:line="360" w:lineRule="auto"/>
        <w:jc w:val="both"/>
        <w:rPr>
          <w:rFonts w:ascii="Arial" w:hAnsi="Arial" w:cs="Arial"/>
          <w:sz w:val="24"/>
          <w:szCs w:val="24"/>
          <w:u w:val="single"/>
        </w:rPr>
      </w:pPr>
    </w:p>
    <w:p w14:paraId="7CF6152E" w14:textId="55DC496D" w:rsidR="003D1557" w:rsidRPr="006D7030" w:rsidRDefault="003D1557" w:rsidP="003D1557">
      <w:pPr>
        <w:spacing w:after="0" w:line="360" w:lineRule="auto"/>
        <w:jc w:val="both"/>
        <w:rPr>
          <w:rFonts w:ascii="Arial" w:hAnsi="Arial" w:cs="Arial"/>
          <w:sz w:val="24"/>
          <w:szCs w:val="24"/>
        </w:rPr>
      </w:pPr>
      <w:r>
        <w:rPr>
          <w:rFonts w:ascii="Arial" w:hAnsi="Arial" w:cs="Arial"/>
          <w:sz w:val="24"/>
          <w:szCs w:val="24"/>
        </w:rPr>
        <w:t>[</w:t>
      </w:r>
      <w:r w:rsidR="009204B6">
        <w:rPr>
          <w:rFonts w:ascii="Arial" w:hAnsi="Arial" w:cs="Arial"/>
          <w:sz w:val="24"/>
          <w:szCs w:val="24"/>
        </w:rPr>
        <w:t>3</w:t>
      </w:r>
      <w:r w:rsidR="002961C4">
        <w:rPr>
          <w:rFonts w:ascii="Arial" w:hAnsi="Arial" w:cs="Arial"/>
          <w:sz w:val="24"/>
          <w:szCs w:val="24"/>
        </w:rPr>
        <w:t>7</w:t>
      </w:r>
      <w:r>
        <w:rPr>
          <w:rFonts w:ascii="Arial" w:hAnsi="Arial" w:cs="Arial"/>
          <w:sz w:val="24"/>
          <w:szCs w:val="24"/>
        </w:rPr>
        <w:t>]</w:t>
      </w:r>
      <w:r>
        <w:rPr>
          <w:rFonts w:ascii="Arial" w:hAnsi="Arial" w:cs="Arial"/>
          <w:sz w:val="24"/>
          <w:szCs w:val="24"/>
        </w:rPr>
        <w:tab/>
        <w:t xml:space="preserve">The forms of unfair labour practices which may be committed by an employer are limited in s. 50 (1) of the Labour Act. The relevant provision provides as follows; </w:t>
      </w:r>
      <w:r>
        <w:rPr>
          <w:rFonts w:ascii="Arial" w:eastAsia="Times New Roman" w:hAnsi="Arial" w:cs="Arial"/>
          <w:color w:val="000000"/>
          <w:sz w:val="24"/>
          <w:szCs w:val="24"/>
        </w:rPr>
        <w:t xml:space="preserve"> </w:t>
      </w:r>
    </w:p>
    <w:p w14:paraId="0797797B" w14:textId="77777777" w:rsidR="003D1557" w:rsidRPr="00100D9E" w:rsidRDefault="003D1557" w:rsidP="003D1557">
      <w:pPr>
        <w:spacing w:after="0" w:line="360" w:lineRule="auto"/>
        <w:jc w:val="both"/>
        <w:rPr>
          <w:rFonts w:ascii="Arial" w:hAnsi="Arial" w:cs="Arial"/>
          <w:sz w:val="24"/>
          <w:szCs w:val="24"/>
          <w:lang w:val="en-ZA"/>
        </w:rPr>
      </w:pPr>
    </w:p>
    <w:p w14:paraId="591C0939" w14:textId="77777777" w:rsidR="003D1557" w:rsidRPr="00E67DD3" w:rsidRDefault="003D1557" w:rsidP="004D6974">
      <w:pPr>
        <w:spacing w:after="0" w:line="360" w:lineRule="auto"/>
        <w:ind w:hanging="793"/>
        <w:jc w:val="both"/>
        <w:rPr>
          <w:rFonts w:ascii="Arial" w:eastAsia="Times New Roman" w:hAnsi="Arial" w:cs="Arial"/>
          <w:color w:val="000000"/>
        </w:rPr>
      </w:pPr>
      <w:r>
        <w:rPr>
          <w:rFonts w:ascii="Arial" w:eastAsia="Times New Roman" w:hAnsi="Arial" w:cs="Arial"/>
          <w:color w:val="000000"/>
          <w:sz w:val="24"/>
          <w:szCs w:val="24"/>
        </w:rPr>
        <w:t>   </w:t>
      </w:r>
      <w:r>
        <w:rPr>
          <w:rFonts w:ascii="Arial" w:eastAsia="Times New Roman" w:hAnsi="Arial" w:cs="Arial"/>
          <w:color w:val="000000"/>
          <w:sz w:val="24"/>
          <w:szCs w:val="24"/>
        </w:rPr>
        <w:tab/>
      </w:r>
      <w:r w:rsidRPr="00E67DD3">
        <w:rPr>
          <w:rFonts w:ascii="Arial" w:eastAsia="Times New Roman" w:hAnsi="Arial" w:cs="Arial"/>
          <w:color w:val="000000"/>
        </w:rPr>
        <w:t>‘(1)   Any employer who intends to terminate any or all of the contracts of employment of his or her employees on account of the reorganization or transfer of the business carried on by such employer or to discontinue or reduce such business for economic or technological reasons, such employer shall -</w:t>
      </w:r>
    </w:p>
    <w:p w14:paraId="239AA99F" w14:textId="77777777" w:rsidR="003D1557" w:rsidRPr="00E67DD3" w:rsidRDefault="003D1557" w:rsidP="004D6974">
      <w:pPr>
        <w:spacing w:after="0" w:line="360" w:lineRule="auto"/>
        <w:ind w:hanging="964"/>
        <w:jc w:val="both"/>
        <w:rPr>
          <w:rFonts w:ascii="Arial" w:eastAsia="Times New Roman" w:hAnsi="Arial" w:cs="Arial"/>
          <w:color w:val="000000"/>
        </w:rPr>
      </w:pPr>
      <w:r w:rsidRPr="00E67DD3">
        <w:rPr>
          <w:rFonts w:ascii="Arial" w:eastAsia="Times New Roman" w:hAnsi="Arial" w:cs="Arial"/>
          <w:color w:val="000000"/>
        </w:rPr>
        <w:t>      </w:t>
      </w:r>
      <w:r w:rsidRPr="00E67DD3">
        <w:rPr>
          <w:rFonts w:ascii="Arial" w:eastAsia="Times New Roman" w:hAnsi="Arial" w:cs="Arial"/>
          <w:color w:val="000000"/>
        </w:rPr>
        <w:tab/>
      </w:r>
      <w:r w:rsidRPr="00E67DD3">
        <w:rPr>
          <w:rFonts w:ascii="Arial" w:eastAsia="Times New Roman" w:hAnsi="Arial" w:cs="Arial"/>
          <w:color w:val="000000"/>
        </w:rPr>
        <w:tab/>
      </w:r>
      <w:r w:rsidRPr="00E67DD3">
        <w:rPr>
          <w:rFonts w:ascii="Arial" w:eastAsia="Times New Roman" w:hAnsi="Arial" w:cs="Arial"/>
          <w:i/>
          <w:iCs/>
          <w:color w:val="000000"/>
        </w:rPr>
        <w:t>(a)</w:t>
      </w:r>
      <w:r w:rsidRPr="00E67DD3">
        <w:rPr>
          <w:rFonts w:ascii="Arial" w:eastAsia="Times New Roman" w:hAnsi="Arial" w:cs="Arial"/>
          <w:color w:val="000000"/>
        </w:rPr>
        <w:t>   . . .</w:t>
      </w:r>
    </w:p>
    <w:p w14:paraId="7F6A1166" w14:textId="77777777" w:rsidR="003D1557" w:rsidRPr="00D95CF9" w:rsidRDefault="003D1557" w:rsidP="004D6974">
      <w:pPr>
        <w:spacing w:after="0" w:line="360" w:lineRule="auto"/>
        <w:ind w:left="720" w:hanging="964"/>
        <w:jc w:val="both"/>
        <w:rPr>
          <w:rFonts w:ascii="Arial" w:eastAsia="Times New Roman" w:hAnsi="Arial" w:cs="Arial"/>
          <w:color w:val="000000"/>
        </w:rPr>
      </w:pPr>
      <w:r w:rsidRPr="00E67DD3">
        <w:rPr>
          <w:rFonts w:ascii="Arial" w:eastAsia="Times New Roman" w:hAnsi="Arial" w:cs="Arial"/>
          <w:color w:val="000000"/>
        </w:rPr>
        <w:tab/>
      </w:r>
      <w:r w:rsidRPr="00E67DD3">
        <w:rPr>
          <w:rFonts w:ascii="Arial" w:eastAsia="Times New Roman" w:hAnsi="Arial" w:cs="Arial"/>
          <w:i/>
          <w:iCs/>
          <w:color w:val="000000"/>
        </w:rPr>
        <w:t>(b)</w:t>
      </w:r>
      <w:r w:rsidRPr="00E67DD3">
        <w:rPr>
          <w:rFonts w:ascii="Arial" w:eastAsia="Times New Roman" w:hAnsi="Arial" w:cs="Arial"/>
          <w:color w:val="000000"/>
        </w:rPr>
        <w:t>   afford such trade union, workplace union representative or the employees concerned an opportunity to negotiate on behalf of such employees the conditions on which, and the circumstances under which such terminations ought to take place with a view to minimizing or averting any adverse effects on such employees</w:t>
      </w:r>
      <w:r w:rsidRPr="00235755">
        <w:rPr>
          <w:rFonts w:ascii="Arial" w:eastAsia="Times New Roman" w:hAnsi="Arial" w:cs="Arial"/>
          <w:color w:val="000000"/>
        </w:rPr>
        <w:t>.’</w:t>
      </w:r>
      <w:r>
        <w:rPr>
          <w:rFonts w:ascii="Arial" w:eastAsia="Times New Roman" w:hAnsi="Arial" w:cs="Arial"/>
          <w:color w:val="000000"/>
        </w:rPr>
        <w:t xml:space="preserve"> </w:t>
      </w:r>
    </w:p>
    <w:p w14:paraId="2E583BB0" w14:textId="77777777" w:rsidR="003D1557" w:rsidRPr="00945990" w:rsidRDefault="003D1557" w:rsidP="003D1557">
      <w:pPr>
        <w:spacing w:after="0" w:line="360" w:lineRule="auto"/>
        <w:jc w:val="both"/>
        <w:rPr>
          <w:rFonts w:ascii="Arial" w:hAnsi="Arial" w:cs="Arial"/>
          <w:sz w:val="20"/>
          <w:szCs w:val="20"/>
        </w:rPr>
      </w:pPr>
    </w:p>
    <w:p w14:paraId="09F6A51C" w14:textId="4EED62F1" w:rsidR="003D1557" w:rsidRDefault="003D1557" w:rsidP="003D1557">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[3</w:t>
      </w:r>
      <w:r w:rsidR="002961C4">
        <w:rPr>
          <w:rFonts w:ascii="Arial" w:eastAsia="Times New Roman" w:hAnsi="Arial" w:cs="Arial"/>
          <w:color w:val="000000"/>
          <w:sz w:val="24"/>
          <w:szCs w:val="24"/>
        </w:rPr>
        <w:t>8</w:t>
      </w:r>
      <w:r>
        <w:rPr>
          <w:rFonts w:ascii="Arial" w:eastAsia="Times New Roman" w:hAnsi="Arial" w:cs="Arial"/>
          <w:color w:val="000000"/>
          <w:sz w:val="24"/>
          <w:szCs w:val="24"/>
        </w:rPr>
        <w:t>]</w:t>
      </w:r>
      <w:r>
        <w:rPr>
          <w:rFonts w:ascii="Arial" w:eastAsia="Times New Roman" w:hAnsi="Arial" w:cs="Arial"/>
          <w:color w:val="000000"/>
          <w:sz w:val="24"/>
          <w:szCs w:val="24"/>
        </w:rPr>
        <w:tab/>
      </w:r>
      <w:r w:rsidRPr="00484EB7">
        <w:rPr>
          <w:rFonts w:ascii="Arial" w:eastAsia="Times New Roman" w:hAnsi="Arial" w:cs="Arial"/>
          <w:color w:val="000000"/>
          <w:sz w:val="24"/>
          <w:szCs w:val="24"/>
        </w:rPr>
        <w:t>The purpose of s</w:t>
      </w:r>
      <w:r>
        <w:rPr>
          <w:rFonts w:ascii="Arial" w:eastAsia="Times New Roman" w:hAnsi="Arial" w:cs="Arial"/>
          <w:color w:val="000000"/>
          <w:sz w:val="24"/>
          <w:szCs w:val="24"/>
        </w:rPr>
        <w:t>.</w:t>
      </w:r>
      <w:r w:rsidRPr="00484EB7">
        <w:rPr>
          <w:rFonts w:ascii="Arial" w:eastAsia="Times New Roman" w:hAnsi="Arial" w:cs="Arial"/>
          <w:color w:val="000000"/>
          <w:sz w:val="24"/>
          <w:szCs w:val="24"/>
        </w:rPr>
        <w:t xml:space="preserve"> 50 is to bring the employer and the employees' representative </w:t>
      </w:r>
      <w:r>
        <w:rPr>
          <w:rFonts w:ascii="Arial" w:eastAsia="Times New Roman" w:hAnsi="Arial" w:cs="Arial"/>
          <w:color w:val="000000"/>
          <w:sz w:val="24"/>
          <w:szCs w:val="24"/>
        </w:rPr>
        <w:t xml:space="preserve">or employees </w:t>
      </w:r>
      <w:r w:rsidRPr="00484EB7">
        <w:rPr>
          <w:rFonts w:ascii="Arial" w:eastAsia="Times New Roman" w:hAnsi="Arial" w:cs="Arial"/>
          <w:color w:val="000000"/>
          <w:sz w:val="24"/>
          <w:szCs w:val="24"/>
        </w:rPr>
        <w:t>to the negotiating table an</w:t>
      </w:r>
      <w:r>
        <w:rPr>
          <w:rFonts w:ascii="Arial" w:eastAsia="Times New Roman" w:hAnsi="Arial" w:cs="Arial"/>
          <w:color w:val="000000"/>
          <w:sz w:val="24"/>
          <w:szCs w:val="24"/>
        </w:rPr>
        <w:t>d the requirement contained in s</w:t>
      </w:r>
      <w:r w:rsidRPr="00484EB7">
        <w:rPr>
          <w:rFonts w:ascii="Arial" w:eastAsia="Times New Roman" w:hAnsi="Arial" w:cs="Arial"/>
          <w:color w:val="000000"/>
          <w:sz w:val="24"/>
          <w:szCs w:val="24"/>
        </w:rPr>
        <w:t>s</w:t>
      </w:r>
      <w:r>
        <w:rPr>
          <w:rFonts w:ascii="Arial" w:eastAsia="Times New Roman" w:hAnsi="Arial" w:cs="Arial"/>
          <w:color w:val="000000"/>
          <w:sz w:val="24"/>
          <w:szCs w:val="24"/>
        </w:rPr>
        <w:t>.</w:t>
      </w:r>
      <w:r w:rsidRPr="00484EB7">
        <w:rPr>
          <w:rFonts w:ascii="Arial" w:eastAsia="Times New Roman" w:hAnsi="Arial" w:cs="Arial"/>
          <w:color w:val="000000"/>
          <w:sz w:val="24"/>
          <w:szCs w:val="24"/>
        </w:rPr>
        <w:t xml:space="preserve"> (1)</w:t>
      </w:r>
      <w:r w:rsidRPr="00484EB7">
        <w:rPr>
          <w:rFonts w:ascii="Arial" w:eastAsia="Times New Roman" w:hAnsi="Arial" w:cs="Arial"/>
          <w:i/>
          <w:iCs/>
          <w:color w:val="000000"/>
          <w:sz w:val="24"/>
          <w:szCs w:val="24"/>
        </w:rPr>
        <w:t>(b)</w:t>
      </w:r>
      <w:r w:rsidRPr="00484EB7">
        <w:rPr>
          <w:rFonts w:ascii="Arial" w:eastAsia="Times New Roman" w:hAnsi="Arial" w:cs="Arial"/>
          <w:color w:val="000000"/>
          <w:sz w:val="24"/>
          <w:szCs w:val="24"/>
        </w:rPr>
        <w:t xml:space="preserve"> that </w:t>
      </w:r>
      <w:r w:rsidRPr="00235755">
        <w:rPr>
          <w:rFonts w:ascii="Arial" w:eastAsia="Times New Roman" w:hAnsi="Arial" w:cs="Arial"/>
          <w:color w:val="000000"/>
          <w:sz w:val="24"/>
          <w:szCs w:val="24"/>
          <w:u w:val="single"/>
        </w:rPr>
        <w:t>the employer shall afford an opportunity to negotiate must mean that the employer is under an obligation to enter into genuine negotiations and that he is obliged to negotiate in good faith.</w:t>
      </w:r>
      <w:r>
        <w:rPr>
          <w:rStyle w:val="FootnoteReference"/>
          <w:rFonts w:ascii="Arial" w:eastAsia="Times New Roman" w:hAnsi="Arial" w:cs="Arial"/>
          <w:color w:val="000000"/>
          <w:sz w:val="24"/>
          <w:szCs w:val="24"/>
        </w:rPr>
        <w:footnoteReference w:id="7"/>
      </w:r>
      <w:r>
        <w:rPr>
          <w:rFonts w:ascii="Arial" w:eastAsia="Times New Roman" w:hAnsi="Arial" w:cs="Arial"/>
          <w:color w:val="000000"/>
          <w:sz w:val="24"/>
          <w:szCs w:val="24"/>
        </w:rPr>
        <w:t xml:space="preserve"> (Underlined for emphasis).</w:t>
      </w:r>
    </w:p>
    <w:p w14:paraId="5BBD4166" w14:textId="0682D7F3" w:rsidR="003D1557" w:rsidRDefault="003D1557" w:rsidP="00523395">
      <w:pPr>
        <w:spacing w:after="0" w:line="360" w:lineRule="auto"/>
        <w:jc w:val="both"/>
        <w:rPr>
          <w:rFonts w:ascii="Arial" w:hAnsi="Arial" w:cs="Arial"/>
          <w:sz w:val="24"/>
          <w:szCs w:val="24"/>
          <w:u w:val="single"/>
        </w:rPr>
      </w:pPr>
    </w:p>
    <w:p w14:paraId="654F0F93" w14:textId="5A724943" w:rsidR="003D1557" w:rsidRDefault="003D1557" w:rsidP="003D1557">
      <w:pPr>
        <w:tabs>
          <w:tab w:val="left" w:pos="720"/>
        </w:tabs>
        <w:spacing w:after="0" w:line="360" w:lineRule="auto"/>
        <w:jc w:val="both"/>
        <w:rPr>
          <w:rFonts w:ascii="Arial" w:hAnsi="Arial" w:cs="Arial"/>
          <w:sz w:val="24"/>
          <w:szCs w:val="24"/>
        </w:rPr>
      </w:pPr>
      <w:r>
        <w:rPr>
          <w:rFonts w:ascii="Arial" w:hAnsi="Arial" w:cs="Arial"/>
          <w:sz w:val="24"/>
          <w:szCs w:val="24"/>
        </w:rPr>
        <w:lastRenderedPageBreak/>
        <w:t>[</w:t>
      </w:r>
      <w:r w:rsidR="009204B6">
        <w:rPr>
          <w:rFonts w:ascii="Arial" w:hAnsi="Arial" w:cs="Arial"/>
          <w:sz w:val="24"/>
          <w:szCs w:val="24"/>
        </w:rPr>
        <w:t>3</w:t>
      </w:r>
      <w:r w:rsidR="002961C4">
        <w:rPr>
          <w:rFonts w:ascii="Arial" w:hAnsi="Arial" w:cs="Arial"/>
          <w:sz w:val="24"/>
          <w:szCs w:val="24"/>
        </w:rPr>
        <w:t>9</w:t>
      </w:r>
      <w:r>
        <w:rPr>
          <w:rFonts w:ascii="Arial" w:hAnsi="Arial" w:cs="Arial"/>
          <w:sz w:val="24"/>
          <w:szCs w:val="24"/>
        </w:rPr>
        <w:t>]</w:t>
      </w:r>
      <w:r>
        <w:rPr>
          <w:rFonts w:ascii="Arial" w:hAnsi="Arial" w:cs="Arial"/>
          <w:sz w:val="24"/>
          <w:szCs w:val="24"/>
        </w:rPr>
        <w:tab/>
      </w:r>
      <w:r w:rsidRPr="0077531E">
        <w:rPr>
          <w:rFonts w:ascii="Arial" w:hAnsi="Arial" w:cs="Arial"/>
          <w:sz w:val="24"/>
          <w:szCs w:val="24"/>
        </w:rPr>
        <w:t xml:space="preserve">In </w:t>
      </w:r>
      <w:r>
        <w:rPr>
          <w:rFonts w:ascii="Arial" w:hAnsi="Arial" w:cs="Arial"/>
          <w:sz w:val="24"/>
          <w:szCs w:val="24"/>
        </w:rPr>
        <w:t xml:space="preserve">the present matter, in </w:t>
      </w:r>
      <w:r w:rsidRPr="0077531E">
        <w:rPr>
          <w:rFonts w:ascii="Arial" w:hAnsi="Arial" w:cs="Arial"/>
          <w:sz w:val="24"/>
          <w:szCs w:val="24"/>
        </w:rPr>
        <w:t>order to appreciate whether the arbitrator erred or not in her findings</w:t>
      </w:r>
      <w:r>
        <w:rPr>
          <w:rFonts w:ascii="Arial" w:hAnsi="Arial" w:cs="Arial"/>
          <w:sz w:val="24"/>
          <w:szCs w:val="24"/>
        </w:rPr>
        <w:t xml:space="preserve">, the arbitrator </w:t>
      </w:r>
      <w:r w:rsidRPr="0077531E">
        <w:rPr>
          <w:rFonts w:ascii="Arial" w:hAnsi="Arial" w:cs="Arial"/>
          <w:sz w:val="24"/>
          <w:szCs w:val="24"/>
        </w:rPr>
        <w:t xml:space="preserve">reasoned that when the settlement agreement of 25 February 2015 was signed, both parties were already aware of the existence of the </w:t>
      </w:r>
      <w:r>
        <w:rPr>
          <w:rFonts w:ascii="Arial" w:hAnsi="Arial" w:cs="Arial"/>
          <w:sz w:val="24"/>
          <w:szCs w:val="24"/>
        </w:rPr>
        <w:t>d</w:t>
      </w:r>
      <w:r w:rsidRPr="0077531E">
        <w:rPr>
          <w:rFonts w:ascii="Arial" w:hAnsi="Arial" w:cs="Arial"/>
          <w:sz w:val="24"/>
          <w:szCs w:val="24"/>
        </w:rPr>
        <w:t xml:space="preserve">ispute of </w:t>
      </w:r>
      <w:r>
        <w:rPr>
          <w:rFonts w:ascii="Arial" w:hAnsi="Arial" w:cs="Arial"/>
          <w:sz w:val="24"/>
          <w:szCs w:val="24"/>
        </w:rPr>
        <w:t>i</w:t>
      </w:r>
      <w:r w:rsidRPr="0077531E">
        <w:rPr>
          <w:rFonts w:ascii="Arial" w:hAnsi="Arial" w:cs="Arial"/>
          <w:sz w:val="24"/>
          <w:szCs w:val="24"/>
        </w:rPr>
        <w:t>nterest lodged by the</w:t>
      </w:r>
      <w:r>
        <w:rPr>
          <w:rFonts w:ascii="Arial" w:hAnsi="Arial" w:cs="Arial"/>
          <w:sz w:val="24"/>
          <w:szCs w:val="24"/>
        </w:rPr>
        <w:t xml:space="preserve"> </w:t>
      </w:r>
      <w:r w:rsidRPr="0077531E">
        <w:rPr>
          <w:rFonts w:ascii="Arial" w:hAnsi="Arial" w:cs="Arial"/>
          <w:sz w:val="24"/>
          <w:szCs w:val="24"/>
        </w:rPr>
        <w:t>respond</w:t>
      </w:r>
      <w:r>
        <w:rPr>
          <w:rFonts w:ascii="Arial" w:hAnsi="Arial" w:cs="Arial"/>
          <w:sz w:val="24"/>
          <w:szCs w:val="24"/>
        </w:rPr>
        <w:t xml:space="preserve">ent and they </w:t>
      </w:r>
      <w:r w:rsidRPr="0077531E">
        <w:rPr>
          <w:rFonts w:ascii="Arial" w:hAnsi="Arial" w:cs="Arial"/>
          <w:sz w:val="24"/>
          <w:szCs w:val="24"/>
        </w:rPr>
        <w:t xml:space="preserve">signed with the intent to put effect to the </w:t>
      </w:r>
      <w:r>
        <w:rPr>
          <w:rFonts w:ascii="Arial" w:hAnsi="Arial" w:cs="Arial"/>
          <w:sz w:val="24"/>
          <w:szCs w:val="24"/>
        </w:rPr>
        <w:t>terms of the agreement. The appell</w:t>
      </w:r>
      <w:r w:rsidRPr="0077531E">
        <w:rPr>
          <w:rFonts w:ascii="Arial" w:hAnsi="Arial" w:cs="Arial"/>
          <w:sz w:val="24"/>
          <w:szCs w:val="24"/>
        </w:rPr>
        <w:t>ant</w:t>
      </w:r>
      <w:r>
        <w:rPr>
          <w:rFonts w:ascii="Arial" w:hAnsi="Arial" w:cs="Arial"/>
          <w:sz w:val="24"/>
          <w:szCs w:val="24"/>
        </w:rPr>
        <w:t>’s condition to the settlement agreement in order to negotiate with the respondent was that the respondent</w:t>
      </w:r>
      <w:r w:rsidRPr="0077531E">
        <w:rPr>
          <w:rFonts w:ascii="Arial" w:hAnsi="Arial" w:cs="Arial"/>
          <w:sz w:val="24"/>
          <w:szCs w:val="24"/>
        </w:rPr>
        <w:t xml:space="preserve"> </w:t>
      </w:r>
      <w:r>
        <w:rPr>
          <w:rFonts w:ascii="Arial" w:hAnsi="Arial" w:cs="Arial"/>
          <w:sz w:val="24"/>
          <w:szCs w:val="24"/>
        </w:rPr>
        <w:t>had to</w:t>
      </w:r>
      <w:r w:rsidRPr="0077531E">
        <w:rPr>
          <w:rFonts w:ascii="Arial" w:hAnsi="Arial" w:cs="Arial"/>
          <w:sz w:val="24"/>
          <w:szCs w:val="24"/>
        </w:rPr>
        <w:t xml:space="preserve"> withdraw the case ag</w:t>
      </w:r>
      <w:r>
        <w:rPr>
          <w:rFonts w:ascii="Arial" w:hAnsi="Arial" w:cs="Arial"/>
          <w:sz w:val="24"/>
          <w:szCs w:val="24"/>
        </w:rPr>
        <w:t xml:space="preserve">ainst the appellant. </w:t>
      </w:r>
      <w:r w:rsidRPr="0077531E">
        <w:rPr>
          <w:rFonts w:ascii="Arial" w:hAnsi="Arial" w:cs="Arial"/>
          <w:sz w:val="24"/>
          <w:szCs w:val="24"/>
        </w:rPr>
        <w:t>This evidence remain</w:t>
      </w:r>
      <w:r>
        <w:rPr>
          <w:rFonts w:ascii="Arial" w:hAnsi="Arial" w:cs="Arial"/>
          <w:sz w:val="24"/>
          <w:szCs w:val="24"/>
        </w:rPr>
        <w:t>s</w:t>
      </w:r>
      <w:r w:rsidRPr="0077531E">
        <w:rPr>
          <w:rFonts w:ascii="Arial" w:hAnsi="Arial" w:cs="Arial"/>
          <w:sz w:val="24"/>
          <w:szCs w:val="24"/>
        </w:rPr>
        <w:t xml:space="preserve"> unchallenged by the respondent.</w:t>
      </w:r>
    </w:p>
    <w:p w14:paraId="2515742A" w14:textId="77777777" w:rsidR="003D1557" w:rsidRDefault="003D1557" w:rsidP="003D1557">
      <w:pPr>
        <w:tabs>
          <w:tab w:val="left" w:pos="720"/>
        </w:tabs>
        <w:spacing w:after="0" w:line="360" w:lineRule="auto"/>
        <w:jc w:val="both"/>
        <w:rPr>
          <w:rFonts w:ascii="Arial" w:hAnsi="Arial" w:cs="Arial"/>
          <w:sz w:val="24"/>
          <w:szCs w:val="24"/>
        </w:rPr>
      </w:pPr>
    </w:p>
    <w:p w14:paraId="4316291A" w14:textId="3E285DBD" w:rsidR="003D1557" w:rsidRDefault="003D1557" w:rsidP="003D1557">
      <w:pPr>
        <w:tabs>
          <w:tab w:val="left" w:pos="720"/>
        </w:tabs>
        <w:spacing w:after="0" w:line="360" w:lineRule="auto"/>
        <w:jc w:val="both"/>
        <w:rPr>
          <w:rFonts w:ascii="Arial" w:hAnsi="Arial" w:cs="Arial"/>
          <w:sz w:val="24"/>
          <w:szCs w:val="24"/>
        </w:rPr>
      </w:pPr>
      <w:r>
        <w:rPr>
          <w:rFonts w:ascii="Arial" w:hAnsi="Arial" w:cs="Arial"/>
          <w:sz w:val="24"/>
          <w:szCs w:val="24"/>
        </w:rPr>
        <w:t>[</w:t>
      </w:r>
      <w:r w:rsidR="002961C4">
        <w:rPr>
          <w:rFonts w:ascii="Arial" w:hAnsi="Arial" w:cs="Arial"/>
          <w:sz w:val="24"/>
          <w:szCs w:val="24"/>
        </w:rPr>
        <w:t>40</w:t>
      </w:r>
      <w:r>
        <w:rPr>
          <w:rFonts w:ascii="Arial" w:hAnsi="Arial" w:cs="Arial"/>
          <w:sz w:val="24"/>
          <w:szCs w:val="24"/>
        </w:rPr>
        <w:t>]</w:t>
      </w:r>
      <w:r>
        <w:rPr>
          <w:rFonts w:ascii="Arial" w:hAnsi="Arial" w:cs="Arial"/>
          <w:sz w:val="24"/>
          <w:szCs w:val="24"/>
        </w:rPr>
        <w:tab/>
        <w:t>The arbitrator’s further view is that the settlement agreement should have automatically nullified that dispute of interest, since the agreement was that the decision of the CEO will be suspended until the finalisation of the consultations and also owing to the fact that the relief sought by the respondent in that dispute cente</w:t>
      </w:r>
      <w:r w:rsidR="006B7629">
        <w:rPr>
          <w:rFonts w:ascii="Arial" w:hAnsi="Arial" w:cs="Arial"/>
          <w:sz w:val="24"/>
          <w:szCs w:val="24"/>
        </w:rPr>
        <w:t>re</w:t>
      </w:r>
      <w:r>
        <w:rPr>
          <w:rFonts w:ascii="Arial" w:hAnsi="Arial" w:cs="Arial"/>
          <w:sz w:val="24"/>
          <w:szCs w:val="24"/>
        </w:rPr>
        <w:t xml:space="preserve">d around the implementation of the CEO’s decision which was already suspended by the settlement agreement. </w:t>
      </w:r>
    </w:p>
    <w:p w14:paraId="4433ACFA" w14:textId="77777777" w:rsidR="003D1557" w:rsidRDefault="003D1557" w:rsidP="003D1557">
      <w:pPr>
        <w:tabs>
          <w:tab w:val="left" w:pos="720"/>
        </w:tabs>
        <w:spacing w:after="0" w:line="360" w:lineRule="auto"/>
        <w:jc w:val="both"/>
        <w:rPr>
          <w:rFonts w:ascii="Arial" w:hAnsi="Arial" w:cs="Arial"/>
          <w:sz w:val="24"/>
          <w:szCs w:val="24"/>
        </w:rPr>
      </w:pPr>
    </w:p>
    <w:p w14:paraId="0D7FC731" w14:textId="20851C27" w:rsidR="003D1557" w:rsidRDefault="003D1557" w:rsidP="003D1557">
      <w:pPr>
        <w:tabs>
          <w:tab w:val="left" w:pos="720"/>
        </w:tabs>
        <w:spacing w:after="0" w:line="360" w:lineRule="auto"/>
        <w:jc w:val="both"/>
        <w:rPr>
          <w:rFonts w:ascii="Arial" w:hAnsi="Arial" w:cs="Arial"/>
          <w:sz w:val="24"/>
          <w:szCs w:val="24"/>
        </w:rPr>
      </w:pPr>
      <w:r>
        <w:rPr>
          <w:rFonts w:ascii="Arial" w:hAnsi="Arial" w:cs="Arial"/>
          <w:sz w:val="24"/>
          <w:szCs w:val="24"/>
        </w:rPr>
        <w:t>[</w:t>
      </w:r>
      <w:r w:rsidR="002961C4">
        <w:rPr>
          <w:rFonts w:ascii="Arial" w:hAnsi="Arial" w:cs="Arial"/>
          <w:sz w:val="24"/>
          <w:szCs w:val="24"/>
        </w:rPr>
        <w:t>41</w:t>
      </w:r>
      <w:r>
        <w:rPr>
          <w:rFonts w:ascii="Arial" w:hAnsi="Arial" w:cs="Arial"/>
          <w:sz w:val="24"/>
          <w:szCs w:val="24"/>
        </w:rPr>
        <w:t>]</w:t>
      </w:r>
      <w:r>
        <w:rPr>
          <w:rFonts w:ascii="Arial" w:hAnsi="Arial" w:cs="Arial"/>
          <w:sz w:val="24"/>
          <w:szCs w:val="24"/>
        </w:rPr>
        <w:tab/>
        <w:t>I agree with this view that the respondent could have then only referred a fresh dispute of interest after the agreed consultations had failed and the date on which the dispute had arisen would have been the date when such consultation failed. That of course, is only if the intention of the respondent was to act in good faith.</w:t>
      </w:r>
    </w:p>
    <w:p w14:paraId="7A096A81" w14:textId="77777777" w:rsidR="003D1557" w:rsidRPr="0077531E" w:rsidRDefault="003D1557" w:rsidP="003D1557">
      <w:pPr>
        <w:tabs>
          <w:tab w:val="left" w:pos="720"/>
        </w:tabs>
        <w:spacing w:after="0" w:line="240" w:lineRule="auto"/>
        <w:jc w:val="both"/>
        <w:rPr>
          <w:rFonts w:ascii="Arial" w:hAnsi="Arial" w:cs="Arial"/>
          <w:sz w:val="24"/>
          <w:szCs w:val="24"/>
        </w:rPr>
      </w:pPr>
    </w:p>
    <w:p w14:paraId="639EAEC0" w14:textId="67171F8E" w:rsidR="003D1557" w:rsidRPr="009204B6" w:rsidRDefault="003D1557" w:rsidP="009204B6">
      <w:pPr>
        <w:pStyle w:val="BodyText"/>
        <w:tabs>
          <w:tab w:val="left" w:pos="720"/>
          <w:tab w:val="left" w:pos="2268"/>
        </w:tabs>
        <w:spacing w:line="360" w:lineRule="auto"/>
        <w:jc w:val="both"/>
        <w:rPr>
          <w:rFonts w:ascii="Arial" w:hAnsi="Arial" w:cs="Arial"/>
        </w:rPr>
      </w:pPr>
      <w:r>
        <w:rPr>
          <w:rFonts w:ascii="Arial" w:hAnsi="Arial" w:cs="Arial"/>
        </w:rPr>
        <w:t>[</w:t>
      </w:r>
      <w:r w:rsidR="009204B6">
        <w:rPr>
          <w:rFonts w:ascii="Arial" w:hAnsi="Arial" w:cs="Arial"/>
        </w:rPr>
        <w:t>4</w:t>
      </w:r>
      <w:r w:rsidR="002961C4">
        <w:rPr>
          <w:rFonts w:ascii="Arial" w:hAnsi="Arial" w:cs="Arial"/>
        </w:rPr>
        <w:t>2</w:t>
      </w:r>
      <w:r>
        <w:rPr>
          <w:rFonts w:ascii="Arial" w:hAnsi="Arial" w:cs="Arial"/>
        </w:rPr>
        <w:t>]</w:t>
      </w:r>
      <w:r>
        <w:rPr>
          <w:rFonts w:ascii="Arial" w:hAnsi="Arial" w:cs="Arial"/>
        </w:rPr>
        <w:tab/>
      </w:r>
      <w:r w:rsidRPr="00461B7F">
        <w:rPr>
          <w:rFonts w:ascii="Arial" w:hAnsi="Arial" w:cs="Arial"/>
        </w:rPr>
        <w:t xml:space="preserve">As to </w:t>
      </w:r>
      <w:r>
        <w:rPr>
          <w:rFonts w:ascii="Arial" w:hAnsi="Arial" w:cs="Arial"/>
        </w:rPr>
        <w:t>the action of the first respondent to pursue a dispute of interest before the terms of the settlement agreement were implemented i.e. where it sought the app</w:t>
      </w:r>
      <w:r w:rsidR="006B7629">
        <w:rPr>
          <w:rFonts w:ascii="Arial" w:hAnsi="Arial" w:cs="Arial"/>
        </w:rPr>
        <w:t>ell</w:t>
      </w:r>
      <w:r>
        <w:rPr>
          <w:rFonts w:ascii="Arial" w:hAnsi="Arial" w:cs="Arial"/>
        </w:rPr>
        <w:t xml:space="preserve">ant to accept the position of Chief: Water Supply – Central, it was unfair as that order would be against the spirit of the voluntary settlement agreement. </w:t>
      </w:r>
      <w:r>
        <w:rPr>
          <w:rFonts w:ascii="Arial" w:hAnsi="Arial" w:cs="Arial"/>
          <w:lang w:val="en-ZA"/>
        </w:rPr>
        <w:t xml:space="preserve">There was a settlement agreement in place, which was signed by the parties on the 25 February 2015 and parties were aware of this fact. Furthermore, </w:t>
      </w:r>
      <w:r w:rsidR="006B7629">
        <w:rPr>
          <w:rFonts w:ascii="Arial" w:hAnsi="Arial" w:cs="Arial"/>
          <w:lang w:val="en-ZA"/>
        </w:rPr>
        <w:t xml:space="preserve">the </w:t>
      </w:r>
      <w:r>
        <w:rPr>
          <w:rFonts w:ascii="Arial" w:hAnsi="Arial" w:cs="Arial"/>
          <w:lang w:val="en-ZA"/>
        </w:rPr>
        <w:t xml:space="preserve">parties were aware of the </w:t>
      </w:r>
      <w:r w:rsidR="009204B6">
        <w:rPr>
          <w:rFonts w:ascii="Arial" w:hAnsi="Arial" w:cs="Arial"/>
          <w:lang w:val="en-ZA"/>
        </w:rPr>
        <w:t xml:space="preserve">respondent’s </w:t>
      </w:r>
      <w:r>
        <w:rPr>
          <w:rFonts w:ascii="Arial" w:hAnsi="Arial" w:cs="Arial"/>
          <w:lang w:val="en-ZA"/>
        </w:rPr>
        <w:t>dispute of interest but nonetheless continued to sign the settlement agreement. The arbitrator did not mi</w:t>
      </w:r>
      <w:r w:rsidR="009204B6">
        <w:rPr>
          <w:rFonts w:ascii="Arial" w:hAnsi="Arial" w:cs="Arial"/>
          <w:lang w:val="en-ZA"/>
        </w:rPr>
        <w:t>x</w:t>
      </w:r>
      <w:r>
        <w:rPr>
          <w:rFonts w:ascii="Arial" w:hAnsi="Arial" w:cs="Arial"/>
          <w:lang w:val="en-ZA"/>
        </w:rPr>
        <w:t xml:space="preserve"> her words when she questioned; ‘</w:t>
      </w:r>
      <w:r w:rsidRPr="009204B6">
        <w:rPr>
          <w:rFonts w:ascii="Arial" w:hAnsi="Arial" w:cs="Arial"/>
          <w:i/>
          <w:lang w:val="en-ZA"/>
        </w:rPr>
        <w:t xml:space="preserve">why the </w:t>
      </w:r>
      <w:r w:rsidR="006B7629">
        <w:rPr>
          <w:rFonts w:ascii="Arial" w:hAnsi="Arial" w:cs="Arial"/>
          <w:i/>
          <w:lang w:val="en-ZA"/>
        </w:rPr>
        <w:t>respondent</w:t>
      </w:r>
      <w:r w:rsidRPr="009204B6">
        <w:rPr>
          <w:rFonts w:ascii="Arial" w:hAnsi="Arial" w:cs="Arial"/>
          <w:i/>
          <w:lang w:val="en-ZA"/>
        </w:rPr>
        <w:t xml:space="preserve"> would agree to suspend the implementation of its decision in the settlement agreement but yet proceed with the dispute of interest before exhausting the elements of the settlement agreement</w:t>
      </w:r>
      <w:r w:rsidRPr="003D3265">
        <w:rPr>
          <w:rFonts w:ascii="Arial" w:hAnsi="Arial" w:cs="Arial"/>
          <w:lang w:val="en-ZA"/>
        </w:rPr>
        <w:t>.’</w:t>
      </w:r>
      <w:r w:rsidRPr="003D3265">
        <w:rPr>
          <w:rStyle w:val="FootnoteReference"/>
          <w:rFonts w:ascii="Arial" w:hAnsi="Arial" w:cs="Arial"/>
          <w:lang w:val="en-ZA"/>
        </w:rPr>
        <w:footnoteReference w:id="8"/>
      </w:r>
      <w:r w:rsidRPr="003D3265">
        <w:rPr>
          <w:rFonts w:ascii="Arial" w:hAnsi="Arial" w:cs="Arial"/>
          <w:lang w:val="en-ZA"/>
        </w:rPr>
        <w:t xml:space="preserve"> </w:t>
      </w:r>
    </w:p>
    <w:p w14:paraId="59A2F55B" w14:textId="77777777" w:rsidR="003D1557" w:rsidRDefault="003D1557" w:rsidP="003D1557">
      <w:pPr>
        <w:spacing w:after="0" w:line="360" w:lineRule="auto"/>
        <w:jc w:val="both"/>
        <w:rPr>
          <w:rFonts w:ascii="Arial" w:hAnsi="Arial" w:cs="Arial"/>
          <w:sz w:val="24"/>
          <w:szCs w:val="24"/>
          <w:lang w:val="en-ZA"/>
        </w:rPr>
      </w:pPr>
    </w:p>
    <w:p w14:paraId="5BAB9CB1" w14:textId="30E39D65" w:rsidR="003D1557" w:rsidRDefault="003D1557" w:rsidP="003D1557">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3D4E5F">
        <w:rPr>
          <w:rFonts w:ascii="Arial" w:hAnsi="Arial" w:cs="Arial"/>
          <w:sz w:val="24"/>
          <w:szCs w:val="24"/>
          <w:lang w:val="en-ZA"/>
        </w:rPr>
        <w:t>4</w:t>
      </w:r>
      <w:r w:rsidR="002961C4">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The arbitrator in her award stated further that when the </w:t>
      </w:r>
      <w:r w:rsidR="006B7629">
        <w:rPr>
          <w:rFonts w:ascii="Arial" w:hAnsi="Arial" w:cs="Arial"/>
          <w:sz w:val="24"/>
          <w:szCs w:val="24"/>
          <w:lang w:val="en-ZA"/>
        </w:rPr>
        <w:t>respondent</w:t>
      </w:r>
      <w:r>
        <w:rPr>
          <w:rFonts w:ascii="Arial" w:hAnsi="Arial" w:cs="Arial"/>
          <w:sz w:val="24"/>
          <w:szCs w:val="24"/>
          <w:lang w:val="en-ZA"/>
        </w:rPr>
        <w:t xml:space="preserve"> signed the settlement agreement he was </w:t>
      </w:r>
      <w:r w:rsidRPr="005E4B30">
        <w:rPr>
          <w:rFonts w:ascii="Arial" w:hAnsi="Arial" w:cs="Arial"/>
          <w:i/>
          <w:sz w:val="24"/>
          <w:szCs w:val="24"/>
          <w:lang w:val="en-ZA"/>
        </w:rPr>
        <w:t>playing double standards</w:t>
      </w:r>
      <w:r>
        <w:rPr>
          <w:rFonts w:ascii="Arial" w:hAnsi="Arial" w:cs="Arial"/>
          <w:sz w:val="24"/>
          <w:szCs w:val="24"/>
          <w:lang w:val="en-ZA"/>
        </w:rPr>
        <w:t xml:space="preserve"> and had </w:t>
      </w:r>
      <w:r w:rsidRPr="0090529D">
        <w:rPr>
          <w:rFonts w:ascii="Arial" w:hAnsi="Arial" w:cs="Arial"/>
          <w:i/>
          <w:sz w:val="24"/>
          <w:szCs w:val="24"/>
          <w:lang w:val="en-ZA"/>
        </w:rPr>
        <w:t>ulterior motives</w:t>
      </w:r>
      <w:r>
        <w:rPr>
          <w:rFonts w:ascii="Arial" w:hAnsi="Arial" w:cs="Arial"/>
          <w:i/>
          <w:sz w:val="24"/>
          <w:szCs w:val="24"/>
          <w:lang w:val="en-ZA"/>
        </w:rPr>
        <w:t xml:space="preserve"> </w:t>
      </w:r>
      <w:r w:rsidRPr="003D1557">
        <w:rPr>
          <w:rFonts w:ascii="Arial" w:hAnsi="Arial" w:cs="Arial"/>
          <w:sz w:val="24"/>
          <w:szCs w:val="24"/>
          <w:lang w:val="en-ZA"/>
        </w:rPr>
        <w:t xml:space="preserve">and </w:t>
      </w:r>
      <w:r w:rsidR="006B7629">
        <w:rPr>
          <w:rFonts w:ascii="Arial" w:hAnsi="Arial" w:cs="Arial"/>
          <w:sz w:val="24"/>
          <w:szCs w:val="24"/>
          <w:lang w:val="en-ZA"/>
        </w:rPr>
        <w:t>he</w:t>
      </w:r>
      <w:r>
        <w:rPr>
          <w:rFonts w:ascii="Arial" w:hAnsi="Arial" w:cs="Arial"/>
          <w:sz w:val="24"/>
          <w:szCs w:val="24"/>
          <w:lang w:val="en-ZA"/>
        </w:rPr>
        <w:t xml:space="preserve"> merely signed the agreement so that the case of the appellant is closed whilst in actual fact it wanted to ambush him by way of pursuing its dispute of interest. In fact, the settlement agreement should have automatically nullified the dispute of interest since the agreement was that the decision of the CEO be suspended until the finalisation of the consultations. Also, owing to the fact that the relief </w:t>
      </w:r>
      <w:r w:rsidR="004D6974">
        <w:rPr>
          <w:rFonts w:ascii="Arial" w:hAnsi="Arial" w:cs="Arial"/>
          <w:sz w:val="24"/>
          <w:szCs w:val="24"/>
          <w:lang w:val="en-ZA"/>
        </w:rPr>
        <w:t>sought by</w:t>
      </w:r>
      <w:r>
        <w:rPr>
          <w:rFonts w:ascii="Arial" w:hAnsi="Arial" w:cs="Arial"/>
          <w:sz w:val="24"/>
          <w:szCs w:val="24"/>
          <w:lang w:val="en-ZA"/>
        </w:rPr>
        <w:t xml:space="preserve"> the respondent in that dispute cent</w:t>
      </w:r>
      <w:r w:rsidR="006B7629">
        <w:rPr>
          <w:rFonts w:ascii="Arial" w:hAnsi="Arial" w:cs="Arial"/>
          <w:sz w:val="24"/>
          <w:szCs w:val="24"/>
          <w:lang w:val="en-ZA"/>
        </w:rPr>
        <w:t>ere</w:t>
      </w:r>
      <w:r>
        <w:rPr>
          <w:rFonts w:ascii="Arial" w:hAnsi="Arial" w:cs="Arial"/>
          <w:sz w:val="24"/>
          <w:szCs w:val="24"/>
          <w:lang w:val="en-ZA"/>
        </w:rPr>
        <w:t xml:space="preserve">d around the settlement agreement. </w:t>
      </w:r>
    </w:p>
    <w:p w14:paraId="61A71D12" w14:textId="77777777" w:rsidR="003D1557" w:rsidRDefault="003D1557" w:rsidP="003D1557">
      <w:pPr>
        <w:spacing w:after="0" w:line="360" w:lineRule="auto"/>
        <w:jc w:val="both"/>
        <w:rPr>
          <w:rFonts w:ascii="Arial" w:hAnsi="Arial" w:cs="Arial"/>
          <w:sz w:val="24"/>
          <w:szCs w:val="24"/>
          <w:lang w:val="en-ZA"/>
        </w:rPr>
      </w:pPr>
    </w:p>
    <w:p w14:paraId="63133585" w14:textId="2B788DE9" w:rsidR="003D1557" w:rsidRDefault="003D1557" w:rsidP="003D1557">
      <w:pPr>
        <w:spacing w:after="0" w:line="360" w:lineRule="auto"/>
        <w:jc w:val="both"/>
        <w:rPr>
          <w:rFonts w:ascii="Arial" w:hAnsi="Arial" w:cs="Arial"/>
          <w:sz w:val="24"/>
          <w:szCs w:val="24"/>
          <w:lang w:val="en-ZA"/>
        </w:rPr>
      </w:pPr>
      <w:r>
        <w:rPr>
          <w:rFonts w:ascii="Arial" w:hAnsi="Arial" w:cs="Arial"/>
          <w:sz w:val="24"/>
          <w:szCs w:val="24"/>
          <w:lang w:val="en-ZA"/>
        </w:rPr>
        <w:t>[</w:t>
      </w:r>
      <w:r w:rsidR="003D4E5F">
        <w:rPr>
          <w:rFonts w:ascii="Arial" w:hAnsi="Arial" w:cs="Arial"/>
          <w:sz w:val="24"/>
          <w:szCs w:val="24"/>
          <w:lang w:val="en-ZA"/>
        </w:rPr>
        <w:t>4</w:t>
      </w:r>
      <w:r w:rsidR="002961C4">
        <w:rPr>
          <w:rFonts w:ascii="Arial" w:hAnsi="Arial" w:cs="Arial"/>
          <w:sz w:val="24"/>
          <w:szCs w:val="24"/>
          <w:lang w:val="en-ZA"/>
        </w:rPr>
        <w:t>4</w:t>
      </w:r>
      <w:r w:rsidR="004D6974">
        <w:rPr>
          <w:rFonts w:ascii="Arial" w:hAnsi="Arial" w:cs="Arial"/>
          <w:sz w:val="24"/>
          <w:szCs w:val="24"/>
          <w:lang w:val="en-ZA"/>
        </w:rPr>
        <w:t>] The</w:t>
      </w:r>
      <w:r>
        <w:rPr>
          <w:rFonts w:ascii="Arial" w:hAnsi="Arial" w:cs="Arial"/>
          <w:sz w:val="24"/>
          <w:szCs w:val="24"/>
          <w:lang w:val="en-ZA"/>
        </w:rPr>
        <w:t xml:space="preserve"> arbitrator continues to state that the respondent’s conduct to exert pressure on the applicant to accept the new position was unfair as that order would be against the spirit of the voluntary settlement agreement which was entered into and signed by both parties, on 25 February 2015, in which the parties had agreed that the implementation of the CEO’s decision is suspended pending consultations. </w:t>
      </w:r>
    </w:p>
    <w:p w14:paraId="72F9246D" w14:textId="77777777" w:rsidR="003D1557" w:rsidRDefault="003D1557" w:rsidP="003D1557">
      <w:pPr>
        <w:spacing w:after="0" w:line="360" w:lineRule="auto"/>
        <w:jc w:val="both"/>
        <w:rPr>
          <w:rFonts w:ascii="Arial" w:hAnsi="Arial" w:cs="Arial"/>
          <w:sz w:val="24"/>
          <w:szCs w:val="24"/>
          <w:lang w:val="en-ZA"/>
        </w:rPr>
      </w:pPr>
    </w:p>
    <w:p w14:paraId="5AF76621" w14:textId="1D7AC820" w:rsidR="003D1557" w:rsidRDefault="003D1557" w:rsidP="003D1557">
      <w:pPr>
        <w:spacing w:after="0" w:line="360" w:lineRule="auto"/>
        <w:jc w:val="both"/>
        <w:rPr>
          <w:rFonts w:ascii="Arial" w:eastAsia="Times New Roman" w:hAnsi="Arial" w:cs="Arial"/>
          <w:sz w:val="24"/>
          <w:szCs w:val="24"/>
        </w:rPr>
      </w:pPr>
      <w:r>
        <w:rPr>
          <w:rFonts w:ascii="Arial" w:hAnsi="Arial" w:cs="Arial"/>
          <w:sz w:val="24"/>
          <w:szCs w:val="24"/>
          <w:lang w:val="en-ZA"/>
        </w:rPr>
        <w:t>[</w:t>
      </w:r>
      <w:r w:rsidR="003D4E5F">
        <w:rPr>
          <w:rFonts w:ascii="Arial" w:hAnsi="Arial" w:cs="Arial"/>
          <w:sz w:val="24"/>
          <w:szCs w:val="24"/>
          <w:lang w:val="en-ZA"/>
        </w:rPr>
        <w:t>4</w:t>
      </w:r>
      <w:r w:rsidR="002961C4">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In my view, the respondent approached this court with </w:t>
      </w:r>
      <w:r w:rsidRPr="00C24347">
        <w:rPr>
          <w:rFonts w:ascii="Arial" w:hAnsi="Arial" w:cs="Arial"/>
          <w:i/>
          <w:sz w:val="24"/>
          <w:szCs w:val="24"/>
          <w:lang w:val="en-ZA"/>
        </w:rPr>
        <w:t>‘dirty hands’</w:t>
      </w:r>
      <w:r>
        <w:rPr>
          <w:rFonts w:ascii="Arial" w:hAnsi="Arial" w:cs="Arial"/>
          <w:sz w:val="24"/>
          <w:szCs w:val="24"/>
          <w:lang w:val="en-ZA"/>
        </w:rPr>
        <w:t xml:space="preserve"> as it was not supposed to pursue that dispute before executing the terms of the settlement agreement. </w:t>
      </w:r>
      <w:r w:rsidRPr="00A80C34">
        <w:rPr>
          <w:rFonts w:ascii="Arial" w:eastAsia="Times New Roman" w:hAnsi="Arial" w:cs="Arial"/>
          <w:color w:val="000000"/>
          <w:sz w:val="24"/>
          <w:szCs w:val="24"/>
        </w:rPr>
        <w:t>I find t</w:t>
      </w:r>
      <w:r w:rsidRPr="00A80C34">
        <w:rPr>
          <w:rFonts w:ascii="Arial" w:eastAsia="Times New Roman" w:hAnsi="Arial" w:cs="Arial"/>
          <w:sz w:val="24"/>
          <w:szCs w:val="24"/>
        </w:rPr>
        <w:t>he legislative purpose behin</w:t>
      </w:r>
      <w:r>
        <w:rPr>
          <w:rFonts w:ascii="Arial" w:eastAsia="Times New Roman" w:hAnsi="Arial" w:cs="Arial"/>
          <w:sz w:val="24"/>
          <w:szCs w:val="24"/>
        </w:rPr>
        <w:t>d the section is as clear as noon day.  I</w:t>
      </w:r>
      <w:r w:rsidRPr="00A80C34">
        <w:rPr>
          <w:rFonts w:ascii="Arial" w:eastAsia="Times New Roman" w:hAnsi="Arial" w:cs="Arial"/>
          <w:sz w:val="24"/>
          <w:szCs w:val="24"/>
        </w:rPr>
        <w:t>t see</w:t>
      </w:r>
      <w:r>
        <w:rPr>
          <w:rFonts w:ascii="Arial" w:eastAsia="Times New Roman" w:hAnsi="Arial" w:cs="Arial"/>
          <w:sz w:val="24"/>
          <w:szCs w:val="24"/>
        </w:rPr>
        <w:t>ks to ensure that employers</w:t>
      </w:r>
      <w:r w:rsidRPr="00A80C34">
        <w:rPr>
          <w:rFonts w:ascii="Arial" w:eastAsia="Times New Roman" w:hAnsi="Arial" w:cs="Arial"/>
          <w:sz w:val="24"/>
          <w:szCs w:val="24"/>
        </w:rPr>
        <w:t xml:space="preserve"> negotiate </w:t>
      </w:r>
      <w:r w:rsidRPr="00A80C34">
        <w:rPr>
          <w:rFonts w:ascii="Arial" w:eastAsia="Times New Roman" w:hAnsi="Arial" w:cs="Arial"/>
          <w:color w:val="000000"/>
          <w:sz w:val="24"/>
          <w:szCs w:val="24"/>
        </w:rPr>
        <w:t>the conditions on which, and the circumstances under which such terminations ought to take place</w:t>
      </w:r>
      <w:r>
        <w:rPr>
          <w:rFonts w:ascii="Arial" w:eastAsia="Times New Roman" w:hAnsi="Arial" w:cs="Arial"/>
          <w:color w:val="000000"/>
          <w:sz w:val="24"/>
          <w:szCs w:val="24"/>
        </w:rPr>
        <w:t xml:space="preserve"> with a view to minimis</w:t>
      </w:r>
      <w:r w:rsidRPr="00A80C34">
        <w:rPr>
          <w:rFonts w:ascii="Arial" w:eastAsia="Times New Roman" w:hAnsi="Arial" w:cs="Arial"/>
          <w:color w:val="000000"/>
          <w:sz w:val="24"/>
          <w:szCs w:val="24"/>
        </w:rPr>
        <w:t>ing or averting any adverse effects on such employees</w:t>
      </w:r>
      <w:r w:rsidRPr="00A80C34">
        <w:rPr>
          <w:rFonts w:ascii="Arial" w:eastAsia="Times New Roman" w:hAnsi="Arial" w:cs="Arial"/>
          <w:sz w:val="24"/>
          <w:szCs w:val="24"/>
        </w:rPr>
        <w:t xml:space="preserve">. </w:t>
      </w:r>
    </w:p>
    <w:p w14:paraId="6015D5A1" w14:textId="77777777" w:rsidR="003D1557" w:rsidRPr="00484EB7" w:rsidRDefault="003D1557" w:rsidP="003D1557">
      <w:pPr>
        <w:spacing w:after="0" w:line="360" w:lineRule="auto"/>
        <w:jc w:val="both"/>
        <w:rPr>
          <w:rFonts w:ascii="Arial" w:hAnsi="Arial" w:cs="Arial"/>
          <w:sz w:val="24"/>
          <w:szCs w:val="24"/>
        </w:rPr>
      </w:pPr>
    </w:p>
    <w:p w14:paraId="40B172EE" w14:textId="1031B5A2" w:rsidR="003D1557" w:rsidRDefault="003D1557" w:rsidP="003D1557">
      <w:pPr>
        <w:spacing w:after="0" w:line="360" w:lineRule="auto"/>
        <w:jc w:val="both"/>
        <w:rPr>
          <w:rFonts w:ascii="Arial" w:eastAsiaTheme="minorHAnsi" w:hAnsi="Arial" w:cs="Arial"/>
          <w:sz w:val="24"/>
          <w:szCs w:val="24"/>
        </w:rPr>
      </w:pPr>
      <w:r w:rsidRPr="00A80C34">
        <w:rPr>
          <w:rFonts w:ascii="Arial" w:hAnsi="Arial" w:cs="Arial"/>
          <w:sz w:val="24"/>
          <w:szCs w:val="24"/>
        </w:rPr>
        <w:t>[</w:t>
      </w:r>
      <w:r w:rsidR="003D4E5F">
        <w:rPr>
          <w:rFonts w:ascii="Arial" w:hAnsi="Arial" w:cs="Arial"/>
          <w:sz w:val="24"/>
          <w:szCs w:val="24"/>
        </w:rPr>
        <w:t>4</w:t>
      </w:r>
      <w:r w:rsidR="002961C4">
        <w:rPr>
          <w:rFonts w:ascii="Arial" w:hAnsi="Arial" w:cs="Arial"/>
          <w:sz w:val="24"/>
          <w:szCs w:val="24"/>
        </w:rPr>
        <w:t>6</w:t>
      </w:r>
      <w:r w:rsidRPr="00A80C34">
        <w:rPr>
          <w:rFonts w:ascii="Arial" w:hAnsi="Arial" w:cs="Arial"/>
          <w:sz w:val="24"/>
          <w:szCs w:val="24"/>
        </w:rPr>
        <w:t xml:space="preserve">] In </w:t>
      </w:r>
      <w:r w:rsidRPr="00A80C34">
        <w:rPr>
          <w:rFonts w:ascii="Arial" w:eastAsiaTheme="minorHAnsi" w:hAnsi="Arial" w:cs="Arial"/>
          <w:bCs/>
          <w:i/>
          <w:color w:val="000000" w:themeColor="text1"/>
          <w:sz w:val="24"/>
          <w:szCs w:val="24"/>
        </w:rPr>
        <w:t>Seebach v Tauber &amp; Corssen Trading (Pty) Ltd And Another</w:t>
      </w:r>
      <w:r>
        <w:rPr>
          <w:rFonts w:ascii="Arial" w:eastAsiaTheme="minorHAnsi" w:hAnsi="Arial" w:cs="Arial"/>
          <w:bCs/>
          <w:i/>
          <w:color w:val="000000" w:themeColor="text1"/>
          <w:sz w:val="24"/>
          <w:szCs w:val="24"/>
        </w:rPr>
        <w:t xml:space="preserve">, </w:t>
      </w:r>
      <w:r w:rsidRPr="00A80C34">
        <w:rPr>
          <w:rStyle w:val="FootnoteReference"/>
          <w:rFonts w:ascii="Arial" w:hAnsi="Arial" w:cs="Arial"/>
          <w:color w:val="000000" w:themeColor="text1"/>
          <w:sz w:val="24"/>
          <w:szCs w:val="24"/>
        </w:rPr>
        <w:footnoteReference w:id="9"/>
      </w:r>
      <w:r w:rsidRPr="00A80C34">
        <w:rPr>
          <w:rFonts w:ascii="Arial" w:eastAsiaTheme="minorHAnsi" w:hAnsi="Arial" w:cs="Arial"/>
          <w:bCs/>
          <w:i/>
          <w:color w:val="000000" w:themeColor="text1"/>
          <w:sz w:val="24"/>
          <w:szCs w:val="24"/>
        </w:rPr>
        <w:t xml:space="preserve"> </w:t>
      </w:r>
      <w:r w:rsidRPr="00A80C34">
        <w:rPr>
          <w:rFonts w:ascii="Arial" w:eastAsiaTheme="minorHAnsi" w:hAnsi="Arial" w:cs="Arial"/>
          <w:bCs/>
          <w:color w:val="000000" w:themeColor="text1"/>
          <w:sz w:val="24"/>
          <w:szCs w:val="24"/>
        </w:rPr>
        <w:t>it is emphasized that</w:t>
      </w:r>
      <w:r w:rsidRPr="00A80C34">
        <w:rPr>
          <w:rFonts w:ascii="Arial" w:eastAsiaTheme="minorHAnsi" w:hAnsi="Arial" w:cs="Arial"/>
          <w:sz w:val="24"/>
          <w:szCs w:val="24"/>
        </w:rPr>
        <w:t xml:space="preserve">; </w:t>
      </w:r>
    </w:p>
    <w:p w14:paraId="7292EE72" w14:textId="44507541" w:rsidR="003D1557" w:rsidRPr="003D3265" w:rsidRDefault="003D1557" w:rsidP="004D6974">
      <w:pPr>
        <w:spacing w:after="0" w:line="360" w:lineRule="auto"/>
        <w:ind w:firstLine="720"/>
        <w:jc w:val="both"/>
        <w:rPr>
          <w:rFonts w:ascii="Arial" w:hAnsi="Arial" w:cs="Arial"/>
        </w:rPr>
      </w:pPr>
      <w:r w:rsidRPr="003D3265">
        <w:rPr>
          <w:rFonts w:ascii="Arial" w:eastAsiaTheme="minorHAnsi" w:hAnsi="Arial" w:cs="Arial"/>
        </w:rPr>
        <w:t>‘</w:t>
      </w:r>
      <w:r>
        <w:rPr>
          <w:rFonts w:ascii="Arial" w:eastAsiaTheme="minorHAnsi" w:hAnsi="Arial" w:cs="Arial"/>
        </w:rPr>
        <w:t>T</w:t>
      </w:r>
      <w:r w:rsidRPr="003D3265">
        <w:rPr>
          <w:rFonts w:ascii="Arial" w:eastAsiaTheme="minorHAnsi" w:hAnsi="Arial" w:cs="Arial"/>
        </w:rPr>
        <w:t xml:space="preserve">he employer not only has a duty to negotiate, but he also has a duty to do so in good </w:t>
      </w:r>
      <w:r w:rsidR="00334179">
        <w:rPr>
          <w:rFonts w:ascii="Arial" w:eastAsiaTheme="minorHAnsi" w:hAnsi="Arial" w:cs="Arial"/>
        </w:rPr>
        <w:tab/>
      </w:r>
      <w:r w:rsidRPr="003D3265">
        <w:rPr>
          <w:rFonts w:ascii="Arial" w:eastAsiaTheme="minorHAnsi" w:hAnsi="Arial" w:cs="Arial"/>
        </w:rPr>
        <w:t xml:space="preserve">faith. Equally, an employee who avails himself of an opportunity to negotiate needs to </w:t>
      </w:r>
      <w:r w:rsidR="00334179">
        <w:rPr>
          <w:rFonts w:ascii="Arial" w:eastAsiaTheme="minorHAnsi" w:hAnsi="Arial" w:cs="Arial"/>
        </w:rPr>
        <w:tab/>
      </w:r>
      <w:r w:rsidRPr="003D3265">
        <w:rPr>
          <w:rFonts w:ascii="Arial" w:eastAsiaTheme="minorHAnsi" w:hAnsi="Arial" w:cs="Arial"/>
        </w:rPr>
        <w:t xml:space="preserve">do so in good faith. Of course, when an opportunity to negotiate is given but the </w:t>
      </w:r>
      <w:r w:rsidR="00334179">
        <w:rPr>
          <w:rFonts w:ascii="Arial" w:eastAsiaTheme="minorHAnsi" w:hAnsi="Arial" w:cs="Arial"/>
        </w:rPr>
        <w:tab/>
      </w:r>
      <w:r w:rsidRPr="003D3265">
        <w:rPr>
          <w:rFonts w:ascii="Arial" w:eastAsiaTheme="minorHAnsi" w:hAnsi="Arial" w:cs="Arial"/>
        </w:rPr>
        <w:t xml:space="preserve">employee opts not to avail himself of such </w:t>
      </w:r>
      <w:r w:rsidR="0084291A" w:rsidRPr="003D3265">
        <w:rPr>
          <w:rFonts w:ascii="Arial" w:eastAsiaTheme="minorHAnsi" w:hAnsi="Arial" w:cs="Arial"/>
        </w:rPr>
        <w:t>opportunity that then spells the end of the</w:t>
      </w:r>
      <w:r w:rsidR="00334179">
        <w:rPr>
          <w:rFonts w:ascii="Arial" w:eastAsiaTheme="minorHAnsi" w:hAnsi="Arial" w:cs="Arial"/>
        </w:rPr>
        <w:tab/>
      </w:r>
      <w:r w:rsidRPr="003D3265">
        <w:rPr>
          <w:rFonts w:ascii="Arial" w:eastAsiaTheme="minorHAnsi" w:hAnsi="Arial" w:cs="Arial"/>
        </w:rPr>
        <w:t xml:space="preserve">matter. </w:t>
      </w:r>
    </w:p>
    <w:p w14:paraId="09D29164" w14:textId="77777777" w:rsidR="003D1557" w:rsidRPr="003D3265" w:rsidRDefault="003D1557" w:rsidP="004D6974">
      <w:pPr>
        <w:autoSpaceDE w:val="0"/>
        <w:autoSpaceDN w:val="0"/>
        <w:adjustRightInd w:val="0"/>
        <w:spacing w:after="0" w:line="360" w:lineRule="auto"/>
        <w:rPr>
          <w:rFonts w:ascii="Arial" w:eastAsiaTheme="minorHAnsi" w:hAnsi="Arial" w:cs="Arial"/>
        </w:rPr>
      </w:pPr>
      <w:r w:rsidRPr="003D3265">
        <w:rPr>
          <w:rFonts w:ascii="Arial" w:eastAsiaTheme="minorHAnsi" w:hAnsi="Arial" w:cs="Arial"/>
        </w:rPr>
        <w:tab/>
      </w:r>
    </w:p>
    <w:p w14:paraId="6E20541C" w14:textId="5465EFCC" w:rsidR="003D1557" w:rsidRPr="003D3265" w:rsidRDefault="00334179" w:rsidP="004D6974">
      <w:pPr>
        <w:autoSpaceDE w:val="0"/>
        <w:autoSpaceDN w:val="0"/>
        <w:adjustRightInd w:val="0"/>
        <w:spacing w:after="0" w:line="360" w:lineRule="auto"/>
        <w:jc w:val="both"/>
        <w:rPr>
          <w:rFonts w:ascii="Arial" w:eastAsiaTheme="minorHAnsi" w:hAnsi="Arial" w:cs="Arial"/>
        </w:rPr>
      </w:pPr>
      <w:r>
        <w:rPr>
          <w:rFonts w:ascii="Arial" w:eastAsiaTheme="minorHAnsi" w:hAnsi="Arial" w:cs="Arial"/>
        </w:rPr>
        <w:tab/>
      </w:r>
      <w:r w:rsidR="003D1557" w:rsidRPr="003D3265">
        <w:rPr>
          <w:rFonts w:ascii="Arial" w:eastAsiaTheme="minorHAnsi" w:hAnsi="Arial" w:cs="Arial"/>
        </w:rPr>
        <w:t xml:space="preserve">An important element of the obligation to bargain in good faith involves meeting, </w:t>
      </w:r>
      <w:r>
        <w:rPr>
          <w:rFonts w:ascii="Arial" w:eastAsiaTheme="minorHAnsi" w:hAnsi="Arial" w:cs="Arial"/>
        </w:rPr>
        <w:tab/>
      </w:r>
      <w:r w:rsidR="003D1557" w:rsidRPr="003D3265">
        <w:rPr>
          <w:rFonts w:ascii="Arial" w:eastAsiaTheme="minorHAnsi" w:hAnsi="Arial" w:cs="Arial"/>
        </w:rPr>
        <w:t xml:space="preserve">discussing and negotiating with an honest intention of reaching an agreement, if this </w:t>
      </w:r>
      <w:r>
        <w:rPr>
          <w:rFonts w:ascii="Arial" w:eastAsiaTheme="minorHAnsi" w:hAnsi="Arial" w:cs="Arial"/>
        </w:rPr>
        <w:tab/>
      </w:r>
      <w:r w:rsidR="003D1557" w:rsidRPr="003D3265">
        <w:rPr>
          <w:rFonts w:ascii="Arial" w:eastAsiaTheme="minorHAnsi" w:hAnsi="Arial" w:cs="Arial"/>
        </w:rPr>
        <w:t xml:space="preserve">is feasible. What is required is a demonstration of a genuine willingness to </w:t>
      </w:r>
      <w:r>
        <w:rPr>
          <w:rFonts w:ascii="Arial" w:eastAsiaTheme="minorHAnsi" w:hAnsi="Arial" w:cs="Arial"/>
        </w:rPr>
        <w:lastRenderedPageBreak/>
        <w:tab/>
      </w:r>
      <w:r w:rsidR="003D1557" w:rsidRPr="003D3265">
        <w:rPr>
          <w:rFonts w:ascii="Arial" w:eastAsiaTheme="minorHAnsi" w:hAnsi="Arial" w:cs="Arial"/>
        </w:rPr>
        <w:t xml:space="preserve">compromise, to shift ground, to make concessions; </w:t>
      </w:r>
      <w:r w:rsidR="003D1557" w:rsidRPr="003D3265">
        <w:rPr>
          <w:rFonts w:ascii="Arial" w:eastAsiaTheme="minorHAnsi" w:hAnsi="Arial" w:cs="Arial"/>
        </w:rPr>
        <w:tab/>
        <w:t xml:space="preserve">this is because willingness to do </w:t>
      </w:r>
      <w:r>
        <w:rPr>
          <w:rFonts w:ascii="Arial" w:eastAsiaTheme="minorHAnsi" w:hAnsi="Arial" w:cs="Arial"/>
        </w:rPr>
        <w:tab/>
      </w:r>
      <w:r w:rsidR="003D1557" w:rsidRPr="003D3265">
        <w:rPr>
          <w:rFonts w:ascii="Arial" w:eastAsiaTheme="minorHAnsi" w:hAnsi="Arial" w:cs="Arial"/>
        </w:rPr>
        <w:t xml:space="preserve">any of the above-mentioned things is an important feature of bargaining in good faith </w:t>
      </w:r>
      <w:r>
        <w:rPr>
          <w:rFonts w:ascii="Arial" w:eastAsiaTheme="minorHAnsi" w:hAnsi="Arial" w:cs="Arial"/>
        </w:rPr>
        <w:tab/>
      </w:r>
      <w:r w:rsidR="003D1557" w:rsidRPr="003D3265">
        <w:rPr>
          <w:rFonts w:ascii="Arial" w:eastAsiaTheme="minorHAnsi" w:hAnsi="Arial" w:cs="Arial"/>
        </w:rPr>
        <w:t>with a view to resolving the differences that exist between the parties.</w:t>
      </w:r>
      <w:r w:rsidR="003D1557">
        <w:rPr>
          <w:rFonts w:ascii="Arial" w:eastAsiaTheme="minorHAnsi" w:hAnsi="Arial" w:cs="Arial"/>
        </w:rPr>
        <w:t>’</w:t>
      </w:r>
    </w:p>
    <w:p w14:paraId="6947AB82" w14:textId="77777777" w:rsidR="003D1557" w:rsidRPr="003D3265" w:rsidRDefault="003D1557" w:rsidP="004D6974">
      <w:pPr>
        <w:spacing w:after="0" w:line="360" w:lineRule="auto"/>
        <w:jc w:val="both"/>
        <w:rPr>
          <w:rFonts w:ascii="Arial" w:hAnsi="Arial" w:cs="Arial"/>
        </w:rPr>
      </w:pPr>
    </w:p>
    <w:p w14:paraId="09A0F2F9" w14:textId="698014DB" w:rsidR="003D4E5F" w:rsidRDefault="003D1557" w:rsidP="003D1557">
      <w:pPr>
        <w:spacing w:after="0" w:line="360" w:lineRule="auto"/>
        <w:jc w:val="both"/>
        <w:rPr>
          <w:rFonts w:ascii="Arial" w:hAnsi="Arial" w:cs="Arial"/>
          <w:sz w:val="24"/>
          <w:szCs w:val="24"/>
        </w:rPr>
      </w:pPr>
      <w:r>
        <w:rPr>
          <w:rFonts w:ascii="Arial" w:hAnsi="Arial" w:cs="Arial"/>
          <w:sz w:val="24"/>
          <w:szCs w:val="24"/>
        </w:rPr>
        <w:t>[</w:t>
      </w:r>
      <w:r w:rsidR="003D4E5F">
        <w:rPr>
          <w:rFonts w:ascii="Arial" w:hAnsi="Arial" w:cs="Arial"/>
          <w:sz w:val="24"/>
          <w:szCs w:val="24"/>
        </w:rPr>
        <w:t>4</w:t>
      </w:r>
      <w:r w:rsidR="002961C4">
        <w:rPr>
          <w:rFonts w:ascii="Arial" w:hAnsi="Arial" w:cs="Arial"/>
          <w:sz w:val="24"/>
          <w:szCs w:val="24"/>
        </w:rPr>
        <w:t>7</w:t>
      </w:r>
      <w:r>
        <w:rPr>
          <w:rFonts w:ascii="Arial" w:hAnsi="Arial" w:cs="Arial"/>
          <w:sz w:val="24"/>
          <w:szCs w:val="24"/>
        </w:rPr>
        <w:t>]</w:t>
      </w:r>
      <w:r>
        <w:rPr>
          <w:rFonts w:ascii="Arial" w:hAnsi="Arial" w:cs="Arial"/>
          <w:sz w:val="24"/>
          <w:szCs w:val="24"/>
        </w:rPr>
        <w:tab/>
      </w:r>
      <w:r>
        <w:rPr>
          <w:rFonts w:ascii="Arial" w:eastAsiaTheme="minorHAnsi" w:hAnsi="Arial" w:cs="Arial"/>
          <w:sz w:val="24"/>
          <w:szCs w:val="24"/>
        </w:rPr>
        <w:t xml:space="preserve">The respondent’s </w:t>
      </w:r>
      <w:r w:rsidRPr="009777C0">
        <w:rPr>
          <w:rFonts w:ascii="Arial" w:eastAsiaTheme="minorHAnsi" w:hAnsi="Arial" w:cs="Arial"/>
          <w:sz w:val="24"/>
          <w:szCs w:val="24"/>
        </w:rPr>
        <w:t>conduct serve</w:t>
      </w:r>
      <w:r>
        <w:rPr>
          <w:rFonts w:ascii="Arial" w:eastAsiaTheme="minorHAnsi" w:hAnsi="Arial" w:cs="Arial"/>
          <w:sz w:val="24"/>
          <w:szCs w:val="24"/>
        </w:rPr>
        <w:t xml:space="preserve">s as illustration of </w:t>
      </w:r>
      <w:r w:rsidRPr="009777C0">
        <w:rPr>
          <w:rFonts w:ascii="Arial" w:eastAsiaTheme="minorHAnsi" w:hAnsi="Arial" w:cs="Arial"/>
          <w:sz w:val="24"/>
          <w:szCs w:val="24"/>
        </w:rPr>
        <w:t xml:space="preserve">bad faith </w:t>
      </w:r>
      <w:r>
        <w:rPr>
          <w:rFonts w:ascii="Arial" w:eastAsiaTheme="minorHAnsi" w:hAnsi="Arial" w:cs="Arial"/>
          <w:sz w:val="24"/>
          <w:szCs w:val="24"/>
        </w:rPr>
        <w:t xml:space="preserve">in </w:t>
      </w:r>
      <w:r w:rsidRPr="009777C0">
        <w:rPr>
          <w:rFonts w:ascii="Arial" w:eastAsiaTheme="minorHAnsi" w:hAnsi="Arial" w:cs="Arial"/>
          <w:sz w:val="24"/>
          <w:szCs w:val="24"/>
        </w:rPr>
        <w:t>bargainin</w:t>
      </w:r>
      <w:r>
        <w:rPr>
          <w:rFonts w:ascii="Arial" w:eastAsiaTheme="minorHAnsi" w:hAnsi="Arial" w:cs="Arial"/>
          <w:sz w:val="24"/>
          <w:szCs w:val="24"/>
        </w:rPr>
        <w:t xml:space="preserve">g. </w:t>
      </w:r>
      <w:r w:rsidRPr="009777C0">
        <w:rPr>
          <w:rFonts w:ascii="Arial" w:hAnsi="Arial" w:cs="Arial"/>
          <w:sz w:val="24"/>
          <w:szCs w:val="24"/>
        </w:rPr>
        <w:t>As</w:t>
      </w:r>
      <w:r>
        <w:rPr>
          <w:rFonts w:ascii="Arial" w:hAnsi="Arial" w:cs="Arial"/>
          <w:sz w:val="24"/>
          <w:szCs w:val="24"/>
        </w:rPr>
        <w:t xml:space="preserve"> </w:t>
      </w:r>
      <w:r>
        <w:rPr>
          <w:rFonts w:ascii="Arial" w:hAnsi="Arial" w:cs="Arial"/>
          <w:sz w:val="24"/>
          <w:szCs w:val="24"/>
          <w:lang w:val="en-ZA"/>
        </w:rPr>
        <w:t>regards to the</w:t>
      </w:r>
      <w:r w:rsidR="003D4E5F">
        <w:rPr>
          <w:rFonts w:ascii="Arial" w:hAnsi="Arial" w:cs="Arial"/>
          <w:sz w:val="24"/>
          <w:szCs w:val="24"/>
          <w:lang w:val="en-ZA"/>
        </w:rPr>
        <w:t>ir</w:t>
      </w:r>
      <w:r>
        <w:rPr>
          <w:rFonts w:ascii="Arial" w:hAnsi="Arial" w:cs="Arial"/>
          <w:sz w:val="24"/>
          <w:szCs w:val="24"/>
          <w:lang w:val="en-ZA"/>
        </w:rPr>
        <w:t xml:space="preserve"> argument based on the </w:t>
      </w:r>
      <w:r w:rsidRPr="0090529D">
        <w:rPr>
          <w:rFonts w:ascii="Arial" w:hAnsi="Arial" w:cs="Arial"/>
          <w:i/>
          <w:sz w:val="24"/>
          <w:szCs w:val="24"/>
          <w:lang w:val="en-ZA"/>
        </w:rPr>
        <w:t xml:space="preserve">onus </w:t>
      </w:r>
      <w:r>
        <w:rPr>
          <w:rFonts w:ascii="Arial" w:hAnsi="Arial" w:cs="Arial"/>
          <w:sz w:val="24"/>
          <w:szCs w:val="24"/>
          <w:lang w:val="en-ZA"/>
        </w:rPr>
        <w:t xml:space="preserve">and unfair labour practice resting on the employee, who according to them has to proof, not only the existence of the practice, but also that it was unfair. </w:t>
      </w:r>
      <w:r w:rsidRPr="00A80C34">
        <w:rPr>
          <w:rFonts w:ascii="Arial" w:eastAsia="Times New Roman" w:hAnsi="Arial" w:cs="Arial"/>
          <w:color w:val="000000"/>
          <w:sz w:val="24"/>
          <w:szCs w:val="24"/>
        </w:rPr>
        <w:t xml:space="preserve">In the present case, the employer merely informed the employee on the change of his new position and there was no room to negotiate despite various attempt by the employee to do so. </w:t>
      </w:r>
      <w:r w:rsidRPr="00A80C34">
        <w:rPr>
          <w:rFonts w:ascii="Arial" w:eastAsia="Times New Roman" w:hAnsi="Arial" w:cs="Arial"/>
          <w:sz w:val="24"/>
          <w:szCs w:val="24"/>
        </w:rPr>
        <w:t xml:space="preserve">I find that the arbitrator did not err in law </w:t>
      </w:r>
      <w:r w:rsidR="00562997">
        <w:rPr>
          <w:rFonts w:ascii="Arial" w:eastAsia="Times New Roman" w:hAnsi="Arial" w:cs="Arial"/>
          <w:sz w:val="24"/>
          <w:szCs w:val="24"/>
        </w:rPr>
        <w:t>in her findings</w:t>
      </w:r>
      <w:r w:rsidRPr="00A80C34">
        <w:rPr>
          <w:rFonts w:ascii="Arial" w:hAnsi="Arial" w:cs="Arial"/>
          <w:sz w:val="24"/>
          <w:szCs w:val="24"/>
        </w:rPr>
        <w:t>.</w:t>
      </w:r>
    </w:p>
    <w:p w14:paraId="5A7F049C" w14:textId="77777777" w:rsidR="005C0014" w:rsidRPr="005C0014" w:rsidRDefault="005C0014" w:rsidP="003D1557">
      <w:pPr>
        <w:spacing w:after="0" w:line="360" w:lineRule="auto"/>
        <w:jc w:val="both"/>
        <w:rPr>
          <w:rFonts w:ascii="Arial" w:hAnsi="Arial" w:cs="Arial"/>
          <w:sz w:val="24"/>
          <w:szCs w:val="24"/>
        </w:rPr>
      </w:pPr>
    </w:p>
    <w:p w14:paraId="12A94270" w14:textId="23B11024" w:rsidR="004458E7" w:rsidRDefault="00353202" w:rsidP="00523395">
      <w:pPr>
        <w:spacing w:after="0" w:line="360" w:lineRule="auto"/>
        <w:jc w:val="both"/>
        <w:rPr>
          <w:rFonts w:ascii="Arial" w:hAnsi="Arial" w:cs="Arial"/>
          <w:sz w:val="24"/>
          <w:szCs w:val="24"/>
        </w:rPr>
      </w:pPr>
      <w:r>
        <w:rPr>
          <w:rFonts w:ascii="Arial" w:hAnsi="Arial" w:cs="Arial"/>
          <w:sz w:val="24"/>
          <w:szCs w:val="24"/>
        </w:rPr>
        <w:t>[</w:t>
      </w:r>
      <w:r w:rsidR="00FE6FCC">
        <w:rPr>
          <w:rFonts w:ascii="Arial" w:hAnsi="Arial" w:cs="Arial"/>
          <w:sz w:val="24"/>
          <w:szCs w:val="24"/>
        </w:rPr>
        <w:t>4</w:t>
      </w:r>
      <w:r w:rsidR="002961C4">
        <w:rPr>
          <w:rFonts w:ascii="Arial" w:hAnsi="Arial" w:cs="Arial"/>
          <w:sz w:val="24"/>
          <w:szCs w:val="24"/>
        </w:rPr>
        <w:t>8</w:t>
      </w:r>
      <w:r w:rsidR="0084291A">
        <w:rPr>
          <w:rFonts w:ascii="Arial" w:hAnsi="Arial" w:cs="Arial"/>
          <w:sz w:val="24"/>
          <w:szCs w:val="24"/>
        </w:rPr>
        <w:t>]</w:t>
      </w:r>
      <w:r w:rsidR="0084291A">
        <w:rPr>
          <w:rFonts w:ascii="Arial" w:hAnsi="Arial" w:cs="Arial"/>
          <w:sz w:val="24"/>
          <w:szCs w:val="24"/>
        </w:rPr>
        <w:tab/>
      </w:r>
      <w:r w:rsidR="004458E7">
        <w:rPr>
          <w:rFonts w:ascii="Arial" w:hAnsi="Arial" w:cs="Arial"/>
          <w:sz w:val="24"/>
          <w:szCs w:val="24"/>
          <w:lang w:val="en-ZA"/>
        </w:rPr>
        <w:t xml:space="preserve">In the result, I make the following order on </w:t>
      </w:r>
      <w:r w:rsidR="00AD7EAD">
        <w:rPr>
          <w:rFonts w:ascii="Arial" w:hAnsi="Arial" w:cs="Arial"/>
          <w:sz w:val="24"/>
          <w:szCs w:val="24"/>
          <w:lang w:val="en-ZA"/>
        </w:rPr>
        <w:t xml:space="preserve">the </w:t>
      </w:r>
      <w:r w:rsidR="004458E7">
        <w:rPr>
          <w:rFonts w:ascii="Arial" w:hAnsi="Arial" w:cs="Arial"/>
          <w:sz w:val="24"/>
          <w:szCs w:val="24"/>
          <w:lang w:val="en-ZA"/>
        </w:rPr>
        <w:t>appeal:</w:t>
      </w:r>
    </w:p>
    <w:p w14:paraId="559CB88C" w14:textId="325D8337" w:rsidR="00AD7EAD" w:rsidRPr="00AD7EAD" w:rsidRDefault="00AD7EAD" w:rsidP="0084291A">
      <w:pPr>
        <w:pStyle w:val="ListParagraph"/>
        <w:numPr>
          <w:ilvl w:val="0"/>
          <w:numId w:val="6"/>
        </w:numPr>
        <w:spacing w:after="0" w:line="360" w:lineRule="auto"/>
        <w:jc w:val="both"/>
        <w:rPr>
          <w:rFonts w:ascii="Arial" w:hAnsi="Arial" w:cs="Arial"/>
          <w:sz w:val="24"/>
        </w:rPr>
      </w:pPr>
      <w:r w:rsidRPr="00AD7EAD">
        <w:rPr>
          <w:rFonts w:ascii="Arial" w:hAnsi="Arial" w:cs="Arial"/>
          <w:sz w:val="24"/>
        </w:rPr>
        <w:t>The appellant’s application for condonation is granted as prayed.</w:t>
      </w:r>
    </w:p>
    <w:p w14:paraId="3E2FF34B" w14:textId="092A0D69" w:rsidR="004458E7" w:rsidRPr="00AD7EAD" w:rsidRDefault="004458E7" w:rsidP="0084291A">
      <w:pPr>
        <w:pStyle w:val="ListParagraph"/>
        <w:numPr>
          <w:ilvl w:val="0"/>
          <w:numId w:val="6"/>
        </w:numPr>
        <w:spacing w:after="0" w:line="360" w:lineRule="auto"/>
        <w:jc w:val="both"/>
        <w:rPr>
          <w:rFonts w:ascii="Arial" w:hAnsi="Arial" w:cs="Arial"/>
          <w:sz w:val="24"/>
        </w:rPr>
      </w:pPr>
      <w:r w:rsidRPr="00AD7EAD">
        <w:rPr>
          <w:rFonts w:ascii="Arial" w:hAnsi="Arial" w:cs="Arial"/>
          <w:sz w:val="24"/>
        </w:rPr>
        <w:t xml:space="preserve">The </w:t>
      </w:r>
      <w:r w:rsidR="00AD7EAD">
        <w:rPr>
          <w:rFonts w:ascii="Arial" w:hAnsi="Arial" w:cs="Arial"/>
          <w:sz w:val="24"/>
        </w:rPr>
        <w:t>appellant’s</w:t>
      </w:r>
      <w:r w:rsidRPr="00AD7EAD">
        <w:rPr>
          <w:rFonts w:ascii="Arial" w:hAnsi="Arial" w:cs="Arial"/>
          <w:sz w:val="24"/>
        </w:rPr>
        <w:t xml:space="preserve"> appeal is upheld</w:t>
      </w:r>
      <w:r w:rsidRPr="00AD7EAD">
        <w:rPr>
          <w:rFonts w:ascii="Arial" w:hAnsi="Arial" w:cs="Arial"/>
          <w:sz w:val="24"/>
          <w:szCs w:val="24"/>
        </w:rPr>
        <w:t>.</w:t>
      </w:r>
    </w:p>
    <w:p w14:paraId="50956A39" w14:textId="1C28DD9A" w:rsidR="004458E7" w:rsidRDefault="00AD7EAD" w:rsidP="004458E7">
      <w:pPr>
        <w:spacing w:after="0" w:line="360" w:lineRule="auto"/>
        <w:ind w:left="426"/>
        <w:jc w:val="both"/>
        <w:rPr>
          <w:rFonts w:ascii="Arial" w:hAnsi="Arial" w:cs="Arial"/>
          <w:sz w:val="24"/>
          <w:szCs w:val="24"/>
        </w:rPr>
      </w:pPr>
      <w:r>
        <w:rPr>
          <w:rFonts w:ascii="Arial" w:hAnsi="Arial" w:cs="Arial"/>
          <w:sz w:val="24"/>
        </w:rPr>
        <w:t>3</w:t>
      </w:r>
      <w:r w:rsidR="004458E7">
        <w:rPr>
          <w:rFonts w:ascii="Arial" w:hAnsi="Arial" w:cs="Arial"/>
          <w:sz w:val="24"/>
        </w:rPr>
        <w:t>. There is no order as to costs</w:t>
      </w:r>
      <w:r w:rsidR="004458E7">
        <w:rPr>
          <w:rFonts w:ascii="Arial" w:hAnsi="Arial" w:cs="Arial"/>
          <w:sz w:val="24"/>
          <w:szCs w:val="24"/>
        </w:rPr>
        <w:t>.</w:t>
      </w:r>
    </w:p>
    <w:p w14:paraId="7449D3C9" w14:textId="77777777" w:rsidR="003722F5" w:rsidRDefault="003722F5" w:rsidP="00523395">
      <w:pPr>
        <w:spacing w:after="0" w:line="360" w:lineRule="auto"/>
        <w:jc w:val="both"/>
        <w:rPr>
          <w:rFonts w:ascii="Arial" w:hAnsi="Arial" w:cs="Arial"/>
          <w:sz w:val="24"/>
          <w:szCs w:val="24"/>
        </w:rPr>
      </w:pPr>
    </w:p>
    <w:p w14:paraId="5B59D862" w14:textId="37A685D4" w:rsidR="004458E7" w:rsidRPr="005C0014" w:rsidRDefault="004458E7" w:rsidP="004458E7">
      <w:pPr>
        <w:spacing w:after="0" w:line="360" w:lineRule="auto"/>
        <w:jc w:val="both"/>
        <w:rPr>
          <w:rFonts w:ascii="Arial" w:hAnsi="Arial" w:cs="Arial"/>
          <w:sz w:val="24"/>
          <w:szCs w:val="24"/>
        </w:rPr>
      </w:pPr>
      <w:r>
        <w:rPr>
          <w:rFonts w:ascii="Arial" w:hAnsi="Arial" w:cs="Arial"/>
          <w:sz w:val="24"/>
          <w:szCs w:val="24"/>
          <w:lang w:val="en-ZA"/>
        </w:rPr>
        <w:t xml:space="preserve">  </w:t>
      </w:r>
      <w:r w:rsidR="00AD7EAD">
        <w:rPr>
          <w:rFonts w:ascii="Arial" w:hAnsi="Arial" w:cs="Arial"/>
          <w:sz w:val="24"/>
          <w:szCs w:val="24"/>
          <w:lang w:val="en-ZA"/>
        </w:rPr>
        <w:t>[4</w:t>
      </w:r>
      <w:r w:rsidR="002961C4">
        <w:rPr>
          <w:rFonts w:ascii="Arial" w:hAnsi="Arial" w:cs="Arial"/>
          <w:sz w:val="24"/>
          <w:szCs w:val="24"/>
          <w:lang w:val="en-ZA"/>
        </w:rPr>
        <w:t>9</w:t>
      </w:r>
      <w:r w:rsidR="00AD7EAD">
        <w:rPr>
          <w:rFonts w:ascii="Arial" w:hAnsi="Arial" w:cs="Arial"/>
          <w:sz w:val="24"/>
          <w:szCs w:val="24"/>
          <w:lang w:val="en-ZA"/>
        </w:rPr>
        <w:t>]</w:t>
      </w:r>
      <w:r w:rsidR="00AD7EAD">
        <w:rPr>
          <w:rFonts w:ascii="Arial" w:hAnsi="Arial" w:cs="Arial"/>
          <w:sz w:val="24"/>
          <w:szCs w:val="24"/>
          <w:lang w:val="en-ZA"/>
        </w:rPr>
        <w:tab/>
      </w:r>
      <w:r w:rsidR="00523395">
        <w:rPr>
          <w:rFonts w:ascii="Arial" w:hAnsi="Arial" w:cs="Arial"/>
          <w:sz w:val="24"/>
          <w:szCs w:val="24"/>
          <w:lang w:val="en-ZA"/>
        </w:rPr>
        <w:t>I make the following order</w:t>
      </w:r>
      <w:r w:rsidR="005F48FD">
        <w:rPr>
          <w:rFonts w:ascii="Arial" w:hAnsi="Arial" w:cs="Arial"/>
          <w:sz w:val="24"/>
          <w:szCs w:val="24"/>
          <w:lang w:val="en-ZA"/>
        </w:rPr>
        <w:t xml:space="preserve"> on </w:t>
      </w:r>
      <w:r w:rsidR="00AD7EAD">
        <w:rPr>
          <w:rFonts w:ascii="Arial" w:hAnsi="Arial" w:cs="Arial"/>
          <w:sz w:val="24"/>
          <w:szCs w:val="24"/>
          <w:lang w:val="en-ZA"/>
        </w:rPr>
        <w:t xml:space="preserve">the </w:t>
      </w:r>
      <w:r w:rsidR="005F48FD">
        <w:rPr>
          <w:rFonts w:ascii="Arial" w:hAnsi="Arial" w:cs="Arial"/>
          <w:sz w:val="24"/>
          <w:szCs w:val="24"/>
          <w:lang w:val="en-ZA"/>
        </w:rPr>
        <w:t>cross-appeal</w:t>
      </w:r>
      <w:r w:rsidR="00523395">
        <w:rPr>
          <w:rFonts w:ascii="Arial" w:hAnsi="Arial" w:cs="Arial"/>
          <w:sz w:val="24"/>
          <w:szCs w:val="24"/>
          <w:lang w:val="en-ZA"/>
        </w:rPr>
        <w:t>:</w:t>
      </w:r>
    </w:p>
    <w:p w14:paraId="7B2900C2" w14:textId="32CD0D9E" w:rsidR="004458E7" w:rsidRDefault="00AD7EAD" w:rsidP="004458E7">
      <w:pPr>
        <w:spacing w:after="0" w:line="360" w:lineRule="auto"/>
        <w:jc w:val="both"/>
        <w:rPr>
          <w:rFonts w:ascii="Arial" w:hAnsi="Arial" w:cs="Arial"/>
          <w:sz w:val="24"/>
          <w:szCs w:val="24"/>
        </w:rPr>
      </w:pPr>
      <w:r>
        <w:rPr>
          <w:rFonts w:ascii="Arial" w:hAnsi="Arial" w:cs="Arial"/>
          <w:sz w:val="24"/>
        </w:rPr>
        <w:tab/>
        <w:t>1</w:t>
      </w:r>
      <w:r w:rsidR="004458E7">
        <w:rPr>
          <w:rFonts w:ascii="Arial" w:hAnsi="Arial" w:cs="Arial"/>
          <w:sz w:val="24"/>
        </w:rPr>
        <w:t xml:space="preserve">. </w:t>
      </w:r>
      <w:r w:rsidR="00523395" w:rsidRPr="00B05295">
        <w:rPr>
          <w:rFonts w:ascii="Arial" w:hAnsi="Arial" w:cs="Arial"/>
          <w:sz w:val="24"/>
        </w:rPr>
        <w:t xml:space="preserve">The </w:t>
      </w:r>
      <w:r>
        <w:rPr>
          <w:rFonts w:ascii="Arial" w:hAnsi="Arial" w:cs="Arial"/>
          <w:sz w:val="24"/>
        </w:rPr>
        <w:t>cross-appeal</w:t>
      </w:r>
      <w:r w:rsidR="00523395">
        <w:rPr>
          <w:rFonts w:ascii="Arial" w:hAnsi="Arial" w:cs="Arial"/>
          <w:sz w:val="24"/>
        </w:rPr>
        <w:t xml:space="preserve"> is dismissed</w:t>
      </w:r>
      <w:r w:rsidR="00523395">
        <w:rPr>
          <w:rFonts w:ascii="Arial" w:hAnsi="Arial" w:cs="Arial"/>
          <w:sz w:val="24"/>
          <w:szCs w:val="24"/>
        </w:rPr>
        <w:t>.</w:t>
      </w:r>
    </w:p>
    <w:p w14:paraId="260DC6F5" w14:textId="6ADF9BAE" w:rsidR="00523395" w:rsidRDefault="00AD7EAD" w:rsidP="004458E7">
      <w:pPr>
        <w:spacing w:after="0" w:line="360" w:lineRule="auto"/>
        <w:jc w:val="both"/>
        <w:rPr>
          <w:rFonts w:ascii="Arial" w:hAnsi="Arial" w:cs="Arial"/>
          <w:sz w:val="24"/>
          <w:szCs w:val="24"/>
        </w:rPr>
      </w:pPr>
      <w:r>
        <w:rPr>
          <w:rFonts w:ascii="Arial" w:hAnsi="Arial" w:cs="Arial"/>
          <w:sz w:val="24"/>
        </w:rPr>
        <w:tab/>
        <w:t>2</w:t>
      </w:r>
      <w:r w:rsidR="004458E7">
        <w:rPr>
          <w:rFonts w:ascii="Arial" w:hAnsi="Arial" w:cs="Arial"/>
          <w:sz w:val="24"/>
        </w:rPr>
        <w:t xml:space="preserve">. </w:t>
      </w:r>
      <w:r w:rsidR="00523395">
        <w:rPr>
          <w:rFonts w:ascii="Arial" w:hAnsi="Arial" w:cs="Arial"/>
          <w:sz w:val="24"/>
        </w:rPr>
        <w:t>There is no order as to costs</w:t>
      </w:r>
      <w:r>
        <w:rPr>
          <w:rFonts w:ascii="Arial" w:hAnsi="Arial" w:cs="Arial"/>
          <w:sz w:val="24"/>
        </w:rPr>
        <w:t>.</w:t>
      </w:r>
    </w:p>
    <w:p w14:paraId="0A502CFC" w14:textId="52F6B784" w:rsidR="00523395" w:rsidRDefault="00523395" w:rsidP="00523395">
      <w:pPr>
        <w:spacing w:after="0" w:line="360" w:lineRule="auto"/>
        <w:jc w:val="both"/>
        <w:rPr>
          <w:rFonts w:ascii="Arial" w:eastAsia="Arial" w:hAnsi="Arial" w:cs="Arial"/>
          <w:color w:val="000000"/>
          <w:sz w:val="24"/>
          <w:szCs w:val="24"/>
          <w:lang w:eastAsia="en-ZA"/>
        </w:rPr>
      </w:pPr>
    </w:p>
    <w:p w14:paraId="5DEB21E3" w14:textId="77777777" w:rsidR="00D5233B" w:rsidRDefault="00D5233B" w:rsidP="00523395">
      <w:pPr>
        <w:spacing w:after="0" w:line="360" w:lineRule="auto"/>
        <w:jc w:val="both"/>
        <w:rPr>
          <w:rFonts w:ascii="Arial" w:eastAsia="Arial" w:hAnsi="Arial" w:cs="Arial"/>
          <w:color w:val="000000"/>
          <w:sz w:val="24"/>
          <w:szCs w:val="24"/>
          <w:lang w:eastAsia="en-ZA"/>
        </w:rPr>
      </w:pPr>
    </w:p>
    <w:p w14:paraId="40DA859B" w14:textId="77777777" w:rsidR="00523395" w:rsidRDefault="00523395" w:rsidP="00523395">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14:paraId="1C2F088F" w14:textId="77777777" w:rsidR="00106F93" w:rsidRDefault="00106F93" w:rsidP="00D5233B">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T </w:t>
      </w:r>
      <w:r w:rsidR="00C361F6">
        <w:rPr>
          <w:rFonts w:ascii="Arial" w:hAnsi="Arial" w:cs="Arial"/>
          <w:lang w:val="en-US"/>
        </w:rPr>
        <w:t xml:space="preserve">MASUKU </w:t>
      </w:r>
    </w:p>
    <w:p w14:paraId="30BBD601" w14:textId="53682513" w:rsidR="003D1557" w:rsidRDefault="00C361F6" w:rsidP="00D5233B">
      <w:pPr>
        <w:pStyle w:val="BodyText"/>
        <w:tabs>
          <w:tab w:val="left" w:pos="540"/>
        </w:tabs>
        <w:spacing w:line="360" w:lineRule="auto"/>
        <w:ind w:left="540" w:hanging="540"/>
        <w:jc w:val="right"/>
        <w:rPr>
          <w:rFonts w:ascii="Arial" w:hAnsi="Arial" w:cs="Arial"/>
          <w:lang w:val="en-US"/>
        </w:rPr>
      </w:pPr>
      <w:r>
        <w:rPr>
          <w:rFonts w:ascii="Arial" w:hAnsi="Arial" w:cs="Arial"/>
          <w:lang w:val="en-US"/>
        </w:rPr>
        <w:t>JUDGE</w:t>
      </w:r>
    </w:p>
    <w:p w14:paraId="50FBACC1" w14:textId="706B39D1" w:rsidR="002E36BD" w:rsidRPr="00D27E2C" w:rsidRDefault="002E36BD" w:rsidP="00D27E2C">
      <w:pPr>
        <w:spacing w:after="0" w:line="360" w:lineRule="auto"/>
        <w:jc w:val="both"/>
        <w:rPr>
          <w:rFonts w:ascii="Arial" w:eastAsia="Times New Roman" w:hAnsi="Arial" w:cs="Arial"/>
          <w:sz w:val="2"/>
          <w:szCs w:val="2"/>
          <w:lang w:val="en-GB"/>
        </w:rPr>
      </w:pPr>
    </w:p>
    <w:sectPr w:rsidR="002E36BD" w:rsidRPr="00D27E2C" w:rsidSect="0021328B">
      <w:headerReference w:type="default" r:id="rId9"/>
      <w:pgSz w:w="11900" w:h="16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216B3" w14:textId="77777777" w:rsidR="00D63150" w:rsidRDefault="00D63150" w:rsidP="00523395">
      <w:pPr>
        <w:spacing w:after="0" w:line="240" w:lineRule="auto"/>
      </w:pPr>
      <w:r>
        <w:separator/>
      </w:r>
    </w:p>
  </w:endnote>
  <w:endnote w:type="continuationSeparator" w:id="0">
    <w:p w14:paraId="4B23C8BF" w14:textId="77777777" w:rsidR="00D63150" w:rsidRDefault="00D63150" w:rsidP="0052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F9DB" w14:textId="77777777" w:rsidR="00D63150" w:rsidRDefault="00D63150" w:rsidP="00523395">
      <w:pPr>
        <w:spacing w:after="0" w:line="240" w:lineRule="auto"/>
      </w:pPr>
      <w:r>
        <w:separator/>
      </w:r>
    </w:p>
  </w:footnote>
  <w:footnote w:type="continuationSeparator" w:id="0">
    <w:p w14:paraId="7C4C30BA" w14:textId="77777777" w:rsidR="00D63150" w:rsidRDefault="00D63150" w:rsidP="00523395">
      <w:pPr>
        <w:spacing w:after="0" w:line="240" w:lineRule="auto"/>
      </w:pPr>
      <w:r>
        <w:continuationSeparator/>
      </w:r>
    </w:p>
  </w:footnote>
  <w:footnote w:id="1">
    <w:p w14:paraId="732BEDEA" w14:textId="5C2B151B" w:rsidR="004E2686" w:rsidRPr="00D277E7" w:rsidRDefault="004E2686">
      <w:pPr>
        <w:pStyle w:val="FootnoteText"/>
        <w:rPr>
          <w:rFonts w:ascii="Arial" w:hAnsi="Arial" w:cs="Arial"/>
          <w:lang w:val="en-US"/>
        </w:rPr>
      </w:pPr>
      <w:r w:rsidRPr="00D277E7">
        <w:rPr>
          <w:rStyle w:val="FootnoteReference"/>
          <w:rFonts w:ascii="Arial" w:hAnsi="Arial" w:cs="Arial"/>
        </w:rPr>
        <w:footnoteRef/>
      </w:r>
      <w:r w:rsidRPr="00D277E7">
        <w:rPr>
          <w:rFonts w:ascii="Arial" w:hAnsi="Arial" w:cs="Arial"/>
        </w:rPr>
        <w:t xml:space="preserve"> </w:t>
      </w:r>
      <w:r w:rsidRPr="00D277E7">
        <w:rPr>
          <w:rFonts w:ascii="Arial" w:hAnsi="Arial" w:cs="Arial"/>
          <w:lang w:val="en-US"/>
        </w:rPr>
        <w:t>Record Volume 1 page 109, para 15.</w:t>
      </w:r>
    </w:p>
  </w:footnote>
  <w:footnote w:id="2">
    <w:p w14:paraId="555CA8EF" w14:textId="2F86A8D4" w:rsidR="004E2686" w:rsidRPr="00F33401" w:rsidRDefault="004E2686">
      <w:pPr>
        <w:pStyle w:val="FootnoteText"/>
        <w:rPr>
          <w:lang w:val="en-US"/>
        </w:rPr>
      </w:pPr>
      <w:r>
        <w:rPr>
          <w:rStyle w:val="FootnoteReference"/>
        </w:rPr>
        <w:footnoteRef/>
      </w:r>
      <w:r>
        <w:t xml:space="preserve"> </w:t>
      </w:r>
      <w:r>
        <w:rPr>
          <w:lang w:val="en-US"/>
        </w:rPr>
        <w:t>LCA 89/2009 delivered on 15 June 2012.</w:t>
      </w:r>
    </w:p>
  </w:footnote>
  <w:footnote w:id="3">
    <w:p w14:paraId="124C4E02" w14:textId="261F543E" w:rsidR="004E2686" w:rsidRPr="00092786" w:rsidRDefault="004E2686" w:rsidP="0084291A">
      <w:pPr>
        <w:pStyle w:val="Heading1"/>
        <w:tabs>
          <w:tab w:val="left" w:pos="5130"/>
        </w:tabs>
        <w:spacing w:line="240" w:lineRule="auto"/>
        <w:rPr>
          <w:rFonts w:ascii="Arial" w:hAnsi="Arial" w:cs="Arial"/>
          <w:b w:val="0"/>
          <w:color w:val="000000" w:themeColor="text1"/>
          <w:sz w:val="20"/>
          <w:szCs w:val="20"/>
        </w:rPr>
      </w:pPr>
      <w:r w:rsidRPr="00EF5479">
        <w:rPr>
          <w:rStyle w:val="FootnoteReference"/>
          <w:rFonts w:ascii="Arial" w:hAnsi="Arial" w:cs="Arial"/>
          <w:color w:val="000000" w:themeColor="text1"/>
          <w:sz w:val="20"/>
          <w:szCs w:val="20"/>
        </w:rPr>
        <w:footnoteRef/>
      </w:r>
      <w:r w:rsidRPr="00EF5479">
        <w:rPr>
          <w:rFonts w:ascii="Arial" w:hAnsi="Arial" w:cs="Arial"/>
          <w:color w:val="000000" w:themeColor="text1"/>
          <w:sz w:val="20"/>
          <w:szCs w:val="20"/>
        </w:rPr>
        <w:t xml:space="preserve"> </w:t>
      </w:r>
      <w:r w:rsidRPr="00EF5479">
        <w:rPr>
          <w:rFonts w:ascii="Arial" w:hAnsi="Arial" w:cs="Arial"/>
          <w:b w:val="0"/>
          <w:color w:val="000000" w:themeColor="text1"/>
          <w:sz w:val="20"/>
          <w:szCs w:val="20"/>
        </w:rPr>
        <w:t>(LCA 2/2016) [2018] NALCMD 3 (15 March 2018)</w:t>
      </w:r>
      <w:r w:rsidR="0084291A">
        <w:rPr>
          <w:rFonts w:ascii="Arial" w:hAnsi="Arial" w:cs="Arial"/>
          <w:b w:val="0"/>
          <w:color w:val="000000" w:themeColor="text1"/>
          <w:sz w:val="20"/>
          <w:szCs w:val="20"/>
        </w:rPr>
        <w:tab/>
      </w:r>
    </w:p>
  </w:footnote>
  <w:footnote w:id="4">
    <w:p w14:paraId="4BF2B41B" w14:textId="77777777" w:rsidR="004E2686" w:rsidRPr="00493802" w:rsidRDefault="004E2686" w:rsidP="004E2686">
      <w:pPr>
        <w:pStyle w:val="FootnoteText"/>
        <w:rPr>
          <w:rFonts w:ascii="Arial" w:hAnsi="Arial" w:cs="Arial"/>
          <w:lang w:val="en-US"/>
        </w:rPr>
      </w:pPr>
      <w:r w:rsidRPr="00493802">
        <w:rPr>
          <w:rStyle w:val="FootnoteReference"/>
          <w:rFonts w:ascii="Arial" w:hAnsi="Arial" w:cs="Arial"/>
        </w:rPr>
        <w:footnoteRef/>
      </w:r>
      <w:r w:rsidRPr="00493802">
        <w:rPr>
          <w:rFonts w:ascii="Arial" w:hAnsi="Arial" w:cs="Arial"/>
        </w:rPr>
        <w:t xml:space="preserve"> </w:t>
      </w:r>
      <w:r w:rsidRPr="00493802">
        <w:rPr>
          <w:rFonts w:ascii="Arial" w:hAnsi="Arial" w:cs="Arial"/>
          <w:lang w:val="en-US"/>
        </w:rPr>
        <w:t xml:space="preserve">(1994) 15 ILJ 842 at page 845. </w:t>
      </w:r>
    </w:p>
  </w:footnote>
  <w:footnote w:id="5">
    <w:p w14:paraId="38F45C28" w14:textId="77777777" w:rsidR="004E2686" w:rsidRPr="00493802" w:rsidRDefault="004E2686" w:rsidP="004E2686">
      <w:pPr>
        <w:pStyle w:val="FootnoteText"/>
        <w:rPr>
          <w:rFonts w:ascii="Arial" w:hAnsi="Arial" w:cs="Arial"/>
          <w:lang w:val="en-US"/>
        </w:rPr>
      </w:pPr>
      <w:r w:rsidRPr="00493802">
        <w:rPr>
          <w:rStyle w:val="FootnoteReference"/>
          <w:rFonts w:ascii="Arial" w:hAnsi="Arial" w:cs="Arial"/>
        </w:rPr>
        <w:footnoteRef/>
      </w:r>
      <w:r w:rsidRPr="00493802">
        <w:rPr>
          <w:rFonts w:ascii="Arial" w:hAnsi="Arial" w:cs="Arial"/>
        </w:rPr>
        <w:t xml:space="preserve"> </w:t>
      </w:r>
      <w:r w:rsidRPr="004D6974">
        <w:rPr>
          <w:rFonts w:ascii="Arial" w:hAnsi="Arial" w:cs="Arial"/>
          <w:i/>
          <w:lang w:val="en-US"/>
        </w:rPr>
        <w:t>Schoeman &amp; Another v Samsung Electronics</w:t>
      </w:r>
      <w:r w:rsidRPr="00493802">
        <w:rPr>
          <w:rFonts w:ascii="Arial" w:hAnsi="Arial" w:cs="Arial"/>
          <w:lang w:val="en-US"/>
        </w:rPr>
        <w:t xml:space="preserve"> SA (Pty) Ltd (1997) 10 BLLR 1364; </w:t>
      </w:r>
      <w:r w:rsidRPr="004D6974">
        <w:rPr>
          <w:rFonts w:ascii="Arial" w:hAnsi="Arial" w:cs="Arial"/>
          <w:i/>
          <w:lang w:val="en-US"/>
        </w:rPr>
        <w:t>Adonis v Modtek</w:t>
      </w:r>
      <w:r w:rsidRPr="00493802">
        <w:rPr>
          <w:rFonts w:ascii="Arial" w:hAnsi="Arial" w:cs="Arial"/>
          <w:lang w:val="en-US"/>
        </w:rPr>
        <w:t xml:space="preserve"> Security Systems (1998) 10 BLLR 1008 (LC).</w:t>
      </w:r>
    </w:p>
  </w:footnote>
  <w:footnote w:id="6">
    <w:p w14:paraId="1A5F18DD" w14:textId="704C6585" w:rsidR="00B759EC" w:rsidRPr="00B759EC" w:rsidRDefault="00B759EC">
      <w:pPr>
        <w:pStyle w:val="FootnoteText"/>
        <w:rPr>
          <w:rFonts w:ascii="Arial" w:hAnsi="Arial" w:cs="Arial"/>
          <w:lang w:val="en-US"/>
        </w:rPr>
      </w:pPr>
      <w:r w:rsidRPr="00B759EC">
        <w:rPr>
          <w:rStyle w:val="FootnoteReference"/>
          <w:rFonts w:ascii="Arial" w:hAnsi="Arial" w:cs="Arial"/>
        </w:rPr>
        <w:footnoteRef/>
      </w:r>
      <w:r w:rsidRPr="00B759EC">
        <w:rPr>
          <w:rFonts w:ascii="Arial" w:hAnsi="Arial" w:cs="Arial"/>
        </w:rPr>
        <w:t xml:space="preserve"> </w:t>
      </w:r>
      <w:r w:rsidRPr="00B759EC">
        <w:rPr>
          <w:rFonts w:ascii="Arial" w:hAnsi="Arial" w:cs="Arial"/>
          <w:lang w:val="en-US"/>
        </w:rPr>
        <w:t>Arbitrator’s award para 136 to 137.</w:t>
      </w:r>
    </w:p>
  </w:footnote>
  <w:footnote w:id="7">
    <w:p w14:paraId="5628D24D" w14:textId="77777777" w:rsidR="003D1557" w:rsidRPr="00101186" w:rsidRDefault="003D1557" w:rsidP="003D1557">
      <w:pPr>
        <w:pStyle w:val="FootnoteText"/>
        <w:rPr>
          <w:rFonts w:ascii="Arial" w:hAnsi="Arial" w:cs="Arial"/>
          <w:lang w:val="en-US"/>
        </w:rPr>
      </w:pPr>
      <w:r w:rsidRPr="00101186">
        <w:rPr>
          <w:rStyle w:val="FootnoteReference"/>
          <w:rFonts w:ascii="Arial" w:hAnsi="Arial" w:cs="Arial"/>
        </w:rPr>
        <w:footnoteRef/>
      </w:r>
      <w:r w:rsidRPr="00101186">
        <w:rPr>
          <w:rFonts w:ascii="Arial" w:hAnsi="Arial" w:cs="Arial"/>
        </w:rPr>
        <w:t xml:space="preserve"> </w:t>
      </w:r>
      <w:r w:rsidRPr="004D6974">
        <w:rPr>
          <w:rFonts w:ascii="Arial" w:hAnsi="Arial" w:cs="Arial"/>
          <w:i/>
          <w:lang w:val="en-US"/>
        </w:rPr>
        <w:t>African Granite CO (Pty) Ltd v Mineworkers Union of Namibia and Others</w:t>
      </w:r>
      <w:r w:rsidRPr="00101186">
        <w:rPr>
          <w:rFonts w:ascii="Arial" w:hAnsi="Arial" w:cs="Arial"/>
          <w:lang w:val="en-US"/>
        </w:rPr>
        <w:t xml:space="preserve"> 1993 NR 91 (LC) at page 98 thereof.</w:t>
      </w:r>
    </w:p>
  </w:footnote>
  <w:footnote w:id="8">
    <w:p w14:paraId="46CC9155" w14:textId="77777777" w:rsidR="003D1557" w:rsidRPr="00101186" w:rsidRDefault="003D1557" w:rsidP="003D1557">
      <w:pPr>
        <w:pStyle w:val="FootnoteText"/>
        <w:rPr>
          <w:rFonts w:ascii="Arial" w:hAnsi="Arial" w:cs="Arial"/>
          <w:lang w:val="en-US"/>
        </w:rPr>
      </w:pPr>
      <w:r w:rsidRPr="00101186">
        <w:rPr>
          <w:rStyle w:val="FootnoteReference"/>
          <w:rFonts w:ascii="Arial" w:hAnsi="Arial" w:cs="Arial"/>
        </w:rPr>
        <w:footnoteRef/>
      </w:r>
      <w:r w:rsidRPr="00101186">
        <w:rPr>
          <w:rFonts w:ascii="Arial" w:hAnsi="Arial" w:cs="Arial"/>
        </w:rPr>
        <w:t xml:space="preserve"> </w:t>
      </w:r>
      <w:r w:rsidRPr="00101186">
        <w:rPr>
          <w:rFonts w:ascii="Arial" w:hAnsi="Arial" w:cs="Arial"/>
          <w:lang w:val="en-US"/>
        </w:rPr>
        <w:t>Arbitrator’s Award para 121 to 123.</w:t>
      </w:r>
    </w:p>
  </w:footnote>
  <w:footnote w:id="9">
    <w:p w14:paraId="64D927D3" w14:textId="79D9B15A" w:rsidR="00D5233B" w:rsidRPr="00D5233B" w:rsidRDefault="003D1557" w:rsidP="003D1557">
      <w:pPr>
        <w:pStyle w:val="FootnoteText"/>
        <w:rPr>
          <w:rFonts w:ascii="Arial" w:eastAsiaTheme="minorHAnsi" w:hAnsi="Arial" w:cs="Arial"/>
          <w:bCs/>
          <w:color w:val="000000" w:themeColor="text1"/>
        </w:rPr>
      </w:pPr>
      <w:r w:rsidRPr="008B07A9">
        <w:rPr>
          <w:rStyle w:val="FootnoteReference"/>
          <w:rFonts w:ascii="Arial" w:hAnsi="Arial" w:cs="Arial"/>
        </w:rPr>
        <w:footnoteRef/>
      </w:r>
      <w:r w:rsidRPr="008B07A9">
        <w:rPr>
          <w:rFonts w:ascii="Arial" w:hAnsi="Arial" w:cs="Arial"/>
        </w:rPr>
        <w:t xml:space="preserve"> </w:t>
      </w:r>
      <w:r w:rsidRPr="008B07A9">
        <w:rPr>
          <w:rFonts w:ascii="Arial" w:eastAsiaTheme="minorHAnsi" w:hAnsi="Arial" w:cs="Arial"/>
          <w:bCs/>
          <w:color w:val="000000" w:themeColor="text1"/>
        </w:rPr>
        <w:t>2009 (1) NR 339 at paras 8 to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56321"/>
      <w:docPartObj>
        <w:docPartGallery w:val="Page Numbers (Top of Page)"/>
        <w:docPartUnique/>
      </w:docPartObj>
    </w:sdtPr>
    <w:sdtEndPr>
      <w:rPr>
        <w:noProof/>
      </w:rPr>
    </w:sdtEndPr>
    <w:sdtContent>
      <w:p w14:paraId="58CD757B" w14:textId="4FA8F6CA" w:rsidR="0021328B" w:rsidRDefault="0021328B">
        <w:pPr>
          <w:pStyle w:val="Header"/>
          <w:jc w:val="right"/>
        </w:pPr>
        <w:r>
          <w:fldChar w:fldCharType="begin"/>
        </w:r>
        <w:r>
          <w:instrText xml:space="preserve"> PAGE   \* MERGEFORMAT </w:instrText>
        </w:r>
        <w:r>
          <w:fldChar w:fldCharType="separate"/>
        </w:r>
        <w:r w:rsidR="0003787E">
          <w:rPr>
            <w:noProof/>
          </w:rPr>
          <w:t>2</w:t>
        </w:r>
        <w:r>
          <w:rPr>
            <w:noProof/>
          </w:rPr>
          <w:fldChar w:fldCharType="end"/>
        </w:r>
      </w:p>
    </w:sdtContent>
  </w:sdt>
  <w:p w14:paraId="048BBE72" w14:textId="77777777" w:rsidR="0021328B" w:rsidRDefault="0021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01F9"/>
    <w:multiLevelType w:val="hybridMultilevel"/>
    <w:tmpl w:val="D1901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9845C8"/>
    <w:multiLevelType w:val="hybridMultilevel"/>
    <w:tmpl w:val="9112C7C4"/>
    <w:lvl w:ilvl="0" w:tplc="66E0FB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961B8D"/>
    <w:multiLevelType w:val="hybridMultilevel"/>
    <w:tmpl w:val="9DCAD648"/>
    <w:lvl w:ilvl="0" w:tplc="53A40A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21146BE"/>
    <w:multiLevelType w:val="hybridMultilevel"/>
    <w:tmpl w:val="295E5D5E"/>
    <w:lvl w:ilvl="0" w:tplc="04A2FC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87F6281"/>
    <w:multiLevelType w:val="hybridMultilevel"/>
    <w:tmpl w:val="295E5D5E"/>
    <w:lvl w:ilvl="0" w:tplc="04A2FC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6E42259E"/>
    <w:multiLevelType w:val="hybridMultilevel"/>
    <w:tmpl w:val="462214C0"/>
    <w:lvl w:ilvl="0" w:tplc="CABC3E5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A1"/>
    <w:rsid w:val="00017D98"/>
    <w:rsid w:val="000265F2"/>
    <w:rsid w:val="0003787E"/>
    <w:rsid w:val="00053133"/>
    <w:rsid w:val="000731CB"/>
    <w:rsid w:val="000732A3"/>
    <w:rsid w:val="00073D82"/>
    <w:rsid w:val="00074B1B"/>
    <w:rsid w:val="00087165"/>
    <w:rsid w:val="00091689"/>
    <w:rsid w:val="00092786"/>
    <w:rsid w:val="000A2C82"/>
    <w:rsid w:val="000A55E9"/>
    <w:rsid w:val="000B2BE1"/>
    <w:rsid w:val="000C2B53"/>
    <w:rsid w:val="000C5D72"/>
    <w:rsid w:val="000C755A"/>
    <w:rsid w:val="000F41F1"/>
    <w:rsid w:val="000F61D7"/>
    <w:rsid w:val="000F74AA"/>
    <w:rsid w:val="00100D9E"/>
    <w:rsid w:val="00101186"/>
    <w:rsid w:val="00104459"/>
    <w:rsid w:val="00106F93"/>
    <w:rsid w:val="00110BD9"/>
    <w:rsid w:val="00116ACB"/>
    <w:rsid w:val="001174A4"/>
    <w:rsid w:val="001176D6"/>
    <w:rsid w:val="001248C7"/>
    <w:rsid w:val="00126573"/>
    <w:rsid w:val="001471A9"/>
    <w:rsid w:val="00150EA1"/>
    <w:rsid w:val="00151031"/>
    <w:rsid w:val="00163E12"/>
    <w:rsid w:val="00165364"/>
    <w:rsid w:val="00173CBC"/>
    <w:rsid w:val="001758C4"/>
    <w:rsid w:val="0018673C"/>
    <w:rsid w:val="00197868"/>
    <w:rsid w:val="001B0C2B"/>
    <w:rsid w:val="001C2996"/>
    <w:rsid w:val="001D17D0"/>
    <w:rsid w:val="001D19A1"/>
    <w:rsid w:val="001D7DA7"/>
    <w:rsid w:val="001E0795"/>
    <w:rsid w:val="001E3828"/>
    <w:rsid w:val="001E4993"/>
    <w:rsid w:val="001E7CDB"/>
    <w:rsid w:val="00204712"/>
    <w:rsid w:val="00205825"/>
    <w:rsid w:val="00206779"/>
    <w:rsid w:val="00206D67"/>
    <w:rsid w:val="0021328B"/>
    <w:rsid w:val="00235755"/>
    <w:rsid w:val="00235988"/>
    <w:rsid w:val="002370EA"/>
    <w:rsid w:val="00244937"/>
    <w:rsid w:val="00252A54"/>
    <w:rsid w:val="00255F83"/>
    <w:rsid w:val="0027094A"/>
    <w:rsid w:val="00273DA7"/>
    <w:rsid w:val="002817C7"/>
    <w:rsid w:val="00284E8D"/>
    <w:rsid w:val="00290532"/>
    <w:rsid w:val="00293258"/>
    <w:rsid w:val="00294126"/>
    <w:rsid w:val="002961C4"/>
    <w:rsid w:val="002A131F"/>
    <w:rsid w:val="002C12CB"/>
    <w:rsid w:val="002C76A0"/>
    <w:rsid w:val="002D1DC2"/>
    <w:rsid w:val="002D2A52"/>
    <w:rsid w:val="002D62D7"/>
    <w:rsid w:val="002E36BD"/>
    <w:rsid w:val="002F0298"/>
    <w:rsid w:val="002F4D41"/>
    <w:rsid w:val="00301DB4"/>
    <w:rsid w:val="00307F51"/>
    <w:rsid w:val="00313DE6"/>
    <w:rsid w:val="003156DC"/>
    <w:rsid w:val="00322DEE"/>
    <w:rsid w:val="00327F6B"/>
    <w:rsid w:val="00334179"/>
    <w:rsid w:val="00341A0A"/>
    <w:rsid w:val="00347689"/>
    <w:rsid w:val="00353202"/>
    <w:rsid w:val="00353BF2"/>
    <w:rsid w:val="003722F5"/>
    <w:rsid w:val="0037507C"/>
    <w:rsid w:val="00375EB4"/>
    <w:rsid w:val="00380F86"/>
    <w:rsid w:val="00390743"/>
    <w:rsid w:val="003A5E6D"/>
    <w:rsid w:val="003B528A"/>
    <w:rsid w:val="003C2D53"/>
    <w:rsid w:val="003C46C8"/>
    <w:rsid w:val="003D1557"/>
    <w:rsid w:val="003D3265"/>
    <w:rsid w:val="003D4E5F"/>
    <w:rsid w:val="003D7B3D"/>
    <w:rsid w:val="003F0E75"/>
    <w:rsid w:val="003F67F6"/>
    <w:rsid w:val="003F73C8"/>
    <w:rsid w:val="0042551D"/>
    <w:rsid w:val="00431DCA"/>
    <w:rsid w:val="00433784"/>
    <w:rsid w:val="00433FCD"/>
    <w:rsid w:val="004458E7"/>
    <w:rsid w:val="0044728B"/>
    <w:rsid w:val="00450DCF"/>
    <w:rsid w:val="00451033"/>
    <w:rsid w:val="00461B7F"/>
    <w:rsid w:val="00464578"/>
    <w:rsid w:val="004724F6"/>
    <w:rsid w:val="004746D2"/>
    <w:rsid w:val="00476C60"/>
    <w:rsid w:val="00480FE6"/>
    <w:rsid w:val="00483575"/>
    <w:rsid w:val="00484EB7"/>
    <w:rsid w:val="00493802"/>
    <w:rsid w:val="0049699F"/>
    <w:rsid w:val="00497F2C"/>
    <w:rsid w:val="004A1852"/>
    <w:rsid w:val="004A385B"/>
    <w:rsid w:val="004A486A"/>
    <w:rsid w:val="004A5F54"/>
    <w:rsid w:val="004A6644"/>
    <w:rsid w:val="004B03B5"/>
    <w:rsid w:val="004B302F"/>
    <w:rsid w:val="004B53BA"/>
    <w:rsid w:val="004B652C"/>
    <w:rsid w:val="004C086F"/>
    <w:rsid w:val="004D1AEC"/>
    <w:rsid w:val="004D6974"/>
    <w:rsid w:val="004D6EAD"/>
    <w:rsid w:val="004E2686"/>
    <w:rsid w:val="004E47C1"/>
    <w:rsid w:val="004E532D"/>
    <w:rsid w:val="004E60C4"/>
    <w:rsid w:val="004F136C"/>
    <w:rsid w:val="004F4575"/>
    <w:rsid w:val="004F681E"/>
    <w:rsid w:val="00502210"/>
    <w:rsid w:val="00503D76"/>
    <w:rsid w:val="00511551"/>
    <w:rsid w:val="00511938"/>
    <w:rsid w:val="0051391F"/>
    <w:rsid w:val="00523395"/>
    <w:rsid w:val="00556560"/>
    <w:rsid w:val="00562997"/>
    <w:rsid w:val="00563D85"/>
    <w:rsid w:val="00565BCC"/>
    <w:rsid w:val="00570D8D"/>
    <w:rsid w:val="00583502"/>
    <w:rsid w:val="00594375"/>
    <w:rsid w:val="005955D2"/>
    <w:rsid w:val="005A6BD0"/>
    <w:rsid w:val="005C0014"/>
    <w:rsid w:val="005C57B4"/>
    <w:rsid w:val="005D275D"/>
    <w:rsid w:val="005E2458"/>
    <w:rsid w:val="005E4B30"/>
    <w:rsid w:val="005E6F69"/>
    <w:rsid w:val="005F48FD"/>
    <w:rsid w:val="0060171A"/>
    <w:rsid w:val="0060289A"/>
    <w:rsid w:val="00602ABE"/>
    <w:rsid w:val="00603280"/>
    <w:rsid w:val="0060416F"/>
    <w:rsid w:val="006072DA"/>
    <w:rsid w:val="00613D74"/>
    <w:rsid w:val="00617E2A"/>
    <w:rsid w:val="00642501"/>
    <w:rsid w:val="006428C5"/>
    <w:rsid w:val="006515FF"/>
    <w:rsid w:val="006607FC"/>
    <w:rsid w:val="00663B99"/>
    <w:rsid w:val="00670266"/>
    <w:rsid w:val="00673C9C"/>
    <w:rsid w:val="00674363"/>
    <w:rsid w:val="0068586F"/>
    <w:rsid w:val="00686CFF"/>
    <w:rsid w:val="006914AC"/>
    <w:rsid w:val="00691C83"/>
    <w:rsid w:val="006933F5"/>
    <w:rsid w:val="00695B61"/>
    <w:rsid w:val="006B5525"/>
    <w:rsid w:val="006B7629"/>
    <w:rsid w:val="006C2B46"/>
    <w:rsid w:val="006D20E0"/>
    <w:rsid w:val="006D7030"/>
    <w:rsid w:val="006F2B87"/>
    <w:rsid w:val="006F3586"/>
    <w:rsid w:val="007106CB"/>
    <w:rsid w:val="007130A6"/>
    <w:rsid w:val="0071583F"/>
    <w:rsid w:val="007268A1"/>
    <w:rsid w:val="007318AA"/>
    <w:rsid w:val="00751F43"/>
    <w:rsid w:val="00757CBB"/>
    <w:rsid w:val="00763F89"/>
    <w:rsid w:val="007640A5"/>
    <w:rsid w:val="007651A2"/>
    <w:rsid w:val="007670F1"/>
    <w:rsid w:val="00770CC9"/>
    <w:rsid w:val="00774494"/>
    <w:rsid w:val="0077531E"/>
    <w:rsid w:val="007814A3"/>
    <w:rsid w:val="00781788"/>
    <w:rsid w:val="00781B66"/>
    <w:rsid w:val="007A593E"/>
    <w:rsid w:val="007B1F47"/>
    <w:rsid w:val="007B4823"/>
    <w:rsid w:val="007C27CE"/>
    <w:rsid w:val="007D6F46"/>
    <w:rsid w:val="007F2BAC"/>
    <w:rsid w:val="007F4AC1"/>
    <w:rsid w:val="00804861"/>
    <w:rsid w:val="00804FB4"/>
    <w:rsid w:val="00806037"/>
    <w:rsid w:val="00806662"/>
    <w:rsid w:val="00820262"/>
    <w:rsid w:val="008203DB"/>
    <w:rsid w:val="0082213A"/>
    <w:rsid w:val="00832E96"/>
    <w:rsid w:val="0084291A"/>
    <w:rsid w:val="00852C99"/>
    <w:rsid w:val="00853A4A"/>
    <w:rsid w:val="008600DA"/>
    <w:rsid w:val="008709E0"/>
    <w:rsid w:val="0087111C"/>
    <w:rsid w:val="00887C5C"/>
    <w:rsid w:val="008917C2"/>
    <w:rsid w:val="008963F7"/>
    <w:rsid w:val="008A064E"/>
    <w:rsid w:val="008A195B"/>
    <w:rsid w:val="008A5763"/>
    <w:rsid w:val="008B07A9"/>
    <w:rsid w:val="008B5B6F"/>
    <w:rsid w:val="008C280B"/>
    <w:rsid w:val="008C5FF8"/>
    <w:rsid w:val="008C75A7"/>
    <w:rsid w:val="008D08FE"/>
    <w:rsid w:val="008E0584"/>
    <w:rsid w:val="008E05E0"/>
    <w:rsid w:val="008F098B"/>
    <w:rsid w:val="008F2CC6"/>
    <w:rsid w:val="008F402F"/>
    <w:rsid w:val="008F6472"/>
    <w:rsid w:val="008F64C7"/>
    <w:rsid w:val="008F71E2"/>
    <w:rsid w:val="008F7973"/>
    <w:rsid w:val="00902C43"/>
    <w:rsid w:val="0090529D"/>
    <w:rsid w:val="00912046"/>
    <w:rsid w:val="00920350"/>
    <w:rsid w:val="009204B6"/>
    <w:rsid w:val="00922034"/>
    <w:rsid w:val="0093237D"/>
    <w:rsid w:val="00934C67"/>
    <w:rsid w:val="00940225"/>
    <w:rsid w:val="00945990"/>
    <w:rsid w:val="009539DC"/>
    <w:rsid w:val="00954198"/>
    <w:rsid w:val="009548ED"/>
    <w:rsid w:val="00956344"/>
    <w:rsid w:val="0097618A"/>
    <w:rsid w:val="009777C0"/>
    <w:rsid w:val="009838C0"/>
    <w:rsid w:val="009A3865"/>
    <w:rsid w:val="009B0A4B"/>
    <w:rsid w:val="009B63A5"/>
    <w:rsid w:val="009D06A3"/>
    <w:rsid w:val="009E09C7"/>
    <w:rsid w:val="009F3A0A"/>
    <w:rsid w:val="00A01554"/>
    <w:rsid w:val="00A02A61"/>
    <w:rsid w:val="00A02D96"/>
    <w:rsid w:val="00A11FB9"/>
    <w:rsid w:val="00A1584E"/>
    <w:rsid w:val="00A26B72"/>
    <w:rsid w:val="00A33B8F"/>
    <w:rsid w:val="00A35A69"/>
    <w:rsid w:val="00A43B5B"/>
    <w:rsid w:val="00A618E1"/>
    <w:rsid w:val="00A63C61"/>
    <w:rsid w:val="00A64DCA"/>
    <w:rsid w:val="00A67FEA"/>
    <w:rsid w:val="00A736A4"/>
    <w:rsid w:val="00A73701"/>
    <w:rsid w:val="00A73CE7"/>
    <w:rsid w:val="00A80C34"/>
    <w:rsid w:val="00A82A64"/>
    <w:rsid w:val="00A93777"/>
    <w:rsid w:val="00A9517E"/>
    <w:rsid w:val="00A95BF5"/>
    <w:rsid w:val="00AA0B03"/>
    <w:rsid w:val="00AA674D"/>
    <w:rsid w:val="00AA7D0B"/>
    <w:rsid w:val="00AB0FA1"/>
    <w:rsid w:val="00AB7F71"/>
    <w:rsid w:val="00AC0450"/>
    <w:rsid w:val="00AC0804"/>
    <w:rsid w:val="00AC2F42"/>
    <w:rsid w:val="00AD27C0"/>
    <w:rsid w:val="00AD7D1F"/>
    <w:rsid w:val="00AD7EAD"/>
    <w:rsid w:val="00AE7134"/>
    <w:rsid w:val="00AF2881"/>
    <w:rsid w:val="00AF4684"/>
    <w:rsid w:val="00B11763"/>
    <w:rsid w:val="00B1675E"/>
    <w:rsid w:val="00B17727"/>
    <w:rsid w:val="00B23B0E"/>
    <w:rsid w:val="00B2676D"/>
    <w:rsid w:val="00B27B9D"/>
    <w:rsid w:val="00B335A0"/>
    <w:rsid w:val="00B33DEE"/>
    <w:rsid w:val="00B4140B"/>
    <w:rsid w:val="00B47778"/>
    <w:rsid w:val="00B55A02"/>
    <w:rsid w:val="00B6201B"/>
    <w:rsid w:val="00B759EC"/>
    <w:rsid w:val="00B81913"/>
    <w:rsid w:val="00B84E82"/>
    <w:rsid w:val="00B858D5"/>
    <w:rsid w:val="00B8612C"/>
    <w:rsid w:val="00B90F25"/>
    <w:rsid w:val="00BA1366"/>
    <w:rsid w:val="00BA2D36"/>
    <w:rsid w:val="00BA6A3F"/>
    <w:rsid w:val="00BC2CC0"/>
    <w:rsid w:val="00BF581E"/>
    <w:rsid w:val="00BF6936"/>
    <w:rsid w:val="00C03013"/>
    <w:rsid w:val="00C06B1D"/>
    <w:rsid w:val="00C07494"/>
    <w:rsid w:val="00C22B8F"/>
    <w:rsid w:val="00C22FFD"/>
    <w:rsid w:val="00C24347"/>
    <w:rsid w:val="00C244CE"/>
    <w:rsid w:val="00C2639F"/>
    <w:rsid w:val="00C34F4A"/>
    <w:rsid w:val="00C361F6"/>
    <w:rsid w:val="00C36C24"/>
    <w:rsid w:val="00C57118"/>
    <w:rsid w:val="00C64FDD"/>
    <w:rsid w:val="00C7727B"/>
    <w:rsid w:val="00C774C7"/>
    <w:rsid w:val="00C84D9C"/>
    <w:rsid w:val="00C86370"/>
    <w:rsid w:val="00C86E5A"/>
    <w:rsid w:val="00CC0B68"/>
    <w:rsid w:val="00CD2F12"/>
    <w:rsid w:val="00CE46FE"/>
    <w:rsid w:val="00CE52C9"/>
    <w:rsid w:val="00CF7819"/>
    <w:rsid w:val="00D16E93"/>
    <w:rsid w:val="00D17819"/>
    <w:rsid w:val="00D25734"/>
    <w:rsid w:val="00D277E7"/>
    <w:rsid w:val="00D27E2C"/>
    <w:rsid w:val="00D35216"/>
    <w:rsid w:val="00D365E6"/>
    <w:rsid w:val="00D432B7"/>
    <w:rsid w:val="00D43A26"/>
    <w:rsid w:val="00D463BB"/>
    <w:rsid w:val="00D5233B"/>
    <w:rsid w:val="00D54009"/>
    <w:rsid w:val="00D54F4B"/>
    <w:rsid w:val="00D57884"/>
    <w:rsid w:val="00D63150"/>
    <w:rsid w:val="00D72A39"/>
    <w:rsid w:val="00D90F60"/>
    <w:rsid w:val="00D95CF9"/>
    <w:rsid w:val="00DB19EA"/>
    <w:rsid w:val="00DB55E1"/>
    <w:rsid w:val="00DB7BFB"/>
    <w:rsid w:val="00DD0B08"/>
    <w:rsid w:val="00DD5AE1"/>
    <w:rsid w:val="00DF2A04"/>
    <w:rsid w:val="00DF42A0"/>
    <w:rsid w:val="00E07EBD"/>
    <w:rsid w:val="00E141BA"/>
    <w:rsid w:val="00E274B1"/>
    <w:rsid w:val="00E31D5A"/>
    <w:rsid w:val="00E421C1"/>
    <w:rsid w:val="00E51570"/>
    <w:rsid w:val="00E5593F"/>
    <w:rsid w:val="00E60390"/>
    <w:rsid w:val="00E676EB"/>
    <w:rsid w:val="00E67DD3"/>
    <w:rsid w:val="00E83685"/>
    <w:rsid w:val="00E836C3"/>
    <w:rsid w:val="00E865DB"/>
    <w:rsid w:val="00E9382F"/>
    <w:rsid w:val="00E9606B"/>
    <w:rsid w:val="00E967F5"/>
    <w:rsid w:val="00EA0A20"/>
    <w:rsid w:val="00EA4CB9"/>
    <w:rsid w:val="00EB4075"/>
    <w:rsid w:val="00EB56AA"/>
    <w:rsid w:val="00EB6430"/>
    <w:rsid w:val="00EB6D16"/>
    <w:rsid w:val="00EB7D70"/>
    <w:rsid w:val="00EC1D2B"/>
    <w:rsid w:val="00EC62DE"/>
    <w:rsid w:val="00EE4D39"/>
    <w:rsid w:val="00EE6FBA"/>
    <w:rsid w:val="00EF1A29"/>
    <w:rsid w:val="00EF299C"/>
    <w:rsid w:val="00EF439F"/>
    <w:rsid w:val="00EF5479"/>
    <w:rsid w:val="00F02F27"/>
    <w:rsid w:val="00F07F7C"/>
    <w:rsid w:val="00F106F9"/>
    <w:rsid w:val="00F16E33"/>
    <w:rsid w:val="00F231EB"/>
    <w:rsid w:val="00F27021"/>
    <w:rsid w:val="00F2757F"/>
    <w:rsid w:val="00F33401"/>
    <w:rsid w:val="00F33B4B"/>
    <w:rsid w:val="00F3549A"/>
    <w:rsid w:val="00F35900"/>
    <w:rsid w:val="00F5347A"/>
    <w:rsid w:val="00F650DD"/>
    <w:rsid w:val="00F92052"/>
    <w:rsid w:val="00F9657F"/>
    <w:rsid w:val="00FA6CBE"/>
    <w:rsid w:val="00FB6C93"/>
    <w:rsid w:val="00FC1687"/>
    <w:rsid w:val="00FC3A9B"/>
    <w:rsid w:val="00FC3D37"/>
    <w:rsid w:val="00FE046B"/>
    <w:rsid w:val="00FE68CA"/>
    <w:rsid w:val="00FE6FCC"/>
    <w:rsid w:val="00FF0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9B8BB"/>
  <w14:defaultImageDpi w14:val="32767"/>
  <w15:docId w15:val="{153AE15C-09C8-7644-8B97-31DD5E9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262"/>
    <w:pPr>
      <w:spacing w:after="200" w:line="276"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F270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3395"/>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523395"/>
    <w:rPr>
      <w:rFonts w:ascii="Times New Roman" w:eastAsia="Times New Roman" w:hAnsi="Times New Roman" w:cs="Times New Roman"/>
    </w:rPr>
  </w:style>
  <w:style w:type="paragraph" w:styleId="FootnoteText">
    <w:name w:val="footnote text"/>
    <w:aliases w:val="HCR: - Footnote text"/>
    <w:basedOn w:val="Normal"/>
    <w:link w:val="FootnoteTextChar"/>
    <w:uiPriority w:val="99"/>
    <w:unhideWhenUsed/>
    <w:qFormat/>
    <w:rsid w:val="00523395"/>
    <w:pPr>
      <w:spacing w:after="0" w:line="240" w:lineRule="auto"/>
    </w:pPr>
    <w:rPr>
      <w:sz w:val="20"/>
      <w:szCs w:val="20"/>
      <w:lang w:val="en-ZA"/>
    </w:rPr>
  </w:style>
  <w:style w:type="character" w:customStyle="1" w:styleId="FootnoteTextChar">
    <w:name w:val="Footnote Text Char"/>
    <w:aliases w:val="HCR: - Footnote text Char"/>
    <w:basedOn w:val="DefaultParagraphFont"/>
    <w:link w:val="FootnoteText"/>
    <w:uiPriority w:val="99"/>
    <w:rsid w:val="00523395"/>
    <w:rPr>
      <w:rFonts w:ascii="Calibri" w:eastAsia="Calibri" w:hAnsi="Calibri" w:cs="Times New Roman"/>
      <w:sz w:val="20"/>
      <w:szCs w:val="20"/>
      <w:lang w:val="en-ZA"/>
    </w:rPr>
  </w:style>
  <w:style w:type="character" w:styleId="FootnoteReference">
    <w:name w:val="footnote reference"/>
    <w:uiPriority w:val="99"/>
    <w:unhideWhenUsed/>
    <w:rsid w:val="00523395"/>
    <w:rPr>
      <w:vertAlign w:val="superscript"/>
    </w:rPr>
  </w:style>
  <w:style w:type="character" w:customStyle="1" w:styleId="apple-converted-space">
    <w:name w:val="apple-converted-space"/>
    <w:basedOn w:val="DefaultParagraphFont"/>
    <w:rsid w:val="004A486A"/>
  </w:style>
  <w:style w:type="character" w:customStyle="1" w:styleId="mc">
    <w:name w:val="mc"/>
    <w:basedOn w:val="DefaultParagraphFont"/>
    <w:rsid w:val="004A486A"/>
  </w:style>
  <w:style w:type="paragraph" w:customStyle="1" w:styleId="Default">
    <w:name w:val="Default"/>
    <w:rsid w:val="00AD27C0"/>
    <w:pPr>
      <w:autoSpaceDE w:val="0"/>
      <w:autoSpaceDN w:val="0"/>
      <w:adjustRightInd w:val="0"/>
    </w:pPr>
    <w:rPr>
      <w:rFonts w:ascii="Arial" w:hAnsi="Arial" w:cs="Arial"/>
      <w:color w:val="000000"/>
      <w:lang w:val="en-US"/>
    </w:rPr>
  </w:style>
  <w:style w:type="character" w:customStyle="1" w:styleId="Heading1Char">
    <w:name w:val="Heading 1 Char"/>
    <w:basedOn w:val="DefaultParagraphFont"/>
    <w:link w:val="Heading1"/>
    <w:uiPriority w:val="9"/>
    <w:rsid w:val="00F27021"/>
    <w:rPr>
      <w:rFonts w:asciiTheme="majorHAnsi" w:eastAsiaTheme="majorEastAsia" w:hAnsiTheme="majorHAnsi" w:cstheme="majorBidi"/>
      <w:b/>
      <w:bCs/>
      <w:color w:val="2F5496" w:themeColor="accent1" w:themeShade="BF"/>
      <w:sz w:val="28"/>
      <w:szCs w:val="28"/>
      <w:lang w:val="en-US"/>
    </w:rPr>
  </w:style>
  <w:style w:type="paragraph" w:styleId="BalloonText">
    <w:name w:val="Balloon Text"/>
    <w:basedOn w:val="Normal"/>
    <w:link w:val="BalloonTextChar"/>
    <w:uiPriority w:val="99"/>
    <w:semiHidden/>
    <w:unhideWhenUsed/>
    <w:rsid w:val="00A35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69"/>
    <w:rPr>
      <w:rFonts w:ascii="Segoe UI" w:eastAsia="Calibri" w:hAnsi="Segoe UI" w:cs="Segoe UI"/>
      <w:sz w:val="18"/>
      <w:szCs w:val="18"/>
      <w:lang w:val="en-US"/>
    </w:rPr>
  </w:style>
  <w:style w:type="paragraph" w:styleId="ListParagraph">
    <w:name w:val="List Paragraph"/>
    <w:basedOn w:val="Normal"/>
    <w:uiPriority w:val="34"/>
    <w:qFormat/>
    <w:rsid w:val="009539DC"/>
    <w:pPr>
      <w:ind w:left="720"/>
      <w:contextualSpacing/>
    </w:pPr>
  </w:style>
  <w:style w:type="paragraph" w:styleId="Header">
    <w:name w:val="header"/>
    <w:basedOn w:val="Normal"/>
    <w:link w:val="HeaderChar"/>
    <w:uiPriority w:val="99"/>
    <w:unhideWhenUsed/>
    <w:rsid w:val="0021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28B"/>
    <w:rPr>
      <w:rFonts w:ascii="Calibri" w:eastAsia="Calibri" w:hAnsi="Calibri" w:cs="Times New Roman"/>
      <w:sz w:val="22"/>
      <w:szCs w:val="22"/>
      <w:lang w:val="en-US"/>
    </w:rPr>
  </w:style>
  <w:style w:type="paragraph" w:styleId="Footer">
    <w:name w:val="footer"/>
    <w:basedOn w:val="Normal"/>
    <w:link w:val="FooterChar"/>
    <w:uiPriority w:val="99"/>
    <w:unhideWhenUsed/>
    <w:rsid w:val="0021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8B"/>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101">
      <w:bodyDiv w:val="1"/>
      <w:marLeft w:val="0"/>
      <w:marRight w:val="0"/>
      <w:marTop w:val="0"/>
      <w:marBottom w:val="0"/>
      <w:divBdr>
        <w:top w:val="none" w:sz="0" w:space="0" w:color="auto"/>
        <w:left w:val="none" w:sz="0" w:space="0" w:color="auto"/>
        <w:bottom w:val="none" w:sz="0" w:space="0" w:color="auto"/>
        <w:right w:val="none" w:sz="0" w:space="0" w:color="auto"/>
      </w:divBdr>
    </w:div>
    <w:div w:id="149715548">
      <w:bodyDiv w:val="1"/>
      <w:marLeft w:val="0"/>
      <w:marRight w:val="0"/>
      <w:marTop w:val="0"/>
      <w:marBottom w:val="0"/>
      <w:divBdr>
        <w:top w:val="none" w:sz="0" w:space="0" w:color="auto"/>
        <w:left w:val="none" w:sz="0" w:space="0" w:color="auto"/>
        <w:bottom w:val="none" w:sz="0" w:space="0" w:color="auto"/>
        <w:right w:val="none" w:sz="0" w:space="0" w:color="auto"/>
      </w:divBdr>
      <w:divsChild>
        <w:div w:id="2021736206">
          <w:marLeft w:val="1293"/>
          <w:marRight w:val="0"/>
          <w:marTop w:val="0"/>
          <w:marBottom w:val="180"/>
          <w:divBdr>
            <w:top w:val="none" w:sz="0" w:space="0" w:color="auto"/>
            <w:left w:val="none" w:sz="0" w:space="0" w:color="auto"/>
            <w:bottom w:val="none" w:sz="0" w:space="0" w:color="auto"/>
            <w:right w:val="none" w:sz="0" w:space="0" w:color="auto"/>
          </w:divBdr>
        </w:div>
        <w:div w:id="142704161">
          <w:marLeft w:val="1293"/>
          <w:marRight w:val="0"/>
          <w:marTop w:val="0"/>
          <w:marBottom w:val="180"/>
          <w:divBdr>
            <w:top w:val="none" w:sz="0" w:space="0" w:color="auto"/>
            <w:left w:val="none" w:sz="0" w:space="0" w:color="auto"/>
            <w:bottom w:val="none" w:sz="0" w:space="0" w:color="auto"/>
            <w:right w:val="none" w:sz="0" w:space="0" w:color="auto"/>
          </w:divBdr>
        </w:div>
        <w:div w:id="1696880619">
          <w:marLeft w:val="1984"/>
          <w:marRight w:val="0"/>
          <w:marTop w:val="0"/>
          <w:marBottom w:val="180"/>
          <w:divBdr>
            <w:top w:val="none" w:sz="0" w:space="0" w:color="auto"/>
            <w:left w:val="none" w:sz="0" w:space="0" w:color="auto"/>
            <w:bottom w:val="none" w:sz="0" w:space="0" w:color="auto"/>
            <w:right w:val="none" w:sz="0" w:space="0" w:color="auto"/>
          </w:divBdr>
        </w:div>
        <w:div w:id="2064669352">
          <w:marLeft w:val="1984"/>
          <w:marRight w:val="0"/>
          <w:marTop w:val="0"/>
          <w:marBottom w:val="180"/>
          <w:divBdr>
            <w:top w:val="none" w:sz="0" w:space="0" w:color="auto"/>
            <w:left w:val="none" w:sz="0" w:space="0" w:color="auto"/>
            <w:bottom w:val="none" w:sz="0" w:space="0" w:color="auto"/>
            <w:right w:val="none" w:sz="0" w:space="0" w:color="auto"/>
          </w:divBdr>
        </w:div>
      </w:divsChild>
    </w:div>
    <w:div w:id="474421502">
      <w:bodyDiv w:val="1"/>
      <w:marLeft w:val="0"/>
      <w:marRight w:val="0"/>
      <w:marTop w:val="0"/>
      <w:marBottom w:val="0"/>
      <w:divBdr>
        <w:top w:val="none" w:sz="0" w:space="0" w:color="auto"/>
        <w:left w:val="none" w:sz="0" w:space="0" w:color="auto"/>
        <w:bottom w:val="none" w:sz="0" w:space="0" w:color="auto"/>
        <w:right w:val="none" w:sz="0" w:space="0" w:color="auto"/>
      </w:divBdr>
    </w:div>
    <w:div w:id="1081829447">
      <w:bodyDiv w:val="1"/>
      <w:marLeft w:val="0"/>
      <w:marRight w:val="0"/>
      <w:marTop w:val="0"/>
      <w:marBottom w:val="0"/>
      <w:divBdr>
        <w:top w:val="none" w:sz="0" w:space="0" w:color="auto"/>
        <w:left w:val="none" w:sz="0" w:space="0" w:color="auto"/>
        <w:bottom w:val="none" w:sz="0" w:space="0" w:color="auto"/>
        <w:right w:val="none" w:sz="0" w:space="0" w:color="auto"/>
      </w:divBdr>
    </w:div>
    <w:div w:id="1295208447">
      <w:bodyDiv w:val="1"/>
      <w:marLeft w:val="0"/>
      <w:marRight w:val="0"/>
      <w:marTop w:val="0"/>
      <w:marBottom w:val="0"/>
      <w:divBdr>
        <w:top w:val="none" w:sz="0" w:space="0" w:color="auto"/>
        <w:left w:val="none" w:sz="0" w:space="0" w:color="auto"/>
        <w:bottom w:val="none" w:sz="0" w:space="0" w:color="auto"/>
        <w:right w:val="none" w:sz="0" w:space="0" w:color="auto"/>
      </w:divBdr>
    </w:div>
    <w:div w:id="1864400716">
      <w:bodyDiv w:val="1"/>
      <w:marLeft w:val="0"/>
      <w:marRight w:val="0"/>
      <w:marTop w:val="0"/>
      <w:marBottom w:val="0"/>
      <w:divBdr>
        <w:top w:val="none" w:sz="0" w:space="0" w:color="auto"/>
        <w:left w:val="none" w:sz="0" w:space="0" w:color="auto"/>
        <w:bottom w:val="none" w:sz="0" w:space="0" w:color="auto"/>
        <w:right w:val="none" w:sz="0" w:space="0" w:color="auto"/>
      </w:divBdr>
    </w:div>
    <w:div w:id="20080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2018-11-08T18:30:00+00:00</Judgment_x0020_Date>
    <Year xmlns="aec0a7e9-5f5c-4ba9-87b2-85cfc8a38b86">2018</Year>
  </documentManagement>
</p:properties>
</file>

<file path=customXml/itemProps1.xml><?xml version="1.0" encoding="utf-8"?>
<ds:datastoreItem xmlns:ds="http://schemas.openxmlformats.org/officeDocument/2006/customXml" ds:itemID="{7BD92F50-A450-4268-AC83-EA955D6BBA91}"/>
</file>

<file path=customXml/itemProps2.xml><?xml version="1.0" encoding="utf-8"?>
<ds:datastoreItem xmlns:ds="http://schemas.openxmlformats.org/officeDocument/2006/customXml" ds:itemID="{D48F685A-EF8A-4BF6-9DCD-667FF1E6D1BB}"/>
</file>

<file path=customXml/itemProps3.xml><?xml version="1.0" encoding="utf-8"?>
<ds:datastoreItem xmlns:ds="http://schemas.openxmlformats.org/officeDocument/2006/customXml" ds:itemID="{F242880B-0874-4BA5-B108-912AA2CA5802}"/>
</file>

<file path=customXml/itemProps4.xml><?xml version="1.0" encoding="utf-8"?>
<ds:datastoreItem xmlns:ds="http://schemas.openxmlformats.org/officeDocument/2006/customXml" ds:itemID="{840ACA00-3E52-4A00-B690-FB7011BD13EB}"/>
</file>

<file path=docProps/app.xml><?xml version="1.0" encoding="utf-8"?>
<Properties xmlns="http://schemas.openxmlformats.org/officeDocument/2006/extended-properties" xmlns:vt="http://schemas.openxmlformats.org/officeDocument/2006/docPropsVTypes">
  <Template>Normal</Template>
  <TotalTime>0</TotalTime>
  <Pages>16</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Tjpangandjara v Namibia Water Corporation Limited (LCA 16 and 19-2017) [2018] NAHCMD 30 (9 November 2018)</dc:title>
  <dc:subject/>
  <dc:creator>Laura Pack</dc:creator>
  <cp:keywords/>
  <dc:description/>
  <cp:lastModifiedBy>Martha Nambahu</cp:lastModifiedBy>
  <cp:revision>2</cp:revision>
  <cp:lastPrinted>2018-11-12T07:51:00Z</cp:lastPrinted>
  <dcterms:created xsi:type="dcterms:W3CDTF">2019-01-11T09:38:00Z</dcterms:created>
  <dcterms:modified xsi:type="dcterms:W3CDTF">2019-01-11T09:38:00Z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