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BBDE" w14:textId="77777777" w:rsidR="00CE11A4" w:rsidRDefault="00CE11A4" w:rsidP="007F05DA">
      <w:pPr>
        <w:spacing w:after="0" w:line="360" w:lineRule="auto"/>
        <w:jc w:val="center"/>
        <w:rPr>
          <w:rFonts w:ascii="Arial" w:eastAsia="Calibri" w:hAnsi="Arial" w:cs="Arial"/>
          <w:b/>
          <w:sz w:val="24"/>
          <w:szCs w:val="24"/>
        </w:rPr>
      </w:pPr>
    </w:p>
    <w:p w14:paraId="6A851C95" w14:textId="77777777" w:rsidR="00CE11A4" w:rsidRDefault="00CE11A4" w:rsidP="007F05DA">
      <w:pPr>
        <w:spacing w:after="0" w:line="360" w:lineRule="auto"/>
        <w:jc w:val="center"/>
        <w:rPr>
          <w:rFonts w:ascii="Arial" w:eastAsia="Calibri" w:hAnsi="Arial" w:cs="Arial"/>
          <w:b/>
          <w:sz w:val="24"/>
          <w:szCs w:val="24"/>
        </w:rPr>
      </w:pPr>
    </w:p>
    <w:p w14:paraId="7FBEA3C2" w14:textId="77777777" w:rsidR="00CE11A4" w:rsidRDefault="00CE11A4" w:rsidP="007F05DA">
      <w:pPr>
        <w:spacing w:after="0" w:line="360" w:lineRule="auto"/>
        <w:jc w:val="center"/>
        <w:rPr>
          <w:rFonts w:ascii="Arial" w:eastAsia="Calibri" w:hAnsi="Arial" w:cs="Arial"/>
          <w:b/>
          <w:sz w:val="24"/>
          <w:szCs w:val="24"/>
        </w:rPr>
      </w:pPr>
    </w:p>
    <w:p w14:paraId="1C30AFBD" w14:textId="0FA6740C" w:rsidR="007F05DA" w:rsidRPr="00F474E3" w:rsidRDefault="007F05DA" w:rsidP="007F05DA">
      <w:pPr>
        <w:spacing w:after="0" w:line="360" w:lineRule="auto"/>
        <w:jc w:val="center"/>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28C00166" wp14:editId="6902812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3C4D8315" w14:textId="77777777" w:rsidR="00571327" w:rsidRDefault="00571327" w:rsidP="007F05D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016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3C4D8315" w14:textId="77777777" w:rsidR="00571327" w:rsidRDefault="00571327" w:rsidP="007F05DA">
                      <w:pPr>
                        <w:jc w:val="right"/>
                      </w:pPr>
                    </w:p>
                  </w:txbxContent>
                </v:textbox>
              </v:shape>
            </w:pict>
          </mc:Fallback>
        </mc:AlternateContent>
      </w:r>
      <w:r w:rsidRPr="00F474E3">
        <w:rPr>
          <w:rFonts w:ascii="Arial" w:eastAsia="Calibri" w:hAnsi="Arial" w:cs="Arial"/>
          <w:b/>
          <w:sz w:val="24"/>
          <w:szCs w:val="24"/>
        </w:rPr>
        <w:t>REPUBLIC OF NAMIBIA</w:t>
      </w:r>
    </w:p>
    <w:p w14:paraId="12D2A3EE" w14:textId="77777777" w:rsidR="007F05DA" w:rsidRPr="00F474E3" w:rsidRDefault="007F05DA" w:rsidP="007F05DA">
      <w:pPr>
        <w:spacing w:after="0" w:line="360" w:lineRule="auto"/>
        <w:jc w:val="center"/>
        <w:rPr>
          <w:rFonts w:ascii="Calibri" w:eastAsia="Calibri" w:hAnsi="Calibri" w:cs="Times New Roman"/>
          <w:b/>
          <w:sz w:val="32"/>
          <w:szCs w:val="32"/>
        </w:rPr>
      </w:pPr>
      <w:r w:rsidRPr="00F474E3">
        <w:rPr>
          <w:rFonts w:ascii="Calibri" w:eastAsia="Calibri" w:hAnsi="Calibri" w:cs="Times New Roman"/>
          <w:b/>
          <w:noProof/>
          <w:sz w:val="32"/>
          <w:szCs w:val="32"/>
        </w:rPr>
        <w:drawing>
          <wp:inline distT="0" distB="0" distL="0" distR="0" wp14:anchorId="202223AB" wp14:editId="58BF10D1">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5E792C4" w14:textId="007B23ED" w:rsidR="007F05DA" w:rsidRPr="00F474E3" w:rsidRDefault="00AE116D" w:rsidP="007F05DA">
      <w:pPr>
        <w:spacing w:after="0" w:line="360" w:lineRule="auto"/>
        <w:jc w:val="center"/>
        <w:rPr>
          <w:rFonts w:ascii="Arial" w:eastAsia="Calibri" w:hAnsi="Arial" w:cs="Arial"/>
          <w:bCs/>
          <w:sz w:val="24"/>
          <w:szCs w:val="24"/>
        </w:rPr>
      </w:pPr>
      <w:r>
        <w:rPr>
          <w:rFonts w:ascii="Arial" w:eastAsia="Calibri" w:hAnsi="Arial" w:cs="Arial"/>
          <w:b/>
          <w:sz w:val="24"/>
          <w:szCs w:val="24"/>
        </w:rPr>
        <w:t>LABOUR</w:t>
      </w:r>
      <w:r w:rsidR="007F05DA" w:rsidRPr="00F474E3">
        <w:rPr>
          <w:rFonts w:ascii="Arial" w:eastAsia="Calibri" w:hAnsi="Arial" w:cs="Arial"/>
          <w:b/>
          <w:sz w:val="24"/>
          <w:szCs w:val="24"/>
        </w:rPr>
        <w:t xml:space="preserve"> COURT OF NAMIBIA MAIN DIVISION, WINDHOEK</w:t>
      </w:r>
    </w:p>
    <w:p w14:paraId="0FF6309D" w14:textId="77777777" w:rsidR="007F05DA" w:rsidRPr="00F474E3" w:rsidRDefault="007F05DA" w:rsidP="007F05DA">
      <w:pPr>
        <w:spacing w:after="0" w:line="360" w:lineRule="auto"/>
        <w:jc w:val="center"/>
        <w:rPr>
          <w:rFonts w:ascii="Arial" w:eastAsia="Calibri" w:hAnsi="Arial" w:cs="Arial"/>
          <w:b/>
          <w:bCs/>
          <w:sz w:val="24"/>
          <w:szCs w:val="24"/>
        </w:rPr>
      </w:pPr>
      <w:r w:rsidRPr="00F474E3">
        <w:rPr>
          <w:rFonts w:ascii="Arial" w:eastAsia="Calibri" w:hAnsi="Arial" w:cs="Arial"/>
          <w:b/>
          <w:bCs/>
          <w:sz w:val="24"/>
          <w:szCs w:val="24"/>
        </w:rPr>
        <w:t>JUDGMENT</w:t>
      </w:r>
    </w:p>
    <w:p w14:paraId="72B3AE7B" w14:textId="77777777" w:rsidR="007F05DA" w:rsidRPr="00F474E3" w:rsidRDefault="007F05DA" w:rsidP="007F05DA">
      <w:pPr>
        <w:spacing w:after="0" w:line="360" w:lineRule="auto"/>
        <w:jc w:val="center"/>
        <w:rPr>
          <w:rFonts w:ascii="Arial" w:eastAsia="Calibri" w:hAnsi="Arial" w:cs="Arial"/>
          <w:b/>
          <w:sz w:val="24"/>
          <w:szCs w:val="24"/>
        </w:rPr>
      </w:pPr>
    </w:p>
    <w:p w14:paraId="72398E68" w14:textId="77777777" w:rsidR="007F05DA" w:rsidRPr="00F474E3" w:rsidRDefault="007F05DA" w:rsidP="007F05DA">
      <w:pPr>
        <w:tabs>
          <w:tab w:val="right" w:pos="9000"/>
        </w:tabs>
        <w:spacing w:after="0" w:line="360" w:lineRule="auto"/>
        <w:jc w:val="center"/>
        <w:rPr>
          <w:rFonts w:ascii="Arial" w:eastAsia="Calibri" w:hAnsi="Arial" w:cs="Arial"/>
          <w:b/>
          <w:sz w:val="24"/>
          <w:szCs w:val="24"/>
        </w:rPr>
      </w:pPr>
      <w:r w:rsidRPr="00F474E3">
        <w:rPr>
          <w:rFonts w:ascii="Arial" w:eastAsia="Calibri" w:hAnsi="Arial" w:cs="Arial"/>
          <w:b/>
          <w:sz w:val="24"/>
          <w:szCs w:val="24"/>
        </w:rPr>
        <w:tab/>
      </w:r>
    </w:p>
    <w:p w14:paraId="25191103" w14:textId="1435CC1F" w:rsidR="007F05DA" w:rsidRPr="00F474E3" w:rsidRDefault="007F05DA" w:rsidP="007F05DA">
      <w:pPr>
        <w:tabs>
          <w:tab w:val="right" w:pos="9000"/>
        </w:tabs>
        <w:spacing w:after="0" w:line="360" w:lineRule="auto"/>
        <w:jc w:val="right"/>
        <w:rPr>
          <w:rFonts w:ascii="Arial" w:eastAsia="Calibri" w:hAnsi="Arial" w:cs="Arial"/>
          <w:b/>
          <w:sz w:val="24"/>
          <w:szCs w:val="24"/>
        </w:rPr>
      </w:pPr>
      <w:r w:rsidRPr="00F474E3">
        <w:rPr>
          <w:rFonts w:ascii="Arial" w:eastAsia="Calibri" w:hAnsi="Arial" w:cs="Arial"/>
          <w:sz w:val="24"/>
          <w:szCs w:val="24"/>
        </w:rPr>
        <w:t xml:space="preserve">Case no: </w:t>
      </w:r>
      <w:r>
        <w:rPr>
          <w:rFonts w:ascii="Arial" w:eastAsia="Calibri" w:hAnsi="Arial" w:cs="Arial"/>
          <w:sz w:val="24"/>
          <w:szCs w:val="24"/>
        </w:rPr>
        <w:t>HC-MD-LAB-MOT-REV-2017//00019</w:t>
      </w:r>
    </w:p>
    <w:p w14:paraId="4DAE62DA" w14:textId="77777777" w:rsidR="007F05DA" w:rsidRPr="00F474E3" w:rsidRDefault="007F05DA" w:rsidP="007F05DA">
      <w:pPr>
        <w:spacing w:after="0" w:line="360" w:lineRule="auto"/>
        <w:rPr>
          <w:rFonts w:ascii="Arial" w:eastAsia="Calibri" w:hAnsi="Arial" w:cs="Arial"/>
          <w:sz w:val="24"/>
          <w:szCs w:val="24"/>
        </w:rPr>
      </w:pPr>
    </w:p>
    <w:p w14:paraId="361318F7" w14:textId="77777777" w:rsidR="007F05DA" w:rsidRPr="00F474E3" w:rsidRDefault="007F05DA" w:rsidP="007F05DA">
      <w:pPr>
        <w:spacing w:after="0" w:line="360" w:lineRule="auto"/>
        <w:rPr>
          <w:rFonts w:ascii="Arial" w:eastAsia="Calibri" w:hAnsi="Arial" w:cs="Arial"/>
          <w:sz w:val="24"/>
          <w:szCs w:val="24"/>
        </w:rPr>
      </w:pPr>
      <w:r w:rsidRPr="00F474E3">
        <w:rPr>
          <w:rFonts w:ascii="Arial" w:eastAsia="Calibri" w:hAnsi="Arial" w:cs="Arial"/>
          <w:sz w:val="24"/>
          <w:szCs w:val="24"/>
        </w:rPr>
        <w:t>In the matter between:</w:t>
      </w:r>
    </w:p>
    <w:p w14:paraId="15B1986B" w14:textId="77777777" w:rsidR="007F05DA" w:rsidRPr="00F474E3" w:rsidRDefault="007F05DA" w:rsidP="007F05DA">
      <w:pPr>
        <w:keepNext/>
        <w:tabs>
          <w:tab w:val="right" w:pos="9000"/>
        </w:tabs>
        <w:spacing w:after="0" w:line="360" w:lineRule="auto"/>
        <w:outlineLvl w:val="3"/>
        <w:rPr>
          <w:rFonts w:ascii="Arial" w:eastAsia="Times New Roman" w:hAnsi="Arial" w:cs="Arial"/>
          <w:b/>
          <w:sz w:val="28"/>
          <w:szCs w:val="24"/>
          <w:lang w:val="en-GB"/>
        </w:rPr>
      </w:pPr>
      <w:r w:rsidRPr="00F474E3">
        <w:rPr>
          <w:rFonts w:ascii="Arial" w:eastAsia="Times New Roman" w:hAnsi="Arial" w:cs="Arial"/>
          <w:b/>
          <w:sz w:val="24"/>
          <w:szCs w:val="24"/>
          <w:lang w:val="en-GB"/>
        </w:rPr>
        <w:t xml:space="preserve"> </w:t>
      </w:r>
    </w:p>
    <w:p w14:paraId="59310ECC" w14:textId="00AFD6F3" w:rsidR="007F05DA" w:rsidRPr="00F11092" w:rsidRDefault="007F05DA" w:rsidP="007F05DA">
      <w:pPr>
        <w:tabs>
          <w:tab w:val="right" w:pos="9450"/>
        </w:tabs>
        <w:spacing w:after="0" w:line="360" w:lineRule="auto"/>
        <w:ind w:left="3780" w:right="798" w:hanging="3780"/>
        <w:rPr>
          <w:rFonts w:ascii="Arial" w:hAnsi="Arial" w:cs="Arial"/>
          <w:b/>
          <w:sz w:val="24"/>
          <w:szCs w:val="24"/>
        </w:rPr>
      </w:pPr>
      <w:r>
        <w:rPr>
          <w:rFonts w:ascii="Arial" w:hAnsi="Arial" w:cs="Arial"/>
          <w:b/>
          <w:sz w:val="24"/>
          <w:szCs w:val="24"/>
        </w:rPr>
        <w:t>NAMIBIA ESTATE AGENT BOARD</w:t>
      </w:r>
      <w:r>
        <w:rPr>
          <w:rFonts w:ascii="Arial" w:hAnsi="Arial" w:cs="Arial"/>
          <w:b/>
          <w:sz w:val="24"/>
          <w:szCs w:val="24"/>
        </w:rPr>
        <w:tab/>
        <w:t xml:space="preserve"> </w:t>
      </w:r>
      <w:r w:rsidRPr="00F11092">
        <w:rPr>
          <w:rFonts w:ascii="Arial" w:hAnsi="Arial" w:cs="Arial"/>
          <w:b/>
          <w:sz w:val="24"/>
          <w:szCs w:val="24"/>
        </w:rPr>
        <w:t>APPLICANT</w:t>
      </w:r>
    </w:p>
    <w:p w14:paraId="4A117E5A" w14:textId="77777777" w:rsidR="007F05DA" w:rsidRDefault="007F05DA" w:rsidP="007F05DA">
      <w:pPr>
        <w:spacing w:after="0" w:line="360" w:lineRule="auto"/>
        <w:ind w:left="2160" w:hanging="2160"/>
        <w:jc w:val="both"/>
        <w:rPr>
          <w:rFonts w:ascii="Arial" w:hAnsi="Arial" w:cs="Arial"/>
          <w:sz w:val="24"/>
          <w:szCs w:val="24"/>
        </w:rPr>
      </w:pPr>
    </w:p>
    <w:p w14:paraId="1C291F29" w14:textId="77777777" w:rsidR="007F05DA" w:rsidRDefault="007F05DA" w:rsidP="007F05DA">
      <w:pPr>
        <w:spacing w:after="0" w:line="360" w:lineRule="auto"/>
        <w:ind w:left="2160" w:hanging="2160"/>
        <w:jc w:val="both"/>
        <w:rPr>
          <w:rFonts w:ascii="Arial" w:hAnsi="Arial" w:cs="Arial"/>
          <w:sz w:val="24"/>
          <w:szCs w:val="24"/>
        </w:rPr>
      </w:pPr>
      <w:r>
        <w:rPr>
          <w:rFonts w:ascii="Arial" w:hAnsi="Arial" w:cs="Arial"/>
          <w:sz w:val="24"/>
          <w:szCs w:val="24"/>
        </w:rPr>
        <w:t>a</w:t>
      </w:r>
      <w:r w:rsidRPr="00F11092">
        <w:rPr>
          <w:rFonts w:ascii="Arial" w:hAnsi="Arial" w:cs="Arial"/>
          <w:sz w:val="24"/>
          <w:szCs w:val="24"/>
        </w:rPr>
        <w:t xml:space="preserve">nd </w:t>
      </w:r>
    </w:p>
    <w:p w14:paraId="709D20EA" w14:textId="77777777" w:rsidR="007F05DA" w:rsidRPr="00F11092" w:rsidRDefault="007F05DA" w:rsidP="007F05DA">
      <w:pPr>
        <w:spacing w:after="0" w:line="360" w:lineRule="auto"/>
        <w:ind w:left="2160" w:hanging="2160"/>
        <w:jc w:val="both"/>
        <w:rPr>
          <w:rFonts w:ascii="Arial" w:hAnsi="Arial" w:cs="Arial"/>
          <w:sz w:val="24"/>
          <w:szCs w:val="24"/>
        </w:rPr>
      </w:pPr>
    </w:p>
    <w:p w14:paraId="5704939D" w14:textId="71B64EBD" w:rsidR="007F05DA" w:rsidRPr="00F11092" w:rsidRDefault="007F05DA" w:rsidP="007F05DA">
      <w:pPr>
        <w:tabs>
          <w:tab w:val="right" w:pos="9356"/>
        </w:tabs>
        <w:spacing w:after="0" w:line="360" w:lineRule="auto"/>
        <w:ind w:left="3150" w:right="798" w:hanging="3150"/>
        <w:rPr>
          <w:rFonts w:ascii="Arial" w:hAnsi="Arial" w:cs="Arial"/>
          <w:b/>
          <w:sz w:val="24"/>
          <w:szCs w:val="24"/>
        </w:rPr>
      </w:pPr>
      <w:r>
        <w:rPr>
          <w:rFonts w:ascii="Arial" w:hAnsi="Arial" w:cs="Arial"/>
          <w:b/>
          <w:sz w:val="24"/>
          <w:szCs w:val="24"/>
        </w:rPr>
        <w:t>RICHARD G A STEEN</w:t>
      </w:r>
      <w:r w:rsidRPr="00F11092">
        <w:rPr>
          <w:rFonts w:ascii="Arial" w:hAnsi="Arial" w:cs="Arial"/>
          <w:b/>
          <w:sz w:val="24"/>
          <w:szCs w:val="24"/>
        </w:rPr>
        <w:tab/>
      </w:r>
      <w:r>
        <w:rPr>
          <w:rFonts w:ascii="Arial" w:hAnsi="Arial" w:cs="Arial"/>
          <w:b/>
          <w:sz w:val="24"/>
          <w:szCs w:val="24"/>
        </w:rPr>
        <w:tab/>
      </w:r>
      <w:r w:rsidR="000550AE">
        <w:rPr>
          <w:rFonts w:ascii="Arial" w:hAnsi="Arial" w:cs="Arial"/>
          <w:b/>
          <w:sz w:val="24"/>
          <w:szCs w:val="24"/>
        </w:rPr>
        <w:t xml:space="preserve">     </w:t>
      </w:r>
      <w:r w:rsidRPr="00F11092">
        <w:rPr>
          <w:rFonts w:ascii="Arial" w:hAnsi="Arial" w:cs="Arial"/>
          <w:b/>
          <w:sz w:val="24"/>
          <w:szCs w:val="24"/>
        </w:rPr>
        <w:t>FIRST RESPONDENT</w:t>
      </w:r>
    </w:p>
    <w:p w14:paraId="659FC95F" w14:textId="0B2A7C88" w:rsidR="007F05DA" w:rsidRPr="00F11092" w:rsidRDefault="007F05DA" w:rsidP="007F05DA">
      <w:pPr>
        <w:tabs>
          <w:tab w:val="right" w:pos="9356"/>
        </w:tabs>
        <w:spacing w:after="0" w:line="360" w:lineRule="auto"/>
        <w:ind w:left="2160" w:right="798" w:hanging="2160"/>
        <w:jc w:val="both"/>
        <w:rPr>
          <w:rFonts w:ascii="Arial" w:hAnsi="Arial" w:cs="Arial"/>
          <w:b/>
          <w:sz w:val="24"/>
          <w:szCs w:val="24"/>
        </w:rPr>
      </w:pPr>
      <w:r>
        <w:rPr>
          <w:rFonts w:ascii="Arial" w:hAnsi="Arial" w:cs="Arial"/>
          <w:b/>
          <w:sz w:val="24"/>
          <w:szCs w:val="24"/>
        </w:rPr>
        <w:t>ALINA INDOMBO</w:t>
      </w:r>
      <w:r>
        <w:rPr>
          <w:rFonts w:ascii="Arial" w:hAnsi="Arial" w:cs="Arial"/>
          <w:b/>
          <w:sz w:val="24"/>
          <w:szCs w:val="24"/>
        </w:rPr>
        <w:tab/>
      </w:r>
      <w:r w:rsidRPr="00F11092">
        <w:rPr>
          <w:rFonts w:ascii="Arial" w:hAnsi="Arial" w:cs="Arial"/>
          <w:b/>
          <w:sz w:val="24"/>
          <w:szCs w:val="24"/>
        </w:rPr>
        <w:tab/>
        <w:t>SECOND RESPONDENT</w:t>
      </w:r>
    </w:p>
    <w:p w14:paraId="34792190" w14:textId="78CB24A6" w:rsidR="007F05DA" w:rsidRPr="00F11092" w:rsidRDefault="007F05DA" w:rsidP="007F05DA">
      <w:pPr>
        <w:tabs>
          <w:tab w:val="right" w:pos="9356"/>
        </w:tabs>
        <w:spacing w:after="0" w:line="360" w:lineRule="auto"/>
        <w:ind w:left="2160" w:hanging="2160"/>
        <w:jc w:val="both"/>
        <w:rPr>
          <w:rFonts w:ascii="Arial" w:hAnsi="Arial" w:cs="Arial"/>
          <w:b/>
          <w:sz w:val="24"/>
          <w:szCs w:val="24"/>
        </w:rPr>
      </w:pPr>
    </w:p>
    <w:p w14:paraId="26096708" w14:textId="77777777" w:rsidR="007F05DA" w:rsidRPr="00F474E3" w:rsidRDefault="007F05DA" w:rsidP="007F05DA">
      <w:pPr>
        <w:spacing w:after="0" w:line="360" w:lineRule="auto"/>
        <w:ind w:left="2160" w:hanging="2160"/>
        <w:jc w:val="both"/>
        <w:rPr>
          <w:rFonts w:ascii="Arial" w:eastAsia="Calibri" w:hAnsi="Arial" w:cs="Arial"/>
          <w:sz w:val="24"/>
          <w:szCs w:val="24"/>
        </w:rPr>
      </w:pPr>
    </w:p>
    <w:p w14:paraId="51C26FF4" w14:textId="3C62D3B0" w:rsidR="007F05DA" w:rsidRPr="00F474E3" w:rsidRDefault="007F05DA" w:rsidP="007F05DA">
      <w:pPr>
        <w:tabs>
          <w:tab w:val="left" w:pos="0"/>
        </w:tabs>
        <w:spacing w:after="0" w:line="360" w:lineRule="auto"/>
        <w:ind w:right="798"/>
        <w:jc w:val="both"/>
        <w:rPr>
          <w:rFonts w:ascii="Arial" w:eastAsia="Calibri" w:hAnsi="Arial" w:cs="Arial"/>
          <w:sz w:val="24"/>
          <w:szCs w:val="24"/>
        </w:rPr>
      </w:pPr>
      <w:r w:rsidRPr="00F474E3">
        <w:rPr>
          <w:rFonts w:ascii="Arial" w:eastAsia="Calibri" w:hAnsi="Arial" w:cs="Arial"/>
          <w:b/>
          <w:sz w:val="24"/>
          <w:szCs w:val="24"/>
        </w:rPr>
        <w:t>Neutral citation:</w:t>
      </w:r>
      <w:r w:rsidRPr="00F474E3">
        <w:rPr>
          <w:rFonts w:ascii="Arial" w:eastAsia="Calibri" w:hAnsi="Arial" w:cs="Arial"/>
          <w:b/>
          <w:sz w:val="24"/>
          <w:szCs w:val="24"/>
        </w:rPr>
        <w:tab/>
      </w:r>
      <w:r>
        <w:rPr>
          <w:rFonts w:ascii="Arial" w:eastAsia="Calibri" w:hAnsi="Arial" w:cs="Arial"/>
          <w:i/>
          <w:sz w:val="24"/>
          <w:szCs w:val="24"/>
        </w:rPr>
        <w:t>Namibia Estate Agent Board v Stee</w:t>
      </w:r>
      <w:r w:rsidR="00FA7BBB">
        <w:rPr>
          <w:rFonts w:ascii="Arial" w:eastAsia="Calibri" w:hAnsi="Arial" w:cs="Arial"/>
          <w:i/>
          <w:sz w:val="24"/>
          <w:szCs w:val="24"/>
        </w:rPr>
        <w:t>n</w:t>
      </w:r>
      <w:r>
        <w:rPr>
          <w:rFonts w:ascii="Arial" w:eastAsia="Calibri" w:hAnsi="Arial" w:cs="Arial"/>
          <w:i/>
          <w:sz w:val="24"/>
          <w:szCs w:val="24"/>
        </w:rPr>
        <w:t xml:space="preserve"> &amp; Another</w:t>
      </w:r>
      <w:r w:rsidRPr="00F474E3">
        <w:rPr>
          <w:rFonts w:ascii="Arial" w:eastAsia="Calibri" w:hAnsi="Arial" w:cs="Arial"/>
          <w:i/>
          <w:sz w:val="24"/>
          <w:szCs w:val="24"/>
        </w:rPr>
        <w:t xml:space="preserve"> </w:t>
      </w:r>
      <w:r>
        <w:rPr>
          <w:rFonts w:ascii="Arial" w:eastAsia="Calibri" w:hAnsi="Arial" w:cs="Arial"/>
          <w:sz w:val="24"/>
          <w:szCs w:val="24"/>
        </w:rPr>
        <w:t>(HC-MD-LAB-MOT-REV-2017/00019)</w:t>
      </w:r>
      <w:r w:rsidRPr="006F6FBF">
        <w:rPr>
          <w:rFonts w:ascii="Arial" w:eastAsia="Calibri" w:hAnsi="Arial" w:cs="Arial"/>
          <w:sz w:val="24"/>
          <w:szCs w:val="24"/>
        </w:rPr>
        <w:t xml:space="preserve"> </w:t>
      </w:r>
      <w:r>
        <w:rPr>
          <w:rFonts w:ascii="Arial" w:eastAsia="Calibri" w:hAnsi="Arial" w:cs="Arial"/>
          <w:sz w:val="24"/>
          <w:szCs w:val="24"/>
        </w:rPr>
        <w:t>[2018</w:t>
      </w:r>
      <w:r w:rsidRPr="00F474E3">
        <w:rPr>
          <w:rFonts w:ascii="Arial" w:eastAsia="Calibri" w:hAnsi="Arial" w:cs="Arial"/>
          <w:sz w:val="24"/>
          <w:szCs w:val="24"/>
        </w:rPr>
        <w:t>]</w:t>
      </w:r>
      <w:r w:rsidR="004D173A">
        <w:rPr>
          <w:rFonts w:ascii="Arial" w:eastAsia="Calibri" w:hAnsi="Arial" w:cs="Arial"/>
          <w:sz w:val="24"/>
          <w:szCs w:val="24"/>
        </w:rPr>
        <w:t xml:space="preserve"> NAL</w:t>
      </w:r>
      <w:bookmarkStart w:id="0" w:name="_GoBack"/>
      <w:bookmarkEnd w:id="0"/>
      <w:r>
        <w:rPr>
          <w:rFonts w:ascii="Arial" w:eastAsia="Calibri" w:hAnsi="Arial" w:cs="Arial"/>
          <w:sz w:val="24"/>
          <w:szCs w:val="24"/>
        </w:rPr>
        <w:t>CMD</w:t>
      </w:r>
      <w:r w:rsidR="00C91913">
        <w:rPr>
          <w:rFonts w:ascii="Arial" w:eastAsia="Calibri" w:hAnsi="Arial" w:cs="Arial"/>
          <w:sz w:val="24"/>
          <w:szCs w:val="24"/>
        </w:rPr>
        <w:t xml:space="preserve"> 33</w:t>
      </w:r>
      <w:r>
        <w:rPr>
          <w:rFonts w:ascii="Arial" w:eastAsia="Calibri" w:hAnsi="Arial" w:cs="Arial"/>
          <w:sz w:val="24"/>
          <w:szCs w:val="24"/>
        </w:rPr>
        <w:t xml:space="preserve"> </w:t>
      </w:r>
      <w:r w:rsidR="0002372C">
        <w:rPr>
          <w:rFonts w:ascii="Arial" w:eastAsia="Calibri" w:hAnsi="Arial" w:cs="Arial"/>
          <w:sz w:val="24"/>
          <w:szCs w:val="24"/>
        </w:rPr>
        <w:t>(14 December 2018)</w:t>
      </w:r>
    </w:p>
    <w:p w14:paraId="2B4DB983" w14:textId="77777777" w:rsidR="007F05DA" w:rsidRPr="00F474E3" w:rsidRDefault="007F05DA" w:rsidP="007F05DA">
      <w:pPr>
        <w:spacing w:after="0" w:line="360" w:lineRule="auto"/>
        <w:ind w:left="2160" w:hanging="2160"/>
        <w:jc w:val="both"/>
        <w:rPr>
          <w:rFonts w:ascii="Arial" w:eastAsia="Calibri" w:hAnsi="Arial" w:cs="Arial"/>
          <w:sz w:val="24"/>
          <w:szCs w:val="24"/>
        </w:rPr>
      </w:pPr>
    </w:p>
    <w:p w14:paraId="4F63890C" w14:textId="289F4C07" w:rsidR="0002372C" w:rsidRPr="00993778" w:rsidRDefault="007F05DA" w:rsidP="00993778">
      <w:pPr>
        <w:spacing w:after="0" w:line="360" w:lineRule="auto"/>
        <w:ind w:left="1440" w:hanging="1440"/>
        <w:jc w:val="both"/>
        <w:rPr>
          <w:rFonts w:ascii="Arial" w:eastAsia="Calibri" w:hAnsi="Arial" w:cs="Arial"/>
          <w:i/>
          <w:sz w:val="24"/>
          <w:szCs w:val="24"/>
        </w:rPr>
      </w:pPr>
      <w:r w:rsidRPr="00F474E3">
        <w:rPr>
          <w:rFonts w:ascii="Arial" w:eastAsia="Calibri" w:hAnsi="Arial" w:cs="Arial"/>
          <w:b/>
          <w:sz w:val="24"/>
          <w:szCs w:val="24"/>
        </w:rPr>
        <w:t>Coram:</w:t>
      </w:r>
      <w:r>
        <w:rPr>
          <w:rFonts w:ascii="Arial" w:eastAsia="Calibri" w:hAnsi="Arial" w:cs="Arial"/>
          <w:sz w:val="24"/>
          <w:szCs w:val="24"/>
        </w:rPr>
        <w:tab/>
        <w:t xml:space="preserve">MASUKU, </w:t>
      </w:r>
      <w:r w:rsidRPr="00F474E3">
        <w:rPr>
          <w:rFonts w:ascii="Arial" w:eastAsia="Calibri" w:hAnsi="Arial" w:cs="Arial"/>
          <w:sz w:val="24"/>
          <w:szCs w:val="24"/>
        </w:rPr>
        <w:t>J</w:t>
      </w:r>
      <w:r w:rsidRPr="00F474E3">
        <w:rPr>
          <w:rFonts w:ascii="Arial" w:eastAsia="Calibri" w:hAnsi="Arial" w:cs="Arial"/>
          <w:i/>
          <w:sz w:val="24"/>
          <w:szCs w:val="24"/>
        </w:rPr>
        <w:t xml:space="preserve"> </w:t>
      </w:r>
    </w:p>
    <w:p w14:paraId="2BF3353F" w14:textId="324E5975" w:rsidR="007F05DA" w:rsidRPr="00993778" w:rsidRDefault="007F05DA" w:rsidP="007F05DA">
      <w:pPr>
        <w:spacing w:after="0" w:line="360" w:lineRule="auto"/>
        <w:ind w:left="1440" w:hanging="1440"/>
        <w:jc w:val="both"/>
        <w:rPr>
          <w:rFonts w:ascii="Arial" w:eastAsia="Calibri" w:hAnsi="Arial" w:cs="Arial"/>
          <w:b/>
          <w:sz w:val="24"/>
          <w:szCs w:val="24"/>
        </w:rPr>
      </w:pPr>
      <w:r w:rsidRPr="00F474E3">
        <w:rPr>
          <w:rFonts w:ascii="Arial" w:eastAsia="Calibri" w:hAnsi="Arial" w:cs="Arial"/>
          <w:b/>
          <w:sz w:val="24"/>
          <w:szCs w:val="24"/>
        </w:rPr>
        <w:t>Heard on:</w:t>
      </w:r>
      <w:r w:rsidRPr="00F474E3">
        <w:rPr>
          <w:rFonts w:ascii="Arial" w:eastAsia="Calibri" w:hAnsi="Arial" w:cs="Arial"/>
          <w:b/>
          <w:sz w:val="24"/>
          <w:szCs w:val="24"/>
        </w:rPr>
        <w:tab/>
      </w:r>
      <w:r w:rsidR="00FA7BBB" w:rsidRPr="00993778">
        <w:rPr>
          <w:rFonts w:ascii="Arial" w:eastAsia="Calibri" w:hAnsi="Arial" w:cs="Arial"/>
          <w:b/>
          <w:sz w:val="24"/>
          <w:szCs w:val="24"/>
        </w:rPr>
        <w:t>14 August 2018</w:t>
      </w:r>
    </w:p>
    <w:p w14:paraId="2C4E6C42" w14:textId="5F3BD437" w:rsidR="007F05DA" w:rsidRPr="00993778" w:rsidRDefault="007F05DA" w:rsidP="007F05DA">
      <w:pPr>
        <w:spacing w:after="0" w:line="360" w:lineRule="auto"/>
        <w:jc w:val="both"/>
        <w:rPr>
          <w:rFonts w:ascii="Arial" w:eastAsia="Calibri" w:hAnsi="Arial" w:cs="Arial"/>
          <w:b/>
          <w:sz w:val="24"/>
          <w:szCs w:val="24"/>
        </w:rPr>
      </w:pPr>
      <w:r w:rsidRPr="00993778">
        <w:rPr>
          <w:rFonts w:ascii="Arial" w:eastAsia="Calibri" w:hAnsi="Arial" w:cs="Arial"/>
          <w:b/>
          <w:bCs/>
          <w:sz w:val="24"/>
          <w:szCs w:val="24"/>
        </w:rPr>
        <w:t>Delivered</w:t>
      </w:r>
      <w:r w:rsidRPr="00993778">
        <w:rPr>
          <w:rFonts w:ascii="Arial" w:eastAsia="Calibri" w:hAnsi="Arial" w:cs="Arial"/>
          <w:b/>
          <w:sz w:val="24"/>
          <w:szCs w:val="24"/>
        </w:rPr>
        <w:t>:</w:t>
      </w:r>
      <w:r w:rsidRPr="00993778">
        <w:rPr>
          <w:rFonts w:ascii="Arial" w:eastAsia="Calibri" w:hAnsi="Arial" w:cs="Arial"/>
          <w:b/>
          <w:sz w:val="24"/>
          <w:szCs w:val="24"/>
        </w:rPr>
        <w:tab/>
      </w:r>
      <w:r w:rsidR="000550AE" w:rsidRPr="00993778">
        <w:rPr>
          <w:rFonts w:ascii="Arial" w:eastAsia="Calibri" w:hAnsi="Arial" w:cs="Arial"/>
          <w:b/>
          <w:sz w:val="24"/>
          <w:szCs w:val="24"/>
        </w:rPr>
        <w:t>14 December 2018</w:t>
      </w:r>
    </w:p>
    <w:p w14:paraId="579BE68F" w14:textId="77777777" w:rsidR="007F05DA" w:rsidRPr="00F474E3" w:rsidRDefault="007F05DA" w:rsidP="007F05DA">
      <w:pPr>
        <w:spacing w:after="0" w:line="360" w:lineRule="auto"/>
        <w:jc w:val="both"/>
        <w:rPr>
          <w:rFonts w:ascii="Arial" w:eastAsia="Calibri" w:hAnsi="Arial" w:cs="Arial"/>
          <w:b/>
          <w:sz w:val="24"/>
          <w:szCs w:val="24"/>
        </w:rPr>
      </w:pPr>
    </w:p>
    <w:p w14:paraId="2D7ACF95" w14:textId="3E9E2A88" w:rsidR="00A110F5" w:rsidRDefault="007F05DA" w:rsidP="007F05DA">
      <w:pPr>
        <w:spacing w:after="0" w:line="360" w:lineRule="auto"/>
        <w:jc w:val="both"/>
        <w:rPr>
          <w:rFonts w:ascii="Arial" w:eastAsia="Calibri" w:hAnsi="Arial" w:cs="Arial"/>
          <w:bCs/>
          <w:sz w:val="24"/>
          <w:szCs w:val="24"/>
        </w:rPr>
      </w:pPr>
      <w:r w:rsidRPr="00F474E3">
        <w:rPr>
          <w:rFonts w:ascii="Arial" w:eastAsia="Calibri" w:hAnsi="Arial" w:cs="Arial"/>
          <w:b/>
          <w:sz w:val="24"/>
          <w:szCs w:val="24"/>
        </w:rPr>
        <w:t>Flynote:</w:t>
      </w:r>
      <w:r w:rsidRPr="00F474E3">
        <w:rPr>
          <w:rFonts w:ascii="Arial" w:eastAsia="Calibri" w:hAnsi="Arial" w:cs="Arial"/>
          <w:b/>
          <w:sz w:val="24"/>
          <w:szCs w:val="24"/>
        </w:rPr>
        <w:tab/>
      </w:r>
      <w:r>
        <w:rPr>
          <w:rFonts w:ascii="Arial" w:eastAsia="Calibri" w:hAnsi="Arial" w:cs="Arial"/>
          <w:bCs/>
          <w:sz w:val="24"/>
          <w:szCs w:val="24"/>
        </w:rPr>
        <w:t xml:space="preserve"> Labour Review- </w:t>
      </w:r>
      <w:r w:rsidR="00734BF6">
        <w:rPr>
          <w:rFonts w:ascii="Arial" w:eastAsia="Calibri" w:hAnsi="Arial" w:cs="Arial"/>
          <w:bCs/>
          <w:sz w:val="24"/>
          <w:szCs w:val="24"/>
        </w:rPr>
        <w:t xml:space="preserve">first respondent </w:t>
      </w:r>
      <w:r w:rsidR="000550AE">
        <w:rPr>
          <w:rFonts w:ascii="Arial" w:eastAsia="Calibri" w:hAnsi="Arial" w:cs="Arial"/>
          <w:bCs/>
          <w:sz w:val="24"/>
          <w:szCs w:val="24"/>
        </w:rPr>
        <w:t xml:space="preserve">defending matter- then </w:t>
      </w:r>
      <w:r w:rsidR="00734BF6">
        <w:rPr>
          <w:rFonts w:ascii="Arial" w:eastAsia="Calibri" w:hAnsi="Arial" w:cs="Arial"/>
          <w:bCs/>
          <w:sz w:val="24"/>
          <w:szCs w:val="24"/>
        </w:rPr>
        <w:t xml:space="preserve">withdrawing opposition to the review application </w:t>
      </w:r>
      <w:r w:rsidR="000550AE">
        <w:rPr>
          <w:rFonts w:ascii="Arial" w:eastAsia="Calibri" w:hAnsi="Arial" w:cs="Arial"/>
          <w:bCs/>
          <w:sz w:val="24"/>
          <w:szCs w:val="24"/>
        </w:rPr>
        <w:t xml:space="preserve">– applicant opted to provide information requested </w:t>
      </w:r>
      <w:r w:rsidR="000550AE">
        <w:rPr>
          <w:rFonts w:ascii="Arial" w:eastAsia="Calibri" w:hAnsi="Arial" w:cs="Arial"/>
          <w:bCs/>
          <w:sz w:val="24"/>
          <w:szCs w:val="24"/>
        </w:rPr>
        <w:lastRenderedPageBreak/>
        <w:t>and deal with merits of complaint before labour commissioner –</w:t>
      </w:r>
      <w:r w:rsidR="00734BF6">
        <w:rPr>
          <w:rFonts w:ascii="Arial" w:eastAsia="Calibri" w:hAnsi="Arial" w:cs="Arial"/>
          <w:bCs/>
          <w:sz w:val="24"/>
          <w:szCs w:val="24"/>
        </w:rPr>
        <w:t xml:space="preserve"> such act </w:t>
      </w:r>
      <w:r w:rsidR="000550AE">
        <w:rPr>
          <w:rFonts w:ascii="Arial" w:eastAsia="Calibri" w:hAnsi="Arial" w:cs="Arial"/>
          <w:bCs/>
          <w:sz w:val="24"/>
          <w:szCs w:val="24"/>
        </w:rPr>
        <w:t xml:space="preserve">not </w:t>
      </w:r>
      <w:r w:rsidR="00734BF6">
        <w:rPr>
          <w:rFonts w:ascii="Arial" w:eastAsia="Calibri" w:hAnsi="Arial" w:cs="Arial"/>
          <w:bCs/>
          <w:sz w:val="24"/>
          <w:szCs w:val="24"/>
        </w:rPr>
        <w:t>friv</w:t>
      </w:r>
      <w:r w:rsidR="00215DE9">
        <w:rPr>
          <w:rFonts w:ascii="Arial" w:eastAsia="Calibri" w:hAnsi="Arial" w:cs="Arial"/>
          <w:bCs/>
          <w:sz w:val="24"/>
          <w:szCs w:val="24"/>
        </w:rPr>
        <w:t>o</w:t>
      </w:r>
      <w:r w:rsidR="00734BF6">
        <w:rPr>
          <w:rFonts w:ascii="Arial" w:eastAsia="Calibri" w:hAnsi="Arial" w:cs="Arial"/>
          <w:bCs/>
          <w:sz w:val="24"/>
          <w:szCs w:val="24"/>
        </w:rPr>
        <w:t xml:space="preserve">lous </w:t>
      </w:r>
      <w:r w:rsidR="000550AE">
        <w:rPr>
          <w:rFonts w:ascii="Arial" w:eastAsia="Calibri" w:hAnsi="Arial" w:cs="Arial"/>
          <w:bCs/>
          <w:sz w:val="24"/>
          <w:szCs w:val="24"/>
        </w:rPr>
        <w:t xml:space="preserve">or vexatious </w:t>
      </w:r>
      <w:r w:rsidR="00734BF6">
        <w:rPr>
          <w:rFonts w:ascii="Arial" w:eastAsia="Calibri" w:hAnsi="Arial" w:cs="Arial"/>
          <w:bCs/>
          <w:sz w:val="24"/>
          <w:szCs w:val="24"/>
        </w:rPr>
        <w:t xml:space="preserve">conduct </w:t>
      </w:r>
      <w:r w:rsidR="000550AE">
        <w:rPr>
          <w:rFonts w:ascii="Arial" w:eastAsia="Calibri" w:hAnsi="Arial" w:cs="Arial"/>
          <w:bCs/>
          <w:sz w:val="24"/>
          <w:szCs w:val="24"/>
        </w:rPr>
        <w:t>–</w:t>
      </w:r>
      <w:r w:rsidR="00734BF6">
        <w:rPr>
          <w:rFonts w:ascii="Arial" w:eastAsia="Calibri" w:hAnsi="Arial" w:cs="Arial"/>
          <w:bCs/>
          <w:sz w:val="24"/>
          <w:szCs w:val="24"/>
        </w:rPr>
        <w:t xml:space="preserve"> </w:t>
      </w:r>
      <w:r w:rsidR="000550AE">
        <w:rPr>
          <w:rFonts w:ascii="Arial" w:eastAsia="Calibri" w:hAnsi="Arial" w:cs="Arial"/>
          <w:bCs/>
          <w:sz w:val="24"/>
          <w:szCs w:val="24"/>
        </w:rPr>
        <w:t xml:space="preserve">s 118 of the Labour Act not applicable- No order as </w:t>
      </w:r>
      <w:r w:rsidR="00A110F5">
        <w:rPr>
          <w:rFonts w:ascii="Arial" w:eastAsia="Calibri" w:hAnsi="Arial" w:cs="Arial"/>
          <w:bCs/>
          <w:sz w:val="24"/>
          <w:szCs w:val="24"/>
        </w:rPr>
        <w:t>Cost</w:t>
      </w:r>
      <w:r w:rsidR="00734BF6">
        <w:rPr>
          <w:rFonts w:ascii="Arial" w:eastAsia="Calibri" w:hAnsi="Arial" w:cs="Arial"/>
          <w:bCs/>
          <w:sz w:val="24"/>
          <w:szCs w:val="24"/>
        </w:rPr>
        <w:t>s</w:t>
      </w:r>
      <w:r w:rsidR="000550AE">
        <w:rPr>
          <w:rFonts w:ascii="Arial" w:eastAsia="Calibri" w:hAnsi="Arial" w:cs="Arial"/>
          <w:bCs/>
          <w:sz w:val="24"/>
          <w:szCs w:val="24"/>
        </w:rPr>
        <w:t>.</w:t>
      </w:r>
    </w:p>
    <w:p w14:paraId="09F9B113" w14:textId="77777777" w:rsidR="007F05DA" w:rsidRPr="00F474E3" w:rsidRDefault="007F05DA" w:rsidP="007F05DA">
      <w:pPr>
        <w:spacing w:after="0" w:line="360" w:lineRule="auto"/>
        <w:jc w:val="both"/>
        <w:rPr>
          <w:rFonts w:ascii="Arial" w:eastAsia="Calibri" w:hAnsi="Arial" w:cs="Arial"/>
          <w:bCs/>
          <w:sz w:val="24"/>
          <w:szCs w:val="24"/>
        </w:rPr>
      </w:pPr>
    </w:p>
    <w:p w14:paraId="5B49CF01" w14:textId="161F25FC" w:rsidR="004818AD" w:rsidRDefault="007F05DA" w:rsidP="007F05DA">
      <w:pPr>
        <w:spacing w:after="0" w:line="360" w:lineRule="auto"/>
        <w:jc w:val="both"/>
        <w:rPr>
          <w:rFonts w:ascii="Arial" w:eastAsia="Calibri" w:hAnsi="Arial" w:cs="Arial"/>
          <w:sz w:val="24"/>
          <w:szCs w:val="24"/>
        </w:rPr>
      </w:pPr>
      <w:r w:rsidRPr="00F474E3">
        <w:rPr>
          <w:rFonts w:ascii="Arial" w:eastAsia="Calibri" w:hAnsi="Arial" w:cs="Arial"/>
          <w:b/>
          <w:sz w:val="24"/>
          <w:szCs w:val="24"/>
        </w:rPr>
        <w:t>Summary:</w:t>
      </w:r>
      <w:r w:rsidRPr="00F474E3">
        <w:rPr>
          <w:rFonts w:ascii="Arial" w:eastAsia="Calibri" w:hAnsi="Arial" w:cs="Arial"/>
          <w:b/>
          <w:sz w:val="24"/>
          <w:szCs w:val="24"/>
        </w:rPr>
        <w:tab/>
      </w:r>
      <w:r>
        <w:rPr>
          <w:rFonts w:ascii="Arial" w:eastAsia="Calibri" w:hAnsi="Arial" w:cs="Arial"/>
          <w:sz w:val="24"/>
          <w:szCs w:val="24"/>
        </w:rPr>
        <w:t xml:space="preserve">This is an application wherein the </w:t>
      </w:r>
      <w:r w:rsidR="00CE11A4">
        <w:rPr>
          <w:rFonts w:ascii="Arial" w:eastAsia="Calibri" w:hAnsi="Arial" w:cs="Arial"/>
          <w:sz w:val="24"/>
          <w:szCs w:val="24"/>
        </w:rPr>
        <w:t>a</w:t>
      </w:r>
      <w:r>
        <w:rPr>
          <w:rFonts w:ascii="Arial" w:eastAsia="Calibri" w:hAnsi="Arial" w:cs="Arial"/>
          <w:sz w:val="24"/>
          <w:szCs w:val="24"/>
        </w:rPr>
        <w:t>pplicant seeks for a review and setting aside of the ruling</w:t>
      </w:r>
      <w:r w:rsidR="004818AD">
        <w:rPr>
          <w:rFonts w:ascii="Arial" w:eastAsia="Calibri" w:hAnsi="Arial" w:cs="Arial"/>
          <w:sz w:val="24"/>
          <w:szCs w:val="24"/>
        </w:rPr>
        <w:t>,</w:t>
      </w:r>
      <w:r>
        <w:rPr>
          <w:rFonts w:ascii="Arial" w:eastAsia="Calibri" w:hAnsi="Arial" w:cs="Arial"/>
          <w:sz w:val="24"/>
          <w:szCs w:val="24"/>
        </w:rPr>
        <w:t xml:space="preserve"> </w:t>
      </w:r>
      <w:r w:rsidR="00FA7BBB">
        <w:rPr>
          <w:rFonts w:ascii="Arial" w:eastAsia="Calibri" w:hAnsi="Arial" w:cs="Arial"/>
          <w:sz w:val="24"/>
          <w:szCs w:val="24"/>
        </w:rPr>
        <w:t>made by the second respondent</w:t>
      </w:r>
      <w:r w:rsidR="004818AD">
        <w:rPr>
          <w:rFonts w:ascii="Arial" w:eastAsia="Calibri" w:hAnsi="Arial" w:cs="Arial"/>
          <w:sz w:val="24"/>
          <w:szCs w:val="24"/>
        </w:rPr>
        <w:t>,</w:t>
      </w:r>
      <w:r w:rsidR="00FA7BBB">
        <w:rPr>
          <w:rFonts w:ascii="Arial" w:eastAsia="Calibri" w:hAnsi="Arial" w:cs="Arial"/>
          <w:sz w:val="24"/>
          <w:szCs w:val="24"/>
        </w:rPr>
        <w:t xml:space="preserve"> refusing to compel the first respondent to provide the applicant with the first respondent’s record of income from 1 August</w:t>
      </w:r>
      <w:r w:rsidR="004818AD">
        <w:rPr>
          <w:rFonts w:ascii="Arial" w:eastAsia="Calibri" w:hAnsi="Arial" w:cs="Arial"/>
          <w:sz w:val="24"/>
          <w:szCs w:val="24"/>
        </w:rPr>
        <w:t xml:space="preserve"> 2015</w:t>
      </w:r>
      <w:r w:rsidR="00FA7BBB">
        <w:rPr>
          <w:rFonts w:ascii="Arial" w:eastAsia="Calibri" w:hAnsi="Arial" w:cs="Arial"/>
          <w:sz w:val="24"/>
          <w:szCs w:val="24"/>
        </w:rPr>
        <w:t xml:space="preserve"> to </w:t>
      </w:r>
      <w:r w:rsidR="009A678A">
        <w:rPr>
          <w:rFonts w:ascii="Arial" w:eastAsia="Calibri" w:hAnsi="Arial" w:cs="Arial"/>
          <w:sz w:val="24"/>
          <w:szCs w:val="24"/>
        </w:rPr>
        <w:t xml:space="preserve">the </w:t>
      </w:r>
      <w:r w:rsidR="00FA7BBB">
        <w:rPr>
          <w:rFonts w:ascii="Arial" w:eastAsia="Calibri" w:hAnsi="Arial" w:cs="Arial"/>
          <w:sz w:val="24"/>
          <w:szCs w:val="24"/>
        </w:rPr>
        <w:t>date of hearing; records of all investments and returns on such investments from 1 August to date of hearing ; all financial statements of business enterprises in which the first respondent had a financial interest from 1 August</w:t>
      </w:r>
      <w:r w:rsidR="008A03BB">
        <w:rPr>
          <w:rFonts w:ascii="Arial" w:eastAsia="Calibri" w:hAnsi="Arial" w:cs="Arial"/>
          <w:sz w:val="24"/>
          <w:szCs w:val="24"/>
        </w:rPr>
        <w:t xml:space="preserve"> 2015</w:t>
      </w:r>
      <w:r w:rsidR="00FA7BBB">
        <w:rPr>
          <w:rFonts w:ascii="Arial" w:eastAsia="Calibri" w:hAnsi="Arial" w:cs="Arial"/>
          <w:sz w:val="24"/>
          <w:szCs w:val="24"/>
        </w:rPr>
        <w:t xml:space="preserve"> </w:t>
      </w:r>
      <w:r w:rsidR="008A03BB">
        <w:rPr>
          <w:rFonts w:ascii="Arial" w:eastAsia="Calibri" w:hAnsi="Arial" w:cs="Arial"/>
          <w:sz w:val="24"/>
          <w:szCs w:val="24"/>
        </w:rPr>
        <w:t>to the date of hearing of the arbitration hearing</w:t>
      </w:r>
      <w:r w:rsidR="00955B2B">
        <w:rPr>
          <w:rFonts w:ascii="Arial" w:eastAsia="Calibri" w:hAnsi="Arial" w:cs="Arial"/>
          <w:sz w:val="24"/>
          <w:szCs w:val="24"/>
        </w:rPr>
        <w:t>; first respo</w:t>
      </w:r>
      <w:r w:rsidR="00AC1FBC">
        <w:rPr>
          <w:rFonts w:ascii="Arial" w:eastAsia="Calibri" w:hAnsi="Arial" w:cs="Arial"/>
          <w:sz w:val="24"/>
          <w:szCs w:val="24"/>
        </w:rPr>
        <w:t>n</w:t>
      </w:r>
      <w:r w:rsidR="00955B2B">
        <w:rPr>
          <w:rFonts w:ascii="Arial" w:eastAsia="Calibri" w:hAnsi="Arial" w:cs="Arial"/>
          <w:sz w:val="24"/>
          <w:szCs w:val="24"/>
        </w:rPr>
        <w:t>dent’s income tax returns for the tax years end of February 2015 and o</w:t>
      </w:r>
      <w:r w:rsidR="00AC1FBC">
        <w:rPr>
          <w:rFonts w:ascii="Arial" w:eastAsia="Calibri" w:hAnsi="Arial" w:cs="Arial"/>
          <w:sz w:val="24"/>
          <w:szCs w:val="24"/>
        </w:rPr>
        <w:t>n</w:t>
      </w:r>
      <w:r w:rsidR="00955B2B">
        <w:rPr>
          <w:rFonts w:ascii="Arial" w:eastAsia="Calibri" w:hAnsi="Arial" w:cs="Arial"/>
          <w:sz w:val="24"/>
          <w:szCs w:val="24"/>
        </w:rPr>
        <w:t>wards;</w:t>
      </w:r>
      <w:r w:rsidR="008A03BB">
        <w:rPr>
          <w:rFonts w:ascii="Arial" w:eastAsia="Calibri" w:hAnsi="Arial" w:cs="Arial"/>
          <w:sz w:val="24"/>
          <w:szCs w:val="24"/>
        </w:rPr>
        <w:t xml:space="preserve"> and </w:t>
      </w:r>
      <w:r w:rsidR="00FA7BBB">
        <w:rPr>
          <w:rFonts w:ascii="Arial" w:eastAsia="Calibri" w:hAnsi="Arial" w:cs="Arial"/>
          <w:sz w:val="24"/>
          <w:szCs w:val="24"/>
        </w:rPr>
        <w:t xml:space="preserve"> the decision by the second respondent refusing the applicant the right to call as witness the first respondent’s bank manager, who had been subpoenaed duces tecum to provide the first respondent’s bank statement.</w:t>
      </w:r>
      <w:r w:rsidR="00685D98">
        <w:rPr>
          <w:rFonts w:ascii="Arial" w:eastAsia="Calibri" w:hAnsi="Arial" w:cs="Arial"/>
          <w:sz w:val="24"/>
          <w:szCs w:val="24"/>
        </w:rPr>
        <w:t xml:space="preserve"> </w:t>
      </w:r>
      <w:r w:rsidR="004818AD">
        <w:rPr>
          <w:rFonts w:ascii="Arial" w:eastAsia="Calibri" w:hAnsi="Arial" w:cs="Arial"/>
          <w:sz w:val="24"/>
          <w:szCs w:val="24"/>
        </w:rPr>
        <w:t>The First respo</w:t>
      </w:r>
      <w:r w:rsidR="00DC32EC">
        <w:rPr>
          <w:rFonts w:ascii="Arial" w:eastAsia="Calibri" w:hAnsi="Arial" w:cs="Arial"/>
          <w:sz w:val="24"/>
          <w:szCs w:val="24"/>
        </w:rPr>
        <w:t>n</w:t>
      </w:r>
      <w:r w:rsidR="004818AD">
        <w:rPr>
          <w:rFonts w:ascii="Arial" w:eastAsia="Calibri" w:hAnsi="Arial" w:cs="Arial"/>
          <w:sz w:val="24"/>
          <w:szCs w:val="24"/>
        </w:rPr>
        <w:t xml:space="preserve">dent opposed the review </w:t>
      </w:r>
      <w:r w:rsidR="00215DE9">
        <w:rPr>
          <w:rFonts w:ascii="Arial" w:eastAsia="Calibri" w:hAnsi="Arial" w:cs="Arial"/>
          <w:sz w:val="24"/>
          <w:szCs w:val="24"/>
        </w:rPr>
        <w:t>application;</w:t>
      </w:r>
      <w:r w:rsidR="004818AD">
        <w:rPr>
          <w:rFonts w:ascii="Arial" w:eastAsia="Calibri" w:hAnsi="Arial" w:cs="Arial"/>
          <w:sz w:val="24"/>
          <w:szCs w:val="24"/>
        </w:rPr>
        <w:t xml:space="preserve"> </w:t>
      </w:r>
      <w:r w:rsidR="00215DE9">
        <w:rPr>
          <w:rFonts w:ascii="Arial" w:eastAsia="Calibri" w:hAnsi="Arial" w:cs="Arial"/>
          <w:sz w:val="24"/>
          <w:szCs w:val="24"/>
        </w:rPr>
        <w:t>however,</w:t>
      </w:r>
      <w:r w:rsidR="00DC32EC">
        <w:rPr>
          <w:rFonts w:ascii="Arial" w:eastAsia="Calibri" w:hAnsi="Arial" w:cs="Arial"/>
          <w:sz w:val="24"/>
          <w:szCs w:val="24"/>
        </w:rPr>
        <w:t xml:space="preserve"> he withdrew his opposition on 16 June 201</w:t>
      </w:r>
      <w:r w:rsidR="00215DE9">
        <w:rPr>
          <w:rFonts w:ascii="Arial" w:eastAsia="Calibri" w:hAnsi="Arial" w:cs="Arial"/>
          <w:sz w:val="24"/>
          <w:szCs w:val="24"/>
        </w:rPr>
        <w:t>8, just before the hearing on 14 August   2018. The first respondent through his legal representative or in person failed to appear at court for the hearing</w:t>
      </w:r>
    </w:p>
    <w:p w14:paraId="1906FE60" w14:textId="3C5964D1" w:rsidR="00DC32EC" w:rsidRDefault="00DC32EC" w:rsidP="007F05DA">
      <w:pPr>
        <w:spacing w:after="0" w:line="360" w:lineRule="auto"/>
        <w:jc w:val="both"/>
        <w:rPr>
          <w:rFonts w:ascii="Arial" w:eastAsia="Calibri" w:hAnsi="Arial" w:cs="Arial"/>
          <w:sz w:val="24"/>
          <w:szCs w:val="24"/>
        </w:rPr>
      </w:pPr>
    </w:p>
    <w:p w14:paraId="4C7D8BC1" w14:textId="2712C998" w:rsidR="00DC32EC" w:rsidRDefault="00DC32EC" w:rsidP="007F05DA">
      <w:pPr>
        <w:spacing w:after="0" w:line="360" w:lineRule="auto"/>
        <w:jc w:val="both"/>
        <w:rPr>
          <w:rFonts w:ascii="Arial" w:eastAsia="Calibri" w:hAnsi="Arial" w:cs="Arial"/>
          <w:sz w:val="24"/>
          <w:szCs w:val="24"/>
        </w:rPr>
      </w:pPr>
      <w:r>
        <w:rPr>
          <w:rFonts w:ascii="Arial" w:eastAsia="Calibri" w:hAnsi="Arial" w:cs="Arial"/>
          <w:sz w:val="24"/>
          <w:szCs w:val="24"/>
        </w:rPr>
        <w:t>The applicant now seeks for an order of costs against the first respondent on the basis that the first respo</w:t>
      </w:r>
      <w:r w:rsidR="00685D98">
        <w:rPr>
          <w:rFonts w:ascii="Arial" w:eastAsia="Calibri" w:hAnsi="Arial" w:cs="Arial"/>
          <w:sz w:val="24"/>
          <w:szCs w:val="24"/>
        </w:rPr>
        <w:t>n</w:t>
      </w:r>
      <w:r>
        <w:rPr>
          <w:rFonts w:ascii="Arial" w:eastAsia="Calibri" w:hAnsi="Arial" w:cs="Arial"/>
          <w:sz w:val="24"/>
          <w:szCs w:val="24"/>
        </w:rPr>
        <w:t>dent acted frivolously.</w:t>
      </w:r>
    </w:p>
    <w:p w14:paraId="2CD99C15" w14:textId="33459CDC" w:rsidR="002E196A" w:rsidRDefault="002E196A" w:rsidP="007F05DA">
      <w:pPr>
        <w:spacing w:after="0" w:line="360" w:lineRule="auto"/>
        <w:jc w:val="both"/>
        <w:rPr>
          <w:rFonts w:ascii="Arial" w:eastAsia="Calibri" w:hAnsi="Arial" w:cs="Arial"/>
          <w:sz w:val="24"/>
          <w:szCs w:val="24"/>
        </w:rPr>
      </w:pPr>
    </w:p>
    <w:p w14:paraId="109F657D" w14:textId="746A01F9" w:rsidR="002E196A" w:rsidRDefault="002E196A" w:rsidP="007F05DA">
      <w:pPr>
        <w:spacing w:after="0" w:line="360" w:lineRule="auto"/>
        <w:jc w:val="both"/>
        <w:rPr>
          <w:rFonts w:ascii="Arial" w:eastAsia="Calibri" w:hAnsi="Arial" w:cs="Arial"/>
          <w:sz w:val="24"/>
          <w:szCs w:val="24"/>
        </w:rPr>
      </w:pPr>
      <w:r>
        <w:rPr>
          <w:rFonts w:ascii="Arial" w:eastAsia="Calibri" w:hAnsi="Arial" w:cs="Arial"/>
          <w:sz w:val="24"/>
          <w:szCs w:val="24"/>
        </w:rPr>
        <w:t>Held the costs in labour matter are limited to</w:t>
      </w:r>
      <w:r w:rsidR="009A678A">
        <w:rPr>
          <w:rFonts w:ascii="Arial" w:eastAsia="Calibri" w:hAnsi="Arial" w:cs="Arial"/>
          <w:sz w:val="24"/>
          <w:szCs w:val="24"/>
        </w:rPr>
        <w:t xml:space="preserve"> the provision of s 118 of the L</w:t>
      </w:r>
      <w:r>
        <w:rPr>
          <w:rFonts w:ascii="Arial" w:eastAsia="Calibri" w:hAnsi="Arial" w:cs="Arial"/>
          <w:sz w:val="24"/>
          <w:szCs w:val="24"/>
        </w:rPr>
        <w:t>abour Act 11 of 2007.</w:t>
      </w:r>
    </w:p>
    <w:p w14:paraId="78653E5F" w14:textId="77777777" w:rsidR="002E196A" w:rsidRDefault="002E196A" w:rsidP="007F05DA">
      <w:pPr>
        <w:spacing w:after="0" w:line="360" w:lineRule="auto"/>
        <w:jc w:val="both"/>
        <w:rPr>
          <w:rFonts w:ascii="Arial" w:eastAsia="Calibri" w:hAnsi="Arial" w:cs="Arial"/>
          <w:sz w:val="24"/>
          <w:szCs w:val="24"/>
        </w:rPr>
      </w:pPr>
    </w:p>
    <w:p w14:paraId="28C5F31E" w14:textId="39AA035D" w:rsidR="002E196A" w:rsidRDefault="002E196A" w:rsidP="007F05DA">
      <w:pPr>
        <w:spacing w:after="0" w:line="360" w:lineRule="auto"/>
        <w:jc w:val="both"/>
        <w:rPr>
          <w:rFonts w:ascii="Arial" w:eastAsia="Calibri" w:hAnsi="Arial" w:cs="Arial"/>
          <w:sz w:val="24"/>
          <w:szCs w:val="24"/>
        </w:rPr>
      </w:pPr>
      <w:r>
        <w:rPr>
          <w:rFonts w:ascii="Arial" w:eastAsia="Calibri" w:hAnsi="Arial" w:cs="Arial"/>
          <w:sz w:val="24"/>
          <w:szCs w:val="24"/>
        </w:rPr>
        <w:t>Held that the conduct of the party</w:t>
      </w:r>
      <w:r w:rsidR="00215DE9">
        <w:rPr>
          <w:rFonts w:ascii="Arial" w:eastAsia="Calibri" w:hAnsi="Arial" w:cs="Arial"/>
          <w:sz w:val="24"/>
          <w:szCs w:val="24"/>
        </w:rPr>
        <w:t>,</w:t>
      </w:r>
      <w:r>
        <w:rPr>
          <w:rFonts w:ascii="Arial" w:eastAsia="Calibri" w:hAnsi="Arial" w:cs="Arial"/>
          <w:sz w:val="24"/>
          <w:szCs w:val="24"/>
        </w:rPr>
        <w:t xml:space="preserve"> against who</w:t>
      </w:r>
      <w:r w:rsidR="00215DE9">
        <w:rPr>
          <w:rFonts w:ascii="Arial" w:eastAsia="Calibri" w:hAnsi="Arial" w:cs="Arial"/>
          <w:sz w:val="24"/>
          <w:szCs w:val="24"/>
        </w:rPr>
        <w:t>m a cost</w:t>
      </w:r>
      <w:r w:rsidR="00D95FB7">
        <w:rPr>
          <w:rFonts w:ascii="Arial" w:eastAsia="Calibri" w:hAnsi="Arial" w:cs="Arial"/>
          <w:sz w:val="24"/>
          <w:szCs w:val="24"/>
        </w:rPr>
        <w:t>s</w:t>
      </w:r>
      <w:r>
        <w:rPr>
          <w:rFonts w:ascii="Arial" w:eastAsia="Calibri" w:hAnsi="Arial" w:cs="Arial"/>
          <w:sz w:val="24"/>
          <w:szCs w:val="24"/>
        </w:rPr>
        <w:t xml:space="preserve"> </w:t>
      </w:r>
      <w:r w:rsidR="00215DE9">
        <w:rPr>
          <w:rFonts w:ascii="Arial" w:eastAsia="Calibri" w:hAnsi="Arial" w:cs="Arial"/>
          <w:sz w:val="24"/>
          <w:szCs w:val="24"/>
        </w:rPr>
        <w:t>order is</w:t>
      </w:r>
      <w:r>
        <w:rPr>
          <w:rFonts w:ascii="Arial" w:eastAsia="Calibri" w:hAnsi="Arial" w:cs="Arial"/>
          <w:sz w:val="24"/>
          <w:szCs w:val="24"/>
        </w:rPr>
        <w:t xml:space="preserve"> sought</w:t>
      </w:r>
      <w:r w:rsidR="00215DE9">
        <w:rPr>
          <w:rFonts w:ascii="Arial" w:eastAsia="Calibri" w:hAnsi="Arial" w:cs="Arial"/>
          <w:sz w:val="24"/>
          <w:szCs w:val="24"/>
        </w:rPr>
        <w:t>,</w:t>
      </w:r>
      <w:r>
        <w:rPr>
          <w:rFonts w:ascii="Arial" w:eastAsia="Calibri" w:hAnsi="Arial" w:cs="Arial"/>
          <w:sz w:val="24"/>
          <w:szCs w:val="24"/>
        </w:rPr>
        <w:t xml:space="preserve"> must </w:t>
      </w:r>
      <w:r w:rsidR="000550AE">
        <w:rPr>
          <w:rFonts w:ascii="Arial" w:eastAsia="Calibri" w:hAnsi="Arial" w:cs="Arial"/>
          <w:sz w:val="24"/>
          <w:szCs w:val="24"/>
        </w:rPr>
        <w:t xml:space="preserve">have </w:t>
      </w:r>
      <w:r w:rsidR="00D95FB7">
        <w:rPr>
          <w:rFonts w:ascii="Arial" w:eastAsia="Calibri" w:hAnsi="Arial" w:cs="Arial"/>
          <w:sz w:val="24"/>
          <w:szCs w:val="24"/>
        </w:rPr>
        <w:t>act</w:t>
      </w:r>
      <w:r w:rsidR="000550AE">
        <w:rPr>
          <w:rFonts w:ascii="Arial" w:eastAsia="Calibri" w:hAnsi="Arial" w:cs="Arial"/>
          <w:sz w:val="24"/>
          <w:szCs w:val="24"/>
        </w:rPr>
        <w:t>ed</w:t>
      </w:r>
      <w:r>
        <w:rPr>
          <w:rFonts w:ascii="Arial" w:eastAsia="Calibri" w:hAnsi="Arial" w:cs="Arial"/>
          <w:sz w:val="24"/>
          <w:szCs w:val="24"/>
        </w:rPr>
        <w:t xml:space="preserve"> vexatio</w:t>
      </w:r>
      <w:r w:rsidR="00A110F5">
        <w:rPr>
          <w:rFonts w:ascii="Arial" w:eastAsia="Calibri" w:hAnsi="Arial" w:cs="Arial"/>
          <w:sz w:val="24"/>
          <w:szCs w:val="24"/>
        </w:rPr>
        <w:t>u</w:t>
      </w:r>
      <w:r>
        <w:rPr>
          <w:rFonts w:ascii="Arial" w:eastAsia="Calibri" w:hAnsi="Arial" w:cs="Arial"/>
          <w:sz w:val="24"/>
          <w:szCs w:val="24"/>
        </w:rPr>
        <w:t>s</w:t>
      </w:r>
      <w:r w:rsidR="00D95FB7">
        <w:rPr>
          <w:rFonts w:ascii="Arial" w:eastAsia="Calibri" w:hAnsi="Arial" w:cs="Arial"/>
          <w:sz w:val="24"/>
          <w:szCs w:val="24"/>
        </w:rPr>
        <w:t>ly</w:t>
      </w:r>
      <w:r>
        <w:rPr>
          <w:rFonts w:ascii="Arial" w:eastAsia="Calibri" w:hAnsi="Arial" w:cs="Arial"/>
          <w:sz w:val="24"/>
          <w:szCs w:val="24"/>
        </w:rPr>
        <w:t xml:space="preserve"> and frivolous</w:t>
      </w:r>
      <w:r w:rsidR="00D95FB7">
        <w:rPr>
          <w:rFonts w:ascii="Arial" w:eastAsia="Calibri" w:hAnsi="Arial" w:cs="Arial"/>
          <w:sz w:val="24"/>
          <w:szCs w:val="24"/>
        </w:rPr>
        <w:t>ly</w:t>
      </w:r>
      <w:r>
        <w:rPr>
          <w:rFonts w:ascii="Arial" w:eastAsia="Calibri" w:hAnsi="Arial" w:cs="Arial"/>
          <w:sz w:val="24"/>
          <w:szCs w:val="24"/>
        </w:rPr>
        <w:t xml:space="preserve"> in inst</w:t>
      </w:r>
      <w:r w:rsidR="00A110F5">
        <w:rPr>
          <w:rFonts w:ascii="Arial" w:eastAsia="Calibri" w:hAnsi="Arial" w:cs="Arial"/>
          <w:sz w:val="24"/>
          <w:szCs w:val="24"/>
        </w:rPr>
        <w:t>itu</w:t>
      </w:r>
      <w:r>
        <w:rPr>
          <w:rFonts w:ascii="Arial" w:eastAsia="Calibri" w:hAnsi="Arial" w:cs="Arial"/>
          <w:sz w:val="24"/>
          <w:szCs w:val="24"/>
        </w:rPr>
        <w:t>ting, proceeding with, and defending the</w:t>
      </w:r>
      <w:r w:rsidR="00A110F5">
        <w:rPr>
          <w:rFonts w:ascii="Arial" w:eastAsia="Calibri" w:hAnsi="Arial" w:cs="Arial"/>
          <w:sz w:val="24"/>
          <w:szCs w:val="24"/>
        </w:rPr>
        <w:t xml:space="preserve"> matter </w:t>
      </w:r>
      <w:r>
        <w:rPr>
          <w:rFonts w:ascii="Arial" w:eastAsia="Calibri" w:hAnsi="Arial" w:cs="Arial"/>
          <w:sz w:val="24"/>
          <w:szCs w:val="24"/>
        </w:rPr>
        <w:t>without sufficient ground.</w:t>
      </w:r>
    </w:p>
    <w:p w14:paraId="6AC1A396" w14:textId="21AD9D51" w:rsidR="002E196A" w:rsidRDefault="002E196A" w:rsidP="007F05DA">
      <w:pPr>
        <w:spacing w:after="0" w:line="360" w:lineRule="auto"/>
        <w:jc w:val="both"/>
        <w:rPr>
          <w:rFonts w:ascii="Arial" w:eastAsia="Calibri" w:hAnsi="Arial" w:cs="Arial"/>
          <w:sz w:val="24"/>
          <w:szCs w:val="24"/>
        </w:rPr>
      </w:pPr>
    </w:p>
    <w:p w14:paraId="1C78EE84" w14:textId="45B6AB3A" w:rsidR="002E196A" w:rsidRDefault="002E196A" w:rsidP="007F05DA">
      <w:pPr>
        <w:spacing w:after="0" w:line="360" w:lineRule="auto"/>
        <w:jc w:val="both"/>
        <w:rPr>
          <w:rFonts w:ascii="Arial" w:eastAsia="Calibri" w:hAnsi="Arial" w:cs="Arial"/>
          <w:sz w:val="24"/>
          <w:szCs w:val="24"/>
        </w:rPr>
      </w:pPr>
      <w:r>
        <w:rPr>
          <w:rFonts w:ascii="Arial" w:eastAsia="Calibri" w:hAnsi="Arial" w:cs="Arial"/>
          <w:sz w:val="24"/>
          <w:szCs w:val="24"/>
        </w:rPr>
        <w:t xml:space="preserve">Held that the </w:t>
      </w:r>
      <w:r w:rsidR="00A110F5">
        <w:rPr>
          <w:rFonts w:ascii="Arial" w:eastAsia="Calibri" w:hAnsi="Arial" w:cs="Arial"/>
          <w:sz w:val="24"/>
          <w:szCs w:val="24"/>
        </w:rPr>
        <w:t xml:space="preserve">first </w:t>
      </w:r>
      <w:r>
        <w:rPr>
          <w:rFonts w:ascii="Arial" w:eastAsia="Calibri" w:hAnsi="Arial" w:cs="Arial"/>
          <w:sz w:val="24"/>
          <w:szCs w:val="24"/>
        </w:rPr>
        <w:t xml:space="preserve">respondent </w:t>
      </w:r>
      <w:r w:rsidR="000550AE">
        <w:rPr>
          <w:rFonts w:ascii="Arial" w:eastAsia="Calibri" w:hAnsi="Arial" w:cs="Arial"/>
          <w:sz w:val="24"/>
          <w:szCs w:val="24"/>
        </w:rPr>
        <w:t xml:space="preserve">did not </w:t>
      </w:r>
      <w:r>
        <w:rPr>
          <w:rFonts w:ascii="Arial" w:eastAsia="Calibri" w:hAnsi="Arial" w:cs="Arial"/>
          <w:sz w:val="24"/>
          <w:szCs w:val="24"/>
        </w:rPr>
        <w:t xml:space="preserve">act </w:t>
      </w:r>
      <w:r w:rsidR="00A110F5">
        <w:rPr>
          <w:rFonts w:ascii="Arial" w:eastAsia="Calibri" w:hAnsi="Arial" w:cs="Arial"/>
          <w:sz w:val="24"/>
          <w:szCs w:val="24"/>
        </w:rPr>
        <w:t>friv</w:t>
      </w:r>
      <w:r w:rsidR="00685D98">
        <w:rPr>
          <w:rFonts w:ascii="Arial" w:eastAsia="Calibri" w:hAnsi="Arial" w:cs="Arial"/>
          <w:sz w:val="24"/>
          <w:szCs w:val="24"/>
        </w:rPr>
        <w:t>ol</w:t>
      </w:r>
      <w:r w:rsidR="00A110F5">
        <w:rPr>
          <w:rFonts w:ascii="Arial" w:eastAsia="Calibri" w:hAnsi="Arial" w:cs="Arial"/>
          <w:sz w:val="24"/>
          <w:szCs w:val="24"/>
        </w:rPr>
        <w:t>ously</w:t>
      </w:r>
      <w:r>
        <w:rPr>
          <w:rFonts w:ascii="Arial" w:eastAsia="Calibri" w:hAnsi="Arial" w:cs="Arial"/>
          <w:sz w:val="24"/>
          <w:szCs w:val="24"/>
        </w:rPr>
        <w:t xml:space="preserve"> in </w:t>
      </w:r>
      <w:r w:rsidR="000550AE">
        <w:rPr>
          <w:rFonts w:ascii="Arial" w:eastAsia="Calibri" w:hAnsi="Arial" w:cs="Arial"/>
          <w:sz w:val="24"/>
          <w:szCs w:val="24"/>
        </w:rPr>
        <w:t xml:space="preserve">defending the review application, instituted by the applicant. </w:t>
      </w:r>
    </w:p>
    <w:p w14:paraId="0359F899" w14:textId="77777777" w:rsidR="0002372C" w:rsidRDefault="0002372C" w:rsidP="007F05DA">
      <w:pPr>
        <w:spacing w:after="0" w:line="360" w:lineRule="auto"/>
        <w:jc w:val="both"/>
        <w:rPr>
          <w:rFonts w:ascii="Arial" w:eastAsia="Calibri" w:hAnsi="Arial" w:cs="Arial"/>
          <w:sz w:val="24"/>
          <w:szCs w:val="24"/>
        </w:rPr>
      </w:pPr>
    </w:p>
    <w:p w14:paraId="2DA2A61A" w14:textId="77777777" w:rsidR="0002372C" w:rsidRDefault="0002372C" w:rsidP="007F05DA">
      <w:pPr>
        <w:spacing w:after="0" w:line="360" w:lineRule="auto"/>
        <w:jc w:val="both"/>
        <w:rPr>
          <w:rFonts w:ascii="Arial" w:eastAsia="Calibri" w:hAnsi="Arial" w:cs="Arial"/>
          <w:sz w:val="24"/>
          <w:szCs w:val="24"/>
        </w:rPr>
      </w:pPr>
    </w:p>
    <w:p w14:paraId="53CB06D7" w14:textId="77777777" w:rsidR="0002372C" w:rsidRDefault="0002372C" w:rsidP="007F05DA">
      <w:pPr>
        <w:spacing w:after="0" w:line="360" w:lineRule="auto"/>
        <w:jc w:val="both"/>
        <w:rPr>
          <w:rFonts w:ascii="Arial" w:eastAsia="Calibri" w:hAnsi="Arial" w:cs="Arial"/>
          <w:sz w:val="24"/>
          <w:szCs w:val="24"/>
        </w:rPr>
      </w:pPr>
    </w:p>
    <w:p w14:paraId="57569422" w14:textId="77777777" w:rsidR="007F05DA" w:rsidRPr="00F474E3" w:rsidRDefault="007F05DA" w:rsidP="007F05DA">
      <w:pPr>
        <w:spacing w:after="0" w:line="360" w:lineRule="auto"/>
        <w:jc w:val="both"/>
        <w:rPr>
          <w:rFonts w:ascii="Arial" w:eastAsia="Calibri" w:hAnsi="Arial" w:cs="Arial"/>
          <w:bCs/>
          <w:sz w:val="24"/>
          <w:szCs w:val="24"/>
        </w:rPr>
      </w:pPr>
    </w:p>
    <w:p w14:paraId="2F7DC5A1" w14:textId="77777777" w:rsidR="007F05DA" w:rsidRPr="00F474E3" w:rsidRDefault="00A74EC5" w:rsidP="007F05DA">
      <w:pPr>
        <w:spacing w:after="0" w:line="360" w:lineRule="auto"/>
        <w:jc w:val="both"/>
        <w:rPr>
          <w:rFonts w:ascii="Arial" w:eastAsia="Calibri" w:hAnsi="Arial" w:cs="Arial"/>
          <w:bCs/>
          <w:sz w:val="24"/>
          <w:szCs w:val="24"/>
        </w:rPr>
      </w:pPr>
      <w:r>
        <w:rPr>
          <w:rFonts w:ascii="Arial" w:eastAsia="Calibri" w:hAnsi="Arial" w:cs="Arial"/>
          <w:bCs/>
          <w:noProof/>
          <w:sz w:val="24"/>
          <w:szCs w:val="24"/>
        </w:rPr>
        <w:lastRenderedPageBreak/>
        <w:pict w14:anchorId="34F4F685">
          <v:rect id="_x0000_i1025" alt="" style="width:451pt;height:.05pt;mso-width-percent:0;mso-height-percent:0;mso-width-percent:0;mso-height-percent:0" o:hralign="center" o:hrstd="t" o:hr="t" fillcolor="#a0a0a0" stroked="f"/>
        </w:pict>
      </w:r>
    </w:p>
    <w:p w14:paraId="07136CD6" w14:textId="77777777" w:rsidR="007F05DA" w:rsidRPr="00F474E3" w:rsidRDefault="007F05DA" w:rsidP="007F05DA">
      <w:pPr>
        <w:spacing w:after="0" w:line="360" w:lineRule="auto"/>
        <w:jc w:val="center"/>
        <w:rPr>
          <w:rFonts w:ascii="Arial" w:eastAsia="Calibri" w:hAnsi="Arial" w:cs="Arial"/>
          <w:b/>
          <w:bCs/>
          <w:sz w:val="24"/>
          <w:szCs w:val="24"/>
        </w:rPr>
      </w:pPr>
      <w:r>
        <w:rPr>
          <w:rFonts w:ascii="Arial" w:eastAsia="Calibri" w:hAnsi="Arial" w:cs="Arial"/>
          <w:b/>
          <w:bCs/>
          <w:sz w:val="24"/>
          <w:szCs w:val="24"/>
        </w:rPr>
        <w:t>ORDER</w:t>
      </w:r>
    </w:p>
    <w:p w14:paraId="0F42FBD4" w14:textId="77777777" w:rsidR="007F05DA" w:rsidRPr="00F474E3" w:rsidRDefault="00A74EC5" w:rsidP="007F05DA">
      <w:pPr>
        <w:spacing w:after="0" w:line="360" w:lineRule="auto"/>
        <w:jc w:val="center"/>
        <w:rPr>
          <w:rFonts w:ascii="Arial" w:eastAsia="Calibri" w:hAnsi="Arial" w:cs="Arial"/>
          <w:b/>
          <w:bCs/>
          <w:sz w:val="24"/>
          <w:szCs w:val="24"/>
        </w:rPr>
      </w:pPr>
      <w:r>
        <w:rPr>
          <w:rFonts w:ascii="Arial" w:eastAsia="Calibri" w:hAnsi="Arial" w:cs="Arial"/>
          <w:bCs/>
          <w:noProof/>
          <w:sz w:val="24"/>
          <w:szCs w:val="24"/>
        </w:rPr>
        <w:pict w14:anchorId="4C08F96B">
          <v:rect id="_x0000_i1026" alt="" style="width:451pt;height:.05pt;mso-width-percent:0;mso-height-percent:0;mso-width-percent:0;mso-height-percent:0" o:hralign="center" o:hrstd="t" o:hr="t" fillcolor="#a0a0a0" stroked="f"/>
        </w:pict>
      </w:r>
    </w:p>
    <w:p w14:paraId="17C39C54" w14:textId="77777777" w:rsidR="007F05DA" w:rsidRDefault="007F05DA" w:rsidP="007F05DA">
      <w:pPr>
        <w:pStyle w:val="ListParagraph"/>
        <w:spacing w:after="0" w:line="360" w:lineRule="auto"/>
        <w:jc w:val="both"/>
        <w:rPr>
          <w:rFonts w:ascii="Arial" w:eastAsia="Calibri" w:hAnsi="Arial" w:cs="Arial"/>
          <w:sz w:val="24"/>
          <w:szCs w:val="24"/>
        </w:rPr>
      </w:pPr>
    </w:p>
    <w:p w14:paraId="475AE652" w14:textId="77777777" w:rsidR="000B045F" w:rsidRPr="0039424F" w:rsidRDefault="000B045F" w:rsidP="000B045F">
      <w:pPr>
        <w:pStyle w:val="ListParagraph"/>
        <w:numPr>
          <w:ilvl w:val="0"/>
          <w:numId w:val="3"/>
        </w:numPr>
        <w:spacing w:after="0" w:line="360" w:lineRule="auto"/>
        <w:jc w:val="both"/>
        <w:rPr>
          <w:rFonts w:ascii="Arial" w:hAnsi="Arial" w:cs="Arial"/>
          <w:sz w:val="24"/>
          <w:szCs w:val="24"/>
        </w:rPr>
      </w:pPr>
      <w:r w:rsidRPr="0039424F">
        <w:rPr>
          <w:rFonts w:ascii="Arial" w:hAnsi="Arial" w:cs="Arial"/>
          <w:sz w:val="24"/>
          <w:szCs w:val="24"/>
        </w:rPr>
        <w:t>The application for review succeeds</w:t>
      </w:r>
      <w:r>
        <w:rPr>
          <w:rFonts w:ascii="Arial" w:hAnsi="Arial" w:cs="Arial"/>
          <w:sz w:val="24"/>
          <w:szCs w:val="24"/>
        </w:rPr>
        <w:t>.</w:t>
      </w:r>
    </w:p>
    <w:p w14:paraId="0542A2DF" w14:textId="77777777" w:rsidR="000B045F" w:rsidRDefault="000B045F" w:rsidP="000B045F">
      <w:pPr>
        <w:pStyle w:val="ListParagraph"/>
        <w:numPr>
          <w:ilvl w:val="0"/>
          <w:numId w:val="3"/>
        </w:numPr>
        <w:spacing w:after="0" w:line="360" w:lineRule="auto"/>
        <w:jc w:val="both"/>
        <w:rPr>
          <w:rFonts w:ascii="Arial" w:hAnsi="Arial" w:cs="Arial"/>
          <w:sz w:val="24"/>
          <w:szCs w:val="24"/>
        </w:rPr>
      </w:pPr>
      <w:r w:rsidRPr="0039424F">
        <w:rPr>
          <w:rFonts w:ascii="Arial" w:hAnsi="Arial" w:cs="Arial"/>
          <w:sz w:val="24"/>
          <w:szCs w:val="24"/>
        </w:rPr>
        <w:t>The</w:t>
      </w:r>
      <w:r>
        <w:rPr>
          <w:rFonts w:ascii="Arial" w:hAnsi="Arial" w:cs="Arial"/>
          <w:sz w:val="24"/>
          <w:szCs w:val="24"/>
        </w:rPr>
        <w:t>re is no order as to costs.</w:t>
      </w:r>
      <w:r w:rsidRPr="0039424F">
        <w:rPr>
          <w:rFonts w:ascii="Arial" w:hAnsi="Arial" w:cs="Arial"/>
          <w:sz w:val="24"/>
          <w:szCs w:val="24"/>
        </w:rPr>
        <w:t xml:space="preserve">  </w:t>
      </w:r>
    </w:p>
    <w:p w14:paraId="686EF8A3" w14:textId="77777777" w:rsidR="000B045F" w:rsidRPr="0039424F" w:rsidRDefault="000B045F" w:rsidP="000B045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respondent’s legal practitioner is ordered to file an affidavit explaining her failure to attend the hearing scheduled on 16 August before this court by 20 January 2018.</w:t>
      </w:r>
    </w:p>
    <w:p w14:paraId="044564D4" w14:textId="77777777" w:rsidR="000B045F" w:rsidRPr="0039424F" w:rsidRDefault="000B045F" w:rsidP="000B045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matter is postponed to 31 January 2019, at 08:30, to determine if the reasons proffered by the respondent’s legal practitioner for the non-appearance ought to be condoned</w:t>
      </w:r>
      <w:r w:rsidRPr="0039424F">
        <w:rPr>
          <w:rFonts w:ascii="Arial" w:hAnsi="Arial" w:cs="Arial"/>
          <w:sz w:val="24"/>
          <w:szCs w:val="24"/>
        </w:rPr>
        <w:t>.</w:t>
      </w:r>
    </w:p>
    <w:p w14:paraId="565EEE4A" w14:textId="77777777" w:rsidR="007F05DA" w:rsidRPr="00685D98" w:rsidRDefault="007F05DA" w:rsidP="007F05DA">
      <w:pPr>
        <w:spacing w:after="0" w:line="360" w:lineRule="auto"/>
        <w:jc w:val="both"/>
        <w:rPr>
          <w:rFonts w:ascii="Arial" w:eastAsia="Calibri" w:hAnsi="Arial" w:cs="Arial"/>
          <w:sz w:val="24"/>
          <w:szCs w:val="24"/>
        </w:rPr>
      </w:pPr>
    </w:p>
    <w:p w14:paraId="12E86274" w14:textId="77777777" w:rsidR="007F05DA" w:rsidRPr="00F474E3" w:rsidRDefault="00A74EC5" w:rsidP="007F05DA">
      <w:pPr>
        <w:spacing w:after="0" w:line="360" w:lineRule="auto"/>
        <w:jc w:val="both"/>
        <w:rPr>
          <w:rFonts w:ascii="Arial" w:eastAsia="Calibri" w:hAnsi="Arial" w:cs="Arial"/>
          <w:bCs/>
          <w:sz w:val="24"/>
          <w:szCs w:val="24"/>
        </w:rPr>
      </w:pPr>
      <w:r>
        <w:rPr>
          <w:rFonts w:ascii="Arial" w:eastAsia="Calibri" w:hAnsi="Arial" w:cs="Arial"/>
          <w:bCs/>
          <w:noProof/>
          <w:sz w:val="24"/>
          <w:szCs w:val="24"/>
        </w:rPr>
        <w:pict w14:anchorId="5826D1E2">
          <v:rect id="_x0000_i1027" alt="" style="width:451pt;height:.05pt;mso-width-percent:0;mso-height-percent:0;mso-width-percent:0;mso-height-percent:0" o:hralign="center" o:hrstd="t" o:hr="t" fillcolor="#a0a0a0" stroked="f"/>
        </w:pict>
      </w:r>
    </w:p>
    <w:p w14:paraId="7815C03F" w14:textId="77777777" w:rsidR="007F05DA" w:rsidRPr="00F474E3" w:rsidRDefault="007F05DA" w:rsidP="007F05DA">
      <w:pPr>
        <w:spacing w:after="0" w:line="360" w:lineRule="auto"/>
        <w:jc w:val="center"/>
        <w:rPr>
          <w:rFonts w:ascii="Arial" w:eastAsia="Calibri" w:hAnsi="Arial" w:cs="Arial"/>
          <w:b/>
          <w:bCs/>
          <w:sz w:val="24"/>
          <w:szCs w:val="24"/>
        </w:rPr>
      </w:pPr>
      <w:r>
        <w:rPr>
          <w:rFonts w:ascii="Arial" w:eastAsia="Calibri" w:hAnsi="Arial" w:cs="Arial"/>
          <w:b/>
          <w:bCs/>
          <w:sz w:val="24"/>
          <w:szCs w:val="24"/>
        </w:rPr>
        <w:t>JUDGMENT</w:t>
      </w:r>
    </w:p>
    <w:p w14:paraId="757D355B" w14:textId="77777777" w:rsidR="007F05DA" w:rsidRPr="00F474E3" w:rsidRDefault="00A74EC5" w:rsidP="007F05DA">
      <w:pPr>
        <w:spacing w:after="0" w:line="360" w:lineRule="auto"/>
        <w:jc w:val="center"/>
        <w:rPr>
          <w:rFonts w:ascii="Arial" w:eastAsia="Calibri" w:hAnsi="Arial" w:cs="Arial"/>
          <w:b/>
          <w:bCs/>
          <w:sz w:val="24"/>
          <w:szCs w:val="24"/>
        </w:rPr>
      </w:pPr>
      <w:r>
        <w:rPr>
          <w:rFonts w:ascii="Arial" w:eastAsia="Calibri" w:hAnsi="Arial" w:cs="Arial"/>
          <w:bCs/>
          <w:noProof/>
          <w:sz w:val="24"/>
          <w:szCs w:val="24"/>
        </w:rPr>
        <w:pict w14:anchorId="39765393">
          <v:rect id="_x0000_i1028" alt="" style="width:451pt;height:.05pt;mso-width-percent:0;mso-height-percent:0;mso-width-percent:0;mso-height-percent:0" o:hralign="center" o:hrstd="t" o:hr="t" fillcolor="#a0a0a0" stroked="f"/>
        </w:pict>
      </w:r>
    </w:p>
    <w:p w14:paraId="023478B8" w14:textId="77777777" w:rsidR="00993778" w:rsidRDefault="00993778" w:rsidP="007F05DA">
      <w:pPr>
        <w:spacing w:after="0" w:line="360" w:lineRule="auto"/>
        <w:jc w:val="both"/>
        <w:rPr>
          <w:rFonts w:ascii="Arial" w:eastAsia="Calibri" w:hAnsi="Arial" w:cs="Arial"/>
          <w:b/>
          <w:sz w:val="24"/>
          <w:szCs w:val="24"/>
        </w:rPr>
      </w:pPr>
    </w:p>
    <w:p w14:paraId="5F74E9A7" w14:textId="77777777" w:rsidR="007F05DA" w:rsidRPr="00993778" w:rsidRDefault="007F05DA" w:rsidP="007F05DA">
      <w:pPr>
        <w:spacing w:after="0" w:line="360" w:lineRule="auto"/>
        <w:jc w:val="both"/>
        <w:rPr>
          <w:rFonts w:ascii="Arial" w:eastAsia="Calibri" w:hAnsi="Arial" w:cs="Arial"/>
          <w:i/>
          <w:sz w:val="24"/>
          <w:szCs w:val="24"/>
        </w:rPr>
      </w:pPr>
      <w:r w:rsidRPr="00993778">
        <w:rPr>
          <w:rFonts w:ascii="Arial" w:eastAsia="Calibri" w:hAnsi="Arial" w:cs="Arial"/>
          <w:sz w:val="24"/>
          <w:szCs w:val="24"/>
        </w:rPr>
        <w:t>MASUKU, J:</w:t>
      </w:r>
    </w:p>
    <w:p w14:paraId="2334A6C7" w14:textId="77777777" w:rsidR="007F05DA" w:rsidRDefault="007F05DA" w:rsidP="007F05DA">
      <w:pPr>
        <w:spacing w:after="0" w:line="360" w:lineRule="auto"/>
        <w:jc w:val="both"/>
        <w:rPr>
          <w:rFonts w:ascii="Arial" w:eastAsia="Calibri" w:hAnsi="Arial" w:cs="Arial"/>
          <w:sz w:val="24"/>
          <w:szCs w:val="24"/>
        </w:rPr>
      </w:pPr>
    </w:p>
    <w:p w14:paraId="3BD2C483" w14:textId="1D840054" w:rsidR="00491D48" w:rsidRDefault="007F05DA" w:rsidP="00DC32EC">
      <w:pPr>
        <w:spacing w:after="0" w:line="360" w:lineRule="auto"/>
        <w:jc w:val="both"/>
        <w:rPr>
          <w:rFonts w:ascii="Arial" w:eastAsia="Calibri" w:hAnsi="Arial" w:cs="Arial"/>
          <w:sz w:val="24"/>
          <w:szCs w:val="24"/>
          <w:u w:val="single"/>
        </w:rPr>
      </w:pPr>
      <w:r w:rsidRPr="00F11092">
        <w:rPr>
          <w:rFonts w:ascii="Arial" w:eastAsia="Calibri" w:hAnsi="Arial" w:cs="Arial"/>
          <w:sz w:val="24"/>
          <w:szCs w:val="24"/>
          <w:u w:val="single"/>
        </w:rPr>
        <w:t>Introduction</w:t>
      </w:r>
    </w:p>
    <w:p w14:paraId="6C0D51EE" w14:textId="560D193C" w:rsidR="00DC32EC" w:rsidRDefault="00DC32EC" w:rsidP="00DC32EC">
      <w:pPr>
        <w:spacing w:after="0" w:line="360" w:lineRule="auto"/>
        <w:jc w:val="both"/>
        <w:rPr>
          <w:rFonts w:ascii="Arial" w:eastAsia="Calibri" w:hAnsi="Arial" w:cs="Arial"/>
          <w:sz w:val="24"/>
          <w:szCs w:val="24"/>
          <w:u w:val="single"/>
        </w:rPr>
      </w:pPr>
    </w:p>
    <w:p w14:paraId="24B5FEBA" w14:textId="77777777" w:rsidR="00491D48" w:rsidRDefault="00491D48" w:rsidP="00DC32EC">
      <w:pPr>
        <w:spacing w:after="0" w:line="360" w:lineRule="auto"/>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DC32EC" w:rsidRPr="00DC32EC">
        <w:rPr>
          <w:rFonts w:ascii="Arial" w:eastAsia="Calibri" w:hAnsi="Arial" w:cs="Arial"/>
          <w:sz w:val="24"/>
          <w:szCs w:val="24"/>
        </w:rPr>
        <w:t>This is an application</w:t>
      </w:r>
      <w:r w:rsidR="00DC32EC">
        <w:rPr>
          <w:rFonts w:ascii="Arial" w:eastAsia="Calibri" w:hAnsi="Arial" w:cs="Arial"/>
          <w:sz w:val="24"/>
          <w:szCs w:val="24"/>
        </w:rPr>
        <w:t xml:space="preserve"> for review in terms of rule 14 of the Rules of the Labour Court</w:t>
      </w:r>
      <w:r w:rsidR="0039424F">
        <w:rPr>
          <w:rStyle w:val="FootnoteReference"/>
          <w:rFonts w:ascii="Arial" w:eastAsia="Calibri" w:hAnsi="Arial" w:cs="Arial"/>
          <w:sz w:val="24"/>
          <w:szCs w:val="24"/>
        </w:rPr>
        <w:footnoteReference w:id="1"/>
      </w:r>
      <w:r w:rsidR="00DC32EC">
        <w:rPr>
          <w:rFonts w:ascii="Arial" w:eastAsia="Calibri" w:hAnsi="Arial" w:cs="Arial"/>
          <w:sz w:val="24"/>
          <w:szCs w:val="24"/>
        </w:rPr>
        <w:t xml:space="preserve">. The </w:t>
      </w:r>
      <w:r w:rsidR="00777BB0">
        <w:rPr>
          <w:rFonts w:ascii="Arial" w:eastAsia="Calibri" w:hAnsi="Arial" w:cs="Arial"/>
          <w:sz w:val="24"/>
          <w:szCs w:val="24"/>
        </w:rPr>
        <w:t>first resp</w:t>
      </w:r>
      <w:r w:rsidR="001059EC">
        <w:rPr>
          <w:rFonts w:ascii="Arial" w:eastAsia="Calibri" w:hAnsi="Arial" w:cs="Arial"/>
          <w:sz w:val="24"/>
          <w:szCs w:val="24"/>
        </w:rPr>
        <w:t>on</w:t>
      </w:r>
      <w:r w:rsidR="00777BB0">
        <w:rPr>
          <w:rFonts w:ascii="Arial" w:eastAsia="Calibri" w:hAnsi="Arial" w:cs="Arial"/>
          <w:sz w:val="24"/>
          <w:szCs w:val="24"/>
        </w:rPr>
        <w:t xml:space="preserve">dent </w:t>
      </w:r>
      <w:r>
        <w:rPr>
          <w:rFonts w:ascii="Arial" w:eastAsia="Calibri" w:hAnsi="Arial" w:cs="Arial"/>
          <w:sz w:val="24"/>
          <w:szCs w:val="24"/>
        </w:rPr>
        <w:t>initially opposed the application. He,</w:t>
      </w:r>
      <w:r w:rsidR="00777BB0">
        <w:rPr>
          <w:rFonts w:ascii="Arial" w:eastAsia="Calibri" w:hAnsi="Arial" w:cs="Arial"/>
          <w:sz w:val="24"/>
          <w:szCs w:val="24"/>
        </w:rPr>
        <w:t xml:space="preserve"> however</w:t>
      </w:r>
      <w:r>
        <w:rPr>
          <w:rFonts w:ascii="Arial" w:eastAsia="Calibri" w:hAnsi="Arial" w:cs="Arial"/>
          <w:sz w:val="24"/>
          <w:szCs w:val="24"/>
        </w:rPr>
        <w:t>, withdrew hi</w:t>
      </w:r>
      <w:r w:rsidR="00777BB0">
        <w:rPr>
          <w:rFonts w:ascii="Arial" w:eastAsia="Calibri" w:hAnsi="Arial" w:cs="Arial"/>
          <w:sz w:val="24"/>
          <w:szCs w:val="24"/>
        </w:rPr>
        <w:t>s opposition</w:t>
      </w:r>
      <w:r w:rsidR="00CE11A4">
        <w:rPr>
          <w:rFonts w:ascii="Arial" w:eastAsia="Calibri" w:hAnsi="Arial" w:cs="Arial"/>
          <w:sz w:val="24"/>
          <w:szCs w:val="24"/>
        </w:rPr>
        <w:t xml:space="preserve"> shortly before the scheduled hearing of the matter</w:t>
      </w:r>
      <w:r w:rsidR="00777BB0">
        <w:rPr>
          <w:rFonts w:ascii="Arial" w:eastAsia="Calibri" w:hAnsi="Arial" w:cs="Arial"/>
          <w:sz w:val="24"/>
          <w:szCs w:val="24"/>
        </w:rPr>
        <w:t xml:space="preserve">. </w:t>
      </w:r>
      <w:r>
        <w:rPr>
          <w:rFonts w:ascii="Arial" w:eastAsia="Calibri" w:hAnsi="Arial" w:cs="Arial"/>
          <w:sz w:val="24"/>
          <w:szCs w:val="24"/>
        </w:rPr>
        <w:t>This leaves the court at large to grant the application for review.</w:t>
      </w:r>
    </w:p>
    <w:p w14:paraId="303C30B4" w14:textId="77777777" w:rsidR="00491D48" w:rsidRDefault="00491D48" w:rsidP="00DC32EC">
      <w:pPr>
        <w:spacing w:after="0" w:line="360" w:lineRule="auto"/>
        <w:jc w:val="both"/>
        <w:rPr>
          <w:rFonts w:ascii="Arial" w:eastAsia="Calibri" w:hAnsi="Arial" w:cs="Arial"/>
          <w:sz w:val="24"/>
          <w:szCs w:val="24"/>
        </w:rPr>
      </w:pPr>
    </w:p>
    <w:p w14:paraId="4F8E03B7" w14:textId="427BDD8C" w:rsidR="00DC32EC" w:rsidRDefault="00491D48" w:rsidP="00DC32EC">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Essentially, t</w:t>
      </w:r>
      <w:r w:rsidR="00777BB0">
        <w:rPr>
          <w:rFonts w:ascii="Arial" w:eastAsia="Calibri" w:hAnsi="Arial" w:cs="Arial"/>
          <w:sz w:val="24"/>
          <w:szCs w:val="24"/>
        </w:rPr>
        <w:t xml:space="preserve">he applicant </w:t>
      </w:r>
      <w:r>
        <w:rPr>
          <w:rFonts w:ascii="Arial" w:eastAsia="Calibri" w:hAnsi="Arial" w:cs="Arial"/>
          <w:sz w:val="24"/>
          <w:szCs w:val="24"/>
        </w:rPr>
        <w:t>now seeks only an order for costs, consequent upon the employment</w:t>
      </w:r>
      <w:r w:rsidR="00777BB0">
        <w:rPr>
          <w:rFonts w:ascii="Arial" w:eastAsia="Calibri" w:hAnsi="Arial" w:cs="Arial"/>
          <w:sz w:val="24"/>
          <w:szCs w:val="24"/>
        </w:rPr>
        <w:t xml:space="preserve"> of one instructing and one instructing counsel</w:t>
      </w:r>
      <w:r>
        <w:rPr>
          <w:rFonts w:ascii="Arial" w:eastAsia="Calibri" w:hAnsi="Arial" w:cs="Arial"/>
          <w:sz w:val="24"/>
          <w:szCs w:val="24"/>
        </w:rPr>
        <w:t xml:space="preserve"> in view of the respondent’s withdrawal of opposition</w:t>
      </w:r>
      <w:r w:rsidR="006C2E42">
        <w:rPr>
          <w:rFonts w:ascii="Arial" w:eastAsia="Calibri" w:hAnsi="Arial" w:cs="Arial"/>
          <w:sz w:val="24"/>
          <w:szCs w:val="24"/>
        </w:rPr>
        <w:t>. The application</w:t>
      </w:r>
      <w:r>
        <w:rPr>
          <w:rFonts w:ascii="Arial" w:eastAsia="Calibri" w:hAnsi="Arial" w:cs="Arial"/>
          <w:sz w:val="24"/>
          <w:szCs w:val="24"/>
        </w:rPr>
        <w:t xml:space="preserve"> for an order </w:t>
      </w:r>
      <w:r w:rsidR="00D95FB7">
        <w:rPr>
          <w:rFonts w:ascii="Arial" w:eastAsia="Calibri" w:hAnsi="Arial" w:cs="Arial"/>
          <w:sz w:val="24"/>
          <w:szCs w:val="24"/>
        </w:rPr>
        <w:t>f</w:t>
      </w:r>
      <w:r>
        <w:rPr>
          <w:rFonts w:ascii="Arial" w:eastAsia="Calibri" w:hAnsi="Arial" w:cs="Arial"/>
          <w:sz w:val="24"/>
          <w:szCs w:val="24"/>
        </w:rPr>
        <w:t>or</w:t>
      </w:r>
      <w:r w:rsidR="00D95FB7">
        <w:rPr>
          <w:rFonts w:ascii="Arial" w:eastAsia="Calibri" w:hAnsi="Arial" w:cs="Arial"/>
          <w:sz w:val="24"/>
          <w:szCs w:val="24"/>
        </w:rPr>
        <w:t xml:space="preserve"> cost</w:t>
      </w:r>
      <w:r>
        <w:rPr>
          <w:rFonts w:ascii="Arial" w:eastAsia="Calibri" w:hAnsi="Arial" w:cs="Arial"/>
          <w:sz w:val="24"/>
          <w:szCs w:val="24"/>
        </w:rPr>
        <w:t xml:space="preserve"> is predicat</w:t>
      </w:r>
      <w:r w:rsidR="006C2E42">
        <w:rPr>
          <w:rFonts w:ascii="Arial" w:eastAsia="Calibri" w:hAnsi="Arial" w:cs="Arial"/>
          <w:sz w:val="24"/>
          <w:szCs w:val="24"/>
        </w:rPr>
        <w:t xml:space="preserve">ed on the </w:t>
      </w:r>
      <w:r w:rsidR="00D95FB7">
        <w:rPr>
          <w:rFonts w:ascii="Arial" w:eastAsia="Calibri" w:hAnsi="Arial" w:cs="Arial"/>
          <w:sz w:val="24"/>
          <w:szCs w:val="24"/>
        </w:rPr>
        <w:t xml:space="preserve">allegation </w:t>
      </w:r>
      <w:r w:rsidR="006C2E42">
        <w:rPr>
          <w:rFonts w:ascii="Arial" w:eastAsia="Calibri" w:hAnsi="Arial" w:cs="Arial"/>
          <w:sz w:val="24"/>
          <w:szCs w:val="24"/>
        </w:rPr>
        <w:t>that the first respo</w:t>
      </w:r>
      <w:r w:rsidR="00B66FA9">
        <w:rPr>
          <w:rFonts w:ascii="Arial" w:eastAsia="Calibri" w:hAnsi="Arial" w:cs="Arial"/>
          <w:sz w:val="24"/>
          <w:szCs w:val="24"/>
        </w:rPr>
        <w:t>n</w:t>
      </w:r>
      <w:r w:rsidR="006C2E42">
        <w:rPr>
          <w:rFonts w:ascii="Arial" w:eastAsia="Calibri" w:hAnsi="Arial" w:cs="Arial"/>
          <w:sz w:val="24"/>
          <w:szCs w:val="24"/>
        </w:rPr>
        <w:t>dent</w:t>
      </w:r>
      <w:r w:rsidR="00D95FB7">
        <w:rPr>
          <w:rFonts w:ascii="Arial" w:eastAsia="Calibri" w:hAnsi="Arial" w:cs="Arial"/>
          <w:sz w:val="24"/>
          <w:szCs w:val="24"/>
        </w:rPr>
        <w:t>’s</w:t>
      </w:r>
      <w:r w:rsidR="006C2E42">
        <w:rPr>
          <w:rFonts w:ascii="Arial" w:eastAsia="Calibri" w:hAnsi="Arial" w:cs="Arial"/>
          <w:sz w:val="24"/>
          <w:szCs w:val="24"/>
        </w:rPr>
        <w:t xml:space="preserve"> conduct </w:t>
      </w:r>
      <w:r w:rsidR="00D95FB7">
        <w:rPr>
          <w:rFonts w:ascii="Arial" w:eastAsia="Calibri" w:hAnsi="Arial" w:cs="Arial"/>
          <w:sz w:val="24"/>
          <w:szCs w:val="24"/>
        </w:rPr>
        <w:t xml:space="preserve">in </w:t>
      </w:r>
      <w:r>
        <w:rPr>
          <w:rFonts w:ascii="Arial" w:eastAsia="Calibri" w:hAnsi="Arial" w:cs="Arial"/>
          <w:sz w:val="24"/>
          <w:szCs w:val="24"/>
        </w:rPr>
        <w:t xml:space="preserve">initially </w:t>
      </w:r>
      <w:r w:rsidR="00D95FB7">
        <w:rPr>
          <w:rFonts w:ascii="Arial" w:eastAsia="Calibri" w:hAnsi="Arial" w:cs="Arial"/>
          <w:sz w:val="24"/>
          <w:szCs w:val="24"/>
        </w:rPr>
        <w:t xml:space="preserve">opposing the application for review </w:t>
      </w:r>
      <w:r w:rsidR="006C2E42">
        <w:rPr>
          <w:rFonts w:ascii="Arial" w:eastAsia="Calibri" w:hAnsi="Arial" w:cs="Arial"/>
          <w:sz w:val="24"/>
          <w:szCs w:val="24"/>
        </w:rPr>
        <w:t>was frivolous</w:t>
      </w:r>
      <w:r w:rsidR="00B66FA9">
        <w:rPr>
          <w:rFonts w:ascii="Arial" w:eastAsia="Calibri" w:hAnsi="Arial" w:cs="Arial"/>
          <w:sz w:val="24"/>
          <w:szCs w:val="24"/>
        </w:rPr>
        <w:t>.</w:t>
      </w:r>
    </w:p>
    <w:p w14:paraId="4E9677B7" w14:textId="77777777" w:rsidR="00491D48" w:rsidRDefault="00491D48" w:rsidP="00DC32EC">
      <w:pPr>
        <w:spacing w:after="0" w:line="360" w:lineRule="auto"/>
        <w:jc w:val="both"/>
        <w:rPr>
          <w:rFonts w:ascii="Arial" w:eastAsia="Calibri" w:hAnsi="Arial" w:cs="Arial"/>
          <w:sz w:val="24"/>
          <w:szCs w:val="24"/>
        </w:rPr>
      </w:pPr>
    </w:p>
    <w:p w14:paraId="7D7B9433" w14:textId="7459850A" w:rsidR="00491D48" w:rsidRDefault="00491D48" w:rsidP="00DC32EC">
      <w:pPr>
        <w:spacing w:after="0" w:line="360" w:lineRule="auto"/>
        <w:jc w:val="both"/>
        <w:rPr>
          <w:rFonts w:ascii="Arial" w:eastAsia="Calibri" w:hAnsi="Arial" w:cs="Arial"/>
          <w:sz w:val="24"/>
          <w:szCs w:val="24"/>
          <w:u w:val="single"/>
        </w:rPr>
      </w:pPr>
      <w:r w:rsidRPr="00491D48">
        <w:rPr>
          <w:rFonts w:ascii="Arial" w:eastAsia="Calibri" w:hAnsi="Arial" w:cs="Arial"/>
          <w:sz w:val="24"/>
          <w:szCs w:val="24"/>
          <w:u w:val="single"/>
        </w:rPr>
        <w:lastRenderedPageBreak/>
        <w:t>The parties</w:t>
      </w:r>
    </w:p>
    <w:p w14:paraId="2951B56A" w14:textId="77777777" w:rsidR="00491D48" w:rsidRDefault="00491D48" w:rsidP="00DC32EC">
      <w:pPr>
        <w:spacing w:after="0" w:line="360" w:lineRule="auto"/>
        <w:jc w:val="both"/>
        <w:rPr>
          <w:rFonts w:ascii="Arial" w:eastAsia="Calibri" w:hAnsi="Arial" w:cs="Arial"/>
          <w:sz w:val="24"/>
          <w:szCs w:val="24"/>
          <w:u w:val="single"/>
        </w:rPr>
      </w:pPr>
    </w:p>
    <w:p w14:paraId="3EA962D3" w14:textId="04B27165" w:rsidR="00491D48" w:rsidRDefault="00491D48" w:rsidP="00DC32EC">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applicant is the Namibia Estate Agents Board</w:t>
      </w:r>
      <w:r w:rsidR="000234C5">
        <w:rPr>
          <w:rFonts w:ascii="Arial" w:eastAsia="Calibri" w:hAnsi="Arial" w:cs="Arial"/>
          <w:sz w:val="24"/>
          <w:szCs w:val="24"/>
        </w:rPr>
        <w:t>, a statutory body established in terms of the provisions of the Namibia Estates Agent Board Act</w:t>
      </w:r>
      <w:r w:rsidR="000234C5">
        <w:rPr>
          <w:rStyle w:val="FootnoteReference"/>
          <w:rFonts w:ascii="Arial" w:eastAsia="Calibri" w:hAnsi="Arial" w:cs="Arial"/>
          <w:sz w:val="24"/>
          <w:szCs w:val="24"/>
        </w:rPr>
        <w:footnoteReference w:id="2"/>
      </w:r>
      <w:r w:rsidR="000234C5">
        <w:rPr>
          <w:rFonts w:ascii="Arial" w:eastAsia="Calibri" w:hAnsi="Arial" w:cs="Arial"/>
          <w:sz w:val="24"/>
          <w:szCs w:val="24"/>
        </w:rPr>
        <w:t>. The applicant, on 1 January 2013</w:t>
      </w:r>
      <w:r>
        <w:rPr>
          <w:rFonts w:ascii="Arial" w:eastAsia="Calibri" w:hAnsi="Arial" w:cs="Arial"/>
          <w:sz w:val="24"/>
          <w:szCs w:val="24"/>
        </w:rPr>
        <w:t xml:space="preserve"> entered into a contract of employment with the 1</w:t>
      </w:r>
      <w:r w:rsidRPr="00491D48">
        <w:rPr>
          <w:rFonts w:ascii="Arial" w:eastAsia="Calibri" w:hAnsi="Arial" w:cs="Arial"/>
          <w:sz w:val="24"/>
          <w:szCs w:val="24"/>
          <w:vertAlign w:val="superscript"/>
        </w:rPr>
        <w:t>st</w:t>
      </w:r>
      <w:r>
        <w:rPr>
          <w:rFonts w:ascii="Arial" w:eastAsia="Calibri" w:hAnsi="Arial" w:cs="Arial"/>
          <w:sz w:val="24"/>
          <w:szCs w:val="24"/>
        </w:rPr>
        <w:t xml:space="preserve"> respondent, Mr. Richard A. G. Steen</w:t>
      </w:r>
      <w:r w:rsidR="000234C5">
        <w:rPr>
          <w:rFonts w:ascii="Arial" w:eastAsia="Calibri" w:hAnsi="Arial" w:cs="Arial"/>
          <w:sz w:val="24"/>
          <w:szCs w:val="24"/>
        </w:rPr>
        <w:t>, as its manager</w:t>
      </w:r>
      <w:r>
        <w:rPr>
          <w:rFonts w:ascii="Arial" w:eastAsia="Calibri" w:hAnsi="Arial" w:cs="Arial"/>
          <w:sz w:val="24"/>
          <w:szCs w:val="24"/>
        </w:rPr>
        <w:t>. This contract ended when the applicant dismissed the 1</w:t>
      </w:r>
      <w:r w:rsidRPr="00491D48">
        <w:rPr>
          <w:rFonts w:ascii="Arial" w:eastAsia="Calibri" w:hAnsi="Arial" w:cs="Arial"/>
          <w:sz w:val="24"/>
          <w:szCs w:val="24"/>
          <w:vertAlign w:val="superscript"/>
        </w:rPr>
        <w:t>st</w:t>
      </w:r>
      <w:r>
        <w:rPr>
          <w:rFonts w:ascii="Arial" w:eastAsia="Calibri" w:hAnsi="Arial" w:cs="Arial"/>
          <w:sz w:val="24"/>
          <w:szCs w:val="24"/>
        </w:rPr>
        <w:t xml:space="preserve"> respondent on allegations of impropri</w:t>
      </w:r>
      <w:r w:rsidR="000234C5">
        <w:rPr>
          <w:rFonts w:ascii="Arial" w:eastAsia="Calibri" w:hAnsi="Arial" w:cs="Arial"/>
          <w:sz w:val="24"/>
          <w:szCs w:val="24"/>
        </w:rPr>
        <w:t>ety on 14 August 2015. Dissatisfied with the dismissal, th</w:t>
      </w:r>
      <w:r>
        <w:rPr>
          <w:rFonts w:ascii="Arial" w:eastAsia="Calibri" w:hAnsi="Arial" w:cs="Arial"/>
          <w:sz w:val="24"/>
          <w:szCs w:val="24"/>
        </w:rPr>
        <w:t xml:space="preserve">e </w:t>
      </w:r>
      <w:r w:rsidR="000234C5">
        <w:rPr>
          <w:rFonts w:ascii="Arial" w:eastAsia="Calibri" w:hAnsi="Arial" w:cs="Arial"/>
          <w:sz w:val="24"/>
          <w:szCs w:val="24"/>
        </w:rPr>
        <w:t xml:space="preserve">respondent </w:t>
      </w:r>
      <w:r>
        <w:rPr>
          <w:rFonts w:ascii="Arial" w:eastAsia="Calibri" w:hAnsi="Arial" w:cs="Arial"/>
          <w:sz w:val="24"/>
          <w:szCs w:val="24"/>
        </w:rPr>
        <w:t>lodged a dispute of unfair dismissal before the office of the Labour Commissioner. The process culminated in an arbitration conducted by the 2</w:t>
      </w:r>
      <w:r w:rsidRPr="00491D48">
        <w:rPr>
          <w:rFonts w:ascii="Arial" w:eastAsia="Calibri" w:hAnsi="Arial" w:cs="Arial"/>
          <w:sz w:val="24"/>
          <w:szCs w:val="24"/>
          <w:vertAlign w:val="superscript"/>
        </w:rPr>
        <w:t>nd</w:t>
      </w:r>
      <w:r>
        <w:rPr>
          <w:rFonts w:ascii="Arial" w:eastAsia="Calibri" w:hAnsi="Arial" w:cs="Arial"/>
          <w:sz w:val="24"/>
          <w:szCs w:val="24"/>
        </w:rPr>
        <w:t xml:space="preserve"> respondent, Ms. Alina Indombo. </w:t>
      </w:r>
    </w:p>
    <w:p w14:paraId="4CB4F0E1" w14:textId="77777777" w:rsidR="000234C5" w:rsidRDefault="000234C5" w:rsidP="00DC32EC">
      <w:pPr>
        <w:spacing w:after="0" w:line="360" w:lineRule="auto"/>
        <w:jc w:val="both"/>
        <w:rPr>
          <w:rFonts w:ascii="Arial" w:eastAsia="Calibri" w:hAnsi="Arial" w:cs="Arial"/>
          <w:sz w:val="24"/>
          <w:szCs w:val="24"/>
        </w:rPr>
      </w:pPr>
    </w:p>
    <w:p w14:paraId="086E5A21" w14:textId="3661C99A" w:rsidR="00491D48" w:rsidRPr="00491D48" w:rsidRDefault="000234C5" w:rsidP="00DC32EC">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491D48">
        <w:rPr>
          <w:rFonts w:ascii="Arial" w:eastAsia="Calibri" w:hAnsi="Arial" w:cs="Arial"/>
          <w:sz w:val="24"/>
          <w:szCs w:val="24"/>
        </w:rPr>
        <w:t>[4]</w:t>
      </w:r>
      <w:r w:rsidR="00491D48">
        <w:rPr>
          <w:rFonts w:ascii="Arial" w:eastAsia="Calibri" w:hAnsi="Arial" w:cs="Arial"/>
          <w:sz w:val="24"/>
          <w:szCs w:val="24"/>
        </w:rPr>
        <w:tab/>
        <w:t>I shall, for purposes of this judgment, refer to the applicant as such. In view of the fact that the respondent did not oppose, nor join issue in this matter, I shall refer to Mr. Steen as the respondent, save in occasions when it may be necessary to refer to the 2</w:t>
      </w:r>
      <w:r w:rsidR="00491D48" w:rsidRPr="00491D48">
        <w:rPr>
          <w:rFonts w:ascii="Arial" w:eastAsia="Calibri" w:hAnsi="Arial" w:cs="Arial"/>
          <w:sz w:val="24"/>
          <w:szCs w:val="24"/>
          <w:vertAlign w:val="superscript"/>
        </w:rPr>
        <w:t>nd</w:t>
      </w:r>
      <w:r w:rsidR="00491D48">
        <w:rPr>
          <w:rFonts w:ascii="Arial" w:eastAsia="Calibri" w:hAnsi="Arial" w:cs="Arial"/>
          <w:sz w:val="24"/>
          <w:szCs w:val="24"/>
        </w:rPr>
        <w:t xml:space="preserve"> respondent as well.</w:t>
      </w:r>
    </w:p>
    <w:p w14:paraId="638E8135" w14:textId="1F0525E9" w:rsidR="00D95FB7" w:rsidRDefault="00D95FB7" w:rsidP="00DC32EC">
      <w:pPr>
        <w:spacing w:after="0" w:line="360" w:lineRule="auto"/>
        <w:jc w:val="both"/>
        <w:rPr>
          <w:rFonts w:ascii="Arial" w:eastAsia="Calibri" w:hAnsi="Arial" w:cs="Arial"/>
          <w:sz w:val="24"/>
          <w:szCs w:val="24"/>
        </w:rPr>
      </w:pPr>
    </w:p>
    <w:p w14:paraId="238C28AC" w14:textId="26459119" w:rsidR="00D95FB7" w:rsidRDefault="00491D48" w:rsidP="00DC32EC">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The background</w:t>
      </w:r>
    </w:p>
    <w:p w14:paraId="24EF0A5E" w14:textId="77777777" w:rsidR="00491D48" w:rsidRDefault="00491D48" w:rsidP="00DC32EC">
      <w:pPr>
        <w:spacing w:after="0" w:line="360" w:lineRule="auto"/>
        <w:jc w:val="both"/>
        <w:rPr>
          <w:rFonts w:ascii="Arial" w:eastAsia="Calibri" w:hAnsi="Arial" w:cs="Arial"/>
          <w:sz w:val="24"/>
          <w:szCs w:val="24"/>
          <w:u w:val="single"/>
        </w:rPr>
      </w:pPr>
    </w:p>
    <w:p w14:paraId="30E5505A" w14:textId="41A2C122" w:rsidR="00D95FB7" w:rsidRDefault="00491D48" w:rsidP="00DC32EC">
      <w:pPr>
        <w:spacing w:after="0" w:line="360" w:lineRule="auto"/>
        <w:jc w:val="both"/>
        <w:rPr>
          <w:rFonts w:ascii="Arial" w:eastAsia="Calibri" w:hAnsi="Arial" w:cs="Arial"/>
          <w:sz w:val="24"/>
          <w:szCs w:val="24"/>
        </w:rPr>
      </w:pPr>
      <w:r>
        <w:rPr>
          <w:rFonts w:ascii="Arial" w:eastAsia="Calibri" w:hAnsi="Arial" w:cs="Arial"/>
          <w:sz w:val="24"/>
          <w:szCs w:val="24"/>
        </w:rPr>
        <w:t>[5</w:t>
      </w:r>
      <w:r w:rsidR="00D95FB7" w:rsidRPr="00D95FB7">
        <w:rPr>
          <w:rFonts w:ascii="Arial" w:eastAsia="Calibri" w:hAnsi="Arial" w:cs="Arial"/>
          <w:sz w:val="24"/>
          <w:szCs w:val="24"/>
        </w:rPr>
        <w:t>]</w:t>
      </w:r>
      <w:r>
        <w:rPr>
          <w:rFonts w:ascii="Arial" w:eastAsia="Calibri" w:hAnsi="Arial" w:cs="Arial"/>
          <w:sz w:val="24"/>
          <w:szCs w:val="24"/>
        </w:rPr>
        <w:tab/>
      </w:r>
      <w:r w:rsidR="00D95FB7">
        <w:rPr>
          <w:rFonts w:ascii="Arial" w:eastAsia="Calibri" w:hAnsi="Arial" w:cs="Arial"/>
          <w:sz w:val="24"/>
          <w:szCs w:val="24"/>
        </w:rPr>
        <w:t>The applicant instituted review proceedings in terms of rule</w:t>
      </w:r>
      <w:r>
        <w:rPr>
          <w:rFonts w:ascii="Arial" w:eastAsia="Calibri" w:hAnsi="Arial" w:cs="Arial"/>
          <w:sz w:val="24"/>
          <w:szCs w:val="24"/>
        </w:rPr>
        <w:t xml:space="preserve"> 14 of the Rules of this court. It essentially sought an order that the decisions and/or rulings, taken by the 2</w:t>
      </w:r>
      <w:r w:rsidRPr="00491D48">
        <w:rPr>
          <w:rFonts w:ascii="Arial" w:eastAsia="Calibri" w:hAnsi="Arial" w:cs="Arial"/>
          <w:sz w:val="24"/>
          <w:szCs w:val="24"/>
          <w:vertAlign w:val="superscript"/>
        </w:rPr>
        <w:t>nd</w:t>
      </w:r>
      <w:r>
        <w:rPr>
          <w:rFonts w:ascii="Arial" w:eastAsia="Calibri" w:hAnsi="Arial" w:cs="Arial"/>
          <w:sz w:val="24"/>
          <w:szCs w:val="24"/>
        </w:rPr>
        <w:t xml:space="preserve"> </w:t>
      </w:r>
      <w:r w:rsidR="00D95FB7">
        <w:rPr>
          <w:rFonts w:ascii="Arial" w:eastAsia="Calibri" w:hAnsi="Arial" w:cs="Arial"/>
          <w:sz w:val="24"/>
          <w:szCs w:val="24"/>
        </w:rPr>
        <w:t>re</w:t>
      </w:r>
      <w:r>
        <w:rPr>
          <w:rFonts w:ascii="Arial" w:eastAsia="Calibri" w:hAnsi="Arial" w:cs="Arial"/>
          <w:sz w:val="24"/>
          <w:szCs w:val="24"/>
        </w:rPr>
        <w:t>spondent on 27 September 2017</w:t>
      </w:r>
      <w:r w:rsidR="00D95FB7">
        <w:rPr>
          <w:rFonts w:ascii="Arial" w:eastAsia="Calibri" w:hAnsi="Arial" w:cs="Arial"/>
          <w:sz w:val="24"/>
          <w:szCs w:val="24"/>
        </w:rPr>
        <w:t xml:space="preserve"> be reviewed and set aside. The applicant spe</w:t>
      </w:r>
      <w:r w:rsidR="009131AC">
        <w:rPr>
          <w:rFonts w:ascii="Arial" w:eastAsia="Calibri" w:hAnsi="Arial" w:cs="Arial"/>
          <w:sz w:val="24"/>
          <w:szCs w:val="24"/>
        </w:rPr>
        <w:t>ci</w:t>
      </w:r>
      <w:r w:rsidR="00D95FB7">
        <w:rPr>
          <w:rFonts w:ascii="Arial" w:eastAsia="Calibri" w:hAnsi="Arial" w:cs="Arial"/>
          <w:sz w:val="24"/>
          <w:szCs w:val="24"/>
        </w:rPr>
        <w:t>f</w:t>
      </w:r>
      <w:r>
        <w:rPr>
          <w:rFonts w:ascii="Arial" w:eastAsia="Calibri" w:hAnsi="Arial" w:cs="Arial"/>
          <w:sz w:val="24"/>
          <w:szCs w:val="24"/>
        </w:rPr>
        <w:t>ically prayed for the following orders</w:t>
      </w:r>
      <w:r w:rsidR="00D95FB7">
        <w:rPr>
          <w:rFonts w:ascii="Arial" w:eastAsia="Calibri" w:hAnsi="Arial" w:cs="Arial"/>
          <w:sz w:val="24"/>
          <w:szCs w:val="24"/>
        </w:rPr>
        <w:t xml:space="preserve">: </w:t>
      </w:r>
    </w:p>
    <w:p w14:paraId="1BD80215" w14:textId="77777777" w:rsidR="00491D48" w:rsidRDefault="00491D48" w:rsidP="00DC32EC">
      <w:pPr>
        <w:spacing w:after="0" w:line="360" w:lineRule="auto"/>
        <w:jc w:val="both"/>
        <w:rPr>
          <w:rFonts w:ascii="Arial" w:eastAsia="Calibri" w:hAnsi="Arial" w:cs="Arial"/>
          <w:sz w:val="24"/>
          <w:szCs w:val="24"/>
        </w:rPr>
      </w:pPr>
    </w:p>
    <w:p w14:paraId="1BF6C98B" w14:textId="254139C3" w:rsidR="00D95FB7" w:rsidRPr="0047390B" w:rsidRDefault="00491D48" w:rsidP="00DC32EC">
      <w:pPr>
        <w:spacing w:after="0" w:line="360" w:lineRule="auto"/>
        <w:jc w:val="both"/>
        <w:rPr>
          <w:rFonts w:ascii="Arial" w:eastAsia="Calibri" w:hAnsi="Arial" w:cs="Arial"/>
        </w:rPr>
      </w:pPr>
      <w:r>
        <w:rPr>
          <w:rFonts w:ascii="Arial" w:eastAsia="Calibri" w:hAnsi="Arial" w:cs="Arial"/>
        </w:rPr>
        <w:t>(a) The decisions/</w:t>
      </w:r>
      <w:r w:rsidR="009131AC" w:rsidRPr="0047390B">
        <w:rPr>
          <w:rFonts w:ascii="Arial" w:eastAsia="Calibri" w:hAnsi="Arial" w:cs="Arial"/>
        </w:rPr>
        <w:t>rulings of the second respo</w:t>
      </w:r>
      <w:r w:rsidR="00CD0319" w:rsidRPr="0047390B">
        <w:rPr>
          <w:rFonts w:ascii="Arial" w:eastAsia="Calibri" w:hAnsi="Arial" w:cs="Arial"/>
        </w:rPr>
        <w:t>n</w:t>
      </w:r>
      <w:r w:rsidR="009131AC" w:rsidRPr="0047390B">
        <w:rPr>
          <w:rFonts w:ascii="Arial" w:eastAsia="Calibri" w:hAnsi="Arial" w:cs="Arial"/>
        </w:rPr>
        <w:t>dent refusing to compel the first respo</w:t>
      </w:r>
      <w:r w:rsidR="00CD0319" w:rsidRPr="0047390B">
        <w:rPr>
          <w:rFonts w:ascii="Arial" w:eastAsia="Calibri" w:hAnsi="Arial" w:cs="Arial"/>
        </w:rPr>
        <w:t>n</w:t>
      </w:r>
      <w:r w:rsidR="009131AC" w:rsidRPr="0047390B">
        <w:rPr>
          <w:rFonts w:ascii="Arial" w:eastAsia="Calibri" w:hAnsi="Arial" w:cs="Arial"/>
        </w:rPr>
        <w:t>dent to provide the applicant with the following documentation:</w:t>
      </w:r>
    </w:p>
    <w:p w14:paraId="0E01D4AA" w14:textId="20B247E7" w:rsidR="00D95FB7" w:rsidRPr="0047390B" w:rsidRDefault="00CD0319" w:rsidP="00491D48">
      <w:pPr>
        <w:spacing w:after="0" w:line="360" w:lineRule="auto"/>
        <w:jc w:val="both"/>
        <w:rPr>
          <w:rFonts w:ascii="Arial" w:eastAsia="Calibri" w:hAnsi="Arial" w:cs="Arial"/>
        </w:rPr>
      </w:pPr>
      <w:r w:rsidRPr="0047390B">
        <w:rPr>
          <w:rFonts w:ascii="Arial" w:eastAsia="Calibri" w:hAnsi="Arial" w:cs="Arial"/>
        </w:rPr>
        <w:t>(i)</w:t>
      </w:r>
      <w:r w:rsidR="00D95FB7" w:rsidRPr="0047390B">
        <w:rPr>
          <w:rFonts w:ascii="Arial" w:eastAsia="Calibri" w:hAnsi="Arial" w:cs="Arial"/>
        </w:rPr>
        <w:t xml:space="preserve"> </w:t>
      </w:r>
      <w:r w:rsidR="009131AC" w:rsidRPr="0047390B">
        <w:rPr>
          <w:rFonts w:ascii="Arial" w:eastAsia="Calibri" w:hAnsi="Arial" w:cs="Arial"/>
        </w:rPr>
        <w:t>All records of income received by the first respo</w:t>
      </w:r>
      <w:r w:rsidRPr="0047390B">
        <w:rPr>
          <w:rFonts w:ascii="Arial" w:eastAsia="Calibri" w:hAnsi="Arial" w:cs="Arial"/>
        </w:rPr>
        <w:t>n</w:t>
      </w:r>
      <w:r w:rsidR="009131AC" w:rsidRPr="0047390B">
        <w:rPr>
          <w:rFonts w:ascii="Arial" w:eastAsia="Calibri" w:hAnsi="Arial" w:cs="Arial"/>
        </w:rPr>
        <w:t>dent from 1 August 2015 to the date of hearing</w:t>
      </w:r>
      <w:r w:rsidRPr="0047390B">
        <w:rPr>
          <w:rFonts w:ascii="Arial" w:eastAsia="Calibri" w:hAnsi="Arial" w:cs="Arial"/>
        </w:rPr>
        <w:t>;</w:t>
      </w:r>
    </w:p>
    <w:p w14:paraId="28DB435F" w14:textId="38A4FEB1" w:rsidR="00CD0319" w:rsidRPr="00491D48" w:rsidRDefault="00491D48" w:rsidP="00491D48">
      <w:pPr>
        <w:spacing w:after="0" w:line="360" w:lineRule="auto"/>
        <w:jc w:val="both"/>
        <w:rPr>
          <w:rFonts w:ascii="Arial" w:eastAsia="Calibri" w:hAnsi="Arial" w:cs="Arial"/>
        </w:rPr>
      </w:pPr>
      <w:r>
        <w:rPr>
          <w:rFonts w:ascii="Arial" w:eastAsia="Calibri" w:hAnsi="Arial" w:cs="Arial"/>
        </w:rPr>
        <w:t>(ii)</w:t>
      </w:r>
      <w:r w:rsidR="009131AC" w:rsidRPr="00491D48">
        <w:rPr>
          <w:rFonts w:ascii="Arial" w:eastAsia="Calibri" w:hAnsi="Arial" w:cs="Arial"/>
        </w:rPr>
        <w:t xml:space="preserve">Records of all investments and return for the tax years end of February 2015 </w:t>
      </w:r>
    </w:p>
    <w:p w14:paraId="48F93E73" w14:textId="7A1F9670" w:rsidR="009131AC" w:rsidRPr="0047390B" w:rsidRDefault="009131AC" w:rsidP="00491D48">
      <w:pPr>
        <w:spacing w:after="0" w:line="360" w:lineRule="auto"/>
        <w:jc w:val="both"/>
        <w:rPr>
          <w:rFonts w:ascii="Arial" w:eastAsia="Calibri" w:hAnsi="Arial" w:cs="Arial"/>
        </w:rPr>
      </w:pPr>
      <w:r w:rsidRPr="0047390B">
        <w:rPr>
          <w:rFonts w:ascii="Arial" w:eastAsia="Calibri" w:hAnsi="Arial" w:cs="Arial"/>
        </w:rPr>
        <w:t>to date of hearing;</w:t>
      </w:r>
    </w:p>
    <w:p w14:paraId="6BFAD923" w14:textId="45A78327" w:rsidR="008025C5" w:rsidRPr="00491D48" w:rsidRDefault="00491D48" w:rsidP="00491D48">
      <w:pPr>
        <w:spacing w:after="0" w:line="360" w:lineRule="auto"/>
        <w:jc w:val="both"/>
        <w:rPr>
          <w:rFonts w:ascii="Arial" w:eastAsia="Calibri" w:hAnsi="Arial" w:cs="Arial"/>
        </w:rPr>
      </w:pPr>
      <w:r>
        <w:rPr>
          <w:rFonts w:ascii="Arial" w:eastAsia="Calibri" w:hAnsi="Arial" w:cs="Arial"/>
        </w:rPr>
        <w:t>(iii)</w:t>
      </w:r>
      <w:r w:rsidR="009131AC" w:rsidRPr="00491D48">
        <w:rPr>
          <w:rFonts w:ascii="Arial" w:eastAsia="Calibri" w:hAnsi="Arial" w:cs="Arial"/>
        </w:rPr>
        <w:t>First respo</w:t>
      </w:r>
      <w:r w:rsidR="00CD0319" w:rsidRPr="00491D48">
        <w:rPr>
          <w:rFonts w:ascii="Arial" w:eastAsia="Calibri" w:hAnsi="Arial" w:cs="Arial"/>
        </w:rPr>
        <w:t>n</w:t>
      </w:r>
      <w:r w:rsidR="009131AC" w:rsidRPr="00491D48">
        <w:rPr>
          <w:rFonts w:ascii="Arial" w:eastAsia="Calibri" w:hAnsi="Arial" w:cs="Arial"/>
        </w:rPr>
        <w:t>dent’s income tax returns for the tax years end of February</w:t>
      </w:r>
      <w:r w:rsidR="008025C5" w:rsidRPr="00491D48">
        <w:rPr>
          <w:rFonts w:ascii="Arial" w:eastAsia="Calibri" w:hAnsi="Arial" w:cs="Arial"/>
        </w:rPr>
        <w:t xml:space="preserve"> </w:t>
      </w:r>
    </w:p>
    <w:p w14:paraId="0DBDA2AB" w14:textId="66FF7BC1" w:rsidR="009131AC" w:rsidRPr="0047390B" w:rsidRDefault="009131AC" w:rsidP="008025C5">
      <w:pPr>
        <w:spacing w:after="0" w:line="360" w:lineRule="auto"/>
        <w:ind w:left="360"/>
        <w:jc w:val="both"/>
        <w:rPr>
          <w:rFonts w:ascii="Arial" w:eastAsia="Calibri" w:hAnsi="Arial" w:cs="Arial"/>
        </w:rPr>
      </w:pPr>
      <w:r w:rsidRPr="0047390B">
        <w:rPr>
          <w:rFonts w:ascii="Arial" w:eastAsia="Calibri" w:hAnsi="Arial" w:cs="Arial"/>
        </w:rPr>
        <w:t>2015 and onwards;</w:t>
      </w:r>
    </w:p>
    <w:p w14:paraId="5289A530" w14:textId="3630D86F" w:rsidR="00CD0319" w:rsidRPr="00491D48" w:rsidRDefault="00491D48" w:rsidP="00491D48">
      <w:pPr>
        <w:spacing w:after="0" w:line="360" w:lineRule="auto"/>
        <w:jc w:val="both"/>
        <w:rPr>
          <w:rFonts w:ascii="Arial" w:eastAsia="Calibri" w:hAnsi="Arial" w:cs="Arial"/>
        </w:rPr>
      </w:pPr>
      <w:r>
        <w:rPr>
          <w:rFonts w:ascii="Arial" w:eastAsia="Calibri" w:hAnsi="Arial" w:cs="Arial"/>
        </w:rPr>
        <w:t xml:space="preserve">(iv) </w:t>
      </w:r>
      <w:r w:rsidR="009131AC" w:rsidRPr="00491D48">
        <w:rPr>
          <w:rFonts w:ascii="Arial" w:eastAsia="Calibri" w:hAnsi="Arial" w:cs="Arial"/>
        </w:rPr>
        <w:t>All financial statements of business/ enterprise in which the first respo</w:t>
      </w:r>
      <w:r w:rsidR="00CD0319" w:rsidRPr="00491D48">
        <w:rPr>
          <w:rFonts w:ascii="Arial" w:eastAsia="Calibri" w:hAnsi="Arial" w:cs="Arial"/>
        </w:rPr>
        <w:t>n</w:t>
      </w:r>
      <w:r w:rsidR="009131AC" w:rsidRPr="00491D48">
        <w:rPr>
          <w:rFonts w:ascii="Arial" w:eastAsia="Calibri" w:hAnsi="Arial" w:cs="Arial"/>
        </w:rPr>
        <w:t xml:space="preserve">dent </w:t>
      </w:r>
    </w:p>
    <w:p w14:paraId="7C10B936" w14:textId="42C9CB50" w:rsidR="009131AC" w:rsidRPr="00CD0319" w:rsidRDefault="009131AC" w:rsidP="00CD0319">
      <w:pPr>
        <w:spacing w:after="0" w:line="360" w:lineRule="auto"/>
        <w:ind w:left="360"/>
        <w:jc w:val="both"/>
        <w:rPr>
          <w:rFonts w:ascii="Arial" w:eastAsia="Calibri" w:hAnsi="Arial" w:cs="Arial"/>
          <w:sz w:val="24"/>
          <w:szCs w:val="24"/>
        </w:rPr>
      </w:pPr>
      <w:r w:rsidRPr="0047390B">
        <w:rPr>
          <w:rFonts w:ascii="Arial" w:eastAsia="Calibri" w:hAnsi="Arial" w:cs="Arial"/>
        </w:rPr>
        <w:t>had a financial interest in from 1 August 2015 to date of hearing</w:t>
      </w:r>
      <w:r w:rsidRPr="00CD0319">
        <w:rPr>
          <w:rFonts w:ascii="Arial" w:eastAsia="Calibri" w:hAnsi="Arial" w:cs="Arial"/>
          <w:sz w:val="24"/>
          <w:szCs w:val="24"/>
        </w:rPr>
        <w:t>;</w:t>
      </w:r>
    </w:p>
    <w:p w14:paraId="255023CD" w14:textId="0E7A32F3" w:rsidR="009131AC" w:rsidRDefault="009131AC" w:rsidP="009131AC">
      <w:pPr>
        <w:pStyle w:val="ListParagraph"/>
        <w:spacing w:after="0" w:line="360" w:lineRule="auto"/>
        <w:jc w:val="both"/>
        <w:rPr>
          <w:rFonts w:ascii="Arial" w:eastAsia="Calibri" w:hAnsi="Arial" w:cs="Arial"/>
          <w:sz w:val="24"/>
          <w:szCs w:val="24"/>
        </w:rPr>
      </w:pPr>
    </w:p>
    <w:p w14:paraId="01014A58" w14:textId="76137DE4" w:rsidR="009131AC" w:rsidRPr="0047390B" w:rsidRDefault="00CD0319" w:rsidP="00CD0319">
      <w:pPr>
        <w:spacing w:after="0" w:line="360" w:lineRule="auto"/>
        <w:jc w:val="both"/>
        <w:rPr>
          <w:rFonts w:ascii="Arial" w:eastAsia="Calibri" w:hAnsi="Arial" w:cs="Arial"/>
        </w:rPr>
      </w:pPr>
      <w:r w:rsidRPr="00CD0319">
        <w:rPr>
          <w:rFonts w:ascii="Arial" w:eastAsia="Calibri" w:hAnsi="Arial" w:cs="Arial"/>
          <w:sz w:val="24"/>
          <w:szCs w:val="24"/>
        </w:rPr>
        <w:t xml:space="preserve">(b)  </w:t>
      </w:r>
      <w:r w:rsidR="00491D48">
        <w:rPr>
          <w:rFonts w:ascii="Arial" w:eastAsia="Calibri" w:hAnsi="Arial" w:cs="Arial"/>
        </w:rPr>
        <w:t>The decision/</w:t>
      </w:r>
      <w:r w:rsidR="009131AC" w:rsidRPr="0047390B">
        <w:rPr>
          <w:rFonts w:ascii="Arial" w:eastAsia="Calibri" w:hAnsi="Arial" w:cs="Arial"/>
        </w:rPr>
        <w:t>ruling of the second respo</w:t>
      </w:r>
      <w:r w:rsidRPr="0047390B">
        <w:rPr>
          <w:rFonts w:ascii="Arial" w:eastAsia="Calibri" w:hAnsi="Arial" w:cs="Arial"/>
        </w:rPr>
        <w:t>n</w:t>
      </w:r>
      <w:r w:rsidR="009131AC" w:rsidRPr="0047390B">
        <w:rPr>
          <w:rFonts w:ascii="Arial" w:eastAsia="Calibri" w:hAnsi="Arial" w:cs="Arial"/>
        </w:rPr>
        <w:t>dent refusing the applicant the right to call as a witness the first respo</w:t>
      </w:r>
      <w:r w:rsidRPr="0047390B">
        <w:rPr>
          <w:rFonts w:ascii="Arial" w:eastAsia="Calibri" w:hAnsi="Arial" w:cs="Arial"/>
        </w:rPr>
        <w:t>n</w:t>
      </w:r>
      <w:r w:rsidR="009131AC" w:rsidRPr="0047390B">
        <w:rPr>
          <w:rFonts w:ascii="Arial" w:eastAsia="Calibri" w:hAnsi="Arial" w:cs="Arial"/>
        </w:rPr>
        <w:t>dent’s bank man</w:t>
      </w:r>
      <w:r w:rsidRPr="0047390B">
        <w:rPr>
          <w:rFonts w:ascii="Arial" w:eastAsia="Calibri" w:hAnsi="Arial" w:cs="Arial"/>
        </w:rPr>
        <w:t>a</w:t>
      </w:r>
      <w:r w:rsidR="009131AC" w:rsidRPr="0047390B">
        <w:rPr>
          <w:rFonts w:ascii="Arial" w:eastAsia="Calibri" w:hAnsi="Arial" w:cs="Arial"/>
        </w:rPr>
        <w:t xml:space="preserve">ger, who had been subpoenaed </w:t>
      </w:r>
      <w:r w:rsidR="009131AC" w:rsidRPr="00491D48">
        <w:rPr>
          <w:rFonts w:ascii="Arial" w:eastAsia="Calibri" w:hAnsi="Arial" w:cs="Arial"/>
          <w:i/>
        </w:rPr>
        <w:t>duces tecum</w:t>
      </w:r>
      <w:r w:rsidR="009131AC" w:rsidRPr="0047390B">
        <w:rPr>
          <w:rFonts w:ascii="Arial" w:eastAsia="Calibri" w:hAnsi="Arial" w:cs="Arial"/>
        </w:rPr>
        <w:t xml:space="preserve"> to provide the hearing with the first respo</w:t>
      </w:r>
      <w:r w:rsidR="008025C5" w:rsidRPr="0047390B">
        <w:rPr>
          <w:rFonts w:ascii="Arial" w:eastAsia="Calibri" w:hAnsi="Arial" w:cs="Arial"/>
        </w:rPr>
        <w:t>n</w:t>
      </w:r>
      <w:r w:rsidR="009131AC" w:rsidRPr="0047390B">
        <w:rPr>
          <w:rFonts w:ascii="Arial" w:eastAsia="Calibri" w:hAnsi="Arial" w:cs="Arial"/>
        </w:rPr>
        <w:t>dent’s bank statements</w:t>
      </w:r>
      <w:r w:rsidR="000234C5">
        <w:rPr>
          <w:rFonts w:ascii="Arial" w:eastAsia="Calibri" w:hAnsi="Arial" w:cs="Arial"/>
        </w:rPr>
        <w:t xml:space="preserve"> be set aside.’</w:t>
      </w:r>
    </w:p>
    <w:p w14:paraId="72F62D47" w14:textId="6933EE4F" w:rsidR="008025C5" w:rsidRPr="0047390B" w:rsidRDefault="008025C5" w:rsidP="00CD0319">
      <w:pPr>
        <w:spacing w:after="0" w:line="360" w:lineRule="auto"/>
        <w:jc w:val="both"/>
        <w:rPr>
          <w:rFonts w:ascii="Arial" w:eastAsia="Calibri" w:hAnsi="Arial" w:cs="Arial"/>
        </w:rPr>
      </w:pPr>
    </w:p>
    <w:p w14:paraId="0A10C49F" w14:textId="3207EBF5" w:rsidR="00E159A4" w:rsidRDefault="00491D48" w:rsidP="00DC32EC">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It is pertinent to observe that t</w:t>
      </w:r>
      <w:r w:rsidR="008025C5">
        <w:rPr>
          <w:rFonts w:ascii="Arial" w:eastAsia="Calibri" w:hAnsi="Arial" w:cs="Arial"/>
          <w:sz w:val="24"/>
          <w:szCs w:val="24"/>
        </w:rPr>
        <w:t>he applicant did not initially seek an order of cost</w:t>
      </w:r>
      <w:r>
        <w:rPr>
          <w:rFonts w:ascii="Arial" w:eastAsia="Calibri" w:hAnsi="Arial" w:cs="Arial"/>
          <w:sz w:val="24"/>
          <w:szCs w:val="24"/>
        </w:rPr>
        <w:t>s against the</w:t>
      </w:r>
      <w:r w:rsidR="000234C5">
        <w:rPr>
          <w:rFonts w:ascii="Arial" w:eastAsia="Calibri" w:hAnsi="Arial" w:cs="Arial"/>
          <w:sz w:val="24"/>
          <w:szCs w:val="24"/>
        </w:rPr>
        <w:t xml:space="preserve"> respondent. This development came about his was only</w:t>
      </w:r>
      <w:r w:rsidR="008025C5">
        <w:rPr>
          <w:rFonts w:ascii="Arial" w:eastAsia="Calibri" w:hAnsi="Arial" w:cs="Arial"/>
          <w:sz w:val="24"/>
          <w:szCs w:val="24"/>
        </w:rPr>
        <w:t xml:space="preserve"> when the first respondent withdrew his opposition to the review application</w:t>
      </w:r>
      <w:r w:rsidR="000234C5">
        <w:rPr>
          <w:rFonts w:ascii="Arial" w:eastAsia="Calibri" w:hAnsi="Arial" w:cs="Arial"/>
          <w:sz w:val="24"/>
          <w:szCs w:val="24"/>
        </w:rPr>
        <w:t xml:space="preserve"> as indicated above.</w:t>
      </w:r>
    </w:p>
    <w:p w14:paraId="2ED24651" w14:textId="77777777" w:rsidR="0002372C" w:rsidRDefault="0002372C" w:rsidP="00DC32EC">
      <w:pPr>
        <w:spacing w:after="0" w:line="360" w:lineRule="auto"/>
        <w:jc w:val="both"/>
        <w:rPr>
          <w:rFonts w:ascii="Arial" w:eastAsia="Calibri" w:hAnsi="Arial" w:cs="Arial"/>
          <w:sz w:val="24"/>
          <w:szCs w:val="24"/>
        </w:rPr>
      </w:pPr>
    </w:p>
    <w:p w14:paraId="6770E2C3" w14:textId="6419777D" w:rsidR="00E159A4" w:rsidRPr="00E159A4" w:rsidRDefault="000234C5" w:rsidP="00DC32EC">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Pertinent facts</w:t>
      </w:r>
    </w:p>
    <w:p w14:paraId="703045F8" w14:textId="06F9268B" w:rsidR="001059EC" w:rsidRDefault="001059EC" w:rsidP="00DC32EC">
      <w:pPr>
        <w:spacing w:after="0" w:line="360" w:lineRule="auto"/>
        <w:jc w:val="both"/>
        <w:rPr>
          <w:rFonts w:ascii="Arial" w:eastAsia="Calibri" w:hAnsi="Arial" w:cs="Arial"/>
          <w:sz w:val="24"/>
          <w:szCs w:val="24"/>
        </w:rPr>
      </w:pPr>
    </w:p>
    <w:p w14:paraId="3FC7247C" w14:textId="32791A6A" w:rsidR="00B66FA9" w:rsidRDefault="001059EC"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8025C5">
        <w:rPr>
          <w:rFonts w:ascii="Arial" w:eastAsia="Calibri" w:hAnsi="Arial" w:cs="Arial"/>
          <w:sz w:val="24"/>
          <w:szCs w:val="24"/>
        </w:rPr>
        <w:t>5</w:t>
      </w:r>
      <w:r w:rsidR="000234C5">
        <w:rPr>
          <w:rFonts w:ascii="Arial" w:eastAsia="Calibri" w:hAnsi="Arial" w:cs="Arial"/>
          <w:sz w:val="24"/>
          <w:szCs w:val="24"/>
        </w:rPr>
        <w:t>]</w:t>
      </w:r>
      <w:r w:rsidR="000234C5">
        <w:rPr>
          <w:rFonts w:ascii="Arial" w:eastAsia="Calibri" w:hAnsi="Arial" w:cs="Arial"/>
          <w:sz w:val="24"/>
          <w:szCs w:val="24"/>
        </w:rPr>
        <w:tab/>
      </w:r>
      <w:r>
        <w:rPr>
          <w:rFonts w:ascii="Arial" w:eastAsia="Calibri" w:hAnsi="Arial" w:cs="Arial"/>
          <w:sz w:val="24"/>
          <w:szCs w:val="24"/>
        </w:rPr>
        <w:t>The first respo</w:t>
      </w:r>
      <w:r w:rsidR="007A48B0">
        <w:rPr>
          <w:rFonts w:ascii="Arial" w:eastAsia="Calibri" w:hAnsi="Arial" w:cs="Arial"/>
          <w:sz w:val="24"/>
          <w:szCs w:val="24"/>
        </w:rPr>
        <w:t>n</w:t>
      </w:r>
      <w:r>
        <w:rPr>
          <w:rFonts w:ascii="Arial" w:eastAsia="Calibri" w:hAnsi="Arial" w:cs="Arial"/>
          <w:sz w:val="24"/>
          <w:szCs w:val="24"/>
        </w:rPr>
        <w:t xml:space="preserve">dent </w:t>
      </w:r>
      <w:r w:rsidR="007A48B0">
        <w:rPr>
          <w:rFonts w:ascii="Arial" w:eastAsia="Calibri" w:hAnsi="Arial" w:cs="Arial"/>
          <w:sz w:val="24"/>
          <w:szCs w:val="24"/>
        </w:rPr>
        <w:t>referred</w:t>
      </w:r>
      <w:r>
        <w:rPr>
          <w:rFonts w:ascii="Arial" w:eastAsia="Calibri" w:hAnsi="Arial" w:cs="Arial"/>
          <w:sz w:val="24"/>
          <w:szCs w:val="24"/>
        </w:rPr>
        <w:t xml:space="preserve"> a dispute of unfair dismissal and </w:t>
      </w:r>
      <w:r w:rsidR="002D218B">
        <w:rPr>
          <w:rFonts w:ascii="Arial" w:eastAsia="Calibri" w:hAnsi="Arial" w:cs="Arial"/>
          <w:sz w:val="24"/>
          <w:szCs w:val="24"/>
        </w:rPr>
        <w:t>unfair labour practice to the office of the Labour commissioner</w:t>
      </w:r>
      <w:r w:rsidR="000234C5">
        <w:rPr>
          <w:rFonts w:ascii="Arial" w:eastAsia="Calibri" w:hAnsi="Arial" w:cs="Arial"/>
          <w:sz w:val="24"/>
          <w:szCs w:val="24"/>
        </w:rPr>
        <w:t xml:space="preserve"> on 17 November 2015. T</w:t>
      </w:r>
      <w:r w:rsidR="002D218B">
        <w:rPr>
          <w:rFonts w:ascii="Arial" w:eastAsia="Calibri" w:hAnsi="Arial" w:cs="Arial"/>
          <w:sz w:val="24"/>
          <w:szCs w:val="24"/>
        </w:rPr>
        <w:t xml:space="preserve">he matter was </w:t>
      </w:r>
      <w:r w:rsidR="007A5A77">
        <w:rPr>
          <w:rFonts w:ascii="Arial" w:eastAsia="Calibri" w:hAnsi="Arial" w:cs="Arial"/>
          <w:sz w:val="24"/>
          <w:szCs w:val="24"/>
        </w:rPr>
        <w:t xml:space="preserve">eventually </w:t>
      </w:r>
      <w:r w:rsidR="002D218B">
        <w:rPr>
          <w:rFonts w:ascii="Arial" w:eastAsia="Calibri" w:hAnsi="Arial" w:cs="Arial"/>
          <w:sz w:val="24"/>
          <w:szCs w:val="24"/>
        </w:rPr>
        <w:t>adjudicated upon by the second respondent</w:t>
      </w:r>
      <w:r w:rsidR="00BD08D1">
        <w:rPr>
          <w:rFonts w:ascii="Arial" w:eastAsia="Calibri" w:hAnsi="Arial" w:cs="Arial"/>
          <w:sz w:val="24"/>
          <w:szCs w:val="24"/>
        </w:rPr>
        <w:t>. Conc</w:t>
      </w:r>
      <w:r w:rsidR="00B66FA9">
        <w:rPr>
          <w:rFonts w:ascii="Arial" w:eastAsia="Calibri" w:hAnsi="Arial" w:cs="Arial"/>
          <w:sz w:val="24"/>
          <w:szCs w:val="24"/>
        </w:rPr>
        <w:t>i</w:t>
      </w:r>
      <w:r w:rsidR="00BD08D1">
        <w:rPr>
          <w:rFonts w:ascii="Arial" w:eastAsia="Calibri" w:hAnsi="Arial" w:cs="Arial"/>
          <w:sz w:val="24"/>
          <w:szCs w:val="24"/>
        </w:rPr>
        <w:t>liation took place on</w:t>
      </w:r>
      <w:r w:rsidR="00685D98">
        <w:rPr>
          <w:rFonts w:ascii="Arial" w:eastAsia="Calibri" w:hAnsi="Arial" w:cs="Arial"/>
          <w:sz w:val="24"/>
          <w:szCs w:val="24"/>
        </w:rPr>
        <w:t xml:space="preserve"> 19 April 2016. </w:t>
      </w:r>
      <w:r w:rsidR="00BD08D1">
        <w:rPr>
          <w:rFonts w:ascii="Arial" w:eastAsia="Calibri" w:hAnsi="Arial" w:cs="Arial"/>
          <w:sz w:val="24"/>
          <w:szCs w:val="24"/>
        </w:rPr>
        <w:t>Thereafter the applicant and first respo</w:t>
      </w:r>
      <w:r w:rsidR="00906674">
        <w:rPr>
          <w:rFonts w:ascii="Arial" w:eastAsia="Calibri" w:hAnsi="Arial" w:cs="Arial"/>
          <w:sz w:val="24"/>
          <w:szCs w:val="24"/>
        </w:rPr>
        <w:t>n</w:t>
      </w:r>
      <w:r w:rsidR="00BD08D1">
        <w:rPr>
          <w:rFonts w:ascii="Arial" w:eastAsia="Calibri" w:hAnsi="Arial" w:cs="Arial"/>
          <w:sz w:val="24"/>
          <w:szCs w:val="24"/>
        </w:rPr>
        <w:t>dent attempted settlement</w:t>
      </w:r>
      <w:r w:rsidR="0047390B">
        <w:rPr>
          <w:rFonts w:ascii="Arial" w:eastAsia="Calibri" w:hAnsi="Arial" w:cs="Arial"/>
          <w:sz w:val="24"/>
          <w:szCs w:val="24"/>
        </w:rPr>
        <w:t xml:space="preserve"> which came to naught.</w:t>
      </w:r>
    </w:p>
    <w:p w14:paraId="31567C3F" w14:textId="77777777" w:rsidR="0047390B" w:rsidRDefault="0047390B" w:rsidP="00DC32EC">
      <w:pPr>
        <w:spacing w:after="0" w:line="360" w:lineRule="auto"/>
        <w:jc w:val="both"/>
        <w:rPr>
          <w:rFonts w:ascii="Arial" w:eastAsia="Calibri" w:hAnsi="Arial" w:cs="Arial"/>
          <w:sz w:val="24"/>
          <w:szCs w:val="24"/>
        </w:rPr>
      </w:pPr>
    </w:p>
    <w:p w14:paraId="5E71E0D8" w14:textId="258F16F7" w:rsidR="00906674" w:rsidRDefault="00BD08D1"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E159A4">
        <w:rPr>
          <w:rFonts w:ascii="Arial" w:eastAsia="Calibri" w:hAnsi="Arial" w:cs="Arial"/>
          <w:sz w:val="24"/>
          <w:szCs w:val="24"/>
        </w:rPr>
        <w:t>6</w:t>
      </w:r>
      <w:r w:rsidR="007F3EC8">
        <w:rPr>
          <w:rFonts w:ascii="Arial" w:eastAsia="Calibri" w:hAnsi="Arial" w:cs="Arial"/>
          <w:sz w:val="24"/>
          <w:szCs w:val="24"/>
        </w:rPr>
        <w:t>]</w:t>
      </w:r>
      <w:r w:rsidR="007F3EC8">
        <w:rPr>
          <w:rFonts w:ascii="Arial" w:eastAsia="Calibri" w:hAnsi="Arial" w:cs="Arial"/>
          <w:sz w:val="24"/>
          <w:szCs w:val="24"/>
        </w:rPr>
        <w:tab/>
      </w:r>
      <w:r>
        <w:rPr>
          <w:rFonts w:ascii="Arial" w:eastAsia="Calibri" w:hAnsi="Arial" w:cs="Arial"/>
          <w:sz w:val="24"/>
          <w:szCs w:val="24"/>
        </w:rPr>
        <w:t xml:space="preserve">On </w:t>
      </w:r>
      <w:r w:rsidR="00906674">
        <w:rPr>
          <w:rFonts w:ascii="Arial" w:eastAsia="Calibri" w:hAnsi="Arial" w:cs="Arial"/>
          <w:sz w:val="24"/>
          <w:szCs w:val="24"/>
        </w:rPr>
        <w:t xml:space="preserve">7 July 2016, the first </w:t>
      </w:r>
      <w:r>
        <w:rPr>
          <w:rFonts w:ascii="Arial" w:eastAsia="Calibri" w:hAnsi="Arial" w:cs="Arial"/>
          <w:sz w:val="24"/>
          <w:szCs w:val="24"/>
        </w:rPr>
        <w:t>respo</w:t>
      </w:r>
      <w:r w:rsidR="00906674">
        <w:rPr>
          <w:rFonts w:ascii="Arial" w:eastAsia="Calibri" w:hAnsi="Arial" w:cs="Arial"/>
          <w:sz w:val="24"/>
          <w:szCs w:val="24"/>
        </w:rPr>
        <w:t>n</w:t>
      </w:r>
      <w:r>
        <w:rPr>
          <w:rFonts w:ascii="Arial" w:eastAsia="Calibri" w:hAnsi="Arial" w:cs="Arial"/>
          <w:sz w:val="24"/>
          <w:szCs w:val="24"/>
        </w:rPr>
        <w:t>dent</w:t>
      </w:r>
      <w:r w:rsidR="00906674">
        <w:rPr>
          <w:rFonts w:ascii="Arial" w:eastAsia="Calibri" w:hAnsi="Arial" w:cs="Arial"/>
          <w:sz w:val="24"/>
          <w:szCs w:val="24"/>
        </w:rPr>
        <w:t>, upon failure by the applicant to revert on the first respondent</w:t>
      </w:r>
      <w:r w:rsidR="00E159A4">
        <w:rPr>
          <w:rFonts w:ascii="Arial" w:eastAsia="Calibri" w:hAnsi="Arial" w:cs="Arial"/>
          <w:sz w:val="24"/>
          <w:szCs w:val="24"/>
        </w:rPr>
        <w:t>’s</w:t>
      </w:r>
      <w:r w:rsidR="00906674">
        <w:rPr>
          <w:rFonts w:ascii="Arial" w:eastAsia="Calibri" w:hAnsi="Arial" w:cs="Arial"/>
          <w:sz w:val="24"/>
          <w:szCs w:val="24"/>
        </w:rPr>
        <w:t xml:space="preserve"> counter offer for settlement and after </w:t>
      </w:r>
      <w:r w:rsidR="00492CB3">
        <w:rPr>
          <w:rFonts w:ascii="Arial" w:eastAsia="Calibri" w:hAnsi="Arial" w:cs="Arial"/>
          <w:sz w:val="24"/>
          <w:szCs w:val="24"/>
        </w:rPr>
        <w:t>at least</w:t>
      </w:r>
      <w:r w:rsidR="00906674">
        <w:rPr>
          <w:rFonts w:ascii="Arial" w:eastAsia="Calibri" w:hAnsi="Arial" w:cs="Arial"/>
          <w:sz w:val="24"/>
          <w:szCs w:val="24"/>
        </w:rPr>
        <w:t xml:space="preserve"> two months of awaiting a response, requested the conciliator</w:t>
      </w:r>
      <w:r w:rsidR="00B66FA9">
        <w:rPr>
          <w:rFonts w:ascii="Arial" w:eastAsia="Calibri" w:hAnsi="Arial" w:cs="Arial"/>
          <w:sz w:val="24"/>
          <w:szCs w:val="24"/>
        </w:rPr>
        <w:t>,</w:t>
      </w:r>
      <w:r w:rsidR="00906674">
        <w:rPr>
          <w:rFonts w:ascii="Arial" w:eastAsia="Calibri" w:hAnsi="Arial" w:cs="Arial"/>
          <w:sz w:val="24"/>
          <w:szCs w:val="24"/>
        </w:rPr>
        <w:t xml:space="preserve"> being the second respondent</w:t>
      </w:r>
      <w:r w:rsidR="00B66FA9">
        <w:rPr>
          <w:rFonts w:ascii="Arial" w:eastAsia="Calibri" w:hAnsi="Arial" w:cs="Arial"/>
          <w:sz w:val="24"/>
          <w:szCs w:val="24"/>
        </w:rPr>
        <w:t>,</w:t>
      </w:r>
      <w:r w:rsidR="00906674">
        <w:rPr>
          <w:rFonts w:ascii="Arial" w:eastAsia="Calibri" w:hAnsi="Arial" w:cs="Arial"/>
          <w:sz w:val="24"/>
          <w:szCs w:val="24"/>
        </w:rPr>
        <w:t xml:space="preserve"> to </w:t>
      </w:r>
      <w:r w:rsidR="00492CB3">
        <w:rPr>
          <w:rFonts w:ascii="Arial" w:eastAsia="Calibri" w:hAnsi="Arial" w:cs="Arial"/>
          <w:sz w:val="24"/>
          <w:szCs w:val="24"/>
        </w:rPr>
        <w:t>refer</w:t>
      </w:r>
      <w:r w:rsidR="00906674">
        <w:rPr>
          <w:rFonts w:ascii="Arial" w:eastAsia="Calibri" w:hAnsi="Arial" w:cs="Arial"/>
          <w:sz w:val="24"/>
          <w:szCs w:val="24"/>
        </w:rPr>
        <w:t xml:space="preserve"> the matter for arbitration.</w:t>
      </w:r>
    </w:p>
    <w:p w14:paraId="0BA194BC" w14:textId="77777777" w:rsidR="00906674" w:rsidRDefault="00906674" w:rsidP="00DC32EC">
      <w:pPr>
        <w:spacing w:after="0" w:line="360" w:lineRule="auto"/>
        <w:jc w:val="both"/>
        <w:rPr>
          <w:rFonts w:ascii="Arial" w:eastAsia="Calibri" w:hAnsi="Arial" w:cs="Arial"/>
          <w:sz w:val="24"/>
          <w:szCs w:val="24"/>
        </w:rPr>
      </w:pPr>
    </w:p>
    <w:p w14:paraId="1DFD0B82" w14:textId="31247F97" w:rsidR="00BD08D1" w:rsidRDefault="00906674"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E6449D">
        <w:rPr>
          <w:rFonts w:ascii="Arial" w:eastAsia="Calibri" w:hAnsi="Arial" w:cs="Arial"/>
          <w:sz w:val="24"/>
          <w:szCs w:val="24"/>
        </w:rPr>
        <w:t>7</w:t>
      </w:r>
      <w:r w:rsidR="007F3EC8">
        <w:rPr>
          <w:rFonts w:ascii="Arial" w:eastAsia="Calibri" w:hAnsi="Arial" w:cs="Arial"/>
          <w:sz w:val="24"/>
          <w:szCs w:val="24"/>
        </w:rPr>
        <w:t>]</w:t>
      </w:r>
      <w:r w:rsidR="007F3EC8">
        <w:rPr>
          <w:rFonts w:ascii="Arial" w:eastAsia="Calibri" w:hAnsi="Arial" w:cs="Arial"/>
          <w:sz w:val="24"/>
          <w:szCs w:val="24"/>
        </w:rPr>
        <w:tab/>
      </w:r>
      <w:r>
        <w:rPr>
          <w:rFonts w:ascii="Arial" w:eastAsia="Calibri" w:hAnsi="Arial" w:cs="Arial"/>
          <w:sz w:val="24"/>
          <w:szCs w:val="24"/>
        </w:rPr>
        <w:t xml:space="preserve">The second respondent set the matter down for hearing on 28 July 2016 </w:t>
      </w:r>
      <w:r w:rsidR="00685D98">
        <w:rPr>
          <w:rFonts w:ascii="Arial" w:eastAsia="Calibri" w:hAnsi="Arial" w:cs="Arial"/>
          <w:sz w:val="24"/>
          <w:szCs w:val="24"/>
        </w:rPr>
        <w:t xml:space="preserve">for arbitration. </w:t>
      </w:r>
      <w:r w:rsidR="00BD08D1">
        <w:rPr>
          <w:rFonts w:ascii="Arial" w:eastAsia="Calibri" w:hAnsi="Arial" w:cs="Arial"/>
          <w:sz w:val="24"/>
          <w:szCs w:val="24"/>
        </w:rPr>
        <w:t xml:space="preserve"> </w:t>
      </w:r>
      <w:r w:rsidR="00492CB3">
        <w:rPr>
          <w:rFonts w:ascii="Arial" w:eastAsia="Calibri" w:hAnsi="Arial" w:cs="Arial"/>
          <w:sz w:val="24"/>
          <w:szCs w:val="24"/>
        </w:rPr>
        <w:t xml:space="preserve"> </w:t>
      </w:r>
      <w:r w:rsidR="00492CB3" w:rsidRPr="00685D98">
        <w:rPr>
          <w:rFonts w:ascii="Arial" w:eastAsia="Calibri" w:hAnsi="Arial" w:cs="Arial"/>
          <w:sz w:val="24"/>
          <w:szCs w:val="24"/>
        </w:rPr>
        <w:t xml:space="preserve">Subsequent to this date the matter was set down for hearing several times </w:t>
      </w:r>
      <w:r w:rsidR="00685D98">
        <w:rPr>
          <w:rFonts w:ascii="Arial" w:eastAsia="Calibri" w:hAnsi="Arial" w:cs="Arial"/>
          <w:sz w:val="24"/>
          <w:szCs w:val="24"/>
        </w:rPr>
        <w:t xml:space="preserve">and </w:t>
      </w:r>
      <w:r w:rsidR="00492CB3" w:rsidRPr="00685D98">
        <w:rPr>
          <w:rFonts w:ascii="Arial" w:eastAsia="Calibri" w:hAnsi="Arial" w:cs="Arial"/>
          <w:sz w:val="24"/>
          <w:szCs w:val="24"/>
        </w:rPr>
        <w:t>it was eventually</w:t>
      </w:r>
      <w:r w:rsidR="00492CB3">
        <w:rPr>
          <w:rFonts w:ascii="Arial" w:eastAsia="Calibri" w:hAnsi="Arial" w:cs="Arial"/>
          <w:sz w:val="24"/>
          <w:szCs w:val="24"/>
        </w:rPr>
        <w:t xml:space="preserve"> heard </w:t>
      </w:r>
      <w:r w:rsidR="00E159A4">
        <w:rPr>
          <w:rFonts w:ascii="Arial" w:eastAsia="Calibri" w:hAnsi="Arial" w:cs="Arial"/>
          <w:sz w:val="24"/>
          <w:szCs w:val="24"/>
        </w:rPr>
        <w:t>between</w:t>
      </w:r>
      <w:r w:rsidR="00492CB3">
        <w:rPr>
          <w:rFonts w:ascii="Arial" w:eastAsia="Calibri" w:hAnsi="Arial" w:cs="Arial"/>
          <w:sz w:val="24"/>
          <w:szCs w:val="24"/>
        </w:rPr>
        <w:t xml:space="preserve"> 12</w:t>
      </w:r>
      <w:r w:rsidR="00E159A4">
        <w:rPr>
          <w:rFonts w:ascii="Arial" w:eastAsia="Calibri" w:hAnsi="Arial" w:cs="Arial"/>
          <w:sz w:val="24"/>
          <w:szCs w:val="24"/>
        </w:rPr>
        <w:t xml:space="preserve"> and </w:t>
      </w:r>
      <w:r w:rsidR="00492CB3">
        <w:rPr>
          <w:rFonts w:ascii="Arial" w:eastAsia="Calibri" w:hAnsi="Arial" w:cs="Arial"/>
          <w:sz w:val="24"/>
          <w:szCs w:val="24"/>
        </w:rPr>
        <w:t xml:space="preserve">14 </w:t>
      </w:r>
      <w:r w:rsidR="00B66FA9">
        <w:rPr>
          <w:rFonts w:ascii="Arial" w:eastAsia="Calibri" w:hAnsi="Arial" w:cs="Arial"/>
          <w:sz w:val="24"/>
          <w:szCs w:val="24"/>
        </w:rPr>
        <w:t>S</w:t>
      </w:r>
      <w:r w:rsidR="00492CB3">
        <w:rPr>
          <w:rFonts w:ascii="Arial" w:eastAsia="Calibri" w:hAnsi="Arial" w:cs="Arial"/>
          <w:sz w:val="24"/>
          <w:szCs w:val="24"/>
        </w:rPr>
        <w:t>eptember 2017. The applicant was, at all material times</w:t>
      </w:r>
      <w:r w:rsidR="00E159A4">
        <w:rPr>
          <w:rFonts w:ascii="Arial" w:eastAsia="Calibri" w:hAnsi="Arial" w:cs="Arial"/>
          <w:sz w:val="24"/>
          <w:szCs w:val="24"/>
        </w:rPr>
        <w:t>,</w:t>
      </w:r>
      <w:r w:rsidR="00492CB3">
        <w:rPr>
          <w:rFonts w:ascii="Arial" w:eastAsia="Calibri" w:hAnsi="Arial" w:cs="Arial"/>
          <w:sz w:val="24"/>
          <w:szCs w:val="24"/>
        </w:rPr>
        <w:t xml:space="preserve"> since the initial conciliation meeting represented by Mr. Francois Kop</w:t>
      </w:r>
      <w:r w:rsidR="00F755B9">
        <w:rPr>
          <w:rFonts w:ascii="Arial" w:eastAsia="Calibri" w:hAnsi="Arial" w:cs="Arial"/>
          <w:sz w:val="24"/>
          <w:szCs w:val="24"/>
        </w:rPr>
        <w:t>p</w:t>
      </w:r>
      <w:r w:rsidR="00492CB3">
        <w:rPr>
          <w:rFonts w:ascii="Arial" w:eastAsia="Calibri" w:hAnsi="Arial" w:cs="Arial"/>
          <w:sz w:val="24"/>
          <w:szCs w:val="24"/>
        </w:rPr>
        <w:t>linger</w:t>
      </w:r>
      <w:r w:rsidR="00F755B9">
        <w:rPr>
          <w:rFonts w:ascii="Arial" w:eastAsia="Calibri" w:hAnsi="Arial" w:cs="Arial"/>
          <w:sz w:val="24"/>
          <w:szCs w:val="24"/>
        </w:rPr>
        <w:t xml:space="preserve">. </w:t>
      </w:r>
      <w:r w:rsidR="00C1412F">
        <w:rPr>
          <w:rFonts w:ascii="Arial" w:eastAsia="Calibri" w:hAnsi="Arial" w:cs="Arial"/>
          <w:sz w:val="24"/>
          <w:szCs w:val="24"/>
        </w:rPr>
        <w:t>The</w:t>
      </w:r>
      <w:r w:rsidR="00492CB3">
        <w:rPr>
          <w:rFonts w:ascii="Arial" w:eastAsia="Calibri" w:hAnsi="Arial" w:cs="Arial"/>
          <w:sz w:val="24"/>
          <w:szCs w:val="24"/>
        </w:rPr>
        <w:t xml:space="preserve"> respondent</w:t>
      </w:r>
      <w:r w:rsidR="00C1412F">
        <w:rPr>
          <w:rFonts w:ascii="Arial" w:eastAsia="Calibri" w:hAnsi="Arial" w:cs="Arial"/>
          <w:sz w:val="24"/>
          <w:szCs w:val="24"/>
        </w:rPr>
        <w:t>,</w:t>
      </w:r>
      <w:r w:rsidR="00492CB3">
        <w:rPr>
          <w:rFonts w:ascii="Arial" w:eastAsia="Calibri" w:hAnsi="Arial" w:cs="Arial"/>
          <w:sz w:val="24"/>
          <w:szCs w:val="24"/>
        </w:rPr>
        <w:t xml:space="preserve"> was represented by </w:t>
      </w:r>
      <w:r w:rsidR="00E44350">
        <w:rPr>
          <w:rFonts w:ascii="Arial" w:eastAsia="Calibri" w:hAnsi="Arial" w:cs="Arial"/>
          <w:sz w:val="24"/>
          <w:szCs w:val="24"/>
        </w:rPr>
        <w:t>S</w:t>
      </w:r>
      <w:r w:rsidR="00492CB3">
        <w:rPr>
          <w:rFonts w:ascii="Arial" w:eastAsia="Calibri" w:hAnsi="Arial" w:cs="Arial"/>
          <w:sz w:val="24"/>
          <w:szCs w:val="24"/>
        </w:rPr>
        <w:t>i</w:t>
      </w:r>
      <w:r w:rsidR="00F755B9">
        <w:rPr>
          <w:rFonts w:ascii="Arial" w:eastAsia="Calibri" w:hAnsi="Arial" w:cs="Arial"/>
          <w:sz w:val="24"/>
          <w:szCs w:val="24"/>
        </w:rPr>
        <w:t>yom</w:t>
      </w:r>
      <w:r w:rsidR="00290F18">
        <w:rPr>
          <w:rFonts w:ascii="Arial" w:eastAsia="Calibri" w:hAnsi="Arial" w:cs="Arial"/>
          <w:sz w:val="24"/>
          <w:szCs w:val="24"/>
        </w:rPr>
        <w:t>u</w:t>
      </w:r>
      <w:r w:rsidR="00492CB3">
        <w:rPr>
          <w:rFonts w:ascii="Arial" w:eastAsia="Calibri" w:hAnsi="Arial" w:cs="Arial"/>
          <w:sz w:val="24"/>
          <w:szCs w:val="24"/>
        </w:rPr>
        <w:t xml:space="preserve">nji Law Chambers and </w:t>
      </w:r>
      <w:r w:rsidR="0047390B">
        <w:rPr>
          <w:rFonts w:ascii="Arial" w:eastAsia="Calibri" w:hAnsi="Arial" w:cs="Arial"/>
          <w:sz w:val="24"/>
          <w:szCs w:val="24"/>
        </w:rPr>
        <w:t>eventually</w:t>
      </w:r>
      <w:r w:rsidR="00492CB3">
        <w:rPr>
          <w:rFonts w:ascii="Arial" w:eastAsia="Calibri" w:hAnsi="Arial" w:cs="Arial"/>
          <w:sz w:val="24"/>
          <w:szCs w:val="24"/>
        </w:rPr>
        <w:t xml:space="preserve"> by Ms. Ileni Gebhardt.</w:t>
      </w:r>
    </w:p>
    <w:p w14:paraId="61337D34" w14:textId="22C83193" w:rsidR="00720A46" w:rsidRDefault="00720A46" w:rsidP="00DC32EC">
      <w:pPr>
        <w:spacing w:after="0" w:line="360" w:lineRule="auto"/>
        <w:jc w:val="both"/>
        <w:rPr>
          <w:rFonts w:ascii="Arial" w:eastAsia="Calibri" w:hAnsi="Arial" w:cs="Arial"/>
          <w:sz w:val="24"/>
          <w:szCs w:val="24"/>
        </w:rPr>
      </w:pPr>
    </w:p>
    <w:p w14:paraId="020CBA3E" w14:textId="786BE19B" w:rsidR="00794B0B" w:rsidRDefault="007F3EC8" w:rsidP="009A678A">
      <w:pPr>
        <w:spacing w:after="0" w:line="360" w:lineRule="auto"/>
        <w:jc w:val="both"/>
        <w:rPr>
          <w:rFonts w:ascii="Arial" w:eastAsia="Calibri" w:hAnsi="Arial" w:cs="Arial"/>
          <w:sz w:val="24"/>
          <w:szCs w:val="24"/>
        </w:rPr>
      </w:pPr>
      <w:r>
        <w:rPr>
          <w:rFonts w:ascii="Arial" w:eastAsia="Calibri" w:hAnsi="Arial" w:cs="Arial"/>
          <w:sz w:val="24"/>
          <w:szCs w:val="24"/>
        </w:rPr>
        <w:t>[</w:t>
      </w:r>
      <w:r w:rsidR="00E6449D">
        <w:rPr>
          <w:rFonts w:ascii="Arial" w:eastAsia="Calibri" w:hAnsi="Arial" w:cs="Arial"/>
          <w:sz w:val="24"/>
          <w:szCs w:val="24"/>
        </w:rPr>
        <w:t>8</w:t>
      </w:r>
      <w:r w:rsidR="00C1412F">
        <w:rPr>
          <w:rFonts w:ascii="Arial" w:eastAsia="Calibri" w:hAnsi="Arial" w:cs="Arial"/>
          <w:sz w:val="24"/>
          <w:szCs w:val="24"/>
        </w:rPr>
        <w:t xml:space="preserve">] </w:t>
      </w:r>
      <w:r w:rsidR="00C1412F">
        <w:rPr>
          <w:rFonts w:ascii="Arial" w:eastAsia="Calibri" w:hAnsi="Arial" w:cs="Arial"/>
          <w:sz w:val="24"/>
          <w:szCs w:val="24"/>
        </w:rPr>
        <w:tab/>
        <w:t>The applicant</w:t>
      </w:r>
      <w:r w:rsidR="00720A46">
        <w:rPr>
          <w:rFonts w:ascii="Arial" w:eastAsia="Calibri" w:hAnsi="Arial" w:cs="Arial"/>
          <w:sz w:val="24"/>
          <w:szCs w:val="24"/>
        </w:rPr>
        <w:t>, by correspondence</w:t>
      </w:r>
      <w:r w:rsidR="00493E2D">
        <w:rPr>
          <w:rFonts w:ascii="Arial" w:eastAsia="Calibri" w:hAnsi="Arial" w:cs="Arial"/>
          <w:sz w:val="24"/>
          <w:szCs w:val="24"/>
        </w:rPr>
        <w:t xml:space="preserve"> dated 25 August 2017,</w:t>
      </w:r>
      <w:r w:rsidR="00720A46">
        <w:rPr>
          <w:rFonts w:ascii="Arial" w:eastAsia="Calibri" w:hAnsi="Arial" w:cs="Arial"/>
          <w:sz w:val="24"/>
          <w:szCs w:val="24"/>
        </w:rPr>
        <w:t xml:space="preserve"> requested t</w:t>
      </w:r>
      <w:r w:rsidR="00C1412F">
        <w:rPr>
          <w:rFonts w:ascii="Arial" w:eastAsia="Calibri" w:hAnsi="Arial" w:cs="Arial"/>
          <w:sz w:val="24"/>
          <w:szCs w:val="24"/>
        </w:rPr>
        <w:t xml:space="preserve">he </w:t>
      </w:r>
      <w:r w:rsidR="00720A46">
        <w:rPr>
          <w:rFonts w:ascii="Arial" w:eastAsia="Calibri" w:hAnsi="Arial" w:cs="Arial"/>
          <w:sz w:val="24"/>
          <w:szCs w:val="24"/>
        </w:rPr>
        <w:t xml:space="preserve"> respo</w:t>
      </w:r>
      <w:r w:rsidR="00794B0B">
        <w:rPr>
          <w:rFonts w:ascii="Arial" w:eastAsia="Calibri" w:hAnsi="Arial" w:cs="Arial"/>
          <w:sz w:val="24"/>
          <w:szCs w:val="24"/>
        </w:rPr>
        <w:t>n</w:t>
      </w:r>
      <w:r w:rsidR="00720A46">
        <w:rPr>
          <w:rFonts w:ascii="Arial" w:eastAsia="Calibri" w:hAnsi="Arial" w:cs="Arial"/>
          <w:sz w:val="24"/>
          <w:szCs w:val="24"/>
        </w:rPr>
        <w:t>dent</w:t>
      </w:r>
      <w:r w:rsidR="00794B0B">
        <w:rPr>
          <w:rFonts w:ascii="Arial" w:eastAsia="Calibri" w:hAnsi="Arial" w:cs="Arial"/>
          <w:sz w:val="24"/>
          <w:szCs w:val="24"/>
        </w:rPr>
        <w:t xml:space="preserve"> to disclose his  financial records</w:t>
      </w:r>
      <w:r w:rsidR="009A678A">
        <w:rPr>
          <w:rFonts w:ascii="Arial" w:eastAsia="Calibri" w:hAnsi="Arial" w:cs="Arial"/>
          <w:sz w:val="24"/>
          <w:szCs w:val="24"/>
        </w:rPr>
        <w:t xml:space="preserve"> as stated in para [5] above. </w:t>
      </w:r>
      <w:r w:rsidR="00C1412F">
        <w:rPr>
          <w:rFonts w:ascii="Arial" w:eastAsia="Calibri" w:hAnsi="Arial" w:cs="Arial"/>
          <w:sz w:val="24"/>
          <w:szCs w:val="24"/>
        </w:rPr>
        <w:t>The</w:t>
      </w:r>
      <w:r w:rsidR="00794B0B">
        <w:rPr>
          <w:rFonts w:ascii="Arial" w:eastAsia="Calibri" w:hAnsi="Arial" w:cs="Arial"/>
          <w:sz w:val="24"/>
          <w:szCs w:val="24"/>
        </w:rPr>
        <w:t xml:space="preserve"> respondent refused to disclose the documents as requested, indicating </w:t>
      </w:r>
      <w:r w:rsidR="002922A7">
        <w:rPr>
          <w:rFonts w:ascii="Arial" w:eastAsia="Calibri" w:hAnsi="Arial" w:cs="Arial"/>
          <w:sz w:val="24"/>
          <w:szCs w:val="24"/>
        </w:rPr>
        <w:t xml:space="preserve">that </w:t>
      </w:r>
      <w:r w:rsidR="00794B0B">
        <w:rPr>
          <w:rFonts w:ascii="Arial" w:eastAsia="Calibri" w:hAnsi="Arial" w:cs="Arial"/>
          <w:sz w:val="24"/>
          <w:szCs w:val="24"/>
        </w:rPr>
        <w:t>th</w:t>
      </w:r>
      <w:r w:rsidR="001C353A">
        <w:rPr>
          <w:rFonts w:ascii="Arial" w:eastAsia="Calibri" w:hAnsi="Arial" w:cs="Arial"/>
          <w:sz w:val="24"/>
          <w:szCs w:val="24"/>
        </w:rPr>
        <w:t xml:space="preserve">e documents </w:t>
      </w:r>
      <w:r w:rsidR="00C1412F">
        <w:rPr>
          <w:rFonts w:ascii="Arial" w:eastAsia="Calibri" w:hAnsi="Arial" w:cs="Arial"/>
          <w:sz w:val="24"/>
          <w:szCs w:val="24"/>
        </w:rPr>
        <w:t>concern</w:t>
      </w:r>
      <w:r w:rsidR="00493E2D">
        <w:rPr>
          <w:rFonts w:ascii="Arial" w:eastAsia="Calibri" w:hAnsi="Arial" w:cs="Arial"/>
          <w:sz w:val="24"/>
          <w:szCs w:val="24"/>
        </w:rPr>
        <w:t xml:space="preserve"> </w:t>
      </w:r>
      <w:r w:rsidR="002922A7">
        <w:rPr>
          <w:rFonts w:ascii="Arial" w:eastAsia="Calibri" w:hAnsi="Arial" w:cs="Arial"/>
          <w:sz w:val="24"/>
          <w:szCs w:val="24"/>
        </w:rPr>
        <w:t xml:space="preserve">his </w:t>
      </w:r>
      <w:r w:rsidR="00493E2D">
        <w:rPr>
          <w:rFonts w:ascii="Arial" w:eastAsia="Calibri" w:hAnsi="Arial" w:cs="Arial"/>
          <w:sz w:val="24"/>
          <w:szCs w:val="24"/>
        </w:rPr>
        <w:t>financial interest</w:t>
      </w:r>
      <w:r w:rsidR="002922A7">
        <w:rPr>
          <w:rFonts w:ascii="Arial" w:eastAsia="Calibri" w:hAnsi="Arial" w:cs="Arial"/>
          <w:sz w:val="24"/>
          <w:szCs w:val="24"/>
        </w:rPr>
        <w:t>s</w:t>
      </w:r>
      <w:r w:rsidR="00493E2D">
        <w:rPr>
          <w:rFonts w:ascii="Arial" w:eastAsia="Calibri" w:hAnsi="Arial" w:cs="Arial"/>
          <w:sz w:val="24"/>
          <w:szCs w:val="24"/>
        </w:rPr>
        <w:t xml:space="preserve"> </w:t>
      </w:r>
      <w:r w:rsidR="002922A7">
        <w:rPr>
          <w:rFonts w:ascii="Arial" w:eastAsia="Calibri" w:hAnsi="Arial" w:cs="Arial"/>
          <w:sz w:val="24"/>
          <w:szCs w:val="24"/>
        </w:rPr>
        <w:t xml:space="preserve">which </w:t>
      </w:r>
      <w:r w:rsidR="001C353A">
        <w:rPr>
          <w:rFonts w:ascii="Arial" w:eastAsia="Calibri" w:hAnsi="Arial" w:cs="Arial"/>
          <w:sz w:val="24"/>
          <w:szCs w:val="24"/>
        </w:rPr>
        <w:t>are</w:t>
      </w:r>
      <w:r w:rsidR="00794B0B">
        <w:rPr>
          <w:rFonts w:ascii="Arial" w:eastAsia="Calibri" w:hAnsi="Arial" w:cs="Arial"/>
          <w:sz w:val="24"/>
          <w:szCs w:val="24"/>
        </w:rPr>
        <w:t xml:space="preserve"> confidential</w:t>
      </w:r>
      <w:r w:rsidR="00B33C83">
        <w:rPr>
          <w:rFonts w:ascii="Arial" w:eastAsia="Calibri" w:hAnsi="Arial" w:cs="Arial"/>
          <w:sz w:val="24"/>
          <w:szCs w:val="24"/>
        </w:rPr>
        <w:t xml:space="preserve">. As </w:t>
      </w:r>
      <w:r w:rsidR="002922A7">
        <w:rPr>
          <w:rFonts w:ascii="Arial" w:eastAsia="Calibri" w:hAnsi="Arial" w:cs="Arial"/>
          <w:sz w:val="24"/>
          <w:szCs w:val="24"/>
        </w:rPr>
        <w:t>regards</w:t>
      </w:r>
      <w:r w:rsidR="00B33C83">
        <w:rPr>
          <w:rFonts w:ascii="Arial" w:eastAsia="Calibri" w:hAnsi="Arial" w:cs="Arial"/>
          <w:sz w:val="24"/>
          <w:szCs w:val="24"/>
        </w:rPr>
        <w:t xml:space="preserve"> the tax returns, the first respondent indicated that he does not have the full copies.</w:t>
      </w:r>
    </w:p>
    <w:p w14:paraId="3D51923F" w14:textId="77777777" w:rsidR="00794B0B" w:rsidRDefault="00794B0B" w:rsidP="00794B0B">
      <w:pPr>
        <w:spacing w:after="0" w:line="360" w:lineRule="auto"/>
        <w:jc w:val="both"/>
        <w:rPr>
          <w:rFonts w:ascii="Arial" w:eastAsia="Calibri" w:hAnsi="Arial" w:cs="Arial"/>
          <w:sz w:val="24"/>
          <w:szCs w:val="24"/>
        </w:rPr>
      </w:pPr>
    </w:p>
    <w:p w14:paraId="3311D22A" w14:textId="64FEB911" w:rsidR="007727B8" w:rsidRDefault="00794B0B" w:rsidP="00794B0B">
      <w:pPr>
        <w:spacing w:after="0" w:line="360" w:lineRule="auto"/>
        <w:jc w:val="both"/>
        <w:rPr>
          <w:rFonts w:ascii="Arial" w:eastAsia="Calibri" w:hAnsi="Arial" w:cs="Arial"/>
          <w:sz w:val="24"/>
          <w:szCs w:val="24"/>
        </w:rPr>
      </w:pPr>
      <w:r>
        <w:rPr>
          <w:rFonts w:ascii="Arial" w:eastAsia="Calibri" w:hAnsi="Arial" w:cs="Arial"/>
          <w:sz w:val="24"/>
          <w:szCs w:val="24"/>
        </w:rPr>
        <w:t>[</w:t>
      </w:r>
      <w:r w:rsidR="009A678A">
        <w:rPr>
          <w:rFonts w:ascii="Arial" w:eastAsia="Calibri" w:hAnsi="Arial" w:cs="Arial"/>
          <w:sz w:val="24"/>
          <w:szCs w:val="24"/>
        </w:rPr>
        <w:t>9</w:t>
      </w:r>
      <w:r>
        <w:rPr>
          <w:rFonts w:ascii="Arial" w:eastAsia="Calibri" w:hAnsi="Arial" w:cs="Arial"/>
          <w:sz w:val="24"/>
          <w:szCs w:val="24"/>
        </w:rPr>
        <w:t xml:space="preserve">] </w:t>
      </w:r>
      <w:r>
        <w:rPr>
          <w:rFonts w:ascii="Arial" w:eastAsia="Calibri" w:hAnsi="Arial" w:cs="Arial"/>
          <w:sz w:val="24"/>
          <w:szCs w:val="24"/>
        </w:rPr>
        <w:tab/>
        <w:t>Thereafter the applicant, invoked rule 35</w:t>
      </w:r>
      <w:r w:rsidR="00E6449D">
        <w:rPr>
          <w:rFonts w:ascii="Arial" w:eastAsia="Calibri" w:hAnsi="Arial" w:cs="Arial"/>
          <w:sz w:val="24"/>
          <w:szCs w:val="24"/>
        </w:rPr>
        <w:t xml:space="preserve"> </w:t>
      </w:r>
      <w:r w:rsidR="009E5209">
        <w:rPr>
          <w:rFonts w:ascii="Arial" w:eastAsia="Calibri" w:hAnsi="Arial" w:cs="Arial"/>
          <w:sz w:val="24"/>
          <w:szCs w:val="24"/>
        </w:rPr>
        <w:t>o</w:t>
      </w:r>
      <w:r w:rsidR="00E6449D">
        <w:rPr>
          <w:rFonts w:ascii="Arial" w:eastAsia="Calibri" w:hAnsi="Arial" w:cs="Arial"/>
          <w:sz w:val="24"/>
          <w:szCs w:val="24"/>
        </w:rPr>
        <w:t xml:space="preserve">f the Rules relating to the Conduct of Conciliation and Arbitration before the Labour commissioner, </w:t>
      </w:r>
      <w:r>
        <w:rPr>
          <w:rFonts w:ascii="Arial" w:eastAsia="Calibri" w:hAnsi="Arial" w:cs="Arial"/>
          <w:sz w:val="24"/>
          <w:szCs w:val="24"/>
        </w:rPr>
        <w:t>that is to su</w:t>
      </w:r>
      <w:r w:rsidR="00B33C83">
        <w:rPr>
          <w:rFonts w:ascii="Arial" w:eastAsia="Calibri" w:hAnsi="Arial" w:cs="Arial"/>
          <w:sz w:val="24"/>
          <w:szCs w:val="24"/>
        </w:rPr>
        <w:t>bp</w:t>
      </w:r>
      <w:r>
        <w:rPr>
          <w:rFonts w:ascii="Arial" w:eastAsia="Calibri" w:hAnsi="Arial" w:cs="Arial"/>
          <w:sz w:val="24"/>
          <w:szCs w:val="24"/>
        </w:rPr>
        <w:t>oena the bank</w:t>
      </w:r>
      <w:r w:rsidR="00C1412F">
        <w:rPr>
          <w:rFonts w:ascii="Arial" w:eastAsia="Calibri" w:hAnsi="Arial" w:cs="Arial"/>
          <w:sz w:val="24"/>
          <w:szCs w:val="24"/>
        </w:rPr>
        <w:t xml:space="preserve"> manager of which bank at which the</w:t>
      </w:r>
      <w:r>
        <w:rPr>
          <w:rFonts w:ascii="Arial" w:eastAsia="Calibri" w:hAnsi="Arial" w:cs="Arial"/>
          <w:sz w:val="24"/>
          <w:szCs w:val="24"/>
        </w:rPr>
        <w:t xml:space="preserve"> respondent</w:t>
      </w:r>
      <w:r w:rsidR="00C1412F">
        <w:rPr>
          <w:rFonts w:ascii="Arial" w:eastAsia="Calibri" w:hAnsi="Arial" w:cs="Arial"/>
          <w:sz w:val="24"/>
          <w:szCs w:val="24"/>
        </w:rPr>
        <w:t xml:space="preserve"> held a bank account</w:t>
      </w:r>
      <w:r w:rsidR="007727B8">
        <w:rPr>
          <w:rFonts w:ascii="Arial" w:eastAsia="Calibri" w:hAnsi="Arial" w:cs="Arial"/>
          <w:sz w:val="24"/>
          <w:szCs w:val="24"/>
        </w:rPr>
        <w:t>, to produce the docum</w:t>
      </w:r>
      <w:r w:rsidR="005D6ECB">
        <w:rPr>
          <w:rFonts w:ascii="Arial" w:eastAsia="Calibri" w:hAnsi="Arial" w:cs="Arial"/>
          <w:sz w:val="24"/>
          <w:szCs w:val="24"/>
        </w:rPr>
        <w:t>e</w:t>
      </w:r>
      <w:r w:rsidR="007727B8">
        <w:rPr>
          <w:rFonts w:ascii="Arial" w:eastAsia="Calibri" w:hAnsi="Arial" w:cs="Arial"/>
          <w:sz w:val="24"/>
          <w:szCs w:val="24"/>
        </w:rPr>
        <w:t>nts</w:t>
      </w:r>
      <w:r w:rsidR="00E6449D">
        <w:rPr>
          <w:rFonts w:ascii="Arial" w:eastAsia="Calibri" w:hAnsi="Arial" w:cs="Arial"/>
          <w:sz w:val="24"/>
          <w:szCs w:val="24"/>
        </w:rPr>
        <w:t>:</w:t>
      </w:r>
      <w:r w:rsidR="00B33C83">
        <w:rPr>
          <w:rFonts w:ascii="Arial" w:eastAsia="Calibri" w:hAnsi="Arial" w:cs="Arial"/>
          <w:sz w:val="24"/>
          <w:szCs w:val="24"/>
        </w:rPr>
        <w:t xml:space="preserve"> first respondent’s financial records, </w:t>
      </w:r>
      <w:r w:rsidR="007727B8">
        <w:rPr>
          <w:rFonts w:ascii="Arial" w:eastAsia="Calibri" w:hAnsi="Arial" w:cs="Arial"/>
          <w:sz w:val="24"/>
          <w:szCs w:val="24"/>
        </w:rPr>
        <w:t>and to testify as a witness for the applicant at the arbitration</w:t>
      </w:r>
      <w:r w:rsidR="00B33C83">
        <w:rPr>
          <w:rFonts w:ascii="Arial" w:eastAsia="Calibri" w:hAnsi="Arial" w:cs="Arial"/>
          <w:sz w:val="24"/>
          <w:szCs w:val="24"/>
        </w:rPr>
        <w:t xml:space="preserve"> hearing</w:t>
      </w:r>
      <w:r w:rsidR="001C353A">
        <w:rPr>
          <w:rFonts w:ascii="Arial" w:eastAsia="Calibri" w:hAnsi="Arial" w:cs="Arial"/>
          <w:sz w:val="24"/>
          <w:szCs w:val="24"/>
        </w:rPr>
        <w:t xml:space="preserve">. </w:t>
      </w:r>
    </w:p>
    <w:p w14:paraId="07EE7DBE" w14:textId="635A9D4A" w:rsidR="009550E4" w:rsidRDefault="009550E4" w:rsidP="00DC32EC">
      <w:pPr>
        <w:spacing w:after="0" w:line="360" w:lineRule="auto"/>
        <w:jc w:val="both"/>
        <w:rPr>
          <w:rFonts w:ascii="Arial" w:eastAsia="Calibri" w:hAnsi="Arial" w:cs="Arial"/>
          <w:sz w:val="24"/>
          <w:szCs w:val="24"/>
        </w:rPr>
      </w:pPr>
    </w:p>
    <w:p w14:paraId="18B6A352" w14:textId="1D7FB60C" w:rsidR="00AA589E" w:rsidRDefault="009550E4" w:rsidP="007727B8">
      <w:pPr>
        <w:spacing w:after="0" w:line="360" w:lineRule="auto"/>
        <w:jc w:val="both"/>
        <w:rPr>
          <w:rFonts w:ascii="Arial" w:eastAsia="Calibri" w:hAnsi="Arial" w:cs="Arial"/>
          <w:sz w:val="24"/>
          <w:szCs w:val="24"/>
        </w:rPr>
      </w:pPr>
      <w:r>
        <w:rPr>
          <w:rFonts w:ascii="Arial" w:eastAsia="Calibri" w:hAnsi="Arial" w:cs="Arial"/>
          <w:sz w:val="24"/>
          <w:szCs w:val="24"/>
        </w:rPr>
        <w:t>[</w:t>
      </w:r>
      <w:r w:rsidR="009A678A">
        <w:rPr>
          <w:rFonts w:ascii="Arial" w:eastAsia="Calibri" w:hAnsi="Arial" w:cs="Arial"/>
          <w:sz w:val="24"/>
          <w:szCs w:val="24"/>
        </w:rPr>
        <w:t>10</w:t>
      </w:r>
      <w:r w:rsidR="00C1412F">
        <w:rPr>
          <w:rFonts w:ascii="Arial" w:eastAsia="Calibri" w:hAnsi="Arial" w:cs="Arial"/>
          <w:sz w:val="24"/>
          <w:szCs w:val="24"/>
        </w:rPr>
        <w:t>]</w:t>
      </w:r>
      <w:r w:rsidR="00C1412F">
        <w:rPr>
          <w:rFonts w:ascii="Arial" w:eastAsia="Calibri" w:hAnsi="Arial" w:cs="Arial"/>
          <w:sz w:val="24"/>
          <w:szCs w:val="24"/>
        </w:rPr>
        <w:tab/>
      </w:r>
      <w:r w:rsidR="00B02FD0">
        <w:rPr>
          <w:rFonts w:ascii="Arial" w:eastAsia="Calibri" w:hAnsi="Arial" w:cs="Arial"/>
          <w:sz w:val="24"/>
          <w:szCs w:val="24"/>
        </w:rPr>
        <w:t xml:space="preserve">The </w:t>
      </w:r>
      <w:r w:rsidR="009E5209">
        <w:rPr>
          <w:rFonts w:ascii="Arial" w:eastAsia="Calibri" w:hAnsi="Arial" w:cs="Arial"/>
          <w:sz w:val="24"/>
          <w:szCs w:val="24"/>
        </w:rPr>
        <w:t xml:space="preserve">applicant alleged that the </w:t>
      </w:r>
      <w:r w:rsidR="00B02FD0">
        <w:rPr>
          <w:rFonts w:ascii="Arial" w:eastAsia="Calibri" w:hAnsi="Arial" w:cs="Arial"/>
          <w:sz w:val="24"/>
          <w:szCs w:val="24"/>
        </w:rPr>
        <w:t>request of the financial record</w:t>
      </w:r>
      <w:r w:rsidR="00E6449D">
        <w:rPr>
          <w:rFonts w:ascii="Arial" w:eastAsia="Calibri" w:hAnsi="Arial" w:cs="Arial"/>
          <w:sz w:val="24"/>
          <w:szCs w:val="24"/>
        </w:rPr>
        <w:t>s</w:t>
      </w:r>
      <w:r w:rsidR="00C1412F">
        <w:rPr>
          <w:rFonts w:ascii="Arial" w:eastAsia="Calibri" w:hAnsi="Arial" w:cs="Arial"/>
          <w:sz w:val="24"/>
          <w:szCs w:val="24"/>
        </w:rPr>
        <w:t xml:space="preserve"> was necessary</w:t>
      </w:r>
      <w:r w:rsidR="00B02FD0">
        <w:rPr>
          <w:rFonts w:ascii="Arial" w:eastAsia="Calibri" w:hAnsi="Arial" w:cs="Arial"/>
          <w:sz w:val="24"/>
          <w:szCs w:val="24"/>
        </w:rPr>
        <w:t xml:space="preserve"> for </w:t>
      </w:r>
      <w:r w:rsidR="009E5209">
        <w:rPr>
          <w:rFonts w:ascii="Arial" w:eastAsia="Calibri" w:hAnsi="Arial" w:cs="Arial"/>
          <w:sz w:val="24"/>
          <w:szCs w:val="24"/>
        </w:rPr>
        <w:t>its</w:t>
      </w:r>
      <w:r w:rsidR="00B02FD0">
        <w:rPr>
          <w:rFonts w:ascii="Arial" w:eastAsia="Calibri" w:hAnsi="Arial" w:cs="Arial"/>
          <w:sz w:val="24"/>
          <w:szCs w:val="24"/>
        </w:rPr>
        <w:t xml:space="preserve"> case in relation to the financial loss suffered by the </w:t>
      </w:r>
      <w:r w:rsidR="00C1412F">
        <w:rPr>
          <w:rFonts w:ascii="Arial" w:eastAsia="Calibri" w:hAnsi="Arial" w:cs="Arial"/>
          <w:sz w:val="24"/>
          <w:szCs w:val="24"/>
        </w:rPr>
        <w:t>applicant, allegedly at the hands of the</w:t>
      </w:r>
      <w:r w:rsidR="00B02FD0">
        <w:rPr>
          <w:rFonts w:ascii="Arial" w:eastAsia="Calibri" w:hAnsi="Arial" w:cs="Arial"/>
          <w:sz w:val="24"/>
          <w:szCs w:val="24"/>
        </w:rPr>
        <w:t xml:space="preserve"> respondent</w:t>
      </w:r>
      <w:r w:rsidR="00AA589E">
        <w:rPr>
          <w:rFonts w:ascii="Arial" w:eastAsia="Calibri" w:hAnsi="Arial" w:cs="Arial"/>
          <w:sz w:val="24"/>
          <w:szCs w:val="24"/>
        </w:rPr>
        <w:t>.</w:t>
      </w:r>
      <w:r w:rsidR="00B02FD0">
        <w:rPr>
          <w:rFonts w:ascii="Arial" w:eastAsia="Calibri" w:hAnsi="Arial" w:cs="Arial"/>
          <w:sz w:val="24"/>
          <w:szCs w:val="24"/>
        </w:rPr>
        <w:t xml:space="preserve"> </w:t>
      </w:r>
    </w:p>
    <w:p w14:paraId="4AF364A4" w14:textId="337E8B66" w:rsidR="00B02FD0" w:rsidRDefault="00B02FD0" w:rsidP="007727B8">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14:paraId="2B7047A7" w14:textId="5308CB40" w:rsidR="007727B8" w:rsidRDefault="00F50E4B" w:rsidP="007727B8">
      <w:pPr>
        <w:spacing w:after="0" w:line="360" w:lineRule="auto"/>
        <w:jc w:val="both"/>
        <w:rPr>
          <w:rFonts w:ascii="Arial" w:eastAsia="Calibri" w:hAnsi="Arial" w:cs="Arial"/>
          <w:sz w:val="24"/>
          <w:szCs w:val="24"/>
        </w:rPr>
      </w:pPr>
      <w:r>
        <w:rPr>
          <w:rFonts w:ascii="Arial" w:eastAsia="Calibri" w:hAnsi="Arial" w:cs="Arial"/>
          <w:sz w:val="24"/>
          <w:szCs w:val="24"/>
        </w:rPr>
        <w:t>[</w:t>
      </w:r>
      <w:r w:rsidR="009A678A">
        <w:rPr>
          <w:rFonts w:ascii="Arial" w:eastAsia="Calibri" w:hAnsi="Arial" w:cs="Arial"/>
          <w:sz w:val="24"/>
          <w:szCs w:val="24"/>
        </w:rPr>
        <w:t>11</w:t>
      </w:r>
      <w:r>
        <w:rPr>
          <w:rFonts w:ascii="Arial" w:eastAsia="Calibri" w:hAnsi="Arial" w:cs="Arial"/>
          <w:sz w:val="24"/>
          <w:szCs w:val="24"/>
        </w:rPr>
        <w:t>]</w:t>
      </w:r>
      <w:r>
        <w:rPr>
          <w:rFonts w:ascii="Arial" w:eastAsia="Calibri" w:hAnsi="Arial" w:cs="Arial"/>
          <w:sz w:val="24"/>
          <w:szCs w:val="24"/>
        </w:rPr>
        <w:tab/>
      </w:r>
      <w:r w:rsidR="005E42F6">
        <w:rPr>
          <w:rFonts w:ascii="Arial" w:eastAsia="Calibri" w:hAnsi="Arial" w:cs="Arial"/>
          <w:sz w:val="24"/>
          <w:szCs w:val="24"/>
        </w:rPr>
        <w:t>O</w:t>
      </w:r>
      <w:r w:rsidR="009550E4">
        <w:rPr>
          <w:rFonts w:ascii="Arial" w:eastAsia="Calibri" w:hAnsi="Arial" w:cs="Arial"/>
          <w:sz w:val="24"/>
          <w:szCs w:val="24"/>
        </w:rPr>
        <w:t>n 12 Sep</w:t>
      </w:r>
      <w:r w:rsidR="005E42F6">
        <w:rPr>
          <w:rFonts w:ascii="Arial" w:eastAsia="Calibri" w:hAnsi="Arial" w:cs="Arial"/>
          <w:sz w:val="24"/>
          <w:szCs w:val="24"/>
        </w:rPr>
        <w:t>t</w:t>
      </w:r>
      <w:r w:rsidR="009550E4">
        <w:rPr>
          <w:rFonts w:ascii="Arial" w:eastAsia="Calibri" w:hAnsi="Arial" w:cs="Arial"/>
          <w:sz w:val="24"/>
          <w:szCs w:val="24"/>
        </w:rPr>
        <w:t>ember 2017</w:t>
      </w:r>
      <w:r w:rsidR="007727B8">
        <w:rPr>
          <w:rFonts w:ascii="Arial" w:eastAsia="Calibri" w:hAnsi="Arial" w:cs="Arial"/>
          <w:sz w:val="24"/>
          <w:szCs w:val="24"/>
        </w:rPr>
        <w:t xml:space="preserve">, at the arbitration hearing </w:t>
      </w:r>
      <w:r w:rsidR="00B33C83">
        <w:rPr>
          <w:rFonts w:ascii="Arial" w:eastAsia="Calibri" w:hAnsi="Arial" w:cs="Arial"/>
          <w:sz w:val="24"/>
          <w:szCs w:val="24"/>
        </w:rPr>
        <w:t xml:space="preserve">the applicant </w:t>
      </w:r>
      <w:r w:rsidR="00B02FD0">
        <w:rPr>
          <w:rFonts w:ascii="Arial" w:eastAsia="Calibri" w:hAnsi="Arial" w:cs="Arial"/>
          <w:sz w:val="24"/>
          <w:szCs w:val="24"/>
        </w:rPr>
        <w:t>and</w:t>
      </w:r>
      <w:r w:rsidR="00C1412F">
        <w:rPr>
          <w:rFonts w:ascii="Arial" w:eastAsia="Calibri" w:hAnsi="Arial" w:cs="Arial"/>
          <w:sz w:val="24"/>
          <w:szCs w:val="24"/>
        </w:rPr>
        <w:t xml:space="preserve"> </w:t>
      </w:r>
      <w:r w:rsidR="00B33C83">
        <w:rPr>
          <w:rFonts w:ascii="Arial" w:eastAsia="Calibri" w:hAnsi="Arial" w:cs="Arial"/>
          <w:sz w:val="24"/>
          <w:szCs w:val="24"/>
        </w:rPr>
        <w:t xml:space="preserve"> </w:t>
      </w:r>
      <w:r w:rsidR="00C1412F">
        <w:rPr>
          <w:rFonts w:ascii="Arial" w:eastAsia="Calibri" w:hAnsi="Arial" w:cs="Arial"/>
          <w:sz w:val="24"/>
          <w:szCs w:val="24"/>
        </w:rPr>
        <w:t xml:space="preserve">first </w:t>
      </w:r>
      <w:r w:rsidR="00B33C83">
        <w:rPr>
          <w:rFonts w:ascii="Arial" w:eastAsia="Calibri" w:hAnsi="Arial" w:cs="Arial"/>
          <w:sz w:val="24"/>
          <w:szCs w:val="24"/>
        </w:rPr>
        <w:t>respo</w:t>
      </w:r>
      <w:r w:rsidR="00B02FD0">
        <w:rPr>
          <w:rFonts w:ascii="Arial" w:eastAsia="Calibri" w:hAnsi="Arial" w:cs="Arial"/>
          <w:sz w:val="24"/>
          <w:szCs w:val="24"/>
        </w:rPr>
        <w:t>n</w:t>
      </w:r>
      <w:r w:rsidR="00B33C83">
        <w:rPr>
          <w:rFonts w:ascii="Arial" w:eastAsia="Calibri" w:hAnsi="Arial" w:cs="Arial"/>
          <w:sz w:val="24"/>
          <w:szCs w:val="24"/>
        </w:rPr>
        <w:t>dent</w:t>
      </w:r>
      <w:r w:rsidR="009550E4">
        <w:rPr>
          <w:rFonts w:ascii="Arial" w:eastAsia="Calibri" w:hAnsi="Arial" w:cs="Arial"/>
          <w:sz w:val="24"/>
          <w:szCs w:val="24"/>
        </w:rPr>
        <w:t xml:space="preserve"> </w:t>
      </w:r>
      <w:r w:rsidR="005E42F6">
        <w:rPr>
          <w:rFonts w:ascii="Arial" w:eastAsia="Calibri" w:hAnsi="Arial" w:cs="Arial"/>
          <w:sz w:val="24"/>
          <w:szCs w:val="24"/>
        </w:rPr>
        <w:t>made submission</w:t>
      </w:r>
      <w:r w:rsidR="00E6449D">
        <w:rPr>
          <w:rFonts w:ascii="Arial" w:eastAsia="Calibri" w:hAnsi="Arial" w:cs="Arial"/>
          <w:sz w:val="24"/>
          <w:szCs w:val="24"/>
        </w:rPr>
        <w:t>s</w:t>
      </w:r>
      <w:r w:rsidR="005E42F6">
        <w:rPr>
          <w:rFonts w:ascii="Arial" w:eastAsia="Calibri" w:hAnsi="Arial" w:cs="Arial"/>
          <w:sz w:val="24"/>
          <w:szCs w:val="24"/>
        </w:rPr>
        <w:t xml:space="preserve"> before the second respondent, on</w:t>
      </w:r>
      <w:r w:rsidR="009550E4">
        <w:rPr>
          <w:rFonts w:ascii="Arial" w:eastAsia="Calibri" w:hAnsi="Arial" w:cs="Arial"/>
          <w:sz w:val="24"/>
          <w:szCs w:val="24"/>
        </w:rPr>
        <w:t xml:space="preserve"> the issue of whether the first respo</w:t>
      </w:r>
      <w:r w:rsidR="005E42F6">
        <w:rPr>
          <w:rFonts w:ascii="Arial" w:eastAsia="Calibri" w:hAnsi="Arial" w:cs="Arial"/>
          <w:sz w:val="24"/>
          <w:szCs w:val="24"/>
        </w:rPr>
        <w:t>n</w:t>
      </w:r>
      <w:r w:rsidR="009550E4">
        <w:rPr>
          <w:rFonts w:ascii="Arial" w:eastAsia="Calibri" w:hAnsi="Arial" w:cs="Arial"/>
          <w:sz w:val="24"/>
          <w:szCs w:val="24"/>
        </w:rPr>
        <w:t xml:space="preserve">dent </w:t>
      </w:r>
      <w:r w:rsidR="00B33C83">
        <w:rPr>
          <w:rFonts w:ascii="Arial" w:eastAsia="Calibri" w:hAnsi="Arial" w:cs="Arial"/>
          <w:sz w:val="24"/>
          <w:szCs w:val="24"/>
        </w:rPr>
        <w:t>is required to</w:t>
      </w:r>
      <w:r w:rsidR="009550E4">
        <w:rPr>
          <w:rFonts w:ascii="Arial" w:eastAsia="Calibri" w:hAnsi="Arial" w:cs="Arial"/>
          <w:sz w:val="24"/>
          <w:szCs w:val="24"/>
        </w:rPr>
        <w:t xml:space="preserve"> disc</w:t>
      </w:r>
      <w:r w:rsidR="00B33C83">
        <w:rPr>
          <w:rFonts w:ascii="Arial" w:eastAsia="Calibri" w:hAnsi="Arial" w:cs="Arial"/>
          <w:sz w:val="24"/>
          <w:szCs w:val="24"/>
        </w:rPr>
        <w:t>lose</w:t>
      </w:r>
      <w:r w:rsidR="009550E4">
        <w:rPr>
          <w:rFonts w:ascii="Arial" w:eastAsia="Calibri" w:hAnsi="Arial" w:cs="Arial"/>
          <w:sz w:val="24"/>
          <w:szCs w:val="24"/>
        </w:rPr>
        <w:t xml:space="preserve"> </w:t>
      </w:r>
      <w:r w:rsidR="00B33C83">
        <w:rPr>
          <w:rFonts w:ascii="Arial" w:eastAsia="Calibri" w:hAnsi="Arial" w:cs="Arial"/>
          <w:sz w:val="24"/>
          <w:szCs w:val="24"/>
        </w:rPr>
        <w:t>his financial</w:t>
      </w:r>
      <w:r w:rsidR="009550E4">
        <w:rPr>
          <w:rFonts w:ascii="Arial" w:eastAsia="Calibri" w:hAnsi="Arial" w:cs="Arial"/>
          <w:sz w:val="24"/>
          <w:szCs w:val="24"/>
        </w:rPr>
        <w:t xml:space="preserve"> records as </w:t>
      </w:r>
      <w:r w:rsidR="005E42F6">
        <w:rPr>
          <w:rFonts w:ascii="Arial" w:eastAsia="Calibri" w:hAnsi="Arial" w:cs="Arial"/>
          <w:sz w:val="24"/>
          <w:szCs w:val="24"/>
        </w:rPr>
        <w:t>requested</w:t>
      </w:r>
      <w:r w:rsidR="00AA589E">
        <w:rPr>
          <w:rFonts w:ascii="Arial" w:eastAsia="Calibri" w:hAnsi="Arial" w:cs="Arial"/>
          <w:sz w:val="24"/>
          <w:szCs w:val="24"/>
        </w:rPr>
        <w:t xml:space="preserve"> and </w:t>
      </w:r>
      <w:r w:rsidR="00E6449D">
        <w:rPr>
          <w:rFonts w:ascii="Arial" w:eastAsia="Calibri" w:hAnsi="Arial" w:cs="Arial"/>
          <w:sz w:val="24"/>
          <w:szCs w:val="24"/>
        </w:rPr>
        <w:t xml:space="preserve">as to </w:t>
      </w:r>
      <w:r w:rsidR="00AA589E">
        <w:rPr>
          <w:rFonts w:ascii="Arial" w:eastAsia="Calibri" w:hAnsi="Arial" w:cs="Arial"/>
          <w:sz w:val="24"/>
          <w:szCs w:val="24"/>
        </w:rPr>
        <w:t>whether the first respondent</w:t>
      </w:r>
      <w:r w:rsidR="00C1412F">
        <w:rPr>
          <w:rFonts w:ascii="Arial" w:eastAsia="Calibri" w:hAnsi="Arial" w:cs="Arial"/>
          <w:sz w:val="24"/>
          <w:szCs w:val="24"/>
        </w:rPr>
        <w:t>’s</w:t>
      </w:r>
      <w:r w:rsidR="00AA589E">
        <w:rPr>
          <w:rFonts w:ascii="Arial" w:eastAsia="Calibri" w:hAnsi="Arial" w:cs="Arial"/>
          <w:sz w:val="24"/>
          <w:szCs w:val="24"/>
        </w:rPr>
        <w:t xml:space="preserve"> bank manager must testify </w:t>
      </w:r>
      <w:r w:rsidR="00300D31">
        <w:rPr>
          <w:rFonts w:ascii="Arial" w:eastAsia="Calibri" w:hAnsi="Arial" w:cs="Arial"/>
          <w:sz w:val="24"/>
          <w:szCs w:val="24"/>
        </w:rPr>
        <w:t>and provide first respondent’s bank record</w:t>
      </w:r>
      <w:r w:rsidR="00E6449D">
        <w:rPr>
          <w:rFonts w:ascii="Arial" w:eastAsia="Calibri" w:hAnsi="Arial" w:cs="Arial"/>
          <w:sz w:val="24"/>
          <w:szCs w:val="24"/>
        </w:rPr>
        <w:t>s</w:t>
      </w:r>
      <w:r w:rsidR="00300D31">
        <w:rPr>
          <w:rFonts w:ascii="Arial" w:eastAsia="Calibri" w:hAnsi="Arial" w:cs="Arial"/>
          <w:sz w:val="24"/>
          <w:szCs w:val="24"/>
        </w:rPr>
        <w:t>.</w:t>
      </w:r>
      <w:r w:rsidR="005E42F6">
        <w:rPr>
          <w:rFonts w:ascii="Arial" w:eastAsia="Calibri" w:hAnsi="Arial" w:cs="Arial"/>
          <w:sz w:val="24"/>
          <w:szCs w:val="24"/>
        </w:rPr>
        <w:t xml:space="preserve"> </w:t>
      </w:r>
      <w:r w:rsidR="007727B8">
        <w:rPr>
          <w:rFonts w:ascii="Arial" w:eastAsia="Calibri" w:hAnsi="Arial" w:cs="Arial"/>
          <w:sz w:val="24"/>
          <w:szCs w:val="24"/>
        </w:rPr>
        <w:t xml:space="preserve">The first respondent vigorously opposed the request for disclosure. It was argued on </w:t>
      </w:r>
      <w:r w:rsidR="00E6449D">
        <w:rPr>
          <w:rFonts w:ascii="Arial" w:eastAsia="Calibri" w:hAnsi="Arial" w:cs="Arial"/>
          <w:sz w:val="24"/>
          <w:szCs w:val="24"/>
        </w:rPr>
        <w:t xml:space="preserve">his </w:t>
      </w:r>
      <w:r w:rsidR="007727B8">
        <w:rPr>
          <w:rFonts w:ascii="Arial" w:eastAsia="Calibri" w:hAnsi="Arial" w:cs="Arial"/>
          <w:sz w:val="24"/>
          <w:szCs w:val="24"/>
        </w:rPr>
        <w:t xml:space="preserve">behalf that the </w:t>
      </w:r>
      <w:r w:rsidR="00C1412F">
        <w:rPr>
          <w:rFonts w:ascii="Arial" w:eastAsia="Calibri" w:hAnsi="Arial" w:cs="Arial"/>
          <w:sz w:val="24"/>
          <w:szCs w:val="24"/>
        </w:rPr>
        <w:t xml:space="preserve">proper </w:t>
      </w:r>
      <w:r w:rsidR="007727B8">
        <w:rPr>
          <w:rFonts w:ascii="Arial" w:eastAsia="Calibri" w:hAnsi="Arial" w:cs="Arial"/>
          <w:sz w:val="24"/>
          <w:szCs w:val="24"/>
        </w:rPr>
        <w:t>rule to invoke when a party to a dispute before arbitration proceedings, seeks discovery of documents, is rule 26. The applicant immediately heeded this advice and requested the arbitrator to order the first respondent to pro</w:t>
      </w:r>
      <w:r w:rsidR="005D6ECB">
        <w:rPr>
          <w:rFonts w:ascii="Arial" w:eastAsia="Calibri" w:hAnsi="Arial" w:cs="Arial"/>
          <w:sz w:val="24"/>
          <w:szCs w:val="24"/>
        </w:rPr>
        <w:t>duce</w:t>
      </w:r>
      <w:r w:rsidR="007727B8">
        <w:rPr>
          <w:rFonts w:ascii="Arial" w:eastAsia="Calibri" w:hAnsi="Arial" w:cs="Arial"/>
          <w:sz w:val="24"/>
          <w:szCs w:val="24"/>
        </w:rPr>
        <w:t xml:space="preserve"> the documents</w:t>
      </w:r>
      <w:r w:rsidR="005D6ECB">
        <w:rPr>
          <w:rFonts w:ascii="Arial" w:eastAsia="Calibri" w:hAnsi="Arial" w:cs="Arial"/>
          <w:sz w:val="24"/>
          <w:szCs w:val="24"/>
        </w:rPr>
        <w:t xml:space="preserve"> in terms of rule 26 (1)</w:t>
      </w:r>
      <w:r w:rsidR="00E6449D">
        <w:rPr>
          <w:rFonts w:ascii="Arial" w:eastAsia="Calibri" w:hAnsi="Arial" w:cs="Arial"/>
          <w:sz w:val="24"/>
          <w:szCs w:val="24"/>
        </w:rPr>
        <w:t xml:space="preserve"> of the Rules relating to the conduct of Conciliation and Arbitration before the Labour Commissioner.</w:t>
      </w:r>
    </w:p>
    <w:p w14:paraId="08ADA98D" w14:textId="77777777" w:rsidR="007727B8" w:rsidRDefault="007727B8" w:rsidP="007727B8">
      <w:pPr>
        <w:spacing w:after="0" w:line="360" w:lineRule="auto"/>
        <w:jc w:val="both"/>
        <w:rPr>
          <w:rFonts w:ascii="Arial" w:eastAsia="Calibri" w:hAnsi="Arial" w:cs="Arial"/>
          <w:sz w:val="24"/>
          <w:szCs w:val="24"/>
        </w:rPr>
      </w:pPr>
    </w:p>
    <w:p w14:paraId="0D799422" w14:textId="6BE3529A" w:rsidR="007727B8" w:rsidRDefault="007727B8" w:rsidP="007727B8">
      <w:pPr>
        <w:spacing w:after="0" w:line="360" w:lineRule="auto"/>
        <w:jc w:val="both"/>
        <w:rPr>
          <w:rFonts w:ascii="Arial" w:eastAsia="Calibri" w:hAnsi="Arial" w:cs="Arial"/>
          <w:sz w:val="24"/>
          <w:szCs w:val="24"/>
        </w:rPr>
      </w:pPr>
      <w:r>
        <w:rPr>
          <w:rFonts w:ascii="Arial" w:eastAsia="Calibri" w:hAnsi="Arial" w:cs="Arial"/>
          <w:sz w:val="24"/>
          <w:szCs w:val="24"/>
        </w:rPr>
        <w:t>[</w:t>
      </w:r>
      <w:r w:rsidR="00B16C82">
        <w:rPr>
          <w:rFonts w:ascii="Arial" w:eastAsia="Calibri" w:hAnsi="Arial" w:cs="Arial"/>
          <w:sz w:val="24"/>
          <w:szCs w:val="24"/>
        </w:rPr>
        <w:t>1</w:t>
      </w:r>
      <w:r w:rsidR="009A678A">
        <w:rPr>
          <w:rFonts w:ascii="Arial" w:eastAsia="Calibri" w:hAnsi="Arial" w:cs="Arial"/>
          <w:sz w:val="24"/>
          <w:szCs w:val="24"/>
        </w:rPr>
        <w:t>2</w:t>
      </w:r>
      <w:r w:rsidR="00C1412F">
        <w:rPr>
          <w:rFonts w:ascii="Arial" w:eastAsia="Calibri" w:hAnsi="Arial" w:cs="Arial"/>
          <w:sz w:val="24"/>
          <w:szCs w:val="24"/>
        </w:rPr>
        <w:t>]</w:t>
      </w:r>
      <w:r w:rsidR="00C1412F">
        <w:rPr>
          <w:rFonts w:ascii="Arial" w:eastAsia="Calibri" w:hAnsi="Arial" w:cs="Arial"/>
          <w:sz w:val="24"/>
          <w:szCs w:val="24"/>
        </w:rPr>
        <w:tab/>
      </w:r>
      <w:r>
        <w:rPr>
          <w:rFonts w:ascii="Arial" w:eastAsia="Calibri" w:hAnsi="Arial" w:cs="Arial"/>
          <w:sz w:val="24"/>
          <w:szCs w:val="24"/>
        </w:rPr>
        <w:t>The second res</w:t>
      </w:r>
      <w:r w:rsidR="00C1412F">
        <w:rPr>
          <w:rFonts w:ascii="Arial" w:eastAsia="Calibri" w:hAnsi="Arial" w:cs="Arial"/>
          <w:sz w:val="24"/>
          <w:szCs w:val="24"/>
        </w:rPr>
        <w:t>pondent considered the argument</w:t>
      </w:r>
      <w:r>
        <w:rPr>
          <w:rFonts w:ascii="Arial" w:eastAsia="Calibri" w:hAnsi="Arial" w:cs="Arial"/>
          <w:sz w:val="24"/>
          <w:szCs w:val="24"/>
        </w:rPr>
        <w:t xml:space="preserve"> by the </w:t>
      </w:r>
      <w:r w:rsidR="00C1412F">
        <w:rPr>
          <w:rFonts w:ascii="Arial" w:eastAsia="Calibri" w:hAnsi="Arial" w:cs="Arial"/>
          <w:sz w:val="24"/>
          <w:szCs w:val="24"/>
        </w:rPr>
        <w:t>parties</w:t>
      </w:r>
      <w:r>
        <w:rPr>
          <w:rFonts w:ascii="Arial" w:eastAsia="Calibri" w:hAnsi="Arial" w:cs="Arial"/>
          <w:sz w:val="24"/>
          <w:szCs w:val="24"/>
        </w:rPr>
        <w:t xml:space="preserve"> and </w:t>
      </w:r>
      <w:r w:rsidR="00300D31">
        <w:rPr>
          <w:rFonts w:ascii="Arial" w:eastAsia="Calibri" w:hAnsi="Arial" w:cs="Arial"/>
          <w:sz w:val="24"/>
          <w:szCs w:val="24"/>
        </w:rPr>
        <w:t>delivered her ruling</w:t>
      </w:r>
      <w:r w:rsidR="00E6449D">
        <w:rPr>
          <w:rFonts w:ascii="Arial" w:eastAsia="Calibri" w:hAnsi="Arial" w:cs="Arial"/>
          <w:sz w:val="24"/>
          <w:szCs w:val="24"/>
        </w:rPr>
        <w:t xml:space="preserve">. </w:t>
      </w:r>
      <w:r w:rsidR="00300D31">
        <w:rPr>
          <w:rFonts w:ascii="Arial" w:eastAsia="Calibri" w:hAnsi="Arial" w:cs="Arial"/>
          <w:sz w:val="24"/>
          <w:szCs w:val="24"/>
        </w:rPr>
        <w:t xml:space="preserve"> </w:t>
      </w:r>
      <w:r w:rsidR="00E6449D">
        <w:rPr>
          <w:rFonts w:ascii="Arial" w:eastAsia="Calibri" w:hAnsi="Arial" w:cs="Arial"/>
          <w:sz w:val="24"/>
          <w:szCs w:val="24"/>
        </w:rPr>
        <w:t>S</w:t>
      </w:r>
      <w:r w:rsidR="00300D31">
        <w:rPr>
          <w:rFonts w:ascii="Arial" w:eastAsia="Calibri" w:hAnsi="Arial" w:cs="Arial"/>
          <w:sz w:val="24"/>
          <w:szCs w:val="24"/>
        </w:rPr>
        <w:t xml:space="preserve">he </w:t>
      </w:r>
      <w:r>
        <w:rPr>
          <w:rFonts w:ascii="Arial" w:eastAsia="Calibri" w:hAnsi="Arial" w:cs="Arial"/>
          <w:sz w:val="24"/>
          <w:szCs w:val="24"/>
        </w:rPr>
        <w:t>dismissed the app</w:t>
      </w:r>
      <w:r w:rsidR="00C1412F">
        <w:rPr>
          <w:rFonts w:ascii="Arial" w:eastAsia="Calibri" w:hAnsi="Arial" w:cs="Arial"/>
          <w:sz w:val="24"/>
          <w:szCs w:val="24"/>
        </w:rPr>
        <w:t xml:space="preserve">licant’s application </w:t>
      </w:r>
      <w:r w:rsidR="009E5209">
        <w:rPr>
          <w:rFonts w:ascii="Arial" w:eastAsia="Calibri" w:hAnsi="Arial" w:cs="Arial"/>
          <w:sz w:val="24"/>
          <w:szCs w:val="24"/>
        </w:rPr>
        <w:t xml:space="preserve">and </w:t>
      </w:r>
      <w:r w:rsidR="00E6449D">
        <w:rPr>
          <w:rFonts w:ascii="Arial" w:eastAsia="Calibri" w:hAnsi="Arial" w:cs="Arial"/>
          <w:sz w:val="24"/>
          <w:szCs w:val="24"/>
        </w:rPr>
        <w:t>decided against the delivery of the requested docum</w:t>
      </w:r>
      <w:r w:rsidR="00584EFF">
        <w:rPr>
          <w:rFonts w:ascii="Arial" w:eastAsia="Calibri" w:hAnsi="Arial" w:cs="Arial"/>
          <w:sz w:val="24"/>
          <w:szCs w:val="24"/>
        </w:rPr>
        <w:t>e</w:t>
      </w:r>
      <w:r w:rsidR="00E6449D">
        <w:rPr>
          <w:rFonts w:ascii="Arial" w:eastAsia="Calibri" w:hAnsi="Arial" w:cs="Arial"/>
          <w:sz w:val="24"/>
          <w:szCs w:val="24"/>
        </w:rPr>
        <w:t>nts by the first respo</w:t>
      </w:r>
      <w:r w:rsidR="00584EFF">
        <w:rPr>
          <w:rFonts w:ascii="Arial" w:eastAsia="Calibri" w:hAnsi="Arial" w:cs="Arial"/>
          <w:sz w:val="24"/>
          <w:szCs w:val="24"/>
        </w:rPr>
        <w:t>n</w:t>
      </w:r>
      <w:r w:rsidR="00E6449D">
        <w:rPr>
          <w:rFonts w:ascii="Arial" w:eastAsia="Calibri" w:hAnsi="Arial" w:cs="Arial"/>
          <w:sz w:val="24"/>
          <w:szCs w:val="24"/>
        </w:rPr>
        <w:t xml:space="preserve">dent to the </w:t>
      </w:r>
      <w:r w:rsidR="00584EFF">
        <w:rPr>
          <w:rFonts w:ascii="Arial" w:eastAsia="Calibri" w:hAnsi="Arial" w:cs="Arial"/>
          <w:sz w:val="24"/>
          <w:szCs w:val="24"/>
        </w:rPr>
        <w:t>applicant and</w:t>
      </w:r>
      <w:r w:rsidR="00E6449D">
        <w:rPr>
          <w:rFonts w:ascii="Arial" w:eastAsia="Calibri" w:hAnsi="Arial" w:cs="Arial"/>
          <w:sz w:val="24"/>
          <w:szCs w:val="24"/>
        </w:rPr>
        <w:t xml:space="preserve"> </w:t>
      </w:r>
      <w:r w:rsidR="00C1412F">
        <w:rPr>
          <w:rFonts w:ascii="Arial" w:eastAsia="Calibri" w:hAnsi="Arial" w:cs="Arial"/>
          <w:sz w:val="24"/>
          <w:szCs w:val="24"/>
        </w:rPr>
        <w:t xml:space="preserve">thus </w:t>
      </w:r>
      <w:r w:rsidR="00E6449D">
        <w:rPr>
          <w:rFonts w:ascii="Arial" w:eastAsia="Calibri" w:hAnsi="Arial" w:cs="Arial"/>
          <w:sz w:val="24"/>
          <w:szCs w:val="24"/>
        </w:rPr>
        <w:t>refus</w:t>
      </w:r>
      <w:r w:rsidR="00C1412F">
        <w:rPr>
          <w:rFonts w:ascii="Arial" w:eastAsia="Calibri" w:hAnsi="Arial" w:cs="Arial"/>
          <w:sz w:val="24"/>
          <w:szCs w:val="24"/>
        </w:rPr>
        <w:t>ed that the bank manager who had</w:t>
      </w:r>
      <w:r w:rsidR="00E6449D">
        <w:rPr>
          <w:rFonts w:ascii="Arial" w:eastAsia="Calibri" w:hAnsi="Arial" w:cs="Arial"/>
          <w:sz w:val="24"/>
          <w:szCs w:val="24"/>
        </w:rPr>
        <w:t xml:space="preserve"> been subpoenaed to testify</w:t>
      </w:r>
      <w:r w:rsidR="00584EFF">
        <w:rPr>
          <w:rFonts w:ascii="Arial" w:eastAsia="Calibri" w:hAnsi="Arial" w:cs="Arial"/>
          <w:sz w:val="24"/>
          <w:szCs w:val="24"/>
        </w:rPr>
        <w:t xml:space="preserve"> for the applicant. </w:t>
      </w:r>
      <w:r>
        <w:rPr>
          <w:rFonts w:ascii="Arial" w:eastAsia="Calibri" w:hAnsi="Arial" w:cs="Arial"/>
          <w:sz w:val="24"/>
          <w:szCs w:val="24"/>
        </w:rPr>
        <w:t>The second respondent then postponed the arbitration hearing to 13 October 2017.</w:t>
      </w:r>
    </w:p>
    <w:p w14:paraId="46CDE8C3" w14:textId="646767B7" w:rsidR="009550E4" w:rsidRDefault="009550E4" w:rsidP="00DC32EC">
      <w:pPr>
        <w:spacing w:after="0" w:line="360" w:lineRule="auto"/>
        <w:jc w:val="both"/>
        <w:rPr>
          <w:rFonts w:ascii="Arial" w:eastAsia="Calibri" w:hAnsi="Arial" w:cs="Arial"/>
          <w:sz w:val="24"/>
          <w:szCs w:val="24"/>
        </w:rPr>
      </w:pPr>
    </w:p>
    <w:p w14:paraId="6E02C061" w14:textId="1EB11F9E" w:rsidR="009550E4" w:rsidRDefault="009550E4"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B16C82">
        <w:rPr>
          <w:rFonts w:ascii="Arial" w:eastAsia="Calibri" w:hAnsi="Arial" w:cs="Arial"/>
          <w:sz w:val="24"/>
          <w:szCs w:val="24"/>
        </w:rPr>
        <w:t>1</w:t>
      </w:r>
      <w:r w:rsidR="009A678A">
        <w:rPr>
          <w:rFonts w:ascii="Arial" w:eastAsia="Calibri" w:hAnsi="Arial" w:cs="Arial"/>
          <w:sz w:val="24"/>
          <w:szCs w:val="24"/>
        </w:rPr>
        <w:t>3</w:t>
      </w:r>
      <w:r w:rsidR="00C1412F">
        <w:rPr>
          <w:rFonts w:ascii="Arial" w:eastAsia="Calibri" w:hAnsi="Arial" w:cs="Arial"/>
          <w:sz w:val="24"/>
          <w:szCs w:val="24"/>
        </w:rPr>
        <w:t>]</w:t>
      </w:r>
      <w:r w:rsidR="00C1412F">
        <w:rPr>
          <w:rFonts w:ascii="Arial" w:eastAsia="Calibri" w:hAnsi="Arial" w:cs="Arial"/>
          <w:sz w:val="24"/>
          <w:szCs w:val="24"/>
        </w:rPr>
        <w:tab/>
      </w:r>
      <w:r w:rsidR="005E42F6">
        <w:rPr>
          <w:rFonts w:ascii="Arial" w:eastAsia="Calibri" w:hAnsi="Arial" w:cs="Arial"/>
          <w:sz w:val="24"/>
          <w:szCs w:val="24"/>
        </w:rPr>
        <w:t xml:space="preserve">On </w:t>
      </w:r>
      <w:r w:rsidR="005E42F6" w:rsidRPr="000C01E9">
        <w:rPr>
          <w:rFonts w:ascii="Arial" w:eastAsia="Calibri" w:hAnsi="Arial" w:cs="Arial"/>
          <w:sz w:val="24"/>
          <w:szCs w:val="24"/>
        </w:rPr>
        <w:t>24 October 2017, t</w:t>
      </w:r>
      <w:r w:rsidRPr="000C01E9">
        <w:rPr>
          <w:rFonts w:ascii="Arial" w:eastAsia="Calibri" w:hAnsi="Arial" w:cs="Arial"/>
          <w:sz w:val="24"/>
          <w:szCs w:val="24"/>
        </w:rPr>
        <w:t xml:space="preserve">he </w:t>
      </w:r>
      <w:r w:rsidR="005E42F6" w:rsidRPr="000C01E9">
        <w:rPr>
          <w:rFonts w:ascii="Arial" w:eastAsia="Calibri" w:hAnsi="Arial" w:cs="Arial"/>
          <w:sz w:val="24"/>
          <w:szCs w:val="24"/>
        </w:rPr>
        <w:t>applicant</w:t>
      </w:r>
      <w:r w:rsidR="005E42F6">
        <w:rPr>
          <w:rFonts w:ascii="Arial" w:eastAsia="Calibri" w:hAnsi="Arial" w:cs="Arial"/>
          <w:sz w:val="24"/>
          <w:szCs w:val="24"/>
        </w:rPr>
        <w:t xml:space="preserve"> lodged a</w:t>
      </w:r>
      <w:r w:rsidR="00C1412F">
        <w:rPr>
          <w:rFonts w:ascii="Arial" w:eastAsia="Calibri" w:hAnsi="Arial" w:cs="Arial"/>
          <w:sz w:val="24"/>
          <w:szCs w:val="24"/>
        </w:rPr>
        <w:t>n</w:t>
      </w:r>
      <w:r w:rsidR="005E42F6">
        <w:rPr>
          <w:rFonts w:ascii="Arial" w:eastAsia="Calibri" w:hAnsi="Arial" w:cs="Arial"/>
          <w:sz w:val="24"/>
          <w:szCs w:val="24"/>
        </w:rPr>
        <w:t xml:space="preserve"> </w:t>
      </w:r>
      <w:r w:rsidR="00C1412F">
        <w:rPr>
          <w:rFonts w:ascii="Arial" w:eastAsia="Calibri" w:hAnsi="Arial" w:cs="Arial"/>
          <w:sz w:val="24"/>
          <w:szCs w:val="24"/>
        </w:rPr>
        <w:t>application for the review</w:t>
      </w:r>
      <w:r w:rsidR="005E42F6">
        <w:rPr>
          <w:rFonts w:ascii="Arial" w:eastAsia="Calibri" w:hAnsi="Arial" w:cs="Arial"/>
          <w:sz w:val="24"/>
          <w:szCs w:val="24"/>
        </w:rPr>
        <w:t xml:space="preserve"> of the second respondent</w:t>
      </w:r>
      <w:r w:rsidR="00C1412F">
        <w:rPr>
          <w:rFonts w:ascii="Arial" w:eastAsia="Calibri" w:hAnsi="Arial" w:cs="Arial"/>
          <w:sz w:val="24"/>
          <w:szCs w:val="24"/>
        </w:rPr>
        <w:t>’</w:t>
      </w:r>
      <w:r w:rsidR="005E42F6">
        <w:rPr>
          <w:rFonts w:ascii="Arial" w:eastAsia="Calibri" w:hAnsi="Arial" w:cs="Arial"/>
          <w:sz w:val="24"/>
          <w:szCs w:val="24"/>
        </w:rPr>
        <w:t>s ruling made on 27 September 2017, dismissing applicant’s application to compel first respondent to dis</w:t>
      </w:r>
      <w:r w:rsidR="005D6ECB">
        <w:rPr>
          <w:rFonts w:ascii="Arial" w:eastAsia="Calibri" w:hAnsi="Arial" w:cs="Arial"/>
          <w:sz w:val="24"/>
          <w:szCs w:val="24"/>
        </w:rPr>
        <w:t xml:space="preserve">close the documents </w:t>
      </w:r>
      <w:r w:rsidR="009A678A">
        <w:rPr>
          <w:rFonts w:ascii="Arial" w:eastAsia="Calibri" w:hAnsi="Arial" w:cs="Arial"/>
          <w:sz w:val="24"/>
          <w:szCs w:val="24"/>
        </w:rPr>
        <w:t>referred in para [4] above,</w:t>
      </w:r>
      <w:r w:rsidR="005E42F6">
        <w:rPr>
          <w:rFonts w:ascii="Arial" w:eastAsia="Calibri" w:hAnsi="Arial" w:cs="Arial"/>
          <w:sz w:val="24"/>
          <w:szCs w:val="24"/>
        </w:rPr>
        <w:t xml:space="preserve"> and the refusal of the </w:t>
      </w:r>
      <w:r w:rsidR="000C01E9">
        <w:rPr>
          <w:rFonts w:ascii="Arial" w:eastAsia="Calibri" w:hAnsi="Arial" w:cs="Arial"/>
          <w:sz w:val="24"/>
          <w:szCs w:val="24"/>
        </w:rPr>
        <w:t xml:space="preserve">applicant’s </w:t>
      </w:r>
      <w:r w:rsidR="005E42F6">
        <w:rPr>
          <w:rFonts w:ascii="Arial" w:eastAsia="Calibri" w:hAnsi="Arial" w:cs="Arial"/>
          <w:sz w:val="24"/>
          <w:szCs w:val="24"/>
        </w:rPr>
        <w:t xml:space="preserve">right to call first respondent’s bank manager. </w:t>
      </w:r>
    </w:p>
    <w:p w14:paraId="5BDA7E80" w14:textId="6833ECC2" w:rsidR="005E42F6" w:rsidRDefault="005E42F6" w:rsidP="00DC32EC">
      <w:pPr>
        <w:spacing w:after="0" w:line="360" w:lineRule="auto"/>
        <w:jc w:val="both"/>
        <w:rPr>
          <w:rFonts w:ascii="Arial" w:eastAsia="Calibri" w:hAnsi="Arial" w:cs="Arial"/>
          <w:sz w:val="24"/>
          <w:szCs w:val="24"/>
        </w:rPr>
      </w:pPr>
    </w:p>
    <w:p w14:paraId="1D2A1536" w14:textId="2AA9A673" w:rsidR="009E5209" w:rsidRDefault="005E42F6" w:rsidP="00DC32EC">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9A678A">
        <w:rPr>
          <w:rFonts w:ascii="Arial" w:eastAsia="Calibri" w:hAnsi="Arial" w:cs="Arial"/>
          <w:sz w:val="24"/>
          <w:szCs w:val="24"/>
        </w:rPr>
        <w:t>4</w:t>
      </w:r>
      <w:r>
        <w:rPr>
          <w:rFonts w:ascii="Arial" w:eastAsia="Calibri" w:hAnsi="Arial" w:cs="Arial"/>
          <w:sz w:val="24"/>
          <w:szCs w:val="24"/>
        </w:rPr>
        <w:t xml:space="preserve">] </w:t>
      </w:r>
      <w:r>
        <w:rPr>
          <w:rFonts w:ascii="Arial" w:eastAsia="Calibri" w:hAnsi="Arial" w:cs="Arial"/>
          <w:sz w:val="24"/>
          <w:szCs w:val="24"/>
        </w:rPr>
        <w:tab/>
      </w:r>
      <w:r w:rsidR="00717C6F">
        <w:rPr>
          <w:rFonts w:ascii="Arial" w:eastAsia="Calibri" w:hAnsi="Arial" w:cs="Arial"/>
          <w:sz w:val="24"/>
          <w:szCs w:val="24"/>
        </w:rPr>
        <w:t xml:space="preserve">The </w:t>
      </w:r>
      <w:r w:rsidR="005D6ECB">
        <w:rPr>
          <w:rFonts w:ascii="Arial" w:eastAsia="Calibri" w:hAnsi="Arial" w:cs="Arial"/>
          <w:sz w:val="24"/>
          <w:szCs w:val="24"/>
        </w:rPr>
        <w:t xml:space="preserve">first respondent opposed the review </w:t>
      </w:r>
      <w:r w:rsidR="00DD0920">
        <w:rPr>
          <w:rFonts w:ascii="Arial" w:eastAsia="Calibri" w:hAnsi="Arial" w:cs="Arial"/>
          <w:sz w:val="24"/>
          <w:szCs w:val="24"/>
        </w:rPr>
        <w:t>application and</w:t>
      </w:r>
      <w:r w:rsidR="00584EFF">
        <w:rPr>
          <w:rFonts w:ascii="Arial" w:eastAsia="Calibri" w:hAnsi="Arial" w:cs="Arial"/>
          <w:sz w:val="24"/>
          <w:szCs w:val="24"/>
        </w:rPr>
        <w:t xml:space="preserve"> in this regard </w:t>
      </w:r>
      <w:r w:rsidR="00DD0920">
        <w:rPr>
          <w:rFonts w:ascii="Arial" w:eastAsia="Calibri" w:hAnsi="Arial" w:cs="Arial"/>
          <w:sz w:val="24"/>
          <w:szCs w:val="24"/>
        </w:rPr>
        <w:t xml:space="preserve">filed </w:t>
      </w:r>
      <w:r w:rsidR="00584EFF">
        <w:rPr>
          <w:rFonts w:ascii="Arial" w:eastAsia="Calibri" w:hAnsi="Arial" w:cs="Arial"/>
          <w:sz w:val="24"/>
          <w:szCs w:val="24"/>
        </w:rPr>
        <w:t>an a</w:t>
      </w:r>
      <w:r w:rsidR="00DD0920">
        <w:rPr>
          <w:rFonts w:ascii="Arial" w:eastAsia="Calibri" w:hAnsi="Arial" w:cs="Arial"/>
          <w:sz w:val="24"/>
          <w:szCs w:val="24"/>
        </w:rPr>
        <w:t>ffidavit in opposition. Th</w:t>
      </w:r>
      <w:r w:rsidR="00584EFF">
        <w:rPr>
          <w:rFonts w:ascii="Arial" w:eastAsia="Calibri" w:hAnsi="Arial" w:cs="Arial"/>
          <w:sz w:val="24"/>
          <w:szCs w:val="24"/>
        </w:rPr>
        <w:t>e</w:t>
      </w:r>
      <w:r w:rsidR="00DD0920">
        <w:rPr>
          <w:rFonts w:ascii="Arial" w:eastAsia="Calibri" w:hAnsi="Arial" w:cs="Arial"/>
          <w:sz w:val="24"/>
          <w:szCs w:val="24"/>
        </w:rPr>
        <w:t xml:space="preserve"> re</w:t>
      </w:r>
      <w:r w:rsidR="00584EFF">
        <w:rPr>
          <w:rFonts w:ascii="Arial" w:eastAsia="Calibri" w:hAnsi="Arial" w:cs="Arial"/>
          <w:sz w:val="24"/>
          <w:szCs w:val="24"/>
        </w:rPr>
        <w:t xml:space="preserve">spondent </w:t>
      </w:r>
      <w:r w:rsidR="00DD0920">
        <w:rPr>
          <w:rFonts w:ascii="Arial" w:eastAsia="Calibri" w:hAnsi="Arial" w:cs="Arial"/>
          <w:sz w:val="24"/>
          <w:szCs w:val="24"/>
        </w:rPr>
        <w:t xml:space="preserve">subsequently </w:t>
      </w:r>
      <w:r w:rsidR="009A678A">
        <w:rPr>
          <w:rFonts w:ascii="Arial" w:eastAsia="Calibri" w:hAnsi="Arial" w:cs="Arial"/>
          <w:sz w:val="24"/>
          <w:szCs w:val="24"/>
        </w:rPr>
        <w:t xml:space="preserve">withdrew </w:t>
      </w:r>
      <w:r w:rsidR="00B16C82">
        <w:rPr>
          <w:rFonts w:ascii="Arial" w:eastAsia="Calibri" w:hAnsi="Arial" w:cs="Arial"/>
          <w:sz w:val="24"/>
          <w:szCs w:val="24"/>
        </w:rPr>
        <w:t xml:space="preserve">his </w:t>
      </w:r>
      <w:r w:rsidR="00717C6F">
        <w:rPr>
          <w:rFonts w:ascii="Arial" w:eastAsia="Calibri" w:hAnsi="Arial" w:cs="Arial"/>
          <w:sz w:val="24"/>
          <w:szCs w:val="24"/>
        </w:rPr>
        <w:t xml:space="preserve">opposition on </w:t>
      </w:r>
      <w:r w:rsidR="00717C6F" w:rsidRPr="00B16C82">
        <w:rPr>
          <w:rFonts w:ascii="Arial" w:eastAsia="Calibri" w:hAnsi="Arial" w:cs="Arial"/>
          <w:sz w:val="24"/>
          <w:szCs w:val="24"/>
        </w:rPr>
        <w:t>16 July 2018.</w:t>
      </w:r>
      <w:r w:rsidR="00717C6F">
        <w:rPr>
          <w:rFonts w:ascii="Arial" w:eastAsia="Calibri" w:hAnsi="Arial" w:cs="Arial"/>
          <w:sz w:val="24"/>
          <w:szCs w:val="24"/>
        </w:rPr>
        <w:t xml:space="preserve"> The applicant filed its heads of argument on 30 July 2018 and persists with the review application and requested the court to grant a cost</w:t>
      </w:r>
      <w:r w:rsidR="00584EFF">
        <w:rPr>
          <w:rFonts w:ascii="Arial" w:eastAsia="Calibri" w:hAnsi="Arial" w:cs="Arial"/>
          <w:sz w:val="24"/>
          <w:szCs w:val="24"/>
        </w:rPr>
        <w:t>s</w:t>
      </w:r>
      <w:r w:rsidR="00717C6F">
        <w:rPr>
          <w:rFonts w:ascii="Arial" w:eastAsia="Calibri" w:hAnsi="Arial" w:cs="Arial"/>
          <w:sz w:val="24"/>
          <w:szCs w:val="24"/>
        </w:rPr>
        <w:t xml:space="preserve"> order against the first respondent</w:t>
      </w:r>
      <w:r w:rsidR="005261F4">
        <w:rPr>
          <w:rFonts w:ascii="Arial" w:eastAsia="Calibri" w:hAnsi="Arial" w:cs="Arial"/>
          <w:sz w:val="24"/>
          <w:szCs w:val="24"/>
        </w:rPr>
        <w:t xml:space="preserve">, </w:t>
      </w:r>
      <w:r w:rsidR="004012F5">
        <w:rPr>
          <w:rFonts w:ascii="Arial" w:eastAsia="Calibri" w:hAnsi="Arial" w:cs="Arial"/>
          <w:sz w:val="24"/>
          <w:szCs w:val="24"/>
        </w:rPr>
        <w:t>on the basis that</w:t>
      </w:r>
      <w:r w:rsidR="00615CED">
        <w:rPr>
          <w:rFonts w:ascii="Arial" w:eastAsia="Calibri" w:hAnsi="Arial" w:cs="Arial"/>
          <w:sz w:val="24"/>
          <w:szCs w:val="24"/>
        </w:rPr>
        <w:t xml:space="preserve"> the first respondent acted frivolous</w:t>
      </w:r>
      <w:r w:rsidR="00584EFF">
        <w:rPr>
          <w:rFonts w:ascii="Arial" w:eastAsia="Calibri" w:hAnsi="Arial" w:cs="Arial"/>
          <w:sz w:val="24"/>
          <w:szCs w:val="24"/>
        </w:rPr>
        <w:t>ly</w:t>
      </w:r>
      <w:r w:rsidR="005261F4">
        <w:rPr>
          <w:rFonts w:ascii="Arial" w:eastAsia="Calibri" w:hAnsi="Arial" w:cs="Arial"/>
          <w:sz w:val="24"/>
          <w:szCs w:val="24"/>
        </w:rPr>
        <w:t xml:space="preserve"> </w:t>
      </w:r>
      <w:r w:rsidR="00615CED">
        <w:rPr>
          <w:rFonts w:ascii="Arial" w:eastAsia="Calibri" w:hAnsi="Arial" w:cs="Arial"/>
          <w:sz w:val="24"/>
          <w:szCs w:val="24"/>
        </w:rPr>
        <w:t xml:space="preserve">in his </w:t>
      </w:r>
      <w:r w:rsidR="00DD0920">
        <w:rPr>
          <w:rFonts w:ascii="Arial" w:eastAsia="Calibri" w:hAnsi="Arial" w:cs="Arial"/>
          <w:sz w:val="24"/>
          <w:szCs w:val="24"/>
        </w:rPr>
        <w:t xml:space="preserve">initial </w:t>
      </w:r>
      <w:r w:rsidR="00615CED">
        <w:rPr>
          <w:rFonts w:ascii="Arial" w:eastAsia="Calibri" w:hAnsi="Arial" w:cs="Arial"/>
          <w:sz w:val="24"/>
          <w:szCs w:val="24"/>
        </w:rPr>
        <w:t>opposition of the review application until 16 July 2018</w:t>
      </w:r>
      <w:r w:rsidR="005261F4">
        <w:rPr>
          <w:rFonts w:ascii="Arial" w:eastAsia="Calibri" w:hAnsi="Arial" w:cs="Arial"/>
          <w:sz w:val="24"/>
          <w:szCs w:val="24"/>
        </w:rPr>
        <w:t xml:space="preserve">. </w:t>
      </w:r>
    </w:p>
    <w:p w14:paraId="0265A2E1" w14:textId="77777777" w:rsidR="00DD0920" w:rsidRDefault="00DD0920" w:rsidP="00DC32EC">
      <w:pPr>
        <w:spacing w:after="0" w:line="360" w:lineRule="auto"/>
        <w:jc w:val="both"/>
        <w:rPr>
          <w:rFonts w:ascii="Arial" w:eastAsia="Calibri" w:hAnsi="Arial" w:cs="Arial"/>
          <w:sz w:val="24"/>
          <w:szCs w:val="24"/>
        </w:rPr>
      </w:pPr>
    </w:p>
    <w:p w14:paraId="67B0BE74" w14:textId="01372103" w:rsidR="00615CED" w:rsidRDefault="009A678A" w:rsidP="00DC32EC">
      <w:pPr>
        <w:spacing w:after="0" w:line="360" w:lineRule="auto"/>
        <w:jc w:val="both"/>
        <w:rPr>
          <w:rFonts w:ascii="Arial" w:eastAsia="Calibri" w:hAnsi="Arial" w:cs="Arial"/>
          <w:sz w:val="24"/>
          <w:szCs w:val="24"/>
        </w:rPr>
      </w:pPr>
      <w:r>
        <w:rPr>
          <w:rFonts w:ascii="Arial" w:eastAsia="Calibri" w:hAnsi="Arial" w:cs="Arial"/>
          <w:sz w:val="24"/>
          <w:szCs w:val="24"/>
        </w:rPr>
        <w:t>[15</w:t>
      </w:r>
      <w:r w:rsidR="00DD0920">
        <w:rPr>
          <w:rFonts w:ascii="Arial" w:eastAsia="Calibri" w:hAnsi="Arial" w:cs="Arial"/>
          <w:sz w:val="24"/>
          <w:szCs w:val="24"/>
        </w:rPr>
        <w:t>]</w:t>
      </w:r>
      <w:r w:rsidR="00DD0920">
        <w:rPr>
          <w:rFonts w:ascii="Arial" w:eastAsia="Calibri" w:hAnsi="Arial" w:cs="Arial"/>
          <w:sz w:val="24"/>
          <w:szCs w:val="24"/>
        </w:rPr>
        <w:tab/>
      </w:r>
      <w:r w:rsidR="005261F4">
        <w:rPr>
          <w:rFonts w:ascii="Arial" w:eastAsia="Calibri" w:hAnsi="Arial" w:cs="Arial"/>
          <w:sz w:val="24"/>
          <w:szCs w:val="24"/>
        </w:rPr>
        <w:t xml:space="preserve">The </w:t>
      </w:r>
      <w:r w:rsidR="008F2E7E">
        <w:rPr>
          <w:rFonts w:ascii="Arial" w:eastAsia="Calibri" w:hAnsi="Arial" w:cs="Arial"/>
          <w:sz w:val="24"/>
          <w:szCs w:val="24"/>
        </w:rPr>
        <w:t>r</w:t>
      </w:r>
      <w:r w:rsidR="005261F4">
        <w:rPr>
          <w:rFonts w:ascii="Arial" w:eastAsia="Calibri" w:hAnsi="Arial" w:cs="Arial"/>
          <w:sz w:val="24"/>
          <w:szCs w:val="24"/>
        </w:rPr>
        <w:t>espo</w:t>
      </w:r>
      <w:r w:rsidR="00615CED">
        <w:rPr>
          <w:rFonts w:ascii="Arial" w:eastAsia="Calibri" w:hAnsi="Arial" w:cs="Arial"/>
          <w:sz w:val="24"/>
          <w:szCs w:val="24"/>
        </w:rPr>
        <w:t>n</w:t>
      </w:r>
      <w:r w:rsidR="005261F4">
        <w:rPr>
          <w:rFonts w:ascii="Arial" w:eastAsia="Calibri" w:hAnsi="Arial" w:cs="Arial"/>
          <w:sz w:val="24"/>
          <w:szCs w:val="24"/>
        </w:rPr>
        <w:t>dent</w:t>
      </w:r>
      <w:r w:rsidR="00DD0920">
        <w:rPr>
          <w:rFonts w:ascii="Arial" w:eastAsia="Calibri" w:hAnsi="Arial" w:cs="Arial"/>
          <w:sz w:val="24"/>
          <w:szCs w:val="24"/>
        </w:rPr>
        <w:t>,</w:t>
      </w:r>
      <w:r w:rsidR="005261F4">
        <w:rPr>
          <w:rFonts w:ascii="Arial" w:eastAsia="Calibri" w:hAnsi="Arial" w:cs="Arial"/>
          <w:sz w:val="24"/>
          <w:szCs w:val="24"/>
        </w:rPr>
        <w:t xml:space="preserve"> in his heads of argument, </w:t>
      </w:r>
      <w:r w:rsidR="009E5209">
        <w:rPr>
          <w:rFonts w:ascii="Arial" w:eastAsia="Calibri" w:hAnsi="Arial" w:cs="Arial"/>
          <w:sz w:val="24"/>
          <w:szCs w:val="24"/>
        </w:rPr>
        <w:t xml:space="preserve">submits </w:t>
      </w:r>
      <w:r w:rsidR="005261F4">
        <w:rPr>
          <w:rFonts w:ascii="Arial" w:eastAsia="Calibri" w:hAnsi="Arial" w:cs="Arial"/>
          <w:sz w:val="24"/>
          <w:szCs w:val="24"/>
        </w:rPr>
        <w:t>that his legal practit</w:t>
      </w:r>
      <w:r w:rsidR="00615CED">
        <w:rPr>
          <w:rFonts w:ascii="Arial" w:eastAsia="Calibri" w:hAnsi="Arial" w:cs="Arial"/>
          <w:sz w:val="24"/>
          <w:szCs w:val="24"/>
        </w:rPr>
        <w:t>io</w:t>
      </w:r>
      <w:r w:rsidR="005261F4">
        <w:rPr>
          <w:rFonts w:ascii="Arial" w:eastAsia="Calibri" w:hAnsi="Arial" w:cs="Arial"/>
          <w:sz w:val="24"/>
          <w:szCs w:val="24"/>
        </w:rPr>
        <w:t>ner telephonically informed the applicant of his intention to withdraw his opposition to the review</w:t>
      </w:r>
      <w:r w:rsidR="00584EFF">
        <w:rPr>
          <w:rFonts w:ascii="Arial" w:eastAsia="Calibri" w:hAnsi="Arial" w:cs="Arial"/>
          <w:sz w:val="24"/>
          <w:szCs w:val="24"/>
        </w:rPr>
        <w:t>,</w:t>
      </w:r>
      <w:r w:rsidR="005261F4">
        <w:rPr>
          <w:rFonts w:ascii="Arial" w:eastAsia="Calibri" w:hAnsi="Arial" w:cs="Arial"/>
          <w:sz w:val="24"/>
          <w:szCs w:val="24"/>
        </w:rPr>
        <w:t xml:space="preserve"> </w:t>
      </w:r>
      <w:r w:rsidR="00584EFF">
        <w:rPr>
          <w:rFonts w:ascii="Arial" w:eastAsia="Calibri" w:hAnsi="Arial" w:cs="Arial"/>
          <w:sz w:val="24"/>
          <w:szCs w:val="24"/>
        </w:rPr>
        <w:t>t</w:t>
      </w:r>
      <w:r w:rsidR="005261F4">
        <w:rPr>
          <w:rFonts w:ascii="Arial" w:eastAsia="Calibri" w:hAnsi="Arial" w:cs="Arial"/>
          <w:sz w:val="24"/>
          <w:szCs w:val="24"/>
        </w:rPr>
        <w:t>he reason being that the respo</w:t>
      </w:r>
      <w:r w:rsidR="00615CED">
        <w:rPr>
          <w:rFonts w:ascii="Arial" w:eastAsia="Calibri" w:hAnsi="Arial" w:cs="Arial"/>
          <w:sz w:val="24"/>
          <w:szCs w:val="24"/>
        </w:rPr>
        <w:t>n</w:t>
      </w:r>
      <w:r w:rsidR="005261F4">
        <w:rPr>
          <w:rFonts w:ascii="Arial" w:eastAsia="Calibri" w:hAnsi="Arial" w:cs="Arial"/>
          <w:sz w:val="24"/>
          <w:szCs w:val="24"/>
        </w:rPr>
        <w:t>dent</w:t>
      </w:r>
      <w:r w:rsidR="00615CED">
        <w:rPr>
          <w:rFonts w:ascii="Arial" w:eastAsia="Calibri" w:hAnsi="Arial" w:cs="Arial"/>
          <w:sz w:val="24"/>
          <w:szCs w:val="24"/>
        </w:rPr>
        <w:t xml:space="preserve">, after due consideration of the review application, instead </w:t>
      </w:r>
      <w:r w:rsidR="009E5209">
        <w:rPr>
          <w:rFonts w:ascii="Arial" w:eastAsia="Calibri" w:hAnsi="Arial" w:cs="Arial"/>
          <w:sz w:val="24"/>
          <w:szCs w:val="24"/>
        </w:rPr>
        <w:t>desired</w:t>
      </w:r>
      <w:r w:rsidR="00615CED">
        <w:rPr>
          <w:rFonts w:ascii="Arial" w:eastAsia="Calibri" w:hAnsi="Arial" w:cs="Arial"/>
          <w:sz w:val="24"/>
          <w:szCs w:val="24"/>
        </w:rPr>
        <w:t xml:space="preserve"> to focus </w:t>
      </w:r>
      <w:r w:rsidR="00584EFF">
        <w:rPr>
          <w:rFonts w:ascii="Arial" w:eastAsia="Calibri" w:hAnsi="Arial" w:cs="Arial"/>
          <w:sz w:val="24"/>
          <w:szCs w:val="24"/>
        </w:rPr>
        <w:t xml:space="preserve">his attention </w:t>
      </w:r>
      <w:r w:rsidR="00DD0920">
        <w:rPr>
          <w:rFonts w:ascii="Arial" w:eastAsia="Calibri" w:hAnsi="Arial" w:cs="Arial"/>
          <w:sz w:val="24"/>
          <w:szCs w:val="24"/>
        </w:rPr>
        <w:t xml:space="preserve">and energies </w:t>
      </w:r>
      <w:r w:rsidR="00615CED">
        <w:rPr>
          <w:rFonts w:ascii="Arial" w:eastAsia="Calibri" w:hAnsi="Arial" w:cs="Arial"/>
          <w:sz w:val="24"/>
          <w:szCs w:val="24"/>
        </w:rPr>
        <w:t>on the referral for unfair dismissal.</w:t>
      </w:r>
      <w:r w:rsidR="00B66FA9">
        <w:rPr>
          <w:rFonts w:ascii="Arial" w:eastAsia="Calibri" w:hAnsi="Arial" w:cs="Arial"/>
          <w:sz w:val="24"/>
          <w:szCs w:val="24"/>
        </w:rPr>
        <w:t xml:space="preserve"> </w:t>
      </w:r>
      <w:r w:rsidR="00B16C82">
        <w:rPr>
          <w:rFonts w:ascii="Arial" w:eastAsia="Calibri" w:hAnsi="Arial" w:cs="Arial"/>
          <w:sz w:val="24"/>
          <w:szCs w:val="24"/>
        </w:rPr>
        <w:t>The first respondent thus opposed the cost</w:t>
      </w:r>
      <w:r w:rsidR="00DD0920">
        <w:rPr>
          <w:rFonts w:ascii="Arial" w:eastAsia="Calibri" w:hAnsi="Arial" w:cs="Arial"/>
          <w:sz w:val="24"/>
          <w:szCs w:val="24"/>
        </w:rPr>
        <w:t>s</w:t>
      </w:r>
      <w:r w:rsidR="00B16C82">
        <w:rPr>
          <w:rFonts w:ascii="Arial" w:eastAsia="Calibri" w:hAnsi="Arial" w:cs="Arial"/>
          <w:sz w:val="24"/>
          <w:szCs w:val="24"/>
        </w:rPr>
        <w:t xml:space="preserve"> order</w:t>
      </w:r>
      <w:r w:rsidR="00DD0920">
        <w:rPr>
          <w:rFonts w:ascii="Arial" w:eastAsia="Calibri" w:hAnsi="Arial" w:cs="Arial"/>
          <w:sz w:val="24"/>
          <w:szCs w:val="24"/>
        </w:rPr>
        <w:t>,</w:t>
      </w:r>
      <w:r w:rsidR="00B16C82">
        <w:rPr>
          <w:rFonts w:ascii="Arial" w:eastAsia="Calibri" w:hAnsi="Arial" w:cs="Arial"/>
          <w:sz w:val="24"/>
          <w:szCs w:val="24"/>
        </w:rPr>
        <w:t xml:space="preserve"> relying on s</w:t>
      </w:r>
      <w:r w:rsidR="00DD0920">
        <w:rPr>
          <w:rFonts w:ascii="Arial" w:eastAsia="Calibri" w:hAnsi="Arial" w:cs="Arial"/>
          <w:sz w:val="24"/>
          <w:szCs w:val="24"/>
        </w:rPr>
        <w:t>. 118 of the Labour Act</w:t>
      </w:r>
      <w:r w:rsidR="001269F1">
        <w:rPr>
          <w:rFonts w:ascii="Arial" w:eastAsia="Calibri" w:hAnsi="Arial" w:cs="Arial"/>
          <w:sz w:val="24"/>
          <w:szCs w:val="24"/>
        </w:rPr>
        <w:t>,</w:t>
      </w:r>
      <w:r w:rsidR="00DD0920">
        <w:rPr>
          <w:rStyle w:val="FootnoteReference"/>
          <w:rFonts w:ascii="Arial" w:eastAsia="Calibri" w:hAnsi="Arial" w:cs="Arial"/>
          <w:sz w:val="24"/>
          <w:szCs w:val="24"/>
        </w:rPr>
        <w:footnoteReference w:id="3"/>
      </w:r>
      <w:r w:rsidR="00DD0920">
        <w:rPr>
          <w:rFonts w:ascii="Arial" w:eastAsia="Calibri" w:hAnsi="Arial" w:cs="Arial"/>
          <w:sz w:val="24"/>
          <w:szCs w:val="24"/>
        </w:rPr>
        <w:t xml:space="preserve"> </w:t>
      </w:r>
      <w:r w:rsidR="001269F1">
        <w:rPr>
          <w:rFonts w:ascii="Arial" w:eastAsia="Calibri" w:hAnsi="Arial" w:cs="Arial"/>
          <w:sz w:val="24"/>
          <w:szCs w:val="24"/>
        </w:rPr>
        <w:t xml:space="preserve">(the ‘Act’). </w:t>
      </w:r>
    </w:p>
    <w:p w14:paraId="2530267B" w14:textId="77777777" w:rsidR="00B16C82" w:rsidRDefault="00B16C82" w:rsidP="00DC32EC">
      <w:pPr>
        <w:spacing w:after="0" w:line="360" w:lineRule="auto"/>
        <w:jc w:val="both"/>
        <w:rPr>
          <w:rFonts w:ascii="Arial" w:eastAsia="Calibri" w:hAnsi="Arial" w:cs="Arial"/>
          <w:sz w:val="24"/>
          <w:szCs w:val="24"/>
        </w:rPr>
      </w:pPr>
    </w:p>
    <w:p w14:paraId="1F5ECDC8" w14:textId="27339A5F" w:rsidR="00615CED" w:rsidRDefault="00615CED" w:rsidP="00DC32EC">
      <w:pPr>
        <w:spacing w:after="0" w:line="360" w:lineRule="auto"/>
        <w:jc w:val="both"/>
        <w:rPr>
          <w:rFonts w:ascii="Arial" w:eastAsia="Calibri" w:hAnsi="Arial" w:cs="Arial"/>
          <w:sz w:val="24"/>
          <w:szCs w:val="24"/>
        </w:rPr>
      </w:pPr>
      <w:r>
        <w:rPr>
          <w:rFonts w:ascii="Arial" w:eastAsia="Calibri" w:hAnsi="Arial" w:cs="Arial"/>
          <w:sz w:val="24"/>
          <w:szCs w:val="24"/>
        </w:rPr>
        <w:t>[1</w:t>
      </w:r>
      <w:r w:rsidR="009A678A">
        <w:rPr>
          <w:rFonts w:ascii="Arial" w:eastAsia="Calibri" w:hAnsi="Arial" w:cs="Arial"/>
          <w:sz w:val="24"/>
          <w:szCs w:val="24"/>
        </w:rPr>
        <w:t>6</w:t>
      </w:r>
      <w:r>
        <w:rPr>
          <w:rFonts w:ascii="Arial" w:eastAsia="Calibri" w:hAnsi="Arial" w:cs="Arial"/>
          <w:sz w:val="24"/>
          <w:szCs w:val="24"/>
        </w:rPr>
        <w:t xml:space="preserve">] </w:t>
      </w:r>
      <w:r w:rsidR="00B66FA9">
        <w:rPr>
          <w:rFonts w:ascii="Arial" w:eastAsia="Calibri" w:hAnsi="Arial" w:cs="Arial"/>
          <w:sz w:val="24"/>
          <w:szCs w:val="24"/>
        </w:rPr>
        <w:tab/>
      </w:r>
      <w:r>
        <w:rPr>
          <w:rFonts w:ascii="Arial" w:eastAsia="Calibri" w:hAnsi="Arial" w:cs="Arial"/>
          <w:sz w:val="24"/>
          <w:szCs w:val="24"/>
        </w:rPr>
        <w:t>The applicati</w:t>
      </w:r>
      <w:r w:rsidR="00B66FA9">
        <w:rPr>
          <w:rFonts w:ascii="Arial" w:eastAsia="Calibri" w:hAnsi="Arial" w:cs="Arial"/>
          <w:sz w:val="24"/>
          <w:szCs w:val="24"/>
        </w:rPr>
        <w:t>o</w:t>
      </w:r>
      <w:r>
        <w:rPr>
          <w:rFonts w:ascii="Arial" w:eastAsia="Calibri" w:hAnsi="Arial" w:cs="Arial"/>
          <w:sz w:val="24"/>
          <w:szCs w:val="24"/>
        </w:rPr>
        <w:t xml:space="preserve">n was heard on 14 August 2018. The </w:t>
      </w:r>
      <w:r w:rsidR="00FA6539">
        <w:rPr>
          <w:rFonts w:ascii="Arial" w:eastAsia="Calibri" w:hAnsi="Arial" w:cs="Arial"/>
          <w:sz w:val="24"/>
          <w:szCs w:val="24"/>
        </w:rPr>
        <w:t>first r</w:t>
      </w:r>
      <w:r>
        <w:rPr>
          <w:rFonts w:ascii="Arial" w:eastAsia="Calibri" w:hAnsi="Arial" w:cs="Arial"/>
          <w:sz w:val="24"/>
          <w:szCs w:val="24"/>
        </w:rPr>
        <w:t>espo</w:t>
      </w:r>
      <w:r w:rsidR="00FA6539">
        <w:rPr>
          <w:rFonts w:ascii="Arial" w:eastAsia="Calibri" w:hAnsi="Arial" w:cs="Arial"/>
          <w:sz w:val="24"/>
          <w:szCs w:val="24"/>
        </w:rPr>
        <w:t>n</w:t>
      </w:r>
      <w:r>
        <w:rPr>
          <w:rFonts w:ascii="Arial" w:eastAsia="Calibri" w:hAnsi="Arial" w:cs="Arial"/>
          <w:sz w:val="24"/>
          <w:szCs w:val="24"/>
        </w:rPr>
        <w:t>dent, despite having filed its heads of argument, failed to attend the hearing</w:t>
      </w:r>
      <w:r w:rsidR="00584EFF">
        <w:rPr>
          <w:rFonts w:ascii="Arial" w:eastAsia="Calibri" w:hAnsi="Arial" w:cs="Arial"/>
          <w:sz w:val="24"/>
          <w:szCs w:val="24"/>
        </w:rPr>
        <w:t xml:space="preserve"> and no explanation was tendered therefor.</w:t>
      </w:r>
      <w:r w:rsidR="00DD0920">
        <w:rPr>
          <w:rFonts w:ascii="Arial" w:eastAsia="Calibri" w:hAnsi="Arial" w:cs="Arial"/>
          <w:sz w:val="24"/>
          <w:szCs w:val="24"/>
        </w:rPr>
        <w:t xml:space="preserve"> This is an issue the court views in a very serious light and will not be tolerated. Counsel should know better and may, in appropriate circumstances, attract censure for failure to attend. If there is any reason why counsel cannot attend, leave should be sought in good time and granted in proper cases.</w:t>
      </w:r>
      <w:r w:rsidR="007C675A">
        <w:rPr>
          <w:rFonts w:ascii="Arial" w:eastAsia="Calibri" w:hAnsi="Arial" w:cs="Arial"/>
          <w:sz w:val="24"/>
          <w:szCs w:val="24"/>
        </w:rPr>
        <w:t xml:space="preserve"> In this regard, the respondent’s counsel is called upon to explain her failure to attend the hearing on 14 August 2018. </w:t>
      </w:r>
    </w:p>
    <w:p w14:paraId="10B08EA3" w14:textId="77777777" w:rsidR="00794B0B" w:rsidRDefault="00794B0B" w:rsidP="00DC32EC">
      <w:pPr>
        <w:spacing w:after="0" w:line="360" w:lineRule="auto"/>
        <w:jc w:val="both"/>
        <w:rPr>
          <w:rFonts w:ascii="Arial" w:eastAsia="Calibri" w:hAnsi="Arial" w:cs="Arial"/>
          <w:sz w:val="24"/>
          <w:szCs w:val="24"/>
        </w:rPr>
      </w:pPr>
    </w:p>
    <w:p w14:paraId="3FE6EA94" w14:textId="75577852" w:rsidR="00615CED" w:rsidRPr="004012F5" w:rsidRDefault="001269F1" w:rsidP="00DC32EC">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The relevant provision of the</w:t>
      </w:r>
      <w:r w:rsidR="00615CED" w:rsidRPr="004012F5">
        <w:rPr>
          <w:rFonts w:ascii="Arial" w:eastAsia="Calibri" w:hAnsi="Arial" w:cs="Arial"/>
          <w:sz w:val="24"/>
          <w:szCs w:val="24"/>
          <w:u w:val="single"/>
        </w:rPr>
        <w:t xml:space="preserve"> Act</w:t>
      </w:r>
    </w:p>
    <w:p w14:paraId="5BABB106" w14:textId="64B325F8" w:rsidR="00615CED" w:rsidRDefault="00615CED" w:rsidP="00DC32EC">
      <w:pPr>
        <w:spacing w:after="0" w:line="360" w:lineRule="auto"/>
        <w:jc w:val="both"/>
        <w:rPr>
          <w:rFonts w:ascii="Arial" w:eastAsia="Calibri" w:hAnsi="Arial" w:cs="Arial"/>
          <w:sz w:val="24"/>
          <w:szCs w:val="24"/>
        </w:rPr>
      </w:pPr>
    </w:p>
    <w:p w14:paraId="3EE59718" w14:textId="3C043D8E" w:rsidR="00615CED" w:rsidRDefault="00615CED" w:rsidP="00DC32EC">
      <w:pPr>
        <w:spacing w:after="0" w:line="360" w:lineRule="auto"/>
        <w:jc w:val="both"/>
        <w:rPr>
          <w:rFonts w:ascii="Arial" w:eastAsia="Calibri" w:hAnsi="Arial" w:cs="Arial"/>
          <w:sz w:val="24"/>
          <w:szCs w:val="24"/>
        </w:rPr>
      </w:pPr>
      <w:r>
        <w:rPr>
          <w:rFonts w:ascii="Arial" w:eastAsia="Calibri" w:hAnsi="Arial" w:cs="Arial"/>
          <w:sz w:val="24"/>
          <w:szCs w:val="24"/>
        </w:rPr>
        <w:t>[1</w:t>
      </w:r>
      <w:r w:rsidR="009A678A">
        <w:rPr>
          <w:rFonts w:ascii="Arial" w:eastAsia="Calibri" w:hAnsi="Arial" w:cs="Arial"/>
          <w:sz w:val="24"/>
          <w:szCs w:val="24"/>
        </w:rPr>
        <w:t>7</w:t>
      </w:r>
      <w:r w:rsidR="001269F1">
        <w:rPr>
          <w:rFonts w:ascii="Arial" w:eastAsia="Calibri" w:hAnsi="Arial" w:cs="Arial"/>
          <w:sz w:val="24"/>
          <w:szCs w:val="24"/>
        </w:rPr>
        <w:t xml:space="preserve">] </w:t>
      </w:r>
      <w:r w:rsidR="001269F1">
        <w:rPr>
          <w:rFonts w:ascii="Arial" w:eastAsia="Calibri" w:hAnsi="Arial" w:cs="Arial"/>
          <w:sz w:val="24"/>
          <w:szCs w:val="24"/>
        </w:rPr>
        <w:tab/>
        <w:t>Section 118 of the</w:t>
      </w:r>
      <w:r>
        <w:rPr>
          <w:rFonts w:ascii="Arial" w:eastAsia="Calibri" w:hAnsi="Arial" w:cs="Arial"/>
          <w:sz w:val="24"/>
          <w:szCs w:val="24"/>
        </w:rPr>
        <w:t xml:space="preserve"> Act</w:t>
      </w:r>
      <w:r w:rsidR="00584EFF">
        <w:rPr>
          <w:rStyle w:val="FootnoteReference"/>
          <w:rFonts w:ascii="Arial" w:eastAsia="Calibri" w:hAnsi="Arial" w:cs="Arial"/>
          <w:sz w:val="24"/>
          <w:szCs w:val="24"/>
        </w:rPr>
        <w:footnoteReference w:id="4"/>
      </w:r>
      <w:r>
        <w:rPr>
          <w:rFonts w:ascii="Arial" w:eastAsia="Calibri" w:hAnsi="Arial" w:cs="Arial"/>
          <w:sz w:val="24"/>
          <w:szCs w:val="24"/>
        </w:rPr>
        <w:t xml:space="preserve"> provides as follows:</w:t>
      </w:r>
    </w:p>
    <w:p w14:paraId="6DCEACB8" w14:textId="77777777" w:rsidR="00615CED" w:rsidRDefault="00615CED" w:rsidP="00DC32EC">
      <w:pPr>
        <w:spacing w:after="0" w:line="360" w:lineRule="auto"/>
        <w:jc w:val="both"/>
        <w:rPr>
          <w:rFonts w:ascii="Arial" w:eastAsia="Calibri" w:hAnsi="Arial" w:cs="Arial"/>
          <w:sz w:val="24"/>
          <w:szCs w:val="24"/>
        </w:rPr>
      </w:pPr>
    </w:p>
    <w:p w14:paraId="26D7217D" w14:textId="1C362797" w:rsidR="00580D0F" w:rsidRPr="00B66FA9" w:rsidRDefault="00615CED" w:rsidP="001269F1">
      <w:pPr>
        <w:spacing w:after="0" w:line="360" w:lineRule="auto"/>
        <w:ind w:right="798" w:firstLine="720"/>
        <w:jc w:val="both"/>
        <w:rPr>
          <w:rFonts w:ascii="Arial" w:eastAsia="Calibri" w:hAnsi="Arial" w:cs="Arial"/>
        </w:rPr>
      </w:pPr>
      <w:r w:rsidRPr="00B66FA9">
        <w:rPr>
          <w:rFonts w:ascii="Arial" w:eastAsia="Calibri" w:hAnsi="Arial" w:cs="Arial"/>
        </w:rPr>
        <w:t>‘</w:t>
      </w:r>
      <w:r w:rsidR="00580D0F" w:rsidRPr="00B66FA9">
        <w:rPr>
          <w:rFonts w:ascii="Arial" w:eastAsia="Calibri" w:hAnsi="Arial" w:cs="Arial"/>
        </w:rPr>
        <w:t xml:space="preserve">Despite any other law in any proceeding, before it, the </w:t>
      </w:r>
      <w:r w:rsidR="004012F5">
        <w:rPr>
          <w:rFonts w:ascii="Arial" w:eastAsia="Calibri" w:hAnsi="Arial" w:cs="Arial"/>
        </w:rPr>
        <w:t>L</w:t>
      </w:r>
      <w:r w:rsidR="00580D0F" w:rsidRPr="00B66FA9">
        <w:rPr>
          <w:rFonts w:ascii="Arial" w:eastAsia="Calibri" w:hAnsi="Arial" w:cs="Arial"/>
        </w:rPr>
        <w:t xml:space="preserve">abour Court must not make an order for costs against a party unless that party has acted in a </w:t>
      </w:r>
      <w:r w:rsidR="0039424F" w:rsidRPr="00B66FA9">
        <w:rPr>
          <w:rFonts w:ascii="Arial" w:eastAsia="Calibri" w:hAnsi="Arial" w:cs="Arial"/>
        </w:rPr>
        <w:t>frivolous</w:t>
      </w:r>
      <w:r w:rsidR="00580D0F" w:rsidRPr="00B66FA9">
        <w:rPr>
          <w:rFonts w:ascii="Arial" w:eastAsia="Calibri" w:hAnsi="Arial" w:cs="Arial"/>
        </w:rPr>
        <w:t xml:space="preserve"> or vexatious manner by instituting, proceeding with or defending those proceedings.’</w:t>
      </w:r>
    </w:p>
    <w:p w14:paraId="40DA414B" w14:textId="77777777" w:rsidR="00B66FA9" w:rsidRDefault="00B66FA9" w:rsidP="00DC32EC">
      <w:pPr>
        <w:spacing w:after="0" w:line="360" w:lineRule="auto"/>
        <w:jc w:val="both"/>
        <w:rPr>
          <w:rFonts w:ascii="Arial" w:eastAsia="Calibri" w:hAnsi="Arial" w:cs="Arial"/>
          <w:sz w:val="24"/>
          <w:szCs w:val="24"/>
        </w:rPr>
      </w:pPr>
    </w:p>
    <w:p w14:paraId="68296B15" w14:textId="62B71F9A" w:rsidR="00580D0F" w:rsidRDefault="00580D0F" w:rsidP="00DC32EC">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9A678A">
        <w:rPr>
          <w:rFonts w:ascii="Arial" w:eastAsia="Calibri" w:hAnsi="Arial" w:cs="Arial"/>
          <w:sz w:val="24"/>
          <w:szCs w:val="24"/>
        </w:rPr>
        <w:t>8</w:t>
      </w:r>
      <w:r w:rsidR="00541BDC">
        <w:rPr>
          <w:rFonts w:ascii="Arial" w:eastAsia="Calibri" w:hAnsi="Arial" w:cs="Arial"/>
          <w:sz w:val="24"/>
          <w:szCs w:val="24"/>
        </w:rPr>
        <w:t>]</w:t>
      </w:r>
      <w:r w:rsidR="00541BDC">
        <w:rPr>
          <w:rFonts w:ascii="Arial" w:eastAsia="Calibri" w:hAnsi="Arial" w:cs="Arial"/>
          <w:sz w:val="24"/>
          <w:szCs w:val="24"/>
        </w:rPr>
        <w:tab/>
        <w:t>T</w:t>
      </w:r>
      <w:r>
        <w:rPr>
          <w:rFonts w:ascii="Arial" w:eastAsia="Calibri" w:hAnsi="Arial" w:cs="Arial"/>
          <w:sz w:val="24"/>
          <w:szCs w:val="24"/>
        </w:rPr>
        <w:t xml:space="preserve">he </w:t>
      </w:r>
      <w:r w:rsidR="00B66FA9">
        <w:rPr>
          <w:rFonts w:ascii="Arial" w:eastAsia="Calibri" w:hAnsi="Arial" w:cs="Arial"/>
          <w:sz w:val="24"/>
          <w:szCs w:val="24"/>
        </w:rPr>
        <w:t xml:space="preserve">question for determination is </w:t>
      </w:r>
      <w:r>
        <w:rPr>
          <w:rFonts w:ascii="Arial" w:eastAsia="Calibri" w:hAnsi="Arial" w:cs="Arial"/>
          <w:sz w:val="24"/>
          <w:szCs w:val="24"/>
        </w:rPr>
        <w:t xml:space="preserve">whether the </w:t>
      </w:r>
      <w:r w:rsidR="00B66FA9">
        <w:rPr>
          <w:rFonts w:ascii="Arial" w:eastAsia="Calibri" w:hAnsi="Arial" w:cs="Arial"/>
          <w:sz w:val="24"/>
          <w:szCs w:val="24"/>
        </w:rPr>
        <w:t>first respondent</w:t>
      </w:r>
      <w:r w:rsidR="00243EA8">
        <w:rPr>
          <w:rFonts w:ascii="Arial" w:eastAsia="Calibri" w:hAnsi="Arial" w:cs="Arial"/>
          <w:sz w:val="24"/>
          <w:szCs w:val="24"/>
        </w:rPr>
        <w:t>’s</w:t>
      </w:r>
      <w:r w:rsidR="00B66FA9">
        <w:rPr>
          <w:rFonts w:ascii="Arial" w:eastAsia="Calibri" w:hAnsi="Arial" w:cs="Arial"/>
          <w:sz w:val="24"/>
          <w:szCs w:val="24"/>
        </w:rPr>
        <w:t xml:space="preserve"> conduct in </w:t>
      </w:r>
      <w:r w:rsidR="00541BDC">
        <w:rPr>
          <w:rFonts w:ascii="Arial" w:eastAsia="Calibri" w:hAnsi="Arial" w:cs="Arial"/>
          <w:sz w:val="24"/>
          <w:szCs w:val="24"/>
        </w:rPr>
        <w:t xml:space="preserve">initially </w:t>
      </w:r>
      <w:r w:rsidR="00B66FA9">
        <w:rPr>
          <w:rFonts w:ascii="Arial" w:eastAsia="Calibri" w:hAnsi="Arial" w:cs="Arial"/>
          <w:sz w:val="24"/>
          <w:szCs w:val="24"/>
        </w:rPr>
        <w:t>defending the review application</w:t>
      </w:r>
      <w:r>
        <w:rPr>
          <w:rFonts w:ascii="Arial" w:eastAsia="Calibri" w:hAnsi="Arial" w:cs="Arial"/>
          <w:sz w:val="24"/>
          <w:szCs w:val="24"/>
        </w:rPr>
        <w:t xml:space="preserve"> was </w:t>
      </w:r>
      <w:r w:rsidR="004012F5">
        <w:rPr>
          <w:rFonts w:ascii="Arial" w:eastAsia="Calibri" w:hAnsi="Arial" w:cs="Arial"/>
          <w:sz w:val="24"/>
          <w:szCs w:val="24"/>
        </w:rPr>
        <w:t>frivolous</w:t>
      </w:r>
      <w:r>
        <w:rPr>
          <w:rFonts w:ascii="Arial" w:eastAsia="Calibri" w:hAnsi="Arial" w:cs="Arial"/>
          <w:sz w:val="24"/>
          <w:szCs w:val="24"/>
        </w:rPr>
        <w:t xml:space="preserve"> or vexatious</w:t>
      </w:r>
      <w:r w:rsidR="00B66FA9">
        <w:rPr>
          <w:rFonts w:ascii="Arial" w:eastAsia="Calibri" w:hAnsi="Arial" w:cs="Arial"/>
          <w:sz w:val="24"/>
          <w:szCs w:val="24"/>
        </w:rPr>
        <w:t>, as contemplated in s</w:t>
      </w:r>
      <w:r w:rsidR="00541BDC">
        <w:rPr>
          <w:rFonts w:ascii="Arial" w:eastAsia="Calibri" w:hAnsi="Arial" w:cs="Arial"/>
          <w:sz w:val="24"/>
          <w:szCs w:val="24"/>
        </w:rPr>
        <w:t>.</w:t>
      </w:r>
      <w:r w:rsidR="00B66FA9">
        <w:rPr>
          <w:rFonts w:ascii="Arial" w:eastAsia="Calibri" w:hAnsi="Arial" w:cs="Arial"/>
          <w:sz w:val="24"/>
          <w:szCs w:val="24"/>
        </w:rPr>
        <w:t xml:space="preserve"> 118 of the Act.</w:t>
      </w:r>
    </w:p>
    <w:p w14:paraId="47C47F6C" w14:textId="21ABA52D" w:rsidR="00615CED" w:rsidRDefault="00580D0F"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9A678A">
        <w:rPr>
          <w:rFonts w:ascii="Arial" w:eastAsia="Calibri" w:hAnsi="Arial" w:cs="Arial"/>
          <w:sz w:val="24"/>
          <w:szCs w:val="24"/>
        </w:rPr>
        <w:t>19</w:t>
      </w:r>
      <w:r w:rsidR="00541BDC">
        <w:rPr>
          <w:rFonts w:ascii="Arial" w:eastAsia="Calibri" w:hAnsi="Arial" w:cs="Arial"/>
          <w:sz w:val="24"/>
          <w:szCs w:val="24"/>
        </w:rPr>
        <w:t>]</w:t>
      </w:r>
      <w:r w:rsidR="00541BDC">
        <w:rPr>
          <w:rFonts w:ascii="Arial" w:eastAsia="Calibri" w:hAnsi="Arial" w:cs="Arial"/>
          <w:sz w:val="24"/>
          <w:szCs w:val="24"/>
        </w:rPr>
        <w:tab/>
      </w:r>
      <w:r w:rsidR="00B66FA9">
        <w:rPr>
          <w:rFonts w:ascii="Arial" w:eastAsia="Calibri" w:hAnsi="Arial" w:cs="Arial"/>
          <w:sz w:val="24"/>
          <w:szCs w:val="24"/>
        </w:rPr>
        <w:t xml:space="preserve">To answer this question, </w:t>
      </w:r>
      <w:r>
        <w:rPr>
          <w:rFonts w:ascii="Arial" w:eastAsia="Calibri" w:hAnsi="Arial" w:cs="Arial"/>
          <w:sz w:val="24"/>
          <w:szCs w:val="24"/>
        </w:rPr>
        <w:t>I can do no better th</w:t>
      </w:r>
      <w:r w:rsidR="004012F5">
        <w:rPr>
          <w:rFonts w:ascii="Arial" w:eastAsia="Calibri" w:hAnsi="Arial" w:cs="Arial"/>
          <w:sz w:val="24"/>
          <w:szCs w:val="24"/>
        </w:rPr>
        <w:t>a</w:t>
      </w:r>
      <w:r>
        <w:rPr>
          <w:rFonts w:ascii="Arial" w:eastAsia="Calibri" w:hAnsi="Arial" w:cs="Arial"/>
          <w:sz w:val="24"/>
          <w:szCs w:val="24"/>
        </w:rPr>
        <w:t xml:space="preserve">n rehearse, what </w:t>
      </w:r>
      <w:r w:rsidR="00584EFF">
        <w:rPr>
          <w:rFonts w:ascii="Arial" w:eastAsia="Calibri" w:hAnsi="Arial" w:cs="Arial"/>
          <w:sz w:val="24"/>
          <w:szCs w:val="24"/>
        </w:rPr>
        <w:t>is</w:t>
      </w:r>
      <w:r>
        <w:rPr>
          <w:rFonts w:ascii="Arial" w:eastAsia="Calibri" w:hAnsi="Arial" w:cs="Arial"/>
          <w:sz w:val="24"/>
          <w:szCs w:val="24"/>
        </w:rPr>
        <w:t xml:space="preserve"> stated in </w:t>
      </w:r>
      <w:r w:rsidRPr="00541BDC">
        <w:rPr>
          <w:rFonts w:ascii="Arial" w:eastAsia="Calibri" w:hAnsi="Arial" w:cs="Arial"/>
          <w:i/>
          <w:sz w:val="24"/>
          <w:szCs w:val="24"/>
        </w:rPr>
        <w:t>On</w:t>
      </w:r>
      <w:r w:rsidR="00B66FA9" w:rsidRPr="00541BDC">
        <w:rPr>
          <w:rFonts w:ascii="Arial" w:eastAsia="Calibri" w:hAnsi="Arial" w:cs="Arial"/>
          <w:i/>
          <w:sz w:val="24"/>
          <w:szCs w:val="24"/>
        </w:rPr>
        <w:t>e</w:t>
      </w:r>
      <w:r w:rsidR="00541BDC">
        <w:rPr>
          <w:rFonts w:ascii="Arial" w:eastAsia="Calibri" w:hAnsi="Arial" w:cs="Arial"/>
          <w:i/>
          <w:sz w:val="24"/>
          <w:szCs w:val="24"/>
        </w:rPr>
        <w:t>smus v</w:t>
      </w:r>
      <w:r w:rsidRPr="00541BDC">
        <w:rPr>
          <w:rFonts w:ascii="Arial" w:eastAsia="Calibri" w:hAnsi="Arial" w:cs="Arial"/>
          <w:i/>
          <w:sz w:val="24"/>
          <w:szCs w:val="24"/>
        </w:rPr>
        <w:t xml:space="preserve"> </w:t>
      </w:r>
      <w:r w:rsidR="00A27F5C" w:rsidRPr="00541BDC">
        <w:rPr>
          <w:rFonts w:ascii="Arial" w:eastAsia="Calibri" w:hAnsi="Arial" w:cs="Arial"/>
          <w:i/>
          <w:sz w:val="24"/>
          <w:szCs w:val="24"/>
        </w:rPr>
        <w:t>Namibia Farm Workers Union</w:t>
      </w:r>
      <w:r w:rsidR="00541BDC">
        <w:rPr>
          <w:rFonts w:ascii="Arial" w:eastAsia="Calibri" w:hAnsi="Arial" w:cs="Arial"/>
          <w:i/>
          <w:sz w:val="24"/>
          <w:szCs w:val="24"/>
        </w:rPr>
        <w:t>,</w:t>
      </w:r>
      <w:r w:rsidR="00A27F5C">
        <w:rPr>
          <w:rFonts w:ascii="Arial" w:eastAsia="Calibri" w:hAnsi="Arial" w:cs="Arial"/>
          <w:sz w:val="24"/>
          <w:szCs w:val="24"/>
        </w:rPr>
        <w:t xml:space="preserve"> </w:t>
      </w:r>
      <w:r w:rsidR="00CB76C8">
        <w:rPr>
          <w:rStyle w:val="FootnoteReference"/>
          <w:rFonts w:ascii="Arial" w:eastAsia="Calibri" w:hAnsi="Arial" w:cs="Arial"/>
          <w:sz w:val="24"/>
          <w:szCs w:val="24"/>
        </w:rPr>
        <w:footnoteReference w:id="5"/>
      </w:r>
      <w:r w:rsidR="00A27F5C">
        <w:rPr>
          <w:rFonts w:ascii="Arial" w:eastAsia="Calibri" w:hAnsi="Arial" w:cs="Arial"/>
          <w:sz w:val="24"/>
          <w:szCs w:val="24"/>
        </w:rPr>
        <w:t xml:space="preserve"> </w:t>
      </w:r>
      <w:r>
        <w:rPr>
          <w:rFonts w:ascii="Arial" w:eastAsia="Calibri" w:hAnsi="Arial" w:cs="Arial"/>
          <w:sz w:val="24"/>
          <w:szCs w:val="24"/>
        </w:rPr>
        <w:t xml:space="preserve">at para </w:t>
      </w:r>
      <w:r w:rsidR="00A27F5C">
        <w:rPr>
          <w:rFonts w:ascii="Arial" w:eastAsia="Calibri" w:hAnsi="Arial" w:cs="Arial"/>
          <w:sz w:val="24"/>
          <w:szCs w:val="24"/>
        </w:rPr>
        <w:t>27</w:t>
      </w:r>
      <w:r w:rsidR="00541BDC">
        <w:rPr>
          <w:rFonts w:ascii="Arial" w:eastAsia="Calibri" w:hAnsi="Arial" w:cs="Arial"/>
          <w:sz w:val="24"/>
          <w:szCs w:val="24"/>
        </w:rPr>
        <w:t xml:space="preserve"> </w:t>
      </w:r>
      <w:r w:rsidR="00A27F5C">
        <w:rPr>
          <w:rFonts w:ascii="Arial" w:eastAsia="Calibri" w:hAnsi="Arial" w:cs="Arial"/>
          <w:sz w:val="24"/>
          <w:szCs w:val="24"/>
        </w:rPr>
        <w:t>-</w:t>
      </w:r>
      <w:r w:rsidR="00541BDC">
        <w:rPr>
          <w:rFonts w:ascii="Arial" w:eastAsia="Calibri" w:hAnsi="Arial" w:cs="Arial"/>
          <w:sz w:val="24"/>
          <w:szCs w:val="24"/>
        </w:rPr>
        <w:t xml:space="preserve"> </w:t>
      </w:r>
      <w:r w:rsidR="00A27F5C">
        <w:rPr>
          <w:rFonts w:ascii="Arial" w:eastAsia="Calibri" w:hAnsi="Arial" w:cs="Arial"/>
          <w:sz w:val="24"/>
          <w:szCs w:val="24"/>
        </w:rPr>
        <w:t>28</w:t>
      </w:r>
      <w:r w:rsidR="00584EFF">
        <w:rPr>
          <w:rFonts w:ascii="Arial" w:eastAsia="Calibri" w:hAnsi="Arial" w:cs="Arial"/>
          <w:sz w:val="24"/>
          <w:szCs w:val="24"/>
        </w:rPr>
        <w:t>, regarding the mea</w:t>
      </w:r>
      <w:r w:rsidR="00541BDC">
        <w:rPr>
          <w:rFonts w:ascii="Arial" w:eastAsia="Calibri" w:hAnsi="Arial" w:cs="Arial"/>
          <w:sz w:val="24"/>
          <w:szCs w:val="24"/>
        </w:rPr>
        <w:t>ning to be attached to the word</w:t>
      </w:r>
      <w:r w:rsidR="00584EFF">
        <w:rPr>
          <w:rFonts w:ascii="Arial" w:eastAsia="Calibri" w:hAnsi="Arial" w:cs="Arial"/>
          <w:sz w:val="24"/>
          <w:szCs w:val="24"/>
        </w:rPr>
        <w:t>s vexatious and frivolous</w:t>
      </w:r>
      <w:r w:rsidR="00541BDC">
        <w:rPr>
          <w:rFonts w:ascii="Arial" w:eastAsia="Calibri" w:hAnsi="Arial" w:cs="Arial"/>
          <w:sz w:val="24"/>
          <w:szCs w:val="24"/>
        </w:rPr>
        <w:t xml:space="preserve"> as employed in the Act</w:t>
      </w:r>
      <w:r w:rsidR="00584EFF">
        <w:rPr>
          <w:rFonts w:ascii="Arial" w:eastAsia="Calibri" w:hAnsi="Arial" w:cs="Arial"/>
          <w:sz w:val="24"/>
          <w:szCs w:val="24"/>
        </w:rPr>
        <w:t>. The court stated as follows</w:t>
      </w:r>
      <w:r w:rsidR="00541BDC">
        <w:rPr>
          <w:rFonts w:ascii="Arial" w:eastAsia="Calibri" w:hAnsi="Arial" w:cs="Arial"/>
          <w:sz w:val="24"/>
          <w:szCs w:val="24"/>
        </w:rPr>
        <w:t xml:space="preserve"> in that case</w:t>
      </w:r>
      <w:r w:rsidR="00584EFF">
        <w:rPr>
          <w:rFonts w:ascii="Arial" w:eastAsia="Calibri" w:hAnsi="Arial" w:cs="Arial"/>
          <w:sz w:val="24"/>
          <w:szCs w:val="24"/>
        </w:rPr>
        <w:t>:</w:t>
      </w:r>
    </w:p>
    <w:p w14:paraId="6F0F1800" w14:textId="3118A732" w:rsidR="00CF3E4C" w:rsidRDefault="00CF3E4C" w:rsidP="00DC32EC">
      <w:pPr>
        <w:spacing w:after="0" w:line="360" w:lineRule="auto"/>
        <w:jc w:val="both"/>
        <w:rPr>
          <w:rFonts w:ascii="Arial" w:eastAsia="Calibri" w:hAnsi="Arial" w:cs="Arial"/>
          <w:sz w:val="24"/>
          <w:szCs w:val="24"/>
        </w:rPr>
      </w:pPr>
    </w:p>
    <w:p w14:paraId="41EF6559" w14:textId="50EC6200" w:rsidR="005261F4" w:rsidRDefault="00A27F5C" w:rsidP="009A678A">
      <w:pPr>
        <w:spacing w:line="360" w:lineRule="auto"/>
        <w:ind w:right="798" w:firstLine="720"/>
        <w:jc w:val="both"/>
        <w:rPr>
          <w:rFonts w:ascii="Arial" w:hAnsi="Arial" w:cs="Arial"/>
        </w:rPr>
      </w:pPr>
      <w:r>
        <w:rPr>
          <w:rFonts w:ascii="Arial" w:hAnsi="Arial" w:cs="Arial"/>
        </w:rPr>
        <w:t xml:space="preserve">[27] </w:t>
      </w:r>
      <w:r w:rsidR="005261F4">
        <w:rPr>
          <w:rFonts w:ascii="Arial" w:hAnsi="Arial" w:cs="Arial"/>
        </w:rPr>
        <w:t xml:space="preserve">Before I answer that question, it must be mentioned that courts have given meaning to the words vexatious and frivolous in previous judgments. In this regard, I do not have to try to re-invent the wheel, so to speak. In </w:t>
      </w:r>
      <w:r w:rsidR="005261F4">
        <w:rPr>
          <w:rFonts w:ascii="Arial" w:hAnsi="Arial" w:cs="Arial"/>
          <w:i/>
        </w:rPr>
        <w:t>Fisheries Development Corporation of SA Ltd v Jorgensen and Another; Fisheries Development Corporation of SA Ltd v AWJ Investments (Pty) Ltd and Others</w:t>
      </w:r>
      <w:r w:rsidR="005261F4" w:rsidRPr="00B16C82">
        <w:rPr>
          <w:rFonts w:ascii="Arial" w:hAnsi="Arial" w:cs="Arial"/>
          <w:i/>
        </w:rPr>
        <w:t>,</w:t>
      </w:r>
      <w:r w:rsidR="005261F4" w:rsidRPr="00B16C82">
        <w:rPr>
          <w:rStyle w:val="FootnoteReference"/>
          <w:rFonts w:ascii="Arial" w:hAnsi="Arial" w:cs="Arial"/>
          <w:i/>
        </w:rPr>
        <w:footnoteReference w:id="6"/>
      </w:r>
      <w:r w:rsidR="005261F4">
        <w:rPr>
          <w:rFonts w:ascii="Arial" w:hAnsi="Arial" w:cs="Arial"/>
          <w:i/>
        </w:rPr>
        <w:t xml:space="preserve"> </w:t>
      </w:r>
      <w:r w:rsidR="005261F4">
        <w:rPr>
          <w:rFonts w:ascii="Arial" w:hAnsi="Arial" w:cs="Arial"/>
        </w:rPr>
        <w:t>the court gave the following meaning to the words in question:</w:t>
      </w:r>
    </w:p>
    <w:p w14:paraId="180FDCE7" w14:textId="028A1275" w:rsidR="005261F4" w:rsidRPr="001D765D" w:rsidRDefault="005261F4" w:rsidP="00541BDC">
      <w:pPr>
        <w:spacing w:line="360" w:lineRule="auto"/>
        <w:ind w:right="798"/>
        <w:jc w:val="both"/>
        <w:rPr>
          <w:rFonts w:ascii="Arial" w:hAnsi="Arial" w:cs="Arial"/>
        </w:rPr>
      </w:pPr>
      <w:r>
        <w:rPr>
          <w:rFonts w:ascii="Arial" w:hAnsi="Arial" w:cs="Arial"/>
        </w:rPr>
        <w:t xml:space="preserve">‘In its legal sense, “vexatious” means “frivolous, improper” instituted without sufficient ground, to serve solely as an annoyance to the defendant . . .’ See also </w:t>
      </w:r>
      <w:r>
        <w:rPr>
          <w:rFonts w:ascii="Arial" w:hAnsi="Arial" w:cs="Arial"/>
          <w:i/>
        </w:rPr>
        <w:t xml:space="preserve">Namibian Seaman and Allied Workers Union v Tunacor Group Ltd </w:t>
      </w:r>
      <w:r>
        <w:rPr>
          <w:rFonts w:ascii="Arial" w:hAnsi="Arial" w:cs="Arial"/>
        </w:rPr>
        <w:t xml:space="preserve">and the recent Supreme Court judgment in </w:t>
      </w:r>
      <w:r>
        <w:rPr>
          <w:rFonts w:ascii="Arial" w:hAnsi="Arial" w:cs="Arial"/>
          <w:i/>
        </w:rPr>
        <w:t>Permanent Secretary of the Judiciary v Ronald Mosementla Somaeb and Another</w:t>
      </w:r>
      <w:r>
        <w:rPr>
          <w:rFonts w:ascii="Arial" w:hAnsi="Arial" w:cs="Arial"/>
        </w:rPr>
        <w:t>.</w:t>
      </w:r>
      <w:r>
        <w:rPr>
          <w:rStyle w:val="FootnoteReference"/>
          <w:rFonts w:ascii="Arial" w:hAnsi="Arial" w:cs="Arial"/>
        </w:rPr>
        <w:footnoteReference w:id="7"/>
      </w:r>
    </w:p>
    <w:p w14:paraId="339A4E07" w14:textId="77777777" w:rsidR="005261F4" w:rsidRDefault="005261F4" w:rsidP="005261F4">
      <w:pPr>
        <w:spacing w:line="360" w:lineRule="auto"/>
        <w:jc w:val="both"/>
        <w:rPr>
          <w:rFonts w:ascii="Arial" w:hAnsi="Arial" w:cs="Arial"/>
          <w:i/>
        </w:rPr>
      </w:pPr>
    </w:p>
    <w:p w14:paraId="4FACDD2A" w14:textId="4D04F3E9" w:rsidR="00720A46" w:rsidRDefault="005261F4" w:rsidP="00541BDC">
      <w:pPr>
        <w:spacing w:line="360" w:lineRule="auto"/>
        <w:ind w:right="798"/>
        <w:jc w:val="both"/>
        <w:rPr>
          <w:rFonts w:ascii="Arial" w:hAnsi="Arial" w:cs="Arial"/>
        </w:rPr>
      </w:pPr>
      <w:r>
        <w:rPr>
          <w:rFonts w:ascii="Arial" w:hAnsi="Arial" w:cs="Arial"/>
        </w:rPr>
        <w:t>[28]</w:t>
      </w:r>
      <w:r>
        <w:rPr>
          <w:rFonts w:ascii="Arial" w:hAnsi="Arial" w:cs="Arial"/>
        </w:rPr>
        <w:tab/>
      </w:r>
      <w:r w:rsidRPr="00A27F5C">
        <w:rPr>
          <w:rFonts w:ascii="Arial" w:hAnsi="Arial" w:cs="Arial"/>
        </w:rPr>
        <w:t>In other words, it occurs to me that these words mean that the party allegedly acting vexatiously or frivolously must act in a manner that is in all the circumstances of the case without pure and honourable motive; one that is entirely groundless; without proper foundation and singularly designed to trouble, irritate, irk, incense, anger, provoke, pique and serve to disturb and vex the spirit of the other party</w:t>
      </w:r>
      <w:r w:rsidR="00541BDC">
        <w:rPr>
          <w:rFonts w:ascii="Arial" w:hAnsi="Arial" w:cs="Arial"/>
        </w:rPr>
        <w:t>’</w:t>
      </w:r>
      <w:r w:rsidRPr="00A27F5C">
        <w:rPr>
          <w:rFonts w:ascii="Arial" w:hAnsi="Arial" w:cs="Arial"/>
        </w:rPr>
        <w:t>.</w:t>
      </w:r>
    </w:p>
    <w:p w14:paraId="71618CCA" w14:textId="77777777" w:rsidR="004012F5" w:rsidRPr="004012F5" w:rsidRDefault="004012F5" w:rsidP="004012F5">
      <w:pPr>
        <w:spacing w:line="360" w:lineRule="auto"/>
        <w:ind w:left="720" w:right="798"/>
        <w:jc w:val="both"/>
        <w:rPr>
          <w:rFonts w:ascii="Arial" w:hAnsi="Arial" w:cs="Arial"/>
        </w:rPr>
      </w:pPr>
    </w:p>
    <w:p w14:paraId="58526DE0" w14:textId="6DBDF93A" w:rsidR="00F63AAE" w:rsidRPr="00F63AAE" w:rsidRDefault="00720A46" w:rsidP="00F63AAE">
      <w:pPr>
        <w:pStyle w:val="NormalWeb"/>
        <w:spacing w:line="360" w:lineRule="auto"/>
      </w:pPr>
      <w:r>
        <w:rPr>
          <w:rFonts w:ascii="Arial" w:eastAsia="Calibri" w:hAnsi="Arial" w:cs="Arial"/>
        </w:rPr>
        <w:t>[</w:t>
      </w:r>
      <w:r w:rsidR="00AA2F39">
        <w:rPr>
          <w:rFonts w:ascii="Arial" w:eastAsia="Calibri" w:hAnsi="Arial" w:cs="Arial"/>
        </w:rPr>
        <w:t>2</w:t>
      </w:r>
      <w:r w:rsidR="009A678A">
        <w:rPr>
          <w:rFonts w:ascii="Arial" w:eastAsia="Calibri" w:hAnsi="Arial" w:cs="Arial"/>
        </w:rPr>
        <w:t>0</w:t>
      </w:r>
      <w:r w:rsidR="00541BDC">
        <w:rPr>
          <w:rFonts w:ascii="Arial" w:eastAsia="Calibri" w:hAnsi="Arial" w:cs="Arial"/>
        </w:rPr>
        <w:t>]</w:t>
      </w:r>
      <w:r w:rsidR="00541BDC">
        <w:rPr>
          <w:rFonts w:ascii="Arial" w:eastAsia="Calibri" w:hAnsi="Arial" w:cs="Arial"/>
        </w:rPr>
        <w:tab/>
      </w:r>
      <w:r w:rsidR="00F63AAE">
        <w:rPr>
          <w:rFonts w:ascii="Arial" w:eastAsia="Calibri" w:hAnsi="Arial" w:cs="Arial"/>
        </w:rPr>
        <w:t xml:space="preserve">In </w:t>
      </w:r>
      <w:r w:rsidR="00F63AAE" w:rsidRPr="00541BDC">
        <w:rPr>
          <w:rFonts w:ascii="Arial,Italic" w:hAnsi="Arial,Italic"/>
          <w:i/>
        </w:rPr>
        <w:t>National Housing Enterprise vs. Beukes and Others</w:t>
      </w:r>
      <w:r w:rsidR="00F63AAE">
        <w:rPr>
          <w:rFonts w:ascii="Arial,Italic" w:hAnsi="Arial,Italic"/>
          <w:position w:val="12"/>
          <w:sz w:val="16"/>
          <w:szCs w:val="16"/>
        </w:rPr>
        <w:t xml:space="preserve"> </w:t>
      </w:r>
      <w:r w:rsidR="00CC20D5">
        <w:rPr>
          <w:rStyle w:val="FootnoteReference"/>
          <w:rFonts w:ascii="Arial,Italic" w:hAnsi="Arial,Italic"/>
          <w:position w:val="12"/>
          <w:sz w:val="16"/>
          <w:szCs w:val="16"/>
        </w:rPr>
        <w:footnoteReference w:id="8"/>
      </w:r>
      <w:r w:rsidR="00CC20D5">
        <w:rPr>
          <w:rFonts w:ascii="Arial,Italic" w:hAnsi="Arial,Italic"/>
          <w:position w:val="12"/>
          <w:sz w:val="16"/>
          <w:szCs w:val="16"/>
        </w:rPr>
        <w:t xml:space="preserve">  </w:t>
      </w:r>
      <w:r w:rsidR="00F63AAE">
        <w:rPr>
          <w:rFonts w:ascii="Arial" w:eastAsia="Calibri" w:hAnsi="Arial" w:cs="Arial"/>
        </w:rPr>
        <w:t>it was stated that t</w:t>
      </w:r>
      <w:r w:rsidR="00972440">
        <w:rPr>
          <w:rFonts w:ascii="Arial" w:eastAsia="Calibri" w:hAnsi="Arial" w:cs="Arial"/>
        </w:rPr>
        <w:t>he purpose of the s</w:t>
      </w:r>
      <w:r w:rsidR="00541BDC">
        <w:rPr>
          <w:rFonts w:ascii="Arial" w:eastAsia="Calibri" w:hAnsi="Arial" w:cs="Arial"/>
        </w:rPr>
        <w:t>.</w:t>
      </w:r>
      <w:r w:rsidR="00F63AAE">
        <w:rPr>
          <w:rFonts w:ascii="Arial" w:eastAsia="Calibri" w:hAnsi="Arial" w:cs="Arial"/>
        </w:rPr>
        <w:t xml:space="preserve"> 118 is similar to its predecessor s</w:t>
      </w:r>
      <w:r w:rsidR="00541BDC">
        <w:rPr>
          <w:rFonts w:ascii="Arial" w:eastAsia="Calibri" w:hAnsi="Arial" w:cs="Arial"/>
        </w:rPr>
        <w:t>.</w:t>
      </w:r>
      <w:r w:rsidR="009A678A">
        <w:rPr>
          <w:rFonts w:ascii="Arial" w:eastAsia="Calibri" w:hAnsi="Arial" w:cs="Arial"/>
        </w:rPr>
        <w:t xml:space="preserve"> 20 of the repealed 1992 L</w:t>
      </w:r>
      <w:r w:rsidR="00F63AAE">
        <w:rPr>
          <w:rFonts w:ascii="Arial" w:eastAsia="Calibri" w:hAnsi="Arial" w:cs="Arial"/>
        </w:rPr>
        <w:t xml:space="preserve">abour Act, </w:t>
      </w:r>
      <w:r w:rsidR="00E80920">
        <w:rPr>
          <w:rFonts w:ascii="Arial" w:eastAsia="Calibri" w:hAnsi="Arial" w:cs="Arial"/>
        </w:rPr>
        <w:t>i</w:t>
      </w:r>
      <w:r w:rsidR="00F63AAE">
        <w:rPr>
          <w:rFonts w:ascii="Arial" w:eastAsia="Calibri" w:hAnsi="Arial" w:cs="Arial"/>
        </w:rPr>
        <w:t>t was held</w:t>
      </w:r>
      <w:r w:rsidR="00CC20D5">
        <w:rPr>
          <w:rFonts w:ascii="Arial" w:eastAsia="Calibri" w:hAnsi="Arial" w:cs="Arial"/>
        </w:rPr>
        <w:t>:</w:t>
      </w:r>
    </w:p>
    <w:p w14:paraId="51C0DF85" w14:textId="7561650F" w:rsidR="00972440" w:rsidRPr="00F63AAE" w:rsidRDefault="00F63AAE" w:rsidP="00541BDC">
      <w:pPr>
        <w:spacing w:before="100" w:beforeAutospacing="1" w:after="100" w:afterAutospacing="1" w:line="360" w:lineRule="auto"/>
        <w:ind w:firstLine="720"/>
        <w:jc w:val="both"/>
        <w:rPr>
          <w:rFonts w:ascii="Times New Roman" w:eastAsia="Times New Roman" w:hAnsi="Times New Roman" w:cs="Times New Roman"/>
        </w:rPr>
      </w:pPr>
      <w:r>
        <w:rPr>
          <w:rFonts w:ascii="Arial" w:eastAsia="Times New Roman" w:hAnsi="Arial" w:cs="Arial"/>
        </w:rPr>
        <w:lastRenderedPageBreak/>
        <w:t>‘</w:t>
      </w:r>
      <w:r w:rsidR="00972440" w:rsidRPr="00D410F7">
        <w:rPr>
          <w:rFonts w:ascii="Arial" w:eastAsia="Times New Roman" w:hAnsi="Arial" w:cs="Arial"/>
        </w:rPr>
        <w:t xml:space="preserve">It seems to me that the intention in enacting s 20 was to allow a measure of freedom to parties litigating in labour disputes without them being unduly hampered by the </w:t>
      </w:r>
      <w:r w:rsidR="00E80920" w:rsidRPr="00D410F7">
        <w:rPr>
          <w:rFonts w:ascii="Arial" w:eastAsia="Times New Roman" w:hAnsi="Arial" w:cs="Arial"/>
        </w:rPr>
        <w:t>often-inhibiting</w:t>
      </w:r>
      <w:r w:rsidR="00972440" w:rsidRPr="00D410F7">
        <w:rPr>
          <w:rFonts w:ascii="Arial" w:eastAsia="Times New Roman" w:hAnsi="Arial" w:cs="Arial"/>
        </w:rPr>
        <w:t xml:space="preserve"> factor of legal costs. The exception created by the section uses the word 'acted', indicating that it is the conduct or actions of the party sought to be mulcted in costs that should be </w:t>
      </w:r>
      <w:r w:rsidR="00E80920" w:rsidRPr="00D410F7">
        <w:rPr>
          <w:rFonts w:ascii="Arial" w:eastAsia="Times New Roman" w:hAnsi="Arial" w:cs="Arial"/>
        </w:rPr>
        <w:t>scrutinized</w:t>
      </w:r>
      <w:r w:rsidR="00972440" w:rsidRPr="00D410F7">
        <w:rPr>
          <w:rFonts w:ascii="Arial" w:eastAsia="Times New Roman" w:hAnsi="Arial" w:cs="Arial"/>
        </w:rPr>
        <w:t>. In other words, the provision is not aimed at the party whose conduct is such that 'the proceedings are vexatious in effect even though not in intent'.</w:t>
      </w:r>
    </w:p>
    <w:p w14:paraId="3F69B980" w14:textId="77777777" w:rsidR="00541BDC" w:rsidRDefault="00541BDC" w:rsidP="00720A46">
      <w:pPr>
        <w:spacing w:after="0" w:line="360" w:lineRule="auto"/>
        <w:ind w:right="798"/>
        <w:jc w:val="both"/>
        <w:rPr>
          <w:rFonts w:ascii="Arial" w:eastAsia="Calibri" w:hAnsi="Arial" w:cs="Arial"/>
        </w:rPr>
      </w:pPr>
    </w:p>
    <w:p w14:paraId="3CBD56DF" w14:textId="5BA6A3E6" w:rsidR="00584EFF" w:rsidRDefault="009A678A" w:rsidP="00720A46">
      <w:pPr>
        <w:spacing w:after="0" w:line="360" w:lineRule="auto"/>
        <w:ind w:right="798"/>
        <w:jc w:val="both"/>
        <w:rPr>
          <w:rFonts w:ascii="Arial" w:eastAsia="Calibri" w:hAnsi="Arial" w:cs="Arial"/>
          <w:sz w:val="24"/>
          <w:szCs w:val="24"/>
        </w:rPr>
      </w:pPr>
      <w:r>
        <w:rPr>
          <w:rFonts w:ascii="Arial" w:eastAsia="Calibri" w:hAnsi="Arial" w:cs="Arial"/>
          <w:sz w:val="24"/>
          <w:szCs w:val="24"/>
        </w:rPr>
        <w:t xml:space="preserve"> [21</w:t>
      </w:r>
      <w:r w:rsidR="00541BDC">
        <w:rPr>
          <w:rFonts w:ascii="Arial" w:eastAsia="Calibri" w:hAnsi="Arial" w:cs="Arial"/>
          <w:sz w:val="24"/>
          <w:szCs w:val="24"/>
        </w:rPr>
        <w:t>]</w:t>
      </w:r>
      <w:r w:rsidR="00541BDC">
        <w:rPr>
          <w:rFonts w:ascii="Arial" w:eastAsia="Calibri" w:hAnsi="Arial" w:cs="Arial"/>
          <w:sz w:val="24"/>
          <w:szCs w:val="24"/>
        </w:rPr>
        <w:tab/>
        <w:t>Having referred to the relevant cases and the meaning ascribed therein to the words in question, t</w:t>
      </w:r>
      <w:r w:rsidR="006204A2">
        <w:rPr>
          <w:rFonts w:ascii="Arial" w:eastAsia="Calibri" w:hAnsi="Arial" w:cs="Arial"/>
          <w:sz w:val="24"/>
          <w:szCs w:val="24"/>
        </w:rPr>
        <w:t xml:space="preserve">he question </w:t>
      </w:r>
      <w:r w:rsidR="00541BDC">
        <w:rPr>
          <w:rFonts w:ascii="Arial" w:eastAsia="Calibri" w:hAnsi="Arial" w:cs="Arial"/>
          <w:sz w:val="24"/>
          <w:szCs w:val="24"/>
        </w:rPr>
        <w:t xml:space="preserve">confronting the court, </w:t>
      </w:r>
      <w:r w:rsidR="006204A2">
        <w:rPr>
          <w:rFonts w:ascii="Arial" w:eastAsia="Calibri" w:hAnsi="Arial" w:cs="Arial"/>
          <w:sz w:val="24"/>
          <w:szCs w:val="24"/>
        </w:rPr>
        <w:t>is w</w:t>
      </w:r>
      <w:r w:rsidR="00541BDC">
        <w:rPr>
          <w:rFonts w:ascii="Arial" w:eastAsia="Calibri" w:hAnsi="Arial" w:cs="Arial"/>
          <w:sz w:val="24"/>
          <w:szCs w:val="24"/>
        </w:rPr>
        <w:t>hether the behavior of the</w:t>
      </w:r>
      <w:r w:rsidR="006204A2">
        <w:rPr>
          <w:rFonts w:ascii="Arial" w:eastAsia="Calibri" w:hAnsi="Arial" w:cs="Arial"/>
          <w:sz w:val="24"/>
          <w:szCs w:val="24"/>
        </w:rPr>
        <w:t xml:space="preserve"> respondent herein, fits any of the epithets mentioned in the paragraph above.</w:t>
      </w:r>
    </w:p>
    <w:p w14:paraId="55FE3CBD" w14:textId="77777777" w:rsidR="00541BDC" w:rsidRDefault="00541BDC" w:rsidP="00720A46">
      <w:pPr>
        <w:spacing w:after="0" w:line="360" w:lineRule="auto"/>
        <w:ind w:right="798"/>
        <w:jc w:val="both"/>
        <w:rPr>
          <w:rFonts w:ascii="Arial" w:eastAsia="Calibri" w:hAnsi="Arial" w:cs="Arial"/>
          <w:sz w:val="24"/>
          <w:szCs w:val="24"/>
        </w:rPr>
      </w:pPr>
    </w:p>
    <w:p w14:paraId="49310A06" w14:textId="795A7426" w:rsidR="006204A2" w:rsidRDefault="006204A2" w:rsidP="00720A46">
      <w:pPr>
        <w:spacing w:after="0" w:line="360" w:lineRule="auto"/>
        <w:ind w:right="798"/>
        <w:jc w:val="both"/>
        <w:rPr>
          <w:rFonts w:ascii="Arial" w:eastAsia="Calibri" w:hAnsi="Arial" w:cs="Arial"/>
          <w:sz w:val="24"/>
          <w:szCs w:val="24"/>
        </w:rPr>
      </w:pPr>
    </w:p>
    <w:p w14:paraId="1E26CC32" w14:textId="1ED7CA51" w:rsidR="006204A2" w:rsidRDefault="006204A2" w:rsidP="00720A46">
      <w:pPr>
        <w:spacing w:after="0" w:line="360" w:lineRule="auto"/>
        <w:ind w:right="798"/>
        <w:jc w:val="both"/>
        <w:rPr>
          <w:rFonts w:ascii="Arial" w:eastAsia="Calibri" w:hAnsi="Arial" w:cs="Arial"/>
          <w:sz w:val="24"/>
          <w:szCs w:val="24"/>
        </w:rPr>
      </w:pPr>
      <w:r>
        <w:rPr>
          <w:rFonts w:ascii="Arial" w:eastAsia="Calibri" w:hAnsi="Arial" w:cs="Arial"/>
          <w:sz w:val="24"/>
          <w:szCs w:val="24"/>
        </w:rPr>
        <w:t>[</w:t>
      </w:r>
      <w:r w:rsidR="00AA2F39">
        <w:rPr>
          <w:rFonts w:ascii="Arial" w:eastAsia="Calibri" w:hAnsi="Arial" w:cs="Arial"/>
          <w:sz w:val="24"/>
          <w:szCs w:val="24"/>
        </w:rPr>
        <w:t>2</w:t>
      </w:r>
      <w:r w:rsidR="009A678A">
        <w:rPr>
          <w:rFonts w:ascii="Arial" w:eastAsia="Calibri" w:hAnsi="Arial" w:cs="Arial"/>
          <w:sz w:val="24"/>
          <w:szCs w:val="24"/>
        </w:rPr>
        <w:t>2</w:t>
      </w:r>
      <w:r>
        <w:rPr>
          <w:rFonts w:ascii="Arial" w:eastAsia="Calibri" w:hAnsi="Arial" w:cs="Arial"/>
          <w:sz w:val="24"/>
          <w:szCs w:val="24"/>
        </w:rPr>
        <w:t xml:space="preserve">] </w:t>
      </w:r>
      <w:r>
        <w:rPr>
          <w:rFonts w:ascii="Arial" w:eastAsia="Calibri" w:hAnsi="Arial" w:cs="Arial"/>
          <w:sz w:val="24"/>
          <w:szCs w:val="24"/>
        </w:rPr>
        <w:tab/>
        <w:t>The firs</w:t>
      </w:r>
      <w:r w:rsidR="00541BDC">
        <w:rPr>
          <w:rFonts w:ascii="Arial" w:eastAsia="Calibri" w:hAnsi="Arial" w:cs="Arial"/>
          <w:sz w:val="24"/>
          <w:szCs w:val="24"/>
        </w:rPr>
        <w:t>t respondent’s referral to the Labour C</w:t>
      </w:r>
      <w:r>
        <w:rPr>
          <w:rFonts w:ascii="Arial" w:eastAsia="Calibri" w:hAnsi="Arial" w:cs="Arial"/>
          <w:sz w:val="24"/>
          <w:szCs w:val="24"/>
        </w:rPr>
        <w:t xml:space="preserve">ommissioner is based on unfair dismissal and unfair labour practice. The applicant bears the onus to prove that the dismissal of the first respondent was </w:t>
      </w:r>
      <w:r w:rsidR="00AA2F39">
        <w:rPr>
          <w:rFonts w:ascii="Arial" w:eastAsia="Calibri" w:hAnsi="Arial" w:cs="Arial"/>
          <w:sz w:val="24"/>
          <w:szCs w:val="24"/>
        </w:rPr>
        <w:t xml:space="preserve">substantively and procedurally </w:t>
      </w:r>
      <w:r>
        <w:rPr>
          <w:rFonts w:ascii="Arial" w:eastAsia="Calibri" w:hAnsi="Arial" w:cs="Arial"/>
          <w:sz w:val="24"/>
          <w:szCs w:val="24"/>
        </w:rPr>
        <w:t>fair</w:t>
      </w:r>
      <w:r w:rsidR="00AA2F39">
        <w:rPr>
          <w:rFonts w:ascii="Arial" w:eastAsia="Calibri" w:hAnsi="Arial" w:cs="Arial"/>
          <w:sz w:val="24"/>
          <w:szCs w:val="24"/>
        </w:rPr>
        <w:t>. The applicant also had to deal with the aspect of the respo</w:t>
      </w:r>
      <w:r w:rsidR="003F5231">
        <w:rPr>
          <w:rFonts w:ascii="Arial" w:eastAsia="Calibri" w:hAnsi="Arial" w:cs="Arial"/>
          <w:sz w:val="24"/>
          <w:szCs w:val="24"/>
        </w:rPr>
        <w:t>n</w:t>
      </w:r>
      <w:r w:rsidR="00AA2F39">
        <w:rPr>
          <w:rFonts w:ascii="Arial" w:eastAsia="Calibri" w:hAnsi="Arial" w:cs="Arial"/>
          <w:sz w:val="24"/>
          <w:szCs w:val="24"/>
        </w:rPr>
        <w:t>dent’s financial loss that he may have incurred</w:t>
      </w:r>
      <w:r w:rsidR="005C3866">
        <w:rPr>
          <w:rFonts w:ascii="Arial" w:eastAsia="Calibri" w:hAnsi="Arial" w:cs="Arial"/>
          <w:sz w:val="24"/>
          <w:szCs w:val="24"/>
        </w:rPr>
        <w:t xml:space="preserve"> </w:t>
      </w:r>
      <w:r w:rsidR="003F5231">
        <w:rPr>
          <w:rFonts w:ascii="Arial" w:eastAsia="Calibri" w:hAnsi="Arial" w:cs="Arial"/>
          <w:sz w:val="24"/>
          <w:szCs w:val="24"/>
        </w:rPr>
        <w:t xml:space="preserve">after </w:t>
      </w:r>
      <w:r w:rsidR="009F2738">
        <w:rPr>
          <w:rFonts w:ascii="Arial" w:eastAsia="Calibri" w:hAnsi="Arial" w:cs="Arial"/>
          <w:sz w:val="24"/>
          <w:szCs w:val="24"/>
        </w:rPr>
        <w:t>he was dismissed</w:t>
      </w:r>
      <w:r w:rsidR="003F5231">
        <w:rPr>
          <w:rFonts w:ascii="Arial" w:eastAsia="Calibri" w:hAnsi="Arial" w:cs="Arial"/>
          <w:sz w:val="24"/>
          <w:szCs w:val="24"/>
        </w:rPr>
        <w:t xml:space="preserve"> </w:t>
      </w:r>
      <w:r w:rsidR="008F2E7E">
        <w:rPr>
          <w:rFonts w:ascii="Arial" w:eastAsia="Calibri" w:hAnsi="Arial" w:cs="Arial"/>
          <w:sz w:val="24"/>
          <w:szCs w:val="24"/>
        </w:rPr>
        <w:t>and further</w:t>
      </w:r>
      <w:r w:rsidR="009F2738">
        <w:rPr>
          <w:rFonts w:ascii="Arial" w:eastAsia="Calibri" w:hAnsi="Arial" w:cs="Arial"/>
          <w:sz w:val="24"/>
          <w:szCs w:val="24"/>
        </w:rPr>
        <w:t xml:space="preserve"> deal with the issue of </w:t>
      </w:r>
      <w:r w:rsidR="003F5231">
        <w:rPr>
          <w:rFonts w:ascii="Arial" w:eastAsia="Calibri" w:hAnsi="Arial" w:cs="Arial"/>
          <w:sz w:val="24"/>
          <w:szCs w:val="24"/>
        </w:rPr>
        <w:t>mitigation of loss</w:t>
      </w:r>
      <w:r w:rsidR="009F2738">
        <w:rPr>
          <w:rFonts w:ascii="Arial" w:eastAsia="Calibri" w:hAnsi="Arial" w:cs="Arial"/>
          <w:sz w:val="24"/>
          <w:szCs w:val="24"/>
        </w:rPr>
        <w:t xml:space="preserve"> by the first respondent.</w:t>
      </w:r>
    </w:p>
    <w:p w14:paraId="1B0C5FCD" w14:textId="77777777" w:rsidR="009F2738" w:rsidRDefault="009F2738" w:rsidP="00720A46">
      <w:pPr>
        <w:spacing w:after="0" w:line="360" w:lineRule="auto"/>
        <w:ind w:right="798"/>
        <w:jc w:val="both"/>
        <w:rPr>
          <w:rFonts w:ascii="Arial" w:eastAsia="Calibri" w:hAnsi="Arial" w:cs="Arial"/>
          <w:sz w:val="24"/>
          <w:szCs w:val="24"/>
        </w:rPr>
      </w:pPr>
    </w:p>
    <w:p w14:paraId="42270A01" w14:textId="62ED0C0B" w:rsidR="005C3866" w:rsidRDefault="005C3866" w:rsidP="00720A46">
      <w:pPr>
        <w:spacing w:after="0" w:line="360" w:lineRule="auto"/>
        <w:ind w:right="798"/>
        <w:jc w:val="both"/>
        <w:rPr>
          <w:rFonts w:ascii="Arial" w:eastAsia="Calibri" w:hAnsi="Arial" w:cs="Arial"/>
          <w:sz w:val="24"/>
          <w:szCs w:val="24"/>
        </w:rPr>
      </w:pPr>
      <w:r>
        <w:rPr>
          <w:rFonts w:ascii="Arial" w:eastAsia="Calibri" w:hAnsi="Arial" w:cs="Arial"/>
          <w:sz w:val="24"/>
          <w:szCs w:val="24"/>
        </w:rPr>
        <w:t>[2</w:t>
      </w:r>
      <w:r w:rsidR="009A678A">
        <w:rPr>
          <w:rFonts w:ascii="Arial" w:eastAsia="Calibri" w:hAnsi="Arial" w:cs="Arial"/>
          <w:sz w:val="24"/>
          <w:szCs w:val="24"/>
        </w:rPr>
        <w:t>3</w:t>
      </w:r>
      <w:r w:rsidR="00541BDC">
        <w:rPr>
          <w:rFonts w:ascii="Arial" w:eastAsia="Calibri" w:hAnsi="Arial" w:cs="Arial"/>
          <w:sz w:val="24"/>
          <w:szCs w:val="24"/>
        </w:rPr>
        <w:t>]</w:t>
      </w:r>
      <w:r w:rsidR="00541BDC">
        <w:rPr>
          <w:rFonts w:ascii="Arial" w:eastAsia="Calibri" w:hAnsi="Arial" w:cs="Arial"/>
          <w:sz w:val="24"/>
          <w:szCs w:val="24"/>
        </w:rPr>
        <w:tab/>
      </w:r>
      <w:r>
        <w:rPr>
          <w:rFonts w:ascii="Arial" w:eastAsia="Calibri" w:hAnsi="Arial" w:cs="Arial"/>
          <w:sz w:val="24"/>
          <w:szCs w:val="24"/>
        </w:rPr>
        <w:t xml:space="preserve">Therefore </w:t>
      </w:r>
      <w:r w:rsidR="00541BDC">
        <w:rPr>
          <w:rFonts w:ascii="Arial" w:eastAsia="Calibri" w:hAnsi="Arial" w:cs="Arial"/>
          <w:sz w:val="24"/>
          <w:szCs w:val="24"/>
        </w:rPr>
        <w:t>the applicant required the</w:t>
      </w:r>
      <w:r>
        <w:rPr>
          <w:rFonts w:ascii="Arial" w:eastAsia="Calibri" w:hAnsi="Arial" w:cs="Arial"/>
          <w:sz w:val="24"/>
          <w:szCs w:val="24"/>
        </w:rPr>
        <w:t xml:space="preserve"> respo</w:t>
      </w:r>
      <w:r w:rsidR="008F0711">
        <w:rPr>
          <w:rFonts w:ascii="Arial" w:eastAsia="Calibri" w:hAnsi="Arial" w:cs="Arial"/>
          <w:sz w:val="24"/>
          <w:szCs w:val="24"/>
        </w:rPr>
        <w:t>n</w:t>
      </w:r>
      <w:r>
        <w:rPr>
          <w:rFonts w:ascii="Arial" w:eastAsia="Calibri" w:hAnsi="Arial" w:cs="Arial"/>
          <w:sz w:val="24"/>
          <w:szCs w:val="24"/>
        </w:rPr>
        <w:t xml:space="preserve">dent to disclose </w:t>
      </w:r>
      <w:r w:rsidR="009F2738">
        <w:rPr>
          <w:rFonts w:ascii="Arial" w:eastAsia="Calibri" w:hAnsi="Arial" w:cs="Arial"/>
          <w:sz w:val="24"/>
          <w:szCs w:val="24"/>
        </w:rPr>
        <w:t xml:space="preserve">his </w:t>
      </w:r>
      <w:r>
        <w:rPr>
          <w:rFonts w:ascii="Arial" w:eastAsia="Calibri" w:hAnsi="Arial" w:cs="Arial"/>
          <w:sz w:val="24"/>
          <w:szCs w:val="24"/>
        </w:rPr>
        <w:t>financial records of income and financial interest in bus</w:t>
      </w:r>
      <w:r w:rsidR="008F0711">
        <w:rPr>
          <w:rFonts w:ascii="Arial" w:eastAsia="Calibri" w:hAnsi="Arial" w:cs="Arial"/>
          <w:sz w:val="24"/>
          <w:szCs w:val="24"/>
        </w:rPr>
        <w:t>in</w:t>
      </w:r>
      <w:r w:rsidR="00541BDC">
        <w:rPr>
          <w:rFonts w:ascii="Arial" w:eastAsia="Calibri" w:hAnsi="Arial" w:cs="Arial"/>
          <w:sz w:val="24"/>
          <w:szCs w:val="24"/>
        </w:rPr>
        <w:t>ess/</w:t>
      </w:r>
      <w:r>
        <w:rPr>
          <w:rFonts w:ascii="Arial" w:eastAsia="Calibri" w:hAnsi="Arial" w:cs="Arial"/>
          <w:sz w:val="24"/>
          <w:szCs w:val="24"/>
        </w:rPr>
        <w:t xml:space="preserve">enterprise </w:t>
      </w:r>
      <w:r w:rsidR="009F2738">
        <w:rPr>
          <w:rFonts w:ascii="Arial" w:eastAsia="Calibri" w:hAnsi="Arial" w:cs="Arial"/>
          <w:sz w:val="24"/>
          <w:szCs w:val="24"/>
        </w:rPr>
        <w:t xml:space="preserve">from 1 August to </w:t>
      </w:r>
      <w:r w:rsidR="00541BDC">
        <w:rPr>
          <w:rFonts w:ascii="Arial" w:eastAsia="Calibri" w:hAnsi="Arial" w:cs="Arial"/>
          <w:sz w:val="24"/>
          <w:szCs w:val="24"/>
        </w:rPr>
        <w:t xml:space="preserve">the </w:t>
      </w:r>
      <w:r w:rsidR="009F2738">
        <w:rPr>
          <w:rFonts w:ascii="Arial" w:eastAsia="Calibri" w:hAnsi="Arial" w:cs="Arial"/>
          <w:sz w:val="24"/>
          <w:szCs w:val="24"/>
        </w:rPr>
        <w:t xml:space="preserve">date of hearing, </w:t>
      </w:r>
      <w:r>
        <w:rPr>
          <w:rFonts w:ascii="Arial" w:eastAsia="Calibri" w:hAnsi="Arial" w:cs="Arial"/>
          <w:sz w:val="24"/>
          <w:szCs w:val="24"/>
        </w:rPr>
        <w:t xml:space="preserve">and </w:t>
      </w:r>
      <w:r w:rsidR="009F2738">
        <w:rPr>
          <w:rFonts w:ascii="Arial" w:eastAsia="Calibri" w:hAnsi="Arial" w:cs="Arial"/>
          <w:sz w:val="24"/>
          <w:szCs w:val="24"/>
        </w:rPr>
        <w:t xml:space="preserve">provide his </w:t>
      </w:r>
      <w:r>
        <w:rPr>
          <w:rFonts w:ascii="Arial" w:eastAsia="Calibri" w:hAnsi="Arial" w:cs="Arial"/>
          <w:sz w:val="24"/>
          <w:szCs w:val="24"/>
        </w:rPr>
        <w:t>tax retur</w:t>
      </w:r>
      <w:r w:rsidR="008F0711">
        <w:rPr>
          <w:rFonts w:ascii="Arial" w:eastAsia="Calibri" w:hAnsi="Arial" w:cs="Arial"/>
          <w:sz w:val="24"/>
          <w:szCs w:val="24"/>
        </w:rPr>
        <w:t>n</w:t>
      </w:r>
      <w:r w:rsidR="009F2738">
        <w:rPr>
          <w:rFonts w:ascii="Arial" w:eastAsia="Calibri" w:hAnsi="Arial" w:cs="Arial"/>
          <w:sz w:val="24"/>
          <w:szCs w:val="24"/>
        </w:rPr>
        <w:t>,</w:t>
      </w:r>
      <w:r>
        <w:rPr>
          <w:rFonts w:ascii="Arial" w:eastAsia="Calibri" w:hAnsi="Arial" w:cs="Arial"/>
          <w:sz w:val="24"/>
          <w:szCs w:val="24"/>
        </w:rPr>
        <w:t xml:space="preserve"> to enable </w:t>
      </w:r>
      <w:r w:rsidR="009F2738">
        <w:rPr>
          <w:rFonts w:ascii="Arial" w:eastAsia="Calibri" w:hAnsi="Arial" w:cs="Arial"/>
          <w:sz w:val="24"/>
          <w:szCs w:val="24"/>
        </w:rPr>
        <w:t>applicant</w:t>
      </w:r>
      <w:r>
        <w:rPr>
          <w:rFonts w:ascii="Arial" w:eastAsia="Calibri" w:hAnsi="Arial" w:cs="Arial"/>
          <w:sz w:val="24"/>
          <w:szCs w:val="24"/>
        </w:rPr>
        <w:t xml:space="preserve"> to properly prepare its</w:t>
      </w:r>
      <w:r w:rsidR="009F2738">
        <w:rPr>
          <w:rFonts w:ascii="Arial" w:eastAsia="Calibri" w:hAnsi="Arial" w:cs="Arial"/>
          <w:sz w:val="24"/>
          <w:szCs w:val="24"/>
        </w:rPr>
        <w:t xml:space="preserve"> case</w:t>
      </w:r>
      <w:r w:rsidR="003F5231">
        <w:rPr>
          <w:rFonts w:ascii="Arial" w:eastAsia="Calibri" w:hAnsi="Arial" w:cs="Arial"/>
          <w:sz w:val="24"/>
          <w:szCs w:val="24"/>
        </w:rPr>
        <w:t>, i</w:t>
      </w:r>
      <w:r w:rsidR="00F01255">
        <w:rPr>
          <w:rFonts w:ascii="Arial" w:eastAsia="Calibri" w:hAnsi="Arial" w:cs="Arial"/>
          <w:sz w:val="24"/>
          <w:szCs w:val="24"/>
        </w:rPr>
        <w:t xml:space="preserve">n respect of loss of income by the </w:t>
      </w:r>
      <w:r w:rsidR="009F2738">
        <w:rPr>
          <w:rFonts w:ascii="Arial" w:eastAsia="Calibri" w:hAnsi="Arial" w:cs="Arial"/>
          <w:sz w:val="24"/>
          <w:szCs w:val="24"/>
        </w:rPr>
        <w:t xml:space="preserve">first </w:t>
      </w:r>
      <w:r w:rsidR="00F01255">
        <w:rPr>
          <w:rFonts w:ascii="Arial" w:eastAsia="Calibri" w:hAnsi="Arial" w:cs="Arial"/>
          <w:sz w:val="24"/>
          <w:szCs w:val="24"/>
        </w:rPr>
        <w:t>respo</w:t>
      </w:r>
      <w:r w:rsidR="008F0711">
        <w:rPr>
          <w:rFonts w:ascii="Arial" w:eastAsia="Calibri" w:hAnsi="Arial" w:cs="Arial"/>
          <w:sz w:val="24"/>
          <w:szCs w:val="24"/>
        </w:rPr>
        <w:t>n</w:t>
      </w:r>
      <w:r w:rsidR="00F01255">
        <w:rPr>
          <w:rFonts w:ascii="Arial" w:eastAsia="Calibri" w:hAnsi="Arial" w:cs="Arial"/>
          <w:sz w:val="24"/>
          <w:szCs w:val="24"/>
        </w:rPr>
        <w:t>dent and mitigation of his losses</w:t>
      </w:r>
      <w:r w:rsidR="00541BDC">
        <w:rPr>
          <w:rFonts w:ascii="Arial" w:eastAsia="Calibri" w:hAnsi="Arial" w:cs="Arial"/>
          <w:sz w:val="24"/>
          <w:szCs w:val="24"/>
        </w:rPr>
        <w:t>.</w:t>
      </w:r>
    </w:p>
    <w:p w14:paraId="35766CA0" w14:textId="1B320807" w:rsidR="00F01255" w:rsidRDefault="00F01255" w:rsidP="00720A46">
      <w:pPr>
        <w:spacing w:after="0" w:line="360" w:lineRule="auto"/>
        <w:ind w:right="798"/>
        <w:jc w:val="both"/>
        <w:rPr>
          <w:rFonts w:ascii="Arial" w:eastAsia="Calibri" w:hAnsi="Arial" w:cs="Arial"/>
          <w:sz w:val="24"/>
          <w:szCs w:val="24"/>
        </w:rPr>
      </w:pPr>
    </w:p>
    <w:p w14:paraId="696AAD1D" w14:textId="38E38B4D" w:rsidR="00F01255" w:rsidRDefault="00F01255" w:rsidP="00720A46">
      <w:pPr>
        <w:spacing w:after="0" w:line="360" w:lineRule="auto"/>
        <w:ind w:right="798"/>
        <w:jc w:val="both"/>
        <w:rPr>
          <w:rFonts w:ascii="Arial" w:eastAsia="Calibri" w:hAnsi="Arial" w:cs="Arial"/>
          <w:sz w:val="24"/>
          <w:szCs w:val="24"/>
        </w:rPr>
      </w:pPr>
      <w:r>
        <w:rPr>
          <w:rFonts w:ascii="Arial" w:eastAsia="Calibri" w:hAnsi="Arial" w:cs="Arial"/>
          <w:sz w:val="24"/>
          <w:szCs w:val="24"/>
        </w:rPr>
        <w:t>[2</w:t>
      </w:r>
      <w:r w:rsidR="009A678A">
        <w:rPr>
          <w:rFonts w:ascii="Arial" w:eastAsia="Calibri" w:hAnsi="Arial" w:cs="Arial"/>
          <w:sz w:val="24"/>
          <w:szCs w:val="24"/>
        </w:rPr>
        <w:t>4</w:t>
      </w:r>
      <w:r w:rsidR="00541BDC">
        <w:rPr>
          <w:rFonts w:ascii="Arial" w:eastAsia="Calibri" w:hAnsi="Arial" w:cs="Arial"/>
          <w:sz w:val="24"/>
          <w:szCs w:val="24"/>
        </w:rPr>
        <w:t>] The</w:t>
      </w:r>
      <w:r>
        <w:rPr>
          <w:rFonts w:ascii="Arial" w:eastAsia="Calibri" w:hAnsi="Arial" w:cs="Arial"/>
          <w:sz w:val="24"/>
          <w:szCs w:val="24"/>
        </w:rPr>
        <w:t xml:space="preserve"> respo</w:t>
      </w:r>
      <w:r w:rsidR="008F0711">
        <w:rPr>
          <w:rFonts w:ascii="Arial" w:eastAsia="Calibri" w:hAnsi="Arial" w:cs="Arial"/>
          <w:sz w:val="24"/>
          <w:szCs w:val="24"/>
        </w:rPr>
        <w:t>n</w:t>
      </w:r>
      <w:r>
        <w:rPr>
          <w:rFonts w:ascii="Arial" w:eastAsia="Calibri" w:hAnsi="Arial" w:cs="Arial"/>
          <w:sz w:val="24"/>
          <w:szCs w:val="24"/>
        </w:rPr>
        <w:t xml:space="preserve">dent, </w:t>
      </w:r>
      <w:r w:rsidR="009F2738">
        <w:rPr>
          <w:rFonts w:ascii="Arial" w:eastAsia="Calibri" w:hAnsi="Arial" w:cs="Arial"/>
          <w:sz w:val="24"/>
          <w:szCs w:val="24"/>
        </w:rPr>
        <w:t xml:space="preserve">in his opposing affidavit </w:t>
      </w:r>
      <w:r w:rsidR="00541BDC">
        <w:rPr>
          <w:rFonts w:ascii="Arial" w:eastAsia="Calibri" w:hAnsi="Arial" w:cs="Arial"/>
          <w:sz w:val="24"/>
          <w:szCs w:val="24"/>
        </w:rPr>
        <w:t>admitted</w:t>
      </w:r>
      <w:r w:rsidR="00AA2F39">
        <w:rPr>
          <w:rFonts w:ascii="Arial" w:eastAsia="Calibri" w:hAnsi="Arial" w:cs="Arial"/>
          <w:sz w:val="24"/>
          <w:szCs w:val="24"/>
        </w:rPr>
        <w:t>, the purpose for which the applicant sought the requested documents, however he maintain</w:t>
      </w:r>
      <w:r w:rsidR="00541BDC">
        <w:rPr>
          <w:rFonts w:ascii="Arial" w:eastAsia="Calibri" w:hAnsi="Arial" w:cs="Arial"/>
          <w:sz w:val="24"/>
          <w:szCs w:val="24"/>
        </w:rPr>
        <w:t>ed</w:t>
      </w:r>
      <w:r w:rsidR="00AA2F39">
        <w:rPr>
          <w:rFonts w:ascii="Arial" w:eastAsia="Calibri" w:hAnsi="Arial" w:cs="Arial"/>
          <w:sz w:val="24"/>
          <w:szCs w:val="24"/>
        </w:rPr>
        <w:t xml:space="preserve"> his opposition to disclose </w:t>
      </w:r>
      <w:r w:rsidR="009F2738">
        <w:rPr>
          <w:rFonts w:ascii="Arial" w:eastAsia="Calibri" w:hAnsi="Arial" w:cs="Arial"/>
          <w:sz w:val="24"/>
          <w:szCs w:val="24"/>
        </w:rPr>
        <w:t>the documents</w:t>
      </w:r>
      <w:r w:rsidR="00541BDC">
        <w:rPr>
          <w:rFonts w:ascii="Arial" w:eastAsia="Calibri" w:hAnsi="Arial" w:cs="Arial"/>
          <w:sz w:val="24"/>
          <w:szCs w:val="24"/>
        </w:rPr>
        <w:t xml:space="preserve"> indicating that </w:t>
      </w:r>
      <w:r w:rsidR="00AA2F39">
        <w:rPr>
          <w:rFonts w:ascii="Arial" w:eastAsia="Calibri" w:hAnsi="Arial" w:cs="Arial"/>
          <w:sz w:val="24"/>
          <w:szCs w:val="24"/>
        </w:rPr>
        <w:t>s</w:t>
      </w:r>
      <w:r w:rsidR="00541BDC">
        <w:rPr>
          <w:rFonts w:ascii="Arial" w:eastAsia="Calibri" w:hAnsi="Arial" w:cs="Arial"/>
          <w:sz w:val="24"/>
          <w:szCs w:val="24"/>
        </w:rPr>
        <w:t>ame are</w:t>
      </w:r>
      <w:r w:rsidR="00AA2F39">
        <w:rPr>
          <w:rFonts w:ascii="Arial" w:eastAsia="Calibri" w:hAnsi="Arial" w:cs="Arial"/>
          <w:sz w:val="24"/>
          <w:szCs w:val="24"/>
        </w:rPr>
        <w:t xml:space="preserve"> confidential and that </w:t>
      </w:r>
      <w:r w:rsidR="003F5231">
        <w:rPr>
          <w:rFonts w:ascii="Arial" w:eastAsia="Calibri" w:hAnsi="Arial" w:cs="Arial"/>
          <w:sz w:val="24"/>
          <w:szCs w:val="24"/>
        </w:rPr>
        <w:t>the applicant was</w:t>
      </w:r>
      <w:r w:rsidR="00AA2F39">
        <w:rPr>
          <w:rFonts w:ascii="Arial" w:eastAsia="Calibri" w:hAnsi="Arial" w:cs="Arial"/>
          <w:sz w:val="24"/>
          <w:szCs w:val="24"/>
        </w:rPr>
        <w:t xml:space="preserve"> not </w:t>
      </w:r>
      <w:r w:rsidR="003F5231">
        <w:rPr>
          <w:rFonts w:ascii="Arial" w:eastAsia="Calibri" w:hAnsi="Arial" w:cs="Arial"/>
          <w:sz w:val="24"/>
          <w:szCs w:val="24"/>
        </w:rPr>
        <w:t>entitled to know the</w:t>
      </w:r>
      <w:r w:rsidR="00541BDC">
        <w:rPr>
          <w:rFonts w:ascii="Arial" w:eastAsia="Calibri" w:hAnsi="Arial" w:cs="Arial"/>
          <w:sz w:val="24"/>
          <w:szCs w:val="24"/>
        </w:rPr>
        <w:t xml:space="preserve"> income the first respondent had</w:t>
      </w:r>
      <w:r w:rsidR="003F5231">
        <w:rPr>
          <w:rFonts w:ascii="Arial" w:eastAsia="Calibri" w:hAnsi="Arial" w:cs="Arial"/>
          <w:sz w:val="24"/>
          <w:szCs w:val="24"/>
        </w:rPr>
        <w:t xml:space="preserve"> derived from the business activities</w:t>
      </w:r>
      <w:r w:rsidR="00541BDC">
        <w:rPr>
          <w:rFonts w:ascii="Arial" w:eastAsia="Calibri" w:hAnsi="Arial" w:cs="Arial"/>
          <w:sz w:val="24"/>
          <w:szCs w:val="24"/>
        </w:rPr>
        <w:t xml:space="preserve"> he may have been engaged in</w:t>
      </w:r>
      <w:r w:rsidR="003F5231">
        <w:rPr>
          <w:rFonts w:ascii="Arial" w:eastAsia="Calibri" w:hAnsi="Arial" w:cs="Arial"/>
          <w:sz w:val="24"/>
          <w:szCs w:val="24"/>
        </w:rPr>
        <w:t>.</w:t>
      </w:r>
    </w:p>
    <w:p w14:paraId="7B7FDF45" w14:textId="77777777" w:rsidR="00584EFF" w:rsidRDefault="00584EFF" w:rsidP="00720A46">
      <w:pPr>
        <w:spacing w:after="0" w:line="360" w:lineRule="auto"/>
        <w:ind w:right="798"/>
        <w:jc w:val="both"/>
        <w:rPr>
          <w:rFonts w:ascii="Arial" w:eastAsia="Calibri" w:hAnsi="Arial" w:cs="Arial"/>
          <w:sz w:val="24"/>
          <w:szCs w:val="24"/>
        </w:rPr>
      </w:pPr>
    </w:p>
    <w:p w14:paraId="5CB968A6" w14:textId="6F76F1EE" w:rsidR="00E80920" w:rsidRDefault="009F2738" w:rsidP="00972440">
      <w:pPr>
        <w:spacing w:after="0" w:line="360" w:lineRule="auto"/>
        <w:ind w:right="798"/>
        <w:jc w:val="both"/>
        <w:rPr>
          <w:rFonts w:ascii="Arial" w:eastAsia="Calibri" w:hAnsi="Arial" w:cs="Arial"/>
          <w:sz w:val="24"/>
          <w:szCs w:val="24"/>
        </w:rPr>
      </w:pPr>
      <w:r>
        <w:rPr>
          <w:rFonts w:ascii="Arial" w:eastAsia="Calibri" w:hAnsi="Arial" w:cs="Arial"/>
          <w:sz w:val="24"/>
          <w:szCs w:val="24"/>
        </w:rPr>
        <w:t>[2</w:t>
      </w:r>
      <w:r w:rsidR="009A678A">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541BDC">
        <w:rPr>
          <w:rFonts w:ascii="Arial" w:eastAsia="Calibri" w:hAnsi="Arial" w:cs="Arial"/>
          <w:sz w:val="24"/>
          <w:szCs w:val="24"/>
        </w:rPr>
        <w:t>The</w:t>
      </w:r>
      <w:r>
        <w:rPr>
          <w:rFonts w:ascii="Arial" w:eastAsia="Calibri" w:hAnsi="Arial" w:cs="Arial"/>
          <w:sz w:val="24"/>
          <w:szCs w:val="24"/>
        </w:rPr>
        <w:t xml:space="preserve"> respondent</w:t>
      </w:r>
      <w:r w:rsidR="002A7C87">
        <w:rPr>
          <w:rFonts w:ascii="Arial" w:eastAsia="Calibri" w:hAnsi="Arial" w:cs="Arial"/>
          <w:sz w:val="24"/>
          <w:szCs w:val="24"/>
        </w:rPr>
        <w:t xml:space="preserve"> </w:t>
      </w:r>
      <w:r w:rsidR="00E80920">
        <w:rPr>
          <w:rFonts w:ascii="Arial" w:eastAsia="Calibri" w:hAnsi="Arial" w:cs="Arial"/>
          <w:sz w:val="24"/>
          <w:szCs w:val="24"/>
        </w:rPr>
        <w:t xml:space="preserve">formally </w:t>
      </w:r>
      <w:r w:rsidR="002A7C87">
        <w:rPr>
          <w:rFonts w:ascii="Arial" w:eastAsia="Calibri" w:hAnsi="Arial" w:cs="Arial"/>
          <w:sz w:val="24"/>
          <w:szCs w:val="24"/>
        </w:rPr>
        <w:t xml:space="preserve">withdrew its opposition to the review </w:t>
      </w:r>
      <w:r w:rsidR="00243EA8">
        <w:rPr>
          <w:rFonts w:ascii="Arial" w:eastAsia="Calibri" w:hAnsi="Arial" w:cs="Arial"/>
          <w:sz w:val="24"/>
          <w:szCs w:val="24"/>
        </w:rPr>
        <w:t>application on</w:t>
      </w:r>
      <w:r w:rsidR="002A7C87">
        <w:rPr>
          <w:rFonts w:ascii="Arial" w:eastAsia="Calibri" w:hAnsi="Arial" w:cs="Arial"/>
          <w:sz w:val="24"/>
          <w:szCs w:val="24"/>
        </w:rPr>
        <w:t xml:space="preserve"> 16 July 2018 without tendering any explanation</w:t>
      </w:r>
      <w:r w:rsidR="00541BDC">
        <w:rPr>
          <w:rFonts w:ascii="Arial" w:eastAsia="Calibri" w:hAnsi="Arial" w:cs="Arial"/>
          <w:sz w:val="24"/>
          <w:szCs w:val="24"/>
        </w:rPr>
        <w:t xml:space="preserve"> in his n</w:t>
      </w:r>
      <w:r w:rsidR="00DB1942">
        <w:rPr>
          <w:rFonts w:ascii="Arial" w:eastAsia="Calibri" w:hAnsi="Arial" w:cs="Arial"/>
          <w:sz w:val="24"/>
          <w:szCs w:val="24"/>
        </w:rPr>
        <w:t xml:space="preserve">otice to </w:t>
      </w:r>
      <w:r w:rsidR="00DB1942">
        <w:rPr>
          <w:rFonts w:ascii="Arial" w:eastAsia="Calibri" w:hAnsi="Arial" w:cs="Arial"/>
          <w:sz w:val="24"/>
          <w:szCs w:val="24"/>
        </w:rPr>
        <w:lastRenderedPageBreak/>
        <w:t>withdraw</w:t>
      </w:r>
      <w:r w:rsidR="002A7C87">
        <w:rPr>
          <w:rFonts w:ascii="Arial" w:eastAsia="Calibri" w:hAnsi="Arial" w:cs="Arial"/>
          <w:sz w:val="24"/>
          <w:szCs w:val="24"/>
        </w:rPr>
        <w:t xml:space="preserve">. </w:t>
      </w:r>
      <w:r w:rsidR="00E80920">
        <w:rPr>
          <w:rFonts w:ascii="Arial" w:eastAsia="Calibri" w:hAnsi="Arial" w:cs="Arial"/>
          <w:sz w:val="24"/>
          <w:szCs w:val="24"/>
        </w:rPr>
        <w:t>Three days prior to this date, h</w:t>
      </w:r>
      <w:r w:rsidR="002A7C87">
        <w:rPr>
          <w:rFonts w:ascii="Arial" w:eastAsia="Calibri" w:hAnsi="Arial" w:cs="Arial"/>
          <w:sz w:val="24"/>
          <w:szCs w:val="24"/>
        </w:rPr>
        <w:t>e</w:t>
      </w:r>
      <w:r w:rsidR="00E80920">
        <w:rPr>
          <w:rFonts w:ascii="Arial" w:eastAsia="Calibri" w:hAnsi="Arial" w:cs="Arial"/>
          <w:sz w:val="24"/>
          <w:szCs w:val="24"/>
        </w:rPr>
        <w:t xml:space="preserve"> telephonically informed the applicant, that</w:t>
      </w:r>
      <w:r w:rsidR="002A7C87">
        <w:rPr>
          <w:rFonts w:ascii="Arial" w:eastAsia="Calibri" w:hAnsi="Arial" w:cs="Arial"/>
          <w:sz w:val="24"/>
          <w:szCs w:val="24"/>
        </w:rPr>
        <w:t xml:space="preserve"> he shall provide the applicant with the requested documents in his possession</w:t>
      </w:r>
      <w:r w:rsidR="00E80920">
        <w:rPr>
          <w:rFonts w:ascii="Arial" w:eastAsia="Calibri" w:hAnsi="Arial" w:cs="Arial"/>
          <w:sz w:val="24"/>
          <w:szCs w:val="24"/>
        </w:rPr>
        <w:t>, and those not in his possession shall be requested from the relevant authority and there after provided to the applicant.</w:t>
      </w:r>
    </w:p>
    <w:p w14:paraId="5B8C36C8" w14:textId="77777777" w:rsidR="00E80920" w:rsidRDefault="00E80920" w:rsidP="00972440">
      <w:pPr>
        <w:spacing w:after="0" w:line="360" w:lineRule="auto"/>
        <w:ind w:right="798"/>
        <w:jc w:val="both"/>
        <w:rPr>
          <w:rFonts w:ascii="Arial" w:eastAsia="Calibri" w:hAnsi="Arial" w:cs="Arial"/>
          <w:sz w:val="24"/>
          <w:szCs w:val="24"/>
        </w:rPr>
      </w:pPr>
    </w:p>
    <w:p w14:paraId="6B29C130" w14:textId="55FC0220" w:rsidR="00D410F7" w:rsidRPr="00D410F7" w:rsidRDefault="00E80920" w:rsidP="00972440">
      <w:pPr>
        <w:spacing w:after="0" w:line="360" w:lineRule="auto"/>
        <w:ind w:right="798"/>
        <w:jc w:val="both"/>
        <w:rPr>
          <w:rFonts w:ascii="Arial" w:eastAsia="Calibri" w:hAnsi="Arial" w:cs="Arial"/>
          <w:sz w:val="24"/>
          <w:szCs w:val="24"/>
        </w:rPr>
      </w:pPr>
      <w:r>
        <w:rPr>
          <w:rFonts w:ascii="Arial" w:eastAsia="Calibri" w:hAnsi="Arial" w:cs="Arial"/>
          <w:sz w:val="24"/>
          <w:szCs w:val="24"/>
        </w:rPr>
        <w:t>[2</w:t>
      </w:r>
      <w:r w:rsidR="009A678A">
        <w:rPr>
          <w:rFonts w:ascii="Arial" w:eastAsia="Calibri" w:hAnsi="Arial" w:cs="Arial"/>
          <w:sz w:val="24"/>
          <w:szCs w:val="24"/>
        </w:rPr>
        <w:t>6</w:t>
      </w:r>
      <w:r w:rsidR="006E057D">
        <w:rPr>
          <w:rFonts w:ascii="Arial" w:eastAsia="Calibri" w:hAnsi="Arial" w:cs="Arial"/>
          <w:sz w:val="24"/>
          <w:szCs w:val="24"/>
        </w:rPr>
        <w:t>]</w:t>
      </w:r>
      <w:r w:rsidR="006E057D">
        <w:rPr>
          <w:rFonts w:ascii="Arial" w:eastAsia="Calibri" w:hAnsi="Arial" w:cs="Arial"/>
          <w:sz w:val="24"/>
          <w:szCs w:val="24"/>
        </w:rPr>
        <w:tab/>
      </w:r>
      <w:r w:rsidR="00DB1942">
        <w:rPr>
          <w:rFonts w:ascii="Arial" w:eastAsia="Calibri" w:hAnsi="Arial" w:cs="Arial"/>
          <w:sz w:val="24"/>
          <w:szCs w:val="24"/>
        </w:rPr>
        <w:t xml:space="preserve">In </w:t>
      </w:r>
      <w:r w:rsidR="006E057D">
        <w:rPr>
          <w:rFonts w:ascii="Arial" w:eastAsia="Calibri" w:hAnsi="Arial" w:cs="Arial"/>
          <w:sz w:val="24"/>
          <w:szCs w:val="24"/>
        </w:rPr>
        <w:t>his heads of argument, the</w:t>
      </w:r>
      <w:r w:rsidR="00DB1942">
        <w:rPr>
          <w:rFonts w:ascii="Arial" w:eastAsia="Calibri" w:hAnsi="Arial" w:cs="Arial"/>
          <w:sz w:val="24"/>
          <w:szCs w:val="24"/>
        </w:rPr>
        <w:t xml:space="preserve"> respondent tenders </w:t>
      </w:r>
      <w:r w:rsidR="006E057D">
        <w:rPr>
          <w:rFonts w:ascii="Arial" w:eastAsia="Calibri" w:hAnsi="Arial" w:cs="Arial"/>
          <w:sz w:val="24"/>
          <w:szCs w:val="24"/>
        </w:rPr>
        <w:t xml:space="preserve">the </w:t>
      </w:r>
      <w:r w:rsidR="00DB1942">
        <w:rPr>
          <w:rFonts w:ascii="Arial" w:eastAsia="Calibri" w:hAnsi="Arial" w:cs="Arial"/>
          <w:sz w:val="24"/>
          <w:szCs w:val="24"/>
        </w:rPr>
        <w:t xml:space="preserve">reason for the withdrawal, </w:t>
      </w:r>
      <w:r w:rsidR="006E057D">
        <w:rPr>
          <w:rFonts w:ascii="Arial" w:eastAsia="Calibri" w:hAnsi="Arial" w:cs="Arial"/>
          <w:sz w:val="24"/>
          <w:szCs w:val="24"/>
        </w:rPr>
        <w:t xml:space="preserve">namely, </w:t>
      </w:r>
      <w:r w:rsidR="00DB1942">
        <w:rPr>
          <w:rFonts w:ascii="Arial" w:eastAsia="Calibri" w:hAnsi="Arial" w:cs="Arial"/>
          <w:sz w:val="24"/>
          <w:szCs w:val="24"/>
        </w:rPr>
        <w:t>that after due consideration of the review application, he preferred to focus on the merits refer</w:t>
      </w:r>
      <w:r w:rsidR="006E057D">
        <w:rPr>
          <w:rFonts w:ascii="Arial" w:eastAsia="Calibri" w:hAnsi="Arial" w:cs="Arial"/>
          <w:sz w:val="24"/>
          <w:szCs w:val="24"/>
        </w:rPr>
        <w:t>ral of unfair dismissal and would</w:t>
      </w:r>
      <w:r w:rsidR="00DB1942">
        <w:rPr>
          <w:rFonts w:ascii="Arial" w:eastAsia="Calibri" w:hAnsi="Arial" w:cs="Arial"/>
          <w:sz w:val="24"/>
          <w:szCs w:val="24"/>
        </w:rPr>
        <w:t xml:space="preserve"> not persists with the opposition to the review application.  </w:t>
      </w:r>
      <w:r w:rsidR="00243EA8">
        <w:rPr>
          <w:rFonts w:ascii="Arial" w:eastAsia="Calibri" w:hAnsi="Arial" w:cs="Arial"/>
          <w:sz w:val="24"/>
          <w:szCs w:val="24"/>
        </w:rPr>
        <w:t xml:space="preserve">Although the first respondent filed his heads of argument, he failed to attend the hearing, </w:t>
      </w:r>
      <w:r w:rsidR="00DB1942">
        <w:rPr>
          <w:rFonts w:ascii="Arial" w:eastAsia="Calibri" w:hAnsi="Arial" w:cs="Arial"/>
          <w:sz w:val="24"/>
          <w:szCs w:val="24"/>
        </w:rPr>
        <w:t>in person</w:t>
      </w:r>
      <w:r w:rsidR="00243EA8">
        <w:rPr>
          <w:rFonts w:ascii="Arial" w:eastAsia="Calibri" w:hAnsi="Arial" w:cs="Arial"/>
          <w:sz w:val="24"/>
          <w:szCs w:val="24"/>
        </w:rPr>
        <w:t xml:space="preserve"> or through his legal practitioner. </w:t>
      </w:r>
      <w:r w:rsidR="00D410F7" w:rsidRPr="00D410F7">
        <w:rPr>
          <w:rFonts w:ascii="Arial" w:eastAsia="Times New Roman" w:hAnsi="Arial" w:cs="Arial"/>
          <w:position w:val="10"/>
          <w:sz w:val="14"/>
          <w:szCs w:val="14"/>
        </w:rPr>
        <w:t xml:space="preserve"> </w:t>
      </w:r>
    </w:p>
    <w:p w14:paraId="422F9647" w14:textId="77777777" w:rsidR="00243EA8" w:rsidRDefault="00243EA8" w:rsidP="00720A46">
      <w:pPr>
        <w:spacing w:after="0" w:line="360" w:lineRule="auto"/>
        <w:ind w:right="798"/>
        <w:jc w:val="both"/>
        <w:rPr>
          <w:rFonts w:ascii="Arial" w:eastAsia="Calibri" w:hAnsi="Arial" w:cs="Arial"/>
          <w:sz w:val="24"/>
          <w:szCs w:val="24"/>
        </w:rPr>
      </w:pPr>
    </w:p>
    <w:p w14:paraId="721A56B9" w14:textId="1B221EED" w:rsidR="00414941" w:rsidRDefault="00243EA8" w:rsidP="008762DD">
      <w:pPr>
        <w:pStyle w:val="NormalWeb"/>
        <w:spacing w:line="360" w:lineRule="auto"/>
        <w:ind w:right="798"/>
        <w:jc w:val="both"/>
        <w:rPr>
          <w:rFonts w:ascii="Arial" w:hAnsi="Arial" w:cs="Arial"/>
        </w:rPr>
      </w:pPr>
      <w:r>
        <w:rPr>
          <w:rFonts w:ascii="Arial" w:eastAsia="Calibri" w:hAnsi="Arial" w:cs="Arial"/>
        </w:rPr>
        <w:t>[2</w:t>
      </w:r>
      <w:r w:rsidR="009A678A">
        <w:rPr>
          <w:rFonts w:ascii="Arial" w:eastAsia="Calibri" w:hAnsi="Arial" w:cs="Arial"/>
        </w:rPr>
        <w:t>7</w:t>
      </w:r>
      <w:r w:rsidR="006E057D">
        <w:rPr>
          <w:rFonts w:ascii="Arial" w:eastAsia="Calibri" w:hAnsi="Arial" w:cs="Arial"/>
        </w:rPr>
        <w:t>]</w:t>
      </w:r>
      <w:r w:rsidR="006E057D">
        <w:rPr>
          <w:rFonts w:ascii="Arial" w:eastAsia="Calibri" w:hAnsi="Arial" w:cs="Arial"/>
        </w:rPr>
        <w:tab/>
      </w:r>
      <w:r w:rsidR="00CC20D5">
        <w:rPr>
          <w:rFonts w:ascii="Arial" w:eastAsia="Calibri" w:hAnsi="Arial" w:cs="Arial"/>
        </w:rPr>
        <w:t>In</w:t>
      </w:r>
      <w:r>
        <w:rPr>
          <w:rFonts w:ascii="Arial" w:eastAsia="Calibri" w:hAnsi="Arial" w:cs="Arial"/>
        </w:rPr>
        <w:t xml:space="preserve"> </w:t>
      </w:r>
      <w:r w:rsidR="00CC20D5" w:rsidRPr="009A678A">
        <w:rPr>
          <w:rFonts w:ascii="Arial" w:hAnsi="Arial" w:cs="Arial"/>
          <w:i/>
        </w:rPr>
        <w:t>Commercial Investment Corporation (Pty) Ltd v Namibian Food and Allied Workers Union and Others</w:t>
      </w:r>
      <w:r w:rsidR="00D52C92">
        <w:rPr>
          <w:rStyle w:val="FootnoteReference"/>
          <w:rFonts w:ascii="Arial" w:hAnsi="Arial" w:cs="Arial"/>
        </w:rPr>
        <w:footnoteReference w:id="9"/>
      </w:r>
      <w:r w:rsidR="009A678A">
        <w:rPr>
          <w:rFonts w:ascii="Arial" w:hAnsi="Arial" w:cs="Arial"/>
          <w:i/>
        </w:rPr>
        <w:t>,</w:t>
      </w:r>
      <w:r w:rsidR="00CC20D5" w:rsidRPr="00CC20D5">
        <w:rPr>
          <w:rFonts w:ascii="Arial" w:hAnsi="Arial" w:cs="Arial"/>
        </w:rPr>
        <w:t xml:space="preserve"> </w:t>
      </w:r>
      <w:r w:rsidR="009A678A">
        <w:rPr>
          <w:rFonts w:ascii="Arial" w:hAnsi="Arial" w:cs="Arial"/>
        </w:rPr>
        <w:t xml:space="preserve">it was held that: </w:t>
      </w:r>
      <w:r w:rsidR="00CC20D5" w:rsidRPr="00CC20D5">
        <w:rPr>
          <w:rFonts w:ascii="Arial" w:hAnsi="Arial" w:cs="Arial"/>
        </w:rPr>
        <w:t xml:space="preserve"> </w:t>
      </w:r>
    </w:p>
    <w:p w14:paraId="3FEC79DD" w14:textId="77777777" w:rsidR="006E057D" w:rsidRDefault="006E057D" w:rsidP="006E057D">
      <w:pPr>
        <w:pStyle w:val="NormalWeb"/>
        <w:spacing w:line="360" w:lineRule="auto"/>
        <w:ind w:right="798" w:firstLine="720"/>
        <w:jc w:val="both"/>
        <w:rPr>
          <w:rFonts w:ascii="Arial" w:hAnsi="Arial" w:cs="Arial"/>
          <w:sz w:val="22"/>
          <w:szCs w:val="22"/>
        </w:rPr>
      </w:pPr>
      <w:r>
        <w:rPr>
          <w:rFonts w:ascii="Arial" w:hAnsi="Arial" w:cs="Arial"/>
          <w:sz w:val="22"/>
          <w:szCs w:val="22"/>
        </w:rPr>
        <w:t>‘[10]</w:t>
      </w:r>
      <w:r w:rsidR="00CC20D5" w:rsidRPr="00414941">
        <w:rPr>
          <w:rFonts w:ascii="Arial" w:hAnsi="Arial" w:cs="Arial"/>
          <w:sz w:val="22"/>
          <w:szCs w:val="22"/>
        </w:rPr>
        <w:t xml:space="preserve"> </w:t>
      </w:r>
      <w:r w:rsidR="00CC20D5" w:rsidRPr="00A14D03">
        <w:rPr>
          <w:rFonts w:ascii="Arial" w:hAnsi="Arial" w:cs="Arial"/>
          <w:sz w:val="22"/>
          <w:szCs w:val="22"/>
        </w:rPr>
        <w:t>Section 20 of the Act specifically proscribes an order as to costs in circumstances where the respondent (as in this case) did not oppose the application and in fact ceased with its unlawful conduct by the time the matter was called in open court. That is indeed the end of the matter. I cannot use the peripheral jurisdictional provisions of s 18(1)(f) or (g) to override (impliedly so) the specific provisions of s 20 of the Act. The upshot of the matter is that a Labour Court cannot give a costs order against a respondent in an unopposed matter, particularly in circumstances where the unlawful conduct had ceased by the time the mat</w:t>
      </w:r>
      <w:r>
        <w:rPr>
          <w:rFonts w:ascii="Arial" w:hAnsi="Arial" w:cs="Arial"/>
          <w:sz w:val="22"/>
          <w:szCs w:val="22"/>
        </w:rPr>
        <w:t>ter was called in open court ‘</w:t>
      </w:r>
      <w:r w:rsidR="00CC20D5" w:rsidRPr="00A14D03">
        <w:rPr>
          <w:rFonts w:ascii="Arial" w:hAnsi="Arial" w:cs="Arial"/>
          <w:sz w:val="22"/>
          <w:szCs w:val="22"/>
        </w:rPr>
        <w:t>.</w:t>
      </w:r>
    </w:p>
    <w:p w14:paraId="2F7891D2" w14:textId="02393CC4" w:rsidR="006E057D" w:rsidRDefault="00676FAA" w:rsidP="006E057D">
      <w:pPr>
        <w:pStyle w:val="NormalWeb"/>
        <w:spacing w:line="360" w:lineRule="auto"/>
        <w:ind w:right="798"/>
        <w:jc w:val="both"/>
        <w:rPr>
          <w:rFonts w:ascii="Arial" w:hAnsi="Arial" w:cs="Arial"/>
        </w:rPr>
      </w:pPr>
      <w:r>
        <w:rPr>
          <w:rFonts w:ascii="Arial" w:hAnsi="Arial" w:cs="Arial"/>
        </w:rPr>
        <w:t xml:space="preserve"> </w:t>
      </w:r>
      <w:r w:rsidR="009A678A">
        <w:rPr>
          <w:rFonts w:ascii="Arial" w:hAnsi="Arial" w:cs="Arial"/>
        </w:rPr>
        <w:t>[28</w:t>
      </w:r>
      <w:r w:rsidR="006E057D">
        <w:rPr>
          <w:rFonts w:ascii="Arial" w:hAnsi="Arial" w:cs="Arial"/>
        </w:rPr>
        <w:t>]</w:t>
      </w:r>
      <w:r w:rsidR="006E057D">
        <w:rPr>
          <w:rFonts w:ascii="Arial" w:hAnsi="Arial" w:cs="Arial"/>
        </w:rPr>
        <w:tab/>
        <w:t xml:space="preserve">I adopt the reasoning </w:t>
      </w:r>
      <w:r>
        <w:rPr>
          <w:rFonts w:ascii="Arial" w:hAnsi="Arial" w:cs="Arial"/>
        </w:rPr>
        <w:t xml:space="preserve">articulated above </w:t>
      </w:r>
      <w:r w:rsidR="006E057D">
        <w:rPr>
          <w:rFonts w:ascii="Arial" w:hAnsi="Arial" w:cs="Arial"/>
        </w:rPr>
        <w:t>as applicable in the present matter. In my considered view, there are</w:t>
      </w:r>
      <w:r>
        <w:rPr>
          <w:rFonts w:ascii="Arial" w:hAnsi="Arial" w:cs="Arial"/>
        </w:rPr>
        <w:t>, however,</w:t>
      </w:r>
      <w:r w:rsidR="006E057D">
        <w:rPr>
          <w:rFonts w:ascii="Arial" w:hAnsi="Arial" w:cs="Arial"/>
        </w:rPr>
        <w:t xml:space="preserve"> further reasons why I am of the view that to grant the applicant’s prayer in such circumstances, would fly in the face </w:t>
      </w:r>
      <w:r>
        <w:rPr>
          <w:rFonts w:ascii="Arial" w:hAnsi="Arial" w:cs="Arial"/>
        </w:rPr>
        <w:t>of the legislative prescription in question</w:t>
      </w:r>
      <w:r w:rsidR="006E057D">
        <w:rPr>
          <w:rFonts w:ascii="Arial" w:hAnsi="Arial" w:cs="Arial"/>
        </w:rPr>
        <w:t xml:space="preserve"> and would render nugatory the very harm that the Legislature sought to forestall by enacting s. 118.</w:t>
      </w:r>
    </w:p>
    <w:p w14:paraId="20D8A59F" w14:textId="7AC51CFD" w:rsidR="00CC20D5" w:rsidRDefault="009A678A" w:rsidP="006E057D">
      <w:pPr>
        <w:pStyle w:val="NormalWeb"/>
        <w:spacing w:line="360" w:lineRule="auto"/>
        <w:ind w:right="798"/>
        <w:jc w:val="both"/>
        <w:rPr>
          <w:rFonts w:ascii="Arial" w:hAnsi="Arial" w:cs="Arial"/>
        </w:rPr>
      </w:pPr>
      <w:r>
        <w:rPr>
          <w:rFonts w:ascii="Arial" w:hAnsi="Arial" w:cs="Arial"/>
        </w:rPr>
        <w:t>[29</w:t>
      </w:r>
      <w:r w:rsidR="006E057D">
        <w:rPr>
          <w:rFonts w:ascii="Arial" w:hAnsi="Arial" w:cs="Arial"/>
        </w:rPr>
        <w:t>]</w:t>
      </w:r>
      <w:r w:rsidR="006E057D">
        <w:rPr>
          <w:rFonts w:ascii="Arial" w:hAnsi="Arial" w:cs="Arial"/>
        </w:rPr>
        <w:tab/>
        <w:t xml:space="preserve">It must not be forgotten that in the instant case, the respondent, in opposing the review application, did so in support of a decision made by the </w:t>
      </w:r>
      <w:r w:rsidR="006E057D">
        <w:rPr>
          <w:rFonts w:ascii="Arial" w:hAnsi="Arial" w:cs="Arial"/>
        </w:rPr>
        <w:lastRenderedPageBreak/>
        <w:t>arbitrator, meaning that the arbiter, after considering the submissions made by both parties, took the position that the respondent was on the right side of the law.</w:t>
      </w:r>
      <w:r w:rsidR="006E057D">
        <w:rPr>
          <w:rFonts w:ascii="Arial" w:hAnsi="Arial" w:cs="Arial"/>
          <w:sz w:val="22"/>
          <w:szCs w:val="22"/>
        </w:rPr>
        <w:t xml:space="preserve"> </w:t>
      </w:r>
      <w:r w:rsidR="006E057D">
        <w:rPr>
          <w:rFonts w:ascii="Arial" w:hAnsi="Arial" w:cs="Arial"/>
        </w:rPr>
        <w:t>It would accordingly be absurd, in my view, for a party who supports a decision by the court and oppose an application to have same set aside, to be regarded as having acted frivolously or vexatiously. The fact that a person in the respondent’s position opposed the application does not, on its own bring the opposition within the realms of vexatious or frivolous as explained above. He was within his rights to support the decision that had been reached by the arbitrator.</w:t>
      </w:r>
    </w:p>
    <w:p w14:paraId="1E25C8FE" w14:textId="08272F62" w:rsidR="00571327" w:rsidRDefault="009A678A" w:rsidP="006E057D">
      <w:pPr>
        <w:pStyle w:val="NormalWeb"/>
        <w:spacing w:line="360" w:lineRule="auto"/>
        <w:ind w:right="798"/>
        <w:jc w:val="both"/>
        <w:rPr>
          <w:rFonts w:ascii="Arial" w:hAnsi="Arial" w:cs="Arial"/>
        </w:rPr>
      </w:pPr>
      <w:r>
        <w:rPr>
          <w:rFonts w:ascii="Arial" w:hAnsi="Arial" w:cs="Arial"/>
        </w:rPr>
        <w:t>[30</w:t>
      </w:r>
      <w:r w:rsidR="00571327">
        <w:rPr>
          <w:rFonts w:ascii="Arial" w:hAnsi="Arial" w:cs="Arial"/>
        </w:rPr>
        <w:t>]</w:t>
      </w:r>
      <w:r w:rsidR="00571327">
        <w:rPr>
          <w:rFonts w:ascii="Arial" w:hAnsi="Arial" w:cs="Arial"/>
        </w:rPr>
        <w:tab/>
        <w:t>It would equally be queer for a party, who had initially filed opposition in a labour matter, to be mulcted in costs for reconsidering his or her position</w:t>
      </w:r>
      <w:r w:rsidR="00676FAA">
        <w:rPr>
          <w:rFonts w:ascii="Arial" w:hAnsi="Arial" w:cs="Arial"/>
        </w:rPr>
        <w:t xml:space="preserve"> by subsequently withdrawing the opposition</w:t>
      </w:r>
      <w:r w:rsidR="00571327">
        <w:rPr>
          <w:rFonts w:ascii="Arial" w:hAnsi="Arial" w:cs="Arial"/>
        </w:rPr>
        <w:t>. If Mr. Dicks’ argu</w:t>
      </w:r>
      <w:r w:rsidR="00676FAA">
        <w:rPr>
          <w:rFonts w:ascii="Arial" w:hAnsi="Arial" w:cs="Arial"/>
        </w:rPr>
        <w:t xml:space="preserve">ment </w:t>
      </w:r>
      <w:r w:rsidR="00571327">
        <w:rPr>
          <w:rFonts w:ascii="Arial" w:hAnsi="Arial" w:cs="Arial"/>
        </w:rPr>
        <w:t xml:space="preserve">were to be upheld, it would mean that the respondent would be punished for withdrawing his opposition, but if he had not so withdrawn, </w:t>
      </w:r>
      <w:r w:rsidR="00676FAA">
        <w:rPr>
          <w:rFonts w:ascii="Arial" w:hAnsi="Arial" w:cs="Arial"/>
        </w:rPr>
        <w:t xml:space="preserve">thus prolonging the matter, but subsequently lost the application, </w:t>
      </w:r>
      <w:r w:rsidR="00571327">
        <w:rPr>
          <w:rFonts w:ascii="Arial" w:hAnsi="Arial" w:cs="Arial"/>
        </w:rPr>
        <w:t xml:space="preserve">he would be not considered as one who acted frivolously or vexatiously. That would be </w:t>
      </w:r>
      <w:r w:rsidR="00676FAA">
        <w:rPr>
          <w:rFonts w:ascii="Arial" w:hAnsi="Arial" w:cs="Arial"/>
        </w:rPr>
        <w:t xml:space="preserve">fly in the face of reason and would be </w:t>
      </w:r>
      <w:r w:rsidR="00571327">
        <w:rPr>
          <w:rFonts w:ascii="Arial" w:hAnsi="Arial" w:cs="Arial"/>
        </w:rPr>
        <w:t xml:space="preserve">the high watermark of </w:t>
      </w:r>
      <w:r w:rsidR="00676FAA">
        <w:rPr>
          <w:rFonts w:ascii="Arial" w:hAnsi="Arial" w:cs="Arial"/>
        </w:rPr>
        <w:t xml:space="preserve">unreasonableness in my view. Furthermore, it </w:t>
      </w:r>
      <w:r w:rsidR="00571327">
        <w:rPr>
          <w:rFonts w:ascii="Arial" w:hAnsi="Arial" w:cs="Arial"/>
        </w:rPr>
        <w:t xml:space="preserve">would </w:t>
      </w:r>
      <w:r w:rsidR="00676FAA">
        <w:rPr>
          <w:rFonts w:ascii="Arial" w:hAnsi="Arial" w:cs="Arial"/>
        </w:rPr>
        <w:t xml:space="preserve">serve to </w:t>
      </w:r>
      <w:r w:rsidR="00571327">
        <w:rPr>
          <w:rFonts w:ascii="Arial" w:hAnsi="Arial" w:cs="Arial"/>
        </w:rPr>
        <w:t>defeat the object of the provision in question.</w:t>
      </w:r>
    </w:p>
    <w:p w14:paraId="5C04BD6B" w14:textId="53E04D98" w:rsidR="009A678A" w:rsidRPr="006E057D" w:rsidRDefault="009A678A" w:rsidP="006E057D">
      <w:pPr>
        <w:pStyle w:val="NormalWeb"/>
        <w:spacing w:line="360" w:lineRule="auto"/>
        <w:ind w:right="798"/>
        <w:jc w:val="both"/>
        <w:rPr>
          <w:rFonts w:ascii="Arial" w:hAnsi="Arial" w:cs="Arial"/>
        </w:rPr>
      </w:pPr>
      <w:r>
        <w:rPr>
          <w:rFonts w:ascii="Arial" w:hAnsi="Arial" w:cs="Arial"/>
        </w:rPr>
        <w:t>[31</w:t>
      </w:r>
      <w:r w:rsidR="00571327">
        <w:rPr>
          <w:rFonts w:ascii="Arial" w:hAnsi="Arial" w:cs="Arial"/>
        </w:rPr>
        <w:t>]</w:t>
      </w:r>
      <w:r w:rsidR="00571327">
        <w:rPr>
          <w:rFonts w:ascii="Arial" w:hAnsi="Arial" w:cs="Arial"/>
        </w:rPr>
        <w:tab/>
        <w:t>The legislative solicitudes behind the promulgation of s. 118, must not be allowed to sink into oblivion. Parties should, in that regard, be allowed to pursue matters genuinely and where, as in this case, they receive counsel to the effect that they should not pursue the opposition on preliminary legal skirmishes but rather reserve their time and energy for the matter on the merits, that could hardly be regarded as being frivolous or vexatious. It just means a new course, which saves the applicant time and money has been adopted and this cannot be punished</w:t>
      </w:r>
      <w:r w:rsidR="00676FAA">
        <w:rPr>
          <w:rFonts w:ascii="Arial" w:hAnsi="Arial" w:cs="Arial"/>
        </w:rPr>
        <w:t xml:space="preserve"> by an adverse costs order</w:t>
      </w:r>
      <w:r w:rsidR="00571327">
        <w:rPr>
          <w:rFonts w:ascii="Arial" w:hAnsi="Arial" w:cs="Arial"/>
        </w:rPr>
        <w:t xml:space="preserve"> in the light of the policy reason behind the provision in question</w:t>
      </w:r>
      <w:r w:rsidR="00676FAA">
        <w:rPr>
          <w:rFonts w:ascii="Arial" w:hAnsi="Arial" w:cs="Arial"/>
        </w:rPr>
        <w:t xml:space="preserve"> in labour matters</w:t>
      </w:r>
      <w:r w:rsidR="00571327">
        <w:rPr>
          <w:rFonts w:ascii="Arial" w:hAnsi="Arial" w:cs="Arial"/>
        </w:rPr>
        <w:t>.</w:t>
      </w:r>
    </w:p>
    <w:p w14:paraId="50001ADD" w14:textId="3BBE25FD" w:rsidR="00A14D03" w:rsidRDefault="00571327" w:rsidP="008762DD">
      <w:pPr>
        <w:spacing w:after="0" w:line="360" w:lineRule="auto"/>
        <w:ind w:right="798"/>
        <w:jc w:val="both"/>
        <w:rPr>
          <w:rFonts w:ascii="Arial" w:eastAsia="Calibri" w:hAnsi="Arial" w:cs="Arial"/>
          <w:sz w:val="24"/>
          <w:szCs w:val="24"/>
        </w:rPr>
      </w:pPr>
      <w:r>
        <w:rPr>
          <w:rFonts w:ascii="Arial" w:eastAsia="Calibri" w:hAnsi="Arial" w:cs="Arial"/>
          <w:sz w:val="24"/>
          <w:szCs w:val="24"/>
          <w:u w:val="single"/>
        </w:rPr>
        <w:t>Conclusion</w:t>
      </w:r>
    </w:p>
    <w:p w14:paraId="08C42AF0" w14:textId="77777777" w:rsidR="00571327" w:rsidRDefault="00571327" w:rsidP="008762DD">
      <w:pPr>
        <w:spacing w:after="0" w:line="360" w:lineRule="auto"/>
        <w:ind w:right="798"/>
        <w:jc w:val="both"/>
        <w:rPr>
          <w:rFonts w:ascii="Arial" w:eastAsia="Calibri" w:hAnsi="Arial" w:cs="Arial"/>
          <w:sz w:val="24"/>
          <w:szCs w:val="24"/>
        </w:rPr>
      </w:pPr>
    </w:p>
    <w:p w14:paraId="68AFEC5D" w14:textId="02568111" w:rsidR="00571327" w:rsidRDefault="009A678A" w:rsidP="008762DD">
      <w:pPr>
        <w:spacing w:after="0" w:line="360" w:lineRule="auto"/>
        <w:ind w:right="798"/>
        <w:jc w:val="both"/>
        <w:rPr>
          <w:rFonts w:ascii="Arial" w:eastAsia="Calibri" w:hAnsi="Arial" w:cs="Arial"/>
          <w:sz w:val="24"/>
          <w:szCs w:val="24"/>
        </w:rPr>
      </w:pPr>
      <w:r>
        <w:rPr>
          <w:rFonts w:ascii="Arial" w:eastAsia="Calibri" w:hAnsi="Arial" w:cs="Arial"/>
          <w:sz w:val="24"/>
          <w:szCs w:val="24"/>
        </w:rPr>
        <w:t>[32</w:t>
      </w:r>
      <w:r w:rsidR="00571327">
        <w:rPr>
          <w:rFonts w:ascii="Arial" w:eastAsia="Calibri" w:hAnsi="Arial" w:cs="Arial"/>
          <w:sz w:val="24"/>
          <w:szCs w:val="24"/>
        </w:rPr>
        <w:t>]</w:t>
      </w:r>
      <w:r w:rsidR="00571327">
        <w:rPr>
          <w:rFonts w:ascii="Arial" w:eastAsia="Calibri" w:hAnsi="Arial" w:cs="Arial"/>
          <w:sz w:val="24"/>
          <w:szCs w:val="24"/>
        </w:rPr>
        <w:tab/>
        <w:t xml:space="preserve">In the circumstances, I am of the view that although the applicant may be aggrieved by the initial opposition of the application for review, the fact that the respondent changed his mind and withdrew his opposition does not mean </w:t>
      </w:r>
      <w:r w:rsidR="00571327">
        <w:rPr>
          <w:rFonts w:ascii="Arial" w:eastAsia="Calibri" w:hAnsi="Arial" w:cs="Arial"/>
          <w:sz w:val="24"/>
          <w:szCs w:val="24"/>
        </w:rPr>
        <w:lastRenderedPageBreak/>
        <w:t>that the respondent was frivolous, pursuing what he considered at the time, to be a decision of the ‘court’, as it were, which upheld his own argument.</w:t>
      </w:r>
    </w:p>
    <w:p w14:paraId="082F4EFF" w14:textId="77777777" w:rsidR="00720A46" w:rsidRDefault="00720A46" w:rsidP="00DC32EC">
      <w:pPr>
        <w:spacing w:after="0" w:line="360" w:lineRule="auto"/>
        <w:jc w:val="both"/>
        <w:rPr>
          <w:rFonts w:ascii="Arial" w:eastAsia="Calibri" w:hAnsi="Arial" w:cs="Arial"/>
          <w:sz w:val="24"/>
          <w:szCs w:val="24"/>
        </w:rPr>
      </w:pPr>
    </w:p>
    <w:p w14:paraId="19CF6299" w14:textId="44064C4B" w:rsidR="00571327" w:rsidRPr="00571327" w:rsidRDefault="00571327" w:rsidP="00DC32EC">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Order</w:t>
      </w:r>
    </w:p>
    <w:p w14:paraId="40A9A260" w14:textId="77777777" w:rsidR="00571327" w:rsidRDefault="00571327" w:rsidP="00DC32EC">
      <w:pPr>
        <w:spacing w:after="0" w:line="360" w:lineRule="auto"/>
        <w:jc w:val="both"/>
        <w:rPr>
          <w:rFonts w:ascii="Arial" w:eastAsia="Calibri" w:hAnsi="Arial" w:cs="Arial"/>
          <w:sz w:val="24"/>
          <w:szCs w:val="24"/>
        </w:rPr>
      </w:pPr>
    </w:p>
    <w:p w14:paraId="0093FBE9" w14:textId="08E05514" w:rsidR="00DC0A48" w:rsidRDefault="004012F5" w:rsidP="00DC32EC">
      <w:pPr>
        <w:spacing w:after="0" w:line="360" w:lineRule="auto"/>
        <w:jc w:val="both"/>
        <w:rPr>
          <w:rFonts w:ascii="Arial" w:eastAsia="Calibri" w:hAnsi="Arial" w:cs="Arial"/>
          <w:sz w:val="24"/>
          <w:szCs w:val="24"/>
        </w:rPr>
      </w:pPr>
      <w:r>
        <w:rPr>
          <w:rFonts w:ascii="Arial" w:eastAsia="Calibri" w:hAnsi="Arial" w:cs="Arial"/>
          <w:sz w:val="24"/>
          <w:szCs w:val="24"/>
        </w:rPr>
        <w:t>[</w:t>
      </w:r>
      <w:r w:rsidR="009A678A">
        <w:rPr>
          <w:rFonts w:ascii="Arial" w:eastAsia="Calibri" w:hAnsi="Arial" w:cs="Arial"/>
          <w:sz w:val="24"/>
          <w:szCs w:val="24"/>
        </w:rPr>
        <w:t>33]</w:t>
      </w:r>
      <w:r w:rsidR="009A678A">
        <w:rPr>
          <w:rFonts w:ascii="Arial" w:eastAsia="Calibri" w:hAnsi="Arial" w:cs="Arial"/>
          <w:sz w:val="24"/>
          <w:szCs w:val="24"/>
        </w:rPr>
        <w:tab/>
      </w:r>
      <w:r>
        <w:rPr>
          <w:rFonts w:ascii="Arial" w:eastAsia="Calibri" w:hAnsi="Arial" w:cs="Arial"/>
          <w:sz w:val="24"/>
          <w:szCs w:val="24"/>
        </w:rPr>
        <w:t xml:space="preserve">As a result I order </w:t>
      </w:r>
      <w:r w:rsidR="00DC0A48">
        <w:rPr>
          <w:rFonts w:ascii="Arial" w:eastAsia="Calibri" w:hAnsi="Arial" w:cs="Arial"/>
          <w:sz w:val="24"/>
          <w:szCs w:val="24"/>
        </w:rPr>
        <w:t>as follows:</w:t>
      </w:r>
    </w:p>
    <w:p w14:paraId="0739C577" w14:textId="77777777" w:rsidR="00DC0A48" w:rsidRDefault="00DC0A48" w:rsidP="00DC0A48">
      <w:pPr>
        <w:spacing w:line="360" w:lineRule="auto"/>
        <w:jc w:val="both"/>
        <w:rPr>
          <w:rFonts w:ascii="Arial" w:hAnsi="Arial" w:cs="Arial"/>
        </w:rPr>
      </w:pPr>
    </w:p>
    <w:p w14:paraId="385D82F2" w14:textId="01EEFD60" w:rsidR="00DC0A48" w:rsidRPr="000B045F" w:rsidRDefault="00DC0A48" w:rsidP="000B045F">
      <w:pPr>
        <w:pStyle w:val="ListParagraph"/>
        <w:numPr>
          <w:ilvl w:val="0"/>
          <w:numId w:val="8"/>
        </w:numPr>
        <w:spacing w:after="0" w:line="360" w:lineRule="auto"/>
        <w:jc w:val="both"/>
        <w:rPr>
          <w:rFonts w:ascii="Arial" w:hAnsi="Arial" w:cs="Arial"/>
          <w:sz w:val="24"/>
          <w:szCs w:val="24"/>
        </w:rPr>
      </w:pPr>
      <w:r w:rsidRPr="000B045F">
        <w:rPr>
          <w:rFonts w:ascii="Arial" w:hAnsi="Arial" w:cs="Arial"/>
          <w:sz w:val="24"/>
          <w:szCs w:val="24"/>
        </w:rPr>
        <w:t>The application for review succeeds</w:t>
      </w:r>
      <w:r w:rsidR="00571327" w:rsidRPr="000B045F">
        <w:rPr>
          <w:rFonts w:ascii="Arial" w:hAnsi="Arial" w:cs="Arial"/>
          <w:sz w:val="24"/>
          <w:szCs w:val="24"/>
        </w:rPr>
        <w:t>.</w:t>
      </w:r>
    </w:p>
    <w:p w14:paraId="2BCBA7E2" w14:textId="146B1A99" w:rsidR="0039424F" w:rsidRDefault="00DC0A48" w:rsidP="000B045F">
      <w:pPr>
        <w:pStyle w:val="ListParagraph"/>
        <w:numPr>
          <w:ilvl w:val="0"/>
          <w:numId w:val="8"/>
        </w:numPr>
        <w:spacing w:after="0" w:line="360" w:lineRule="auto"/>
        <w:jc w:val="both"/>
        <w:rPr>
          <w:rFonts w:ascii="Arial" w:hAnsi="Arial" w:cs="Arial"/>
          <w:sz w:val="24"/>
          <w:szCs w:val="24"/>
        </w:rPr>
      </w:pPr>
      <w:r w:rsidRPr="0039424F">
        <w:rPr>
          <w:rFonts w:ascii="Arial" w:hAnsi="Arial" w:cs="Arial"/>
          <w:sz w:val="24"/>
          <w:szCs w:val="24"/>
        </w:rPr>
        <w:t>The</w:t>
      </w:r>
      <w:r w:rsidR="00A14D03">
        <w:rPr>
          <w:rFonts w:ascii="Arial" w:hAnsi="Arial" w:cs="Arial"/>
          <w:sz w:val="24"/>
          <w:szCs w:val="24"/>
        </w:rPr>
        <w:t>re is no order as to costs.</w:t>
      </w:r>
      <w:r w:rsidRPr="0039424F">
        <w:rPr>
          <w:rFonts w:ascii="Arial" w:hAnsi="Arial" w:cs="Arial"/>
          <w:sz w:val="24"/>
          <w:szCs w:val="24"/>
        </w:rPr>
        <w:t xml:space="preserve">  </w:t>
      </w:r>
    </w:p>
    <w:p w14:paraId="710F0DCF" w14:textId="1DD01A5F" w:rsidR="00571327" w:rsidRPr="0039424F" w:rsidRDefault="00571327" w:rsidP="000B045F">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respondent’s legal practitioner is ordered to file an affidavit explaining her failure to attend the hearing scheduled on 16 August before this court</w:t>
      </w:r>
      <w:r w:rsidR="00676FAA">
        <w:rPr>
          <w:rFonts w:ascii="Arial" w:hAnsi="Arial" w:cs="Arial"/>
          <w:sz w:val="24"/>
          <w:szCs w:val="24"/>
        </w:rPr>
        <w:t xml:space="preserve"> by 20 January 2018</w:t>
      </w:r>
      <w:r>
        <w:rPr>
          <w:rFonts w:ascii="Arial" w:hAnsi="Arial" w:cs="Arial"/>
          <w:sz w:val="24"/>
          <w:szCs w:val="24"/>
        </w:rPr>
        <w:t>.</w:t>
      </w:r>
    </w:p>
    <w:p w14:paraId="6AFCB926" w14:textId="16627A48" w:rsidR="00DC0A48" w:rsidRPr="0039424F" w:rsidRDefault="009A678A" w:rsidP="000B045F">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matter is postponed to 31 January 2019, at 08:30, to determine if the reasons proffered by the respondent’s legal practitioner for the non-appearance ought to be condoned</w:t>
      </w:r>
      <w:r w:rsidR="00DC0A48" w:rsidRPr="0039424F">
        <w:rPr>
          <w:rFonts w:ascii="Arial" w:hAnsi="Arial" w:cs="Arial"/>
          <w:sz w:val="24"/>
          <w:szCs w:val="24"/>
        </w:rPr>
        <w:t>.</w:t>
      </w:r>
    </w:p>
    <w:p w14:paraId="7C57C43D" w14:textId="7E97CEB3" w:rsidR="00DC0A48" w:rsidRDefault="00DC0A48" w:rsidP="00DC0A48">
      <w:pPr>
        <w:spacing w:line="360" w:lineRule="auto"/>
        <w:jc w:val="both"/>
        <w:rPr>
          <w:rFonts w:ascii="Arial" w:hAnsi="Arial" w:cs="Arial"/>
        </w:rPr>
      </w:pPr>
    </w:p>
    <w:p w14:paraId="52C56B54" w14:textId="77777777" w:rsidR="00243EA8" w:rsidRDefault="00243EA8" w:rsidP="00DC0A48">
      <w:pPr>
        <w:spacing w:line="360" w:lineRule="auto"/>
        <w:jc w:val="both"/>
        <w:rPr>
          <w:rFonts w:ascii="Arial" w:hAnsi="Arial" w:cs="Arial"/>
        </w:rPr>
      </w:pPr>
    </w:p>
    <w:p w14:paraId="691DB0D0" w14:textId="77777777" w:rsidR="0002372C" w:rsidRPr="0002372C" w:rsidRDefault="0002372C" w:rsidP="0002372C">
      <w:pPr>
        <w:spacing w:line="360" w:lineRule="auto"/>
        <w:jc w:val="right"/>
        <w:rPr>
          <w:rFonts w:ascii="Arial" w:hAnsi="Arial" w:cs="Arial"/>
          <w:sz w:val="24"/>
          <w:szCs w:val="24"/>
        </w:rPr>
      </w:pPr>
      <w:r w:rsidRPr="0002372C">
        <w:rPr>
          <w:rFonts w:ascii="Arial" w:hAnsi="Arial" w:cs="Arial"/>
          <w:sz w:val="24"/>
          <w:szCs w:val="24"/>
        </w:rPr>
        <w:t>___________</w:t>
      </w:r>
    </w:p>
    <w:p w14:paraId="33150B22" w14:textId="77777777" w:rsidR="0002372C" w:rsidRPr="0002372C" w:rsidRDefault="0002372C" w:rsidP="0002372C">
      <w:pPr>
        <w:pStyle w:val="ListParagraph"/>
        <w:spacing w:line="360" w:lineRule="auto"/>
        <w:ind w:left="3600"/>
        <w:jc w:val="right"/>
        <w:rPr>
          <w:rFonts w:ascii="Arial" w:hAnsi="Arial" w:cs="Arial"/>
          <w:sz w:val="24"/>
          <w:szCs w:val="24"/>
        </w:rPr>
      </w:pPr>
      <w:r w:rsidRPr="0002372C">
        <w:rPr>
          <w:rFonts w:ascii="Arial" w:hAnsi="Arial" w:cs="Arial"/>
          <w:sz w:val="24"/>
          <w:szCs w:val="24"/>
        </w:rPr>
        <w:t>T.S. Masuku</w:t>
      </w:r>
    </w:p>
    <w:p w14:paraId="4958DC96" w14:textId="77777777" w:rsidR="0002372C" w:rsidRPr="0002372C" w:rsidRDefault="0002372C" w:rsidP="0002372C">
      <w:pPr>
        <w:pStyle w:val="ListParagraph"/>
        <w:tabs>
          <w:tab w:val="right" w:pos="9356"/>
        </w:tabs>
        <w:spacing w:line="360" w:lineRule="auto"/>
        <w:ind w:left="6480" w:firstLine="720"/>
        <w:jc w:val="right"/>
        <w:rPr>
          <w:rFonts w:ascii="Arial" w:hAnsi="Arial" w:cs="Arial"/>
          <w:sz w:val="24"/>
          <w:szCs w:val="24"/>
        </w:rPr>
      </w:pPr>
      <w:r w:rsidRPr="0002372C">
        <w:rPr>
          <w:rFonts w:ascii="Arial" w:hAnsi="Arial" w:cs="Arial"/>
          <w:sz w:val="24"/>
          <w:szCs w:val="24"/>
        </w:rPr>
        <w:t>Judge</w:t>
      </w:r>
    </w:p>
    <w:p w14:paraId="29231D4F" w14:textId="2D95194E" w:rsidR="0002372C" w:rsidRDefault="0002372C">
      <w:pPr>
        <w:spacing w:after="0" w:line="240" w:lineRule="auto"/>
        <w:rPr>
          <w:rFonts w:ascii="Arial" w:hAnsi="Arial" w:cs="Arial"/>
          <w:sz w:val="24"/>
          <w:szCs w:val="24"/>
        </w:rPr>
      </w:pPr>
      <w:r>
        <w:rPr>
          <w:rFonts w:ascii="Arial" w:hAnsi="Arial" w:cs="Arial"/>
          <w:sz w:val="24"/>
          <w:szCs w:val="24"/>
        </w:rPr>
        <w:br w:type="page"/>
      </w:r>
    </w:p>
    <w:p w14:paraId="6FD62FEF" w14:textId="44658312" w:rsidR="00AF2EA1" w:rsidRPr="000B045F" w:rsidRDefault="00B16C82" w:rsidP="000B045F">
      <w:pPr>
        <w:spacing w:line="360" w:lineRule="auto"/>
        <w:jc w:val="both"/>
        <w:rPr>
          <w:rFonts w:ascii="Arial" w:hAnsi="Arial" w:cs="Arial"/>
        </w:rPr>
      </w:pPr>
      <w:r>
        <w:rPr>
          <w:rFonts w:ascii="Arial" w:hAnsi="Arial" w:cs="Arial"/>
        </w:rPr>
        <w:lastRenderedPageBreak/>
        <w:t>APPEARANCES</w:t>
      </w:r>
    </w:p>
    <w:p w14:paraId="3A746076" w14:textId="274A5B8C" w:rsidR="00AF2EA1" w:rsidRDefault="000B045F" w:rsidP="00DC32EC">
      <w:pPr>
        <w:spacing w:after="0" w:line="360" w:lineRule="auto"/>
        <w:jc w:val="both"/>
        <w:rPr>
          <w:rFonts w:ascii="Arial" w:eastAsia="Calibri" w:hAnsi="Arial" w:cs="Arial"/>
          <w:sz w:val="24"/>
          <w:szCs w:val="24"/>
        </w:rPr>
      </w:pPr>
      <w:r>
        <w:rPr>
          <w:rFonts w:ascii="Arial" w:eastAsia="Calibri" w:hAnsi="Arial" w:cs="Arial"/>
          <w:sz w:val="24"/>
          <w:szCs w:val="24"/>
        </w:rPr>
        <w:t xml:space="preserve">APPLICANT: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M.</w:t>
      </w:r>
      <w:r w:rsidR="006B45FB">
        <w:rPr>
          <w:rFonts w:ascii="Arial" w:eastAsia="Calibri" w:hAnsi="Arial" w:cs="Arial"/>
          <w:sz w:val="24"/>
          <w:szCs w:val="24"/>
        </w:rPr>
        <w:t xml:space="preserve"> G</w:t>
      </w:r>
      <w:r>
        <w:rPr>
          <w:rFonts w:ascii="Arial" w:eastAsia="Calibri" w:hAnsi="Arial" w:cs="Arial"/>
          <w:sz w:val="24"/>
          <w:szCs w:val="24"/>
        </w:rPr>
        <w:t>.</w:t>
      </w:r>
      <w:r w:rsidR="006B45FB">
        <w:rPr>
          <w:rFonts w:ascii="Arial" w:eastAsia="Calibri" w:hAnsi="Arial" w:cs="Arial"/>
          <w:sz w:val="24"/>
          <w:szCs w:val="24"/>
        </w:rPr>
        <w:t xml:space="preserve"> D</w:t>
      </w:r>
      <w:r>
        <w:rPr>
          <w:rFonts w:ascii="Arial" w:eastAsia="Calibri" w:hAnsi="Arial" w:cs="Arial"/>
          <w:sz w:val="24"/>
          <w:szCs w:val="24"/>
        </w:rPr>
        <w:t>icks</w:t>
      </w:r>
    </w:p>
    <w:p w14:paraId="3ED6B29E" w14:textId="58D61816" w:rsidR="006B45FB" w:rsidRDefault="000B045F" w:rsidP="00DC32EC">
      <w:pPr>
        <w:spacing w:after="0" w:line="360" w:lineRule="auto"/>
        <w:jc w:val="both"/>
        <w:rPr>
          <w:rFonts w:ascii="Arial" w:eastAsia="Calibri" w:hAnsi="Arial" w:cs="Arial"/>
          <w:sz w:val="24"/>
          <w:szCs w:val="24"/>
        </w:rPr>
      </w:pPr>
      <w:r>
        <w:rPr>
          <w:rFonts w:ascii="Arial" w:eastAsia="Calibri" w:hAnsi="Arial" w:cs="Arial"/>
          <w:sz w:val="24"/>
          <w:szCs w:val="24"/>
        </w:rPr>
        <w:t>Instructed</w:t>
      </w:r>
      <w:r w:rsidR="00215DE9">
        <w:rPr>
          <w:rFonts w:ascii="Arial" w:eastAsia="Calibri" w:hAnsi="Arial" w:cs="Arial"/>
          <w:sz w:val="24"/>
          <w:szCs w:val="24"/>
        </w:rPr>
        <w:t>:</w:t>
      </w:r>
      <w:r w:rsidR="00215DE9">
        <w:rPr>
          <w:rFonts w:ascii="Arial" w:eastAsia="Calibri" w:hAnsi="Arial" w:cs="Arial"/>
          <w:sz w:val="24"/>
          <w:szCs w:val="24"/>
        </w:rPr>
        <w:tab/>
      </w:r>
      <w:r w:rsidR="00215DE9">
        <w:rPr>
          <w:rFonts w:ascii="Arial" w:eastAsia="Calibri" w:hAnsi="Arial" w:cs="Arial"/>
          <w:sz w:val="24"/>
          <w:szCs w:val="24"/>
        </w:rPr>
        <w:tab/>
      </w:r>
      <w:r w:rsidR="00215DE9">
        <w:rPr>
          <w:rFonts w:ascii="Arial" w:eastAsia="Calibri" w:hAnsi="Arial" w:cs="Arial"/>
          <w:sz w:val="24"/>
          <w:szCs w:val="24"/>
        </w:rPr>
        <w:tab/>
      </w:r>
      <w:r w:rsidR="00215DE9">
        <w:rPr>
          <w:rFonts w:ascii="Arial" w:eastAsia="Calibri" w:hAnsi="Arial" w:cs="Arial"/>
          <w:sz w:val="24"/>
          <w:szCs w:val="24"/>
        </w:rPr>
        <w:tab/>
      </w:r>
      <w:r w:rsidR="007B05C7">
        <w:rPr>
          <w:rFonts w:ascii="Arial" w:eastAsia="Calibri" w:hAnsi="Arial" w:cs="Arial"/>
          <w:sz w:val="24"/>
          <w:szCs w:val="24"/>
        </w:rPr>
        <w:t>Ko</w:t>
      </w:r>
      <w:r w:rsidR="0039424F">
        <w:rPr>
          <w:rFonts w:ascii="Arial" w:eastAsia="Calibri" w:hAnsi="Arial" w:cs="Arial"/>
          <w:sz w:val="24"/>
          <w:szCs w:val="24"/>
        </w:rPr>
        <w:t>pplinger Boltman</w:t>
      </w:r>
    </w:p>
    <w:p w14:paraId="4DDC5690" w14:textId="77777777" w:rsidR="00215DE9" w:rsidRDefault="00215DE9" w:rsidP="00DC32EC">
      <w:pPr>
        <w:spacing w:after="0" w:line="360" w:lineRule="auto"/>
        <w:jc w:val="both"/>
        <w:rPr>
          <w:rFonts w:ascii="Arial" w:eastAsia="Calibri" w:hAnsi="Arial" w:cs="Arial"/>
          <w:sz w:val="24"/>
          <w:szCs w:val="24"/>
        </w:rPr>
      </w:pPr>
    </w:p>
    <w:p w14:paraId="57F4FFCF" w14:textId="638BAFB7" w:rsidR="0039424F" w:rsidRDefault="0039424F" w:rsidP="00DC32EC">
      <w:pPr>
        <w:spacing w:after="0" w:line="360" w:lineRule="auto"/>
        <w:jc w:val="both"/>
        <w:rPr>
          <w:rFonts w:ascii="Arial" w:eastAsia="Calibri" w:hAnsi="Arial" w:cs="Arial"/>
          <w:sz w:val="24"/>
          <w:szCs w:val="24"/>
        </w:rPr>
      </w:pPr>
      <w:r>
        <w:rPr>
          <w:rFonts w:ascii="Arial" w:eastAsia="Calibri" w:hAnsi="Arial" w:cs="Arial"/>
          <w:sz w:val="24"/>
          <w:szCs w:val="24"/>
        </w:rPr>
        <w:t xml:space="preserve">FIRST RESPODENT:                </w:t>
      </w:r>
      <w:r>
        <w:rPr>
          <w:rFonts w:ascii="Arial" w:eastAsia="Calibri" w:hAnsi="Arial" w:cs="Arial"/>
          <w:sz w:val="24"/>
          <w:szCs w:val="24"/>
        </w:rPr>
        <w:tab/>
        <w:t>No appearance</w:t>
      </w:r>
    </w:p>
    <w:p w14:paraId="7526FDA0" w14:textId="75409FE1" w:rsidR="006B45FB" w:rsidRDefault="006B45FB" w:rsidP="00DC32EC">
      <w:pPr>
        <w:spacing w:after="0" w:line="360" w:lineRule="auto"/>
        <w:jc w:val="both"/>
        <w:rPr>
          <w:rFonts w:ascii="Arial" w:eastAsia="Calibri" w:hAnsi="Arial" w:cs="Arial"/>
          <w:sz w:val="24"/>
          <w:szCs w:val="24"/>
        </w:rPr>
      </w:pPr>
    </w:p>
    <w:p w14:paraId="4B427B3D" w14:textId="507EC0C8" w:rsidR="00B16C82" w:rsidRDefault="00B16C82" w:rsidP="00DC32EC">
      <w:pPr>
        <w:spacing w:after="0" w:line="360" w:lineRule="auto"/>
        <w:jc w:val="both"/>
        <w:rPr>
          <w:rFonts w:ascii="Arial" w:eastAsia="Calibri" w:hAnsi="Arial" w:cs="Arial"/>
          <w:sz w:val="24"/>
          <w:szCs w:val="24"/>
        </w:rPr>
      </w:pPr>
    </w:p>
    <w:p w14:paraId="29B68888" w14:textId="5AA09502" w:rsidR="00B16C82" w:rsidRDefault="00B16C82" w:rsidP="00DC32EC">
      <w:pPr>
        <w:spacing w:after="0" w:line="360" w:lineRule="auto"/>
        <w:jc w:val="both"/>
        <w:rPr>
          <w:rFonts w:ascii="Arial" w:eastAsia="Calibri" w:hAnsi="Arial" w:cs="Arial"/>
          <w:sz w:val="24"/>
          <w:szCs w:val="24"/>
        </w:rPr>
      </w:pPr>
    </w:p>
    <w:p w14:paraId="5D815221" w14:textId="77777777" w:rsidR="00B16C82" w:rsidRPr="00DC32EC" w:rsidRDefault="00B16C82" w:rsidP="00DC32EC">
      <w:pPr>
        <w:spacing w:after="0" w:line="360" w:lineRule="auto"/>
        <w:jc w:val="both"/>
        <w:rPr>
          <w:rFonts w:ascii="Arial" w:eastAsia="Calibri" w:hAnsi="Arial" w:cs="Arial"/>
          <w:sz w:val="24"/>
          <w:szCs w:val="24"/>
        </w:rPr>
      </w:pPr>
    </w:p>
    <w:sectPr w:rsidR="00B16C82" w:rsidRPr="00DC32EC" w:rsidSect="0002372C">
      <w:headerReference w:type="even" r:id="rId9"/>
      <w:headerReference w:type="default" r:id="rId10"/>
      <w:pgSz w:w="11900" w:h="16840"/>
      <w:pgMar w:top="567" w:right="1440" w:bottom="1440" w:left="144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B6965" w16cid:durableId="1F65A3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2B808" w14:textId="77777777" w:rsidR="00A74EC5" w:rsidRDefault="00A74EC5" w:rsidP="005261F4">
      <w:pPr>
        <w:spacing w:after="0" w:line="240" w:lineRule="auto"/>
      </w:pPr>
      <w:r>
        <w:separator/>
      </w:r>
    </w:p>
  </w:endnote>
  <w:endnote w:type="continuationSeparator" w:id="0">
    <w:p w14:paraId="7BAC8B94" w14:textId="77777777" w:rsidR="00A74EC5" w:rsidRDefault="00A74EC5" w:rsidP="0052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87D9" w14:textId="77777777" w:rsidR="00A74EC5" w:rsidRDefault="00A74EC5" w:rsidP="005261F4">
      <w:pPr>
        <w:spacing w:after="0" w:line="240" w:lineRule="auto"/>
      </w:pPr>
      <w:r>
        <w:separator/>
      </w:r>
    </w:p>
  </w:footnote>
  <w:footnote w:type="continuationSeparator" w:id="0">
    <w:p w14:paraId="2FFDC87B" w14:textId="77777777" w:rsidR="00A74EC5" w:rsidRDefault="00A74EC5" w:rsidP="005261F4">
      <w:pPr>
        <w:spacing w:after="0" w:line="240" w:lineRule="auto"/>
      </w:pPr>
      <w:r>
        <w:continuationSeparator/>
      </w:r>
    </w:p>
  </w:footnote>
  <w:footnote w:id="1">
    <w:p w14:paraId="59D898B1" w14:textId="07E5BF56" w:rsidR="00571327" w:rsidRPr="00CE11A4" w:rsidRDefault="00571327">
      <w:pPr>
        <w:pStyle w:val="FootnoteText"/>
        <w:rPr>
          <w:rFonts w:ascii="Arial" w:hAnsi="Arial" w:cs="Arial"/>
          <w:sz w:val="20"/>
          <w:szCs w:val="20"/>
          <w:lang w:val="en-US"/>
        </w:rPr>
      </w:pPr>
      <w:r>
        <w:rPr>
          <w:rStyle w:val="FootnoteReference"/>
        </w:rPr>
        <w:footnoteRef/>
      </w:r>
      <w:r>
        <w:t xml:space="preserve"> </w:t>
      </w:r>
      <w:r w:rsidRPr="00CE11A4">
        <w:rPr>
          <w:rFonts w:ascii="Arial" w:hAnsi="Arial" w:cs="Arial"/>
          <w:sz w:val="20"/>
          <w:szCs w:val="20"/>
          <w:lang w:val="en-US"/>
        </w:rPr>
        <w:t>Labour Court Rules</w:t>
      </w:r>
      <w:r>
        <w:rPr>
          <w:rFonts w:ascii="Arial" w:hAnsi="Arial" w:cs="Arial"/>
          <w:sz w:val="20"/>
          <w:szCs w:val="20"/>
          <w:lang w:val="en-US"/>
        </w:rPr>
        <w:t xml:space="preserve"> (14)</w:t>
      </w:r>
    </w:p>
  </w:footnote>
  <w:footnote w:id="2">
    <w:p w14:paraId="67161ECF" w14:textId="0FA33100" w:rsidR="00571327" w:rsidRPr="000234C5" w:rsidRDefault="00571327">
      <w:pPr>
        <w:pStyle w:val="FootnoteText"/>
        <w:rPr>
          <w:lang w:val="en-US"/>
        </w:rPr>
      </w:pPr>
      <w:r>
        <w:rPr>
          <w:rStyle w:val="FootnoteReference"/>
        </w:rPr>
        <w:footnoteRef/>
      </w:r>
      <w:r>
        <w:t xml:space="preserve"> </w:t>
      </w:r>
      <w:r>
        <w:rPr>
          <w:lang w:val="en-US"/>
        </w:rPr>
        <w:t>Act no. 112 of 1978.</w:t>
      </w:r>
    </w:p>
  </w:footnote>
  <w:footnote w:id="3">
    <w:p w14:paraId="16717AE2" w14:textId="35635FCA" w:rsidR="00571327" w:rsidRPr="00DD0920" w:rsidRDefault="00571327">
      <w:pPr>
        <w:pStyle w:val="FootnoteText"/>
        <w:rPr>
          <w:lang w:val="en-US"/>
        </w:rPr>
      </w:pPr>
    </w:p>
  </w:footnote>
  <w:footnote w:id="4">
    <w:p w14:paraId="3F59D1E4" w14:textId="5F91CF32" w:rsidR="00571327" w:rsidRPr="00584EFF" w:rsidRDefault="00571327">
      <w:pPr>
        <w:pStyle w:val="FootnoteText"/>
        <w:rPr>
          <w:lang w:val="en-US"/>
        </w:rPr>
      </w:pPr>
      <w:r>
        <w:rPr>
          <w:rStyle w:val="FootnoteReference"/>
        </w:rPr>
        <w:footnoteRef/>
      </w:r>
      <w:r>
        <w:t xml:space="preserve"> </w:t>
      </w:r>
      <w:r>
        <w:rPr>
          <w:lang w:val="en-US"/>
        </w:rPr>
        <w:t>Labour Act 11 of 2007</w:t>
      </w:r>
    </w:p>
  </w:footnote>
  <w:footnote w:id="5">
    <w:p w14:paraId="7F2120B4" w14:textId="6499840D" w:rsidR="00571327" w:rsidRPr="0039424F" w:rsidRDefault="00571327">
      <w:pPr>
        <w:pStyle w:val="FootnoteText"/>
        <w:rPr>
          <w:sz w:val="20"/>
          <w:szCs w:val="20"/>
          <w:lang w:val="en-US"/>
        </w:rPr>
      </w:pPr>
      <w:r>
        <w:rPr>
          <w:rStyle w:val="FootnoteReference"/>
        </w:rPr>
        <w:footnoteRef/>
      </w:r>
      <w:r>
        <w:t xml:space="preserve"> </w:t>
      </w:r>
      <w:r w:rsidRPr="00993778">
        <w:rPr>
          <w:rFonts w:ascii="Arial" w:eastAsia="Calibri" w:hAnsi="Arial" w:cs="Arial"/>
          <w:i/>
          <w:sz w:val="20"/>
          <w:szCs w:val="20"/>
        </w:rPr>
        <w:t>Onesmus vs Namibia Farm Workers Union</w:t>
      </w:r>
      <w:r w:rsidRPr="0039424F">
        <w:rPr>
          <w:rFonts w:ascii="Arial" w:eastAsia="Calibri" w:hAnsi="Arial" w:cs="Arial"/>
          <w:sz w:val="20"/>
          <w:szCs w:val="20"/>
        </w:rPr>
        <w:t xml:space="preserve"> (LC 3/2013) [2018] NALCMD 17,</w:t>
      </w:r>
    </w:p>
  </w:footnote>
  <w:footnote w:id="6">
    <w:p w14:paraId="0A93E397" w14:textId="77777777" w:rsidR="00571327" w:rsidRPr="0021151D" w:rsidRDefault="00571327" w:rsidP="005261F4">
      <w:pPr>
        <w:pStyle w:val="FootnoteText"/>
        <w:jc w:val="both"/>
        <w:rPr>
          <w:rFonts w:ascii="Arial" w:hAnsi="Arial" w:cs="Arial"/>
          <w:sz w:val="20"/>
          <w:szCs w:val="20"/>
          <w:lang w:val="en-US"/>
        </w:rPr>
      </w:pPr>
      <w:r w:rsidRPr="0039424F">
        <w:rPr>
          <w:rStyle w:val="FootnoteReference"/>
          <w:rFonts w:ascii="Arial" w:hAnsi="Arial" w:cs="Arial"/>
          <w:sz w:val="20"/>
          <w:szCs w:val="20"/>
        </w:rPr>
        <w:footnoteRef/>
      </w:r>
      <w:r w:rsidRPr="0039424F">
        <w:rPr>
          <w:rFonts w:ascii="Arial" w:hAnsi="Arial" w:cs="Arial"/>
          <w:sz w:val="20"/>
          <w:szCs w:val="20"/>
        </w:rPr>
        <w:t xml:space="preserve"> </w:t>
      </w:r>
      <w:r w:rsidRPr="0039424F">
        <w:rPr>
          <w:rFonts w:ascii="Arial" w:hAnsi="Arial" w:cs="Arial"/>
          <w:sz w:val="20"/>
          <w:szCs w:val="20"/>
          <w:lang w:val="en-US"/>
        </w:rPr>
        <w:t>1979 (3) SA 1331 (W).</w:t>
      </w:r>
    </w:p>
  </w:footnote>
  <w:footnote w:id="7">
    <w:p w14:paraId="668ED512" w14:textId="6C77F632" w:rsidR="00571327" w:rsidRPr="0021151D" w:rsidRDefault="00571327" w:rsidP="005261F4">
      <w:pPr>
        <w:pStyle w:val="FootnoteText"/>
        <w:jc w:val="both"/>
        <w:rPr>
          <w:rFonts w:ascii="Arial" w:hAnsi="Arial" w:cs="Arial"/>
          <w:sz w:val="20"/>
          <w:szCs w:val="20"/>
          <w:lang w:val="en-US"/>
        </w:rPr>
      </w:pPr>
      <w:r w:rsidRPr="0021151D">
        <w:rPr>
          <w:rStyle w:val="FootnoteReference"/>
          <w:rFonts w:ascii="Arial" w:hAnsi="Arial" w:cs="Arial"/>
          <w:sz w:val="20"/>
          <w:szCs w:val="20"/>
        </w:rPr>
        <w:footnoteRef/>
      </w:r>
      <w:r w:rsidRPr="0021151D">
        <w:rPr>
          <w:rFonts w:ascii="Arial" w:hAnsi="Arial" w:cs="Arial"/>
          <w:sz w:val="20"/>
          <w:szCs w:val="20"/>
        </w:rPr>
        <w:t xml:space="preserve"> </w:t>
      </w:r>
      <w:r w:rsidRPr="0021151D">
        <w:rPr>
          <w:rFonts w:ascii="Arial" w:hAnsi="Arial" w:cs="Arial"/>
          <w:sz w:val="20"/>
          <w:szCs w:val="20"/>
          <w:lang w:val="en-US"/>
        </w:rPr>
        <w:t>SA 14/2018 (SC) delivered on 2 July 2018, at paras [12] and [13].</w:t>
      </w:r>
      <w:r>
        <w:rPr>
          <w:rFonts w:ascii="Arial" w:hAnsi="Arial" w:cs="Arial"/>
          <w:sz w:val="20"/>
          <w:szCs w:val="20"/>
          <w:lang w:val="en-US"/>
        </w:rPr>
        <w:t xml:space="preserve"> 2009 (1) Nr 82 LC p 88</w:t>
      </w:r>
    </w:p>
  </w:footnote>
  <w:footnote w:id="8">
    <w:p w14:paraId="6932E14E" w14:textId="2776BCED" w:rsidR="00571327" w:rsidRPr="00CC20D5" w:rsidRDefault="00571327">
      <w:pPr>
        <w:pStyle w:val="FootnoteText"/>
        <w:rPr>
          <w:lang w:val="en-US"/>
        </w:rPr>
      </w:pPr>
      <w:r>
        <w:rPr>
          <w:rStyle w:val="FootnoteReference"/>
        </w:rPr>
        <w:footnoteRef/>
      </w:r>
      <w:r>
        <w:t xml:space="preserve"> </w:t>
      </w:r>
      <w:r>
        <w:rPr>
          <w:lang w:val="en-US"/>
        </w:rPr>
        <w:t>2009 (1) NR 82 LC, p 88</w:t>
      </w:r>
    </w:p>
  </w:footnote>
  <w:footnote w:id="9">
    <w:p w14:paraId="0913FBF0" w14:textId="54C8D5DD" w:rsidR="00571327" w:rsidRPr="00D52C92" w:rsidRDefault="00571327">
      <w:pPr>
        <w:pStyle w:val="FootnoteText"/>
        <w:rPr>
          <w:rFonts w:ascii="Arial" w:hAnsi="Arial" w:cs="Arial"/>
          <w:sz w:val="20"/>
          <w:szCs w:val="20"/>
          <w:lang w:val="en-US"/>
        </w:rPr>
      </w:pPr>
      <w:r>
        <w:rPr>
          <w:rStyle w:val="FootnoteReference"/>
        </w:rPr>
        <w:footnoteRef/>
      </w:r>
      <w:r>
        <w:t xml:space="preserve"> </w:t>
      </w:r>
      <w:r w:rsidRPr="00D52C92">
        <w:rPr>
          <w:rFonts w:ascii="Arial" w:hAnsi="Arial" w:cs="Arial"/>
          <w:sz w:val="20"/>
          <w:szCs w:val="20"/>
          <w:lang w:val="en-US"/>
        </w:rPr>
        <w:t>2007 (2) NR 467 (HC) 468-469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8244664"/>
      <w:docPartObj>
        <w:docPartGallery w:val="Page Numbers (Top of Page)"/>
        <w:docPartUnique/>
      </w:docPartObj>
    </w:sdtPr>
    <w:sdtEndPr>
      <w:rPr>
        <w:rStyle w:val="PageNumber"/>
      </w:rPr>
    </w:sdtEndPr>
    <w:sdtContent>
      <w:p w14:paraId="1F6D17B1" w14:textId="2C7C5134" w:rsidR="00571327" w:rsidRDefault="00571327" w:rsidP="00CE11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FCECA" w14:textId="77777777" w:rsidR="00571327" w:rsidRDefault="00571327" w:rsidP="00394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4404566"/>
      <w:docPartObj>
        <w:docPartGallery w:val="Page Numbers (Top of Page)"/>
        <w:docPartUnique/>
      </w:docPartObj>
    </w:sdtPr>
    <w:sdtEndPr>
      <w:rPr>
        <w:rStyle w:val="PageNumber"/>
      </w:rPr>
    </w:sdtEndPr>
    <w:sdtContent>
      <w:p w14:paraId="7AF19393" w14:textId="551C71F3" w:rsidR="00571327" w:rsidRDefault="00571327" w:rsidP="00491D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173A">
          <w:rPr>
            <w:rStyle w:val="PageNumber"/>
            <w:noProof/>
          </w:rPr>
          <w:t>13</w:t>
        </w:r>
        <w:r>
          <w:rPr>
            <w:rStyle w:val="PageNumber"/>
          </w:rPr>
          <w:fldChar w:fldCharType="end"/>
        </w:r>
      </w:p>
    </w:sdtContent>
  </w:sdt>
  <w:p w14:paraId="3D30DBBA" w14:textId="290B09BF" w:rsidR="00571327" w:rsidRDefault="00571327" w:rsidP="0039424F">
    <w:pPr>
      <w:pStyle w:val="Header"/>
      <w:ind w:right="360"/>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2D4"/>
    <w:multiLevelType w:val="hybridMultilevel"/>
    <w:tmpl w:val="E368C63C"/>
    <w:lvl w:ilvl="0" w:tplc="B86C946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074D"/>
    <w:multiLevelType w:val="hybridMultilevel"/>
    <w:tmpl w:val="7A963CAC"/>
    <w:lvl w:ilvl="0" w:tplc="3A1257F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9277E"/>
    <w:multiLevelType w:val="hybridMultilevel"/>
    <w:tmpl w:val="933A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A31CD"/>
    <w:multiLevelType w:val="hybridMultilevel"/>
    <w:tmpl w:val="E730CC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734207"/>
    <w:multiLevelType w:val="hybridMultilevel"/>
    <w:tmpl w:val="144875FE"/>
    <w:lvl w:ilvl="0" w:tplc="5B344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832F1"/>
    <w:multiLevelType w:val="hybridMultilevel"/>
    <w:tmpl w:val="F2345D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E87C62"/>
    <w:multiLevelType w:val="hybridMultilevel"/>
    <w:tmpl w:val="85BCDCC4"/>
    <w:lvl w:ilvl="0" w:tplc="9EF25A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F308C"/>
    <w:multiLevelType w:val="hybridMultilevel"/>
    <w:tmpl w:val="503C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DA"/>
    <w:rsid w:val="000234C5"/>
    <w:rsid w:val="000235D6"/>
    <w:rsid w:val="0002372C"/>
    <w:rsid w:val="000550AE"/>
    <w:rsid w:val="000742A0"/>
    <w:rsid w:val="000B045F"/>
    <w:rsid w:val="000C01E9"/>
    <w:rsid w:val="001059EC"/>
    <w:rsid w:val="001269F1"/>
    <w:rsid w:val="00141659"/>
    <w:rsid w:val="001C353A"/>
    <w:rsid w:val="001F1FFE"/>
    <w:rsid w:val="00203335"/>
    <w:rsid w:val="00206450"/>
    <w:rsid w:val="00213570"/>
    <w:rsid w:val="00215DE9"/>
    <w:rsid w:val="00243EA8"/>
    <w:rsid w:val="00275EB7"/>
    <w:rsid w:val="00290F18"/>
    <w:rsid w:val="002922A7"/>
    <w:rsid w:val="002A7C87"/>
    <w:rsid w:val="002D218B"/>
    <w:rsid w:val="002E196A"/>
    <w:rsid w:val="002F465E"/>
    <w:rsid w:val="00300D31"/>
    <w:rsid w:val="0039424F"/>
    <w:rsid w:val="003D2F22"/>
    <w:rsid w:val="003F4A23"/>
    <w:rsid w:val="003F5231"/>
    <w:rsid w:val="004012F5"/>
    <w:rsid w:val="00414941"/>
    <w:rsid w:val="0047057D"/>
    <w:rsid w:val="00470FC3"/>
    <w:rsid w:val="0047390B"/>
    <w:rsid w:val="004818AD"/>
    <w:rsid w:val="004913F8"/>
    <w:rsid w:val="00491D48"/>
    <w:rsid w:val="00492CB3"/>
    <w:rsid w:val="00493E2D"/>
    <w:rsid w:val="004A52CC"/>
    <w:rsid w:val="004D173A"/>
    <w:rsid w:val="004F2A66"/>
    <w:rsid w:val="004F7E8F"/>
    <w:rsid w:val="005261F4"/>
    <w:rsid w:val="00540B44"/>
    <w:rsid w:val="00541BDC"/>
    <w:rsid w:val="00571327"/>
    <w:rsid w:val="00580D0F"/>
    <w:rsid w:val="00584EFF"/>
    <w:rsid w:val="00596842"/>
    <w:rsid w:val="0059685E"/>
    <w:rsid w:val="005B6F20"/>
    <w:rsid w:val="005C3866"/>
    <w:rsid w:val="005D6ECB"/>
    <w:rsid w:val="005E42F6"/>
    <w:rsid w:val="00615CED"/>
    <w:rsid w:val="006204A2"/>
    <w:rsid w:val="00676FAA"/>
    <w:rsid w:val="00685D98"/>
    <w:rsid w:val="006B45FB"/>
    <w:rsid w:val="006C2E42"/>
    <w:rsid w:val="006E057D"/>
    <w:rsid w:val="00717C6F"/>
    <w:rsid w:val="00720A46"/>
    <w:rsid w:val="00734BF6"/>
    <w:rsid w:val="007727B8"/>
    <w:rsid w:val="00777BB0"/>
    <w:rsid w:val="00794B0B"/>
    <w:rsid w:val="007A48B0"/>
    <w:rsid w:val="007A5A77"/>
    <w:rsid w:val="007B05C7"/>
    <w:rsid w:val="007C675A"/>
    <w:rsid w:val="007F05DA"/>
    <w:rsid w:val="007F3EC8"/>
    <w:rsid w:val="008004C7"/>
    <w:rsid w:val="008025C5"/>
    <w:rsid w:val="008560F5"/>
    <w:rsid w:val="008762DD"/>
    <w:rsid w:val="008A03BB"/>
    <w:rsid w:val="008D4032"/>
    <w:rsid w:val="008F0711"/>
    <w:rsid w:val="008F2E7E"/>
    <w:rsid w:val="00906674"/>
    <w:rsid w:val="009131AC"/>
    <w:rsid w:val="00940717"/>
    <w:rsid w:val="009550E4"/>
    <w:rsid w:val="00955B2B"/>
    <w:rsid w:val="00972440"/>
    <w:rsid w:val="00993778"/>
    <w:rsid w:val="009A678A"/>
    <w:rsid w:val="009C30A9"/>
    <w:rsid w:val="009E5209"/>
    <w:rsid w:val="009F2738"/>
    <w:rsid w:val="00A0724F"/>
    <w:rsid w:val="00A110F5"/>
    <w:rsid w:val="00A14D03"/>
    <w:rsid w:val="00A27F5C"/>
    <w:rsid w:val="00A74EC5"/>
    <w:rsid w:val="00AA2F39"/>
    <w:rsid w:val="00AA589E"/>
    <w:rsid w:val="00AC1FBC"/>
    <w:rsid w:val="00AD2D01"/>
    <w:rsid w:val="00AE116D"/>
    <w:rsid w:val="00AF2EA1"/>
    <w:rsid w:val="00B02FD0"/>
    <w:rsid w:val="00B16C82"/>
    <w:rsid w:val="00B33C83"/>
    <w:rsid w:val="00B66FA9"/>
    <w:rsid w:val="00BA3840"/>
    <w:rsid w:val="00BD08D1"/>
    <w:rsid w:val="00BF2652"/>
    <w:rsid w:val="00C0013A"/>
    <w:rsid w:val="00C1412F"/>
    <w:rsid w:val="00C323E5"/>
    <w:rsid w:val="00C91913"/>
    <w:rsid w:val="00CB76C8"/>
    <w:rsid w:val="00CC20D5"/>
    <w:rsid w:val="00CD0319"/>
    <w:rsid w:val="00CD6D75"/>
    <w:rsid w:val="00CE11A4"/>
    <w:rsid w:val="00CF3E4C"/>
    <w:rsid w:val="00D12D30"/>
    <w:rsid w:val="00D14A12"/>
    <w:rsid w:val="00D410F7"/>
    <w:rsid w:val="00D52C92"/>
    <w:rsid w:val="00D95FB7"/>
    <w:rsid w:val="00DB1942"/>
    <w:rsid w:val="00DC0A48"/>
    <w:rsid w:val="00DC32EC"/>
    <w:rsid w:val="00DD0920"/>
    <w:rsid w:val="00E159A4"/>
    <w:rsid w:val="00E248DA"/>
    <w:rsid w:val="00E44350"/>
    <w:rsid w:val="00E62A16"/>
    <w:rsid w:val="00E6449D"/>
    <w:rsid w:val="00E675FA"/>
    <w:rsid w:val="00E80920"/>
    <w:rsid w:val="00EA2A10"/>
    <w:rsid w:val="00F01255"/>
    <w:rsid w:val="00F347C0"/>
    <w:rsid w:val="00F50E4B"/>
    <w:rsid w:val="00F63AAE"/>
    <w:rsid w:val="00F755B9"/>
    <w:rsid w:val="00FA6539"/>
    <w:rsid w:val="00FA7BBB"/>
    <w:rsid w:val="00FC7B50"/>
    <w:rsid w:val="00FD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AE7E1"/>
  <w15:docId w15:val="{EE689675-68B9-4B83-AF20-FFE74D0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A"/>
    <w:pPr>
      <w:ind w:left="720"/>
      <w:contextualSpacing/>
    </w:pPr>
  </w:style>
  <w:style w:type="paragraph" w:styleId="FootnoteText">
    <w:name w:val="footnote text"/>
    <w:basedOn w:val="Normal"/>
    <w:link w:val="FootnoteTextChar"/>
    <w:uiPriority w:val="99"/>
    <w:unhideWhenUsed/>
    <w:rsid w:val="005261F4"/>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rsid w:val="005261F4"/>
    <w:rPr>
      <w:rFonts w:eastAsiaTheme="minorEastAsia"/>
      <w:lang w:val="en-GB"/>
    </w:rPr>
  </w:style>
  <w:style w:type="character" w:styleId="FootnoteReference">
    <w:name w:val="footnote reference"/>
    <w:basedOn w:val="DefaultParagraphFont"/>
    <w:uiPriority w:val="99"/>
    <w:unhideWhenUsed/>
    <w:rsid w:val="005261F4"/>
    <w:rPr>
      <w:vertAlign w:val="superscript"/>
    </w:rPr>
  </w:style>
  <w:style w:type="paragraph" w:styleId="Header">
    <w:name w:val="header"/>
    <w:basedOn w:val="Normal"/>
    <w:link w:val="HeaderChar"/>
    <w:uiPriority w:val="99"/>
    <w:unhideWhenUsed/>
    <w:rsid w:val="0039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4F"/>
    <w:rPr>
      <w:sz w:val="22"/>
      <w:szCs w:val="22"/>
    </w:rPr>
  </w:style>
  <w:style w:type="character" w:styleId="PageNumber">
    <w:name w:val="page number"/>
    <w:basedOn w:val="DefaultParagraphFont"/>
    <w:uiPriority w:val="99"/>
    <w:semiHidden/>
    <w:unhideWhenUsed/>
    <w:rsid w:val="0039424F"/>
  </w:style>
  <w:style w:type="paragraph" w:styleId="Footer">
    <w:name w:val="footer"/>
    <w:basedOn w:val="Normal"/>
    <w:link w:val="FooterChar"/>
    <w:uiPriority w:val="99"/>
    <w:unhideWhenUsed/>
    <w:rsid w:val="00CE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A4"/>
    <w:rPr>
      <w:sz w:val="22"/>
      <w:szCs w:val="22"/>
    </w:rPr>
  </w:style>
  <w:style w:type="paragraph" w:styleId="NormalWeb">
    <w:name w:val="Normal (Web)"/>
    <w:basedOn w:val="Normal"/>
    <w:uiPriority w:val="99"/>
    <w:unhideWhenUsed/>
    <w:rsid w:val="00D410F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C92"/>
    <w:rPr>
      <w:sz w:val="16"/>
      <w:szCs w:val="16"/>
    </w:rPr>
  </w:style>
  <w:style w:type="paragraph" w:styleId="CommentText">
    <w:name w:val="annotation text"/>
    <w:basedOn w:val="Normal"/>
    <w:link w:val="CommentTextChar"/>
    <w:uiPriority w:val="99"/>
    <w:semiHidden/>
    <w:unhideWhenUsed/>
    <w:rsid w:val="00D52C92"/>
    <w:pPr>
      <w:spacing w:line="240" w:lineRule="auto"/>
    </w:pPr>
    <w:rPr>
      <w:sz w:val="20"/>
      <w:szCs w:val="20"/>
    </w:rPr>
  </w:style>
  <w:style w:type="character" w:customStyle="1" w:styleId="CommentTextChar">
    <w:name w:val="Comment Text Char"/>
    <w:basedOn w:val="DefaultParagraphFont"/>
    <w:link w:val="CommentText"/>
    <w:uiPriority w:val="99"/>
    <w:semiHidden/>
    <w:rsid w:val="00D52C92"/>
    <w:rPr>
      <w:sz w:val="20"/>
      <w:szCs w:val="20"/>
    </w:rPr>
  </w:style>
  <w:style w:type="paragraph" w:styleId="CommentSubject">
    <w:name w:val="annotation subject"/>
    <w:basedOn w:val="CommentText"/>
    <w:next w:val="CommentText"/>
    <w:link w:val="CommentSubjectChar"/>
    <w:uiPriority w:val="99"/>
    <w:semiHidden/>
    <w:unhideWhenUsed/>
    <w:rsid w:val="00D52C92"/>
    <w:rPr>
      <w:b/>
      <w:bCs/>
    </w:rPr>
  </w:style>
  <w:style w:type="character" w:customStyle="1" w:styleId="CommentSubjectChar">
    <w:name w:val="Comment Subject Char"/>
    <w:basedOn w:val="CommentTextChar"/>
    <w:link w:val="CommentSubject"/>
    <w:uiPriority w:val="99"/>
    <w:semiHidden/>
    <w:rsid w:val="00D52C92"/>
    <w:rPr>
      <w:b/>
      <w:bCs/>
      <w:sz w:val="20"/>
      <w:szCs w:val="20"/>
    </w:rPr>
  </w:style>
  <w:style w:type="paragraph" w:styleId="BalloonText">
    <w:name w:val="Balloon Text"/>
    <w:basedOn w:val="Normal"/>
    <w:link w:val="BalloonTextChar"/>
    <w:uiPriority w:val="99"/>
    <w:semiHidden/>
    <w:unhideWhenUsed/>
    <w:rsid w:val="00D52C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C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2088">
      <w:bodyDiv w:val="1"/>
      <w:marLeft w:val="0"/>
      <w:marRight w:val="0"/>
      <w:marTop w:val="0"/>
      <w:marBottom w:val="0"/>
      <w:divBdr>
        <w:top w:val="none" w:sz="0" w:space="0" w:color="auto"/>
        <w:left w:val="none" w:sz="0" w:space="0" w:color="auto"/>
        <w:bottom w:val="none" w:sz="0" w:space="0" w:color="auto"/>
        <w:right w:val="none" w:sz="0" w:space="0" w:color="auto"/>
      </w:divBdr>
      <w:divsChild>
        <w:div w:id="1076439152">
          <w:marLeft w:val="0"/>
          <w:marRight w:val="0"/>
          <w:marTop w:val="0"/>
          <w:marBottom w:val="0"/>
          <w:divBdr>
            <w:top w:val="none" w:sz="0" w:space="0" w:color="auto"/>
            <w:left w:val="none" w:sz="0" w:space="0" w:color="auto"/>
            <w:bottom w:val="none" w:sz="0" w:space="0" w:color="auto"/>
            <w:right w:val="none" w:sz="0" w:space="0" w:color="auto"/>
          </w:divBdr>
          <w:divsChild>
            <w:div w:id="419376626">
              <w:marLeft w:val="0"/>
              <w:marRight w:val="0"/>
              <w:marTop w:val="0"/>
              <w:marBottom w:val="0"/>
              <w:divBdr>
                <w:top w:val="none" w:sz="0" w:space="0" w:color="auto"/>
                <w:left w:val="none" w:sz="0" w:space="0" w:color="auto"/>
                <w:bottom w:val="none" w:sz="0" w:space="0" w:color="auto"/>
                <w:right w:val="none" w:sz="0" w:space="0" w:color="auto"/>
              </w:divBdr>
              <w:divsChild>
                <w:div w:id="1026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3493">
      <w:bodyDiv w:val="1"/>
      <w:marLeft w:val="0"/>
      <w:marRight w:val="0"/>
      <w:marTop w:val="0"/>
      <w:marBottom w:val="0"/>
      <w:divBdr>
        <w:top w:val="none" w:sz="0" w:space="0" w:color="auto"/>
        <w:left w:val="none" w:sz="0" w:space="0" w:color="auto"/>
        <w:bottom w:val="none" w:sz="0" w:space="0" w:color="auto"/>
        <w:right w:val="none" w:sz="0" w:space="0" w:color="auto"/>
      </w:divBdr>
      <w:divsChild>
        <w:div w:id="631864978">
          <w:marLeft w:val="0"/>
          <w:marRight w:val="0"/>
          <w:marTop w:val="0"/>
          <w:marBottom w:val="0"/>
          <w:divBdr>
            <w:top w:val="none" w:sz="0" w:space="0" w:color="auto"/>
            <w:left w:val="none" w:sz="0" w:space="0" w:color="auto"/>
            <w:bottom w:val="none" w:sz="0" w:space="0" w:color="auto"/>
            <w:right w:val="none" w:sz="0" w:space="0" w:color="auto"/>
          </w:divBdr>
          <w:divsChild>
            <w:div w:id="1721630971">
              <w:marLeft w:val="0"/>
              <w:marRight w:val="0"/>
              <w:marTop w:val="0"/>
              <w:marBottom w:val="0"/>
              <w:divBdr>
                <w:top w:val="none" w:sz="0" w:space="0" w:color="auto"/>
                <w:left w:val="none" w:sz="0" w:space="0" w:color="auto"/>
                <w:bottom w:val="none" w:sz="0" w:space="0" w:color="auto"/>
                <w:right w:val="none" w:sz="0" w:space="0" w:color="auto"/>
              </w:divBdr>
              <w:divsChild>
                <w:div w:id="16656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9307">
      <w:bodyDiv w:val="1"/>
      <w:marLeft w:val="0"/>
      <w:marRight w:val="0"/>
      <w:marTop w:val="0"/>
      <w:marBottom w:val="0"/>
      <w:divBdr>
        <w:top w:val="none" w:sz="0" w:space="0" w:color="auto"/>
        <w:left w:val="none" w:sz="0" w:space="0" w:color="auto"/>
        <w:bottom w:val="none" w:sz="0" w:space="0" w:color="auto"/>
        <w:right w:val="none" w:sz="0" w:space="0" w:color="auto"/>
      </w:divBdr>
      <w:divsChild>
        <w:div w:id="1977685904">
          <w:marLeft w:val="0"/>
          <w:marRight w:val="0"/>
          <w:marTop w:val="0"/>
          <w:marBottom w:val="0"/>
          <w:divBdr>
            <w:top w:val="none" w:sz="0" w:space="0" w:color="auto"/>
            <w:left w:val="none" w:sz="0" w:space="0" w:color="auto"/>
            <w:bottom w:val="none" w:sz="0" w:space="0" w:color="auto"/>
            <w:right w:val="none" w:sz="0" w:space="0" w:color="auto"/>
          </w:divBdr>
          <w:divsChild>
            <w:div w:id="808589507">
              <w:marLeft w:val="0"/>
              <w:marRight w:val="0"/>
              <w:marTop w:val="0"/>
              <w:marBottom w:val="0"/>
              <w:divBdr>
                <w:top w:val="none" w:sz="0" w:space="0" w:color="auto"/>
                <w:left w:val="none" w:sz="0" w:space="0" w:color="auto"/>
                <w:bottom w:val="none" w:sz="0" w:space="0" w:color="auto"/>
                <w:right w:val="none" w:sz="0" w:space="0" w:color="auto"/>
              </w:divBdr>
              <w:divsChild>
                <w:div w:id="8410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770">
      <w:bodyDiv w:val="1"/>
      <w:marLeft w:val="0"/>
      <w:marRight w:val="0"/>
      <w:marTop w:val="0"/>
      <w:marBottom w:val="0"/>
      <w:divBdr>
        <w:top w:val="none" w:sz="0" w:space="0" w:color="auto"/>
        <w:left w:val="none" w:sz="0" w:space="0" w:color="auto"/>
        <w:bottom w:val="none" w:sz="0" w:space="0" w:color="auto"/>
        <w:right w:val="none" w:sz="0" w:space="0" w:color="auto"/>
      </w:divBdr>
      <w:divsChild>
        <w:div w:id="2086150353">
          <w:marLeft w:val="0"/>
          <w:marRight w:val="0"/>
          <w:marTop w:val="0"/>
          <w:marBottom w:val="0"/>
          <w:divBdr>
            <w:top w:val="none" w:sz="0" w:space="0" w:color="auto"/>
            <w:left w:val="none" w:sz="0" w:space="0" w:color="auto"/>
            <w:bottom w:val="none" w:sz="0" w:space="0" w:color="auto"/>
            <w:right w:val="none" w:sz="0" w:space="0" w:color="auto"/>
          </w:divBdr>
          <w:divsChild>
            <w:div w:id="1597202978">
              <w:marLeft w:val="0"/>
              <w:marRight w:val="0"/>
              <w:marTop w:val="0"/>
              <w:marBottom w:val="0"/>
              <w:divBdr>
                <w:top w:val="none" w:sz="0" w:space="0" w:color="auto"/>
                <w:left w:val="none" w:sz="0" w:space="0" w:color="auto"/>
                <w:bottom w:val="none" w:sz="0" w:space="0" w:color="auto"/>
                <w:right w:val="none" w:sz="0" w:space="0" w:color="auto"/>
              </w:divBdr>
              <w:divsChild>
                <w:div w:id="685911222">
                  <w:marLeft w:val="0"/>
                  <w:marRight w:val="0"/>
                  <w:marTop w:val="0"/>
                  <w:marBottom w:val="0"/>
                  <w:divBdr>
                    <w:top w:val="none" w:sz="0" w:space="0" w:color="auto"/>
                    <w:left w:val="none" w:sz="0" w:space="0" w:color="auto"/>
                    <w:bottom w:val="none" w:sz="0" w:space="0" w:color="auto"/>
                    <w:right w:val="none" w:sz="0" w:space="0" w:color="auto"/>
                  </w:divBdr>
                </w:div>
              </w:divsChild>
            </w:div>
            <w:div w:id="1270621680">
              <w:marLeft w:val="0"/>
              <w:marRight w:val="0"/>
              <w:marTop w:val="0"/>
              <w:marBottom w:val="0"/>
              <w:divBdr>
                <w:top w:val="none" w:sz="0" w:space="0" w:color="auto"/>
                <w:left w:val="none" w:sz="0" w:space="0" w:color="auto"/>
                <w:bottom w:val="none" w:sz="0" w:space="0" w:color="auto"/>
                <w:right w:val="none" w:sz="0" w:space="0" w:color="auto"/>
              </w:divBdr>
              <w:divsChild>
                <w:div w:id="1733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0065">
          <w:marLeft w:val="0"/>
          <w:marRight w:val="0"/>
          <w:marTop w:val="0"/>
          <w:marBottom w:val="0"/>
          <w:divBdr>
            <w:top w:val="none" w:sz="0" w:space="0" w:color="auto"/>
            <w:left w:val="none" w:sz="0" w:space="0" w:color="auto"/>
            <w:bottom w:val="none" w:sz="0" w:space="0" w:color="auto"/>
            <w:right w:val="none" w:sz="0" w:space="0" w:color="auto"/>
          </w:divBdr>
          <w:divsChild>
            <w:div w:id="1910119094">
              <w:marLeft w:val="0"/>
              <w:marRight w:val="0"/>
              <w:marTop w:val="0"/>
              <w:marBottom w:val="0"/>
              <w:divBdr>
                <w:top w:val="none" w:sz="0" w:space="0" w:color="auto"/>
                <w:left w:val="none" w:sz="0" w:space="0" w:color="auto"/>
                <w:bottom w:val="none" w:sz="0" w:space="0" w:color="auto"/>
                <w:right w:val="none" w:sz="0" w:space="0" w:color="auto"/>
              </w:divBdr>
              <w:divsChild>
                <w:div w:id="169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2018-12-13T18:30:00+00:00</Judgment_x0020_Date>
    <Year xmlns="aec0a7e9-5f5c-4ba9-87b2-85cfc8a38b86">2018</Year>
  </documentManagement>
</p:properties>
</file>

<file path=customXml/itemProps1.xml><?xml version="1.0" encoding="utf-8"?>
<ds:datastoreItem xmlns:ds="http://schemas.openxmlformats.org/officeDocument/2006/customXml" ds:itemID="{8ECD9072-45F7-42AA-BF67-B5C1E5020CCA}"/>
</file>

<file path=customXml/itemProps2.xml><?xml version="1.0" encoding="utf-8"?>
<ds:datastoreItem xmlns:ds="http://schemas.openxmlformats.org/officeDocument/2006/customXml" ds:itemID="{C7B72D14-1345-443D-8C65-2F03A8A930B7}"/>
</file>

<file path=customXml/itemProps3.xml><?xml version="1.0" encoding="utf-8"?>
<ds:datastoreItem xmlns:ds="http://schemas.openxmlformats.org/officeDocument/2006/customXml" ds:itemID="{F5194573-6D08-4485-A9F8-8D88EF1E6127}"/>
</file>

<file path=customXml/itemProps4.xml><?xml version="1.0" encoding="utf-8"?>
<ds:datastoreItem xmlns:ds="http://schemas.openxmlformats.org/officeDocument/2006/customXml" ds:itemID="{72BCE83E-20E1-4B36-92D8-6910A2554978}"/>
</file>

<file path=docProps/app.xml><?xml version="1.0" encoding="utf-8"?>
<Properties xmlns="http://schemas.openxmlformats.org/officeDocument/2006/extended-properties" xmlns:vt="http://schemas.openxmlformats.org/officeDocument/2006/docPropsVTypes">
  <Template>Normal</Template>
  <TotalTime>1</TotalTime>
  <Pages>13</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Estate Agent Board v Steen (HC-MD-LAB-MOT-REV-2017-00019) 2018 NALCMD 34 (14 December  2018)</dc:title>
  <dc:subject/>
  <dc:creator>Mossy Iipinge</dc:creator>
  <cp:keywords/>
  <dc:description/>
  <cp:lastModifiedBy>Martha Nambahu</cp:lastModifiedBy>
  <cp:revision>4</cp:revision>
  <cp:lastPrinted>2018-12-14T08:54:00Z</cp:lastPrinted>
  <dcterms:created xsi:type="dcterms:W3CDTF">2019-01-11T10:42:00Z</dcterms:created>
  <dcterms:modified xsi:type="dcterms:W3CDTF">2019-01-11T10:50:00Z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