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E350CE">
      <w:pPr>
        <w:tabs>
          <w:tab w:val="center" w:pos="4513"/>
        </w:tabs>
        <w:spacing w:after="0" w:line="360" w:lineRule="auto"/>
        <w:rPr>
          <w:rFonts w:ascii="Arial" w:hAnsi="Arial" w:cs="Arial"/>
          <w:b/>
          <w:sz w:val="24"/>
          <w:szCs w:val="24"/>
        </w:rPr>
      </w:pPr>
      <w:bookmarkStart w:id="0" w:name="_GoBack"/>
      <w:bookmarkEnd w:id="0"/>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FD4412"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6E026B">
        <w:rPr>
          <w:rFonts w:ascii="Arial" w:hAnsi="Arial" w:cs="Arial"/>
          <w:b/>
          <w:sz w:val="24"/>
          <w:szCs w:val="24"/>
        </w:rPr>
        <w:t xml:space="preserve">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Default="001B7E1F" w:rsidP="000515D1">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0515D1" w:rsidRPr="000515D1" w:rsidRDefault="000515D1" w:rsidP="000515D1">
      <w:pPr>
        <w:tabs>
          <w:tab w:val="right" w:pos="9000"/>
        </w:tabs>
        <w:spacing w:after="0" w:line="360" w:lineRule="auto"/>
        <w:rPr>
          <w:rFonts w:ascii="Arial" w:hAnsi="Arial" w:cs="Arial"/>
          <w:b/>
          <w:sz w:val="24"/>
          <w:szCs w:val="24"/>
        </w:rPr>
      </w:pPr>
    </w:p>
    <w:p w:rsidR="001B7E1F"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r w:rsidR="00711119">
        <w:rPr>
          <w:rFonts w:ascii="Arial" w:hAnsi="Arial" w:cs="Arial"/>
          <w:sz w:val="24"/>
          <w:szCs w:val="24"/>
        </w:rPr>
        <w:tab/>
        <w:t xml:space="preserve">        </w:t>
      </w:r>
      <w:r w:rsidR="00984548">
        <w:rPr>
          <w:rFonts w:ascii="Arial" w:hAnsi="Arial" w:cs="Arial"/>
          <w:sz w:val="24"/>
          <w:szCs w:val="24"/>
        </w:rPr>
        <w:t xml:space="preserve">         </w:t>
      </w:r>
      <w:r w:rsidR="005234BE" w:rsidRPr="006E026B">
        <w:rPr>
          <w:rFonts w:ascii="Arial" w:hAnsi="Arial" w:cs="Arial"/>
          <w:sz w:val="24"/>
          <w:szCs w:val="24"/>
        </w:rPr>
        <w:t>Case no</w:t>
      </w:r>
      <w:r w:rsidR="005234BE">
        <w:rPr>
          <w:rFonts w:ascii="Arial" w:hAnsi="Arial" w:cs="Arial"/>
          <w:sz w:val="24"/>
          <w:szCs w:val="24"/>
        </w:rPr>
        <w:t xml:space="preserve">: </w:t>
      </w:r>
      <w:r w:rsidR="00FD4412">
        <w:rPr>
          <w:rFonts w:ascii="Arial" w:hAnsi="Arial" w:cs="Arial"/>
          <w:sz w:val="24"/>
          <w:szCs w:val="24"/>
        </w:rPr>
        <w:t>HC-MD-LAB-</w:t>
      </w:r>
      <w:r w:rsidR="00B7113B">
        <w:rPr>
          <w:rFonts w:ascii="Arial" w:hAnsi="Arial" w:cs="Arial"/>
          <w:sz w:val="24"/>
          <w:szCs w:val="24"/>
        </w:rPr>
        <w:t>APP-</w:t>
      </w:r>
      <w:r w:rsidR="00FD4412">
        <w:rPr>
          <w:rFonts w:ascii="Arial" w:hAnsi="Arial" w:cs="Arial"/>
          <w:sz w:val="24"/>
          <w:szCs w:val="24"/>
        </w:rPr>
        <w:t>AAA-20</w:t>
      </w:r>
      <w:r w:rsidR="005B13B7">
        <w:rPr>
          <w:rFonts w:ascii="Arial" w:hAnsi="Arial" w:cs="Arial"/>
          <w:sz w:val="24"/>
          <w:szCs w:val="24"/>
        </w:rPr>
        <w:t>20</w:t>
      </w:r>
      <w:r w:rsidR="00FD4412">
        <w:rPr>
          <w:rFonts w:ascii="Arial" w:hAnsi="Arial" w:cs="Arial"/>
          <w:sz w:val="24"/>
          <w:szCs w:val="24"/>
        </w:rPr>
        <w:t>/000</w:t>
      </w:r>
      <w:r w:rsidR="00890244">
        <w:rPr>
          <w:rFonts w:ascii="Arial" w:hAnsi="Arial" w:cs="Arial"/>
          <w:sz w:val="24"/>
          <w:szCs w:val="24"/>
        </w:rPr>
        <w:t>05</w:t>
      </w:r>
    </w:p>
    <w:p w:rsidR="00711119" w:rsidRDefault="00711119" w:rsidP="001B7E1F">
      <w:pPr>
        <w:spacing w:after="0" w:line="360" w:lineRule="auto"/>
        <w:rPr>
          <w:rFonts w:ascii="Arial" w:hAnsi="Arial" w:cs="Arial"/>
          <w:sz w:val="24"/>
          <w:szCs w:val="24"/>
        </w:rPr>
      </w:pPr>
    </w:p>
    <w:p w:rsidR="00890D23" w:rsidRPr="006E026B" w:rsidRDefault="00890D23" w:rsidP="001B7E1F">
      <w:pPr>
        <w:spacing w:after="0" w:line="360" w:lineRule="auto"/>
        <w:rPr>
          <w:rFonts w:ascii="Arial" w:hAnsi="Arial" w:cs="Arial"/>
          <w:sz w:val="24"/>
          <w:szCs w:val="24"/>
        </w:rPr>
      </w:pPr>
    </w:p>
    <w:p w:rsidR="006A6211" w:rsidRDefault="0074005C" w:rsidP="00516F95">
      <w:pPr>
        <w:tabs>
          <w:tab w:val="right" w:pos="9000"/>
        </w:tabs>
        <w:spacing w:after="0" w:line="360" w:lineRule="auto"/>
        <w:rPr>
          <w:rFonts w:ascii="Arial" w:hAnsi="Arial" w:cs="Arial"/>
          <w:b/>
          <w:sz w:val="24"/>
          <w:szCs w:val="24"/>
          <w:lang w:val="en-GB" w:eastAsia="x-none"/>
        </w:rPr>
      </w:pPr>
      <w:r>
        <w:rPr>
          <w:rFonts w:ascii="Arial" w:hAnsi="Arial" w:cs="Arial"/>
          <w:b/>
          <w:sz w:val="24"/>
          <w:szCs w:val="24"/>
          <w:lang w:val="en-GB" w:eastAsia="x-none"/>
        </w:rPr>
        <w:t>NAMIBIA EMPLOYER’S ASSOCIATION</w:t>
      </w:r>
      <w:r w:rsidR="00A00A41">
        <w:rPr>
          <w:rFonts w:ascii="Arial" w:hAnsi="Arial" w:cs="Arial"/>
          <w:b/>
          <w:sz w:val="24"/>
          <w:szCs w:val="24"/>
          <w:lang w:val="en-GB" w:eastAsia="x-none"/>
        </w:rPr>
        <w:tab/>
      </w:r>
      <w:r w:rsidR="009A3569">
        <w:rPr>
          <w:rFonts w:ascii="Arial" w:hAnsi="Arial" w:cs="Arial"/>
          <w:b/>
          <w:sz w:val="24"/>
          <w:szCs w:val="24"/>
          <w:lang w:val="en-GB" w:eastAsia="x-none"/>
        </w:rPr>
        <w:t>APPELLANT</w:t>
      </w:r>
    </w:p>
    <w:p w:rsidR="00516F95" w:rsidRDefault="00516F95" w:rsidP="00516F95">
      <w:pPr>
        <w:tabs>
          <w:tab w:val="right" w:pos="9000"/>
        </w:tabs>
        <w:spacing w:after="0" w:line="360" w:lineRule="auto"/>
        <w:rPr>
          <w:rFonts w:ascii="Arial" w:hAnsi="Arial" w:cs="Arial"/>
          <w:b/>
          <w:sz w:val="24"/>
          <w:szCs w:val="24"/>
          <w:lang w:val="en-GB" w:eastAsia="x-none"/>
        </w:rPr>
      </w:pPr>
    </w:p>
    <w:p w:rsidR="001B7E1F" w:rsidRDefault="003337F1" w:rsidP="00516F95">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3337F1" w:rsidRPr="00516F95" w:rsidRDefault="003337F1" w:rsidP="00516F95">
      <w:pPr>
        <w:spacing w:after="0" w:line="360" w:lineRule="auto"/>
        <w:jc w:val="both"/>
        <w:rPr>
          <w:rFonts w:ascii="Arial" w:hAnsi="Arial" w:cs="Arial"/>
          <w:sz w:val="24"/>
          <w:szCs w:val="24"/>
        </w:rPr>
      </w:pPr>
    </w:p>
    <w:p w:rsidR="00CC2BD2" w:rsidRDefault="0074005C" w:rsidP="00516F95">
      <w:pPr>
        <w:tabs>
          <w:tab w:val="right" w:pos="9000"/>
        </w:tabs>
        <w:spacing w:after="0" w:line="360" w:lineRule="auto"/>
        <w:jc w:val="both"/>
        <w:rPr>
          <w:rFonts w:ascii="Arial" w:hAnsi="Arial" w:cs="Arial"/>
          <w:b/>
          <w:sz w:val="24"/>
          <w:szCs w:val="24"/>
        </w:rPr>
      </w:pPr>
      <w:r>
        <w:rPr>
          <w:rFonts w:ascii="Arial" w:hAnsi="Arial" w:cs="Arial"/>
          <w:b/>
          <w:sz w:val="24"/>
          <w:szCs w:val="24"/>
        </w:rPr>
        <w:t>EVA-LISA NAILENGE</w:t>
      </w:r>
      <w:r w:rsidR="009232E2">
        <w:rPr>
          <w:rFonts w:ascii="Arial" w:hAnsi="Arial" w:cs="Arial"/>
          <w:b/>
          <w:sz w:val="24"/>
          <w:szCs w:val="24"/>
        </w:rPr>
        <w:tab/>
      </w:r>
      <w:r w:rsidR="00711119">
        <w:rPr>
          <w:rFonts w:ascii="Arial" w:hAnsi="Arial" w:cs="Arial"/>
          <w:b/>
          <w:sz w:val="24"/>
          <w:szCs w:val="24"/>
        </w:rPr>
        <w:t>RESPONDENT</w:t>
      </w:r>
    </w:p>
    <w:p w:rsidR="00890D23" w:rsidRDefault="00890D23" w:rsidP="001B7E1F">
      <w:pPr>
        <w:spacing w:after="0" w:line="360" w:lineRule="auto"/>
        <w:rPr>
          <w:rFonts w:ascii="Arial" w:hAnsi="Arial" w:cs="Arial"/>
          <w:b/>
          <w:sz w:val="24"/>
          <w:szCs w:val="24"/>
          <w:u w:val="single"/>
        </w:rPr>
      </w:pP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74005C">
        <w:rPr>
          <w:rFonts w:ascii="Arial" w:hAnsi="Arial" w:cs="Arial"/>
          <w:i/>
          <w:sz w:val="24"/>
          <w:szCs w:val="24"/>
        </w:rPr>
        <w:t>Namibia Employer’s Association</w:t>
      </w:r>
      <w:r w:rsidR="00652CB8">
        <w:rPr>
          <w:rFonts w:ascii="Arial" w:hAnsi="Arial" w:cs="Arial"/>
          <w:i/>
          <w:sz w:val="24"/>
          <w:szCs w:val="24"/>
        </w:rPr>
        <w:t xml:space="preserve"> </w:t>
      </w:r>
      <w:r w:rsidR="00D87766">
        <w:rPr>
          <w:rFonts w:ascii="Arial" w:hAnsi="Arial" w:cs="Arial"/>
          <w:i/>
          <w:sz w:val="24"/>
          <w:szCs w:val="24"/>
        </w:rPr>
        <w:t xml:space="preserve">v </w:t>
      </w:r>
      <w:r w:rsidR="0074005C">
        <w:rPr>
          <w:rFonts w:ascii="Arial" w:hAnsi="Arial" w:cs="Arial"/>
          <w:i/>
          <w:sz w:val="24"/>
          <w:szCs w:val="24"/>
        </w:rPr>
        <w:t>Nailenge</w:t>
      </w:r>
      <w:r w:rsidR="009A3569">
        <w:rPr>
          <w:rFonts w:ascii="Arial" w:hAnsi="Arial" w:cs="Arial"/>
          <w:i/>
          <w:sz w:val="24"/>
          <w:szCs w:val="24"/>
        </w:rPr>
        <w:t xml:space="preserve"> </w:t>
      </w:r>
      <w:r w:rsidR="001B7E1F" w:rsidRPr="005D6C92">
        <w:rPr>
          <w:rFonts w:ascii="Arial" w:hAnsi="Arial" w:cs="Arial"/>
          <w:sz w:val="24"/>
          <w:szCs w:val="24"/>
        </w:rPr>
        <w:t>(</w:t>
      </w:r>
      <w:r w:rsidR="00FD4412">
        <w:rPr>
          <w:rFonts w:ascii="Arial" w:hAnsi="Arial" w:cs="Arial"/>
          <w:sz w:val="24"/>
          <w:szCs w:val="24"/>
        </w:rPr>
        <w:t>HC-MD-LAB-</w:t>
      </w:r>
      <w:r w:rsidR="00F52151">
        <w:rPr>
          <w:rFonts w:ascii="Arial" w:hAnsi="Arial" w:cs="Arial"/>
          <w:sz w:val="24"/>
          <w:szCs w:val="24"/>
        </w:rPr>
        <w:t>APP-</w:t>
      </w:r>
      <w:r w:rsidR="00FD4412">
        <w:rPr>
          <w:rFonts w:ascii="Arial" w:hAnsi="Arial" w:cs="Arial"/>
          <w:sz w:val="24"/>
          <w:szCs w:val="24"/>
        </w:rPr>
        <w:t>AAA-20</w:t>
      </w:r>
      <w:r w:rsidR="008350C7">
        <w:rPr>
          <w:rFonts w:ascii="Arial" w:hAnsi="Arial" w:cs="Arial"/>
          <w:sz w:val="24"/>
          <w:szCs w:val="24"/>
        </w:rPr>
        <w:t>20</w:t>
      </w:r>
      <w:r w:rsidR="00FD4412">
        <w:rPr>
          <w:rFonts w:ascii="Arial" w:hAnsi="Arial" w:cs="Arial"/>
          <w:sz w:val="24"/>
          <w:szCs w:val="24"/>
        </w:rPr>
        <w:t>/000</w:t>
      </w:r>
      <w:r w:rsidR="0074005C">
        <w:rPr>
          <w:rFonts w:ascii="Arial" w:hAnsi="Arial" w:cs="Arial"/>
          <w:sz w:val="24"/>
          <w:szCs w:val="24"/>
        </w:rPr>
        <w:t>05</w:t>
      </w:r>
      <w:r w:rsidR="001B7E1F" w:rsidRPr="005D6C92">
        <w:rPr>
          <w:rFonts w:ascii="Arial" w:hAnsi="Arial" w:cs="Arial"/>
          <w:sz w:val="24"/>
          <w:szCs w:val="24"/>
        </w:rPr>
        <w:t>) [20</w:t>
      </w:r>
      <w:r w:rsidR="008350C7">
        <w:rPr>
          <w:rFonts w:ascii="Arial" w:hAnsi="Arial" w:cs="Arial"/>
          <w:sz w:val="24"/>
          <w:szCs w:val="24"/>
        </w:rPr>
        <w:t>20</w:t>
      </w:r>
      <w:r w:rsidR="001B7E1F" w:rsidRPr="005D6C92">
        <w:rPr>
          <w:rFonts w:ascii="Arial" w:hAnsi="Arial" w:cs="Arial"/>
          <w:sz w:val="24"/>
          <w:szCs w:val="24"/>
        </w:rPr>
        <w:t>] NA</w:t>
      </w:r>
      <w:r w:rsidR="00FD4412">
        <w:rPr>
          <w:rFonts w:ascii="Arial" w:hAnsi="Arial" w:cs="Arial"/>
          <w:sz w:val="24"/>
          <w:szCs w:val="24"/>
        </w:rPr>
        <w:t>L</w:t>
      </w:r>
      <w:r w:rsidR="001B7E1F" w:rsidRPr="005D6C92">
        <w:rPr>
          <w:rFonts w:ascii="Arial" w:hAnsi="Arial" w:cs="Arial"/>
          <w:sz w:val="24"/>
          <w:szCs w:val="24"/>
        </w:rPr>
        <w:t>C</w:t>
      </w:r>
      <w:r w:rsidR="00E11C67">
        <w:rPr>
          <w:rFonts w:ascii="Arial" w:hAnsi="Arial" w:cs="Arial"/>
          <w:sz w:val="24"/>
          <w:szCs w:val="24"/>
        </w:rPr>
        <w:t>M</w:t>
      </w:r>
      <w:r w:rsidR="001B7E1F" w:rsidRPr="005D6C92">
        <w:rPr>
          <w:rFonts w:ascii="Arial" w:hAnsi="Arial" w:cs="Arial"/>
          <w:sz w:val="24"/>
          <w:szCs w:val="24"/>
        </w:rPr>
        <w:t xml:space="preserve">D </w:t>
      </w:r>
      <w:r w:rsidR="005B0DFA">
        <w:rPr>
          <w:rFonts w:ascii="Arial" w:hAnsi="Arial" w:cs="Arial"/>
          <w:sz w:val="24"/>
          <w:szCs w:val="24"/>
        </w:rPr>
        <w:t>4</w:t>
      </w:r>
      <w:r w:rsidR="001B7E1F" w:rsidRPr="005D6C92">
        <w:rPr>
          <w:rFonts w:ascii="Arial" w:hAnsi="Arial" w:cs="Arial"/>
          <w:sz w:val="24"/>
          <w:szCs w:val="24"/>
        </w:rPr>
        <w:t xml:space="preserve"> (</w:t>
      </w:r>
      <w:r w:rsidR="005B0DFA">
        <w:rPr>
          <w:rFonts w:ascii="Arial" w:hAnsi="Arial" w:cs="Arial"/>
          <w:sz w:val="24"/>
          <w:szCs w:val="24"/>
        </w:rPr>
        <w:t>2</w:t>
      </w:r>
      <w:r w:rsidR="001874FB">
        <w:rPr>
          <w:rFonts w:ascii="Arial" w:hAnsi="Arial" w:cs="Arial"/>
          <w:sz w:val="24"/>
          <w:szCs w:val="24"/>
        </w:rPr>
        <w:t>3</w:t>
      </w:r>
      <w:r w:rsidR="00FF5689">
        <w:rPr>
          <w:rFonts w:ascii="Arial" w:hAnsi="Arial" w:cs="Arial"/>
          <w:sz w:val="24"/>
          <w:szCs w:val="24"/>
        </w:rPr>
        <w:t xml:space="preserve"> </w:t>
      </w:r>
      <w:r w:rsidR="005B0DFA">
        <w:rPr>
          <w:rFonts w:ascii="Arial" w:hAnsi="Arial" w:cs="Arial"/>
          <w:sz w:val="24"/>
          <w:szCs w:val="24"/>
        </w:rPr>
        <w:t>February</w:t>
      </w:r>
      <w:r w:rsidR="001B7E1F">
        <w:rPr>
          <w:rFonts w:ascii="Arial" w:hAnsi="Arial" w:cs="Arial"/>
          <w:sz w:val="24"/>
          <w:szCs w:val="24"/>
        </w:rPr>
        <w:t xml:space="preserve"> </w:t>
      </w:r>
      <w:r w:rsidR="001B7E1F" w:rsidRPr="005D6C92">
        <w:rPr>
          <w:rFonts w:ascii="Arial" w:hAnsi="Arial" w:cs="Arial"/>
          <w:sz w:val="24"/>
          <w:szCs w:val="24"/>
        </w:rPr>
        <w:t>20</w:t>
      </w:r>
      <w:r w:rsidR="008350C7">
        <w:rPr>
          <w:rFonts w:ascii="Arial" w:hAnsi="Arial" w:cs="Arial"/>
          <w:sz w:val="24"/>
          <w:szCs w:val="24"/>
        </w:rPr>
        <w:t>2</w:t>
      </w:r>
      <w:r w:rsidR="0074005C">
        <w:rPr>
          <w:rFonts w:ascii="Arial" w:hAnsi="Arial" w:cs="Arial"/>
          <w:sz w:val="24"/>
          <w:szCs w:val="24"/>
        </w:rPr>
        <w:t>1</w:t>
      </w:r>
      <w:r w:rsidR="001B7E1F" w:rsidRPr="005D6C92">
        <w:rPr>
          <w:rFonts w:ascii="Arial" w:hAnsi="Arial" w:cs="Arial"/>
          <w:sz w:val="24"/>
          <w:szCs w:val="24"/>
        </w:rPr>
        <w:t>)</w:t>
      </w:r>
    </w:p>
    <w:p w:rsidR="00B22F12" w:rsidRDefault="00B22F12" w:rsidP="004670BF">
      <w:pPr>
        <w:spacing w:after="0" w:line="360" w:lineRule="auto"/>
        <w:jc w:val="both"/>
        <w:rPr>
          <w:rFonts w:ascii="Arial" w:hAnsi="Arial" w:cs="Arial"/>
          <w:b/>
          <w:sz w:val="24"/>
          <w:szCs w:val="24"/>
        </w:rPr>
      </w:pPr>
    </w:p>
    <w:p w:rsidR="001B7E1F" w:rsidRDefault="001B7E1F" w:rsidP="001B7E1F">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p>
    <w:p w:rsidR="001B7E1F" w:rsidRPr="006E026B" w:rsidRDefault="0074005C" w:rsidP="001B7E1F">
      <w:pPr>
        <w:spacing w:after="0" w:line="360" w:lineRule="auto"/>
        <w:rPr>
          <w:rFonts w:ascii="Arial" w:hAnsi="Arial" w:cs="Arial"/>
          <w:b/>
          <w:sz w:val="24"/>
          <w:szCs w:val="24"/>
        </w:rPr>
      </w:pPr>
      <w:r>
        <w:rPr>
          <w:rFonts w:ascii="Arial" w:hAnsi="Arial" w:cs="Arial"/>
          <w:b/>
          <w:bCs/>
          <w:sz w:val="24"/>
          <w:szCs w:val="24"/>
        </w:rPr>
        <w:t>Reserved</w:t>
      </w:r>
      <w:r w:rsidR="001B7E1F" w:rsidRPr="006E026B">
        <w:rPr>
          <w:rFonts w:ascii="Arial" w:hAnsi="Arial" w:cs="Arial"/>
          <w:sz w:val="24"/>
          <w:szCs w:val="24"/>
        </w:rPr>
        <w:t>:</w:t>
      </w:r>
      <w:r w:rsidR="001B7E1F" w:rsidRPr="006E026B">
        <w:rPr>
          <w:rFonts w:ascii="Arial" w:hAnsi="Arial" w:cs="Arial"/>
          <w:sz w:val="24"/>
          <w:szCs w:val="24"/>
        </w:rPr>
        <w:tab/>
      </w:r>
      <w:r>
        <w:rPr>
          <w:rFonts w:ascii="Arial" w:hAnsi="Arial" w:cs="Arial"/>
          <w:b/>
          <w:sz w:val="24"/>
          <w:szCs w:val="24"/>
        </w:rPr>
        <w:t>21</w:t>
      </w:r>
      <w:r w:rsidR="001B7E1F" w:rsidRPr="001B7E1F">
        <w:rPr>
          <w:rFonts w:ascii="Arial" w:hAnsi="Arial" w:cs="Arial"/>
          <w:b/>
          <w:sz w:val="24"/>
          <w:szCs w:val="24"/>
        </w:rPr>
        <w:t xml:space="preserve"> </w:t>
      </w:r>
      <w:r>
        <w:rPr>
          <w:rFonts w:ascii="Arial" w:hAnsi="Arial" w:cs="Arial"/>
          <w:b/>
          <w:sz w:val="24"/>
          <w:szCs w:val="24"/>
        </w:rPr>
        <w:t>July</w:t>
      </w:r>
      <w:r w:rsidR="001B7E1F" w:rsidRPr="001B7E1F">
        <w:rPr>
          <w:rFonts w:ascii="Arial" w:hAnsi="Arial" w:cs="Arial"/>
          <w:b/>
          <w:sz w:val="24"/>
          <w:szCs w:val="24"/>
        </w:rPr>
        <w:t xml:space="preserve"> 20</w:t>
      </w:r>
      <w:r w:rsidR="008350C7">
        <w:rPr>
          <w:rFonts w:ascii="Arial" w:hAnsi="Arial" w:cs="Arial"/>
          <w:b/>
          <w:sz w:val="24"/>
          <w:szCs w:val="24"/>
        </w:rPr>
        <w:t>20</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5B0DFA">
        <w:rPr>
          <w:rFonts w:ascii="Arial" w:hAnsi="Arial" w:cs="Arial"/>
          <w:b/>
          <w:sz w:val="24"/>
          <w:szCs w:val="24"/>
        </w:rPr>
        <w:t>2</w:t>
      </w:r>
      <w:r w:rsidR="008A0106">
        <w:rPr>
          <w:rFonts w:ascii="Arial" w:hAnsi="Arial" w:cs="Arial"/>
          <w:b/>
          <w:sz w:val="24"/>
          <w:szCs w:val="24"/>
        </w:rPr>
        <w:t>3</w:t>
      </w:r>
      <w:r w:rsidRPr="001B7E1F">
        <w:rPr>
          <w:rFonts w:ascii="Arial" w:hAnsi="Arial" w:cs="Arial"/>
          <w:b/>
          <w:sz w:val="24"/>
          <w:szCs w:val="24"/>
        </w:rPr>
        <w:t xml:space="preserve"> </w:t>
      </w:r>
      <w:r w:rsidR="00090FC9">
        <w:rPr>
          <w:rFonts w:ascii="Arial" w:hAnsi="Arial" w:cs="Arial"/>
          <w:b/>
          <w:sz w:val="24"/>
          <w:szCs w:val="24"/>
        </w:rPr>
        <w:t>February</w:t>
      </w:r>
      <w:r w:rsidRPr="001B7E1F">
        <w:rPr>
          <w:rFonts w:ascii="Arial" w:hAnsi="Arial" w:cs="Arial"/>
          <w:b/>
          <w:sz w:val="24"/>
          <w:szCs w:val="24"/>
        </w:rPr>
        <w:t xml:space="preserve"> 20</w:t>
      </w:r>
      <w:r w:rsidR="008350C7">
        <w:rPr>
          <w:rFonts w:ascii="Arial" w:hAnsi="Arial" w:cs="Arial"/>
          <w:b/>
          <w:sz w:val="24"/>
          <w:szCs w:val="24"/>
        </w:rPr>
        <w:t>2</w:t>
      </w:r>
      <w:r w:rsidR="0074005C">
        <w:rPr>
          <w:rFonts w:ascii="Arial" w:hAnsi="Arial" w:cs="Arial"/>
          <w:b/>
          <w:sz w:val="24"/>
          <w:szCs w:val="24"/>
        </w:rPr>
        <w:t>1</w:t>
      </w:r>
    </w:p>
    <w:p w:rsidR="00B22F12" w:rsidRDefault="00B22F12" w:rsidP="001B7E1F">
      <w:pPr>
        <w:spacing w:after="0" w:line="360" w:lineRule="auto"/>
        <w:jc w:val="both"/>
        <w:rPr>
          <w:rFonts w:ascii="Arial" w:hAnsi="Arial" w:cs="Arial"/>
          <w:b/>
          <w:sz w:val="24"/>
          <w:szCs w:val="24"/>
        </w:rPr>
      </w:pPr>
    </w:p>
    <w:p w:rsidR="00A7377E" w:rsidRPr="00A7377E" w:rsidRDefault="00822E88" w:rsidP="00090FC9">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A61DBC">
        <w:rPr>
          <w:rFonts w:ascii="Arial" w:hAnsi="Arial" w:cs="Arial"/>
          <w:sz w:val="24"/>
          <w:szCs w:val="24"/>
        </w:rPr>
        <w:t xml:space="preserve"> </w:t>
      </w:r>
      <w:r w:rsidR="00A7377E" w:rsidRPr="00A7377E">
        <w:rPr>
          <w:rFonts w:ascii="Arial" w:hAnsi="Arial" w:cs="Arial"/>
          <w:sz w:val="24"/>
          <w:szCs w:val="24"/>
        </w:rPr>
        <w:t>Labour Law – appeal against arbitration award – dismissal found</w:t>
      </w:r>
      <w:r w:rsidR="00070419">
        <w:rPr>
          <w:rFonts w:ascii="Arial" w:hAnsi="Arial" w:cs="Arial"/>
          <w:sz w:val="24"/>
          <w:szCs w:val="24"/>
        </w:rPr>
        <w:t xml:space="preserve"> to have been</w:t>
      </w:r>
      <w:r w:rsidR="00A7377E" w:rsidRPr="00A7377E">
        <w:rPr>
          <w:rFonts w:ascii="Arial" w:hAnsi="Arial" w:cs="Arial"/>
          <w:sz w:val="24"/>
          <w:szCs w:val="24"/>
        </w:rPr>
        <w:t xml:space="preserve"> procedurally unfair – </w:t>
      </w:r>
      <w:r w:rsidR="00E46A00" w:rsidRPr="00A7377E">
        <w:rPr>
          <w:rFonts w:ascii="Arial" w:hAnsi="Arial" w:cs="Arial"/>
          <w:sz w:val="24"/>
          <w:szCs w:val="24"/>
        </w:rPr>
        <w:t xml:space="preserve">finding of substantive unfairness by arbitrator not </w:t>
      </w:r>
      <w:r w:rsidR="00E46A00">
        <w:rPr>
          <w:rFonts w:ascii="Arial" w:hAnsi="Arial" w:cs="Arial"/>
          <w:sz w:val="24"/>
          <w:szCs w:val="24"/>
        </w:rPr>
        <w:t>considered</w:t>
      </w:r>
      <w:r w:rsidR="00E46A00" w:rsidRPr="00A7377E">
        <w:rPr>
          <w:rFonts w:ascii="Arial" w:hAnsi="Arial" w:cs="Arial"/>
          <w:sz w:val="24"/>
          <w:szCs w:val="24"/>
        </w:rPr>
        <w:t xml:space="preserve"> as the dismissal of the respondent in any event could not stand</w:t>
      </w:r>
      <w:r w:rsidR="00E46A00">
        <w:rPr>
          <w:rFonts w:ascii="Arial" w:hAnsi="Arial" w:cs="Arial"/>
          <w:sz w:val="24"/>
          <w:szCs w:val="24"/>
        </w:rPr>
        <w:t xml:space="preserve"> as the failure of the domestic tribunal to apply a fair procedure was sufficient - on its own in the circumstances of the case - to set it aside - as the failure to provide the respondent with the minutes of the informal ‘proceedings of 2 October’ and also the refusal to avail </w:t>
      </w:r>
      <w:r w:rsidR="00E46A00">
        <w:rPr>
          <w:rFonts w:ascii="Arial" w:hAnsi="Arial" w:cs="Arial"/>
          <w:sz w:val="24"/>
          <w:szCs w:val="24"/>
        </w:rPr>
        <w:lastRenderedPageBreak/>
        <w:t>the disciplinary code of conduct were fundamental irregularities which materially prejudiced the respondent’s ability to prepare and present her defence and also her case relating to an appropriate sanction, where, quite obviously, the offer of a ‘final warning’, would have been highly relevant</w:t>
      </w:r>
      <w:r w:rsidR="00E46A00" w:rsidRPr="002C1504">
        <w:rPr>
          <w:rFonts w:ascii="Arial" w:hAnsi="Arial" w:cs="Arial"/>
          <w:sz w:val="24"/>
          <w:szCs w:val="24"/>
        </w:rPr>
        <w:t xml:space="preserve"> and where the reason for the dismissal may</w:t>
      </w:r>
      <w:r w:rsidR="00E46A00">
        <w:rPr>
          <w:rFonts w:ascii="Arial" w:hAnsi="Arial" w:cs="Arial"/>
          <w:sz w:val="24"/>
          <w:szCs w:val="24"/>
        </w:rPr>
        <w:t xml:space="preserve"> thus</w:t>
      </w:r>
      <w:r w:rsidR="00E46A00" w:rsidRPr="002C1504">
        <w:rPr>
          <w:rFonts w:ascii="Arial" w:hAnsi="Arial" w:cs="Arial"/>
          <w:sz w:val="24"/>
          <w:szCs w:val="24"/>
        </w:rPr>
        <w:t xml:space="preserve"> very possibly have been the</w:t>
      </w:r>
      <w:r w:rsidR="00E46A00">
        <w:rPr>
          <w:rFonts w:ascii="Arial" w:hAnsi="Arial" w:cs="Arial"/>
          <w:sz w:val="24"/>
          <w:szCs w:val="24"/>
        </w:rPr>
        <w:t xml:space="preserve"> result of the irregular</w:t>
      </w:r>
      <w:r w:rsidR="00E46A00" w:rsidRPr="002C1504">
        <w:rPr>
          <w:rFonts w:ascii="Arial" w:hAnsi="Arial" w:cs="Arial"/>
          <w:sz w:val="24"/>
          <w:szCs w:val="24"/>
        </w:rPr>
        <w:t xml:space="preserve"> procedure</w:t>
      </w:r>
      <w:r w:rsidR="00E46A00">
        <w:rPr>
          <w:rFonts w:ascii="Arial" w:hAnsi="Arial" w:cs="Arial"/>
          <w:sz w:val="24"/>
          <w:szCs w:val="24"/>
        </w:rPr>
        <w:t xml:space="preserve"> that was followed</w:t>
      </w:r>
      <w:r w:rsidR="00E46A00" w:rsidRPr="002C1504">
        <w:rPr>
          <w:rFonts w:ascii="Arial" w:hAnsi="Arial" w:cs="Arial"/>
          <w:sz w:val="24"/>
          <w:szCs w:val="24"/>
        </w:rPr>
        <w:t>.</w:t>
      </w:r>
      <w:r w:rsidR="00E46A00">
        <w:rPr>
          <w:rFonts w:ascii="Arial" w:hAnsi="Arial"/>
          <w:sz w:val="24"/>
          <w:szCs w:val="24"/>
        </w:rPr>
        <w:t xml:space="preserve"> - I</w:t>
      </w:r>
      <w:r w:rsidR="00E46A00">
        <w:rPr>
          <w:rFonts w:ascii="Arial" w:hAnsi="Arial" w:cs="Arial"/>
          <w:sz w:val="24"/>
          <w:szCs w:val="24"/>
        </w:rPr>
        <w:t xml:space="preserve">n any event it was taken into account that – objectively speaking - there would have been hardly any prospects of success to sustain the substantive fairness of the dismissal in question as it would always have been difficult to sustain the conclusion that a continued working relationship between the parties had become impossible because of the theft of a laptop </w:t>
      </w:r>
      <w:r w:rsidR="008A0106">
        <w:rPr>
          <w:rFonts w:ascii="Arial" w:hAnsi="Arial" w:cs="Arial"/>
          <w:sz w:val="24"/>
          <w:szCs w:val="24"/>
        </w:rPr>
        <w:t>for which a</w:t>
      </w:r>
      <w:r w:rsidR="00E46A00">
        <w:rPr>
          <w:rFonts w:ascii="Arial" w:hAnsi="Arial" w:cs="Arial"/>
          <w:sz w:val="24"/>
          <w:szCs w:val="24"/>
        </w:rPr>
        <w:t xml:space="preserve"> third party</w:t>
      </w:r>
      <w:r w:rsidR="008A0106">
        <w:rPr>
          <w:rFonts w:ascii="Arial" w:hAnsi="Arial" w:cs="Arial"/>
          <w:sz w:val="24"/>
          <w:szCs w:val="24"/>
        </w:rPr>
        <w:t xml:space="preserve"> was to be blamed</w:t>
      </w:r>
      <w:r w:rsidR="00E46A00">
        <w:rPr>
          <w:rFonts w:ascii="Arial" w:hAnsi="Arial" w:cs="Arial"/>
          <w:sz w:val="24"/>
          <w:szCs w:val="24"/>
        </w:rPr>
        <w:t xml:space="preserve"> and that the resultant dismissal of the respondent was thus in such circumstances substantively fair.</w:t>
      </w:r>
      <w:r w:rsidR="00A7377E" w:rsidRPr="00A7377E">
        <w:rPr>
          <w:rFonts w:ascii="Arial" w:hAnsi="Arial" w:cs="Arial"/>
          <w:sz w:val="24"/>
          <w:szCs w:val="24"/>
        </w:rPr>
        <w:t xml:space="preserve"> In such circumstances</w:t>
      </w:r>
      <w:r w:rsidR="00E46A00">
        <w:rPr>
          <w:rFonts w:ascii="Arial" w:hAnsi="Arial" w:cs="Arial"/>
          <w:sz w:val="24"/>
          <w:szCs w:val="24"/>
        </w:rPr>
        <w:t xml:space="preserve"> </w:t>
      </w:r>
      <w:r w:rsidR="00A7377E" w:rsidRPr="00A7377E">
        <w:rPr>
          <w:rFonts w:ascii="Arial" w:hAnsi="Arial" w:cs="Arial"/>
          <w:sz w:val="24"/>
          <w:szCs w:val="24"/>
        </w:rPr>
        <w:t>a determination of the raised grounds of appeal relating to the substantive fairness of the</w:t>
      </w:r>
      <w:r w:rsidR="00E46A00">
        <w:rPr>
          <w:rFonts w:ascii="Arial" w:hAnsi="Arial" w:cs="Arial"/>
          <w:sz w:val="24"/>
          <w:szCs w:val="24"/>
        </w:rPr>
        <w:t xml:space="preserve"> disciplinary</w:t>
      </w:r>
      <w:r w:rsidR="00A7377E" w:rsidRPr="00A7377E">
        <w:rPr>
          <w:rFonts w:ascii="Arial" w:hAnsi="Arial" w:cs="Arial"/>
          <w:sz w:val="24"/>
          <w:szCs w:val="24"/>
        </w:rPr>
        <w:t xml:space="preserve"> process became academic and thus unnecessary</w:t>
      </w:r>
    </w:p>
    <w:p w:rsidR="00A7377E" w:rsidRPr="00A7377E" w:rsidRDefault="00A7377E" w:rsidP="00090FC9">
      <w:pPr>
        <w:spacing w:after="0" w:line="360" w:lineRule="auto"/>
        <w:jc w:val="both"/>
        <w:rPr>
          <w:rFonts w:ascii="Arial" w:hAnsi="Arial" w:cs="Arial"/>
          <w:sz w:val="24"/>
          <w:szCs w:val="24"/>
        </w:rPr>
      </w:pPr>
    </w:p>
    <w:p w:rsidR="00A7377E" w:rsidRPr="00A7377E" w:rsidRDefault="00A7377E" w:rsidP="00090FC9">
      <w:pPr>
        <w:spacing w:after="0" w:line="360" w:lineRule="auto"/>
        <w:jc w:val="both"/>
        <w:rPr>
          <w:rFonts w:ascii="Arial" w:hAnsi="Arial" w:cs="Arial"/>
          <w:sz w:val="24"/>
          <w:szCs w:val="24"/>
        </w:rPr>
      </w:pPr>
      <w:r w:rsidRPr="00A7377E">
        <w:rPr>
          <w:rFonts w:ascii="Arial" w:hAnsi="Arial" w:cs="Arial"/>
          <w:sz w:val="24"/>
          <w:szCs w:val="24"/>
        </w:rPr>
        <w:t>Labour Law – an arbitrator is duty bound to provide reasons also for the award that is made consequent to arbitration, particularly when awarding ‘compensation’. In casu the arbitrator failed to do so. This was found to be a material irregularity.</w:t>
      </w:r>
    </w:p>
    <w:p w:rsidR="00A7377E" w:rsidRPr="00A7377E" w:rsidRDefault="00A7377E" w:rsidP="00090FC9">
      <w:pPr>
        <w:spacing w:after="0" w:line="360" w:lineRule="auto"/>
        <w:jc w:val="both"/>
        <w:rPr>
          <w:rFonts w:ascii="Arial" w:hAnsi="Arial" w:cs="Arial"/>
          <w:sz w:val="24"/>
          <w:szCs w:val="24"/>
        </w:rPr>
      </w:pPr>
    </w:p>
    <w:p w:rsidR="00A7377E" w:rsidRPr="00A7377E" w:rsidRDefault="00A7377E" w:rsidP="00090FC9">
      <w:pPr>
        <w:spacing w:after="0" w:line="360" w:lineRule="auto"/>
        <w:jc w:val="both"/>
        <w:rPr>
          <w:rFonts w:ascii="Arial" w:hAnsi="Arial" w:cs="Arial"/>
          <w:sz w:val="24"/>
          <w:szCs w:val="24"/>
        </w:rPr>
      </w:pPr>
      <w:r w:rsidRPr="00A7377E">
        <w:rPr>
          <w:rFonts w:ascii="Arial" w:hAnsi="Arial" w:cs="Arial"/>
          <w:sz w:val="24"/>
          <w:szCs w:val="24"/>
        </w:rPr>
        <w:t>Question considered whether the court should in circumstances where the respondent’s dismissal was unfair but where the arbitrator had erred in not providing her reasons for awarding compensation and where each party had thus achieved a measure of success on appeal - simply dismiss the appeal or rather refer the question of the award back for reconsideration. As a referral back in such circumstances would do justice between the part</w:t>
      </w:r>
      <w:r w:rsidR="00070419">
        <w:rPr>
          <w:rFonts w:ascii="Arial" w:hAnsi="Arial" w:cs="Arial"/>
          <w:sz w:val="24"/>
          <w:szCs w:val="24"/>
        </w:rPr>
        <w:t>ies and as the powers of the Lab</w:t>
      </w:r>
      <w:r w:rsidRPr="00A7377E">
        <w:rPr>
          <w:rFonts w:ascii="Arial" w:hAnsi="Arial" w:cs="Arial"/>
          <w:sz w:val="24"/>
          <w:szCs w:val="24"/>
        </w:rPr>
        <w:t>our Court seemed wide enough to allow</w:t>
      </w:r>
      <w:r w:rsidR="00070419">
        <w:rPr>
          <w:rFonts w:ascii="Arial" w:hAnsi="Arial" w:cs="Arial"/>
          <w:sz w:val="24"/>
          <w:szCs w:val="24"/>
        </w:rPr>
        <w:t xml:space="preserve"> for</w:t>
      </w:r>
      <w:r w:rsidR="00452A61">
        <w:rPr>
          <w:rFonts w:ascii="Arial" w:hAnsi="Arial" w:cs="Arial"/>
          <w:sz w:val="24"/>
          <w:szCs w:val="24"/>
        </w:rPr>
        <w:t xml:space="preserve"> such a referral</w:t>
      </w:r>
      <w:r w:rsidR="005E7D52">
        <w:rPr>
          <w:rFonts w:ascii="Arial" w:hAnsi="Arial" w:cs="Arial"/>
          <w:sz w:val="24"/>
          <w:szCs w:val="24"/>
        </w:rPr>
        <w:t>,</w:t>
      </w:r>
      <w:r w:rsidRPr="00A7377E">
        <w:rPr>
          <w:rFonts w:ascii="Arial" w:hAnsi="Arial" w:cs="Arial"/>
          <w:sz w:val="24"/>
          <w:szCs w:val="24"/>
        </w:rPr>
        <w:t xml:space="preserve"> the matter was referred back to the Office of the Labour Commissioner for purposes of determining an appropriate award, flowing from the respondent’s unfair dismissal, afresh.</w:t>
      </w:r>
    </w:p>
    <w:p w:rsidR="00A61DBC" w:rsidRPr="00A61DBC" w:rsidRDefault="00A61DBC" w:rsidP="00090FC9">
      <w:pPr>
        <w:spacing w:after="0" w:line="360" w:lineRule="auto"/>
        <w:jc w:val="both"/>
        <w:rPr>
          <w:rFonts w:ascii="Arial" w:hAnsi="Arial" w:cs="Arial"/>
          <w:sz w:val="24"/>
          <w:szCs w:val="24"/>
        </w:rPr>
      </w:pPr>
    </w:p>
    <w:p w:rsidR="00A61DBC" w:rsidRDefault="00B66966" w:rsidP="00090FC9">
      <w:pPr>
        <w:spacing w:after="0" w:line="360" w:lineRule="auto"/>
        <w:jc w:val="both"/>
        <w:rPr>
          <w:rFonts w:ascii="Arial" w:hAnsi="Arial" w:cs="Arial"/>
          <w:sz w:val="24"/>
          <w:szCs w:val="24"/>
        </w:rPr>
      </w:pPr>
      <w:r w:rsidRPr="00D43E68">
        <w:rPr>
          <w:rFonts w:ascii="Arial" w:hAnsi="Arial" w:cs="Arial"/>
          <w:b/>
          <w:sz w:val="24"/>
          <w:szCs w:val="24"/>
        </w:rPr>
        <w:t>Summary</w:t>
      </w:r>
      <w:r w:rsidRPr="008F578C">
        <w:rPr>
          <w:rFonts w:ascii="Arial" w:hAnsi="Arial" w:cs="Arial"/>
          <w:sz w:val="24"/>
          <w:szCs w:val="24"/>
        </w:rPr>
        <w:t xml:space="preserve">: </w:t>
      </w:r>
      <w:r w:rsidR="001D6B48">
        <w:rPr>
          <w:rFonts w:ascii="Arial" w:hAnsi="Arial" w:cs="Arial"/>
          <w:sz w:val="24"/>
          <w:szCs w:val="24"/>
        </w:rPr>
        <w:t>The facts appear from the judgment.</w:t>
      </w:r>
    </w:p>
    <w:p w:rsidR="00B22F12" w:rsidRDefault="00B22F12" w:rsidP="00090FC9">
      <w:pPr>
        <w:spacing w:after="0" w:line="360" w:lineRule="auto"/>
        <w:jc w:val="both"/>
        <w:rPr>
          <w:rFonts w:ascii="Arial" w:hAnsi="Arial" w:cs="Arial"/>
          <w:bCs/>
          <w:sz w:val="24"/>
          <w:szCs w:val="24"/>
        </w:rPr>
      </w:pPr>
    </w:p>
    <w:p w:rsidR="001B7E1F" w:rsidRPr="006E026B" w:rsidRDefault="001B583E" w:rsidP="00090FC9">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1B583E"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87AE7" w:rsidRDefault="00C87AE7" w:rsidP="00BC7729">
      <w:pPr>
        <w:spacing w:after="0" w:line="360" w:lineRule="auto"/>
        <w:jc w:val="both"/>
        <w:rPr>
          <w:rFonts w:ascii="Arial" w:eastAsia="Times New Roman" w:hAnsi="Arial" w:cs="Arial"/>
          <w:bCs/>
          <w:sz w:val="24"/>
          <w:szCs w:val="24"/>
          <w:lang w:val="en-GB"/>
        </w:rPr>
      </w:pPr>
    </w:p>
    <w:p w:rsidR="00A7377E" w:rsidRDefault="00A7377E" w:rsidP="00A7377E">
      <w:pPr>
        <w:pStyle w:val="ListParagraph"/>
        <w:widowControl/>
        <w:numPr>
          <w:ilvl w:val="0"/>
          <w:numId w:val="45"/>
        </w:numPr>
        <w:autoSpaceDE/>
        <w:autoSpaceDN/>
        <w:adjustRightInd/>
        <w:spacing w:line="360" w:lineRule="auto"/>
        <w:ind w:hanging="720"/>
        <w:contextualSpacing/>
        <w:jc w:val="both"/>
        <w:rPr>
          <w:rFonts w:cs="Arial"/>
        </w:rPr>
      </w:pPr>
      <w:r w:rsidRPr="00AE7D02">
        <w:rPr>
          <w:rFonts w:cs="Arial"/>
        </w:rPr>
        <w:lastRenderedPageBreak/>
        <w:t>The arbitration award, made by Ms Fabiola Katjivena, on 23 December 2018, is set aside in part; more particularly paragraphs 2 and 3 of her ruling are hereby set aside;</w:t>
      </w:r>
    </w:p>
    <w:p w:rsidR="00A7377E" w:rsidRPr="00AE7D02" w:rsidRDefault="00A7377E" w:rsidP="00A7377E">
      <w:pPr>
        <w:spacing w:after="0" w:line="360" w:lineRule="auto"/>
        <w:ind w:hanging="720"/>
        <w:jc w:val="both"/>
        <w:rPr>
          <w:rFonts w:ascii="Arial" w:hAnsi="Arial" w:cs="Arial"/>
        </w:rPr>
      </w:pPr>
    </w:p>
    <w:p w:rsidR="00A7377E" w:rsidRPr="00AE7D02" w:rsidRDefault="00A7377E" w:rsidP="00A7377E">
      <w:pPr>
        <w:pStyle w:val="ListParagraph"/>
        <w:widowControl/>
        <w:numPr>
          <w:ilvl w:val="0"/>
          <w:numId w:val="45"/>
        </w:numPr>
        <w:autoSpaceDE/>
        <w:autoSpaceDN/>
        <w:adjustRightInd/>
        <w:spacing w:line="360" w:lineRule="auto"/>
        <w:ind w:hanging="720"/>
        <w:contextualSpacing/>
        <w:jc w:val="both"/>
        <w:rPr>
          <w:rFonts w:cs="Arial"/>
        </w:rPr>
      </w:pPr>
      <w:r w:rsidRPr="00AE7D02">
        <w:rPr>
          <w:rFonts w:cs="Arial"/>
        </w:rPr>
        <w:t>The matter is referred back to the Office of the Labour Commissioner for purposes determining an appropriate award, flowing from the respondent’s unfair dismissal, afresh</w:t>
      </w:r>
      <w:r>
        <w:rPr>
          <w:rFonts w:cs="Arial"/>
        </w:rPr>
        <w:t>.</w:t>
      </w:r>
    </w:p>
    <w:p w:rsidR="005C3987" w:rsidRDefault="005C3987" w:rsidP="0002271D">
      <w:pPr>
        <w:spacing w:after="0" w:line="240" w:lineRule="auto"/>
        <w:jc w:val="both"/>
        <w:rPr>
          <w:rFonts w:ascii="Arial" w:hAnsi="Arial" w:cs="Arial"/>
          <w:sz w:val="24"/>
          <w:szCs w:val="24"/>
        </w:rPr>
      </w:pPr>
    </w:p>
    <w:p w:rsidR="001B7E1F" w:rsidRPr="006E026B" w:rsidRDefault="001B583E"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1B583E"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090FC9" w:rsidRDefault="001B7E1F" w:rsidP="00090FC9">
      <w:pPr>
        <w:spacing w:after="0" w:line="360" w:lineRule="auto"/>
        <w:ind w:left="1440" w:hanging="1440"/>
        <w:jc w:val="both"/>
        <w:rPr>
          <w:rFonts w:ascii="Arial" w:hAnsi="Arial" w:cs="Arial"/>
          <w:sz w:val="24"/>
          <w:szCs w:val="24"/>
        </w:rPr>
      </w:pPr>
    </w:p>
    <w:p w:rsidR="008D5B73" w:rsidRPr="00090FC9" w:rsidRDefault="008B76F1" w:rsidP="00090FC9">
      <w:pPr>
        <w:spacing w:after="0" w:line="360" w:lineRule="auto"/>
        <w:jc w:val="both"/>
        <w:rPr>
          <w:rFonts w:ascii="Arial" w:hAnsi="Arial" w:cs="Arial"/>
          <w:sz w:val="24"/>
          <w:szCs w:val="24"/>
        </w:rPr>
      </w:pPr>
      <w:r w:rsidRPr="00090FC9">
        <w:rPr>
          <w:rFonts w:ascii="Arial" w:hAnsi="Arial" w:cs="Arial"/>
          <w:sz w:val="24"/>
          <w:szCs w:val="24"/>
        </w:rPr>
        <w:t>GEIER</w:t>
      </w:r>
      <w:r w:rsidR="00741B0B" w:rsidRPr="00090FC9">
        <w:rPr>
          <w:rFonts w:ascii="Arial" w:hAnsi="Arial" w:cs="Arial"/>
          <w:sz w:val="24"/>
          <w:szCs w:val="24"/>
        </w:rPr>
        <w:t xml:space="preserve"> </w:t>
      </w:r>
      <w:r w:rsidR="00261313" w:rsidRPr="00090FC9">
        <w:rPr>
          <w:rFonts w:ascii="Arial" w:hAnsi="Arial" w:cs="Arial"/>
          <w:sz w:val="24"/>
          <w:szCs w:val="24"/>
        </w:rPr>
        <w:t>J</w:t>
      </w:r>
      <w:r w:rsidR="00484780" w:rsidRPr="00090FC9">
        <w:rPr>
          <w:rFonts w:ascii="Arial" w:hAnsi="Arial" w:cs="Arial"/>
          <w:sz w:val="24"/>
          <w:szCs w:val="24"/>
        </w:rPr>
        <w:t>:</w:t>
      </w:r>
      <w:r w:rsidR="008D5B73" w:rsidRPr="00090FC9">
        <w:rPr>
          <w:rFonts w:ascii="Arial" w:hAnsi="Arial" w:cs="Arial"/>
          <w:sz w:val="24"/>
          <w:szCs w:val="24"/>
        </w:rPr>
        <w:t xml:space="preserve">  </w:t>
      </w:r>
    </w:p>
    <w:p w:rsidR="00AA3150" w:rsidRPr="00090FC9" w:rsidRDefault="00AA3150"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90FC9">
        <w:rPr>
          <w:rFonts w:ascii="Arial" w:hAnsi="Arial" w:cs="Arial"/>
          <w:sz w:val="24"/>
          <w:szCs w:val="24"/>
        </w:rPr>
        <w:t>1</w:t>
      </w:r>
      <w:r w:rsidR="00DE417B">
        <w:rPr>
          <w:rFonts w:ascii="Arial" w:hAnsi="Arial" w:cs="Arial"/>
          <w:sz w:val="24"/>
          <w:szCs w:val="24"/>
        </w:rPr>
        <w:t>]</w:t>
      </w:r>
      <w:r w:rsidR="00DE417B">
        <w:rPr>
          <w:rFonts w:ascii="Arial" w:hAnsi="Arial" w:cs="Arial"/>
          <w:sz w:val="24"/>
          <w:szCs w:val="24"/>
        </w:rPr>
        <w:tab/>
        <w:t>This appeal cent</w:t>
      </w:r>
      <w:r w:rsidRPr="00090FC9">
        <w:rPr>
          <w:rFonts w:ascii="Arial" w:hAnsi="Arial" w:cs="Arial"/>
          <w:sz w:val="24"/>
          <w:szCs w:val="24"/>
        </w:rPr>
        <w:t>e</w:t>
      </w:r>
      <w:r w:rsidR="00DE417B">
        <w:rPr>
          <w:rFonts w:ascii="Arial" w:hAnsi="Arial" w:cs="Arial"/>
          <w:sz w:val="24"/>
          <w:szCs w:val="24"/>
        </w:rPr>
        <w:t>r</w:t>
      </w:r>
      <w:r w:rsidRPr="00090FC9">
        <w:rPr>
          <w:rFonts w:ascii="Arial" w:hAnsi="Arial" w:cs="Arial"/>
          <w:sz w:val="24"/>
          <w:szCs w:val="24"/>
        </w:rPr>
        <w:t>s around the theft of a laptop, which cost the respondent her job.</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90FC9">
        <w:rPr>
          <w:rFonts w:ascii="Arial" w:hAnsi="Arial" w:cs="Arial"/>
          <w:sz w:val="24"/>
          <w:szCs w:val="24"/>
        </w:rPr>
        <w:t>2</w:t>
      </w:r>
      <w:r w:rsidRPr="00090FC9">
        <w:rPr>
          <w:rFonts w:ascii="Arial" w:hAnsi="Arial" w:cs="Arial"/>
          <w:sz w:val="24"/>
          <w:szCs w:val="24"/>
        </w:rPr>
        <w:t>]</w:t>
      </w:r>
      <w:r w:rsidRPr="00090FC9">
        <w:rPr>
          <w:rFonts w:ascii="Arial" w:hAnsi="Arial" w:cs="Arial"/>
          <w:sz w:val="24"/>
          <w:szCs w:val="24"/>
        </w:rPr>
        <w:tab/>
        <w:t>Viewed objectively</w:t>
      </w:r>
      <w:r w:rsidR="0068074A">
        <w:rPr>
          <w:rFonts w:ascii="Arial" w:hAnsi="Arial" w:cs="Arial"/>
          <w:sz w:val="24"/>
          <w:szCs w:val="24"/>
        </w:rPr>
        <w:t>,</w:t>
      </w:r>
      <w:r w:rsidRPr="00090FC9">
        <w:rPr>
          <w:rFonts w:ascii="Arial" w:hAnsi="Arial" w:cs="Arial"/>
          <w:sz w:val="24"/>
          <w:szCs w:val="24"/>
        </w:rPr>
        <w:t xml:space="preserve"> this result</w:t>
      </w:r>
      <w:r w:rsidR="00DE417B">
        <w:rPr>
          <w:rFonts w:ascii="Arial" w:hAnsi="Arial" w:cs="Arial"/>
          <w:sz w:val="24"/>
          <w:szCs w:val="24"/>
        </w:rPr>
        <w:t>, immediately,</w:t>
      </w:r>
      <w:r w:rsidRPr="00090FC9">
        <w:rPr>
          <w:rFonts w:ascii="Arial" w:hAnsi="Arial" w:cs="Arial"/>
          <w:sz w:val="24"/>
          <w:szCs w:val="24"/>
        </w:rPr>
        <w:t xml:space="preserve"> seems extraordinarily harsh.</w:t>
      </w:r>
    </w:p>
    <w:p w:rsidR="00A7377E" w:rsidRPr="00090FC9" w:rsidRDefault="00A7377E" w:rsidP="00090FC9">
      <w:pPr>
        <w:spacing w:after="0" w:line="360" w:lineRule="auto"/>
        <w:jc w:val="both"/>
        <w:rPr>
          <w:rFonts w:ascii="Arial" w:hAnsi="Arial" w:cs="Arial"/>
          <w:sz w:val="24"/>
          <w:szCs w:val="24"/>
        </w:rPr>
      </w:pPr>
    </w:p>
    <w:p w:rsidR="00A7377E" w:rsidRPr="00090FC9" w:rsidRDefault="00090FC9" w:rsidP="00090FC9">
      <w:pPr>
        <w:spacing w:after="0" w:line="360" w:lineRule="auto"/>
        <w:jc w:val="both"/>
        <w:rPr>
          <w:rFonts w:ascii="Arial" w:hAnsi="Arial" w:cs="Arial"/>
          <w:sz w:val="24"/>
          <w:szCs w:val="24"/>
        </w:rPr>
      </w:pPr>
      <w:r>
        <w:rPr>
          <w:rFonts w:ascii="Arial" w:hAnsi="Arial" w:cs="Arial"/>
          <w:sz w:val="24"/>
          <w:szCs w:val="24"/>
        </w:rPr>
        <w:t>[3</w:t>
      </w:r>
      <w:r w:rsidR="00A7377E" w:rsidRPr="00090FC9">
        <w:rPr>
          <w:rFonts w:ascii="Arial" w:hAnsi="Arial" w:cs="Arial"/>
          <w:sz w:val="24"/>
          <w:szCs w:val="24"/>
        </w:rPr>
        <w:t>]</w:t>
      </w:r>
      <w:r w:rsidR="00A7377E" w:rsidRPr="00090FC9">
        <w:rPr>
          <w:rFonts w:ascii="Arial" w:hAnsi="Arial" w:cs="Arial"/>
          <w:sz w:val="24"/>
          <w:szCs w:val="24"/>
        </w:rPr>
        <w:tab/>
        <w:t xml:space="preserve">Nevertheless it is this result which the </w:t>
      </w:r>
      <w:r w:rsidR="00A7377E" w:rsidRPr="00090FC9">
        <w:rPr>
          <w:rFonts w:ascii="Arial" w:hAnsi="Arial" w:cs="Arial"/>
          <w:i/>
          <w:sz w:val="24"/>
          <w:szCs w:val="24"/>
        </w:rPr>
        <w:t>Namibia Employers Association</w:t>
      </w:r>
      <w:r w:rsidR="00A7377E" w:rsidRPr="00090FC9">
        <w:rPr>
          <w:rFonts w:ascii="Arial" w:hAnsi="Arial" w:cs="Arial"/>
          <w:sz w:val="24"/>
          <w:szCs w:val="24"/>
        </w:rPr>
        <w:t xml:space="preserve"> – the appellant in th</w:t>
      </w:r>
      <w:r w:rsidR="00DE417B">
        <w:rPr>
          <w:rFonts w:ascii="Arial" w:hAnsi="Arial" w:cs="Arial"/>
          <w:sz w:val="24"/>
          <w:szCs w:val="24"/>
        </w:rPr>
        <w:t>is instance - wishes to perpetuate</w:t>
      </w:r>
      <w:r w:rsidR="00A7377E" w:rsidRPr="00090FC9">
        <w:rPr>
          <w:rFonts w:ascii="Arial" w:hAnsi="Arial" w:cs="Arial"/>
          <w:sz w:val="24"/>
          <w:szCs w:val="24"/>
        </w:rPr>
        <w:t xml:space="preserve"> – and - which it managed to achieve through the respondent’s dismissal after internal disciplinary action – which however was subsequently undone by an arbitration award – delivered on 23 December 2019 by Ms Fabiola Katjivena – as it reversed the dismissal and awarded compensation</w:t>
      </w:r>
      <w:r w:rsidR="0068074A" w:rsidRPr="0068074A">
        <w:rPr>
          <w:rFonts w:ascii="Arial" w:hAnsi="Arial" w:cs="Arial"/>
          <w:sz w:val="24"/>
          <w:szCs w:val="24"/>
        </w:rPr>
        <w:t xml:space="preserve"> </w:t>
      </w:r>
      <w:r w:rsidR="0068074A" w:rsidRPr="00090FC9">
        <w:rPr>
          <w:rFonts w:ascii="Arial" w:hAnsi="Arial" w:cs="Arial"/>
          <w:sz w:val="24"/>
          <w:szCs w:val="24"/>
        </w:rPr>
        <w:t>to the respondent</w:t>
      </w:r>
      <w:r w:rsidR="00A7377E" w:rsidRPr="00090FC9">
        <w:rPr>
          <w:rFonts w:ascii="Arial" w:hAnsi="Arial" w:cs="Arial"/>
          <w:sz w:val="24"/>
          <w:szCs w:val="24"/>
        </w:rPr>
        <w:t xml:space="preserve"> in the amount of N$ 300 000.00, being the equivalent of 12 months’ salary.</w:t>
      </w:r>
    </w:p>
    <w:p w:rsidR="00A7377E" w:rsidRPr="00090FC9" w:rsidRDefault="00A7377E" w:rsidP="00090FC9">
      <w:pPr>
        <w:spacing w:after="0" w:line="360" w:lineRule="auto"/>
        <w:jc w:val="both"/>
        <w:rPr>
          <w:rFonts w:ascii="Arial" w:hAnsi="Arial" w:cs="Arial"/>
          <w:sz w:val="24"/>
          <w:szCs w:val="24"/>
        </w:rPr>
      </w:pPr>
    </w:p>
    <w:p w:rsidR="00A7377E" w:rsidRPr="00090FC9" w:rsidRDefault="00090FC9" w:rsidP="00090FC9">
      <w:pPr>
        <w:spacing w:after="0" w:line="360" w:lineRule="auto"/>
        <w:jc w:val="both"/>
        <w:rPr>
          <w:rFonts w:ascii="Arial" w:hAnsi="Arial" w:cs="Arial"/>
          <w:sz w:val="24"/>
          <w:szCs w:val="24"/>
        </w:rPr>
      </w:pPr>
      <w:r>
        <w:rPr>
          <w:rFonts w:ascii="Arial" w:hAnsi="Arial" w:cs="Arial"/>
          <w:sz w:val="24"/>
          <w:szCs w:val="24"/>
        </w:rPr>
        <w:t>[4</w:t>
      </w:r>
      <w:r w:rsidR="00A7377E" w:rsidRPr="00090FC9">
        <w:rPr>
          <w:rFonts w:ascii="Arial" w:hAnsi="Arial" w:cs="Arial"/>
          <w:sz w:val="24"/>
          <w:szCs w:val="24"/>
        </w:rPr>
        <w:t>]</w:t>
      </w:r>
      <w:r w:rsidR="00A7377E" w:rsidRPr="00090FC9">
        <w:rPr>
          <w:rFonts w:ascii="Arial" w:hAnsi="Arial" w:cs="Arial"/>
          <w:sz w:val="24"/>
          <w:szCs w:val="24"/>
        </w:rPr>
        <w:tab/>
        <w:t xml:space="preserve">The loss of the lap top occurred on 31 August 2018. </w:t>
      </w:r>
    </w:p>
    <w:p w:rsidR="00A7377E" w:rsidRPr="00090FC9" w:rsidRDefault="00A7377E" w:rsidP="00090FC9">
      <w:pPr>
        <w:spacing w:after="0" w:line="360" w:lineRule="auto"/>
        <w:jc w:val="both"/>
        <w:rPr>
          <w:rFonts w:ascii="Arial" w:hAnsi="Arial" w:cs="Arial"/>
          <w:sz w:val="24"/>
          <w:szCs w:val="24"/>
        </w:rPr>
      </w:pPr>
    </w:p>
    <w:p w:rsidR="00A7377E" w:rsidRPr="00090FC9" w:rsidRDefault="00090FC9" w:rsidP="00090FC9">
      <w:pPr>
        <w:spacing w:after="0" w:line="360" w:lineRule="auto"/>
        <w:jc w:val="both"/>
        <w:rPr>
          <w:rFonts w:ascii="Arial" w:hAnsi="Arial" w:cs="Arial"/>
          <w:sz w:val="24"/>
          <w:szCs w:val="24"/>
        </w:rPr>
      </w:pPr>
      <w:r>
        <w:rPr>
          <w:rFonts w:ascii="Arial" w:hAnsi="Arial" w:cs="Arial"/>
          <w:sz w:val="24"/>
          <w:szCs w:val="24"/>
        </w:rPr>
        <w:t>[5</w:t>
      </w:r>
      <w:r w:rsidR="00A7377E" w:rsidRPr="00090FC9">
        <w:rPr>
          <w:rFonts w:ascii="Arial" w:hAnsi="Arial" w:cs="Arial"/>
          <w:sz w:val="24"/>
          <w:szCs w:val="24"/>
        </w:rPr>
        <w:t>]</w:t>
      </w:r>
      <w:r w:rsidR="00A7377E" w:rsidRPr="00090FC9">
        <w:rPr>
          <w:rFonts w:ascii="Arial" w:hAnsi="Arial" w:cs="Arial"/>
          <w:sz w:val="24"/>
          <w:szCs w:val="24"/>
        </w:rPr>
        <w:tab/>
        <w:t>In order to avoid a formal disciplinary hearing</w:t>
      </w:r>
      <w:r w:rsidR="0068074A">
        <w:rPr>
          <w:rFonts w:ascii="Arial" w:hAnsi="Arial" w:cs="Arial"/>
          <w:sz w:val="24"/>
          <w:szCs w:val="24"/>
        </w:rPr>
        <w:t xml:space="preserve"> -</w:t>
      </w:r>
      <w:r w:rsidR="00A7377E" w:rsidRPr="00090FC9">
        <w:rPr>
          <w:rFonts w:ascii="Arial" w:hAnsi="Arial" w:cs="Arial"/>
          <w:sz w:val="24"/>
          <w:szCs w:val="24"/>
        </w:rPr>
        <w:t xml:space="preserve"> and after a meeting with certain representatives of the appellant</w:t>
      </w:r>
      <w:r w:rsidR="0068074A">
        <w:rPr>
          <w:rFonts w:ascii="Arial" w:hAnsi="Arial" w:cs="Arial"/>
          <w:sz w:val="24"/>
          <w:szCs w:val="24"/>
        </w:rPr>
        <w:t xml:space="preserve"> - it was agreed that the respondent</w:t>
      </w:r>
      <w:r w:rsidR="00A7377E" w:rsidRPr="00090FC9">
        <w:rPr>
          <w:rFonts w:ascii="Arial" w:hAnsi="Arial" w:cs="Arial"/>
          <w:sz w:val="24"/>
          <w:szCs w:val="24"/>
        </w:rPr>
        <w:t xml:space="preserve"> should receive a sanction. The respondent was then informed on 4 October 2018 that this sanction would come in the form of a final warning.</w:t>
      </w:r>
    </w:p>
    <w:p w:rsidR="00A7377E" w:rsidRPr="00090FC9" w:rsidRDefault="00A7377E" w:rsidP="00090FC9">
      <w:pPr>
        <w:spacing w:after="0" w:line="360" w:lineRule="auto"/>
        <w:jc w:val="both"/>
        <w:rPr>
          <w:rFonts w:ascii="Arial" w:hAnsi="Arial" w:cs="Arial"/>
          <w:sz w:val="24"/>
          <w:szCs w:val="24"/>
        </w:rPr>
      </w:pPr>
    </w:p>
    <w:p w:rsidR="00A7377E" w:rsidRPr="00090FC9" w:rsidRDefault="00090FC9" w:rsidP="00090FC9">
      <w:pPr>
        <w:spacing w:after="0" w:line="360" w:lineRule="auto"/>
        <w:jc w:val="both"/>
        <w:rPr>
          <w:rFonts w:ascii="Arial" w:hAnsi="Arial" w:cs="Arial"/>
          <w:sz w:val="24"/>
          <w:szCs w:val="24"/>
        </w:rPr>
      </w:pPr>
      <w:r>
        <w:rPr>
          <w:rFonts w:ascii="Arial" w:hAnsi="Arial" w:cs="Arial"/>
          <w:sz w:val="24"/>
          <w:szCs w:val="24"/>
        </w:rPr>
        <w:lastRenderedPageBreak/>
        <w:t>[6</w:t>
      </w:r>
      <w:r w:rsidR="00A7377E" w:rsidRPr="00090FC9">
        <w:rPr>
          <w:rFonts w:ascii="Arial" w:hAnsi="Arial" w:cs="Arial"/>
          <w:sz w:val="24"/>
          <w:szCs w:val="24"/>
        </w:rPr>
        <w:t>]</w:t>
      </w:r>
      <w:r w:rsidR="00A7377E" w:rsidRPr="00090FC9">
        <w:rPr>
          <w:rFonts w:ascii="Arial" w:hAnsi="Arial" w:cs="Arial"/>
          <w:sz w:val="24"/>
          <w:szCs w:val="24"/>
        </w:rPr>
        <w:tab/>
        <w:t>Ironically the respondent rejected this offer and opted that formal disciplinary action be taken against her. This disciplinary action then, as mentioned above, resulted in her dismissal on 19 November 2018, which dismissal was then reversed on 23 December 2019 consequent to arbitration and against which award an appeal was subsequently noted on 21 January 2020.</w:t>
      </w:r>
    </w:p>
    <w:p w:rsidR="00A7377E" w:rsidRPr="00090FC9" w:rsidRDefault="00A7377E" w:rsidP="00090FC9">
      <w:pPr>
        <w:spacing w:after="0" w:line="360" w:lineRule="auto"/>
        <w:jc w:val="both"/>
        <w:rPr>
          <w:rFonts w:ascii="Arial" w:hAnsi="Arial" w:cs="Arial"/>
          <w:sz w:val="24"/>
          <w:szCs w:val="24"/>
        </w:rPr>
      </w:pPr>
    </w:p>
    <w:p w:rsidR="00A7377E" w:rsidRPr="00090FC9" w:rsidRDefault="00090FC9" w:rsidP="00090FC9">
      <w:pPr>
        <w:spacing w:after="0" w:line="360" w:lineRule="auto"/>
        <w:jc w:val="both"/>
        <w:rPr>
          <w:rFonts w:ascii="Arial" w:hAnsi="Arial" w:cs="Arial"/>
          <w:sz w:val="24"/>
          <w:szCs w:val="24"/>
        </w:rPr>
      </w:pPr>
      <w:r>
        <w:rPr>
          <w:rFonts w:ascii="Arial" w:hAnsi="Arial" w:cs="Arial"/>
          <w:sz w:val="24"/>
          <w:szCs w:val="24"/>
        </w:rPr>
        <w:t>[7</w:t>
      </w:r>
      <w:r w:rsidR="00A7377E" w:rsidRPr="00090FC9">
        <w:rPr>
          <w:rFonts w:ascii="Arial" w:hAnsi="Arial" w:cs="Arial"/>
          <w:sz w:val="24"/>
          <w:szCs w:val="24"/>
        </w:rPr>
        <w:t>]</w:t>
      </w:r>
      <w:r w:rsidR="00A7377E" w:rsidRPr="00090FC9">
        <w:rPr>
          <w:rFonts w:ascii="Arial" w:hAnsi="Arial" w:cs="Arial"/>
          <w:sz w:val="24"/>
          <w:szCs w:val="24"/>
        </w:rPr>
        <w:tab/>
        <w:t xml:space="preserve">In this appeal the appellant then raised the following </w:t>
      </w:r>
      <w:r w:rsidR="0002271D" w:rsidRPr="00090FC9">
        <w:rPr>
          <w:rFonts w:ascii="Arial" w:hAnsi="Arial" w:cs="Arial"/>
          <w:sz w:val="24"/>
          <w:szCs w:val="24"/>
        </w:rPr>
        <w:t>questions:</w:t>
      </w:r>
    </w:p>
    <w:p w:rsidR="00A7377E" w:rsidRPr="00090FC9" w:rsidRDefault="00A7377E" w:rsidP="00090FC9">
      <w:pPr>
        <w:spacing w:after="0" w:line="360" w:lineRule="auto"/>
        <w:jc w:val="both"/>
        <w:rPr>
          <w:rFonts w:ascii="Arial" w:hAnsi="Arial" w:cs="Arial"/>
          <w:sz w:val="24"/>
          <w:szCs w:val="24"/>
          <w:lang w:eastAsia="en-GB"/>
        </w:rPr>
      </w:pPr>
    </w:p>
    <w:p w:rsidR="00A7377E" w:rsidRPr="00090FC9" w:rsidRDefault="00090FC9" w:rsidP="00090FC9">
      <w:pPr>
        <w:pStyle w:val="ListParagraph"/>
        <w:widowControl/>
        <w:autoSpaceDE/>
        <w:autoSpaceDN/>
        <w:adjustRightInd/>
        <w:spacing w:line="360" w:lineRule="auto"/>
        <w:ind w:left="0" w:right="-46" w:firstLine="720"/>
        <w:jc w:val="both"/>
        <w:rPr>
          <w:rFonts w:cs="Arial"/>
          <w:sz w:val="22"/>
          <w:szCs w:val="22"/>
        </w:rPr>
      </w:pPr>
      <w:r w:rsidRPr="00090FC9">
        <w:rPr>
          <w:rFonts w:cs="Arial"/>
          <w:sz w:val="22"/>
          <w:szCs w:val="22"/>
        </w:rPr>
        <w:t>‘(a)</w:t>
      </w:r>
      <w:r w:rsidRPr="00090FC9">
        <w:rPr>
          <w:rFonts w:cs="Arial"/>
          <w:sz w:val="22"/>
          <w:szCs w:val="22"/>
        </w:rPr>
        <w:tab/>
      </w:r>
      <w:r w:rsidR="00A7377E" w:rsidRPr="00090FC9">
        <w:rPr>
          <w:rFonts w:cs="Arial"/>
          <w:sz w:val="22"/>
          <w:szCs w:val="22"/>
        </w:rPr>
        <w:t xml:space="preserve">“Whether, on the evidence adduced, it can be found that the dismissal of the Respondent was substantively unfair?” </w:t>
      </w:r>
    </w:p>
    <w:p w:rsidR="00A7377E" w:rsidRPr="00090FC9" w:rsidRDefault="00A7377E" w:rsidP="00090FC9">
      <w:pPr>
        <w:pStyle w:val="ListParagraph"/>
        <w:spacing w:line="360" w:lineRule="auto"/>
        <w:ind w:left="0" w:right="-46"/>
        <w:rPr>
          <w:rFonts w:cs="Arial"/>
          <w:sz w:val="22"/>
          <w:szCs w:val="22"/>
        </w:rPr>
      </w:pPr>
    </w:p>
    <w:p w:rsidR="00A7377E" w:rsidRPr="00090FC9" w:rsidRDefault="00A7377E" w:rsidP="00090FC9">
      <w:pPr>
        <w:pStyle w:val="ListParagraph"/>
        <w:widowControl/>
        <w:numPr>
          <w:ilvl w:val="0"/>
          <w:numId w:val="49"/>
        </w:numPr>
        <w:autoSpaceDE/>
        <w:autoSpaceDN/>
        <w:adjustRightInd/>
        <w:spacing w:line="360" w:lineRule="auto"/>
        <w:ind w:left="0" w:right="-46" w:firstLine="0"/>
        <w:jc w:val="both"/>
        <w:rPr>
          <w:rFonts w:cs="Arial"/>
          <w:sz w:val="22"/>
          <w:szCs w:val="22"/>
        </w:rPr>
      </w:pPr>
      <w:r w:rsidRPr="00090FC9">
        <w:rPr>
          <w:rFonts w:cs="Arial"/>
          <w:sz w:val="22"/>
          <w:szCs w:val="22"/>
        </w:rPr>
        <w:t>“Could an Arbitrator on the whole of the evidence placed before her have found that no valid reason existed for the termination of the respondent’s services?</w:t>
      </w:r>
    </w:p>
    <w:p w:rsidR="00A7377E" w:rsidRPr="00090FC9" w:rsidRDefault="00A7377E" w:rsidP="00090FC9">
      <w:pPr>
        <w:pStyle w:val="ListParagraph"/>
        <w:spacing w:line="360" w:lineRule="auto"/>
        <w:ind w:left="0"/>
        <w:rPr>
          <w:rFonts w:cs="Arial"/>
          <w:sz w:val="22"/>
          <w:szCs w:val="22"/>
        </w:rPr>
      </w:pPr>
    </w:p>
    <w:p w:rsidR="00A7377E" w:rsidRPr="00090FC9" w:rsidRDefault="00090FC9" w:rsidP="00090FC9">
      <w:pPr>
        <w:pStyle w:val="ListParagraph"/>
        <w:widowControl/>
        <w:autoSpaceDE/>
        <w:autoSpaceDN/>
        <w:adjustRightInd/>
        <w:spacing w:line="360" w:lineRule="auto"/>
        <w:ind w:left="0" w:right="-46"/>
        <w:jc w:val="both"/>
        <w:rPr>
          <w:rFonts w:cs="Arial"/>
          <w:sz w:val="22"/>
          <w:szCs w:val="22"/>
        </w:rPr>
      </w:pPr>
      <w:r w:rsidRPr="00090FC9">
        <w:rPr>
          <w:rFonts w:cs="Arial"/>
          <w:sz w:val="22"/>
          <w:szCs w:val="22"/>
        </w:rPr>
        <w:t>(c)</w:t>
      </w:r>
      <w:r w:rsidRPr="00090FC9">
        <w:rPr>
          <w:rFonts w:cs="Arial"/>
          <w:sz w:val="22"/>
          <w:szCs w:val="22"/>
        </w:rPr>
        <w:tab/>
      </w:r>
      <w:r w:rsidR="00A7377E" w:rsidRPr="00090FC9">
        <w:rPr>
          <w:rFonts w:cs="Arial"/>
          <w:sz w:val="22"/>
          <w:szCs w:val="22"/>
        </w:rPr>
        <w:t>“Could an arbitrator on the whole of the evidence tendered and considered against the overall spectrum of the case, find that the sanction was so unreasonable that no reasonable employer would have imposed such sanctions?”</w:t>
      </w:r>
    </w:p>
    <w:p w:rsidR="00A7377E" w:rsidRPr="00090FC9" w:rsidRDefault="00A7377E" w:rsidP="00090FC9">
      <w:pPr>
        <w:pStyle w:val="ListParagraph"/>
        <w:spacing w:line="360" w:lineRule="auto"/>
        <w:ind w:left="0" w:right="-46"/>
        <w:rPr>
          <w:rFonts w:cs="Arial"/>
          <w:sz w:val="22"/>
          <w:szCs w:val="22"/>
        </w:rPr>
      </w:pPr>
    </w:p>
    <w:p w:rsidR="00A7377E" w:rsidRPr="00090FC9" w:rsidRDefault="00090FC9" w:rsidP="00090FC9">
      <w:pPr>
        <w:pStyle w:val="ListParagraph"/>
        <w:widowControl/>
        <w:autoSpaceDE/>
        <w:autoSpaceDN/>
        <w:adjustRightInd/>
        <w:spacing w:line="360" w:lineRule="auto"/>
        <w:ind w:left="0" w:right="-46"/>
        <w:jc w:val="both"/>
        <w:rPr>
          <w:rFonts w:cs="Arial"/>
          <w:sz w:val="22"/>
          <w:szCs w:val="22"/>
        </w:rPr>
      </w:pPr>
      <w:r w:rsidRPr="00090FC9">
        <w:rPr>
          <w:rFonts w:cs="Arial"/>
          <w:sz w:val="22"/>
          <w:szCs w:val="22"/>
        </w:rPr>
        <w:t>(d)</w:t>
      </w:r>
      <w:r w:rsidRPr="00090FC9">
        <w:rPr>
          <w:rFonts w:cs="Arial"/>
          <w:sz w:val="22"/>
          <w:szCs w:val="22"/>
        </w:rPr>
        <w:tab/>
      </w:r>
      <w:r w:rsidR="00A7377E" w:rsidRPr="00090FC9">
        <w:rPr>
          <w:rFonts w:cs="Arial"/>
          <w:sz w:val="22"/>
          <w:szCs w:val="22"/>
        </w:rPr>
        <w:t>“Whether the Arbitrator could simply interfere with the sanctions imposed or the decisions of the Appellant to dismiss the Respondent?”</w:t>
      </w:r>
    </w:p>
    <w:p w:rsidR="00A7377E" w:rsidRPr="00090FC9" w:rsidRDefault="00A7377E" w:rsidP="00090FC9">
      <w:pPr>
        <w:pStyle w:val="ListParagraph"/>
        <w:spacing w:line="360" w:lineRule="auto"/>
        <w:ind w:left="0" w:right="-46"/>
        <w:rPr>
          <w:rFonts w:cs="Arial"/>
          <w:sz w:val="22"/>
          <w:szCs w:val="22"/>
        </w:rPr>
      </w:pPr>
    </w:p>
    <w:p w:rsidR="00A7377E" w:rsidRPr="00090FC9" w:rsidRDefault="00090FC9" w:rsidP="00090FC9">
      <w:pPr>
        <w:pStyle w:val="ListParagraph"/>
        <w:widowControl/>
        <w:autoSpaceDE/>
        <w:autoSpaceDN/>
        <w:adjustRightInd/>
        <w:spacing w:line="360" w:lineRule="auto"/>
        <w:ind w:left="0" w:right="-46"/>
        <w:jc w:val="both"/>
        <w:rPr>
          <w:rFonts w:cs="Arial"/>
          <w:sz w:val="22"/>
          <w:szCs w:val="22"/>
        </w:rPr>
      </w:pPr>
      <w:r w:rsidRPr="00090FC9">
        <w:rPr>
          <w:rFonts w:cs="Arial"/>
          <w:sz w:val="22"/>
          <w:szCs w:val="22"/>
        </w:rPr>
        <w:t>(e)</w:t>
      </w:r>
      <w:r w:rsidRPr="00090FC9">
        <w:rPr>
          <w:rFonts w:cs="Arial"/>
          <w:sz w:val="22"/>
          <w:szCs w:val="22"/>
        </w:rPr>
        <w:tab/>
      </w:r>
      <w:r w:rsidR="00A7377E" w:rsidRPr="00090FC9">
        <w:rPr>
          <w:rFonts w:cs="Arial"/>
          <w:sz w:val="22"/>
          <w:szCs w:val="22"/>
        </w:rPr>
        <w:t>“Whether or not the relief granted by the Arbitrator was substantively proven and appropriate in the circumstances?”</w:t>
      </w:r>
    </w:p>
    <w:p w:rsidR="00A7377E" w:rsidRPr="00090FC9" w:rsidRDefault="00A7377E" w:rsidP="00090FC9">
      <w:pPr>
        <w:pStyle w:val="ListParagraph"/>
        <w:spacing w:line="360" w:lineRule="auto"/>
        <w:ind w:left="0" w:right="-46"/>
        <w:rPr>
          <w:rFonts w:cs="Arial"/>
          <w:sz w:val="22"/>
          <w:szCs w:val="22"/>
        </w:rPr>
      </w:pPr>
    </w:p>
    <w:p w:rsidR="00A7377E" w:rsidRPr="00090FC9" w:rsidRDefault="00090FC9" w:rsidP="00090FC9">
      <w:pPr>
        <w:pStyle w:val="ListParagraph"/>
        <w:widowControl/>
        <w:autoSpaceDE/>
        <w:autoSpaceDN/>
        <w:adjustRightInd/>
        <w:spacing w:line="360" w:lineRule="auto"/>
        <w:ind w:left="0" w:right="-46"/>
        <w:jc w:val="both"/>
        <w:rPr>
          <w:rFonts w:cs="Arial"/>
          <w:sz w:val="22"/>
          <w:szCs w:val="22"/>
        </w:rPr>
      </w:pPr>
      <w:r w:rsidRPr="00090FC9">
        <w:rPr>
          <w:rFonts w:cs="Arial"/>
          <w:sz w:val="22"/>
          <w:szCs w:val="22"/>
        </w:rPr>
        <w:t>(f)</w:t>
      </w:r>
      <w:r w:rsidRPr="00090FC9">
        <w:rPr>
          <w:rFonts w:cs="Arial"/>
          <w:sz w:val="22"/>
          <w:szCs w:val="22"/>
        </w:rPr>
        <w:tab/>
      </w:r>
      <w:r w:rsidR="00A7377E" w:rsidRPr="00090FC9">
        <w:rPr>
          <w:rFonts w:cs="Arial"/>
          <w:sz w:val="22"/>
          <w:szCs w:val="22"/>
        </w:rPr>
        <w:t>“Whether the Respondent has discharged the onus in respect of proving their respective damages and entitlement to compensation?”</w:t>
      </w:r>
    </w:p>
    <w:p w:rsidR="00A7377E" w:rsidRPr="00090FC9" w:rsidRDefault="00A7377E" w:rsidP="00090FC9">
      <w:pPr>
        <w:pStyle w:val="ListParagraph"/>
        <w:spacing w:line="360" w:lineRule="auto"/>
        <w:ind w:left="0"/>
        <w:rPr>
          <w:rFonts w:cs="Arial"/>
          <w:sz w:val="22"/>
          <w:szCs w:val="22"/>
        </w:rPr>
      </w:pPr>
    </w:p>
    <w:p w:rsidR="00A7377E" w:rsidRPr="00090FC9" w:rsidRDefault="00090FC9" w:rsidP="00090FC9">
      <w:pPr>
        <w:pStyle w:val="ListParagraph"/>
        <w:widowControl/>
        <w:autoSpaceDE/>
        <w:autoSpaceDN/>
        <w:adjustRightInd/>
        <w:spacing w:line="360" w:lineRule="auto"/>
        <w:ind w:left="0" w:right="-46"/>
        <w:jc w:val="both"/>
        <w:rPr>
          <w:rFonts w:cs="Arial"/>
          <w:sz w:val="22"/>
          <w:szCs w:val="22"/>
        </w:rPr>
      </w:pPr>
      <w:r w:rsidRPr="00090FC9">
        <w:rPr>
          <w:rFonts w:cs="Arial"/>
          <w:sz w:val="22"/>
          <w:szCs w:val="22"/>
        </w:rPr>
        <w:t>(g)</w:t>
      </w:r>
      <w:r w:rsidRPr="00090FC9">
        <w:rPr>
          <w:rFonts w:cs="Arial"/>
          <w:sz w:val="22"/>
          <w:szCs w:val="22"/>
        </w:rPr>
        <w:tab/>
      </w:r>
      <w:r w:rsidR="00A7377E" w:rsidRPr="00090FC9">
        <w:rPr>
          <w:rFonts w:cs="Arial"/>
          <w:sz w:val="22"/>
          <w:szCs w:val="22"/>
        </w:rPr>
        <w:t>Whether the arbitrator erred in failing to provide reasons for the compensation awarded.’</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rPr>
          <w:rFonts w:ascii="Arial" w:hAnsi="Arial" w:cs="Arial"/>
          <w:sz w:val="24"/>
          <w:szCs w:val="24"/>
        </w:rPr>
      </w:pPr>
      <w:r w:rsidRPr="00090FC9">
        <w:rPr>
          <w:rFonts w:ascii="Arial" w:hAnsi="Arial" w:cs="Arial"/>
          <w:sz w:val="24"/>
          <w:szCs w:val="24"/>
        </w:rPr>
        <w:t>[</w:t>
      </w:r>
      <w:r w:rsidR="007D1A62">
        <w:rPr>
          <w:rFonts w:ascii="Arial" w:hAnsi="Arial" w:cs="Arial"/>
          <w:sz w:val="24"/>
          <w:szCs w:val="24"/>
        </w:rPr>
        <w:t>8</w:t>
      </w:r>
      <w:r w:rsidRPr="00090FC9">
        <w:rPr>
          <w:rFonts w:ascii="Arial" w:hAnsi="Arial" w:cs="Arial"/>
          <w:sz w:val="24"/>
          <w:szCs w:val="24"/>
        </w:rPr>
        <w:t>]</w:t>
      </w:r>
      <w:r w:rsidRPr="00090FC9">
        <w:rPr>
          <w:rFonts w:ascii="Arial" w:hAnsi="Arial" w:cs="Arial"/>
          <w:sz w:val="24"/>
          <w:szCs w:val="24"/>
        </w:rPr>
        <w:tab/>
        <w:t xml:space="preserve">The appeal was opposed on the following </w:t>
      </w:r>
      <w:r w:rsidR="0002271D" w:rsidRPr="00090FC9">
        <w:rPr>
          <w:rFonts w:ascii="Arial" w:hAnsi="Arial" w:cs="Arial"/>
          <w:sz w:val="24"/>
          <w:szCs w:val="24"/>
        </w:rPr>
        <w:t>grounds:</w:t>
      </w:r>
    </w:p>
    <w:p w:rsidR="00A7377E" w:rsidRPr="00090FC9" w:rsidRDefault="00A7377E" w:rsidP="00090FC9">
      <w:pPr>
        <w:spacing w:after="0" w:line="360" w:lineRule="auto"/>
        <w:rPr>
          <w:rFonts w:ascii="Arial" w:hAnsi="Arial" w:cs="Arial"/>
          <w:sz w:val="24"/>
          <w:szCs w:val="24"/>
        </w:rPr>
      </w:pPr>
    </w:p>
    <w:p w:rsidR="00A7377E" w:rsidRPr="007D1A62" w:rsidRDefault="007D1A62" w:rsidP="007D1A62">
      <w:pPr>
        <w:pStyle w:val="ListParagraph"/>
        <w:widowControl/>
        <w:autoSpaceDE/>
        <w:autoSpaceDN/>
        <w:adjustRightInd/>
        <w:spacing w:line="360" w:lineRule="auto"/>
        <w:ind w:left="0" w:firstLine="709"/>
        <w:contextualSpacing/>
        <w:jc w:val="both"/>
        <w:rPr>
          <w:rFonts w:cs="Arial"/>
          <w:i/>
          <w:iCs/>
          <w:sz w:val="22"/>
          <w:szCs w:val="22"/>
        </w:rPr>
      </w:pPr>
      <w:r w:rsidRPr="007D1A62">
        <w:rPr>
          <w:rFonts w:cs="Arial"/>
          <w:i/>
          <w:iCs/>
          <w:sz w:val="22"/>
          <w:szCs w:val="22"/>
        </w:rPr>
        <w:t xml:space="preserve">‘1. </w:t>
      </w:r>
      <w:r w:rsidR="00A7377E" w:rsidRPr="007D1A62">
        <w:rPr>
          <w:rFonts w:cs="Arial"/>
          <w:i/>
          <w:iCs/>
          <w:sz w:val="22"/>
          <w:szCs w:val="22"/>
        </w:rPr>
        <w:t>“Generally it will be contended by the respondent that the arbitrator acted fairly and within her powers conferred by the Labour Act, 11 of 2007 in the ruling in favour of the respondent during the arbitration proceedings, and rendering the arbitration award accordingly and that this Honourable Court should uphold this award.</w:t>
      </w:r>
    </w:p>
    <w:p w:rsidR="00A7377E" w:rsidRPr="007D1A62" w:rsidRDefault="00A7377E" w:rsidP="007D1A62">
      <w:pPr>
        <w:pStyle w:val="ListParagraph"/>
        <w:spacing w:line="360" w:lineRule="auto"/>
        <w:ind w:left="0"/>
        <w:jc w:val="both"/>
        <w:rPr>
          <w:rFonts w:cs="Arial"/>
          <w:i/>
          <w:iCs/>
          <w:sz w:val="22"/>
          <w:szCs w:val="22"/>
        </w:rPr>
      </w:pPr>
    </w:p>
    <w:p w:rsidR="00A7377E" w:rsidRPr="007D1A62" w:rsidRDefault="00A7377E" w:rsidP="007D1A62">
      <w:pPr>
        <w:pStyle w:val="ListParagraph"/>
        <w:widowControl/>
        <w:numPr>
          <w:ilvl w:val="0"/>
          <w:numId w:val="50"/>
        </w:numPr>
        <w:autoSpaceDE/>
        <w:autoSpaceDN/>
        <w:adjustRightInd/>
        <w:spacing w:line="360" w:lineRule="auto"/>
        <w:ind w:left="0" w:firstLine="0"/>
        <w:contextualSpacing/>
        <w:jc w:val="both"/>
        <w:rPr>
          <w:rFonts w:cs="Arial"/>
          <w:i/>
          <w:iCs/>
          <w:sz w:val="22"/>
          <w:szCs w:val="22"/>
        </w:rPr>
      </w:pPr>
      <w:r w:rsidRPr="007D1A62">
        <w:rPr>
          <w:rFonts w:cs="Arial"/>
          <w:i/>
          <w:iCs/>
          <w:sz w:val="22"/>
          <w:szCs w:val="22"/>
        </w:rPr>
        <w:lastRenderedPageBreak/>
        <w:t>More specifically the respondent will contend that the appellant’s appeal as set out in its grounds of appeal should be rejected by this Honourable Court in that:</w:t>
      </w:r>
    </w:p>
    <w:p w:rsidR="00A7377E" w:rsidRPr="007D1A62" w:rsidRDefault="00A7377E" w:rsidP="007D1A62">
      <w:pPr>
        <w:pStyle w:val="ListParagraph"/>
        <w:spacing w:line="360" w:lineRule="auto"/>
        <w:ind w:left="0"/>
        <w:jc w:val="both"/>
        <w:rPr>
          <w:rFonts w:cs="Arial"/>
          <w:i/>
          <w:iCs/>
          <w:sz w:val="22"/>
          <w:szCs w:val="22"/>
        </w:rPr>
      </w:pPr>
    </w:p>
    <w:p w:rsidR="00A7377E" w:rsidRPr="007D1A62" w:rsidRDefault="00A7377E" w:rsidP="007D1A62">
      <w:pPr>
        <w:pStyle w:val="ListParagraph"/>
        <w:widowControl/>
        <w:numPr>
          <w:ilvl w:val="1"/>
          <w:numId w:val="50"/>
        </w:numPr>
        <w:autoSpaceDE/>
        <w:autoSpaceDN/>
        <w:adjustRightInd/>
        <w:spacing w:line="360" w:lineRule="auto"/>
        <w:ind w:left="709" w:firstLine="11"/>
        <w:contextualSpacing/>
        <w:jc w:val="both"/>
        <w:rPr>
          <w:rFonts w:cs="Arial"/>
          <w:i/>
          <w:iCs/>
          <w:sz w:val="22"/>
          <w:szCs w:val="22"/>
        </w:rPr>
      </w:pPr>
      <w:r w:rsidRPr="007D1A62">
        <w:rPr>
          <w:rFonts w:cs="Arial"/>
          <w:i/>
          <w:iCs/>
          <w:sz w:val="22"/>
          <w:szCs w:val="22"/>
        </w:rPr>
        <w:t xml:space="preserve">The arbitrator was correct in finding that the appellant failed to prove the misconduct charges levelled against the respondent. Hence, the appellant had no fair and justified reason to dismiss the respondent. No reasonable employer would have dismissed the respondent.  </w:t>
      </w:r>
    </w:p>
    <w:p w:rsidR="00A7377E" w:rsidRPr="007D1A62" w:rsidRDefault="00A7377E" w:rsidP="007D1A62">
      <w:pPr>
        <w:pStyle w:val="ListParagraph"/>
        <w:spacing w:line="360" w:lineRule="auto"/>
        <w:ind w:left="0"/>
        <w:jc w:val="both"/>
        <w:rPr>
          <w:rFonts w:cs="Arial"/>
          <w:i/>
          <w:iCs/>
          <w:sz w:val="22"/>
          <w:szCs w:val="22"/>
        </w:rPr>
      </w:pPr>
    </w:p>
    <w:p w:rsidR="00A7377E" w:rsidRPr="007D1A62" w:rsidRDefault="00A7377E" w:rsidP="007D1A62">
      <w:pPr>
        <w:pStyle w:val="ListParagraph"/>
        <w:widowControl/>
        <w:numPr>
          <w:ilvl w:val="1"/>
          <w:numId w:val="50"/>
        </w:numPr>
        <w:autoSpaceDE/>
        <w:autoSpaceDN/>
        <w:adjustRightInd/>
        <w:spacing w:line="360" w:lineRule="auto"/>
        <w:ind w:left="709" w:firstLine="11"/>
        <w:contextualSpacing/>
        <w:jc w:val="both"/>
        <w:rPr>
          <w:rFonts w:cs="Arial"/>
          <w:i/>
          <w:iCs/>
          <w:sz w:val="22"/>
          <w:szCs w:val="22"/>
        </w:rPr>
      </w:pPr>
      <w:r w:rsidRPr="007D1A62">
        <w:rPr>
          <w:rFonts w:cs="Arial"/>
          <w:i/>
          <w:iCs/>
          <w:sz w:val="22"/>
          <w:szCs w:val="22"/>
        </w:rPr>
        <w:t>The arbitrator was correct in finding that the appellant failed to follow its disciplinary code when it conducted a disciplinary hearing after the respondent refused to sign a final warning.</w:t>
      </w:r>
    </w:p>
    <w:p w:rsidR="00A7377E" w:rsidRPr="007D1A62" w:rsidRDefault="00A7377E" w:rsidP="007D1A62">
      <w:pPr>
        <w:pStyle w:val="ListParagraph"/>
        <w:spacing w:line="360" w:lineRule="auto"/>
        <w:ind w:left="0"/>
        <w:rPr>
          <w:rFonts w:cs="Arial"/>
          <w:i/>
          <w:iCs/>
          <w:sz w:val="22"/>
          <w:szCs w:val="22"/>
        </w:rPr>
      </w:pPr>
    </w:p>
    <w:p w:rsidR="00A7377E" w:rsidRPr="007D1A62" w:rsidRDefault="00A7377E" w:rsidP="007D1A62">
      <w:pPr>
        <w:pStyle w:val="ListParagraph"/>
        <w:widowControl/>
        <w:numPr>
          <w:ilvl w:val="1"/>
          <w:numId w:val="50"/>
        </w:numPr>
        <w:autoSpaceDE/>
        <w:autoSpaceDN/>
        <w:adjustRightInd/>
        <w:spacing w:line="360" w:lineRule="auto"/>
        <w:ind w:left="709" w:firstLine="0"/>
        <w:contextualSpacing/>
        <w:jc w:val="both"/>
        <w:rPr>
          <w:rFonts w:cs="Arial"/>
          <w:i/>
          <w:iCs/>
          <w:sz w:val="22"/>
          <w:szCs w:val="22"/>
        </w:rPr>
      </w:pPr>
      <w:r w:rsidRPr="007D1A62">
        <w:rPr>
          <w:rFonts w:cs="Arial"/>
          <w:i/>
          <w:iCs/>
          <w:sz w:val="22"/>
          <w:szCs w:val="22"/>
        </w:rPr>
        <w:t>The arbitrator was correct in finding that the appellant failed to prove that the trust relationship between the parties had broken down.</w:t>
      </w:r>
    </w:p>
    <w:p w:rsidR="00A7377E" w:rsidRPr="007D1A62" w:rsidRDefault="00A7377E" w:rsidP="007D1A62">
      <w:pPr>
        <w:pStyle w:val="ListParagraph"/>
        <w:spacing w:line="360" w:lineRule="auto"/>
        <w:ind w:left="0"/>
        <w:rPr>
          <w:rFonts w:cs="Arial"/>
          <w:i/>
          <w:iCs/>
          <w:sz w:val="22"/>
          <w:szCs w:val="22"/>
        </w:rPr>
      </w:pPr>
    </w:p>
    <w:p w:rsidR="00A7377E" w:rsidRPr="007D1A62" w:rsidRDefault="00A7377E" w:rsidP="007D1A62">
      <w:pPr>
        <w:pStyle w:val="ListParagraph"/>
        <w:widowControl/>
        <w:numPr>
          <w:ilvl w:val="1"/>
          <w:numId w:val="50"/>
        </w:numPr>
        <w:autoSpaceDE/>
        <w:autoSpaceDN/>
        <w:adjustRightInd/>
        <w:spacing w:line="360" w:lineRule="auto"/>
        <w:ind w:left="709" w:firstLine="11"/>
        <w:contextualSpacing/>
        <w:jc w:val="both"/>
        <w:rPr>
          <w:rFonts w:cs="Arial"/>
          <w:i/>
          <w:iCs/>
          <w:sz w:val="22"/>
          <w:szCs w:val="22"/>
        </w:rPr>
      </w:pPr>
      <w:r w:rsidRPr="007D1A62">
        <w:rPr>
          <w:rFonts w:cs="Arial"/>
          <w:i/>
          <w:iCs/>
          <w:sz w:val="22"/>
          <w:szCs w:val="22"/>
        </w:rPr>
        <w:t>The arbitrator awarded compensation to the respondent which she considered reasonable, fair and equitable; regard being had to all the circumstances of the case.</w:t>
      </w:r>
    </w:p>
    <w:p w:rsidR="00A7377E" w:rsidRPr="007D1A62" w:rsidRDefault="00A7377E" w:rsidP="007D1A62">
      <w:pPr>
        <w:spacing w:after="0" w:line="360" w:lineRule="auto"/>
        <w:jc w:val="both"/>
        <w:rPr>
          <w:rFonts w:ascii="Arial" w:hAnsi="Arial" w:cs="Arial"/>
          <w:i/>
          <w:iCs/>
        </w:rPr>
      </w:pPr>
    </w:p>
    <w:p w:rsidR="00A7377E" w:rsidRPr="007D1A62" w:rsidRDefault="00A7377E" w:rsidP="007D1A62">
      <w:pPr>
        <w:pStyle w:val="ListParagraph"/>
        <w:widowControl/>
        <w:numPr>
          <w:ilvl w:val="0"/>
          <w:numId w:val="50"/>
        </w:numPr>
        <w:autoSpaceDE/>
        <w:autoSpaceDN/>
        <w:adjustRightInd/>
        <w:spacing w:line="360" w:lineRule="auto"/>
        <w:ind w:left="0" w:firstLine="0"/>
        <w:contextualSpacing/>
        <w:jc w:val="both"/>
        <w:rPr>
          <w:rFonts w:cs="Arial"/>
          <w:i/>
          <w:iCs/>
          <w:sz w:val="22"/>
          <w:szCs w:val="22"/>
        </w:rPr>
      </w:pPr>
      <w:r w:rsidRPr="007D1A62">
        <w:rPr>
          <w:rFonts w:cs="Arial"/>
          <w:i/>
          <w:iCs/>
          <w:sz w:val="22"/>
          <w:szCs w:val="22"/>
        </w:rPr>
        <w:t>Based on a proper assessment of the totality of the facts before the arbitrator, the arbitrator reached a decision a reasonable decision maker would have reached.</w:t>
      </w:r>
    </w:p>
    <w:p w:rsidR="00A7377E" w:rsidRPr="007D1A62" w:rsidRDefault="00A7377E" w:rsidP="007D1A62">
      <w:pPr>
        <w:pStyle w:val="ListParagraph"/>
        <w:widowControl/>
        <w:numPr>
          <w:ilvl w:val="0"/>
          <w:numId w:val="50"/>
        </w:numPr>
        <w:autoSpaceDE/>
        <w:autoSpaceDN/>
        <w:adjustRightInd/>
        <w:spacing w:line="360" w:lineRule="auto"/>
        <w:ind w:left="0" w:firstLine="0"/>
        <w:contextualSpacing/>
        <w:jc w:val="both"/>
        <w:rPr>
          <w:rFonts w:cs="Arial"/>
          <w:i/>
          <w:iCs/>
          <w:sz w:val="22"/>
          <w:szCs w:val="22"/>
        </w:rPr>
      </w:pPr>
      <w:r w:rsidRPr="007D1A62">
        <w:rPr>
          <w:rFonts w:cs="Arial"/>
          <w:i/>
          <w:iCs/>
          <w:sz w:val="22"/>
          <w:szCs w:val="22"/>
        </w:rPr>
        <w:t>In the result it is humbly prayed that the appeal be dismissed.”</w:t>
      </w:r>
      <w:r w:rsidR="0002271D">
        <w:rPr>
          <w:rFonts w:cs="Arial"/>
          <w:i/>
          <w:iCs/>
          <w:sz w:val="22"/>
          <w:szCs w:val="22"/>
        </w:rPr>
        <w:t>’</w:t>
      </w:r>
    </w:p>
    <w:p w:rsidR="00A7377E" w:rsidRPr="00090FC9" w:rsidRDefault="00A7377E" w:rsidP="00090FC9">
      <w:pPr>
        <w:spacing w:after="0" w:line="360" w:lineRule="auto"/>
        <w:rPr>
          <w:rFonts w:ascii="Arial" w:hAnsi="Arial" w:cs="Arial"/>
          <w:sz w:val="24"/>
          <w:szCs w:val="24"/>
        </w:rPr>
      </w:pPr>
    </w:p>
    <w:p w:rsidR="00A7377E"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A845D8">
        <w:rPr>
          <w:rFonts w:ascii="Arial" w:hAnsi="Arial" w:cs="Arial"/>
          <w:sz w:val="24"/>
          <w:szCs w:val="24"/>
        </w:rPr>
        <w:t>9</w:t>
      </w:r>
      <w:r w:rsidRPr="00090FC9">
        <w:rPr>
          <w:rFonts w:ascii="Arial" w:hAnsi="Arial" w:cs="Arial"/>
          <w:sz w:val="24"/>
          <w:szCs w:val="24"/>
        </w:rPr>
        <w:t>]</w:t>
      </w:r>
      <w:r w:rsidRPr="00090FC9">
        <w:rPr>
          <w:rFonts w:ascii="Arial" w:hAnsi="Arial" w:cs="Arial"/>
          <w:sz w:val="24"/>
          <w:szCs w:val="24"/>
        </w:rPr>
        <w:tab/>
        <w:t>In order to set the scene for this appeal adequately it is also apposite to deal with the arbitrati</w:t>
      </w:r>
      <w:r w:rsidR="00A845D8">
        <w:rPr>
          <w:rFonts w:ascii="Arial" w:hAnsi="Arial" w:cs="Arial"/>
          <w:sz w:val="24"/>
          <w:szCs w:val="24"/>
        </w:rPr>
        <w:t>on award, from which it appears</w:t>
      </w:r>
      <w:r w:rsidRPr="00090FC9">
        <w:rPr>
          <w:rFonts w:ascii="Arial" w:hAnsi="Arial" w:cs="Arial"/>
          <w:sz w:val="24"/>
          <w:szCs w:val="24"/>
        </w:rPr>
        <w:t>:</w:t>
      </w:r>
    </w:p>
    <w:p w:rsidR="00A845D8" w:rsidRPr="00090FC9" w:rsidRDefault="00A845D8" w:rsidP="00090FC9">
      <w:pPr>
        <w:spacing w:after="0" w:line="360" w:lineRule="auto"/>
        <w:jc w:val="both"/>
        <w:rPr>
          <w:rFonts w:ascii="Arial" w:hAnsi="Arial" w:cs="Arial"/>
          <w:sz w:val="24"/>
          <w:szCs w:val="24"/>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 the arbitrator first summarised the evidence of the witnesses;</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w:t>
      </w:r>
      <w:r w:rsidR="0068074A">
        <w:rPr>
          <w:rFonts w:cs="Arial"/>
        </w:rPr>
        <w:t xml:space="preserve"> she</w:t>
      </w:r>
      <w:r w:rsidRPr="00090FC9">
        <w:rPr>
          <w:rFonts w:cs="Arial"/>
        </w:rPr>
        <w:t>, secondly, and importantly, in her analysis of the evidence tendered, identified certain material procedural irregularities perpetrated during the disciplinary process to which the respondent was subjected to;</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w:t>
      </w:r>
      <w:r w:rsidR="0068074A">
        <w:rPr>
          <w:rFonts w:cs="Arial"/>
        </w:rPr>
        <w:t>,</w:t>
      </w:r>
      <w:r w:rsidRPr="00090FC9">
        <w:rPr>
          <w:rFonts w:cs="Arial"/>
        </w:rPr>
        <w:t xml:space="preserve"> more particularly</w:t>
      </w:r>
      <w:r w:rsidR="0068074A">
        <w:rPr>
          <w:rFonts w:cs="Arial"/>
        </w:rPr>
        <w:t>,</w:t>
      </w:r>
      <w:r w:rsidRPr="00090FC9">
        <w:rPr>
          <w:rFonts w:cs="Arial"/>
        </w:rPr>
        <w:t xml:space="preserve"> the arbitrator found it ‘very interesting’ that the respondent was not provided with the appellant’s ‘Disciplinary Code of Conduct and Grievance Procedure’</w:t>
      </w:r>
      <w:r w:rsidRPr="00090FC9">
        <w:rPr>
          <w:rStyle w:val="FootnoteReference"/>
          <w:rFonts w:cs="Arial"/>
        </w:rPr>
        <w:footnoteReference w:id="1"/>
      </w:r>
      <w:r w:rsidRPr="00090FC9">
        <w:rPr>
          <w:rFonts w:cs="Arial"/>
        </w:rPr>
        <w:t xml:space="preserve"> during the disciplinary process–  although this was requested – and on the basis of which the disciplinary hearing was conducted</w:t>
      </w:r>
      <w:r w:rsidR="0068074A">
        <w:rPr>
          <w:rFonts w:cs="Arial"/>
        </w:rPr>
        <w:t xml:space="preserve"> against her</w:t>
      </w:r>
      <w:r w:rsidRPr="00090FC9">
        <w:rPr>
          <w:rFonts w:cs="Arial"/>
        </w:rPr>
        <w:t>; and</w:t>
      </w: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lastRenderedPageBreak/>
        <w:t>that she noted that the respondent was also refused certain documents and the transcript of the proceedings of 2 October 2018 – at which the informal ‘disciplinary’ meeting was held; and</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 she found, as a result of these refusals, that ‘ …it was fair to conclude that the applicant was not aware of the rules and or offences that she was accused of having committed …’;</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 she then found that the respondent was justified in insisting on a formal disciplinary hearing;</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 the appellant wanted to punish the respondent twice for not agreeing voluntarily to a final written warning; and</w:t>
      </w:r>
    </w:p>
    <w:p w:rsidR="00F82255" w:rsidRPr="00090FC9" w:rsidRDefault="00F82255" w:rsidP="00F82255">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 she finally found that the reason for the respondent’s dismissal, namely that the relationship of trust (between employer and employee) had been broken, had not been proved;</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and finally that the offence with which the respondent had been charged, namely the failure to comply with the duty of care</w:t>
      </w:r>
      <w:r w:rsidR="0068074A">
        <w:rPr>
          <w:rFonts w:cs="Arial"/>
        </w:rPr>
        <w:t>,</w:t>
      </w:r>
      <w:r w:rsidRPr="00090FC9">
        <w:rPr>
          <w:rFonts w:cs="Arial"/>
        </w:rPr>
        <w:t xml:space="preserve"> with her empl</w:t>
      </w:r>
      <w:r w:rsidR="0068074A">
        <w:rPr>
          <w:rFonts w:cs="Arial"/>
        </w:rPr>
        <w:t>o</w:t>
      </w:r>
      <w:r w:rsidRPr="00090FC9">
        <w:rPr>
          <w:rFonts w:cs="Arial"/>
        </w:rPr>
        <w:t>yers assets</w:t>
      </w:r>
      <w:r w:rsidR="0068074A">
        <w:rPr>
          <w:rFonts w:cs="Arial"/>
        </w:rPr>
        <w:t>,</w:t>
      </w:r>
      <w:r w:rsidRPr="00090FC9">
        <w:rPr>
          <w:rFonts w:cs="Arial"/>
        </w:rPr>
        <w:t xml:space="preserve"> had also not been proved;</w:t>
      </w:r>
    </w:p>
    <w:p w:rsidR="00A845D8" w:rsidRPr="00090FC9" w:rsidRDefault="00A845D8" w:rsidP="00A845D8">
      <w:pPr>
        <w:pStyle w:val="ListParagraph"/>
        <w:widowControl/>
        <w:autoSpaceDE/>
        <w:autoSpaceDN/>
        <w:adjustRightInd/>
        <w:spacing w:line="360" w:lineRule="auto"/>
        <w:ind w:left="0"/>
        <w:contextualSpacing/>
        <w:jc w:val="both"/>
        <w:rPr>
          <w:rFonts w:cs="Arial"/>
        </w:rPr>
      </w:pPr>
    </w:p>
    <w:p w:rsidR="00A7377E" w:rsidRPr="00090FC9" w:rsidRDefault="00A7377E" w:rsidP="00A845D8">
      <w:pPr>
        <w:pStyle w:val="ListParagraph"/>
        <w:widowControl/>
        <w:numPr>
          <w:ilvl w:val="0"/>
          <w:numId w:val="48"/>
        </w:numPr>
        <w:autoSpaceDE/>
        <w:autoSpaceDN/>
        <w:adjustRightInd/>
        <w:spacing w:line="360" w:lineRule="auto"/>
        <w:ind w:left="0" w:firstLine="0"/>
        <w:contextualSpacing/>
        <w:jc w:val="both"/>
        <w:rPr>
          <w:rFonts w:cs="Arial"/>
        </w:rPr>
      </w:pPr>
      <w:r w:rsidRPr="00090FC9">
        <w:rPr>
          <w:rFonts w:cs="Arial"/>
        </w:rPr>
        <w:t>that</w:t>
      </w:r>
      <w:r w:rsidR="0068074A">
        <w:rPr>
          <w:rFonts w:cs="Arial"/>
        </w:rPr>
        <w:t>,</w:t>
      </w:r>
      <w:r w:rsidRPr="00090FC9">
        <w:rPr>
          <w:rFonts w:cs="Arial"/>
        </w:rPr>
        <w:t xml:space="preserve"> in conclusion</w:t>
      </w:r>
      <w:r w:rsidR="0068074A">
        <w:rPr>
          <w:rFonts w:cs="Arial"/>
        </w:rPr>
        <w:t>,</w:t>
      </w:r>
      <w:r w:rsidRPr="00090FC9">
        <w:rPr>
          <w:rFonts w:cs="Arial"/>
        </w:rPr>
        <w:t xml:space="preserve"> she thus found that there was no valid reason to terminate the respondent’s services – hence the award mentioned above.</w:t>
      </w:r>
    </w:p>
    <w:p w:rsidR="00A7377E" w:rsidRPr="00090FC9" w:rsidRDefault="00A7377E" w:rsidP="00090FC9">
      <w:pPr>
        <w:spacing w:after="0" w:line="360" w:lineRule="auto"/>
        <w:jc w:val="both"/>
        <w:rPr>
          <w:rFonts w:ascii="Arial" w:hAnsi="Arial" w:cs="Arial"/>
          <w:sz w:val="24"/>
          <w:szCs w:val="24"/>
        </w:rPr>
      </w:pPr>
    </w:p>
    <w:p w:rsidR="00A7377E"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A845D8">
        <w:rPr>
          <w:rFonts w:ascii="Arial" w:hAnsi="Arial" w:cs="Arial"/>
          <w:sz w:val="24"/>
          <w:szCs w:val="24"/>
        </w:rPr>
        <w:t>10</w:t>
      </w:r>
      <w:r w:rsidRPr="00090FC9">
        <w:rPr>
          <w:rFonts w:ascii="Arial" w:hAnsi="Arial" w:cs="Arial"/>
          <w:sz w:val="24"/>
          <w:szCs w:val="24"/>
        </w:rPr>
        <w:t>]</w:t>
      </w:r>
      <w:r w:rsidRPr="00090FC9">
        <w:rPr>
          <w:rFonts w:ascii="Arial" w:hAnsi="Arial" w:cs="Arial"/>
          <w:sz w:val="24"/>
          <w:szCs w:val="24"/>
        </w:rPr>
        <w:tab/>
        <w:t>Although the arbitrator so concluded that the respondent had been dismissed without a valid reason it emerged also from her findings and summary of the evidence that the procedure followed in this regard was also not fair and was tainted in two material respects when the respondent was refused access to the disciplinary code and</w:t>
      </w:r>
      <w:r w:rsidR="0068074A">
        <w:rPr>
          <w:rFonts w:ascii="Arial" w:hAnsi="Arial" w:cs="Arial"/>
          <w:sz w:val="24"/>
          <w:szCs w:val="24"/>
        </w:rPr>
        <w:t xml:space="preserve"> the</w:t>
      </w:r>
      <w:r w:rsidRPr="00090FC9">
        <w:rPr>
          <w:rFonts w:ascii="Arial" w:hAnsi="Arial" w:cs="Arial"/>
          <w:sz w:val="24"/>
          <w:szCs w:val="24"/>
        </w:rPr>
        <w:t xml:space="preserve"> minutes of the meeting of 2 October 2018, which she had requested before the disciplinary hearing and which documents where obviously relevant and required for purposes of defending herself during the disciplinary proceedings.</w:t>
      </w:r>
    </w:p>
    <w:p w:rsidR="00CB1869" w:rsidRDefault="00CB1869" w:rsidP="00090FC9">
      <w:pPr>
        <w:spacing w:after="0" w:line="360" w:lineRule="auto"/>
        <w:jc w:val="both"/>
        <w:rPr>
          <w:rFonts w:ascii="Arial" w:hAnsi="Arial" w:cs="Arial"/>
          <w:sz w:val="24"/>
          <w:szCs w:val="24"/>
        </w:rPr>
      </w:pPr>
    </w:p>
    <w:p w:rsidR="00CB1869" w:rsidRPr="00090FC9" w:rsidRDefault="00690D11" w:rsidP="00090FC9">
      <w:pPr>
        <w:spacing w:after="0" w:line="360" w:lineRule="auto"/>
        <w:jc w:val="both"/>
        <w:rPr>
          <w:rFonts w:ascii="Arial" w:hAnsi="Arial" w:cs="Arial"/>
          <w:sz w:val="24"/>
          <w:szCs w:val="24"/>
        </w:rPr>
      </w:pPr>
      <w:r>
        <w:rPr>
          <w:rFonts w:ascii="Arial" w:hAnsi="Arial" w:cs="Arial"/>
          <w:sz w:val="24"/>
          <w:szCs w:val="24"/>
        </w:rPr>
        <w:t>[</w:t>
      </w:r>
      <w:r w:rsidR="005B0DFA">
        <w:rPr>
          <w:rFonts w:ascii="Arial" w:hAnsi="Arial" w:cs="Arial"/>
          <w:sz w:val="24"/>
          <w:szCs w:val="24"/>
        </w:rPr>
        <w:t>11</w:t>
      </w:r>
      <w:r>
        <w:rPr>
          <w:rFonts w:ascii="Arial" w:hAnsi="Arial" w:cs="Arial"/>
          <w:sz w:val="24"/>
          <w:szCs w:val="24"/>
        </w:rPr>
        <w:t>]</w:t>
      </w:r>
      <w:r>
        <w:rPr>
          <w:rFonts w:ascii="Arial" w:hAnsi="Arial" w:cs="Arial"/>
          <w:sz w:val="24"/>
          <w:szCs w:val="24"/>
        </w:rPr>
        <w:tab/>
        <w:t>It should also be</w:t>
      </w:r>
      <w:r w:rsidR="00D6041A">
        <w:rPr>
          <w:rFonts w:ascii="Arial" w:hAnsi="Arial" w:cs="Arial"/>
          <w:sz w:val="24"/>
          <w:szCs w:val="24"/>
        </w:rPr>
        <w:t xml:space="preserve"> take</w:t>
      </w:r>
      <w:r>
        <w:rPr>
          <w:rFonts w:ascii="Arial" w:hAnsi="Arial" w:cs="Arial"/>
          <w:sz w:val="24"/>
          <w:szCs w:val="24"/>
        </w:rPr>
        <w:t>n</w:t>
      </w:r>
      <w:r w:rsidR="00D6041A">
        <w:rPr>
          <w:rFonts w:ascii="Arial" w:hAnsi="Arial" w:cs="Arial"/>
          <w:sz w:val="24"/>
          <w:szCs w:val="24"/>
        </w:rPr>
        <w:t xml:space="preserve"> into account</w:t>
      </w:r>
      <w:r w:rsidR="00CB1869">
        <w:rPr>
          <w:rFonts w:ascii="Arial" w:hAnsi="Arial" w:cs="Arial"/>
          <w:sz w:val="24"/>
          <w:szCs w:val="24"/>
        </w:rPr>
        <w:t xml:space="preserve"> that the reason for the respondent’s dismissal was founded on the theft of a laptop by an unidentified third party, on which </w:t>
      </w:r>
      <w:r w:rsidR="00CB1869">
        <w:rPr>
          <w:rFonts w:ascii="Arial" w:hAnsi="Arial" w:cs="Arial"/>
          <w:sz w:val="24"/>
          <w:szCs w:val="24"/>
        </w:rPr>
        <w:lastRenderedPageBreak/>
        <w:t>fact</w:t>
      </w:r>
      <w:r w:rsidR="00D6041A">
        <w:rPr>
          <w:rFonts w:ascii="Arial" w:hAnsi="Arial" w:cs="Arial"/>
          <w:sz w:val="24"/>
          <w:szCs w:val="24"/>
        </w:rPr>
        <w:t>s and circumstances</w:t>
      </w:r>
      <w:r w:rsidR="00CB1869">
        <w:rPr>
          <w:rFonts w:ascii="Arial" w:hAnsi="Arial" w:cs="Arial"/>
          <w:sz w:val="24"/>
          <w:szCs w:val="24"/>
        </w:rPr>
        <w:t xml:space="preserve"> – objectively speaking - it would in any event always have been difficult to found the conclusion that a continued working relationship </w:t>
      </w:r>
      <w:r w:rsidR="00D6041A">
        <w:rPr>
          <w:rFonts w:ascii="Arial" w:hAnsi="Arial" w:cs="Arial"/>
          <w:sz w:val="24"/>
          <w:szCs w:val="24"/>
        </w:rPr>
        <w:t>between the parties</w:t>
      </w:r>
      <w:r w:rsidR="00CB1869">
        <w:rPr>
          <w:rFonts w:ascii="Arial" w:hAnsi="Arial" w:cs="Arial"/>
          <w:sz w:val="24"/>
          <w:szCs w:val="24"/>
        </w:rPr>
        <w:t xml:space="preserve"> was impossible a</w:t>
      </w:r>
      <w:r w:rsidR="00D6041A">
        <w:rPr>
          <w:rFonts w:ascii="Arial" w:hAnsi="Arial" w:cs="Arial"/>
          <w:sz w:val="24"/>
          <w:szCs w:val="24"/>
        </w:rPr>
        <w:t>nd that the resultant</w:t>
      </w:r>
      <w:r w:rsidR="00CB1869">
        <w:rPr>
          <w:rFonts w:ascii="Arial" w:hAnsi="Arial" w:cs="Arial"/>
          <w:sz w:val="24"/>
          <w:szCs w:val="24"/>
        </w:rPr>
        <w:t xml:space="preserve"> dismissal</w:t>
      </w:r>
      <w:r w:rsidR="00D6041A">
        <w:rPr>
          <w:rFonts w:ascii="Arial" w:hAnsi="Arial" w:cs="Arial"/>
          <w:sz w:val="24"/>
          <w:szCs w:val="24"/>
        </w:rPr>
        <w:t xml:space="preserve"> of the respondent was thus</w:t>
      </w:r>
      <w:r>
        <w:rPr>
          <w:rFonts w:ascii="Arial" w:hAnsi="Arial" w:cs="Arial"/>
          <w:sz w:val="24"/>
          <w:szCs w:val="24"/>
        </w:rPr>
        <w:t xml:space="preserve"> in the circumstances</w:t>
      </w:r>
      <w:r w:rsidR="00D6041A">
        <w:rPr>
          <w:rFonts w:ascii="Arial" w:hAnsi="Arial" w:cs="Arial"/>
          <w:sz w:val="24"/>
          <w:szCs w:val="24"/>
        </w:rPr>
        <w:t xml:space="preserve"> fair, particularly when, initially, a ‘final warning’ was co</w:t>
      </w:r>
      <w:r>
        <w:rPr>
          <w:rFonts w:ascii="Arial" w:hAnsi="Arial" w:cs="Arial"/>
          <w:sz w:val="24"/>
          <w:szCs w:val="24"/>
        </w:rPr>
        <w:t>nsidered appropriate</w:t>
      </w:r>
      <w:r w:rsidR="00D6041A">
        <w:rPr>
          <w:rFonts w:ascii="Arial" w:hAnsi="Arial" w:cs="Arial"/>
          <w:sz w:val="24"/>
          <w:szCs w:val="24"/>
        </w:rPr>
        <w:t>.</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C2405">
        <w:rPr>
          <w:rFonts w:ascii="Arial" w:hAnsi="Arial" w:cs="Arial"/>
          <w:sz w:val="24"/>
          <w:szCs w:val="24"/>
        </w:rPr>
        <w:t>1</w:t>
      </w:r>
      <w:r w:rsidR="005B0DFA">
        <w:rPr>
          <w:rFonts w:ascii="Arial" w:hAnsi="Arial" w:cs="Arial"/>
          <w:sz w:val="24"/>
          <w:szCs w:val="24"/>
        </w:rPr>
        <w:t>2</w:t>
      </w:r>
      <w:r w:rsidRPr="00090FC9">
        <w:rPr>
          <w:rFonts w:ascii="Arial" w:hAnsi="Arial" w:cs="Arial"/>
          <w:sz w:val="24"/>
          <w:szCs w:val="24"/>
        </w:rPr>
        <w:t>]</w:t>
      </w:r>
      <w:r w:rsidRPr="00090FC9">
        <w:rPr>
          <w:rFonts w:ascii="Arial" w:hAnsi="Arial" w:cs="Arial"/>
          <w:sz w:val="24"/>
          <w:szCs w:val="24"/>
        </w:rPr>
        <w:tab/>
      </w:r>
      <w:r w:rsidR="0068074A">
        <w:rPr>
          <w:rFonts w:ascii="Arial" w:hAnsi="Arial" w:cs="Arial"/>
          <w:sz w:val="24"/>
          <w:szCs w:val="24"/>
        </w:rPr>
        <w:t>Having noted this, t</w:t>
      </w:r>
      <w:r w:rsidRPr="00090FC9">
        <w:rPr>
          <w:rFonts w:ascii="Arial" w:hAnsi="Arial" w:cs="Arial"/>
          <w:sz w:val="24"/>
          <w:szCs w:val="24"/>
        </w:rPr>
        <w:t>he court thus reque</w:t>
      </w:r>
      <w:r w:rsidR="00D6041A">
        <w:rPr>
          <w:rFonts w:ascii="Arial" w:hAnsi="Arial" w:cs="Arial"/>
          <w:sz w:val="24"/>
          <w:szCs w:val="24"/>
        </w:rPr>
        <w:t>sted the parties to consider the</w:t>
      </w:r>
      <w:r w:rsidRPr="00090FC9">
        <w:rPr>
          <w:rFonts w:ascii="Arial" w:hAnsi="Arial" w:cs="Arial"/>
          <w:sz w:val="24"/>
          <w:szCs w:val="24"/>
        </w:rPr>
        <w:t>s</w:t>
      </w:r>
      <w:r w:rsidR="00D6041A">
        <w:rPr>
          <w:rFonts w:ascii="Arial" w:hAnsi="Arial" w:cs="Arial"/>
          <w:sz w:val="24"/>
          <w:szCs w:val="24"/>
        </w:rPr>
        <w:t>e</w:t>
      </w:r>
      <w:r w:rsidRPr="00090FC9">
        <w:rPr>
          <w:rFonts w:ascii="Arial" w:hAnsi="Arial" w:cs="Arial"/>
          <w:sz w:val="24"/>
          <w:szCs w:val="24"/>
        </w:rPr>
        <w:t xml:space="preserve"> aspect</w:t>
      </w:r>
      <w:r w:rsidR="00D6041A">
        <w:rPr>
          <w:rFonts w:ascii="Arial" w:hAnsi="Arial" w:cs="Arial"/>
          <w:sz w:val="24"/>
          <w:szCs w:val="24"/>
        </w:rPr>
        <w:t>s and their</w:t>
      </w:r>
      <w:r w:rsidRPr="00090FC9">
        <w:rPr>
          <w:rFonts w:ascii="Arial" w:hAnsi="Arial" w:cs="Arial"/>
          <w:sz w:val="24"/>
          <w:szCs w:val="24"/>
        </w:rPr>
        <w:t xml:space="preserve"> impact on the appeal</w:t>
      </w:r>
      <w:r w:rsidR="006067ED">
        <w:rPr>
          <w:rFonts w:ascii="Arial" w:hAnsi="Arial" w:cs="Arial"/>
          <w:sz w:val="24"/>
          <w:szCs w:val="24"/>
        </w:rPr>
        <w:t>,</w:t>
      </w:r>
      <w:r w:rsidR="00D6041A">
        <w:rPr>
          <w:rFonts w:ascii="Arial" w:hAnsi="Arial" w:cs="Arial"/>
          <w:sz w:val="24"/>
          <w:szCs w:val="24"/>
        </w:rPr>
        <w:t xml:space="preserve"> as it was clear</w:t>
      </w:r>
      <w:r w:rsidRPr="00090FC9">
        <w:rPr>
          <w:rFonts w:ascii="Arial" w:hAnsi="Arial" w:cs="Arial"/>
          <w:sz w:val="24"/>
          <w:szCs w:val="24"/>
        </w:rPr>
        <w:t xml:space="preserve"> that</w:t>
      </w:r>
      <w:r w:rsidR="00D6041A">
        <w:rPr>
          <w:rFonts w:ascii="Arial" w:hAnsi="Arial" w:cs="Arial"/>
          <w:sz w:val="24"/>
          <w:szCs w:val="24"/>
        </w:rPr>
        <w:t xml:space="preserve"> it was unlikely that</w:t>
      </w:r>
      <w:r w:rsidRPr="00090FC9">
        <w:rPr>
          <w:rFonts w:ascii="Arial" w:hAnsi="Arial" w:cs="Arial"/>
          <w:sz w:val="24"/>
          <w:szCs w:val="24"/>
        </w:rPr>
        <w:t xml:space="preserve"> the disciplinary proceedings in </w:t>
      </w:r>
      <w:r w:rsidR="00D6041A">
        <w:rPr>
          <w:rFonts w:ascii="Arial" w:hAnsi="Arial" w:cs="Arial"/>
          <w:sz w:val="24"/>
          <w:szCs w:val="24"/>
        </w:rPr>
        <w:t>question could continue to</w:t>
      </w:r>
      <w:r w:rsidRPr="00090FC9">
        <w:rPr>
          <w:rFonts w:ascii="Arial" w:hAnsi="Arial" w:cs="Arial"/>
          <w:sz w:val="24"/>
          <w:szCs w:val="24"/>
        </w:rPr>
        <w:t xml:space="preserve"> stand and would always be liable to be set aside – irrespective of the require</w:t>
      </w:r>
      <w:r w:rsidR="00D6041A">
        <w:rPr>
          <w:rFonts w:ascii="Arial" w:hAnsi="Arial" w:cs="Arial"/>
          <w:sz w:val="24"/>
          <w:szCs w:val="24"/>
        </w:rPr>
        <w:t>d determination of the</w:t>
      </w:r>
      <w:r w:rsidR="00690D11">
        <w:rPr>
          <w:rFonts w:ascii="Arial" w:hAnsi="Arial" w:cs="Arial"/>
          <w:sz w:val="24"/>
          <w:szCs w:val="24"/>
        </w:rPr>
        <w:t xml:space="preserve"> actually</w:t>
      </w:r>
      <w:r w:rsidR="00C83B93">
        <w:rPr>
          <w:rFonts w:ascii="Arial" w:hAnsi="Arial" w:cs="Arial"/>
          <w:sz w:val="24"/>
          <w:szCs w:val="24"/>
        </w:rPr>
        <w:t xml:space="preserve"> formulated</w:t>
      </w:r>
      <w:r w:rsidRPr="00090FC9">
        <w:rPr>
          <w:rFonts w:ascii="Arial" w:hAnsi="Arial" w:cs="Arial"/>
          <w:sz w:val="24"/>
          <w:szCs w:val="24"/>
        </w:rPr>
        <w:t xml:space="preserve"> ground</w:t>
      </w:r>
      <w:r w:rsidR="00D6041A">
        <w:rPr>
          <w:rFonts w:ascii="Arial" w:hAnsi="Arial" w:cs="Arial"/>
          <w:sz w:val="24"/>
          <w:szCs w:val="24"/>
        </w:rPr>
        <w:t>s</w:t>
      </w:r>
      <w:r w:rsidRPr="00090FC9">
        <w:rPr>
          <w:rFonts w:ascii="Arial" w:hAnsi="Arial" w:cs="Arial"/>
          <w:sz w:val="24"/>
          <w:szCs w:val="24"/>
        </w:rPr>
        <w:t xml:space="preserve"> of appeal – as to whether or not the arbitrator had erred in her finding that the dismissal of the respondent was substantively fair – and in which circumstances</w:t>
      </w:r>
      <w:r w:rsidR="00E342D4">
        <w:rPr>
          <w:rFonts w:ascii="Arial" w:hAnsi="Arial" w:cs="Arial"/>
          <w:sz w:val="24"/>
          <w:szCs w:val="24"/>
        </w:rPr>
        <w:t xml:space="preserve"> – and regardless of the outcome of this challenge -</w:t>
      </w:r>
      <w:r w:rsidRPr="00090FC9">
        <w:rPr>
          <w:rFonts w:ascii="Arial" w:hAnsi="Arial" w:cs="Arial"/>
          <w:sz w:val="24"/>
          <w:szCs w:val="24"/>
        </w:rPr>
        <w:t xml:space="preserve"> the u</w:t>
      </w:r>
      <w:r w:rsidR="00E342D4">
        <w:rPr>
          <w:rFonts w:ascii="Arial" w:hAnsi="Arial" w:cs="Arial"/>
          <w:sz w:val="24"/>
          <w:szCs w:val="24"/>
        </w:rPr>
        <w:t>ltimate result would be that the disciplinary process could in any event not be sustained</w:t>
      </w:r>
      <w:r w:rsidRPr="00090FC9">
        <w:rPr>
          <w:rFonts w:ascii="Arial" w:hAnsi="Arial" w:cs="Arial"/>
          <w:sz w:val="24"/>
          <w:szCs w:val="24"/>
        </w:rPr>
        <w:t>.</w:t>
      </w:r>
      <w:r w:rsidRPr="00090FC9">
        <w:rPr>
          <w:rStyle w:val="FootnoteReference"/>
          <w:rFonts w:ascii="Arial" w:hAnsi="Arial" w:cs="Arial"/>
          <w:sz w:val="24"/>
          <w:szCs w:val="24"/>
        </w:rPr>
        <w:footnoteReference w:id="2"/>
      </w:r>
    </w:p>
    <w:p w:rsidR="00FA5B82" w:rsidRPr="00090FC9" w:rsidRDefault="00FA5B82"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C2405">
        <w:rPr>
          <w:rFonts w:ascii="Arial" w:hAnsi="Arial" w:cs="Arial"/>
          <w:sz w:val="24"/>
          <w:szCs w:val="24"/>
        </w:rPr>
        <w:t>1</w:t>
      </w:r>
      <w:r w:rsidR="005B0DFA">
        <w:rPr>
          <w:rFonts w:ascii="Arial" w:hAnsi="Arial" w:cs="Arial"/>
          <w:sz w:val="24"/>
          <w:szCs w:val="24"/>
        </w:rPr>
        <w:t>3</w:t>
      </w:r>
      <w:r w:rsidR="00690D11">
        <w:rPr>
          <w:rFonts w:ascii="Arial" w:hAnsi="Arial" w:cs="Arial"/>
          <w:sz w:val="24"/>
          <w:szCs w:val="24"/>
        </w:rPr>
        <w:t>]</w:t>
      </w:r>
      <w:r w:rsidR="00690D11">
        <w:rPr>
          <w:rFonts w:ascii="Arial" w:hAnsi="Arial" w:cs="Arial"/>
          <w:sz w:val="24"/>
          <w:szCs w:val="24"/>
        </w:rPr>
        <w:tab/>
        <w:t>The parties where thus</w:t>
      </w:r>
      <w:r w:rsidR="003949C8">
        <w:rPr>
          <w:rFonts w:ascii="Arial" w:hAnsi="Arial" w:cs="Arial"/>
          <w:sz w:val="24"/>
          <w:szCs w:val="24"/>
        </w:rPr>
        <w:t xml:space="preserve"> asked to consider the effect of</w:t>
      </w:r>
      <w:r w:rsidR="00690D11">
        <w:rPr>
          <w:rFonts w:ascii="Arial" w:hAnsi="Arial" w:cs="Arial"/>
          <w:sz w:val="24"/>
          <w:szCs w:val="24"/>
        </w:rPr>
        <w:t xml:space="preserve"> all</w:t>
      </w:r>
      <w:r w:rsidR="003949C8">
        <w:rPr>
          <w:rFonts w:ascii="Arial" w:hAnsi="Arial" w:cs="Arial"/>
          <w:sz w:val="24"/>
          <w:szCs w:val="24"/>
        </w:rPr>
        <w:t xml:space="preserve"> this</w:t>
      </w:r>
      <w:r w:rsidR="00690D11">
        <w:rPr>
          <w:rFonts w:ascii="Arial" w:hAnsi="Arial" w:cs="Arial"/>
          <w:sz w:val="24"/>
          <w:szCs w:val="24"/>
        </w:rPr>
        <w:t xml:space="preserve"> also</w:t>
      </w:r>
      <w:r w:rsidR="003949C8">
        <w:rPr>
          <w:rFonts w:ascii="Arial" w:hAnsi="Arial" w:cs="Arial"/>
          <w:sz w:val="24"/>
          <w:szCs w:val="24"/>
        </w:rPr>
        <w:t xml:space="preserve"> on the</w:t>
      </w:r>
      <w:r w:rsidRPr="00090FC9">
        <w:rPr>
          <w:rFonts w:ascii="Arial" w:hAnsi="Arial" w:cs="Arial"/>
          <w:sz w:val="24"/>
          <w:szCs w:val="24"/>
        </w:rPr>
        <w:t xml:space="preserve"> aspect of compensation in respect of which the ground of appeal had been advanced ‘whether the respondent had discharged the onus in respect of proving the damages and</w:t>
      </w:r>
      <w:r w:rsidR="003949C8">
        <w:rPr>
          <w:rFonts w:ascii="Arial" w:hAnsi="Arial" w:cs="Arial"/>
          <w:sz w:val="24"/>
          <w:szCs w:val="24"/>
        </w:rPr>
        <w:t xml:space="preserve"> thus her</w:t>
      </w:r>
      <w:r w:rsidRPr="00090FC9">
        <w:rPr>
          <w:rFonts w:ascii="Arial" w:hAnsi="Arial" w:cs="Arial"/>
          <w:sz w:val="24"/>
          <w:szCs w:val="24"/>
        </w:rPr>
        <w:t xml:space="preserve"> entitlement to compensation’</w:t>
      </w:r>
      <w:r w:rsidR="003949C8">
        <w:rPr>
          <w:rFonts w:ascii="Arial" w:hAnsi="Arial" w:cs="Arial"/>
          <w:sz w:val="24"/>
          <w:szCs w:val="24"/>
        </w:rPr>
        <w:t xml:space="preserve"> and whether the arbitrator had thus erred in awarding compensation to her in the result</w:t>
      </w:r>
      <w:r w:rsidRPr="00090FC9">
        <w:rPr>
          <w:rFonts w:ascii="Arial" w:hAnsi="Arial" w:cs="Arial"/>
          <w:sz w:val="24"/>
          <w:szCs w:val="24"/>
        </w:rPr>
        <w:t>.</w:t>
      </w:r>
    </w:p>
    <w:p w:rsidR="00A7377E" w:rsidRPr="00090FC9" w:rsidRDefault="00A7377E" w:rsidP="00090FC9">
      <w:pPr>
        <w:spacing w:after="0" w:line="360" w:lineRule="auto"/>
        <w:jc w:val="both"/>
        <w:rPr>
          <w:rFonts w:ascii="Arial" w:hAnsi="Arial" w:cs="Arial"/>
          <w:sz w:val="24"/>
          <w:szCs w:val="24"/>
        </w:rPr>
      </w:pPr>
    </w:p>
    <w:p w:rsidR="00C83B93"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C2405">
        <w:rPr>
          <w:rFonts w:ascii="Arial" w:hAnsi="Arial" w:cs="Arial"/>
          <w:sz w:val="24"/>
          <w:szCs w:val="24"/>
        </w:rPr>
        <w:t>1</w:t>
      </w:r>
      <w:r w:rsidR="005B0DFA">
        <w:rPr>
          <w:rFonts w:ascii="Arial" w:hAnsi="Arial" w:cs="Arial"/>
          <w:sz w:val="24"/>
          <w:szCs w:val="24"/>
        </w:rPr>
        <w:t>4</w:t>
      </w:r>
      <w:r w:rsidR="00690D11">
        <w:rPr>
          <w:rFonts w:ascii="Arial" w:hAnsi="Arial" w:cs="Arial"/>
          <w:sz w:val="24"/>
          <w:szCs w:val="24"/>
        </w:rPr>
        <w:t>]</w:t>
      </w:r>
      <w:r w:rsidR="00690D11">
        <w:rPr>
          <w:rFonts w:ascii="Arial" w:hAnsi="Arial" w:cs="Arial"/>
          <w:sz w:val="24"/>
          <w:szCs w:val="24"/>
        </w:rPr>
        <w:tab/>
        <w:t>Given the potential impact of all this on their respective cases the parties were</w:t>
      </w:r>
      <w:r w:rsidR="00E46A00">
        <w:rPr>
          <w:rFonts w:ascii="Arial" w:hAnsi="Arial" w:cs="Arial"/>
          <w:sz w:val="24"/>
          <w:szCs w:val="24"/>
        </w:rPr>
        <w:t xml:space="preserve"> also urged and</w:t>
      </w:r>
      <w:r w:rsidRPr="00090FC9">
        <w:rPr>
          <w:rFonts w:ascii="Arial" w:hAnsi="Arial" w:cs="Arial"/>
          <w:sz w:val="24"/>
          <w:szCs w:val="24"/>
        </w:rPr>
        <w:t xml:space="preserve"> given the opportunity to</w:t>
      </w:r>
      <w:r w:rsidR="00690D11">
        <w:rPr>
          <w:rFonts w:ascii="Arial" w:hAnsi="Arial" w:cs="Arial"/>
          <w:sz w:val="24"/>
          <w:szCs w:val="24"/>
        </w:rPr>
        <w:t xml:space="preserve"> consider to</w:t>
      </w:r>
      <w:r w:rsidR="003949C8">
        <w:rPr>
          <w:rFonts w:ascii="Arial" w:hAnsi="Arial" w:cs="Arial"/>
          <w:sz w:val="24"/>
          <w:szCs w:val="24"/>
        </w:rPr>
        <w:t xml:space="preserve"> settle the matter, which opportunity they</w:t>
      </w:r>
      <w:r w:rsidR="00E46A00">
        <w:rPr>
          <w:rFonts w:ascii="Arial" w:hAnsi="Arial" w:cs="Arial"/>
          <w:sz w:val="24"/>
          <w:szCs w:val="24"/>
        </w:rPr>
        <w:t>,</w:t>
      </w:r>
      <w:r w:rsidR="00C83B93">
        <w:rPr>
          <w:rFonts w:ascii="Arial" w:hAnsi="Arial" w:cs="Arial"/>
          <w:sz w:val="24"/>
          <w:szCs w:val="24"/>
        </w:rPr>
        <w:t xml:space="preserve"> unfortunately</w:t>
      </w:r>
      <w:r w:rsidR="00E46A00">
        <w:rPr>
          <w:rFonts w:ascii="Arial" w:hAnsi="Arial" w:cs="Arial"/>
          <w:sz w:val="24"/>
          <w:szCs w:val="24"/>
        </w:rPr>
        <w:t>,</w:t>
      </w:r>
      <w:r w:rsidR="003949C8">
        <w:rPr>
          <w:rFonts w:ascii="Arial" w:hAnsi="Arial" w:cs="Arial"/>
          <w:sz w:val="24"/>
          <w:szCs w:val="24"/>
        </w:rPr>
        <w:t xml:space="preserve"> failed to utilise.</w:t>
      </w:r>
      <w:r w:rsidRPr="00090FC9">
        <w:rPr>
          <w:rFonts w:ascii="Arial" w:hAnsi="Arial" w:cs="Arial"/>
          <w:sz w:val="24"/>
          <w:szCs w:val="24"/>
        </w:rPr>
        <w:t xml:space="preserve"> </w:t>
      </w:r>
    </w:p>
    <w:p w:rsidR="00C83B93" w:rsidRDefault="00C83B93" w:rsidP="00090FC9">
      <w:pPr>
        <w:spacing w:after="0" w:line="360" w:lineRule="auto"/>
        <w:jc w:val="both"/>
        <w:rPr>
          <w:rFonts w:ascii="Arial" w:hAnsi="Arial" w:cs="Arial"/>
          <w:sz w:val="24"/>
          <w:szCs w:val="24"/>
        </w:rPr>
      </w:pPr>
    </w:p>
    <w:p w:rsidR="00A7377E" w:rsidRPr="00090FC9" w:rsidRDefault="00C83B93" w:rsidP="00090FC9">
      <w:pPr>
        <w:spacing w:after="0" w:line="360" w:lineRule="auto"/>
        <w:jc w:val="both"/>
        <w:rPr>
          <w:rFonts w:ascii="Arial" w:hAnsi="Arial" w:cs="Arial"/>
          <w:sz w:val="24"/>
          <w:szCs w:val="24"/>
        </w:rPr>
      </w:pPr>
      <w:r>
        <w:rPr>
          <w:rFonts w:ascii="Arial" w:hAnsi="Arial" w:cs="Arial"/>
          <w:sz w:val="24"/>
          <w:szCs w:val="24"/>
        </w:rPr>
        <w:t>[</w:t>
      </w:r>
      <w:r w:rsidR="005B0DFA">
        <w:rPr>
          <w:rFonts w:ascii="Arial" w:hAnsi="Arial" w:cs="Arial"/>
          <w:sz w:val="24"/>
          <w:szCs w:val="24"/>
        </w:rPr>
        <w:t>15</w:t>
      </w:r>
      <w:r>
        <w:rPr>
          <w:rFonts w:ascii="Arial" w:hAnsi="Arial" w:cs="Arial"/>
          <w:sz w:val="24"/>
          <w:szCs w:val="24"/>
        </w:rPr>
        <w:t>]</w:t>
      </w:r>
      <w:r>
        <w:rPr>
          <w:rFonts w:ascii="Arial" w:hAnsi="Arial" w:cs="Arial"/>
          <w:sz w:val="24"/>
          <w:szCs w:val="24"/>
        </w:rPr>
        <w:tab/>
      </w:r>
      <w:r w:rsidR="003949C8">
        <w:rPr>
          <w:rFonts w:ascii="Arial" w:hAnsi="Arial" w:cs="Arial"/>
          <w:sz w:val="24"/>
          <w:szCs w:val="24"/>
        </w:rPr>
        <w:t>Subsequently they were</w:t>
      </w:r>
      <w:r w:rsidR="00690D11">
        <w:rPr>
          <w:rFonts w:ascii="Arial" w:hAnsi="Arial" w:cs="Arial"/>
          <w:sz w:val="24"/>
          <w:szCs w:val="24"/>
        </w:rPr>
        <w:t xml:space="preserve"> then</w:t>
      </w:r>
      <w:r w:rsidR="003949C8">
        <w:rPr>
          <w:rFonts w:ascii="Arial" w:hAnsi="Arial" w:cs="Arial"/>
          <w:sz w:val="24"/>
          <w:szCs w:val="24"/>
        </w:rPr>
        <w:t xml:space="preserve"> directed to </w:t>
      </w:r>
      <w:r w:rsidR="00A7377E" w:rsidRPr="00090FC9">
        <w:rPr>
          <w:rFonts w:ascii="Arial" w:hAnsi="Arial" w:cs="Arial"/>
          <w:sz w:val="24"/>
          <w:szCs w:val="24"/>
        </w:rPr>
        <w:t>address these further aspects in supplementary heads of argument. Only counsel for the respondent availed himself of this opportunity within the timelines agreed</w:t>
      </w:r>
      <w:r w:rsidR="003949C8">
        <w:rPr>
          <w:rFonts w:ascii="Arial" w:hAnsi="Arial" w:cs="Arial"/>
          <w:sz w:val="24"/>
          <w:szCs w:val="24"/>
        </w:rPr>
        <w:t xml:space="preserve"> and set</w:t>
      </w:r>
      <w:r w:rsidR="00A7377E" w:rsidRPr="00090FC9">
        <w:rPr>
          <w:rFonts w:ascii="Arial" w:hAnsi="Arial" w:cs="Arial"/>
          <w:sz w:val="24"/>
          <w:szCs w:val="24"/>
        </w:rPr>
        <w:t xml:space="preserve"> for this purpose. Counsel for the appellant’s failure to do so</w:t>
      </w:r>
      <w:r w:rsidR="003949C8">
        <w:rPr>
          <w:rFonts w:ascii="Arial" w:hAnsi="Arial" w:cs="Arial"/>
          <w:sz w:val="24"/>
          <w:szCs w:val="24"/>
        </w:rPr>
        <w:t>,</w:t>
      </w:r>
      <w:r w:rsidR="00A7377E" w:rsidRPr="00090FC9">
        <w:rPr>
          <w:rFonts w:ascii="Arial" w:hAnsi="Arial" w:cs="Arial"/>
          <w:sz w:val="24"/>
          <w:szCs w:val="24"/>
        </w:rPr>
        <w:t xml:space="preserve"> timeously</w:t>
      </w:r>
      <w:r w:rsidR="003949C8">
        <w:rPr>
          <w:rFonts w:ascii="Arial" w:hAnsi="Arial" w:cs="Arial"/>
          <w:sz w:val="24"/>
          <w:szCs w:val="24"/>
        </w:rPr>
        <w:t>,</w:t>
      </w:r>
      <w:r w:rsidR="00A7377E" w:rsidRPr="00090FC9">
        <w:rPr>
          <w:rFonts w:ascii="Arial" w:hAnsi="Arial" w:cs="Arial"/>
          <w:sz w:val="24"/>
          <w:szCs w:val="24"/>
        </w:rPr>
        <w:t xml:space="preserve"> was not condoned.</w:t>
      </w:r>
    </w:p>
    <w:p w:rsidR="003949C8" w:rsidRPr="003949C8" w:rsidRDefault="003949C8" w:rsidP="00090FC9">
      <w:pPr>
        <w:spacing w:after="0" w:line="360" w:lineRule="auto"/>
        <w:jc w:val="both"/>
        <w:rPr>
          <w:rFonts w:ascii="Arial" w:hAnsi="Arial" w:cs="Arial"/>
          <w:sz w:val="24"/>
          <w:szCs w:val="24"/>
          <w:u w:val="single"/>
        </w:rPr>
      </w:pPr>
      <w:r w:rsidRPr="003949C8">
        <w:rPr>
          <w:rFonts w:ascii="Arial" w:hAnsi="Arial" w:cs="Arial"/>
          <w:sz w:val="24"/>
          <w:szCs w:val="24"/>
          <w:u w:val="single"/>
        </w:rPr>
        <w:lastRenderedPageBreak/>
        <w:t>The procedural defects</w:t>
      </w:r>
    </w:p>
    <w:p w:rsidR="003949C8" w:rsidRPr="00090FC9" w:rsidRDefault="003949C8"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0C2405">
        <w:rPr>
          <w:rFonts w:ascii="Arial" w:hAnsi="Arial" w:cs="Arial"/>
          <w:sz w:val="24"/>
          <w:szCs w:val="24"/>
        </w:rPr>
        <w:t>1</w:t>
      </w:r>
      <w:r w:rsidR="005B0DFA">
        <w:rPr>
          <w:rFonts w:ascii="Arial" w:hAnsi="Arial" w:cs="Arial"/>
          <w:sz w:val="24"/>
          <w:szCs w:val="24"/>
        </w:rPr>
        <w:t>6</w:t>
      </w:r>
      <w:r w:rsidRPr="00090FC9">
        <w:rPr>
          <w:rFonts w:ascii="Arial" w:hAnsi="Arial" w:cs="Arial"/>
          <w:sz w:val="24"/>
          <w:szCs w:val="24"/>
        </w:rPr>
        <w:t>]</w:t>
      </w:r>
      <w:r w:rsidRPr="00090FC9">
        <w:rPr>
          <w:rFonts w:ascii="Arial" w:hAnsi="Arial" w:cs="Arial"/>
          <w:sz w:val="24"/>
          <w:szCs w:val="24"/>
        </w:rPr>
        <w:tab/>
        <w:t xml:space="preserve">In such circumstances Mr Horn’s submissions come to the fore. In regard to the raised procedural irregularities he </w:t>
      </w:r>
      <w:r w:rsidR="0002271D" w:rsidRPr="00090FC9">
        <w:rPr>
          <w:rFonts w:ascii="Arial" w:hAnsi="Arial" w:cs="Arial"/>
          <w:sz w:val="24"/>
          <w:szCs w:val="24"/>
        </w:rPr>
        <w:t>submitted:</w:t>
      </w:r>
    </w:p>
    <w:p w:rsidR="00A7377E" w:rsidRPr="00090FC9" w:rsidRDefault="00A7377E" w:rsidP="00090FC9">
      <w:pPr>
        <w:spacing w:after="0" w:line="360" w:lineRule="auto"/>
        <w:jc w:val="both"/>
        <w:rPr>
          <w:rFonts w:ascii="Arial" w:eastAsia="Times New Roman" w:hAnsi="Arial" w:cs="Arial"/>
          <w:snapToGrid w:val="0"/>
          <w:sz w:val="24"/>
          <w:szCs w:val="24"/>
        </w:rPr>
      </w:pPr>
    </w:p>
    <w:p w:rsidR="00A7377E" w:rsidRPr="000C2405" w:rsidRDefault="00A7377E" w:rsidP="000C2405">
      <w:pPr>
        <w:spacing w:after="0" w:line="360" w:lineRule="auto"/>
        <w:ind w:firstLine="720"/>
        <w:jc w:val="both"/>
        <w:rPr>
          <w:rFonts w:ascii="Arial" w:eastAsia="Times New Roman" w:hAnsi="Arial" w:cs="Arial"/>
          <w:snapToGrid w:val="0"/>
        </w:rPr>
      </w:pPr>
      <w:r w:rsidRPr="000C2405">
        <w:rPr>
          <w:rFonts w:ascii="Arial" w:eastAsia="Times New Roman" w:hAnsi="Arial" w:cs="Arial"/>
          <w:snapToGrid w:val="0"/>
        </w:rPr>
        <w:t>‘2.</w:t>
      </w:r>
      <w:r w:rsidRPr="000C2405">
        <w:rPr>
          <w:rFonts w:ascii="Arial" w:eastAsia="Times New Roman" w:hAnsi="Arial" w:cs="Arial"/>
          <w:snapToGrid w:val="0"/>
        </w:rPr>
        <w:tab/>
        <w:t>The Employee testified that she had a meeting with certain representatives of the Employer where it was agreed that she will receive a sanction.  During this meeting the Employee informed the members of the factual background regarding the theft of the laptop and how it occurred.  Thereafter she was requested to leave the meeting in order for the members of the meeting to discuss an appropriate sanction.  She never agreed to a final written warning.</w:t>
      </w:r>
    </w:p>
    <w:p w:rsidR="00A7377E" w:rsidRPr="000C2405" w:rsidRDefault="00A7377E" w:rsidP="000C2405">
      <w:pPr>
        <w:spacing w:after="0" w:line="360" w:lineRule="auto"/>
        <w:jc w:val="center"/>
        <w:rPr>
          <w:rFonts w:ascii="Arial" w:eastAsia="Times New Roman" w:hAnsi="Arial" w:cs="Arial"/>
          <w:snapToGrid w:val="0"/>
        </w:rPr>
      </w:pPr>
      <w:r w:rsidRPr="000C2405">
        <w:rPr>
          <w:rFonts w:ascii="Arial" w:eastAsia="Times New Roman" w:hAnsi="Arial" w:cs="Arial"/>
          <w:snapToGrid w:val="0"/>
        </w:rPr>
        <w:t>(See record page 150)</w:t>
      </w:r>
    </w:p>
    <w:p w:rsidR="000C2405" w:rsidRPr="000C2405" w:rsidRDefault="000C2405" w:rsidP="000C2405">
      <w:pPr>
        <w:spacing w:after="0" w:line="360" w:lineRule="auto"/>
        <w:jc w:val="center"/>
        <w:rPr>
          <w:rFonts w:ascii="Arial" w:eastAsia="Times New Roman" w:hAnsi="Arial" w:cs="Arial"/>
          <w:snapToGrid w:val="0"/>
        </w:rPr>
      </w:pPr>
    </w:p>
    <w:p w:rsidR="00A7377E" w:rsidRPr="000C2405" w:rsidRDefault="00A7377E" w:rsidP="000C2405">
      <w:pPr>
        <w:spacing w:after="0" w:line="360" w:lineRule="auto"/>
        <w:jc w:val="both"/>
        <w:rPr>
          <w:rFonts w:ascii="Arial" w:eastAsia="Times New Roman" w:hAnsi="Arial" w:cs="Arial"/>
          <w:snapToGrid w:val="0"/>
        </w:rPr>
      </w:pPr>
      <w:r w:rsidRPr="000C2405">
        <w:rPr>
          <w:rFonts w:ascii="Arial" w:eastAsia="Times New Roman" w:hAnsi="Arial" w:cs="Arial"/>
          <w:snapToGrid w:val="0"/>
        </w:rPr>
        <w:t>3.</w:t>
      </w:r>
      <w:r w:rsidRPr="000C2405">
        <w:rPr>
          <w:rFonts w:ascii="Arial" w:eastAsia="Times New Roman" w:hAnsi="Arial" w:cs="Arial"/>
          <w:snapToGrid w:val="0"/>
        </w:rPr>
        <w:tab/>
        <w:t>Approximately two days later and on the 04</w:t>
      </w:r>
      <w:r w:rsidRPr="000C2405">
        <w:rPr>
          <w:rFonts w:ascii="Arial" w:eastAsia="Times New Roman" w:hAnsi="Arial" w:cs="Arial"/>
          <w:snapToGrid w:val="0"/>
          <w:vertAlign w:val="superscript"/>
        </w:rPr>
        <w:t>th</w:t>
      </w:r>
      <w:r w:rsidRPr="000C2405">
        <w:rPr>
          <w:rFonts w:ascii="Arial" w:eastAsia="Times New Roman" w:hAnsi="Arial" w:cs="Arial"/>
          <w:snapToGrid w:val="0"/>
        </w:rPr>
        <w:t xml:space="preserve"> of October she received feedback that the corrective action to be taken by the Employer will be a final written warning which she refused to sign.  The Employee testified that she did not agree to same and similarly was not discussed.  Prior to and during the Disciplinary Hearing   the Employee requested the minutes of the meeting.  Her request was met with a response from the Employer that she must use her own notes, and hence the Employer will not deliver same.</w:t>
      </w:r>
    </w:p>
    <w:p w:rsidR="00A7377E" w:rsidRPr="000C2405" w:rsidRDefault="00A7377E" w:rsidP="000C2405">
      <w:pPr>
        <w:spacing w:after="0" w:line="360" w:lineRule="auto"/>
        <w:ind w:left="720" w:hanging="720"/>
        <w:jc w:val="both"/>
        <w:rPr>
          <w:rFonts w:ascii="Arial" w:eastAsia="Times New Roman" w:hAnsi="Arial" w:cs="Arial"/>
          <w:snapToGrid w:val="0"/>
        </w:rPr>
      </w:pPr>
    </w:p>
    <w:p w:rsidR="00A7377E" w:rsidRPr="000C2405" w:rsidRDefault="00A7377E" w:rsidP="000C2405">
      <w:pPr>
        <w:spacing w:after="0" w:line="360" w:lineRule="auto"/>
        <w:jc w:val="both"/>
        <w:rPr>
          <w:rFonts w:ascii="Arial" w:eastAsia="Times New Roman" w:hAnsi="Arial" w:cs="Arial"/>
          <w:snapToGrid w:val="0"/>
        </w:rPr>
      </w:pPr>
      <w:r w:rsidRPr="000C2405">
        <w:rPr>
          <w:rFonts w:ascii="Arial" w:eastAsia="Times New Roman" w:hAnsi="Arial" w:cs="Arial"/>
          <w:snapToGrid w:val="0"/>
        </w:rPr>
        <w:t>4.</w:t>
      </w:r>
      <w:r w:rsidRPr="000C2405">
        <w:rPr>
          <w:rFonts w:ascii="Arial" w:eastAsia="Times New Roman" w:hAnsi="Arial" w:cs="Arial"/>
          <w:snapToGrid w:val="0"/>
        </w:rPr>
        <w:tab/>
        <w:t>The Employee also testified that she requested the Code of Conduct from the Employer on the 07</w:t>
      </w:r>
      <w:r w:rsidRPr="000C2405">
        <w:rPr>
          <w:rFonts w:ascii="Arial" w:eastAsia="Times New Roman" w:hAnsi="Arial" w:cs="Arial"/>
          <w:snapToGrid w:val="0"/>
          <w:vertAlign w:val="superscript"/>
        </w:rPr>
        <w:t>th</w:t>
      </w:r>
      <w:r w:rsidRPr="000C2405">
        <w:rPr>
          <w:rFonts w:ascii="Arial" w:eastAsia="Times New Roman" w:hAnsi="Arial" w:cs="Arial"/>
          <w:snapToGrid w:val="0"/>
        </w:rPr>
        <w:t xml:space="preserve"> of October when the final written warning was issued.  </w:t>
      </w:r>
    </w:p>
    <w:p w:rsidR="00A7377E" w:rsidRPr="000C2405" w:rsidRDefault="00A7377E" w:rsidP="000C2405">
      <w:pPr>
        <w:spacing w:after="0" w:line="360" w:lineRule="auto"/>
        <w:ind w:left="720" w:hanging="720"/>
        <w:jc w:val="center"/>
        <w:rPr>
          <w:rFonts w:ascii="Arial" w:eastAsia="Times New Roman" w:hAnsi="Arial" w:cs="Arial"/>
          <w:snapToGrid w:val="0"/>
        </w:rPr>
      </w:pPr>
      <w:r w:rsidRPr="000C2405">
        <w:rPr>
          <w:rFonts w:ascii="Arial" w:eastAsia="Times New Roman" w:hAnsi="Arial" w:cs="Arial"/>
          <w:snapToGrid w:val="0"/>
        </w:rPr>
        <w:t>(See record page 151)</w:t>
      </w:r>
    </w:p>
    <w:p w:rsidR="00A7377E" w:rsidRPr="000C2405" w:rsidRDefault="00A7377E" w:rsidP="000C2405">
      <w:pPr>
        <w:spacing w:after="0" w:line="360" w:lineRule="auto"/>
        <w:ind w:left="720" w:hanging="720"/>
        <w:jc w:val="center"/>
        <w:rPr>
          <w:rFonts w:ascii="Arial" w:eastAsia="Times New Roman" w:hAnsi="Arial" w:cs="Arial"/>
          <w:snapToGrid w:val="0"/>
        </w:rPr>
      </w:pPr>
    </w:p>
    <w:p w:rsidR="00A7377E" w:rsidRPr="000C2405" w:rsidRDefault="00A7377E" w:rsidP="000C2405">
      <w:pPr>
        <w:spacing w:after="0" w:line="360" w:lineRule="auto"/>
        <w:jc w:val="both"/>
        <w:rPr>
          <w:rFonts w:ascii="Arial" w:eastAsia="Times New Roman" w:hAnsi="Arial" w:cs="Arial"/>
          <w:snapToGrid w:val="0"/>
        </w:rPr>
      </w:pPr>
      <w:r w:rsidRPr="000C2405">
        <w:rPr>
          <w:rFonts w:ascii="Arial" w:eastAsia="Times New Roman" w:hAnsi="Arial" w:cs="Arial"/>
          <w:snapToGrid w:val="0"/>
        </w:rPr>
        <w:t>5.</w:t>
      </w:r>
      <w:r w:rsidRPr="000C2405">
        <w:rPr>
          <w:rFonts w:ascii="Arial" w:eastAsia="Times New Roman" w:hAnsi="Arial" w:cs="Arial"/>
          <w:snapToGrid w:val="0"/>
        </w:rPr>
        <w:tab/>
        <w:t>The Employee also testified that she wanted to appeal to the final written warning and that the Disciplinary Code had to guide her as well as the minutes of the meeting as to the reasonableness of the sanction.</w:t>
      </w:r>
    </w:p>
    <w:p w:rsidR="00A7377E" w:rsidRPr="000C2405" w:rsidRDefault="00A7377E" w:rsidP="000C2405">
      <w:pPr>
        <w:spacing w:after="0" w:line="360" w:lineRule="auto"/>
        <w:ind w:left="720" w:hanging="720"/>
        <w:jc w:val="both"/>
        <w:rPr>
          <w:rFonts w:ascii="Arial" w:eastAsia="Times New Roman" w:hAnsi="Arial" w:cs="Arial"/>
          <w:snapToGrid w:val="0"/>
        </w:rPr>
      </w:pPr>
    </w:p>
    <w:p w:rsidR="00A7377E" w:rsidRPr="000C2405" w:rsidRDefault="00A7377E" w:rsidP="000C2405">
      <w:pPr>
        <w:spacing w:after="0" w:line="360" w:lineRule="auto"/>
        <w:jc w:val="both"/>
        <w:rPr>
          <w:rFonts w:ascii="Arial" w:hAnsi="Arial" w:cs="Arial"/>
        </w:rPr>
      </w:pPr>
      <w:r w:rsidRPr="000C2405">
        <w:rPr>
          <w:rFonts w:ascii="Arial" w:hAnsi="Arial" w:cs="Arial"/>
        </w:rPr>
        <w:t>6.</w:t>
      </w:r>
      <w:r w:rsidRPr="000C2405">
        <w:rPr>
          <w:rFonts w:ascii="Arial" w:hAnsi="Arial" w:cs="Arial"/>
        </w:rPr>
        <w:tab/>
        <w:t xml:space="preserve">The question that follows is whether the Employer applied fair procedure in its refusal to provide the Employee with the minutes of the meeting and the Disciplinary Code.  </w:t>
      </w:r>
    </w:p>
    <w:p w:rsidR="00A7377E" w:rsidRPr="000C2405" w:rsidRDefault="00A7377E" w:rsidP="000C2405">
      <w:pPr>
        <w:spacing w:after="0" w:line="360" w:lineRule="auto"/>
        <w:ind w:left="720" w:hanging="720"/>
        <w:jc w:val="center"/>
        <w:rPr>
          <w:rFonts w:ascii="Arial" w:hAnsi="Arial" w:cs="Arial"/>
        </w:rPr>
      </w:pPr>
    </w:p>
    <w:p w:rsidR="00A7377E" w:rsidRPr="000C2405" w:rsidRDefault="00A7377E" w:rsidP="000C2405">
      <w:pPr>
        <w:spacing w:after="0" w:line="360" w:lineRule="auto"/>
        <w:jc w:val="both"/>
        <w:rPr>
          <w:rFonts w:ascii="Arial" w:hAnsi="Arial" w:cs="Arial"/>
        </w:rPr>
      </w:pPr>
      <w:r w:rsidRPr="000C2405">
        <w:rPr>
          <w:rFonts w:ascii="Arial" w:hAnsi="Arial" w:cs="Arial"/>
        </w:rPr>
        <w:t>7.</w:t>
      </w:r>
      <w:r w:rsidRPr="000C2405">
        <w:rPr>
          <w:rFonts w:ascii="Arial" w:hAnsi="Arial" w:cs="Arial"/>
        </w:rPr>
        <w:tab/>
        <w:t xml:space="preserve">The Disciplinary Code of Conduct stipulates that an Employee has the right to be treated fairly, procedurally and substantively.  On this basis alone it is respectfully submitted that the Employee was entitled to the Disciplinary Code as well as the minutes of that specific meeting.  In terms of page 204 of the record, the disciplinary procedure is regarded as an integral part of the conditions of employment of all employees.  It also stipulates that this document (Disciplinary Code) is freely available to all employees.  Therefore the refusal of the </w:t>
      </w:r>
      <w:r w:rsidRPr="000C2405">
        <w:rPr>
          <w:rFonts w:ascii="Arial" w:hAnsi="Arial" w:cs="Arial"/>
        </w:rPr>
        <w:lastRenderedPageBreak/>
        <w:t xml:space="preserve">Employer to provide the Employee with same was prejudicial, and biased towards the Employee.  </w:t>
      </w:r>
    </w:p>
    <w:p w:rsidR="00A7377E" w:rsidRPr="000C2405" w:rsidRDefault="00A7377E" w:rsidP="000C2405">
      <w:pPr>
        <w:spacing w:after="0" w:line="360" w:lineRule="auto"/>
        <w:ind w:left="720" w:hanging="720"/>
        <w:jc w:val="both"/>
        <w:rPr>
          <w:rFonts w:ascii="Arial" w:hAnsi="Arial" w:cs="Arial"/>
        </w:rPr>
      </w:pPr>
    </w:p>
    <w:p w:rsidR="00A7377E" w:rsidRPr="000C2405" w:rsidRDefault="00A7377E" w:rsidP="000C2405">
      <w:pPr>
        <w:spacing w:after="0" w:line="360" w:lineRule="auto"/>
        <w:ind w:left="720" w:hanging="720"/>
        <w:jc w:val="both"/>
        <w:rPr>
          <w:rFonts w:ascii="Arial" w:hAnsi="Arial" w:cs="Arial"/>
        </w:rPr>
      </w:pPr>
      <w:r w:rsidRPr="000C2405">
        <w:rPr>
          <w:rFonts w:ascii="Arial" w:hAnsi="Arial" w:cs="Arial"/>
        </w:rPr>
        <w:t>……</w:t>
      </w:r>
    </w:p>
    <w:p w:rsidR="00A7377E" w:rsidRPr="000C2405" w:rsidRDefault="00A7377E" w:rsidP="000C2405">
      <w:pPr>
        <w:spacing w:after="0" w:line="360" w:lineRule="auto"/>
        <w:ind w:left="720" w:hanging="720"/>
        <w:jc w:val="both"/>
        <w:rPr>
          <w:rFonts w:ascii="Arial" w:hAnsi="Arial" w:cs="Arial"/>
        </w:rPr>
      </w:pPr>
    </w:p>
    <w:p w:rsidR="00A7377E" w:rsidRPr="000C2405" w:rsidRDefault="00A7377E" w:rsidP="000C2405">
      <w:pPr>
        <w:spacing w:after="0" w:line="360" w:lineRule="auto"/>
        <w:jc w:val="both"/>
        <w:rPr>
          <w:rFonts w:ascii="Arial" w:hAnsi="Arial" w:cs="Arial"/>
        </w:rPr>
      </w:pPr>
      <w:r w:rsidRPr="000C2405">
        <w:rPr>
          <w:rFonts w:ascii="Arial" w:hAnsi="Arial" w:cs="Arial"/>
        </w:rPr>
        <w:t>10.</w:t>
      </w:r>
      <w:r w:rsidRPr="000C2405">
        <w:rPr>
          <w:rFonts w:ascii="Arial" w:hAnsi="Arial" w:cs="Arial"/>
        </w:rPr>
        <w:tab/>
        <w:t>The general requirements of fair procedure implies that an employee must have a fair hearing according to the principles and rules of natural justice.  This entails that the Employee is given an opportunity to make adequate preparation in order to present its case and raise a defence.  The documents requested by the Employee / Respondent was necessary for her to prepare for her defence and to make adequate preparation.  The minutes of the meeting was needed for her to determine what considerations the Employer already took into account when a final written warning was issued to her.   Secondly, the Employee wanted to ascertain what is the appropriate sanction in terms of the Disciplinary Code vis-a-vie her alleged misconduct.  This right the Employer did not allow the Employee, and failed to observe fair procedure as envisaged in terms of Section 33 of the Labour Act.</w:t>
      </w:r>
    </w:p>
    <w:p w:rsidR="00A7377E" w:rsidRPr="000C2405" w:rsidRDefault="00A7377E" w:rsidP="000C2405">
      <w:pPr>
        <w:spacing w:after="0" w:line="360" w:lineRule="auto"/>
        <w:ind w:left="720" w:hanging="720"/>
        <w:jc w:val="both"/>
        <w:rPr>
          <w:rFonts w:ascii="Arial" w:hAnsi="Arial" w:cs="Arial"/>
        </w:rPr>
      </w:pPr>
    </w:p>
    <w:p w:rsidR="00A7377E" w:rsidRPr="000C2405" w:rsidRDefault="00A7377E" w:rsidP="000C2405">
      <w:pPr>
        <w:spacing w:after="0" w:line="360" w:lineRule="auto"/>
        <w:ind w:left="720"/>
        <w:rPr>
          <w:rFonts w:ascii="Arial" w:hAnsi="Arial" w:cs="Arial"/>
        </w:rPr>
      </w:pPr>
      <w:r w:rsidRPr="000C2405">
        <w:rPr>
          <w:rFonts w:ascii="Arial" w:hAnsi="Arial" w:cs="Arial"/>
        </w:rPr>
        <w:t xml:space="preserve">(See </w:t>
      </w:r>
      <w:r w:rsidRPr="000C2405">
        <w:rPr>
          <w:rFonts w:ascii="Arial" w:hAnsi="Arial" w:cs="Arial"/>
          <w:i/>
        </w:rPr>
        <w:t>Food and Allied Workers Union and Others vs Amalgamated Beverages Industries Limited</w:t>
      </w:r>
      <w:r w:rsidRPr="000C2405">
        <w:rPr>
          <w:rFonts w:ascii="Arial" w:hAnsi="Arial" w:cs="Arial"/>
        </w:rPr>
        <w:t xml:space="preserve"> (1994) 15                ILJ 630 IC)</w:t>
      </w:r>
    </w:p>
    <w:p w:rsidR="00A7377E" w:rsidRPr="000C2405" w:rsidRDefault="00A7377E" w:rsidP="000C2405">
      <w:pPr>
        <w:spacing w:after="0" w:line="360" w:lineRule="auto"/>
        <w:ind w:left="720" w:hanging="720"/>
        <w:jc w:val="both"/>
        <w:rPr>
          <w:rFonts w:ascii="Arial" w:hAnsi="Arial" w:cs="Arial"/>
        </w:rPr>
      </w:pPr>
    </w:p>
    <w:p w:rsidR="00A7377E" w:rsidRPr="000C2405" w:rsidRDefault="00A7377E" w:rsidP="000C2405">
      <w:pPr>
        <w:spacing w:after="0" w:line="360" w:lineRule="auto"/>
        <w:jc w:val="both"/>
        <w:rPr>
          <w:rFonts w:ascii="Arial" w:hAnsi="Arial" w:cs="Arial"/>
        </w:rPr>
      </w:pPr>
      <w:r w:rsidRPr="000C2405">
        <w:rPr>
          <w:rFonts w:ascii="Arial" w:hAnsi="Arial" w:cs="Arial"/>
        </w:rPr>
        <w:t>11.</w:t>
      </w:r>
      <w:r w:rsidRPr="000C2405">
        <w:rPr>
          <w:rFonts w:ascii="Arial" w:hAnsi="Arial" w:cs="Arial"/>
        </w:rPr>
        <w:tab/>
        <w:t xml:space="preserve">In all cases the starting point of a Disciplinary Hearing would be the Employer’s Disciplinary Code.  The Disciplinary Code is the foundation upon which the Employer applies procedural fairness and complies with certain procedural standards to be followed.  </w:t>
      </w:r>
    </w:p>
    <w:p w:rsidR="00A7377E" w:rsidRPr="000C2405" w:rsidRDefault="00A7377E" w:rsidP="000C2405">
      <w:pPr>
        <w:spacing w:after="0" w:line="360" w:lineRule="auto"/>
        <w:ind w:left="720" w:hanging="720"/>
        <w:jc w:val="both"/>
        <w:rPr>
          <w:rFonts w:ascii="Arial" w:hAnsi="Arial" w:cs="Arial"/>
        </w:rPr>
      </w:pPr>
    </w:p>
    <w:p w:rsidR="00A7377E" w:rsidRPr="000C2405" w:rsidRDefault="00A7377E" w:rsidP="000C2405">
      <w:pPr>
        <w:spacing w:after="0" w:line="360" w:lineRule="auto"/>
        <w:jc w:val="both"/>
        <w:rPr>
          <w:rFonts w:ascii="Arial" w:hAnsi="Arial" w:cs="Arial"/>
        </w:rPr>
      </w:pPr>
      <w:r w:rsidRPr="000C2405">
        <w:rPr>
          <w:rFonts w:ascii="Arial" w:hAnsi="Arial" w:cs="Arial"/>
        </w:rPr>
        <w:t>12.</w:t>
      </w:r>
      <w:r w:rsidRPr="000C2405">
        <w:rPr>
          <w:rFonts w:ascii="Arial" w:hAnsi="Arial" w:cs="Arial"/>
        </w:rPr>
        <w:tab/>
        <w:t>Therefore it is respectfully submitted that the Employer’s failure to provide the Employee with the Disciplinary Code is a material failure not to observe procedural fairness.</w:t>
      </w:r>
      <w:r w:rsidR="000C2405" w:rsidRPr="000C2405">
        <w:rPr>
          <w:rFonts w:ascii="Arial" w:hAnsi="Arial" w:cs="Arial"/>
        </w:rPr>
        <w:t>’</w:t>
      </w:r>
    </w:p>
    <w:p w:rsidR="00A7377E" w:rsidRPr="00090FC9" w:rsidRDefault="00A7377E" w:rsidP="00090FC9">
      <w:pPr>
        <w:spacing w:after="0" w:line="360" w:lineRule="auto"/>
        <w:jc w:val="both"/>
        <w:rPr>
          <w:rFonts w:ascii="Arial" w:hAnsi="Arial" w:cs="Arial"/>
          <w:sz w:val="24"/>
          <w:szCs w:val="24"/>
        </w:rPr>
      </w:pPr>
    </w:p>
    <w:p w:rsidR="00A7377E"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C340AB">
        <w:rPr>
          <w:rFonts w:ascii="Arial" w:hAnsi="Arial" w:cs="Arial"/>
          <w:sz w:val="24"/>
          <w:szCs w:val="24"/>
        </w:rPr>
        <w:t>1</w:t>
      </w:r>
      <w:r w:rsidR="005B0DFA">
        <w:rPr>
          <w:rFonts w:ascii="Arial" w:hAnsi="Arial" w:cs="Arial"/>
          <w:sz w:val="24"/>
          <w:szCs w:val="24"/>
        </w:rPr>
        <w:t>7</w:t>
      </w:r>
      <w:r w:rsidRPr="00090FC9">
        <w:rPr>
          <w:rFonts w:ascii="Arial" w:hAnsi="Arial" w:cs="Arial"/>
          <w:sz w:val="24"/>
          <w:szCs w:val="24"/>
        </w:rPr>
        <w:t>]</w:t>
      </w:r>
      <w:r w:rsidRPr="00090FC9">
        <w:rPr>
          <w:rFonts w:ascii="Arial" w:hAnsi="Arial" w:cs="Arial"/>
          <w:sz w:val="24"/>
          <w:szCs w:val="24"/>
        </w:rPr>
        <w:tab/>
        <w:t>It does not take much to see why the procedure in question was indeed materially flawed and that the arguments advanced in this regard have merit.</w:t>
      </w:r>
      <w:r w:rsidR="00DC24E8">
        <w:rPr>
          <w:rFonts w:ascii="Arial" w:hAnsi="Arial" w:cs="Arial"/>
          <w:sz w:val="24"/>
          <w:szCs w:val="24"/>
        </w:rPr>
        <w:t xml:space="preserve"> This failure caused </w:t>
      </w:r>
      <w:r w:rsidR="00B43139">
        <w:rPr>
          <w:rFonts w:ascii="Arial" w:hAnsi="Arial" w:cs="Arial"/>
          <w:sz w:val="24"/>
          <w:szCs w:val="24"/>
        </w:rPr>
        <w:t xml:space="preserve">material </w:t>
      </w:r>
      <w:r w:rsidR="00DC24E8">
        <w:rPr>
          <w:rFonts w:ascii="Arial" w:hAnsi="Arial" w:cs="Arial"/>
          <w:sz w:val="24"/>
          <w:szCs w:val="24"/>
        </w:rPr>
        <w:t>prejudice and thus</w:t>
      </w:r>
      <w:r w:rsidR="00A05964">
        <w:rPr>
          <w:rFonts w:ascii="Arial" w:hAnsi="Arial" w:cs="Arial"/>
          <w:sz w:val="24"/>
          <w:szCs w:val="24"/>
        </w:rPr>
        <w:t xml:space="preserve"> effectively</w:t>
      </w:r>
      <w:r w:rsidR="00DC24E8">
        <w:rPr>
          <w:rFonts w:ascii="Arial" w:hAnsi="Arial" w:cs="Arial"/>
          <w:sz w:val="24"/>
          <w:szCs w:val="24"/>
        </w:rPr>
        <w:t xml:space="preserve"> negated the fairness of the process.</w:t>
      </w:r>
      <w:r w:rsidR="00DC24E8">
        <w:rPr>
          <w:rStyle w:val="FootnoteReference"/>
          <w:rFonts w:ascii="Arial" w:hAnsi="Arial"/>
          <w:sz w:val="24"/>
          <w:szCs w:val="24"/>
        </w:rPr>
        <w:footnoteReference w:id="3"/>
      </w:r>
    </w:p>
    <w:p w:rsidR="00447412" w:rsidRDefault="00447412" w:rsidP="00090FC9">
      <w:pPr>
        <w:spacing w:after="0" w:line="360" w:lineRule="auto"/>
        <w:jc w:val="both"/>
        <w:rPr>
          <w:rFonts w:ascii="Arial" w:hAnsi="Arial" w:cs="Arial"/>
          <w:sz w:val="24"/>
          <w:szCs w:val="24"/>
        </w:rPr>
      </w:pPr>
    </w:p>
    <w:p w:rsidR="003C4910" w:rsidRPr="00090FC9" w:rsidRDefault="00447412" w:rsidP="003C4910">
      <w:pPr>
        <w:spacing w:after="0" w:line="360" w:lineRule="auto"/>
        <w:jc w:val="both"/>
        <w:rPr>
          <w:rFonts w:ascii="Arial" w:hAnsi="Arial" w:cs="Arial"/>
          <w:sz w:val="24"/>
          <w:szCs w:val="24"/>
        </w:rPr>
      </w:pPr>
      <w:r>
        <w:rPr>
          <w:rFonts w:ascii="Arial" w:hAnsi="Arial" w:cs="Arial"/>
          <w:sz w:val="24"/>
          <w:szCs w:val="24"/>
        </w:rPr>
        <w:t>[</w:t>
      </w:r>
      <w:r w:rsidR="005B0DFA">
        <w:rPr>
          <w:rFonts w:ascii="Arial" w:hAnsi="Arial" w:cs="Arial"/>
          <w:sz w:val="24"/>
          <w:szCs w:val="24"/>
        </w:rPr>
        <w:t>18</w:t>
      </w:r>
      <w:r>
        <w:rPr>
          <w:rFonts w:ascii="Arial" w:hAnsi="Arial" w:cs="Arial"/>
          <w:sz w:val="24"/>
          <w:szCs w:val="24"/>
        </w:rPr>
        <w:t>]</w:t>
      </w:r>
      <w:r>
        <w:rPr>
          <w:rFonts w:ascii="Arial" w:hAnsi="Arial" w:cs="Arial"/>
          <w:sz w:val="24"/>
          <w:szCs w:val="24"/>
        </w:rPr>
        <w:tab/>
        <w:t xml:space="preserve">This would also be an instance where the failure of the domestic tribunal to apply a fair procedure would be sufficient to set it aside – without the need to even consider the aspect of the substantive fairness of the dismissal - as the failure to provide the respondent with the minutes of the informal ‘proceedings of 2 October’ and </w:t>
      </w:r>
      <w:r>
        <w:rPr>
          <w:rFonts w:ascii="Arial" w:hAnsi="Arial" w:cs="Arial"/>
          <w:sz w:val="24"/>
          <w:szCs w:val="24"/>
        </w:rPr>
        <w:lastRenderedPageBreak/>
        <w:t>also the</w:t>
      </w:r>
      <w:r w:rsidR="00B43139">
        <w:rPr>
          <w:rFonts w:ascii="Arial" w:hAnsi="Arial" w:cs="Arial"/>
          <w:sz w:val="24"/>
          <w:szCs w:val="24"/>
        </w:rPr>
        <w:t xml:space="preserve"> refusal to avail the</w:t>
      </w:r>
      <w:r>
        <w:rPr>
          <w:rFonts w:ascii="Arial" w:hAnsi="Arial" w:cs="Arial"/>
          <w:sz w:val="24"/>
          <w:szCs w:val="24"/>
        </w:rPr>
        <w:t xml:space="preserve"> disciplinary code of conduct</w:t>
      </w:r>
      <w:r w:rsidR="00B43139">
        <w:rPr>
          <w:rFonts w:ascii="Arial" w:hAnsi="Arial" w:cs="Arial"/>
          <w:sz w:val="24"/>
          <w:szCs w:val="24"/>
        </w:rPr>
        <w:t xml:space="preserve"> were</w:t>
      </w:r>
      <w:r>
        <w:rPr>
          <w:rFonts w:ascii="Arial" w:hAnsi="Arial" w:cs="Arial"/>
          <w:sz w:val="24"/>
          <w:szCs w:val="24"/>
        </w:rPr>
        <w:t xml:space="preserve"> fundamental</w:t>
      </w:r>
      <w:r w:rsidR="00B43139">
        <w:rPr>
          <w:rFonts w:ascii="Arial" w:hAnsi="Arial" w:cs="Arial"/>
          <w:sz w:val="24"/>
          <w:szCs w:val="24"/>
        </w:rPr>
        <w:t xml:space="preserve"> irregularities which</w:t>
      </w:r>
      <w:r>
        <w:rPr>
          <w:rFonts w:ascii="Arial" w:hAnsi="Arial" w:cs="Arial"/>
          <w:sz w:val="24"/>
          <w:szCs w:val="24"/>
        </w:rPr>
        <w:t xml:space="preserve"> materially prejudiced the respondent’s ability to prepare and present her </w:t>
      </w:r>
      <w:r w:rsidRPr="00B02C6C">
        <w:rPr>
          <w:rFonts w:ascii="Arial" w:hAnsi="Arial" w:cs="Arial"/>
          <w:sz w:val="24"/>
          <w:szCs w:val="24"/>
        </w:rPr>
        <w:t>defence and also her case relating</w:t>
      </w:r>
      <w:r>
        <w:rPr>
          <w:rFonts w:ascii="Arial" w:hAnsi="Arial" w:cs="Arial"/>
          <w:sz w:val="24"/>
          <w:szCs w:val="24"/>
        </w:rPr>
        <w:t xml:space="preserve"> to an appropriate sanction, where</w:t>
      </w:r>
      <w:r w:rsidR="00B43139">
        <w:rPr>
          <w:rFonts w:ascii="Arial" w:hAnsi="Arial" w:cs="Arial"/>
          <w:sz w:val="24"/>
          <w:szCs w:val="24"/>
        </w:rPr>
        <w:t>, quite obviously,</w:t>
      </w:r>
      <w:r w:rsidR="00DC14C0">
        <w:rPr>
          <w:rFonts w:ascii="Arial" w:hAnsi="Arial" w:cs="Arial"/>
          <w:sz w:val="24"/>
          <w:szCs w:val="24"/>
        </w:rPr>
        <w:t xml:space="preserve"> the circumstances relating to the offered</w:t>
      </w:r>
      <w:r>
        <w:rPr>
          <w:rFonts w:ascii="Arial" w:hAnsi="Arial" w:cs="Arial"/>
          <w:sz w:val="24"/>
          <w:szCs w:val="24"/>
        </w:rPr>
        <w:t xml:space="preserve"> ‘final warning’</w:t>
      </w:r>
      <w:r w:rsidR="00B43139">
        <w:rPr>
          <w:rFonts w:ascii="Arial" w:hAnsi="Arial" w:cs="Arial"/>
          <w:sz w:val="24"/>
          <w:szCs w:val="24"/>
        </w:rPr>
        <w:t>,</w:t>
      </w:r>
      <w:r>
        <w:rPr>
          <w:rFonts w:ascii="Arial" w:hAnsi="Arial" w:cs="Arial"/>
          <w:sz w:val="24"/>
          <w:szCs w:val="24"/>
        </w:rPr>
        <w:t xml:space="preserve"> </w:t>
      </w:r>
      <w:r w:rsidR="002C1504">
        <w:rPr>
          <w:rFonts w:ascii="Arial" w:hAnsi="Arial" w:cs="Arial"/>
          <w:sz w:val="24"/>
          <w:szCs w:val="24"/>
        </w:rPr>
        <w:t>would have been highly relevant</w:t>
      </w:r>
      <w:r w:rsidR="002C1504" w:rsidRPr="002C1504">
        <w:rPr>
          <w:rFonts w:ascii="Arial" w:hAnsi="Arial" w:cs="Arial"/>
          <w:sz w:val="24"/>
          <w:szCs w:val="24"/>
        </w:rPr>
        <w:t xml:space="preserve"> and where the reason for the </w:t>
      </w:r>
      <w:r w:rsidR="00281A96">
        <w:rPr>
          <w:rFonts w:ascii="Arial" w:hAnsi="Arial" w:cs="Arial"/>
          <w:sz w:val="24"/>
          <w:szCs w:val="24"/>
        </w:rPr>
        <w:t xml:space="preserve">ultimate </w:t>
      </w:r>
      <w:r w:rsidR="002C1504" w:rsidRPr="002C1504">
        <w:rPr>
          <w:rFonts w:ascii="Arial" w:hAnsi="Arial" w:cs="Arial"/>
          <w:sz w:val="24"/>
          <w:szCs w:val="24"/>
        </w:rPr>
        <w:t>dismissal may</w:t>
      </w:r>
      <w:r w:rsidR="002C1504">
        <w:rPr>
          <w:rFonts w:ascii="Arial" w:hAnsi="Arial" w:cs="Arial"/>
          <w:sz w:val="24"/>
          <w:szCs w:val="24"/>
        </w:rPr>
        <w:t xml:space="preserve"> thus</w:t>
      </w:r>
      <w:r w:rsidR="002C1504" w:rsidRPr="002C1504">
        <w:rPr>
          <w:rFonts w:ascii="Arial" w:hAnsi="Arial" w:cs="Arial"/>
          <w:sz w:val="24"/>
          <w:szCs w:val="24"/>
        </w:rPr>
        <w:t xml:space="preserve"> very possibly have been the</w:t>
      </w:r>
      <w:r w:rsidR="002C1504">
        <w:rPr>
          <w:rFonts w:ascii="Arial" w:hAnsi="Arial" w:cs="Arial"/>
          <w:sz w:val="24"/>
          <w:szCs w:val="24"/>
        </w:rPr>
        <w:t xml:space="preserve"> result of the irregular</w:t>
      </w:r>
      <w:r w:rsidR="002C1504" w:rsidRPr="002C1504">
        <w:rPr>
          <w:rFonts w:ascii="Arial" w:hAnsi="Arial" w:cs="Arial"/>
          <w:sz w:val="24"/>
          <w:szCs w:val="24"/>
        </w:rPr>
        <w:t xml:space="preserve"> procedure</w:t>
      </w:r>
      <w:r w:rsidR="002C1504">
        <w:rPr>
          <w:rFonts w:ascii="Arial" w:hAnsi="Arial" w:cs="Arial"/>
          <w:sz w:val="24"/>
          <w:szCs w:val="24"/>
        </w:rPr>
        <w:t xml:space="preserve"> that was</w:t>
      </w:r>
      <w:r w:rsidR="00DC14C0">
        <w:rPr>
          <w:rFonts w:ascii="Arial" w:hAnsi="Arial" w:cs="Arial"/>
          <w:sz w:val="24"/>
          <w:szCs w:val="24"/>
        </w:rPr>
        <w:t xml:space="preserve"> thereafter</w:t>
      </w:r>
      <w:r w:rsidR="002C1504">
        <w:rPr>
          <w:rFonts w:ascii="Arial" w:hAnsi="Arial" w:cs="Arial"/>
          <w:sz w:val="24"/>
          <w:szCs w:val="24"/>
        </w:rPr>
        <w:t xml:space="preserve"> followed</w:t>
      </w:r>
      <w:r w:rsidR="002C1504" w:rsidRPr="002C1504">
        <w:rPr>
          <w:rFonts w:ascii="Arial" w:hAnsi="Arial" w:cs="Arial"/>
          <w:sz w:val="24"/>
          <w:szCs w:val="24"/>
        </w:rPr>
        <w:t>.</w:t>
      </w:r>
      <w:r w:rsidR="002C1504">
        <w:rPr>
          <w:rStyle w:val="FootnoteReference"/>
          <w:rFonts w:ascii="Arial" w:hAnsi="Arial"/>
          <w:sz w:val="24"/>
          <w:szCs w:val="24"/>
        </w:rPr>
        <w:footnoteReference w:id="4"/>
      </w:r>
      <w:r w:rsidR="00A05964">
        <w:rPr>
          <w:rFonts w:ascii="Arial" w:hAnsi="Arial" w:cs="Arial"/>
          <w:sz w:val="24"/>
          <w:szCs w:val="24"/>
        </w:rPr>
        <w:t xml:space="preserve"> </w:t>
      </w:r>
      <w:r w:rsidR="007405E6">
        <w:rPr>
          <w:rFonts w:ascii="Arial" w:hAnsi="Arial" w:cs="Arial"/>
          <w:sz w:val="24"/>
          <w:szCs w:val="24"/>
        </w:rPr>
        <w:t>Here it should</w:t>
      </w:r>
      <w:r w:rsidR="007405E6" w:rsidRPr="007405E6">
        <w:rPr>
          <w:rFonts w:ascii="Arial" w:hAnsi="Arial" w:cs="Arial"/>
          <w:sz w:val="24"/>
          <w:szCs w:val="24"/>
        </w:rPr>
        <w:t xml:space="preserve"> </w:t>
      </w:r>
      <w:r w:rsidR="007405E6">
        <w:rPr>
          <w:rFonts w:ascii="Arial" w:hAnsi="Arial" w:cs="Arial"/>
          <w:sz w:val="24"/>
          <w:szCs w:val="24"/>
        </w:rPr>
        <w:t>in any event also be t</w:t>
      </w:r>
      <w:r w:rsidR="008519C4">
        <w:rPr>
          <w:rFonts w:ascii="Arial" w:hAnsi="Arial" w:cs="Arial"/>
          <w:sz w:val="24"/>
          <w:szCs w:val="24"/>
        </w:rPr>
        <w:t>aken into account</w:t>
      </w:r>
      <w:r w:rsidR="007405E6">
        <w:rPr>
          <w:rFonts w:ascii="Arial" w:hAnsi="Arial" w:cs="Arial"/>
          <w:sz w:val="24"/>
          <w:szCs w:val="24"/>
        </w:rPr>
        <w:t xml:space="preserve"> that</w:t>
      </w:r>
      <w:r w:rsidR="008519C4">
        <w:rPr>
          <w:rFonts w:ascii="Arial" w:hAnsi="Arial" w:cs="Arial"/>
          <w:sz w:val="24"/>
          <w:szCs w:val="24"/>
        </w:rPr>
        <w:t xml:space="preserve"> – objectively speaking -</w:t>
      </w:r>
      <w:r w:rsidR="007405E6">
        <w:rPr>
          <w:rFonts w:ascii="Arial" w:hAnsi="Arial" w:cs="Arial"/>
          <w:sz w:val="24"/>
          <w:szCs w:val="24"/>
        </w:rPr>
        <w:t xml:space="preserve"> there would have been hardly any prospects of success</w:t>
      </w:r>
      <w:r w:rsidR="003C4910">
        <w:rPr>
          <w:rFonts w:ascii="Arial" w:hAnsi="Arial" w:cs="Arial"/>
          <w:sz w:val="24"/>
          <w:szCs w:val="24"/>
        </w:rPr>
        <w:t xml:space="preserve"> </w:t>
      </w:r>
      <w:r w:rsidR="007405E6">
        <w:rPr>
          <w:rFonts w:ascii="Arial" w:hAnsi="Arial" w:cs="Arial"/>
          <w:sz w:val="24"/>
          <w:szCs w:val="24"/>
        </w:rPr>
        <w:t>to sustain the substantive fairness of the dismissal</w:t>
      </w:r>
      <w:r w:rsidR="00DC14C0">
        <w:rPr>
          <w:rFonts w:ascii="Arial" w:hAnsi="Arial" w:cs="Arial"/>
          <w:sz w:val="24"/>
          <w:szCs w:val="24"/>
        </w:rPr>
        <w:t xml:space="preserve"> in question</w:t>
      </w:r>
      <w:r w:rsidR="007405E6">
        <w:rPr>
          <w:rFonts w:ascii="Arial" w:hAnsi="Arial" w:cs="Arial"/>
          <w:sz w:val="24"/>
          <w:szCs w:val="24"/>
        </w:rPr>
        <w:t xml:space="preserve"> as it would </w:t>
      </w:r>
      <w:r w:rsidR="003C4910">
        <w:rPr>
          <w:rFonts w:ascii="Arial" w:hAnsi="Arial" w:cs="Arial"/>
          <w:sz w:val="24"/>
          <w:szCs w:val="24"/>
        </w:rPr>
        <w:t>always have been</w:t>
      </w:r>
      <w:r w:rsidR="007405E6">
        <w:rPr>
          <w:rFonts w:ascii="Arial" w:hAnsi="Arial" w:cs="Arial"/>
          <w:sz w:val="24"/>
          <w:szCs w:val="24"/>
        </w:rPr>
        <w:t xml:space="preserve"> difficult to sustain</w:t>
      </w:r>
      <w:r w:rsidR="003C4910">
        <w:rPr>
          <w:rFonts w:ascii="Arial" w:hAnsi="Arial" w:cs="Arial"/>
          <w:sz w:val="24"/>
          <w:szCs w:val="24"/>
        </w:rPr>
        <w:t xml:space="preserve"> the conclusion that a continued working relationship between the parties </w:t>
      </w:r>
      <w:r w:rsidR="007405E6">
        <w:rPr>
          <w:rFonts w:ascii="Arial" w:hAnsi="Arial" w:cs="Arial"/>
          <w:sz w:val="24"/>
          <w:szCs w:val="24"/>
        </w:rPr>
        <w:t>had become</w:t>
      </w:r>
      <w:r w:rsidR="003C4910">
        <w:rPr>
          <w:rFonts w:ascii="Arial" w:hAnsi="Arial" w:cs="Arial"/>
          <w:sz w:val="24"/>
          <w:szCs w:val="24"/>
        </w:rPr>
        <w:t xml:space="preserve"> impossible</w:t>
      </w:r>
      <w:r w:rsidR="007405E6">
        <w:rPr>
          <w:rFonts w:ascii="Arial" w:hAnsi="Arial" w:cs="Arial"/>
          <w:sz w:val="24"/>
          <w:szCs w:val="24"/>
        </w:rPr>
        <w:t xml:space="preserve"> because of the theft of a laptop</w:t>
      </w:r>
      <w:r w:rsidR="008519C4">
        <w:rPr>
          <w:rFonts w:ascii="Arial" w:hAnsi="Arial" w:cs="Arial"/>
          <w:sz w:val="24"/>
          <w:szCs w:val="24"/>
        </w:rPr>
        <w:t xml:space="preserve"> by a third party</w:t>
      </w:r>
      <w:r w:rsidR="003C4910">
        <w:rPr>
          <w:rFonts w:ascii="Arial" w:hAnsi="Arial" w:cs="Arial"/>
          <w:sz w:val="24"/>
          <w:szCs w:val="24"/>
        </w:rPr>
        <w:t xml:space="preserve"> and that the resultant dismissal of the respondent was</w:t>
      </w:r>
      <w:r w:rsidR="00281A96">
        <w:rPr>
          <w:rFonts w:ascii="Arial" w:hAnsi="Arial" w:cs="Arial"/>
          <w:sz w:val="24"/>
          <w:szCs w:val="24"/>
        </w:rPr>
        <w:t>,</w:t>
      </w:r>
      <w:r w:rsidR="003C4910">
        <w:rPr>
          <w:rFonts w:ascii="Arial" w:hAnsi="Arial" w:cs="Arial"/>
          <w:sz w:val="24"/>
          <w:szCs w:val="24"/>
        </w:rPr>
        <w:t xml:space="preserve"> thus</w:t>
      </w:r>
      <w:r w:rsidR="007405E6">
        <w:rPr>
          <w:rFonts w:ascii="Arial" w:hAnsi="Arial" w:cs="Arial"/>
          <w:sz w:val="24"/>
          <w:szCs w:val="24"/>
        </w:rPr>
        <w:t xml:space="preserve"> in such</w:t>
      </w:r>
      <w:r w:rsidR="003C4910">
        <w:rPr>
          <w:rFonts w:ascii="Arial" w:hAnsi="Arial" w:cs="Arial"/>
          <w:sz w:val="24"/>
          <w:szCs w:val="24"/>
        </w:rPr>
        <w:t xml:space="preserve"> circumstances</w:t>
      </w:r>
      <w:r w:rsidR="00281A96">
        <w:rPr>
          <w:rFonts w:ascii="Arial" w:hAnsi="Arial" w:cs="Arial"/>
          <w:sz w:val="24"/>
          <w:szCs w:val="24"/>
        </w:rPr>
        <w:t>,</w:t>
      </w:r>
      <w:r w:rsidR="003C4910">
        <w:rPr>
          <w:rFonts w:ascii="Arial" w:hAnsi="Arial" w:cs="Arial"/>
          <w:sz w:val="24"/>
          <w:szCs w:val="24"/>
        </w:rPr>
        <w:t xml:space="preserve"> </w:t>
      </w:r>
      <w:r w:rsidR="00DC14C0">
        <w:rPr>
          <w:rFonts w:ascii="Arial" w:hAnsi="Arial" w:cs="Arial"/>
          <w:sz w:val="24"/>
          <w:szCs w:val="24"/>
        </w:rPr>
        <w:t xml:space="preserve">also </w:t>
      </w:r>
      <w:r w:rsidR="008519C4">
        <w:rPr>
          <w:rFonts w:ascii="Arial" w:hAnsi="Arial" w:cs="Arial"/>
          <w:sz w:val="24"/>
          <w:szCs w:val="24"/>
        </w:rPr>
        <w:t xml:space="preserve">substantively </w:t>
      </w:r>
      <w:r w:rsidR="003C4910">
        <w:rPr>
          <w:rFonts w:ascii="Arial" w:hAnsi="Arial" w:cs="Arial"/>
          <w:sz w:val="24"/>
          <w:szCs w:val="24"/>
        </w:rPr>
        <w:t>fair</w:t>
      </w:r>
      <w:r w:rsidR="007405E6">
        <w:rPr>
          <w:rFonts w:ascii="Arial" w:hAnsi="Arial" w:cs="Arial"/>
          <w:sz w:val="24"/>
          <w:szCs w:val="24"/>
        </w:rPr>
        <w:t>.</w:t>
      </w:r>
    </w:p>
    <w:p w:rsidR="00A7377E" w:rsidRPr="00090FC9" w:rsidRDefault="00A7377E" w:rsidP="00090FC9">
      <w:pPr>
        <w:spacing w:after="0" w:line="360" w:lineRule="auto"/>
        <w:jc w:val="both"/>
        <w:rPr>
          <w:rFonts w:ascii="Arial" w:hAnsi="Arial" w:cs="Arial"/>
          <w:sz w:val="24"/>
          <w:szCs w:val="24"/>
        </w:rPr>
      </w:pPr>
    </w:p>
    <w:p w:rsidR="00A7377E"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C340AB">
        <w:rPr>
          <w:rFonts w:ascii="Arial" w:hAnsi="Arial" w:cs="Arial"/>
          <w:sz w:val="24"/>
          <w:szCs w:val="24"/>
        </w:rPr>
        <w:t>1</w:t>
      </w:r>
      <w:r w:rsidR="005B0DFA">
        <w:rPr>
          <w:rFonts w:ascii="Arial" w:hAnsi="Arial" w:cs="Arial"/>
          <w:sz w:val="24"/>
          <w:szCs w:val="24"/>
        </w:rPr>
        <w:t>9</w:t>
      </w:r>
      <w:r w:rsidRPr="00090FC9">
        <w:rPr>
          <w:rFonts w:ascii="Arial" w:hAnsi="Arial" w:cs="Arial"/>
          <w:sz w:val="24"/>
          <w:szCs w:val="24"/>
        </w:rPr>
        <w:t>]</w:t>
      </w:r>
      <w:r w:rsidRPr="00090FC9">
        <w:rPr>
          <w:rFonts w:ascii="Arial" w:hAnsi="Arial" w:cs="Arial"/>
          <w:sz w:val="24"/>
          <w:szCs w:val="24"/>
        </w:rPr>
        <w:tab/>
        <w:t>The conclusion to be reached is inescapable and it becomes clear that the dismissal of the respondent cannot stand</w:t>
      </w:r>
      <w:r w:rsidR="008E1064">
        <w:rPr>
          <w:rFonts w:ascii="Arial" w:hAnsi="Arial" w:cs="Arial"/>
          <w:sz w:val="24"/>
          <w:szCs w:val="24"/>
        </w:rPr>
        <w:t>, as the arbitrator also found, albite for different reasons</w:t>
      </w:r>
      <w:r w:rsidRPr="00090FC9">
        <w:rPr>
          <w:rFonts w:ascii="Arial" w:hAnsi="Arial" w:cs="Arial"/>
          <w:sz w:val="24"/>
          <w:szCs w:val="24"/>
        </w:rPr>
        <w:t>. In such circumstances a determination of the raised grounds of appeal relating to the substantive fairness of the process becomes academic and thus unnecessary</w:t>
      </w:r>
      <w:r w:rsidR="003C4910">
        <w:rPr>
          <w:rFonts w:ascii="Arial" w:hAnsi="Arial" w:cs="Arial"/>
          <w:sz w:val="24"/>
          <w:szCs w:val="24"/>
        </w:rPr>
        <w:t xml:space="preserve">. </w:t>
      </w:r>
    </w:p>
    <w:p w:rsidR="00447412" w:rsidRPr="00090FC9" w:rsidRDefault="00447412"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u w:val="single"/>
        </w:rPr>
      </w:pPr>
      <w:r w:rsidRPr="00090FC9">
        <w:rPr>
          <w:rFonts w:ascii="Arial" w:hAnsi="Arial" w:cs="Arial"/>
          <w:sz w:val="24"/>
          <w:szCs w:val="24"/>
          <w:u w:val="single"/>
        </w:rPr>
        <w:t>The award</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20</w:t>
      </w:r>
      <w:r w:rsidRPr="00090FC9">
        <w:rPr>
          <w:rFonts w:ascii="Arial" w:hAnsi="Arial" w:cs="Arial"/>
          <w:sz w:val="24"/>
          <w:szCs w:val="24"/>
        </w:rPr>
        <w:t>]</w:t>
      </w:r>
      <w:r w:rsidRPr="00090FC9">
        <w:rPr>
          <w:rFonts w:ascii="Arial" w:hAnsi="Arial" w:cs="Arial"/>
          <w:sz w:val="24"/>
          <w:szCs w:val="24"/>
        </w:rPr>
        <w:tab/>
        <w:t>This leaves the question of the award.</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21</w:t>
      </w:r>
      <w:r w:rsidRPr="00090FC9">
        <w:rPr>
          <w:rFonts w:ascii="Arial" w:hAnsi="Arial" w:cs="Arial"/>
          <w:sz w:val="24"/>
          <w:szCs w:val="24"/>
        </w:rPr>
        <w:t>]</w:t>
      </w:r>
      <w:r w:rsidRPr="00090FC9">
        <w:rPr>
          <w:rFonts w:ascii="Arial" w:hAnsi="Arial" w:cs="Arial"/>
          <w:sz w:val="24"/>
          <w:szCs w:val="24"/>
        </w:rPr>
        <w:tab/>
        <w:t>Here it should be taken into account that the parties’ legal practitioners’, in anticipation of the original hearing date</w:t>
      </w:r>
      <w:r w:rsidR="00DC24E8">
        <w:rPr>
          <w:rFonts w:ascii="Arial" w:hAnsi="Arial" w:cs="Arial"/>
          <w:sz w:val="24"/>
          <w:szCs w:val="24"/>
        </w:rPr>
        <w:t xml:space="preserve"> -</w:t>
      </w:r>
      <w:r w:rsidRPr="00090FC9">
        <w:rPr>
          <w:rFonts w:ascii="Arial" w:hAnsi="Arial" w:cs="Arial"/>
          <w:sz w:val="24"/>
          <w:szCs w:val="24"/>
        </w:rPr>
        <w:t xml:space="preserve"> and prior to the Court having raised</w:t>
      </w:r>
      <w:r w:rsidR="00DC24E8">
        <w:rPr>
          <w:rFonts w:ascii="Arial" w:hAnsi="Arial" w:cs="Arial"/>
          <w:sz w:val="24"/>
          <w:szCs w:val="24"/>
        </w:rPr>
        <w:t xml:space="preserve"> the </w:t>
      </w:r>
      <w:r w:rsidR="00DC24E8">
        <w:rPr>
          <w:rFonts w:ascii="Arial" w:hAnsi="Arial" w:cs="Arial"/>
          <w:sz w:val="24"/>
          <w:szCs w:val="24"/>
        </w:rPr>
        <w:lastRenderedPageBreak/>
        <w:t>abovementioned</w:t>
      </w:r>
      <w:r w:rsidRPr="00090FC9">
        <w:rPr>
          <w:rFonts w:ascii="Arial" w:hAnsi="Arial" w:cs="Arial"/>
          <w:sz w:val="24"/>
          <w:szCs w:val="24"/>
        </w:rPr>
        <w:t xml:space="preserve"> further questions</w:t>
      </w:r>
      <w:r w:rsidR="00DC24E8">
        <w:rPr>
          <w:rFonts w:ascii="Arial" w:hAnsi="Arial" w:cs="Arial"/>
          <w:sz w:val="24"/>
          <w:szCs w:val="24"/>
        </w:rPr>
        <w:t>,</w:t>
      </w:r>
      <w:r w:rsidRPr="00090FC9">
        <w:rPr>
          <w:rFonts w:ascii="Arial" w:hAnsi="Arial" w:cs="Arial"/>
          <w:sz w:val="24"/>
          <w:szCs w:val="24"/>
        </w:rPr>
        <w:t xml:space="preserve"> which had to be a</w:t>
      </w:r>
      <w:r w:rsidR="00DC24E8">
        <w:rPr>
          <w:rFonts w:ascii="Arial" w:hAnsi="Arial" w:cs="Arial"/>
          <w:sz w:val="24"/>
          <w:szCs w:val="24"/>
        </w:rPr>
        <w:t>ddressed in supplementary heads -</w:t>
      </w:r>
      <w:r w:rsidRPr="00090FC9">
        <w:rPr>
          <w:rFonts w:ascii="Arial" w:hAnsi="Arial" w:cs="Arial"/>
          <w:sz w:val="24"/>
          <w:szCs w:val="24"/>
        </w:rPr>
        <w:t xml:space="preserve"> had already filed heads of argument.</w:t>
      </w:r>
      <w:r w:rsidR="008519C4">
        <w:rPr>
          <w:rFonts w:ascii="Arial" w:hAnsi="Arial" w:cs="Arial"/>
          <w:sz w:val="24"/>
          <w:szCs w:val="24"/>
        </w:rPr>
        <w:t xml:space="preserve"> Here</w:t>
      </w:r>
      <w:r w:rsidRPr="00090FC9">
        <w:rPr>
          <w:rFonts w:ascii="Arial" w:hAnsi="Arial" w:cs="Arial"/>
          <w:sz w:val="24"/>
          <w:szCs w:val="24"/>
        </w:rPr>
        <w:t xml:space="preserve"> Mr Philander arguments for the appellant in regard to the grounds of appeal raised vis a vis the award ran as </w:t>
      </w:r>
      <w:r w:rsidR="0002271D" w:rsidRPr="00090FC9">
        <w:rPr>
          <w:rFonts w:ascii="Arial" w:hAnsi="Arial" w:cs="Arial"/>
          <w:sz w:val="24"/>
          <w:szCs w:val="24"/>
        </w:rPr>
        <w:t>follows:</w:t>
      </w:r>
    </w:p>
    <w:p w:rsidR="00A7377E" w:rsidRPr="00090FC9" w:rsidRDefault="00A7377E" w:rsidP="00090FC9">
      <w:pPr>
        <w:spacing w:after="0" w:line="360" w:lineRule="auto"/>
        <w:jc w:val="both"/>
        <w:rPr>
          <w:rFonts w:ascii="Arial" w:hAnsi="Arial" w:cs="Arial"/>
          <w:sz w:val="24"/>
          <w:szCs w:val="24"/>
        </w:rPr>
      </w:pPr>
    </w:p>
    <w:p w:rsidR="00A7377E" w:rsidRPr="00C340AB" w:rsidRDefault="00A7377E" w:rsidP="00C340AB">
      <w:pPr>
        <w:spacing w:after="0" w:line="360" w:lineRule="auto"/>
        <w:ind w:firstLine="720"/>
        <w:jc w:val="both"/>
        <w:rPr>
          <w:rFonts w:ascii="Arial" w:hAnsi="Arial" w:cs="Arial"/>
        </w:rPr>
      </w:pPr>
      <w:r w:rsidRPr="00C340AB">
        <w:rPr>
          <w:rFonts w:ascii="Arial" w:hAnsi="Arial" w:cs="Arial"/>
        </w:rPr>
        <w:t>‘In terms of section 86(15)</w:t>
      </w:r>
      <w:r w:rsidRPr="00C340AB">
        <w:rPr>
          <w:rFonts w:ascii="Arial" w:hAnsi="Arial" w:cs="Arial"/>
          <w:iCs/>
        </w:rPr>
        <w:t xml:space="preserve">(e) </w:t>
      </w:r>
      <w:r w:rsidRPr="00C340AB">
        <w:rPr>
          <w:rFonts w:ascii="Arial" w:hAnsi="Arial" w:cs="Arial"/>
        </w:rPr>
        <w:t xml:space="preserve">of the Labour Act, an arbitrator may award such amount of compensation as he or she considers reasonable, fair and equitable, and regard being had to </w:t>
      </w:r>
      <w:r w:rsidRPr="00C340AB">
        <w:rPr>
          <w:rFonts w:ascii="Arial" w:hAnsi="Arial" w:cs="Arial"/>
          <w:u w:val="single"/>
        </w:rPr>
        <w:t>all</w:t>
      </w:r>
      <w:r w:rsidRPr="00C340AB">
        <w:rPr>
          <w:rFonts w:ascii="Arial" w:hAnsi="Arial" w:cs="Arial"/>
        </w:rPr>
        <w:t xml:space="preserve"> the facts and circumstances of the particular case. In this regard two crucial considerations should not be ignored in the award of compensation in terms of the Labour Act that meets the mark of reasonableness, fairness and equity. They are (a) the extent to which the employee’s conduct contributed to his or her dismissal, and (b) the principle that the aim of compensation in terms of the Labour Act is not to punish the employer where an award of compensation is made against the employer in favour of the employee.</w:t>
      </w:r>
      <w:r w:rsidRPr="00C340AB">
        <w:rPr>
          <w:rStyle w:val="FootnoteReference"/>
          <w:rFonts w:ascii="Arial" w:hAnsi="Arial" w:cs="Arial"/>
        </w:rPr>
        <w:footnoteReference w:id="5"/>
      </w:r>
    </w:p>
    <w:p w:rsidR="00A7377E" w:rsidRPr="00C340AB" w:rsidRDefault="00A7377E" w:rsidP="00C340AB">
      <w:pPr>
        <w:spacing w:after="0" w:line="360" w:lineRule="auto"/>
        <w:ind w:left="720"/>
        <w:jc w:val="both"/>
        <w:rPr>
          <w:rFonts w:ascii="Arial" w:hAnsi="Arial" w:cs="Arial"/>
        </w:rPr>
      </w:pPr>
    </w:p>
    <w:p w:rsidR="00A7377E" w:rsidRPr="005B0DFA" w:rsidRDefault="00A7377E" w:rsidP="00C340AB">
      <w:pPr>
        <w:spacing w:after="0" w:line="360" w:lineRule="auto"/>
        <w:jc w:val="both"/>
        <w:rPr>
          <w:rFonts w:ascii="Arial" w:hAnsi="Arial" w:cs="Arial"/>
        </w:rPr>
      </w:pPr>
      <w:r w:rsidRPr="005B0DFA">
        <w:rPr>
          <w:rFonts w:ascii="Arial" w:hAnsi="Arial" w:cs="Arial"/>
          <w:lang w:val="en"/>
        </w:rPr>
        <w:t xml:space="preserve">In </w:t>
      </w:r>
      <w:r w:rsidRPr="005B0DFA">
        <w:rPr>
          <w:rFonts w:ascii="Arial" w:hAnsi="Arial" w:cs="Arial"/>
          <w:i/>
          <w:iCs/>
          <w:lang w:val="en"/>
        </w:rPr>
        <w:t>Springbok Patrols (Pty) Ltd v Jacobs &amp; others</w:t>
      </w:r>
      <w:r w:rsidRPr="005B0DFA">
        <w:rPr>
          <w:rFonts w:ascii="Arial" w:hAnsi="Arial" w:cs="Arial"/>
          <w:b/>
          <w:lang w:val="en"/>
        </w:rPr>
        <w:t xml:space="preserve"> </w:t>
      </w:r>
      <w:r w:rsidRPr="005B0DFA">
        <w:rPr>
          <w:rFonts w:ascii="Arial" w:hAnsi="Arial" w:cs="Arial"/>
          <w:lang w:val="en"/>
        </w:rPr>
        <w:t xml:space="preserve">(Unreported judgment of labour court per Smuts J in (LCA 70/2012) [2013] NALCMD 17 (31 May 2013)), the court again emphasized the principle that where a party seeks to claim an amount owing to him or her under the Labour Act, he or she must plead how that amount arose </w:t>
      </w:r>
      <w:r w:rsidRPr="005B0DFA">
        <w:rPr>
          <w:rFonts w:ascii="Arial" w:hAnsi="Arial" w:cs="Arial"/>
          <w:u w:val="single"/>
          <w:lang w:val="en"/>
        </w:rPr>
        <w:t>and</w:t>
      </w:r>
      <w:r w:rsidRPr="005B0DFA">
        <w:rPr>
          <w:rFonts w:ascii="Arial" w:hAnsi="Arial" w:cs="Arial"/>
          <w:lang w:val="en"/>
        </w:rPr>
        <w:t xml:space="preserve"> also lead evidence to prove such an amount.  </w:t>
      </w:r>
    </w:p>
    <w:p w:rsidR="00A7377E" w:rsidRPr="00C340AB" w:rsidRDefault="00A7377E" w:rsidP="00C340AB">
      <w:pPr>
        <w:pStyle w:val="ListParagraph"/>
        <w:tabs>
          <w:tab w:val="left" w:pos="2440"/>
        </w:tabs>
        <w:spacing w:line="360" w:lineRule="auto"/>
        <w:rPr>
          <w:rFonts w:cs="Arial"/>
          <w:color w:val="333333"/>
          <w:sz w:val="22"/>
          <w:szCs w:val="22"/>
          <w:lang w:val="en"/>
        </w:rPr>
      </w:pPr>
      <w:r w:rsidRPr="00C340AB">
        <w:rPr>
          <w:rFonts w:cs="Arial"/>
          <w:color w:val="333333"/>
          <w:sz w:val="22"/>
          <w:szCs w:val="22"/>
          <w:lang w:val="en"/>
        </w:rPr>
        <w:tab/>
      </w:r>
    </w:p>
    <w:p w:rsidR="00A7377E" w:rsidRPr="00C340AB" w:rsidRDefault="00A7377E" w:rsidP="00C340AB">
      <w:pPr>
        <w:spacing w:after="0" w:line="360" w:lineRule="auto"/>
        <w:jc w:val="both"/>
        <w:rPr>
          <w:rFonts w:ascii="Arial" w:hAnsi="Arial" w:cs="Arial"/>
        </w:rPr>
      </w:pPr>
      <w:r w:rsidRPr="00C340AB">
        <w:rPr>
          <w:rFonts w:ascii="Arial" w:hAnsi="Arial" w:cs="Arial"/>
          <w:lang w:val="en"/>
        </w:rPr>
        <w:t xml:space="preserve">In the present case, </w:t>
      </w:r>
      <w:r w:rsidRPr="00C340AB">
        <w:rPr>
          <w:rFonts w:ascii="Arial" w:hAnsi="Arial" w:cs="Arial"/>
        </w:rPr>
        <w:t>the respondent did not tender evidence to substantiate any damages or an award for compensation, save for the skirting remarks contained on pages 163-164 of the Record.</w:t>
      </w:r>
      <w:r w:rsidRPr="00C340AB">
        <w:rPr>
          <w:rFonts w:ascii="Arial" w:hAnsi="Arial" w:cs="Arial"/>
          <w:lang w:val="en"/>
        </w:rPr>
        <w:t xml:space="preserve"> The onus of proof of any claim of damages or compensation that the respondent might have had, as well as the duty to adduce evidence on such claim, rested with the respondent.</w:t>
      </w:r>
    </w:p>
    <w:p w:rsidR="00A7377E" w:rsidRPr="00C340AB" w:rsidRDefault="00A7377E" w:rsidP="00C340AB">
      <w:pPr>
        <w:pStyle w:val="ListParagraph"/>
        <w:spacing w:line="360" w:lineRule="auto"/>
        <w:rPr>
          <w:rFonts w:cs="Arial"/>
          <w:sz w:val="22"/>
          <w:szCs w:val="22"/>
        </w:rPr>
      </w:pPr>
    </w:p>
    <w:p w:rsidR="00A7377E" w:rsidRPr="00C340AB" w:rsidRDefault="00A7377E" w:rsidP="00C340AB">
      <w:pPr>
        <w:spacing w:after="0" w:line="360" w:lineRule="auto"/>
        <w:jc w:val="both"/>
        <w:rPr>
          <w:rFonts w:ascii="Arial" w:hAnsi="Arial" w:cs="Arial"/>
        </w:rPr>
      </w:pPr>
      <w:r w:rsidRPr="00C340AB">
        <w:rPr>
          <w:rFonts w:ascii="Arial" w:hAnsi="Arial" w:cs="Arial"/>
        </w:rPr>
        <w:t>The arbitrator accordingly ought to have dismissed the respondent case.</w:t>
      </w:r>
    </w:p>
    <w:p w:rsidR="00A7377E" w:rsidRPr="00C340AB" w:rsidRDefault="00A7377E" w:rsidP="00090FC9">
      <w:pPr>
        <w:pStyle w:val="ListParagraph"/>
        <w:spacing w:line="360" w:lineRule="auto"/>
        <w:rPr>
          <w:rFonts w:cs="Arial"/>
          <w:sz w:val="22"/>
          <w:szCs w:val="22"/>
        </w:rPr>
      </w:pPr>
    </w:p>
    <w:p w:rsidR="00A7377E" w:rsidRPr="00C340AB" w:rsidRDefault="00A7377E" w:rsidP="00090FC9">
      <w:pPr>
        <w:spacing w:after="0" w:line="360" w:lineRule="auto"/>
        <w:jc w:val="both"/>
        <w:rPr>
          <w:rFonts w:ascii="Arial" w:hAnsi="Arial" w:cs="Arial"/>
        </w:rPr>
      </w:pPr>
      <w:r w:rsidRPr="00C340AB">
        <w:rPr>
          <w:rFonts w:ascii="Arial" w:hAnsi="Arial" w:cs="Arial"/>
        </w:rPr>
        <w:t>In</w:t>
      </w:r>
      <w:r w:rsidRPr="00DC24E8">
        <w:rPr>
          <w:rFonts w:ascii="Arial" w:hAnsi="Arial" w:cs="Arial"/>
        </w:rPr>
        <w:t xml:space="preserve"> </w:t>
      </w:r>
      <w:r w:rsidRPr="00DC24E8">
        <w:rPr>
          <w:rFonts w:ascii="Arial" w:hAnsi="Arial" w:cs="Arial"/>
          <w:i/>
        </w:rPr>
        <w:t>Namibia Foods and Allied Workers’ Union v Novanam Limited</w:t>
      </w:r>
      <w:r w:rsidRPr="00C340AB">
        <w:rPr>
          <w:rFonts w:ascii="Arial" w:hAnsi="Arial" w:cs="Arial"/>
          <w:i/>
        </w:rPr>
        <w:t xml:space="preserve"> </w:t>
      </w:r>
      <w:r w:rsidRPr="00C340AB">
        <w:rPr>
          <w:rFonts w:ascii="Arial" w:hAnsi="Arial" w:cs="Arial"/>
        </w:rPr>
        <w:t>(HC-MD-LAB-APP-AAA-2017/00015) NAHCMD 24 (5 October 2018) it was held:</w:t>
      </w:r>
    </w:p>
    <w:p w:rsidR="00A7377E" w:rsidRPr="00C340AB" w:rsidRDefault="00A7377E" w:rsidP="00090FC9">
      <w:pPr>
        <w:pStyle w:val="ListParagraph"/>
        <w:spacing w:line="360" w:lineRule="auto"/>
        <w:ind w:left="709"/>
        <w:jc w:val="both"/>
        <w:rPr>
          <w:rFonts w:cs="Arial"/>
          <w:i/>
          <w:sz w:val="22"/>
          <w:szCs w:val="22"/>
        </w:rPr>
      </w:pPr>
    </w:p>
    <w:p w:rsidR="00A7377E" w:rsidRPr="00C340AB" w:rsidRDefault="00A7377E" w:rsidP="00090FC9">
      <w:pPr>
        <w:pStyle w:val="ListParagraph"/>
        <w:spacing w:line="360" w:lineRule="auto"/>
        <w:ind w:left="709"/>
        <w:jc w:val="both"/>
        <w:rPr>
          <w:rFonts w:cs="Arial"/>
          <w:i/>
          <w:sz w:val="22"/>
          <w:szCs w:val="22"/>
        </w:rPr>
      </w:pPr>
      <w:r w:rsidRPr="00C340AB">
        <w:rPr>
          <w:rFonts w:cs="Arial"/>
          <w:i/>
          <w:sz w:val="22"/>
          <w:szCs w:val="22"/>
        </w:rPr>
        <w:t xml:space="preserve">[23] Reasons behind decisions must be given in order to exclude allegations of arbitrariness and acting whimsically or capriciously on the part of courts and tribunals. This is very important for the observance of the rule of law and confidence in the courts and tribunals and their decisions.  Parties may not agree with the decision but they </w:t>
      </w:r>
      <w:r w:rsidRPr="00C340AB">
        <w:rPr>
          <w:rFonts w:cs="Arial"/>
          <w:i/>
          <w:sz w:val="22"/>
          <w:szCs w:val="22"/>
        </w:rPr>
        <w:lastRenderedPageBreak/>
        <w:t>have a right to know the reasons underlying the order issued. Awards without a proper analysis and exposition of the reasons for the decision, encourages needless appeals, for no other reason than that the party which feels hard done by the decision will naturally resort to an appeal, yet if the reasons had been fully ventilated, they may accept the fact of their loss with dignity.</w:t>
      </w:r>
    </w:p>
    <w:p w:rsidR="00A7377E" w:rsidRPr="00C340AB" w:rsidRDefault="00A7377E" w:rsidP="00090FC9">
      <w:pPr>
        <w:pStyle w:val="ListParagraph"/>
        <w:spacing w:line="360" w:lineRule="auto"/>
        <w:ind w:left="709"/>
        <w:jc w:val="both"/>
        <w:rPr>
          <w:rFonts w:cs="Arial"/>
          <w:i/>
          <w:sz w:val="22"/>
          <w:szCs w:val="22"/>
        </w:rPr>
      </w:pPr>
    </w:p>
    <w:p w:rsidR="00A7377E" w:rsidRPr="00C340AB" w:rsidRDefault="00A7377E" w:rsidP="00090FC9">
      <w:pPr>
        <w:pStyle w:val="ListParagraph"/>
        <w:spacing w:line="360" w:lineRule="auto"/>
        <w:ind w:left="709"/>
        <w:jc w:val="both"/>
        <w:rPr>
          <w:rFonts w:cs="Arial"/>
          <w:i/>
          <w:sz w:val="22"/>
          <w:szCs w:val="22"/>
        </w:rPr>
      </w:pPr>
      <w:r w:rsidRPr="00C340AB">
        <w:rPr>
          <w:rFonts w:cs="Arial"/>
          <w:i/>
          <w:sz w:val="22"/>
          <w:szCs w:val="22"/>
        </w:rPr>
        <w:t>[24]</w:t>
      </w:r>
      <w:r w:rsidRPr="00C340AB">
        <w:rPr>
          <w:rFonts w:cs="Arial"/>
          <w:i/>
          <w:sz w:val="22"/>
          <w:szCs w:val="22"/>
        </w:rPr>
        <w:tab/>
        <w:t>As it is, in the absence of a proper consideration and discussion of the respective cases argued by the parties, the work of this court is made the more difficult, if not impossible, short of the court in a sense re-hearing the matter and making its own decision based on the papers filed of record. In that case, that does not become an appeal and the matter becomes as good as being heard for the first time. Arbitrators’ attention is specifically drawn to this aspect of the judgment so that this court can draw assistance from their awards and accordingly assist in developing our labour law jurisprudence in the process.</w:t>
      </w:r>
    </w:p>
    <w:p w:rsidR="00A7377E" w:rsidRPr="00090FC9" w:rsidRDefault="00A7377E" w:rsidP="00090FC9">
      <w:pPr>
        <w:spacing w:after="0" w:line="360" w:lineRule="auto"/>
        <w:jc w:val="both"/>
        <w:rPr>
          <w:rFonts w:ascii="Arial" w:hAnsi="Arial" w:cs="Arial"/>
          <w:sz w:val="24"/>
          <w:szCs w:val="24"/>
        </w:rPr>
      </w:pPr>
    </w:p>
    <w:p w:rsidR="00A7377E" w:rsidRPr="00C340AB" w:rsidRDefault="00A7377E" w:rsidP="00C340AB">
      <w:pPr>
        <w:spacing w:after="0" w:line="360" w:lineRule="auto"/>
        <w:jc w:val="both"/>
        <w:rPr>
          <w:rFonts w:ascii="Arial" w:hAnsi="Arial" w:cs="Arial"/>
        </w:rPr>
      </w:pPr>
      <w:r w:rsidRPr="00C340AB">
        <w:rPr>
          <w:rFonts w:ascii="Arial" w:hAnsi="Arial" w:cs="Arial"/>
        </w:rPr>
        <w:t>It is respectfully submitted that reasons for the learned arbitrator’s findings in respect of the compensatory relief granted is lacking and consequently the award should be set aside.</w:t>
      </w:r>
    </w:p>
    <w:p w:rsidR="00A7377E" w:rsidRPr="00C340AB" w:rsidRDefault="00A7377E" w:rsidP="00C340AB">
      <w:pPr>
        <w:pStyle w:val="ListParagraph"/>
        <w:spacing w:line="360" w:lineRule="auto"/>
        <w:ind w:left="709"/>
        <w:jc w:val="both"/>
        <w:rPr>
          <w:rFonts w:cs="Arial"/>
          <w:sz w:val="22"/>
          <w:szCs w:val="22"/>
        </w:rPr>
      </w:pPr>
    </w:p>
    <w:p w:rsidR="00A7377E" w:rsidRPr="00C340AB" w:rsidRDefault="00A7377E" w:rsidP="00C340AB">
      <w:pPr>
        <w:pStyle w:val="ListParagraph"/>
        <w:spacing w:line="360" w:lineRule="auto"/>
        <w:ind w:left="709"/>
        <w:jc w:val="both"/>
        <w:rPr>
          <w:rFonts w:cs="Arial"/>
          <w:sz w:val="22"/>
          <w:szCs w:val="22"/>
        </w:rPr>
      </w:pPr>
      <w:r w:rsidRPr="00C340AB">
        <w:rPr>
          <w:rFonts w:cs="Arial"/>
          <w:sz w:val="22"/>
          <w:szCs w:val="22"/>
        </w:rPr>
        <w:t>…..</w:t>
      </w:r>
    </w:p>
    <w:p w:rsidR="00A7377E" w:rsidRPr="00C340AB" w:rsidRDefault="00A7377E" w:rsidP="00C340AB">
      <w:pPr>
        <w:pStyle w:val="ListParagraph"/>
        <w:spacing w:line="360" w:lineRule="auto"/>
        <w:ind w:left="709"/>
        <w:jc w:val="both"/>
        <w:rPr>
          <w:rFonts w:cs="Arial"/>
          <w:sz w:val="22"/>
          <w:szCs w:val="22"/>
        </w:rPr>
      </w:pPr>
    </w:p>
    <w:p w:rsidR="00A7377E" w:rsidRPr="00C340AB" w:rsidRDefault="00A7377E" w:rsidP="00C340AB">
      <w:pPr>
        <w:spacing w:after="0" w:line="360" w:lineRule="auto"/>
        <w:jc w:val="both"/>
        <w:rPr>
          <w:rFonts w:ascii="Arial" w:hAnsi="Arial" w:cs="Arial"/>
        </w:rPr>
      </w:pPr>
      <w:r w:rsidRPr="00C340AB">
        <w:rPr>
          <w:rFonts w:ascii="Arial" w:hAnsi="Arial" w:cs="Arial"/>
        </w:rPr>
        <w:t>The arbitrator does not provide any reasons for her decision to award the compensation as she did and further to order that leave days should be paid, whilst the respondent did not work nor accrued any leave days requires the honourable Court’s consideration.</w:t>
      </w:r>
    </w:p>
    <w:p w:rsidR="00A7377E" w:rsidRPr="00C340AB" w:rsidRDefault="00A7377E" w:rsidP="00C340AB">
      <w:pPr>
        <w:pStyle w:val="ListParagraph"/>
        <w:spacing w:line="360" w:lineRule="auto"/>
        <w:ind w:left="709"/>
        <w:jc w:val="both"/>
        <w:rPr>
          <w:rFonts w:cs="Arial"/>
          <w:sz w:val="22"/>
          <w:szCs w:val="22"/>
        </w:rPr>
      </w:pPr>
    </w:p>
    <w:p w:rsidR="00A7377E" w:rsidRPr="00C340AB" w:rsidRDefault="00A7377E" w:rsidP="00C340AB">
      <w:pPr>
        <w:spacing w:after="0" w:line="360" w:lineRule="auto"/>
        <w:jc w:val="both"/>
        <w:rPr>
          <w:rFonts w:ascii="Arial" w:hAnsi="Arial" w:cs="Arial"/>
        </w:rPr>
      </w:pPr>
      <w:r w:rsidRPr="00C340AB">
        <w:rPr>
          <w:rFonts w:ascii="Arial" w:hAnsi="Arial" w:cs="Arial"/>
        </w:rPr>
        <w:t>It is further submitted that the respondent suffered no damages justifying an order for compensation in the amount as awarded or any other amount.</w:t>
      </w:r>
    </w:p>
    <w:p w:rsidR="00A7377E" w:rsidRPr="00C340AB" w:rsidRDefault="00A7377E" w:rsidP="00C340AB">
      <w:pPr>
        <w:spacing w:after="0" w:line="360" w:lineRule="auto"/>
        <w:jc w:val="both"/>
        <w:rPr>
          <w:rFonts w:ascii="Arial" w:hAnsi="Arial" w:cs="Arial"/>
        </w:rPr>
      </w:pPr>
    </w:p>
    <w:p w:rsidR="00A7377E" w:rsidRPr="00C340AB" w:rsidRDefault="00A7377E" w:rsidP="00C340AB">
      <w:pPr>
        <w:pStyle w:val="ListParagraph"/>
        <w:spacing w:line="360" w:lineRule="auto"/>
        <w:rPr>
          <w:rFonts w:cs="Arial"/>
          <w:sz w:val="22"/>
          <w:szCs w:val="22"/>
        </w:rPr>
      </w:pPr>
      <w:r w:rsidRPr="00C340AB">
        <w:rPr>
          <w:rFonts w:cs="Arial"/>
          <w:sz w:val="22"/>
          <w:szCs w:val="22"/>
        </w:rPr>
        <w:t>………</w:t>
      </w:r>
    </w:p>
    <w:p w:rsidR="00A7377E" w:rsidRPr="00C340AB" w:rsidRDefault="00A7377E" w:rsidP="00C340AB">
      <w:pPr>
        <w:spacing w:after="0" w:line="360" w:lineRule="auto"/>
        <w:jc w:val="both"/>
        <w:rPr>
          <w:rFonts w:ascii="Arial" w:hAnsi="Arial" w:cs="Arial"/>
        </w:rPr>
      </w:pPr>
    </w:p>
    <w:p w:rsidR="00A7377E" w:rsidRPr="00C340AB" w:rsidRDefault="00A7377E" w:rsidP="00C340AB">
      <w:pPr>
        <w:spacing w:after="0" w:line="360" w:lineRule="auto"/>
        <w:jc w:val="both"/>
        <w:rPr>
          <w:rFonts w:ascii="Arial" w:hAnsi="Arial" w:cs="Arial"/>
        </w:rPr>
      </w:pPr>
      <w:r w:rsidRPr="00C340AB">
        <w:rPr>
          <w:rFonts w:ascii="Arial" w:hAnsi="Arial" w:cs="Arial"/>
        </w:rPr>
        <w:t>Reinstatement was not a viable option in the circumstances, more so if regard is had to the aforementioned strained relationship as admitted to by the respondent and the time lapse(d) since dismissal.</w:t>
      </w:r>
    </w:p>
    <w:p w:rsidR="00A7377E" w:rsidRPr="00C340AB" w:rsidRDefault="00A7377E" w:rsidP="00C340AB">
      <w:pPr>
        <w:pStyle w:val="ListParagraph"/>
        <w:spacing w:line="360" w:lineRule="auto"/>
        <w:rPr>
          <w:rFonts w:cs="Arial"/>
          <w:sz w:val="22"/>
          <w:szCs w:val="22"/>
        </w:rPr>
      </w:pPr>
    </w:p>
    <w:p w:rsidR="00A7377E" w:rsidRPr="00C340AB" w:rsidRDefault="00A7377E" w:rsidP="00C340AB">
      <w:pPr>
        <w:spacing w:after="0" w:line="360" w:lineRule="auto"/>
        <w:jc w:val="both"/>
        <w:rPr>
          <w:rFonts w:ascii="Arial" w:hAnsi="Arial" w:cs="Arial"/>
        </w:rPr>
      </w:pPr>
      <w:r w:rsidRPr="00C340AB">
        <w:rPr>
          <w:rFonts w:ascii="Arial" w:hAnsi="Arial" w:cs="Arial"/>
        </w:rPr>
        <w:t>Wherefore the honourable court is humbly requested to uphold the appeal.’</w:t>
      </w:r>
    </w:p>
    <w:p w:rsidR="00A7377E" w:rsidRPr="00090FC9" w:rsidRDefault="00A7377E" w:rsidP="00090FC9">
      <w:pPr>
        <w:pStyle w:val="ListParagraph"/>
        <w:spacing w:line="360" w:lineRule="auto"/>
        <w:ind w:left="0"/>
        <w:jc w:val="both"/>
        <w:rPr>
          <w:rFonts w:cs="Arial"/>
        </w:rPr>
      </w:pPr>
    </w:p>
    <w:p w:rsidR="00A7377E" w:rsidRPr="00090FC9" w:rsidRDefault="00A7377E" w:rsidP="00090FC9">
      <w:pPr>
        <w:spacing w:after="0" w:line="360" w:lineRule="auto"/>
        <w:rPr>
          <w:rFonts w:ascii="Arial" w:hAnsi="Arial" w:cs="Arial"/>
          <w:sz w:val="24"/>
          <w:szCs w:val="24"/>
        </w:rPr>
      </w:pPr>
      <w:r w:rsidRPr="00090FC9">
        <w:rPr>
          <w:rFonts w:ascii="Arial" w:hAnsi="Arial" w:cs="Arial"/>
          <w:sz w:val="24"/>
          <w:szCs w:val="24"/>
        </w:rPr>
        <w:t>[</w:t>
      </w:r>
      <w:r w:rsidR="005B0DFA">
        <w:rPr>
          <w:rFonts w:ascii="Arial" w:hAnsi="Arial" w:cs="Arial"/>
          <w:sz w:val="24"/>
          <w:szCs w:val="24"/>
        </w:rPr>
        <w:t>22</w:t>
      </w:r>
      <w:r w:rsidRPr="00090FC9">
        <w:rPr>
          <w:rFonts w:ascii="Arial" w:hAnsi="Arial" w:cs="Arial"/>
          <w:sz w:val="24"/>
          <w:szCs w:val="24"/>
        </w:rPr>
        <w:t>]</w:t>
      </w:r>
      <w:r w:rsidRPr="00090FC9">
        <w:rPr>
          <w:rFonts w:ascii="Arial" w:hAnsi="Arial" w:cs="Arial"/>
          <w:sz w:val="24"/>
          <w:szCs w:val="24"/>
        </w:rPr>
        <w:tab/>
        <w:t>Mr Horn, who had failed to address this aspect altogether</w:t>
      </w:r>
      <w:r w:rsidR="008519C4">
        <w:rPr>
          <w:rFonts w:ascii="Arial" w:hAnsi="Arial" w:cs="Arial"/>
          <w:sz w:val="24"/>
          <w:szCs w:val="24"/>
        </w:rPr>
        <w:t>,</w:t>
      </w:r>
      <w:r w:rsidRPr="00090FC9">
        <w:rPr>
          <w:rFonts w:ascii="Arial" w:hAnsi="Arial" w:cs="Arial"/>
          <w:sz w:val="24"/>
          <w:szCs w:val="24"/>
        </w:rPr>
        <w:t xml:space="preserve"> in his first set of heads</w:t>
      </w:r>
      <w:r w:rsidR="008519C4">
        <w:rPr>
          <w:rFonts w:ascii="Arial" w:hAnsi="Arial" w:cs="Arial"/>
          <w:sz w:val="24"/>
          <w:szCs w:val="24"/>
        </w:rPr>
        <w:t>,</w:t>
      </w:r>
      <w:r w:rsidRPr="00090FC9">
        <w:rPr>
          <w:rFonts w:ascii="Arial" w:hAnsi="Arial" w:cs="Arial"/>
          <w:sz w:val="24"/>
          <w:szCs w:val="24"/>
        </w:rPr>
        <w:t xml:space="preserve"> utilised the opportunity</w:t>
      </w:r>
      <w:r w:rsidR="008519C4">
        <w:rPr>
          <w:rFonts w:ascii="Arial" w:hAnsi="Arial" w:cs="Arial"/>
          <w:sz w:val="24"/>
          <w:szCs w:val="24"/>
        </w:rPr>
        <w:t>,</w:t>
      </w:r>
      <w:r w:rsidRPr="00090FC9">
        <w:rPr>
          <w:rFonts w:ascii="Arial" w:hAnsi="Arial" w:cs="Arial"/>
          <w:sz w:val="24"/>
          <w:szCs w:val="24"/>
        </w:rPr>
        <w:t xml:space="preserve"> subsequently. He submitted </w:t>
      </w:r>
      <w:r w:rsidR="0002271D" w:rsidRPr="00090FC9">
        <w:rPr>
          <w:rFonts w:ascii="Arial" w:hAnsi="Arial" w:cs="Arial"/>
          <w:sz w:val="24"/>
          <w:szCs w:val="24"/>
        </w:rPr>
        <w:t>then:</w:t>
      </w:r>
    </w:p>
    <w:p w:rsidR="00A7377E" w:rsidRPr="00090FC9" w:rsidRDefault="00A7377E" w:rsidP="00090FC9">
      <w:pPr>
        <w:spacing w:after="0" w:line="360" w:lineRule="auto"/>
        <w:rPr>
          <w:rFonts w:ascii="Arial" w:hAnsi="Arial" w:cs="Arial"/>
          <w:b/>
          <w:sz w:val="24"/>
          <w:szCs w:val="24"/>
        </w:rPr>
      </w:pPr>
    </w:p>
    <w:p w:rsidR="00A7377E" w:rsidRPr="00C340AB" w:rsidRDefault="00A7377E" w:rsidP="00C340AB">
      <w:pPr>
        <w:spacing w:after="0" w:line="360" w:lineRule="auto"/>
        <w:ind w:firstLine="720"/>
        <w:jc w:val="both"/>
        <w:rPr>
          <w:rFonts w:ascii="Arial" w:hAnsi="Arial" w:cs="Arial"/>
        </w:rPr>
      </w:pPr>
      <w:r w:rsidRPr="00C340AB">
        <w:rPr>
          <w:rFonts w:ascii="Arial" w:hAnsi="Arial" w:cs="Arial"/>
        </w:rPr>
        <w:lastRenderedPageBreak/>
        <w:t xml:space="preserve">‘In terms of the Award (page 324 of the record) the Employee was awarded compensation for 12 months amounting to the sum of N$300,000.00.  The Arbitrator did not order for the Employee / Respondent to be reinstated.  This is a material consideration when one have regard to the 12 month period compensation. </w:t>
      </w:r>
    </w:p>
    <w:p w:rsidR="00A7377E" w:rsidRPr="00C340AB" w:rsidRDefault="00A7377E" w:rsidP="00C340AB">
      <w:pPr>
        <w:spacing w:after="0" w:line="360" w:lineRule="auto"/>
        <w:ind w:left="720" w:hanging="720"/>
        <w:jc w:val="both"/>
        <w:rPr>
          <w:rFonts w:ascii="Arial" w:hAnsi="Arial" w:cs="Arial"/>
        </w:rPr>
      </w:pPr>
    </w:p>
    <w:p w:rsidR="00A7377E" w:rsidRPr="00C340AB" w:rsidRDefault="00A7377E" w:rsidP="00C340AB">
      <w:pPr>
        <w:spacing w:after="0" w:line="360" w:lineRule="auto"/>
        <w:jc w:val="both"/>
        <w:rPr>
          <w:rFonts w:ascii="Arial" w:hAnsi="Arial" w:cs="Arial"/>
        </w:rPr>
      </w:pPr>
      <w:r w:rsidRPr="00C340AB">
        <w:rPr>
          <w:rFonts w:ascii="Arial" w:hAnsi="Arial" w:cs="Arial"/>
        </w:rPr>
        <w:t xml:space="preserve">It is respectfully submitted that the Arbitrator did take into account the conduct of the Employer in firstly issuing a final written warning and thereafter to proceed with a Disciplinary Hearing and to dismiss the Employee.  It is clear that the Arbitrator was of the opinion that the Employer acted grossly unfair against the Employee.  It was the opinion and rightly so of the Arbitrator that where the Employee refused to sign for the written warning such refusal must be noted on the documentation and a third party is to witness this by signature.  Therefore once the Employer issued out a final written warning, the validity of same must not be affected by the signing or non-signing of it by the Employee.   The Employer therefore acted extremely unfair towards the Employee to proceed with a Disciplinary Hearing to further punish the Employee and ultimately confirming the sanction of a dismissal.  These factors the Arbitrator took into account and issued an Award in favour of the Employee of 12 months.  </w:t>
      </w:r>
    </w:p>
    <w:p w:rsidR="00A7377E" w:rsidRPr="00C340AB" w:rsidRDefault="00A7377E" w:rsidP="00C340AB">
      <w:pPr>
        <w:spacing w:after="0" w:line="360" w:lineRule="auto"/>
        <w:ind w:left="720" w:hanging="720"/>
        <w:jc w:val="both"/>
        <w:rPr>
          <w:rFonts w:ascii="Arial" w:hAnsi="Arial" w:cs="Arial"/>
        </w:rPr>
      </w:pPr>
    </w:p>
    <w:p w:rsidR="00A7377E" w:rsidRPr="00C340AB" w:rsidRDefault="00A7377E" w:rsidP="00C340AB">
      <w:pPr>
        <w:spacing w:after="0" w:line="360" w:lineRule="auto"/>
        <w:jc w:val="both"/>
        <w:rPr>
          <w:rFonts w:ascii="Arial" w:hAnsi="Arial" w:cs="Arial"/>
        </w:rPr>
      </w:pPr>
      <w:r w:rsidRPr="00C340AB">
        <w:rPr>
          <w:rFonts w:ascii="Arial" w:hAnsi="Arial" w:cs="Arial"/>
        </w:rPr>
        <w:t xml:space="preserve">There is no dispute that the Employee did receive a salary of N$25,000.00 per month as her payslip is part of the record. </w:t>
      </w:r>
    </w:p>
    <w:p w:rsidR="00A7377E" w:rsidRPr="00C340AB" w:rsidRDefault="00A7377E" w:rsidP="00C340AB">
      <w:pPr>
        <w:spacing w:after="0" w:line="360" w:lineRule="auto"/>
        <w:ind w:left="720" w:hanging="720"/>
        <w:jc w:val="both"/>
        <w:rPr>
          <w:rFonts w:ascii="Arial" w:hAnsi="Arial" w:cs="Arial"/>
        </w:rPr>
      </w:pPr>
    </w:p>
    <w:p w:rsidR="00A7377E" w:rsidRPr="00C340AB" w:rsidRDefault="00A7377E" w:rsidP="00C340AB">
      <w:pPr>
        <w:spacing w:after="0" w:line="360" w:lineRule="auto"/>
        <w:jc w:val="both"/>
        <w:rPr>
          <w:rFonts w:ascii="Arial" w:hAnsi="Arial" w:cs="Arial"/>
        </w:rPr>
      </w:pPr>
      <w:r w:rsidRPr="00C340AB">
        <w:rPr>
          <w:rFonts w:ascii="Arial" w:hAnsi="Arial" w:cs="Arial"/>
        </w:rPr>
        <w:t>In the premises the 12 month remuneration reflects the aforementioned consideration the Arbitrator took into account.’</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C340AB">
        <w:rPr>
          <w:rFonts w:ascii="Arial" w:hAnsi="Arial" w:cs="Arial"/>
          <w:sz w:val="24"/>
          <w:szCs w:val="24"/>
        </w:rPr>
        <w:t>2</w:t>
      </w:r>
      <w:r w:rsidR="005B0DFA">
        <w:rPr>
          <w:rFonts w:ascii="Arial" w:hAnsi="Arial" w:cs="Arial"/>
          <w:sz w:val="24"/>
          <w:szCs w:val="24"/>
        </w:rPr>
        <w:t>3</w:t>
      </w:r>
      <w:r w:rsidRPr="00090FC9">
        <w:rPr>
          <w:rFonts w:ascii="Arial" w:hAnsi="Arial" w:cs="Arial"/>
          <w:sz w:val="24"/>
          <w:szCs w:val="24"/>
        </w:rPr>
        <w:t>]</w:t>
      </w:r>
      <w:r w:rsidRPr="00090FC9">
        <w:rPr>
          <w:rFonts w:ascii="Arial" w:hAnsi="Arial" w:cs="Arial"/>
          <w:sz w:val="24"/>
          <w:szCs w:val="24"/>
        </w:rPr>
        <w:tab/>
        <w:t>Two obvious errors emerge immediately from both</w:t>
      </w:r>
      <w:r w:rsidR="00DC24E8">
        <w:rPr>
          <w:rFonts w:ascii="Arial" w:hAnsi="Arial" w:cs="Arial"/>
          <w:sz w:val="24"/>
          <w:szCs w:val="24"/>
        </w:rPr>
        <w:t xml:space="preserve"> sets of</w:t>
      </w:r>
      <w:r w:rsidRPr="00090FC9">
        <w:rPr>
          <w:rFonts w:ascii="Arial" w:hAnsi="Arial" w:cs="Arial"/>
          <w:sz w:val="24"/>
          <w:szCs w:val="24"/>
        </w:rPr>
        <w:t xml:space="preserve"> submissions. Firstly I cannot find from the ‘ruling’</w:t>
      </w:r>
      <w:r w:rsidR="00DC24E8">
        <w:rPr>
          <w:rFonts w:ascii="Arial" w:hAnsi="Arial" w:cs="Arial"/>
          <w:sz w:val="24"/>
          <w:szCs w:val="24"/>
        </w:rPr>
        <w:t xml:space="preserve"> </w:t>
      </w:r>
      <w:r w:rsidRPr="00090FC9">
        <w:rPr>
          <w:rStyle w:val="FootnoteReference"/>
          <w:rFonts w:ascii="Arial" w:hAnsi="Arial" w:cs="Arial"/>
          <w:sz w:val="24"/>
          <w:szCs w:val="24"/>
        </w:rPr>
        <w:footnoteReference w:id="6"/>
      </w:r>
      <w:r w:rsidRPr="00090FC9">
        <w:rPr>
          <w:rFonts w:ascii="Arial" w:hAnsi="Arial" w:cs="Arial"/>
          <w:sz w:val="24"/>
          <w:szCs w:val="24"/>
        </w:rPr>
        <w:t xml:space="preserve"> that the arbitrator </w:t>
      </w:r>
      <w:r w:rsidR="0002271D" w:rsidRPr="00090FC9">
        <w:rPr>
          <w:rFonts w:ascii="Arial" w:hAnsi="Arial" w:cs="Arial"/>
          <w:sz w:val="24"/>
          <w:szCs w:val="24"/>
        </w:rPr>
        <w:t>‘…</w:t>
      </w:r>
      <w:r w:rsidRPr="00090FC9">
        <w:rPr>
          <w:rFonts w:ascii="Arial" w:hAnsi="Arial" w:cs="Arial"/>
          <w:sz w:val="24"/>
          <w:szCs w:val="24"/>
        </w:rPr>
        <w:t xml:space="preserve"> ordered that leave days should be paid …’, as was submitted by Mr Philander. Secondly, I could not find anything in the award that expressly explains what conduct the arbitrator took into account when she made her ‘ruling’, as was submitted by Mr Horn.</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i/>
          <w:sz w:val="24"/>
          <w:szCs w:val="24"/>
        </w:rPr>
      </w:pPr>
      <w:r w:rsidRPr="00090FC9">
        <w:rPr>
          <w:rFonts w:ascii="Arial" w:hAnsi="Arial" w:cs="Arial"/>
          <w:sz w:val="24"/>
          <w:szCs w:val="24"/>
        </w:rPr>
        <w:t>[</w:t>
      </w:r>
      <w:r w:rsidR="00290030">
        <w:rPr>
          <w:rFonts w:ascii="Arial" w:hAnsi="Arial" w:cs="Arial"/>
          <w:sz w:val="24"/>
          <w:szCs w:val="24"/>
        </w:rPr>
        <w:t>2</w:t>
      </w:r>
      <w:r w:rsidR="005B0DFA">
        <w:rPr>
          <w:rFonts w:ascii="Arial" w:hAnsi="Arial" w:cs="Arial"/>
          <w:sz w:val="24"/>
          <w:szCs w:val="24"/>
        </w:rPr>
        <w:t>4</w:t>
      </w:r>
      <w:r w:rsidRPr="00090FC9">
        <w:rPr>
          <w:rFonts w:ascii="Arial" w:hAnsi="Arial" w:cs="Arial"/>
          <w:sz w:val="24"/>
          <w:szCs w:val="24"/>
        </w:rPr>
        <w:t>]</w:t>
      </w:r>
      <w:r w:rsidRPr="00090FC9">
        <w:rPr>
          <w:rFonts w:ascii="Arial" w:hAnsi="Arial" w:cs="Arial"/>
          <w:sz w:val="24"/>
          <w:szCs w:val="24"/>
        </w:rPr>
        <w:tab/>
        <w:t xml:space="preserve">It also appears immediately that Mr Philander is correct in his submission that the arbitrator </w:t>
      </w:r>
      <w:r w:rsidR="00DC24E8">
        <w:rPr>
          <w:rFonts w:ascii="Arial" w:hAnsi="Arial" w:cs="Arial"/>
          <w:sz w:val="24"/>
          <w:szCs w:val="24"/>
        </w:rPr>
        <w:t xml:space="preserve">actually </w:t>
      </w:r>
      <w:r w:rsidRPr="00090FC9">
        <w:rPr>
          <w:rFonts w:ascii="Arial" w:hAnsi="Arial" w:cs="Arial"/>
          <w:sz w:val="24"/>
          <w:szCs w:val="24"/>
        </w:rPr>
        <w:t>failed to provide any reasons – at least for the monetary award that she m</w:t>
      </w:r>
      <w:r w:rsidR="008519C4">
        <w:rPr>
          <w:rFonts w:ascii="Arial" w:hAnsi="Arial" w:cs="Arial"/>
          <w:sz w:val="24"/>
          <w:szCs w:val="24"/>
        </w:rPr>
        <w:t>ade in her ‘ruling’, that is any</w:t>
      </w:r>
      <w:r w:rsidRPr="00090FC9">
        <w:rPr>
          <w:rFonts w:ascii="Arial" w:hAnsi="Arial" w:cs="Arial"/>
          <w:sz w:val="24"/>
          <w:szCs w:val="24"/>
        </w:rPr>
        <w:t xml:space="preserve"> reason</w:t>
      </w:r>
      <w:r w:rsidR="002B69DE">
        <w:rPr>
          <w:rFonts w:ascii="Arial" w:hAnsi="Arial" w:cs="Arial"/>
          <w:sz w:val="24"/>
          <w:szCs w:val="24"/>
        </w:rPr>
        <w:t>ing for awarding the respondent</w:t>
      </w:r>
      <w:r w:rsidRPr="00090FC9">
        <w:rPr>
          <w:rFonts w:ascii="Arial" w:hAnsi="Arial" w:cs="Arial"/>
          <w:i/>
          <w:sz w:val="24"/>
          <w:szCs w:val="24"/>
        </w:rPr>
        <w:t xml:space="preserve"> </w:t>
      </w:r>
      <w:r w:rsidR="002B69DE">
        <w:rPr>
          <w:rFonts w:ascii="Arial" w:hAnsi="Arial" w:cs="Arial"/>
          <w:i/>
          <w:sz w:val="24"/>
          <w:szCs w:val="24"/>
        </w:rPr>
        <w:t>‘</w:t>
      </w:r>
      <w:r w:rsidRPr="00090FC9">
        <w:rPr>
          <w:rFonts w:ascii="Arial" w:hAnsi="Arial" w:cs="Arial"/>
          <w:i/>
          <w:sz w:val="24"/>
          <w:szCs w:val="24"/>
        </w:rPr>
        <w:t>compensation for her loss of income for the period of 12 months amounting to the sum of N$ 300 000.00, less tax, (</w:t>
      </w:r>
      <w:r w:rsidR="0002271D" w:rsidRPr="00090FC9">
        <w:rPr>
          <w:rFonts w:ascii="Arial" w:hAnsi="Arial" w:cs="Arial"/>
          <w:i/>
          <w:sz w:val="24"/>
          <w:szCs w:val="24"/>
        </w:rPr>
        <w:t>i.e.</w:t>
      </w:r>
      <w:r w:rsidR="0002271D">
        <w:rPr>
          <w:rFonts w:ascii="Arial" w:hAnsi="Arial" w:cs="Arial"/>
          <w:i/>
          <w:sz w:val="24"/>
          <w:szCs w:val="24"/>
        </w:rPr>
        <w:t>N</w:t>
      </w:r>
      <w:r w:rsidRPr="00090FC9">
        <w:rPr>
          <w:rFonts w:ascii="Arial" w:hAnsi="Arial" w:cs="Arial"/>
          <w:i/>
          <w:sz w:val="24"/>
          <w:szCs w:val="24"/>
        </w:rPr>
        <w:t>$ 25 000 x 12 months) …’.</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lastRenderedPageBreak/>
        <w:t>[</w:t>
      </w:r>
      <w:r w:rsidR="00290030">
        <w:rPr>
          <w:rFonts w:ascii="Arial" w:hAnsi="Arial" w:cs="Arial"/>
          <w:sz w:val="24"/>
          <w:szCs w:val="24"/>
        </w:rPr>
        <w:t>2</w:t>
      </w:r>
      <w:r w:rsidR="005B0DFA">
        <w:rPr>
          <w:rFonts w:ascii="Arial" w:hAnsi="Arial" w:cs="Arial"/>
          <w:sz w:val="24"/>
          <w:szCs w:val="24"/>
        </w:rPr>
        <w:t>5</w:t>
      </w:r>
      <w:r w:rsidRPr="00090FC9">
        <w:rPr>
          <w:rFonts w:ascii="Arial" w:hAnsi="Arial" w:cs="Arial"/>
          <w:sz w:val="24"/>
          <w:szCs w:val="24"/>
        </w:rPr>
        <w:t>]</w:t>
      </w:r>
      <w:r w:rsidRPr="00090FC9">
        <w:rPr>
          <w:rFonts w:ascii="Arial" w:hAnsi="Arial" w:cs="Arial"/>
          <w:sz w:val="24"/>
          <w:szCs w:val="24"/>
        </w:rPr>
        <w:tab/>
        <w:t>The only aspects that can be inferred is that the arbitrator</w:t>
      </w:r>
      <w:r w:rsidR="002B69DE">
        <w:rPr>
          <w:rFonts w:ascii="Arial" w:hAnsi="Arial" w:cs="Arial"/>
          <w:sz w:val="24"/>
          <w:szCs w:val="24"/>
        </w:rPr>
        <w:t>, seemingly,</w:t>
      </w:r>
      <w:r w:rsidRPr="00090FC9">
        <w:rPr>
          <w:rFonts w:ascii="Arial" w:hAnsi="Arial" w:cs="Arial"/>
          <w:sz w:val="24"/>
          <w:szCs w:val="24"/>
        </w:rPr>
        <w:t xml:space="preserve"> regarded the sum of N$ 300 000, less tax, </w:t>
      </w:r>
      <w:r w:rsidR="0002271D" w:rsidRPr="00090FC9">
        <w:rPr>
          <w:rFonts w:ascii="Arial" w:hAnsi="Arial" w:cs="Arial"/>
          <w:sz w:val="24"/>
          <w:szCs w:val="24"/>
        </w:rPr>
        <w:t>i.e.</w:t>
      </w:r>
      <w:r w:rsidRPr="00090FC9">
        <w:rPr>
          <w:rFonts w:ascii="Arial" w:hAnsi="Arial" w:cs="Arial"/>
          <w:sz w:val="24"/>
          <w:szCs w:val="24"/>
        </w:rPr>
        <w:t xml:space="preserve"> made up of the respondent’s salary of one year</w:t>
      </w:r>
      <w:r w:rsidR="00DC24E8">
        <w:rPr>
          <w:rFonts w:ascii="Arial" w:hAnsi="Arial" w:cs="Arial"/>
          <w:sz w:val="24"/>
          <w:szCs w:val="24"/>
        </w:rPr>
        <w:t>,</w:t>
      </w:r>
      <w:r w:rsidRPr="00090FC9">
        <w:rPr>
          <w:rFonts w:ascii="Arial" w:hAnsi="Arial" w:cs="Arial"/>
          <w:sz w:val="24"/>
          <w:szCs w:val="24"/>
        </w:rPr>
        <w:t xml:space="preserve"> as adequate compensation for her loss of income. No reasons where provided by the arbitrator, why she considered a period of 12 months </w:t>
      </w:r>
      <w:r w:rsidR="002B69DE">
        <w:rPr>
          <w:rFonts w:ascii="Arial" w:hAnsi="Arial" w:cs="Arial"/>
          <w:sz w:val="24"/>
          <w:szCs w:val="24"/>
        </w:rPr>
        <w:t>‘</w:t>
      </w:r>
      <w:r w:rsidRPr="00090FC9">
        <w:rPr>
          <w:rFonts w:ascii="Arial" w:hAnsi="Arial" w:cs="Arial"/>
          <w:sz w:val="24"/>
          <w:szCs w:val="24"/>
        </w:rPr>
        <w:t>adequate</w:t>
      </w:r>
      <w:r w:rsidR="002B69DE">
        <w:rPr>
          <w:rFonts w:ascii="Arial" w:hAnsi="Arial" w:cs="Arial"/>
          <w:sz w:val="24"/>
          <w:szCs w:val="24"/>
        </w:rPr>
        <w:t>’</w:t>
      </w:r>
      <w:r w:rsidRPr="00090FC9">
        <w:rPr>
          <w:rFonts w:ascii="Arial" w:hAnsi="Arial" w:cs="Arial"/>
          <w:sz w:val="24"/>
          <w:szCs w:val="24"/>
        </w:rPr>
        <w:t xml:space="preserve"> or </w:t>
      </w:r>
      <w:r w:rsidR="002B69DE">
        <w:rPr>
          <w:rFonts w:ascii="Arial" w:hAnsi="Arial" w:cs="Arial"/>
          <w:sz w:val="24"/>
          <w:szCs w:val="24"/>
        </w:rPr>
        <w:t>‘</w:t>
      </w:r>
      <w:r w:rsidRPr="00090FC9">
        <w:rPr>
          <w:rFonts w:ascii="Arial" w:hAnsi="Arial" w:cs="Arial"/>
          <w:sz w:val="24"/>
          <w:szCs w:val="24"/>
        </w:rPr>
        <w:t>fair</w:t>
      </w:r>
      <w:r w:rsidR="002B69DE">
        <w:rPr>
          <w:rFonts w:ascii="Arial" w:hAnsi="Arial" w:cs="Arial"/>
          <w:sz w:val="24"/>
          <w:szCs w:val="24"/>
        </w:rPr>
        <w:t>’</w:t>
      </w:r>
      <w:r w:rsidRPr="00090FC9">
        <w:rPr>
          <w:rFonts w:ascii="Arial" w:hAnsi="Arial" w:cs="Arial"/>
          <w:sz w:val="24"/>
          <w:szCs w:val="24"/>
        </w:rPr>
        <w:t xml:space="preserve"> or </w:t>
      </w:r>
      <w:r w:rsidR="002B69DE">
        <w:rPr>
          <w:rFonts w:ascii="Arial" w:hAnsi="Arial" w:cs="Arial"/>
          <w:sz w:val="24"/>
          <w:szCs w:val="24"/>
        </w:rPr>
        <w:t>‘</w:t>
      </w:r>
      <w:r w:rsidRPr="00090FC9">
        <w:rPr>
          <w:rFonts w:ascii="Arial" w:hAnsi="Arial" w:cs="Arial"/>
          <w:sz w:val="24"/>
          <w:szCs w:val="24"/>
        </w:rPr>
        <w:t>just and equitable</w:t>
      </w:r>
      <w:r w:rsidR="002B69DE">
        <w:rPr>
          <w:rFonts w:ascii="Arial" w:hAnsi="Arial" w:cs="Arial"/>
          <w:sz w:val="24"/>
          <w:szCs w:val="24"/>
        </w:rPr>
        <w:t>’</w:t>
      </w:r>
      <w:r w:rsidRPr="00090FC9">
        <w:rPr>
          <w:rFonts w:ascii="Arial" w:hAnsi="Arial" w:cs="Arial"/>
          <w:sz w:val="24"/>
          <w:szCs w:val="24"/>
        </w:rPr>
        <w:t xml:space="preserve"> and what circumstances she actually took into account in this regard</w:t>
      </w:r>
      <w:r w:rsidR="00DC24E8">
        <w:rPr>
          <w:rFonts w:ascii="Arial" w:hAnsi="Arial" w:cs="Arial"/>
          <w:sz w:val="24"/>
          <w:szCs w:val="24"/>
        </w:rPr>
        <w:t xml:space="preserve"> when making the award</w:t>
      </w:r>
      <w:r w:rsidRPr="00090FC9">
        <w:rPr>
          <w:rFonts w:ascii="Arial" w:hAnsi="Arial" w:cs="Arial"/>
          <w:sz w:val="24"/>
          <w:szCs w:val="24"/>
        </w:rPr>
        <w:t>.</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2</w:t>
      </w:r>
      <w:r w:rsidR="005B0DFA">
        <w:rPr>
          <w:rFonts w:ascii="Arial" w:hAnsi="Arial" w:cs="Arial"/>
          <w:sz w:val="24"/>
          <w:szCs w:val="24"/>
        </w:rPr>
        <w:t>6</w:t>
      </w:r>
      <w:r w:rsidRPr="00090FC9">
        <w:rPr>
          <w:rFonts w:ascii="Arial" w:hAnsi="Arial" w:cs="Arial"/>
          <w:sz w:val="24"/>
          <w:szCs w:val="24"/>
        </w:rPr>
        <w:t>]</w:t>
      </w:r>
      <w:r w:rsidRPr="00090FC9">
        <w:rPr>
          <w:rFonts w:ascii="Arial" w:hAnsi="Arial" w:cs="Arial"/>
          <w:sz w:val="24"/>
          <w:szCs w:val="24"/>
        </w:rPr>
        <w:tab/>
        <w:t>It was this particular shortcoming that Mr Philander</w:t>
      </w:r>
      <w:r w:rsidR="002B69DE">
        <w:rPr>
          <w:rFonts w:ascii="Arial" w:hAnsi="Arial" w:cs="Arial"/>
          <w:sz w:val="24"/>
          <w:szCs w:val="24"/>
        </w:rPr>
        <w:t xml:space="preserve"> had exposed and which he</w:t>
      </w:r>
      <w:r w:rsidRPr="00090FC9">
        <w:rPr>
          <w:rFonts w:ascii="Arial" w:hAnsi="Arial" w:cs="Arial"/>
          <w:sz w:val="24"/>
          <w:szCs w:val="24"/>
        </w:rPr>
        <w:t xml:space="preserve"> endeavoured to address firstly with reference to the general rationale for the giving of reasons as set out by the Court in </w:t>
      </w:r>
      <w:r w:rsidRPr="00DC24E8">
        <w:rPr>
          <w:rFonts w:ascii="Arial" w:hAnsi="Arial" w:cs="Arial"/>
          <w:i/>
          <w:sz w:val="24"/>
          <w:szCs w:val="24"/>
        </w:rPr>
        <w:t>Namibia Foods and Allied Workers’ Union v Novanam Limited</w:t>
      </w:r>
      <w:r w:rsidRPr="00090FC9">
        <w:rPr>
          <w:rFonts w:ascii="Arial" w:hAnsi="Arial" w:cs="Arial"/>
          <w:i/>
          <w:sz w:val="24"/>
          <w:szCs w:val="24"/>
        </w:rPr>
        <w:t xml:space="preserve"> </w:t>
      </w:r>
      <w:r w:rsidRPr="00090FC9">
        <w:rPr>
          <w:rFonts w:ascii="Arial" w:hAnsi="Arial" w:cs="Arial"/>
          <w:sz w:val="24"/>
          <w:szCs w:val="24"/>
        </w:rPr>
        <w:t>(HC-MD-LAB-APP-AAA-2017/00015) NAHCMD 24 (5 October 2018) where it was held:</w:t>
      </w:r>
    </w:p>
    <w:p w:rsidR="00A7377E" w:rsidRPr="00090FC9" w:rsidRDefault="00A7377E" w:rsidP="00090FC9">
      <w:pPr>
        <w:pStyle w:val="ListParagraph"/>
        <w:spacing w:line="360" w:lineRule="auto"/>
        <w:ind w:left="709"/>
        <w:jc w:val="both"/>
        <w:rPr>
          <w:rFonts w:cs="Arial"/>
          <w:i/>
        </w:rPr>
      </w:pPr>
    </w:p>
    <w:p w:rsidR="00A7377E" w:rsidRPr="00290030" w:rsidRDefault="00290030" w:rsidP="00290030">
      <w:pPr>
        <w:pStyle w:val="ListParagraph"/>
        <w:spacing w:line="360" w:lineRule="auto"/>
        <w:ind w:left="0" w:firstLine="720"/>
        <w:jc w:val="both"/>
        <w:rPr>
          <w:rFonts w:cs="Arial"/>
          <w:sz w:val="22"/>
          <w:szCs w:val="22"/>
        </w:rPr>
      </w:pPr>
      <w:r>
        <w:rPr>
          <w:rFonts w:cs="Arial"/>
          <w:sz w:val="22"/>
          <w:szCs w:val="22"/>
        </w:rPr>
        <w:t>‘{23}</w:t>
      </w:r>
      <w:r w:rsidR="00A7377E" w:rsidRPr="00290030">
        <w:rPr>
          <w:rFonts w:cs="Arial"/>
          <w:sz w:val="22"/>
          <w:szCs w:val="22"/>
        </w:rPr>
        <w:t xml:space="preserve"> Reasons behind decisions must be given in order to exclude allegations of arbitrariness and acting whimsically or capriciously on the part of courts and tribunals. This is very important for the observance of the rule of law and confidence in the courts and tribunals and their decisions.  Parties may not agree with the decision but they have a right to know the reasons underlying the order issued. Awards without a proper analysis and exposition of the reasons for the decision, encourages needless appeals, for no other reason than that the party which feels hard done by the decision will naturally resort to an appeal, yet if the reasons had been fully ventilated, they may accept the fact of their loss with dignity.</w:t>
      </w:r>
    </w:p>
    <w:p w:rsidR="00A7377E" w:rsidRPr="00290030" w:rsidRDefault="00A7377E" w:rsidP="00290030">
      <w:pPr>
        <w:pStyle w:val="ListParagraph"/>
        <w:spacing w:line="360" w:lineRule="auto"/>
        <w:ind w:left="0"/>
        <w:jc w:val="both"/>
        <w:rPr>
          <w:rFonts w:cs="Arial"/>
          <w:sz w:val="22"/>
          <w:szCs w:val="22"/>
        </w:rPr>
      </w:pPr>
    </w:p>
    <w:p w:rsidR="00A7377E" w:rsidRPr="00290030" w:rsidRDefault="00290030" w:rsidP="00290030">
      <w:pPr>
        <w:pStyle w:val="ListParagraph"/>
        <w:spacing w:line="360" w:lineRule="auto"/>
        <w:ind w:left="0"/>
        <w:jc w:val="both"/>
        <w:rPr>
          <w:rFonts w:cs="Arial"/>
          <w:sz w:val="22"/>
          <w:szCs w:val="22"/>
        </w:rPr>
      </w:pPr>
      <w:r>
        <w:rPr>
          <w:rFonts w:cs="Arial"/>
          <w:sz w:val="22"/>
          <w:szCs w:val="22"/>
        </w:rPr>
        <w:t>{24}</w:t>
      </w:r>
      <w:r w:rsidR="00A7377E" w:rsidRPr="00290030">
        <w:rPr>
          <w:rFonts w:cs="Arial"/>
          <w:sz w:val="22"/>
          <w:szCs w:val="22"/>
        </w:rPr>
        <w:tab/>
        <w:t>As it is, in the absence of a proper consideration and discussion of the respective cases argued by the parties, the work of this court is made the more difficult, if not impossible, short of the court in a sense re-hearing the matter and making its own decision based on the papers filed of record. In that case, that does not become an appeal and the matter becomes as good as being heard for the first time. Arbitrators’ attention is specifically drawn to this aspect of the judgment so that this court can draw assistance from their awards and accordingly assist in developing our labour law jurisprudence in the process.</w:t>
      </w:r>
    </w:p>
    <w:p w:rsidR="00A7377E" w:rsidRPr="00090FC9" w:rsidRDefault="00A7377E" w:rsidP="00090FC9">
      <w:pPr>
        <w:spacing w:after="0" w:line="360" w:lineRule="auto"/>
        <w:jc w:val="both"/>
        <w:rPr>
          <w:rFonts w:ascii="Arial" w:hAnsi="Arial" w:cs="Arial"/>
          <w:b/>
          <w:sz w:val="24"/>
          <w:szCs w:val="24"/>
        </w:rPr>
      </w:pPr>
    </w:p>
    <w:p w:rsidR="00A7377E" w:rsidRPr="00090FC9" w:rsidRDefault="00290030" w:rsidP="00090FC9">
      <w:pPr>
        <w:spacing w:after="0" w:line="360" w:lineRule="auto"/>
        <w:jc w:val="both"/>
        <w:rPr>
          <w:rFonts w:ascii="Arial" w:hAnsi="Arial" w:cs="Arial"/>
          <w:sz w:val="24"/>
          <w:szCs w:val="24"/>
        </w:rPr>
      </w:pPr>
      <w:r>
        <w:rPr>
          <w:rFonts w:ascii="Arial" w:hAnsi="Arial" w:cs="Arial"/>
          <w:sz w:val="24"/>
          <w:szCs w:val="24"/>
        </w:rPr>
        <w:t>[2</w:t>
      </w:r>
      <w:r w:rsidR="005B0DFA">
        <w:rPr>
          <w:rFonts w:ascii="Arial" w:hAnsi="Arial" w:cs="Arial"/>
          <w:sz w:val="24"/>
          <w:szCs w:val="24"/>
        </w:rPr>
        <w:t>7</w:t>
      </w:r>
      <w:r w:rsidR="00A7377E" w:rsidRPr="00090FC9">
        <w:rPr>
          <w:rFonts w:ascii="Arial" w:hAnsi="Arial" w:cs="Arial"/>
          <w:sz w:val="24"/>
          <w:szCs w:val="24"/>
        </w:rPr>
        <w:t>]</w:t>
      </w:r>
      <w:r w:rsidR="00A7377E" w:rsidRPr="00090FC9">
        <w:rPr>
          <w:rFonts w:ascii="Arial" w:hAnsi="Arial" w:cs="Arial"/>
          <w:sz w:val="24"/>
          <w:szCs w:val="24"/>
        </w:rPr>
        <w:tab/>
        <w:t>I</w:t>
      </w:r>
      <w:r w:rsidR="002B69DE">
        <w:rPr>
          <w:rFonts w:ascii="Arial" w:hAnsi="Arial" w:cs="Arial"/>
          <w:sz w:val="24"/>
          <w:szCs w:val="24"/>
        </w:rPr>
        <w:t>t does not take much and I</w:t>
      </w:r>
      <w:r w:rsidR="00A7377E" w:rsidRPr="00090FC9">
        <w:rPr>
          <w:rFonts w:ascii="Arial" w:hAnsi="Arial" w:cs="Arial"/>
          <w:sz w:val="24"/>
          <w:szCs w:val="24"/>
        </w:rPr>
        <w:t xml:space="preserve"> am stating the obvious when I find that this reasoning applies with equal force to resultant awards</w:t>
      </w:r>
      <w:r w:rsidR="00185629">
        <w:rPr>
          <w:rFonts w:ascii="Arial" w:hAnsi="Arial" w:cs="Arial"/>
          <w:sz w:val="24"/>
          <w:szCs w:val="24"/>
        </w:rPr>
        <w:t>,</w:t>
      </w:r>
      <w:r w:rsidR="00A7377E" w:rsidRPr="00090FC9">
        <w:rPr>
          <w:rFonts w:ascii="Arial" w:hAnsi="Arial" w:cs="Arial"/>
          <w:sz w:val="24"/>
          <w:szCs w:val="24"/>
        </w:rPr>
        <w:t xml:space="preserve"> made in labour arbitrations, as was suggested on behalf of the appellant.</w:t>
      </w:r>
    </w:p>
    <w:p w:rsidR="00A7377E" w:rsidRPr="00090FC9" w:rsidRDefault="00A7377E" w:rsidP="00090FC9">
      <w:pPr>
        <w:spacing w:after="0" w:line="360" w:lineRule="auto"/>
        <w:jc w:val="both"/>
        <w:rPr>
          <w:rFonts w:ascii="Arial" w:hAnsi="Arial" w:cs="Arial"/>
          <w:sz w:val="24"/>
          <w:szCs w:val="24"/>
        </w:rPr>
      </w:pPr>
    </w:p>
    <w:p w:rsidR="00A7377E"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2</w:t>
      </w:r>
      <w:r w:rsidR="005B0DFA">
        <w:rPr>
          <w:rFonts w:ascii="Arial" w:hAnsi="Arial" w:cs="Arial"/>
          <w:sz w:val="24"/>
          <w:szCs w:val="24"/>
        </w:rPr>
        <w:t>8</w:t>
      </w:r>
      <w:r w:rsidRPr="00090FC9">
        <w:rPr>
          <w:rFonts w:ascii="Arial" w:hAnsi="Arial" w:cs="Arial"/>
          <w:sz w:val="24"/>
          <w:szCs w:val="24"/>
        </w:rPr>
        <w:t>]</w:t>
      </w:r>
      <w:r w:rsidRPr="00090FC9">
        <w:rPr>
          <w:rFonts w:ascii="Arial" w:hAnsi="Arial" w:cs="Arial"/>
          <w:sz w:val="24"/>
          <w:szCs w:val="24"/>
        </w:rPr>
        <w:tab/>
        <w:t>In this case the Court is however left to speculate as to whether or not</w:t>
      </w:r>
      <w:r w:rsidR="00185629">
        <w:rPr>
          <w:rFonts w:ascii="Arial" w:hAnsi="Arial" w:cs="Arial"/>
          <w:sz w:val="24"/>
          <w:szCs w:val="24"/>
        </w:rPr>
        <w:t>,</w:t>
      </w:r>
      <w:r w:rsidRPr="00090FC9">
        <w:rPr>
          <w:rFonts w:ascii="Arial" w:hAnsi="Arial" w:cs="Arial"/>
          <w:sz w:val="24"/>
          <w:szCs w:val="24"/>
        </w:rPr>
        <w:t xml:space="preserve"> </w:t>
      </w:r>
      <w:r w:rsidR="00185629">
        <w:rPr>
          <w:rFonts w:ascii="Arial" w:hAnsi="Arial" w:cs="Arial"/>
          <w:sz w:val="24"/>
          <w:szCs w:val="24"/>
        </w:rPr>
        <w:t xml:space="preserve">the </w:t>
      </w:r>
      <w:r w:rsidRPr="00090FC9">
        <w:rPr>
          <w:rFonts w:ascii="Arial" w:hAnsi="Arial" w:cs="Arial"/>
          <w:sz w:val="24"/>
          <w:szCs w:val="24"/>
        </w:rPr>
        <w:t>inferences drawn by Mr Horn</w:t>
      </w:r>
      <w:r w:rsidR="00185629">
        <w:rPr>
          <w:rFonts w:ascii="Arial" w:hAnsi="Arial" w:cs="Arial"/>
          <w:sz w:val="24"/>
          <w:szCs w:val="24"/>
        </w:rPr>
        <w:t>, as to</w:t>
      </w:r>
      <w:r w:rsidRPr="00090FC9">
        <w:rPr>
          <w:rFonts w:ascii="Arial" w:hAnsi="Arial" w:cs="Arial"/>
          <w:sz w:val="24"/>
          <w:szCs w:val="24"/>
        </w:rPr>
        <w:t xml:space="preserve"> the re</w:t>
      </w:r>
      <w:r w:rsidR="002B69DE">
        <w:rPr>
          <w:rFonts w:ascii="Arial" w:hAnsi="Arial" w:cs="Arial"/>
          <w:sz w:val="24"/>
          <w:szCs w:val="24"/>
        </w:rPr>
        <w:t>asons that could very well have-</w:t>
      </w:r>
      <w:r w:rsidRPr="00090FC9">
        <w:rPr>
          <w:rFonts w:ascii="Arial" w:hAnsi="Arial" w:cs="Arial"/>
          <w:sz w:val="24"/>
          <w:szCs w:val="24"/>
        </w:rPr>
        <w:t xml:space="preserve"> and </w:t>
      </w:r>
      <w:r w:rsidRPr="00090FC9">
        <w:rPr>
          <w:rFonts w:ascii="Arial" w:hAnsi="Arial" w:cs="Arial"/>
          <w:sz w:val="24"/>
          <w:szCs w:val="24"/>
        </w:rPr>
        <w:lastRenderedPageBreak/>
        <w:t>probably did u</w:t>
      </w:r>
      <w:r w:rsidR="00185629">
        <w:rPr>
          <w:rFonts w:ascii="Arial" w:hAnsi="Arial" w:cs="Arial"/>
          <w:sz w:val="24"/>
          <w:szCs w:val="24"/>
        </w:rPr>
        <w:t>nderlie the monetary award, played a role</w:t>
      </w:r>
      <w:r w:rsidRPr="00090FC9">
        <w:rPr>
          <w:rFonts w:ascii="Arial" w:hAnsi="Arial" w:cs="Arial"/>
          <w:sz w:val="24"/>
          <w:szCs w:val="24"/>
        </w:rPr>
        <w:t xml:space="preserve"> in this instance.</w:t>
      </w:r>
      <w:r w:rsidR="002B69DE">
        <w:rPr>
          <w:rFonts w:ascii="Arial" w:hAnsi="Arial" w:cs="Arial"/>
          <w:sz w:val="24"/>
          <w:szCs w:val="24"/>
        </w:rPr>
        <w:t xml:space="preserve"> This conclusion is also left unaffected by the acceptance that</w:t>
      </w:r>
      <w:r w:rsidRPr="00090FC9">
        <w:rPr>
          <w:rFonts w:ascii="Arial" w:hAnsi="Arial" w:cs="Arial"/>
          <w:sz w:val="24"/>
          <w:szCs w:val="24"/>
        </w:rPr>
        <w:t xml:space="preserve"> </w:t>
      </w:r>
      <w:r w:rsidR="002B69DE">
        <w:rPr>
          <w:rFonts w:ascii="Arial" w:hAnsi="Arial" w:cs="Arial"/>
          <w:sz w:val="24"/>
          <w:szCs w:val="24"/>
        </w:rPr>
        <w:t>o</w:t>
      </w:r>
      <w:r w:rsidR="00185629" w:rsidRPr="00090FC9">
        <w:rPr>
          <w:rFonts w:ascii="Arial" w:hAnsi="Arial" w:cs="Arial"/>
          <w:sz w:val="24"/>
          <w:szCs w:val="24"/>
        </w:rPr>
        <w:t xml:space="preserve">bviously </w:t>
      </w:r>
      <w:r w:rsidR="002B69DE">
        <w:rPr>
          <w:rFonts w:ascii="Arial" w:hAnsi="Arial" w:cs="Arial"/>
          <w:sz w:val="24"/>
          <w:szCs w:val="24"/>
        </w:rPr>
        <w:t>this part of the award must</w:t>
      </w:r>
      <w:r w:rsidR="00185629" w:rsidRPr="00090FC9">
        <w:rPr>
          <w:rFonts w:ascii="Arial" w:hAnsi="Arial" w:cs="Arial"/>
          <w:sz w:val="24"/>
          <w:szCs w:val="24"/>
        </w:rPr>
        <w:t xml:space="preserve"> be read in the context of the entire award and thus cannot be read in isolation. </w:t>
      </w:r>
      <w:r w:rsidRPr="00090FC9">
        <w:rPr>
          <w:rFonts w:ascii="Arial" w:hAnsi="Arial" w:cs="Arial"/>
          <w:sz w:val="24"/>
          <w:szCs w:val="24"/>
        </w:rPr>
        <w:t>What</w:t>
      </w:r>
      <w:r w:rsidR="00185629">
        <w:rPr>
          <w:rFonts w:ascii="Arial" w:hAnsi="Arial" w:cs="Arial"/>
          <w:sz w:val="24"/>
          <w:szCs w:val="24"/>
        </w:rPr>
        <w:t xml:space="preserve"> however</w:t>
      </w:r>
      <w:r w:rsidR="002B69DE">
        <w:rPr>
          <w:rFonts w:ascii="Arial" w:hAnsi="Arial" w:cs="Arial"/>
          <w:sz w:val="24"/>
          <w:szCs w:val="24"/>
        </w:rPr>
        <w:t xml:space="preserve"> remains unknown</w:t>
      </w:r>
      <w:r w:rsidRPr="00090FC9">
        <w:rPr>
          <w:rFonts w:ascii="Arial" w:hAnsi="Arial" w:cs="Arial"/>
          <w:sz w:val="24"/>
          <w:szCs w:val="24"/>
        </w:rPr>
        <w:t xml:space="preserve"> </w:t>
      </w:r>
      <w:r w:rsidR="00185629">
        <w:rPr>
          <w:rFonts w:ascii="Arial" w:hAnsi="Arial" w:cs="Arial"/>
          <w:sz w:val="24"/>
          <w:szCs w:val="24"/>
        </w:rPr>
        <w:t xml:space="preserve">is </w:t>
      </w:r>
      <w:r w:rsidRPr="00090FC9">
        <w:rPr>
          <w:rFonts w:ascii="Arial" w:hAnsi="Arial" w:cs="Arial"/>
          <w:sz w:val="24"/>
          <w:szCs w:val="24"/>
        </w:rPr>
        <w:t xml:space="preserve">to what extent </w:t>
      </w:r>
      <w:r w:rsidR="0023766C">
        <w:rPr>
          <w:rFonts w:ascii="Arial" w:hAnsi="Arial" w:cs="Arial"/>
          <w:sz w:val="24"/>
          <w:szCs w:val="24"/>
        </w:rPr>
        <w:t xml:space="preserve">each possible factor </w:t>
      </w:r>
      <w:r w:rsidRPr="00090FC9">
        <w:rPr>
          <w:rFonts w:ascii="Arial" w:hAnsi="Arial" w:cs="Arial"/>
          <w:sz w:val="24"/>
          <w:szCs w:val="24"/>
        </w:rPr>
        <w:t xml:space="preserve">actually played a role or not. </w:t>
      </w:r>
    </w:p>
    <w:p w:rsidR="00185629" w:rsidRPr="00090FC9" w:rsidRDefault="00185629"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b/>
          <w:sz w:val="24"/>
          <w:szCs w:val="24"/>
        </w:rPr>
      </w:pPr>
      <w:r w:rsidRPr="00090FC9">
        <w:rPr>
          <w:rFonts w:ascii="Arial" w:hAnsi="Arial" w:cs="Arial"/>
          <w:sz w:val="24"/>
          <w:szCs w:val="24"/>
        </w:rPr>
        <w:t>[</w:t>
      </w:r>
      <w:r w:rsidR="00290030">
        <w:rPr>
          <w:rFonts w:ascii="Arial" w:hAnsi="Arial" w:cs="Arial"/>
          <w:sz w:val="24"/>
          <w:szCs w:val="24"/>
        </w:rPr>
        <w:t>2</w:t>
      </w:r>
      <w:r w:rsidR="005B0DFA">
        <w:rPr>
          <w:rFonts w:ascii="Arial" w:hAnsi="Arial" w:cs="Arial"/>
          <w:sz w:val="24"/>
          <w:szCs w:val="24"/>
        </w:rPr>
        <w:t>9</w:t>
      </w:r>
      <w:r w:rsidRPr="00090FC9">
        <w:rPr>
          <w:rFonts w:ascii="Arial" w:hAnsi="Arial" w:cs="Arial"/>
          <w:sz w:val="24"/>
          <w:szCs w:val="24"/>
        </w:rPr>
        <w:t>]</w:t>
      </w:r>
      <w:r w:rsidRPr="00090FC9">
        <w:rPr>
          <w:rFonts w:ascii="Arial" w:hAnsi="Arial" w:cs="Arial"/>
          <w:sz w:val="24"/>
          <w:szCs w:val="24"/>
        </w:rPr>
        <w:tab/>
        <w:t xml:space="preserve">The arbitrator wanted to award ‘compensation’, so much is clear from the actual wording used in her ‘ruling’. The concept of ‘compensation’ is however not as straightforward </w:t>
      </w:r>
      <w:r w:rsidR="00185629">
        <w:rPr>
          <w:rFonts w:ascii="Arial" w:hAnsi="Arial" w:cs="Arial"/>
          <w:sz w:val="24"/>
          <w:szCs w:val="24"/>
        </w:rPr>
        <w:t>as one would think – it is</w:t>
      </w:r>
      <w:r w:rsidRPr="00090FC9">
        <w:rPr>
          <w:rFonts w:ascii="Arial" w:hAnsi="Arial" w:cs="Arial"/>
          <w:sz w:val="24"/>
          <w:szCs w:val="24"/>
        </w:rPr>
        <w:t xml:space="preserve"> apparently ‘</w:t>
      </w:r>
      <w:r w:rsidRPr="00090FC9">
        <w:rPr>
          <w:rFonts w:ascii="Arial" w:hAnsi="Arial" w:cs="Arial"/>
          <w:i/>
          <w:sz w:val="24"/>
          <w:szCs w:val="24"/>
        </w:rPr>
        <w:t>a difficult horse to ride’</w:t>
      </w:r>
      <w:r w:rsidRPr="00090FC9">
        <w:rPr>
          <w:rFonts w:ascii="Arial" w:hAnsi="Arial" w:cs="Arial"/>
          <w:sz w:val="24"/>
          <w:szCs w:val="24"/>
        </w:rPr>
        <w:t>. This alone emerges from a citation of a foreign authority utilised by Mr Philander to underscore this part of the appeal and in respect of which he submitted that the guidelines set there should apply with equal force to Namibia although made against the backdrop of the South African Labour Relations Act</w:t>
      </w:r>
      <w:r w:rsidR="00185629">
        <w:rPr>
          <w:rFonts w:ascii="Arial" w:hAnsi="Arial" w:cs="Arial"/>
          <w:sz w:val="24"/>
          <w:szCs w:val="24"/>
        </w:rPr>
        <w:t>,</w:t>
      </w:r>
      <w:r w:rsidRPr="00090FC9">
        <w:rPr>
          <w:rFonts w:ascii="Arial" w:hAnsi="Arial" w:cs="Arial"/>
          <w:sz w:val="24"/>
          <w:szCs w:val="24"/>
        </w:rPr>
        <w:t xml:space="preserve"> which differs from the Namibia’s Labour Act.</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color w:val="000000"/>
          <w:sz w:val="24"/>
          <w:szCs w:val="24"/>
          <w:lang w:eastAsia="en-ZA"/>
        </w:rPr>
        <w:t>[</w:t>
      </w:r>
      <w:r w:rsidR="005B0DFA">
        <w:rPr>
          <w:rFonts w:ascii="Arial" w:hAnsi="Arial" w:cs="Arial"/>
          <w:color w:val="000000"/>
          <w:sz w:val="24"/>
          <w:szCs w:val="24"/>
          <w:lang w:eastAsia="en-ZA"/>
        </w:rPr>
        <w:t>30</w:t>
      </w:r>
      <w:r w:rsidR="00185629">
        <w:rPr>
          <w:rFonts w:ascii="Arial" w:hAnsi="Arial" w:cs="Arial"/>
          <w:color w:val="000000"/>
          <w:sz w:val="24"/>
          <w:szCs w:val="24"/>
          <w:lang w:eastAsia="en-ZA"/>
        </w:rPr>
        <w:t>]</w:t>
      </w:r>
      <w:r w:rsidR="00185629">
        <w:rPr>
          <w:rFonts w:ascii="Arial" w:hAnsi="Arial" w:cs="Arial"/>
          <w:color w:val="000000"/>
          <w:sz w:val="24"/>
          <w:szCs w:val="24"/>
          <w:lang w:eastAsia="en-ZA"/>
        </w:rPr>
        <w:tab/>
        <w:t>For this purpose i</w:t>
      </w:r>
      <w:r w:rsidRPr="00090FC9">
        <w:rPr>
          <w:rFonts w:ascii="Arial" w:hAnsi="Arial" w:cs="Arial"/>
          <w:color w:val="000000"/>
          <w:sz w:val="24"/>
          <w:szCs w:val="24"/>
          <w:lang w:eastAsia="en-ZA"/>
        </w:rPr>
        <w:t xml:space="preserve">t is indeed useful to have regard to the relevant aspects that emerge from </w:t>
      </w:r>
      <w:r w:rsidRPr="00185629">
        <w:rPr>
          <w:rFonts w:ascii="Arial" w:hAnsi="Arial" w:cs="Arial"/>
          <w:i/>
          <w:iCs/>
          <w:sz w:val="24"/>
          <w:szCs w:val="24"/>
        </w:rPr>
        <w:t xml:space="preserve">ARB Electrical Wholesalers (Pty) Ltd v </w:t>
      </w:r>
      <w:r w:rsidRPr="00185629">
        <w:rPr>
          <w:rFonts w:ascii="Arial" w:hAnsi="Arial" w:cs="Arial"/>
          <w:i/>
          <w:iCs/>
          <w:color w:val="000000"/>
          <w:sz w:val="24"/>
          <w:szCs w:val="24"/>
          <w:lang w:eastAsia="en-ZA"/>
        </w:rPr>
        <w:t>Hibbert</w:t>
      </w:r>
      <w:r w:rsidRPr="00185629">
        <w:rPr>
          <w:rFonts w:ascii="Arial" w:hAnsi="Arial" w:cs="Arial"/>
          <w:sz w:val="24"/>
          <w:szCs w:val="24"/>
        </w:rPr>
        <w:t xml:space="preserve"> (2015) 36 </w:t>
      </w:r>
      <w:r w:rsidRPr="00185629">
        <w:rPr>
          <w:rFonts w:ascii="Arial" w:hAnsi="Arial" w:cs="Arial"/>
          <w:i/>
          <w:iCs/>
          <w:sz w:val="24"/>
          <w:szCs w:val="24"/>
        </w:rPr>
        <w:t xml:space="preserve">ILJ </w:t>
      </w:r>
      <w:r w:rsidRPr="00185629">
        <w:rPr>
          <w:rFonts w:ascii="Arial" w:hAnsi="Arial" w:cs="Arial"/>
          <w:sz w:val="24"/>
          <w:szCs w:val="24"/>
        </w:rPr>
        <w:t>2989 (LAC)</w:t>
      </w:r>
      <w:r w:rsidRPr="00090FC9">
        <w:rPr>
          <w:rFonts w:ascii="Arial" w:hAnsi="Arial" w:cs="Arial"/>
          <w:i/>
          <w:iCs/>
          <w:color w:val="000000"/>
          <w:sz w:val="24"/>
          <w:szCs w:val="24"/>
          <w:lang w:eastAsia="en-ZA"/>
        </w:rPr>
        <w:t xml:space="preserve">, </w:t>
      </w:r>
      <w:r w:rsidRPr="00090FC9">
        <w:rPr>
          <w:rFonts w:ascii="Arial" w:hAnsi="Arial" w:cs="Arial"/>
          <w:color w:val="000000"/>
          <w:sz w:val="24"/>
          <w:szCs w:val="24"/>
          <w:lang w:eastAsia="en-ZA"/>
        </w:rPr>
        <w:t xml:space="preserve">where the following was said: </w:t>
      </w:r>
    </w:p>
    <w:p w:rsidR="00A7377E" w:rsidRPr="00090FC9" w:rsidRDefault="00A7377E" w:rsidP="00090FC9">
      <w:pPr>
        <w:autoSpaceDE w:val="0"/>
        <w:autoSpaceDN w:val="0"/>
        <w:adjustRightInd w:val="0"/>
        <w:spacing w:after="0" w:line="360" w:lineRule="auto"/>
        <w:ind w:left="1418"/>
        <w:jc w:val="both"/>
        <w:rPr>
          <w:rFonts w:ascii="Arial" w:hAnsi="Arial" w:cs="Arial"/>
          <w:i/>
          <w:color w:val="000000"/>
          <w:sz w:val="24"/>
          <w:szCs w:val="24"/>
          <w:lang w:eastAsia="en-ZA"/>
        </w:rPr>
      </w:pPr>
    </w:p>
    <w:p w:rsidR="00A7377E" w:rsidRPr="00290030" w:rsidRDefault="00A7377E" w:rsidP="00290030">
      <w:pPr>
        <w:autoSpaceDE w:val="0"/>
        <w:autoSpaceDN w:val="0"/>
        <w:adjustRightInd w:val="0"/>
        <w:spacing w:after="0" w:line="360" w:lineRule="auto"/>
        <w:ind w:firstLine="720"/>
        <w:jc w:val="both"/>
        <w:rPr>
          <w:rFonts w:ascii="Arial" w:hAnsi="Arial" w:cs="Arial"/>
          <w:i/>
          <w:color w:val="000000"/>
          <w:lang w:eastAsia="en-ZA"/>
        </w:rPr>
      </w:pPr>
      <w:r w:rsidRPr="00290030">
        <w:rPr>
          <w:rFonts w:ascii="Arial" w:hAnsi="Arial" w:cs="Arial"/>
          <w:i/>
          <w:color w:val="000000"/>
          <w:lang w:eastAsia="en-ZA"/>
        </w:rPr>
        <w:t xml:space="preserve">“[22] The compensation that an employee, who has been unfairly dismissed or subjected to unfair labour practice, may be awarded is not aimed at making good the patrimonial loss that s/he has suffered.  The concept of loss or patrimonial loss may play a role to evince the impact of the wrong upon the employee and thus assists towards the determination of appropriate compensation, but compensation under the LRA is a statutory compensation and must not to be confused with a claim for damages under the common law, or a claim for breach of contract or a claim in delict. Hence, there is no need for an employee to prove any loss when seeking compensatory relief under the LRA. </w:t>
      </w:r>
    </w:p>
    <w:p w:rsidR="00A7377E" w:rsidRPr="00290030" w:rsidRDefault="00A7377E" w:rsidP="00290030">
      <w:pPr>
        <w:pStyle w:val="ListParagraph"/>
        <w:spacing w:line="360" w:lineRule="auto"/>
        <w:ind w:left="0"/>
        <w:jc w:val="both"/>
        <w:rPr>
          <w:rFonts w:cs="Arial"/>
          <w:i/>
          <w:color w:val="000000"/>
          <w:sz w:val="22"/>
          <w:szCs w:val="22"/>
          <w:lang w:eastAsia="en-ZA"/>
        </w:rPr>
      </w:pPr>
    </w:p>
    <w:p w:rsidR="00A7377E" w:rsidRPr="00290030" w:rsidRDefault="00A7377E" w:rsidP="00290030">
      <w:pPr>
        <w:pStyle w:val="Default"/>
        <w:spacing w:line="360" w:lineRule="auto"/>
        <w:jc w:val="both"/>
        <w:rPr>
          <w:i/>
          <w:sz w:val="22"/>
          <w:szCs w:val="22"/>
        </w:rPr>
      </w:pPr>
      <w:r w:rsidRPr="00290030">
        <w:rPr>
          <w:i/>
          <w:sz w:val="22"/>
          <w:szCs w:val="22"/>
        </w:rPr>
        <w:t xml:space="preserve">[23] Compensatory relief in terms of the LRA is not strictly speaking a payment for the loss of a job or the unfair labour practice but in fact a monetary relief for the injured feeling and humiliation that the employee suffered at the hands of the employer. Put, differently, it is a payment for the impairment of the employee’s dignity. This monetary relief is referred to as a </w:t>
      </w:r>
      <w:r w:rsidRPr="00290030">
        <w:rPr>
          <w:i/>
          <w:iCs/>
          <w:sz w:val="22"/>
          <w:szCs w:val="22"/>
        </w:rPr>
        <w:t>solatium</w:t>
      </w:r>
      <w:r w:rsidRPr="00290030">
        <w:rPr>
          <w:i/>
          <w:sz w:val="22"/>
          <w:szCs w:val="22"/>
        </w:rPr>
        <w:t xml:space="preserve"> and it constitutes a solace to provide satisfaction to an employee whose constitutionally protected right to fair labour practice has been violated.   The </w:t>
      </w:r>
      <w:r w:rsidRPr="00290030">
        <w:rPr>
          <w:i/>
          <w:iCs/>
          <w:sz w:val="22"/>
          <w:szCs w:val="22"/>
        </w:rPr>
        <w:t xml:space="preserve">solatium </w:t>
      </w:r>
      <w:r w:rsidRPr="00290030">
        <w:rPr>
          <w:i/>
          <w:sz w:val="22"/>
          <w:szCs w:val="22"/>
        </w:rPr>
        <w:t xml:space="preserve">must be seen as a monetary offering or pacifier to satisfy the hurt feeling of the employee while at the same time penalising6 the employer. It is not however a token amount hence the need for </w:t>
      </w:r>
      <w:r w:rsidRPr="00290030">
        <w:rPr>
          <w:i/>
          <w:sz w:val="22"/>
          <w:szCs w:val="22"/>
        </w:rPr>
        <w:lastRenderedPageBreak/>
        <w:t xml:space="preserve">it to be “just and equitable” and to this end salary is used as one of the tools to determine what is “just and equitable”. </w:t>
      </w:r>
    </w:p>
    <w:p w:rsidR="00A7377E" w:rsidRPr="00290030" w:rsidRDefault="00A7377E" w:rsidP="00290030">
      <w:pPr>
        <w:autoSpaceDE w:val="0"/>
        <w:autoSpaceDN w:val="0"/>
        <w:adjustRightInd w:val="0"/>
        <w:spacing w:after="0" w:line="360" w:lineRule="auto"/>
        <w:jc w:val="both"/>
        <w:rPr>
          <w:rFonts w:ascii="Arial" w:hAnsi="Arial" w:cs="Arial"/>
          <w:i/>
          <w:color w:val="000000"/>
          <w:lang w:eastAsia="en-ZA"/>
        </w:rPr>
      </w:pPr>
    </w:p>
    <w:p w:rsidR="00A7377E" w:rsidRPr="00290030" w:rsidRDefault="00A7377E" w:rsidP="00290030">
      <w:pPr>
        <w:autoSpaceDE w:val="0"/>
        <w:autoSpaceDN w:val="0"/>
        <w:adjustRightInd w:val="0"/>
        <w:spacing w:after="0" w:line="360" w:lineRule="auto"/>
        <w:jc w:val="both"/>
        <w:rPr>
          <w:rFonts w:ascii="Arial" w:hAnsi="Arial" w:cs="Arial"/>
          <w:i/>
          <w:color w:val="000000"/>
          <w:lang w:eastAsia="en-ZA"/>
        </w:rPr>
      </w:pPr>
      <w:r w:rsidRPr="00290030">
        <w:rPr>
          <w:rFonts w:ascii="Arial" w:hAnsi="Arial" w:cs="Arial"/>
          <w:i/>
          <w:color w:val="000000"/>
          <w:lang w:eastAsia="en-ZA"/>
        </w:rPr>
        <w:t xml:space="preserve">[24] The determination of the quantum of compensation is limited to what is “just and equitable".  The determination of what is “just and equitable” compensation in terms of the LRA is a difficult horse to ride. There are conflicting decisions regarding whether compensation should be analogous to compensation for a breach of contract or for a delictual claim. In my view, and as I said earlier, because compensation awarded constitutes a </w:t>
      </w:r>
      <w:r w:rsidRPr="00290030">
        <w:rPr>
          <w:rFonts w:ascii="Arial" w:hAnsi="Arial" w:cs="Arial"/>
          <w:i/>
          <w:iCs/>
          <w:color w:val="000000"/>
          <w:lang w:eastAsia="en-ZA"/>
        </w:rPr>
        <w:t xml:space="preserve">solatium </w:t>
      </w:r>
      <w:r w:rsidRPr="00290030">
        <w:rPr>
          <w:rFonts w:ascii="Arial" w:hAnsi="Arial" w:cs="Arial"/>
          <w:i/>
          <w:color w:val="000000"/>
          <w:lang w:eastAsia="en-ZA"/>
        </w:rPr>
        <w:t xml:space="preserve">for the humiliation that the employee has suffered at the hands of the employer and not strictly a payment for a wrongful dismissal, compensation awarded in unfair dismissal or unfair labour practice matters is more comparable to a delictual award for non-patrimonial loss. While a delictual action (ie action </w:t>
      </w:r>
      <w:r w:rsidRPr="00290030">
        <w:rPr>
          <w:rFonts w:ascii="Arial" w:hAnsi="Arial" w:cs="Arial"/>
          <w:i/>
          <w:iCs/>
          <w:color w:val="000000"/>
          <w:lang w:eastAsia="en-ZA"/>
        </w:rPr>
        <w:t>injuriarum</w:t>
      </w:r>
      <w:r w:rsidRPr="00290030">
        <w:rPr>
          <w:rFonts w:ascii="Arial" w:hAnsi="Arial" w:cs="Arial"/>
          <w:i/>
          <w:color w:val="000000"/>
          <w:lang w:eastAsia="en-ZA"/>
        </w:rPr>
        <w:t xml:space="preserve">) for non-patrimonial loss is fashioned as a claim for damages, it is no more than a claim for a </w:t>
      </w:r>
      <w:r w:rsidRPr="00290030">
        <w:rPr>
          <w:rFonts w:ascii="Arial" w:hAnsi="Arial" w:cs="Arial"/>
          <w:i/>
          <w:iCs/>
          <w:color w:val="000000"/>
          <w:lang w:eastAsia="en-ZA"/>
        </w:rPr>
        <w:t xml:space="preserve">solatium </w:t>
      </w:r>
      <w:r w:rsidRPr="00290030">
        <w:rPr>
          <w:rFonts w:ascii="Arial" w:hAnsi="Arial" w:cs="Arial"/>
          <w:i/>
          <w:color w:val="000000"/>
          <w:lang w:eastAsia="en-ZA"/>
        </w:rPr>
        <w:t xml:space="preserve">because it is not dependent upon patrimonial loss actually suffered by the claimant. Hence, awards made under a delictual claim for non-patrimonial loss may serve as a guide in the assessment of just and equitable compensation under the LRA. </w:t>
      </w:r>
    </w:p>
    <w:p w:rsidR="00A7377E" w:rsidRPr="00290030" w:rsidRDefault="00A7377E" w:rsidP="00290030">
      <w:pPr>
        <w:autoSpaceDE w:val="0"/>
        <w:autoSpaceDN w:val="0"/>
        <w:adjustRightInd w:val="0"/>
        <w:spacing w:after="0" w:line="360" w:lineRule="auto"/>
        <w:jc w:val="both"/>
        <w:rPr>
          <w:rFonts w:ascii="Arial" w:hAnsi="Arial" w:cs="Arial"/>
          <w:i/>
          <w:color w:val="000000"/>
          <w:lang w:eastAsia="en-ZA"/>
        </w:rPr>
      </w:pPr>
    </w:p>
    <w:p w:rsidR="00A7377E" w:rsidRPr="00290030" w:rsidRDefault="00A7377E" w:rsidP="00290030">
      <w:pPr>
        <w:autoSpaceDE w:val="0"/>
        <w:autoSpaceDN w:val="0"/>
        <w:adjustRightInd w:val="0"/>
        <w:spacing w:after="0" w:line="360" w:lineRule="auto"/>
        <w:jc w:val="both"/>
        <w:rPr>
          <w:rFonts w:ascii="Arial" w:hAnsi="Arial" w:cs="Arial"/>
          <w:i/>
          <w:color w:val="000000"/>
          <w:lang w:eastAsia="en-ZA"/>
        </w:rPr>
      </w:pPr>
      <w:r w:rsidRPr="00290030">
        <w:rPr>
          <w:rFonts w:ascii="Arial" w:hAnsi="Arial" w:cs="Arial"/>
          <w:i/>
          <w:color w:val="000000"/>
          <w:lang w:eastAsia="en-ZA"/>
        </w:rPr>
        <w:t xml:space="preserve">In </w:t>
      </w:r>
      <w:r w:rsidRPr="00290030">
        <w:rPr>
          <w:rFonts w:ascii="Arial" w:hAnsi="Arial" w:cs="Arial"/>
          <w:i/>
          <w:iCs/>
          <w:color w:val="000000"/>
          <w:lang w:eastAsia="en-ZA"/>
        </w:rPr>
        <w:t>Minister of Justice &amp; Constitutional Development v Tshishonga (Tshishonga),</w:t>
      </w:r>
      <w:r w:rsidRPr="00290030">
        <w:rPr>
          <w:rFonts w:ascii="Arial" w:hAnsi="Arial" w:cs="Arial"/>
          <w:i/>
          <w:color w:val="000000"/>
          <w:lang w:eastAsia="en-ZA"/>
        </w:rPr>
        <w:t xml:space="preserve"> this Court in an award of </w:t>
      </w:r>
      <w:r w:rsidRPr="00290030">
        <w:rPr>
          <w:rFonts w:ascii="Arial" w:hAnsi="Arial" w:cs="Arial"/>
          <w:i/>
          <w:iCs/>
          <w:color w:val="000000"/>
          <w:lang w:eastAsia="en-ZA"/>
        </w:rPr>
        <w:t xml:space="preserve">solatium </w:t>
      </w:r>
      <w:r w:rsidRPr="00290030">
        <w:rPr>
          <w:rFonts w:ascii="Arial" w:hAnsi="Arial" w:cs="Arial"/>
          <w:i/>
          <w:color w:val="000000"/>
          <w:lang w:eastAsia="en-ZA"/>
        </w:rPr>
        <w:t xml:space="preserve">referred to the delictual claim made under the </w:t>
      </w:r>
      <w:r w:rsidRPr="00290030">
        <w:rPr>
          <w:rFonts w:ascii="Arial" w:hAnsi="Arial" w:cs="Arial"/>
          <w:i/>
          <w:iCs/>
          <w:color w:val="000000"/>
          <w:lang w:eastAsia="en-ZA"/>
        </w:rPr>
        <w:t xml:space="preserve">actio iniuriarum </w:t>
      </w:r>
      <w:r w:rsidRPr="00290030">
        <w:rPr>
          <w:rFonts w:ascii="Arial" w:hAnsi="Arial" w:cs="Arial"/>
          <w:i/>
          <w:color w:val="000000"/>
          <w:lang w:eastAsia="en-ZA"/>
        </w:rPr>
        <w:t xml:space="preserve">for guidance in what would constitute just and equitable compensation for non-patrimonial loss in the context of an unfair labour practice. It stated that since compensation serves to rectify an attack on one’s dignity, the relevant factors in determining the quantum of compensation in these cases included but were not limited to: </w:t>
      </w:r>
    </w:p>
    <w:p w:rsidR="00A7377E" w:rsidRPr="00290030" w:rsidRDefault="00A7377E" w:rsidP="00290030">
      <w:pPr>
        <w:pStyle w:val="ListParagraph"/>
        <w:spacing w:line="360" w:lineRule="auto"/>
        <w:ind w:left="0"/>
        <w:jc w:val="both"/>
        <w:rPr>
          <w:rFonts w:cs="Arial"/>
          <w:i/>
          <w:iCs/>
          <w:color w:val="000000"/>
          <w:sz w:val="22"/>
          <w:szCs w:val="22"/>
          <w:lang w:eastAsia="en-ZA"/>
        </w:rPr>
      </w:pPr>
    </w:p>
    <w:p w:rsidR="00A7377E" w:rsidRPr="00290030" w:rsidRDefault="00A7377E" w:rsidP="00290030">
      <w:pPr>
        <w:autoSpaceDE w:val="0"/>
        <w:autoSpaceDN w:val="0"/>
        <w:adjustRightInd w:val="0"/>
        <w:spacing w:after="0" w:line="360" w:lineRule="auto"/>
        <w:jc w:val="both"/>
        <w:rPr>
          <w:rFonts w:ascii="Arial" w:hAnsi="Arial" w:cs="Arial"/>
          <w:i/>
          <w:lang w:eastAsia="en-ZA"/>
        </w:rPr>
      </w:pPr>
      <w:r w:rsidRPr="00290030">
        <w:rPr>
          <w:rFonts w:ascii="Arial" w:hAnsi="Arial" w:cs="Arial"/>
          <w:i/>
          <w:iCs/>
          <w:color w:val="000000"/>
          <w:lang w:eastAsia="en-ZA"/>
        </w:rPr>
        <w:t xml:space="preserve">‘…the nature and seriousness of the iniuria, the circumstances in which the infringement took place, the behaviour of the </w:t>
      </w:r>
      <w:r w:rsidRPr="00290030">
        <w:rPr>
          <w:rFonts w:ascii="Arial" w:hAnsi="Arial" w:cs="Arial"/>
          <w:i/>
          <w:iCs/>
          <w:lang w:eastAsia="en-ZA"/>
        </w:rPr>
        <w:t>defendant (especially whether the motive was honourable or malicious), the extent of the plaintiff's humiliation or distress, the abuse of the relationship between the parties, and the attitude of the defendant after the iniuria had taken place…’</w:t>
      </w:r>
      <w:r w:rsidRPr="00290030">
        <w:rPr>
          <w:rFonts w:ascii="Arial" w:hAnsi="Arial" w:cs="Arial"/>
          <w:i/>
          <w:lang w:eastAsia="en-ZA"/>
        </w:rPr>
        <w:t>.</w:t>
      </w:r>
    </w:p>
    <w:p w:rsidR="00A7377E" w:rsidRPr="00290030" w:rsidRDefault="00A7377E" w:rsidP="00290030">
      <w:pPr>
        <w:pStyle w:val="ListParagraph"/>
        <w:spacing w:line="360" w:lineRule="auto"/>
        <w:ind w:left="0"/>
        <w:jc w:val="both"/>
        <w:rPr>
          <w:rFonts w:cs="Arial"/>
          <w:i/>
          <w:sz w:val="22"/>
          <w:szCs w:val="22"/>
          <w:lang w:eastAsia="en-ZA"/>
        </w:rPr>
      </w:pPr>
    </w:p>
    <w:p w:rsidR="00A7377E" w:rsidRPr="00290030" w:rsidRDefault="00A7377E" w:rsidP="00290030">
      <w:pPr>
        <w:pStyle w:val="ListParagraph"/>
        <w:spacing w:line="360" w:lineRule="auto"/>
        <w:ind w:left="0"/>
        <w:jc w:val="both"/>
        <w:rPr>
          <w:rFonts w:cs="Arial"/>
          <w:i/>
          <w:sz w:val="22"/>
          <w:szCs w:val="22"/>
          <w:lang w:eastAsia="en-ZA"/>
        </w:rPr>
      </w:pPr>
      <w:r w:rsidRPr="00290030">
        <w:rPr>
          <w:rFonts w:cs="Arial"/>
          <w:i/>
          <w:sz w:val="22"/>
          <w:szCs w:val="22"/>
          <w:lang w:eastAsia="en-ZA"/>
        </w:rPr>
        <w:t xml:space="preserve">[25] The above </w:t>
      </w:r>
      <w:r w:rsidRPr="00290030">
        <w:rPr>
          <w:rFonts w:cs="Arial"/>
          <w:i/>
          <w:iCs/>
          <w:sz w:val="22"/>
          <w:szCs w:val="22"/>
          <w:lang w:eastAsia="en-ZA"/>
        </w:rPr>
        <w:t xml:space="preserve">dictum </w:t>
      </w:r>
      <w:r w:rsidRPr="00290030">
        <w:rPr>
          <w:rFonts w:cs="Arial"/>
          <w:i/>
          <w:sz w:val="22"/>
          <w:szCs w:val="22"/>
          <w:lang w:eastAsia="en-ZA"/>
        </w:rPr>
        <w:t>should serve as an appropriate guideline in determining what is just and equitable compensation that can be awarded under s194(3) of the LRA.”</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31</w:t>
      </w:r>
      <w:r w:rsidRPr="00090FC9">
        <w:rPr>
          <w:rFonts w:ascii="Arial" w:hAnsi="Arial" w:cs="Arial"/>
          <w:sz w:val="24"/>
          <w:szCs w:val="24"/>
        </w:rPr>
        <w:t>]</w:t>
      </w:r>
      <w:r w:rsidRPr="00090FC9">
        <w:rPr>
          <w:rFonts w:ascii="Arial" w:hAnsi="Arial" w:cs="Arial"/>
          <w:sz w:val="24"/>
          <w:szCs w:val="24"/>
        </w:rPr>
        <w:tab/>
        <w:t>Without wanting to be exhaustive it emerges that certain aspects</w:t>
      </w:r>
      <w:r w:rsidR="00185629">
        <w:rPr>
          <w:rFonts w:ascii="Arial" w:hAnsi="Arial" w:cs="Arial"/>
          <w:sz w:val="24"/>
          <w:szCs w:val="24"/>
        </w:rPr>
        <w:t>,</w:t>
      </w:r>
      <w:r w:rsidRPr="00090FC9">
        <w:rPr>
          <w:rFonts w:ascii="Arial" w:hAnsi="Arial" w:cs="Arial"/>
          <w:sz w:val="24"/>
          <w:szCs w:val="24"/>
        </w:rPr>
        <w:t xml:space="preserve"> such as the ‘nature’ and ‘seriousness’ and ‘circumstances’ of the case in question</w:t>
      </w:r>
      <w:r w:rsidR="00185629">
        <w:rPr>
          <w:rFonts w:ascii="Arial" w:hAnsi="Arial" w:cs="Arial"/>
          <w:sz w:val="24"/>
          <w:szCs w:val="24"/>
        </w:rPr>
        <w:t>,</w:t>
      </w:r>
      <w:r w:rsidRPr="00090FC9">
        <w:rPr>
          <w:rFonts w:ascii="Arial" w:hAnsi="Arial" w:cs="Arial"/>
          <w:sz w:val="24"/>
          <w:szCs w:val="24"/>
        </w:rPr>
        <w:t xml:space="preserve"> would play a role in the determination of whether ‘compensation’ should be awarded and if so, in </w:t>
      </w:r>
      <w:r w:rsidR="002B69DE">
        <w:rPr>
          <w:rFonts w:ascii="Arial" w:hAnsi="Arial" w:cs="Arial"/>
          <w:sz w:val="24"/>
          <w:szCs w:val="24"/>
        </w:rPr>
        <w:t>what amount and where the aim would be</w:t>
      </w:r>
      <w:r w:rsidRPr="00090FC9">
        <w:rPr>
          <w:rFonts w:ascii="Arial" w:hAnsi="Arial" w:cs="Arial"/>
          <w:sz w:val="24"/>
          <w:szCs w:val="24"/>
        </w:rPr>
        <w:t xml:space="preserve"> not to make good the patrimonial loss that has actually been suffered, but that ‘compensation’ in the labour context is rather considered to be a </w:t>
      </w:r>
      <w:r w:rsidRPr="00090FC9">
        <w:rPr>
          <w:rFonts w:ascii="Arial" w:hAnsi="Arial" w:cs="Arial"/>
          <w:i/>
          <w:sz w:val="24"/>
          <w:szCs w:val="24"/>
        </w:rPr>
        <w:t>solatium</w:t>
      </w:r>
      <w:r w:rsidRPr="00090FC9">
        <w:rPr>
          <w:rFonts w:ascii="Arial" w:hAnsi="Arial" w:cs="Arial"/>
          <w:sz w:val="24"/>
          <w:szCs w:val="24"/>
        </w:rPr>
        <w:t xml:space="preserve"> for injured feelings and the humiliation an employee may</w:t>
      </w:r>
      <w:r w:rsidR="002B69DE">
        <w:rPr>
          <w:rFonts w:ascii="Arial" w:hAnsi="Arial" w:cs="Arial"/>
          <w:sz w:val="24"/>
          <w:szCs w:val="24"/>
        </w:rPr>
        <w:t xml:space="preserve"> </w:t>
      </w:r>
      <w:r w:rsidR="002B69DE">
        <w:rPr>
          <w:rFonts w:ascii="Arial" w:hAnsi="Arial" w:cs="Arial"/>
          <w:sz w:val="24"/>
          <w:szCs w:val="24"/>
        </w:rPr>
        <w:lastRenderedPageBreak/>
        <w:t>have</w:t>
      </w:r>
      <w:r w:rsidRPr="00090FC9">
        <w:rPr>
          <w:rFonts w:ascii="Arial" w:hAnsi="Arial" w:cs="Arial"/>
          <w:sz w:val="24"/>
          <w:szCs w:val="24"/>
        </w:rPr>
        <w:t xml:space="preserve"> suffer</w:t>
      </w:r>
      <w:r w:rsidR="002B69DE">
        <w:rPr>
          <w:rFonts w:ascii="Arial" w:hAnsi="Arial" w:cs="Arial"/>
          <w:sz w:val="24"/>
          <w:szCs w:val="24"/>
        </w:rPr>
        <w:t>ed</w:t>
      </w:r>
      <w:r w:rsidRPr="00090FC9">
        <w:rPr>
          <w:rFonts w:ascii="Arial" w:hAnsi="Arial" w:cs="Arial"/>
          <w:sz w:val="24"/>
          <w:szCs w:val="24"/>
        </w:rPr>
        <w:t xml:space="preserve"> at the hands of an employer. Importantly it is to provide satisfaction to an employee whose constitutionally protected right to fair labour practices has been violated.  Additional factors, such as the motives and behaviour and their effect on the affected party would also have to be considered. It appears in addition that certain boundaries are set as ‘compensation’ is limited to what is ‘just and equitable’. Within these limits ‘salary’ is one of the tools which can be considered.</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32</w:t>
      </w:r>
      <w:r w:rsidRPr="00090FC9">
        <w:rPr>
          <w:rFonts w:ascii="Arial" w:hAnsi="Arial" w:cs="Arial"/>
          <w:sz w:val="24"/>
          <w:szCs w:val="24"/>
        </w:rPr>
        <w:t>]</w:t>
      </w:r>
      <w:r w:rsidRPr="00090FC9">
        <w:rPr>
          <w:rFonts w:ascii="Arial" w:hAnsi="Arial" w:cs="Arial"/>
          <w:sz w:val="24"/>
          <w:szCs w:val="24"/>
        </w:rPr>
        <w:tab/>
        <w:t>I do not think that I have to determine the precise extent to which this South African authority fits into the Namibian context as it was essentially utilised to underscore the ground of appeal that the arbitrator had erred in failing to provide</w:t>
      </w:r>
      <w:r w:rsidR="00185629">
        <w:rPr>
          <w:rFonts w:ascii="Arial" w:hAnsi="Arial" w:cs="Arial"/>
          <w:sz w:val="24"/>
          <w:szCs w:val="24"/>
        </w:rPr>
        <w:t xml:space="preserve"> any</w:t>
      </w:r>
      <w:r w:rsidRPr="00090FC9">
        <w:rPr>
          <w:rFonts w:ascii="Arial" w:hAnsi="Arial" w:cs="Arial"/>
          <w:sz w:val="24"/>
          <w:szCs w:val="24"/>
        </w:rPr>
        <w:t xml:space="preserve"> reasons for the ‘compensation’ awarded and why this misdirection was a material one</w:t>
      </w:r>
      <w:r w:rsidR="00185629">
        <w:rPr>
          <w:rFonts w:ascii="Arial" w:hAnsi="Arial" w:cs="Arial"/>
          <w:sz w:val="24"/>
          <w:szCs w:val="24"/>
        </w:rPr>
        <w:t xml:space="preserve"> in the absence of </w:t>
      </w:r>
      <w:r w:rsidR="00DD223B">
        <w:rPr>
          <w:rFonts w:ascii="Arial" w:hAnsi="Arial" w:cs="Arial"/>
          <w:sz w:val="24"/>
          <w:szCs w:val="24"/>
        </w:rPr>
        <w:t>a reasoned consideration of</w:t>
      </w:r>
      <w:r w:rsidR="00185629">
        <w:rPr>
          <w:rFonts w:ascii="Arial" w:hAnsi="Arial" w:cs="Arial"/>
          <w:sz w:val="24"/>
          <w:szCs w:val="24"/>
        </w:rPr>
        <w:t xml:space="preserve"> any of the required factors relevant to the awarding of ‘compensation’.</w:t>
      </w:r>
      <w:r w:rsidRPr="00090FC9">
        <w:rPr>
          <w:rFonts w:ascii="Arial" w:hAnsi="Arial" w:cs="Arial"/>
          <w:sz w:val="24"/>
          <w:szCs w:val="24"/>
        </w:rPr>
        <w:t xml:space="preserve">. These points where </w:t>
      </w:r>
      <w:r w:rsidR="00185629">
        <w:rPr>
          <w:rFonts w:ascii="Arial" w:hAnsi="Arial" w:cs="Arial"/>
          <w:sz w:val="24"/>
          <w:szCs w:val="24"/>
        </w:rPr>
        <w:t xml:space="preserve">thus </w:t>
      </w:r>
      <w:r w:rsidRPr="00090FC9">
        <w:rPr>
          <w:rFonts w:ascii="Arial" w:hAnsi="Arial" w:cs="Arial"/>
          <w:sz w:val="24"/>
          <w:szCs w:val="24"/>
        </w:rPr>
        <w:t xml:space="preserve">well- made and it follows that </w:t>
      </w:r>
      <w:r w:rsidR="001658F5">
        <w:rPr>
          <w:rFonts w:ascii="Arial" w:hAnsi="Arial" w:cs="Arial"/>
          <w:sz w:val="24"/>
          <w:szCs w:val="24"/>
        </w:rPr>
        <w:t xml:space="preserve">all </w:t>
      </w:r>
      <w:r w:rsidR="00CC0B7B">
        <w:rPr>
          <w:rFonts w:ascii="Arial" w:hAnsi="Arial" w:cs="Arial"/>
          <w:sz w:val="24"/>
          <w:szCs w:val="24"/>
        </w:rPr>
        <w:t>the related</w:t>
      </w:r>
      <w:r w:rsidRPr="00090FC9">
        <w:rPr>
          <w:rFonts w:ascii="Arial" w:hAnsi="Arial" w:cs="Arial"/>
          <w:sz w:val="24"/>
          <w:szCs w:val="24"/>
        </w:rPr>
        <w:t xml:space="preserve"> grounds</w:t>
      </w:r>
      <w:r w:rsidR="006C4E9A">
        <w:rPr>
          <w:rFonts w:ascii="Arial" w:hAnsi="Arial" w:cs="Arial"/>
          <w:sz w:val="24"/>
          <w:szCs w:val="24"/>
        </w:rPr>
        <w:t xml:space="preserve"> of appeal</w:t>
      </w:r>
      <w:r w:rsidRPr="00090FC9">
        <w:rPr>
          <w:rFonts w:ascii="Arial" w:hAnsi="Arial" w:cs="Arial"/>
          <w:sz w:val="24"/>
          <w:szCs w:val="24"/>
        </w:rPr>
        <w:t xml:space="preserve"> have to be upheld.</w:t>
      </w:r>
    </w:p>
    <w:p w:rsidR="00A7377E" w:rsidRPr="00090FC9" w:rsidRDefault="00A7377E" w:rsidP="00090FC9">
      <w:pPr>
        <w:spacing w:after="0" w:line="360" w:lineRule="auto"/>
        <w:jc w:val="both"/>
        <w:rPr>
          <w:rFonts w:ascii="Arial" w:hAnsi="Arial" w:cs="Arial"/>
          <w:sz w:val="24"/>
          <w:szCs w:val="24"/>
        </w:rPr>
      </w:pPr>
    </w:p>
    <w:p w:rsidR="00DD223B"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3</w:t>
      </w:r>
      <w:r w:rsidR="005B0DFA">
        <w:rPr>
          <w:rFonts w:ascii="Arial" w:hAnsi="Arial" w:cs="Arial"/>
          <w:sz w:val="24"/>
          <w:szCs w:val="24"/>
        </w:rPr>
        <w:t>3</w:t>
      </w:r>
      <w:r w:rsidRPr="00090FC9">
        <w:rPr>
          <w:rFonts w:ascii="Arial" w:hAnsi="Arial" w:cs="Arial"/>
          <w:sz w:val="24"/>
          <w:szCs w:val="24"/>
        </w:rPr>
        <w:t>]</w:t>
      </w:r>
      <w:r w:rsidRPr="00090FC9">
        <w:rPr>
          <w:rFonts w:ascii="Arial" w:hAnsi="Arial" w:cs="Arial"/>
          <w:sz w:val="24"/>
          <w:szCs w:val="24"/>
        </w:rPr>
        <w:tab/>
        <w:t xml:space="preserve">If one then turns </w:t>
      </w:r>
      <w:r w:rsidR="006C4E9A">
        <w:rPr>
          <w:rFonts w:ascii="Arial" w:hAnsi="Arial" w:cs="Arial"/>
          <w:sz w:val="24"/>
          <w:szCs w:val="24"/>
        </w:rPr>
        <w:t xml:space="preserve">to the resultant picture that </w:t>
      </w:r>
      <w:r w:rsidRPr="00090FC9">
        <w:rPr>
          <w:rFonts w:ascii="Arial" w:hAnsi="Arial" w:cs="Arial"/>
          <w:sz w:val="24"/>
          <w:szCs w:val="24"/>
        </w:rPr>
        <w:t>s</w:t>
      </w:r>
      <w:r w:rsidR="006C4E9A">
        <w:rPr>
          <w:rFonts w:ascii="Arial" w:hAnsi="Arial" w:cs="Arial"/>
          <w:sz w:val="24"/>
          <w:szCs w:val="24"/>
        </w:rPr>
        <w:t>o emerges</w:t>
      </w:r>
      <w:r w:rsidRPr="00090FC9">
        <w:rPr>
          <w:rFonts w:ascii="Arial" w:hAnsi="Arial" w:cs="Arial"/>
          <w:sz w:val="24"/>
          <w:szCs w:val="24"/>
        </w:rPr>
        <w:t xml:space="preserve"> it appears that it is beyond doubt</w:t>
      </w:r>
      <w:r w:rsidR="00C565B3">
        <w:rPr>
          <w:rFonts w:ascii="Arial" w:hAnsi="Arial" w:cs="Arial"/>
          <w:sz w:val="24"/>
          <w:szCs w:val="24"/>
        </w:rPr>
        <w:t xml:space="preserve"> that</w:t>
      </w:r>
      <w:r w:rsidRPr="00090FC9">
        <w:rPr>
          <w:rFonts w:ascii="Arial" w:hAnsi="Arial" w:cs="Arial"/>
          <w:sz w:val="24"/>
          <w:szCs w:val="24"/>
        </w:rPr>
        <w:t xml:space="preserve"> the respondent’s dismissal was unfair</w:t>
      </w:r>
      <w:r w:rsidR="006C4E9A">
        <w:rPr>
          <w:rFonts w:ascii="Arial" w:hAnsi="Arial" w:cs="Arial"/>
          <w:sz w:val="24"/>
          <w:szCs w:val="24"/>
        </w:rPr>
        <w:t xml:space="preserve"> and that the respondent would thus be entitled to an award</w:t>
      </w:r>
      <w:r w:rsidR="00DD223B">
        <w:rPr>
          <w:rFonts w:ascii="Arial" w:hAnsi="Arial" w:cs="Arial"/>
          <w:sz w:val="24"/>
          <w:szCs w:val="24"/>
        </w:rPr>
        <w:t xml:space="preserve"> – and that this part of the award should thus continue to stand -</w:t>
      </w:r>
      <w:r w:rsidRPr="00090FC9">
        <w:rPr>
          <w:rFonts w:ascii="Arial" w:hAnsi="Arial" w:cs="Arial"/>
          <w:sz w:val="24"/>
          <w:szCs w:val="24"/>
        </w:rPr>
        <w:t xml:space="preserve"> but that the arbitrator</w:t>
      </w:r>
      <w:r w:rsidR="006C4E9A">
        <w:rPr>
          <w:rFonts w:ascii="Arial" w:hAnsi="Arial" w:cs="Arial"/>
          <w:sz w:val="24"/>
          <w:szCs w:val="24"/>
        </w:rPr>
        <w:t xml:space="preserve"> had</w:t>
      </w:r>
      <w:r w:rsidRPr="00090FC9">
        <w:rPr>
          <w:rFonts w:ascii="Arial" w:hAnsi="Arial" w:cs="Arial"/>
          <w:sz w:val="24"/>
          <w:szCs w:val="24"/>
        </w:rPr>
        <w:t xml:space="preserve"> erred in not providing her reasons for awarding compensation in the amount that she did</w:t>
      </w:r>
      <w:r w:rsidR="006C4E9A">
        <w:rPr>
          <w:rFonts w:ascii="Arial" w:hAnsi="Arial" w:cs="Arial"/>
          <w:sz w:val="24"/>
          <w:szCs w:val="24"/>
        </w:rPr>
        <w:t xml:space="preserve"> and that this par</w:t>
      </w:r>
      <w:r w:rsidR="00DD223B">
        <w:rPr>
          <w:rFonts w:ascii="Arial" w:hAnsi="Arial" w:cs="Arial"/>
          <w:sz w:val="24"/>
          <w:szCs w:val="24"/>
        </w:rPr>
        <w:t>t of her award thus must be set aside</w:t>
      </w:r>
      <w:r w:rsidRPr="00090FC9">
        <w:rPr>
          <w:rFonts w:ascii="Arial" w:hAnsi="Arial" w:cs="Arial"/>
          <w:sz w:val="24"/>
          <w:szCs w:val="24"/>
        </w:rPr>
        <w:t xml:space="preserve">. Each party has thus – if one views it from that angle – achieved a measure of success. To simply dismiss </w:t>
      </w:r>
      <w:r w:rsidR="00C565B3">
        <w:rPr>
          <w:rFonts w:ascii="Arial" w:hAnsi="Arial" w:cs="Arial"/>
          <w:sz w:val="24"/>
          <w:szCs w:val="24"/>
        </w:rPr>
        <w:t xml:space="preserve">or uphold </w:t>
      </w:r>
      <w:r w:rsidRPr="00090FC9">
        <w:rPr>
          <w:rFonts w:ascii="Arial" w:hAnsi="Arial" w:cs="Arial"/>
          <w:sz w:val="24"/>
          <w:szCs w:val="24"/>
        </w:rPr>
        <w:t>the appeal, in such circumstances, would however not do justice between the parties</w:t>
      </w:r>
      <w:r w:rsidR="00DD223B">
        <w:rPr>
          <w:rFonts w:ascii="Arial" w:hAnsi="Arial" w:cs="Arial"/>
          <w:sz w:val="24"/>
          <w:szCs w:val="24"/>
        </w:rPr>
        <w:t>,</w:t>
      </w:r>
      <w:r w:rsidRPr="00090FC9">
        <w:rPr>
          <w:rFonts w:ascii="Arial" w:hAnsi="Arial" w:cs="Arial"/>
          <w:sz w:val="24"/>
          <w:szCs w:val="24"/>
        </w:rPr>
        <w:t xml:space="preserve"> in my view. </w:t>
      </w:r>
    </w:p>
    <w:p w:rsidR="00DD223B" w:rsidRDefault="00DD223B" w:rsidP="00090FC9">
      <w:pPr>
        <w:spacing w:after="0" w:line="360" w:lineRule="auto"/>
        <w:jc w:val="both"/>
        <w:rPr>
          <w:rFonts w:ascii="Arial" w:hAnsi="Arial" w:cs="Arial"/>
          <w:sz w:val="24"/>
          <w:szCs w:val="24"/>
        </w:rPr>
      </w:pPr>
    </w:p>
    <w:p w:rsidR="00A7377E" w:rsidRPr="00090FC9" w:rsidRDefault="00DD223B" w:rsidP="00090FC9">
      <w:pPr>
        <w:spacing w:after="0" w:line="360" w:lineRule="auto"/>
        <w:jc w:val="both"/>
        <w:rPr>
          <w:rFonts w:ascii="Arial" w:hAnsi="Arial" w:cs="Arial"/>
          <w:sz w:val="24"/>
          <w:szCs w:val="24"/>
        </w:rPr>
      </w:pPr>
      <w:r>
        <w:rPr>
          <w:rFonts w:ascii="Arial" w:hAnsi="Arial" w:cs="Arial"/>
          <w:sz w:val="24"/>
          <w:szCs w:val="24"/>
        </w:rPr>
        <w:t>[</w:t>
      </w:r>
      <w:r w:rsidR="005B0DFA">
        <w:rPr>
          <w:rFonts w:ascii="Arial" w:hAnsi="Arial" w:cs="Arial"/>
          <w:sz w:val="24"/>
          <w:szCs w:val="24"/>
        </w:rPr>
        <w:t>34</w:t>
      </w:r>
      <w:r>
        <w:rPr>
          <w:rFonts w:ascii="Arial" w:hAnsi="Arial" w:cs="Arial"/>
          <w:sz w:val="24"/>
          <w:szCs w:val="24"/>
        </w:rPr>
        <w:t>]</w:t>
      </w:r>
      <w:r>
        <w:rPr>
          <w:rFonts w:ascii="Arial" w:hAnsi="Arial" w:cs="Arial"/>
          <w:sz w:val="24"/>
          <w:szCs w:val="24"/>
        </w:rPr>
        <w:tab/>
      </w:r>
      <w:r w:rsidR="00A7377E" w:rsidRPr="00090FC9">
        <w:rPr>
          <w:rFonts w:ascii="Arial" w:hAnsi="Arial" w:cs="Arial"/>
          <w:sz w:val="24"/>
          <w:szCs w:val="24"/>
        </w:rPr>
        <w:t>It is in these circumstances that Mr Horn’s concluding submissions, as made in the ‘Respondent’s Supplementary Heads of Argument’</w:t>
      </w:r>
      <w:r w:rsidR="006C4E9A">
        <w:rPr>
          <w:rFonts w:ascii="Arial" w:hAnsi="Arial" w:cs="Arial"/>
          <w:sz w:val="24"/>
          <w:szCs w:val="24"/>
        </w:rPr>
        <w:t xml:space="preserve">, fall to be considered and </w:t>
      </w:r>
      <w:r w:rsidR="00A7377E" w:rsidRPr="00090FC9">
        <w:rPr>
          <w:rFonts w:ascii="Arial" w:hAnsi="Arial" w:cs="Arial"/>
          <w:sz w:val="24"/>
          <w:szCs w:val="24"/>
        </w:rPr>
        <w:t>where it was submitted that:</w:t>
      </w:r>
    </w:p>
    <w:p w:rsidR="00A7377E" w:rsidRPr="00090FC9" w:rsidRDefault="00A7377E" w:rsidP="00090FC9">
      <w:pPr>
        <w:spacing w:after="0" w:line="360" w:lineRule="auto"/>
        <w:jc w:val="both"/>
        <w:rPr>
          <w:rFonts w:ascii="Arial" w:hAnsi="Arial" w:cs="Arial"/>
          <w:sz w:val="24"/>
          <w:szCs w:val="24"/>
        </w:rPr>
      </w:pPr>
    </w:p>
    <w:p w:rsidR="00A7377E" w:rsidRPr="00290030" w:rsidRDefault="00A7377E" w:rsidP="00090FC9">
      <w:pPr>
        <w:spacing w:after="0" w:line="360" w:lineRule="auto"/>
        <w:ind w:firstLine="720"/>
        <w:jc w:val="both"/>
        <w:rPr>
          <w:rFonts w:ascii="Arial" w:hAnsi="Arial" w:cs="Arial"/>
        </w:rPr>
      </w:pPr>
      <w:r w:rsidRPr="00290030">
        <w:rPr>
          <w:rFonts w:ascii="Arial" w:hAnsi="Arial" w:cs="Arial"/>
        </w:rPr>
        <w:t xml:space="preserve">‘In the event that this Honourable Court is of the opinion that the damages aspect of the Award was not fully traversed and further evidence needs to be lead, it is respectfully submitted that in terms of the rule 22 of the rules of the Labour Court, the Labour Court rules do not make provision for the procedure to be followed in any matter before the Labour Court the rules applicable to civil proceedings of the High Court made in terms of Section 39(1) of the High Court Act do apply to these proceedings. </w:t>
      </w:r>
    </w:p>
    <w:p w:rsidR="00A7377E" w:rsidRPr="00290030" w:rsidRDefault="00A7377E" w:rsidP="00090FC9">
      <w:pPr>
        <w:spacing w:after="0" w:line="360" w:lineRule="auto"/>
        <w:ind w:left="720" w:hanging="720"/>
        <w:jc w:val="both"/>
        <w:rPr>
          <w:rFonts w:ascii="Arial" w:hAnsi="Arial" w:cs="Arial"/>
        </w:rPr>
      </w:pPr>
    </w:p>
    <w:p w:rsidR="00A7377E" w:rsidRPr="00290030" w:rsidRDefault="00A7377E" w:rsidP="00090FC9">
      <w:pPr>
        <w:spacing w:after="0" w:line="360" w:lineRule="auto"/>
        <w:jc w:val="both"/>
        <w:rPr>
          <w:rFonts w:ascii="Arial" w:hAnsi="Arial" w:cs="Arial"/>
        </w:rPr>
      </w:pPr>
      <w:r w:rsidRPr="00290030">
        <w:rPr>
          <w:rFonts w:ascii="Arial" w:hAnsi="Arial" w:cs="Arial"/>
        </w:rPr>
        <w:lastRenderedPageBreak/>
        <w:t xml:space="preserve">It is common cause that the High Court has an inherent jurisdiction and it is within this jurisdiction that this Honourable Court can refer the matter specifically back for hearing on the damages suffered by the Employee.  There is no prohibition placed upon this Honourable Court to refuse to refer a certain aspect of the Award to the Arbitrator for her reconsideration and further evidence.’  </w:t>
      </w:r>
    </w:p>
    <w:p w:rsidR="00A7377E" w:rsidRPr="00090FC9" w:rsidRDefault="00A7377E" w:rsidP="00090FC9">
      <w:pPr>
        <w:spacing w:after="0" w:line="360" w:lineRule="auto"/>
        <w:ind w:left="720" w:hanging="720"/>
        <w:jc w:val="both"/>
        <w:rPr>
          <w:rFonts w:ascii="Arial" w:hAnsi="Arial" w:cs="Arial"/>
          <w:sz w:val="24"/>
          <w:szCs w:val="24"/>
        </w:rPr>
      </w:pPr>
    </w:p>
    <w:p w:rsidR="00A7377E" w:rsidRPr="00090FC9" w:rsidRDefault="00A7377E" w:rsidP="006C4E9A">
      <w:pPr>
        <w:spacing w:after="0" w:line="360" w:lineRule="auto"/>
        <w:jc w:val="both"/>
        <w:rPr>
          <w:rFonts w:ascii="Arial" w:hAnsi="Arial" w:cs="Arial"/>
          <w:sz w:val="24"/>
          <w:szCs w:val="24"/>
          <w:u w:val="single"/>
        </w:rPr>
      </w:pPr>
      <w:r w:rsidRPr="00090FC9">
        <w:rPr>
          <w:rFonts w:ascii="Arial" w:hAnsi="Arial" w:cs="Arial"/>
          <w:sz w:val="24"/>
          <w:szCs w:val="24"/>
          <w:u w:val="single"/>
        </w:rPr>
        <w:t>Can the court</w:t>
      </w:r>
      <w:r w:rsidR="006C4E9A">
        <w:rPr>
          <w:rFonts w:ascii="Arial" w:hAnsi="Arial" w:cs="Arial"/>
          <w:sz w:val="24"/>
          <w:szCs w:val="24"/>
          <w:u w:val="single"/>
        </w:rPr>
        <w:t xml:space="preserve"> thus</w:t>
      </w:r>
      <w:r w:rsidRPr="00090FC9">
        <w:rPr>
          <w:rFonts w:ascii="Arial" w:hAnsi="Arial" w:cs="Arial"/>
          <w:sz w:val="24"/>
          <w:szCs w:val="24"/>
          <w:u w:val="single"/>
        </w:rPr>
        <w:t xml:space="preserve"> refer the matter back on appeal for a re-hearing on the award</w:t>
      </w:r>
      <w:r w:rsidR="006C4E9A">
        <w:rPr>
          <w:rFonts w:ascii="Arial" w:hAnsi="Arial" w:cs="Arial"/>
          <w:sz w:val="24"/>
          <w:szCs w:val="24"/>
          <w:u w:val="single"/>
        </w:rPr>
        <w:t xml:space="preserve"> as was submitted?</w:t>
      </w:r>
    </w:p>
    <w:p w:rsidR="00A7377E" w:rsidRPr="00090FC9" w:rsidRDefault="00A7377E" w:rsidP="00090FC9">
      <w:pPr>
        <w:spacing w:after="0" w:line="360" w:lineRule="auto"/>
        <w:ind w:left="720" w:hanging="720"/>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3</w:t>
      </w:r>
      <w:r w:rsidR="005B0DFA">
        <w:rPr>
          <w:rFonts w:ascii="Arial" w:hAnsi="Arial" w:cs="Arial"/>
          <w:sz w:val="24"/>
          <w:szCs w:val="24"/>
        </w:rPr>
        <w:t>5</w:t>
      </w:r>
      <w:r w:rsidRPr="00090FC9">
        <w:rPr>
          <w:rFonts w:ascii="Arial" w:hAnsi="Arial" w:cs="Arial"/>
          <w:sz w:val="24"/>
          <w:szCs w:val="24"/>
        </w:rPr>
        <w:t>]</w:t>
      </w:r>
      <w:r w:rsidRPr="00090FC9">
        <w:rPr>
          <w:rFonts w:ascii="Arial" w:hAnsi="Arial" w:cs="Arial"/>
          <w:sz w:val="24"/>
          <w:szCs w:val="24"/>
        </w:rPr>
        <w:tab/>
        <w:t>It is clear that the suggestion of a referral back for the proper consideration of the aspect of ‘compensation’ does indeed merit consideration, as it would achieve a fair result. The question</w:t>
      </w:r>
      <w:r w:rsidR="006C4E9A">
        <w:rPr>
          <w:rFonts w:ascii="Arial" w:hAnsi="Arial" w:cs="Arial"/>
          <w:sz w:val="24"/>
          <w:szCs w:val="24"/>
        </w:rPr>
        <w:t xml:space="preserve"> thus arises whether this can</w:t>
      </w:r>
      <w:r w:rsidRPr="00090FC9">
        <w:rPr>
          <w:rFonts w:ascii="Arial" w:hAnsi="Arial" w:cs="Arial"/>
          <w:sz w:val="24"/>
          <w:szCs w:val="24"/>
        </w:rPr>
        <w:t xml:space="preserve"> legitimately be done within the powers that this Court can exercise?</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3</w:t>
      </w:r>
      <w:r w:rsidR="005B0DFA">
        <w:rPr>
          <w:rFonts w:ascii="Arial" w:hAnsi="Arial" w:cs="Arial"/>
          <w:sz w:val="24"/>
          <w:szCs w:val="24"/>
        </w:rPr>
        <w:t>6</w:t>
      </w:r>
      <w:r w:rsidRPr="00090FC9">
        <w:rPr>
          <w:rFonts w:ascii="Arial" w:hAnsi="Arial" w:cs="Arial"/>
          <w:sz w:val="24"/>
          <w:szCs w:val="24"/>
        </w:rPr>
        <w:t>]</w:t>
      </w:r>
      <w:r w:rsidRPr="00090FC9">
        <w:rPr>
          <w:rFonts w:ascii="Arial" w:hAnsi="Arial" w:cs="Arial"/>
          <w:sz w:val="24"/>
          <w:szCs w:val="24"/>
        </w:rPr>
        <w:tab/>
        <w:t>I don’t believe that Mr Horn is correct that such a reconsideration should be done in terms of Rule 22 of the Labour Court Rules</w:t>
      </w:r>
      <w:r w:rsidR="006C4E9A">
        <w:rPr>
          <w:rFonts w:ascii="Arial" w:hAnsi="Arial" w:cs="Arial"/>
          <w:sz w:val="24"/>
          <w:szCs w:val="24"/>
        </w:rPr>
        <w:t>,</w:t>
      </w:r>
      <w:r w:rsidRPr="00090FC9">
        <w:rPr>
          <w:rFonts w:ascii="Arial" w:hAnsi="Arial" w:cs="Arial"/>
          <w:sz w:val="24"/>
          <w:szCs w:val="24"/>
        </w:rPr>
        <w:t xml:space="preserve"> or </w:t>
      </w:r>
      <w:r w:rsidR="004E6549">
        <w:rPr>
          <w:rFonts w:ascii="Arial" w:hAnsi="Arial" w:cs="Arial"/>
          <w:sz w:val="24"/>
          <w:szCs w:val="24"/>
        </w:rPr>
        <w:t xml:space="preserve">in terms of </w:t>
      </w:r>
      <w:r w:rsidRPr="00090FC9">
        <w:rPr>
          <w:rFonts w:ascii="Arial" w:hAnsi="Arial" w:cs="Arial"/>
          <w:sz w:val="24"/>
          <w:szCs w:val="24"/>
        </w:rPr>
        <w:t>the Court’s inherent jurisdiction and powers</w:t>
      </w:r>
      <w:r w:rsidR="006C4E9A">
        <w:rPr>
          <w:rFonts w:ascii="Arial" w:hAnsi="Arial" w:cs="Arial"/>
          <w:sz w:val="24"/>
          <w:szCs w:val="24"/>
        </w:rPr>
        <w:t>,</w:t>
      </w:r>
      <w:r w:rsidRPr="00090FC9">
        <w:rPr>
          <w:rFonts w:ascii="Arial" w:hAnsi="Arial" w:cs="Arial"/>
          <w:sz w:val="24"/>
          <w:szCs w:val="24"/>
        </w:rPr>
        <w:t xml:space="preserve"> when the answer </w:t>
      </w:r>
      <w:r w:rsidR="004E6549">
        <w:rPr>
          <w:rFonts w:ascii="Arial" w:hAnsi="Arial" w:cs="Arial"/>
          <w:sz w:val="24"/>
          <w:szCs w:val="24"/>
        </w:rPr>
        <w:t xml:space="preserve">obviously </w:t>
      </w:r>
      <w:r w:rsidRPr="00090FC9">
        <w:rPr>
          <w:rFonts w:ascii="Arial" w:hAnsi="Arial" w:cs="Arial"/>
          <w:sz w:val="24"/>
          <w:szCs w:val="24"/>
        </w:rPr>
        <w:t>lies in the provisions of section 117 of the Labour Act 2007</w:t>
      </w:r>
      <w:r w:rsidR="006C4E9A">
        <w:rPr>
          <w:rFonts w:ascii="Arial" w:hAnsi="Arial" w:cs="Arial"/>
          <w:sz w:val="24"/>
          <w:szCs w:val="24"/>
        </w:rPr>
        <w:t>,</w:t>
      </w:r>
      <w:r w:rsidRPr="00090FC9">
        <w:rPr>
          <w:rFonts w:ascii="Arial" w:hAnsi="Arial" w:cs="Arial"/>
          <w:sz w:val="24"/>
          <w:szCs w:val="24"/>
        </w:rPr>
        <w:t xml:space="preserve"> in terms of which this Court is granted its general powers to determine appeals </w:t>
      </w:r>
      <w:r w:rsidR="00DD223B">
        <w:rPr>
          <w:rFonts w:ascii="Arial" w:hAnsi="Arial" w:cs="Arial"/>
          <w:sz w:val="24"/>
          <w:szCs w:val="24"/>
        </w:rPr>
        <w:t>- also in respect of</w:t>
      </w:r>
      <w:r w:rsidRPr="00090FC9">
        <w:rPr>
          <w:rFonts w:ascii="Arial" w:hAnsi="Arial" w:cs="Arial"/>
          <w:sz w:val="24"/>
          <w:szCs w:val="24"/>
        </w:rPr>
        <w:t xml:space="preserve"> the awards made by arbitration tribunals</w:t>
      </w:r>
      <w:r w:rsidRPr="00090FC9">
        <w:rPr>
          <w:rStyle w:val="FootnoteReference"/>
          <w:rFonts w:ascii="Arial" w:hAnsi="Arial" w:cs="Arial"/>
          <w:sz w:val="24"/>
          <w:szCs w:val="24"/>
        </w:rPr>
        <w:footnoteReference w:id="7"/>
      </w:r>
      <w:r w:rsidR="00DD223B">
        <w:rPr>
          <w:rFonts w:ascii="Arial" w:hAnsi="Arial" w:cs="Arial"/>
          <w:sz w:val="24"/>
          <w:szCs w:val="24"/>
        </w:rPr>
        <w:t xml:space="preserve"> established in terms of the Labour Act</w:t>
      </w:r>
      <w:r w:rsidRPr="00090FC9">
        <w:rPr>
          <w:rFonts w:ascii="Arial" w:hAnsi="Arial" w:cs="Arial"/>
          <w:sz w:val="24"/>
          <w:szCs w:val="24"/>
        </w:rPr>
        <w:t xml:space="preserve">, as </w:t>
      </w:r>
      <w:r w:rsidR="00DD223B">
        <w:rPr>
          <w:rFonts w:ascii="Arial" w:hAnsi="Arial" w:cs="Arial"/>
          <w:sz w:val="24"/>
          <w:szCs w:val="24"/>
        </w:rPr>
        <w:t>in this case – but where the statute</w:t>
      </w:r>
      <w:r w:rsidRPr="00090FC9">
        <w:rPr>
          <w:rFonts w:ascii="Arial" w:hAnsi="Arial" w:cs="Arial"/>
          <w:sz w:val="24"/>
          <w:szCs w:val="24"/>
        </w:rPr>
        <w:t xml:space="preserve"> - in addition</w:t>
      </w:r>
      <w:r w:rsidR="00DD223B">
        <w:rPr>
          <w:rFonts w:ascii="Arial" w:hAnsi="Arial" w:cs="Arial"/>
          <w:sz w:val="24"/>
          <w:szCs w:val="24"/>
        </w:rPr>
        <w:t xml:space="preserve"> –</w:t>
      </w:r>
      <w:r w:rsidRPr="00090FC9">
        <w:rPr>
          <w:rFonts w:ascii="Arial" w:hAnsi="Arial" w:cs="Arial"/>
          <w:sz w:val="24"/>
          <w:szCs w:val="24"/>
        </w:rPr>
        <w:t xml:space="preserve"> </w:t>
      </w:r>
      <w:r w:rsidR="00DD223B">
        <w:rPr>
          <w:rFonts w:ascii="Arial" w:hAnsi="Arial" w:cs="Arial"/>
          <w:sz w:val="24"/>
          <w:szCs w:val="24"/>
        </w:rPr>
        <w:t xml:space="preserve">also </w:t>
      </w:r>
      <w:r w:rsidRPr="00090FC9">
        <w:rPr>
          <w:rFonts w:ascii="Arial" w:hAnsi="Arial" w:cs="Arial"/>
          <w:sz w:val="24"/>
          <w:szCs w:val="24"/>
        </w:rPr>
        <w:t>seems to confer very wide</w:t>
      </w:r>
      <w:r w:rsidR="00DD223B">
        <w:rPr>
          <w:rFonts w:ascii="Arial" w:hAnsi="Arial" w:cs="Arial"/>
          <w:sz w:val="24"/>
          <w:szCs w:val="24"/>
        </w:rPr>
        <w:t xml:space="preserve"> and</w:t>
      </w:r>
      <w:r w:rsidRPr="00090FC9">
        <w:rPr>
          <w:rFonts w:ascii="Arial" w:hAnsi="Arial" w:cs="Arial"/>
          <w:sz w:val="24"/>
          <w:szCs w:val="24"/>
        </w:rPr>
        <w:t xml:space="preserve"> general powers under section 117(h) – and – in terms of which the Court </w:t>
      </w:r>
      <w:r w:rsidRPr="006C4E9A">
        <w:rPr>
          <w:rFonts w:ascii="Arial" w:hAnsi="Arial" w:cs="Arial"/>
          <w:i/>
          <w:sz w:val="24"/>
          <w:szCs w:val="24"/>
        </w:rPr>
        <w:t>‘</w:t>
      </w:r>
      <w:r w:rsidR="006C4E9A" w:rsidRPr="006C4E9A">
        <w:rPr>
          <w:rFonts w:ascii="Arial" w:hAnsi="Arial" w:cs="Arial"/>
          <w:i/>
          <w:sz w:val="24"/>
          <w:szCs w:val="24"/>
        </w:rPr>
        <w:t xml:space="preserve">… </w:t>
      </w:r>
      <w:r w:rsidRPr="006C4E9A">
        <w:rPr>
          <w:rFonts w:ascii="Arial" w:hAnsi="Arial" w:cs="Arial"/>
          <w:i/>
          <w:sz w:val="24"/>
          <w:szCs w:val="24"/>
        </w:rPr>
        <w:t>may make an order which the circumstances may require in order to give effect to the objects of this Act’</w:t>
      </w:r>
      <w:r w:rsidRPr="00090FC9">
        <w:rPr>
          <w:rFonts w:ascii="Arial" w:hAnsi="Arial" w:cs="Arial"/>
          <w:sz w:val="24"/>
          <w:szCs w:val="24"/>
        </w:rPr>
        <w:t>, meaning the objects of the Labour Act 2007.</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290030">
        <w:rPr>
          <w:rFonts w:ascii="Arial" w:hAnsi="Arial" w:cs="Arial"/>
          <w:sz w:val="24"/>
          <w:szCs w:val="24"/>
        </w:rPr>
        <w:t>3</w:t>
      </w:r>
      <w:r w:rsidR="005B0DFA">
        <w:rPr>
          <w:rFonts w:ascii="Arial" w:hAnsi="Arial" w:cs="Arial"/>
          <w:sz w:val="24"/>
          <w:szCs w:val="24"/>
        </w:rPr>
        <w:t>7</w:t>
      </w:r>
      <w:r w:rsidRPr="00090FC9">
        <w:rPr>
          <w:rFonts w:ascii="Arial" w:hAnsi="Arial" w:cs="Arial"/>
          <w:sz w:val="24"/>
          <w:szCs w:val="24"/>
        </w:rPr>
        <w:t>]</w:t>
      </w:r>
      <w:r w:rsidRPr="00090FC9">
        <w:rPr>
          <w:rFonts w:ascii="Arial" w:hAnsi="Arial" w:cs="Arial"/>
          <w:sz w:val="24"/>
          <w:szCs w:val="24"/>
        </w:rPr>
        <w:tab/>
        <w:t>Furthermore the court may in terms of section 117(i</w:t>
      </w:r>
      <w:r w:rsidR="0002271D" w:rsidRPr="00090FC9">
        <w:rPr>
          <w:rFonts w:ascii="Arial" w:hAnsi="Arial" w:cs="Arial"/>
          <w:sz w:val="24"/>
          <w:szCs w:val="24"/>
        </w:rPr>
        <w:t>):</w:t>
      </w:r>
    </w:p>
    <w:p w:rsidR="00A7377E" w:rsidRPr="00090FC9" w:rsidRDefault="00A7377E" w:rsidP="00090FC9">
      <w:pPr>
        <w:spacing w:after="0" w:line="360" w:lineRule="auto"/>
        <w:jc w:val="both"/>
        <w:rPr>
          <w:rFonts w:ascii="Arial" w:hAnsi="Arial" w:cs="Arial"/>
          <w:sz w:val="24"/>
          <w:szCs w:val="24"/>
        </w:rPr>
      </w:pPr>
    </w:p>
    <w:p w:rsidR="00A7377E" w:rsidRPr="00156E09" w:rsidRDefault="00A7377E" w:rsidP="00090FC9">
      <w:pPr>
        <w:spacing w:after="0" w:line="360" w:lineRule="auto"/>
        <w:ind w:firstLine="720"/>
        <w:jc w:val="both"/>
        <w:rPr>
          <w:rFonts w:ascii="Arial" w:hAnsi="Arial" w:cs="Arial"/>
        </w:rPr>
      </w:pPr>
      <w:r w:rsidRPr="00156E09">
        <w:rPr>
          <w:rFonts w:ascii="Arial" w:hAnsi="Arial" w:cs="Arial"/>
        </w:rPr>
        <w:t>‘(i) generally deal with all matters necessary or incidental to its functions under this Act concerning any labour matter, whether or not governed by the provisions of this Act, any other law or the common law.’</w:t>
      </w:r>
    </w:p>
    <w:p w:rsidR="00A7377E" w:rsidRPr="00090FC9" w:rsidRDefault="00A7377E" w:rsidP="00090FC9">
      <w:pPr>
        <w:spacing w:after="0" w:line="360" w:lineRule="auto"/>
        <w:rPr>
          <w:rFonts w:ascii="Arial" w:hAnsi="Arial" w:cs="Arial"/>
          <w:b/>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156E09">
        <w:rPr>
          <w:rFonts w:ascii="Arial" w:hAnsi="Arial" w:cs="Arial"/>
          <w:sz w:val="24"/>
          <w:szCs w:val="24"/>
        </w:rPr>
        <w:t>3</w:t>
      </w:r>
      <w:r w:rsidR="005B0DFA">
        <w:rPr>
          <w:rFonts w:ascii="Arial" w:hAnsi="Arial" w:cs="Arial"/>
          <w:sz w:val="24"/>
          <w:szCs w:val="24"/>
        </w:rPr>
        <w:t>8</w:t>
      </w:r>
      <w:r w:rsidRPr="00090FC9">
        <w:rPr>
          <w:rFonts w:ascii="Arial" w:hAnsi="Arial" w:cs="Arial"/>
          <w:sz w:val="24"/>
          <w:szCs w:val="24"/>
        </w:rPr>
        <w:t>]</w:t>
      </w:r>
      <w:r w:rsidRPr="00090FC9">
        <w:rPr>
          <w:rFonts w:ascii="Arial" w:hAnsi="Arial" w:cs="Arial"/>
          <w:sz w:val="24"/>
          <w:szCs w:val="24"/>
        </w:rPr>
        <w:tab/>
        <w:t>While I have no doubt that the envisaged referral back</w:t>
      </w:r>
      <w:r w:rsidR="006C4E9A">
        <w:rPr>
          <w:rFonts w:ascii="Arial" w:hAnsi="Arial" w:cs="Arial"/>
          <w:sz w:val="24"/>
          <w:szCs w:val="24"/>
        </w:rPr>
        <w:t xml:space="preserve"> -</w:t>
      </w:r>
      <w:r w:rsidRPr="00090FC9">
        <w:rPr>
          <w:rFonts w:ascii="Arial" w:hAnsi="Arial" w:cs="Arial"/>
          <w:sz w:val="24"/>
          <w:szCs w:val="24"/>
        </w:rPr>
        <w:t xml:space="preserve"> in this instance - for purposes of properly and fairly having the aspect of ‘compensation’ determined in circumstances where both parties can present their cases - </w:t>
      </w:r>
      <w:r w:rsidR="006C4E9A">
        <w:rPr>
          <w:rFonts w:ascii="Arial" w:hAnsi="Arial" w:cs="Arial"/>
          <w:sz w:val="24"/>
          <w:szCs w:val="24"/>
        </w:rPr>
        <w:t xml:space="preserve">is something that the </w:t>
      </w:r>
      <w:r w:rsidR="006C4E9A">
        <w:rPr>
          <w:rFonts w:ascii="Arial" w:hAnsi="Arial" w:cs="Arial"/>
          <w:sz w:val="24"/>
          <w:szCs w:val="24"/>
        </w:rPr>
        <w:lastRenderedPageBreak/>
        <w:t>exigen</w:t>
      </w:r>
      <w:r w:rsidRPr="00090FC9">
        <w:rPr>
          <w:rFonts w:ascii="Arial" w:hAnsi="Arial" w:cs="Arial"/>
          <w:sz w:val="24"/>
          <w:szCs w:val="24"/>
        </w:rPr>
        <w:t>c</w:t>
      </w:r>
      <w:r w:rsidR="006C4E9A">
        <w:rPr>
          <w:rFonts w:ascii="Arial" w:hAnsi="Arial" w:cs="Arial"/>
          <w:sz w:val="24"/>
          <w:szCs w:val="24"/>
        </w:rPr>
        <w:t>i</w:t>
      </w:r>
      <w:r w:rsidRPr="00090FC9">
        <w:rPr>
          <w:rFonts w:ascii="Arial" w:hAnsi="Arial" w:cs="Arial"/>
          <w:sz w:val="24"/>
          <w:szCs w:val="24"/>
        </w:rPr>
        <w:t xml:space="preserve">es of this case would require in order to do justice between the </w:t>
      </w:r>
      <w:r w:rsidR="00DD223B">
        <w:rPr>
          <w:rFonts w:ascii="Arial" w:hAnsi="Arial" w:cs="Arial"/>
          <w:sz w:val="24"/>
          <w:szCs w:val="24"/>
        </w:rPr>
        <w:t>parties, as I have stated above. I</w:t>
      </w:r>
      <w:r w:rsidRPr="00090FC9">
        <w:rPr>
          <w:rFonts w:ascii="Arial" w:hAnsi="Arial" w:cs="Arial"/>
          <w:sz w:val="24"/>
          <w:szCs w:val="24"/>
        </w:rPr>
        <w:t>t is also beyond doubt that this would generally be in line with the objects of the Labour Act, whose provisions have been enacted to do justice between employer and employee.</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156E09">
        <w:rPr>
          <w:rFonts w:ascii="Arial" w:hAnsi="Arial" w:cs="Arial"/>
          <w:sz w:val="24"/>
          <w:szCs w:val="24"/>
        </w:rPr>
        <w:t>3</w:t>
      </w:r>
      <w:r w:rsidR="005B0DFA">
        <w:rPr>
          <w:rFonts w:ascii="Arial" w:hAnsi="Arial" w:cs="Arial"/>
          <w:sz w:val="24"/>
          <w:szCs w:val="24"/>
        </w:rPr>
        <w:t>9</w:t>
      </w:r>
      <w:r w:rsidRPr="00090FC9">
        <w:rPr>
          <w:rFonts w:ascii="Arial" w:hAnsi="Arial" w:cs="Arial"/>
          <w:sz w:val="24"/>
          <w:szCs w:val="24"/>
        </w:rPr>
        <w:t>]</w:t>
      </w:r>
      <w:r w:rsidRPr="00090FC9">
        <w:rPr>
          <w:rFonts w:ascii="Arial" w:hAnsi="Arial" w:cs="Arial"/>
          <w:sz w:val="24"/>
          <w:szCs w:val="24"/>
        </w:rPr>
        <w:tab/>
        <w:t>In any event a referral back would be incidental to the functions the Court would be exercising on appeal under the Labour Act</w:t>
      </w:r>
      <w:r w:rsidR="006C4E9A">
        <w:rPr>
          <w:rFonts w:ascii="Arial" w:hAnsi="Arial" w:cs="Arial"/>
          <w:sz w:val="24"/>
          <w:szCs w:val="24"/>
        </w:rPr>
        <w:t xml:space="preserve"> and its objects</w:t>
      </w:r>
      <w:r w:rsidRPr="00090FC9">
        <w:rPr>
          <w:rFonts w:ascii="Arial" w:hAnsi="Arial" w:cs="Arial"/>
          <w:sz w:val="24"/>
          <w:szCs w:val="24"/>
        </w:rPr>
        <w:t xml:space="preserve">, </w:t>
      </w:r>
      <w:r w:rsidR="00DD223B">
        <w:rPr>
          <w:rFonts w:ascii="Arial" w:hAnsi="Arial" w:cs="Arial"/>
          <w:sz w:val="24"/>
          <w:szCs w:val="24"/>
        </w:rPr>
        <w:t>where the envisaged</w:t>
      </w:r>
      <w:r w:rsidR="006C4E9A">
        <w:rPr>
          <w:rFonts w:ascii="Arial" w:hAnsi="Arial" w:cs="Arial"/>
          <w:sz w:val="24"/>
          <w:szCs w:val="24"/>
        </w:rPr>
        <w:t xml:space="preserve"> referral back should be seen as </w:t>
      </w:r>
      <w:r w:rsidRPr="00090FC9">
        <w:rPr>
          <w:rFonts w:ascii="Arial" w:hAnsi="Arial" w:cs="Arial"/>
          <w:sz w:val="24"/>
          <w:szCs w:val="24"/>
        </w:rPr>
        <w:t>a necessary step to be taken do achieve a fair result.</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40</w:t>
      </w:r>
      <w:r w:rsidRPr="00090FC9">
        <w:rPr>
          <w:rFonts w:ascii="Arial" w:hAnsi="Arial" w:cs="Arial"/>
          <w:sz w:val="24"/>
          <w:szCs w:val="24"/>
        </w:rPr>
        <w:t>]</w:t>
      </w:r>
      <w:r w:rsidRPr="00090FC9">
        <w:rPr>
          <w:rFonts w:ascii="Arial" w:hAnsi="Arial" w:cs="Arial"/>
          <w:sz w:val="24"/>
          <w:szCs w:val="24"/>
        </w:rPr>
        <w:tab/>
        <w:t>I will accordingly accept the invitation and exercise my powers accordingly.</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090FC9">
      <w:pPr>
        <w:spacing w:after="0" w:line="360" w:lineRule="auto"/>
        <w:jc w:val="both"/>
        <w:rPr>
          <w:rFonts w:ascii="Arial" w:hAnsi="Arial" w:cs="Arial"/>
          <w:sz w:val="24"/>
          <w:szCs w:val="24"/>
        </w:rPr>
      </w:pPr>
      <w:r w:rsidRPr="00090FC9">
        <w:rPr>
          <w:rFonts w:ascii="Arial" w:hAnsi="Arial" w:cs="Arial"/>
          <w:sz w:val="24"/>
          <w:szCs w:val="24"/>
        </w:rPr>
        <w:t>[</w:t>
      </w:r>
      <w:r w:rsidR="005B0DFA">
        <w:rPr>
          <w:rFonts w:ascii="Arial" w:hAnsi="Arial" w:cs="Arial"/>
          <w:sz w:val="24"/>
          <w:szCs w:val="24"/>
        </w:rPr>
        <w:t>41</w:t>
      </w:r>
      <w:r w:rsidRPr="00090FC9">
        <w:rPr>
          <w:rFonts w:ascii="Arial" w:hAnsi="Arial" w:cs="Arial"/>
          <w:sz w:val="24"/>
          <w:szCs w:val="24"/>
        </w:rPr>
        <w:t>]</w:t>
      </w:r>
      <w:r w:rsidRPr="00090FC9">
        <w:rPr>
          <w:rFonts w:ascii="Arial" w:hAnsi="Arial" w:cs="Arial"/>
          <w:sz w:val="24"/>
          <w:szCs w:val="24"/>
        </w:rPr>
        <w:tab/>
        <w:t>In the result I make the following orders:</w:t>
      </w:r>
    </w:p>
    <w:p w:rsidR="00A7377E" w:rsidRPr="00090FC9" w:rsidRDefault="00A7377E" w:rsidP="00090FC9">
      <w:pPr>
        <w:spacing w:after="0" w:line="360" w:lineRule="auto"/>
        <w:jc w:val="both"/>
        <w:rPr>
          <w:rFonts w:ascii="Arial" w:hAnsi="Arial" w:cs="Arial"/>
          <w:sz w:val="24"/>
          <w:szCs w:val="24"/>
        </w:rPr>
      </w:pPr>
    </w:p>
    <w:p w:rsidR="00A7377E" w:rsidRPr="00090FC9" w:rsidRDefault="00A7377E" w:rsidP="00156E09">
      <w:pPr>
        <w:pStyle w:val="ListParagraph"/>
        <w:widowControl/>
        <w:numPr>
          <w:ilvl w:val="4"/>
          <w:numId w:val="46"/>
        </w:numPr>
        <w:autoSpaceDE/>
        <w:autoSpaceDN/>
        <w:adjustRightInd/>
        <w:spacing w:line="360" w:lineRule="auto"/>
        <w:ind w:left="709" w:hanging="709"/>
        <w:contextualSpacing/>
        <w:jc w:val="both"/>
        <w:rPr>
          <w:rFonts w:cs="Arial"/>
        </w:rPr>
      </w:pPr>
      <w:r w:rsidRPr="00090FC9">
        <w:rPr>
          <w:rFonts w:cs="Arial"/>
        </w:rPr>
        <w:t xml:space="preserve">The arbitration award, made by Ms Fabiola Katjivena, on 23 December 2018, is set aside in part; more particularly paragraphs 2 and 3 of her </w:t>
      </w:r>
      <w:r w:rsidR="006C4E9A">
        <w:rPr>
          <w:rFonts w:cs="Arial"/>
        </w:rPr>
        <w:t>‘</w:t>
      </w:r>
      <w:r w:rsidRPr="00090FC9">
        <w:rPr>
          <w:rFonts w:cs="Arial"/>
        </w:rPr>
        <w:t>ruling</w:t>
      </w:r>
      <w:r w:rsidR="006C4E9A">
        <w:rPr>
          <w:rFonts w:cs="Arial"/>
        </w:rPr>
        <w:t>’</w:t>
      </w:r>
      <w:r w:rsidRPr="00090FC9">
        <w:rPr>
          <w:rFonts w:cs="Arial"/>
        </w:rPr>
        <w:t xml:space="preserve"> are hereby set aside;</w:t>
      </w:r>
    </w:p>
    <w:p w:rsidR="00A7377E" w:rsidRPr="00090FC9" w:rsidRDefault="00A7377E" w:rsidP="00156E09">
      <w:pPr>
        <w:pStyle w:val="ListParagraph"/>
        <w:spacing w:line="360" w:lineRule="auto"/>
        <w:ind w:left="709" w:hanging="709"/>
        <w:jc w:val="both"/>
        <w:rPr>
          <w:rFonts w:cs="Arial"/>
        </w:rPr>
      </w:pPr>
    </w:p>
    <w:p w:rsidR="00A7377E" w:rsidRPr="00090FC9" w:rsidRDefault="00A7377E" w:rsidP="00156E09">
      <w:pPr>
        <w:pStyle w:val="ListParagraph"/>
        <w:widowControl/>
        <w:numPr>
          <w:ilvl w:val="4"/>
          <w:numId w:val="46"/>
        </w:numPr>
        <w:autoSpaceDE/>
        <w:autoSpaceDN/>
        <w:adjustRightInd/>
        <w:spacing w:line="360" w:lineRule="auto"/>
        <w:ind w:left="709" w:hanging="709"/>
        <w:contextualSpacing/>
        <w:jc w:val="both"/>
        <w:rPr>
          <w:rFonts w:cs="Arial"/>
        </w:rPr>
      </w:pPr>
      <w:r w:rsidRPr="00090FC9">
        <w:rPr>
          <w:rFonts w:cs="Arial"/>
        </w:rPr>
        <w:t>The matter is referred back to the Office of the Labour Commissioner for purposes determining an appropriate award, flowing from the respondent’s unfair dismissal</w:t>
      </w:r>
      <w:r w:rsidR="00452A61">
        <w:rPr>
          <w:rFonts w:cs="Arial"/>
        </w:rPr>
        <w:t>,</w:t>
      </w:r>
      <w:r w:rsidRPr="00090FC9">
        <w:rPr>
          <w:rFonts w:cs="Arial"/>
        </w:rPr>
        <w:t xml:space="preserve"> afresh.</w:t>
      </w:r>
    </w:p>
    <w:p w:rsidR="00E2336B" w:rsidRPr="00090FC9" w:rsidRDefault="00E2336B" w:rsidP="00090FC9">
      <w:pPr>
        <w:spacing w:after="0" w:line="360" w:lineRule="auto"/>
        <w:jc w:val="both"/>
        <w:rPr>
          <w:rFonts w:ascii="Arial" w:hAnsi="Arial" w:cs="Arial"/>
          <w:sz w:val="24"/>
          <w:szCs w:val="24"/>
        </w:rPr>
      </w:pPr>
    </w:p>
    <w:p w:rsidR="00BF0CDD" w:rsidRDefault="00BF0CDD" w:rsidP="00BF0CDD">
      <w:pPr>
        <w:spacing w:after="0" w:line="360" w:lineRule="auto"/>
        <w:ind w:left="720" w:hanging="720"/>
        <w:jc w:val="both"/>
        <w:rPr>
          <w:rFonts w:ascii="Arial" w:hAnsi="Arial" w:cs="Arial"/>
          <w:sz w:val="24"/>
          <w:szCs w:val="24"/>
        </w:rPr>
      </w:pPr>
    </w:p>
    <w:p w:rsidR="00954B37" w:rsidRDefault="00954B37" w:rsidP="00BC7703">
      <w:pPr>
        <w:spacing w:after="0" w:line="360" w:lineRule="auto"/>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8C7D67" w:rsidRDefault="008C7D67" w:rsidP="001B7E1F">
      <w:pPr>
        <w:pStyle w:val="BodyText"/>
        <w:autoSpaceDE w:val="0"/>
        <w:autoSpaceDN w:val="0"/>
        <w:adjustRightInd w:val="0"/>
        <w:spacing w:line="360" w:lineRule="auto"/>
        <w:jc w:val="both"/>
        <w:rPr>
          <w:rFonts w:ascii="Arial" w:hAnsi="Arial" w:cs="Arial"/>
        </w:rPr>
      </w:pPr>
    </w:p>
    <w:p w:rsidR="008C7D67" w:rsidRDefault="008C7D67" w:rsidP="001B7E1F">
      <w:pPr>
        <w:pStyle w:val="BodyText"/>
        <w:autoSpaceDE w:val="0"/>
        <w:autoSpaceDN w:val="0"/>
        <w:adjustRightInd w:val="0"/>
        <w:spacing w:line="360" w:lineRule="auto"/>
        <w:jc w:val="both"/>
        <w:rPr>
          <w:rFonts w:ascii="Arial" w:hAnsi="Arial" w:cs="Arial"/>
        </w:rPr>
      </w:pPr>
    </w:p>
    <w:p w:rsidR="008C7D67" w:rsidRDefault="008C7D67"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DD223B" w:rsidRDefault="00DD223B"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5B1BA4" w:rsidRDefault="005B1BA4" w:rsidP="001B7E1F">
      <w:pPr>
        <w:pStyle w:val="BodyText"/>
        <w:autoSpaceDE w:val="0"/>
        <w:autoSpaceDN w:val="0"/>
        <w:adjustRightInd w:val="0"/>
        <w:spacing w:line="360" w:lineRule="auto"/>
        <w:jc w:val="both"/>
        <w:rPr>
          <w:rFonts w:ascii="Arial" w:hAnsi="Arial" w:cs="Arial"/>
        </w:rPr>
      </w:pPr>
    </w:p>
    <w:p w:rsidR="00930934" w:rsidRPr="000E7777" w:rsidRDefault="00930934" w:rsidP="001B7E1F">
      <w:pPr>
        <w:pStyle w:val="BodyText"/>
        <w:autoSpaceDE w:val="0"/>
        <w:autoSpaceDN w:val="0"/>
        <w:adjustRightInd w:val="0"/>
        <w:spacing w:line="360" w:lineRule="auto"/>
        <w:jc w:val="both"/>
        <w:rPr>
          <w:rFonts w:ascii="Arial" w:hAnsi="Arial" w:cs="Arial"/>
        </w:rPr>
      </w:pPr>
    </w:p>
    <w:p w:rsidR="001B7E1F" w:rsidRDefault="00C15C4E"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APPELLANT</w:t>
      </w:r>
      <w:r w:rsidR="005F473C">
        <w:rPr>
          <w:rFonts w:ascii="Arial" w:hAnsi="Arial" w:cs="Arial"/>
          <w:sz w:val="24"/>
          <w:szCs w:val="24"/>
        </w:rPr>
        <w:t>:</w:t>
      </w:r>
      <w:r>
        <w:rPr>
          <w:rFonts w:ascii="Arial" w:hAnsi="Arial" w:cs="Arial"/>
          <w:sz w:val="24"/>
          <w:szCs w:val="24"/>
        </w:rPr>
        <w:tab/>
      </w:r>
      <w:r w:rsidR="00C500EA">
        <w:rPr>
          <w:rFonts w:ascii="Arial" w:hAnsi="Arial" w:cs="Arial"/>
          <w:sz w:val="24"/>
          <w:szCs w:val="24"/>
        </w:rPr>
        <w:tab/>
      </w:r>
      <w:r w:rsidR="00207EC1">
        <w:rPr>
          <w:rFonts w:ascii="Arial" w:hAnsi="Arial" w:cs="Arial"/>
          <w:sz w:val="24"/>
          <w:szCs w:val="24"/>
        </w:rPr>
        <w:tab/>
      </w:r>
      <w:r w:rsidR="0074005C">
        <w:rPr>
          <w:rFonts w:ascii="Arial" w:hAnsi="Arial" w:cs="Arial"/>
          <w:sz w:val="24"/>
          <w:szCs w:val="24"/>
        </w:rPr>
        <w:t>S.R</w:t>
      </w:r>
      <w:r w:rsidR="00D64EEA">
        <w:rPr>
          <w:rFonts w:ascii="Arial" w:hAnsi="Arial" w:cs="Arial"/>
          <w:sz w:val="24"/>
          <w:szCs w:val="24"/>
        </w:rPr>
        <w:t xml:space="preserve"> </w:t>
      </w:r>
      <w:r w:rsidR="0074005C">
        <w:rPr>
          <w:rFonts w:ascii="Arial" w:hAnsi="Arial" w:cs="Arial"/>
          <w:sz w:val="24"/>
          <w:szCs w:val="24"/>
        </w:rPr>
        <w:t>Philander</w:t>
      </w:r>
      <w:r w:rsidR="00D64EEA">
        <w:rPr>
          <w:rFonts w:ascii="Arial" w:hAnsi="Arial" w:cs="Arial"/>
          <w:sz w:val="24"/>
          <w:szCs w:val="24"/>
        </w:rPr>
        <w:t xml:space="preserve"> </w:t>
      </w:r>
    </w:p>
    <w:p w:rsidR="00D64EEA" w:rsidRDefault="008C7D67"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64EEA">
        <w:rPr>
          <w:rFonts w:ascii="Arial" w:hAnsi="Arial" w:cs="Arial"/>
          <w:sz w:val="24"/>
          <w:szCs w:val="24"/>
        </w:rPr>
        <w:t xml:space="preserve">Instructed by </w:t>
      </w:r>
      <w:r w:rsidR="00F07208">
        <w:rPr>
          <w:rFonts w:ascii="Arial" w:hAnsi="Arial" w:cs="Arial"/>
          <w:sz w:val="24"/>
          <w:szCs w:val="24"/>
        </w:rPr>
        <w:t>LorentzAngula Inc,</w:t>
      </w:r>
    </w:p>
    <w:p w:rsidR="00260BAD" w:rsidRDefault="00D64EEA"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60BAD">
        <w:rPr>
          <w:rFonts w:ascii="Arial" w:hAnsi="Arial" w:cs="Arial"/>
          <w:sz w:val="24"/>
          <w:szCs w:val="24"/>
        </w:rPr>
        <w:t>Windhoek</w:t>
      </w:r>
    </w:p>
    <w:p w:rsidR="00260BAD" w:rsidRDefault="00260BAD" w:rsidP="007C2B08">
      <w:pPr>
        <w:tabs>
          <w:tab w:val="left" w:pos="1394"/>
          <w:tab w:val="left" w:pos="2528"/>
          <w:tab w:val="left" w:pos="3780"/>
        </w:tabs>
        <w:spacing w:after="0" w:line="360" w:lineRule="auto"/>
        <w:jc w:val="both"/>
        <w:rPr>
          <w:rFonts w:ascii="Arial" w:hAnsi="Arial" w:cs="Arial"/>
          <w:sz w:val="24"/>
          <w:szCs w:val="24"/>
        </w:rPr>
      </w:pPr>
    </w:p>
    <w:p w:rsidR="00A7377E" w:rsidRPr="004979DC" w:rsidRDefault="00A7377E" w:rsidP="00A7377E">
      <w:pPr>
        <w:spacing w:after="0" w:line="360" w:lineRule="auto"/>
        <w:rPr>
          <w:rFonts w:ascii="Arial" w:hAnsi="Arial" w:cs="Arial"/>
          <w:color w:val="000000" w:themeColor="text1"/>
          <w:sz w:val="24"/>
          <w:szCs w:val="24"/>
        </w:rPr>
      </w:pPr>
      <w:r w:rsidRPr="004979DC">
        <w:rPr>
          <w:rFonts w:ascii="Arial" w:hAnsi="Arial" w:cs="Arial"/>
          <w:color w:val="000000" w:themeColor="text1"/>
          <w:sz w:val="24"/>
          <w:szCs w:val="24"/>
        </w:rPr>
        <w:t>RESPONDENT:</w:t>
      </w:r>
      <w:r w:rsidRPr="004979DC">
        <w:rPr>
          <w:rFonts w:ascii="Arial" w:hAnsi="Arial" w:cs="Arial"/>
          <w:color w:val="000000" w:themeColor="text1"/>
          <w:sz w:val="24"/>
          <w:szCs w:val="24"/>
        </w:rPr>
        <w:tab/>
      </w:r>
      <w:r w:rsidRPr="004979DC">
        <w:rPr>
          <w:rFonts w:ascii="Arial" w:hAnsi="Arial" w:cs="Arial"/>
          <w:color w:val="000000" w:themeColor="text1"/>
          <w:sz w:val="24"/>
          <w:szCs w:val="24"/>
        </w:rPr>
        <w:tab/>
      </w:r>
      <w:r w:rsidRPr="004979DC">
        <w:rPr>
          <w:rFonts w:ascii="Arial" w:hAnsi="Arial" w:cs="Arial"/>
          <w:color w:val="000000" w:themeColor="text1"/>
          <w:sz w:val="24"/>
          <w:szCs w:val="24"/>
        </w:rPr>
        <w:tab/>
      </w:r>
      <w:r w:rsidRPr="004979DC">
        <w:rPr>
          <w:rFonts w:ascii="Arial" w:hAnsi="Arial" w:cs="Arial"/>
          <w:color w:val="000000" w:themeColor="text1"/>
          <w:sz w:val="24"/>
          <w:szCs w:val="24"/>
        </w:rPr>
        <w:tab/>
        <w:t xml:space="preserve">S. Horn </w:t>
      </w:r>
    </w:p>
    <w:p w:rsidR="00A7377E" w:rsidRPr="004979DC" w:rsidRDefault="00A7377E" w:rsidP="00156E09">
      <w:pPr>
        <w:spacing w:after="0" w:line="360" w:lineRule="auto"/>
        <w:ind w:left="3600" w:firstLine="720"/>
        <w:rPr>
          <w:rFonts w:ascii="Arial" w:hAnsi="Arial" w:cs="Arial"/>
          <w:color w:val="000000" w:themeColor="text1"/>
          <w:sz w:val="24"/>
          <w:szCs w:val="24"/>
        </w:rPr>
      </w:pPr>
      <w:r w:rsidRPr="004979DC">
        <w:rPr>
          <w:rFonts w:ascii="Arial" w:hAnsi="Arial" w:cs="Arial"/>
          <w:color w:val="000000" w:themeColor="text1"/>
          <w:sz w:val="24"/>
          <w:szCs w:val="24"/>
        </w:rPr>
        <w:t>De Klerk Horn &amp; Coetzee Inc.</w:t>
      </w:r>
      <w:r w:rsidR="004979DC">
        <w:rPr>
          <w:rFonts w:ascii="Arial" w:hAnsi="Arial" w:cs="Arial"/>
          <w:color w:val="000000" w:themeColor="text1"/>
          <w:sz w:val="24"/>
          <w:szCs w:val="24"/>
        </w:rPr>
        <w:t>,</w:t>
      </w:r>
      <w:r w:rsidRPr="004979DC">
        <w:rPr>
          <w:rFonts w:ascii="Arial" w:hAnsi="Arial" w:cs="Arial"/>
          <w:color w:val="000000" w:themeColor="text1"/>
          <w:sz w:val="24"/>
          <w:szCs w:val="24"/>
        </w:rPr>
        <w:t xml:space="preserve"> Windhoek</w:t>
      </w:r>
    </w:p>
    <w:sectPr w:rsidR="00A7377E" w:rsidRPr="004979DC" w:rsidSect="00E802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3E" w:rsidRDefault="001B583E" w:rsidP="00741B0B">
      <w:pPr>
        <w:spacing w:after="0" w:line="240" w:lineRule="auto"/>
      </w:pPr>
      <w:r>
        <w:separator/>
      </w:r>
    </w:p>
  </w:endnote>
  <w:endnote w:type="continuationSeparator" w:id="0">
    <w:p w:rsidR="001B583E" w:rsidRDefault="001B583E"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3E" w:rsidRDefault="001B583E" w:rsidP="00741B0B">
      <w:pPr>
        <w:spacing w:after="0" w:line="240" w:lineRule="auto"/>
      </w:pPr>
      <w:r>
        <w:separator/>
      </w:r>
    </w:p>
  </w:footnote>
  <w:footnote w:type="continuationSeparator" w:id="0">
    <w:p w:rsidR="001B583E" w:rsidRDefault="001B583E" w:rsidP="00741B0B">
      <w:pPr>
        <w:spacing w:after="0" w:line="240" w:lineRule="auto"/>
      </w:pPr>
      <w:r>
        <w:continuationSeparator/>
      </w:r>
    </w:p>
  </w:footnote>
  <w:footnote w:id="1">
    <w:p w:rsidR="00A7377E" w:rsidRPr="00A845D8" w:rsidRDefault="00A7377E" w:rsidP="0002271D">
      <w:pPr>
        <w:pStyle w:val="FootnoteText"/>
        <w:spacing w:line="360" w:lineRule="auto"/>
        <w:rPr>
          <w:rFonts w:cs="Arial"/>
          <w:sz w:val="20"/>
          <w:szCs w:val="20"/>
          <w:lang w:val="en-ZA"/>
        </w:rPr>
      </w:pPr>
      <w:r w:rsidRPr="00421F2D">
        <w:rPr>
          <w:rStyle w:val="FootnoteReference"/>
          <w:rFonts w:cs="Arial"/>
          <w:sz w:val="20"/>
          <w:szCs w:val="20"/>
        </w:rPr>
        <w:footnoteRef/>
      </w:r>
      <w:r w:rsidRPr="00421F2D">
        <w:rPr>
          <w:rFonts w:cs="Arial"/>
          <w:sz w:val="20"/>
          <w:szCs w:val="20"/>
        </w:rPr>
        <w:t xml:space="preserve"> exhibit ‘H’</w:t>
      </w:r>
      <w:r w:rsidR="00A845D8">
        <w:rPr>
          <w:rFonts w:cs="Arial"/>
          <w:sz w:val="20"/>
          <w:szCs w:val="20"/>
          <w:lang w:val="en-ZA"/>
        </w:rPr>
        <w:t>.</w:t>
      </w:r>
    </w:p>
  </w:footnote>
  <w:footnote w:id="2">
    <w:p w:rsidR="00A7377E" w:rsidRPr="00D303FA" w:rsidRDefault="00A7377E" w:rsidP="0002271D">
      <w:pPr>
        <w:pStyle w:val="FootnoteText"/>
        <w:spacing w:line="360" w:lineRule="auto"/>
        <w:jc w:val="both"/>
        <w:rPr>
          <w:rFonts w:cs="Arial"/>
          <w:sz w:val="20"/>
          <w:szCs w:val="20"/>
          <w:lang w:val="en-US"/>
        </w:rPr>
      </w:pPr>
      <w:r w:rsidRPr="00D303FA">
        <w:rPr>
          <w:rStyle w:val="FootnoteReference"/>
          <w:rFonts w:cs="Arial"/>
          <w:sz w:val="20"/>
          <w:szCs w:val="20"/>
        </w:rPr>
        <w:footnoteRef/>
      </w:r>
      <w:r w:rsidRPr="00D303FA">
        <w:rPr>
          <w:rFonts w:cs="Arial"/>
          <w:sz w:val="20"/>
          <w:szCs w:val="20"/>
        </w:rPr>
        <w:t xml:space="preserve"> </w:t>
      </w:r>
      <w:r w:rsidRPr="00D303FA">
        <w:rPr>
          <w:rFonts w:cs="Arial"/>
          <w:sz w:val="20"/>
          <w:szCs w:val="20"/>
          <w:lang w:val="en-US"/>
        </w:rPr>
        <w:t>The requirements for fair disciplinary action are trite and prescribed by Section 33(1) of the Labour Act 2007</w:t>
      </w:r>
      <w:r w:rsidR="00C83B93">
        <w:rPr>
          <w:rFonts w:cs="Arial"/>
          <w:sz w:val="20"/>
          <w:szCs w:val="20"/>
          <w:lang w:val="en-US"/>
        </w:rPr>
        <w:t xml:space="preserve"> - See also :</w:t>
      </w:r>
      <w:r w:rsidR="00C83B93">
        <w:t xml:space="preserve"> </w:t>
      </w:r>
      <w:r w:rsidR="00C83B93" w:rsidRPr="00C83B93">
        <w:rPr>
          <w:rFonts w:cs="Arial"/>
          <w:i/>
          <w:sz w:val="20"/>
          <w:szCs w:val="20"/>
          <w:lang w:val="en-US"/>
        </w:rPr>
        <w:t>Jurgens v Geixob and Others</w:t>
      </w:r>
      <w:r w:rsidR="00C83B93" w:rsidRPr="00C83B93">
        <w:rPr>
          <w:rFonts w:cs="Arial"/>
          <w:sz w:val="20"/>
          <w:szCs w:val="20"/>
          <w:lang w:val="en-US"/>
        </w:rPr>
        <w:t xml:space="preserve"> 2017 (1) NR 160 (LC)</w:t>
      </w:r>
      <w:r w:rsidR="00C83B93">
        <w:rPr>
          <w:rFonts w:cs="Arial"/>
          <w:sz w:val="20"/>
          <w:szCs w:val="20"/>
          <w:lang w:val="en-US"/>
        </w:rPr>
        <w:t xml:space="preserve"> at [62] where the Court stated : ‘</w:t>
      </w:r>
      <w:r w:rsidR="00C83B93" w:rsidRPr="00C83B93">
        <w:rPr>
          <w:rFonts w:cs="Arial"/>
          <w:sz w:val="20"/>
          <w:szCs w:val="20"/>
          <w:lang w:val="en-US"/>
        </w:rPr>
        <w:t>[62] Once the employer is unable to discharge the onus which is in terms of s 33(1) read with ss (4) on him/her/it, be it on the question of fair procedure or valid and fair reason for the dis</w:t>
      </w:r>
      <w:r w:rsidR="00C83B93">
        <w:rPr>
          <w:rFonts w:cs="Arial"/>
          <w:sz w:val="20"/>
          <w:szCs w:val="20"/>
          <w:lang w:val="en-US"/>
        </w:rPr>
        <w:t xml:space="preserve">missal or both, the finding </w:t>
      </w:r>
      <w:r w:rsidR="00C83B93" w:rsidRPr="00C83B93">
        <w:rPr>
          <w:rFonts w:cs="Arial"/>
          <w:sz w:val="20"/>
          <w:szCs w:val="20"/>
          <w:lang w:val="en-US"/>
        </w:rPr>
        <w:t>of unfair dismissal must necessarily follow, provided of course that the employee was able to establish the dismissal. In that event, the provisions of s 86(15) kick in.</w:t>
      </w:r>
      <w:r w:rsidR="00C83B93">
        <w:rPr>
          <w:rFonts w:cs="Arial"/>
          <w:sz w:val="20"/>
          <w:szCs w:val="20"/>
          <w:lang w:val="en-US"/>
        </w:rPr>
        <w:t>’</w:t>
      </w:r>
    </w:p>
  </w:footnote>
  <w:footnote w:id="3">
    <w:p w:rsidR="00DC24E8" w:rsidRPr="00DC24E8" w:rsidRDefault="00DC24E8" w:rsidP="0002271D">
      <w:pPr>
        <w:pStyle w:val="FootnoteText"/>
        <w:spacing w:line="360" w:lineRule="auto"/>
        <w:jc w:val="both"/>
        <w:rPr>
          <w:lang w:val="en-US"/>
        </w:rPr>
      </w:pPr>
      <w:r w:rsidRPr="00DC24E8">
        <w:rPr>
          <w:rStyle w:val="FootnoteReference"/>
          <w:sz w:val="20"/>
          <w:szCs w:val="20"/>
        </w:rPr>
        <w:footnoteRef/>
      </w:r>
      <w:r>
        <w:t xml:space="preserve"> </w:t>
      </w:r>
      <w:r>
        <w:rPr>
          <w:sz w:val="20"/>
          <w:szCs w:val="20"/>
          <w:lang w:val="en-US"/>
        </w:rPr>
        <w:t xml:space="preserve">Compare in this </w:t>
      </w:r>
      <w:r w:rsidR="0002271D">
        <w:rPr>
          <w:sz w:val="20"/>
          <w:szCs w:val="20"/>
          <w:lang w:val="en-US"/>
        </w:rPr>
        <w:t>regard:</w:t>
      </w:r>
      <w:r w:rsidRPr="00DC24E8">
        <w:rPr>
          <w:sz w:val="20"/>
          <w:szCs w:val="20"/>
        </w:rPr>
        <w:t xml:space="preserve"> </w:t>
      </w:r>
      <w:r w:rsidRPr="00DC24E8">
        <w:rPr>
          <w:i/>
          <w:sz w:val="20"/>
          <w:szCs w:val="20"/>
          <w:lang w:val="en-US"/>
        </w:rPr>
        <w:t>Atlantic Chicken Co (Pty) Ltd v Mwandingi and Another</w:t>
      </w:r>
      <w:r w:rsidRPr="00DC24E8">
        <w:rPr>
          <w:sz w:val="20"/>
          <w:szCs w:val="20"/>
          <w:lang w:val="en-US"/>
        </w:rPr>
        <w:t xml:space="preserve"> 2014 (4) NR 915 (SC)</w:t>
      </w:r>
      <w:r>
        <w:rPr>
          <w:sz w:val="20"/>
          <w:szCs w:val="20"/>
          <w:lang w:val="en-US"/>
        </w:rPr>
        <w:t xml:space="preserve"> at [38]</w:t>
      </w:r>
      <w:r w:rsidR="005B0DFA">
        <w:rPr>
          <w:sz w:val="20"/>
          <w:szCs w:val="20"/>
          <w:lang w:val="en-US"/>
        </w:rPr>
        <w:t>.</w:t>
      </w:r>
    </w:p>
  </w:footnote>
  <w:footnote w:id="4">
    <w:p w:rsidR="002C1504" w:rsidRPr="002C1504" w:rsidRDefault="002C1504" w:rsidP="0002271D">
      <w:pPr>
        <w:pStyle w:val="FootnoteText"/>
        <w:spacing w:line="360" w:lineRule="auto"/>
        <w:jc w:val="both"/>
        <w:rPr>
          <w:lang w:val="en-US"/>
        </w:rPr>
      </w:pPr>
      <w:r w:rsidRPr="002C1504">
        <w:rPr>
          <w:rStyle w:val="FootnoteReference"/>
          <w:sz w:val="20"/>
          <w:szCs w:val="20"/>
        </w:rPr>
        <w:footnoteRef/>
      </w:r>
      <w:r w:rsidRPr="002C1504">
        <w:rPr>
          <w:sz w:val="20"/>
          <w:szCs w:val="20"/>
        </w:rPr>
        <w:t xml:space="preserve"> </w:t>
      </w:r>
      <w:r w:rsidRPr="002C1504">
        <w:rPr>
          <w:sz w:val="20"/>
          <w:szCs w:val="20"/>
          <w:lang w:val="en-US"/>
        </w:rPr>
        <w:t>Compare for instance :</w:t>
      </w:r>
      <w:r w:rsidRPr="002C1504">
        <w:rPr>
          <w:sz w:val="20"/>
          <w:szCs w:val="20"/>
        </w:rPr>
        <w:t xml:space="preserve"> </w:t>
      </w:r>
      <w:r w:rsidRPr="002C1504">
        <w:rPr>
          <w:i/>
          <w:sz w:val="20"/>
          <w:szCs w:val="20"/>
          <w:lang w:val="en-US"/>
        </w:rPr>
        <w:t xml:space="preserve">Kahoro v Namibia Breweries Ltd </w:t>
      </w:r>
      <w:r w:rsidRPr="002C1504">
        <w:rPr>
          <w:sz w:val="20"/>
          <w:szCs w:val="20"/>
          <w:lang w:val="en-US"/>
        </w:rPr>
        <w:t>2008 (1) NR 382 (SC)</w:t>
      </w:r>
      <w:r w:rsidRPr="002C1504">
        <w:rPr>
          <w:sz w:val="20"/>
          <w:szCs w:val="20"/>
        </w:rPr>
        <w:t xml:space="preserve"> </w:t>
      </w:r>
      <w:r w:rsidRPr="002C1504">
        <w:rPr>
          <w:sz w:val="20"/>
          <w:szCs w:val="20"/>
          <w:lang w:val="en-US"/>
        </w:rPr>
        <w:t xml:space="preserve">[44] The rationale for the rule in </w:t>
      </w:r>
      <w:r w:rsidRPr="002C1504">
        <w:rPr>
          <w:i/>
          <w:sz w:val="20"/>
          <w:szCs w:val="20"/>
          <w:lang w:val="en-US"/>
        </w:rPr>
        <w:t>Kamanya</w:t>
      </w:r>
      <w:r w:rsidRPr="002C1504">
        <w:rPr>
          <w:sz w:val="20"/>
          <w:szCs w:val="20"/>
          <w:lang w:val="en-US"/>
        </w:rPr>
        <w:t xml:space="preserve"> (as to which see </w:t>
      </w:r>
      <w:r w:rsidRPr="002C1504">
        <w:rPr>
          <w:i/>
          <w:sz w:val="20"/>
          <w:szCs w:val="20"/>
          <w:lang w:val="en-US"/>
        </w:rPr>
        <w:t>Kamanya</w:t>
      </w:r>
      <w:r w:rsidRPr="002C1504">
        <w:rPr>
          <w:sz w:val="20"/>
          <w:szCs w:val="20"/>
          <w:lang w:val="en-US"/>
        </w:rPr>
        <w:t xml:space="preserve"> at 126G - H) and similar cases eg </w:t>
      </w:r>
      <w:r w:rsidRPr="002C1504">
        <w:rPr>
          <w:i/>
          <w:sz w:val="20"/>
          <w:szCs w:val="20"/>
          <w:lang w:val="en-US"/>
        </w:rPr>
        <w:t>Unitrans Zululand (Pty) Ltd v Cebekhulu</w:t>
      </w:r>
      <w:r w:rsidRPr="002C1504">
        <w:rPr>
          <w:sz w:val="20"/>
          <w:szCs w:val="20"/>
          <w:lang w:val="en-US"/>
        </w:rPr>
        <w:t xml:space="preserve">  2008 (1) NR p396 (paras [45] and [46] infra) is that a valid and fair reason for a dismissal is one which justifies dismissal of the employee and is independent of the procedure followed before a dismissal is carried out. A valid and fair reason for a dismissal is founded on facts, conduct or circumstances which, independently, make the continuation of the employment relationship impossible. A valid and fair reason for dismissal cannot, in my view, exist in facts which, if a proper procedure were followed, might well have been different. In casu not only is the reason for the dismissal inextricably linked to the procedure, but it is the very result of that procedure. Therein the court a quo erred. It should, on the facts, have come to the conclusion that there was no valid and fair reason for the dismissal.</w:t>
      </w:r>
    </w:p>
  </w:footnote>
  <w:footnote w:id="5">
    <w:p w:rsidR="00A7377E" w:rsidRPr="00C340AB" w:rsidRDefault="00A7377E" w:rsidP="0002271D">
      <w:pPr>
        <w:pStyle w:val="FootnoteText"/>
        <w:spacing w:line="360" w:lineRule="auto"/>
        <w:jc w:val="both"/>
        <w:rPr>
          <w:rFonts w:cs="Arial"/>
          <w:sz w:val="20"/>
          <w:szCs w:val="20"/>
        </w:rPr>
      </w:pPr>
      <w:r w:rsidRPr="00C340AB">
        <w:rPr>
          <w:rStyle w:val="FootnoteReference"/>
          <w:rFonts w:cs="Arial"/>
          <w:sz w:val="20"/>
          <w:szCs w:val="20"/>
        </w:rPr>
        <w:footnoteRef/>
      </w:r>
      <w:r w:rsidRPr="00C340AB">
        <w:rPr>
          <w:rFonts w:cs="Arial"/>
          <w:sz w:val="20"/>
          <w:szCs w:val="20"/>
        </w:rPr>
        <w:t xml:space="preserve"> </w:t>
      </w:r>
      <w:r w:rsidRPr="00C340AB">
        <w:rPr>
          <w:rFonts w:cs="Arial"/>
          <w:i/>
          <w:iCs/>
          <w:sz w:val="20"/>
          <w:szCs w:val="20"/>
        </w:rPr>
        <w:t>Management Science for Health v Kandungure</w:t>
      </w:r>
      <w:r w:rsidRPr="00C340AB">
        <w:rPr>
          <w:rFonts w:cs="Arial"/>
          <w:b/>
          <w:iCs/>
          <w:sz w:val="20"/>
          <w:szCs w:val="20"/>
        </w:rPr>
        <w:t xml:space="preserve"> </w:t>
      </w:r>
      <w:r w:rsidRPr="00C340AB">
        <w:rPr>
          <w:rFonts w:cs="Arial"/>
          <w:sz w:val="20"/>
          <w:szCs w:val="20"/>
        </w:rPr>
        <w:t xml:space="preserve">(LCA 8/2012) [2012] NALCMD 6 (15 November 2012) [Paragraph 11]; </w:t>
      </w:r>
      <w:r w:rsidRPr="00C340AB">
        <w:rPr>
          <w:rFonts w:cs="Arial"/>
          <w:i/>
          <w:iCs/>
          <w:sz w:val="20"/>
          <w:szCs w:val="20"/>
        </w:rPr>
        <w:t>Pupkewitz Holdings (Pty) Ltd v Petrus Mutanuka and Others</w:t>
      </w:r>
      <w:r w:rsidRPr="00C340AB">
        <w:rPr>
          <w:rFonts w:cs="Arial"/>
          <w:iCs/>
          <w:sz w:val="20"/>
          <w:szCs w:val="20"/>
        </w:rPr>
        <w:t xml:space="preserve"> </w:t>
      </w:r>
      <w:r w:rsidRPr="00C340AB">
        <w:rPr>
          <w:rFonts w:cs="Arial"/>
          <w:sz w:val="20"/>
          <w:szCs w:val="20"/>
        </w:rPr>
        <w:t>Case No. LCA 47/2007 at para 16 (unreported).</w:t>
      </w:r>
    </w:p>
  </w:footnote>
  <w:footnote w:id="6">
    <w:p w:rsidR="00A7377E" w:rsidRPr="00DE7E77" w:rsidRDefault="00A7377E" w:rsidP="0002271D">
      <w:pPr>
        <w:pStyle w:val="FootnoteText"/>
        <w:spacing w:line="360" w:lineRule="auto"/>
        <w:rPr>
          <w:rFonts w:cs="Arial"/>
          <w:sz w:val="20"/>
          <w:szCs w:val="20"/>
          <w:lang w:val="en-US"/>
        </w:rPr>
      </w:pPr>
      <w:r w:rsidRPr="00DE7E77">
        <w:rPr>
          <w:rStyle w:val="FootnoteReference"/>
          <w:rFonts w:cs="Arial"/>
          <w:sz w:val="20"/>
          <w:szCs w:val="20"/>
        </w:rPr>
        <w:footnoteRef/>
      </w:r>
      <w:r w:rsidRPr="00DE7E77">
        <w:rPr>
          <w:rFonts w:cs="Arial"/>
          <w:sz w:val="20"/>
          <w:szCs w:val="20"/>
        </w:rPr>
        <w:t xml:space="preserve"> </w:t>
      </w:r>
      <w:r w:rsidRPr="00DE7E77">
        <w:rPr>
          <w:rFonts w:cs="Arial"/>
          <w:sz w:val="20"/>
          <w:szCs w:val="20"/>
          <w:lang w:val="en-US"/>
        </w:rPr>
        <w:t>That is how the award was headed</w:t>
      </w:r>
      <w:r w:rsidR="00290030">
        <w:rPr>
          <w:rFonts w:cs="Arial"/>
          <w:sz w:val="20"/>
          <w:szCs w:val="20"/>
          <w:lang w:val="en-US"/>
        </w:rPr>
        <w:t>.</w:t>
      </w:r>
    </w:p>
  </w:footnote>
  <w:footnote w:id="7">
    <w:p w:rsidR="00A7377E" w:rsidRPr="001561A6" w:rsidRDefault="00A7377E" w:rsidP="0002271D">
      <w:pPr>
        <w:pStyle w:val="FootnoteText"/>
        <w:spacing w:line="360" w:lineRule="auto"/>
        <w:rPr>
          <w:rFonts w:cs="Arial"/>
          <w:sz w:val="20"/>
          <w:szCs w:val="20"/>
          <w:lang w:val="en-US"/>
        </w:rPr>
      </w:pPr>
      <w:r w:rsidRPr="001561A6">
        <w:rPr>
          <w:rStyle w:val="FootnoteReference"/>
          <w:rFonts w:cs="Arial"/>
          <w:sz w:val="20"/>
          <w:szCs w:val="20"/>
        </w:rPr>
        <w:footnoteRef/>
      </w:r>
      <w:r w:rsidRPr="001561A6">
        <w:rPr>
          <w:rFonts w:cs="Arial"/>
          <w:sz w:val="20"/>
          <w:szCs w:val="20"/>
        </w:rPr>
        <w:t xml:space="preserve"> </w:t>
      </w:r>
      <w:r w:rsidRPr="001561A6">
        <w:rPr>
          <w:rFonts w:cs="Arial"/>
          <w:sz w:val="20"/>
          <w:szCs w:val="20"/>
          <w:lang w:val="en-US"/>
        </w:rPr>
        <w:t>Compare section 117(a)(ii)</w:t>
      </w:r>
      <w:r w:rsidR="00156E09">
        <w:rPr>
          <w:rFonts w:cs="Arial"/>
          <w:sz w:val="20"/>
          <w:szCs w:val="20"/>
          <w:lang w:val="en-US"/>
        </w:rPr>
        <w:t>.</w:t>
      </w:r>
      <w:r w:rsidR="008D4B7B">
        <w:rPr>
          <w:rFonts w:cs="Arial"/>
          <w:sz w:val="20"/>
          <w:szCs w:val="20"/>
          <w:lang w:val="en-US"/>
        </w:rPr>
        <w:t xml:space="preserve"> As to the Court’s powers see also : Sections 89(10)(a),(b) and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F4" w:rsidRDefault="00F163F4">
    <w:pPr>
      <w:pStyle w:val="Header"/>
      <w:jc w:val="right"/>
    </w:pPr>
    <w:r>
      <w:fldChar w:fldCharType="begin"/>
    </w:r>
    <w:r>
      <w:instrText xml:space="preserve"> PAGE   \* MERGEFORMAT </w:instrText>
    </w:r>
    <w:r>
      <w:fldChar w:fldCharType="separate"/>
    </w:r>
    <w:r w:rsidR="002B21FC">
      <w:rPr>
        <w:noProof/>
      </w:rPr>
      <w:t>2</w:t>
    </w:r>
    <w:r>
      <w:fldChar w:fldCharType="end"/>
    </w:r>
  </w:p>
  <w:p w:rsidR="00F163F4" w:rsidRDefault="00F16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F11"/>
    <w:multiLevelType w:val="multilevel"/>
    <w:tmpl w:val="5BBCD35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124C8C"/>
    <w:multiLevelType w:val="hybridMultilevel"/>
    <w:tmpl w:val="68E8097E"/>
    <w:lvl w:ilvl="0" w:tplc="092E76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A84BDA"/>
    <w:multiLevelType w:val="hybridMultilevel"/>
    <w:tmpl w:val="76DAF0B6"/>
    <w:lvl w:ilvl="0" w:tplc="0344BFB8">
      <w:start w:val="7"/>
      <w:numFmt w:val="decimal"/>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4A0917"/>
    <w:multiLevelType w:val="hybridMultilevel"/>
    <w:tmpl w:val="30A69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F0127"/>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D1699"/>
    <w:multiLevelType w:val="hybridMultilevel"/>
    <w:tmpl w:val="35F20542"/>
    <w:lvl w:ilvl="0" w:tplc="22B6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2671D"/>
    <w:multiLevelType w:val="hybridMultilevel"/>
    <w:tmpl w:val="DDC214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C1174E"/>
    <w:multiLevelType w:val="hybridMultilevel"/>
    <w:tmpl w:val="5E382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E460E"/>
    <w:multiLevelType w:val="hybridMultilevel"/>
    <w:tmpl w:val="AB3A6286"/>
    <w:lvl w:ilvl="0" w:tplc="1C09000F">
      <w:start w:val="1"/>
      <w:numFmt w:val="decimal"/>
      <w:lvlText w:val="%1."/>
      <w:lvlJc w:val="left"/>
      <w:pPr>
        <w:ind w:left="5322" w:hanging="360"/>
      </w:pPr>
    </w:lvl>
    <w:lvl w:ilvl="1" w:tplc="1C090019">
      <w:start w:val="1"/>
      <w:numFmt w:val="lowerLetter"/>
      <w:lvlText w:val="%2."/>
      <w:lvlJc w:val="left"/>
      <w:pPr>
        <w:ind w:left="6042" w:hanging="360"/>
      </w:pPr>
    </w:lvl>
    <w:lvl w:ilvl="2" w:tplc="1C09001B">
      <w:start w:val="1"/>
      <w:numFmt w:val="lowerRoman"/>
      <w:lvlText w:val="%3."/>
      <w:lvlJc w:val="right"/>
      <w:pPr>
        <w:ind w:left="6762" w:hanging="180"/>
      </w:pPr>
    </w:lvl>
    <w:lvl w:ilvl="3" w:tplc="1C09000F">
      <w:start w:val="1"/>
      <w:numFmt w:val="decimal"/>
      <w:lvlText w:val="%4."/>
      <w:lvlJc w:val="left"/>
      <w:pPr>
        <w:ind w:left="7482" w:hanging="360"/>
      </w:pPr>
    </w:lvl>
    <w:lvl w:ilvl="4" w:tplc="1C090019">
      <w:start w:val="1"/>
      <w:numFmt w:val="lowerLetter"/>
      <w:lvlText w:val="%5."/>
      <w:lvlJc w:val="left"/>
      <w:pPr>
        <w:ind w:left="8202" w:hanging="360"/>
      </w:pPr>
    </w:lvl>
    <w:lvl w:ilvl="5" w:tplc="1C09001B">
      <w:start w:val="1"/>
      <w:numFmt w:val="lowerRoman"/>
      <w:lvlText w:val="%6."/>
      <w:lvlJc w:val="right"/>
      <w:pPr>
        <w:ind w:left="8922" w:hanging="180"/>
      </w:pPr>
    </w:lvl>
    <w:lvl w:ilvl="6" w:tplc="1C09000F">
      <w:start w:val="1"/>
      <w:numFmt w:val="decimal"/>
      <w:lvlText w:val="%7."/>
      <w:lvlJc w:val="left"/>
      <w:pPr>
        <w:ind w:left="9642" w:hanging="360"/>
      </w:pPr>
    </w:lvl>
    <w:lvl w:ilvl="7" w:tplc="1C090019">
      <w:start w:val="1"/>
      <w:numFmt w:val="lowerLetter"/>
      <w:lvlText w:val="%8."/>
      <w:lvlJc w:val="left"/>
      <w:pPr>
        <w:ind w:left="10362" w:hanging="360"/>
      </w:pPr>
    </w:lvl>
    <w:lvl w:ilvl="8" w:tplc="1C09001B">
      <w:start w:val="1"/>
      <w:numFmt w:val="lowerRoman"/>
      <w:lvlText w:val="%9."/>
      <w:lvlJc w:val="right"/>
      <w:pPr>
        <w:ind w:left="11082" w:hanging="180"/>
      </w:pPr>
    </w:lvl>
  </w:abstractNum>
  <w:abstractNum w:abstractNumId="10" w15:restartNumberingAfterBreak="0">
    <w:nsid w:val="1B425A7B"/>
    <w:multiLevelType w:val="multilevel"/>
    <w:tmpl w:val="DDA80246"/>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1CE25120"/>
    <w:multiLevelType w:val="hybridMultilevel"/>
    <w:tmpl w:val="F692F09A"/>
    <w:lvl w:ilvl="0" w:tplc="66100CBC">
      <w:start w:val="1"/>
      <w:numFmt w:val="lowerLetter"/>
      <w:lvlText w:val="(%1)"/>
      <w:lvlJc w:val="left"/>
      <w:pPr>
        <w:ind w:left="2153" w:hanging="735"/>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1E4A3375"/>
    <w:multiLevelType w:val="hybridMultilevel"/>
    <w:tmpl w:val="C6309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695905"/>
    <w:multiLevelType w:val="hybridMultilevel"/>
    <w:tmpl w:val="6E286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30926"/>
    <w:multiLevelType w:val="hybridMultilevel"/>
    <w:tmpl w:val="32C05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93EEF"/>
    <w:multiLevelType w:val="multilevel"/>
    <w:tmpl w:val="3398C4F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15660EB"/>
    <w:multiLevelType w:val="hybridMultilevel"/>
    <w:tmpl w:val="8BDAA36A"/>
    <w:lvl w:ilvl="0" w:tplc="1C09000F">
      <w:start w:val="1"/>
      <w:numFmt w:val="decimal"/>
      <w:lvlText w:val="%1."/>
      <w:lvlJc w:val="left"/>
      <w:pPr>
        <w:ind w:left="720" w:hanging="360"/>
      </w:pPr>
      <w:rPr>
        <w:rFonts w:cs="Times New Roman" w:hint="default"/>
      </w:rPr>
    </w:lvl>
    <w:lvl w:ilvl="1" w:tplc="0E8EB0D4">
      <w:start w:val="1"/>
      <w:numFmt w:val="lowerLetter"/>
      <w:lvlText w:val="(%2)"/>
      <w:lvlJc w:val="left"/>
      <w:pPr>
        <w:tabs>
          <w:tab w:val="num" w:pos="1440"/>
        </w:tabs>
        <w:ind w:left="1440" w:hanging="360"/>
      </w:pPr>
      <w:rPr>
        <w:rFonts w:hint="default"/>
      </w:rPr>
    </w:lvl>
    <w:lvl w:ilvl="2" w:tplc="1C09001B">
      <w:start w:val="1"/>
      <w:numFmt w:val="lowerRoman"/>
      <w:lvlText w:val="%3."/>
      <w:lvlJc w:val="right"/>
      <w:pPr>
        <w:ind w:left="2160" w:hanging="180"/>
      </w:pPr>
      <w:rPr>
        <w:rFonts w:cs="Times New Roman"/>
      </w:rPr>
    </w:lvl>
    <w:lvl w:ilvl="3" w:tplc="3EA255BE">
      <w:start w:val="1"/>
      <w:numFmt w:val="lowerRoman"/>
      <w:lvlText w:val="(%4)"/>
      <w:lvlJc w:val="left"/>
      <w:pPr>
        <w:ind w:left="3240" w:hanging="720"/>
      </w:pPr>
      <w:rPr>
        <w:rFonts w:ascii="Arial" w:eastAsia="Calibri" w:hAnsi="Arial" w:cs="Arial"/>
      </w:rPr>
    </w:lvl>
    <w:lvl w:ilvl="4" w:tplc="8BD018E0">
      <w:start w:val="1"/>
      <w:numFmt w:val="lowerLetter"/>
      <w:lvlText w:val="%5)"/>
      <w:lvlJc w:val="left"/>
      <w:pPr>
        <w:ind w:left="3600" w:hanging="360"/>
      </w:pPr>
      <w:rPr>
        <w:rFonts w:hint="default"/>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15:restartNumberingAfterBreak="0">
    <w:nsid w:val="325C257D"/>
    <w:multiLevelType w:val="hybridMultilevel"/>
    <w:tmpl w:val="12B2AD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2DD12CF"/>
    <w:multiLevelType w:val="hybridMultilevel"/>
    <w:tmpl w:val="C16CD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02524B"/>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E11E2"/>
    <w:multiLevelType w:val="multilevel"/>
    <w:tmpl w:val="1F2AFB6C"/>
    <w:lvl w:ilvl="0">
      <w:start w:val="3"/>
      <w:numFmt w:val="decimal"/>
      <w:lvlText w:val="%1."/>
      <w:lvlJc w:val="left"/>
      <w:pPr>
        <w:ind w:left="408" w:hanging="408"/>
      </w:pPr>
      <w:rPr>
        <w:rFonts w:ascii="Arial" w:hAnsi="Arial" w:cs="Arial" w:hint="default"/>
        <w:b w:val="0"/>
        <w:bCs w:val="0"/>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5284F77"/>
    <w:multiLevelType w:val="hybridMultilevel"/>
    <w:tmpl w:val="F08A85E0"/>
    <w:lvl w:ilvl="0" w:tplc="A9ACC7AE">
      <w:start w:val="1"/>
      <w:numFmt w:val="lowerLetter"/>
      <w:lvlText w:val="%1)"/>
      <w:lvlJc w:val="left"/>
      <w:pPr>
        <w:ind w:left="4986" w:hanging="360"/>
      </w:pPr>
      <w:rPr>
        <w:rFonts w:hint="default"/>
      </w:rPr>
    </w:lvl>
    <w:lvl w:ilvl="1" w:tplc="04090019" w:tentative="1">
      <w:start w:val="1"/>
      <w:numFmt w:val="lowerLetter"/>
      <w:lvlText w:val="%2."/>
      <w:lvlJc w:val="left"/>
      <w:pPr>
        <w:ind w:left="5706" w:hanging="360"/>
      </w:pPr>
    </w:lvl>
    <w:lvl w:ilvl="2" w:tplc="0409001B" w:tentative="1">
      <w:start w:val="1"/>
      <w:numFmt w:val="lowerRoman"/>
      <w:lvlText w:val="%3."/>
      <w:lvlJc w:val="right"/>
      <w:pPr>
        <w:ind w:left="6426" w:hanging="180"/>
      </w:pPr>
    </w:lvl>
    <w:lvl w:ilvl="3" w:tplc="0409000F" w:tentative="1">
      <w:start w:val="1"/>
      <w:numFmt w:val="decimal"/>
      <w:lvlText w:val="%4."/>
      <w:lvlJc w:val="left"/>
      <w:pPr>
        <w:ind w:left="7146" w:hanging="360"/>
      </w:pPr>
    </w:lvl>
    <w:lvl w:ilvl="4" w:tplc="04090019" w:tentative="1">
      <w:start w:val="1"/>
      <w:numFmt w:val="lowerLetter"/>
      <w:lvlText w:val="%5."/>
      <w:lvlJc w:val="left"/>
      <w:pPr>
        <w:ind w:left="7866" w:hanging="360"/>
      </w:pPr>
    </w:lvl>
    <w:lvl w:ilvl="5" w:tplc="0409001B" w:tentative="1">
      <w:start w:val="1"/>
      <w:numFmt w:val="lowerRoman"/>
      <w:lvlText w:val="%6."/>
      <w:lvlJc w:val="right"/>
      <w:pPr>
        <w:ind w:left="8586" w:hanging="180"/>
      </w:pPr>
    </w:lvl>
    <w:lvl w:ilvl="6" w:tplc="0409000F" w:tentative="1">
      <w:start w:val="1"/>
      <w:numFmt w:val="decimal"/>
      <w:lvlText w:val="%7."/>
      <w:lvlJc w:val="left"/>
      <w:pPr>
        <w:ind w:left="9306" w:hanging="360"/>
      </w:pPr>
    </w:lvl>
    <w:lvl w:ilvl="7" w:tplc="04090019" w:tentative="1">
      <w:start w:val="1"/>
      <w:numFmt w:val="lowerLetter"/>
      <w:lvlText w:val="%8."/>
      <w:lvlJc w:val="left"/>
      <w:pPr>
        <w:ind w:left="10026" w:hanging="360"/>
      </w:pPr>
    </w:lvl>
    <w:lvl w:ilvl="8" w:tplc="0409001B" w:tentative="1">
      <w:start w:val="1"/>
      <w:numFmt w:val="lowerRoman"/>
      <w:lvlText w:val="%9."/>
      <w:lvlJc w:val="right"/>
      <w:pPr>
        <w:ind w:left="10746" w:hanging="180"/>
      </w:pPr>
    </w:lvl>
  </w:abstractNum>
  <w:abstractNum w:abstractNumId="23" w15:restartNumberingAfterBreak="0">
    <w:nsid w:val="4945198F"/>
    <w:multiLevelType w:val="hybridMultilevel"/>
    <w:tmpl w:val="78F017F0"/>
    <w:lvl w:ilvl="0" w:tplc="58E857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C4078A3"/>
    <w:multiLevelType w:val="hybridMultilevel"/>
    <w:tmpl w:val="5A48F4D8"/>
    <w:lvl w:ilvl="0" w:tplc="641AC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87319"/>
    <w:multiLevelType w:val="multilevel"/>
    <w:tmpl w:val="37E22F0E"/>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4FD96B9C"/>
    <w:multiLevelType w:val="multilevel"/>
    <w:tmpl w:val="F90AA10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17C5963"/>
    <w:multiLevelType w:val="hybridMultilevel"/>
    <w:tmpl w:val="04F47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6336E"/>
    <w:multiLevelType w:val="hybridMultilevel"/>
    <w:tmpl w:val="1FA669BE"/>
    <w:lvl w:ilvl="0" w:tplc="3582279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E02AF1"/>
    <w:multiLevelType w:val="hybridMultilevel"/>
    <w:tmpl w:val="5AA61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32F19"/>
    <w:multiLevelType w:val="hybridMultilevel"/>
    <w:tmpl w:val="00FAD0FC"/>
    <w:lvl w:ilvl="0" w:tplc="6C2690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9EF6A5F"/>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524B3"/>
    <w:multiLevelType w:val="hybridMultilevel"/>
    <w:tmpl w:val="87A8D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A4618"/>
    <w:multiLevelType w:val="multilevel"/>
    <w:tmpl w:val="2D1250B0"/>
    <w:lvl w:ilvl="0">
      <w:start w:val="1"/>
      <w:numFmt w:val="decimal"/>
      <w:lvlText w:val="%1."/>
      <w:lvlJc w:val="left"/>
      <w:pPr>
        <w:ind w:left="930" w:hanging="570"/>
      </w:pPr>
    </w:lvl>
    <w:lvl w:ilvl="1">
      <w:start w:val="1"/>
      <w:numFmt w:val="decimal"/>
      <w:isLgl/>
      <w:lvlText w:val="%1.%2"/>
      <w:lvlJc w:val="left"/>
      <w:pPr>
        <w:ind w:left="1437" w:hanging="870"/>
      </w:pPr>
    </w:lvl>
    <w:lvl w:ilvl="2">
      <w:start w:val="1"/>
      <w:numFmt w:val="decimal"/>
      <w:isLgl/>
      <w:lvlText w:val="%1.%2.%3"/>
      <w:lvlJc w:val="left"/>
      <w:pPr>
        <w:ind w:left="1644" w:hanging="870"/>
      </w:pPr>
    </w:lvl>
    <w:lvl w:ilvl="3">
      <w:start w:val="1"/>
      <w:numFmt w:val="decimal"/>
      <w:isLgl/>
      <w:lvlText w:val="%1.%2.%3.%4"/>
      <w:lvlJc w:val="left"/>
      <w:pPr>
        <w:ind w:left="1851" w:hanging="87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34" w15:restartNumberingAfterBreak="0">
    <w:nsid w:val="5EE94EE3"/>
    <w:multiLevelType w:val="hybridMultilevel"/>
    <w:tmpl w:val="C24A4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2203A"/>
    <w:multiLevelType w:val="multilevel"/>
    <w:tmpl w:val="9BFA2BA8"/>
    <w:lvl w:ilvl="0">
      <w:start w:val="1"/>
      <w:numFmt w:val="decimal"/>
      <w:lvlText w:val="%1."/>
      <w:lvlJc w:val="left"/>
      <w:pPr>
        <w:ind w:left="720" w:hanging="360"/>
      </w:pPr>
      <w:rPr>
        <w:rFonts w:hint="default"/>
      </w:r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66BC0CFB"/>
    <w:multiLevelType w:val="hybridMultilevel"/>
    <w:tmpl w:val="E1CA9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E3CE7"/>
    <w:multiLevelType w:val="hybridMultilevel"/>
    <w:tmpl w:val="156E84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746F8"/>
    <w:multiLevelType w:val="hybridMultilevel"/>
    <w:tmpl w:val="8D56BC36"/>
    <w:lvl w:ilvl="0" w:tplc="F642C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86711C"/>
    <w:multiLevelType w:val="multilevel"/>
    <w:tmpl w:val="1E9EE274"/>
    <w:lvl w:ilvl="0">
      <w:start w:val="1"/>
      <w:numFmt w:val="decimal"/>
      <w:lvlText w:val="%1."/>
      <w:lvlJc w:val="left"/>
      <w:pPr>
        <w:ind w:left="567" w:hanging="567"/>
      </w:pPr>
      <w:rPr>
        <w:rFonts w:ascii="Arial" w:hAnsi="Arial" w:hint="default"/>
        <w:i w:val="0"/>
        <w:sz w:val="22"/>
      </w:rPr>
    </w:lvl>
    <w:lvl w:ilvl="1">
      <w:start w:val="1"/>
      <w:numFmt w:val="decimal"/>
      <w:lvlText w:val="%1.%2."/>
      <w:lvlJc w:val="left"/>
      <w:pPr>
        <w:ind w:left="1418" w:hanging="851"/>
      </w:pPr>
      <w:rPr>
        <w:rFonts w:hint="default"/>
      </w:rPr>
    </w:lvl>
    <w:lvl w:ilvl="2">
      <w:start w:val="1"/>
      <w:numFmt w:val="decimal"/>
      <w:lvlText w:val="%1.%2.%3."/>
      <w:lvlJc w:val="left"/>
      <w:pPr>
        <w:tabs>
          <w:tab w:val="num" w:pos="2495"/>
        </w:tabs>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F8086B"/>
    <w:multiLevelType w:val="hybridMultilevel"/>
    <w:tmpl w:val="A3AC77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CBC3635"/>
    <w:multiLevelType w:val="hybridMultilevel"/>
    <w:tmpl w:val="747AD8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8749D"/>
    <w:multiLevelType w:val="hybridMultilevel"/>
    <w:tmpl w:val="C3F08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0C039CD"/>
    <w:multiLevelType w:val="hybridMultilevel"/>
    <w:tmpl w:val="E94E070C"/>
    <w:lvl w:ilvl="0" w:tplc="1E4A75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8A78C7"/>
    <w:multiLevelType w:val="hybridMultilevel"/>
    <w:tmpl w:val="606C6C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224E18"/>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64180"/>
    <w:multiLevelType w:val="multilevel"/>
    <w:tmpl w:val="2B6660D0"/>
    <w:lvl w:ilvl="0">
      <w:start w:val="22"/>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76D73B7"/>
    <w:multiLevelType w:val="hybridMultilevel"/>
    <w:tmpl w:val="94364E6A"/>
    <w:lvl w:ilvl="0" w:tplc="3B08EAD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8942253"/>
    <w:multiLevelType w:val="multilevel"/>
    <w:tmpl w:val="1DE4306C"/>
    <w:lvl w:ilvl="0">
      <w:start w:val="3"/>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7F553E57"/>
    <w:multiLevelType w:val="hybridMultilevel"/>
    <w:tmpl w:val="F7148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7"/>
  </w:num>
  <w:num w:numId="4">
    <w:abstractNumId w:val="4"/>
  </w:num>
  <w:num w:numId="5">
    <w:abstractNumId w:val="38"/>
  </w:num>
  <w:num w:numId="6">
    <w:abstractNumId w:val="34"/>
  </w:num>
  <w:num w:numId="7">
    <w:abstractNumId w:val="5"/>
  </w:num>
  <w:num w:numId="8">
    <w:abstractNumId w:val="31"/>
  </w:num>
  <w:num w:numId="9">
    <w:abstractNumId w:val="45"/>
  </w:num>
  <w:num w:numId="10">
    <w:abstractNumId w:val="3"/>
  </w:num>
  <w:num w:numId="11">
    <w:abstractNumId w:val="20"/>
  </w:num>
  <w:num w:numId="12">
    <w:abstractNumId w:val="14"/>
  </w:num>
  <w:num w:numId="13">
    <w:abstractNumId w:val="39"/>
  </w:num>
  <w:num w:numId="14">
    <w:abstractNumId w:val="26"/>
  </w:num>
  <w:num w:numId="15">
    <w:abstractNumId w:val="46"/>
  </w:num>
  <w:num w:numId="16">
    <w:abstractNumId w:val="12"/>
  </w:num>
  <w:num w:numId="17">
    <w:abstractNumId w:val="22"/>
  </w:num>
  <w:num w:numId="18">
    <w:abstractNumId w:val="11"/>
  </w:num>
  <w:num w:numId="19">
    <w:abstractNumId w:val="24"/>
  </w:num>
  <w:num w:numId="20">
    <w:abstractNumId w:val="43"/>
  </w:num>
  <w:num w:numId="21">
    <w:abstractNumId w:val="48"/>
  </w:num>
  <w:num w:numId="22">
    <w:abstractNumId w:val="37"/>
  </w:num>
  <w:num w:numId="23">
    <w:abstractNumId w:val="41"/>
  </w:num>
  <w:num w:numId="24">
    <w:abstractNumId w:val="29"/>
  </w:num>
  <w:num w:numId="25">
    <w:abstractNumId w:val="23"/>
  </w:num>
  <w:num w:numId="26">
    <w:abstractNumId w:val="28"/>
  </w:num>
  <w:num w:numId="27">
    <w:abstractNumId w:val="36"/>
  </w:num>
  <w:num w:numId="28">
    <w:abstractNumId w:val="35"/>
  </w:num>
  <w:num w:numId="29">
    <w:abstractNumId w:val="30"/>
  </w:num>
  <w:num w:numId="30">
    <w:abstractNumId w:val="1"/>
  </w:num>
  <w:num w:numId="31">
    <w:abstractNumId w:val="42"/>
  </w:num>
  <w:num w:numId="32">
    <w:abstractNumId w:val="1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2"/>
  </w:num>
  <w:num w:numId="37">
    <w:abstractNumId w:val="6"/>
  </w:num>
  <w:num w:numId="38">
    <w:abstractNumId w:val="40"/>
  </w:num>
  <w:num w:numId="39">
    <w:abstractNumId w:val="8"/>
  </w:num>
  <w:num w:numId="40">
    <w:abstractNumId w:val="18"/>
  </w:num>
  <w:num w:numId="41">
    <w:abstractNumId w:val="44"/>
  </w:num>
  <w:num w:numId="42">
    <w:abstractNumId w:val="21"/>
  </w:num>
  <w:num w:numId="43">
    <w:abstractNumId w:val="15"/>
  </w:num>
  <w:num w:numId="44">
    <w:abstractNumId w:val="2"/>
  </w:num>
  <w:num w:numId="45">
    <w:abstractNumId w:val="13"/>
  </w:num>
  <w:num w:numId="46">
    <w:abstractNumId w:val="16"/>
  </w:num>
  <w:num w:numId="47">
    <w:abstractNumId w:val="25"/>
  </w:num>
  <w:num w:numId="48">
    <w:abstractNumId w:val="49"/>
  </w:num>
  <w:num w:numId="49">
    <w:abstractNumId w:val="47"/>
  </w:num>
  <w:num w:numId="5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63"/>
    <w:rsid w:val="00005BFB"/>
    <w:rsid w:val="00005E6C"/>
    <w:rsid w:val="00007E72"/>
    <w:rsid w:val="00007FEE"/>
    <w:rsid w:val="00011225"/>
    <w:rsid w:val="00011BF0"/>
    <w:rsid w:val="00011D5E"/>
    <w:rsid w:val="00011EB3"/>
    <w:rsid w:val="00012EAF"/>
    <w:rsid w:val="00013917"/>
    <w:rsid w:val="0001454F"/>
    <w:rsid w:val="00015CE0"/>
    <w:rsid w:val="00016D77"/>
    <w:rsid w:val="00020CAB"/>
    <w:rsid w:val="000226E8"/>
    <w:rsid w:val="0002271D"/>
    <w:rsid w:val="00022D0F"/>
    <w:rsid w:val="00023709"/>
    <w:rsid w:val="000241F7"/>
    <w:rsid w:val="000258AA"/>
    <w:rsid w:val="000309A0"/>
    <w:rsid w:val="000312A7"/>
    <w:rsid w:val="00032FAD"/>
    <w:rsid w:val="00036A90"/>
    <w:rsid w:val="00036BBF"/>
    <w:rsid w:val="00036F66"/>
    <w:rsid w:val="0003703F"/>
    <w:rsid w:val="00037142"/>
    <w:rsid w:val="00040FFE"/>
    <w:rsid w:val="0004175E"/>
    <w:rsid w:val="00042D93"/>
    <w:rsid w:val="00044EC7"/>
    <w:rsid w:val="0004602C"/>
    <w:rsid w:val="00047981"/>
    <w:rsid w:val="000501BF"/>
    <w:rsid w:val="000515D1"/>
    <w:rsid w:val="00052051"/>
    <w:rsid w:val="000530D0"/>
    <w:rsid w:val="00053B8F"/>
    <w:rsid w:val="00055531"/>
    <w:rsid w:val="00061653"/>
    <w:rsid w:val="00062099"/>
    <w:rsid w:val="00063B8F"/>
    <w:rsid w:val="000644B5"/>
    <w:rsid w:val="0006607C"/>
    <w:rsid w:val="00067DC1"/>
    <w:rsid w:val="00070419"/>
    <w:rsid w:val="00071B93"/>
    <w:rsid w:val="00074BFF"/>
    <w:rsid w:val="00075EF6"/>
    <w:rsid w:val="0007785A"/>
    <w:rsid w:val="00080E27"/>
    <w:rsid w:val="00082119"/>
    <w:rsid w:val="000856BD"/>
    <w:rsid w:val="000857B0"/>
    <w:rsid w:val="00086C7F"/>
    <w:rsid w:val="00090F93"/>
    <w:rsid w:val="00090FC9"/>
    <w:rsid w:val="000911CB"/>
    <w:rsid w:val="00091934"/>
    <w:rsid w:val="00091FC6"/>
    <w:rsid w:val="000921A4"/>
    <w:rsid w:val="000929FA"/>
    <w:rsid w:val="00093BC0"/>
    <w:rsid w:val="00094F4D"/>
    <w:rsid w:val="00095FC2"/>
    <w:rsid w:val="000A0277"/>
    <w:rsid w:val="000A0F8C"/>
    <w:rsid w:val="000A16DA"/>
    <w:rsid w:val="000A24ED"/>
    <w:rsid w:val="000A2E4A"/>
    <w:rsid w:val="000A3111"/>
    <w:rsid w:val="000A36B4"/>
    <w:rsid w:val="000A46D0"/>
    <w:rsid w:val="000A5CD3"/>
    <w:rsid w:val="000A7447"/>
    <w:rsid w:val="000A7DC6"/>
    <w:rsid w:val="000B2FB5"/>
    <w:rsid w:val="000B589A"/>
    <w:rsid w:val="000B7686"/>
    <w:rsid w:val="000C18B2"/>
    <w:rsid w:val="000C2405"/>
    <w:rsid w:val="000C2E4A"/>
    <w:rsid w:val="000C4C89"/>
    <w:rsid w:val="000C6DE4"/>
    <w:rsid w:val="000D1452"/>
    <w:rsid w:val="000D1680"/>
    <w:rsid w:val="000D2143"/>
    <w:rsid w:val="000D481F"/>
    <w:rsid w:val="000D53E1"/>
    <w:rsid w:val="000D70E5"/>
    <w:rsid w:val="000D7100"/>
    <w:rsid w:val="000E112A"/>
    <w:rsid w:val="000E13C5"/>
    <w:rsid w:val="000E1D91"/>
    <w:rsid w:val="000E1FDF"/>
    <w:rsid w:val="000E242E"/>
    <w:rsid w:val="000E25C9"/>
    <w:rsid w:val="000E4AD2"/>
    <w:rsid w:val="000E5F25"/>
    <w:rsid w:val="000E727A"/>
    <w:rsid w:val="000F04D7"/>
    <w:rsid w:val="000F16B9"/>
    <w:rsid w:val="000F2018"/>
    <w:rsid w:val="000F2BF2"/>
    <w:rsid w:val="000F3A16"/>
    <w:rsid w:val="000F4611"/>
    <w:rsid w:val="000F7D26"/>
    <w:rsid w:val="00101576"/>
    <w:rsid w:val="0010166B"/>
    <w:rsid w:val="00103C38"/>
    <w:rsid w:val="001074F6"/>
    <w:rsid w:val="001079CB"/>
    <w:rsid w:val="00110899"/>
    <w:rsid w:val="00110B9D"/>
    <w:rsid w:val="00111C4D"/>
    <w:rsid w:val="00112FFC"/>
    <w:rsid w:val="001145A3"/>
    <w:rsid w:val="00116727"/>
    <w:rsid w:val="0011760E"/>
    <w:rsid w:val="0011794F"/>
    <w:rsid w:val="00117D54"/>
    <w:rsid w:val="00120B17"/>
    <w:rsid w:val="001210C7"/>
    <w:rsid w:val="00121190"/>
    <w:rsid w:val="001223DD"/>
    <w:rsid w:val="00125409"/>
    <w:rsid w:val="00130F62"/>
    <w:rsid w:val="001314F6"/>
    <w:rsid w:val="00131B0E"/>
    <w:rsid w:val="001327A3"/>
    <w:rsid w:val="00133CCB"/>
    <w:rsid w:val="00134D77"/>
    <w:rsid w:val="00134F8F"/>
    <w:rsid w:val="00135525"/>
    <w:rsid w:val="00140648"/>
    <w:rsid w:val="001409AA"/>
    <w:rsid w:val="00141474"/>
    <w:rsid w:val="00141C30"/>
    <w:rsid w:val="00142724"/>
    <w:rsid w:val="00142894"/>
    <w:rsid w:val="00143356"/>
    <w:rsid w:val="00143490"/>
    <w:rsid w:val="00144FB9"/>
    <w:rsid w:val="001469DF"/>
    <w:rsid w:val="00150BF6"/>
    <w:rsid w:val="00151B51"/>
    <w:rsid w:val="0015261C"/>
    <w:rsid w:val="001535B6"/>
    <w:rsid w:val="001545A9"/>
    <w:rsid w:val="0015486A"/>
    <w:rsid w:val="00156E09"/>
    <w:rsid w:val="00156E41"/>
    <w:rsid w:val="00156EDE"/>
    <w:rsid w:val="00157C57"/>
    <w:rsid w:val="001604E8"/>
    <w:rsid w:val="0016050D"/>
    <w:rsid w:val="00160F80"/>
    <w:rsid w:val="001658A5"/>
    <w:rsid w:val="001658F5"/>
    <w:rsid w:val="0016634C"/>
    <w:rsid w:val="001666F7"/>
    <w:rsid w:val="00170661"/>
    <w:rsid w:val="00171240"/>
    <w:rsid w:val="00172288"/>
    <w:rsid w:val="001726A5"/>
    <w:rsid w:val="00172961"/>
    <w:rsid w:val="00173AAF"/>
    <w:rsid w:val="001754DA"/>
    <w:rsid w:val="00175A44"/>
    <w:rsid w:val="00175ECF"/>
    <w:rsid w:val="0017646C"/>
    <w:rsid w:val="00176C90"/>
    <w:rsid w:val="0017700C"/>
    <w:rsid w:val="00180F4F"/>
    <w:rsid w:val="00181AC7"/>
    <w:rsid w:val="00182B3D"/>
    <w:rsid w:val="00184EDE"/>
    <w:rsid w:val="00184EE1"/>
    <w:rsid w:val="00184FD1"/>
    <w:rsid w:val="00185629"/>
    <w:rsid w:val="0018593B"/>
    <w:rsid w:val="00186893"/>
    <w:rsid w:val="001874FB"/>
    <w:rsid w:val="00190985"/>
    <w:rsid w:val="001925DF"/>
    <w:rsid w:val="001930EB"/>
    <w:rsid w:val="00193524"/>
    <w:rsid w:val="00194118"/>
    <w:rsid w:val="00197B5C"/>
    <w:rsid w:val="00197FE8"/>
    <w:rsid w:val="001A0149"/>
    <w:rsid w:val="001A15AD"/>
    <w:rsid w:val="001A21A3"/>
    <w:rsid w:val="001A2BA6"/>
    <w:rsid w:val="001A3842"/>
    <w:rsid w:val="001A712D"/>
    <w:rsid w:val="001B12E0"/>
    <w:rsid w:val="001B1D7F"/>
    <w:rsid w:val="001B3B94"/>
    <w:rsid w:val="001B583E"/>
    <w:rsid w:val="001B7E1F"/>
    <w:rsid w:val="001C037D"/>
    <w:rsid w:val="001C0761"/>
    <w:rsid w:val="001C0910"/>
    <w:rsid w:val="001C0F5A"/>
    <w:rsid w:val="001C1A0E"/>
    <w:rsid w:val="001C2444"/>
    <w:rsid w:val="001C402C"/>
    <w:rsid w:val="001C41B0"/>
    <w:rsid w:val="001C46E6"/>
    <w:rsid w:val="001C4789"/>
    <w:rsid w:val="001C71EE"/>
    <w:rsid w:val="001C7916"/>
    <w:rsid w:val="001D1C4C"/>
    <w:rsid w:val="001D2EF3"/>
    <w:rsid w:val="001D4C35"/>
    <w:rsid w:val="001D6B48"/>
    <w:rsid w:val="001D7922"/>
    <w:rsid w:val="001D7A89"/>
    <w:rsid w:val="001E0902"/>
    <w:rsid w:val="001E1B81"/>
    <w:rsid w:val="001E405C"/>
    <w:rsid w:val="001E5488"/>
    <w:rsid w:val="001E74EA"/>
    <w:rsid w:val="001F0BCC"/>
    <w:rsid w:val="001F3F05"/>
    <w:rsid w:val="001F4140"/>
    <w:rsid w:val="001F4EF8"/>
    <w:rsid w:val="001F60AD"/>
    <w:rsid w:val="001F717C"/>
    <w:rsid w:val="00202875"/>
    <w:rsid w:val="00202B64"/>
    <w:rsid w:val="00204C96"/>
    <w:rsid w:val="00204FA7"/>
    <w:rsid w:val="00207EC1"/>
    <w:rsid w:val="0021102C"/>
    <w:rsid w:val="0021117B"/>
    <w:rsid w:val="00213D43"/>
    <w:rsid w:val="00220A91"/>
    <w:rsid w:val="0022151F"/>
    <w:rsid w:val="00222460"/>
    <w:rsid w:val="00223013"/>
    <w:rsid w:val="0022434E"/>
    <w:rsid w:val="002243D3"/>
    <w:rsid w:val="00224DF3"/>
    <w:rsid w:val="002251DC"/>
    <w:rsid w:val="002251E0"/>
    <w:rsid w:val="00232DB1"/>
    <w:rsid w:val="00232E1A"/>
    <w:rsid w:val="002334FC"/>
    <w:rsid w:val="00233D60"/>
    <w:rsid w:val="00234E7B"/>
    <w:rsid w:val="0023534E"/>
    <w:rsid w:val="0023595B"/>
    <w:rsid w:val="002362CD"/>
    <w:rsid w:val="0023766C"/>
    <w:rsid w:val="00244D4B"/>
    <w:rsid w:val="00246361"/>
    <w:rsid w:val="00246674"/>
    <w:rsid w:val="0025300D"/>
    <w:rsid w:val="00253308"/>
    <w:rsid w:val="00254441"/>
    <w:rsid w:val="00257083"/>
    <w:rsid w:val="00260348"/>
    <w:rsid w:val="00260BAD"/>
    <w:rsid w:val="00261313"/>
    <w:rsid w:val="00262A5C"/>
    <w:rsid w:val="0026343E"/>
    <w:rsid w:val="0026376C"/>
    <w:rsid w:val="00265377"/>
    <w:rsid w:val="00267BB0"/>
    <w:rsid w:val="00273438"/>
    <w:rsid w:val="002738FE"/>
    <w:rsid w:val="00275052"/>
    <w:rsid w:val="00276370"/>
    <w:rsid w:val="00277A6A"/>
    <w:rsid w:val="00280832"/>
    <w:rsid w:val="00281A96"/>
    <w:rsid w:val="002823F8"/>
    <w:rsid w:val="0028503B"/>
    <w:rsid w:val="0028505B"/>
    <w:rsid w:val="00285298"/>
    <w:rsid w:val="002854DC"/>
    <w:rsid w:val="002866C4"/>
    <w:rsid w:val="00287A2C"/>
    <w:rsid w:val="00290030"/>
    <w:rsid w:val="0029012A"/>
    <w:rsid w:val="00291E38"/>
    <w:rsid w:val="00292393"/>
    <w:rsid w:val="00293299"/>
    <w:rsid w:val="00293621"/>
    <w:rsid w:val="00294350"/>
    <w:rsid w:val="00294BE2"/>
    <w:rsid w:val="00294E61"/>
    <w:rsid w:val="0029549A"/>
    <w:rsid w:val="002969E3"/>
    <w:rsid w:val="00296A7A"/>
    <w:rsid w:val="0029708B"/>
    <w:rsid w:val="002A149E"/>
    <w:rsid w:val="002A2380"/>
    <w:rsid w:val="002A3B20"/>
    <w:rsid w:val="002A4686"/>
    <w:rsid w:val="002A4E11"/>
    <w:rsid w:val="002A5A2F"/>
    <w:rsid w:val="002A62DC"/>
    <w:rsid w:val="002B0ADF"/>
    <w:rsid w:val="002B0CF7"/>
    <w:rsid w:val="002B21FC"/>
    <w:rsid w:val="002B2E9C"/>
    <w:rsid w:val="002B3444"/>
    <w:rsid w:val="002B3A1C"/>
    <w:rsid w:val="002B3D55"/>
    <w:rsid w:val="002B3EA5"/>
    <w:rsid w:val="002B4320"/>
    <w:rsid w:val="002B4DD2"/>
    <w:rsid w:val="002B5342"/>
    <w:rsid w:val="002B6225"/>
    <w:rsid w:val="002B6508"/>
    <w:rsid w:val="002B69DE"/>
    <w:rsid w:val="002B6CE6"/>
    <w:rsid w:val="002C1504"/>
    <w:rsid w:val="002C442A"/>
    <w:rsid w:val="002C7D3F"/>
    <w:rsid w:val="002D184D"/>
    <w:rsid w:val="002D22FB"/>
    <w:rsid w:val="002D389E"/>
    <w:rsid w:val="002D4758"/>
    <w:rsid w:val="002D4988"/>
    <w:rsid w:val="002E0A8A"/>
    <w:rsid w:val="002E1259"/>
    <w:rsid w:val="002E4559"/>
    <w:rsid w:val="002E5416"/>
    <w:rsid w:val="002E6E4C"/>
    <w:rsid w:val="002E6EAA"/>
    <w:rsid w:val="002F1094"/>
    <w:rsid w:val="002F1674"/>
    <w:rsid w:val="002F2A51"/>
    <w:rsid w:val="002F357C"/>
    <w:rsid w:val="002F57FE"/>
    <w:rsid w:val="002F6B09"/>
    <w:rsid w:val="002F6B2D"/>
    <w:rsid w:val="002F7836"/>
    <w:rsid w:val="0030180D"/>
    <w:rsid w:val="00301DEE"/>
    <w:rsid w:val="00301F4A"/>
    <w:rsid w:val="00303355"/>
    <w:rsid w:val="00306DEB"/>
    <w:rsid w:val="00311583"/>
    <w:rsid w:val="003126DC"/>
    <w:rsid w:val="00312EF8"/>
    <w:rsid w:val="00312FD2"/>
    <w:rsid w:val="00314129"/>
    <w:rsid w:val="00314774"/>
    <w:rsid w:val="003156A8"/>
    <w:rsid w:val="003204AA"/>
    <w:rsid w:val="003211A7"/>
    <w:rsid w:val="0032236E"/>
    <w:rsid w:val="00322F71"/>
    <w:rsid w:val="00323A00"/>
    <w:rsid w:val="003243F5"/>
    <w:rsid w:val="00325791"/>
    <w:rsid w:val="003264C6"/>
    <w:rsid w:val="0032729F"/>
    <w:rsid w:val="00327DFC"/>
    <w:rsid w:val="00330CF3"/>
    <w:rsid w:val="00331729"/>
    <w:rsid w:val="0033230A"/>
    <w:rsid w:val="003337F1"/>
    <w:rsid w:val="003341A3"/>
    <w:rsid w:val="00334F7F"/>
    <w:rsid w:val="00337624"/>
    <w:rsid w:val="00340E32"/>
    <w:rsid w:val="0034144F"/>
    <w:rsid w:val="00343A52"/>
    <w:rsid w:val="00345971"/>
    <w:rsid w:val="00345D60"/>
    <w:rsid w:val="00346453"/>
    <w:rsid w:val="00352B3A"/>
    <w:rsid w:val="00352D5D"/>
    <w:rsid w:val="00355046"/>
    <w:rsid w:val="003556B6"/>
    <w:rsid w:val="00355EBF"/>
    <w:rsid w:val="003567DB"/>
    <w:rsid w:val="00360042"/>
    <w:rsid w:val="00362E29"/>
    <w:rsid w:val="003632B2"/>
    <w:rsid w:val="00363AD6"/>
    <w:rsid w:val="003664D7"/>
    <w:rsid w:val="003667BB"/>
    <w:rsid w:val="00367A06"/>
    <w:rsid w:val="00367AAA"/>
    <w:rsid w:val="00367BD3"/>
    <w:rsid w:val="00367E94"/>
    <w:rsid w:val="00370892"/>
    <w:rsid w:val="0037162B"/>
    <w:rsid w:val="00371A29"/>
    <w:rsid w:val="00372B12"/>
    <w:rsid w:val="00376137"/>
    <w:rsid w:val="00376B3F"/>
    <w:rsid w:val="00376D3B"/>
    <w:rsid w:val="003779B1"/>
    <w:rsid w:val="00377DF6"/>
    <w:rsid w:val="00380A86"/>
    <w:rsid w:val="00383B08"/>
    <w:rsid w:val="00385440"/>
    <w:rsid w:val="003859ED"/>
    <w:rsid w:val="00385B71"/>
    <w:rsid w:val="003900E7"/>
    <w:rsid w:val="00390472"/>
    <w:rsid w:val="00391B17"/>
    <w:rsid w:val="00391FEE"/>
    <w:rsid w:val="00392F96"/>
    <w:rsid w:val="00393038"/>
    <w:rsid w:val="00393346"/>
    <w:rsid w:val="00394866"/>
    <w:rsid w:val="003948D2"/>
    <w:rsid w:val="003949C8"/>
    <w:rsid w:val="00394A86"/>
    <w:rsid w:val="00394E9E"/>
    <w:rsid w:val="00394FD6"/>
    <w:rsid w:val="00397FD3"/>
    <w:rsid w:val="003A05B4"/>
    <w:rsid w:val="003A1571"/>
    <w:rsid w:val="003A1A10"/>
    <w:rsid w:val="003A1A15"/>
    <w:rsid w:val="003A1E54"/>
    <w:rsid w:val="003A4407"/>
    <w:rsid w:val="003A74E8"/>
    <w:rsid w:val="003B0CFD"/>
    <w:rsid w:val="003B175E"/>
    <w:rsid w:val="003B35EF"/>
    <w:rsid w:val="003B746E"/>
    <w:rsid w:val="003C1F20"/>
    <w:rsid w:val="003C2BC3"/>
    <w:rsid w:val="003C333A"/>
    <w:rsid w:val="003C4910"/>
    <w:rsid w:val="003D154D"/>
    <w:rsid w:val="003D16E8"/>
    <w:rsid w:val="003D3463"/>
    <w:rsid w:val="003D4666"/>
    <w:rsid w:val="003D692F"/>
    <w:rsid w:val="003D77D6"/>
    <w:rsid w:val="003E2D98"/>
    <w:rsid w:val="003E4945"/>
    <w:rsid w:val="003E515A"/>
    <w:rsid w:val="003E64B0"/>
    <w:rsid w:val="003E767F"/>
    <w:rsid w:val="003E781A"/>
    <w:rsid w:val="003F0439"/>
    <w:rsid w:val="003F0C0B"/>
    <w:rsid w:val="003F14C4"/>
    <w:rsid w:val="003F20C1"/>
    <w:rsid w:val="003F29D5"/>
    <w:rsid w:val="003F307F"/>
    <w:rsid w:val="003F6729"/>
    <w:rsid w:val="003F7013"/>
    <w:rsid w:val="003F77F7"/>
    <w:rsid w:val="004008A1"/>
    <w:rsid w:val="00401006"/>
    <w:rsid w:val="00402483"/>
    <w:rsid w:val="00404296"/>
    <w:rsid w:val="00404D61"/>
    <w:rsid w:val="00405C6E"/>
    <w:rsid w:val="00406659"/>
    <w:rsid w:val="004073C6"/>
    <w:rsid w:val="00411C20"/>
    <w:rsid w:val="0041205B"/>
    <w:rsid w:val="004147C7"/>
    <w:rsid w:val="00414C05"/>
    <w:rsid w:val="00415566"/>
    <w:rsid w:val="0041643E"/>
    <w:rsid w:val="00422921"/>
    <w:rsid w:val="00422C2A"/>
    <w:rsid w:val="00422C7C"/>
    <w:rsid w:val="0042301F"/>
    <w:rsid w:val="0042330B"/>
    <w:rsid w:val="0042421B"/>
    <w:rsid w:val="00425886"/>
    <w:rsid w:val="0043005E"/>
    <w:rsid w:val="004315C7"/>
    <w:rsid w:val="00433CB1"/>
    <w:rsid w:val="0043629D"/>
    <w:rsid w:val="00440C92"/>
    <w:rsid w:val="0044132B"/>
    <w:rsid w:val="00445AD9"/>
    <w:rsid w:val="0044712B"/>
    <w:rsid w:val="00447412"/>
    <w:rsid w:val="00452A61"/>
    <w:rsid w:val="00455E47"/>
    <w:rsid w:val="00460F7B"/>
    <w:rsid w:val="004619B1"/>
    <w:rsid w:val="00461AF4"/>
    <w:rsid w:val="00462780"/>
    <w:rsid w:val="00464842"/>
    <w:rsid w:val="004659BE"/>
    <w:rsid w:val="00466270"/>
    <w:rsid w:val="00466E2C"/>
    <w:rsid w:val="004670BF"/>
    <w:rsid w:val="00467966"/>
    <w:rsid w:val="0047000B"/>
    <w:rsid w:val="004733D5"/>
    <w:rsid w:val="00476043"/>
    <w:rsid w:val="00477825"/>
    <w:rsid w:val="00481556"/>
    <w:rsid w:val="00482899"/>
    <w:rsid w:val="00483438"/>
    <w:rsid w:val="00483760"/>
    <w:rsid w:val="00484034"/>
    <w:rsid w:val="004843DC"/>
    <w:rsid w:val="00484780"/>
    <w:rsid w:val="00492D0A"/>
    <w:rsid w:val="00495E3A"/>
    <w:rsid w:val="004979DC"/>
    <w:rsid w:val="004A490A"/>
    <w:rsid w:val="004A65A5"/>
    <w:rsid w:val="004A6AA2"/>
    <w:rsid w:val="004A7DAA"/>
    <w:rsid w:val="004A7E48"/>
    <w:rsid w:val="004B37F7"/>
    <w:rsid w:val="004B57A9"/>
    <w:rsid w:val="004B5F7D"/>
    <w:rsid w:val="004B6D74"/>
    <w:rsid w:val="004C4036"/>
    <w:rsid w:val="004C46EB"/>
    <w:rsid w:val="004C552B"/>
    <w:rsid w:val="004C5BC7"/>
    <w:rsid w:val="004C6C0C"/>
    <w:rsid w:val="004C71DB"/>
    <w:rsid w:val="004C796E"/>
    <w:rsid w:val="004D2689"/>
    <w:rsid w:val="004D30AD"/>
    <w:rsid w:val="004D43A4"/>
    <w:rsid w:val="004D5920"/>
    <w:rsid w:val="004D5C0A"/>
    <w:rsid w:val="004E0D6B"/>
    <w:rsid w:val="004E212D"/>
    <w:rsid w:val="004E6549"/>
    <w:rsid w:val="004F2271"/>
    <w:rsid w:val="004F4A59"/>
    <w:rsid w:val="004F727E"/>
    <w:rsid w:val="004F7672"/>
    <w:rsid w:val="005005CD"/>
    <w:rsid w:val="00502818"/>
    <w:rsid w:val="00502A16"/>
    <w:rsid w:val="00502A4E"/>
    <w:rsid w:val="00502DF8"/>
    <w:rsid w:val="00503133"/>
    <w:rsid w:val="00503673"/>
    <w:rsid w:val="005039CF"/>
    <w:rsid w:val="005056F0"/>
    <w:rsid w:val="00507D93"/>
    <w:rsid w:val="00510E12"/>
    <w:rsid w:val="00511395"/>
    <w:rsid w:val="005140E0"/>
    <w:rsid w:val="0051467A"/>
    <w:rsid w:val="00516D14"/>
    <w:rsid w:val="00516F95"/>
    <w:rsid w:val="00517C72"/>
    <w:rsid w:val="00521730"/>
    <w:rsid w:val="005234BE"/>
    <w:rsid w:val="00524729"/>
    <w:rsid w:val="00525CC5"/>
    <w:rsid w:val="0052609A"/>
    <w:rsid w:val="0052690A"/>
    <w:rsid w:val="005274A3"/>
    <w:rsid w:val="00530CF6"/>
    <w:rsid w:val="00530DF3"/>
    <w:rsid w:val="0053245E"/>
    <w:rsid w:val="00532EE4"/>
    <w:rsid w:val="0053428B"/>
    <w:rsid w:val="00535D82"/>
    <w:rsid w:val="00536812"/>
    <w:rsid w:val="00537FE1"/>
    <w:rsid w:val="0054106C"/>
    <w:rsid w:val="00543D59"/>
    <w:rsid w:val="00543F2A"/>
    <w:rsid w:val="00545A6C"/>
    <w:rsid w:val="00546482"/>
    <w:rsid w:val="00546928"/>
    <w:rsid w:val="00547898"/>
    <w:rsid w:val="00551B5E"/>
    <w:rsid w:val="005544CA"/>
    <w:rsid w:val="00554868"/>
    <w:rsid w:val="00555D8E"/>
    <w:rsid w:val="00555ED0"/>
    <w:rsid w:val="00556B74"/>
    <w:rsid w:val="00560021"/>
    <w:rsid w:val="00560554"/>
    <w:rsid w:val="005613C4"/>
    <w:rsid w:val="0056429B"/>
    <w:rsid w:val="005650ED"/>
    <w:rsid w:val="00566892"/>
    <w:rsid w:val="00567B0A"/>
    <w:rsid w:val="005703E1"/>
    <w:rsid w:val="00572201"/>
    <w:rsid w:val="00572EC2"/>
    <w:rsid w:val="00575B78"/>
    <w:rsid w:val="00576719"/>
    <w:rsid w:val="005777AC"/>
    <w:rsid w:val="00577ECA"/>
    <w:rsid w:val="00582421"/>
    <w:rsid w:val="00582487"/>
    <w:rsid w:val="0058401A"/>
    <w:rsid w:val="00584852"/>
    <w:rsid w:val="00587011"/>
    <w:rsid w:val="00590A2D"/>
    <w:rsid w:val="005946AC"/>
    <w:rsid w:val="00595B72"/>
    <w:rsid w:val="0059749F"/>
    <w:rsid w:val="00597810"/>
    <w:rsid w:val="005A66BC"/>
    <w:rsid w:val="005A767F"/>
    <w:rsid w:val="005A7D7B"/>
    <w:rsid w:val="005A7EE2"/>
    <w:rsid w:val="005B006E"/>
    <w:rsid w:val="005B0DFA"/>
    <w:rsid w:val="005B0E2A"/>
    <w:rsid w:val="005B0E41"/>
    <w:rsid w:val="005B12B4"/>
    <w:rsid w:val="005B13B7"/>
    <w:rsid w:val="005B1BA4"/>
    <w:rsid w:val="005B457C"/>
    <w:rsid w:val="005B500D"/>
    <w:rsid w:val="005B550B"/>
    <w:rsid w:val="005C2105"/>
    <w:rsid w:val="005C32A2"/>
    <w:rsid w:val="005C3987"/>
    <w:rsid w:val="005C665E"/>
    <w:rsid w:val="005C705B"/>
    <w:rsid w:val="005C790E"/>
    <w:rsid w:val="005D01B4"/>
    <w:rsid w:val="005D37AC"/>
    <w:rsid w:val="005D3FEC"/>
    <w:rsid w:val="005D4163"/>
    <w:rsid w:val="005D7FCA"/>
    <w:rsid w:val="005E256F"/>
    <w:rsid w:val="005E387B"/>
    <w:rsid w:val="005E7D52"/>
    <w:rsid w:val="005F0220"/>
    <w:rsid w:val="005F1286"/>
    <w:rsid w:val="005F1C9C"/>
    <w:rsid w:val="005F1D9F"/>
    <w:rsid w:val="005F2712"/>
    <w:rsid w:val="005F3BCF"/>
    <w:rsid w:val="005F3F4F"/>
    <w:rsid w:val="005F473C"/>
    <w:rsid w:val="005F5291"/>
    <w:rsid w:val="005F559D"/>
    <w:rsid w:val="005F7797"/>
    <w:rsid w:val="00600133"/>
    <w:rsid w:val="00600AEB"/>
    <w:rsid w:val="00601B08"/>
    <w:rsid w:val="006067ED"/>
    <w:rsid w:val="00610A7A"/>
    <w:rsid w:val="006123FF"/>
    <w:rsid w:val="00617B9A"/>
    <w:rsid w:val="00621003"/>
    <w:rsid w:val="00621BE0"/>
    <w:rsid w:val="00622437"/>
    <w:rsid w:val="00622729"/>
    <w:rsid w:val="00622DC9"/>
    <w:rsid w:val="00625395"/>
    <w:rsid w:val="00627B31"/>
    <w:rsid w:val="00630A88"/>
    <w:rsid w:val="00631C61"/>
    <w:rsid w:val="00632BD2"/>
    <w:rsid w:val="00633DB4"/>
    <w:rsid w:val="00634022"/>
    <w:rsid w:val="00634CD5"/>
    <w:rsid w:val="006359B6"/>
    <w:rsid w:val="0064107C"/>
    <w:rsid w:val="006417F2"/>
    <w:rsid w:val="00647233"/>
    <w:rsid w:val="00650DFB"/>
    <w:rsid w:val="0065290B"/>
    <w:rsid w:val="00652CB8"/>
    <w:rsid w:val="00653DD4"/>
    <w:rsid w:val="00662994"/>
    <w:rsid w:val="00663F79"/>
    <w:rsid w:val="00664EFC"/>
    <w:rsid w:val="00667A05"/>
    <w:rsid w:val="00667CB5"/>
    <w:rsid w:val="00670662"/>
    <w:rsid w:val="006724C3"/>
    <w:rsid w:val="00672AFD"/>
    <w:rsid w:val="00674060"/>
    <w:rsid w:val="00674AB4"/>
    <w:rsid w:val="00675CDE"/>
    <w:rsid w:val="00676CC5"/>
    <w:rsid w:val="00677833"/>
    <w:rsid w:val="00680231"/>
    <w:rsid w:val="0068074A"/>
    <w:rsid w:val="006811B0"/>
    <w:rsid w:val="006830D8"/>
    <w:rsid w:val="00683C51"/>
    <w:rsid w:val="00684575"/>
    <w:rsid w:val="00684B8B"/>
    <w:rsid w:val="00686864"/>
    <w:rsid w:val="00687D4B"/>
    <w:rsid w:val="00690B4B"/>
    <w:rsid w:val="00690D11"/>
    <w:rsid w:val="006921D8"/>
    <w:rsid w:val="00692319"/>
    <w:rsid w:val="006948C5"/>
    <w:rsid w:val="006A00F9"/>
    <w:rsid w:val="006A0EF6"/>
    <w:rsid w:val="006A1E10"/>
    <w:rsid w:val="006A2180"/>
    <w:rsid w:val="006A4021"/>
    <w:rsid w:val="006A4833"/>
    <w:rsid w:val="006A6211"/>
    <w:rsid w:val="006B0AB9"/>
    <w:rsid w:val="006B3AEF"/>
    <w:rsid w:val="006B400C"/>
    <w:rsid w:val="006B4039"/>
    <w:rsid w:val="006B60A4"/>
    <w:rsid w:val="006B7494"/>
    <w:rsid w:val="006C3554"/>
    <w:rsid w:val="006C46A0"/>
    <w:rsid w:val="006C4E9A"/>
    <w:rsid w:val="006C613C"/>
    <w:rsid w:val="006C6150"/>
    <w:rsid w:val="006C6CC9"/>
    <w:rsid w:val="006D0023"/>
    <w:rsid w:val="006D03AF"/>
    <w:rsid w:val="006D122A"/>
    <w:rsid w:val="006D2D7A"/>
    <w:rsid w:val="006D433E"/>
    <w:rsid w:val="006D5219"/>
    <w:rsid w:val="006D56D6"/>
    <w:rsid w:val="006D5C05"/>
    <w:rsid w:val="006E0984"/>
    <w:rsid w:val="006E20EA"/>
    <w:rsid w:val="006E2EF9"/>
    <w:rsid w:val="006E37F4"/>
    <w:rsid w:val="006E3CC4"/>
    <w:rsid w:val="006E431B"/>
    <w:rsid w:val="006E6694"/>
    <w:rsid w:val="006E6B30"/>
    <w:rsid w:val="006E713C"/>
    <w:rsid w:val="006F2140"/>
    <w:rsid w:val="006F24D1"/>
    <w:rsid w:val="006F2B02"/>
    <w:rsid w:val="006F3B97"/>
    <w:rsid w:val="006F46B7"/>
    <w:rsid w:val="006F4E66"/>
    <w:rsid w:val="006F4ED3"/>
    <w:rsid w:val="006F52BE"/>
    <w:rsid w:val="006F5F4A"/>
    <w:rsid w:val="006F6343"/>
    <w:rsid w:val="007033C1"/>
    <w:rsid w:val="00703C79"/>
    <w:rsid w:val="0070478B"/>
    <w:rsid w:val="00706DDA"/>
    <w:rsid w:val="00707C34"/>
    <w:rsid w:val="00710F50"/>
    <w:rsid w:val="00711119"/>
    <w:rsid w:val="00711F71"/>
    <w:rsid w:val="00712BAB"/>
    <w:rsid w:val="00714046"/>
    <w:rsid w:val="00715174"/>
    <w:rsid w:val="00716CB6"/>
    <w:rsid w:val="00720B0A"/>
    <w:rsid w:val="00720CF1"/>
    <w:rsid w:val="007215C9"/>
    <w:rsid w:val="00721B05"/>
    <w:rsid w:val="00723072"/>
    <w:rsid w:val="00723F0B"/>
    <w:rsid w:val="007275BD"/>
    <w:rsid w:val="007309C0"/>
    <w:rsid w:val="00731874"/>
    <w:rsid w:val="0073296A"/>
    <w:rsid w:val="007362A2"/>
    <w:rsid w:val="0074005C"/>
    <w:rsid w:val="007405E6"/>
    <w:rsid w:val="00740AFA"/>
    <w:rsid w:val="00740D8B"/>
    <w:rsid w:val="00741B0B"/>
    <w:rsid w:val="00742154"/>
    <w:rsid w:val="00743420"/>
    <w:rsid w:val="00744CBE"/>
    <w:rsid w:val="0074603A"/>
    <w:rsid w:val="00747520"/>
    <w:rsid w:val="0075374C"/>
    <w:rsid w:val="00753D54"/>
    <w:rsid w:val="00755290"/>
    <w:rsid w:val="00755935"/>
    <w:rsid w:val="00757684"/>
    <w:rsid w:val="00757F90"/>
    <w:rsid w:val="00765315"/>
    <w:rsid w:val="0076600D"/>
    <w:rsid w:val="007707F6"/>
    <w:rsid w:val="00774590"/>
    <w:rsid w:val="007758A4"/>
    <w:rsid w:val="007767B7"/>
    <w:rsid w:val="007801CE"/>
    <w:rsid w:val="00780E76"/>
    <w:rsid w:val="00781095"/>
    <w:rsid w:val="0078146B"/>
    <w:rsid w:val="007822D3"/>
    <w:rsid w:val="0078730A"/>
    <w:rsid w:val="007905AC"/>
    <w:rsid w:val="00790878"/>
    <w:rsid w:val="00790A50"/>
    <w:rsid w:val="0079290E"/>
    <w:rsid w:val="0079523C"/>
    <w:rsid w:val="007A032E"/>
    <w:rsid w:val="007A13B0"/>
    <w:rsid w:val="007A2036"/>
    <w:rsid w:val="007A2CC7"/>
    <w:rsid w:val="007A2F09"/>
    <w:rsid w:val="007A3D40"/>
    <w:rsid w:val="007A52B8"/>
    <w:rsid w:val="007A78F2"/>
    <w:rsid w:val="007B0B38"/>
    <w:rsid w:val="007B14AE"/>
    <w:rsid w:val="007B1F33"/>
    <w:rsid w:val="007B34C8"/>
    <w:rsid w:val="007B3D03"/>
    <w:rsid w:val="007B45B5"/>
    <w:rsid w:val="007B4935"/>
    <w:rsid w:val="007B4E78"/>
    <w:rsid w:val="007B6C0A"/>
    <w:rsid w:val="007B70B0"/>
    <w:rsid w:val="007B7F3E"/>
    <w:rsid w:val="007C026A"/>
    <w:rsid w:val="007C294A"/>
    <w:rsid w:val="007C2B08"/>
    <w:rsid w:val="007C4190"/>
    <w:rsid w:val="007C62AA"/>
    <w:rsid w:val="007C69F0"/>
    <w:rsid w:val="007C6D2A"/>
    <w:rsid w:val="007C76B5"/>
    <w:rsid w:val="007D1A62"/>
    <w:rsid w:val="007D21F5"/>
    <w:rsid w:val="007D2442"/>
    <w:rsid w:val="007D2FEB"/>
    <w:rsid w:val="007D5A68"/>
    <w:rsid w:val="007D73E7"/>
    <w:rsid w:val="007E02DA"/>
    <w:rsid w:val="007E0895"/>
    <w:rsid w:val="007E0CA6"/>
    <w:rsid w:val="007E12C9"/>
    <w:rsid w:val="007E2458"/>
    <w:rsid w:val="007E2F81"/>
    <w:rsid w:val="007E349A"/>
    <w:rsid w:val="007E3661"/>
    <w:rsid w:val="007E578C"/>
    <w:rsid w:val="007F105A"/>
    <w:rsid w:val="007F382A"/>
    <w:rsid w:val="007F3AC5"/>
    <w:rsid w:val="00800752"/>
    <w:rsid w:val="008018D6"/>
    <w:rsid w:val="00801C68"/>
    <w:rsid w:val="008027B2"/>
    <w:rsid w:val="008028E5"/>
    <w:rsid w:val="00802911"/>
    <w:rsid w:val="008046BB"/>
    <w:rsid w:val="008070B5"/>
    <w:rsid w:val="0080791E"/>
    <w:rsid w:val="00810F83"/>
    <w:rsid w:val="00811BED"/>
    <w:rsid w:val="00813129"/>
    <w:rsid w:val="008139BD"/>
    <w:rsid w:val="00814E80"/>
    <w:rsid w:val="0081620C"/>
    <w:rsid w:val="00817B1A"/>
    <w:rsid w:val="008203F4"/>
    <w:rsid w:val="00822B9B"/>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D1D"/>
    <w:rsid w:val="008350C7"/>
    <w:rsid w:val="008404CE"/>
    <w:rsid w:val="008409A3"/>
    <w:rsid w:val="00842593"/>
    <w:rsid w:val="00842974"/>
    <w:rsid w:val="00844B03"/>
    <w:rsid w:val="0084501A"/>
    <w:rsid w:val="0084654D"/>
    <w:rsid w:val="00850976"/>
    <w:rsid w:val="00851270"/>
    <w:rsid w:val="008514FC"/>
    <w:rsid w:val="008519C4"/>
    <w:rsid w:val="008524F0"/>
    <w:rsid w:val="00854EE3"/>
    <w:rsid w:val="0085672D"/>
    <w:rsid w:val="00856947"/>
    <w:rsid w:val="00856C62"/>
    <w:rsid w:val="00856D59"/>
    <w:rsid w:val="0085791E"/>
    <w:rsid w:val="008614EC"/>
    <w:rsid w:val="00861A34"/>
    <w:rsid w:val="00865549"/>
    <w:rsid w:val="0086569C"/>
    <w:rsid w:val="00867700"/>
    <w:rsid w:val="0087162C"/>
    <w:rsid w:val="00871DCB"/>
    <w:rsid w:val="0087217A"/>
    <w:rsid w:val="00874014"/>
    <w:rsid w:val="00874D6C"/>
    <w:rsid w:val="008751BF"/>
    <w:rsid w:val="00875E8C"/>
    <w:rsid w:val="008764D3"/>
    <w:rsid w:val="008849D2"/>
    <w:rsid w:val="00885908"/>
    <w:rsid w:val="0088696E"/>
    <w:rsid w:val="00890244"/>
    <w:rsid w:val="00890D23"/>
    <w:rsid w:val="00892ABC"/>
    <w:rsid w:val="00893EB4"/>
    <w:rsid w:val="00894F50"/>
    <w:rsid w:val="008A0106"/>
    <w:rsid w:val="008A028B"/>
    <w:rsid w:val="008A0E45"/>
    <w:rsid w:val="008A0E96"/>
    <w:rsid w:val="008A1A59"/>
    <w:rsid w:val="008A1EB5"/>
    <w:rsid w:val="008A42B3"/>
    <w:rsid w:val="008A5448"/>
    <w:rsid w:val="008A6A69"/>
    <w:rsid w:val="008A72F0"/>
    <w:rsid w:val="008B03A9"/>
    <w:rsid w:val="008B04C9"/>
    <w:rsid w:val="008B0572"/>
    <w:rsid w:val="008B11A0"/>
    <w:rsid w:val="008B1789"/>
    <w:rsid w:val="008B1E56"/>
    <w:rsid w:val="008B271A"/>
    <w:rsid w:val="008B37C5"/>
    <w:rsid w:val="008B52F4"/>
    <w:rsid w:val="008B5FDC"/>
    <w:rsid w:val="008B6389"/>
    <w:rsid w:val="008B6776"/>
    <w:rsid w:val="008B69FE"/>
    <w:rsid w:val="008B76F1"/>
    <w:rsid w:val="008C1A88"/>
    <w:rsid w:val="008C4BA3"/>
    <w:rsid w:val="008C608B"/>
    <w:rsid w:val="008C7480"/>
    <w:rsid w:val="008C7C3A"/>
    <w:rsid w:val="008C7D67"/>
    <w:rsid w:val="008D18A9"/>
    <w:rsid w:val="008D3D10"/>
    <w:rsid w:val="008D4B7B"/>
    <w:rsid w:val="008D51C4"/>
    <w:rsid w:val="008D5B63"/>
    <w:rsid w:val="008D5B73"/>
    <w:rsid w:val="008D60A8"/>
    <w:rsid w:val="008D7106"/>
    <w:rsid w:val="008E1064"/>
    <w:rsid w:val="008E2168"/>
    <w:rsid w:val="008E3731"/>
    <w:rsid w:val="008E3AFC"/>
    <w:rsid w:val="008E4330"/>
    <w:rsid w:val="008E4420"/>
    <w:rsid w:val="008E644E"/>
    <w:rsid w:val="008E6AAA"/>
    <w:rsid w:val="008F1F5E"/>
    <w:rsid w:val="008F256E"/>
    <w:rsid w:val="008F422F"/>
    <w:rsid w:val="008F578C"/>
    <w:rsid w:val="008F591E"/>
    <w:rsid w:val="008F5DAF"/>
    <w:rsid w:val="00901697"/>
    <w:rsid w:val="00901B03"/>
    <w:rsid w:val="00901EA2"/>
    <w:rsid w:val="00902ED4"/>
    <w:rsid w:val="00905436"/>
    <w:rsid w:val="0090586B"/>
    <w:rsid w:val="009061A1"/>
    <w:rsid w:val="00906C61"/>
    <w:rsid w:val="00911D56"/>
    <w:rsid w:val="009127B3"/>
    <w:rsid w:val="00913807"/>
    <w:rsid w:val="0091493E"/>
    <w:rsid w:val="00914EA0"/>
    <w:rsid w:val="009203D7"/>
    <w:rsid w:val="00920870"/>
    <w:rsid w:val="00921752"/>
    <w:rsid w:val="00922DC0"/>
    <w:rsid w:val="009232E2"/>
    <w:rsid w:val="00925589"/>
    <w:rsid w:val="00926531"/>
    <w:rsid w:val="009273DE"/>
    <w:rsid w:val="00927FCE"/>
    <w:rsid w:val="00930934"/>
    <w:rsid w:val="00930C75"/>
    <w:rsid w:val="0093121F"/>
    <w:rsid w:val="00933827"/>
    <w:rsid w:val="009346BC"/>
    <w:rsid w:val="00934952"/>
    <w:rsid w:val="00935DFB"/>
    <w:rsid w:val="00936DED"/>
    <w:rsid w:val="00937A56"/>
    <w:rsid w:val="009413B9"/>
    <w:rsid w:val="009416FF"/>
    <w:rsid w:val="00942903"/>
    <w:rsid w:val="00942B94"/>
    <w:rsid w:val="00945885"/>
    <w:rsid w:val="00945DCE"/>
    <w:rsid w:val="009503D6"/>
    <w:rsid w:val="009506FF"/>
    <w:rsid w:val="00953734"/>
    <w:rsid w:val="00954B37"/>
    <w:rsid w:val="00955501"/>
    <w:rsid w:val="00961B0B"/>
    <w:rsid w:val="00961FED"/>
    <w:rsid w:val="00962BC1"/>
    <w:rsid w:val="00963458"/>
    <w:rsid w:val="00964ED5"/>
    <w:rsid w:val="0096677B"/>
    <w:rsid w:val="00966F34"/>
    <w:rsid w:val="009673C3"/>
    <w:rsid w:val="00971061"/>
    <w:rsid w:val="009711E1"/>
    <w:rsid w:val="00971A81"/>
    <w:rsid w:val="0097241C"/>
    <w:rsid w:val="00973CFE"/>
    <w:rsid w:val="009742B9"/>
    <w:rsid w:val="00977FF5"/>
    <w:rsid w:val="009840F3"/>
    <w:rsid w:val="00984548"/>
    <w:rsid w:val="00985572"/>
    <w:rsid w:val="00985DAD"/>
    <w:rsid w:val="0098666B"/>
    <w:rsid w:val="00990846"/>
    <w:rsid w:val="009938CA"/>
    <w:rsid w:val="00995E5E"/>
    <w:rsid w:val="0099653F"/>
    <w:rsid w:val="009A02BB"/>
    <w:rsid w:val="009A0B26"/>
    <w:rsid w:val="009A1E9E"/>
    <w:rsid w:val="009A3345"/>
    <w:rsid w:val="009A3569"/>
    <w:rsid w:val="009A3701"/>
    <w:rsid w:val="009A53EE"/>
    <w:rsid w:val="009A56BF"/>
    <w:rsid w:val="009A6EBF"/>
    <w:rsid w:val="009B05C4"/>
    <w:rsid w:val="009B1178"/>
    <w:rsid w:val="009B2DAA"/>
    <w:rsid w:val="009B3F32"/>
    <w:rsid w:val="009B4B09"/>
    <w:rsid w:val="009B55C4"/>
    <w:rsid w:val="009B5AE3"/>
    <w:rsid w:val="009C1736"/>
    <w:rsid w:val="009C1AA7"/>
    <w:rsid w:val="009C2C28"/>
    <w:rsid w:val="009C3D70"/>
    <w:rsid w:val="009C3F33"/>
    <w:rsid w:val="009C49C2"/>
    <w:rsid w:val="009C4AF8"/>
    <w:rsid w:val="009C5D1A"/>
    <w:rsid w:val="009C5E47"/>
    <w:rsid w:val="009C5F4D"/>
    <w:rsid w:val="009D032A"/>
    <w:rsid w:val="009D070A"/>
    <w:rsid w:val="009D1498"/>
    <w:rsid w:val="009D485E"/>
    <w:rsid w:val="009D4926"/>
    <w:rsid w:val="009D64DE"/>
    <w:rsid w:val="009E12DA"/>
    <w:rsid w:val="009E3036"/>
    <w:rsid w:val="009E30E1"/>
    <w:rsid w:val="009E3F50"/>
    <w:rsid w:val="009E4AEE"/>
    <w:rsid w:val="009E544F"/>
    <w:rsid w:val="009E61F1"/>
    <w:rsid w:val="009E74DB"/>
    <w:rsid w:val="009E7A1C"/>
    <w:rsid w:val="009F18B4"/>
    <w:rsid w:val="009F1C93"/>
    <w:rsid w:val="009F2F79"/>
    <w:rsid w:val="009F49E9"/>
    <w:rsid w:val="009F4C66"/>
    <w:rsid w:val="009F64CB"/>
    <w:rsid w:val="00A00671"/>
    <w:rsid w:val="00A00A41"/>
    <w:rsid w:val="00A0205B"/>
    <w:rsid w:val="00A042AA"/>
    <w:rsid w:val="00A04E5B"/>
    <w:rsid w:val="00A05964"/>
    <w:rsid w:val="00A06C44"/>
    <w:rsid w:val="00A07580"/>
    <w:rsid w:val="00A10463"/>
    <w:rsid w:val="00A1154E"/>
    <w:rsid w:val="00A13396"/>
    <w:rsid w:val="00A137FA"/>
    <w:rsid w:val="00A16211"/>
    <w:rsid w:val="00A1733E"/>
    <w:rsid w:val="00A1781B"/>
    <w:rsid w:val="00A17C0B"/>
    <w:rsid w:val="00A20467"/>
    <w:rsid w:val="00A20C35"/>
    <w:rsid w:val="00A22311"/>
    <w:rsid w:val="00A224E1"/>
    <w:rsid w:val="00A2256B"/>
    <w:rsid w:val="00A231F6"/>
    <w:rsid w:val="00A24D7F"/>
    <w:rsid w:val="00A254EE"/>
    <w:rsid w:val="00A25571"/>
    <w:rsid w:val="00A30618"/>
    <w:rsid w:val="00A310D3"/>
    <w:rsid w:val="00A321FD"/>
    <w:rsid w:val="00A34AC9"/>
    <w:rsid w:val="00A356A6"/>
    <w:rsid w:val="00A36EAD"/>
    <w:rsid w:val="00A36F20"/>
    <w:rsid w:val="00A3720F"/>
    <w:rsid w:val="00A403DD"/>
    <w:rsid w:val="00A4074B"/>
    <w:rsid w:val="00A41B72"/>
    <w:rsid w:val="00A44304"/>
    <w:rsid w:val="00A44DA9"/>
    <w:rsid w:val="00A453FC"/>
    <w:rsid w:val="00A462C5"/>
    <w:rsid w:val="00A4645D"/>
    <w:rsid w:val="00A47F0F"/>
    <w:rsid w:val="00A51022"/>
    <w:rsid w:val="00A5108F"/>
    <w:rsid w:val="00A5190A"/>
    <w:rsid w:val="00A51CE4"/>
    <w:rsid w:val="00A538AF"/>
    <w:rsid w:val="00A539B6"/>
    <w:rsid w:val="00A53F54"/>
    <w:rsid w:val="00A5649B"/>
    <w:rsid w:val="00A5775C"/>
    <w:rsid w:val="00A617E0"/>
    <w:rsid w:val="00A61DBC"/>
    <w:rsid w:val="00A635BC"/>
    <w:rsid w:val="00A63DC4"/>
    <w:rsid w:val="00A646E5"/>
    <w:rsid w:val="00A64CF5"/>
    <w:rsid w:val="00A6512C"/>
    <w:rsid w:val="00A66900"/>
    <w:rsid w:val="00A70411"/>
    <w:rsid w:val="00A716C0"/>
    <w:rsid w:val="00A71C0B"/>
    <w:rsid w:val="00A7377E"/>
    <w:rsid w:val="00A757DF"/>
    <w:rsid w:val="00A761EB"/>
    <w:rsid w:val="00A7788F"/>
    <w:rsid w:val="00A77BFA"/>
    <w:rsid w:val="00A80E02"/>
    <w:rsid w:val="00A82FC7"/>
    <w:rsid w:val="00A83443"/>
    <w:rsid w:val="00A83BB8"/>
    <w:rsid w:val="00A83D0D"/>
    <w:rsid w:val="00A845D8"/>
    <w:rsid w:val="00A84C6F"/>
    <w:rsid w:val="00A8587B"/>
    <w:rsid w:val="00A86AF3"/>
    <w:rsid w:val="00A879C4"/>
    <w:rsid w:val="00A92845"/>
    <w:rsid w:val="00A940C4"/>
    <w:rsid w:val="00A9438F"/>
    <w:rsid w:val="00A952E0"/>
    <w:rsid w:val="00A96338"/>
    <w:rsid w:val="00AA0437"/>
    <w:rsid w:val="00AA099F"/>
    <w:rsid w:val="00AA2A6E"/>
    <w:rsid w:val="00AA3150"/>
    <w:rsid w:val="00AA4053"/>
    <w:rsid w:val="00AA4071"/>
    <w:rsid w:val="00AA47AC"/>
    <w:rsid w:val="00AA5774"/>
    <w:rsid w:val="00AA75CD"/>
    <w:rsid w:val="00AB0625"/>
    <w:rsid w:val="00AB278C"/>
    <w:rsid w:val="00AB3FA6"/>
    <w:rsid w:val="00AB42DE"/>
    <w:rsid w:val="00AB7537"/>
    <w:rsid w:val="00AC009B"/>
    <w:rsid w:val="00AC04B7"/>
    <w:rsid w:val="00AC14C1"/>
    <w:rsid w:val="00AC340B"/>
    <w:rsid w:val="00AC3CFD"/>
    <w:rsid w:val="00AC5A16"/>
    <w:rsid w:val="00AC7E46"/>
    <w:rsid w:val="00AD11BF"/>
    <w:rsid w:val="00AD48FC"/>
    <w:rsid w:val="00AD4F40"/>
    <w:rsid w:val="00AD5655"/>
    <w:rsid w:val="00AD5A81"/>
    <w:rsid w:val="00AD7006"/>
    <w:rsid w:val="00AD75BE"/>
    <w:rsid w:val="00AE0A48"/>
    <w:rsid w:val="00AE14FE"/>
    <w:rsid w:val="00AE1CA3"/>
    <w:rsid w:val="00AE2839"/>
    <w:rsid w:val="00AE2ED7"/>
    <w:rsid w:val="00AE32E8"/>
    <w:rsid w:val="00AE4A50"/>
    <w:rsid w:val="00AE4EE9"/>
    <w:rsid w:val="00AE50F9"/>
    <w:rsid w:val="00AE69BA"/>
    <w:rsid w:val="00AE7C1B"/>
    <w:rsid w:val="00AE7DB2"/>
    <w:rsid w:val="00AF0BF5"/>
    <w:rsid w:val="00AF10FA"/>
    <w:rsid w:val="00AF19EF"/>
    <w:rsid w:val="00AF2215"/>
    <w:rsid w:val="00AF3F87"/>
    <w:rsid w:val="00AF4D4A"/>
    <w:rsid w:val="00AF4EAB"/>
    <w:rsid w:val="00AF5303"/>
    <w:rsid w:val="00AF649C"/>
    <w:rsid w:val="00AF74FE"/>
    <w:rsid w:val="00AF7580"/>
    <w:rsid w:val="00B00D37"/>
    <w:rsid w:val="00B01304"/>
    <w:rsid w:val="00B0290A"/>
    <w:rsid w:val="00B02C6C"/>
    <w:rsid w:val="00B0486C"/>
    <w:rsid w:val="00B05679"/>
    <w:rsid w:val="00B0629E"/>
    <w:rsid w:val="00B07E27"/>
    <w:rsid w:val="00B120D6"/>
    <w:rsid w:val="00B12232"/>
    <w:rsid w:val="00B126E6"/>
    <w:rsid w:val="00B14EE2"/>
    <w:rsid w:val="00B16F4D"/>
    <w:rsid w:val="00B17DCB"/>
    <w:rsid w:val="00B21E11"/>
    <w:rsid w:val="00B22F12"/>
    <w:rsid w:val="00B22F42"/>
    <w:rsid w:val="00B23E62"/>
    <w:rsid w:val="00B265AE"/>
    <w:rsid w:val="00B301A2"/>
    <w:rsid w:val="00B3201E"/>
    <w:rsid w:val="00B328D3"/>
    <w:rsid w:val="00B335F2"/>
    <w:rsid w:val="00B35A70"/>
    <w:rsid w:val="00B35E77"/>
    <w:rsid w:val="00B400D9"/>
    <w:rsid w:val="00B40805"/>
    <w:rsid w:val="00B41A6E"/>
    <w:rsid w:val="00B42C30"/>
    <w:rsid w:val="00B43139"/>
    <w:rsid w:val="00B4323B"/>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163D"/>
    <w:rsid w:val="00B6235A"/>
    <w:rsid w:val="00B65A12"/>
    <w:rsid w:val="00B66966"/>
    <w:rsid w:val="00B6792E"/>
    <w:rsid w:val="00B70556"/>
    <w:rsid w:val="00B7113B"/>
    <w:rsid w:val="00B71B68"/>
    <w:rsid w:val="00B74A1A"/>
    <w:rsid w:val="00B752E3"/>
    <w:rsid w:val="00B75E86"/>
    <w:rsid w:val="00B800BE"/>
    <w:rsid w:val="00B81773"/>
    <w:rsid w:val="00B82302"/>
    <w:rsid w:val="00B838AB"/>
    <w:rsid w:val="00B85369"/>
    <w:rsid w:val="00B85ECD"/>
    <w:rsid w:val="00B87DB8"/>
    <w:rsid w:val="00B90776"/>
    <w:rsid w:val="00B915AE"/>
    <w:rsid w:val="00B92BDA"/>
    <w:rsid w:val="00B930C3"/>
    <w:rsid w:val="00B936A9"/>
    <w:rsid w:val="00B9421A"/>
    <w:rsid w:val="00B94FCF"/>
    <w:rsid w:val="00B95BC1"/>
    <w:rsid w:val="00B9691D"/>
    <w:rsid w:val="00B96A67"/>
    <w:rsid w:val="00B96C04"/>
    <w:rsid w:val="00BA374B"/>
    <w:rsid w:val="00BA5DCB"/>
    <w:rsid w:val="00BA771C"/>
    <w:rsid w:val="00BB1902"/>
    <w:rsid w:val="00BB354E"/>
    <w:rsid w:val="00BB466C"/>
    <w:rsid w:val="00BB473F"/>
    <w:rsid w:val="00BB483C"/>
    <w:rsid w:val="00BB7732"/>
    <w:rsid w:val="00BC0AD2"/>
    <w:rsid w:val="00BC1D92"/>
    <w:rsid w:val="00BC5FA1"/>
    <w:rsid w:val="00BC7703"/>
    <w:rsid w:val="00BC7729"/>
    <w:rsid w:val="00BD0510"/>
    <w:rsid w:val="00BD1099"/>
    <w:rsid w:val="00BD123E"/>
    <w:rsid w:val="00BD128F"/>
    <w:rsid w:val="00BD6310"/>
    <w:rsid w:val="00BD6BBB"/>
    <w:rsid w:val="00BD78CC"/>
    <w:rsid w:val="00BE04FF"/>
    <w:rsid w:val="00BE120C"/>
    <w:rsid w:val="00BE18BE"/>
    <w:rsid w:val="00BE2E94"/>
    <w:rsid w:val="00BE5271"/>
    <w:rsid w:val="00BE64AF"/>
    <w:rsid w:val="00BE66B4"/>
    <w:rsid w:val="00BF0CDD"/>
    <w:rsid w:val="00BF1087"/>
    <w:rsid w:val="00BF198B"/>
    <w:rsid w:val="00BF357B"/>
    <w:rsid w:val="00BF5F9F"/>
    <w:rsid w:val="00BF736F"/>
    <w:rsid w:val="00C002AE"/>
    <w:rsid w:val="00C035DC"/>
    <w:rsid w:val="00C039F2"/>
    <w:rsid w:val="00C064AA"/>
    <w:rsid w:val="00C103BD"/>
    <w:rsid w:val="00C11CC3"/>
    <w:rsid w:val="00C14457"/>
    <w:rsid w:val="00C14680"/>
    <w:rsid w:val="00C14787"/>
    <w:rsid w:val="00C14FA4"/>
    <w:rsid w:val="00C15C4E"/>
    <w:rsid w:val="00C169F8"/>
    <w:rsid w:val="00C20D76"/>
    <w:rsid w:val="00C211F1"/>
    <w:rsid w:val="00C265E5"/>
    <w:rsid w:val="00C278A4"/>
    <w:rsid w:val="00C325E6"/>
    <w:rsid w:val="00C32791"/>
    <w:rsid w:val="00C33154"/>
    <w:rsid w:val="00C340AB"/>
    <w:rsid w:val="00C3423C"/>
    <w:rsid w:val="00C345DC"/>
    <w:rsid w:val="00C34D00"/>
    <w:rsid w:val="00C34F43"/>
    <w:rsid w:val="00C3512F"/>
    <w:rsid w:val="00C37282"/>
    <w:rsid w:val="00C405D2"/>
    <w:rsid w:val="00C43914"/>
    <w:rsid w:val="00C44975"/>
    <w:rsid w:val="00C45605"/>
    <w:rsid w:val="00C4647A"/>
    <w:rsid w:val="00C500EA"/>
    <w:rsid w:val="00C52048"/>
    <w:rsid w:val="00C52D3D"/>
    <w:rsid w:val="00C565B3"/>
    <w:rsid w:val="00C572C0"/>
    <w:rsid w:val="00C576C2"/>
    <w:rsid w:val="00C61010"/>
    <w:rsid w:val="00C61DC8"/>
    <w:rsid w:val="00C6244F"/>
    <w:rsid w:val="00C62917"/>
    <w:rsid w:val="00C63605"/>
    <w:rsid w:val="00C63EFA"/>
    <w:rsid w:val="00C64D5C"/>
    <w:rsid w:val="00C662C1"/>
    <w:rsid w:val="00C665E3"/>
    <w:rsid w:val="00C666EA"/>
    <w:rsid w:val="00C67C69"/>
    <w:rsid w:val="00C75859"/>
    <w:rsid w:val="00C76344"/>
    <w:rsid w:val="00C76893"/>
    <w:rsid w:val="00C77425"/>
    <w:rsid w:val="00C81069"/>
    <w:rsid w:val="00C811A3"/>
    <w:rsid w:val="00C81723"/>
    <w:rsid w:val="00C83B93"/>
    <w:rsid w:val="00C85EB3"/>
    <w:rsid w:val="00C873F9"/>
    <w:rsid w:val="00C87A1D"/>
    <w:rsid w:val="00C87AE7"/>
    <w:rsid w:val="00C90E60"/>
    <w:rsid w:val="00C9173D"/>
    <w:rsid w:val="00C93D7F"/>
    <w:rsid w:val="00C94C2C"/>
    <w:rsid w:val="00C95400"/>
    <w:rsid w:val="00C9570B"/>
    <w:rsid w:val="00C95A02"/>
    <w:rsid w:val="00CA05F2"/>
    <w:rsid w:val="00CA173F"/>
    <w:rsid w:val="00CA4B88"/>
    <w:rsid w:val="00CA50C7"/>
    <w:rsid w:val="00CA69CA"/>
    <w:rsid w:val="00CA743C"/>
    <w:rsid w:val="00CA756A"/>
    <w:rsid w:val="00CB1043"/>
    <w:rsid w:val="00CB1869"/>
    <w:rsid w:val="00CB1B60"/>
    <w:rsid w:val="00CB4937"/>
    <w:rsid w:val="00CB4B13"/>
    <w:rsid w:val="00CB5DD5"/>
    <w:rsid w:val="00CB5ED3"/>
    <w:rsid w:val="00CB6C5F"/>
    <w:rsid w:val="00CB7467"/>
    <w:rsid w:val="00CC0B7B"/>
    <w:rsid w:val="00CC1A6C"/>
    <w:rsid w:val="00CC22F6"/>
    <w:rsid w:val="00CC2BD2"/>
    <w:rsid w:val="00CC2C3F"/>
    <w:rsid w:val="00CC4B93"/>
    <w:rsid w:val="00CC5A36"/>
    <w:rsid w:val="00CC5BB0"/>
    <w:rsid w:val="00CC6B56"/>
    <w:rsid w:val="00CC7A1B"/>
    <w:rsid w:val="00CD0842"/>
    <w:rsid w:val="00CD1F94"/>
    <w:rsid w:val="00CD2523"/>
    <w:rsid w:val="00CD30EE"/>
    <w:rsid w:val="00CD3745"/>
    <w:rsid w:val="00CD39BE"/>
    <w:rsid w:val="00CE009B"/>
    <w:rsid w:val="00CE1941"/>
    <w:rsid w:val="00CE1EF4"/>
    <w:rsid w:val="00CE2584"/>
    <w:rsid w:val="00CE271F"/>
    <w:rsid w:val="00CE3C32"/>
    <w:rsid w:val="00CE6CDC"/>
    <w:rsid w:val="00CE7352"/>
    <w:rsid w:val="00CF1D0F"/>
    <w:rsid w:val="00CF25F6"/>
    <w:rsid w:val="00CF47B2"/>
    <w:rsid w:val="00CF5868"/>
    <w:rsid w:val="00CF5A35"/>
    <w:rsid w:val="00CF64CC"/>
    <w:rsid w:val="00D009AF"/>
    <w:rsid w:val="00D0146E"/>
    <w:rsid w:val="00D0161B"/>
    <w:rsid w:val="00D03115"/>
    <w:rsid w:val="00D033FA"/>
    <w:rsid w:val="00D0524D"/>
    <w:rsid w:val="00D06B51"/>
    <w:rsid w:val="00D11F3E"/>
    <w:rsid w:val="00D15920"/>
    <w:rsid w:val="00D15E31"/>
    <w:rsid w:val="00D16351"/>
    <w:rsid w:val="00D16991"/>
    <w:rsid w:val="00D16C5E"/>
    <w:rsid w:val="00D1702E"/>
    <w:rsid w:val="00D20506"/>
    <w:rsid w:val="00D215C5"/>
    <w:rsid w:val="00D2225D"/>
    <w:rsid w:val="00D23CE7"/>
    <w:rsid w:val="00D23EB2"/>
    <w:rsid w:val="00D244E4"/>
    <w:rsid w:val="00D24875"/>
    <w:rsid w:val="00D25AB0"/>
    <w:rsid w:val="00D261D7"/>
    <w:rsid w:val="00D2778B"/>
    <w:rsid w:val="00D27D33"/>
    <w:rsid w:val="00D302D4"/>
    <w:rsid w:val="00D3495D"/>
    <w:rsid w:val="00D358BD"/>
    <w:rsid w:val="00D37943"/>
    <w:rsid w:val="00D42CF0"/>
    <w:rsid w:val="00D43E68"/>
    <w:rsid w:val="00D445B1"/>
    <w:rsid w:val="00D44A41"/>
    <w:rsid w:val="00D44C2F"/>
    <w:rsid w:val="00D45D1C"/>
    <w:rsid w:val="00D45DD2"/>
    <w:rsid w:val="00D45F0A"/>
    <w:rsid w:val="00D46B7E"/>
    <w:rsid w:val="00D47B91"/>
    <w:rsid w:val="00D5072D"/>
    <w:rsid w:val="00D50E7D"/>
    <w:rsid w:val="00D51824"/>
    <w:rsid w:val="00D5279C"/>
    <w:rsid w:val="00D52B95"/>
    <w:rsid w:val="00D53394"/>
    <w:rsid w:val="00D54DCB"/>
    <w:rsid w:val="00D56728"/>
    <w:rsid w:val="00D6041A"/>
    <w:rsid w:val="00D6197C"/>
    <w:rsid w:val="00D64EEA"/>
    <w:rsid w:val="00D6531E"/>
    <w:rsid w:val="00D6672A"/>
    <w:rsid w:val="00D66CE3"/>
    <w:rsid w:val="00D709F4"/>
    <w:rsid w:val="00D70A0F"/>
    <w:rsid w:val="00D72508"/>
    <w:rsid w:val="00D72CB7"/>
    <w:rsid w:val="00D7339A"/>
    <w:rsid w:val="00D73DEE"/>
    <w:rsid w:val="00D76AB2"/>
    <w:rsid w:val="00D777E8"/>
    <w:rsid w:val="00D77F24"/>
    <w:rsid w:val="00D80204"/>
    <w:rsid w:val="00D81BAC"/>
    <w:rsid w:val="00D825D7"/>
    <w:rsid w:val="00D8533E"/>
    <w:rsid w:val="00D86DE1"/>
    <w:rsid w:val="00D87766"/>
    <w:rsid w:val="00D92C4F"/>
    <w:rsid w:val="00D9380C"/>
    <w:rsid w:val="00D94694"/>
    <w:rsid w:val="00D958BB"/>
    <w:rsid w:val="00D96EBA"/>
    <w:rsid w:val="00D97486"/>
    <w:rsid w:val="00D974C1"/>
    <w:rsid w:val="00D97708"/>
    <w:rsid w:val="00D97CC1"/>
    <w:rsid w:val="00DA0594"/>
    <w:rsid w:val="00DA1318"/>
    <w:rsid w:val="00DA2108"/>
    <w:rsid w:val="00DA3E7E"/>
    <w:rsid w:val="00DA4BB3"/>
    <w:rsid w:val="00DA6442"/>
    <w:rsid w:val="00DA79BF"/>
    <w:rsid w:val="00DA7C84"/>
    <w:rsid w:val="00DB31AD"/>
    <w:rsid w:val="00DB42F8"/>
    <w:rsid w:val="00DB490A"/>
    <w:rsid w:val="00DB6171"/>
    <w:rsid w:val="00DC0678"/>
    <w:rsid w:val="00DC14C0"/>
    <w:rsid w:val="00DC24E8"/>
    <w:rsid w:val="00DC3EA1"/>
    <w:rsid w:val="00DC46C9"/>
    <w:rsid w:val="00DC478F"/>
    <w:rsid w:val="00DC51BD"/>
    <w:rsid w:val="00DC5E0B"/>
    <w:rsid w:val="00DC65B5"/>
    <w:rsid w:val="00DC6E15"/>
    <w:rsid w:val="00DC76DF"/>
    <w:rsid w:val="00DD01CA"/>
    <w:rsid w:val="00DD2062"/>
    <w:rsid w:val="00DD223B"/>
    <w:rsid w:val="00DD3A5C"/>
    <w:rsid w:val="00DD5421"/>
    <w:rsid w:val="00DE0E1F"/>
    <w:rsid w:val="00DE16BC"/>
    <w:rsid w:val="00DE417B"/>
    <w:rsid w:val="00DE522E"/>
    <w:rsid w:val="00DE5827"/>
    <w:rsid w:val="00DE5C57"/>
    <w:rsid w:val="00DE63ED"/>
    <w:rsid w:val="00DE7696"/>
    <w:rsid w:val="00DE79CC"/>
    <w:rsid w:val="00DF0115"/>
    <w:rsid w:val="00DF0280"/>
    <w:rsid w:val="00DF1D2A"/>
    <w:rsid w:val="00DF2ACB"/>
    <w:rsid w:val="00DF323B"/>
    <w:rsid w:val="00DF6910"/>
    <w:rsid w:val="00DF7356"/>
    <w:rsid w:val="00E01248"/>
    <w:rsid w:val="00E02920"/>
    <w:rsid w:val="00E02DBC"/>
    <w:rsid w:val="00E0318A"/>
    <w:rsid w:val="00E0378A"/>
    <w:rsid w:val="00E038D4"/>
    <w:rsid w:val="00E03B19"/>
    <w:rsid w:val="00E04010"/>
    <w:rsid w:val="00E04102"/>
    <w:rsid w:val="00E044D7"/>
    <w:rsid w:val="00E04A28"/>
    <w:rsid w:val="00E10C35"/>
    <w:rsid w:val="00E11C12"/>
    <w:rsid w:val="00E11C67"/>
    <w:rsid w:val="00E11D68"/>
    <w:rsid w:val="00E1343E"/>
    <w:rsid w:val="00E13AF7"/>
    <w:rsid w:val="00E14715"/>
    <w:rsid w:val="00E22098"/>
    <w:rsid w:val="00E2336B"/>
    <w:rsid w:val="00E23B32"/>
    <w:rsid w:val="00E24BF2"/>
    <w:rsid w:val="00E26DF3"/>
    <w:rsid w:val="00E306FF"/>
    <w:rsid w:val="00E30D62"/>
    <w:rsid w:val="00E30D83"/>
    <w:rsid w:val="00E31576"/>
    <w:rsid w:val="00E342D4"/>
    <w:rsid w:val="00E344DA"/>
    <w:rsid w:val="00E350CE"/>
    <w:rsid w:val="00E357B0"/>
    <w:rsid w:val="00E35C93"/>
    <w:rsid w:val="00E37E05"/>
    <w:rsid w:val="00E37E5F"/>
    <w:rsid w:val="00E41D3E"/>
    <w:rsid w:val="00E42557"/>
    <w:rsid w:val="00E437A1"/>
    <w:rsid w:val="00E43915"/>
    <w:rsid w:val="00E46204"/>
    <w:rsid w:val="00E46A00"/>
    <w:rsid w:val="00E47A07"/>
    <w:rsid w:val="00E47A2C"/>
    <w:rsid w:val="00E5074E"/>
    <w:rsid w:val="00E50A9F"/>
    <w:rsid w:val="00E50AD0"/>
    <w:rsid w:val="00E50C5D"/>
    <w:rsid w:val="00E5264E"/>
    <w:rsid w:val="00E52D29"/>
    <w:rsid w:val="00E52D8F"/>
    <w:rsid w:val="00E54FA6"/>
    <w:rsid w:val="00E551B6"/>
    <w:rsid w:val="00E56B6A"/>
    <w:rsid w:val="00E56CD4"/>
    <w:rsid w:val="00E60D06"/>
    <w:rsid w:val="00E62CB8"/>
    <w:rsid w:val="00E64407"/>
    <w:rsid w:val="00E70161"/>
    <w:rsid w:val="00E735A3"/>
    <w:rsid w:val="00E73DD0"/>
    <w:rsid w:val="00E76211"/>
    <w:rsid w:val="00E7626D"/>
    <w:rsid w:val="00E7761C"/>
    <w:rsid w:val="00E8011B"/>
    <w:rsid w:val="00E802F7"/>
    <w:rsid w:val="00E8099A"/>
    <w:rsid w:val="00E84210"/>
    <w:rsid w:val="00E84F77"/>
    <w:rsid w:val="00E8536C"/>
    <w:rsid w:val="00E85CB1"/>
    <w:rsid w:val="00E87923"/>
    <w:rsid w:val="00E90891"/>
    <w:rsid w:val="00E90ACA"/>
    <w:rsid w:val="00E90E5B"/>
    <w:rsid w:val="00E90F87"/>
    <w:rsid w:val="00E91737"/>
    <w:rsid w:val="00E92107"/>
    <w:rsid w:val="00E92F19"/>
    <w:rsid w:val="00E93074"/>
    <w:rsid w:val="00E96F0C"/>
    <w:rsid w:val="00E96FE8"/>
    <w:rsid w:val="00EA63F7"/>
    <w:rsid w:val="00EA7FA5"/>
    <w:rsid w:val="00EB1668"/>
    <w:rsid w:val="00EB3000"/>
    <w:rsid w:val="00EB368C"/>
    <w:rsid w:val="00EB4F8A"/>
    <w:rsid w:val="00EB5384"/>
    <w:rsid w:val="00EB6C60"/>
    <w:rsid w:val="00EC1311"/>
    <w:rsid w:val="00EC2486"/>
    <w:rsid w:val="00EC26A5"/>
    <w:rsid w:val="00EC311B"/>
    <w:rsid w:val="00EC3940"/>
    <w:rsid w:val="00EC3DC8"/>
    <w:rsid w:val="00EC41FC"/>
    <w:rsid w:val="00EC49F2"/>
    <w:rsid w:val="00EC5E0B"/>
    <w:rsid w:val="00EC75B2"/>
    <w:rsid w:val="00ED1F50"/>
    <w:rsid w:val="00ED5505"/>
    <w:rsid w:val="00ED64EB"/>
    <w:rsid w:val="00ED67E6"/>
    <w:rsid w:val="00ED6C9F"/>
    <w:rsid w:val="00ED6F75"/>
    <w:rsid w:val="00EE0DA3"/>
    <w:rsid w:val="00EE101F"/>
    <w:rsid w:val="00EE10F9"/>
    <w:rsid w:val="00EE161B"/>
    <w:rsid w:val="00EE2188"/>
    <w:rsid w:val="00EE2F63"/>
    <w:rsid w:val="00EE4112"/>
    <w:rsid w:val="00EF0F2F"/>
    <w:rsid w:val="00EF0F9B"/>
    <w:rsid w:val="00EF15B9"/>
    <w:rsid w:val="00EF19BE"/>
    <w:rsid w:val="00EF1D35"/>
    <w:rsid w:val="00EF4B29"/>
    <w:rsid w:val="00EF56EE"/>
    <w:rsid w:val="00EF73E5"/>
    <w:rsid w:val="00F00410"/>
    <w:rsid w:val="00F01161"/>
    <w:rsid w:val="00F01A4C"/>
    <w:rsid w:val="00F02252"/>
    <w:rsid w:val="00F05028"/>
    <w:rsid w:val="00F07208"/>
    <w:rsid w:val="00F113B2"/>
    <w:rsid w:val="00F1361D"/>
    <w:rsid w:val="00F14373"/>
    <w:rsid w:val="00F145F1"/>
    <w:rsid w:val="00F15042"/>
    <w:rsid w:val="00F15EDA"/>
    <w:rsid w:val="00F163F4"/>
    <w:rsid w:val="00F20CA1"/>
    <w:rsid w:val="00F20CEA"/>
    <w:rsid w:val="00F215A3"/>
    <w:rsid w:val="00F2188A"/>
    <w:rsid w:val="00F23B11"/>
    <w:rsid w:val="00F252D8"/>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2151"/>
    <w:rsid w:val="00F53067"/>
    <w:rsid w:val="00F540D8"/>
    <w:rsid w:val="00F56E2A"/>
    <w:rsid w:val="00F62240"/>
    <w:rsid w:val="00F6370B"/>
    <w:rsid w:val="00F6407D"/>
    <w:rsid w:val="00F64289"/>
    <w:rsid w:val="00F65D22"/>
    <w:rsid w:val="00F66850"/>
    <w:rsid w:val="00F66889"/>
    <w:rsid w:val="00F67F9F"/>
    <w:rsid w:val="00F70A37"/>
    <w:rsid w:val="00F7114A"/>
    <w:rsid w:val="00F7293E"/>
    <w:rsid w:val="00F73162"/>
    <w:rsid w:val="00F73355"/>
    <w:rsid w:val="00F73ED3"/>
    <w:rsid w:val="00F75E57"/>
    <w:rsid w:val="00F77756"/>
    <w:rsid w:val="00F77D27"/>
    <w:rsid w:val="00F800D1"/>
    <w:rsid w:val="00F81822"/>
    <w:rsid w:val="00F81F7C"/>
    <w:rsid w:val="00F82255"/>
    <w:rsid w:val="00F86675"/>
    <w:rsid w:val="00F90313"/>
    <w:rsid w:val="00F939F0"/>
    <w:rsid w:val="00F963B3"/>
    <w:rsid w:val="00FA01DB"/>
    <w:rsid w:val="00FA080A"/>
    <w:rsid w:val="00FA0CED"/>
    <w:rsid w:val="00FA137C"/>
    <w:rsid w:val="00FA2F8E"/>
    <w:rsid w:val="00FA318C"/>
    <w:rsid w:val="00FA40D2"/>
    <w:rsid w:val="00FA5B82"/>
    <w:rsid w:val="00FA745E"/>
    <w:rsid w:val="00FA75C3"/>
    <w:rsid w:val="00FB1C41"/>
    <w:rsid w:val="00FB3442"/>
    <w:rsid w:val="00FB3DC8"/>
    <w:rsid w:val="00FB4C6E"/>
    <w:rsid w:val="00FB5272"/>
    <w:rsid w:val="00FC0C27"/>
    <w:rsid w:val="00FC26DC"/>
    <w:rsid w:val="00FC30FC"/>
    <w:rsid w:val="00FC600E"/>
    <w:rsid w:val="00FC73E1"/>
    <w:rsid w:val="00FD053E"/>
    <w:rsid w:val="00FD097B"/>
    <w:rsid w:val="00FD21B2"/>
    <w:rsid w:val="00FD4412"/>
    <w:rsid w:val="00FD692F"/>
    <w:rsid w:val="00FD6948"/>
    <w:rsid w:val="00FD7109"/>
    <w:rsid w:val="00FD7E6E"/>
    <w:rsid w:val="00FE12AC"/>
    <w:rsid w:val="00FE20DF"/>
    <w:rsid w:val="00FE2891"/>
    <w:rsid w:val="00FE3BE5"/>
    <w:rsid w:val="00FE482A"/>
    <w:rsid w:val="00FE48EE"/>
    <w:rsid w:val="00FE53EF"/>
    <w:rsid w:val="00FE5A01"/>
    <w:rsid w:val="00FE76C8"/>
    <w:rsid w:val="00FF1CDB"/>
    <w:rsid w:val="00FF3E1A"/>
    <w:rsid w:val="00FF43FB"/>
    <w:rsid w:val="00FF5689"/>
    <w:rsid w:val="00FF6017"/>
    <w:rsid w:val="00FF63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link w:val="FootnoteText"/>
    <w:uiPriority w:val="99"/>
    <w:rsid w:val="009506FF"/>
    <w:rPr>
      <w:rFonts w:ascii="Arial" w:eastAsia="Times New Roman" w:hAnsi="Arial"/>
      <w:sz w:val="24"/>
      <w:szCs w:val="24"/>
      <w:lang w:val="x-none" w:eastAsia="x-none"/>
    </w:rPr>
  </w:style>
  <w:style w:type="character" w:styleId="FootnoteReference">
    <w:name w:val="footnote reference"/>
    <w:uiPriority w:val="99"/>
    <w:unhideWhenUsed/>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2"/>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2"/>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2021-02-22T18:30:00+00:00</Judgment_x0020_Date>
    <Year xmlns="aec0a7e9-5f5c-4ba9-87b2-85cfc8a38b86">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75EB-665E-4515-8236-BD34711A6006}">
  <ds:schemaRefs>
    <ds:schemaRef ds:uri="http://schemas.microsoft.com/sharepoint/v3/contenttype/forms"/>
  </ds:schemaRefs>
</ds:datastoreItem>
</file>

<file path=customXml/itemProps2.xml><?xml version="1.0" encoding="utf-8"?>
<ds:datastoreItem xmlns:ds="http://schemas.openxmlformats.org/officeDocument/2006/customXml" ds:itemID="{FFD2CF45-5C77-4C7B-A6C2-FAB1689BD08C}">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3.xml><?xml version="1.0" encoding="utf-8"?>
<ds:datastoreItem xmlns:ds="http://schemas.openxmlformats.org/officeDocument/2006/customXml" ds:itemID="{021B9032-EC4F-4942-BDEF-7BDD86F6D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A4478-C1F3-476B-AE4E-59128DCB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20</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Microsoft account</cp:lastModifiedBy>
  <cp:revision>2</cp:revision>
  <cp:lastPrinted>2021-02-22T14:36:00Z</cp:lastPrinted>
  <dcterms:created xsi:type="dcterms:W3CDTF">2021-12-06T06:20:00Z</dcterms:created>
  <dcterms:modified xsi:type="dcterms:W3CDTF">2021-12-06T06:20:00Z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