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494A9C" w:rsidRPr="006E026B" w:rsidRDefault="00494A9C" w:rsidP="00B501CB">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085B4DBB" wp14:editId="31C1AC3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94A9C" w:rsidRDefault="00494A9C" w:rsidP="00494A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B4DBB"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494A9C" w:rsidRDefault="00494A9C" w:rsidP="00494A9C">
                      <w:pPr>
                        <w:jc w:val="center"/>
                      </w:pPr>
                    </w:p>
                  </w:txbxContent>
                </v:textbox>
              </v:shape>
            </w:pict>
          </mc:Fallback>
        </mc:AlternateContent>
      </w:r>
      <w:r w:rsidRPr="006E026B">
        <w:rPr>
          <w:rFonts w:ascii="Arial" w:hAnsi="Arial" w:cs="Arial"/>
          <w:b/>
          <w:sz w:val="24"/>
          <w:szCs w:val="24"/>
        </w:rPr>
        <w:t>REPUBLIC OF NAMIBIA</w:t>
      </w:r>
    </w:p>
    <w:p w:rsidR="00494A9C" w:rsidRDefault="00494A9C" w:rsidP="00B501CB">
      <w:pPr>
        <w:spacing w:after="0" w:line="360" w:lineRule="auto"/>
        <w:jc w:val="center"/>
        <w:rPr>
          <w:b/>
          <w:sz w:val="32"/>
          <w:szCs w:val="32"/>
        </w:rPr>
      </w:pPr>
    </w:p>
    <w:p w:rsidR="00494A9C" w:rsidRPr="00E833B3" w:rsidRDefault="00494A9C" w:rsidP="00B501CB">
      <w:pPr>
        <w:spacing w:after="0" w:line="360" w:lineRule="auto"/>
        <w:jc w:val="center"/>
        <w:rPr>
          <w:rFonts w:ascii="Arial" w:hAnsi="Arial" w:cs="Arial"/>
          <w:b/>
          <w:sz w:val="2"/>
          <w:szCs w:val="2"/>
        </w:rPr>
      </w:pPr>
    </w:p>
    <w:p w:rsidR="00494A9C" w:rsidRPr="006E026B" w:rsidRDefault="00494A9C" w:rsidP="00B501CB">
      <w:pPr>
        <w:spacing w:after="0" w:line="360" w:lineRule="auto"/>
        <w:jc w:val="center"/>
        <w:rPr>
          <w:rFonts w:ascii="Arial" w:hAnsi="Arial" w:cs="Arial"/>
          <w:bCs/>
          <w:sz w:val="24"/>
          <w:szCs w:val="24"/>
        </w:rPr>
      </w:pPr>
      <w:r>
        <w:rPr>
          <w:rFonts w:ascii="Arial" w:hAnsi="Arial" w:cs="Arial"/>
          <w:b/>
          <w:sz w:val="24"/>
          <w:szCs w:val="24"/>
        </w:rPr>
        <w:t>LABOUR</w:t>
      </w:r>
      <w:r w:rsidRPr="006E026B">
        <w:rPr>
          <w:rFonts w:ascii="Arial" w:hAnsi="Arial" w:cs="Arial"/>
          <w:b/>
          <w:sz w:val="24"/>
          <w:szCs w:val="24"/>
        </w:rPr>
        <w:t xml:space="preserve"> COURT OF NAMIBIA MAIN DIVISION, WINDHOEK</w:t>
      </w:r>
    </w:p>
    <w:p w:rsidR="00494A9C" w:rsidRPr="000A1069" w:rsidRDefault="00494A9C" w:rsidP="00B501CB">
      <w:pPr>
        <w:spacing w:after="0" w:line="360" w:lineRule="auto"/>
        <w:jc w:val="center"/>
        <w:rPr>
          <w:rFonts w:ascii="Arial" w:hAnsi="Arial" w:cs="Arial"/>
          <w:b/>
          <w:sz w:val="16"/>
          <w:szCs w:val="16"/>
        </w:rPr>
      </w:pPr>
    </w:p>
    <w:p w:rsidR="00494A9C" w:rsidRDefault="00494A9C" w:rsidP="00B501CB">
      <w:pPr>
        <w:spacing w:after="0" w:line="360" w:lineRule="auto"/>
        <w:jc w:val="center"/>
        <w:rPr>
          <w:rFonts w:ascii="Arial" w:hAnsi="Arial" w:cs="Arial"/>
          <w:b/>
          <w:sz w:val="24"/>
          <w:szCs w:val="24"/>
        </w:rPr>
      </w:pPr>
      <w:r w:rsidRPr="006E026B">
        <w:rPr>
          <w:rFonts w:ascii="Arial" w:hAnsi="Arial" w:cs="Arial"/>
          <w:b/>
          <w:sz w:val="24"/>
          <w:szCs w:val="24"/>
        </w:rPr>
        <w:t>JUDGMENT</w:t>
      </w:r>
    </w:p>
    <w:p w:rsidR="00494A9C" w:rsidRPr="00863B56" w:rsidRDefault="00494A9C" w:rsidP="00B501CB">
      <w:pPr>
        <w:tabs>
          <w:tab w:val="right" w:pos="9000"/>
        </w:tabs>
        <w:spacing w:after="0" w:line="360" w:lineRule="auto"/>
        <w:rPr>
          <w:rFonts w:ascii="Arial" w:hAnsi="Arial" w:cs="Arial"/>
          <w:b/>
          <w:sz w:val="24"/>
          <w:szCs w:val="24"/>
        </w:rPr>
      </w:pPr>
      <w:r w:rsidRPr="00863B56">
        <w:rPr>
          <w:rFonts w:ascii="Arial" w:hAnsi="Arial" w:cs="Arial"/>
          <w:b/>
          <w:sz w:val="24"/>
          <w:szCs w:val="24"/>
        </w:rPr>
        <w:tab/>
      </w:r>
    </w:p>
    <w:p w:rsidR="00494A9C" w:rsidRDefault="00494A9C" w:rsidP="00B501CB">
      <w:pPr>
        <w:tabs>
          <w:tab w:val="right" w:pos="9000"/>
        </w:tabs>
        <w:spacing w:after="0" w:line="360" w:lineRule="auto"/>
        <w:jc w:val="right"/>
        <w:rPr>
          <w:rFonts w:ascii="Arial" w:hAnsi="Arial" w:cs="Arial"/>
          <w:sz w:val="24"/>
          <w:szCs w:val="24"/>
        </w:rPr>
      </w:pPr>
      <w:r>
        <w:rPr>
          <w:rFonts w:ascii="Arial" w:hAnsi="Arial" w:cs="Arial"/>
          <w:sz w:val="24"/>
          <w:szCs w:val="24"/>
        </w:rPr>
        <w:t>Case N</w:t>
      </w:r>
      <w:r w:rsidRPr="006E026B">
        <w:rPr>
          <w:rFonts w:ascii="Arial" w:hAnsi="Arial" w:cs="Arial"/>
          <w:sz w:val="24"/>
          <w:szCs w:val="24"/>
        </w:rPr>
        <w:t>o</w:t>
      </w:r>
      <w:r>
        <w:rPr>
          <w:rFonts w:ascii="Arial" w:hAnsi="Arial" w:cs="Arial"/>
          <w:sz w:val="24"/>
          <w:szCs w:val="24"/>
        </w:rPr>
        <w:t xml:space="preserve">.: </w:t>
      </w:r>
      <w:r w:rsidRPr="004966FF">
        <w:rPr>
          <w:rFonts w:ascii="Arial" w:hAnsi="Arial" w:cs="Arial"/>
          <w:sz w:val="24"/>
          <w:szCs w:val="24"/>
        </w:rPr>
        <w:t>HC-MD-LAB-APP-AAA-20</w:t>
      </w:r>
      <w:r>
        <w:rPr>
          <w:rFonts w:ascii="Arial" w:hAnsi="Arial" w:cs="Arial"/>
          <w:sz w:val="24"/>
          <w:szCs w:val="24"/>
        </w:rPr>
        <w:t>20</w:t>
      </w:r>
      <w:r w:rsidRPr="004966FF">
        <w:rPr>
          <w:rFonts w:ascii="Arial" w:hAnsi="Arial" w:cs="Arial"/>
          <w:sz w:val="24"/>
          <w:szCs w:val="24"/>
        </w:rPr>
        <w:t>/000</w:t>
      </w:r>
      <w:r>
        <w:rPr>
          <w:rFonts w:ascii="Arial" w:hAnsi="Arial" w:cs="Arial"/>
          <w:sz w:val="24"/>
          <w:szCs w:val="24"/>
        </w:rPr>
        <w:t>22</w:t>
      </w:r>
    </w:p>
    <w:p w:rsidR="00494A9C" w:rsidRDefault="00494A9C" w:rsidP="00B501CB">
      <w:pPr>
        <w:spacing w:after="0" w:line="360" w:lineRule="auto"/>
        <w:jc w:val="both"/>
        <w:rPr>
          <w:rFonts w:ascii="Arial" w:hAnsi="Arial" w:cs="Arial"/>
          <w:sz w:val="24"/>
          <w:szCs w:val="24"/>
        </w:rPr>
      </w:pPr>
    </w:p>
    <w:p w:rsidR="00494A9C" w:rsidRPr="006E026B" w:rsidRDefault="00494A9C" w:rsidP="00B501CB">
      <w:pPr>
        <w:spacing w:after="0" w:line="360" w:lineRule="auto"/>
        <w:jc w:val="both"/>
        <w:rPr>
          <w:rFonts w:ascii="Arial" w:hAnsi="Arial" w:cs="Arial"/>
          <w:sz w:val="24"/>
          <w:szCs w:val="24"/>
        </w:rPr>
      </w:pPr>
      <w:r w:rsidRPr="006E026B">
        <w:rPr>
          <w:rFonts w:ascii="Arial" w:hAnsi="Arial" w:cs="Arial"/>
          <w:sz w:val="24"/>
          <w:szCs w:val="24"/>
        </w:rPr>
        <w:t>In the matter between:</w:t>
      </w:r>
    </w:p>
    <w:p w:rsidR="00494A9C" w:rsidRPr="00CB7496" w:rsidRDefault="00494A9C" w:rsidP="00B501CB">
      <w:pPr>
        <w:spacing w:after="0" w:line="360" w:lineRule="auto"/>
        <w:jc w:val="both"/>
        <w:rPr>
          <w:rFonts w:ascii="Arial" w:hAnsi="Arial" w:cs="Arial"/>
          <w:sz w:val="16"/>
          <w:szCs w:val="16"/>
        </w:rPr>
      </w:pPr>
    </w:p>
    <w:p w:rsidR="00494A9C" w:rsidRPr="008C3957" w:rsidRDefault="00494A9C" w:rsidP="00B501CB">
      <w:pPr>
        <w:pStyle w:val="Heading4"/>
        <w:tabs>
          <w:tab w:val="right" w:pos="9000"/>
        </w:tabs>
        <w:spacing w:line="360" w:lineRule="auto"/>
        <w:jc w:val="both"/>
        <w:rPr>
          <w:rFonts w:cs="Arial"/>
          <w:b/>
          <w:sz w:val="24"/>
        </w:rPr>
      </w:pPr>
      <w:r>
        <w:rPr>
          <w:rFonts w:cs="Arial"/>
          <w:b/>
          <w:sz w:val="24"/>
          <w:lang w:val="en-US"/>
        </w:rPr>
        <w:t>CAPE ORCHARD COMPANY NAMIBIA (PTY) LTD</w:t>
      </w:r>
      <w:r w:rsidRPr="008C3957">
        <w:rPr>
          <w:rFonts w:cs="Arial"/>
          <w:b/>
          <w:sz w:val="24"/>
        </w:rPr>
        <w:tab/>
      </w:r>
      <w:r>
        <w:rPr>
          <w:rFonts w:cs="Arial"/>
          <w:b/>
          <w:sz w:val="24"/>
        </w:rPr>
        <w:t>APPELLANT</w:t>
      </w:r>
    </w:p>
    <w:p w:rsidR="00494A9C" w:rsidRPr="00CB7496" w:rsidRDefault="00494A9C" w:rsidP="00B501CB">
      <w:pPr>
        <w:spacing w:after="0" w:line="360" w:lineRule="auto"/>
        <w:jc w:val="both"/>
        <w:rPr>
          <w:rFonts w:ascii="Arial" w:hAnsi="Arial" w:cs="Arial"/>
          <w:sz w:val="16"/>
          <w:szCs w:val="16"/>
        </w:rPr>
      </w:pPr>
    </w:p>
    <w:p w:rsidR="00494A9C" w:rsidRDefault="00494A9C" w:rsidP="00B501CB">
      <w:pPr>
        <w:spacing w:after="0" w:line="360" w:lineRule="auto"/>
        <w:jc w:val="both"/>
        <w:rPr>
          <w:rFonts w:ascii="Arial" w:hAnsi="Arial" w:cs="Arial"/>
          <w:sz w:val="24"/>
          <w:szCs w:val="24"/>
        </w:rPr>
      </w:pPr>
      <w:r>
        <w:rPr>
          <w:rFonts w:ascii="Arial" w:hAnsi="Arial" w:cs="Arial"/>
          <w:sz w:val="24"/>
          <w:szCs w:val="24"/>
        </w:rPr>
        <w:t>a</w:t>
      </w:r>
      <w:r w:rsidRPr="006E026B">
        <w:rPr>
          <w:rFonts w:ascii="Arial" w:hAnsi="Arial" w:cs="Arial"/>
          <w:sz w:val="24"/>
          <w:szCs w:val="24"/>
        </w:rPr>
        <w:t>nd</w:t>
      </w:r>
    </w:p>
    <w:p w:rsidR="00494A9C" w:rsidRPr="00C41BE2" w:rsidRDefault="00494A9C" w:rsidP="00B501CB">
      <w:pPr>
        <w:spacing w:after="0" w:line="360" w:lineRule="auto"/>
        <w:jc w:val="both"/>
        <w:rPr>
          <w:rFonts w:ascii="Arial" w:hAnsi="Arial" w:cs="Arial"/>
          <w:sz w:val="18"/>
          <w:szCs w:val="18"/>
        </w:rPr>
      </w:pPr>
    </w:p>
    <w:p w:rsidR="00494A9C" w:rsidRDefault="00494A9C" w:rsidP="00B501CB">
      <w:pPr>
        <w:tabs>
          <w:tab w:val="right" w:pos="9000"/>
        </w:tabs>
        <w:spacing w:after="0" w:line="360" w:lineRule="auto"/>
        <w:jc w:val="both"/>
        <w:rPr>
          <w:rFonts w:ascii="Arial" w:hAnsi="Arial" w:cs="Arial"/>
          <w:b/>
          <w:sz w:val="24"/>
          <w:szCs w:val="24"/>
        </w:rPr>
      </w:pPr>
      <w:r>
        <w:rPr>
          <w:rFonts w:ascii="Arial" w:hAnsi="Arial" w:cs="Arial"/>
          <w:b/>
          <w:sz w:val="24"/>
          <w:szCs w:val="24"/>
        </w:rPr>
        <w:t>BENEDICTUS NDHOVU YIKOGHAHOHA</w:t>
      </w:r>
      <w:r w:rsidRPr="008C3957">
        <w:rPr>
          <w:rFonts w:ascii="Arial" w:hAnsi="Arial" w:cs="Arial"/>
          <w:b/>
          <w:sz w:val="24"/>
          <w:szCs w:val="24"/>
        </w:rPr>
        <w:tab/>
      </w:r>
      <w:r>
        <w:rPr>
          <w:rFonts w:ascii="Arial" w:hAnsi="Arial" w:cs="Arial"/>
          <w:b/>
          <w:sz w:val="24"/>
          <w:szCs w:val="24"/>
        </w:rPr>
        <w:t>FIRST RESPONDENT</w:t>
      </w:r>
    </w:p>
    <w:p w:rsidR="00494A9C" w:rsidRDefault="00494A9C" w:rsidP="00B501CB">
      <w:pPr>
        <w:tabs>
          <w:tab w:val="right" w:pos="9000"/>
        </w:tabs>
        <w:spacing w:after="0" w:line="360" w:lineRule="auto"/>
        <w:jc w:val="both"/>
        <w:rPr>
          <w:rFonts w:ascii="Arial" w:hAnsi="Arial" w:cs="Arial"/>
          <w:b/>
          <w:sz w:val="24"/>
          <w:szCs w:val="24"/>
        </w:rPr>
      </w:pPr>
      <w:r>
        <w:rPr>
          <w:rFonts w:ascii="Arial" w:hAnsi="Arial" w:cs="Arial"/>
          <w:b/>
          <w:sz w:val="24"/>
          <w:szCs w:val="24"/>
        </w:rPr>
        <w:t>AND 57 OTHERS</w:t>
      </w:r>
    </w:p>
    <w:p w:rsidR="00D231E7" w:rsidRDefault="00D231E7" w:rsidP="00B501CB">
      <w:pPr>
        <w:tabs>
          <w:tab w:val="right" w:pos="9000"/>
        </w:tabs>
        <w:spacing w:after="0" w:line="360" w:lineRule="auto"/>
        <w:jc w:val="both"/>
        <w:rPr>
          <w:rFonts w:ascii="Arial" w:hAnsi="Arial" w:cs="Arial"/>
          <w:b/>
          <w:sz w:val="24"/>
          <w:szCs w:val="24"/>
        </w:rPr>
      </w:pPr>
    </w:p>
    <w:p w:rsidR="00494A9C" w:rsidRDefault="00494A9C" w:rsidP="00B501CB">
      <w:pPr>
        <w:tabs>
          <w:tab w:val="right" w:pos="9000"/>
        </w:tabs>
        <w:spacing w:after="0" w:line="360" w:lineRule="auto"/>
        <w:jc w:val="both"/>
        <w:rPr>
          <w:rFonts w:ascii="Arial" w:hAnsi="Arial" w:cs="Arial"/>
          <w:b/>
          <w:sz w:val="24"/>
          <w:szCs w:val="24"/>
        </w:rPr>
      </w:pPr>
      <w:r>
        <w:rPr>
          <w:rFonts w:ascii="Arial" w:hAnsi="Arial" w:cs="Arial"/>
          <w:b/>
          <w:sz w:val="24"/>
          <w:szCs w:val="24"/>
        </w:rPr>
        <w:t>DIONYSIUS LOUW NO</w:t>
      </w:r>
      <w:r w:rsidR="00D231E7">
        <w:rPr>
          <w:rFonts w:ascii="Arial" w:hAnsi="Arial" w:cs="Arial"/>
          <w:b/>
          <w:sz w:val="24"/>
          <w:szCs w:val="24"/>
        </w:rPr>
        <w:t xml:space="preserve">                                                           </w:t>
      </w:r>
      <w:r>
        <w:rPr>
          <w:rFonts w:ascii="Arial" w:hAnsi="Arial" w:cs="Arial"/>
          <w:b/>
          <w:sz w:val="24"/>
          <w:szCs w:val="24"/>
        </w:rPr>
        <w:t>SECOND RESPONDENT</w:t>
      </w:r>
    </w:p>
    <w:p w:rsidR="00D231E7" w:rsidRDefault="00D231E7" w:rsidP="00B501CB">
      <w:pPr>
        <w:tabs>
          <w:tab w:val="right" w:pos="9000"/>
        </w:tabs>
        <w:spacing w:after="0" w:line="360" w:lineRule="auto"/>
        <w:jc w:val="both"/>
        <w:rPr>
          <w:rFonts w:ascii="Arial" w:hAnsi="Arial" w:cs="Arial"/>
          <w:b/>
          <w:sz w:val="24"/>
          <w:szCs w:val="24"/>
        </w:rPr>
      </w:pPr>
    </w:p>
    <w:p w:rsidR="00494A9C" w:rsidRDefault="00494A9C" w:rsidP="00B501CB">
      <w:pPr>
        <w:tabs>
          <w:tab w:val="right" w:pos="9000"/>
        </w:tabs>
        <w:spacing w:after="0" w:line="360" w:lineRule="auto"/>
        <w:jc w:val="both"/>
        <w:rPr>
          <w:rFonts w:ascii="Arial" w:hAnsi="Arial" w:cs="Arial"/>
          <w:b/>
          <w:sz w:val="24"/>
          <w:szCs w:val="24"/>
        </w:rPr>
      </w:pPr>
      <w:r w:rsidRPr="004966FF">
        <w:rPr>
          <w:rFonts w:ascii="Arial" w:hAnsi="Arial" w:cs="Arial"/>
          <w:b/>
          <w:sz w:val="24"/>
          <w:szCs w:val="24"/>
        </w:rPr>
        <w:t xml:space="preserve">THE LABOUR </w:t>
      </w:r>
      <w:r>
        <w:rPr>
          <w:rFonts w:ascii="Arial" w:hAnsi="Arial" w:cs="Arial"/>
          <w:b/>
          <w:sz w:val="24"/>
          <w:szCs w:val="24"/>
        </w:rPr>
        <w:t>COMMISSIONER</w:t>
      </w:r>
      <w:r w:rsidRPr="004966FF">
        <w:rPr>
          <w:rFonts w:ascii="Arial" w:hAnsi="Arial" w:cs="Arial"/>
          <w:b/>
          <w:sz w:val="24"/>
          <w:szCs w:val="24"/>
        </w:rPr>
        <w:t xml:space="preserve"> </w:t>
      </w:r>
      <w:r w:rsidR="00D231E7">
        <w:rPr>
          <w:rFonts w:ascii="Arial" w:hAnsi="Arial" w:cs="Arial"/>
          <w:b/>
          <w:sz w:val="24"/>
          <w:szCs w:val="24"/>
        </w:rPr>
        <w:t xml:space="preserve">                                           </w:t>
      </w:r>
      <w:r>
        <w:rPr>
          <w:rFonts w:ascii="Arial" w:hAnsi="Arial" w:cs="Arial"/>
          <w:b/>
          <w:sz w:val="24"/>
          <w:szCs w:val="24"/>
        </w:rPr>
        <w:t>THIRD RESPONDENT</w:t>
      </w:r>
    </w:p>
    <w:p w:rsidR="00494A9C" w:rsidRPr="00D14C85" w:rsidRDefault="00494A9C" w:rsidP="00B501CB">
      <w:pPr>
        <w:spacing w:after="0" w:line="360" w:lineRule="auto"/>
        <w:ind w:left="2160" w:hanging="2160"/>
        <w:jc w:val="both"/>
        <w:rPr>
          <w:rFonts w:ascii="Arial" w:hAnsi="Arial" w:cs="Arial"/>
          <w:sz w:val="16"/>
          <w:szCs w:val="16"/>
        </w:rPr>
      </w:pPr>
    </w:p>
    <w:p w:rsidR="00494A9C" w:rsidRPr="005D6C92" w:rsidRDefault="00494A9C" w:rsidP="00B501CB">
      <w:pPr>
        <w:spacing w:after="0" w:line="360" w:lineRule="auto"/>
        <w:jc w:val="both"/>
        <w:rPr>
          <w:rFonts w:ascii="Arial" w:hAnsi="Arial" w:cs="Arial"/>
          <w:sz w:val="24"/>
          <w:szCs w:val="24"/>
        </w:rPr>
      </w:pPr>
      <w:r w:rsidRPr="00D14C85">
        <w:rPr>
          <w:rFonts w:ascii="Arial" w:hAnsi="Arial" w:cs="Arial"/>
          <w:b/>
          <w:sz w:val="24"/>
          <w:szCs w:val="24"/>
        </w:rPr>
        <w:t>Neutral citation:</w:t>
      </w:r>
      <w:r w:rsidRPr="00D14C85">
        <w:rPr>
          <w:rFonts w:ascii="Arial" w:hAnsi="Arial" w:cs="Arial"/>
          <w:b/>
          <w:sz w:val="24"/>
          <w:szCs w:val="24"/>
        </w:rPr>
        <w:tab/>
      </w:r>
      <w:r w:rsidRPr="00494A9C">
        <w:rPr>
          <w:rFonts w:ascii="Arial" w:hAnsi="Arial" w:cs="Arial"/>
          <w:i/>
          <w:sz w:val="24"/>
        </w:rPr>
        <w:t>Cape Orchard Company Namibia (Pty) Ltd</w:t>
      </w:r>
      <w:r w:rsidRPr="00D14C85">
        <w:rPr>
          <w:rFonts w:ascii="Arial" w:hAnsi="Arial" w:cs="Arial"/>
          <w:i/>
          <w:sz w:val="24"/>
          <w:szCs w:val="24"/>
        </w:rPr>
        <w:t xml:space="preserve"> v </w:t>
      </w:r>
      <w:r w:rsidRPr="00494A9C">
        <w:rPr>
          <w:rFonts w:ascii="Arial" w:hAnsi="Arial" w:cs="Arial"/>
          <w:i/>
          <w:sz w:val="24"/>
          <w:szCs w:val="24"/>
        </w:rPr>
        <w:t>Yikoghahoha</w:t>
      </w:r>
      <w:r>
        <w:rPr>
          <w:rFonts w:ascii="Arial" w:hAnsi="Arial" w:cs="Arial"/>
          <w:i/>
          <w:sz w:val="24"/>
          <w:szCs w:val="24"/>
        </w:rPr>
        <w:t xml:space="preserve"> and 57 Others</w:t>
      </w:r>
      <w:r w:rsidRPr="00D14C85">
        <w:rPr>
          <w:rFonts w:ascii="Arial" w:hAnsi="Arial" w:cs="Arial"/>
          <w:i/>
          <w:sz w:val="24"/>
          <w:szCs w:val="24"/>
        </w:rPr>
        <w:t xml:space="preserve"> </w:t>
      </w:r>
      <w:r w:rsidRPr="00D14C85">
        <w:rPr>
          <w:rFonts w:ascii="Arial" w:hAnsi="Arial" w:cs="Arial"/>
          <w:sz w:val="24"/>
          <w:szCs w:val="24"/>
        </w:rPr>
        <w:t>(HC-MD-LAB-APP-AAA-20</w:t>
      </w:r>
      <w:r>
        <w:rPr>
          <w:rFonts w:ascii="Arial" w:hAnsi="Arial" w:cs="Arial"/>
          <w:sz w:val="24"/>
          <w:szCs w:val="24"/>
        </w:rPr>
        <w:t>20</w:t>
      </w:r>
      <w:r w:rsidRPr="00D14C85">
        <w:rPr>
          <w:rFonts w:ascii="Arial" w:hAnsi="Arial" w:cs="Arial"/>
          <w:sz w:val="24"/>
          <w:szCs w:val="24"/>
        </w:rPr>
        <w:t>/000</w:t>
      </w:r>
      <w:r>
        <w:rPr>
          <w:rFonts w:ascii="Arial" w:hAnsi="Arial" w:cs="Arial"/>
          <w:sz w:val="24"/>
          <w:szCs w:val="24"/>
        </w:rPr>
        <w:t>22</w:t>
      </w:r>
      <w:r w:rsidRPr="00D14C85">
        <w:rPr>
          <w:rFonts w:ascii="Arial" w:hAnsi="Arial" w:cs="Arial"/>
          <w:sz w:val="24"/>
          <w:szCs w:val="24"/>
        </w:rPr>
        <w:t xml:space="preserve">) [2020] NALCMD </w:t>
      </w:r>
      <w:r w:rsidR="00A3341B">
        <w:rPr>
          <w:rFonts w:ascii="Arial" w:hAnsi="Arial" w:cs="Arial"/>
          <w:sz w:val="24"/>
          <w:szCs w:val="24"/>
        </w:rPr>
        <w:t>06</w:t>
      </w:r>
      <w:r w:rsidRPr="00D14C85">
        <w:rPr>
          <w:rFonts w:ascii="Arial" w:hAnsi="Arial" w:cs="Arial"/>
          <w:sz w:val="24"/>
          <w:szCs w:val="24"/>
        </w:rPr>
        <w:t xml:space="preserve"> (</w:t>
      </w:r>
      <w:r w:rsidR="00424BCD">
        <w:rPr>
          <w:rFonts w:ascii="Arial" w:hAnsi="Arial" w:cs="Arial"/>
          <w:sz w:val="24"/>
          <w:szCs w:val="24"/>
        </w:rPr>
        <w:t>26</w:t>
      </w:r>
      <w:r>
        <w:rPr>
          <w:rFonts w:ascii="Arial" w:hAnsi="Arial" w:cs="Arial"/>
          <w:sz w:val="24"/>
          <w:szCs w:val="24"/>
        </w:rPr>
        <w:t xml:space="preserve"> February 2021</w:t>
      </w:r>
      <w:r w:rsidRPr="005D6C92">
        <w:rPr>
          <w:rFonts w:ascii="Arial" w:hAnsi="Arial" w:cs="Arial"/>
          <w:sz w:val="24"/>
          <w:szCs w:val="24"/>
        </w:rPr>
        <w:t>)</w:t>
      </w:r>
    </w:p>
    <w:p w:rsidR="00494A9C" w:rsidRPr="00B501CB" w:rsidRDefault="00494A9C" w:rsidP="00B501CB">
      <w:pPr>
        <w:spacing w:after="0" w:line="360" w:lineRule="auto"/>
        <w:ind w:left="2160" w:hanging="2160"/>
        <w:jc w:val="both"/>
        <w:rPr>
          <w:rFonts w:ascii="Arial" w:hAnsi="Arial" w:cs="Arial"/>
          <w:b/>
          <w:sz w:val="24"/>
          <w:szCs w:val="24"/>
        </w:rPr>
      </w:pPr>
    </w:p>
    <w:p w:rsidR="00494A9C" w:rsidRPr="00B501CB" w:rsidRDefault="00494A9C" w:rsidP="00B501CB">
      <w:pPr>
        <w:spacing w:after="0" w:line="360" w:lineRule="auto"/>
        <w:ind w:left="1440" w:hanging="1440"/>
        <w:jc w:val="both"/>
        <w:rPr>
          <w:rFonts w:ascii="Arial" w:hAnsi="Arial" w:cs="Arial"/>
          <w:b/>
          <w:i/>
          <w:sz w:val="24"/>
          <w:szCs w:val="24"/>
        </w:rPr>
      </w:pPr>
      <w:r w:rsidRPr="00B501CB">
        <w:rPr>
          <w:rFonts w:ascii="Arial" w:hAnsi="Arial" w:cs="Arial"/>
          <w:b/>
          <w:sz w:val="24"/>
          <w:szCs w:val="24"/>
        </w:rPr>
        <w:t>Coram:</w:t>
      </w:r>
      <w:r w:rsidRPr="00B501CB">
        <w:rPr>
          <w:rFonts w:ascii="Arial" w:hAnsi="Arial" w:cs="Arial"/>
          <w:b/>
          <w:sz w:val="24"/>
          <w:szCs w:val="24"/>
        </w:rPr>
        <w:tab/>
      </w:r>
      <w:r w:rsidRPr="00B501CB">
        <w:rPr>
          <w:rFonts w:ascii="Arial" w:hAnsi="Arial" w:cs="Arial"/>
          <w:sz w:val="24"/>
          <w:szCs w:val="24"/>
        </w:rPr>
        <w:t>PRINSLOO J</w:t>
      </w:r>
    </w:p>
    <w:p w:rsidR="00494A9C" w:rsidRPr="00B501CB" w:rsidRDefault="00494A9C" w:rsidP="00B501CB">
      <w:pPr>
        <w:spacing w:after="0" w:line="360" w:lineRule="auto"/>
        <w:ind w:left="1440" w:hanging="1440"/>
        <w:rPr>
          <w:rFonts w:ascii="Arial" w:hAnsi="Arial" w:cs="Arial"/>
          <w:b/>
          <w:sz w:val="24"/>
          <w:szCs w:val="24"/>
        </w:rPr>
      </w:pPr>
      <w:r w:rsidRPr="00B501CB">
        <w:rPr>
          <w:rFonts w:ascii="Arial" w:hAnsi="Arial" w:cs="Arial"/>
          <w:b/>
          <w:bCs/>
          <w:sz w:val="24"/>
          <w:szCs w:val="24"/>
        </w:rPr>
        <w:t>Heard</w:t>
      </w:r>
      <w:r w:rsidRPr="00B501CB">
        <w:rPr>
          <w:rFonts w:ascii="Arial" w:hAnsi="Arial" w:cs="Arial"/>
          <w:b/>
          <w:sz w:val="24"/>
          <w:szCs w:val="24"/>
        </w:rPr>
        <w:t>:</w:t>
      </w:r>
      <w:r w:rsidRPr="00B501CB">
        <w:rPr>
          <w:rFonts w:ascii="Arial" w:hAnsi="Arial" w:cs="Arial"/>
          <w:b/>
          <w:sz w:val="24"/>
          <w:szCs w:val="24"/>
        </w:rPr>
        <w:tab/>
        <w:t>02 December 2020</w:t>
      </w:r>
    </w:p>
    <w:p w:rsidR="00494A9C" w:rsidRPr="00B501CB" w:rsidRDefault="00494A9C" w:rsidP="00B501CB">
      <w:pPr>
        <w:spacing w:after="0" w:line="360" w:lineRule="auto"/>
        <w:jc w:val="both"/>
        <w:rPr>
          <w:rFonts w:ascii="Arial" w:hAnsi="Arial" w:cs="Arial"/>
          <w:b/>
          <w:sz w:val="24"/>
          <w:szCs w:val="24"/>
        </w:rPr>
      </w:pPr>
      <w:r w:rsidRPr="00B501CB">
        <w:rPr>
          <w:rFonts w:ascii="Arial" w:hAnsi="Arial" w:cs="Arial"/>
          <w:b/>
          <w:bCs/>
          <w:sz w:val="24"/>
          <w:szCs w:val="24"/>
        </w:rPr>
        <w:t>Delivered</w:t>
      </w:r>
      <w:r w:rsidRPr="00B501CB">
        <w:rPr>
          <w:rFonts w:ascii="Arial" w:hAnsi="Arial" w:cs="Arial"/>
          <w:b/>
          <w:sz w:val="24"/>
          <w:szCs w:val="24"/>
        </w:rPr>
        <w:t>:</w:t>
      </w:r>
      <w:r w:rsidRPr="00B501CB">
        <w:rPr>
          <w:rFonts w:ascii="Arial" w:hAnsi="Arial" w:cs="Arial"/>
          <w:b/>
          <w:sz w:val="24"/>
          <w:szCs w:val="24"/>
        </w:rPr>
        <w:tab/>
      </w:r>
      <w:r w:rsidR="00424BCD" w:rsidRPr="00B501CB">
        <w:rPr>
          <w:rFonts w:ascii="Arial" w:hAnsi="Arial" w:cs="Arial"/>
          <w:b/>
          <w:sz w:val="24"/>
          <w:szCs w:val="24"/>
        </w:rPr>
        <w:t>26</w:t>
      </w:r>
      <w:r w:rsidR="005D4BEF" w:rsidRPr="00B501CB">
        <w:rPr>
          <w:rFonts w:ascii="Arial" w:hAnsi="Arial" w:cs="Arial"/>
          <w:b/>
          <w:sz w:val="24"/>
          <w:szCs w:val="24"/>
        </w:rPr>
        <w:t xml:space="preserve"> </w:t>
      </w:r>
      <w:r w:rsidRPr="00B501CB">
        <w:rPr>
          <w:rFonts w:ascii="Arial" w:hAnsi="Arial" w:cs="Arial"/>
          <w:b/>
          <w:sz w:val="24"/>
          <w:szCs w:val="24"/>
        </w:rPr>
        <w:t>February 2021</w:t>
      </w:r>
    </w:p>
    <w:p w:rsidR="00494A9C" w:rsidRPr="006E026B" w:rsidRDefault="00494A9C" w:rsidP="00B501CB">
      <w:pPr>
        <w:spacing w:after="0" w:line="360" w:lineRule="auto"/>
        <w:jc w:val="both"/>
        <w:rPr>
          <w:rFonts w:ascii="Arial" w:hAnsi="Arial" w:cs="Arial"/>
          <w:b/>
          <w:sz w:val="24"/>
          <w:szCs w:val="24"/>
        </w:rPr>
      </w:pPr>
    </w:p>
    <w:p w:rsidR="00494A9C" w:rsidRDefault="00494A9C" w:rsidP="00B501CB">
      <w:pPr>
        <w:spacing w:after="0" w:line="360" w:lineRule="auto"/>
        <w:jc w:val="both"/>
        <w:rPr>
          <w:rFonts w:ascii="Arial" w:hAnsi="Arial" w:cs="Arial"/>
          <w:bCs/>
          <w:sz w:val="24"/>
          <w:szCs w:val="24"/>
          <w:lang w:bidi="en-US"/>
        </w:rPr>
      </w:pPr>
      <w:r w:rsidRPr="00AA2539">
        <w:rPr>
          <w:rFonts w:ascii="Arial" w:hAnsi="Arial" w:cs="Arial"/>
          <w:b/>
          <w:bCs/>
          <w:sz w:val="24"/>
          <w:szCs w:val="24"/>
        </w:rPr>
        <w:t>Flynote:</w:t>
      </w:r>
      <w:r>
        <w:rPr>
          <w:rFonts w:ascii="Arial" w:hAnsi="Arial" w:cs="Arial"/>
          <w:bCs/>
          <w:sz w:val="24"/>
          <w:szCs w:val="24"/>
        </w:rPr>
        <w:tab/>
      </w:r>
      <w:r w:rsidR="00F86FB5" w:rsidRPr="00F86FB5">
        <w:rPr>
          <w:rFonts w:ascii="Arial" w:hAnsi="Arial" w:cs="Arial"/>
          <w:b/>
          <w:bCs/>
          <w:sz w:val="24"/>
          <w:szCs w:val="24"/>
          <w:lang w:bidi="en-US"/>
        </w:rPr>
        <w:t>Labour law</w:t>
      </w:r>
      <w:r w:rsidR="00F86FB5" w:rsidRPr="00F86FB5">
        <w:rPr>
          <w:rFonts w:ascii="Arial" w:hAnsi="Arial" w:cs="Arial"/>
          <w:bCs/>
          <w:sz w:val="24"/>
          <w:szCs w:val="24"/>
          <w:lang w:bidi="en-US"/>
        </w:rPr>
        <w:t xml:space="preserve"> – Appeal against</w:t>
      </w:r>
      <w:r w:rsidR="00424BCD">
        <w:rPr>
          <w:rFonts w:ascii="Arial" w:hAnsi="Arial" w:cs="Arial"/>
          <w:bCs/>
          <w:sz w:val="24"/>
          <w:szCs w:val="24"/>
          <w:lang w:bidi="en-US"/>
        </w:rPr>
        <w:t xml:space="preserve"> part of</w:t>
      </w:r>
      <w:r w:rsidR="00F86FB5" w:rsidRPr="00F86FB5">
        <w:rPr>
          <w:rFonts w:ascii="Arial" w:hAnsi="Arial" w:cs="Arial"/>
          <w:bCs/>
          <w:sz w:val="24"/>
          <w:szCs w:val="24"/>
          <w:lang w:bidi="en-US"/>
        </w:rPr>
        <w:t xml:space="preserve"> arbitrator’s award – Award issued in favour of the </w:t>
      </w:r>
      <w:r w:rsidR="00F86FB5">
        <w:rPr>
          <w:rFonts w:ascii="Arial" w:hAnsi="Arial" w:cs="Arial"/>
          <w:bCs/>
          <w:sz w:val="24"/>
          <w:szCs w:val="24"/>
          <w:lang w:bidi="en-US"/>
        </w:rPr>
        <w:t xml:space="preserve">first </w:t>
      </w:r>
      <w:r w:rsidR="00F86FB5" w:rsidRPr="00F86FB5">
        <w:rPr>
          <w:rFonts w:ascii="Arial" w:hAnsi="Arial" w:cs="Arial"/>
          <w:bCs/>
          <w:sz w:val="24"/>
          <w:szCs w:val="24"/>
          <w:lang w:bidi="en-US"/>
        </w:rPr>
        <w:t>respondent</w:t>
      </w:r>
      <w:r w:rsidR="00F86FB5">
        <w:rPr>
          <w:rFonts w:ascii="Arial" w:hAnsi="Arial" w:cs="Arial"/>
          <w:bCs/>
          <w:sz w:val="24"/>
          <w:szCs w:val="24"/>
          <w:lang w:bidi="en-US"/>
        </w:rPr>
        <w:t>s</w:t>
      </w:r>
      <w:r w:rsidR="00F86FB5" w:rsidRPr="00F86FB5">
        <w:rPr>
          <w:rFonts w:ascii="Arial" w:hAnsi="Arial" w:cs="Arial"/>
          <w:bCs/>
          <w:sz w:val="24"/>
          <w:szCs w:val="24"/>
          <w:lang w:bidi="en-US"/>
        </w:rPr>
        <w:t xml:space="preserve"> – On appeal, the finding of the arbitrator set aside and appeal upheld.</w:t>
      </w:r>
    </w:p>
    <w:p w:rsidR="00494A9C" w:rsidRDefault="00494A9C" w:rsidP="00B501CB">
      <w:pPr>
        <w:spacing w:after="0" w:line="360" w:lineRule="auto"/>
        <w:jc w:val="both"/>
        <w:rPr>
          <w:rFonts w:ascii="Arial" w:hAnsi="Arial" w:cs="Arial"/>
          <w:bCs/>
          <w:sz w:val="24"/>
          <w:szCs w:val="24"/>
        </w:rPr>
      </w:pPr>
    </w:p>
    <w:p w:rsidR="00F62454" w:rsidRDefault="00494A9C" w:rsidP="00B501CB">
      <w:pPr>
        <w:spacing w:after="0" w:line="360" w:lineRule="auto"/>
        <w:jc w:val="both"/>
        <w:rPr>
          <w:rFonts w:ascii="Arial" w:hAnsi="Arial" w:cs="Arial"/>
          <w:sz w:val="24"/>
          <w:szCs w:val="24"/>
        </w:rPr>
      </w:pPr>
      <w:r w:rsidRPr="00AA2539">
        <w:rPr>
          <w:rFonts w:ascii="Arial" w:hAnsi="Arial" w:cs="Arial"/>
          <w:b/>
          <w:bCs/>
          <w:sz w:val="24"/>
          <w:szCs w:val="24"/>
        </w:rPr>
        <w:t>Summary:</w:t>
      </w:r>
      <w:r>
        <w:rPr>
          <w:rFonts w:ascii="Arial" w:hAnsi="Arial" w:cs="Arial"/>
          <w:bCs/>
          <w:sz w:val="24"/>
          <w:szCs w:val="24"/>
        </w:rPr>
        <w:tab/>
      </w:r>
      <w:r w:rsidR="00F62454" w:rsidRPr="00494A9C">
        <w:rPr>
          <w:rFonts w:ascii="Arial" w:hAnsi="Arial" w:cs="Arial"/>
          <w:sz w:val="24"/>
          <w:szCs w:val="24"/>
        </w:rPr>
        <w:t xml:space="preserve">This is an appeal noted </w:t>
      </w:r>
      <w:r w:rsidR="00F62454">
        <w:rPr>
          <w:rFonts w:ascii="Arial" w:hAnsi="Arial" w:cs="Arial"/>
          <w:sz w:val="24"/>
          <w:szCs w:val="24"/>
        </w:rPr>
        <w:t>in terms of s 89(1) (a) of the Labour Act. 11 of 2007 (the Act) against the arbitration award by Dionysius Louw, the second respondent on 6 March 2020.</w:t>
      </w:r>
      <w:r w:rsidR="00F62454" w:rsidRPr="00F62454">
        <w:rPr>
          <w:rFonts w:ascii="Arial" w:hAnsi="Arial" w:cs="Arial"/>
          <w:sz w:val="24"/>
          <w:szCs w:val="24"/>
        </w:rPr>
        <w:t xml:space="preserve"> </w:t>
      </w:r>
      <w:r w:rsidR="00F62454">
        <w:rPr>
          <w:rFonts w:ascii="Arial" w:hAnsi="Arial" w:cs="Arial"/>
          <w:sz w:val="24"/>
          <w:szCs w:val="24"/>
        </w:rPr>
        <w:t>T</w:t>
      </w:r>
      <w:r w:rsidR="00F62454" w:rsidRPr="001C700A">
        <w:rPr>
          <w:rFonts w:ascii="Arial" w:hAnsi="Arial" w:cs="Arial"/>
          <w:sz w:val="24"/>
          <w:szCs w:val="24"/>
        </w:rPr>
        <w:t>he first re</w:t>
      </w:r>
      <w:r w:rsidR="00F62454">
        <w:rPr>
          <w:rFonts w:ascii="Arial" w:hAnsi="Arial" w:cs="Arial"/>
          <w:sz w:val="24"/>
          <w:szCs w:val="24"/>
        </w:rPr>
        <w:t xml:space="preserve">spondent is a group of 58 former employees of the appellant. On 31 </w:t>
      </w:r>
      <w:r w:rsidR="00F62454" w:rsidRPr="00F62454">
        <w:rPr>
          <w:rFonts w:ascii="Arial" w:hAnsi="Arial" w:cs="Arial"/>
          <w:sz w:val="24"/>
          <w:szCs w:val="24"/>
        </w:rPr>
        <w:t xml:space="preserve">January 2017 </w:t>
      </w:r>
      <w:r w:rsidR="00F62454">
        <w:rPr>
          <w:rFonts w:ascii="Arial" w:hAnsi="Arial" w:cs="Arial"/>
          <w:sz w:val="24"/>
          <w:szCs w:val="24"/>
        </w:rPr>
        <w:t xml:space="preserve">the employees were retrenched by the appellant in terms of s 34 of the Act. As a result </w:t>
      </w:r>
      <w:r w:rsidR="00F62454" w:rsidRPr="00F62454">
        <w:rPr>
          <w:rFonts w:ascii="Arial" w:hAnsi="Arial" w:cs="Arial"/>
          <w:sz w:val="24"/>
          <w:szCs w:val="24"/>
        </w:rPr>
        <w:t>thereof,</w:t>
      </w:r>
      <w:r w:rsidR="00F62454">
        <w:rPr>
          <w:rFonts w:ascii="Arial" w:hAnsi="Arial" w:cs="Arial"/>
          <w:sz w:val="24"/>
          <w:szCs w:val="24"/>
        </w:rPr>
        <w:t xml:space="preserve"> the employees launched a dispute </w:t>
      </w:r>
      <w:r w:rsidR="00F62454" w:rsidRPr="00F62454">
        <w:rPr>
          <w:rFonts w:ascii="Arial" w:hAnsi="Arial" w:cs="Arial"/>
          <w:sz w:val="24"/>
          <w:szCs w:val="24"/>
        </w:rPr>
        <w:t>of</w:t>
      </w:r>
      <w:r w:rsidR="00F62454">
        <w:rPr>
          <w:rFonts w:ascii="Arial" w:hAnsi="Arial" w:cs="Arial"/>
          <w:sz w:val="24"/>
          <w:szCs w:val="24"/>
        </w:rPr>
        <w:t xml:space="preserve"> unfair labour practice with </w:t>
      </w:r>
      <w:r w:rsidR="00F62454">
        <w:rPr>
          <w:rFonts w:ascii="Arial" w:hAnsi="Arial" w:cs="Arial"/>
          <w:sz w:val="24"/>
          <w:szCs w:val="24"/>
        </w:rPr>
        <w:lastRenderedPageBreak/>
        <w:t xml:space="preserve">the office of the Labour Commissioner on 10 October 2017. This dispute was filed by Mr Rocco Nguvauva, the General Secretary of NAFWU (Namibia Farmworkers Union) on behalf of its members. The employees complained </w:t>
      </w:r>
      <w:r w:rsidR="00F62454" w:rsidRPr="00F62454">
        <w:rPr>
          <w:rFonts w:ascii="Arial" w:hAnsi="Arial" w:cs="Arial"/>
          <w:sz w:val="24"/>
          <w:szCs w:val="24"/>
        </w:rPr>
        <w:t xml:space="preserve">of </w:t>
      </w:r>
      <w:r w:rsidR="00F62454">
        <w:rPr>
          <w:rFonts w:ascii="Arial" w:hAnsi="Arial" w:cs="Arial"/>
          <w:sz w:val="24"/>
          <w:szCs w:val="24"/>
        </w:rPr>
        <w:t>the appellant’s failure to comply with s 34 of the Act. The parties represented by Mr Nguvauva entered into a settlement agreement</w:t>
      </w:r>
      <w:r w:rsidR="00424BCD">
        <w:rPr>
          <w:rFonts w:ascii="Arial" w:hAnsi="Arial" w:cs="Arial"/>
          <w:sz w:val="24"/>
          <w:szCs w:val="24"/>
        </w:rPr>
        <w:t xml:space="preserve"> (compromise)</w:t>
      </w:r>
      <w:r w:rsidR="00F62454">
        <w:rPr>
          <w:rFonts w:ascii="Arial" w:hAnsi="Arial" w:cs="Arial"/>
          <w:sz w:val="24"/>
          <w:szCs w:val="24"/>
        </w:rPr>
        <w:t xml:space="preserve"> wherein they agreed that the first respondents would withdraw their case against the appellant. On 18 November 2019 Mr Benedictus Yikoghahogha on behalf the employees made a sworn statement with the Namibian Police and attached a schedule signed by each of the employees </w:t>
      </w:r>
      <w:r w:rsidR="00F62454" w:rsidRPr="00F62454">
        <w:rPr>
          <w:rFonts w:ascii="Arial" w:hAnsi="Arial" w:cs="Arial"/>
          <w:sz w:val="24"/>
          <w:szCs w:val="24"/>
        </w:rPr>
        <w:t>stating</w:t>
      </w:r>
      <w:r w:rsidR="00F62454" w:rsidRPr="00FC7EEE">
        <w:rPr>
          <w:rFonts w:ascii="Arial" w:hAnsi="Arial" w:cs="Arial"/>
          <w:color w:val="FF0000"/>
          <w:sz w:val="24"/>
          <w:szCs w:val="24"/>
        </w:rPr>
        <w:t xml:space="preserve"> </w:t>
      </w:r>
      <w:r w:rsidR="00F62454" w:rsidRPr="00FC7EEE">
        <w:rPr>
          <w:rFonts w:ascii="Arial" w:hAnsi="Arial" w:cs="Arial"/>
          <w:sz w:val="24"/>
          <w:szCs w:val="24"/>
        </w:rPr>
        <w:t xml:space="preserve">that </w:t>
      </w:r>
      <w:r w:rsidR="00F62454">
        <w:rPr>
          <w:rFonts w:ascii="Arial" w:hAnsi="Arial" w:cs="Arial"/>
          <w:sz w:val="24"/>
          <w:szCs w:val="24"/>
        </w:rPr>
        <w:t xml:space="preserve">there was no agreement on the part of the employees to withdraw the complaint as set out in the notice of withdrawal and insisted that the matter </w:t>
      </w:r>
      <w:r w:rsidR="00F62454" w:rsidRPr="00F62454">
        <w:rPr>
          <w:rFonts w:ascii="Arial" w:hAnsi="Arial" w:cs="Arial"/>
          <w:sz w:val="24"/>
          <w:szCs w:val="24"/>
        </w:rPr>
        <w:t xml:space="preserve">must </w:t>
      </w:r>
      <w:r w:rsidR="00F62454">
        <w:rPr>
          <w:rFonts w:ascii="Arial" w:hAnsi="Arial" w:cs="Arial"/>
          <w:sz w:val="24"/>
          <w:szCs w:val="24"/>
        </w:rPr>
        <w:t>proceed. The arbitrator then ruled that Mr Nguvauva did in fact not have the necessary authority to enter into a compromise on behalf of the first respondents</w:t>
      </w:r>
      <w:r w:rsidR="00424BCD">
        <w:rPr>
          <w:rFonts w:ascii="Arial" w:hAnsi="Arial" w:cs="Arial"/>
          <w:sz w:val="24"/>
          <w:szCs w:val="24"/>
        </w:rPr>
        <w:t xml:space="preserve"> and set aside the settlement agreement. It is against this ruling that the appellants are appealing. </w:t>
      </w:r>
    </w:p>
    <w:p w:rsidR="00B501CB" w:rsidRDefault="00B501CB" w:rsidP="00B501CB">
      <w:pPr>
        <w:spacing w:after="0" w:line="360" w:lineRule="auto"/>
        <w:jc w:val="both"/>
        <w:rPr>
          <w:rFonts w:ascii="Arial" w:hAnsi="Arial" w:cs="Arial"/>
          <w:sz w:val="24"/>
          <w:szCs w:val="24"/>
        </w:rPr>
      </w:pPr>
    </w:p>
    <w:p w:rsidR="00F62454" w:rsidRDefault="00424BCD" w:rsidP="00B501CB">
      <w:pPr>
        <w:spacing w:after="0" w:line="360" w:lineRule="auto"/>
        <w:jc w:val="both"/>
        <w:rPr>
          <w:rFonts w:ascii="Arial" w:hAnsi="Arial" w:cs="Arial"/>
          <w:sz w:val="24"/>
          <w:szCs w:val="24"/>
        </w:rPr>
      </w:pPr>
      <w:r w:rsidRPr="00424BCD">
        <w:rPr>
          <w:rFonts w:ascii="Arial" w:hAnsi="Arial" w:cs="Arial"/>
          <w:i/>
          <w:sz w:val="24"/>
          <w:szCs w:val="24"/>
        </w:rPr>
        <w:t>Held that</w:t>
      </w:r>
      <w:r>
        <w:rPr>
          <w:rFonts w:ascii="Arial" w:hAnsi="Arial" w:cs="Arial"/>
          <w:sz w:val="24"/>
          <w:szCs w:val="24"/>
        </w:rPr>
        <w:t xml:space="preserve"> in matters where the withdrawal of the complaint is part of the settlement there need to be a substantive application to rescind or set aside the settlement agreement and the withdrawal of the dispute is incorporate</w:t>
      </w:r>
      <w:r w:rsidRPr="00424BCD">
        <w:rPr>
          <w:rFonts w:ascii="Arial" w:hAnsi="Arial" w:cs="Arial"/>
          <w:sz w:val="24"/>
          <w:szCs w:val="24"/>
        </w:rPr>
        <w:t>d</w:t>
      </w:r>
      <w:r>
        <w:rPr>
          <w:rFonts w:ascii="Arial" w:hAnsi="Arial" w:cs="Arial"/>
          <w:sz w:val="24"/>
          <w:szCs w:val="24"/>
        </w:rPr>
        <w:t xml:space="preserve"> in the agreement as a salient term thereof. In order to withdraw the notice of withdrawal the settlement agreement first had to be set aside</w:t>
      </w:r>
      <w:r w:rsidRPr="00424BCD">
        <w:rPr>
          <w:rFonts w:ascii="Arial" w:hAnsi="Arial" w:cs="Arial"/>
          <w:sz w:val="24"/>
          <w:szCs w:val="24"/>
        </w:rPr>
        <w:t>. The arbitrator had no jurisdiction to set aside a settlement agreement even if it was made in context of Labour Law.</w:t>
      </w:r>
      <w:r>
        <w:rPr>
          <w:rFonts w:ascii="Arial" w:hAnsi="Arial" w:cs="Arial"/>
          <w:sz w:val="24"/>
          <w:szCs w:val="24"/>
        </w:rPr>
        <w:t xml:space="preserve"> </w:t>
      </w:r>
    </w:p>
    <w:p w:rsidR="00B501CB" w:rsidRPr="00424BCD" w:rsidRDefault="00B501CB" w:rsidP="00B501CB">
      <w:pPr>
        <w:spacing w:after="0" w:line="360" w:lineRule="auto"/>
        <w:jc w:val="both"/>
        <w:rPr>
          <w:rFonts w:ascii="Arial" w:hAnsi="Arial" w:cs="Arial"/>
          <w:sz w:val="24"/>
          <w:szCs w:val="24"/>
        </w:rPr>
      </w:pPr>
    </w:p>
    <w:p w:rsidR="00F62454" w:rsidRDefault="00F62454" w:rsidP="00B501CB">
      <w:pPr>
        <w:spacing w:after="0" w:line="360" w:lineRule="auto"/>
        <w:jc w:val="both"/>
        <w:rPr>
          <w:rFonts w:ascii="Arial" w:hAnsi="Arial" w:cs="Arial"/>
          <w:sz w:val="24"/>
          <w:szCs w:val="24"/>
        </w:rPr>
      </w:pPr>
      <w:r w:rsidRPr="00F62454">
        <w:rPr>
          <w:rFonts w:ascii="Arial" w:hAnsi="Arial" w:cs="Arial"/>
          <w:bCs/>
          <w:i/>
          <w:sz w:val="24"/>
          <w:szCs w:val="24"/>
        </w:rPr>
        <w:t>Held that</w:t>
      </w:r>
      <w:r>
        <w:rPr>
          <w:rFonts w:ascii="Arial" w:hAnsi="Arial" w:cs="Arial"/>
          <w:bCs/>
          <w:sz w:val="24"/>
          <w:szCs w:val="24"/>
        </w:rPr>
        <w:t xml:space="preserve"> </w:t>
      </w:r>
      <w:r>
        <w:rPr>
          <w:rFonts w:ascii="Arial" w:hAnsi="Arial" w:cs="Arial"/>
          <w:sz w:val="24"/>
          <w:szCs w:val="24"/>
        </w:rPr>
        <w:t xml:space="preserve">no reasonable arbitrator could have reached the conclusions regarding the notice of withdrawal (and effectively the settlement agreement) as was done by the second respondent. </w:t>
      </w:r>
    </w:p>
    <w:p w:rsidR="00F62454" w:rsidRDefault="00F62454" w:rsidP="00B501CB">
      <w:pPr>
        <w:spacing w:after="0" w:line="360" w:lineRule="auto"/>
        <w:jc w:val="both"/>
        <w:rPr>
          <w:rFonts w:ascii="Arial" w:hAnsi="Arial" w:cs="Arial"/>
          <w:bCs/>
          <w:sz w:val="24"/>
          <w:szCs w:val="24"/>
        </w:rPr>
      </w:pPr>
    </w:p>
    <w:p w:rsidR="00494A9C" w:rsidRDefault="00494A9C" w:rsidP="00B501CB">
      <w:pPr>
        <w:spacing w:after="0" w:line="360" w:lineRule="auto"/>
        <w:jc w:val="both"/>
        <w:rPr>
          <w:rFonts w:ascii="Arial" w:hAnsi="Arial" w:cs="Arial"/>
          <w:bCs/>
          <w:sz w:val="24"/>
          <w:szCs w:val="24"/>
        </w:rPr>
      </w:pPr>
    </w:p>
    <w:p w:rsidR="00B501CB" w:rsidRDefault="00B501CB" w:rsidP="00B501CB">
      <w:pPr>
        <w:spacing w:after="0" w:line="360" w:lineRule="auto"/>
        <w:jc w:val="both"/>
        <w:rPr>
          <w:rFonts w:ascii="Arial" w:hAnsi="Arial" w:cs="Arial"/>
          <w:bCs/>
          <w:sz w:val="24"/>
          <w:szCs w:val="24"/>
        </w:rPr>
      </w:pPr>
    </w:p>
    <w:p w:rsidR="0059742B" w:rsidRPr="006E026B" w:rsidRDefault="0009632D" w:rsidP="00B501CB">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59742B" w:rsidRPr="006E026B" w:rsidRDefault="0059742B" w:rsidP="00B501CB">
      <w:pPr>
        <w:spacing w:after="0" w:line="360" w:lineRule="auto"/>
        <w:jc w:val="center"/>
        <w:rPr>
          <w:rFonts w:ascii="Arial" w:hAnsi="Arial" w:cs="Arial"/>
          <w:b/>
          <w:bCs/>
          <w:sz w:val="24"/>
          <w:szCs w:val="24"/>
        </w:rPr>
      </w:pPr>
      <w:r w:rsidRPr="006E026B">
        <w:rPr>
          <w:rFonts w:ascii="Arial" w:hAnsi="Arial" w:cs="Arial"/>
          <w:b/>
          <w:bCs/>
          <w:sz w:val="24"/>
          <w:szCs w:val="24"/>
        </w:rPr>
        <w:t>ORDER</w:t>
      </w:r>
    </w:p>
    <w:p w:rsidR="0059742B" w:rsidRPr="006E026B" w:rsidRDefault="0009632D" w:rsidP="00B501CB">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59742B" w:rsidRDefault="0059742B" w:rsidP="00B501CB">
      <w:pPr>
        <w:tabs>
          <w:tab w:val="left" w:pos="540"/>
        </w:tabs>
        <w:spacing w:after="0" w:line="360" w:lineRule="auto"/>
        <w:ind w:left="540" w:hanging="540"/>
        <w:jc w:val="both"/>
        <w:rPr>
          <w:rFonts w:ascii="Arial" w:hAnsi="Arial" w:cs="Arial"/>
          <w:sz w:val="24"/>
          <w:szCs w:val="24"/>
        </w:rPr>
      </w:pPr>
    </w:p>
    <w:p w:rsidR="005D4BEF" w:rsidRPr="005D4BEF" w:rsidRDefault="00087294" w:rsidP="00087294">
      <w:pPr>
        <w:tabs>
          <w:tab w:val="left" w:pos="720"/>
        </w:tabs>
        <w:spacing w:after="0" w:line="360" w:lineRule="auto"/>
        <w:ind w:left="180" w:hanging="360"/>
        <w:jc w:val="both"/>
        <w:rPr>
          <w:rFonts w:ascii="Arial" w:eastAsia="Times New Roman" w:hAnsi="Arial" w:cs="Arial"/>
          <w:color w:val="000000"/>
          <w:sz w:val="24"/>
          <w:szCs w:val="24"/>
          <w:lang w:val="en-ZA"/>
        </w:rPr>
      </w:pPr>
      <w:r w:rsidRPr="005D4BEF">
        <w:rPr>
          <w:rFonts w:ascii="Arial" w:eastAsia="Times New Roman" w:hAnsi="Arial" w:cs="Arial"/>
          <w:color w:val="000000"/>
          <w:sz w:val="24"/>
          <w:szCs w:val="24"/>
          <w:lang w:val="en-ZA"/>
        </w:rPr>
        <w:t>1.</w:t>
      </w:r>
      <w:r w:rsidRPr="005D4BEF">
        <w:rPr>
          <w:rFonts w:ascii="Arial" w:eastAsia="Times New Roman" w:hAnsi="Arial" w:cs="Arial"/>
          <w:color w:val="000000"/>
          <w:sz w:val="24"/>
          <w:szCs w:val="24"/>
          <w:lang w:val="en-ZA"/>
        </w:rPr>
        <w:tab/>
      </w:r>
      <w:r w:rsidR="005D4BEF" w:rsidRPr="005D4BEF">
        <w:rPr>
          <w:rFonts w:ascii="Arial" w:hAnsi="Arial" w:cs="Arial"/>
          <w:color w:val="000000"/>
          <w:sz w:val="24"/>
          <w:szCs w:val="24"/>
        </w:rPr>
        <w:t> The appeal in terms of s 89(1)(a) of the Labour Act, 11 of 2007 against part of the decision and order of the second respondent made on 6 March 2020, wherein he ordered that:</w:t>
      </w:r>
    </w:p>
    <w:p w:rsidR="005D4BEF" w:rsidRPr="005D4BEF" w:rsidRDefault="00B501CB" w:rsidP="00B501CB">
      <w:pPr>
        <w:pStyle w:val="NormalWeb"/>
        <w:spacing w:before="0" w:beforeAutospacing="0" w:after="0" w:afterAutospacing="0" w:line="360" w:lineRule="auto"/>
        <w:ind w:left="180"/>
        <w:jc w:val="both"/>
        <w:rPr>
          <w:rFonts w:ascii="Arial" w:hAnsi="Arial" w:cs="Arial"/>
          <w:color w:val="000000"/>
        </w:rPr>
      </w:pPr>
      <w:r>
        <w:rPr>
          <w:rFonts w:ascii="Arial" w:hAnsi="Arial" w:cs="Arial"/>
          <w:color w:val="000000"/>
        </w:rPr>
        <w:t>‘</w:t>
      </w:r>
      <w:r w:rsidR="005D4BEF" w:rsidRPr="005D4BEF">
        <w:rPr>
          <w:rFonts w:ascii="Arial" w:hAnsi="Arial" w:cs="Arial"/>
          <w:color w:val="000000"/>
          <w:sz w:val="22"/>
          <w:szCs w:val="22"/>
        </w:rPr>
        <w:t>(1) The notice of withdrawal signed on 3rd day of September 2018 by Rocco Nguvauva for and on behalf of the applicants is hereby set aside</w:t>
      </w:r>
      <w:r>
        <w:rPr>
          <w:rFonts w:ascii="Arial" w:hAnsi="Arial" w:cs="Arial"/>
          <w:color w:val="000000"/>
        </w:rPr>
        <w:t>.’</w:t>
      </w:r>
    </w:p>
    <w:p w:rsidR="005D4BEF" w:rsidRPr="005D4BEF" w:rsidRDefault="005D4BEF" w:rsidP="00B501CB">
      <w:pPr>
        <w:pStyle w:val="NormalWeb"/>
        <w:spacing w:before="0" w:beforeAutospacing="0" w:after="0" w:afterAutospacing="0" w:line="360" w:lineRule="auto"/>
        <w:jc w:val="both"/>
        <w:rPr>
          <w:rFonts w:ascii="Arial" w:hAnsi="Arial" w:cs="Arial"/>
          <w:color w:val="000000"/>
        </w:rPr>
      </w:pPr>
      <w:r w:rsidRPr="005D4BEF">
        <w:rPr>
          <w:rFonts w:ascii="Arial" w:hAnsi="Arial" w:cs="Arial"/>
          <w:color w:val="000000"/>
        </w:rPr>
        <w:lastRenderedPageBreak/>
        <w:t>is upheld. </w:t>
      </w:r>
    </w:p>
    <w:p w:rsidR="005D4BEF" w:rsidRPr="005D4BEF" w:rsidRDefault="005D4BEF" w:rsidP="00B501CB">
      <w:pPr>
        <w:pStyle w:val="NormalWeb"/>
        <w:spacing w:before="0" w:beforeAutospacing="0" w:after="0" w:afterAutospacing="0" w:line="360" w:lineRule="auto"/>
        <w:jc w:val="both"/>
        <w:rPr>
          <w:rFonts w:ascii="Arial" w:hAnsi="Arial" w:cs="Arial"/>
          <w:color w:val="000000"/>
        </w:rPr>
      </w:pPr>
      <w:r w:rsidRPr="005D4BEF">
        <w:rPr>
          <w:rFonts w:ascii="Arial" w:hAnsi="Arial" w:cs="Arial"/>
          <w:color w:val="000000"/>
        </w:rPr>
        <w:t>2. The aforementioned order is set aside. </w:t>
      </w:r>
    </w:p>
    <w:p w:rsidR="005D4BEF" w:rsidRPr="005D4BEF" w:rsidRDefault="005D4BEF" w:rsidP="00B501CB">
      <w:pPr>
        <w:pStyle w:val="NormalWeb"/>
        <w:spacing w:before="0" w:beforeAutospacing="0" w:after="0" w:afterAutospacing="0" w:line="360" w:lineRule="auto"/>
        <w:jc w:val="both"/>
        <w:rPr>
          <w:rFonts w:ascii="Arial" w:hAnsi="Arial" w:cs="Arial"/>
          <w:color w:val="000000"/>
        </w:rPr>
      </w:pPr>
      <w:r w:rsidRPr="005D4BEF">
        <w:rPr>
          <w:rFonts w:ascii="Arial" w:hAnsi="Arial" w:cs="Arial"/>
          <w:color w:val="000000"/>
        </w:rPr>
        <w:t>3. No order as to costs. </w:t>
      </w:r>
    </w:p>
    <w:p w:rsidR="0059742B" w:rsidRPr="006E026B" w:rsidRDefault="005D4BEF" w:rsidP="00B501CB">
      <w:pPr>
        <w:spacing w:after="0" w:line="360" w:lineRule="auto"/>
        <w:jc w:val="both"/>
        <w:rPr>
          <w:rFonts w:ascii="Arial" w:hAnsi="Arial" w:cs="Arial"/>
          <w:bCs/>
          <w:sz w:val="24"/>
          <w:szCs w:val="24"/>
        </w:rPr>
      </w:pPr>
      <w:r>
        <w:rPr>
          <w:rFonts w:ascii="Arial" w:hAnsi="Arial" w:cs="Arial"/>
          <w:bCs/>
          <w:sz w:val="24"/>
          <w:szCs w:val="24"/>
        </w:rPr>
        <w:t xml:space="preserve"> </w:t>
      </w:r>
      <w:r w:rsidR="0009632D">
        <w:rPr>
          <w:rFonts w:ascii="Arial" w:hAnsi="Arial" w:cs="Arial"/>
          <w:bCs/>
          <w:sz w:val="24"/>
          <w:szCs w:val="24"/>
        </w:rPr>
        <w:pict>
          <v:rect id="_x0000_i1027" style="width:0;height:1.5pt" o:hralign="center" o:hrstd="t" o:hr="t" fillcolor="#a0a0a0" stroked="f"/>
        </w:pict>
      </w:r>
    </w:p>
    <w:p w:rsidR="0059742B" w:rsidRPr="006E026B" w:rsidRDefault="0059742B" w:rsidP="00B501CB">
      <w:pPr>
        <w:spacing w:after="0" w:line="360" w:lineRule="auto"/>
        <w:jc w:val="center"/>
        <w:rPr>
          <w:rFonts w:ascii="Arial" w:hAnsi="Arial" w:cs="Arial"/>
          <w:b/>
          <w:sz w:val="24"/>
          <w:szCs w:val="24"/>
        </w:rPr>
      </w:pPr>
      <w:r w:rsidRPr="006E026B">
        <w:rPr>
          <w:rFonts w:ascii="Arial" w:hAnsi="Arial" w:cs="Arial"/>
          <w:b/>
          <w:sz w:val="24"/>
          <w:szCs w:val="24"/>
        </w:rPr>
        <w:t>JUDGMENT</w:t>
      </w:r>
    </w:p>
    <w:p w:rsidR="0059742B" w:rsidRPr="006E026B" w:rsidRDefault="0009632D" w:rsidP="00B501CB">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59742B" w:rsidRPr="006E026B" w:rsidRDefault="0059742B" w:rsidP="00B501CB">
      <w:pPr>
        <w:spacing w:after="0" w:line="360" w:lineRule="auto"/>
        <w:ind w:left="1440" w:hanging="1440"/>
        <w:jc w:val="both"/>
        <w:rPr>
          <w:rFonts w:ascii="Arial" w:hAnsi="Arial" w:cs="Arial"/>
          <w:sz w:val="24"/>
          <w:szCs w:val="24"/>
        </w:rPr>
      </w:pPr>
    </w:p>
    <w:p w:rsidR="0059742B" w:rsidRPr="00F81760" w:rsidRDefault="0059742B" w:rsidP="00B501CB">
      <w:pPr>
        <w:spacing w:after="0" w:line="360" w:lineRule="auto"/>
        <w:ind w:left="1440" w:hanging="1440"/>
        <w:jc w:val="both"/>
        <w:rPr>
          <w:rFonts w:ascii="Arial" w:hAnsi="Arial" w:cs="Arial"/>
          <w:sz w:val="24"/>
          <w:szCs w:val="24"/>
        </w:rPr>
      </w:pPr>
      <w:r w:rsidRPr="00F81760">
        <w:rPr>
          <w:rFonts w:ascii="Arial" w:hAnsi="Arial" w:cs="Arial"/>
          <w:sz w:val="24"/>
          <w:szCs w:val="24"/>
        </w:rPr>
        <w:t>PRINSLOO J</w:t>
      </w:r>
    </w:p>
    <w:p w:rsidR="0059742B" w:rsidRDefault="0059742B" w:rsidP="00B501CB">
      <w:pPr>
        <w:spacing w:after="0" w:line="360" w:lineRule="auto"/>
        <w:ind w:left="1440" w:hanging="1440"/>
        <w:jc w:val="both"/>
        <w:rPr>
          <w:rFonts w:ascii="Arial" w:hAnsi="Arial" w:cs="Arial"/>
          <w:b/>
          <w:sz w:val="24"/>
          <w:szCs w:val="24"/>
        </w:rPr>
      </w:pPr>
    </w:p>
    <w:p w:rsidR="0059742B" w:rsidRDefault="0059742B" w:rsidP="00B501CB">
      <w:pPr>
        <w:spacing w:after="0" w:line="360" w:lineRule="auto"/>
        <w:rPr>
          <w:rFonts w:ascii="Arial" w:hAnsi="Arial" w:cs="Arial"/>
          <w:sz w:val="24"/>
          <w:szCs w:val="24"/>
          <w:u w:val="single"/>
        </w:rPr>
      </w:pPr>
      <w:r w:rsidRPr="00233145">
        <w:rPr>
          <w:rFonts w:ascii="Arial" w:hAnsi="Arial" w:cs="Arial"/>
          <w:sz w:val="24"/>
          <w:szCs w:val="24"/>
          <w:u w:val="single"/>
        </w:rPr>
        <w:t xml:space="preserve">Introduction </w:t>
      </w:r>
    </w:p>
    <w:p w:rsidR="00307515" w:rsidRDefault="0059742B" w:rsidP="00B501CB">
      <w:pPr>
        <w:spacing w:after="0" w:line="360" w:lineRule="auto"/>
        <w:jc w:val="both"/>
        <w:rPr>
          <w:rFonts w:ascii="Arial" w:hAnsi="Arial" w:cs="Arial"/>
          <w:sz w:val="24"/>
          <w:szCs w:val="24"/>
        </w:rPr>
      </w:pPr>
      <w:r w:rsidRPr="0059742B">
        <w:rPr>
          <w:rFonts w:ascii="Arial" w:hAnsi="Arial" w:cs="Arial"/>
          <w:sz w:val="24"/>
          <w:szCs w:val="24"/>
        </w:rPr>
        <w:t>[</w:t>
      </w:r>
      <w:r w:rsidR="00680D89">
        <w:rPr>
          <w:rFonts w:ascii="Arial" w:hAnsi="Arial" w:cs="Arial"/>
          <w:sz w:val="24"/>
          <w:szCs w:val="24"/>
        </w:rPr>
        <w:t>1</w:t>
      </w:r>
      <w:r w:rsidRPr="0059742B">
        <w:rPr>
          <w:rFonts w:ascii="Arial" w:hAnsi="Arial" w:cs="Arial"/>
          <w:sz w:val="24"/>
          <w:szCs w:val="24"/>
        </w:rPr>
        <w:t>]</w:t>
      </w:r>
      <w:r w:rsidRPr="0059742B">
        <w:rPr>
          <w:rFonts w:ascii="Arial" w:hAnsi="Arial" w:cs="Arial"/>
          <w:sz w:val="24"/>
          <w:szCs w:val="24"/>
        </w:rPr>
        <w:tab/>
      </w:r>
      <w:r w:rsidR="00494A9C" w:rsidRPr="00494A9C">
        <w:rPr>
          <w:rFonts w:ascii="Arial" w:hAnsi="Arial" w:cs="Arial"/>
          <w:sz w:val="24"/>
          <w:szCs w:val="24"/>
        </w:rPr>
        <w:t xml:space="preserve">This is an appeal noted </w:t>
      </w:r>
      <w:r w:rsidR="00494A9C">
        <w:rPr>
          <w:rFonts w:ascii="Arial" w:hAnsi="Arial" w:cs="Arial"/>
          <w:sz w:val="24"/>
          <w:szCs w:val="24"/>
        </w:rPr>
        <w:t xml:space="preserve">in terms of </w:t>
      </w:r>
      <w:r w:rsidR="001D187C">
        <w:rPr>
          <w:rFonts w:ascii="Arial" w:hAnsi="Arial" w:cs="Arial"/>
          <w:sz w:val="24"/>
          <w:szCs w:val="24"/>
        </w:rPr>
        <w:t>s 89(1</w:t>
      </w:r>
      <w:r w:rsidR="00FC7EEE">
        <w:rPr>
          <w:rFonts w:ascii="Arial" w:hAnsi="Arial" w:cs="Arial"/>
          <w:sz w:val="24"/>
          <w:szCs w:val="24"/>
        </w:rPr>
        <w:t>) (</w:t>
      </w:r>
      <w:r w:rsidR="001D187C">
        <w:rPr>
          <w:rFonts w:ascii="Arial" w:hAnsi="Arial" w:cs="Arial"/>
          <w:sz w:val="24"/>
          <w:szCs w:val="24"/>
        </w:rPr>
        <w:t>a) of the Labour Act. 11 of 2007 (the Act)</w:t>
      </w:r>
      <w:r w:rsidR="00494A9C">
        <w:rPr>
          <w:rFonts w:ascii="Arial" w:hAnsi="Arial" w:cs="Arial"/>
          <w:sz w:val="24"/>
          <w:szCs w:val="24"/>
        </w:rPr>
        <w:t xml:space="preserve"> against the arbitration award by Dionysius Louw, the second respondent</w:t>
      </w:r>
      <w:r>
        <w:rPr>
          <w:rFonts w:ascii="Arial" w:hAnsi="Arial" w:cs="Arial"/>
          <w:sz w:val="24"/>
          <w:szCs w:val="24"/>
        </w:rPr>
        <w:t xml:space="preserve"> on 6 March 2020.</w:t>
      </w:r>
    </w:p>
    <w:p w:rsidR="00B501CB" w:rsidRDefault="00B501CB" w:rsidP="00B501CB">
      <w:pPr>
        <w:spacing w:after="0" w:line="360" w:lineRule="auto"/>
        <w:jc w:val="both"/>
        <w:rPr>
          <w:rFonts w:ascii="Arial" w:hAnsi="Arial" w:cs="Arial"/>
          <w:sz w:val="24"/>
          <w:szCs w:val="24"/>
        </w:rPr>
      </w:pPr>
    </w:p>
    <w:p w:rsidR="001F058B" w:rsidRDefault="0059742B" w:rsidP="00B501CB">
      <w:pPr>
        <w:spacing w:after="0" w:line="360" w:lineRule="auto"/>
        <w:jc w:val="both"/>
        <w:rPr>
          <w:rFonts w:ascii="Arial" w:hAnsi="Arial" w:cs="Arial"/>
          <w:sz w:val="24"/>
          <w:szCs w:val="24"/>
        </w:rPr>
      </w:pPr>
      <w:r>
        <w:rPr>
          <w:rFonts w:ascii="Arial" w:hAnsi="Arial" w:cs="Arial"/>
          <w:sz w:val="24"/>
          <w:szCs w:val="24"/>
        </w:rPr>
        <w:t>[</w:t>
      </w:r>
      <w:r w:rsidR="00680D89">
        <w:rPr>
          <w:rFonts w:ascii="Arial" w:hAnsi="Arial" w:cs="Arial"/>
          <w:sz w:val="24"/>
          <w:szCs w:val="24"/>
        </w:rPr>
        <w:t>2</w:t>
      </w:r>
      <w:r>
        <w:rPr>
          <w:rFonts w:ascii="Arial" w:hAnsi="Arial" w:cs="Arial"/>
          <w:sz w:val="24"/>
          <w:szCs w:val="24"/>
        </w:rPr>
        <w:t>]</w:t>
      </w:r>
      <w:r>
        <w:rPr>
          <w:rFonts w:ascii="Arial" w:hAnsi="Arial" w:cs="Arial"/>
          <w:sz w:val="24"/>
          <w:szCs w:val="24"/>
        </w:rPr>
        <w:tab/>
        <w:t xml:space="preserve"> The matter</w:t>
      </w:r>
      <w:r w:rsidR="001C700A">
        <w:rPr>
          <w:rFonts w:ascii="Arial" w:hAnsi="Arial" w:cs="Arial"/>
          <w:sz w:val="24"/>
          <w:szCs w:val="24"/>
        </w:rPr>
        <w:t>,</w:t>
      </w:r>
      <w:r>
        <w:rPr>
          <w:rFonts w:ascii="Arial" w:hAnsi="Arial" w:cs="Arial"/>
          <w:sz w:val="24"/>
          <w:szCs w:val="24"/>
        </w:rPr>
        <w:t xml:space="preserve"> however</w:t>
      </w:r>
      <w:r w:rsidR="001C700A">
        <w:rPr>
          <w:rFonts w:ascii="Arial" w:hAnsi="Arial" w:cs="Arial"/>
          <w:sz w:val="24"/>
          <w:szCs w:val="24"/>
        </w:rPr>
        <w:t>,</w:t>
      </w:r>
      <w:r>
        <w:rPr>
          <w:rFonts w:ascii="Arial" w:hAnsi="Arial" w:cs="Arial"/>
          <w:sz w:val="24"/>
          <w:szCs w:val="24"/>
        </w:rPr>
        <w:t xml:space="preserve"> has a long and extended history</w:t>
      </w:r>
      <w:r w:rsidR="001F058B">
        <w:rPr>
          <w:rFonts w:ascii="Arial" w:hAnsi="Arial" w:cs="Arial"/>
          <w:sz w:val="24"/>
          <w:szCs w:val="24"/>
        </w:rPr>
        <w:t xml:space="preserve"> </w:t>
      </w:r>
      <w:r w:rsidR="001F058B" w:rsidRPr="00C820C3">
        <w:rPr>
          <w:rFonts w:ascii="Arial" w:hAnsi="Arial" w:cs="Arial"/>
          <w:color w:val="000000" w:themeColor="text1"/>
          <w:sz w:val="24"/>
          <w:szCs w:val="24"/>
        </w:rPr>
        <w:t>and to bring the matter in context it is necessary to consider the events leading up to appeal</w:t>
      </w:r>
      <w:r w:rsidR="00016C9D" w:rsidRPr="00C820C3">
        <w:rPr>
          <w:rFonts w:ascii="Arial" w:hAnsi="Arial" w:cs="Arial"/>
          <w:color w:val="000000" w:themeColor="text1"/>
          <w:sz w:val="24"/>
          <w:szCs w:val="24"/>
        </w:rPr>
        <w:t xml:space="preserve"> </w:t>
      </w:r>
      <w:r w:rsidR="001F058B" w:rsidRPr="00C820C3">
        <w:rPr>
          <w:rFonts w:ascii="Arial" w:hAnsi="Arial" w:cs="Arial"/>
          <w:color w:val="000000" w:themeColor="text1"/>
          <w:sz w:val="24"/>
          <w:szCs w:val="24"/>
        </w:rPr>
        <w:t xml:space="preserve">before me. The </w:t>
      </w:r>
      <w:r w:rsidR="00F85363" w:rsidRPr="00C820C3">
        <w:rPr>
          <w:rFonts w:ascii="Arial" w:hAnsi="Arial" w:cs="Arial"/>
          <w:color w:val="000000" w:themeColor="text1"/>
          <w:sz w:val="24"/>
          <w:szCs w:val="24"/>
        </w:rPr>
        <w:t>genesis</w:t>
      </w:r>
      <w:r w:rsidR="001F058B" w:rsidRPr="00C820C3">
        <w:rPr>
          <w:rFonts w:ascii="Arial" w:hAnsi="Arial" w:cs="Arial"/>
          <w:color w:val="000000" w:themeColor="text1"/>
          <w:sz w:val="24"/>
          <w:szCs w:val="24"/>
        </w:rPr>
        <w:t xml:space="preserve"> of the matter is as </w:t>
      </w:r>
      <w:r w:rsidR="00016C9D" w:rsidRPr="00C820C3">
        <w:rPr>
          <w:rFonts w:ascii="Arial" w:hAnsi="Arial" w:cs="Arial"/>
          <w:color w:val="000000" w:themeColor="text1"/>
          <w:sz w:val="24"/>
          <w:szCs w:val="24"/>
        </w:rPr>
        <w:t xml:space="preserve">far back as 31 January 2017, </w:t>
      </w:r>
      <w:r w:rsidR="00F85363" w:rsidRPr="00C820C3">
        <w:rPr>
          <w:rFonts w:ascii="Arial" w:hAnsi="Arial" w:cs="Arial"/>
          <w:color w:val="000000" w:themeColor="text1"/>
          <w:sz w:val="24"/>
          <w:szCs w:val="24"/>
        </w:rPr>
        <w:t>which is when</w:t>
      </w:r>
      <w:r w:rsidR="00016C9D" w:rsidRPr="00C820C3">
        <w:rPr>
          <w:rFonts w:ascii="Arial" w:hAnsi="Arial" w:cs="Arial"/>
          <w:color w:val="000000" w:themeColor="text1"/>
          <w:sz w:val="24"/>
          <w:szCs w:val="24"/>
        </w:rPr>
        <w:t xml:space="preserve"> </w:t>
      </w:r>
      <w:r w:rsidR="00016C9D">
        <w:rPr>
          <w:rFonts w:ascii="Arial" w:hAnsi="Arial" w:cs="Arial"/>
          <w:sz w:val="24"/>
          <w:szCs w:val="24"/>
        </w:rPr>
        <w:t>the employees were retr</w:t>
      </w:r>
      <w:r w:rsidR="00680D89">
        <w:rPr>
          <w:rFonts w:ascii="Arial" w:hAnsi="Arial" w:cs="Arial"/>
          <w:sz w:val="24"/>
          <w:szCs w:val="24"/>
        </w:rPr>
        <w:t>enched by the appellant in term</w:t>
      </w:r>
      <w:r w:rsidR="00680D89" w:rsidRPr="001F058B">
        <w:rPr>
          <w:rFonts w:ascii="Arial" w:hAnsi="Arial" w:cs="Arial"/>
          <w:sz w:val="24"/>
          <w:szCs w:val="24"/>
        </w:rPr>
        <w:t>s</w:t>
      </w:r>
      <w:r w:rsidR="00680D89">
        <w:rPr>
          <w:rFonts w:ascii="Arial" w:hAnsi="Arial" w:cs="Arial"/>
          <w:sz w:val="24"/>
          <w:szCs w:val="24"/>
        </w:rPr>
        <w:t xml:space="preserve"> </w:t>
      </w:r>
      <w:r w:rsidR="00016C9D">
        <w:rPr>
          <w:rFonts w:ascii="Arial" w:hAnsi="Arial" w:cs="Arial"/>
          <w:sz w:val="24"/>
          <w:szCs w:val="24"/>
        </w:rPr>
        <w:t>of s 34 of the Labour  Act, 11 of 2007</w:t>
      </w:r>
      <w:r w:rsidR="001C700A">
        <w:rPr>
          <w:rFonts w:ascii="Arial" w:hAnsi="Arial" w:cs="Arial"/>
          <w:sz w:val="24"/>
          <w:szCs w:val="24"/>
        </w:rPr>
        <w:t xml:space="preserve"> ( the Act)</w:t>
      </w:r>
      <w:r w:rsidR="00016C9D">
        <w:rPr>
          <w:rFonts w:ascii="Arial" w:hAnsi="Arial" w:cs="Arial"/>
          <w:sz w:val="24"/>
          <w:szCs w:val="24"/>
        </w:rPr>
        <w:t>.</w:t>
      </w:r>
      <w:r w:rsidR="001D187C">
        <w:rPr>
          <w:rFonts w:ascii="Arial" w:hAnsi="Arial" w:cs="Arial"/>
          <w:sz w:val="24"/>
          <w:szCs w:val="24"/>
        </w:rPr>
        <w:t xml:space="preserve"> </w:t>
      </w:r>
    </w:p>
    <w:p w:rsidR="001F058B" w:rsidRDefault="001F058B" w:rsidP="00B501CB">
      <w:pPr>
        <w:spacing w:after="0" w:line="360" w:lineRule="auto"/>
        <w:jc w:val="both"/>
        <w:rPr>
          <w:rFonts w:ascii="Arial" w:hAnsi="Arial" w:cs="Arial"/>
          <w:sz w:val="24"/>
          <w:szCs w:val="24"/>
        </w:rPr>
      </w:pPr>
    </w:p>
    <w:p w:rsidR="001C700A" w:rsidRDefault="001C700A" w:rsidP="00B501CB">
      <w:pPr>
        <w:spacing w:after="0" w:line="360" w:lineRule="auto"/>
        <w:jc w:val="both"/>
        <w:rPr>
          <w:rFonts w:ascii="Arial" w:hAnsi="Arial" w:cs="Arial"/>
          <w:sz w:val="24"/>
          <w:szCs w:val="24"/>
          <w:u w:val="single"/>
        </w:rPr>
      </w:pPr>
      <w:r w:rsidRPr="001C700A">
        <w:rPr>
          <w:rFonts w:ascii="Arial" w:hAnsi="Arial" w:cs="Arial"/>
          <w:sz w:val="24"/>
          <w:szCs w:val="24"/>
          <w:u w:val="single"/>
        </w:rPr>
        <w:t xml:space="preserve">Background </w:t>
      </w:r>
    </w:p>
    <w:p w:rsidR="001C700A" w:rsidRDefault="001C700A" w:rsidP="00B501CB">
      <w:pPr>
        <w:spacing w:after="0" w:line="360" w:lineRule="auto"/>
        <w:jc w:val="both"/>
        <w:rPr>
          <w:rFonts w:ascii="Arial" w:hAnsi="Arial" w:cs="Arial"/>
          <w:sz w:val="24"/>
          <w:szCs w:val="24"/>
        </w:rPr>
      </w:pPr>
      <w:r w:rsidRPr="001C700A">
        <w:rPr>
          <w:rFonts w:ascii="Arial" w:hAnsi="Arial" w:cs="Arial"/>
          <w:sz w:val="24"/>
          <w:szCs w:val="24"/>
        </w:rPr>
        <w:t>[</w:t>
      </w:r>
      <w:r w:rsidR="00680D89">
        <w:rPr>
          <w:rFonts w:ascii="Arial" w:hAnsi="Arial" w:cs="Arial"/>
          <w:sz w:val="24"/>
          <w:szCs w:val="24"/>
        </w:rPr>
        <w:t>3</w:t>
      </w:r>
      <w:r w:rsidRPr="001C700A">
        <w:rPr>
          <w:rFonts w:ascii="Arial" w:hAnsi="Arial" w:cs="Arial"/>
          <w:sz w:val="24"/>
          <w:szCs w:val="24"/>
        </w:rPr>
        <w:t>]</w:t>
      </w:r>
      <w:r w:rsidRPr="001C700A">
        <w:rPr>
          <w:rFonts w:ascii="Arial" w:hAnsi="Arial" w:cs="Arial"/>
          <w:sz w:val="24"/>
          <w:szCs w:val="24"/>
        </w:rPr>
        <w:tab/>
        <w:t xml:space="preserve"> </w:t>
      </w:r>
      <w:r>
        <w:rPr>
          <w:rFonts w:ascii="Arial" w:hAnsi="Arial" w:cs="Arial"/>
          <w:sz w:val="24"/>
          <w:szCs w:val="24"/>
        </w:rPr>
        <w:t>T</w:t>
      </w:r>
      <w:r w:rsidRPr="001C700A">
        <w:rPr>
          <w:rFonts w:ascii="Arial" w:hAnsi="Arial" w:cs="Arial"/>
          <w:sz w:val="24"/>
          <w:szCs w:val="24"/>
        </w:rPr>
        <w:t>he first re</w:t>
      </w:r>
      <w:r>
        <w:rPr>
          <w:rFonts w:ascii="Arial" w:hAnsi="Arial" w:cs="Arial"/>
          <w:sz w:val="24"/>
          <w:szCs w:val="24"/>
        </w:rPr>
        <w:t>spondent is a group of 58 former employees of the appellant</w:t>
      </w:r>
      <w:r w:rsidR="00680D89">
        <w:rPr>
          <w:rFonts w:ascii="Arial" w:hAnsi="Arial" w:cs="Arial"/>
          <w:sz w:val="24"/>
          <w:szCs w:val="24"/>
        </w:rPr>
        <w:t xml:space="preserve"> </w:t>
      </w:r>
      <w:r w:rsidR="00680D89" w:rsidRPr="00C820C3">
        <w:rPr>
          <w:rFonts w:ascii="Arial" w:hAnsi="Arial" w:cs="Arial"/>
          <w:color w:val="000000" w:themeColor="text1"/>
          <w:sz w:val="24"/>
          <w:szCs w:val="24"/>
        </w:rPr>
        <w:t xml:space="preserve">(hereinafter </w:t>
      </w:r>
      <w:r w:rsidR="00B25A3C" w:rsidRPr="00C820C3">
        <w:rPr>
          <w:rFonts w:ascii="Arial" w:hAnsi="Arial" w:cs="Arial"/>
          <w:color w:val="000000" w:themeColor="text1"/>
          <w:sz w:val="24"/>
          <w:szCs w:val="24"/>
        </w:rPr>
        <w:t xml:space="preserve">referred to as </w:t>
      </w:r>
      <w:r w:rsidR="008D02FA" w:rsidRPr="00C820C3">
        <w:rPr>
          <w:rFonts w:ascii="Arial" w:hAnsi="Arial" w:cs="Arial"/>
          <w:color w:val="000000" w:themeColor="text1"/>
          <w:sz w:val="24"/>
          <w:szCs w:val="24"/>
        </w:rPr>
        <w:t>the employees</w:t>
      </w:r>
      <w:r w:rsidR="00B25A3C" w:rsidRPr="00C820C3">
        <w:rPr>
          <w:rFonts w:ascii="Arial" w:hAnsi="Arial" w:cs="Arial"/>
          <w:color w:val="000000" w:themeColor="text1"/>
          <w:sz w:val="24"/>
          <w:szCs w:val="24"/>
        </w:rPr>
        <w:t xml:space="preserve"> or respondents interchang</w:t>
      </w:r>
      <w:r w:rsidR="00C41D94" w:rsidRPr="00C820C3">
        <w:rPr>
          <w:rFonts w:ascii="Arial" w:hAnsi="Arial" w:cs="Arial"/>
          <w:color w:val="000000" w:themeColor="text1"/>
          <w:sz w:val="24"/>
          <w:szCs w:val="24"/>
        </w:rPr>
        <w:t>e</w:t>
      </w:r>
      <w:r w:rsidR="00B25A3C" w:rsidRPr="00C820C3">
        <w:rPr>
          <w:rFonts w:ascii="Arial" w:hAnsi="Arial" w:cs="Arial"/>
          <w:color w:val="000000" w:themeColor="text1"/>
          <w:sz w:val="24"/>
          <w:szCs w:val="24"/>
        </w:rPr>
        <w:t>ably</w:t>
      </w:r>
      <w:r w:rsidR="008D02FA" w:rsidRPr="00C820C3">
        <w:rPr>
          <w:rFonts w:ascii="Arial" w:hAnsi="Arial" w:cs="Arial"/>
          <w:color w:val="000000" w:themeColor="text1"/>
          <w:sz w:val="24"/>
          <w:szCs w:val="24"/>
        </w:rPr>
        <w:t>)</w:t>
      </w:r>
      <w:r w:rsidRPr="00C820C3">
        <w:rPr>
          <w:rFonts w:ascii="Arial" w:hAnsi="Arial" w:cs="Arial"/>
          <w:color w:val="000000" w:themeColor="text1"/>
          <w:sz w:val="24"/>
          <w:szCs w:val="24"/>
        </w:rPr>
        <w:t xml:space="preserve">. </w:t>
      </w:r>
      <w:r>
        <w:rPr>
          <w:rFonts w:ascii="Arial" w:hAnsi="Arial" w:cs="Arial"/>
          <w:sz w:val="24"/>
          <w:szCs w:val="24"/>
        </w:rPr>
        <w:t xml:space="preserve">On 31 January </w:t>
      </w:r>
      <w:r w:rsidRPr="00F85363">
        <w:rPr>
          <w:rFonts w:ascii="Arial" w:hAnsi="Arial" w:cs="Arial"/>
          <w:sz w:val="24"/>
          <w:szCs w:val="24"/>
        </w:rPr>
        <w:t>201</w:t>
      </w:r>
      <w:r w:rsidR="00F85363" w:rsidRPr="00F85363">
        <w:rPr>
          <w:rFonts w:ascii="Arial" w:hAnsi="Arial" w:cs="Arial"/>
          <w:sz w:val="24"/>
          <w:szCs w:val="24"/>
        </w:rPr>
        <w:t>7</w:t>
      </w:r>
      <w:r w:rsidRPr="00680D89">
        <w:rPr>
          <w:rFonts w:ascii="Arial" w:hAnsi="Arial" w:cs="Arial"/>
          <w:color w:val="FF0000"/>
          <w:sz w:val="24"/>
          <w:szCs w:val="24"/>
        </w:rPr>
        <w:t xml:space="preserve"> </w:t>
      </w:r>
      <w:r>
        <w:rPr>
          <w:rFonts w:ascii="Arial" w:hAnsi="Arial" w:cs="Arial"/>
          <w:sz w:val="24"/>
          <w:szCs w:val="24"/>
        </w:rPr>
        <w:t>the employees were retrenched by the appellant in terms of s 34 of the Act. As a result</w:t>
      </w:r>
      <w:r w:rsidR="00680D89">
        <w:rPr>
          <w:rFonts w:ascii="Arial" w:hAnsi="Arial" w:cs="Arial"/>
          <w:sz w:val="24"/>
          <w:szCs w:val="24"/>
        </w:rPr>
        <w:t xml:space="preserve"> </w:t>
      </w:r>
      <w:r w:rsidR="00680D89" w:rsidRPr="00F85363">
        <w:rPr>
          <w:rFonts w:ascii="Arial" w:hAnsi="Arial" w:cs="Arial"/>
          <w:sz w:val="24"/>
          <w:szCs w:val="24"/>
        </w:rPr>
        <w:t>thereof,</w:t>
      </w:r>
      <w:r>
        <w:rPr>
          <w:rFonts w:ascii="Arial" w:hAnsi="Arial" w:cs="Arial"/>
          <w:sz w:val="24"/>
          <w:szCs w:val="24"/>
        </w:rPr>
        <w:t xml:space="preserve"> the employees launched a </w:t>
      </w:r>
      <w:r w:rsidRPr="00F85363">
        <w:rPr>
          <w:rFonts w:ascii="Arial" w:hAnsi="Arial" w:cs="Arial"/>
          <w:sz w:val="24"/>
          <w:szCs w:val="24"/>
        </w:rPr>
        <w:t xml:space="preserve">dispute </w:t>
      </w:r>
      <w:r w:rsidR="00680D89" w:rsidRPr="00F85363">
        <w:rPr>
          <w:rFonts w:ascii="Arial" w:hAnsi="Arial" w:cs="Arial"/>
          <w:sz w:val="24"/>
          <w:szCs w:val="24"/>
        </w:rPr>
        <w:t xml:space="preserve">of </w:t>
      </w:r>
      <w:r w:rsidRPr="00F85363">
        <w:rPr>
          <w:rFonts w:ascii="Arial" w:hAnsi="Arial" w:cs="Arial"/>
          <w:sz w:val="24"/>
          <w:szCs w:val="24"/>
        </w:rPr>
        <w:t xml:space="preserve">unfair </w:t>
      </w:r>
      <w:r>
        <w:rPr>
          <w:rFonts w:ascii="Arial" w:hAnsi="Arial" w:cs="Arial"/>
          <w:sz w:val="24"/>
          <w:szCs w:val="24"/>
        </w:rPr>
        <w:t xml:space="preserve">labour practice with the office of the Labour Commissioner on 10 October 2017. This dispute was filed by Mr Rocco Nguvauva, the General Secretary of NAFWU (Namibia Farmworkers Union) on behalf of its members. The employees complained </w:t>
      </w:r>
      <w:r w:rsidR="00560C2A" w:rsidRPr="00F85363">
        <w:rPr>
          <w:rFonts w:ascii="Arial" w:hAnsi="Arial" w:cs="Arial"/>
          <w:sz w:val="24"/>
          <w:szCs w:val="24"/>
        </w:rPr>
        <w:t>of</w:t>
      </w:r>
      <w:r w:rsidR="00560C2A" w:rsidRPr="00560C2A">
        <w:rPr>
          <w:rFonts w:ascii="Arial" w:hAnsi="Arial" w:cs="Arial"/>
          <w:color w:val="FF0000"/>
          <w:sz w:val="24"/>
          <w:szCs w:val="24"/>
        </w:rPr>
        <w:t xml:space="preserve"> </w:t>
      </w:r>
      <w:r>
        <w:rPr>
          <w:rFonts w:ascii="Arial" w:hAnsi="Arial" w:cs="Arial"/>
          <w:sz w:val="24"/>
          <w:szCs w:val="24"/>
        </w:rPr>
        <w:t>the appellant’s failure to comply with s 34 of the Act.</w:t>
      </w:r>
    </w:p>
    <w:p w:rsidR="00B501CB" w:rsidRDefault="00B501CB" w:rsidP="00B501CB">
      <w:pPr>
        <w:spacing w:after="0" w:line="360" w:lineRule="auto"/>
        <w:jc w:val="both"/>
        <w:rPr>
          <w:rFonts w:ascii="Arial" w:hAnsi="Arial" w:cs="Arial"/>
          <w:sz w:val="24"/>
          <w:szCs w:val="24"/>
        </w:rPr>
      </w:pPr>
    </w:p>
    <w:p w:rsidR="001C700A" w:rsidRDefault="001C700A" w:rsidP="00B501CB">
      <w:pPr>
        <w:spacing w:after="0" w:line="360" w:lineRule="auto"/>
        <w:jc w:val="both"/>
        <w:rPr>
          <w:rFonts w:ascii="Arial" w:hAnsi="Arial" w:cs="Arial"/>
          <w:sz w:val="24"/>
          <w:szCs w:val="24"/>
        </w:rPr>
      </w:pPr>
      <w:r>
        <w:rPr>
          <w:rFonts w:ascii="Arial" w:hAnsi="Arial" w:cs="Arial"/>
          <w:sz w:val="24"/>
          <w:szCs w:val="24"/>
        </w:rPr>
        <w:t>[</w:t>
      </w:r>
      <w:r w:rsidR="00680D89">
        <w:rPr>
          <w:rFonts w:ascii="Arial" w:hAnsi="Arial" w:cs="Arial"/>
          <w:sz w:val="24"/>
          <w:szCs w:val="24"/>
        </w:rPr>
        <w:t>4</w:t>
      </w:r>
      <w:r>
        <w:rPr>
          <w:rFonts w:ascii="Arial" w:hAnsi="Arial" w:cs="Arial"/>
          <w:sz w:val="24"/>
          <w:szCs w:val="24"/>
        </w:rPr>
        <w:t>]</w:t>
      </w:r>
      <w:r>
        <w:rPr>
          <w:rFonts w:ascii="Arial" w:hAnsi="Arial" w:cs="Arial"/>
          <w:sz w:val="24"/>
          <w:szCs w:val="24"/>
        </w:rPr>
        <w:tab/>
        <w:t xml:space="preserve"> The Labour Commissioner registered the dispute in terms of the Act </w:t>
      </w:r>
      <w:r w:rsidR="00033DF6">
        <w:rPr>
          <w:rFonts w:ascii="Arial" w:hAnsi="Arial" w:cs="Arial"/>
          <w:sz w:val="24"/>
          <w:szCs w:val="24"/>
        </w:rPr>
        <w:t xml:space="preserve">under case number SRLU 38-17 </w:t>
      </w:r>
      <w:r>
        <w:rPr>
          <w:rFonts w:ascii="Arial" w:hAnsi="Arial" w:cs="Arial"/>
          <w:sz w:val="24"/>
          <w:szCs w:val="24"/>
        </w:rPr>
        <w:t>and designated an a</w:t>
      </w:r>
      <w:r w:rsidR="00680D89">
        <w:rPr>
          <w:rFonts w:ascii="Arial" w:hAnsi="Arial" w:cs="Arial"/>
          <w:sz w:val="24"/>
          <w:szCs w:val="24"/>
        </w:rPr>
        <w:t xml:space="preserve">rbitrator, Ms Monica Nganjone, </w:t>
      </w:r>
      <w:r>
        <w:rPr>
          <w:rFonts w:ascii="Arial" w:hAnsi="Arial" w:cs="Arial"/>
          <w:sz w:val="24"/>
          <w:szCs w:val="24"/>
        </w:rPr>
        <w:t>to determine the dispute i</w:t>
      </w:r>
      <w:r w:rsidR="00680D89">
        <w:rPr>
          <w:rFonts w:ascii="Arial" w:hAnsi="Arial" w:cs="Arial"/>
          <w:sz w:val="24"/>
          <w:szCs w:val="24"/>
        </w:rPr>
        <w:t xml:space="preserve">n terms of s 85(5) of the Act. </w:t>
      </w:r>
      <w:r w:rsidR="008D02FA">
        <w:rPr>
          <w:rFonts w:ascii="Arial" w:hAnsi="Arial" w:cs="Arial"/>
          <w:sz w:val="24"/>
          <w:szCs w:val="24"/>
        </w:rPr>
        <w:t>The matter was set down for an arbitration hearing on 7 December 2017 at Aussenkehr.</w:t>
      </w:r>
    </w:p>
    <w:p w:rsidR="00B501CB" w:rsidRDefault="00B501CB" w:rsidP="00B501CB">
      <w:pPr>
        <w:spacing w:after="0" w:line="360" w:lineRule="auto"/>
        <w:jc w:val="both"/>
        <w:rPr>
          <w:rFonts w:ascii="Arial" w:hAnsi="Arial" w:cs="Arial"/>
          <w:sz w:val="24"/>
          <w:szCs w:val="24"/>
        </w:rPr>
      </w:pPr>
    </w:p>
    <w:p w:rsidR="008D02FA" w:rsidRDefault="008D02FA" w:rsidP="00B501CB">
      <w:pPr>
        <w:spacing w:after="0" w:line="360" w:lineRule="auto"/>
        <w:jc w:val="both"/>
        <w:rPr>
          <w:rFonts w:ascii="Arial" w:hAnsi="Arial" w:cs="Arial"/>
          <w:sz w:val="24"/>
          <w:szCs w:val="24"/>
        </w:rPr>
      </w:pPr>
      <w:r>
        <w:rPr>
          <w:rFonts w:ascii="Arial" w:hAnsi="Arial" w:cs="Arial"/>
          <w:sz w:val="24"/>
          <w:szCs w:val="24"/>
        </w:rPr>
        <w:lastRenderedPageBreak/>
        <w:t>[</w:t>
      </w:r>
      <w:r w:rsidR="009D5EB5">
        <w:rPr>
          <w:rFonts w:ascii="Arial" w:hAnsi="Arial" w:cs="Arial"/>
          <w:sz w:val="24"/>
          <w:szCs w:val="24"/>
        </w:rPr>
        <w:t>5</w:t>
      </w:r>
      <w:r>
        <w:rPr>
          <w:rFonts w:ascii="Arial" w:hAnsi="Arial" w:cs="Arial"/>
          <w:sz w:val="24"/>
          <w:szCs w:val="24"/>
        </w:rPr>
        <w:t>]</w:t>
      </w:r>
      <w:r>
        <w:rPr>
          <w:rFonts w:ascii="Arial" w:hAnsi="Arial" w:cs="Arial"/>
          <w:sz w:val="24"/>
          <w:szCs w:val="24"/>
        </w:rPr>
        <w:tab/>
        <w:t xml:space="preserve"> On 30 October 2017 the appellant brought an application for the summary dismissal of the dispute on the basis that the dispute prescribed in terms of s 86(2</w:t>
      </w:r>
      <w:r w:rsidR="009D5EB5">
        <w:rPr>
          <w:rFonts w:ascii="Arial" w:hAnsi="Arial" w:cs="Arial"/>
          <w:sz w:val="24"/>
          <w:szCs w:val="24"/>
        </w:rPr>
        <w:t>) (</w:t>
      </w:r>
      <w:r>
        <w:rPr>
          <w:rFonts w:ascii="Arial" w:hAnsi="Arial" w:cs="Arial"/>
          <w:sz w:val="24"/>
          <w:szCs w:val="24"/>
        </w:rPr>
        <w:t xml:space="preserve">i) of the Act. </w:t>
      </w:r>
      <w:r w:rsidR="00033DF6">
        <w:rPr>
          <w:rFonts w:ascii="Arial" w:hAnsi="Arial" w:cs="Arial"/>
          <w:sz w:val="24"/>
          <w:szCs w:val="24"/>
        </w:rPr>
        <w:t>This application</w:t>
      </w:r>
      <w:r w:rsidR="00F85363">
        <w:rPr>
          <w:rFonts w:ascii="Arial" w:hAnsi="Arial" w:cs="Arial"/>
          <w:sz w:val="24"/>
          <w:szCs w:val="24"/>
        </w:rPr>
        <w:t>’</w:t>
      </w:r>
      <w:r w:rsidR="009D5EB5" w:rsidRPr="00F85363">
        <w:rPr>
          <w:rFonts w:ascii="Arial" w:hAnsi="Arial" w:cs="Arial"/>
          <w:sz w:val="24"/>
          <w:szCs w:val="24"/>
        </w:rPr>
        <w:t>s</w:t>
      </w:r>
      <w:r w:rsidR="00033DF6">
        <w:rPr>
          <w:rFonts w:ascii="Arial" w:hAnsi="Arial" w:cs="Arial"/>
          <w:sz w:val="24"/>
          <w:szCs w:val="24"/>
        </w:rPr>
        <w:t xml:space="preserve"> preliminary relief was fi</w:t>
      </w:r>
      <w:r w:rsidR="009D5EB5">
        <w:rPr>
          <w:rFonts w:ascii="Arial" w:hAnsi="Arial" w:cs="Arial"/>
          <w:sz w:val="24"/>
          <w:szCs w:val="24"/>
        </w:rPr>
        <w:t xml:space="preserve">led under case number </w:t>
      </w:r>
      <w:r w:rsidR="00033DF6">
        <w:rPr>
          <w:rFonts w:ascii="Arial" w:hAnsi="Arial" w:cs="Arial"/>
          <w:sz w:val="24"/>
          <w:szCs w:val="24"/>
        </w:rPr>
        <w:t>CRWK 1344/2016.</w:t>
      </w:r>
    </w:p>
    <w:p w:rsidR="00B501CB" w:rsidRDefault="00B501CB" w:rsidP="00B501CB">
      <w:pPr>
        <w:spacing w:after="0" w:line="360" w:lineRule="auto"/>
        <w:jc w:val="both"/>
        <w:rPr>
          <w:rFonts w:ascii="Arial" w:hAnsi="Arial" w:cs="Arial"/>
          <w:sz w:val="24"/>
          <w:szCs w:val="24"/>
        </w:rPr>
      </w:pPr>
    </w:p>
    <w:p w:rsidR="00033DF6" w:rsidRDefault="00033DF6" w:rsidP="00B501CB">
      <w:pPr>
        <w:spacing w:after="0" w:line="360" w:lineRule="auto"/>
        <w:jc w:val="both"/>
        <w:rPr>
          <w:rFonts w:ascii="Arial" w:hAnsi="Arial" w:cs="Arial"/>
          <w:sz w:val="24"/>
          <w:szCs w:val="24"/>
        </w:rPr>
      </w:pPr>
      <w:r>
        <w:rPr>
          <w:rFonts w:ascii="Arial" w:hAnsi="Arial" w:cs="Arial"/>
          <w:sz w:val="24"/>
          <w:szCs w:val="24"/>
        </w:rPr>
        <w:t>[</w:t>
      </w:r>
      <w:r w:rsidR="009D5EB5">
        <w:rPr>
          <w:rFonts w:ascii="Arial" w:hAnsi="Arial" w:cs="Arial"/>
          <w:sz w:val="24"/>
          <w:szCs w:val="24"/>
        </w:rPr>
        <w:t>6</w:t>
      </w:r>
      <w:r>
        <w:rPr>
          <w:rFonts w:ascii="Arial" w:hAnsi="Arial" w:cs="Arial"/>
          <w:sz w:val="24"/>
          <w:szCs w:val="24"/>
        </w:rPr>
        <w:t xml:space="preserve">] </w:t>
      </w:r>
      <w:r>
        <w:rPr>
          <w:rFonts w:ascii="Arial" w:hAnsi="Arial" w:cs="Arial"/>
          <w:sz w:val="24"/>
          <w:szCs w:val="24"/>
        </w:rPr>
        <w:tab/>
        <w:t xml:space="preserve">The application to dismiss was opposed by </w:t>
      </w:r>
      <w:r w:rsidRPr="00B25A3C">
        <w:rPr>
          <w:rFonts w:ascii="Arial" w:hAnsi="Arial" w:cs="Arial"/>
          <w:sz w:val="24"/>
          <w:szCs w:val="24"/>
        </w:rPr>
        <w:t xml:space="preserve">the </w:t>
      </w:r>
      <w:r w:rsidR="00B25A3C" w:rsidRPr="00B25A3C">
        <w:rPr>
          <w:rFonts w:ascii="Arial" w:hAnsi="Arial" w:cs="Arial"/>
          <w:sz w:val="24"/>
          <w:szCs w:val="24"/>
        </w:rPr>
        <w:t>employees</w:t>
      </w:r>
      <w:r w:rsidRPr="00B25A3C">
        <w:rPr>
          <w:rFonts w:ascii="Arial" w:hAnsi="Arial" w:cs="Arial"/>
          <w:sz w:val="24"/>
          <w:szCs w:val="24"/>
        </w:rPr>
        <w:t xml:space="preserve"> </w:t>
      </w:r>
      <w:r>
        <w:rPr>
          <w:rFonts w:ascii="Arial" w:hAnsi="Arial" w:cs="Arial"/>
          <w:sz w:val="24"/>
          <w:szCs w:val="24"/>
        </w:rPr>
        <w:t xml:space="preserve">and it </w:t>
      </w:r>
      <w:r w:rsidR="00714C7F">
        <w:rPr>
          <w:rFonts w:ascii="Arial" w:hAnsi="Arial" w:cs="Arial"/>
          <w:sz w:val="24"/>
          <w:szCs w:val="24"/>
        </w:rPr>
        <w:t>would appear that the arbitrator heard the application on 13 November</w:t>
      </w:r>
      <w:r w:rsidR="009D5EB5">
        <w:rPr>
          <w:rFonts w:ascii="Arial" w:hAnsi="Arial" w:cs="Arial"/>
          <w:sz w:val="24"/>
          <w:szCs w:val="24"/>
        </w:rPr>
        <w:t xml:space="preserve"> </w:t>
      </w:r>
      <w:r w:rsidR="009D5EB5" w:rsidRPr="00F85363">
        <w:rPr>
          <w:rFonts w:ascii="Arial" w:hAnsi="Arial" w:cs="Arial"/>
          <w:sz w:val="24"/>
          <w:szCs w:val="24"/>
        </w:rPr>
        <w:t>2017</w:t>
      </w:r>
      <w:r w:rsidR="00714C7F">
        <w:rPr>
          <w:rFonts w:ascii="Arial" w:hAnsi="Arial" w:cs="Arial"/>
          <w:sz w:val="24"/>
          <w:szCs w:val="24"/>
        </w:rPr>
        <w:t xml:space="preserve"> and committed herself to a ruling on 14 December 2017. This date was however extended and on 13 March 2018</w:t>
      </w:r>
      <w:r w:rsidR="009D5EB5">
        <w:rPr>
          <w:rFonts w:ascii="Arial" w:hAnsi="Arial" w:cs="Arial"/>
          <w:sz w:val="24"/>
          <w:szCs w:val="24"/>
        </w:rPr>
        <w:t xml:space="preserve"> </w:t>
      </w:r>
      <w:r w:rsidR="00714C7F">
        <w:rPr>
          <w:rFonts w:ascii="Arial" w:hAnsi="Arial" w:cs="Arial"/>
          <w:sz w:val="24"/>
          <w:szCs w:val="24"/>
        </w:rPr>
        <w:t xml:space="preserve">by way of ruling </w:t>
      </w:r>
      <w:r w:rsidR="009D5EB5" w:rsidRPr="00F85363">
        <w:rPr>
          <w:rFonts w:ascii="Arial" w:hAnsi="Arial" w:cs="Arial"/>
          <w:sz w:val="24"/>
          <w:szCs w:val="24"/>
        </w:rPr>
        <w:t xml:space="preserve">Ms Nganjone, </w:t>
      </w:r>
      <w:r w:rsidR="00714C7F">
        <w:rPr>
          <w:rFonts w:ascii="Arial" w:hAnsi="Arial" w:cs="Arial"/>
          <w:sz w:val="24"/>
          <w:szCs w:val="24"/>
        </w:rPr>
        <w:t>dismissed the application for summary dismissal of the dispute and found that the dispute filed under case no SRLU 38-17 h</w:t>
      </w:r>
      <w:r w:rsidR="00714C7F" w:rsidRPr="00224EB1">
        <w:rPr>
          <w:rFonts w:ascii="Arial" w:hAnsi="Arial" w:cs="Arial"/>
          <w:sz w:val="24"/>
          <w:szCs w:val="24"/>
        </w:rPr>
        <w:t>a</w:t>
      </w:r>
      <w:r w:rsidR="00A25D00" w:rsidRPr="00224EB1">
        <w:rPr>
          <w:rFonts w:ascii="Arial" w:hAnsi="Arial" w:cs="Arial"/>
          <w:sz w:val="24"/>
          <w:szCs w:val="24"/>
        </w:rPr>
        <w:t>d</w:t>
      </w:r>
      <w:r w:rsidR="00714C7F">
        <w:rPr>
          <w:rFonts w:ascii="Arial" w:hAnsi="Arial" w:cs="Arial"/>
          <w:sz w:val="24"/>
          <w:szCs w:val="24"/>
        </w:rPr>
        <w:t xml:space="preserve"> no</w:t>
      </w:r>
      <w:r w:rsidR="002704F1">
        <w:rPr>
          <w:rFonts w:ascii="Arial" w:hAnsi="Arial" w:cs="Arial"/>
          <w:sz w:val="24"/>
          <w:szCs w:val="24"/>
        </w:rPr>
        <w:t>t</w:t>
      </w:r>
      <w:r w:rsidR="00714C7F">
        <w:rPr>
          <w:rFonts w:ascii="Arial" w:hAnsi="Arial" w:cs="Arial"/>
          <w:sz w:val="24"/>
          <w:szCs w:val="24"/>
        </w:rPr>
        <w:t xml:space="preserve"> prescribed</w:t>
      </w:r>
      <w:r w:rsidR="009B7020">
        <w:rPr>
          <w:rFonts w:ascii="Arial" w:hAnsi="Arial" w:cs="Arial"/>
          <w:sz w:val="24"/>
          <w:szCs w:val="24"/>
        </w:rPr>
        <w:t xml:space="preserve">. </w:t>
      </w:r>
      <w:r w:rsidR="002704F1">
        <w:rPr>
          <w:rFonts w:ascii="Arial" w:hAnsi="Arial" w:cs="Arial"/>
          <w:sz w:val="24"/>
          <w:szCs w:val="24"/>
        </w:rPr>
        <w:t>O</w:t>
      </w:r>
      <w:r w:rsidR="009B7020">
        <w:rPr>
          <w:rFonts w:ascii="Arial" w:hAnsi="Arial" w:cs="Arial"/>
          <w:sz w:val="24"/>
          <w:szCs w:val="24"/>
        </w:rPr>
        <w:t xml:space="preserve">n 19 March 2018 the appellant </w:t>
      </w:r>
      <w:r w:rsidR="000B38B7">
        <w:rPr>
          <w:rFonts w:ascii="Arial" w:hAnsi="Arial" w:cs="Arial"/>
          <w:sz w:val="24"/>
          <w:szCs w:val="24"/>
        </w:rPr>
        <w:t xml:space="preserve">filed its notice of appeal </w:t>
      </w:r>
      <w:r w:rsidR="009B7020">
        <w:rPr>
          <w:rFonts w:ascii="Arial" w:hAnsi="Arial" w:cs="Arial"/>
          <w:sz w:val="24"/>
          <w:szCs w:val="24"/>
        </w:rPr>
        <w:t xml:space="preserve">against the ruling of the arbitrator given on 13 March 2018. </w:t>
      </w:r>
      <w:r w:rsidR="00714C7F">
        <w:rPr>
          <w:rFonts w:ascii="Arial" w:hAnsi="Arial" w:cs="Arial"/>
          <w:sz w:val="24"/>
          <w:szCs w:val="24"/>
        </w:rPr>
        <w:t xml:space="preserve"> </w:t>
      </w:r>
    </w:p>
    <w:p w:rsidR="00B501CB" w:rsidRDefault="00B501CB" w:rsidP="00B501CB">
      <w:pPr>
        <w:spacing w:after="0" w:line="360" w:lineRule="auto"/>
        <w:jc w:val="both"/>
        <w:rPr>
          <w:rFonts w:ascii="Arial" w:hAnsi="Arial" w:cs="Arial"/>
          <w:sz w:val="24"/>
          <w:szCs w:val="24"/>
        </w:rPr>
      </w:pPr>
    </w:p>
    <w:p w:rsidR="000B38B7" w:rsidRDefault="000B38B7" w:rsidP="00B501CB">
      <w:pPr>
        <w:spacing w:after="0" w:line="360" w:lineRule="auto"/>
        <w:jc w:val="both"/>
        <w:rPr>
          <w:rFonts w:ascii="Arial" w:hAnsi="Arial" w:cs="Arial"/>
          <w:sz w:val="24"/>
          <w:szCs w:val="24"/>
        </w:rPr>
      </w:pPr>
      <w:r>
        <w:rPr>
          <w:rFonts w:ascii="Arial" w:hAnsi="Arial" w:cs="Arial"/>
          <w:sz w:val="24"/>
          <w:szCs w:val="24"/>
        </w:rPr>
        <w:t>[</w:t>
      </w:r>
      <w:r w:rsidR="00A25D00">
        <w:rPr>
          <w:rFonts w:ascii="Arial" w:hAnsi="Arial" w:cs="Arial"/>
          <w:sz w:val="24"/>
          <w:szCs w:val="24"/>
        </w:rPr>
        <w:t>7</w:t>
      </w:r>
      <w:r>
        <w:rPr>
          <w:rFonts w:ascii="Arial" w:hAnsi="Arial" w:cs="Arial"/>
          <w:sz w:val="24"/>
          <w:szCs w:val="24"/>
        </w:rPr>
        <w:t>]</w:t>
      </w:r>
      <w:r>
        <w:rPr>
          <w:rFonts w:ascii="Arial" w:hAnsi="Arial" w:cs="Arial"/>
          <w:sz w:val="24"/>
          <w:szCs w:val="24"/>
        </w:rPr>
        <w:tab/>
        <w:t xml:space="preserve">The appeal was enrolled in the Labour Court under case no HC-MD-LAB-APP-AAA-2018/00016 and set-down for hearing on 14 September 2018 before the Honorable Masuku J. However, on 7 September 2018 the appellant withdrew the appeal and the matter was removed from the roll as a result thereof. </w:t>
      </w:r>
      <w:r w:rsidR="002704F1">
        <w:rPr>
          <w:rFonts w:ascii="Arial" w:hAnsi="Arial" w:cs="Arial"/>
          <w:sz w:val="24"/>
          <w:szCs w:val="24"/>
        </w:rPr>
        <w:t xml:space="preserve">The withdrawal of the appeal was as a result of a settlement agreement reached between the appellant and Mr Nguvauva, in his representative capacity. </w:t>
      </w:r>
    </w:p>
    <w:p w:rsidR="00B501CB" w:rsidRDefault="00B501CB" w:rsidP="00B501CB">
      <w:pPr>
        <w:spacing w:after="0" w:line="360" w:lineRule="auto"/>
        <w:jc w:val="both"/>
        <w:rPr>
          <w:rFonts w:ascii="Arial" w:hAnsi="Arial" w:cs="Arial"/>
          <w:sz w:val="24"/>
          <w:szCs w:val="24"/>
        </w:rPr>
      </w:pPr>
    </w:p>
    <w:p w:rsidR="000B38B7" w:rsidRDefault="000B38B7" w:rsidP="00B501CB">
      <w:pPr>
        <w:spacing w:after="0" w:line="360" w:lineRule="auto"/>
        <w:jc w:val="both"/>
        <w:rPr>
          <w:rFonts w:ascii="Arial" w:hAnsi="Arial" w:cs="Arial"/>
          <w:sz w:val="24"/>
          <w:szCs w:val="24"/>
        </w:rPr>
      </w:pPr>
      <w:r>
        <w:rPr>
          <w:rFonts w:ascii="Arial" w:hAnsi="Arial" w:cs="Arial"/>
          <w:sz w:val="24"/>
          <w:szCs w:val="24"/>
        </w:rPr>
        <w:t>[</w:t>
      </w:r>
      <w:r w:rsidR="00A25D00">
        <w:rPr>
          <w:rFonts w:ascii="Arial" w:hAnsi="Arial" w:cs="Arial"/>
          <w:sz w:val="24"/>
          <w:szCs w:val="24"/>
        </w:rPr>
        <w:t>8</w:t>
      </w:r>
      <w:r>
        <w:rPr>
          <w:rFonts w:ascii="Arial" w:hAnsi="Arial" w:cs="Arial"/>
          <w:sz w:val="24"/>
          <w:szCs w:val="24"/>
        </w:rPr>
        <w:t>]</w:t>
      </w:r>
      <w:r>
        <w:rPr>
          <w:rFonts w:ascii="Arial" w:hAnsi="Arial" w:cs="Arial"/>
          <w:sz w:val="24"/>
          <w:szCs w:val="24"/>
        </w:rPr>
        <w:tab/>
        <w:t xml:space="preserve"> During May 2019 the employees </w:t>
      </w:r>
      <w:r w:rsidR="000E2188">
        <w:rPr>
          <w:rFonts w:ascii="Arial" w:hAnsi="Arial" w:cs="Arial"/>
          <w:sz w:val="24"/>
          <w:szCs w:val="24"/>
        </w:rPr>
        <w:t xml:space="preserve">wrote a letter to </w:t>
      </w:r>
      <w:r>
        <w:rPr>
          <w:rFonts w:ascii="Arial" w:hAnsi="Arial" w:cs="Arial"/>
          <w:sz w:val="24"/>
          <w:szCs w:val="24"/>
        </w:rPr>
        <w:t>the Labour Commissioner with a request to proceed to determine the dispute between the parties</w:t>
      </w:r>
      <w:r w:rsidR="002704F1">
        <w:rPr>
          <w:rFonts w:ascii="Arial" w:hAnsi="Arial" w:cs="Arial"/>
          <w:sz w:val="24"/>
          <w:szCs w:val="24"/>
        </w:rPr>
        <w:t xml:space="preserve"> as the appeal against the order of 13 March 2018 was withdrawn</w:t>
      </w:r>
      <w:r w:rsidR="00650AD3">
        <w:rPr>
          <w:rFonts w:ascii="Arial" w:hAnsi="Arial" w:cs="Arial"/>
          <w:sz w:val="24"/>
          <w:szCs w:val="24"/>
        </w:rPr>
        <w:t xml:space="preserve">. </w:t>
      </w:r>
      <w:r w:rsidR="002704F1">
        <w:rPr>
          <w:rFonts w:ascii="Arial" w:hAnsi="Arial" w:cs="Arial"/>
          <w:sz w:val="24"/>
          <w:szCs w:val="24"/>
        </w:rPr>
        <w:t>T</w:t>
      </w:r>
      <w:r w:rsidR="000E2188">
        <w:rPr>
          <w:rFonts w:ascii="Arial" w:hAnsi="Arial" w:cs="Arial"/>
          <w:sz w:val="24"/>
          <w:szCs w:val="24"/>
        </w:rPr>
        <w:t xml:space="preserve">he Labour Commissioner </w:t>
      </w:r>
      <w:r w:rsidR="002704F1">
        <w:rPr>
          <w:rFonts w:ascii="Arial" w:hAnsi="Arial" w:cs="Arial"/>
          <w:sz w:val="24"/>
          <w:szCs w:val="24"/>
        </w:rPr>
        <w:t xml:space="preserve">complied and </w:t>
      </w:r>
      <w:r w:rsidR="000E2188">
        <w:rPr>
          <w:rFonts w:ascii="Arial" w:hAnsi="Arial" w:cs="Arial"/>
          <w:sz w:val="24"/>
          <w:szCs w:val="24"/>
        </w:rPr>
        <w:t>designated an arbitrator to</w:t>
      </w:r>
      <w:r w:rsidR="000E2188" w:rsidRPr="00224EB1">
        <w:rPr>
          <w:rFonts w:ascii="Arial" w:hAnsi="Arial" w:cs="Arial"/>
          <w:sz w:val="24"/>
          <w:szCs w:val="24"/>
        </w:rPr>
        <w:t xml:space="preserve"> </w:t>
      </w:r>
      <w:r w:rsidR="00A25D00" w:rsidRPr="00224EB1">
        <w:rPr>
          <w:rFonts w:ascii="Arial" w:hAnsi="Arial" w:cs="Arial"/>
          <w:sz w:val="24"/>
          <w:szCs w:val="24"/>
        </w:rPr>
        <w:t xml:space="preserve">adjudicate </w:t>
      </w:r>
      <w:r w:rsidR="000E2188">
        <w:rPr>
          <w:rFonts w:ascii="Arial" w:hAnsi="Arial" w:cs="Arial"/>
          <w:sz w:val="24"/>
          <w:szCs w:val="24"/>
        </w:rPr>
        <w:t xml:space="preserve">the </w:t>
      </w:r>
      <w:r w:rsidR="000E2188" w:rsidRPr="00224EB1">
        <w:rPr>
          <w:rFonts w:ascii="Arial" w:hAnsi="Arial" w:cs="Arial"/>
          <w:sz w:val="24"/>
          <w:szCs w:val="24"/>
        </w:rPr>
        <w:t xml:space="preserve">matter </w:t>
      </w:r>
      <w:r w:rsidR="00FC7EEE" w:rsidRPr="00224EB1">
        <w:rPr>
          <w:rFonts w:ascii="Arial" w:hAnsi="Arial" w:cs="Arial"/>
          <w:sz w:val="24"/>
          <w:szCs w:val="24"/>
        </w:rPr>
        <w:t xml:space="preserve">which </w:t>
      </w:r>
      <w:r w:rsidR="000E2188" w:rsidRPr="00FC7EEE">
        <w:rPr>
          <w:rFonts w:ascii="Arial" w:hAnsi="Arial" w:cs="Arial"/>
          <w:sz w:val="24"/>
          <w:szCs w:val="24"/>
        </w:rPr>
        <w:t xml:space="preserve">was </w:t>
      </w:r>
      <w:r w:rsidR="000E2188">
        <w:rPr>
          <w:rFonts w:ascii="Arial" w:hAnsi="Arial" w:cs="Arial"/>
          <w:sz w:val="24"/>
          <w:szCs w:val="24"/>
        </w:rPr>
        <w:t>set down for hearing on 18 November 2021.</w:t>
      </w:r>
    </w:p>
    <w:p w:rsidR="00B501CB" w:rsidRDefault="00B501CB" w:rsidP="00B501CB">
      <w:pPr>
        <w:spacing w:after="0" w:line="360" w:lineRule="auto"/>
        <w:jc w:val="both"/>
        <w:rPr>
          <w:rFonts w:ascii="Arial" w:hAnsi="Arial" w:cs="Arial"/>
          <w:sz w:val="24"/>
          <w:szCs w:val="24"/>
        </w:rPr>
      </w:pPr>
    </w:p>
    <w:p w:rsidR="0088659B" w:rsidRDefault="000E2188" w:rsidP="00B501CB">
      <w:pPr>
        <w:spacing w:after="0" w:line="360" w:lineRule="auto"/>
        <w:jc w:val="both"/>
        <w:rPr>
          <w:rFonts w:ascii="Arial" w:hAnsi="Arial" w:cs="Arial"/>
          <w:sz w:val="24"/>
          <w:szCs w:val="24"/>
        </w:rPr>
      </w:pPr>
      <w:r>
        <w:rPr>
          <w:rFonts w:ascii="Arial" w:hAnsi="Arial" w:cs="Arial"/>
          <w:sz w:val="24"/>
          <w:szCs w:val="24"/>
        </w:rPr>
        <w:t>[</w:t>
      </w:r>
      <w:r w:rsidR="00634C30">
        <w:rPr>
          <w:rFonts w:ascii="Arial" w:hAnsi="Arial" w:cs="Arial"/>
          <w:sz w:val="24"/>
          <w:szCs w:val="24"/>
        </w:rPr>
        <w:t>9</w:t>
      </w:r>
      <w:r>
        <w:rPr>
          <w:rFonts w:ascii="Arial" w:hAnsi="Arial" w:cs="Arial"/>
          <w:sz w:val="24"/>
          <w:szCs w:val="24"/>
        </w:rPr>
        <w:t>]</w:t>
      </w:r>
      <w:r>
        <w:rPr>
          <w:rFonts w:ascii="Arial" w:hAnsi="Arial" w:cs="Arial"/>
          <w:sz w:val="24"/>
          <w:szCs w:val="24"/>
        </w:rPr>
        <w:tab/>
      </w:r>
      <w:r w:rsidR="00CE4427">
        <w:rPr>
          <w:rFonts w:ascii="Arial" w:hAnsi="Arial" w:cs="Arial"/>
          <w:sz w:val="24"/>
          <w:szCs w:val="24"/>
        </w:rPr>
        <w:t>Mr Conradie, the Senior H.R. Manager of the appellant,</w:t>
      </w:r>
      <w:r>
        <w:rPr>
          <w:rFonts w:ascii="Arial" w:hAnsi="Arial" w:cs="Arial"/>
          <w:sz w:val="24"/>
          <w:szCs w:val="24"/>
        </w:rPr>
        <w:t xml:space="preserve"> directed an e-mail to the arbitrator</w:t>
      </w:r>
      <w:r w:rsidR="002704F1">
        <w:rPr>
          <w:rFonts w:ascii="Arial" w:hAnsi="Arial" w:cs="Arial"/>
          <w:sz w:val="24"/>
          <w:szCs w:val="24"/>
        </w:rPr>
        <w:t xml:space="preserve"> indicating </w:t>
      </w:r>
      <w:r>
        <w:rPr>
          <w:rFonts w:ascii="Arial" w:hAnsi="Arial" w:cs="Arial"/>
          <w:sz w:val="24"/>
          <w:szCs w:val="24"/>
        </w:rPr>
        <w:t xml:space="preserve">that the </w:t>
      </w:r>
      <w:r w:rsidRPr="00224EB1">
        <w:rPr>
          <w:rFonts w:ascii="Arial" w:hAnsi="Arial" w:cs="Arial"/>
          <w:sz w:val="24"/>
          <w:szCs w:val="24"/>
        </w:rPr>
        <w:t xml:space="preserve">dispute </w:t>
      </w:r>
      <w:r w:rsidR="00634C30" w:rsidRPr="00224EB1">
        <w:rPr>
          <w:rFonts w:ascii="Arial" w:hAnsi="Arial" w:cs="Arial"/>
          <w:sz w:val="24"/>
          <w:szCs w:val="24"/>
        </w:rPr>
        <w:t xml:space="preserve">set </w:t>
      </w:r>
      <w:r w:rsidRPr="00224EB1">
        <w:rPr>
          <w:rFonts w:ascii="Arial" w:hAnsi="Arial" w:cs="Arial"/>
          <w:sz w:val="24"/>
          <w:szCs w:val="24"/>
        </w:rPr>
        <w:t xml:space="preserve">down </w:t>
      </w:r>
      <w:r>
        <w:rPr>
          <w:rFonts w:ascii="Arial" w:hAnsi="Arial" w:cs="Arial"/>
          <w:sz w:val="24"/>
          <w:szCs w:val="24"/>
        </w:rPr>
        <w:t>was withdrawn on 3 September 2018</w:t>
      </w:r>
      <w:r w:rsidR="002704F1">
        <w:rPr>
          <w:rFonts w:ascii="Arial" w:hAnsi="Arial" w:cs="Arial"/>
          <w:sz w:val="24"/>
          <w:szCs w:val="24"/>
        </w:rPr>
        <w:t xml:space="preserve"> and referred the arbitrator </w:t>
      </w:r>
      <w:r w:rsidR="00634C30" w:rsidRPr="00224EB1">
        <w:rPr>
          <w:rFonts w:ascii="Arial" w:hAnsi="Arial" w:cs="Arial"/>
          <w:sz w:val="24"/>
          <w:szCs w:val="24"/>
        </w:rPr>
        <w:t xml:space="preserve">to </w:t>
      </w:r>
      <w:r w:rsidR="002704F1" w:rsidRPr="00224EB1">
        <w:rPr>
          <w:rFonts w:ascii="Arial" w:hAnsi="Arial" w:cs="Arial"/>
          <w:sz w:val="24"/>
          <w:szCs w:val="24"/>
        </w:rPr>
        <w:t xml:space="preserve">the </w:t>
      </w:r>
      <w:r w:rsidR="002704F1">
        <w:rPr>
          <w:rFonts w:ascii="Arial" w:hAnsi="Arial" w:cs="Arial"/>
          <w:sz w:val="24"/>
          <w:szCs w:val="24"/>
        </w:rPr>
        <w:t xml:space="preserve">withdrawal notice filed by Mr </w:t>
      </w:r>
      <w:r w:rsidR="006A55C5">
        <w:rPr>
          <w:rFonts w:ascii="Arial" w:hAnsi="Arial" w:cs="Arial"/>
          <w:sz w:val="24"/>
          <w:szCs w:val="24"/>
        </w:rPr>
        <w:t>Nguvauva</w:t>
      </w:r>
      <w:r w:rsidR="002704F1">
        <w:rPr>
          <w:rFonts w:ascii="Arial" w:hAnsi="Arial" w:cs="Arial"/>
          <w:sz w:val="24"/>
          <w:szCs w:val="24"/>
        </w:rPr>
        <w:t>.</w:t>
      </w:r>
    </w:p>
    <w:p w:rsidR="00B501CB" w:rsidRDefault="00B501CB" w:rsidP="00B501CB">
      <w:pPr>
        <w:spacing w:after="0" w:line="360" w:lineRule="auto"/>
        <w:jc w:val="both"/>
        <w:rPr>
          <w:rFonts w:ascii="Arial" w:hAnsi="Arial" w:cs="Arial"/>
          <w:sz w:val="24"/>
          <w:szCs w:val="24"/>
        </w:rPr>
      </w:pPr>
    </w:p>
    <w:p w:rsidR="002704F1" w:rsidRDefault="002704F1" w:rsidP="00B501CB">
      <w:pPr>
        <w:spacing w:after="0" w:line="360" w:lineRule="auto"/>
        <w:jc w:val="both"/>
        <w:rPr>
          <w:rFonts w:ascii="Arial" w:hAnsi="Arial" w:cs="Arial"/>
          <w:sz w:val="24"/>
          <w:szCs w:val="24"/>
        </w:rPr>
      </w:pPr>
      <w:r>
        <w:rPr>
          <w:rFonts w:ascii="Arial" w:hAnsi="Arial" w:cs="Arial"/>
          <w:sz w:val="24"/>
          <w:szCs w:val="24"/>
        </w:rPr>
        <w:t>[</w:t>
      </w:r>
      <w:r w:rsidR="00634C30">
        <w:rPr>
          <w:rFonts w:ascii="Arial" w:hAnsi="Arial" w:cs="Arial"/>
          <w:sz w:val="24"/>
          <w:szCs w:val="24"/>
        </w:rPr>
        <w:t>10</w:t>
      </w:r>
      <w:r>
        <w:rPr>
          <w:rFonts w:ascii="Arial" w:hAnsi="Arial" w:cs="Arial"/>
          <w:sz w:val="24"/>
          <w:szCs w:val="24"/>
        </w:rPr>
        <w:t>]</w:t>
      </w:r>
      <w:r>
        <w:rPr>
          <w:rFonts w:ascii="Arial" w:hAnsi="Arial" w:cs="Arial"/>
          <w:sz w:val="24"/>
          <w:szCs w:val="24"/>
        </w:rPr>
        <w:tab/>
        <w:t xml:space="preserve"> </w:t>
      </w:r>
      <w:r w:rsidR="00CA14CE">
        <w:rPr>
          <w:rFonts w:ascii="Arial" w:hAnsi="Arial" w:cs="Arial"/>
          <w:sz w:val="24"/>
          <w:szCs w:val="24"/>
        </w:rPr>
        <w:t xml:space="preserve">From the settlement agreement filed of record </w:t>
      </w:r>
      <w:r w:rsidR="00B24723">
        <w:rPr>
          <w:rFonts w:ascii="Arial" w:hAnsi="Arial" w:cs="Arial"/>
          <w:sz w:val="24"/>
          <w:szCs w:val="24"/>
        </w:rPr>
        <w:t xml:space="preserve">dated </w:t>
      </w:r>
      <w:r w:rsidR="00CA14CE">
        <w:rPr>
          <w:rFonts w:ascii="Arial" w:hAnsi="Arial" w:cs="Arial"/>
          <w:sz w:val="24"/>
          <w:szCs w:val="24"/>
        </w:rPr>
        <w:t>3 September 2018</w:t>
      </w:r>
      <w:r w:rsidR="00B24723">
        <w:rPr>
          <w:rFonts w:ascii="Arial" w:hAnsi="Arial" w:cs="Arial"/>
          <w:sz w:val="24"/>
          <w:szCs w:val="24"/>
        </w:rPr>
        <w:t xml:space="preserve"> </w:t>
      </w:r>
      <w:r w:rsidR="00CA14CE">
        <w:rPr>
          <w:rFonts w:ascii="Arial" w:hAnsi="Arial" w:cs="Arial"/>
          <w:sz w:val="24"/>
          <w:szCs w:val="24"/>
        </w:rPr>
        <w:t>it appears that the salient term</w:t>
      </w:r>
      <w:r w:rsidR="00023D37" w:rsidRPr="00224EB1">
        <w:rPr>
          <w:rFonts w:ascii="Arial" w:hAnsi="Arial" w:cs="Arial"/>
          <w:sz w:val="24"/>
          <w:szCs w:val="24"/>
        </w:rPr>
        <w:t>s</w:t>
      </w:r>
      <w:r w:rsidR="00CA14CE">
        <w:rPr>
          <w:rFonts w:ascii="Arial" w:hAnsi="Arial" w:cs="Arial"/>
          <w:sz w:val="24"/>
          <w:szCs w:val="24"/>
        </w:rPr>
        <w:t xml:space="preserve"> of the settlement agreement were</w:t>
      </w:r>
      <w:r w:rsidR="00B24723">
        <w:rPr>
          <w:rFonts w:ascii="Arial" w:hAnsi="Arial" w:cs="Arial"/>
          <w:sz w:val="24"/>
          <w:szCs w:val="24"/>
        </w:rPr>
        <w:t xml:space="preserve"> that:</w:t>
      </w:r>
    </w:p>
    <w:p w:rsidR="006A55C5" w:rsidRPr="00087294" w:rsidRDefault="00087294" w:rsidP="00087294">
      <w:pPr>
        <w:spacing w:line="360" w:lineRule="auto"/>
        <w:ind w:left="1080" w:hanging="360"/>
        <w:jc w:val="both"/>
        <w:rPr>
          <w:rFonts w:ascii="Arial" w:hAnsi="Arial" w:cs="Arial"/>
        </w:rPr>
      </w:pPr>
      <w:r>
        <w:rPr>
          <w:rFonts w:ascii="Arial" w:eastAsia="Times New Roman" w:hAnsi="Arial" w:cs="Arial"/>
          <w:sz w:val="24"/>
          <w:szCs w:val="24"/>
          <w:lang w:val="en-GB" w:eastAsia="en-GB"/>
        </w:rPr>
        <w:t>a)</w:t>
      </w:r>
      <w:r>
        <w:rPr>
          <w:rFonts w:ascii="Arial" w:eastAsia="Times New Roman" w:hAnsi="Arial" w:cs="Arial"/>
          <w:sz w:val="24"/>
          <w:szCs w:val="24"/>
          <w:lang w:val="en-GB" w:eastAsia="en-GB"/>
        </w:rPr>
        <w:tab/>
      </w:r>
      <w:r w:rsidR="00FC7EEE" w:rsidRPr="00087294">
        <w:rPr>
          <w:rFonts w:ascii="Arial" w:hAnsi="Arial" w:cs="Arial"/>
        </w:rPr>
        <w:t>T</w:t>
      </w:r>
      <w:r w:rsidR="006A55C5" w:rsidRPr="00087294">
        <w:rPr>
          <w:rFonts w:ascii="Arial" w:hAnsi="Arial" w:cs="Arial"/>
        </w:rPr>
        <w:t xml:space="preserve">he </w:t>
      </w:r>
      <w:r w:rsidR="0088659B" w:rsidRPr="00087294">
        <w:rPr>
          <w:rFonts w:ascii="Arial" w:hAnsi="Arial" w:cs="Arial"/>
        </w:rPr>
        <w:t xml:space="preserve">appellant undertook to withdraw the appeal filed against the ruling of the Arbitrator dated 13 March 2018; </w:t>
      </w:r>
    </w:p>
    <w:p w:rsidR="00B501CB" w:rsidRDefault="00B501CB" w:rsidP="00B501CB">
      <w:pPr>
        <w:pStyle w:val="ListParagraph"/>
        <w:spacing w:line="360" w:lineRule="auto"/>
        <w:ind w:left="1080"/>
        <w:jc w:val="both"/>
        <w:rPr>
          <w:rFonts w:ascii="Arial" w:hAnsi="Arial" w:cs="Arial"/>
        </w:rPr>
      </w:pPr>
    </w:p>
    <w:p w:rsidR="0088659B" w:rsidRPr="00087294" w:rsidRDefault="00087294" w:rsidP="00087294">
      <w:pPr>
        <w:spacing w:line="360" w:lineRule="auto"/>
        <w:ind w:left="1080" w:hanging="360"/>
        <w:jc w:val="both"/>
        <w:rPr>
          <w:rFonts w:ascii="Arial" w:hAnsi="Arial" w:cs="Arial"/>
        </w:rPr>
      </w:pPr>
      <w:r>
        <w:rPr>
          <w:rFonts w:ascii="Arial" w:eastAsia="Times New Roman" w:hAnsi="Arial" w:cs="Arial"/>
          <w:sz w:val="24"/>
          <w:szCs w:val="24"/>
          <w:lang w:val="en-GB" w:eastAsia="en-GB"/>
        </w:rPr>
        <w:lastRenderedPageBreak/>
        <w:t>b)</w:t>
      </w:r>
      <w:r>
        <w:rPr>
          <w:rFonts w:ascii="Arial" w:eastAsia="Times New Roman" w:hAnsi="Arial" w:cs="Arial"/>
          <w:sz w:val="24"/>
          <w:szCs w:val="24"/>
          <w:lang w:val="en-GB" w:eastAsia="en-GB"/>
        </w:rPr>
        <w:tab/>
      </w:r>
      <w:r w:rsidR="0088659B" w:rsidRPr="00087294">
        <w:rPr>
          <w:rFonts w:ascii="Arial" w:hAnsi="Arial" w:cs="Arial"/>
        </w:rPr>
        <w:t>The respondent</w:t>
      </w:r>
      <w:r w:rsidR="00023D37" w:rsidRPr="00087294">
        <w:rPr>
          <w:rFonts w:ascii="Arial" w:hAnsi="Arial" w:cs="Arial"/>
        </w:rPr>
        <w:t>s undertook to abandon and with</w:t>
      </w:r>
      <w:r w:rsidR="0088659B" w:rsidRPr="00087294">
        <w:rPr>
          <w:rFonts w:ascii="Arial" w:hAnsi="Arial" w:cs="Arial"/>
        </w:rPr>
        <w:t>draw their complaint under case SRLU 38-17;</w:t>
      </w:r>
    </w:p>
    <w:p w:rsidR="00B501CB" w:rsidRDefault="00B501CB" w:rsidP="00B501CB">
      <w:pPr>
        <w:pStyle w:val="ListParagraph"/>
        <w:spacing w:line="360" w:lineRule="auto"/>
        <w:ind w:left="1080"/>
        <w:jc w:val="both"/>
        <w:rPr>
          <w:rFonts w:ascii="Arial" w:hAnsi="Arial" w:cs="Arial"/>
        </w:rPr>
      </w:pPr>
    </w:p>
    <w:p w:rsidR="0088659B" w:rsidRPr="00087294" w:rsidRDefault="00087294" w:rsidP="00087294">
      <w:pPr>
        <w:spacing w:line="360" w:lineRule="auto"/>
        <w:ind w:left="1080" w:hanging="360"/>
        <w:jc w:val="both"/>
        <w:rPr>
          <w:rFonts w:ascii="Arial" w:hAnsi="Arial" w:cs="Arial"/>
        </w:rPr>
      </w:pPr>
      <w:r>
        <w:rPr>
          <w:rFonts w:ascii="Arial" w:eastAsia="Times New Roman" w:hAnsi="Arial" w:cs="Arial"/>
          <w:sz w:val="24"/>
          <w:szCs w:val="24"/>
          <w:lang w:val="en-GB" w:eastAsia="en-GB"/>
        </w:rPr>
        <w:t>c)</w:t>
      </w:r>
      <w:r>
        <w:rPr>
          <w:rFonts w:ascii="Arial" w:eastAsia="Times New Roman" w:hAnsi="Arial" w:cs="Arial"/>
          <w:sz w:val="24"/>
          <w:szCs w:val="24"/>
          <w:lang w:val="en-GB" w:eastAsia="en-GB"/>
        </w:rPr>
        <w:tab/>
      </w:r>
      <w:r w:rsidR="0088659B" w:rsidRPr="00087294">
        <w:rPr>
          <w:rFonts w:ascii="Arial" w:hAnsi="Arial" w:cs="Arial"/>
        </w:rPr>
        <w:t xml:space="preserve">The respondents will pursue the referral proceedings instituted on 15 March 2017 against the appellant for the unfair dismissal of the respondents under case SRKE 17-17 and that each party will take the appropriate steps in that regard. </w:t>
      </w:r>
    </w:p>
    <w:p w:rsidR="00B501CB" w:rsidRDefault="00B501CB" w:rsidP="00B501CB">
      <w:pPr>
        <w:pStyle w:val="ListParagraph"/>
        <w:spacing w:line="360" w:lineRule="auto"/>
        <w:ind w:left="1080"/>
        <w:jc w:val="both"/>
        <w:rPr>
          <w:rFonts w:ascii="Arial" w:hAnsi="Arial" w:cs="Arial"/>
        </w:rPr>
      </w:pPr>
    </w:p>
    <w:p w:rsidR="0088659B" w:rsidRPr="00087294" w:rsidRDefault="00087294" w:rsidP="00087294">
      <w:pPr>
        <w:spacing w:line="360" w:lineRule="auto"/>
        <w:ind w:left="1080" w:hanging="360"/>
        <w:jc w:val="both"/>
        <w:rPr>
          <w:rFonts w:ascii="Arial" w:hAnsi="Arial" w:cs="Arial"/>
        </w:rPr>
      </w:pPr>
      <w:r>
        <w:rPr>
          <w:rFonts w:ascii="Arial" w:eastAsia="Times New Roman" w:hAnsi="Arial" w:cs="Arial"/>
          <w:sz w:val="24"/>
          <w:szCs w:val="24"/>
          <w:lang w:val="en-GB" w:eastAsia="en-GB"/>
        </w:rPr>
        <w:t>d)</w:t>
      </w:r>
      <w:r>
        <w:rPr>
          <w:rFonts w:ascii="Arial" w:eastAsia="Times New Roman" w:hAnsi="Arial" w:cs="Arial"/>
          <w:sz w:val="24"/>
          <w:szCs w:val="24"/>
          <w:lang w:val="en-GB" w:eastAsia="en-GB"/>
        </w:rPr>
        <w:tab/>
      </w:r>
      <w:r w:rsidR="0088659B" w:rsidRPr="00087294">
        <w:rPr>
          <w:rFonts w:ascii="Arial" w:hAnsi="Arial" w:cs="Arial"/>
        </w:rPr>
        <w:t>The parties agreed that a settlement of the appeal is the most effective and appropriate way of disposing of the appeal proceedings brought as a result of the award issued under case SRLU 38-17.</w:t>
      </w:r>
    </w:p>
    <w:p w:rsidR="00B501CB" w:rsidRDefault="00B501CB" w:rsidP="00B501CB">
      <w:pPr>
        <w:pStyle w:val="ListParagraph"/>
        <w:spacing w:line="360" w:lineRule="auto"/>
        <w:ind w:left="1080"/>
        <w:jc w:val="both"/>
        <w:rPr>
          <w:rFonts w:ascii="Arial" w:hAnsi="Arial" w:cs="Arial"/>
        </w:rPr>
      </w:pPr>
    </w:p>
    <w:p w:rsidR="001D14DC" w:rsidRPr="00087294" w:rsidRDefault="00087294" w:rsidP="00087294">
      <w:pPr>
        <w:spacing w:line="360" w:lineRule="auto"/>
        <w:ind w:left="1080" w:hanging="360"/>
        <w:jc w:val="both"/>
        <w:rPr>
          <w:rFonts w:ascii="Arial" w:hAnsi="Arial" w:cs="Arial"/>
        </w:rPr>
      </w:pPr>
      <w:r w:rsidRPr="00224EB1">
        <w:rPr>
          <w:rFonts w:ascii="Arial" w:eastAsia="Times New Roman" w:hAnsi="Arial" w:cs="Arial"/>
          <w:sz w:val="24"/>
          <w:szCs w:val="24"/>
          <w:lang w:val="en-GB" w:eastAsia="en-GB"/>
        </w:rPr>
        <w:t>e)</w:t>
      </w:r>
      <w:r w:rsidRPr="00224EB1">
        <w:rPr>
          <w:rFonts w:ascii="Arial" w:eastAsia="Times New Roman" w:hAnsi="Arial" w:cs="Arial"/>
          <w:sz w:val="24"/>
          <w:szCs w:val="24"/>
          <w:lang w:val="en-GB" w:eastAsia="en-GB"/>
        </w:rPr>
        <w:tab/>
      </w:r>
      <w:r w:rsidR="001D14DC" w:rsidRPr="00087294">
        <w:rPr>
          <w:rFonts w:ascii="Arial" w:hAnsi="Arial" w:cs="Arial"/>
        </w:rPr>
        <w:t xml:space="preserve">That the agreement would be </w:t>
      </w:r>
      <w:r w:rsidR="006B20A6" w:rsidRPr="00087294">
        <w:rPr>
          <w:rFonts w:ascii="Arial" w:hAnsi="Arial" w:cs="Arial"/>
        </w:rPr>
        <w:t xml:space="preserve">a </w:t>
      </w:r>
      <w:r w:rsidR="001D14DC" w:rsidRPr="00087294">
        <w:rPr>
          <w:rFonts w:ascii="Arial" w:hAnsi="Arial" w:cs="Arial"/>
        </w:rPr>
        <w:t xml:space="preserve">final settlement and that no party shall have any claim </w:t>
      </w:r>
      <w:r w:rsidR="00FC7EEE" w:rsidRPr="00087294">
        <w:rPr>
          <w:rFonts w:ascii="Arial" w:hAnsi="Arial" w:cs="Arial"/>
        </w:rPr>
        <w:t xml:space="preserve">of </w:t>
      </w:r>
      <w:r w:rsidR="001D14DC" w:rsidRPr="00087294">
        <w:rPr>
          <w:rFonts w:ascii="Arial" w:hAnsi="Arial" w:cs="Arial"/>
        </w:rPr>
        <w:t xml:space="preserve">whatsoever nature against the other party except to fulfil their obligations arising from the agreement to each other. </w:t>
      </w:r>
    </w:p>
    <w:p w:rsidR="006A55C5" w:rsidRDefault="006A55C5" w:rsidP="00B501CB">
      <w:pPr>
        <w:spacing w:after="0" w:line="360" w:lineRule="auto"/>
        <w:jc w:val="both"/>
        <w:rPr>
          <w:rFonts w:ascii="Arial" w:hAnsi="Arial" w:cs="Arial"/>
          <w:sz w:val="24"/>
          <w:szCs w:val="24"/>
        </w:rPr>
      </w:pPr>
    </w:p>
    <w:p w:rsidR="001B4DC6" w:rsidRDefault="002704F1" w:rsidP="00B501CB">
      <w:pPr>
        <w:spacing w:after="0" w:line="360" w:lineRule="auto"/>
        <w:jc w:val="both"/>
        <w:rPr>
          <w:rFonts w:ascii="Arial" w:hAnsi="Arial" w:cs="Arial"/>
          <w:sz w:val="24"/>
          <w:szCs w:val="24"/>
        </w:rPr>
      </w:pPr>
      <w:r>
        <w:rPr>
          <w:rFonts w:ascii="Arial" w:hAnsi="Arial" w:cs="Arial"/>
          <w:sz w:val="24"/>
          <w:szCs w:val="24"/>
        </w:rPr>
        <w:t xml:space="preserve"> </w:t>
      </w:r>
      <w:r w:rsidR="0018464C">
        <w:rPr>
          <w:rFonts w:ascii="Arial" w:hAnsi="Arial" w:cs="Arial"/>
          <w:sz w:val="24"/>
          <w:szCs w:val="24"/>
        </w:rPr>
        <w:t>[</w:t>
      </w:r>
      <w:r w:rsidR="006B20A6">
        <w:rPr>
          <w:rFonts w:ascii="Arial" w:hAnsi="Arial" w:cs="Arial"/>
          <w:sz w:val="24"/>
          <w:szCs w:val="24"/>
        </w:rPr>
        <w:t>11</w:t>
      </w:r>
      <w:r w:rsidR="0018464C">
        <w:rPr>
          <w:rFonts w:ascii="Arial" w:hAnsi="Arial" w:cs="Arial"/>
          <w:sz w:val="24"/>
          <w:szCs w:val="24"/>
        </w:rPr>
        <w:t>]</w:t>
      </w:r>
      <w:r w:rsidR="0018464C">
        <w:rPr>
          <w:rFonts w:ascii="Arial" w:hAnsi="Arial" w:cs="Arial"/>
          <w:sz w:val="24"/>
          <w:szCs w:val="24"/>
        </w:rPr>
        <w:tab/>
        <w:t xml:space="preserve">On 18 November 2019 Mr Benedictus Yikoghahogha </w:t>
      </w:r>
      <w:r w:rsidR="00B24723">
        <w:rPr>
          <w:rFonts w:ascii="Arial" w:hAnsi="Arial" w:cs="Arial"/>
          <w:sz w:val="24"/>
          <w:szCs w:val="24"/>
        </w:rPr>
        <w:t xml:space="preserve">on behalf </w:t>
      </w:r>
      <w:r w:rsidR="00B24723" w:rsidRPr="00B25A3C">
        <w:rPr>
          <w:rFonts w:ascii="Arial" w:hAnsi="Arial" w:cs="Arial"/>
          <w:sz w:val="24"/>
          <w:szCs w:val="24"/>
        </w:rPr>
        <w:t xml:space="preserve">the </w:t>
      </w:r>
      <w:r w:rsidR="00B25A3C" w:rsidRPr="00B25A3C">
        <w:rPr>
          <w:rFonts w:ascii="Arial" w:hAnsi="Arial" w:cs="Arial"/>
          <w:sz w:val="24"/>
          <w:szCs w:val="24"/>
        </w:rPr>
        <w:t>employees</w:t>
      </w:r>
      <w:r w:rsidR="00224EB1" w:rsidRPr="00B25A3C">
        <w:rPr>
          <w:rFonts w:ascii="Arial" w:hAnsi="Arial" w:cs="Arial"/>
          <w:sz w:val="24"/>
          <w:szCs w:val="24"/>
        </w:rPr>
        <w:t xml:space="preserve"> </w:t>
      </w:r>
      <w:r w:rsidR="0018464C">
        <w:rPr>
          <w:rFonts w:ascii="Arial" w:hAnsi="Arial" w:cs="Arial"/>
          <w:sz w:val="24"/>
          <w:szCs w:val="24"/>
        </w:rPr>
        <w:t xml:space="preserve">made a sworn statement with the Namibian Police and attached a schedule signed by each of the employees </w:t>
      </w:r>
      <w:r w:rsidR="00FC7EEE" w:rsidRPr="00224EB1">
        <w:rPr>
          <w:rFonts w:ascii="Arial" w:hAnsi="Arial" w:cs="Arial"/>
          <w:sz w:val="24"/>
          <w:szCs w:val="24"/>
        </w:rPr>
        <w:t xml:space="preserve">stating </w:t>
      </w:r>
      <w:r w:rsidR="0018464C" w:rsidRPr="00FC7EEE">
        <w:rPr>
          <w:rFonts w:ascii="Arial" w:hAnsi="Arial" w:cs="Arial"/>
          <w:sz w:val="24"/>
          <w:szCs w:val="24"/>
        </w:rPr>
        <w:t xml:space="preserve">that </w:t>
      </w:r>
      <w:r w:rsidR="0018464C">
        <w:rPr>
          <w:rFonts w:ascii="Arial" w:hAnsi="Arial" w:cs="Arial"/>
          <w:sz w:val="24"/>
          <w:szCs w:val="24"/>
        </w:rPr>
        <w:t xml:space="preserve">there was no agreement on the part of the employees to withdraw the complaint as set out in the notice of withdrawal </w:t>
      </w:r>
      <w:r w:rsidR="00B779D3">
        <w:rPr>
          <w:rFonts w:ascii="Arial" w:hAnsi="Arial" w:cs="Arial"/>
          <w:sz w:val="24"/>
          <w:szCs w:val="24"/>
        </w:rPr>
        <w:t>and insisted that the matter</w:t>
      </w:r>
      <w:r w:rsidR="00FC7EEE" w:rsidRPr="00224EB1">
        <w:rPr>
          <w:rFonts w:ascii="Arial" w:hAnsi="Arial" w:cs="Arial"/>
          <w:sz w:val="24"/>
          <w:szCs w:val="24"/>
        </w:rPr>
        <w:t xml:space="preserve"> must</w:t>
      </w:r>
      <w:r w:rsidR="00B779D3" w:rsidRPr="00224EB1">
        <w:rPr>
          <w:rFonts w:ascii="Arial" w:hAnsi="Arial" w:cs="Arial"/>
          <w:sz w:val="24"/>
          <w:szCs w:val="24"/>
        </w:rPr>
        <w:t xml:space="preserve"> </w:t>
      </w:r>
      <w:r w:rsidR="00B779D3">
        <w:rPr>
          <w:rFonts w:ascii="Arial" w:hAnsi="Arial" w:cs="Arial"/>
          <w:sz w:val="24"/>
          <w:szCs w:val="24"/>
        </w:rPr>
        <w:t xml:space="preserve">proceed. On 26 November 2019 Mr Nguvauva directed a letter to the Ministry of Labour: Social Welfare and Job Creation </w:t>
      </w:r>
      <w:r w:rsidR="00FC7EEE" w:rsidRPr="00224EB1">
        <w:rPr>
          <w:rFonts w:ascii="Arial" w:hAnsi="Arial" w:cs="Arial"/>
          <w:sz w:val="24"/>
          <w:szCs w:val="24"/>
        </w:rPr>
        <w:t>ind</w:t>
      </w:r>
      <w:r w:rsidR="006B7DB4" w:rsidRPr="00224EB1">
        <w:rPr>
          <w:rFonts w:ascii="Arial" w:hAnsi="Arial" w:cs="Arial"/>
          <w:sz w:val="24"/>
          <w:szCs w:val="24"/>
        </w:rPr>
        <w:t>i</w:t>
      </w:r>
      <w:r w:rsidR="00FC7EEE" w:rsidRPr="00224EB1">
        <w:rPr>
          <w:rFonts w:ascii="Arial" w:hAnsi="Arial" w:cs="Arial"/>
          <w:sz w:val="24"/>
          <w:szCs w:val="24"/>
        </w:rPr>
        <w:t>cating</w:t>
      </w:r>
      <w:r w:rsidR="00B779D3" w:rsidRPr="00FC7EEE">
        <w:rPr>
          <w:rFonts w:ascii="Arial" w:hAnsi="Arial" w:cs="Arial"/>
          <w:color w:val="FF0000"/>
          <w:sz w:val="24"/>
          <w:szCs w:val="24"/>
        </w:rPr>
        <w:t xml:space="preserve"> </w:t>
      </w:r>
      <w:r w:rsidR="00B779D3">
        <w:rPr>
          <w:rFonts w:ascii="Arial" w:hAnsi="Arial" w:cs="Arial"/>
          <w:sz w:val="24"/>
          <w:szCs w:val="24"/>
        </w:rPr>
        <w:t xml:space="preserve">that the withdrawal of the complaint was </w:t>
      </w:r>
      <w:r w:rsidR="00DB3AAE">
        <w:rPr>
          <w:rFonts w:ascii="Arial" w:hAnsi="Arial" w:cs="Arial"/>
          <w:sz w:val="24"/>
          <w:szCs w:val="24"/>
        </w:rPr>
        <w:t>not procedural</w:t>
      </w:r>
      <w:r w:rsidR="00B779D3">
        <w:rPr>
          <w:rFonts w:ascii="Arial" w:hAnsi="Arial" w:cs="Arial"/>
          <w:sz w:val="24"/>
          <w:szCs w:val="24"/>
        </w:rPr>
        <w:t xml:space="preserve"> and that it was resolved by the employees that the matter </w:t>
      </w:r>
      <w:r w:rsidR="00FC17AC">
        <w:rPr>
          <w:rFonts w:ascii="Arial" w:hAnsi="Arial" w:cs="Arial"/>
          <w:sz w:val="24"/>
          <w:szCs w:val="24"/>
        </w:rPr>
        <w:t xml:space="preserve">must be re-enrolled and proceed to finalization. </w:t>
      </w:r>
    </w:p>
    <w:p w:rsidR="00B501CB" w:rsidRDefault="00B501CB" w:rsidP="00B501CB">
      <w:pPr>
        <w:spacing w:after="0" w:line="360" w:lineRule="auto"/>
        <w:jc w:val="both"/>
        <w:rPr>
          <w:rFonts w:ascii="Arial" w:hAnsi="Arial" w:cs="Arial"/>
          <w:sz w:val="24"/>
          <w:szCs w:val="24"/>
        </w:rPr>
      </w:pPr>
    </w:p>
    <w:p w:rsidR="0018464C" w:rsidRDefault="001B4DC6" w:rsidP="00B501CB">
      <w:pPr>
        <w:spacing w:after="0" w:line="360" w:lineRule="auto"/>
        <w:jc w:val="both"/>
        <w:rPr>
          <w:rFonts w:ascii="Arial" w:hAnsi="Arial" w:cs="Arial"/>
          <w:sz w:val="24"/>
          <w:szCs w:val="24"/>
        </w:rPr>
      </w:pPr>
      <w:r>
        <w:rPr>
          <w:rFonts w:ascii="Arial" w:hAnsi="Arial" w:cs="Arial"/>
          <w:sz w:val="24"/>
          <w:szCs w:val="24"/>
        </w:rPr>
        <w:t>[</w:t>
      </w:r>
      <w:r w:rsidR="006B20A6">
        <w:rPr>
          <w:rFonts w:ascii="Arial" w:hAnsi="Arial" w:cs="Arial"/>
          <w:sz w:val="24"/>
          <w:szCs w:val="24"/>
        </w:rPr>
        <w:t>12</w:t>
      </w:r>
      <w:r>
        <w:rPr>
          <w:rFonts w:ascii="Arial" w:hAnsi="Arial" w:cs="Arial"/>
          <w:sz w:val="24"/>
          <w:szCs w:val="24"/>
        </w:rPr>
        <w:t>]</w:t>
      </w:r>
      <w:r>
        <w:rPr>
          <w:rFonts w:ascii="Arial" w:hAnsi="Arial" w:cs="Arial"/>
          <w:sz w:val="24"/>
          <w:szCs w:val="24"/>
        </w:rPr>
        <w:tab/>
      </w:r>
      <w:r w:rsidR="006A55C5">
        <w:rPr>
          <w:rFonts w:ascii="Arial" w:hAnsi="Arial" w:cs="Arial"/>
          <w:sz w:val="24"/>
          <w:szCs w:val="24"/>
        </w:rPr>
        <w:t xml:space="preserve">On 5 December 2019 </w:t>
      </w:r>
      <w:r w:rsidR="00FC17AC">
        <w:rPr>
          <w:rFonts w:ascii="Arial" w:hAnsi="Arial" w:cs="Arial"/>
          <w:sz w:val="24"/>
          <w:szCs w:val="24"/>
        </w:rPr>
        <w:t xml:space="preserve">Mr Nguvauva then proceeded to file an application in terms of rule 28 of the </w:t>
      </w:r>
      <w:r w:rsidR="00DB3AAE" w:rsidRPr="00DB3AAE">
        <w:rPr>
          <w:rFonts w:ascii="Arial" w:hAnsi="Arial" w:cs="Arial"/>
          <w:sz w:val="24"/>
          <w:szCs w:val="24"/>
        </w:rPr>
        <w:t>Rules Relating to the Conduct of Conciliation and Arbitration before the Labour Commissioner (‘the Conciliation and Arbitration rules’)</w:t>
      </w:r>
      <w:r w:rsidR="00DB3AAE">
        <w:rPr>
          <w:rFonts w:ascii="Arial" w:hAnsi="Arial" w:cs="Arial"/>
          <w:sz w:val="24"/>
          <w:szCs w:val="24"/>
        </w:rPr>
        <w:t xml:space="preserve"> </w:t>
      </w:r>
      <w:r w:rsidR="00FC17AC">
        <w:rPr>
          <w:rFonts w:ascii="Arial" w:hAnsi="Arial" w:cs="Arial"/>
          <w:sz w:val="24"/>
          <w:szCs w:val="24"/>
        </w:rPr>
        <w:t xml:space="preserve">with the offices of the Labour Commissioner wherein he applied that the </w:t>
      </w:r>
      <w:r w:rsidR="006A55C5">
        <w:rPr>
          <w:rFonts w:ascii="Arial" w:hAnsi="Arial" w:cs="Arial"/>
          <w:sz w:val="24"/>
          <w:szCs w:val="24"/>
        </w:rPr>
        <w:t xml:space="preserve">Labour Commissioner permits the withdrawal of the notice of withdrawal filed erroneously and reinstate the matter before the Labour Commissioner. </w:t>
      </w:r>
    </w:p>
    <w:p w:rsidR="00B501CB" w:rsidRDefault="00B501CB" w:rsidP="00B501CB">
      <w:pPr>
        <w:spacing w:after="0" w:line="360" w:lineRule="auto"/>
        <w:jc w:val="both"/>
        <w:rPr>
          <w:rFonts w:ascii="Arial" w:hAnsi="Arial" w:cs="Arial"/>
          <w:sz w:val="24"/>
          <w:szCs w:val="24"/>
        </w:rPr>
      </w:pPr>
    </w:p>
    <w:p w:rsidR="00CE4427" w:rsidRDefault="00DB3AAE" w:rsidP="00B501CB">
      <w:pPr>
        <w:spacing w:after="0" w:line="360" w:lineRule="auto"/>
        <w:jc w:val="both"/>
        <w:rPr>
          <w:rFonts w:ascii="Arial" w:hAnsi="Arial" w:cs="Arial"/>
          <w:sz w:val="24"/>
          <w:szCs w:val="24"/>
        </w:rPr>
      </w:pPr>
      <w:r>
        <w:rPr>
          <w:rFonts w:ascii="Arial" w:hAnsi="Arial" w:cs="Arial"/>
          <w:sz w:val="24"/>
          <w:szCs w:val="24"/>
        </w:rPr>
        <w:t>[</w:t>
      </w:r>
      <w:r w:rsidR="006B20A6">
        <w:rPr>
          <w:rFonts w:ascii="Arial" w:hAnsi="Arial" w:cs="Arial"/>
          <w:sz w:val="24"/>
          <w:szCs w:val="24"/>
        </w:rPr>
        <w:t>13</w:t>
      </w:r>
      <w:r>
        <w:rPr>
          <w:rFonts w:ascii="Arial" w:hAnsi="Arial" w:cs="Arial"/>
          <w:sz w:val="24"/>
          <w:szCs w:val="24"/>
        </w:rPr>
        <w:t>]</w:t>
      </w:r>
      <w:r>
        <w:rPr>
          <w:rFonts w:ascii="Arial" w:hAnsi="Arial" w:cs="Arial"/>
          <w:sz w:val="24"/>
          <w:szCs w:val="24"/>
        </w:rPr>
        <w:tab/>
        <w:t xml:space="preserve"> </w:t>
      </w:r>
      <w:r w:rsidR="007B7652">
        <w:rPr>
          <w:rFonts w:ascii="Arial" w:hAnsi="Arial" w:cs="Arial"/>
          <w:sz w:val="24"/>
          <w:szCs w:val="24"/>
        </w:rPr>
        <w:t>T</w:t>
      </w:r>
      <w:r w:rsidR="006A55C5">
        <w:rPr>
          <w:rFonts w:ascii="Arial" w:hAnsi="Arial" w:cs="Arial"/>
          <w:sz w:val="24"/>
          <w:szCs w:val="24"/>
        </w:rPr>
        <w:t>his matter se</w:t>
      </w:r>
      <w:r w:rsidR="006A55C5" w:rsidRPr="00B25A3C">
        <w:rPr>
          <w:rFonts w:ascii="Arial" w:hAnsi="Arial" w:cs="Arial"/>
          <w:sz w:val="24"/>
          <w:szCs w:val="24"/>
        </w:rPr>
        <w:t xml:space="preserve">rved before the </w:t>
      </w:r>
      <w:r w:rsidR="00B25A3C" w:rsidRPr="00B25A3C">
        <w:rPr>
          <w:rFonts w:ascii="Arial" w:hAnsi="Arial" w:cs="Arial"/>
          <w:sz w:val="24"/>
          <w:szCs w:val="24"/>
        </w:rPr>
        <w:t>a</w:t>
      </w:r>
      <w:r w:rsidR="006A55C5" w:rsidRPr="00B25A3C">
        <w:rPr>
          <w:rFonts w:ascii="Arial" w:hAnsi="Arial" w:cs="Arial"/>
          <w:sz w:val="24"/>
          <w:szCs w:val="24"/>
        </w:rPr>
        <w:t xml:space="preserve">rbitrator and </w:t>
      </w:r>
      <w:r w:rsidR="001B4DC6" w:rsidRPr="00B25A3C">
        <w:rPr>
          <w:rFonts w:ascii="Arial" w:hAnsi="Arial" w:cs="Arial"/>
          <w:sz w:val="24"/>
          <w:szCs w:val="24"/>
        </w:rPr>
        <w:t>on 6 March 2020 in conclusion of comprehensi</w:t>
      </w:r>
      <w:r w:rsidR="007B7652" w:rsidRPr="00B25A3C">
        <w:rPr>
          <w:rFonts w:ascii="Arial" w:hAnsi="Arial" w:cs="Arial"/>
          <w:sz w:val="24"/>
          <w:szCs w:val="24"/>
        </w:rPr>
        <w:t>ve</w:t>
      </w:r>
      <w:r w:rsidR="001B4DC6" w:rsidRPr="00B25A3C">
        <w:rPr>
          <w:rFonts w:ascii="Arial" w:hAnsi="Arial" w:cs="Arial"/>
          <w:sz w:val="24"/>
          <w:szCs w:val="24"/>
        </w:rPr>
        <w:t xml:space="preserve"> reasons the </w:t>
      </w:r>
      <w:r w:rsidR="00B25A3C" w:rsidRPr="00B25A3C">
        <w:rPr>
          <w:rFonts w:ascii="Arial" w:hAnsi="Arial" w:cs="Arial"/>
          <w:sz w:val="24"/>
          <w:szCs w:val="24"/>
        </w:rPr>
        <w:t>a</w:t>
      </w:r>
      <w:r w:rsidR="001B4DC6" w:rsidRPr="00B25A3C">
        <w:rPr>
          <w:rFonts w:ascii="Arial" w:hAnsi="Arial" w:cs="Arial"/>
          <w:sz w:val="24"/>
          <w:szCs w:val="24"/>
        </w:rPr>
        <w:t xml:space="preserve">rbitrator gave the following order: </w:t>
      </w:r>
    </w:p>
    <w:p w:rsidR="00B501CB" w:rsidRDefault="00B501CB" w:rsidP="00B501CB">
      <w:pPr>
        <w:spacing w:after="0" w:line="360" w:lineRule="auto"/>
        <w:jc w:val="both"/>
        <w:rPr>
          <w:rFonts w:ascii="Arial" w:hAnsi="Arial" w:cs="Arial"/>
          <w:sz w:val="24"/>
          <w:szCs w:val="24"/>
        </w:rPr>
      </w:pPr>
    </w:p>
    <w:p w:rsidR="001B4DC6" w:rsidRDefault="001B4DC6" w:rsidP="00B501CB">
      <w:pPr>
        <w:spacing w:after="0" w:line="360" w:lineRule="auto"/>
        <w:jc w:val="both"/>
        <w:rPr>
          <w:rFonts w:ascii="Arial" w:hAnsi="Arial" w:cs="Arial"/>
        </w:rPr>
      </w:pPr>
      <w:r w:rsidRPr="00396389">
        <w:rPr>
          <w:rFonts w:ascii="Arial" w:hAnsi="Arial" w:cs="Arial"/>
        </w:rPr>
        <w:lastRenderedPageBreak/>
        <w:tab/>
      </w:r>
      <w:r w:rsidR="00396389" w:rsidRPr="00396389">
        <w:rPr>
          <w:rFonts w:ascii="Arial" w:hAnsi="Arial" w:cs="Arial"/>
        </w:rPr>
        <w:t>‘</w:t>
      </w:r>
      <w:r w:rsidRPr="00396389">
        <w:rPr>
          <w:rFonts w:ascii="Arial" w:hAnsi="Arial" w:cs="Arial"/>
        </w:rPr>
        <w:t>60. Having regard to all the foregoing, I com</w:t>
      </w:r>
      <w:r w:rsidR="006B20A6" w:rsidRPr="00224EB1">
        <w:rPr>
          <w:rFonts w:ascii="Arial" w:hAnsi="Arial" w:cs="Arial"/>
        </w:rPr>
        <w:t>e</w:t>
      </w:r>
      <w:r w:rsidRPr="00396389">
        <w:rPr>
          <w:rFonts w:ascii="Arial" w:hAnsi="Arial" w:cs="Arial"/>
        </w:rPr>
        <w:t xml:space="preserve"> to the conclusion that this</w:t>
      </w:r>
      <w:r w:rsidR="006B7DB4" w:rsidRPr="000C3332">
        <w:rPr>
          <w:rFonts w:ascii="Arial" w:hAnsi="Arial" w:cs="Arial"/>
        </w:rPr>
        <w:t xml:space="preserve"> is</w:t>
      </w:r>
      <w:r w:rsidRPr="000C3332">
        <w:rPr>
          <w:rFonts w:ascii="Arial" w:hAnsi="Arial" w:cs="Arial"/>
        </w:rPr>
        <w:t xml:space="preserve"> </w:t>
      </w:r>
      <w:r w:rsidRPr="00396389">
        <w:rPr>
          <w:rFonts w:ascii="Arial" w:hAnsi="Arial" w:cs="Arial"/>
        </w:rPr>
        <w:t>a proper case in which the following order suffices and is condign:</w:t>
      </w:r>
    </w:p>
    <w:p w:rsidR="001B4DC6" w:rsidRDefault="001B4DC6" w:rsidP="00B501CB">
      <w:pPr>
        <w:spacing w:before="240" w:after="0" w:line="360" w:lineRule="auto"/>
        <w:jc w:val="both"/>
        <w:rPr>
          <w:rFonts w:ascii="Arial" w:hAnsi="Arial" w:cs="Arial"/>
        </w:rPr>
      </w:pPr>
      <w:r w:rsidRPr="00396389">
        <w:rPr>
          <w:rFonts w:ascii="Arial" w:hAnsi="Arial" w:cs="Arial"/>
        </w:rPr>
        <w:t xml:space="preserve">(1) The </w:t>
      </w:r>
      <w:r w:rsidRPr="00CD7C72">
        <w:rPr>
          <w:rFonts w:ascii="Arial" w:hAnsi="Arial" w:cs="Arial"/>
          <w:i/>
        </w:rPr>
        <w:t>notice of withdrawal</w:t>
      </w:r>
      <w:r w:rsidRPr="00396389">
        <w:rPr>
          <w:rFonts w:ascii="Arial" w:hAnsi="Arial" w:cs="Arial"/>
        </w:rPr>
        <w:t xml:space="preserve"> signed on 3</w:t>
      </w:r>
      <w:r w:rsidRPr="00396389">
        <w:rPr>
          <w:rFonts w:ascii="Arial" w:hAnsi="Arial" w:cs="Arial"/>
          <w:vertAlign w:val="superscript"/>
        </w:rPr>
        <w:t>rd</w:t>
      </w:r>
      <w:r w:rsidRPr="00396389">
        <w:rPr>
          <w:rFonts w:ascii="Arial" w:hAnsi="Arial" w:cs="Arial"/>
        </w:rPr>
        <w:t xml:space="preserve"> day of September 2018 by Rocco Nguvauva for and on behalf of the Applicants is hereby set aside. </w:t>
      </w:r>
    </w:p>
    <w:p w:rsidR="00B501CB" w:rsidRDefault="001B4DC6" w:rsidP="00B501CB">
      <w:pPr>
        <w:spacing w:before="240" w:after="0" w:line="360" w:lineRule="auto"/>
        <w:jc w:val="both"/>
        <w:rPr>
          <w:rFonts w:ascii="Arial" w:hAnsi="Arial" w:cs="Arial"/>
        </w:rPr>
      </w:pPr>
      <w:r w:rsidRPr="00396389">
        <w:rPr>
          <w:rFonts w:ascii="Arial" w:hAnsi="Arial" w:cs="Arial"/>
        </w:rPr>
        <w:t xml:space="preserve">(2) The matter of the Applicants </w:t>
      </w:r>
      <w:r w:rsidR="00396389" w:rsidRPr="00396389">
        <w:rPr>
          <w:rFonts w:ascii="Arial" w:hAnsi="Arial" w:cs="Arial"/>
        </w:rPr>
        <w:t>under case number SRKE 17-2017 will be heard on a date that will be communicated to both parties in due course.</w:t>
      </w:r>
    </w:p>
    <w:p w:rsidR="006B7DB4" w:rsidRDefault="00396389" w:rsidP="00B501CB">
      <w:pPr>
        <w:spacing w:before="240" w:after="0" w:line="360" w:lineRule="auto"/>
        <w:jc w:val="both"/>
        <w:rPr>
          <w:rFonts w:ascii="Arial" w:hAnsi="Arial" w:cs="Arial"/>
        </w:rPr>
      </w:pPr>
      <w:r w:rsidRPr="00396389">
        <w:rPr>
          <w:rFonts w:ascii="Arial" w:hAnsi="Arial" w:cs="Arial"/>
        </w:rPr>
        <w:t>(3) In the circumstances, I make no order as to costs.’</w:t>
      </w:r>
    </w:p>
    <w:p w:rsidR="001B4DC6" w:rsidRPr="006B7DB4" w:rsidRDefault="001B4DC6" w:rsidP="00B501CB">
      <w:pPr>
        <w:spacing w:after="0" w:line="360" w:lineRule="auto"/>
        <w:jc w:val="both"/>
        <w:rPr>
          <w:rFonts w:ascii="Arial" w:hAnsi="Arial" w:cs="Arial"/>
        </w:rPr>
      </w:pPr>
      <w:r>
        <w:rPr>
          <w:rFonts w:ascii="Arial" w:hAnsi="Arial" w:cs="Arial"/>
          <w:sz w:val="24"/>
          <w:szCs w:val="24"/>
        </w:rPr>
        <w:tab/>
      </w:r>
    </w:p>
    <w:p w:rsidR="001B4DC6" w:rsidRPr="00C960FF" w:rsidRDefault="001B4DC6" w:rsidP="00B501CB">
      <w:pPr>
        <w:spacing w:after="0" w:line="360" w:lineRule="auto"/>
        <w:jc w:val="both"/>
        <w:rPr>
          <w:rFonts w:ascii="Arial" w:hAnsi="Arial" w:cs="Arial"/>
          <w:sz w:val="24"/>
          <w:szCs w:val="24"/>
          <w:u w:val="single"/>
        </w:rPr>
      </w:pPr>
      <w:r w:rsidRPr="00C960FF">
        <w:rPr>
          <w:rFonts w:ascii="Arial" w:hAnsi="Arial" w:cs="Arial"/>
          <w:sz w:val="24"/>
          <w:szCs w:val="24"/>
          <w:u w:val="single"/>
        </w:rPr>
        <w:t>The appeal</w:t>
      </w:r>
    </w:p>
    <w:p w:rsidR="007B7652" w:rsidRDefault="001B4DC6" w:rsidP="00B501CB">
      <w:pPr>
        <w:spacing w:after="0" w:line="360" w:lineRule="auto"/>
        <w:jc w:val="both"/>
        <w:rPr>
          <w:rFonts w:ascii="Arial" w:hAnsi="Arial" w:cs="Arial"/>
          <w:sz w:val="24"/>
          <w:szCs w:val="24"/>
        </w:rPr>
      </w:pPr>
      <w:r>
        <w:rPr>
          <w:rFonts w:ascii="Arial" w:hAnsi="Arial" w:cs="Arial"/>
          <w:sz w:val="24"/>
          <w:szCs w:val="24"/>
        </w:rPr>
        <w:t>[</w:t>
      </w:r>
      <w:r w:rsidR="006B20A6">
        <w:rPr>
          <w:rFonts w:ascii="Arial" w:hAnsi="Arial" w:cs="Arial"/>
          <w:sz w:val="24"/>
          <w:szCs w:val="24"/>
        </w:rPr>
        <w:t>14</w:t>
      </w:r>
      <w:r>
        <w:rPr>
          <w:rFonts w:ascii="Arial" w:hAnsi="Arial" w:cs="Arial"/>
          <w:sz w:val="24"/>
          <w:szCs w:val="24"/>
        </w:rPr>
        <w:t>]</w:t>
      </w:r>
      <w:r>
        <w:rPr>
          <w:rFonts w:ascii="Arial" w:hAnsi="Arial" w:cs="Arial"/>
          <w:sz w:val="24"/>
          <w:szCs w:val="24"/>
        </w:rPr>
        <w:tab/>
        <w:t xml:space="preserve"> </w:t>
      </w:r>
      <w:r w:rsidR="006B20A6">
        <w:rPr>
          <w:rFonts w:ascii="Arial" w:hAnsi="Arial" w:cs="Arial"/>
          <w:sz w:val="24"/>
          <w:szCs w:val="24"/>
        </w:rPr>
        <w:t xml:space="preserve">The appellants filed its </w:t>
      </w:r>
      <w:r w:rsidR="007B7652">
        <w:rPr>
          <w:rFonts w:ascii="Arial" w:hAnsi="Arial" w:cs="Arial"/>
          <w:sz w:val="24"/>
          <w:szCs w:val="24"/>
        </w:rPr>
        <w:t>notice</w:t>
      </w:r>
      <w:r w:rsidR="006B20A6">
        <w:rPr>
          <w:rFonts w:ascii="Arial" w:hAnsi="Arial" w:cs="Arial"/>
          <w:sz w:val="24"/>
          <w:szCs w:val="24"/>
        </w:rPr>
        <w:t xml:space="preserve"> </w:t>
      </w:r>
      <w:r w:rsidR="006B20A6" w:rsidRPr="000C3332">
        <w:rPr>
          <w:rFonts w:ascii="Arial" w:hAnsi="Arial" w:cs="Arial"/>
          <w:sz w:val="24"/>
          <w:szCs w:val="24"/>
        </w:rPr>
        <w:t>to</w:t>
      </w:r>
      <w:r w:rsidR="007B7652" w:rsidRPr="000C3332">
        <w:rPr>
          <w:rFonts w:ascii="Arial" w:hAnsi="Arial" w:cs="Arial"/>
          <w:sz w:val="24"/>
          <w:szCs w:val="24"/>
        </w:rPr>
        <w:t xml:space="preserve"> </w:t>
      </w:r>
      <w:r w:rsidR="007B7652">
        <w:rPr>
          <w:rFonts w:ascii="Arial" w:hAnsi="Arial" w:cs="Arial"/>
          <w:sz w:val="24"/>
          <w:szCs w:val="24"/>
        </w:rPr>
        <w:t xml:space="preserve">appeal on 15 May 2020 wherein it specifically appealed against para (1) of the arbitrator’s order dated 6 March 2020 which ordered that the notice of withdrawal signed on 3 September 2018 by Mr Nguvauva be set aside. </w:t>
      </w:r>
    </w:p>
    <w:p w:rsidR="001B4DC6" w:rsidRDefault="007B7652" w:rsidP="00B501CB">
      <w:pPr>
        <w:spacing w:after="0" w:line="360" w:lineRule="auto"/>
        <w:jc w:val="both"/>
        <w:rPr>
          <w:rFonts w:ascii="Arial" w:hAnsi="Arial" w:cs="Arial"/>
          <w:sz w:val="24"/>
          <w:szCs w:val="24"/>
        </w:rPr>
      </w:pPr>
      <w:r>
        <w:rPr>
          <w:rFonts w:ascii="Arial" w:hAnsi="Arial" w:cs="Arial"/>
          <w:sz w:val="24"/>
          <w:szCs w:val="24"/>
        </w:rPr>
        <w:t>[</w:t>
      </w:r>
      <w:r w:rsidR="006B20A6">
        <w:rPr>
          <w:rFonts w:ascii="Arial" w:hAnsi="Arial" w:cs="Arial"/>
          <w:sz w:val="24"/>
          <w:szCs w:val="24"/>
        </w:rPr>
        <w:t>15</w:t>
      </w:r>
      <w:r>
        <w:rPr>
          <w:rFonts w:ascii="Arial" w:hAnsi="Arial" w:cs="Arial"/>
          <w:sz w:val="24"/>
          <w:szCs w:val="24"/>
        </w:rPr>
        <w:t>]</w:t>
      </w:r>
      <w:r>
        <w:rPr>
          <w:rFonts w:ascii="Arial" w:hAnsi="Arial" w:cs="Arial"/>
          <w:sz w:val="24"/>
          <w:szCs w:val="24"/>
        </w:rPr>
        <w:tab/>
      </w:r>
      <w:r w:rsidR="001B4DC6">
        <w:rPr>
          <w:rFonts w:ascii="Arial" w:hAnsi="Arial" w:cs="Arial"/>
          <w:sz w:val="24"/>
          <w:szCs w:val="24"/>
        </w:rPr>
        <w:t>The appeal against the ruling of the arbitrator is based on various grounds</w:t>
      </w:r>
      <w:r w:rsidR="00CD7C72">
        <w:rPr>
          <w:rFonts w:ascii="Arial" w:hAnsi="Arial" w:cs="Arial"/>
          <w:sz w:val="24"/>
          <w:szCs w:val="24"/>
        </w:rPr>
        <w:t xml:space="preserve">, </w:t>
      </w:r>
      <w:r w:rsidR="00ED2148">
        <w:rPr>
          <w:rFonts w:ascii="Arial" w:hAnsi="Arial" w:cs="Arial"/>
          <w:sz w:val="24"/>
          <w:szCs w:val="24"/>
        </w:rPr>
        <w:t xml:space="preserve">and the questions of law appealed against can be summarized </w:t>
      </w:r>
      <w:r w:rsidR="00CD7C72">
        <w:rPr>
          <w:rFonts w:ascii="Arial" w:hAnsi="Arial" w:cs="Arial"/>
          <w:sz w:val="24"/>
          <w:szCs w:val="24"/>
        </w:rPr>
        <w:t>as follows</w:t>
      </w:r>
      <w:r w:rsidR="00CD7C72">
        <w:rPr>
          <w:rStyle w:val="FootnoteReference"/>
          <w:rFonts w:ascii="Arial" w:hAnsi="Arial" w:cs="Arial"/>
          <w:sz w:val="24"/>
          <w:szCs w:val="24"/>
        </w:rPr>
        <w:footnoteReference w:id="1"/>
      </w:r>
      <w:r w:rsidR="001B4DC6">
        <w:rPr>
          <w:rFonts w:ascii="Arial" w:hAnsi="Arial" w:cs="Arial"/>
          <w:sz w:val="24"/>
          <w:szCs w:val="24"/>
        </w:rPr>
        <w:t>:</w:t>
      </w:r>
    </w:p>
    <w:p w:rsidR="00925EE8" w:rsidRDefault="00925EE8" w:rsidP="00B501CB">
      <w:pPr>
        <w:spacing w:after="0" w:line="360" w:lineRule="auto"/>
        <w:jc w:val="both"/>
        <w:rPr>
          <w:rFonts w:ascii="Arial" w:hAnsi="Arial" w:cs="Arial"/>
          <w:sz w:val="24"/>
          <w:szCs w:val="24"/>
        </w:rPr>
      </w:pPr>
    </w:p>
    <w:p w:rsidR="00CD7C72" w:rsidRPr="00087294" w:rsidRDefault="00087294" w:rsidP="00087294">
      <w:pPr>
        <w:spacing w:before="240" w:line="360" w:lineRule="auto"/>
        <w:ind w:left="1080" w:hanging="360"/>
        <w:jc w:val="both"/>
        <w:rPr>
          <w:rFonts w:ascii="Arial" w:hAnsi="Arial" w:cs="Arial"/>
        </w:rPr>
      </w:pPr>
      <w:r>
        <w:rPr>
          <w:rFonts w:ascii="Arial" w:eastAsia="Times New Roman" w:hAnsi="Arial" w:cs="Arial"/>
          <w:sz w:val="24"/>
          <w:szCs w:val="24"/>
          <w:lang w:val="en-GB" w:eastAsia="en-GB"/>
        </w:rPr>
        <w:t>a)</w:t>
      </w:r>
      <w:r>
        <w:rPr>
          <w:rFonts w:ascii="Arial" w:eastAsia="Times New Roman" w:hAnsi="Arial" w:cs="Arial"/>
          <w:sz w:val="24"/>
          <w:szCs w:val="24"/>
          <w:lang w:val="en-GB" w:eastAsia="en-GB"/>
        </w:rPr>
        <w:tab/>
      </w:r>
      <w:r w:rsidR="00CD7C72" w:rsidRPr="00087294">
        <w:rPr>
          <w:rFonts w:ascii="Arial" w:hAnsi="Arial" w:cs="Arial"/>
        </w:rPr>
        <w:t>The arbitrator erred when he found that the application is one provided for under Rule 28(1)</w:t>
      </w:r>
      <w:r w:rsidR="00CD7C72">
        <w:rPr>
          <w:rStyle w:val="FootnoteReference"/>
          <w:rFonts w:ascii="Arial" w:hAnsi="Arial" w:cs="Arial"/>
        </w:rPr>
        <w:footnoteReference w:id="2"/>
      </w:r>
      <w:r w:rsidR="00CD7C72" w:rsidRPr="00087294">
        <w:rPr>
          <w:rFonts w:ascii="Arial" w:hAnsi="Arial" w:cs="Arial"/>
        </w:rPr>
        <w:t xml:space="preserve"> of the Rules relating to the Conduct of Conciliation and Arbitration</w:t>
      </w:r>
      <w:r w:rsidR="0019364F">
        <w:rPr>
          <w:rStyle w:val="FootnoteReference"/>
          <w:rFonts w:ascii="Arial" w:hAnsi="Arial" w:cs="Arial"/>
        </w:rPr>
        <w:footnoteReference w:id="3"/>
      </w:r>
      <w:r w:rsidR="00CD7C72" w:rsidRPr="00087294">
        <w:rPr>
          <w:rFonts w:ascii="Arial" w:hAnsi="Arial" w:cs="Arial"/>
        </w:rPr>
        <w:t>.</w:t>
      </w:r>
    </w:p>
    <w:p w:rsidR="00CD7C72" w:rsidRPr="00087294" w:rsidRDefault="00087294" w:rsidP="00087294">
      <w:pPr>
        <w:spacing w:before="240" w:line="360" w:lineRule="auto"/>
        <w:ind w:left="1080" w:hanging="360"/>
        <w:jc w:val="both"/>
        <w:rPr>
          <w:rFonts w:ascii="Arial" w:hAnsi="Arial" w:cs="Arial"/>
        </w:rPr>
      </w:pPr>
      <w:r>
        <w:rPr>
          <w:rFonts w:ascii="Arial" w:eastAsia="Times New Roman" w:hAnsi="Arial" w:cs="Arial"/>
          <w:sz w:val="24"/>
          <w:szCs w:val="24"/>
          <w:lang w:val="en-GB" w:eastAsia="en-GB"/>
        </w:rPr>
        <w:t>b)</w:t>
      </w:r>
      <w:r>
        <w:rPr>
          <w:rFonts w:ascii="Arial" w:eastAsia="Times New Roman" w:hAnsi="Arial" w:cs="Arial"/>
          <w:sz w:val="24"/>
          <w:szCs w:val="24"/>
          <w:lang w:val="en-GB" w:eastAsia="en-GB"/>
        </w:rPr>
        <w:tab/>
      </w:r>
      <w:r w:rsidR="00CD7C72" w:rsidRPr="00087294">
        <w:rPr>
          <w:rFonts w:ascii="Arial" w:hAnsi="Arial" w:cs="Arial"/>
        </w:rPr>
        <w:t>The arbitrator acted outside the powers contemplated in rule 28 of the Rules relating to the Conduct of Conciliation and Arbitration before the Labour Commissioner</w:t>
      </w:r>
      <w:r w:rsidR="0019364F">
        <w:rPr>
          <w:rStyle w:val="FootnoteReference"/>
          <w:rFonts w:ascii="Arial" w:hAnsi="Arial" w:cs="Arial"/>
        </w:rPr>
        <w:footnoteReference w:id="4"/>
      </w:r>
      <w:r w:rsidR="00CD7C72" w:rsidRPr="00087294">
        <w:rPr>
          <w:rFonts w:ascii="Arial" w:hAnsi="Arial" w:cs="Arial"/>
        </w:rPr>
        <w:t>.</w:t>
      </w:r>
    </w:p>
    <w:p w:rsidR="00CD7C72" w:rsidRPr="00087294" w:rsidRDefault="00087294" w:rsidP="00087294">
      <w:pPr>
        <w:spacing w:before="240" w:line="360" w:lineRule="auto"/>
        <w:ind w:left="1080" w:hanging="360"/>
        <w:jc w:val="both"/>
        <w:rPr>
          <w:rFonts w:ascii="Arial" w:hAnsi="Arial" w:cs="Arial"/>
        </w:rPr>
      </w:pPr>
      <w:r>
        <w:rPr>
          <w:rFonts w:ascii="Arial" w:eastAsia="Times New Roman" w:hAnsi="Arial" w:cs="Arial"/>
          <w:sz w:val="24"/>
          <w:szCs w:val="24"/>
          <w:lang w:val="en-GB" w:eastAsia="en-GB"/>
        </w:rPr>
        <w:t>c)</w:t>
      </w:r>
      <w:r>
        <w:rPr>
          <w:rFonts w:ascii="Arial" w:eastAsia="Times New Roman" w:hAnsi="Arial" w:cs="Arial"/>
          <w:sz w:val="24"/>
          <w:szCs w:val="24"/>
          <w:lang w:val="en-GB" w:eastAsia="en-GB"/>
        </w:rPr>
        <w:tab/>
      </w:r>
      <w:r w:rsidR="00CD7C72" w:rsidRPr="00087294">
        <w:rPr>
          <w:rFonts w:ascii="Arial" w:hAnsi="Arial" w:cs="Arial"/>
        </w:rPr>
        <w:t>The arbitrator acted ultra vires section 86(15) because the award was not ‘an appropriate award’</w:t>
      </w:r>
      <w:r w:rsidR="0019364F">
        <w:rPr>
          <w:rStyle w:val="FootnoteReference"/>
          <w:rFonts w:ascii="Arial" w:hAnsi="Arial" w:cs="Arial"/>
        </w:rPr>
        <w:footnoteReference w:id="5"/>
      </w:r>
      <w:r w:rsidR="00CD7C72" w:rsidRPr="00087294">
        <w:rPr>
          <w:rFonts w:ascii="Arial" w:hAnsi="Arial" w:cs="Arial"/>
        </w:rPr>
        <w:t>.</w:t>
      </w:r>
    </w:p>
    <w:p w:rsidR="0019364F" w:rsidRPr="00087294" w:rsidRDefault="00087294" w:rsidP="00087294">
      <w:pPr>
        <w:spacing w:before="240" w:line="360" w:lineRule="auto"/>
        <w:ind w:left="1080" w:hanging="360"/>
        <w:jc w:val="both"/>
        <w:rPr>
          <w:rFonts w:ascii="Arial" w:hAnsi="Arial" w:cs="Arial"/>
        </w:rPr>
      </w:pPr>
      <w:r>
        <w:rPr>
          <w:rFonts w:ascii="Arial" w:eastAsia="Times New Roman" w:hAnsi="Arial" w:cs="Arial"/>
          <w:sz w:val="24"/>
          <w:szCs w:val="24"/>
          <w:lang w:val="en-GB" w:eastAsia="en-GB"/>
        </w:rPr>
        <w:t>d)</w:t>
      </w:r>
      <w:r>
        <w:rPr>
          <w:rFonts w:ascii="Arial" w:eastAsia="Times New Roman" w:hAnsi="Arial" w:cs="Arial"/>
          <w:sz w:val="24"/>
          <w:szCs w:val="24"/>
          <w:lang w:val="en-GB" w:eastAsia="en-GB"/>
        </w:rPr>
        <w:tab/>
      </w:r>
      <w:r w:rsidR="0019364F" w:rsidRPr="00087294">
        <w:rPr>
          <w:rFonts w:ascii="Arial" w:hAnsi="Arial" w:cs="Arial"/>
        </w:rPr>
        <w:t>That the arbitrator erred in finding that no answering affidavit was filed</w:t>
      </w:r>
      <w:r w:rsidR="00C960FF">
        <w:rPr>
          <w:rStyle w:val="FootnoteReference"/>
          <w:rFonts w:ascii="Arial" w:hAnsi="Arial" w:cs="Arial"/>
        </w:rPr>
        <w:footnoteReference w:id="6"/>
      </w:r>
      <w:r w:rsidR="0019364F" w:rsidRPr="00087294">
        <w:rPr>
          <w:rFonts w:ascii="Arial" w:hAnsi="Arial" w:cs="Arial"/>
        </w:rPr>
        <w:t xml:space="preserve">. </w:t>
      </w:r>
    </w:p>
    <w:p w:rsidR="0019364F" w:rsidRPr="00087294" w:rsidRDefault="00087294" w:rsidP="00087294">
      <w:pPr>
        <w:spacing w:before="240" w:line="360" w:lineRule="auto"/>
        <w:ind w:left="1080" w:hanging="360"/>
        <w:jc w:val="both"/>
        <w:rPr>
          <w:rFonts w:ascii="Arial" w:hAnsi="Arial" w:cs="Arial"/>
          <w:color w:val="000000" w:themeColor="text1"/>
        </w:rPr>
      </w:pPr>
      <w:r w:rsidRPr="00C820C3">
        <w:rPr>
          <w:rFonts w:ascii="Arial" w:eastAsia="Times New Roman" w:hAnsi="Arial" w:cs="Arial"/>
          <w:color w:val="000000" w:themeColor="text1"/>
          <w:sz w:val="24"/>
          <w:szCs w:val="24"/>
          <w:lang w:val="en-GB" w:eastAsia="en-GB"/>
        </w:rPr>
        <w:lastRenderedPageBreak/>
        <w:t>e)</w:t>
      </w:r>
      <w:r w:rsidRPr="00C820C3">
        <w:rPr>
          <w:rFonts w:ascii="Arial" w:eastAsia="Times New Roman" w:hAnsi="Arial" w:cs="Arial"/>
          <w:color w:val="000000" w:themeColor="text1"/>
          <w:sz w:val="24"/>
          <w:szCs w:val="24"/>
          <w:lang w:val="en-GB" w:eastAsia="en-GB"/>
        </w:rPr>
        <w:tab/>
      </w:r>
      <w:r w:rsidR="0019364F" w:rsidRPr="00087294">
        <w:rPr>
          <w:rFonts w:ascii="Arial" w:hAnsi="Arial" w:cs="Arial"/>
        </w:rPr>
        <w:t xml:space="preserve">The arbitrator erred in finding that it was permissible “in circumstances where a compromise was reached between the parties” the </w:t>
      </w:r>
      <w:r w:rsidR="000C3332" w:rsidRPr="00087294">
        <w:rPr>
          <w:rFonts w:ascii="Arial" w:hAnsi="Arial" w:cs="Arial"/>
          <w:color w:val="000000" w:themeColor="text1"/>
        </w:rPr>
        <w:t>respondents</w:t>
      </w:r>
      <w:r w:rsidR="0019364F" w:rsidRPr="00087294">
        <w:rPr>
          <w:rFonts w:ascii="Arial" w:hAnsi="Arial" w:cs="Arial"/>
          <w:color w:val="000000" w:themeColor="text1"/>
        </w:rPr>
        <w:t xml:space="preserve"> were entitle</w:t>
      </w:r>
      <w:r w:rsidR="006B20A6" w:rsidRPr="00087294">
        <w:rPr>
          <w:rFonts w:ascii="Arial" w:hAnsi="Arial" w:cs="Arial"/>
          <w:color w:val="000000" w:themeColor="text1"/>
        </w:rPr>
        <w:t>d</w:t>
      </w:r>
      <w:r w:rsidR="0019364F" w:rsidRPr="00087294">
        <w:rPr>
          <w:rFonts w:ascii="Arial" w:hAnsi="Arial" w:cs="Arial"/>
          <w:color w:val="000000" w:themeColor="text1"/>
        </w:rPr>
        <w:t xml:space="preserve"> to withdraw of the appeal</w:t>
      </w:r>
      <w:r w:rsidR="00C960FF" w:rsidRPr="00C820C3">
        <w:rPr>
          <w:rStyle w:val="FootnoteReference"/>
          <w:rFonts w:ascii="Arial" w:hAnsi="Arial" w:cs="Arial"/>
          <w:color w:val="000000" w:themeColor="text1"/>
        </w:rPr>
        <w:footnoteReference w:id="7"/>
      </w:r>
      <w:r w:rsidR="0019364F" w:rsidRPr="00087294">
        <w:rPr>
          <w:rFonts w:ascii="Arial" w:hAnsi="Arial" w:cs="Arial"/>
          <w:color w:val="000000" w:themeColor="text1"/>
        </w:rPr>
        <w:t xml:space="preserve">. </w:t>
      </w:r>
    </w:p>
    <w:p w:rsidR="0019364F" w:rsidRPr="00087294" w:rsidRDefault="00087294" w:rsidP="00087294">
      <w:pPr>
        <w:spacing w:before="240" w:line="360" w:lineRule="auto"/>
        <w:ind w:left="1080" w:hanging="360"/>
        <w:jc w:val="both"/>
        <w:rPr>
          <w:rFonts w:ascii="Arial" w:hAnsi="Arial" w:cs="Arial"/>
          <w:color w:val="000000" w:themeColor="text1"/>
        </w:rPr>
      </w:pPr>
      <w:r w:rsidRPr="00C820C3">
        <w:rPr>
          <w:rFonts w:ascii="Arial" w:eastAsia="Times New Roman" w:hAnsi="Arial" w:cs="Arial"/>
          <w:color w:val="000000" w:themeColor="text1"/>
          <w:sz w:val="24"/>
          <w:szCs w:val="24"/>
          <w:lang w:val="en-GB" w:eastAsia="en-GB"/>
        </w:rPr>
        <w:t>f)</w:t>
      </w:r>
      <w:r w:rsidRPr="00C820C3">
        <w:rPr>
          <w:rFonts w:ascii="Arial" w:eastAsia="Times New Roman" w:hAnsi="Arial" w:cs="Arial"/>
          <w:color w:val="000000" w:themeColor="text1"/>
          <w:sz w:val="24"/>
          <w:szCs w:val="24"/>
          <w:lang w:val="en-GB" w:eastAsia="en-GB"/>
        </w:rPr>
        <w:tab/>
      </w:r>
      <w:r w:rsidR="0019364F" w:rsidRPr="00087294">
        <w:rPr>
          <w:rFonts w:ascii="Arial" w:hAnsi="Arial" w:cs="Arial"/>
          <w:color w:val="000000" w:themeColor="text1"/>
        </w:rPr>
        <w:t>The arbitrator should have found that the withdrawal of the dispute was with “express knowledge and consent” of the employees.</w:t>
      </w:r>
    </w:p>
    <w:p w:rsidR="00226E5E" w:rsidRPr="00087294" w:rsidRDefault="00087294" w:rsidP="00087294">
      <w:pPr>
        <w:spacing w:before="240" w:line="360" w:lineRule="auto"/>
        <w:ind w:left="1080" w:hanging="360"/>
        <w:jc w:val="both"/>
        <w:rPr>
          <w:rFonts w:ascii="Arial" w:hAnsi="Arial" w:cs="Arial"/>
          <w:color w:val="000000" w:themeColor="text1"/>
        </w:rPr>
      </w:pPr>
      <w:r w:rsidRPr="00C820C3">
        <w:rPr>
          <w:rFonts w:ascii="Arial" w:eastAsia="Times New Roman" w:hAnsi="Arial" w:cs="Arial"/>
          <w:color w:val="000000" w:themeColor="text1"/>
          <w:sz w:val="24"/>
          <w:szCs w:val="24"/>
          <w:lang w:val="en-GB" w:eastAsia="en-GB"/>
        </w:rPr>
        <w:t>g)</w:t>
      </w:r>
      <w:r w:rsidRPr="00C820C3">
        <w:rPr>
          <w:rFonts w:ascii="Arial" w:eastAsia="Times New Roman" w:hAnsi="Arial" w:cs="Arial"/>
          <w:color w:val="000000" w:themeColor="text1"/>
          <w:sz w:val="24"/>
          <w:szCs w:val="24"/>
          <w:lang w:val="en-GB" w:eastAsia="en-GB"/>
        </w:rPr>
        <w:tab/>
      </w:r>
      <w:r w:rsidR="00226E5E" w:rsidRPr="00087294">
        <w:rPr>
          <w:rFonts w:ascii="Arial" w:hAnsi="Arial" w:cs="Arial"/>
          <w:color w:val="000000" w:themeColor="text1"/>
        </w:rPr>
        <w:t>The arbitrator erred in law in that no reasonable arbitrator could have, on the facts before him, concluded that the merits of case SRLU 38-17 and the continuation of that cause did not form part of the terms and conditions of the compromise reached between the parties</w:t>
      </w:r>
      <w:r w:rsidR="00226E5E" w:rsidRPr="00C820C3">
        <w:rPr>
          <w:rStyle w:val="FootnoteReference"/>
          <w:rFonts w:ascii="Arial" w:hAnsi="Arial" w:cs="Arial"/>
          <w:color w:val="000000" w:themeColor="text1"/>
        </w:rPr>
        <w:footnoteReference w:id="8"/>
      </w:r>
      <w:r w:rsidR="00226E5E" w:rsidRPr="00087294">
        <w:rPr>
          <w:rFonts w:ascii="Arial" w:hAnsi="Arial" w:cs="Arial"/>
          <w:color w:val="000000" w:themeColor="text1"/>
        </w:rPr>
        <w:t xml:space="preserve">. </w:t>
      </w:r>
    </w:p>
    <w:p w:rsidR="0019364F" w:rsidRPr="00087294" w:rsidRDefault="00087294" w:rsidP="00087294">
      <w:pPr>
        <w:spacing w:before="240" w:line="360" w:lineRule="auto"/>
        <w:ind w:left="1080" w:hanging="360"/>
        <w:jc w:val="both"/>
        <w:rPr>
          <w:rFonts w:ascii="Arial" w:hAnsi="Arial" w:cs="Arial"/>
          <w:color w:val="000000" w:themeColor="text1"/>
        </w:rPr>
      </w:pPr>
      <w:r w:rsidRPr="00C820C3">
        <w:rPr>
          <w:rFonts w:ascii="Arial" w:eastAsia="Times New Roman" w:hAnsi="Arial" w:cs="Arial"/>
          <w:color w:val="000000" w:themeColor="text1"/>
          <w:sz w:val="24"/>
          <w:szCs w:val="24"/>
          <w:lang w:val="en-GB" w:eastAsia="en-GB"/>
        </w:rPr>
        <w:t>h)</w:t>
      </w:r>
      <w:r w:rsidRPr="00C820C3">
        <w:rPr>
          <w:rFonts w:ascii="Arial" w:eastAsia="Times New Roman" w:hAnsi="Arial" w:cs="Arial"/>
          <w:color w:val="000000" w:themeColor="text1"/>
          <w:sz w:val="24"/>
          <w:szCs w:val="24"/>
          <w:lang w:val="en-GB" w:eastAsia="en-GB"/>
        </w:rPr>
        <w:tab/>
      </w:r>
      <w:r w:rsidR="0019364F" w:rsidRPr="00087294">
        <w:rPr>
          <w:rFonts w:ascii="Arial" w:hAnsi="Arial" w:cs="Arial"/>
          <w:color w:val="000000" w:themeColor="text1"/>
        </w:rPr>
        <w:t xml:space="preserve">The arbitrator erred in not finding that the </w:t>
      </w:r>
      <w:r w:rsidR="000C3332" w:rsidRPr="00087294">
        <w:rPr>
          <w:rFonts w:ascii="Arial" w:hAnsi="Arial" w:cs="Arial"/>
          <w:color w:val="000000" w:themeColor="text1"/>
        </w:rPr>
        <w:t>respondents</w:t>
      </w:r>
      <w:r w:rsidR="0019364F" w:rsidRPr="00087294">
        <w:rPr>
          <w:rFonts w:ascii="Arial" w:hAnsi="Arial" w:cs="Arial"/>
          <w:color w:val="000000" w:themeColor="text1"/>
        </w:rPr>
        <w:t xml:space="preserve"> were estopped from raising and relying on Nguvauva’s lack of authority</w:t>
      </w:r>
      <w:r w:rsidR="00C960FF" w:rsidRPr="00C820C3">
        <w:rPr>
          <w:rStyle w:val="FootnoteReference"/>
          <w:rFonts w:ascii="Arial" w:hAnsi="Arial" w:cs="Arial"/>
          <w:color w:val="000000" w:themeColor="text1"/>
        </w:rPr>
        <w:footnoteReference w:id="9"/>
      </w:r>
      <w:r w:rsidR="0019364F" w:rsidRPr="00087294">
        <w:rPr>
          <w:rFonts w:ascii="Arial" w:hAnsi="Arial" w:cs="Arial"/>
          <w:color w:val="000000" w:themeColor="text1"/>
        </w:rPr>
        <w:t xml:space="preserve">. </w:t>
      </w:r>
    </w:p>
    <w:p w:rsidR="00F758CD" w:rsidRPr="00F758CD" w:rsidRDefault="00F758CD" w:rsidP="00B501CB">
      <w:pPr>
        <w:spacing w:after="0" w:line="360" w:lineRule="auto"/>
        <w:jc w:val="both"/>
        <w:rPr>
          <w:rFonts w:ascii="Arial" w:hAnsi="Arial" w:cs="Arial"/>
        </w:rPr>
      </w:pPr>
    </w:p>
    <w:p w:rsidR="00C960FF" w:rsidRDefault="00226E5E" w:rsidP="00B501CB">
      <w:pPr>
        <w:spacing w:after="0" w:line="360" w:lineRule="auto"/>
        <w:jc w:val="both"/>
        <w:rPr>
          <w:rFonts w:ascii="Arial" w:hAnsi="Arial" w:cs="Arial"/>
          <w:sz w:val="24"/>
          <w:szCs w:val="24"/>
        </w:rPr>
      </w:pPr>
      <w:r>
        <w:rPr>
          <w:rFonts w:ascii="Arial" w:hAnsi="Arial" w:cs="Arial"/>
          <w:sz w:val="24"/>
          <w:szCs w:val="24"/>
        </w:rPr>
        <w:t>[</w:t>
      </w:r>
      <w:r w:rsidR="00F758CD">
        <w:rPr>
          <w:rFonts w:ascii="Arial" w:hAnsi="Arial" w:cs="Arial"/>
          <w:sz w:val="24"/>
          <w:szCs w:val="24"/>
        </w:rPr>
        <w:t>16</w:t>
      </w:r>
      <w:r>
        <w:rPr>
          <w:rFonts w:ascii="Arial" w:hAnsi="Arial" w:cs="Arial"/>
          <w:sz w:val="24"/>
          <w:szCs w:val="24"/>
        </w:rPr>
        <w:t>]</w:t>
      </w:r>
      <w:r>
        <w:rPr>
          <w:rFonts w:ascii="Arial" w:hAnsi="Arial" w:cs="Arial"/>
          <w:sz w:val="24"/>
          <w:szCs w:val="24"/>
        </w:rPr>
        <w:tab/>
        <w:t xml:space="preserve"> The appellant’s grounds of appeal are as follows:</w:t>
      </w:r>
    </w:p>
    <w:p w:rsidR="00C35CEE" w:rsidRDefault="00C35CEE" w:rsidP="00B501CB">
      <w:pPr>
        <w:spacing w:after="0" w:line="360" w:lineRule="auto"/>
        <w:jc w:val="both"/>
        <w:rPr>
          <w:rFonts w:ascii="Arial" w:hAnsi="Arial" w:cs="Arial"/>
          <w:sz w:val="24"/>
          <w:szCs w:val="24"/>
        </w:rPr>
      </w:pPr>
    </w:p>
    <w:p w:rsidR="00226E5E" w:rsidRPr="00087294" w:rsidRDefault="00087294" w:rsidP="00087294">
      <w:pPr>
        <w:spacing w:line="360" w:lineRule="auto"/>
        <w:ind w:left="851" w:hanging="360"/>
        <w:jc w:val="both"/>
        <w:rPr>
          <w:rFonts w:ascii="Arial" w:hAnsi="Arial" w:cs="Arial"/>
        </w:rPr>
      </w:pPr>
      <w:r>
        <w:rPr>
          <w:rFonts w:ascii="Arial" w:eastAsia="Times New Roman" w:hAnsi="Arial" w:cs="Arial"/>
          <w:sz w:val="24"/>
          <w:szCs w:val="24"/>
          <w:lang w:val="en-GB" w:eastAsia="en-GB"/>
        </w:rPr>
        <w:t>a)</w:t>
      </w:r>
      <w:r>
        <w:rPr>
          <w:rFonts w:ascii="Arial" w:eastAsia="Times New Roman" w:hAnsi="Arial" w:cs="Arial"/>
          <w:sz w:val="24"/>
          <w:szCs w:val="24"/>
          <w:lang w:val="en-GB" w:eastAsia="en-GB"/>
        </w:rPr>
        <w:tab/>
      </w:r>
      <w:r w:rsidR="00226E5E" w:rsidRPr="00087294">
        <w:rPr>
          <w:rFonts w:ascii="Arial" w:hAnsi="Arial" w:cs="Arial"/>
        </w:rPr>
        <w:t>Mr Ng</w:t>
      </w:r>
      <w:r w:rsidR="005D4BEF" w:rsidRPr="00087294">
        <w:rPr>
          <w:rFonts w:ascii="Arial" w:hAnsi="Arial" w:cs="Arial"/>
        </w:rPr>
        <w:t>u</w:t>
      </w:r>
      <w:r w:rsidR="00226E5E" w:rsidRPr="00087294">
        <w:rPr>
          <w:rFonts w:ascii="Arial" w:hAnsi="Arial" w:cs="Arial"/>
        </w:rPr>
        <w:t>vauva at all material time acted on behalf of the respondents and entered into the agreement on their behalf on 5 September 2019.</w:t>
      </w:r>
    </w:p>
    <w:p w:rsidR="00C35CEE" w:rsidRPr="00C35CEE" w:rsidRDefault="00C35CEE" w:rsidP="00C35CEE">
      <w:pPr>
        <w:pStyle w:val="ListParagraph"/>
        <w:spacing w:line="360" w:lineRule="auto"/>
        <w:ind w:left="851"/>
        <w:jc w:val="both"/>
        <w:rPr>
          <w:rFonts w:ascii="Arial" w:hAnsi="Arial" w:cs="Arial"/>
          <w:color w:val="000000" w:themeColor="text1"/>
        </w:rPr>
      </w:pPr>
    </w:p>
    <w:p w:rsidR="00226E5E" w:rsidRPr="00087294" w:rsidRDefault="00087294" w:rsidP="00087294">
      <w:pPr>
        <w:spacing w:line="360" w:lineRule="auto"/>
        <w:ind w:left="851" w:hanging="360"/>
        <w:jc w:val="both"/>
        <w:rPr>
          <w:rFonts w:ascii="Arial" w:hAnsi="Arial" w:cs="Arial"/>
          <w:color w:val="000000" w:themeColor="text1"/>
        </w:rPr>
      </w:pPr>
      <w:r>
        <w:rPr>
          <w:rFonts w:ascii="Arial" w:eastAsia="Times New Roman" w:hAnsi="Arial" w:cs="Arial"/>
          <w:color w:val="000000" w:themeColor="text1"/>
          <w:sz w:val="24"/>
          <w:szCs w:val="24"/>
          <w:lang w:val="en-GB" w:eastAsia="en-GB"/>
        </w:rPr>
        <w:t>b)</w:t>
      </w:r>
      <w:r>
        <w:rPr>
          <w:rFonts w:ascii="Arial" w:eastAsia="Times New Roman" w:hAnsi="Arial" w:cs="Arial"/>
          <w:color w:val="000000" w:themeColor="text1"/>
          <w:sz w:val="24"/>
          <w:szCs w:val="24"/>
          <w:lang w:val="en-GB" w:eastAsia="en-GB"/>
        </w:rPr>
        <w:tab/>
      </w:r>
      <w:r w:rsidR="00226E5E" w:rsidRPr="00087294">
        <w:rPr>
          <w:rFonts w:ascii="Arial" w:hAnsi="Arial" w:cs="Arial"/>
        </w:rPr>
        <w:t xml:space="preserve">The </w:t>
      </w:r>
      <w:r w:rsidR="000C3332" w:rsidRPr="00087294">
        <w:rPr>
          <w:rFonts w:ascii="Arial" w:hAnsi="Arial" w:cs="Arial"/>
          <w:color w:val="000000" w:themeColor="text1"/>
        </w:rPr>
        <w:t xml:space="preserve">respondents </w:t>
      </w:r>
      <w:r w:rsidR="00226E5E" w:rsidRPr="00087294">
        <w:rPr>
          <w:rFonts w:ascii="Arial" w:hAnsi="Arial" w:cs="Arial"/>
          <w:color w:val="000000" w:themeColor="text1"/>
        </w:rPr>
        <w:t xml:space="preserve">do not say, nor does the arbitrator find, that Mr Nguvauva was not authorised to enter into the settlement agreement on behalf of the applicants as their authorised representative. </w:t>
      </w:r>
    </w:p>
    <w:p w:rsidR="00C35CEE" w:rsidRPr="00C820C3" w:rsidRDefault="00C35CEE" w:rsidP="00C35CEE">
      <w:pPr>
        <w:pStyle w:val="ListParagraph"/>
        <w:spacing w:line="360" w:lineRule="auto"/>
        <w:ind w:left="851"/>
        <w:jc w:val="both"/>
        <w:rPr>
          <w:rFonts w:ascii="Arial" w:hAnsi="Arial" w:cs="Arial"/>
          <w:color w:val="000000" w:themeColor="text1"/>
        </w:rPr>
      </w:pPr>
    </w:p>
    <w:p w:rsidR="00226E5E" w:rsidRPr="00087294" w:rsidRDefault="00087294" w:rsidP="00087294">
      <w:pPr>
        <w:spacing w:line="360" w:lineRule="auto"/>
        <w:ind w:left="851" w:hanging="360"/>
        <w:jc w:val="both"/>
        <w:rPr>
          <w:rFonts w:ascii="Arial" w:hAnsi="Arial" w:cs="Arial"/>
          <w:color w:val="000000" w:themeColor="text1"/>
        </w:rPr>
      </w:pPr>
      <w:r>
        <w:rPr>
          <w:rFonts w:ascii="Arial" w:eastAsia="Times New Roman" w:hAnsi="Arial" w:cs="Arial"/>
          <w:color w:val="000000" w:themeColor="text1"/>
          <w:sz w:val="24"/>
          <w:szCs w:val="24"/>
          <w:lang w:val="en-GB" w:eastAsia="en-GB"/>
        </w:rPr>
        <w:t>c)</w:t>
      </w:r>
      <w:r>
        <w:rPr>
          <w:rFonts w:ascii="Arial" w:eastAsia="Times New Roman" w:hAnsi="Arial" w:cs="Arial"/>
          <w:color w:val="000000" w:themeColor="text1"/>
          <w:sz w:val="24"/>
          <w:szCs w:val="24"/>
          <w:lang w:val="en-GB" w:eastAsia="en-GB"/>
        </w:rPr>
        <w:tab/>
      </w:r>
      <w:r w:rsidR="00226E5E" w:rsidRPr="00087294">
        <w:rPr>
          <w:rFonts w:ascii="Arial" w:hAnsi="Arial" w:cs="Arial"/>
          <w:color w:val="000000" w:themeColor="text1"/>
        </w:rPr>
        <w:t>The arbitrator appreciated the settlement agreement was in full and final settlement of the complaint under case n</w:t>
      </w:r>
      <w:r w:rsidR="0038702D" w:rsidRPr="00087294">
        <w:rPr>
          <w:rFonts w:ascii="Arial" w:hAnsi="Arial" w:cs="Arial"/>
          <w:color w:val="000000" w:themeColor="text1"/>
        </w:rPr>
        <w:t>o SRLU 38-17</w:t>
      </w:r>
      <w:r w:rsidR="008C2756" w:rsidRPr="00087294">
        <w:rPr>
          <w:rFonts w:ascii="Arial" w:hAnsi="Arial" w:cs="Arial"/>
          <w:color w:val="000000" w:themeColor="text1"/>
        </w:rPr>
        <w:t xml:space="preserve"> at the office of the Labour Commissioner as well as the appeal under HC-MD-LAB-APP-AAA-2018/00016 against ruling of the arbitrator (dated 13 March 2018).</w:t>
      </w:r>
    </w:p>
    <w:p w:rsidR="00C35CEE" w:rsidRPr="00C820C3" w:rsidRDefault="00C35CEE" w:rsidP="00C35CEE">
      <w:pPr>
        <w:pStyle w:val="ListParagraph"/>
        <w:spacing w:line="360" w:lineRule="auto"/>
        <w:ind w:left="851"/>
        <w:jc w:val="both"/>
        <w:rPr>
          <w:rFonts w:ascii="Arial" w:hAnsi="Arial" w:cs="Arial"/>
          <w:color w:val="000000" w:themeColor="text1"/>
        </w:rPr>
      </w:pPr>
    </w:p>
    <w:p w:rsidR="008C2756" w:rsidRPr="00087294" w:rsidRDefault="00087294" w:rsidP="00087294">
      <w:pPr>
        <w:spacing w:line="360" w:lineRule="auto"/>
        <w:ind w:left="851" w:hanging="360"/>
        <w:jc w:val="both"/>
        <w:rPr>
          <w:rFonts w:ascii="Arial" w:hAnsi="Arial" w:cs="Arial"/>
        </w:rPr>
      </w:pPr>
      <w:r>
        <w:rPr>
          <w:rFonts w:ascii="Arial" w:eastAsia="Times New Roman" w:hAnsi="Arial" w:cs="Arial"/>
          <w:sz w:val="24"/>
          <w:szCs w:val="24"/>
          <w:lang w:val="en-GB" w:eastAsia="en-GB"/>
        </w:rPr>
        <w:t>d)</w:t>
      </w:r>
      <w:r>
        <w:rPr>
          <w:rFonts w:ascii="Arial" w:eastAsia="Times New Roman" w:hAnsi="Arial" w:cs="Arial"/>
          <w:sz w:val="24"/>
          <w:szCs w:val="24"/>
          <w:lang w:val="en-GB" w:eastAsia="en-GB"/>
        </w:rPr>
        <w:tab/>
      </w:r>
      <w:r w:rsidR="008C2756" w:rsidRPr="00087294">
        <w:rPr>
          <w:rFonts w:ascii="Arial" w:hAnsi="Arial" w:cs="Arial"/>
          <w:color w:val="000000" w:themeColor="text1"/>
        </w:rPr>
        <w:t xml:space="preserve">The arbitrator appreciated </w:t>
      </w:r>
      <w:r w:rsidR="00CE200D" w:rsidRPr="00087294">
        <w:rPr>
          <w:rFonts w:ascii="Arial" w:hAnsi="Arial" w:cs="Arial"/>
          <w:color w:val="000000" w:themeColor="text1"/>
        </w:rPr>
        <w:t>that in term</w:t>
      </w:r>
      <w:r w:rsidR="00A57069" w:rsidRPr="00087294">
        <w:rPr>
          <w:rFonts w:ascii="Arial" w:hAnsi="Arial" w:cs="Arial"/>
          <w:color w:val="000000" w:themeColor="text1"/>
        </w:rPr>
        <w:t>s</w:t>
      </w:r>
      <w:r w:rsidR="00CE200D" w:rsidRPr="00087294">
        <w:rPr>
          <w:rFonts w:ascii="Arial" w:hAnsi="Arial" w:cs="Arial"/>
          <w:color w:val="000000" w:themeColor="text1"/>
        </w:rPr>
        <w:t xml:space="preserve"> of the settlement agreement (a compromise) and as part of their obligations the </w:t>
      </w:r>
      <w:r w:rsidR="000C3332" w:rsidRPr="00087294">
        <w:rPr>
          <w:rFonts w:ascii="Arial" w:hAnsi="Arial" w:cs="Arial"/>
          <w:color w:val="000000" w:themeColor="text1"/>
        </w:rPr>
        <w:t>respondents</w:t>
      </w:r>
      <w:r w:rsidR="00CE200D" w:rsidRPr="00087294">
        <w:rPr>
          <w:rFonts w:ascii="Arial" w:hAnsi="Arial" w:cs="Arial"/>
          <w:color w:val="000000" w:themeColor="text1"/>
        </w:rPr>
        <w:t xml:space="preserve"> expressly </w:t>
      </w:r>
      <w:r w:rsidR="00CE200D" w:rsidRPr="00087294">
        <w:rPr>
          <w:rFonts w:ascii="Arial" w:hAnsi="Arial" w:cs="Arial"/>
        </w:rPr>
        <w:t xml:space="preserve">agreed to withdraw case SRLU 38-17 and that the arbitrator was alive to the binding nature of the compromise reached </w:t>
      </w:r>
      <w:r w:rsidR="00CE200D" w:rsidRPr="00087294">
        <w:rPr>
          <w:rFonts w:ascii="Arial" w:hAnsi="Arial" w:cs="Arial"/>
        </w:rPr>
        <w:lastRenderedPageBreak/>
        <w:t>between the parties</w:t>
      </w:r>
      <w:r w:rsidR="00F34893" w:rsidRPr="00087294">
        <w:rPr>
          <w:rFonts w:ascii="Arial" w:hAnsi="Arial" w:cs="Arial"/>
        </w:rPr>
        <w:t xml:space="preserve"> (with reference to para 2 of the arbitrator</w:t>
      </w:r>
      <w:r w:rsidR="007B7652" w:rsidRPr="00087294">
        <w:rPr>
          <w:rFonts w:ascii="Arial" w:hAnsi="Arial" w:cs="Arial"/>
        </w:rPr>
        <w:t>’</w:t>
      </w:r>
      <w:r w:rsidR="00F34893" w:rsidRPr="00087294">
        <w:rPr>
          <w:rFonts w:ascii="Arial" w:hAnsi="Arial" w:cs="Arial"/>
        </w:rPr>
        <w:t>s order), which was a term agreed upon in the compromise</w:t>
      </w:r>
      <w:r w:rsidR="00CE200D" w:rsidRPr="00087294">
        <w:rPr>
          <w:rFonts w:ascii="Arial" w:hAnsi="Arial" w:cs="Arial"/>
        </w:rPr>
        <w:t xml:space="preserve">. </w:t>
      </w:r>
    </w:p>
    <w:p w:rsidR="00C35CEE" w:rsidRDefault="00C35CEE" w:rsidP="00C35CEE">
      <w:pPr>
        <w:pStyle w:val="ListParagraph"/>
        <w:spacing w:line="360" w:lineRule="auto"/>
        <w:ind w:left="851"/>
        <w:jc w:val="both"/>
        <w:rPr>
          <w:rFonts w:ascii="Arial" w:hAnsi="Arial" w:cs="Arial"/>
        </w:rPr>
      </w:pPr>
    </w:p>
    <w:p w:rsidR="00CE200D" w:rsidRPr="00087294" w:rsidRDefault="00087294" w:rsidP="00087294">
      <w:pPr>
        <w:spacing w:line="360" w:lineRule="auto"/>
        <w:ind w:left="851" w:hanging="360"/>
        <w:jc w:val="both"/>
        <w:rPr>
          <w:rFonts w:ascii="Arial" w:hAnsi="Arial" w:cs="Arial"/>
          <w:color w:val="000000" w:themeColor="text1"/>
        </w:rPr>
      </w:pPr>
      <w:r w:rsidRPr="00C820C3">
        <w:rPr>
          <w:rFonts w:ascii="Arial" w:eastAsia="Times New Roman" w:hAnsi="Arial" w:cs="Arial"/>
          <w:color w:val="000000" w:themeColor="text1"/>
          <w:sz w:val="24"/>
          <w:szCs w:val="24"/>
          <w:lang w:val="en-GB" w:eastAsia="en-GB"/>
        </w:rPr>
        <w:t>e)</w:t>
      </w:r>
      <w:r w:rsidRPr="00C820C3">
        <w:rPr>
          <w:rFonts w:ascii="Arial" w:eastAsia="Times New Roman" w:hAnsi="Arial" w:cs="Arial"/>
          <w:color w:val="000000" w:themeColor="text1"/>
          <w:sz w:val="24"/>
          <w:szCs w:val="24"/>
          <w:lang w:val="en-GB" w:eastAsia="en-GB"/>
        </w:rPr>
        <w:tab/>
      </w:r>
      <w:r w:rsidR="00F34893" w:rsidRPr="00087294">
        <w:rPr>
          <w:rFonts w:ascii="Arial" w:hAnsi="Arial" w:cs="Arial"/>
        </w:rPr>
        <w:t>With reference to the affidavits deposed to be Mr Nguvauva</w:t>
      </w:r>
      <w:r w:rsidR="00FC053E" w:rsidRPr="00087294">
        <w:rPr>
          <w:rFonts w:ascii="Arial" w:hAnsi="Arial" w:cs="Arial"/>
        </w:rPr>
        <w:t xml:space="preserve"> in support of his application</w:t>
      </w:r>
      <w:r w:rsidR="00F34893" w:rsidRPr="00087294">
        <w:rPr>
          <w:rFonts w:ascii="Arial" w:hAnsi="Arial" w:cs="Arial"/>
        </w:rPr>
        <w:t xml:space="preserve"> are in conflict with one another where</w:t>
      </w:r>
      <w:r w:rsidR="00FC053E" w:rsidRPr="00087294">
        <w:rPr>
          <w:rFonts w:ascii="Arial" w:hAnsi="Arial" w:cs="Arial"/>
        </w:rPr>
        <w:t>in</w:t>
      </w:r>
      <w:r w:rsidR="00F34893" w:rsidRPr="00087294">
        <w:rPr>
          <w:rFonts w:ascii="Arial" w:hAnsi="Arial" w:cs="Arial"/>
        </w:rPr>
        <w:t xml:space="preserve"> the deponent on the one hand indicates that </w:t>
      </w:r>
      <w:r w:rsidR="00FC053E" w:rsidRPr="00087294">
        <w:rPr>
          <w:rFonts w:ascii="Arial" w:hAnsi="Arial" w:cs="Arial"/>
        </w:rPr>
        <w:t xml:space="preserve">he is the representative of </w:t>
      </w:r>
      <w:r w:rsidR="00FC053E" w:rsidRPr="00087294">
        <w:rPr>
          <w:rFonts w:ascii="Arial" w:hAnsi="Arial" w:cs="Arial"/>
          <w:color w:val="000000" w:themeColor="text1"/>
        </w:rPr>
        <w:t xml:space="preserve">the </w:t>
      </w:r>
      <w:r w:rsidR="000C3332" w:rsidRPr="00087294">
        <w:rPr>
          <w:rFonts w:ascii="Arial" w:hAnsi="Arial" w:cs="Arial"/>
          <w:color w:val="000000" w:themeColor="text1"/>
        </w:rPr>
        <w:t>respondents</w:t>
      </w:r>
      <w:r w:rsidR="00FC053E" w:rsidRPr="00087294">
        <w:rPr>
          <w:rFonts w:ascii="Arial" w:hAnsi="Arial" w:cs="Arial"/>
          <w:color w:val="000000" w:themeColor="text1"/>
        </w:rPr>
        <w:t xml:space="preserve"> and is duly authorised to act o</w:t>
      </w:r>
      <w:r w:rsidR="00A57069" w:rsidRPr="00087294">
        <w:rPr>
          <w:rFonts w:ascii="Arial" w:hAnsi="Arial" w:cs="Arial"/>
          <w:color w:val="000000" w:themeColor="text1"/>
        </w:rPr>
        <w:t xml:space="preserve">n behalf of the </w:t>
      </w:r>
      <w:r w:rsidR="000C3332" w:rsidRPr="00087294">
        <w:rPr>
          <w:rFonts w:ascii="Arial" w:hAnsi="Arial" w:cs="Arial"/>
          <w:color w:val="000000" w:themeColor="text1"/>
        </w:rPr>
        <w:t>respondents</w:t>
      </w:r>
      <w:r w:rsidR="00A57069" w:rsidRPr="00087294">
        <w:rPr>
          <w:rFonts w:ascii="Arial" w:hAnsi="Arial" w:cs="Arial"/>
          <w:color w:val="000000" w:themeColor="text1"/>
        </w:rPr>
        <w:t xml:space="preserve"> and </w:t>
      </w:r>
      <w:r w:rsidR="00FC053E" w:rsidRPr="00087294">
        <w:rPr>
          <w:rFonts w:ascii="Arial" w:hAnsi="Arial" w:cs="Arial"/>
          <w:color w:val="000000" w:themeColor="text1"/>
        </w:rPr>
        <w:t xml:space="preserve">on the other hand states that </w:t>
      </w:r>
      <w:r w:rsidR="00F34893" w:rsidRPr="00087294">
        <w:rPr>
          <w:rFonts w:ascii="Arial" w:hAnsi="Arial" w:cs="Arial"/>
          <w:color w:val="000000" w:themeColor="text1"/>
        </w:rPr>
        <w:t>the notice of withdrawal was filed withou</w:t>
      </w:r>
      <w:r w:rsidR="00FC053E" w:rsidRPr="00087294">
        <w:rPr>
          <w:rFonts w:ascii="Arial" w:hAnsi="Arial" w:cs="Arial"/>
          <w:color w:val="000000" w:themeColor="text1"/>
        </w:rPr>
        <w:t xml:space="preserve">t the consent of the </w:t>
      </w:r>
      <w:r w:rsidR="000C3332" w:rsidRPr="00087294">
        <w:rPr>
          <w:rFonts w:ascii="Arial" w:hAnsi="Arial" w:cs="Arial"/>
          <w:color w:val="000000" w:themeColor="text1"/>
        </w:rPr>
        <w:t>respondents</w:t>
      </w:r>
      <w:r w:rsidR="00FC053E" w:rsidRPr="00087294">
        <w:rPr>
          <w:rFonts w:ascii="Arial" w:hAnsi="Arial" w:cs="Arial"/>
          <w:color w:val="000000" w:themeColor="text1"/>
        </w:rPr>
        <w:t>.</w:t>
      </w:r>
    </w:p>
    <w:p w:rsidR="001725DD" w:rsidRDefault="001725DD" w:rsidP="00B501CB">
      <w:pPr>
        <w:spacing w:after="0" w:line="360" w:lineRule="auto"/>
        <w:jc w:val="both"/>
        <w:rPr>
          <w:rFonts w:ascii="Arial" w:hAnsi="Arial" w:cs="Arial"/>
          <w:sz w:val="24"/>
          <w:szCs w:val="24"/>
          <w:u w:val="single"/>
        </w:rPr>
      </w:pPr>
    </w:p>
    <w:p w:rsidR="00C960FF" w:rsidRDefault="00C960FF" w:rsidP="00B501CB">
      <w:pPr>
        <w:spacing w:after="0" w:line="360" w:lineRule="auto"/>
        <w:jc w:val="both"/>
        <w:rPr>
          <w:rFonts w:ascii="Arial" w:hAnsi="Arial" w:cs="Arial"/>
          <w:sz w:val="24"/>
          <w:szCs w:val="24"/>
          <w:u w:val="single"/>
        </w:rPr>
      </w:pPr>
      <w:r w:rsidRPr="00C960FF">
        <w:rPr>
          <w:rFonts w:ascii="Arial" w:hAnsi="Arial" w:cs="Arial"/>
          <w:sz w:val="24"/>
          <w:szCs w:val="24"/>
          <w:u w:val="single"/>
        </w:rPr>
        <w:t>Appellant’s arguments</w:t>
      </w:r>
    </w:p>
    <w:p w:rsidR="00C35CEE" w:rsidRPr="00C960FF" w:rsidRDefault="00C35CEE" w:rsidP="00B501CB">
      <w:pPr>
        <w:spacing w:after="0" w:line="360" w:lineRule="auto"/>
        <w:jc w:val="both"/>
        <w:rPr>
          <w:rFonts w:ascii="Arial" w:hAnsi="Arial" w:cs="Arial"/>
          <w:sz w:val="24"/>
          <w:szCs w:val="24"/>
          <w:u w:val="single"/>
        </w:rPr>
      </w:pPr>
    </w:p>
    <w:p w:rsidR="00E27E96" w:rsidRDefault="004D20D0" w:rsidP="00B501CB">
      <w:pPr>
        <w:spacing w:after="0" w:line="360" w:lineRule="auto"/>
        <w:jc w:val="both"/>
        <w:rPr>
          <w:rFonts w:ascii="Arial" w:hAnsi="Arial" w:cs="Arial"/>
          <w:sz w:val="24"/>
          <w:szCs w:val="24"/>
        </w:rPr>
      </w:pPr>
      <w:r w:rsidRPr="004D20D0">
        <w:rPr>
          <w:rFonts w:ascii="Arial" w:hAnsi="Arial" w:cs="Arial"/>
          <w:sz w:val="24"/>
          <w:szCs w:val="24"/>
        </w:rPr>
        <w:t>[</w:t>
      </w:r>
      <w:r w:rsidR="006B7DB4">
        <w:rPr>
          <w:rFonts w:ascii="Arial" w:hAnsi="Arial" w:cs="Arial"/>
          <w:sz w:val="24"/>
          <w:szCs w:val="24"/>
        </w:rPr>
        <w:t>17</w:t>
      </w:r>
      <w:r w:rsidRPr="004D20D0">
        <w:rPr>
          <w:rFonts w:ascii="Arial" w:hAnsi="Arial" w:cs="Arial"/>
          <w:sz w:val="24"/>
          <w:szCs w:val="24"/>
        </w:rPr>
        <w:t xml:space="preserve">] </w:t>
      </w:r>
      <w:r>
        <w:rPr>
          <w:rFonts w:ascii="Arial" w:hAnsi="Arial" w:cs="Arial"/>
          <w:sz w:val="24"/>
          <w:szCs w:val="24"/>
        </w:rPr>
        <w:tab/>
      </w:r>
      <w:r w:rsidR="00E27E96">
        <w:rPr>
          <w:rFonts w:ascii="Arial" w:hAnsi="Arial" w:cs="Arial"/>
          <w:sz w:val="24"/>
          <w:szCs w:val="24"/>
        </w:rPr>
        <w:t xml:space="preserve">The main thrust of Mr van Greunen’s </w:t>
      </w:r>
      <w:r w:rsidR="00E27E96" w:rsidRPr="00C41D94">
        <w:rPr>
          <w:rFonts w:ascii="Arial" w:hAnsi="Arial" w:cs="Arial"/>
          <w:sz w:val="24"/>
          <w:szCs w:val="24"/>
        </w:rPr>
        <w:t xml:space="preserve">argument is </w:t>
      </w:r>
      <w:r w:rsidR="006B7DB4" w:rsidRPr="00C41D94">
        <w:rPr>
          <w:rFonts w:ascii="Arial" w:hAnsi="Arial" w:cs="Arial"/>
          <w:sz w:val="24"/>
          <w:szCs w:val="24"/>
        </w:rPr>
        <w:t xml:space="preserve">about the turn </w:t>
      </w:r>
      <w:r w:rsidR="00E27E96">
        <w:rPr>
          <w:rFonts w:ascii="Arial" w:hAnsi="Arial" w:cs="Arial"/>
          <w:sz w:val="24"/>
          <w:szCs w:val="24"/>
        </w:rPr>
        <w:t xml:space="preserve">by Mr Nguvauva in respect of the withdrawal of case SRLU 38-17 and the allegation that Mr Nguvauva acted without the applicants’ authority have no merit as it is clear from all the documents filed of record that Mr Nguvauva acted on behalf of the </w:t>
      </w:r>
      <w:r w:rsidR="006B7DB4" w:rsidRPr="00C41D94">
        <w:rPr>
          <w:rFonts w:ascii="Arial" w:hAnsi="Arial" w:cs="Arial"/>
          <w:sz w:val="24"/>
          <w:szCs w:val="24"/>
        </w:rPr>
        <w:t xml:space="preserve">first respondents </w:t>
      </w:r>
      <w:r w:rsidR="00E27E96" w:rsidRPr="00C41D94">
        <w:rPr>
          <w:rFonts w:ascii="Arial" w:hAnsi="Arial" w:cs="Arial"/>
          <w:sz w:val="24"/>
          <w:szCs w:val="24"/>
        </w:rPr>
        <w:t xml:space="preserve">and had the necessary authority to do so. </w:t>
      </w:r>
      <w:r w:rsidR="005D4BEF" w:rsidRPr="00C41D94">
        <w:rPr>
          <w:rFonts w:ascii="Arial" w:hAnsi="Arial" w:cs="Arial"/>
          <w:sz w:val="24"/>
          <w:szCs w:val="24"/>
        </w:rPr>
        <w:t>Mr van Greu</w:t>
      </w:r>
      <w:r w:rsidR="005D4BEF">
        <w:rPr>
          <w:rFonts w:ascii="Arial" w:hAnsi="Arial" w:cs="Arial"/>
          <w:sz w:val="24"/>
          <w:szCs w:val="24"/>
        </w:rPr>
        <w:t xml:space="preserve">nen contended that on the strength of the facts the first respondents (through their representative) are estopped from alleging that Mr Nguvauva was not authorized to represent them. </w:t>
      </w:r>
    </w:p>
    <w:p w:rsidR="00C35CEE" w:rsidRDefault="00C35CEE" w:rsidP="00B501CB">
      <w:pPr>
        <w:spacing w:after="0" w:line="360" w:lineRule="auto"/>
        <w:jc w:val="both"/>
        <w:rPr>
          <w:rFonts w:ascii="Arial" w:hAnsi="Arial" w:cs="Arial"/>
          <w:sz w:val="24"/>
          <w:szCs w:val="24"/>
        </w:rPr>
      </w:pPr>
    </w:p>
    <w:p w:rsidR="00A5659E" w:rsidRDefault="00E27E96" w:rsidP="00B501CB">
      <w:pPr>
        <w:spacing w:after="0" w:line="360" w:lineRule="auto"/>
        <w:jc w:val="both"/>
        <w:rPr>
          <w:rFonts w:ascii="Arial" w:hAnsi="Arial" w:cs="Arial"/>
          <w:sz w:val="24"/>
          <w:szCs w:val="24"/>
        </w:rPr>
      </w:pPr>
      <w:r>
        <w:rPr>
          <w:rFonts w:ascii="Arial" w:hAnsi="Arial" w:cs="Arial"/>
          <w:sz w:val="24"/>
          <w:szCs w:val="24"/>
        </w:rPr>
        <w:t>[</w:t>
      </w:r>
      <w:r w:rsidR="006B7DB4">
        <w:rPr>
          <w:rFonts w:ascii="Arial" w:hAnsi="Arial" w:cs="Arial"/>
          <w:sz w:val="24"/>
          <w:szCs w:val="24"/>
        </w:rPr>
        <w:t>18</w:t>
      </w:r>
      <w:r>
        <w:rPr>
          <w:rFonts w:ascii="Arial" w:hAnsi="Arial" w:cs="Arial"/>
          <w:sz w:val="24"/>
          <w:szCs w:val="24"/>
        </w:rPr>
        <w:t>]</w:t>
      </w:r>
      <w:r>
        <w:rPr>
          <w:rFonts w:ascii="Arial" w:hAnsi="Arial" w:cs="Arial"/>
          <w:sz w:val="24"/>
          <w:szCs w:val="24"/>
        </w:rPr>
        <w:tab/>
        <w:t xml:space="preserve"> Mr van Greunen argued that a compromise was reached between the parties which finally settled the matter and therefor</w:t>
      </w:r>
      <w:r w:rsidR="006B7DB4">
        <w:rPr>
          <w:rFonts w:ascii="Arial" w:hAnsi="Arial" w:cs="Arial"/>
          <w:sz w:val="24"/>
          <w:szCs w:val="24"/>
        </w:rPr>
        <w:t>e</w:t>
      </w:r>
      <w:r>
        <w:rPr>
          <w:rFonts w:ascii="Arial" w:hAnsi="Arial" w:cs="Arial"/>
          <w:sz w:val="24"/>
          <w:szCs w:val="24"/>
        </w:rPr>
        <w:t xml:space="preserve"> the arbitrator could not consider the application to ‘withdraw the withdrawal</w:t>
      </w:r>
      <w:r w:rsidR="00CC1C00">
        <w:rPr>
          <w:rFonts w:ascii="Arial" w:hAnsi="Arial" w:cs="Arial"/>
          <w:sz w:val="24"/>
          <w:szCs w:val="24"/>
        </w:rPr>
        <w:t xml:space="preserve">’ </w:t>
      </w:r>
      <w:r w:rsidR="00A5659E">
        <w:rPr>
          <w:rFonts w:ascii="Arial" w:hAnsi="Arial" w:cs="Arial"/>
          <w:sz w:val="24"/>
          <w:szCs w:val="24"/>
        </w:rPr>
        <w:t xml:space="preserve">as it did not fall within the ambit of rule 28(1)(a) of the </w:t>
      </w:r>
      <w:r w:rsidR="00A5659E" w:rsidRPr="00DB3AAE">
        <w:rPr>
          <w:rFonts w:ascii="Arial" w:hAnsi="Arial" w:cs="Arial"/>
          <w:sz w:val="24"/>
          <w:szCs w:val="24"/>
        </w:rPr>
        <w:t>Conciliation and Arbitration rules</w:t>
      </w:r>
      <w:r w:rsidR="00A5659E">
        <w:rPr>
          <w:rFonts w:ascii="Arial" w:hAnsi="Arial" w:cs="Arial"/>
          <w:sz w:val="24"/>
          <w:szCs w:val="24"/>
        </w:rPr>
        <w:t xml:space="preserve">. Mr van Greunen argued that rule 28(1)(a) relates to interlocutory applications as set out in rules 29 to 33 of the </w:t>
      </w:r>
      <w:r w:rsidR="00A5659E" w:rsidRPr="00DB3AAE">
        <w:rPr>
          <w:rFonts w:ascii="Arial" w:hAnsi="Arial" w:cs="Arial"/>
          <w:sz w:val="24"/>
          <w:szCs w:val="24"/>
        </w:rPr>
        <w:t>Conciliation and Arbitration rules</w:t>
      </w:r>
      <w:r w:rsidR="00A5659E">
        <w:rPr>
          <w:rFonts w:ascii="Arial" w:hAnsi="Arial" w:cs="Arial"/>
          <w:sz w:val="24"/>
          <w:szCs w:val="24"/>
        </w:rPr>
        <w:t xml:space="preserve">, which would stem from an arbitration which is or was pending before the arbitrator. </w:t>
      </w:r>
    </w:p>
    <w:p w:rsidR="00C35CEE" w:rsidRDefault="00C35CEE" w:rsidP="00B501CB">
      <w:pPr>
        <w:spacing w:after="0" w:line="360" w:lineRule="auto"/>
        <w:jc w:val="both"/>
        <w:rPr>
          <w:rFonts w:ascii="Arial" w:hAnsi="Arial" w:cs="Arial"/>
          <w:sz w:val="24"/>
          <w:szCs w:val="24"/>
        </w:rPr>
      </w:pPr>
    </w:p>
    <w:p w:rsidR="00A5659E" w:rsidRDefault="00A5659E" w:rsidP="00B501CB">
      <w:pPr>
        <w:spacing w:after="0" w:line="360" w:lineRule="auto"/>
        <w:jc w:val="both"/>
        <w:rPr>
          <w:rFonts w:ascii="Arial" w:hAnsi="Arial" w:cs="Arial"/>
          <w:sz w:val="24"/>
          <w:szCs w:val="24"/>
        </w:rPr>
      </w:pPr>
      <w:r>
        <w:rPr>
          <w:rFonts w:ascii="Arial" w:hAnsi="Arial" w:cs="Arial"/>
          <w:sz w:val="24"/>
          <w:szCs w:val="24"/>
        </w:rPr>
        <w:t>[</w:t>
      </w:r>
      <w:r w:rsidR="006B7DB4">
        <w:rPr>
          <w:rFonts w:ascii="Arial" w:hAnsi="Arial" w:cs="Arial"/>
          <w:sz w:val="24"/>
          <w:szCs w:val="24"/>
        </w:rPr>
        <w:t>19</w:t>
      </w:r>
      <w:r>
        <w:rPr>
          <w:rFonts w:ascii="Arial" w:hAnsi="Arial" w:cs="Arial"/>
          <w:sz w:val="24"/>
          <w:szCs w:val="24"/>
        </w:rPr>
        <w:t>]</w:t>
      </w:r>
      <w:r>
        <w:rPr>
          <w:rFonts w:ascii="Arial" w:hAnsi="Arial" w:cs="Arial"/>
          <w:sz w:val="24"/>
          <w:szCs w:val="24"/>
        </w:rPr>
        <w:tab/>
        <w:t xml:space="preserve"> Mr van Greunen submitted that the application before the second respondent did not relate to a labour matter as it relates to the unilateral setting aside of a compromise in terms of which the right of all parties there had already vested.</w:t>
      </w:r>
    </w:p>
    <w:p w:rsidR="00C35CEE" w:rsidRDefault="00C35CEE" w:rsidP="00B501CB">
      <w:pPr>
        <w:spacing w:after="0" w:line="360" w:lineRule="auto"/>
        <w:jc w:val="both"/>
        <w:rPr>
          <w:rFonts w:ascii="Arial" w:hAnsi="Arial" w:cs="Arial"/>
          <w:sz w:val="24"/>
          <w:szCs w:val="24"/>
        </w:rPr>
      </w:pPr>
    </w:p>
    <w:p w:rsidR="00A5659E" w:rsidRDefault="00A5659E" w:rsidP="00B501CB">
      <w:pPr>
        <w:spacing w:after="0" w:line="360" w:lineRule="auto"/>
        <w:jc w:val="both"/>
        <w:rPr>
          <w:rFonts w:ascii="Arial" w:hAnsi="Arial" w:cs="Arial"/>
          <w:sz w:val="24"/>
          <w:szCs w:val="24"/>
        </w:rPr>
      </w:pPr>
      <w:r>
        <w:rPr>
          <w:rFonts w:ascii="Arial" w:hAnsi="Arial" w:cs="Arial"/>
          <w:sz w:val="24"/>
          <w:szCs w:val="24"/>
        </w:rPr>
        <w:t>[</w:t>
      </w:r>
      <w:r w:rsidR="006B7DB4">
        <w:rPr>
          <w:rFonts w:ascii="Arial" w:hAnsi="Arial" w:cs="Arial"/>
          <w:sz w:val="24"/>
          <w:szCs w:val="24"/>
        </w:rPr>
        <w:t>20</w:t>
      </w:r>
      <w:r>
        <w:rPr>
          <w:rFonts w:ascii="Arial" w:hAnsi="Arial" w:cs="Arial"/>
          <w:sz w:val="24"/>
          <w:szCs w:val="24"/>
        </w:rPr>
        <w:t>]</w:t>
      </w:r>
      <w:r>
        <w:rPr>
          <w:rFonts w:ascii="Arial" w:hAnsi="Arial" w:cs="Arial"/>
          <w:sz w:val="24"/>
          <w:szCs w:val="24"/>
        </w:rPr>
        <w:tab/>
        <w:t xml:space="preserve"> Mr van Greunen contended that it was improper for the application to have been brought</w:t>
      </w:r>
      <w:r w:rsidR="00FA71CB">
        <w:rPr>
          <w:rFonts w:ascii="Arial" w:hAnsi="Arial" w:cs="Arial"/>
          <w:sz w:val="24"/>
          <w:szCs w:val="24"/>
        </w:rPr>
        <w:t xml:space="preserve"> </w:t>
      </w:r>
      <w:r w:rsidR="00FA71CB" w:rsidRPr="00C41D94">
        <w:rPr>
          <w:rFonts w:ascii="Arial" w:hAnsi="Arial" w:cs="Arial"/>
          <w:sz w:val="24"/>
          <w:szCs w:val="24"/>
        </w:rPr>
        <w:t>the way</w:t>
      </w:r>
      <w:r w:rsidRPr="00C41D94">
        <w:rPr>
          <w:rFonts w:ascii="Arial" w:hAnsi="Arial" w:cs="Arial"/>
          <w:sz w:val="24"/>
          <w:szCs w:val="24"/>
        </w:rPr>
        <w:t xml:space="preserve"> it </w:t>
      </w:r>
      <w:r>
        <w:rPr>
          <w:rFonts w:ascii="Arial" w:hAnsi="Arial" w:cs="Arial"/>
          <w:sz w:val="24"/>
          <w:szCs w:val="24"/>
        </w:rPr>
        <w:t xml:space="preserve">was and the second respondent did not have the jurisdiction to decide </w:t>
      </w:r>
      <w:r>
        <w:rPr>
          <w:rFonts w:ascii="Arial" w:hAnsi="Arial" w:cs="Arial"/>
          <w:sz w:val="24"/>
          <w:szCs w:val="24"/>
        </w:rPr>
        <w:lastRenderedPageBreak/>
        <w:t xml:space="preserve">a substantive application which was neither a dispute nor a dispute of interest as defined in </w:t>
      </w:r>
      <w:r w:rsidR="00B676B6">
        <w:rPr>
          <w:rFonts w:ascii="Arial" w:hAnsi="Arial" w:cs="Arial"/>
          <w:sz w:val="24"/>
          <w:szCs w:val="24"/>
        </w:rPr>
        <w:t>s 1 of the Act</w:t>
      </w:r>
      <w:r w:rsidR="00B676B6">
        <w:rPr>
          <w:rStyle w:val="FootnoteReference"/>
          <w:rFonts w:ascii="Arial" w:hAnsi="Arial" w:cs="Arial"/>
          <w:sz w:val="24"/>
          <w:szCs w:val="24"/>
        </w:rPr>
        <w:footnoteReference w:id="10"/>
      </w:r>
      <w:r w:rsidR="00B676B6">
        <w:rPr>
          <w:rFonts w:ascii="Arial" w:hAnsi="Arial" w:cs="Arial"/>
          <w:sz w:val="24"/>
          <w:szCs w:val="24"/>
        </w:rPr>
        <w:t xml:space="preserve">. </w:t>
      </w:r>
    </w:p>
    <w:p w:rsidR="00C35CEE" w:rsidRDefault="00C35CEE" w:rsidP="00B501CB">
      <w:pPr>
        <w:spacing w:after="0" w:line="360" w:lineRule="auto"/>
        <w:jc w:val="both"/>
        <w:rPr>
          <w:rFonts w:ascii="Arial" w:hAnsi="Arial" w:cs="Arial"/>
          <w:sz w:val="24"/>
          <w:szCs w:val="24"/>
        </w:rPr>
      </w:pPr>
    </w:p>
    <w:p w:rsidR="00B676B6" w:rsidRDefault="00B676B6" w:rsidP="00B501CB">
      <w:pPr>
        <w:spacing w:after="0" w:line="360" w:lineRule="auto"/>
        <w:jc w:val="both"/>
        <w:rPr>
          <w:rFonts w:ascii="Arial" w:hAnsi="Arial" w:cs="Arial"/>
          <w:sz w:val="24"/>
          <w:szCs w:val="24"/>
        </w:rPr>
      </w:pPr>
      <w:r>
        <w:rPr>
          <w:rFonts w:ascii="Arial" w:hAnsi="Arial" w:cs="Arial"/>
          <w:sz w:val="24"/>
          <w:szCs w:val="24"/>
        </w:rPr>
        <w:t>[</w:t>
      </w:r>
      <w:r w:rsidR="00FA71CB">
        <w:rPr>
          <w:rFonts w:ascii="Arial" w:hAnsi="Arial" w:cs="Arial"/>
          <w:sz w:val="24"/>
          <w:szCs w:val="24"/>
        </w:rPr>
        <w:t>21</w:t>
      </w:r>
      <w:r>
        <w:rPr>
          <w:rFonts w:ascii="Arial" w:hAnsi="Arial" w:cs="Arial"/>
          <w:sz w:val="24"/>
          <w:szCs w:val="24"/>
        </w:rPr>
        <w:t>]</w:t>
      </w:r>
      <w:r>
        <w:rPr>
          <w:rFonts w:ascii="Arial" w:hAnsi="Arial" w:cs="Arial"/>
          <w:sz w:val="24"/>
          <w:szCs w:val="24"/>
        </w:rPr>
        <w:tab/>
        <w:t xml:space="preserve"> On the issue of the compromise Mr van Greunen referred the court to </w:t>
      </w:r>
      <w:r w:rsidRPr="00B676B6">
        <w:rPr>
          <w:rFonts w:ascii="Arial" w:hAnsi="Arial" w:cs="Arial"/>
          <w:i/>
          <w:sz w:val="24"/>
          <w:szCs w:val="24"/>
        </w:rPr>
        <w:t>Gollach &amp; Gomperts (1967) (Pty) Ltd v Universal Mills and Produce Co (Pty) Ltd and Others</w:t>
      </w:r>
      <w:r>
        <w:rPr>
          <w:rStyle w:val="FootnoteReference"/>
          <w:rFonts w:ascii="Arial" w:hAnsi="Arial" w:cs="Arial"/>
          <w:sz w:val="24"/>
          <w:szCs w:val="24"/>
        </w:rPr>
        <w:footnoteReference w:id="11"/>
      </w:r>
      <w:r>
        <w:rPr>
          <w:rFonts w:ascii="Arial" w:hAnsi="Arial" w:cs="Arial"/>
          <w:i/>
          <w:sz w:val="24"/>
          <w:szCs w:val="24"/>
        </w:rPr>
        <w:t xml:space="preserve"> </w:t>
      </w:r>
      <w:r w:rsidRPr="0037692D">
        <w:rPr>
          <w:rFonts w:ascii="Arial" w:hAnsi="Arial" w:cs="Arial"/>
          <w:sz w:val="24"/>
          <w:szCs w:val="24"/>
        </w:rPr>
        <w:t>and the principles regarding compromise, which</w:t>
      </w:r>
      <w:r>
        <w:rPr>
          <w:rFonts w:ascii="Arial" w:hAnsi="Arial" w:cs="Arial"/>
          <w:i/>
          <w:sz w:val="24"/>
          <w:szCs w:val="24"/>
        </w:rPr>
        <w:t xml:space="preserve"> </w:t>
      </w:r>
      <w:r w:rsidR="0037692D">
        <w:rPr>
          <w:rFonts w:ascii="Arial" w:hAnsi="Arial" w:cs="Arial"/>
          <w:sz w:val="24"/>
          <w:szCs w:val="24"/>
        </w:rPr>
        <w:t xml:space="preserve">I will discuss further in due course. Mr van Greunen argued that what is clear from the </w:t>
      </w:r>
      <w:r w:rsidR="0037692D" w:rsidRPr="0037692D">
        <w:rPr>
          <w:rFonts w:ascii="Arial" w:hAnsi="Arial" w:cs="Arial"/>
          <w:i/>
          <w:sz w:val="24"/>
          <w:szCs w:val="24"/>
        </w:rPr>
        <w:t>Gollach</w:t>
      </w:r>
      <w:r w:rsidR="0037692D">
        <w:rPr>
          <w:rFonts w:ascii="Arial" w:hAnsi="Arial" w:cs="Arial"/>
          <w:sz w:val="24"/>
          <w:szCs w:val="24"/>
        </w:rPr>
        <w:t xml:space="preserve"> judgment is that a compromise cannot be rescinded on any grounds relating to the motive for entering into it, or to the merits of the dispute which it was for the very purpose of the parties to compromise.</w:t>
      </w:r>
    </w:p>
    <w:p w:rsidR="00C35CEE" w:rsidRPr="0037692D" w:rsidRDefault="00C35CEE" w:rsidP="00B501CB">
      <w:pPr>
        <w:spacing w:after="0" w:line="360" w:lineRule="auto"/>
        <w:jc w:val="both"/>
        <w:rPr>
          <w:rFonts w:ascii="Arial" w:hAnsi="Arial" w:cs="Arial"/>
          <w:sz w:val="24"/>
          <w:szCs w:val="24"/>
        </w:rPr>
      </w:pPr>
    </w:p>
    <w:p w:rsidR="00A5659E" w:rsidRDefault="0037692D" w:rsidP="00B501CB">
      <w:pPr>
        <w:spacing w:after="0" w:line="360" w:lineRule="auto"/>
        <w:jc w:val="both"/>
        <w:rPr>
          <w:rFonts w:ascii="Arial" w:hAnsi="Arial" w:cs="Arial"/>
          <w:sz w:val="24"/>
          <w:szCs w:val="24"/>
        </w:rPr>
      </w:pPr>
      <w:r>
        <w:rPr>
          <w:rFonts w:ascii="Arial" w:hAnsi="Arial" w:cs="Arial"/>
          <w:sz w:val="24"/>
          <w:szCs w:val="24"/>
        </w:rPr>
        <w:t>[</w:t>
      </w:r>
      <w:r w:rsidR="00FA71CB">
        <w:rPr>
          <w:rFonts w:ascii="Arial" w:hAnsi="Arial" w:cs="Arial"/>
          <w:sz w:val="24"/>
          <w:szCs w:val="24"/>
        </w:rPr>
        <w:t>22</w:t>
      </w:r>
      <w:r>
        <w:rPr>
          <w:rFonts w:ascii="Arial" w:hAnsi="Arial" w:cs="Arial"/>
          <w:sz w:val="24"/>
          <w:szCs w:val="24"/>
        </w:rPr>
        <w:t>]</w:t>
      </w:r>
      <w:r>
        <w:rPr>
          <w:rFonts w:ascii="Arial" w:hAnsi="Arial" w:cs="Arial"/>
          <w:sz w:val="24"/>
          <w:szCs w:val="24"/>
        </w:rPr>
        <w:tab/>
        <w:t xml:space="preserve"> Mr van Greunen submitted that the appellant complied with the terms of the compromise and the first respondent enjoys the ‘fruits’ of the appellant’s compliance and has essentially been put back in the position that it was prior to it complying with the settlement agreement to the prejudice of the appellant’s performance in terms of the very agreement. </w:t>
      </w:r>
      <w:r w:rsidR="005D4BEF">
        <w:rPr>
          <w:rFonts w:ascii="Arial" w:hAnsi="Arial" w:cs="Arial"/>
          <w:sz w:val="24"/>
          <w:szCs w:val="24"/>
        </w:rPr>
        <w:t xml:space="preserve">It is Mr van Greunen’s position that the arbitrator essentially set aside the compromise notwithstanding of irregularities associated with the decision. </w:t>
      </w:r>
    </w:p>
    <w:p w:rsidR="00E7346B" w:rsidRDefault="00B407CD" w:rsidP="00B501CB">
      <w:pPr>
        <w:spacing w:after="0" w:line="360" w:lineRule="auto"/>
        <w:jc w:val="both"/>
        <w:rPr>
          <w:rFonts w:ascii="Arial" w:hAnsi="Arial" w:cs="Arial"/>
          <w:sz w:val="24"/>
          <w:szCs w:val="24"/>
        </w:rPr>
      </w:pPr>
      <w:r>
        <w:rPr>
          <w:rFonts w:ascii="Arial" w:hAnsi="Arial" w:cs="Arial"/>
          <w:sz w:val="24"/>
          <w:szCs w:val="24"/>
        </w:rPr>
        <w:t>[</w:t>
      </w:r>
      <w:r w:rsidR="00FA71CB">
        <w:rPr>
          <w:rFonts w:ascii="Arial" w:hAnsi="Arial" w:cs="Arial"/>
          <w:sz w:val="24"/>
          <w:szCs w:val="24"/>
        </w:rPr>
        <w:t>23</w:t>
      </w:r>
      <w:r>
        <w:rPr>
          <w:rFonts w:ascii="Arial" w:hAnsi="Arial" w:cs="Arial"/>
          <w:sz w:val="24"/>
          <w:szCs w:val="24"/>
        </w:rPr>
        <w:t>]</w:t>
      </w:r>
      <w:r>
        <w:rPr>
          <w:rFonts w:ascii="Arial" w:hAnsi="Arial" w:cs="Arial"/>
          <w:sz w:val="24"/>
          <w:szCs w:val="24"/>
        </w:rPr>
        <w:tab/>
        <w:t xml:space="preserve">In conclusion Mr van Greunen submitted that </w:t>
      </w:r>
      <w:r w:rsidRPr="00B407CD">
        <w:rPr>
          <w:rFonts w:ascii="Arial" w:hAnsi="Arial" w:cs="Arial"/>
          <w:sz w:val="24"/>
          <w:szCs w:val="24"/>
        </w:rPr>
        <w:t>no reasonable arbitrator could have, on the facts before him, concluded that the merits of case SRLU 38-17 and the continuation of that cause did not form part of the terms and conditions of the compromise reached between the parties</w:t>
      </w:r>
      <w:r>
        <w:rPr>
          <w:rFonts w:ascii="Arial" w:hAnsi="Arial" w:cs="Arial"/>
          <w:sz w:val="24"/>
          <w:szCs w:val="24"/>
        </w:rPr>
        <w:t>.</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u w:val="single"/>
        </w:rPr>
      </w:pPr>
      <w:r w:rsidRPr="004D20D0">
        <w:rPr>
          <w:rFonts w:ascii="Arial" w:hAnsi="Arial" w:cs="Arial"/>
          <w:sz w:val="24"/>
          <w:szCs w:val="24"/>
          <w:u w:val="single"/>
        </w:rPr>
        <w:t>Respondents’ Arguments</w:t>
      </w:r>
    </w:p>
    <w:p w:rsidR="00C35CEE" w:rsidRPr="004D20D0" w:rsidRDefault="00C35CEE" w:rsidP="00B501CB">
      <w:pPr>
        <w:spacing w:after="0" w:line="360" w:lineRule="auto"/>
        <w:jc w:val="both"/>
        <w:rPr>
          <w:rFonts w:ascii="Arial" w:hAnsi="Arial" w:cs="Arial"/>
          <w:sz w:val="24"/>
          <w:szCs w:val="24"/>
          <w:u w:val="single"/>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24</w:t>
      </w:r>
      <w:r>
        <w:rPr>
          <w:rFonts w:ascii="Arial" w:hAnsi="Arial" w:cs="Arial"/>
          <w:sz w:val="24"/>
          <w:szCs w:val="24"/>
        </w:rPr>
        <w:t>]</w:t>
      </w:r>
      <w:r>
        <w:rPr>
          <w:rFonts w:ascii="Arial" w:hAnsi="Arial" w:cs="Arial"/>
          <w:sz w:val="24"/>
          <w:szCs w:val="24"/>
        </w:rPr>
        <w:tab/>
        <w:t>Mr Nekwaya arguing on behalf of the first respondent</w:t>
      </w:r>
      <w:r w:rsidR="00C41D94">
        <w:rPr>
          <w:rFonts w:ascii="Arial" w:hAnsi="Arial" w:cs="Arial"/>
          <w:sz w:val="24"/>
          <w:szCs w:val="24"/>
        </w:rPr>
        <w:t>s</w:t>
      </w:r>
      <w:r>
        <w:rPr>
          <w:rFonts w:ascii="Arial" w:hAnsi="Arial" w:cs="Arial"/>
          <w:sz w:val="24"/>
          <w:szCs w:val="24"/>
        </w:rPr>
        <w:t xml:space="preserve"> that rule 28(1)(c) of the </w:t>
      </w:r>
      <w:r w:rsidRPr="00DB3AAE">
        <w:rPr>
          <w:rFonts w:ascii="Arial" w:hAnsi="Arial" w:cs="Arial"/>
          <w:sz w:val="24"/>
          <w:szCs w:val="24"/>
        </w:rPr>
        <w:t>Conciliation and Arbitration rules</w:t>
      </w:r>
      <w:r>
        <w:rPr>
          <w:rFonts w:ascii="Arial" w:hAnsi="Arial" w:cs="Arial"/>
          <w:sz w:val="24"/>
          <w:szCs w:val="24"/>
        </w:rPr>
        <w:t xml:space="preserve"> provide that ‘</w:t>
      </w:r>
      <w:r w:rsidRPr="006F7F54">
        <w:rPr>
          <w:rFonts w:ascii="Arial" w:hAnsi="Arial" w:cs="Arial"/>
          <w:sz w:val="24"/>
          <w:szCs w:val="24"/>
          <w:u w:val="single"/>
        </w:rPr>
        <w:t>any other</w:t>
      </w:r>
      <w:r>
        <w:rPr>
          <w:rFonts w:ascii="Arial" w:hAnsi="Arial" w:cs="Arial"/>
          <w:sz w:val="24"/>
          <w:szCs w:val="24"/>
        </w:rPr>
        <w:t xml:space="preserve"> application for preliminary or interlocutory relief’ implies a broad and expansive meaning should be attributed to the unspecified ‘application for preliminary or interlocutory relief’ not specifically envisaged in this rule. Mr Nekwaya referred the court to </w:t>
      </w:r>
      <w:r w:rsidRPr="006F7F54">
        <w:rPr>
          <w:rFonts w:ascii="Arial" w:hAnsi="Arial" w:cs="Arial"/>
          <w:i/>
          <w:sz w:val="24"/>
          <w:szCs w:val="24"/>
        </w:rPr>
        <w:t xml:space="preserve">R v Hugo </w:t>
      </w:r>
      <w:r>
        <w:rPr>
          <w:rFonts w:ascii="Arial" w:hAnsi="Arial" w:cs="Arial"/>
          <w:sz w:val="24"/>
          <w:szCs w:val="24"/>
        </w:rPr>
        <w:t xml:space="preserve">1926 AD 271 wherein the court held that the word ‘any’ on the face of it is a word of wide and unqualified generality.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25</w:t>
      </w:r>
      <w:r>
        <w:rPr>
          <w:rFonts w:ascii="Arial" w:hAnsi="Arial" w:cs="Arial"/>
          <w:sz w:val="24"/>
          <w:szCs w:val="24"/>
        </w:rPr>
        <w:t>]</w:t>
      </w:r>
      <w:r>
        <w:rPr>
          <w:rFonts w:ascii="Arial" w:hAnsi="Arial" w:cs="Arial"/>
          <w:sz w:val="24"/>
          <w:szCs w:val="24"/>
        </w:rPr>
        <w:tab/>
        <w:t xml:space="preserve"> Mr Nekwaya argued that considering the ordinary grammatical meaning of the rule and having regard to the </w:t>
      </w:r>
      <w:r w:rsidRPr="00BD021E">
        <w:rPr>
          <w:rFonts w:ascii="Arial" w:hAnsi="Arial" w:cs="Arial"/>
          <w:i/>
          <w:sz w:val="24"/>
          <w:szCs w:val="24"/>
        </w:rPr>
        <w:t>Hugo</w:t>
      </w:r>
      <w:r>
        <w:rPr>
          <w:rFonts w:ascii="Arial" w:hAnsi="Arial" w:cs="Arial"/>
          <w:sz w:val="24"/>
          <w:szCs w:val="24"/>
        </w:rPr>
        <w:t xml:space="preserve"> matter</w:t>
      </w:r>
      <w:r w:rsidR="00C41D94">
        <w:rPr>
          <w:rFonts w:ascii="Arial" w:hAnsi="Arial" w:cs="Arial"/>
          <w:sz w:val="24"/>
          <w:szCs w:val="24"/>
        </w:rPr>
        <w:t>,</w:t>
      </w:r>
      <w:r>
        <w:rPr>
          <w:rFonts w:ascii="Arial" w:hAnsi="Arial" w:cs="Arial"/>
          <w:sz w:val="24"/>
          <w:szCs w:val="24"/>
        </w:rPr>
        <w:t xml:space="preserve"> the current application would fall within the ambit of rule 28(1)(c) and the arbitrator was within his right to hear the application and rule as he did. Mr Nekwaya argued that there is no merit in the proposition that if the application is not one of postponement, substitution, variation or rescission then the arbitrator acted outside the powers of rule 28.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26</w:t>
      </w:r>
      <w:r>
        <w:rPr>
          <w:rFonts w:ascii="Arial" w:hAnsi="Arial" w:cs="Arial"/>
          <w:sz w:val="24"/>
          <w:szCs w:val="24"/>
        </w:rPr>
        <w:t xml:space="preserve">] </w:t>
      </w:r>
      <w:r>
        <w:rPr>
          <w:rFonts w:ascii="Arial" w:hAnsi="Arial" w:cs="Arial"/>
          <w:sz w:val="24"/>
          <w:szCs w:val="24"/>
        </w:rPr>
        <w:tab/>
        <w:t xml:space="preserve">Adding on to that argument Mr Nekwaya argued that the arbitrator did not act </w:t>
      </w:r>
      <w:r w:rsidRPr="00A0119F">
        <w:rPr>
          <w:rFonts w:ascii="Arial" w:hAnsi="Arial" w:cs="Arial"/>
          <w:i/>
          <w:sz w:val="24"/>
          <w:szCs w:val="24"/>
        </w:rPr>
        <w:t>ultra vires</w:t>
      </w:r>
      <w:r>
        <w:rPr>
          <w:rFonts w:ascii="Arial" w:hAnsi="Arial" w:cs="Arial"/>
          <w:sz w:val="24"/>
          <w:szCs w:val="24"/>
        </w:rPr>
        <w:t xml:space="preserve"> rule 28 of the </w:t>
      </w:r>
      <w:r w:rsidRPr="00DB3AAE">
        <w:rPr>
          <w:rFonts w:ascii="Arial" w:hAnsi="Arial" w:cs="Arial"/>
          <w:sz w:val="24"/>
          <w:szCs w:val="24"/>
        </w:rPr>
        <w:t>Conciliation and Arbitration rules</w:t>
      </w:r>
      <w:r>
        <w:rPr>
          <w:rFonts w:ascii="Arial" w:hAnsi="Arial" w:cs="Arial"/>
          <w:sz w:val="24"/>
          <w:szCs w:val="24"/>
        </w:rPr>
        <w:t xml:space="preserve"> as he was seized with the matter designated to him by the Labour Commissioner and the matter would only become </w:t>
      </w:r>
      <w:r w:rsidRPr="00A0119F">
        <w:rPr>
          <w:rFonts w:ascii="Arial" w:hAnsi="Arial" w:cs="Arial"/>
          <w:i/>
          <w:sz w:val="24"/>
          <w:szCs w:val="24"/>
        </w:rPr>
        <w:t>res judicata</w:t>
      </w:r>
      <w:r>
        <w:rPr>
          <w:rFonts w:ascii="Arial" w:hAnsi="Arial" w:cs="Arial"/>
          <w:sz w:val="24"/>
          <w:szCs w:val="24"/>
        </w:rPr>
        <w:t xml:space="preserve"> once the arbitrator issues a certificate of resolved dispute in terms of s 82(15) or issue an arbitration award on the merits of the dispute.</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27</w:t>
      </w:r>
      <w:r>
        <w:rPr>
          <w:rFonts w:ascii="Arial" w:hAnsi="Arial" w:cs="Arial"/>
          <w:sz w:val="24"/>
          <w:szCs w:val="24"/>
        </w:rPr>
        <w:t>]</w:t>
      </w:r>
      <w:r>
        <w:rPr>
          <w:rFonts w:ascii="Arial" w:hAnsi="Arial" w:cs="Arial"/>
          <w:sz w:val="24"/>
          <w:szCs w:val="24"/>
        </w:rPr>
        <w:tab/>
        <w:t xml:space="preserve"> Mr Nekwaya argued that, assuming the union representative was authorized to withdraw the dispute, the arbitrator would on re-enrollment of the dispute enquire as to whether the withdrawal preclude the employees/applicants from proceeding further with the dispute. In this current instance the arbitrator did enquire whether the notice of withdrawal was part of the settlement agreement and found that it was not authorized by the employees.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28</w:t>
      </w:r>
      <w:r>
        <w:rPr>
          <w:rFonts w:ascii="Arial" w:hAnsi="Arial" w:cs="Arial"/>
          <w:sz w:val="24"/>
          <w:szCs w:val="24"/>
        </w:rPr>
        <w:t>]</w:t>
      </w:r>
      <w:r>
        <w:rPr>
          <w:rFonts w:ascii="Arial" w:hAnsi="Arial" w:cs="Arial"/>
          <w:sz w:val="24"/>
          <w:szCs w:val="24"/>
        </w:rPr>
        <w:tab/>
        <w:t xml:space="preserve"> Mr Nekwaya submitted that nothing precluded that employees from proceeding further with the dispute and the decision reached by the arbitrator in this regard cannot be upset on appeal. </w:t>
      </w:r>
    </w:p>
    <w:p w:rsidR="00C35CEE" w:rsidRDefault="00C35CEE" w:rsidP="00B501CB">
      <w:pPr>
        <w:spacing w:after="0" w:line="360" w:lineRule="auto"/>
        <w:jc w:val="both"/>
        <w:rPr>
          <w:rFonts w:ascii="Arial" w:hAnsi="Arial" w:cs="Arial"/>
          <w:sz w:val="24"/>
          <w:szCs w:val="24"/>
        </w:rPr>
      </w:pPr>
    </w:p>
    <w:p w:rsidR="00C35CEE"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29</w:t>
      </w:r>
      <w:r>
        <w:rPr>
          <w:rFonts w:ascii="Arial" w:hAnsi="Arial" w:cs="Arial"/>
          <w:sz w:val="24"/>
          <w:szCs w:val="24"/>
        </w:rPr>
        <w:t>]</w:t>
      </w:r>
      <w:r>
        <w:rPr>
          <w:rFonts w:ascii="Arial" w:hAnsi="Arial" w:cs="Arial"/>
          <w:sz w:val="24"/>
          <w:szCs w:val="24"/>
        </w:rPr>
        <w:tab/>
        <w:t xml:space="preserve">On the issue whether the notice of withdrawal could be withdrawn Mr Nekwaya argued with reference to </w:t>
      </w:r>
      <w:r w:rsidRPr="00BD021E">
        <w:rPr>
          <w:rFonts w:ascii="Arial" w:hAnsi="Arial" w:cs="Arial"/>
          <w:i/>
          <w:sz w:val="24"/>
          <w:szCs w:val="24"/>
        </w:rPr>
        <w:t>Shibodge v Minister of Safety and Security and Others</w:t>
      </w:r>
      <w:r>
        <w:rPr>
          <w:rStyle w:val="FootnoteReference"/>
          <w:rFonts w:ascii="Arial" w:hAnsi="Arial" w:cs="Arial"/>
          <w:sz w:val="24"/>
          <w:szCs w:val="24"/>
        </w:rPr>
        <w:footnoteReference w:id="12"/>
      </w:r>
      <w:r>
        <w:rPr>
          <w:rFonts w:ascii="Arial" w:hAnsi="Arial" w:cs="Arial"/>
          <w:sz w:val="24"/>
          <w:szCs w:val="24"/>
        </w:rPr>
        <w:t xml:space="preserve">  wherein the court held that the fact that a matter is withdrawn is not necessarily a bar to reinstating proceedings and that it remains open for the applicant to reinstitute the proceedings as the merits of the claim have not been adjudged and </w:t>
      </w:r>
      <w:r w:rsidRPr="00BD021E">
        <w:rPr>
          <w:rFonts w:ascii="Arial" w:hAnsi="Arial" w:cs="Arial"/>
          <w:i/>
          <w:sz w:val="24"/>
          <w:szCs w:val="24"/>
        </w:rPr>
        <w:t>Kgobokoe v Commissioner for Conciliation, Mediation and Arbitration and Others</w:t>
      </w:r>
      <w:r>
        <w:rPr>
          <w:rStyle w:val="FootnoteReference"/>
          <w:rFonts w:ascii="Arial" w:hAnsi="Arial" w:cs="Arial"/>
          <w:i/>
          <w:sz w:val="24"/>
          <w:szCs w:val="24"/>
        </w:rPr>
        <w:footnoteReference w:id="13"/>
      </w:r>
      <w:r>
        <w:rPr>
          <w:rFonts w:ascii="Arial" w:hAnsi="Arial" w:cs="Arial"/>
          <w:i/>
          <w:sz w:val="24"/>
          <w:szCs w:val="24"/>
        </w:rPr>
        <w:t xml:space="preserve"> </w:t>
      </w:r>
      <w:r w:rsidRPr="00CF008B">
        <w:rPr>
          <w:rFonts w:ascii="Arial" w:hAnsi="Arial" w:cs="Arial"/>
          <w:sz w:val="24"/>
          <w:szCs w:val="24"/>
        </w:rPr>
        <w:t>w</w:t>
      </w:r>
      <w:r>
        <w:rPr>
          <w:rFonts w:ascii="Arial" w:hAnsi="Arial" w:cs="Arial"/>
          <w:sz w:val="24"/>
          <w:szCs w:val="24"/>
        </w:rPr>
        <w:t xml:space="preserve">herein the court held that ‘a </w:t>
      </w:r>
      <w:r>
        <w:rPr>
          <w:rFonts w:ascii="Arial" w:hAnsi="Arial" w:cs="Arial"/>
          <w:sz w:val="24"/>
          <w:szCs w:val="24"/>
        </w:rPr>
        <w:lastRenderedPageBreak/>
        <w:t>withdrawal of a matter may be withdrawn’ that the arbitrator was correct in rejecting the point raised by the appellant that the withdrawal application is outside his power and the applicants were entitled to re-refer the matter.</w:t>
      </w:r>
    </w:p>
    <w:p w:rsidR="001932BB" w:rsidRPr="00CF008B" w:rsidRDefault="001932BB" w:rsidP="00B501CB">
      <w:pPr>
        <w:spacing w:after="0" w:line="360" w:lineRule="auto"/>
        <w:jc w:val="both"/>
        <w:rPr>
          <w:rFonts w:ascii="Arial" w:hAnsi="Arial" w:cs="Arial"/>
          <w:i/>
          <w:sz w:val="24"/>
          <w:szCs w:val="24"/>
        </w:rPr>
      </w:pPr>
      <w:r>
        <w:rPr>
          <w:rFonts w:ascii="Arial" w:hAnsi="Arial" w:cs="Arial"/>
          <w:sz w:val="24"/>
          <w:szCs w:val="24"/>
        </w:rPr>
        <w:t xml:space="preserve"> </w:t>
      </w: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30</w:t>
      </w:r>
      <w:r>
        <w:rPr>
          <w:rFonts w:ascii="Arial" w:hAnsi="Arial" w:cs="Arial"/>
          <w:sz w:val="24"/>
          <w:szCs w:val="24"/>
        </w:rPr>
        <w:t>]</w:t>
      </w:r>
      <w:r>
        <w:rPr>
          <w:rFonts w:ascii="Arial" w:hAnsi="Arial" w:cs="Arial"/>
          <w:sz w:val="24"/>
          <w:szCs w:val="24"/>
        </w:rPr>
        <w:tab/>
        <w:t xml:space="preserve"> Mr Nekwaya contended </w:t>
      </w:r>
      <w:r w:rsidR="00243A54" w:rsidRPr="00C41D94">
        <w:rPr>
          <w:rFonts w:ascii="Arial" w:hAnsi="Arial" w:cs="Arial"/>
          <w:sz w:val="24"/>
          <w:szCs w:val="24"/>
        </w:rPr>
        <w:t>that</w:t>
      </w:r>
      <w:r w:rsidR="00243A54" w:rsidRPr="00243A54">
        <w:rPr>
          <w:rFonts w:ascii="Arial" w:hAnsi="Arial" w:cs="Arial"/>
          <w:color w:val="FF0000"/>
          <w:sz w:val="24"/>
          <w:szCs w:val="24"/>
        </w:rPr>
        <w:t xml:space="preserve"> </w:t>
      </w:r>
      <w:r>
        <w:rPr>
          <w:rFonts w:ascii="Arial" w:hAnsi="Arial" w:cs="Arial"/>
          <w:sz w:val="24"/>
          <w:szCs w:val="24"/>
        </w:rPr>
        <w:t>the compromise relied on by the appellant was not properly concluded as it was not authorized. The respondents rely on the sworn statement filed with the Namibian Police in this regard. Mr Nekwaya in his oral argument submitted that the settlement agreement is a nullity and can be ignored and need not be set aside and therefor</w:t>
      </w:r>
      <w:r w:rsidR="00243A54">
        <w:rPr>
          <w:rFonts w:ascii="Arial" w:hAnsi="Arial" w:cs="Arial"/>
          <w:sz w:val="24"/>
          <w:szCs w:val="24"/>
        </w:rPr>
        <w:t>e</w:t>
      </w:r>
      <w:r>
        <w:rPr>
          <w:rFonts w:ascii="Arial" w:hAnsi="Arial" w:cs="Arial"/>
          <w:sz w:val="24"/>
          <w:szCs w:val="24"/>
        </w:rPr>
        <w:t xml:space="preserve"> there need not be an application to set the settlement agreement aside.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31</w:t>
      </w:r>
      <w:r>
        <w:rPr>
          <w:rFonts w:ascii="Arial" w:hAnsi="Arial" w:cs="Arial"/>
          <w:sz w:val="24"/>
          <w:szCs w:val="24"/>
        </w:rPr>
        <w:t>]</w:t>
      </w:r>
      <w:r>
        <w:rPr>
          <w:rFonts w:ascii="Arial" w:hAnsi="Arial" w:cs="Arial"/>
          <w:sz w:val="24"/>
          <w:szCs w:val="24"/>
        </w:rPr>
        <w:tab/>
        <w:t xml:space="preserve">Mr Nekwaya pointed </w:t>
      </w:r>
      <w:r w:rsidRPr="00C41D94">
        <w:rPr>
          <w:rFonts w:ascii="Arial" w:hAnsi="Arial" w:cs="Arial"/>
          <w:sz w:val="24"/>
          <w:szCs w:val="24"/>
        </w:rPr>
        <w:t>out</w:t>
      </w:r>
      <w:r w:rsidR="00243A54" w:rsidRPr="00C41D94">
        <w:rPr>
          <w:rFonts w:ascii="Arial" w:hAnsi="Arial" w:cs="Arial"/>
          <w:sz w:val="24"/>
          <w:szCs w:val="24"/>
        </w:rPr>
        <w:t xml:space="preserve"> that</w:t>
      </w:r>
      <w:r w:rsidRPr="00C41D94">
        <w:rPr>
          <w:rFonts w:ascii="Arial" w:hAnsi="Arial" w:cs="Arial"/>
          <w:sz w:val="24"/>
          <w:szCs w:val="24"/>
        </w:rPr>
        <w:t xml:space="preserve"> </w:t>
      </w:r>
      <w:r>
        <w:rPr>
          <w:rFonts w:ascii="Arial" w:hAnsi="Arial" w:cs="Arial"/>
          <w:sz w:val="24"/>
          <w:szCs w:val="24"/>
        </w:rPr>
        <w:t>for an agreement to be binding</w:t>
      </w:r>
      <w:r w:rsidR="00243A54">
        <w:rPr>
          <w:rFonts w:ascii="Arial" w:hAnsi="Arial" w:cs="Arial"/>
          <w:sz w:val="24"/>
          <w:szCs w:val="24"/>
        </w:rPr>
        <w:t>,</w:t>
      </w:r>
      <w:r>
        <w:rPr>
          <w:rFonts w:ascii="Arial" w:hAnsi="Arial" w:cs="Arial"/>
          <w:sz w:val="24"/>
          <w:szCs w:val="24"/>
        </w:rPr>
        <w:t xml:space="preserve"> the compromise agreement must have been properly concluded and that the compromise can only be binding if so authorized. The court was referred to </w:t>
      </w:r>
      <w:r w:rsidRPr="00274088">
        <w:rPr>
          <w:rFonts w:ascii="Arial" w:hAnsi="Arial" w:cs="Arial"/>
          <w:i/>
          <w:sz w:val="24"/>
          <w:szCs w:val="24"/>
        </w:rPr>
        <w:t>Georgias and Another v Standard Chartered Finance Zimbabwe Ltd</w:t>
      </w:r>
      <w:r>
        <w:rPr>
          <w:rStyle w:val="FootnoteReference"/>
          <w:rFonts w:ascii="Arial" w:hAnsi="Arial" w:cs="Arial"/>
          <w:i/>
          <w:sz w:val="24"/>
          <w:szCs w:val="24"/>
        </w:rPr>
        <w:footnoteReference w:id="14"/>
      </w:r>
      <w:r>
        <w:rPr>
          <w:rFonts w:ascii="Arial" w:hAnsi="Arial" w:cs="Arial"/>
          <w:sz w:val="24"/>
          <w:szCs w:val="24"/>
        </w:rPr>
        <w:t xml:space="preserve"> followed by our Supreme Court in </w:t>
      </w:r>
      <w:r w:rsidRPr="00274088">
        <w:rPr>
          <w:rFonts w:ascii="Arial" w:hAnsi="Arial" w:cs="Arial"/>
          <w:i/>
          <w:sz w:val="24"/>
          <w:szCs w:val="24"/>
        </w:rPr>
        <w:t>Metals Australia Ltd and Another v Amakutuwa and Others</w:t>
      </w:r>
      <w:r>
        <w:rPr>
          <w:rStyle w:val="FootnoteReference"/>
          <w:rFonts w:ascii="Arial" w:hAnsi="Arial" w:cs="Arial"/>
          <w:i/>
          <w:sz w:val="24"/>
          <w:szCs w:val="24"/>
        </w:rPr>
        <w:footnoteReference w:id="15"/>
      </w:r>
      <w:r>
        <w:rPr>
          <w:rFonts w:ascii="Arial" w:hAnsi="Arial" w:cs="Arial"/>
          <w:sz w:val="24"/>
          <w:szCs w:val="24"/>
        </w:rPr>
        <w:t xml:space="preserve">. In the </w:t>
      </w:r>
      <w:r w:rsidRPr="006A0AB0">
        <w:rPr>
          <w:rFonts w:ascii="Arial" w:hAnsi="Arial" w:cs="Arial"/>
          <w:i/>
          <w:sz w:val="24"/>
          <w:szCs w:val="24"/>
        </w:rPr>
        <w:t>Georgias</w:t>
      </w:r>
      <w:r>
        <w:rPr>
          <w:rFonts w:ascii="Arial" w:hAnsi="Arial" w:cs="Arial"/>
          <w:sz w:val="24"/>
          <w:szCs w:val="24"/>
        </w:rPr>
        <w:t xml:space="preserve"> case the court held that:</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rPr>
      </w:pPr>
      <w:r>
        <w:rPr>
          <w:rFonts w:ascii="Arial" w:hAnsi="Arial" w:cs="Arial"/>
          <w:sz w:val="24"/>
          <w:szCs w:val="24"/>
        </w:rPr>
        <w:tab/>
      </w:r>
      <w:r w:rsidRPr="007F5DA3">
        <w:rPr>
          <w:rFonts w:ascii="Arial" w:hAnsi="Arial" w:cs="Arial"/>
        </w:rPr>
        <w:t xml:space="preserve">‘But a compromise induced by fraud, duress, </w:t>
      </w:r>
      <w:r w:rsidRPr="006A0AB0">
        <w:rPr>
          <w:rFonts w:ascii="Arial" w:hAnsi="Arial" w:cs="Arial"/>
          <w:i/>
        </w:rPr>
        <w:t>justus</w:t>
      </w:r>
      <w:r w:rsidRPr="007F5DA3">
        <w:rPr>
          <w:rFonts w:ascii="Arial" w:hAnsi="Arial" w:cs="Arial"/>
        </w:rPr>
        <w:t xml:space="preserve"> error, misrepresentation, or some other ground for rescission is voidable at the instance of the aggrieved party, even if made an order of court.’</w:t>
      </w:r>
    </w:p>
    <w:p w:rsidR="00C35CEE" w:rsidRDefault="00C35CEE" w:rsidP="00B501CB">
      <w:pPr>
        <w:spacing w:after="0" w:line="360" w:lineRule="auto"/>
        <w:jc w:val="both"/>
        <w:rPr>
          <w:rFonts w:ascii="Arial" w:hAnsi="Arial" w:cs="Arial"/>
        </w:rPr>
      </w:pPr>
    </w:p>
    <w:p w:rsidR="001932BB" w:rsidRPr="001E4EB8" w:rsidRDefault="001932BB" w:rsidP="00B501CB">
      <w:pPr>
        <w:spacing w:after="0" w:line="360" w:lineRule="auto"/>
        <w:jc w:val="both"/>
        <w:rPr>
          <w:rFonts w:ascii="Arial" w:hAnsi="Arial" w:cs="Arial"/>
          <w:sz w:val="24"/>
          <w:szCs w:val="24"/>
        </w:rPr>
      </w:pPr>
      <w:r w:rsidRPr="001E4EB8">
        <w:rPr>
          <w:rFonts w:ascii="Arial" w:hAnsi="Arial" w:cs="Arial"/>
          <w:sz w:val="24"/>
          <w:szCs w:val="24"/>
        </w:rPr>
        <w:t>[</w:t>
      </w:r>
      <w:r w:rsidR="00E7346B">
        <w:rPr>
          <w:rFonts w:ascii="Arial" w:hAnsi="Arial" w:cs="Arial"/>
          <w:sz w:val="24"/>
          <w:szCs w:val="24"/>
        </w:rPr>
        <w:t>32</w:t>
      </w:r>
      <w:r w:rsidRPr="001E4EB8">
        <w:rPr>
          <w:rFonts w:ascii="Arial" w:hAnsi="Arial" w:cs="Arial"/>
          <w:sz w:val="24"/>
          <w:szCs w:val="24"/>
        </w:rPr>
        <w:t>]</w:t>
      </w:r>
      <w:r w:rsidRPr="001E4EB8">
        <w:rPr>
          <w:rFonts w:ascii="Arial" w:hAnsi="Arial" w:cs="Arial"/>
          <w:sz w:val="24"/>
          <w:szCs w:val="24"/>
        </w:rPr>
        <w:tab/>
        <w:t xml:space="preserve"> The court was also referred</w:t>
      </w:r>
      <w:r w:rsidR="00243A54">
        <w:rPr>
          <w:rFonts w:ascii="Arial" w:hAnsi="Arial" w:cs="Arial"/>
          <w:sz w:val="24"/>
          <w:szCs w:val="24"/>
        </w:rPr>
        <w:t xml:space="preserve"> </w:t>
      </w:r>
      <w:r w:rsidR="00243A54" w:rsidRPr="00C41D94">
        <w:rPr>
          <w:rFonts w:ascii="Arial" w:hAnsi="Arial" w:cs="Arial"/>
          <w:sz w:val="24"/>
          <w:szCs w:val="24"/>
        </w:rPr>
        <w:t>to</w:t>
      </w:r>
      <w:r w:rsidRPr="00C41D94">
        <w:rPr>
          <w:rFonts w:ascii="Arial" w:hAnsi="Arial" w:cs="Arial"/>
          <w:sz w:val="24"/>
          <w:szCs w:val="24"/>
        </w:rPr>
        <w:t xml:space="preserve"> </w:t>
      </w:r>
      <w:r w:rsidRPr="00293568">
        <w:rPr>
          <w:rFonts w:ascii="Arial" w:hAnsi="Arial" w:cs="Arial"/>
          <w:i/>
          <w:sz w:val="24"/>
          <w:szCs w:val="24"/>
        </w:rPr>
        <w:t>Ncaphayi v Commissioner for Conciliation Mediation and Arbitration and Others</w:t>
      </w:r>
      <w:r>
        <w:rPr>
          <w:rStyle w:val="FootnoteReference"/>
          <w:rFonts w:ascii="Arial" w:hAnsi="Arial" w:cs="Arial"/>
          <w:i/>
          <w:sz w:val="24"/>
          <w:szCs w:val="24"/>
        </w:rPr>
        <w:footnoteReference w:id="16"/>
      </w:r>
      <w:r w:rsidRPr="001E4EB8">
        <w:rPr>
          <w:rFonts w:ascii="Arial" w:hAnsi="Arial" w:cs="Arial"/>
          <w:sz w:val="24"/>
          <w:szCs w:val="24"/>
        </w:rPr>
        <w:t xml:space="preserve"> wherein the court mad</w:t>
      </w:r>
      <w:r>
        <w:rPr>
          <w:rFonts w:ascii="Arial" w:hAnsi="Arial" w:cs="Arial"/>
          <w:sz w:val="24"/>
          <w:szCs w:val="24"/>
        </w:rPr>
        <w:t>e</w:t>
      </w:r>
      <w:r w:rsidRPr="001E4EB8">
        <w:rPr>
          <w:rFonts w:ascii="Arial" w:hAnsi="Arial" w:cs="Arial"/>
          <w:sz w:val="24"/>
          <w:szCs w:val="24"/>
        </w:rPr>
        <w:t xml:space="preserve"> a distinction between a withdrawal on the applicant’s own accord and where the </w:t>
      </w:r>
      <w:r w:rsidR="00243A54" w:rsidRPr="001E4EB8">
        <w:rPr>
          <w:rFonts w:ascii="Arial" w:hAnsi="Arial" w:cs="Arial"/>
          <w:sz w:val="24"/>
          <w:szCs w:val="24"/>
        </w:rPr>
        <w:t xml:space="preserve">withdrawal </w:t>
      </w:r>
      <w:r w:rsidR="00243A54">
        <w:rPr>
          <w:rFonts w:ascii="Arial" w:hAnsi="Arial" w:cs="Arial"/>
          <w:sz w:val="24"/>
          <w:szCs w:val="24"/>
        </w:rPr>
        <w:t>is</w:t>
      </w:r>
      <w:r>
        <w:rPr>
          <w:rFonts w:ascii="Arial" w:hAnsi="Arial" w:cs="Arial"/>
          <w:sz w:val="24"/>
          <w:szCs w:val="24"/>
        </w:rPr>
        <w:t xml:space="preserve"> an intrinsic part of a settlement agreement. Mr Nekwaya pointed out that the court held that the withdrawal of a </w:t>
      </w:r>
      <w:r w:rsidRPr="001E4EB8">
        <w:rPr>
          <w:rFonts w:ascii="Arial" w:hAnsi="Arial" w:cs="Arial"/>
          <w:sz w:val="24"/>
          <w:szCs w:val="24"/>
        </w:rPr>
        <w:t xml:space="preserve">dispute in labour matters is similar to an order for absolution from the instance in civil procedure. </w:t>
      </w:r>
      <w:r>
        <w:rPr>
          <w:rFonts w:ascii="Arial" w:hAnsi="Arial" w:cs="Arial"/>
          <w:sz w:val="24"/>
          <w:szCs w:val="24"/>
        </w:rPr>
        <w:t>The court in this instance also held that the mere fact that the applicant withdrew a referral did not bar CCMA to enroll the arbitration on a second referral.</w:t>
      </w:r>
    </w:p>
    <w:p w:rsidR="001932BB" w:rsidRDefault="001932BB" w:rsidP="00B501CB">
      <w:pPr>
        <w:spacing w:after="0" w:line="360" w:lineRule="auto"/>
        <w:jc w:val="both"/>
        <w:rPr>
          <w:rFonts w:ascii="Arial" w:hAnsi="Arial" w:cs="Arial"/>
          <w:sz w:val="24"/>
          <w:szCs w:val="24"/>
        </w:rPr>
      </w:pPr>
      <w:r w:rsidRPr="003D4636">
        <w:rPr>
          <w:rFonts w:ascii="Arial" w:hAnsi="Arial" w:cs="Arial"/>
          <w:sz w:val="24"/>
          <w:szCs w:val="24"/>
        </w:rPr>
        <w:t>[</w:t>
      </w:r>
      <w:r w:rsidR="00E7346B">
        <w:rPr>
          <w:rFonts w:ascii="Arial" w:hAnsi="Arial" w:cs="Arial"/>
          <w:sz w:val="24"/>
          <w:szCs w:val="24"/>
        </w:rPr>
        <w:t>33</w:t>
      </w:r>
      <w:r w:rsidRPr="003D4636">
        <w:rPr>
          <w:rFonts w:ascii="Arial" w:hAnsi="Arial" w:cs="Arial"/>
          <w:sz w:val="24"/>
          <w:szCs w:val="24"/>
        </w:rPr>
        <w:t>]</w:t>
      </w:r>
      <w:r w:rsidRPr="003D4636">
        <w:rPr>
          <w:rFonts w:ascii="Arial" w:hAnsi="Arial" w:cs="Arial"/>
          <w:sz w:val="24"/>
          <w:szCs w:val="24"/>
        </w:rPr>
        <w:tab/>
        <w:t>Mr Nekwaya submitted that the arbitrator correctly found in his ruling that Mr Nguvauva concluded the settlement agreement to withdraw the complaint without the authorization of the employees/applicants.</w:t>
      </w:r>
      <w:r>
        <w:rPr>
          <w:rFonts w:ascii="Arial" w:hAnsi="Arial" w:cs="Arial"/>
          <w:sz w:val="24"/>
          <w:szCs w:val="24"/>
        </w:rPr>
        <w:t xml:space="preserve"> Mr Nekwaya further submitted that there is no evidence on record or placed before the arbitrator that the notice of withdrawal was done </w:t>
      </w:r>
      <w:r>
        <w:rPr>
          <w:rFonts w:ascii="Arial" w:hAnsi="Arial" w:cs="Arial"/>
          <w:sz w:val="24"/>
          <w:szCs w:val="24"/>
        </w:rPr>
        <w:lastRenderedPageBreak/>
        <w:t xml:space="preserve">on behalf of the applicants with their express knowledge and consent and that the respondents are not estopped from impugning Mr Nguvauva’s authority.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34</w:t>
      </w:r>
      <w:r>
        <w:rPr>
          <w:rFonts w:ascii="Arial" w:hAnsi="Arial" w:cs="Arial"/>
          <w:sz w:val="24"/>
          <w:szCs w:val="24"/>
        </w:rPr>
        <w:t>]</w:t>
      </w:r>
      <w:r>
        <w:rPr>
          <w:rFonts w:ascii="Arial" w:hAnsi="Arial" w:cs="Arial"/>
          <w:sz w:val="24"/>
          <w:szCs w:val="24"/>
        </w:rPr>
        <w:tab/>
        <w:t xml:space="preserve"> Mr Nekwaya in conclusion argued that the findings made by the arbitrator were correct and the appellant’s argument that no reasonable arbitrator would reach the decision reached by the arbitrator is without merit and the appeal must therefore fail.</w:t>
      </w:r>
    </w:p>
    <w:p w:rsidR="00243A54" w:rsidRPr="003D4636" w:rsidRDefault="00243A54"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u w:val="single"/>
        </w:rPr>
      </w:pPr>
      <w:r w:rsidRPr="00AC0D31">
        <w:rPr>
          <w:rFonts w:ascii="Arial" w:hAnsi="Arial" w:cs="Arial"/>
          <w:sz w:val="24"/>
          <w:szCs w:val="24"/>
          <w:u w:val="single"/>
        </w:rPr>
        <w:t>The law applicable</w:t>
      </w:r>
      <w:r>
        <w:rPr>
          <w:rFonts w:ascii="Arial" w:hAnsi="Arial" w:cs="Arial"/>
          <w:sz w:val="24"/>
          <w:szCs w:val="24"/>
          <w:u w:val="single"/>
        </w:rPr>
        <w:t xml:space="preserve"> to appeals</w:t>
      </w:r>
    </w:p>
    <w:p w:rsidR="00C35CEE" w:rsidRDefault="00C35CEE" w:rsidP="00B501CB">
      <w:pPr>
        <w:spacing w:after="0" w:line="360" w:lineRule="auto"/>
        <w:jc w:val="both"/>
        <w:rPr>
          <w:rFonts w:ascii="Arial" w:hAnsi="Arial" w:cs="Arial"/>
          <w:sz w:val="24"/>
          <w:szCs w:val="24"/>
          <w:u w:val="single"/>
        </w:rPr>
      </w:pPr>
    </w:p>
    <w:p w:rsidR="001932BB" w:rsidRDefault="001932BB" w:rsidP="00B501CB">
      <w:pPr>
        <w:pStyle w:val="Heading1"/>
        <w:spacing w:before="0" w:line="360" w:lineRule="auto"/>
        <w:jc w:val="both"/>
        <w:rPr>
          <w:rFonts w:ascii="Arial" w:hAnsi="Arial" w:cs="Arial"/>
          <w:color w:val="auto"/>
          <w:sz w:val="24"/>
          <w:szCs w:val="24"/>
        </w:rPr>
      </w:pPr>
      <w:r w:rsidRPr="002455E2">
        <w:rPr>
          <w:rFonts w:ascii="Arial" w:hAnsi="Arial" w:cs="Arial"/>
          <w:color w:val="auto"/>
          <w:sz w:val="24"/>
          <w:szCs w:val="24"/>
        </w:rPr>
        <w:t>[</w:t>
      </w:r>
      <w:r w:rsidR="00E7346B">
        <w:rPr>
          <w:rFonts w:ascii="Arial" w:hAnsi="Arial" w:cs="Arial"/>
          <w:color w:val="auto"/>
          <w:sz w:val="24"/>
          <w:szCs w:val="24"/>
        </w:rPr>
        <w:t>35</w:t>
      </w:r>
      <w:r w:rsidRPr="002455E2">
        <w:rPr>
          <w:rFonts w:ascii="Arial" w:hAnsi="Arial" w:cs="Arial"/>
          <w:color w:val="auto"/>
          <w:sz w:val="24"/>
          <w:szCs w:val="24"/>
        </w:rPr>
        <w:t>]</w:t>
      </w:r>
      <w:r w:rsidRPr="002455E2">
        <w:rPr>
          <w:rFonts w:ascii="Arial" w:hAnsi="Arial" w:cs="Arial"/>
          <w:color w:val="auto"/>
          <w:sz w:val="24"/>
          <w:szCs w:val="24"/>
        </w:rPr>
        <w:tab/>
      </w:r>
      <w:r>
        <w:rPr>
          <w:rFonts w:ascii="Arial" w:hAnsi="Arial" w:cs="Arial"/>
          <w:color w:val="auto"/>
          <w:sz w:val="24"/>
          <w:szCs w:val="24"/>
        </w:rPr>
        <w:t xml:space="preserve">S </w:t>
      </w:r>
      <w:r w:rsidRPr="00D0041A">
        <w:rPr>
          <w:rFonts w:ascii="Arial" w:hAnsi="Arial" w:cs="Arial"/>
          <w:color w:val="auto"/>
          <w:sz w:val="24"/>
          <w:szCs w:val="24"/>
        </w:rPr>
        <w:t>89</w:t>
      </w:r>
      <w:r>
        <w:rPr>
          <w:rFonts w:ascii="Arial" w:hAnsi="Arial" w:cs="Arial"/>
          <w:color w:val="auto"/>
          <w:sz w:val="24"/>
          <w:szCs w:val="24"/>
        </w:rPr>
        <w:t>(1</w:t>
      </w:r>
      <w:r w:rsidR="00424BCD">
        <w:rPr>
          <w:rFonts w:ascii="Arial" w:hAnsi="Arial" w:cs="Arial"/>
          <w:color w:val="auto"/>
          <w:sz w:val="24"/>
          <w:szCs w:val="24"/>
        </w:rPr>
        <w:t>) (</w:t>
      </w:r>
      <w:r>
        <w:rPr>
          <w:rFonts w:ascii="Arial" w:hAnsi="Arial" w:cs="Arial"/>
          <w:color w:val="auto"/>
          <w:sz w:val="24"/>
          <w:szCs w:val="24"/>
        </w:rPr>
        <w:t xml:space="preserve">a) </w:t>
      </w:r>
      <w:r w:rsidR="004F0E4C" w:rsidRPr="00472124">
        <w:rPr>
          <w:rFonts w:ascii="Arial" w:hAnsi="Arial" w:cs="Arial"/>
          <w:color w:val="auto"/>
          <w:sz w:val="24"/>
          <w:szCs w:val="24"/>
        </w:rPr>
        <w:t>of</w:t>
      </w:r>
      <w:r w:rsidR="004F0E4C">
        <w:rPr>
          <w:rFonts w:ascii="Arial" w:hAnsi="Arial" w:cs="Arial"/>
          <w:color w:val="auto"/>
          <w:sz w:val="24"/>
          <w:szCs w:val="24"/>
        </w:rPr>
        <w:t xml:space="preserve"> </w:t>
      </w:r>
      <w:r>
        <w:rPr>
          <w:rFonts w:ascii="Arial" w:hAnsi="Arial" w:cs="Arial"/>
          <w:color w:val="auto"/>
          <w:sz w:val="24"/>
          <w:szCs w:val="24"/>
        </w:rPr>
        <w:t>the Act provides as follows:</w:t>
      </w:r>
    </w:p>
    <w:p w:rsidR="001932BB" w:rsidRDefault="001932BB" w:rsidP="00B501CB">
      <w:pPr>
        <w:pStyle w:val="Heading1"/>
        <w:spacing w:before="0" w:line="360" w:lineRule="auto"/>
        <w:ind w:firstLine="720"/>
        <w:jc w:val="both"/>
        <w:rPr>
          <w:rFonts w:ascii="Arial" w:hAnsi="Arial" w:cs="Arial"/>
          <w:color w:val="auto"/>
          <w:sz w:val="24"/>
          <w:szCs w:val="24"/>
        </w:rPr>
      </w:pPr>
      <w:r w:rsidRPr="00D0041A">
        <w:rPr>
          <w:rFonts w:ascii="Arial" w:hAnsi="Arial" w:cs="Arial"/>
          <w:color w:val="auto"/>
          <w:sz w:val="24"/>
          <w:szCs w:val="24"/>
        </w:rPr>
        <w:t xml:space="preserve"> (1) A party to a dispute may appeal to the Labour Court against an arbitrator’s award made in terms of section 86 </w:t>
      </w:r>
      <w:r>
        <w:rPr>
          <w:rFonts w:ascii="Arial" w:hAnsi="Arial" w:cs="Arial"/>
          <w:color w:val="auto"/>
          <w:sz w:val="24"/>
          <w:szCs w:val="24"/>
        </w:rPr>
        <w:t>–</w:t>
      </w:r>
    </w:p>
    <w:p w:rsidR="001932BB" w:rsidRDefault="001932BB" w:rsidP="00B501CB">
      <w:pPr>
        <w:pStyle w:val="Heading1"/>
        <w:spacing w:before="0" w:line="360" w:lineRule="auto"/>
        <w:ind w:left="720" w:firstLine="720"/>
        <w:jc w:val="both"/>
        <w:rPr>
          <w:rFonts w:ascii="Arial" w:hAnsi="Arial" w:cs="Arial"/>
          <w:color w:val="auto"/>
          <w:sz w:val="24"/>
          <w:szCs w:val="24"/>
        </w:rPr>
      </w:pPr>
      <w:r w:rsidRPr="00D0041A">
        <w:rPr>
          <w:rFonts w:ascii="Arial" w:hAnsi="Arial" w:cs="Arial"/>
          <w:color w:val="auto"/>
          <w:sz w:val="24"/>
          <w:szCs w:val="24"/>
        </w:rPr>
        <w:t xml:space="preserve"> (a) on any question of law alone; or </w:t>
      </w:r>
    </w:p>
    <w:p w:rsidR="001932BB" w:rsidRDefault="001932BB" w:rsidP="00B501CB">
      <w:pPr>
        <w:pStyle w:val="Heading1"/>
        <w:spacing w:before="0" w:line="360" w:lineRule="auto"/>
        <w:ind w:left="720" w:firstLine="720"/>
        <w:jc w:val="both"/>
        <w:rPr>
          <w:rFonts w:ascii="Arial" w:hAnsi="Arial" w:cs="Arial"/>
          <w:color w:val="auto"/>
          <w:sz w:val="24"/>
          <w:szCs w:val="24"/>
        </w:rPr>
      </w:pPr>
      <w:r>
        <w:rPr>
          <w:rFonts w:ascii="Arial" w:hAnsi="Arial" w:cs="Arial"/>
          <w:color w:val="auto"/>
          <w:sz w:val="24"/>
          <w:szCs w:val="24"/>
        </w:rPr>
        <w:t xml:space="preserve"> </w:t>
      </w:r>
      <w:r w:rsidRPr="00D0041A">
        <w:rPr>
          <w:rFonts w:ascii="Arial" w:hAnsi="Arial" w:cs="Arial"/>
          <w:color w:val="auto"/>
          <w:sz w:val="24"/>
          <w:szCs w:val="24"/>
        </w:rPr>
        <w:t>(b</w:t>
      </w:r>
      <w:r w:rsidR="00424BCD" w:rsidRPr="00D0041A">
        <w:rPr>
          <w:rFonts w:ascii="Arial" w:hAnsi="Arial" w:cs="Arial"/>
          <w:color w:val="auto"/>
          <w:sz w:val="24"/>
          <w:szCs w:val="24"/>
        </w:rPr>
        <w:t>)...</w:t>
      </w:r>
    </w:p>
    <w:p w:rsidR="001932BB" w:rsidRDefault="001932BB" w:rsidP="00C35CEE">
      <w:pPr>
        <w:pStyle w:val="Heading1"/>
        <w:spacing w:before="0" w:line="360" w:lineRule="auto"/>
        <w:jc w:val="both"/>
        <w:rPr>
          <w:rFonts w:ascii="Arial" w:hAnsi="Arial" w:cs="Arial"/>
          <w:color w:val="auto"/>
          <w:sz w:val="24"/>
          <w:szCs w:val="24"/>
        </w:rPr>
      </w:pPr>
    </w:p>
    <w:p w:rsidR="001932BB" w:rsidRPr="002455E2" w:rsidRDefault="001932BB" w:rsidP="00B501CB">
      <w:pPr>
        <w:pStyle w:val="Heading1"/>
        <w:spacing w:before="0" w:line="360" w:lineRule="auto"/>
        <w:jc w:val="both"/>
        <w:rPr>
          <w:rFonts w:ascii="Arial" w:hAnsi="Arial" w:cs="Arial"/>
          <w:b/>
          <w:bCs/>
          <w:color w:val="auto"/>
          <w:sz w:val="24"/>
          <w:szCs w:val="24"/>
        </w:rPr>
      </w:pPr>
      <w:r>
        <w:rPr>
          <w:rFonts w:ascii="Arial" w:hAnsi="Arial" w:cs="Arial"/>
          <w:color w:val="auto"/>
          <w:sz w:val="24"/>
          <w:szCs w:val="24"/>
        </w:rPr>
        <w:t>[</w:t>
      </w:r>
      <w:r w:rsidR="00E7346B">
        <w:rPr>
          <w:rFonts w:ascii="Arial" w:hAnsi="Arial" w:cs="Arial"/>
          <w:color w:val="auto"/>
          <w:sz w:val="24"/>
          <w:szCs w:val="24"/>
        </w:rPr>
        <w:t>36</w:t>
      </w:r>
      <w:r>
        <w:rPr>
          <w:rFonts w:ascii="Arial" w:hAnsi="Arial" w:cs="Arial"/>
          <w:color w:val="auto"/>
          <w:sz w:val="24"/>
          <w:szCs w:val="24"/>
        </w:rPr>
        <w:t>]</w:t>
      </w:r>
      <w:r>
        <w:rPr>
          <w:rFonts w:ascii="Arial" w:hAnsi="Arial" w:cs="Arial"/>
          <w:color w:val="auto"/>
          <w:sz w:val="24"/>
          <w:szCs w:val="24"/>
        </w:rPr>
        <w:tab/>
      </w:r>
      <w:r w:rsidRPr="002455E2">
        <w:rPr>
          <w:rFonts w:ascii="Arial" w:hAnsi="Arial" w:cs="Arial"/>
          <w:color w:val="auto"/>
          <w:sz w:val="24"/>
          <w:szCs w:val="24"/>
        </w:rPr>
        <w:t xml:space="preserve">In </w:t>
      </w:r>
      <w:r w:rsidRPr="002455E2">
        <w:rPr>
          <w:rFonts w:ascii="Arial" w:hAnsi="Arial" w:cs="Arial"/>
          <w:i/>
          <w:color w:val="auto"/>
          <w:sz w:val="24"/>
          <w:szCs w:val="24"/>
        </w:rPr>
        <w:t>Swart v Tube-O-Flex Namibia (Pty) Ltd and Another</w:t>
      </w:r>
      <w:r w:rsidRPr="002455E2">
        <w:rPr>
          <w:rStyle w:val="FootnoteReference"/>
          <w:rFonts w:ascii="Arial" w:hAnsi="Arial" w:cs="Arial"/>
          <w:i/>
          <w:color w:val="auto"/>
          <w:sz w:val="24"/>
          <w:szCs w:val="24"/>
        </w:rPr>
        <w:footnoteReference w:id="17"/>
      </w:r>
      <w:r w:rsidRPr="002455E2">
        <w:rPr>
          <w:rFonts w:ascii="Arial" w:hAnsi="Arial" w:cs="Arial"/>
          <w:color w:val="auto"/>
          <w:sz w:val="24"/>
          <w:szCs w:val="24"/>
        </w:rPr>
        <w:t xml:space="preserve"> the Supreme Court considered the question of what a ‘question of law alone’ is and what would be the test.</w:t>
      </w:r>
    </w:p>
    <w:p w:rsidR="001932BB" w:rsidRPr="002455E2" w:rsidRDefault="001932BB" w:rsidP="00B501CB">
      <w:pPr>
        <w:pStyle w:val="Heading1"/>
        <w:spacing w:before="0" w:line="360" w:lineRule="auto"/>
        <w:jc w:val="both"/>
        <w:rPr>
          <w:rFonts w:ascii="Arial" w:hAnsi="Arial" w:cs="Arial"/>
          <w:b/>
          <w:bCs/>
          <w:color w:val="auto"/>
          <w:sz w:val="24"/>
          <w:szCs w:val="24"/>
        </w:rPr>
      </w:pPr>
    </w:p>
    <w:p w:rsidR="001932BB" w:rsidRPr="002455E2" w:rsidRDefault="001932BB" w:rsidP="00B501CB">
      <w:pPr>
        <w:pStyle w:val="Heading1"/>
        <w:spacing w:before="0" w:line="360" w:lineRule="auto"/>
        <w:jc w:val="both"/>
        <w:rPr>
          <w:rFonts w:ascii="Arial" w:hAnsi="Arial" w:cs="Arial"/>
          <w:b/>
          <w:bCs/>
          <w:color w:val="auto"/>
          <w:sz w:val="20"/>
          <w:szCs w:val="20"/>
        </w:rPr>
      </w:pPr>
      <w:r w:rsidRPr="002455E2">
        <w:rPr>
          <w:rFonts w:ascii="Arial" w:hAnsi="Arial" w:cs="Arial"/>
          <w:color w:val="auto"/>
          <w:sz w:val="24"/>
          <w:szCs w:val="24"/>
        </w:rPr>
        <w:t>[</w:t>
      </w:r>
      <w:r w:rsidR="00E7346B">
        <w:rPr>
          <w:rFonts w:ascii="Arial" w:hAnsi="Arial" w:cs="Arial"/>
          <w:color w:val="auto"/>
          <w:sz w:val="24"/>
          <w:szCs w:val="24"/>
        </w:rPr>
        <w:t>37</w:t>
      </w:r>
      <w:r w:rsidRPr="002455E2">
        <w:rPr>
          <w:rFonts w:ascii="Arial" w:hAnsi="Arial" w:cs="Arial"/>
          <w:color w:val="auto"/>
          <w:sz w:val="24"/>
          <w:szCs w:val="24"/>
        </w:rPr>
        <w:t>]</w:t>
      </w:r>
      <w:r w:rsidRPr="002455E2">
        <w:rPr>
          <w:rFonts w:ascii="Arial" w:hAnsi="Arial" w:cs="Arial"/>
          <w:color w:val="auto"/>
          <w:sz w:val="24"/>
          <w:szCs w:val="24"/>
        </w:rPr>
        <w:tab/>
        <w:t>Damaseb DCJ discussed the position as follows:</w:t>
      </w:r>
    </w:p>
    <w:p w:rsidR="001932BB" w:rsidRPr="000C1BD3" w:rsidRDefault="001932BB" w:rsidP="00B501CB">
      <w:pPr>
        <w:pStyle w:val="rtejustify"/>
        <w:shd w:val="clear" w:color="auto" w:fill="FFFFFF"/>
        <w:spacing w:before="0" w:beforeAutospacing="0" w:after="0" w:afterAutospacing="0" w:line="360" w:lineRule="auto"/>
        <w:ind w:firstLine="720"/>
        <w:jc w:val="both"/>
        <w:rPr>
          <w:rFonts w:ascii="Arial" w:hAnsi="Arial" w:cs="Arial"/>
          <w:sz w:val="22"/>
          <w:szCs w:val="22"/>
        </w:rPr>
      </w:pPr>
    </w:p>
    <w:p w:rsidR="001932BB" w:rsidRDefault="001932BB" w:rsidP="00B501CB">
      <w:pPr>
        <w:pStyle w:val="rtejustify"/>
        <w:shd w:val="clear" w:color="auto" w:fill="FFFFFF"/>
        <w:spacing w:before="0" w:beforeAutospacing="0" w:after="0" w:afterAutospacing="0" w:line="360" w:lineRule="auto"/>
        <w:ind w:firstLine="720"/>
        <w:jc w:val="both"/>
        <w:rPr>
          <w:rFonts w:ascii="Arial" w:hAnsi="Arial" w:cs="Arial"/>
          <w:sz w:val="22"/>
          <w:szCs w:val="22"/>
          <w:vertAlign w:val="superscript"/>
        </w:rPr>
      </w:pPr>
      <w:r>
        <w:rPr>
          <w:rFonts w:ascii="Arial" w:hAnsi="Arial" w:cs="Arial"/>
          <w:sz w:val="22"/>
          <w:szCs w:val="22"/>
        </w:rPr>
        <w:t>‘[30]</w:t>
      </w:r>
      <w:r>
        <w:rPr>
          <w:rFonts w:ascii="Arial" w:hAnsi="Arial" w:cs="Arial"/>
          <w:sz w:val="22"/>
          <w:szCs w:val="22"/>
        </w:rPr>
        <w:tab/>
      </w:r>
      <w:r w:rsidRPr="000C1BD3">
        <w:rPr>
          <w:rFonts w:ascii="Arial" w:hAnsi="Arial" w:cs="Arial"/>
          <w:sz w:val="22"/>
          <w:szCs w:val="22"/>
        </w:rPr>
        <w:t>This court has recently revisited the test to be applied in determining whether or not a finding by an arbitrator is an appealable question of law under s 89(1)(</w:t>
      </w:r>
      <w:r w:rsidRPr="000C1BD3">
        <w:rPr>
          <w:rStyle w:val="Emphasis"/>
          <w:rFonts w:ascii="Arial" w:hAnsi="Arial" w:cs="Arial"/>
          <w:sz w:val="22"/>
          <w:szCs w:val="22"/>
        </w:rPr>
        <w:t>a</w:t>
      </w:r>
      <w:r>
        <w:rPr>
          <w:rFonts w:ascii="Arial" w:hAnsi="Arial" w:cs="Arial"/>
          <w:sz w:val="22"/>
          <w:szCs w:val="22"/>
        </w:rPr>
        <w:t xml:space="preserve">): </w:t>
      </w:r>
      <w:r w:rsidRPr="000C1BD3">
        <w:rPr>
          <w:rStyle w:val="Emphasis"/>
          <w:rFonts w:ascii="Arial" w:hAnsi="Arial" w:cs="Arial"/>
          <w:sz w:val="22"/>
          <w:szCs w:val="22"/>
        </w:rPr>
        <w:t>Van Rensburg v W</w:t>
      </w:r>
      <w:r>
        <w:rPr>
          <w:rStyle w:val="Emphasis"/>
          <w:rFonts w:ascii="Arial" w:hAnsi="Arial" w:cs="Arial"/>
          <w:sz w:val="22"/>
          <w:szCs w:val="22"/>
        </w:rPr>
        <w:t xml:space="preserve">ilderness Air Namibia (Pty) Ltd </w:t>
      </w:r>
      <w:r w:rsidRPr="000C1BD3">
        <w:rPr>
          <w:rFonts w:ascii="Arial" w:hAnsi="Arial" w:cs="Arial"/>
          <w:sz w:val="22"/>
          <w:szCs w:val="22"/>
        </w:rPr>
        <w:t>Case No. SA 33/20</w:t>
      </w:r>
      <w:r>
        <w:rPr>
          <w:rFonts w:ascii="Arial" w:hAnsi="Arial" w:cs="Arial"/>
          <w:sz w:val="22"/>
          <w:szCs w:val="22"/>
        </w:rPr>
        <w:t xml:space="preserve">13 delivered on 11 April 2016. </w:t>
      </w:r>
      <w:r w:rsidRPr="000C1BD3">
        <w:rPr>
          <w:rFonts w:ascii="Arial" w:hAnsi="Arial" w:cs="Arial"/>
          <w:sz w:val="22"/>
          <w:szCs w:val="22"/>
        </w:rPr>
        <w:t>O'Regan AJA held that s 89(1)(</w:t>
      </w:r>
      <w:r w:rsidRPr="000C1BD3">
        <w:rPr>
          <w:rStyle w:val="Emphasis"/>
          <w:rFonts w:ascii="Arial" w:hAnsi="Arial" w:cs="Arial"/>
          <w:sz w:val="22"/>
          <w:szCs w:val="22"/>
        </w:rPr>
        <w:t>a</w:t>
      </w:r>
      <w:r w:rsidRPr="000C1BD3">
        <w:rPr>
          <w:rFonts w:ascii="Arial" w:hAnsi="Arial" w:cs="Arial"/>
          <w:sz w:val="22"/>
          <w:szCs w:val="22"/>
        </w:rPr>
        <w:t xml:space="preserve">) reserves determination of facts to the arbitration process and an appeal relating to decisions on fact will therefore only be entertained where the arbitrator has made a factual finding on the record </w:t>
      </w:r>
      <w:r>
        <w:rPr>
          <w:rFonts w:ascii="Arial" w:hAnsi="Arial" w:cs="Arial"/>
          <w:sz w:val="22"/>
          <w:szCs w:val="22"/>
        </w:rPr>
        <w:t xml:space="preserve">that is arbitrary or perverse. </w:t>
      </w:r>
      <w:r w:rsidRPr="000C1BD3">
        <w:rPr>
          <w:rFonts w:ascii="Arial" w:hAnsi="Arial" w:cs="Arial"/>
          <w:sz w:val="22"/>
          <w:szCs w:val="22"/>
        </w:rPr>
        <w:t>An arbitrator's conclusion on disputed facts which a reasonable arbitrator could have reached on the record is not perverse and thus not subject to appeal to the Labour Court</w:t>
      </w:r>
      <w:r>
        <w:rPr>
          <w:rStyle w:val="FootnoteReference"/>
          <w:rFonts w:ascii="Arial" w:hAnsi="Arial" w:cs="Arial"/>
          <w:sz w:val="22"/>
          <w:szCs w:val="22"/>
        </w:rPr>
        <w:footnoteReference w:id="18"/>
      </w:r>
      <w:r w:rsidRPr="000C1BD3">
        <w:rPr>
          <w:rFonts w:ascii="Arial" w:hAnsi="Arial" w:cs="Arial"/>
          <w:sz w:val="22"/>
          <w:szCs w:val="22"/>
        </w:rPr>
        <w:t>.The corollary is that an interpretation of facts by an arbitrator that is perverse in the sense that no reasonable arbitrator could have done so is appeal</w:t>
      </w:r>
      <w:r>
        <w:rPr>
          <w:rFonts w:ascii="Arial" w:hAnsi="Arial" w:cs="Arial"/>
          <w:sz w:val="22"/>
          <w:szCs w:val="22"/>
        </w:rPr>
        <w:t xml:space="preserve">able as a question of law. </w:t>
      </w:r>
      <w:r w:rsidRPr="000C1BD3">
        <w:rPr>
          <w:rFonts w:ascii="Arial" w:hAnsi="Arial" w:cs="Arial"/>
          <w:sz w:val="22"/>
          <w:szCs w:val="22"/>
        </w:rPr>
        <w:t>When a decision of an arbitrator is impugned on the ground that it is perverse, the Labour Court 'should be assiduous to avoid interfering with the decision for the reasons that on the facts it would have reached a different dec</w:t>
      </w:r>
      <w:r>
        <w:rPr>
          <w:rFonts w:ascii="Arial" w:hAnsi="Arial" w:cs="Arial"/>
          <w:sz w:val="22"/>
          <w:szCs w:val="22"/>
        </w:rPr>
        <w:t xml:space="preserve">ision on the record'. </w:t>
      </w:r>
      <w:r w:rsidRPr="000C1BD3">
        <w:rPr>
          <w:rFonts w:ascii="Arial" w:hAnsi="Arial" w:cs="Arial"/>
          <w:sz w:val="22"/>
          <w:szCs w:val="22"/>
        </w:rPr>
        <w:t>It may only interfere if the decision reached by the arbitrator is 'one that no reasonable decision-maker could have reached'</w:t>
      </w:r>
      <w:r>
        <w:rPr>
          <w:rStyle w:val="FootnoteReference"/>
          <w:rFonts w:ascii="Arial" w:hAnsi="Arial" w:cs="Arial"/>
          <w:sz w:val="22"/>
          <w:szCs w:val="22"/>
        </w:rPr>
        <w:footnoteReference w:id="19"/>
      </w:r>
      <w:r>
        <w:rPr>
          <w:rFonts w:ascii="Arial" w:hAnsi="Arial" w:cs="Arial"/>
          <w:sz w:val="22"/>
          <w:szCs w:val="22"/>
          <w:vertAlign w:val="superscript"/>
        </w:rPr>
        <w:t>.</w:t>
      </w:r>
    </w:p>
    <w:p w:rsidR="00386462" w:rsidRDefault="00386462" w:rsidP="00B501CB">
      <w:pPr>
        <w:pStyle w:val="rtejustify"/>
        <w:shd w:val="clear" w:color="auto" w:fill="FFFFFF"/>
        <w:spacing w:before="0" w:beforeAutospacing="0" w:after="0" w:afterAutospacing="0" w:line="360" w:lineRule="auto"/>
        <w:ind w:firstLine="720"/>
        <w:jc w:val="both"/>
        <w:rPr>
          <w:rFonts w:ascii="Arial" w:hAnsi="Arial" w:cs="Arial"/>
          <w:sz w:val="22"/>
          <w:szCs w:val="22"/>
          <w:vertAlign w:val="superscript"/>
        </w:rPr>
      </w:pPr>
    </w:p>
    <w:p w:rsidR="001932BB" w:rsidRDefault="001932BB" w:rsidP="00B501CB">
      <w:pPr>
        <w:pStyle w:val="rtejustify"/>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[31]</w:t>
      </w:r>
      <w:r>
        <w:rPr>
          <w:rFonts w:ascii="Arial" w:hAnsi="Arial" w:cs="Arial"/>
          <w:sz w:val="22"/>
          <w:szCs w:val="22"/>
        </w:rPr>
        <w:tab/>
      </w:r>
      <w:r w:rsidRPr="000C1BD3">
        <w:rPr>
          <w:rFonts w:ascii="Arial" w:hAnsi="Arial" w:cs="Arial"/>
          <w:sz w:val="22"/>
          <w:szCs w:val="22"/>
        </w:rPr>
        <w:t>In so far as it is relevant to the present appeal, O'Regan AJA added (at para 48) that:</w:t>
      </w:r>
    </w:p>
    <w:p w:rsidR="001932BB" w:rsidRPr="000C1BD3" w:rsidRDefault="001932BB" w:rsidP="00B501CB">
      <w:pPr>
        <w:pStyle w:val="rtejustify"/>
        <w:shd w:val="clear" w:color="auto" w:fill="FFFFFF"/>
        <w:spacing w:before="0" w:beforeAutospacing="0" w:after="0" w:afterAutospacing="0" w:line="360" w:lineRule="auto"/>
        <w:jc w:val="both"/>
        <w:rPr>
          <w:rFonts w:ascii="Arial" w:hAnsi="Arial" w:cs="Arial"/>
          <w:sz w:val="22"/>
          <w:szCs w:val="22"/>
        </w:rPr>
      </w:pPr>
    </w:p>
    <w:p w:rsidR="001932BB" w:rsidRDefault="004F0E4C" w:rsidP="00B501CB">
      <w:pPr>
        <w:pStyle w:val="rteindent1"/>
        <w:shd w:val="clear" w:color="auto" w:fill="FFFFFF"/>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t>‘</w:t>
      </w:r>
      <w:r w:rsidR="001932BB" w:rsidRPr="000C1BD3">
        <w:rPr>
          <w:rFonts w:ascii="Arial" w:hAnsi="Arial" w:cs="Arial"/>
          <w:sz w:val="22"/>
          <w:szCs w:val="22"/>
        </w:rPr>
        <w:t>Finally, when the arbitrator makes a decision as to the proper formulation of a legal test or rule, and a party considers that decision to be wrong in law, then an appeal against t</w:t>
      </w:r>
      <w:r w:rsidR="001932BB">
        <w:rPr>
          <w:rFonts w:ascii="Arial" w:hAnsi="Arial" w:cs="Arial"/>
          <w:sz w:val="22"/>
          <w:szCs w:val="22"/>
        </w:rPr>
        <w:t>hat decision will constitute an</w:t>
      </w:r>
      <w:r w:rsidR="001932BB" w:rsidRPr="000C1BD3">
        <w:rPr>
          <w:rFonts w:ascii="Arial" w:hAnsi="Arial" w:cs="Arial"/>
          <w:sz w:val="22"/>
          <w:szCs w:val="22"/>
        </w:rPr>
        <w:t xml:space="preserve"> appeal on a question of law, and the Labour Court must determine whether the decision of the</w:t>
      </w:r>
      <w:r>
        <w:rPr>
          <w:rFonts w:ascii="Arial" w:hAnsi="Arial" w:cs="Arial"/>
          <w:sz w:val="22"/>
          <w:szCs w:val="22"/>
        </w:rPr>
        <w:t xml:space="preserve"> arbitrator was correct or not.’</w:t>
      </w:r>
      <w:r w:rsidR="001932BB">
        <w:rPr>
          <w:rStyle w:val="FootnoteReference"/>
          <w:rFonts w:ascii="Arial" w:hAnsi="Arial" w:cs="Arial"/>
          <w:sz w:val="22"/>
          <w:szCs w:val="22"/>
        </w:rPr>
        <w:footnoteReference w:id="20"/>
      </w:r>
    </w:p>
    <w:p w:rsidR="001932BB" w:rsidRDefault="001932BB" w:rsidP="00B501CB">
      <w:pPr>
        <w:spacing w:after="0" w:line="360" w:lineRule="auto"/>
        <w:jc w:val="both"/>
        <w:rPr>
          <w:rFonts w:ascii="Arial" w:hAnsi="Arial" w:cs="Arial"/>
          <w:sz w:val="24"/>
          <w:szCs w:val="24"/>
        </w:rPr>
      </w:pPr>
      <w:r>
        <w:rPr>
          <w:rFonts w:ascii="Arial" w:hAnsi="Arial" w:cs="Arial"/>
          <w:sz w:val="24"/>
          <w:szCs w:val="24"/>
        </w:rPr>
        <w:t xml:space="preserve"> </w:t>
      </w:r>
    </w:p>
    <w:p w:rsidR="001932BB" w:rsidRDefault="001932BB" w:rsidP="00B501CB">
      <w:pPr>
        <w:spacing w:after="0" w:line="360" w:lineRule="auto"/>
        <w:jc w:val="both"/>
      </w:pPr>
      <w:r>
        <w:rPr>
          <w:rFonts w:ascii="Arial" w:hAnsi="Arial" w:cs="Arial"/>
          <w:sz w:val="24"/>
          <w:szCs w:val="24"/>
        </w:rPr>
        <w:t>[</w:t>
      </w:r>
      <w:r w:rsidR="00E7346B">
        <w:rPr>
          <w:rFonts w:ascii="Arial" w:hAnsi="Arial" w:cs="Arial"/>
          <w:sz w:val="24"/>
          <w:szCs w:val="24"/>
        </w:rPr>
        <w:t>38</w:t>
      </w:r>
      <w:r>
        <w:rPr>
          <w:rFonts w:ascii="Arial" w:hAnsi="Arial" w:cs="Arial"/>
          <w:sz w:val="24"/>
          <w:szCs w:val="24"/>
        </w:rPr>
        <w:t>]</w:t>
      </w:r>
      <w:r>
        <w:rPr>
          <w:rFonts w:ascii="Arial" w:hAnsi="Arial" w:cs="Arial"/>
          <w:sz w:val="24"/>
          <w:szCs w:val="24"/>
        </w:rPr>
        <w:tab/>
      </w:r>
      <w:r w:rsidRPr="002455E2">
        <w:rPr>
          <w:rFonts w:ascii="Arial" w:hAnsi="Arial" w:cs="Arial"/>
          <w:sz w:val="24"/>
          <w:szCs w:val="24"/>
        </w:rPr>
        <w:t xml:space="preserve">Having considered the grounds of appeal I am satisfied that the issues raised as grounds of appeal, </w:t>
      </w:r>
      <w:r>
        <w:rPr>
          <w:rFonts w:ascii="Arial" w:hAnsi="Arial" w:cs="Arial"/>
          <w:sz w:val="24"/>
          <w:szCs w:val="24"/>
        </w:rPr>
        <w:t>are indeed</w:t>
      </w:r>
      <w:r w:rsidRPr="002455E2">
        <w:rPr>
          <w:rFonts w:ascii="Arial" w:hAnsi="Arial" w:cs="Arial"/>
          <w:sz w:val="24"/>
          <w:szCs w:val="24"/>
        </w:rPr>
        <w:t xml:space="preserve"> questions of law</w:t>
      </w:r>
      <w:r w:rsidRPr="00D72B98">
        <w:t>.</w:t>
      </w:r>
    </w:p>
    <w:p w:rsidR="001932BB" w:rsidRDefault="001932BB" w:rsidP="00B501CB">
      <w:pPr>
        <w:spacing w:after="0" w:line="360" w:lineRule="auto"/>
        <w:jc w:val="both"/>
      </w:pPr>
    </w:p>
    <w:p w:rsidR="001932BB" w:rsidRDefault="001932BB" w:rsidP="00B501CB">
      <w:pPr>
        <w:spacing w:after="0" w:line="360" w:lineRule="auto"/>
        <w:jc w:val="both"/>
        <w:rPr>
          <w:rFonts w:ascii="Arial" w:hAnsi="Arial" w:cs="Arial"/>
          <w:sz w:val="24"/>
          <w:szCs w:val="24"/>
          <w:u w:val="single"/>
        </w:rPr>
      </w:pPr>
      <w:r w:rsidRPr="00F5525D">
        <w:rPr>
          <w:rFonts w:ascii="Arial" w:hAnsi="Arial" w:cs="Arial"/>
          <w:sz w:val="24"/>
          <w:szCs w:val="24"/>
          <w:u w:val="single"/>
        </w:rPr>
        <w:t>Issues for determination</w:t>
      </w:r>
    </w:p>
    <w:p w:rsidR="004F0E4C" w:rsidRDefault="004F0E4C" w:rsidP="00B501CB">
      <w:pPr>
        <w:spacing w:after="0" w:line="360" w:lineRule="auto"/>
        <w:jc w:val="both"/>
        <w:rPr>
          <w:rFonts w:ascii="Arial" w:hAnsi="Arial" w:cs="Arial"/>
          <w:sz w:val="24"/>
          <w:szCs w:val="24"/>
          <w:u w:val="single"/>
        </w:rPr>
      </w:pPr>
    </w:p>
    <w:p w:rsidR="001932BB" w:rsidRPr="00F5525D" w:rsidRDefault="001932BB" w:rsidP="00B501CB">
      <w:pPr>
        <w:spacing w:after="0" w:line="360" w:lineRule="auto"/>
        <w:jc w:val="both"/>
        <w:rPr>
          <w:rFonts w:ascii="Arial" w:hAnsi="Arial" w:cs="Arial"/>
          <w:sz w:val="24"/>
          <w:szCs w:val="24"/>
        </w:rPr>
      </w:pPr>
      <w:r w:rsidRPr="00F5525D">
        <w:rPr>
          <w:rFonts w:ascii="Arial" w:hAnsi="Arial" w:cs="Arial"/>
          <w:sz w:val="24"/>
          <w:szCs w:val="24"/>
        </w:rPr>
        <w:t>[</w:t>
      </w:r>
      <w:r w:rsidR="00E7346B">
        <w:rPr>
          <w:rFonts w:ascii="Arial" w:hAnsi="Arial" w:cs="Arial"/>
          <w:sz w:val="24"/>
          <w:szCs w:val="24"/>
        </w:rPr>
        <w:t>39</w:t>
      </w:r>
      <w:r w:rsidRPr="00F5525D">
        <w:rPr>
          <w:rFonts w:ascii="Arial" w:hAnsi="Arial" w:cs="Arial"/>
          <w:sz w:val="24"/>
          <w:szCs w:val="24"/>
        </w:rPr>
        <w:t>]</w:t>
      </w:r>
      <w:r w:rsidRPr="00F5525D">
        <w:rPr>
          <w:rFonts w:ascii="Arial" w:hAnsi="Arial" w:cs="Arial"/>
          <w:sz w:val="24"/>
          <w:szCs w:val="24"/>
        </w:rPr>
        <w:tab/>
        <w:t xml:space="preserve"> </w:t>
      </w:r>
      <w:r>
        <w:rPr>
          <w:rFonts w:ascii="Arial" w:hAnsi="Arial" w:cs="Arial"/>
          <w:sz w:val="24"/>
          <w:szCs w:val="24"/>
        </w:rPr>
        <w:t>The main issues before me relate to the authority of Mr Nguvauva to enter into a settlement on behalf of the respondents and subsequently withdraw the complaint. The next issue for determination is whether the application that served before the arbitrator regarding the withdrawal of the notice of withdrawal fall</w:t>
      </w:r>
      <w:r w:rsidR="005B722E" w:rsidRPr="00472124">
        <w:rPr>
          <w:rFonts w:ascii="Arial" w:hAnsi="Arial" w:cs="Arial"/>
          <w:sz w:val="24"/>
          <w:szCs w:val="24"/>
        </w:rPr>
        <w:t>s</w:t>
      </w:r>
      <w:r>
        <w:rPr>
          <w:rFonts w:ascii="Arial" w:hAnsi="Arial" w:cs="Arial"/>
          <w:sz w:val="24"/>
          <w:szCs w:val="24"/>
        </w:rPr>
        <w:t xml:space="preserve"> within the ambit of r</w:t>
      </w:r>
      <w:r w:rsidR="005B722E">
        <w:rPr>
          <w:rFonts w:ascii="Arial" w:hAnsi="Arial" w:cs="Arial"/>
          <w:sz w:val="24"/>
          <w:szCs w:val="24"/>
        </w:rPr>
        <w:t>ule</w:t>
      </w:r>
      <w:r>
        <w:rPr>
          <w:rFonts w:ascii="Arial" w:hAnsi="Arial" w:cs="Arial"/>
          <w:sz w:val="24"/>
          <w:szCs w:val="24"/>
        </w:rPr>
        <w:t xml:space="preserve"> 28 of the Conciliation and Arbitration rules and </w:t>
      </w:r>
      <w:r w:rsidR="00386462" w:rsidRPr="006A0AB0">
        <w:rPr>
          <w:rFonts w:ascii="Arial" w:hAnsi="Arial" w:cs="Arial"/>
          <w:sz w:val="24"/>
          <w:szCs w:val="24"/>
        </w:rPr>
        <w:t xml:space="preserve">lastly </w:t>
      </w:r>
      <w:r>
        <w:rPr>
          <w:rFonts w:ascii="Arial" w:hAnsi="Arial" w:cs="Arial"/>
          <w:sz w:val="24"/>
          <w:szCs w:val="24"/>
        </w:rPr>
        <w:t xml:space="preserve">whether the arbitrator had the jurisdiction to hear the matter and set the notice to withdraw aside, in the context of the compromise reached. </w:t>
      </w:r>
    </w:p>
    <w:p w:rsidR="001932BB" w:rsidRDefault="001932BB" w:rsidP="00B501CB">
      <w:pPr>
        <w:pStyle w:val="rteindent1"/>
        <w:shd w:val="clear" w:color="auto" w:fill="FFFFFF"/>
        <w:spacing w:before="0" w:beforeAutospacing="0" w:after="0" w:afterAutospacing="0" w:line="360" w:lineRule="auto"/>
        <w:jc w:val="both"/>
        <w:rPr>
          <w:rFonts w:ascii="Arial" w:hAnsi="Arial" w:cs="Arial"/>
          <w:sz w:val="22"/>
          <w:szCs w:val="22"/>
        </w:rPr>
      </w:pPr>
    </w:p>
    <w:p w:rsidR="001932BB" w:rsidRPr="0063782A" w:rsidRDefault="001932BB" w:rsidP="00B501CB">
      <w:pPr>
        <w:spacing w:after="0" w:line="360" w:lineRule="auto"/>
        <w:jc w:val="both"/>
        <w:rPr>
          <w:rFonts w:ascii="Arial" w:hAnsi="Arial" w:cs="Arial"/>
          <w:sz w:val="24"/>
          <w:szCs w:val="24"/>
          <w:u w:val="single"/>
        </w:rPr>
      </w:pPr>
      <w:r>
        <w:rPr>
          <w:rFonts w:ascii="Arial" w:hAnsi="Arial" w:cs="Arial"/>
          <w:sz w:val="24"/>
          <w:szCs w:val="24"/>
          <w:u w:val="single"/>
        </w:rPr>
        <w:t>Case numbers</w:t>
      </w:r>
    </w:p>
    <w:p w:rsidR="001932BB" w:rsidRDefault="001932BB" w:rsidP="00B501CB">
      <w:pPr>
        <w:spacing w:after="0" w:line="360" w:lineRule="auto"/>
        <w:jc w:val="both"/>
        <w:rPr>
          <w:rFonts w:ascii="Arial" w:hAnsi="Arial" w:cs="Arial"/>
          <w:sz w:val="24"/>
          <w:szCs w:val="24"/>
        </w:rPr>
      </w:pPr>
      <w:r w:rsidRPr="0063782A">
        <w:rPr>
          <w:rFonts w:ascii="Arial" w:hAnsi="Arial" w:cs="Arial"/>
          <w:sz w:val="24"/>
          <w:szCs w:val="24"/>
        </w:rPr>
        <w:t>[</w:t>
      </w:r>
      <w:r w:rsidR="00E7346B">
        <w:rPr>
          <w:rFonts w:ascii="Arial" w:hAnsi="Arial" w:cs="Arial"/>
          <w:sz w:val="24"/>
          <w:szCs w:val="24"/>
        </w:rPr>
        <w:t>40</w:t>
      </w:r>
      <w:r w:rsidRPr="0063782A">
        <w:rPr>
          <w:rFonts w:ascii="Arial" w:hAnsi="Arial" w:cs="Arial"/>
          <w:sz w:val="24"/>
          <w:szCs w:val="24"/>
        </w:rPr>
        <w:t xml:space="preserve">]  </w:t>
      </w:r>
      <w:r w:rsidRPr="0063782A">
        <w:rPr>
          <w:rFonts w:ascii="Arial" w:hAnsi="Arial" w:cs="Arial"/>
          <w:sz w:val="24"/>
          <w:szCs w:val="24"/>
        </w:rPr>
        <w:tab/>
        <w:t xml:space="preserve">From the onset it is </w:t>
      </w:r>
      <w:r w:rsidRPr="00472124">
        <w:rPr>
          <w:rFonts w:ascii="Arial" w:hAnsi="Arial" w:cs="Arial"/>
          <w:sz w:val="24"/>
          <w:szCs w:val="24"/>
        </w:rPr>
        <w:t xml:space="preserve">important </w:t>
      </w:r>
      <w:r w:rsidR="005B722E" w:rsidRPr="00472124">
        <w:rPr>
          <w:rFonts w:ascii="Arial" w:hAnsi="Arial" w:cs="Arial"/>
          <w:sz w:val="24"/>
          <w:szCs w:val="24"/>
        </w:rPr>
        <w:t xml:space="preserve">to note </w:t>
      </w:r>
      <w:r w:rsidRPr="0063782A">
        <w:rPr>
          <w:rFonts w:ascii="Arial" w:hAnsi="Arial" w:cs="Arial"/>
          <w:sz w:val="24"/>
          <w:szCs w:val="24"/>
        </w:rPr>
        <w:t xml:space="preserve">that there are two different case numbers in the matter </w:t>
      </w:r>
      <w:r w:rsidR="005B722E" w:rsidRPr="0063782A">
        <w:rPr>
          <w:rFonts w:ascii="Arial" w:hAnsi="Arial" w:cs="Arial"/>
          <w:sz w:val="24"/>
          <w:szCs w:val="24"/>
        </w:rPr>
        <w:t>i.e.</w:t>
      </w:r>
      <w:r w:rsidRPr="0063782A">
        <w:rPr>
          <w:rFonts w:ascii="Arial" w:hAnsi="Arial" w:cs="Arial"/>
          <w:sz w:val="24"/>
          <w:szCs w:val="24"/>
        </w:rPr>
        <w:t xml:space="preserve"> SRLU 38-17 and SRKE 17-17 which have been used interchangeably throughout the proceedings and it is important to note that the relevant matter before me </w:t>
      </w:r>
      <w:r>
        <w:rPr>
          <w:rFonts w:ascii="Arial" w:hAnsi="Arial" w:cs="Arial"/>
          <w:sz w:val="24"/>
          <w:szCs w:val="24"/>
        </w:rPr>
        <w:t xml:space="preserve">relates </w:t>
      </w:r>
      <w:r w:rsidRPr="0063782A">
        <w:rPr>
          <w:rFonts w:ascii="Arial" w:hAnsi="Arial" w:cs="Arial"/>
          <w:sz w:val="24"/>
          <w:szCs w:val="24"/>
        </w:rPr>
        <w:t xml:space="preserve">to </w:t>
      </w:r>
      <w:r w:rsidRPr="0063782A">
        <w:rPr>
          <w:rFonts w:ascii="Arial" w:hAnsi="Arial" w:cs="Arial"/>
          <w:sz w:val="24"/>
          <w:szCs w:val="24"/>
          <w:u w:val="single"/>
        </w:rPr>
        <w:t>SRLU 38-17</w:t>
      </w:r>
      <w:r w:rsidRPr="0063782A">
        <w:rPr>
          <w:rFonts w:ascii="Arial" w:hAnsi="Arial" w:cs="Arial"/>
          <w:sz w:val="24"/>
          <w:szCs w:val="24"/>
        </w:rPr>
        <w:t xml:space="preserve"> and not SRKE 17-17.</w:t>
      </w:r>
      <w:r>
        <w:rPr>
          <w:rFonts w:ascii="Arial" w:hAnsi="Arial" w:cs="Arial"/>
          <w:sz w:val="24"/>
          <w:szCs w:val="24"/>
        </w:rPr>
        <w:t xml:space="preserve"> It seems that respondents and the arbitrator got these cases mixed up during the course of considering the disputes between the parties.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u w:val="single"/>
        </w:rPr>
      </w:pPr>
      <w:r w:rsidRPr="00636CAD">
        <w:rPr>
          <w:rFonts w:ascii="Arial" w:hAnsi="Arial" w:cs="Arial"/>
          <w:sz w:val="24"/>
          <w:szCs w:val="24"/>
          <w:u w:val="single"/>
        </w:rPr>
        <w:t xml:space="preserve">Discussion </w:t>
      </w:r>
    </w:p>
    <w:p w:rsidR="00C35CEE" w:rsidRPr="00636CAD" w:rsidRDefault="00C35CEE" w:rsidP="00B501CB">
      <w:pPr>
        <w:spacing w:after="0" w:line="360" w:lineRule="auto"/>
        <w:jc w:val="both"/>
        <w:rPr>
          <w:rFonts w:ascii="Arial" w:hAnsi="Arial" w:cs="Arial"/>
          <w:sz w:val="24"/>
          <w:szCs w:val="24"/>
          <w:u w:val="single"/>
        </w:rPr>
      </w:pPr>
    </w:p>
    <w:p w:rsidR="001932BB" w:rsidRDefault="001932BB" w:rsidP="00B501CB">
      <w:pPr>
        <w:spacing w:after="0" w:line="360" w:lineRule="auto"/>
        <w:jc w:val="both"/>
        <w:rPr>
          <w:rFonts w:ascii="Arial" w:hAnsi="Arial" w:cs="Arial"/>
          <w:color w:val="242121"/>
          <w:sz w:val="24"/>
          <w:szCs w:val="24"/>
        </w:rPr>
      </w:pPr>
      <w:r>
        <w:rPr>
          <w:rFonts w:ascii="Arial" w:hAnsi="Arial" w:cs="Arial"/>
          <w:sz w:val="24"/>
          <w:szCs w:val="24"/>
        </w:rPr>
        <w:t>[</w:t>
      </w:r>
      <w:r w:rsidR="00E7346B">
        <w:rPr>
          <w:rFonts w:ascii="Arial" w:hAnsi="Arial" w:cs="Arial"/>
          <w:sz w:val="24"/>
          <w:szCs w:val="24"/>
        </w:rPr>
        <w:t>41</w:t>
      </w:r>
      <w:r>
        <w:rPr>
          <w:rFonts w:ascii="Arial" w:hAnsi="Arial" w:cs="Arial"/>
          <w:sz w:val="24"/>
          <w:szCs w:val="24"/>
        </w:rPr>
        <w:t>]</w:t>
      </w:r>
      <w:r>
        <w:rPr>
          <w:rFonts w:ascii="Arial" w:hAnsi="Arial" w:cs="Arial"/>
          <w:sz w:val="24"/>
          <w:szCs w:val="24"/>
        </w:rPr>
        <w:tab/>
        <w:t xml:space="preserve">From my reading of the South African authority to which this court was referred to by Mr Nekwaya it is indeed so that the courts are all in agreement that </w:t>
      </w:r>
      <w:r w:rsidRPr="007B0510">
        <w:rPr>
          <w:rFonts w:ascii="Arial" w:hAnsi="Arial" w:cs="Arial"/>
          <w:color w:val="242121"/>
          <w:sz w:val="24"/>
          <w:szCs w:val="24"/>
        </w:rPr>
        <w:t xml:space="preserve">withdrawal of </w:t>
      </w:r>
      <w:r>
        <w:rPr>
          <w:rFonts w:ascii="Arial" w:hAnsi="Arial" w:cs="Arial"/>
          <w:color w:val="242121"/>
          <w:sz w:val="24"/>
          <w:szCs w:val="24"/>
        </w:rPr>
        <w:t xml:space="preserve">the </w:t>
      </w:r>
      <w:r>
        <w:rPr>
          <w:rFonts w:ascii="Arial" w:hAnsi="Arial" w:cs="Arial"/>
          <w:color w:val="242121"/>
          <w:sz w:val="24"/>
          <w:szCs w:val="24"/>
        </w:rPr>
        <w:lastRenderedPageBreak/>
        <w:t xml:space="preserve">complaint will not </w:t>
      </w:r>
      <w:r w:rsidRPr="007B0510">
        <w:rPr>
          <w:rFonts w:ascii="Arial" w:hAnsi="Arial" w:cs="Arial"/>
          <w:color w:val="242121"/>
          <w:sz w:val="24"/>
          <w:szCs w:val="24"/>
        </w:rPr>
        <w:t>deprive the CCMA</w:t>
      </w:r>
      <w:r>
        <w:rPr>
          <w:rFonts w:ascii="Arial" w:hAnsi="Arial" w:cs="Arial"/>
          <w:color w:val="242121"/>
          <w:sz w:val="24"/>
          <w:szCs w:val="24"/>
        </w:rPr>
        <w:t xml:space="preserve"> (in the South African context)</w:t>
      </w:r>
      <w:r w:rsidRPr="007B0510">
        <w:rPr>
          <w:rFonts w:ascii="Arial" w:hAnsi="Arial" w:cs="Arial"/>
          <w:color w:val="242121"/>
          <w:sz w:val="24"/>
          <w:szCs w:val="24"/>
        </w:rPr>
        <w:t xml:space="preserve"> of jurisdiction to receive and deal with a fresh referral</w:t>
      </w:r>
      <w:r>
        <w:rPr>
          <w:rFonts w:ascii="Arial" w:hAnsi="Arial" w:cs="Arial"/>
          <w:color w:val="242121"/>
          <w:sz w:val="24"/>
          <w:szCs w:val="24"/>
        </w:rPr>
        <w:t xml:space="preserve"> and therefore the withdrawal can be withdrawn as held in the </w:t>
      </w:r>
      <w:r w:rsidRPr="00BD021E">
        <w:rPr>
          <w:rFonts w:ascii="Arial" w:hAnsi="Arial" w:cs="Arial"/>
          <w:i/>
          <w:sz w:val="24"/>
          <w:szCs w:val="24"/>
        </w:rPr>
        <w:t>Shibodge</w:t>
      </w:r>
      <w:r>
        <w:rPr>
          <w:rFonts w:ascii="Arial" w:hAnsi="Arial" w:cs="Arial"/>
          <w:i/>
          <w:sz w:val="24"/>
          <w:szCs w:val="24"/>
        </w:rPr>
        <w:t>,</w:t>
      </w:r>
      <w:r w:rsidRPr="00B91F16">
        <w:rPr>
          <w:rFonts w:ascii="Arial" w:hAnsi="Arial" w:cs="Arial"/>
          <w:i/>
          <w:sz w:val="24"/>
          <w:szCs w:val="24"/>
        </w:rPr>
        <w:t xml:space="preserve"> </w:t>
      </w:r>
      <w:r w:rsidRPr="00BD021E">
        <w:rPr>
          <w:rFonts w:ascii="Arial" w:hAnsi="Arial" w:cs="Arial"/>
          <w:i/>
          <w:sz w:val="24"/>
          <w:szCs w:val="24"/>
        </w:rPr>
        <w:t>Kgobokoe</w:t>
      </w:r>
      <w:r>
        <w:rPr>
          <w:rFonts w:ascii="Arial" w:hAnsi="Arial" w:cs="Arial"/>
          <w:i/>
          <w:sz w:val="24"/>
          <w:szCs w:val="24"/>
        </w:rPr>
        <w:t xml:space="preserve"> and </w:t>
      </w:r>
      <w:r w:rsidRPr="00293568">
        <w:rPr>
          <w:rFonts w:ascii="Arial" w:hAnsi="Arial" w:cs="Arial"/>
          <w:i/>
          <w:sz w:val="24"/>
          <w:szCs w:val="24"/>
        </w:rPr>
        <w:t>Ncaphayi</w:t>
      </w:r>
      <w:r>
        <w:rPr>
          <w:rFonts w:ascii="Arial" w:hAnsi="Arial" w:cs="Arial"/>
          <w:sz w:val="24"/>
          <w:szCs w:val="24"/>
        </w:rPr>
        <w:t xml:space="preserve"> matters and other matters of a similar nature</w:t>
      </w:r>
      <w:r w:rsidRPr="007B0510">
        <w:rPr>
          <w:rFonts w:ascii="Arial" w:hAnsi="Arial" w:cs="Arial"/>
          <w:color w:val="242121"/>
          <w:sz w:val="24"/>
          <w:szCs w:val="24"/>
        </w:rPr>
        <w:t>.</w:t>
      </w:r>
      <w:r>
        <w:rPr>
          <w:rFonts w:ascii="Arial" w:hAnsi="Arial" w:cs="Arial"/>
          <w:color w:val="242121"/>
          <w:sz w:val="24"/>
          <w:szCs w:val="24"/>
        </w:rPr>
        <w:t xml:space="preserve"> The reasoning is that </w:t>
      </w:r>
      <w:r w:rsidRPr="007B0510">
        <w:rPr>
          <w:rFonts w:ascii="Arial" w:hAnsi="Arial" w:cs="Arial"/>
          <w:color w:val="242121"/>
          <w:sz w:val="24"/>
          <w:szCs w:val="24"/>
        </w:rPr>
        <w:t>the withdrawal of a dispute referral to the CCMA is not an act of any functionary, but the action of an employee party to a dispute. The commissioner plays no role in that decision.</w:t>
      </w:r>
      <w:r>
        <w:rPr>
          <w:rFonts w:ascii="Arial" w:hAnsi="Arial" w:cs="Arial"/>
          <w:color w:val="242121"/>
          <w:sz w:val="24"/>
          <w:szCs w:val="24"/>
        </w:rPr>
        <w:t xml:space="preserve"> </w:t>
      </w:r>
    </w:p>
    <w:p w:rsidR="00C35CEE" w:rsidRPr="007B0510"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42</w:t>
      </w:r>
      <w:r>
        <w:rPr>
          <w:rFonts w:ascii="Arial" w:hAnsi="Arial" w:cs="Arial"/>
          <w:sz w:val="24"/>
          <w:szCs w:val="24"/>
        </w:rPr>
        <w:t>]</w:t>
      </w:r>
      <w:r>
        <w:rPr>
          <w:rFonts w:ascii="Arial" w:hAnsi="Arial" w:cs="Arial"/>
          <w:sz w:val="24"/>
          <w:szCs w:val="24"/>
        </w:rPr>
        <w:tab/>
        <w:t xml:space="preserve"> I take no issue with the authority referred to. I also take no issue that under those circumstance nothing would prevent the arbitrator from having jurisdiction to entertain the matter once re-instated or upon the filing of fresh complaint. I cannot fault Mr Nekwaya’s argument in this regard. However, the matter before me must be distinguished from those matters where the claimant withdraw</w:t>
      </w:r>
      <w:r w:rsidR="005B722E" w:rsidRPr="00472124">
        <w:rPr>
          <w:rFonts w:ascii="Arial" w:hAnsi="Arial" w:cs="Arial"/>
          <w:sz w:val="24"/>
          <w:szCs w:val="24"/>
        </w:rPr>
        <w:t>s</w:t>
      </w:r>
      <w:r>
        <w:rPr>
          <w:rFonts w:ascii="Arial" w:hAnsi="Arial" w:cs="Arial"/>
          <w:sz w:val="24"/>
          <w:szCs w:val="24"/>
        </w:rPr>
        <w:t xml:space="preserve"> the complaint on its own volition. In the current matter the withdrawal of the complaint forms part and parcel of a final settlement. </w:t>
      </w:r>
    </w:p>
    <w:p w:rsidR="00C35CEE" w:rsidRDefault="00C35CEE" w:rsidP="00B501CB">
      <w:pPr>
        <w:spacing w:after="0" w:line="360" w:lineRule="auto"/>
        <w:jc w:val="both"/>
        <w:rPr>
          <w:rFonts w:ascii="Arial" w:hAnsi="Arial" w:cs="Arial"/>
          <w:sz w:val="24"/>
          <w:szCs w:val="24"/>
        </w:rPr>
      </w:pPr>
    </w:p>
    <w:p w:rsidR="001932BB" w:rsidRDefault="001932BB" w:rsidP="00B501CB">
      <w:pPr>
        <w:pStyle w:val="NormalWeb"/>
        <w:shd w:val="clear" w:color="auto" w:fill="FFFFFF"/>
        <w:spacing w:before="0" w:beforeAutospacing="0" w:after="0" w:afterAutospacing="0" w:line="360" w:lineRule="auto"/>
        <w:jc w:val="both"/>
        <w:rPr>
          <w:rFonts w:ascii="Arial" w:hAnsi="Arial" w:cs="Arial"/>
          <w:bCs/>
          <w:color w:val="242121"/>
          <w:shd w:val="clear" w:color="auto" w:fill="FFFFFF"/>
        </w:rPr>
      </w:pPr>
      <w:r w:rsidRPr="005708C3">
        <w:rPr>
          <w:rFonts w:ascii="Arial" w:hAnsi="Arial" w:cs="Arial"/>
        </w:rPr>
        <w:t>[</w:t>
      </w:r>
      <w:r w:rsidR="00E7346B">
        <w:rPr>
          <w:rFonts w:ascii="Arial" w:hAnsi="Arial" w:cs="Arial"/>
        </w:rPr>
        <w:t>43</w:t>
      </w:r>
      <w:r w:rsidRPr="005708C3">
        <w:rPr>
          <w:rFonts w:ascii="Arial" w:hAnsi="Arial" w:cs="Arial"/>
        </w:rPr>
        <w:t>]</w:t>
      </w:r>
      <w:r w:rsidRPr="005708C3">
        <w:rPr>
          <w:rFonts w:ascii="Arial" w:hAnsi="Arial" w:cs="Arial"/>
        </w:rPr>
        <w:tab/>
        <w:t xml:space="preserve">Mr Nekwaya also referred me to </w:t>
      </w:r>
      <w:r w:rsidRPr="005708C3">
        <w:rPr>
          <w:rFonts w:ascii="Arial" w:hAnsi="Arial" w:cs="Arial"/>
          <w:bCs/>
          <w:i/>
        </w:rPr>
        <w:t xml:space="preserve">South African Municipal Workers Union and Others v Zenzeleni Cleaning </w:t>
      </w:r>
      <w:r>
        <w:rPr>
          <w:rFonts w:ascii="Arial" w:hAnsi="Arial" w:cs="Arial"/>
          <w:bCs/>
          <w:i/>
        </w:rPr>
        <w:t>a</w:t>
      </w:r>
      <w:r w:rsidRPr="005708C3">
        <w:rPr>
          <w:rFonts w:ascii="Arial" w:hAnsi="Arial" w:cs="Arial"/>
          <w:bCs/>
          <w:i/>
        </w:rPr>
        <w:t>nd Transport Services CC and Others</w:t>
      </w:r>
      <w:r w:rsidRPr="005708C3">
        <w:rPr>
          <w:rStyle w:val="FootnoteReference"/>
          <w:rFonts w:ascii="Arial" w:hAnsi="Arial" w:cs="Arial"/>
          <w:bCs/>
        </w:rPr>
        <w:footnoteReference w:id="21"/>
      </w:r>
      <w:r w:rsidRPr="005708C3">
        <w:rPr>
          <w:rFonts w:ascii="Arial" w:hAnsi="Arial" w:cs="Arial"/>
          <w:bCs/>
        </w:rPr>
        <w:t xml:space="preserve"> </w:t>
      </w:r>
      <w:r w:rsidR="005B722E">
        <w:rPr>
          <w:rFonts w:ascii="Arial" w:hAnsi="Arial" w:cs="Arial"/>
          <w:bCs/>
        </w:rPr>
        <w:t xml:space="preserve"> and </w:t>
      </w:r>
      <w:r>
        <w:rPr>
          <w:rFonts w:ascii="Arial" w:hAnsi="Arial" w:cs="Arial"/>
          <w:bCs/>
        </w:rPr>
        <w:t xml:space="preserve">specifically to para 15 of the judgment and submitted that it is settled law with regards to withdrawal of a withdrawal. </w:t>
      </w:r>
      <w:r w:rsidRPr="005708C3">
        <w:rPr>
          <w:rFonts w:ascii="Arial" w:hAnsi="Arial" w:cs="Arial"/>
          <w:bCs/>
          <w:color w:val="242121"/>
          <w:shd w:val="clear" w:color="auto" w:fill="FFFFFF"/>
        </w:rPr>
        <w:t>Molahlehi, J</w:t>
      </w:r>
      <w:r>
        <w:rPr>
          <w:rFonts w:ascii="Arial" w:hAnsi="Arial" w:cs="Arial"/>
          <w:bCs/>
          <w:color w:val="242121"/>
          <w:shd w:val="clear" w:color="auto" w:fill="FFFFFF"/>
        </w:rPr>
        <w:t xml:space="preserve"> held that:</w:t>
      </w:r>
    </w:p>
    <w:p w:rsidR="00C35CEE" w:rsidRDefault="00C35CEE" w:rsidP="00B501CB">
      <w:pPr>
        <w:pStyle w:val="NormalWeb"/>
        <w:shd w:val="clear" w:color="auto" w:fill="FFFFFF"/>
        <w:spacing w:before="0" w:beforeAutospacing="0" w:after="0" w:afterAutospacing="0" w:line="360" w:lineRule="auto"/>
        <w:jc w:val="both"/>
        <w:rPr>
          <w:color w:val="242121"/>
        </w:rPr>
      </w:pPr>
    </w:p>
    <w:p w:rsidR="001932BB" w:rsidRDefault="001932BB" w:rsidP="00B501CB">
      <w:pPr>
        <w:pStyle w:val="NormalWeb"/>
        <w:shd w:val="clear" w:color="auto" w:fill="FFFFFF"/>
        <w:spacing w:before="0" w:beforeAutospacing="0" w:after="0" w:afterAutospacing="0" w:line="360" w:lineRule="auto"/>
        <w:ind w:firstLine="720"/>
        <w:jc w:val="both"/>
        <w:rPr>
          <w:rFonts w:ascii="Arial" w:hAnsi="Arial" w:cs="Arial"/>
          <w:color w:val="242121"/>
          <w:sz w:val="22"/>
          <w:szCs w:val="22"/>
        </w:rPr>
      </w:pPr>
      <w:r>
        <w:rPr>
          <w:rFonts w:ascii="Arial" w:hAnsi="Arial" w:cs="Arial"/>
          <w:color w:val="242121"/>
          <w:sz w:val="22"/>
          <w:szCs w:val="22"/>
        </w:rPr>
        <w:t>‘</w:t>
      </w:r>
      <w:r w:rsidRPr="005708C3">
        <w:rPr>
          <w:rFonts w:ascii="Arial" w:hAnsi="Arial" w:cs="Arial"/>
          <w:color w:val="242121"/>
          <w:sz w:val="22"/>
          <w:szCs w:val="22"/>
        </w:rPr>
        <w:t xml:space="preserve">[15] There is no automatic legal consequence that </w:t>
      </w:r>
      <w:r w:rsidRPr="005708C3">
        <w:rPr>
          <w:rFonts w:ascii="Arial" w:hAnsi="Arial" w:cs="Arial"/>
          <w:color w:val="242121"/>
          <w:sz w:val="22"/>
          <w:szCs w:val="22"/>
          <w:u w:val="single"/>
        </w:rPr>
        <w:t>a withdrawal of a dispute means that the withdrawal cannot be withdrawn and the dispute be re-enrolled. Once the applicants’ application to have the matter re-enrolled was made it was incumbent on the Commissioner to enquire as to whether the withdrawal precluded the applicants from proceeding further with the dispute</w:t>
      </w:r>
      <w:r w:rsidRPr="005708C3">
        <w:rPr>
          <w:rFonts w:ascii="Arial" w:hAnsi="Arial" w:cs="Arial"/>
          <w:color w:val="242121"/>
          <w:sz w:val="22"/>
          <w:szCs w:val="22"/>
        </w:rPr>
        <w:t>. It is only where the withdrawal is consequent to the compromise of the dispute, that it cannot be withdrawn. It appears from the papers, that had the Commissioner enquired into the nature of the withdrawal, he would have found that the withdrawal did not compromise the applicant’s claim.</w:t>
      </w:r>
      <w:r w:rsidR="005B722E">
        <w:rPr>
          <w:rFonts w:ascii="Arial" w:hAnsi="Arial" w:cs="Arial"/>
          <w:color w:val="242121"/>
          <w:sz w:val="22"/>
          <w:szCs w:val="22"/>
        </w:rPr>
        <w:t>’</w:t>
      </w:r>
      <w:r>
        <w:rPr>
          <w:rFonts w:ascii="Arial" w:hAnsi="Arial" w:cs="Arial"/>
          <w:color w:val="242121"/>
          <w:sz w:val="22"/>
          <w:szCs w:val="22"/>
        </w:rPr>
        <w:t xml:space="preserve"> (my underlining)</w:t>
      </w:r>
    </w:p>
    <w:p w:rsidR="00C35CEE" w:rsidRPr="005708C3" w:rsidRDefault="00C35CEE" w:rsidP="00B501CB">
      <w:pPr>
        <w:pStyle w:val="NormalWeb"/>
        <w:shd w:val="clear" w:color="auto" w:fill="FFFFFF"/>
        <w:spacing w:before="0" w:beforeAutospacing="0" w:after="0" w:afterAutospacing="0" w:line="360" w:lineRule="auto"/>
        <w:ind w:firstLine="720"/>
        <w:jc w:val="both"/>
        <w:rPr>
          <w:rFonts w:ascii="Arial" w:hAnsi="Arial" w:cs="Arial"/>
          <w:color w:val="242121"/>
          <w:sz w:val="22"/>
          <w:szCs w:val="22"/>
        </w:rPr>
      </w:pPr>
    </w:p>
    <w:p w:rsidR="001932BB" w:rsidRDefault="001932BB" w:rsidP="00B501CB">
      <w:pPr>
        <w:pStyle w:val="NormalWeb"/>
        <w:shd w:val="clear" w:color="auto" w:fill="FFFFFF"/>
        <w:spacing w:before="0" w:beforeAutospacing="0" w:after="0" w:afterAutospacing="0" w:line="360" w:lineRule="auto"/>
        <w:jc w:val="both"/>
        <w:rPr>
          <w:rFonts w:ascii="Arial" w:hAnsi="Arial" w:cs="Arial"/>
          <w:color w:val="242121"/>
        </w:rPr>
      </w:pPr>
      <w:r w:rsidRPr="00EF1DA8">
        <w:rPr>
          <w:rFonts w:ascii="Arial" w:hAnsi="Arial" w:cs="Arial"/>
          <w:color w:val="242121"/>
        </w:rPr>
        <w:t>[</w:t>
      </w:r>
      <w:r w:rsidR="00E7346B">
        <w:rPr>
          <w:rFonts w:ascii="Arial" w:hAnsi="Arial" w:cs="Arial"/>
          <w:color w:val="242121"/>
        </w:rPr>
        <w:t>44</w:t>
      </w:r>
      <w:r w:rsidRPr="00EF1DA8">
        <w:rPr>
          <w:rFonts w:ascii="Arial" w:hAnsi="Arial" w:cs="Arial"/>
          <w:color w:val="242121"/>
        </w:rPr>
        <w:t>]</w:t>
      </w:r>
      <w:r w:rsidRPr="00EF1DA8">
        <w:rPr>
          <w:rFonts w:ascii="Arial" w:hAnsi="Arial" w:cs="Arial"/>
          <w:color w:val="242121"/>
        </w:rPr>
        <w:tab/>
        <w:t xml:space="preserve"> The underlined portion of the judgment is in line with </w:t>
      </w:r>
      <w:r>
        <w:rPr>
          <w:rFonts w:ascii="Arial" w:hAnsi="Arial" w:cs="Arial"/>
          <w:color w:val="242121"/>
        </w:rPr>
        <w:t>the authorities</w:t>
      </w:r>
      <w:r w:rsidRPr="00EF1DA8">
        <w:rPr>
          <w:rFonts w:ascii="Arial" w:hAnsi="Arial" w:cs="Arial"/>
          <w:color w:val="242121"/>
        </w:rPr>
        <w:t xml:space="preserve"> referred to above but what is critical </w:t>
      </w:r>
      <w:r w:rsidRPr="00472124">
        <w:rPr>
          <w:rFonts w:ascii="Arial" w:hAnsi="Arial" w:cs="Arial"/>
        </w:rPr>
        <w:t>and</w:t>
      </w:r>
      <w:r w:rsidR="005B722E" w:rsidRPr="00472124">
        <w:rPr>
          <w:rFonts w:ascii="Arial" w:hAnsi="Arial" w:cs="Arial"/>
        </w:rPr>
        <w:t xml:space="preserve"> has</w:t>
      </w:r>
      <w:r w:rsidRPr="00472124">
        <w:rPr>
          <w:rFonts w:ascii="Arial" w:hAnsi="Arial" w:cs="Arial"/>
        </w:rPr>
        <w:t xml:space="preserve"> </w:t>
      </w:r>
      <w:r w:rsidR="005B722E" w:rsidRPr="00472124">
        <w:rPr>
          <w:rFonts w:ascii="Arial" w:hAnsi="Arial" w:cs="Arial"/>
        </w:rPr>
        <w:t>a</w:t>
      </w:r>
      <w:r w:rsidR="00472124" w:rsidRPr="00472124">
        <w:rPr>
          <w:rFonts w:ascii="Arial" w:hAnsi="Arial" w:cs="Arial"/>
        </w:rPr>
        <w:t xml:space="preserve"> </w:t>
      </w:r>
      <w:r w:rsidRPr="00472124">
        <w:rPr>
          <w:rFonts w:ascii="Arial" w:hAnsi="Arial" w:cs="Arial"/>
        </w:rPr>
        <w:t xml:space="preserve">direct bearing on the matter before me, and </w:t>
      </w:r>
      <w:r w:rsidR="005B722E" w:rsidRPr="00472124">
        <w:rPr>
          <w:rFonts w:ascii="Arial" w:hAnsi="Arial" w:cs="Arial"/>
        </w:rPr>
        <w:t xml:space="preserve">wherein the </w:t>
      </w:r>
      <w:r w:rsidR="005B722E" w:rsidRPr="006A0AB0">
        <w:rPr>
          <w:rFonts w:ascii="Arial" w:hAnsi="Arial" w:cs="Arial"/>
        </w:rPr>
        <w:t>distinction</w:t>
      </w:r>
      <w:r w:rsidR="00386462" w:rsidRPr="006A0AB0">
        <w:rPr>
          <w:rFonts w:ascii="Arial" w:hAnsi="Arial" w:cs="Arial"/>
        </w:rPr>
        <w:t xml:space="preserve"> lies in </w:t>
      </w:r>
      <w:r w:rsidRPr="006A0AB0">
        <w:rPr>
          <w:rFonts w:ascii="Arial" w:hAnsi="Arial" w:cs="Arial"/>
        </w:rPr>
        <w:t xml:space="preserve">the </w:t>
      </w:r>
      <w:r w:rsidRPr="00472124">
        <w:rPr>
          <w:rFonts w:ascii="Arial" w:hAnsi="Arial" w:cs="Arial"/>
        </w:rPr>
        <w:t xml:space="preserve">very </w:t>
      </w:r>
      <w:r w:rsidRPr="00EF1DA8">
        <w:rPr>
          <w:rFonts w:ascii="Arial" w:hAnsi="Arial" w:cs="Arial"/>
          <w:color w:val="242121"/>
        </w:rPr>
        <w:t>next sentence of the said para 15 and that is ‘</w:t>
      </w:r>
      <w:r w:rsidRPr="00EF1DA8">
        <w:rPr>
          <w:rFonts w:ascii="Arial" w:hAnsi="Arial" w:cs="Arial"/>
          <w:b/>
          <w:color w:val="242121"/>
        </w:rPr>
        <w:t xml:space="preserve">It is only where the withdrawal is consequent to the compromise of the dispute, that it </w:t>
      </w:r>
      <w:r w:rsidRPr="00636CAD">
        <w:rPr>
          <w:rFonts w:ascii="Arial" w:hAnsi="Arial" w:cs="Arial"/>
          <w:b/>
          <w:color w:val="242121"/>
          <w:u w:val="single"/>
        </w:rPr>
        <w:t>cannot</w:t>
      </w:r>
      <w:r w:rsidRPr="00EF1DA8">
        <w:rPr>
          <w:rFonts w:ascii="Arial" w:hAnsi="Arial" w:cs="Arial"/>
          <w:b/>
          <w:color w:val="242121"/>
        </w:rPr>
        <w:t xml:space="preserve"> be withdrawn</w:t>
      </w:r>
      <w:r w:rsidRPr="00EF1DA8">
        <w:rPr>
          <w:rFonts w:ascii="Arial" w:hAnsi="Arial" w:cs="Arial"/>
          <w:color w:val="242121"/>
        </w:rPr>
        <w:t>’.</w:t>
      </w:r>
    </w:p>
    <w:p w:rsidR="00C35CEE" w:rsidRPr="00EF1DA8" w:rsidRDefault="00C35CEE" w:rsidP="00B501CB">
      <w:pPr>
        <w:pStyle w:val="NormalWeb"/>
        <w:shd w:val="clear" w:color="auto" w:fill="FFFFFF"/>
        <w:spacing w:before="0" w:beforeAutospacing="0" w:after="0" w:afterAutospacing="0" w:line="360" w:lineRule="auto"/>
        <w:jc w:val="both"/>
        <w:rPr>
          <w:rFonts w:ascii="Arial" w:hAnsi="Arial" w:cs="Arial"/>
          <w:color w:val="242121"/>
        </w:rPr>
      </w:pPr>
    </w:p>
    <w:p w:rsidR="001932BB" w:rsidRDefault="001932BB" w:rsidP="00B501CB">
      <w:pPr>
        <w:pStyle w:val="NormalWeb"/>
        <w:shd w:val="clear" w:color="auto" w:fill="FFFFFF"/>
        <w:spacing w:before="0" w:beforeAutospacing="0" w:after="0" w:afterAutospacing="0" w:line="360" w:lineRule="auto"/>
        <w:jc w:val="both"/>
        <w:rPr>
          <w:rFonts w:ascii="Arial" w:hAnsi="Arial" w:cs="Arial"/>
          <w:color w:val="242121"/>
        </w:rPr>
      </w:pPr>
      <w:r w:rsidRPr="006C316F">
        <w:rPr>
          <w:rFonts w:ascii="Arial" w:hAnsi="Arial" w:cs="Arial"/>
          <w:color w:val="242121"/>
        </w:rPr>
        <w:lastRenderedPageBreak/>
        <w:t>[</w:t>
      </w:r>
      <w:r w:rsidR="00E7346B">
        <w:rPr>
          <w:rFonts w:ascii="Arial" w:hAnsi="Arial" w:cs="Arial"/>
          <w:color w:val="242121"/>
        </w:rPr>
        <w:t>45</w:t>
      </w:r>
      <w:r w:rsidRPr="006C316F">
        <w:rPr>
          <w:rFonts w:ascii="Arial" w:hAnsi="Arial" w:cs="Arial"/>
          <w:color w:val="242121"/>
        </w:rPr>
        <w:t xml:space="preserve">]  </w:t>
      </w:r>
      <w:r w:rsidRPr="006C316F">
        <w:rPr>
          <w:rFonts w:ascii="Arial" w:hAnsi="Arial" w:cs="Arial"/>
          <w:color w:val="242121"/>
        </w:rPr>
        <w:tab/>
      </w:r>
      <w:r w:rsidRPr="006C316F">
        <w:rPr>
          <w:rFonts w:ascii="Arial" w:hAnsi="Arial" w:cs="Arial"/>
          <w:color w:val="242121"/>
          <w:shd w:val="clear" w:color="auto" w:fill="FFFFFF"/>
        </w:rPr>
        <w:t> </w:t>
      </w:r>
      <w:r>
        <w:rPr>
          <w:rFonts w:ascii="Arial" w:hAnsi="Arial" w:cs="Arial"/>
          <w:color w:val="242121"/>
          <w:shd w:val="clear" w:color="auto" w:fill="FFFFFF"/>
        </w:rPr>
        <w:t>Support for this contention can also be found</w:t>
      </w:r>
      <w:r w:rsidRPr="00472124">
        <w:rPr>
          <w:rFonts w:ascii="Arial" w:hAnsi="Arial" w:cs="Arial"/>
          <w:shd w:val="clear" w:color="auto" w:fill="FFFFFF"/>
        </w:rPr>
        <w:t xml:space="preserve"> </w:t>
      </w:r>
      <w:r w:rsidR="005B722E" w:rsidRPr="00472124">
        <w:rPr>
          <w:rFonts w:ascii="Arial" w:hAnsi="Arial" w:cs="Arial"/>
          <w:shd w:val="clear" w:color="auto" w:fill="FFFFFF"/>
        </w:rPr>
        <w:t xml:space="preserve">in </w:t>
      </w:r>
      <w:r w:rsidRPr="006C316F">
        <w:rPr>
          <w:rFonts w:ascii="Arial" w:hAnsi="Arial" w:cs="Arial"/>
          <w:i/>
          <w:iCs/>
          <w:color w:val="242121"/>
          <w:shd w:val="clear" w:color="auto" w:fill="FFFFFF"/>
        </w:rPr>
        <w:t>SAMWU et al v the CCMA and Zenzeleni Cleaning and Transport Services CC</w:t>
      </w:r>
      <w:r w:rsidRPr="006C316F">
        <w:rPr>
          <w:rStyle w:val="FootnoteReference"/>
          <w:rFonts w:ascii="Arial" w:hAnsi="Arial" w:cs="Arial"/>
          <w:i/>
          <w:iCs/>
          <w:color w:val="242121"/>
          <w:shd w:val="clear" w:color="auto" w:fill="FFFFFF"/>
        </w:rPr>
        <w:footnoteReference w:id="22"/>
      </w:r>
      <w:r>
        <w:rPr>
          <w:rFonts w:ascii="Arial" w:hAnsi="Arial" w:cs="Arial"/>
          <w:color w:val="242121"/>
          <w:shd w:val="clear" w:color="auto" w:fill="FFFFFF"/>
        </w:rPr>
        <w:t xml:space="preserve"> wherein</w:t>
      </w:r>
      <w:r w:rsidRPr="006C316F">
        <w:rPr>
          <w:rFonts w:ascii="Arial" w:hAnsi="Arial" w:cs="Arial"/>
          <w:color w:val="242121"/>
          <w:shd w:val="clear" w:color="auto" w:fill="FFFFFF"/>
        </w:rPr>
        <w:t xml:space="preserve"> Steenkamp J, agreed with the decision in </w:t>
      </w:r>
      <w:r w:rsidRPr="006C316F">
        <w:rPr>
          <w:rFonts w:ascii="Arial" w:hAnsi="Arial" w:cs="Arial"/>
          <w:i/>
          <w:color w:val="242121"/>
          <w:shd w:val="clear" w:color="auto" w:fill="FFFFFF"/>
        </w:rPr>
        <w:t>Ncapahyi</w:t>
      </w:r>
      <w:r w:rsidRPr="006C316F">
        <w:rPr>
          <w:rFonts w:ascii="Arial" w:hAnsi="Arial" w:cs="Arial"/>
          <w:color w:val="242121"/>
          <w:shd w:val="clear" w:color="auto" w:fill="FFFFFF"/>
        </w:rPr>
        <w:t xml:space="preserve"> and drew a distinction between a withdrawal at the applicant’s own instance and where the withdrawal is an intrinsic part of a settlement agreement. </w:t>
      </w:r>
      <w:r w:rsidRPr="006C316F">
        <w:rPr>
          <w:rFonts w:ascii="Arial" w:hAnsi="Arial" w:cs="Arial"/>
          <w:color w:val="242121"/>
        </w:rPr>
        <w:t xml:space="preserve"> </w:t>
      </w:r>
    </w:p>
    <w:p w:rsidR="00C35CEE" w:rsidRPr="006C316F" w:rsidRDefault="00C35CEE" w:rsidP="00B501CB">
      <w:pPr>
        <w:pStyle w:val="NormalWeb"/>
        <w:shd w:val="clear" w:color="auto" w:fill="FFFFFF"/>
        <w:spacing w:before="0" w:beforeAutospacing="0" w:after="0" w:afterAutospacing="0" w:line="360" w:lineRule="auto"/>
        <w:jc w:val="both"/>
        <w:rPr>
          <w:rFonts w:ascii="Arial" w:hAnsi="Arial" w:cs="Arial"/>
          <w:color w:val="242121"/>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46</w:t>
      </w:r>
      <w:r>
        <w:rPr>
          <w:rFonts w:ascii="Arial" w:hAnsi="Arial" w:cs="Arial"/>
          <w:sz w:val="24"/>
          <w:szCs w:val="24"/>
        </w:rPr>
        <w:t>]</w:t>
      </w:r>
      <w:r>
        <w:rPr>
          <w:rFonts w:ascii="Arial" w:hAnsi="Arial" w:cs="Arial"/>
          <w:sz w:val="24"/>
          <w:szCs w:val="24"/>
        </w:rPr>
        <w:tab/>
        <w:t xml:space="preserve"> In matters where the withdrawal of the complaint is part of the settlement there need to be a substantive application to rescind or set aside the settlement agreement </w:t>
      </w:r>
      <w:r w:rsidRPr="00386462">
        <w:rPr>
          <w:rFonts w:ascii="Arial" w:hAnsi="Arial" w:cs="Arial"/>
          <w:sz w:val="24"/>
          <w:szCs w:val="24"/>
        </w:rPr>
        <w:t>and</w:t>
      </w:r>
      <w:r w:rsidR="0063155F" w:rsidRPr="00386462">
        <w:rPr>
          <w:rFonts w:ascii="Arial" w:hAnsi="Arial" w:cs="Arial"/>
          <w:sz w:val="24"/>
          <w:szCs w:val="24"/>
        </w:rPr>
        <w:t xml:space="preserve"> in the current matter</w:t>
      </w:r>
      <w:r w:rsidRPr="00386462">
        <w:rPr>
          <w:rFonts w:ascii="Arial" w:hAnsi="Arial" w:cs="Arial"/>
          <w:sz w:val="24"/>
          <w:szCs w:val="24"/>
        </w:rPr>
        <w:t xml:space="preserve"> the withdrawal of the dispute is incorporate</w:t>
      </w:r>
      <w:r w:rsidR="005B722E" w:rsidRPr="00386462">
        <w:rPr>
          <w:rFonts w:ascii="Arial" w:hAnsi="Arial" w:cs="Arial"/>
          <w:sz w:val="24"/>
          <w:szCs w:val="24"/>
        </w:rPr>
        <w:t>d</w:t>
      </w:r>
      <w:r w:rsidRPr="00386462">
        <w:rPr>
          <w:rFonts w:ascii="Arial" w:hAnsi="Arial" w:cs="Arial"/>
          <w:sz w:val="24"/>
          <w:szCs w:val="24"/>
        </w:rPr>
        <w:t xml:space="preserve"> in the agreement as a salient term thereof. In order to withdraw the notice of withdrawal the settlement agreement first had to be set aside</w:t>
      </w:r>
      <w:r w:rsidR="0063155F" w:rsidRPr="00386462">
        <w:rPr>
          <w:rFonts w:ascii="Arial" w:hAnsi="Arial" w:cs="Arial"/>
          <w:sz w:val="24"/>
          <w:szCs w:val="24"/>
        </w:rPr>
        <w:t xml:space="preserve"> first</w:t>
      </w:r>
      <w:r w:rsidRPr="00386462">
        <w:rPr>
          <w:rFonts w:ascii="Arial" w:hAnsi="Arial" w:cs="Arial"/>
          <w:sz w:val="24"/>
          <w:szCs w:val="24"/>
        </w:rPr>
        <w:t xml:space="preserve">. The arbitrator had no jurisdiction to set aside a settlement agreement even if it was made </w:t>
      </w:r>
      <w:r w:rsidRPr="00424BCD">
        <w:rPr>
          <w:rFonts w:ascii="Arial" w:hAnsi="Arial" w:cs="Arial"/>
          <w:sz w:val="24"/>
          <w:szCs w:val="24"/>
        </w:rPr>
        <w:t>in context of Labour Law.</w:t>
      </w:r>
      <w:r>
        <w:rPr>
          <w:rFonts w:ascii="Arial" w:hAnsi="Arial" w:cs="Arial"/>
          <w:sz w:val="24"/>
          <w:szCs w:val="24"/>
        </w:rPr>
        <w:t xml:space="preserve">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sidRPr="00CE5315">
        <w:rPr>
          <w:rFonts w:ascii="Arial" w:hAnsi="Arial" w:cs="Arial"/>
          <w:sz w:val="24"/>
          <w:szCs w:val="24"/>
        </w:rPr>
        <w:t xml:space="preserve"> [</w:t>
      </w:r>
      <w:r w:rsidR="00E7346B">
        <w:rPr>
          <w:rFonts w:ascii="Arial" w:hAnsi="Arial" w:cs="Arial"/>
          <w:sz w:val="24"/>
          <w:szCs w:val="24"/>
        </w:rPr>
        <w:t>47</w:t>
      </w:r>
      <w:r w:rsidRPr="00CE5315">
        <w:rPr>
          <w:rFonts w:ascii="Arial" w:hAnsi="Arial" w:cs="Arial"/>
          <w:sz w:val="24"/>
          <w:szCs w:val="24"/>
        </w:rPr>
        <w:t>]</w:t>
      </w:r>
      <w:r w:rsidRPr="00CE5315">
        <w:rPr>
          <w:rFonts w:ascii="Arial" w:hAnsi="Arial" w:cs="Arial"/>
          <w:sz w:val="24"/>
          <w:szCs w:val="24"/>
        </w:rPr>
        <w:tab/>
        <w:t>A compromise is relevant to all fields of the law. Policy favours the effecting of compromises bringing, as they do, an end to litigation</w:t>
      </w:r>
      <w:r>
        <w:rPr>
          <w:rFonts w:ascii="Arial" w:hAnsi="Arial" w:cs="Arial"/>
          <w:sz w:val="24"/>
          <w:szCs w:val="24"/>
        </w:rPr>
        <w:t>.</w:t>
      </w:r>
      <w:r w:rsidRPr="00CE5315">
        <w:t xml:space="preserve"> </w:t>
      </w:r>
      <w:r w:rsidRPr="00CE5315">
        <w:rPr>
          <w:rFonts w:ascii="Arial" w:hAnsi="Arial" w:cs="Arial"/>
          <w:sz w:val="24"/>
          <w:szCs w:val="24"/>
        </w:rPr>
        <w:t xml:space="preserve">It should be noted that a compromise or settlement of a dispute is a </w:t>
      </w:r>
      <w:r>
        <w:rPr>
          <w:rFonts w:ascii="Arial" w:hAnsi="Arial" w:cs="Arial"/>
          <w:sz w:val="24"/>
          <w:szCs w:val="24"/>
        </w:rPr>
        <w:t>contractual</w:t>
      </w:r>
      <w:r w:rsidRPr="00CE5315">
        <w:t xml:space="preserve"> </w:t>
      </w:r>
      <w:r w:rsidRPr="00CE5315">
        <w:rPr>
          <w:rFonts w:ascii="Arial" w:hAnsi="Arial" w:cs="Arial"/>
          <w:sz w:val="24"/>
          <w:szCs w:val="24"/>
        </w:rPr>
        <w:t>agreement. Any general ground upon which ordinary contracts may be attacked and consequently set aside or declared a nullity is thus relevant.</w:t>
      </w:r>
      <w:r>
        <w:rPr>
          <w:rFonts w:ascii="Arial" w:hAnsi="Arial" w:cs="Arial"/>
          <w:sz w:val="24"/>
          <w:szCs w:val="24"/>
        </w:rPr>
        <w:t xml:space="preserve"> </w:t>
      </w:r>
    </w:p>
    <w:p w:rsidR="00C35CEE" w:rsidRDefault="00C35CEE" w:rsidP="00B501CB">
      <w:pPr>
        <w:spacing w:after="0" w:line="360" w:lineRule="auto"/>
        <w:jc w:val="both"/>
        <w:rPr>
          <w:rFonts w:ascii="Arial" w:hAnsi="Arial" w:cs="Arial"/>
          <w:sz w:val="24"/>
          <w:szCs w:val="24"/>
        </w:rPr>
      </w:pPr>
    </w:p>
    <w:p w:rsidR="001932BB" w:rsidRPr="009C3E9E" w:rsidRDefault="001932BB" w:rsidP="00B501CB">
      <w:pPr>
        <w:spacing w:after="0" w:line="360" w:lineRule="auto"/>
        <w:jc w:val="both"/>
        <w:rPr>
          <w:rFonts w:ascii="Arial" w:eastAsia="Times New Roman" w:hAnsi="Arial" w:cs="Arial"/>
          <w:sz w:val="24"/>
          <w:szCs w:val="24"/>
          <w:lang w:val="en-ZA" w:eastAsia="en-ZA"/>
        </w:rPr>
      </w:pPr>
      <w:r w:rsidRPr="009C3E9E">
        <w:rPr>
          <w:rFonts w:ascii="Arial" w:eastAsia="Times New Roman" w:hAnsi="Arial" w:cs="Arial"/>
          <w:sz w:val="24"/>
          <w:szCs w:val="24"/>
          <w:lang w:val="en-ZA" w:eastAsia="en-ZA"/>
        </w:rPr>
        <w:t xml:space="preserve"> [</w:t>
      </w:r>
      <w:r w:rsidR="00E7346B">
        <w:rPr>
          <w:rFonts w:ascii="Arial" w:eastAsia="Times New Roman" w:hAnsi="Arial" w:cs="Arial"/>
          <w:sz w:val="24"/>
          <w:szCs w:val="24"/>
          <w:lang w:val="en-ZA" w:eastAsia="en-ZA"/>
        </w:rPr>
        <w:t>48</w:t>
      </w:r>
      <w:r w:rsidRPr="009C3E9E">
        <w:rPr>
          <w:rFonts w:ascii="Arial" w:eastAsia="Times New Roman" w:hAnsi="Arial" w:cs="Arial"/>
          <w:sz w:val="24"/>
          <w:szCs w:val="24"/>
          <w:lang w:val="en-ZA" w:eastAsia="en-ZA"/>
        </w:rPr>
        <w:t>]      In </w:t>
      </w:r>
      <w:r w:rsidRPr="009C3E9E">
        <w:rPr>
          <w:rFonts w:ascii="Arial" w:eastAsia="Times New Roman" w:hAnsi="Arial" w:cs="Arial"/>
          <w:i/>
          <w:iCs/>
          <w:sz w:val="24"/>
          <w:szCs w:val="24"/>
          <w:lang w:val="en-ZA" w:eastAsia="en-ZA"/>
        </w:rPr>
        <w:t>Golin t/a Golin Engineering v Cloete</w:t>
      </w:r>
      <w:bookmarkStart w:id="1" w:name="_ftnref6"/>
      <w:r>
        <w:rPr>
          <w:rStyle w:val="FootnoteReference"/>
          <w:rFonts w:ascii="Arial" w:eastAsia="Times New Roman" w:hAnsi="Arial" w:cs="Arial"/>
          <w:i/>
          <w:iCs/>
          <w:sz w:val="24"/>
          <w:szCs w:val="24"/>
          <w:lang w:val="en-ZA" w:eastAsia="en-ZA"/>
        </w:rPr>
        <w:footnoteReference w:id="23"/>
      </w:r>
      <w:bookmarkEnd w:id="1"/>
      <w:r w:rsidRPr="009C3E9E">
        <w:rPr>
          <w:rFonts w:ascii="Arial" w:eastAsia="Times New Roman" w:hAnsi="Arial" w:cs="Arial"/>
          <w:i/>
          <w:iCs/>
          <w:sz w:val="24"/>
          <w:szCs w:val="24"/>
          <w:lang w:val="en-ZA" w:eastAsia="en-ZA"/>
        </w:rPr>
        <w:t> </w:t>
      </w:r>
      <w:r w:rsidRPr="009C3E9E">
        <w:rPr>
          <w:rFonts w:ascii="Arial" w:eastAsia="Times New Roman" w:hAnsi="Arial" w:cs="Arial"/>
          <w:sz w:val="24"/>
          <w:szCs w:val="24"/>
          <w:lang w:val="en-ZA" w:eastAsia="en-ZA"/>
        </w:rPr>
        <w:t xml:space="preserve">O’Linn J held </w:t>
      </w:r>
      <w:r>
        <w:rPr>
          <w:rFonts w:ascii="Arial" w:eastAsia="Times New Roman" w:hAnsi="Arial" w:cs="Arial"/>
          <w:sz w:val="24"/>
          <w:szCs w:val="24"/>
          <w:lang w:val="en-ZA" w:eastAsia="en-ZA"/>
        </w:rPr>
        <w:t>a</w:t>
      </w:r>
      <w:r w:rsidRPr="009C3E9E">
        <w:rPr>
          <w:rFonts w:ascii="Arial" w:eastAsia="Times New Roman" w:hAnsi="Arial" w:cs="Arial"/>
          <w:sz w:val="24"/>
          <w:szCs w:val="24"/>
          <w:lang w:val="en-ZA" w:eastAsia="en-ZA"/>
        </w:rPr>
        <w:t>s follows:</w:t>
      </w:r>
    </w:p>
    <w:p w:rsidR="001932BB" w:rsidRDefault="001932BB" w:rsidP="00B501CB">
      <w:pPr>
        <w:spacing w:after="0" w:line="360" w:lineRule="auto"/>
        <w:ind w:firstLine="720"/>
        <w:jc w:val="both"/>
        <w:rPr>
          <w:rFonts w:ascii="Arial" w:eastAsia="Times New Roman" w:hAnsi="Arial" w:cs="Arial"/>
          <w:lang w:val="en-ZA" w:eastAsia="en-ZA"/>
        </w:rPr>
      </w:pPr>
      <w:r w:rsidRPr="009C3E9E">
        <w:rPr>
          <w:rFonts w:ascii="Arial" w:eastAsia="Times New Roman" w:hAnsi="Arial" w:cs="Arial"/>
          <w:lang w:val="en-ZA" w:eastAsia="en-ZA"/>
        </w:rPr>
        <w:t>‘When a party claims that there has been a full and fin</w:t>
      </w:r>
      <w:r w:rsidR="005B722E">
        <w:rPr>
          <w:rFonts w:ascii="Arial" w:eastAsia="Times New Roman" w:hAnsi="Arial" w:cs="Arial"/>
          <w:lang w:val="en-ZA" w:eastAsia="en-ZA"/>
        </w:rPr>
        <w:t xml:space="preserve">al settlement, the Court should </w:t>
      </w:r>
      <w:r w:rsidRPr="009C3E9E">
        <w:rPr>
          <w:rFonts w:ascii="Arial" w:eastAsia="Times New Roman" w:hAnsi="Arial" w:cs="Arial"/>
          <w:lang w:val="en-ZA" w:eastAsia="en-ZA"/>
        </w:rPr>
        <w:t>recognise the settlement as a termination of the issues on the merits once the Court has, upon investigation of the settlement issue, been satisfied that there indeed was a settlement and that the settlement was voluntary, i.e. without duress or coercion, unequivocal and with full knowledge of its terms and implications as a full and final settlement of all the issues.’</w:t>
      </w:r>
    </w:p>
    <w:p w:rsidR="00C35CEE" w:rsidRPr="009C3E9E" w:rsidRDefault="00C35CEE" w:rsidP="00B501CB">
      <w:pPr>
        <w:spacing w:after="0" w:line="360" w:lineRule="auto"/>
        <w:ind w:firstLine="720"/>
        <w:jc w:val="both"/>
        <w:rPr>
          <w:rFonts w:ascii="Arial" w:eastAsia="Times New Roman" w:hAnsi="Arial" w:cs="Arial"/>
          <w:lang w:val="en-ZA" w:eastAsia="en-ZA"/>
        </w:rPr>
      </w:pPr>
    </w:p>
    <w:p w:rsidR="001932BB" w:rsidRDefault="001932BB" w:rsidP="00B501CB">
      <w:pPr>
        <w:spacing w:after="0" w:line="360" w:lineRule="auto"/>
        <w:jc w:val="both"/>
        <w:rPr>
          <w:rFonts w:ascii="Arial" w:eastAsia="Times New Roman" w:hAnsi="Arial" w:cs="Arial"/>
          <w:sz w:val="24"/>
          <w:szCs w:val="24"/>
          <w:lang w:val="en-ZA" w:eastAsia="en-ZA"/>
        </w:rPr>
      </w:pPr>
      <w:r w:rsidRPr="009C3E9E">
        <w:rPr>
          <w:rFonts w:ascii="Arial" w:eastAsia="Times New Roman" w:hAnsi="Arial" w:cs="Arial"/>
          <w:sz w:val="24"/>
          <w:szCs w:val="24"/>
          <w:lang w:val="en-ZA" w:eastAsia="en-ZA"/>
        </w:rPr>
        <w:t>[</w:t>
      </w:r>
      <w:r w:rsidR="00E7346B">
        <w:rPr>
          <w:rFonts w:ascii="Arial" w:eastAsia="Times New Roman" w:hAnsi="Arial" w:cs="Arial"/>
          <w:sz w:val="24"/>
          <w:szCs w:val="24"/>
          <w:lang w:val="en-ZA" w:eastAsia="en-ZA"/>
        </w:rPr>
        <w:t>49</w:t>
      </w:r>
      <w:r w:rsidRPr="009C3E9E">
        <w:rPr>
          <w:rFonts w:ascii="Arial" w:eastAsia="Times New Roman" w:hAnsi="Arial" w:cs="Arial"/>
          <w:sz w:val="24"/>
          <w:szCs w:val="24"/>
          <w:lang w:val="en-ZA" w:eastAsia="en-ZA"/>
        </w:rPr>
        <w:t>]      Dealing with the very issue of compromise, Van Niekerk J, in </w:t>
      </w:r>
      <w:r w:rsidRPr="005A4379">
        <w:rPr>
          <w:rStyle w:val="Emphasis"/>
          <w:rFonts w:ascii="Arial" w:hAnsi="Arial" w:cs="Arial"/>
          <w:sz w:val="24"/>
          <w:szCs w:val="24"/>
          <w:shd w:val="clear" w:color="auto" w:fill="F8F8F8"/>
        </w:rPr>
        <w:t>Elizabeth Mbambus v Motor Vehicle Accident Fund</w:t>
      </w:r>
      <w:r w:rsidRPr="005A4379">
        <w:rPr>
          <w:rStyle w:val="FootnoteReference"/>
          <w:rFonts w:ascii="Arial" w:hAnsi="Arial" w:cs="Arial"/>
          <w:i/>
          <w:iCs/>
          <w:color w:val="4A4A4A"/>
          <w:sz w:val="24"/>
          <w:szCs w:val="24"/>
          <w:shd w:val="clear" w:color="auto" w:fill="F8F8F8"/>
        </w:rPr>
        <w:footnoteReference w:id="24"/>
      </w:r>
      <w:r w:rsidRPr="009C3E9E">
        <w:rPr>
          <w:rFonts w:ascii="Arial" w:eastAsia="Times New Roman" w:hAnsi="Arial" w:cs="Arial"/>
          <w:sz w:val="24"/>
          <w:szCs w:val="24"/>
          <w:lang w:val="en-ZA" w:eastAsia="en-ZA"/>
        </w:rPr>
        <w:t>, referred to </w:t>
      </w:r>
      <w:r w:rsidRPr="005A4379">
        <w:rPr>
          <w:rFonts w:ascii="Arial" w:eastAsia="Times New Roman" w:hAnsi="Arial" w:cs="Arial"/>
          <w:i/>
          <w:iCs/>
          <w:sz w:val="24"/>
          <w:szCs w:val="24"/>
          <w:lang w:val="en-ZA" w:eastAsia="en-ZA"/>
        </w:rPr>
        <w:t>Georgias v Standard Chartered Finance Zimbabwe Limited</w:t>
      </w:r>
      <w:r w:rsidRPr="005A4379">
        <w:rPr>
          <w:rStyle w:val="FootnoteReference"/>
          <w:rFonts w:ascii="Arial" w:eastAsia="Times New Roman" w:hAnsi="Arial" w:cs="Arial"/>
          <w:i/>
          <w:iCs/>
          <w:sz w:val="24"/>
          <w:szCs w:val="24"/>
          <w:lang w:val="en-ZA" w:eastAsia="en-ZA"/>
        </w:rPr>
        <w:footnoteReference w:id="25"/>
      </w:r>
      <w:r w:rsidRPr="005A4379">
        <w:rPr>
          <w:rFonts w:ascii="Arial" w:eastAsia="Times New Roman" w:hAnsi="Arial" w:cs="Arial"/>
          <w:i/>
          <w:iCs/>
          <w:sz w:val="24"/>
          <w:szCs w:val="24"/>
          <w:lang w:val="en-ZA" w:eastAsia="en-ZA"/>
        </w:rPr>
        <w:t>, </w:t>
      </w:r>
      <w:r w:rsidRPr="009C3E9E">
        <w:rPr>
          <w:rFonts w:ascii="Arial" w:eastAsia="Times New Roman" w:hAnsi="Arial" w:cs="Arial"/>
          <w:sz w:val="24"/>
          <w:szCs w:val="24"/>
          <w:lang w:val="en-ZA" w:eastAsia="en-ZA"/>
        </w:rPr>
        <w:t>where the following is recorded:</w:t>
      </w:r>
    </w:p>
    <w:p w:rsidR="00C35CEE" w:rsidRPr="009C3E9E" w:rsidRDefault="00C35CEE" w:rsidP="00B501CB">
      <w:pPr>
        <w:spacing w:after="0" w:line="360" w:lineRule="auto"/>
        <w:jc w:val="both"/>
        <w:rPr>
          <w:rFonts w:ascii="Arial" w:eastAsia="Times New Roman" w:hAnsi="Arial" w:cs="Arial"/>
          <w:sz w:val="24"/>
          <w:szCs w:val="24"/>
          <w:lang w:val="en-ZA" w:eastAsia="en-ZA"/>
        </w:rPr>
      </w:pPr>
    </w:p>
    <w:p w:rsidR="001932BB" w:rsidRDefault="001932BB" w:rsidP="00B501CB">
      <w:pPr>
        <w:spacing w:after="0" w:line="360" w:lineRule="auto"/>
        <w:ind w:firstLine="720"/>
        <w:jc w:val="both"/>
        <w:rPr>
          <w:rFonts w:ascii="Arial" w:eastAsia="Times New Roman" w:hAnsi="Arial" w:cs="Arial"/>
          <w:lang w:val="en-ZA" w:eastAsia="en-ZA"/>
        </w:rPr>
      </w:pPr>
      <w:r w:rsidRPr="009C3E9E">
        <w:rPr>
          <w:rFonts w:ascii="Arial" w:eastAsia="Times New Roman" w:hAnsi="Arial" w:cs="Arial"/>
          <w:lang w:val="en-ZA" w:eastAsia="en-ZA"/>
        </w:rPr>
        <w:lastRenderedPageBreak/>
        <w:t>‘The purpose of compromise is to end doubt and to avoid the inconvenience and risk inherent in resorting to the methods of resolving disputes. Its effect is the same as </w:t>
      </w:r>
      <w:r w:rsidRPr="005A4379">
        <w:rPr>
          <w:rFonts w:ascii="Arial" w:eastAsia="Times New Roman" w:hAnsi="Arial" w:cs="Arial"/>
          <w:i/>
          <w:iCs/>
          <w:lang w:val="en-ZA" w:eastAsia="en-ZA"/>
        </w:rPr>
        <w:t>res judicata </w:t>
      </w:r>
      <w:r w:rsidRPr="009C3E9E">
        <w:rPr>
          <w:rFonts w:ascii="Arial" w:eastAsia="Times New Roman" w:hAnsi="Arial" w:cs="Arial"/>
          <w:lang w:val="en-ZA" w:eastAsia="en-ZA"/>
        </w:rPr>
        <w:t>on a judgment given by consent. It extinguishes </w:t>
      </w:r>
      <w:r w:rsidRPr="005A4379">
        <w:rPr>
          <w:rFonts w:ascii="Arial" w:eastAsia="Times New Roman" w:hAnsi="Arial" w:cs="Arial"/>
          <w:i/>
          <w:iCs/>
          <w:lang w:val="en-ZA" w:eastAsia="en-ZA"/>
        </w:rPr>
        <w:t>ipso jure </w:t>
      </w:r>
      <w:r w:rsidRPr="009C3E9E">
        <w:rPr>
          <w:rFonts w:ascii="Arial" w:eastAsia="Times New Roman" w:hAnsi="Arial" w:cs="Arial"/>
          <w:lang w:val="en-ZA" w:eastAsia="en-ZA"/>
        </w:rPr>
        <w:t>any cause of action that previously may have existed between the parties, unless the right to rely thereon was reserved . . . As it brings legal proceedings already instituted to an end, a party sued on a compromise is not entitled to raise the original defences to the original cause of action. . . But a compromise induced by fraud, misrepresentation, or some other ground for rescission, is voidable at the instance of the aggrieved party, even if made an order of court.’</w:t>
      </w:r>
    </w:p>
    <w:p w:rsidR="00C35CEE" w:rsidRPr="009C3E9E" w:rsidRDefault="00C35CEE" w:rsidP="00B501CB">
      <w:pPr>
        <w:spacing w:after="0" w:line="360" w:lineRule="auto"/>
        <w:ind w:firstLine="720"/>
        <w:jc w:val="both"/>
        <w:rPr>
          <w:rFonts w:ascii="Arial" w:eastAsia="Times New Roman" w:hAnsi="Arial" w:cs="Arial"/>
          <w:lang w:val="en-ZA" w:eastAsia="en-ZA"/>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50</w:t>
      </w:r>
      <w:r>
        <w:rPr>
          <w:rFonts w:ascii="Arial" w:hAnsi="Arial" w:cs="Arial"/>
          <w:sz w:val="24"/>
          <w:szCs w:val="24"/>
        </w:rPr>
        <w:t>]</w:t>
      </w:r>
      <w:r>
        <w:rPr>
          <w:rFonts w:ascii="Arial" w:hAnsi="Arial" w:cs="Arial"/>
          <w:sz w:val="24"/>
          <w:szCs w:val="24"/>
        </w:rPr>
        <w:tab/>
        <w:t>On behalf of the respondents it was argued that Mr Nguvauva did not have the authority to enter into the compromise on behalf of the employees and therefor</w:t>
      </w:r>
      <w:r w:rsidR="005B722E">
        <w:rPr>
          <w:rFonts w:ascii="Arial" w:hAnsi="Arial" w:cs="Arial"/>
          <w:sz w:val="24"/>
          <w:szCs w:val="24"/>
        </w:rPr>
        <w:t>e</w:t>
      </w:r>
      <w:r>
        <w:rPr>
          <w:rFonts w:ascii="Arial" w:hAnsi="Arial" w:cs="Arial"/>
          <w:sz w:val="24"/>
          <w:szCs w:val="24"/>
        </w:rPr>
        <w:t xml:space="preserve"> the settlement agreement may be ignored as it is void. I respectfully disagree with Mr Nekwaya on</w:t>
      </w:r>
      <w:r w:rsidR="005B722E">
        <w:rPr>
          <w:rFonts w:ascii="Arial" w:hAnsi="Arial" w:cs="Arial"/>
          <w:sz w:val="24"/>
          <w:szCs w:val="24"/>
        </w:rPr>
        <w:t xml:space="preserve"> that score as the issue of lack</w:t>
      </w:r>
      <w:r>
        <w:rPr>
          <w:rFonts w:ascii="Arial" w:hAnsi="Arial" w:cs="Arial"/>
          <w:sz w:val="24"/>
          <w:szCs w:val="24"/>
        </w:rPr>
        <w:t xml:space="preserve"> of authority in respect of the settlement agreement is not </w:t>
      </w:r>
      <w:r w:rsidR="005B722E">
        <w:rPr>
          <w:rFonts w:ascii="Arial" w:hAnsi="Arial" w:cs="Arial"/>
          <w:sz w:val="24"/>
          <w:szCs w:val="24"/>
        </w:rPr>
        <w:t>born</w:t>
      </w:r>
      <w:r>
        <w:rPr>
          <w:rFonts w:ascii="Arial" w:hAnsi="Arial" w:cs="Arial"/>
          <w:sz w:val="24"/>
          <w:szCs w:val="24"/>
        </w:rPr>
        <w:t xml:space="preserve"> out by the papers. The settlement agreement is therefore not void but indeed voidable.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51</w:t>
      </w:r>
      <w:r>
        <w:rPr>
          <w:rFonts w:ascii="Arial" w:hAnsi="Arial" w:cs="Arial"/>
          <w:sz w:val="24"/>
          <w:szCs w:val="24"/>
        </w:rPr>
        <w:t>]</w:t>
      </w:r>
      <w:r>
        <w:rPr>
          <w:rFonts w:ascii="Arial" w:hAnsi="Arial" w:cs="Arial"/>
          <w:sz w:val="24"/>
          <w:szCs w:val="24"/>
        </w:rPr>
        <w:tab/>
        <w:t>Mr Nguvauva at all material times acted on behalf of the respondent employees, that much is clear from the papers. Mr Nguvauva filed the dispute on behalf of the employees and from thereon was the driving force behind the matter. Mr Nguvauva made all the appearances before arbitrator and deposed to all the relevant affidavits on behalf of the employees.  Throughout Mr Nguvauva declared for example:</w:t>
      </w:r>
    </w:p>
    <w:p w:rsidR="00C35CEE" w:rsidRDefault="00C35CEE" w:rsidP="00B501CB">
      <w:pPr>
        <w:spacing w:after="0" w:line="360" w:lineRule="auto"/>
        <w:jc w:val="both"/>
        <w:rPr>
          <w:rFonts w:ascii="Arial" w:hAnsi="Arial" w:cs="Arial"/>
          <w:sz w:val="24"/>
          <w:szCs w:val="24"/>
        </w:rPr>
      </w:pPr>
    </w:p>
    <w:p w:rsidR="001932BB" w:rsidRPr="00087294" w:rsidRDefault="00087294" w:rsidP="00087294">
      <w:pPr>
        <w:spacing w:line="360" w:lineRule="auto"/>
        <w:ind w:left="644" w:hanging="360"/>
        <w:jc w:val="both"/>
        <w:rPr>
          <w:rFonts w:ascii="Arial" w:hAnsi="Arial" w:cs="Arial"/>
        </w:rPr>
      </w:pPr>
      <w:r>
        <w:rPr>
          <w:rFonts w:ascii="Arial" w:eastAsia="Times New Roman" w:hAnsi="Arial" w:cs="Arial"/>
          <w:sz w:val="24"/>
          <w:szCs w:val="24"/>
          <w:lang w:val="en-GB" w:eastAsia="en-GB"/>
        </w:rPr>
        <w:t>a)</w:t>
      </w:r>
      <w:r>
        <w:rPr>
          <w:rFonts w:ascii="Arial" w:eastAsia="Times New Roman" w:hAnsi="Arial" w:cs="Arial"/>
          <w:sz w:val="24"/>
          <w:szCs w:val="24"/>
          <w:lang w:val="en-GB" w:eastAsia="en-GB"/>
        </w:rPr>
        <w:tab/>
      </w:r>
      <w:r w:rsidR="001932BB" w:rsidRPr="00087294">
        <w:rPr>
          <w:rFonts w:ascii="Arial" w:hAnsi="Arial" w:cs="Arial"/>
        </w:rPr>
        <w:t>In the answering affidavit in respect of the initial application to dismiss the appellant’s claim that the dispute prescribed:</w:t>
      </w:r>
    </w:p>
    <w:p w:rsidR="001932BB" w:rsidRDefault="001932BB" w:rsidP="00B501CB">
      <w:pPr>
        <w:spacing w:after="0" w:line="360" w:lineRule="auto"/>
        <w:ind w:left="1080"/>
        <w:jc w:val="both"/>
        <w:rPr>
          <w:rFonts w:ascii="Arial" w:hAnsi="Arial" w:cs="Arial"/>
        </w:rPr>
      </w:pPr>
      <w:r>
        <w:rPr>
          <w:rFonts w:ascii="Arial" w:hAnsi="Arial" w:cs="Arial"/>
        </w:rPr>
        <w:t>‘</w:t>
      </w:r>
      <w:r w:rsidRPr="00EA14CF">
        <w:rPr>
          <w:rFonts w:ascii="Arial" w:hAnsi="Arial" w:cs="Arial"/>
          <w:u w:val="single"/>
        </w:rPr>
        <w:t>Generally</w:t>
      </w:r>
    </w:p>
    <w:p w:rsidR="001932BB" w:rsidRDefault="001932BB" w:rsidP="00B501CB">
      <w:pPr>
        <w:spacing w:after="0" w:line="360" w:lineRule="auto"/>
        <w:ind w:left="1080"/>
        <w:jc w:val="both"/>
        <w:rPr>
          <w:rFonts w:ascii="Arial" w:hAnsi="Arial" w:cs="Arial"/>
        </w:rPr>
      </w:pPr>
      <w:r>
        <w:rPr>
          <w:rFonts w:ascii="Arial" w:hAnsi="Arial" w:cs="Arial"/>
        </w:rPr>
        <w:t>The facts I depose to fall within my personal knowledge unless the contrary appears from context. I have been duly authorized to oppose this application on behalf of the applicants and depose to this affidavit on their behalf….’</w:t>
      </w:r>
    </w:p>
    <w:p w:rsidR="001932BB" w:rsidRPr="00087294" w:rsidRDefault="00087294" w:rsidP="00087294">
      <w:pPr>
        <w:spacing w:line="360" w:lineRule="auto"/>
        <w:ind w:left="644" w:hanging="360"/>
        <w:jc w:val="both"/>
        <w:rPr>
          <w:rFonts w:ascii="Arial" w:hAnsi="Arial" w:cs="Arial"/>
        </w:rPr>
      </w:pPr>
      <w:r>
        <w:rPr>
          <w:rFonts w:ascii="Arial" w:eastAsia="Times New Roman" w:hAnsi="Arial" w:cs="Arial"/>
          <w:sz w:val="24"/>
          <w:szCs w:val="24"/>
          <w:lang w:val="en-GB" w:eastAsia="en-GB"/>
        </w:rPr>
        <w:t>b)</w:t>
      </w:r>
      <w:r>
        <w:rPr>
          <w:rFonts w:ascii="Arial" w:eastAsia="Times New Roman" w:hAnsi="Arial" w:cs="Arial"/>
          <w:sz w:val="24"/>
          <w:szCs w:val="24"/>
          <w:lang w:val="en-GB" w:eastAsia="en-GB"/>
        </w:rPr>
        <w:tab/>
      </w:r>
      <w:r w:rsidR="001932BB" w:rsidRPr="00087294">
        <w:rPr>
          <w:rFonts w:ascii="Arial" w:hAnsi="Arial" w:cs="Arial"/>
        </w:rPr>
        <w:t>In the affidavit made in terms of rule 28 to with the withdrawal application dated 3 September 2018:</w:t>
      </w:r>
    </w:p>
    <w:p w:rsidR="001932BB" w:rsidRPr="00B77325" w:rsidRDefault="001932BB" w:rsidP="00B501CB">
      <w:pPr>
        <w:pStyle w:val="ListParagraph"/>
        <w:spacing w:line="360" w:lineRule="auto"/>
        <w:ind w:left="1080"/>
        <w:jc w:val="both"/>
        <w:rPr>
          <w:rFonts w:ascii="Arial" w:hAnsi="Arial" w:cs="Arial"/>
          <w:sz w:val="22"/>
          <w:szCs w:val="22"/>
        </w:rPr>
      </w:pPr>
      <w:r w:rsidRPr="00B77325">
        <w:rPr>
          <w:rFonts w:ascii="Arial" w:hAnsi="Arial" w:cs="Arial"/>
          <w:sz w:val="22"/>
          <w:szCs w:val="22"/>
        </w:rPr>
        <w:t>‘I am duly authorised to bring this application on behalf of the applicants and I depose to this affidavit for that purpose.’</w:t>
      </w:r>
    </w:p>
    <w:p w:rsidR="001932BB" w:rsidRPr="004E7D1A" w:rsidRDefault="001932BB" w:rsidP="00B501CB">
      <w:pPr>
        <w:spacing w:after="0" w:line="360" w:lineRule="auto"/>
        <w:ind w:left="1080"/>
        <w:jc w:val="both"/>
        <w:rPr>
          <w:rFonts w:ascii="Arial" w:hAnsi="Arial" w:cs="Arial"/>
        </w:rPr>
      </w:pPr>
      <w:r w:rsidRPr="004E7D1A">
        <w:rPr>
          <w:rFonts w:ascii="Arial" w:hAnsi="Arial" w:cs="Arial"/>
        </w:rPr>
        <w:t xml:space="preserve">  </w:t>
      </w: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52</w:t>
      </w:r>
      <w:r>
        <w:rPr>
          <w:rFonts w:ascii="Arial" w:hAnsi="Arial" w:cs="Arial"/>
          <w:sz w:val="24"/>
          <w:szCs w:val="24"/>
        </w:rPr>
        <w:t>]</w:t>
      </w:r>
      <w:r>
        <w:rPr>
          <w:rFonts w:ascii="Arial" w:hAnsi="Arial" w:cs="Arial"/>
          <w:sz w:val="24"/>
          <w:szCs w:val="24"/>
        </w:rPr>
        <w:tab/>
        <w:t xml:space="preserve"> What is interesting from the affidavits by Mr Nguvauva, as well as his letter dated 26 November 2019 to the Labour Commissioner</w:t>
      </w:r>
      <w:r w:rsidR="0063155F">
        <w:rPr>
          <w:rFonts w:ascii="Arial" w:hAnsi="Arial" w:cs="Arial"/>
          <w:sz w:val="24"/>
          <w:szCs w:val="24"/>
        </w:rPr>
        <w:t>,</w:t>
      </w:r>
      <w:r>
        <w:rPr>
          <w:rFonts w:ascii="Arial" w:hAnsi="Arial" w:cs="Arial"/>
          <w:sz w:val="24"/>
          <w:szCs w:val="24"/>
        </w:rPr>
        <w:t xml:space="preserve"> is that he never states that he had no authority to enter into the settlement agreement. In the letter Mr Nguvauva refers to the </w:t>
      </w:r>
      <w:r>
        <w:rPr>
          <w:rFonts w:ascii="Arial" w:hAnsi="Arial" w:cs="Arial"/>
          <w:sz w:val="24"/>
          <w:szCs w:val="24"/>
        </w:rPr>
        <w:lastRenderedPageBreak/>
        <w:t xml:space="preserve">withdrawal of the dispute as ‘un-procedural’ and further states in para 9 </w:t>
      </w:r>
      <w:r w:rsidR="00233CCF" w:rsidRPr="0063155F">
        <w:rPr>
          <w:rFonts w:ascii="Arial" w:hAnsi="Arial" w:cs="Arial"/>
          <w:sz w:val="24"/>
          <w:szCs w:val="24"/>
        </w:rPr>
        <w:t>of</w:t>
      </w:r>
      <w:r w:rsidR="00233CCF">
        <w:rPr>
          <w:rFonts w:ascii="Arial" w:hAnsi="Arial" w:cs="Arial"/>
          <w:sz w:val="24"/>
          <w:szCs w:val="24"/>
        </w:rPr>
        <w:t xml:space="preserve"> </w:t>
      </w:r>
      <w:r>
        <w:rPr>
          <w:rFonts w:ascii="Arial" w:hAnsi="Arial" w:cs="Arial"/>
          <w:sz w:val="24"/>
          <w:szCs w:val="24"/>
        </w:rPr>
        <w:t>his founding affidavit in support of the application in terms of r</w:t>
      </w:r>
      <w:r w:rsidR="00233CCF">
        <w:rPr>
          <w:rFonts w:ascii="Arial" w:hAnsi="Arial" w:cs="Arial"/>
          <w:sz w:val="24"/>
          <w:szCs w:val="24"/>
        </w:rPr>
        <w:t>ule</w:t>
      </w:r>
      <w:r>
        <w:rPr>
          <w:rFonts w:ascii="Arial" w:hAnsi="Arial" w:cs="Arial"/>
          <w:sz w:val="24"/>
          <w:szCs w:val="24"/>
        </w:rPr>
        <w:t xml:space="preserve"> 28 that</w:t>
      </w:r>
      <w:r>
        <w:rPr>
          <w:rStyle w:val="FootnoteReference"/>
          <w:rFonts w:ascii="Arial" w:hAnsi="Arial" w:cs="Arial"/>
          <w:sz w:val="24"/>
          <w:szCs w:val="24"/>
        </w:rPr>
        <w:footnoteReference w:id="26"/>
      </w:r>
      <w:r>
        <w:rPr>
          <w:rFonts w:ascii="Arial" w:hAnsi="Arial" w:cs="Arial"/>
          <w:sz w:val="24"/>
          <w:szCs w:val="24"/>
        </w:rPr>
        <w:t>:</w:t>
      </w:r>
    </w:p>
    <w:p w:rsidR="001932BB" w:rsidRDefault="001932BB" w:rsidP="00B501CB">
      <w:pPr>
        <w:spacing w:after="0" w:line="360" w:lineRule="auto"/>
        <w:ind w:firstLine="720"/>
        <w:jc w:val="both"/>
        <w:rPr>
          <w:rFonts w:ascii="Arial" w:hAnsi="Arial" w:cs="Arial"/>
        </w:rPr>
      </w:pPr>
      <w:r w:rsidRPr="007B4ECD">
        <w:rPr>
          <w:rFonts w:ascii="Arial" w:hAnsi="Arial" w:cs="Arial"/>
        </w:rPr>
        <w:t xml:space="preserve"> ‘</w:t>
      </w:r>
      <w:r>
        <w:rPr>
          <w:rFonts w:ascii="Arial" w:hAnsi="Arial" w:cs="Arial"/>
        </w:rPr>
        <w:t xml:space="preserve">9. </w:t>
      </w:r>
      <w:r w:rsidRPr="007B4ECD">
        <w:rPr>
          <w:rFonts w:ascii="Arial" w:hAnsi="Arial" w:cs="Arial"/>
        </w:rPr>
        <w:t xml:space="preserve">Acting upon the settlement agreement, in my capacity as Secretary-General of the Namibian Farm Workers Union </w:t>
      </w:r>
      <w:r w:rsidRPr="007B4ECD">
        <w:rPr>
          <w:rFonts w:ascii="Arial" w:hAnsi="Arial" w:cs="Arial"/>
          <w:u w:val="single"/>
        </w:rPr>
        <w:t>filed a Notice of Withdrawal dated 3 September 2018 without the consent of the Applicants</w:t>
      </w:r>
      <w:r w:rsidRPr="007B4ECD">
        <w:rPr>
          <w:rFonts w:ascii="Arial" w:hAnsi="Arial" w:cs="Arial"/>
        </w:rPr>
        <w:t>.’</w:t>
      </w:r>
    </w:p>
    <w:p w:rsidR="00233CCF" w:rsidRPr="007B4ECD" w:rsidRDefault="00233CCF" w:rsidP="00B501CB">
      <w:pPr>
        <w:spacing w:after="0" w:line="360" w:lineRule="auto"/>
        <w:ind w:firstLine="720"/>
        <w:jc w:val="both"/>
        <w:rPr>
          <w:rFonts w:ascii="Arial" w:hAnsi="Arial" w:cs="Arial"/>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53</w:t>
      </w:r>
      <w:r>
        <w:rPr>
          <w:rFonts w:ascii="Arial" w:hAnsi="Arial" w:cs="Arial"/>
          <w:sz w:val="24"/>
          <w:szCs w:val="24"/>
        </w:rPr>
        <w:t>]</w:t>
      </w:r>
      <w:r>
        <w:rPr>
          <w:rFonts w:ascii="Arial" w:hAnsi="Arial" w:cs="Arial"/>
          <w:sz w:val="24"/>
          <w:szCs w:val="24"/>
        </w:rPr>
        <w:tab/>
        <w:t>Mr Nguvauva however then contradict</w:t>
      </w:r>
      <w:r w:rsidR="00233CCF">
        <w:rPr>
          <w:rFonts w:ascii="Arial" w:hAnsi="Arial" w:cs="Arial"/>
          <w:sz w:val="24"/>
          <w:szCs w:val="24"/>
        </w:rPr>
        <w:t>s</w:t>
      </w:r>
      <w:r>
        <w:rPr>
          <w:rFonts w:ascii="Arial" w:hAnsi="Arial" w:cs="Arial"/>
          <w:sz w:val="24"/>
          <w:szCs w:val="24"/>
        </w:rPr>
        <w:t xml:space="preserve"> himself in the very next affidavit (replying affidavit on behalf of the respondents) that he made on 2 March 2020, wherein he states</w:t>
      </w:r>
      <w:r>
        <w:rPr>
          <w:rStyle w:val="FootnoteReference"/>
          <w:rFonts w:ascii="Arial" w:hAnsi="Arial" w:cs="Arial"/>
          <w:sz w:val="24"/>
          <w:szCs w:val="24"/>
        </w:rPr>
        <w:footnoteReference w:id="27"/>
      </w:r>
      <w:r>
        <w:rPr>
          <w:rFonts w:ascii="Arial" w:hAnsi="Arial" w:cs="Arial"/>
          <w:sz w:val="24"/>
          <w:szCs w:val="24"/>
        </w:rPr>
        <w:t>:</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rPr>
      </w:pPr>
      <w:r>
        <w:rPr>
          <w:rFonts w:ascii="Arial" w:hAnsi="Arial" w:cs="Arial"/>
          <w:sz w:val="24"/>
          <w:szCs w:val="24"/>
        </w:rPr>
        <w:tab/>
      </w:r>
      <w:r w:rsidRPr="004924C5">
        <w:rPr>
          <w:rFonts w:ascii="Arial" w:hAnsi="Arial" w:cs="Arial"/>
        </w:rPr>
        <w:t>‘4. It is admitted that the matter between the parties under case number HC-MD-LAB-APP-AAA-2018/00016 was withdrawn by the appellant and that the dispute lodged under case number SRLU 38-1</w:t>
      </w:r>
      <w:r w:rsidR="00233CCF" w:rsidRPr="0063155F">
        <w:rPr>
          <w:rFonts w:ascii="Arial" w:hAnsi="Arial" w:cs="Arial"/>
        </w:rPr>
        <w:t>7</w:t>
      </w:r>
      <w:r w:rsidRPr="004924C5">
        <w:rPr>
          <w:rFonts w:ascii="Arial" w:hAnsi="Arial" w:cs="Arial"/>
        </w:rPr>
        <w:t xml:space="preserve"> was withdrawn by the applicants/respondents. The matter is settled between the parties as encapsulated by the settlement agreement attached hereto as annexure “A”. It was an error made of the case numbers</w:t>
      </w:r>
      <w:r>
        <w:rPr>
          <w:rFonts w:ascii="Arial" w:hAnsi="Arial" w:cs="Arial"/>
        </w:rPr>
        <w:t>.’</w:t>
      </w:r>
    </w:p>
    <w:p w:rsidR="00C35CEE" w:rsidRDefault="00C35CEE" w:rsidP="00B501CB">
      <w:pPr>
        <w:spacing w:after="0" w:line="360" w:lineRule="auto"/>
        <w:jc w:val="both"/>
        <w:rPr>
          <w:rFonts w:ascii="Arial" w:hAnsi="Arial" w:cs="Arial"/>
        </w:rPr>
      </w:pPr>
    </w:p>
    <w:p w:rsidR="001932BB" w:rsidRDefault="001932BB" w:rsidP="00B501CB">
      <w:pPr>
        <w:spacing w:after="0" w:line="360" w:lineRule="auto"/>
        <w:jc w:val="both"/>
        <w:rPr>
          <w:rFonts w:ascii="Arial" w:hAnsi="Arial" w:cs="Arial"/>
          <w:sz w:val="24"/>
          <w:szCs w:val="24"/>
        </w:rPr>
      </w:pPr>
      <w:r w:rsidRPr="00A70DF7">
        <w:rPr>
          <w:rFonts w:ascii="Arial" w:hAnsi="Arial" w:cs="Arial"/>
          <w:sz w:val="24"/>
          <w:szCs w:val="24"/>
        </w:rPr>
        <w:t>[</w:t>
      </w:r>
      <w:r w:rsidR="00E7346B">
        <w:rPr>
          <w:rFonts w:ascii="Arial" w:hAnsi="Arial" w:cs="Arial"/>
          <w:sz w:val="24"/>
          <w:szCs w:val="24"/>
        </w:rPr>
        <w:t>54</w:t>
      </w:r>
      <w:r w:rsidRPr="00A70DF7">
        <w:rPr>
          <w:rFonts w:ascii="Arial" w:hAnsi="Arial" w:cs="Arial"/>
          <w:sz w:val="24"/>
          <w:szCs w:val="24"/>
        </w:rPr>
        <w:t xml:space="preserve">] </w:t>
      </w:r>
      <w:r w:rsidRPr="00A70DF7">
        <w:rPr>
          <w:rFonts w:ascii="Arial" w:hAnsi="Arial" w:cs="Arial"/>
          <w:sz w:val="24"/>
          <w:szCs w:val="24"/>
        </w:rPr>
        <w:tab/>
        <w:t xml:space="preserve">And then to exacerbate this contradictory versions of Mr </w:t>
      </w:r>
      <w:r w:rsidR="00233CCF" w:rsidRPr="00A70DF7">
        <w:rPr>
          <w:rFonts w:ascii="Arial" w:hAnsi="Arial" w:cs="Arial"/>
          <w:sz w:val="24"/>
          <w:szCs w:val="24"/>
        </w:rPr>
        <w:t>Nguvauva</w:t>
      </w:r>
      <w:r w:rsidRPr="00A70DF7">
        <w:rPr>
          <w:rFonts w:ascii="Arial" w:hAnsi="Arial" w:cs="Arial"/>
          <w:sz w:val="24"/>
          <w:szCs w:val="24"/>
        </w:rPr>
        <w:t xml:space="preserve"> he concluded the replying affidavit by stating as follows in para 8 thereof:</w:t>
      </w:r>
    </w:p>
    <w:p w:rsidR="00C35CEE" w:rsidRPr="00A70DF7"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rPr>
      </w:pPr>
      <w:r>
        <w:rPr>
          <w:rFonts w:ascii="Arial" w:hAnsi="Arial" w:cs="Arial"/>
        </w:rPr>
        <w:tab/>
        <w:t>‘7. The application was made in error as the instruction to the legal practitioner to have the award by the arbitrator M</w:t>
      </w:r>
      <w:r w:rsidR="00233CCF">
        <w:rPr>
          <w:rFonts w:ascii="Arial" w:hAnsi="Arial" w:cs="Arial"/>
        </w:rPr>
        <w:t>s Nganj</w:t>
      </w:r>
      <w:r>
        <w:rPr>
          <w:rFonts w:ascii="Arial" w:hAnsi="Arial" w:cs="Arial"/>
        </w:rPr>
        <w:t xml:space="preserve">one enforced in the High Court. The application was intended to bring the matter under case SRKE 17-17 to renegotiate the dismissal of the applicant by the respondent. A letter to the respondent’s legal practitioner was addressed to this effect as per annexure “B” attached hereto. </w:t>
      </w:r>
    </w:p>
    <w:p w:rsidR="001932BB" w:rsidRDefault="001932BB" w:rsidP="00B501CB">
      <w:pPr>
        <w:spacing w:after="0" w:line="360" w:lineRule="auto"/>
        <w:ind w:firstLine="720"/>
        <w:jc w:val="both"/>
        <w:rPr>
          <w:rFonts w:ascii="Arial" w:hAnsi="Arial" w:cs="Arial"/>
        </w:rPr>
      </w:pPr>
      <w:r>
        <w:rPr>
          <w:rFonts w:ascii="Arial" w:hAnsi="Arial" w:cs="Arial"/>
        </w:rPr>
        <w:t xml:space="preserve">8.  I submit that the matter under case number SRKE 17-17 be the matter that is to be heard before the Labour Commissioner and condone the erroneous filing of the application dated 5 December 2019 and that each party pay their own legal costs </w:t>
      </w:r>
      <w:r w:rsidRPr="00486D96">
        <w:rPr>
          <w:rFonts w:ascii="Arial" w:hAnsi="Arial" w:cs="Arial"/>
          <w:u w:val="single"/>
        </w:rPr>
        <w:t>as agreed in the settlement agreement</w:t>
      </w:r>
      <w:r>
        <w:rPr>
          <w:rFonts w:ascii="Arial" w:hAnsi="Arial" w:cs="Arial"/>
        </w:rPr>
        <w:t>.’ (my underlining)</w:t>
      </w:r>
    </w:p>
    <w:p w:rsidR="00C35CEE" w:rsidRDefault="00C35CEE" w:rsidP="00B501CB">
      <w:pPr>
        <w:spacing w:after="0" w:line="360" w:lineRule="auto"/>
        <w:ind w:firstLine="720"/>
        <w:jc w:val="both"/>
        <w:rPr>
          <w:rFonts w:ascii="Arial" w:hAnsi="Arial" w:cs="Arial"/>
        </w:rPr>
      </w:pPr>
    </w:p>
    <w:p w:rsidR="001932BB" w:rsidRDefault="001932BB" w:rsidP="00B501CB">
      <w:pPr>
        <w:spacing w:after="0" w:line="360" w:lineRule="auto"/>
        <w:jc w:val="both"/>
        <w:rPr>
          <w:rFonts w:ascii="Arial" w:hAnsi="Arial" w:cs="Arial"/>
          <w:sz w:val="24"/>
          <w:szCs w:val="24"/>
        </w:rPr>
      </w:pPr>
      <w:r w:rsidRPr="00A70DF7">
        <w:rPr>
          <w:rFonts w:ascii="Arial" w:hAnsi="Arial" w:cs="Arial"/>
          <w:sz w:val="24"/>
          <w:szCs w:val="24"/>
        </w:rPr>
        <w:t>[</w:t>
      </w:r>
      <w:r w:rsidR="00E7346B">
        <w:rPr>
          <w:rFonts w:ascii="Arial" w:hAnsi="Arial" w:cs="Arial"/>
          <w:sz w:val="24"/>
          <w:szCs w:val="24"/>
        </w:rPr>
        <w:t>55</w:t>
      </w:r>
      <w:r w:rsidRPr="00A70DF7">
        <w:rPr>
          <w:rFonts w:ascii="Arial" w:hAnsi="Arial" w:cs="Arial"/>
          <w:sz w:val="24"/>
          <w:szCs w:val="24"/>
        </w:rPr>
        <w:t>]</w:t>
      </w:r>
      <w:r w:rsidRPr="00A70DF7">
        <w:rPr>
          <w:rFonts w:ascii="Arial" w:hAnsi="Arial" w:cs="Arial"/>
          <w:sz w:val="24"/>
          <w:szCs w:val="24"/>
        </w:rPr>
        <w:tab/>
        <w:t>This last paragraph is with reference to the rule 28 application to withdraw notice of withdrawal dated 3 September 2018</w:t>
      </w:r>
      <w:r>
        <w:rPr>
          <w:rFonts w:ascii="Arial" w:hAnsi="Arial" w:cs="Arial"/>
          <w:sz w:val="24"/>
          <w:szCs w:val="24"/>
        </w:rPr>
        <w:t xml:space="preserve">, which was apparently filed in error. In this </w:t>
      </w:r>
      <w:r w:rsidRPr="0063155F">
        <w:rPr>
          <w:rFonts w:ascii="Arial" w:hAnsi="Arial" w:cs="Arial"/>
          <w:sz w:val="24"/>
          <w:szCs w:val="24"/>
        </w:rPr>
        <w:t>paragraph Mr Nguvauva however yet again confirm</w:t>
      </w:r>
      <w:r w:rsidR="00233CCF" w:rsidRPr="0063155F">
        <w:rPr>
          <w:rFonts w:ascii="Arial" w:hAnsi="Arial" w:cs="Arial"/>
          <w:sz w:val="24"/>
          <w:szCs w:val="24"/>
        </w:rPr>
        <w:t>s</w:t>
      </w:r>
      <w:r w:rsidRPr="0063155F">
        <w:rPr>
          <w:rFonts w:ascii="Arial" w:hAnsi="Arial" w:cs="Arial"/>
          <w:sz w:val="24"/>
          <w:szCs w:val="24"/>
        </w:rPr>
        <w:t xml:space="preserve"> the settlement agreement </w:t>
      </w:r>
      <w:r w:rsidR="00233CCF" w:rsidRPr="0063155F">
        <w:rPr>
          <w:rFonts w:ascii="Arial" w:hAnsi="Arial" w:cs="Arial"/>
          <w:sz w:val="24"/>
          <w:szCs w:val="24"/>
        </w:rPr>
        <w:t xml:space="preserve">and </w:t>
      </w:r>
      <w:r>
        <w:rPr>
          <w:rFonts w:ascii="Arial" w:hAnsi="Arial" w:cs="Arial"/>
          <w:sz w:val="24"/>
          <w:szCs w:val="24"/>
        </w:rPr>
        <w:t xml:space="preserve">the validity thereof. </w:t>
      </w:r>
    </w:p>
    <w:p w:rsidR="00C35CEE" w:rsidRPr="00A70DF7"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lastRenderedPageBreak/>
        <w:t xml:space="preserve"> [</w:t>
      </w:r>
      <w:r w:rsidR="00E7346B">
        <w:rPr>
          <w:rFonts w:ascii="Arial" w:hAnsi="Arial" w:cs="Arial"/>
          <w:sz w:val="24"/>
          <w:szCs w:val="24"/>
        </w:rPr>
        <w:t>56</w:t>
      </w:r>
      <w:r>
        <w:rPr>
          <w:rFonts w:ascii="Arial" w:hAnsi="Arial" w:cs="Arial"/>
          <w:sz w:val="24"/>
          <w:szCs w:val="24"/>
        </w:rPr>
        <w:t>]</w:t>
      </w:r>
      <w:r>
        <w:rPr>
          <w:rFonts w:ascii="Arial" w:hAnsi="Arial" w:cs="Arial"/>
          <w:sz w:val="24"/>
          <w:szCs w:val="24"/>
        </w:rPr>
        <w:tab/>
        <w:t>It is actually difficult to grasp what Mr Nguvauva is getting at but it appears that the application to withdraw the withdrawal was incorrectly filed yet the arbitrator seems not to consider these glaring contradictions but focuses on the consent issue only, as I will illustrate.</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57</w:t>
      </w:r>
      <w:r>
        <w:rPr>
          <w:rFonts w:ascii="Arial" w:hAnsi="Arial" w:cs="Arial"/>
          <w:sz w:val="24"/>
          <w:szCs w:val="24"/>
        </w:rPr>
        <w:t>]</w:t>
      </w:r>
      <w:r>
        <w:rPr>
          <w:rFonts w:ascii="Arial" w:hAnsi="Arial" w:cs="Arial"/>
          <w:sz w:val="24"/>
          <w:szCs w:val="24"/>
        </w:rPr>
        <w:tab/>
        <w:t>Further to that if one considers the statement made under oath by Mr Yikoghahogha on 18 November 2019</w:t>
      </w:r>
      <w:r w:rsidR="00233CCF">
        <w:rPr>
          <w:rFonts w:ascii="Arial" w:hAnsi="Arial" w:cs="Arial"/>
          <w:sz w:val="24"/>
          <w:szCs w:val="24"/>
        </w:rPr>
        <w:t>,</w:t>
      </w:r>
      <w:r>
        <w:rPr>
          <w:rFonts w:ascii="Arial" w:hAnsi="Arial" w:cs="Arial"/>
          <w:sz w:val="24"/>
          <w:szCs w:val="24"/>
        </w:rPr>
        <w:t xml:space="preserve"> the complaint was not that Mr Nguvauva had no authority to enter into a settlement agreement with the appellant, the complaint</w:t>
      </w:r>
      <w:r w:rsidR="00233CCF">
        <w:rPr>
          <w:rFonts w:ascii="Arial" w:hAnsi="Arial" w:cs="Arial"/>
          <w:sz w:val="24"/>
          <w:szCs w:val="24"/>
        </w:rPr>
        <w:t xml:space="preserve"> </w:t>
      </w:r>
      <w:r>
        <w:rPr>
          <w:rFonts w:ascii="Arial" w:hAnsi="Arial" w:cs="Arial"/>
          <w:sz w:val="24"/>
          <w:szCs w:val="24"/>
        </w:rPr>
        <w:t xml:space="preserve">is regarding the withdrawal of the complaint/dispute. It is thus interesting that respondents’ representative had the apparent authority </w:t>
      </w:r>
      <w:r w:rsidRPr="0063155F">
        <w:rPr>
          <w:rFonts w:ascii="Arial" w:hAnsi="Arial" w:cs="Arial"/>
          <w:sz w:val="24"/>
          <w:szCs w:val="24"/>
        </w:rPr>
        <w:t xml:space="preserve">to </w:t>
      </w:r>
      <w:r w:rsidR="00233CCF" w:rsidRPr="0063155F">
        <w:rPr>
          <w:rFonts w:ascii="Arial" w:hAnsi="Arial" w:cs="Arial"/>
          <w:sz w:val="24"/>
          <w:szCs w:val="24"/>
        </w:rPr>
        <w:t xml:space="preserve">enter into a </w:t>
      </w:r>
      <w:r>
        <w:rPr>
          <w:rFonts w:ascii="Arial" w:hAnsi="Arial" w:cs="Arial"/>
          <w:sz w:val="24"/>
          <w:szCs w:val="24"/>
        </w:rPr>
        <w:t>compromise</w:t>
      </w:r>
      <w:r w:rsidR="00233CCF">
        <w:rPr>
          <w:rFonts w:ascii="Arial" w:hAnsi="Arial" w:cs="Arial"/>
          <w:sz w:val="24"/>
          <w:szCs w:val="24"/>
        </w:rPr>
        <w:t xml:space="preserve"> </w:t>
      </w:r>
      <w:r w:rsidR="00233CCF" w:rsidRPr="0063155F">
        <w:rPr>
          <w:rFonts w:ascii="Arial" w:hAnsi="Arial" w:cs="Arial"/>
          <w:sz w:val="24"/>
          <w:szCs w:val="24"/>
        </w:rPr>
        <w:t>with</w:t>
      </w:r>
      <w:r w:rsidRPr="0063155F">
        <w:rPr>
          <w:rFonts w:ascii="Arial" w:hAnsi="Arial" w:cs="Arial"/>
          <w:sz w:val="24"/>
          <w:szCs w:val="24"/>
        </w:rPr>
        <w:t xml:space="preserve"> the</w:t>
      </w:r>
      <w:r w:rsidR="00233CCF" w:rsidRPr="0063155F">
        <w:rPr>
          <w:rFonts w:ascii="Arial" w:hAnsi="Arial" w:cs="Arial"/>
          <w:sz w:val="24"/>
          <w:szCs w:val="24"/>
        </w:rPr>
        <w:t xml:space="preserve"> appellant </w:t>
      </w:r>
      <w:r w:rsidRPr="0063155F">
        <w:rPr>
          <w:rFonts w:ascii="Arial" w:hAnsi="Arial" w:cs="Arial"/>
          <w:sz w:val="24"/>
          <w:szCs w:val="24"/>
        </w:rPr>
        <w:t xml:space="preserve">but </w:t>
      </w:r>
      <w:r>
        <w:rPr>
          <w:rFonts w:ascii="Arial" w:hAnsi="Arial" w:cs="Arial"/>
          <w:sz w:val="24"/>
          <w:szCs w:val="24"/>
        </w:rPr>
        <w:t>not the consent to execute the terms of the agreement. This makes no sense.</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58</w:t>
      </w:r>
      <w:r>
        <w:rPr>
          <w:rFonts w:ascii="Arial" w:hAnsi="Arial" w:cs="Arial"/>
          <w:sz w:val="24"/>
          <w:szCs w:val="24"/>
        </w:rPr>
        <w:t>]</w:t>
      </w:r>
      <w:r>
        <w:rPr>
          <w:rFonts w:ascii="Arial" w:hAnsi="Arial" w:cs="Arial"/>
          <w:sz w:val="24"/>
          <w:szCs w:val="24"/>
        </w:rPr>
        <w:tab/>
        <w:t xml:space="preserve">In his reasons the arbitrator appreciated that the settlement agreement was in full and final settlement of the complaint registered under case SRLU 38-17 in the Office of the Labour Commissioner as well as the appeal against the ruling of Ms Nganjone and as part of the </w:t>
      </w:r>
      <w:r w:rsidR="00233CCF">
        <w:rPr>
          <w:rFonts w:ascii="Arial" w:hAnsi="Arial" w:cs="Arial"/>
          <w:sz w:val="24"/>
          <w:szCs w:val="24"/>
        </w:rPr>
        <w:t>respondent’s</w:t>
      </w:r>
      <w:r>
        <w:rPr>
          <w:rFonts w:ascii="Arial" w:hAnsi="Arial" w:cs="Arial"/>
          <w:sz w:val="24"/>
          <w:szCs w:val="24"/>
        </w:rPr>
        <w:t xml:space="preserve"> obligations case SRLU 38-17 had to be withdrawn. This much is clear from the fact that the arbitrator directs in his order that case SRKE 17-17 proceed in due course and this was in fact a term of the settlement agreement.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59</w:t>
      </w:r>
      <w:r>
        <w:rPr>
          <w:rFonts w:ascii="Arial" w:hAnsi="Arial" w:cs="Arial"/>
          <w:sz w:val="24"/>
          <w:szCs w:val="24"/>
        </w:rPr>
        <w:t>]</w:t>
      </w:r>
      <w:r>
        <w:rPr>
          <w:rFonts w:ascii="Arial" w:hAnsi="Arial" w:cs="Arial"/>
          <w:sz w:val="24"/>
          <w:szCs w:val="24"/>
        </w:rPr>
        <w:tab/>
        <w:t xml:space="preserve">On this point I must express my confusion with the ruling of the arbitrator when he sets the notice of withdrawal of case SRLU 38-17 aside but does not direct that case SRLU 38-17 will receive dates for hearing in due course, but indeed case SRKE 17-17, which I need to point out </w:t>
      </w:r>
      <w:r w:rsidR="00233CCF">
        <w:rPr>
          <w:rFonts w:ascii="Arial" w:hAnsi="Arial" w:cs="Arial"/>
          <w:sz w:val="24"/>
          <w:szCs w:val="24"/>
        </w:rPr>
        <w:t>yet again</w:t>
      </w:r>
      <w:r>
        <w:rPr>
          <w:rFonts w:ascii="Arial" w:hAnsi="Arial" w:cs="Arial"/>
          <w:sz w:val="24"/>
          <w:szCs w:val="24"/>
        </w:rPr>
        <w:t xml:space="preserve">, is two different matters.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60</w:t>
      </w:r>
      <w:r>
        <w:rPr>
          <w:rFonts w:ascii="Arial" w:hAnsi="Arial" w:cs="Arial"/>
          <w:sz w:val="24"/>
          <w:szCs w:val="24"/>
        </w:rPr>
        <w:t>]</w:t>
      </w:r>
      <w:r>
        <w:rPr>
          <w:rFonts w:ascii="Arial" w:hAnsi="Arial" w:cs="Arial"/>
          <w:sz w:val="24"/>
          <w:szCs w:val="24"/>
        </w:rPr>
        <w:tab/>
        <w:t xml:space="preserve"> By setting aside the notice of withdrawal the arbitrator in effect also set aside the settlement agreement, which he could not do.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61</w:t>
      </w:r>
      <w:r>
        <w:rPr>
          <w:rFonts w:ascii="Arial" w:hAnsi="Arial" w:cs="Arial"/>
          <w:sz w:val="24"/>
          <w:szCs w:val="24"/>
        </w:rPr>
        <w:t>]</w:t>
      </w:r>
      <w:r>
        <w:rPr>
          <w:rFonts w:ascii="Arial" w:hAnsi="Arial" w:cs="Arial"/>
          <w:sz w:val="24"/>
          <w:szCs w:val="24"/>
        </w:rPr>
        <w:tab/>
        <w:t xml:space="preserve">Under any other circumstances the arbitrator would have been able to deal with the withdrawal of a notice of withdrawal and direct that the matter proceed but not in the current instance as the respondents had to apply to a court with the necessary jurisdiction to set aside the settlement agreement, or in the </w:t>
      </w:r>
      <w:r w:rsidRPr="00386462">
        <w:rPr>
          <w:rFonts w:ascii="Arial" w:hAnsi="Arial" w:cs="Arial"/>
          <w:sz w:val="24"/>
          <w:szCs w:val="24"/>
        </w:rPr>
        <w:t xml:space="preserve">instance where </w:t>
      </w:r>
      <w:r w:rsidR="0063155F" w:rsidRPr="00386462">
        <w:rPr>
          <w:rFonts w:ascii="Arial" w:hAnsi="Arial" w:cs="Arial"/>
          <w:sz w:val="24"/>
          <w:szCs w:val="24"/>
        </w:rPr>
        <w:t xml:space="preserve">as alleged </w:t>
      </w:r>
      <w:r>
        <w:rPr>
          <w:rFonts w:ascii="Arial" w:hAnsi="Arial" w:cs="Arial"/>
          <w:sz w:val="24"/>
          <w:szCs w:val="24"/>
        </w:rPr>
        <w:t xml:space="preserve">Mr Nguvauva had no authority to conclude the settlement agreement, to declare the agreement void </w:t>
      </w:r>
      <w:r w:rsidRPr="00F74702">
        <w:rPr>
          <w:rFonts w:ascii="Arial" w:hAnsi="Arial" w:cs="Arial"/>
          <w:i/>
          <w:sz w:val="24"/>
          <w:szCs w:val="24"/>
        </w:rPr>
        <w:t>ab initio</w:t>
      </w:r>
      <w:r>
        <w:rPr>
          <w:rFonts w:ascii="Arial" w:hAnsi="Arial" w:cs="Arial"/>
          <w:sz w:val="24"/>
          <w:szCs w:val="24"/>
        </w:rPr>
        <w:t xml:space="preserve">. The route opted for by the respondents, via the arbitrator, was the incorrect one as the arbitrator had no jurisdiction to set aside the notice of withdrawal and effectively the settlement agreement.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lastRenderedPageBreak/>
        <w:t xml:space="preserve"> [</w:t>
      </w:r>
      <w:r w:rsidR="00E7346B">
        <w:rPr>
          <w:rFonts w:ascii="Arial" w:hAnsi="Arial" w:cs="Arial"/>
          <w:sz w:val="24"/>
          <w:szCs w:val="24"/>
        </w:rPr>
        <w:t>62</w:t>
      </w:r>
      <w:r>
        <w:rPr>
          <w:rFonts w:ascii="Arial" w:hAnsi="Arial" w:cs="Arial"/>
          <w:sz w:val="24"/>
          <w:szCs w:val="24"/>
        </w:rPr>
        <w:t>]</w:t>
      </w:r>
      <w:r>
        <w:rPr>
          <w:rFonts w:ascii="Arial" w:hAnsi="Arial" w:cs="Arial"/>
          <w:sz w:val="24"/>
          <w:szCs w:val="24"/>
        </w:rPr>
        <w:tab/>
        <w:t xml:space="preserve">It is interesting to note the arbitrator’s reasoning in order to come to the conclusion that the withdrawal could be withdrawn. The arbitrator based his reasoning on para 2.3 of the settlement agreement and para 9 of the founding affidavit of Mr Nguvauva </w:t>
      </w:r>
      <w:r w:rsidR="00233CCF">
        <w:rPr>
          <w:rFonts w:ascii="Arial" w:hAnsi="Arial" w:cs="Arial"/>
          <w:sz w:val="24"/>
          <w:szCs w:val="24"/>
        </w:rPr>
        <w:t xml:space="preserve">(referred to above at para </w:t>
      </w:r>
      <w:r w:rsidR="00233CCF" w:rsidRPr="00F74702">
        <w:rPr>
          <w:rFonts w:ascii="Arial" w:hAnsi="Arial" w:cs="Arial"/>
          <w:sz w:val="24"/>
          <w:szCs w:val="24"/>
        </w:rPr>
        <w:t>52</w:t>
      </w:r>
      <w:r>
        <w:rPr>
          <w:rFonts w:ascii="Arial" w:hAnsi="Arial" w:cs="Arial"/>
          <w:sz w:val="24"/>
          <w:szCs w:val="24"/>
        </w:rPr>
        <w:t>) and concluded that ‘a logical inference can be drawn that the withdrawal was not part of the final settlement</w:t>
      </w:r>
      <w:r>
        <w:rPr>
          <w:rStyle w:val="FootnoteReference"/>
          <w:rFonts w:ascii="Arial" w:hAnsi="Arial" w:cs="Arial"/>
          <w:sz w:val="24"/>
          <w:szCs w:val="24"/>
        </w:rPr>
        <w:footnoteReference w:id="28"/>
      </w:r>
      <w:r>
        <w:rPr>
          <w:rFonts w:ascii="Arial" w:hAnsi="Arial" w:cs="Arial"/>
          <w:sz w:val="24"/>
          <w:szCs w:val="24"/>
        </w:rPr>
        <w:t>’.</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63</w:t>
      </w:r>
      <w:r>
        <w:rPr>
          <w:rFonts w:ascii="Arial" w:hAnsi="Arial" w:cs="Arial"/>
          <w:sz w:val="24"/>
          <w:szCs w:val="24"/>
        </w:rPr>
        <w:t>]</w:t>
      </w:r>
      <w:r>
        <w:rPr>
          <w:rFonts w:ascii="Arial" w:hAnsi="Arial" w:cs="Arial"/>
          <w:sz w:val="24"/>
          <w:szCs w:val="24"/>
        </w:rPr>
        <w:tab/>
        <w:t xml:space="preserve"> Para 2.3 of the settlement agreement reads as follows: </w:t>
      </w:r>
    </w:p>
    <w:p w:rsidR="001932BB" w:rsidRDefault="001932BB" w:rsidP="00B501CB">
      <w:pPr>
        <w:spacing w:after="0" w:line="360" w:lineRule="auto"/>
        <w:jc w:val="both"/>
        <w:rPr>
          <w:rFonts w:ascii="Arial" w:hAnsi="Arial" w:cs="Arial"/>
        </w:rPr>
      </w:pPr>
      <w:r>
        <w:rPr>
          <w:rFonts w:ascii="Arial" w:hAnsi="Arial" w:cs="Arial"/>
          <w:sz w:val="24"/>
          <w:szCs w:val="24"/>
        </w:rPr>
        <w:tab/>
      </w:r>
      <w:r w:rsidR="00233CCF" w:rsidRPr="00770F8A">
        <w:rPr>
          <w:rFonts w:ascii="Arial" w:hAnsi="Arial" w:cs="Arial"/>
        </w:rPr>
        <w:t>‘2.3</w:t>
      </w:r>
      <w:r w:rsidRPr="00770F8A">
        <w:rPr>
          <w:rFonts w:ascii="Arial" w:hAnsi="Arial" w:cs="Arial"/>
        </w:rPr>
        <w:t xml:space="preserve"> The Respondents will herewith pursue the referral proceedings instituted on 15 March 2017 by the Respondents against the Appellants for unfair dismissal wherein the Respondents sought for their dismissal to be renegotiated through the Office of the Labour Commissioner under case number </w:t>
      </w:r>
      <w:r w:rsidRPr="00770F8A">
        <w:rPr>
          <w:rFonts w:ascii="Arial" w:hAnsi="Arial" w:cs="Arial"/>
          <w:b/>
        </w:rPr>
        <w:t>SRKE 17-17</w:t>
      </w:r>
      <w:r w:rsidRPr="00770F8A">
        <w:rPr>
          <w:rFonts w:ascii="Arial" w:hAnsi="Arial" w:cs="Arial"/>
        </w:rPr>
        <w:t xml:space="preserve"> and in this respect either party shall take any appropriate steps it deems necessary and appropriate </w:t>
      </w:r>
      <w:r w:rsidR="00233CCF" w:rsidRPr="00770F8A">
        <w:rPr>
          <w:rFonts w:ascii="Arial" w:hAnsi="Arial" w:cs="Arial"/>
        </w:rPr>
        <w:t>there towards</w:t>
      </w:r>
      <w:r w:rsidRPr="00770F8A">
        <w:rPr>
          <w:rFonts w:ascii="Arial" w:hAnsi="Arial" w:cs="Arial"/>
        </w:rPr>
        <w:t>’</w:t>
      </w:r>
    </w:p>
    <w:p w:rsidR="00C35CEE" w:rsidRDefault="00C35CEE" w:rsidP="00B501CB">
      <w:pPr>
        <w:spacing w:after="0" w:line="360" w:lineRule="auto"/>
        <w:jc w:val="both"/>
        <w:rPr>
          <w:rFonts w:ascii="Arial" w:hAnsi="Arial" w:cs="Arial"/>
        </w:rPr>
      </w:pPr>
    </w:p>
    <w:p w:rsidR="001932BB" w:rsidRDefault="001932BB" w:rsidP="00B501CB">
      <w:pPr>
        <w:spacing w:after="0" w:line="360" w:lineRule="auto"/>
        <w:jc w:val="both"/>
        <w:rPr>
          <w:rFonts w:ascii="Arial" w:hAnsi="Arial" w:cs="Arial"/>
          <w:sz w:val="24"/>
          <w:szCs w:val="24"/>
        </w:rPr>
      </w:pPr>
      <w:r w:rsidRPr="00770F8A">
        <w:rPr>
          <w:rFonts w:ascii="Arial" w:hAnsi="Arial" w:cs="Arial"/>
          <w:sz w:val="24"/>
          <w:szCs w:val="24"/>
        </w:rPr>
        <w:t>[</w:t>
      </w:r>
      <w:r w:rsidR="00E7346B">
        <w:rPr>
          <w:rFonts w:ascii="Arial" w:hAnsi="Arial" w:cs="Arial"/>
          <w:sz w:val="24"/>
          <w:szCs w:val="24"/>
        </w:rPr>
        <w:t>64</w:t>
      </w:r>
      <w:r w:rsidRPr="00770F8A">
        <w:rPr>
          <w:rFonts w:ascii="Arial" w:hAnsi="Arial" w:cs="Arial"/>
          <w:sz w:val="24"/>
          <w:szCs w:val="24"/>
        </w:rPr>
        <w:t>]</w:t>
      </w:r>
      <w:r w:rsidRPr="00770F8A">
        <w:rPr>
          <w:rFonts w:ascii="Arial" w:hAnsi="Arial" w:cs="Arial"/>
          <w:sz w:val="24"/>
          <w:szCs w:val="24"/>
        </w:rPr>
        <w:tab/>
        <w:t xml:space="preserve"> Para 2.3 has absolutely no bearing on the current matter</w:t>
      </w:r>
      <w:r>
        <w:rPr>
          <w:rFonts w:ascii="Arial" w:hAnsi="Arial" w:cs="Arial"/>
          <w:sz w:val="24"/>
          <w:szCs w:val="24"/>
        </w:rPr>
        <w:t>, SRLU 38-17,</w:t>
      </w:r>
      <w:r w:rsidRPr="00770F8A">
        <w:rPr>
          <w:rFonts w:ascii="Arial" w:hAnsi="Arial" w:cs="Arial"/>
          <w:sz w:val="24"/>
          <w:szCs w:val="24"/>
        </w:rPr>
        <w:t xml:space="preserve"> as it relates to a dispute registered under a different case number</w:t>
      </w:r>
      <w:r>
        <w:rPr>
          <w:rFonts w:ascii="Arial" w:hAnsi="Arial" w:cs="Arial"/>
          <w:sz w:val="24"/>
          <w:szCs w:val="24"/>
        </w:rPr>
        <w:t xml:space="preserve">, </w:t>
      </w:r>
      <w:r w:rsidR="00233CCF">
        <w:rPr>
          <w:rFonts w:ascii="Arial" w:hAnsi="Arial" w:cs="Arial"/>
          <w:sz w:val="24"/>
          <w:szCs w:val="24"/>
        </w:rPr>
        <w:t>i.e.</w:t>
      </w:r>
      <w:r>
        <w:rPr>
          <w:rFonts w:ascii="Arial" w:hAnsi="Arial" w:cs="Arial"/>
          <w:sz w:val="24"/>
          <w:szCs w:val="24"/>
        </w:rPr>
        <w:t xml:space="preserve"> SRKE 17-17</w:t>
      </w:r>
      <w:r w:rsidRPr="00770F8A">
        <w:rPr>
          <w:rFonts w:ascii="Arial" w:hAnsi="Arial" w:cs="Arial"/>
          <w:sz w:val="24"/>
          <w:szCs w:val="24"/>
        </w:rPr>
        <w:t xml:space="preserve">. </w:t>
      </w:r>
    </w:p>
    <w:p w:rsidR="00C35CEE" w:rsidRPr="00770F8A" w:rsidRDefault="00C35CEE" w:rsidP="00B501CB">
      <w:pPr>
        <w:spacing w:after="0" w:line="360" w:lineRule="auto"/>
        <w:jc w:val="both"/>
        <w:rPr>
          <w:rFonts w:ascii="Arial" w:hAnsi="Arial" w:cs="Arial"/>
          <w:sz w:val="24"/>
          <w:szCs w:val="24"/>
        </w:rPr>
      </w:pPr>
    </w:p>
    <w:p w:rsidR="001932BB" w:rsidRPr="00770F8A" w:rsidRDefault="001932BB" w:rsidP="00B501CB">
      <w:pPr>
        <w:spacing w:after="0" w:line="360" w:lineRule="auto"/>
        <w:jc w:val="both"/>
        <w:rPr>
          <w:rFonts w:ascii="Arial" w:hAnsi="Arial" w:cs="Arial"/>
          <w:sz w:val="24"/>
          <w:szCs w:val="24"/>
        </w:rPr>
      </w:pPr>
      <w:r w:rsidRPr="00770F8A">
        <w:rPr>
          <w:rFonts w:ascii="Arial" w:hAnsi="Arial" w:cs="Arial"/>
          <w:sz w:val="24"/>
          <w:szCs w:val="24"/>
        </w:rPr>
        <w:t>[</w:t>
      </w:r>
      <w:r w:rsidR="00E7346B">
        <w:rPr>
          <w:rFonts w:ascii="Arial" w:hAnsi="Arial" w:cs="Arial"/>
          <w:sz w:val="24"/>
          <w:szCs w:val="24"/>
        </w:rPr>
        <w:t>65</w:t>
      </w:r>
      <w:r w:rsidRPr="00770F8A">
        <w:rPr>
          <w:rFonts w:ascii="Arial" w:hAnsi="Arial" w:cs="Arial"/>
          <w:sz w:val="24"/>
          <w:szCs w:val="24"/>
        </w:rPr>
        <w:t>]</w:t>
      </w:r>
      <w:r w:rsidRPr="00770F8A">
        <w:rPr>
          <w:rFonts w:ascii="Arial" w:hAnsi="Arial" w:cs="Arial"/>
          <w:sz w:val="24"/>
          <w:szCs w:val="24"/>
        </w:rPr>
        <w:tab/>
        <w:t xml:space="preserve"> What is of relevant is para 2.1 of the settlement agreement which reads as follows:</w:t>
      </w:r>
    </w:p>
    <w:p w:rsidR="001932BB" w:rsidRDefault="001932BB" w:rsidP="00B501CB">
      <w:pPr>
        <w:spacing w:after="0" w:line="360" w:lineRule="auto"/>
        <w:jc w:val="both"/>
        <w:rPr>
          <w:rFonts w:ascii="Arial" w:hAnsi="Arial" w:cs="Arial"/>
        </w:rPr>
      </w:pPr>
      <w:r>
        <w:rPr>
          <w:rFonts w:ascii="Arial" w:hAnsi="Arial" w:cs="Arial"/>
        </w:rPr>
        <w:tab/>
        <w:t>‘2.1 The Appellant undertakes, on the effective date, to withdraw its Appeal agai</w:t>
      </w:r>
      <w:r w:rsidR="00233CCF">
        <w:rPr>
          <w:rFonts w:ascii="Arial" w:hAnsi="Arial" w:cs="Arial"/>
        </w:rPr>
        <w:t xml:space="preserve">nst the Respondents. </w:t>
      </w:r>
      <w:r>
        <w:rPr>
          <w:rFonts w:ascii="Arial" w:hAnsi="Arial" w:cs="Arial"/>
        </w:rPr>
        <w:t xml:space="preserve">The Respondents similarly undertakes to abandon and withdraw their Complaint /dispute referral lodged under case number </w:t>
      </w:r>
      <w:r w:rsidRPr="00770F8A">
        <w:rPr>
          <w:rFonts w:ascii="Arial" w:hAnsi="Arial" w:cs="Arial"/>
          <w:b/>
        </w:rPr>
        <w:t>SRLU 38-17</w:t>
      </w:r>
      <w:r>
        <w:rPr>
          <w:rStyle w:val="FootnoteReference"/>
          <w:rFonts w:ascii="Arial" w:hAnsi="Arial" w:cs="Arial"/>
          <w:b/>
        </w:rPr>
        <w:footnoteReference w:id="29"/>
      </w:r>
      <w:r>
        <w:rPr>
          <w:rFonts w:ascii="Arial" w:hAnsi="Arial" w:cs="Arial"/>
        </w:rPr>
        <w:t xml:space="preserve"> before the office of the Labour Commissioner against the Appellant on the effective date.’ </w:t>
      </w:r>
    </w:p>
    <w:p w:rsidR="00C35CEE" w:rsidRDefault="00C35CEE" w:rsidP="00B501CB">
      <w:pPr>
        <w:spacing w:after="0" w:line="360" w:lineRule="auto"/>
        <w:jc w:val="both"/>
        <w:rPr>
          <w:rFonts w:ascii="Arial" w:hAnsi="Arial" w:cs="Arial"/>
        </w:rPr>
      </w:pPr>
    </w:p>
    <w:p w:rsidR="001932BB" w:rsidRDefault="001932BB" w:rsidP="00B501CB">
      <w:pPr>
        <w:spacing w:after="0" w:line="360" w:lineRule="auto"/>
        <w:jc w:val="both"/>
        <w:rPr>
          <w:rFonts w:ascii="Arial" w:hAnsi="Arial" w:cs="Arial"/>
          <w:sz w:val="24"/>
          <w:szCs w:val="24"/>
        </w:rPr>
      </w:pPr>
      <w:r w:rsidRPr="00770F8A">
        <w:rPr>
          <w:rFonts w:ascii="Arial" w:hAnsi="Arial" w:cs="Arial"/>
          <w:sz w:val="24"/>
          <w:szCs w:val="24"/>
        </w:rPr>
        <w:t>[</w:t>
      </w:r>
      <w:r w:rsidR="00E7346B">
        <w:rPr>
          <w:rFonts w:ascii="Arial" w:hAnsi="Arial" w:cs="Arial"/>
          <w:sz w:val="24"/>
          <w:szCs w:val="24"/>
        </w:rPr>
        <w:t>66</w:t>
      </w:r>
      <w:r w:rsidRPr="00770F8A">
        <w:rPr>
          <w:rFonts w:ascii="Arial" w:hAnsi="Arial" w:cs="Arial"/>
          <w:sz w:val="24"/>
          <w:szCs w:val="24"/>
        </w:rPr>
        <w:t>]</w:t>
      </w:r>
      <w:r>
        <w:rPr>
          <w:rFonts w:ascii="Arial" w:hAnsi="Arial" w:cs="Arial"/>
          <w:sz w:val="24"/>
          <w:szCs w:val="24"/>
        </w:rPr>
        <w:tab/>
        <w:t>Contrary to the findings of the arbitrator the withdrawal formed an intrinsic part of the compromise. It is therefore clear from reading the authority referred to above and the facts in this matter that the withdrawal could not have been withdrawn and surely not in terms of r</w:t>
      </w:r>
      <w:r w:rsidR="00F62454">
        <w:rPr>
          <w:rFonts w:ascii="Arial" w:hAnsi="Arial" w:cs="Arial"/>
          <w:sz w:val="24"/>
          <w:szCs w:val="24"/>
        </w:rPr>
        <w:t>ule</w:t>
      </w:r>
      <w:r>
        <w:rPr>
          <w:rFonts w:ascii="Arial" w:hAnsi="Arial" w:cs="Arial"/>
          <w:sz w:val="24"/>
          <w:szCs w:val="24"/>
        </w:rPr>
        <w:t xml:space="preserve"> 28 of the Conciliation and Arbitration rules, regardless how wide one wishes to interpret the word ‘any’ application in the reading of this sub-rule. An application to </w:t>
      </w:r>
      <w:r w:rsidRPr="00386462">
        <w:rPr>
          <w:rFonts w:ascii="Arial" w:hAnsi="Arial" w:cs="Arial"/>
          <w:sz w:val="24"/>
          <w:szCs w:val="24"/>
        </w:rPr>
        <w:t xml:space="preserve">set </w:t>
      </w:r>
      <w:r w:rsidR="00F74702" w:rsidRPr="00386462">
        <w:rPr>
          <w:rFonts w:ascii="Arial" w:hAnsi="Arial" w:cs="Arial"/>
          <w:sz w:val="24"/>
          <w:szCs w:val="24"/>
        </w:rPr>
        <w:t xml:space="preserve">aside </w:t>
      </w:r>
      <w:r w:rsidRPr="00386462">
        <w:rPr>
          <w:rFonts w:ascii="Arial" w:hAnsi="Arial" w:cs="Arial"/>
          <w:sz w:val="24"/>
          <w:szCs w:val="24"/>
        </w:rPr>
        <w:t xml:space="preserve">a settlement </w:t>
      </w:r>
      <w:r>
        <w:rPr>
          <w:rFonts w:ascii="Arial" w:hAnsi="Arial" w:cs="Arial"/>
          <w:sz w:val="24"/>
          <w:szCs w:val="24"/>
        </w:rPr>
        <w:t>agreement is not an interlocutory application that the arbitrator could deal with and one cannot deal with the issue of withdrawal without dealing with the settlement agreement.</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w:t>
      </w:r>
      <w:r w:rsidR="00E7346B">
        <w:rPr>
          <w:rFonts w:ascii="Arial" w:hAnsi="Arial" w:cs="Arial"/>
          <w:sz w:val="24"/>
          <w:szCs w:val="24"/>
        </w:rPr>
        <w:t>67</w:t>
      </w:r>
      <w:r>
        <w:rPr>
          <w:rFonts w:ascii="Arial" w:hAnsi="Arial" w:cs="Arial"/>
          <w:sz w:val="24"/>
          <w:szCs w:val="24"/>
        </w:rPr>
        <w:t>]</w:t>
      </w:r>
      <w:r>
        <w:rPr>
          <w:rFonts w:ascii="Arial" w:hAnsi="Arial" w:cs="Arial"/>
          <w:sz w:val="24"/>
          <w:szCs w:val="24"/>
        </w:rPr>
        <w:tab/>
        <w:t>I am therefore of the view that no reasonable arbitrator cou</w:t>
      </w:r>
      <w:r w:rsidR="00F62454">
        <w:rPr>
          <w:rFonts w:ascii="Arial" w:hAnsi="Arial" w:cs="Arial"/>
          <w:sz w:val="24"/>
          <w:szCs w:val="24"/>
        </w:rPr>
        <w:t xml:space="preserve">ld have reached the conclusions </w:t>
      </w:r>
      <w:r>
        <w:rPr>
          <w:rFonts w:ascii="Arial" w:hAnsi="Arial" w:cs="Arial"/>
          <w:sz w:val="24"/>
          <w:szCs w:val="24"/>
        </w:rPr>
        <w:t xml:space="preserve">regarding the notice of withdrawal (and effectively the settlement agreement) as was done by the second respondent. </w:t>
      </w:r>
    </w:p>
    <w:p w:rsidR="00424BCD" w:rsidRDefault="001932BB" w:rsidP="00B501CB">
      <w:pPr>
        <w:spacing w:after="0" w:line="360" w:lineRule="auto"/>
        <w:jc w:val="both"/>
        <w:rPr>
          <w:rFonts w:ascii="Arial" w:hAnsi="Arial" w:cs="Arial"/>
          <w:sz w:val="24"/>
          <w:szCs w:val="24"/>
          <w:u w:val="single"/>
        </w:rPr>
      </w:pPr>
      <w:r w:rsidRPr="00CB4B4C">
        <w:rPr>
          <w:rFonts w:ascii="Arial" w:hAnsi="Arial" w:cs="Arial"/>
          <w:sz w:val="24"/>
          <w:szCs w:val="24"/>
          <w:u w:val="single"/>
        </w:rPr>
        <w:lastRenderedPageBreak/>
        <w:t>Order</w:t>
      </w:r>
    </w:p>
    <w:p w:rsidR="00424BCD" w:rsidRPr="00087294" w:rsidRDefault="00087294" w:rsidP="00087294">
      <w:pPr>
        <w:spacing w:line="360" w:lineRule="auto"/>
        <w:ind w:left="795" w:hanging="360"/>
        <w:jc w:val="both"/>
        <w:rPr>
          <w:rFonts w:ascii="Arial" w:hAnsi="Arial" w:cs="Arial"/>
          <w:u w:val="single"/>
        </w:rPr>
      </w:pPr>
      <w:r w:rsidRPr="00386462">
        <w:rPr>
          <w:rFonts w:ascii="Arial" w:hAnsi="Arial" w:cs="Arial"/>
          <w:sz w:val="24"/>
          <w:szCs w:val="24"/>
          <w:lang w:eastAsia="en-GB"/>
        </w:rPr>
        <w:t>1.</w:t>
      </w:r>
      <w:r w:rsidRPr="00386462">
        <w:rPr>
          <w:rFonts w:ascii="Arial" w:hAnsi="Arial" w:cs="Arial"/>
          <w:sz w:val="24"/>
          <w:szCs w:val="24"/>
          <w:lang w:eastAsia="en-GB"/>
        </w:rPr>
        <w:tab/>
      </w:r>
      <w:r w:rsidR="00424BCD" w:rsidRPr="00087294">
        <w:rPr>
          <w:rFonts w:ascii="Arial" w:hAnsi="Arial" w:cs="Arial"/>
          <w:color w:val="000000"/>
        </w:rPr>
        <w:t>The appeal in terms of s 89(1)(a) of the Labour Act, 11 of 2007 against part of the decision and order of the second respondent made on 6 March 2020, wherein he ordered that:</w:t>
      </w:r>
    </w:p>
    <w:p w:rsidR="00424BCD" w:rsidRPr="005D4BEF" w:rsidRDefault="00424BCD" w:rsidP="00B501CB">
      <w:pPr>
        <w:pStyle w:val="NormalWeb"/>
        <w:spacing w:before="0" w:beforeAutospacing="0" w:after="0" w:afterAutospacing="0" w:line="360" w:lineRule="auto"/>
        <w:ind w:left="720"/>
        <w:jc w:val="both"/>
        <w:rPr>
          <w:rFonts w:ascii="Arial" w:hAnsi="Arial" w:cs="Arial"/>
          <w:color w:val="000000"/>
        </w:rPr>
      </w:pPr>
      <w:r w:rsidRPr="005D4BEF">
        <w:rPr>
          <w:rFonts w:ascii="Arial" w:hAnsi="Arial" w:cs="Arial"/>
          <w:color w:val="000000"/>
        </w:rPr>
        <w:t>"</w:t>
      </w:r>
      <w:r w:rsidRPr="005D4BEF">
        <w:rPr>
          <w:rFonts w:ascii="Arial" w:hAnsi="Arial" w:cs="Arial"/>
          <w:color w:val="000000"/>
          <w:sz w:val="22"/>
          <w:szCs w:val="22"/>
        </w:rPr>
        <w:t>(1) The notice of withdrawal signed on 3rd day of September 2018 by Rocco Nguvauva for and on behalf of the applicants is hereby set aside</w:t>
      </w:r>
      <w:r w:rsidRPr="005D4BEF">
        <w:rPr>
          <w:rFonts w:ascii="Arial" w:hAnsi="Arial" w:cs="Arial"/>
          <w:color w:val="000000"/>
        </w:rPr>
        <w:t>."</w:t>
      </w:r>
    </w:p>
    <w:p w:rsidR="00424BCD" w:rsidRPr="005D4BEF" w:rsidRDefault="00424BCD" w:rsidP="00B501CB">
      <w:pPr>
        <w:pStyle w:val="NormalWeb"/>
        <w:spacing w:before="0" w:beforeAutospacing="0" w:after="0" w:afterAutospacing="0" w:line="360" w:lineRule="auto"/>
        <w:ind w:firstLine="720"/>
        <w:jc w:val="both"/>
        <w:rPr>
          <w:rFonts w:ascii="Arial" w:hAnsi="Arial" w:cs="Arial"/>
          <w:color w:val="000000"/>
        </w:rPr>
      </w:pPr>
      <w:r w:rsidRPr="005D4BEF">
        <w:rPr>
          <w:rFonts w:ascii="Arial" w:hAnsi="Arial" w:cs="Arial"/>
          <w:color w:val="000000"/>
        </w:rPr>
        <w:t>is upheld. </w:t>
      </w:r>
    </w:p>
    <w:p w:rsidR="00A401FF" w:rsidRPr="00A401FF" w:rsidRDefault="00087294" w:rsidP="00087294">
      <w:pPr>
        <w:pStyle w:val="NormalWeb"/>
        <w:spacing w:before="0" w:beforeAutospacing="0" w:after="0" w:afterAutospacing="0" w:line="360" w:lineRule="auto"/>
        <w:ind w:left="795" w:hanging="360"/>
        <w:jc w:val="both"/>
        <w:rPr>
          <w:rFonts w:ascii="Arial" w:hAnsi="Arial" w:cs="Arial"/>
          <w:color w:val="000000"/>
        </w:rPr>
      </w:pPr>
      <w:r w:rsidRPr="00A401FF">
        <w:rPr>
          <w:rFonts w:ascii="Arial" w:hAnsi="Arial" w:cs="Arial"/>
          <w:color w:val="000000"/>
        </w:rPr>
        <w:t>2.</w:t>
      </w:r>
      <w:r w:rsidRPr="00A401FF">
        <w:rPr>
          <w:rFonts w:ascii="Arial" w:hAnsi="Arial" w:cs="Arial"/>
          <w:color w:val="000000"/>
        </w:rPr>
        <w:tab/>
      </w:r>
      <w:r w:rsidR="00424BCD" w:rsidRPr="005D4BEF">
        <w:rPr>
          <w:rFonts w:ascii="Arial" w:hAnsi="Arial" w:cs="Arial"/>
          <w:color w:val="000000"/>
        </w:rPr>
        <w:t>The aforementioned order is set aside. </w:t>
      </w:r>
    </w:p>
    <w:p w:rsidR="00F74702" w:rsidRDefault="00087294" w:rsidP="00087294">
      <w:pPr>
        <w:pStyle w:val="NormalWeb"/>
        <w:spacing w:before="0" w:beforeAutospacing="0" w:after="0" w:afterAutospacing="0" w:line="360" w:lineRule="auto"/>
        <w:ind w:left="795" w:hanging="360"/>
        <w:jc w:val="both"/>
        <w:rPr>
          <w:rFonts w:ascii="Arial" w:hAnsi="Arial" w:cs="Arial"/>
        </w:rPr>
      </w:pPr>
      <w:r>
        <w:rPr>
          <w:rFonts w:ascii="Arial" w:hAnsi="Arial" w:cs="Arial"/>
        </w:rPr>
        <w:t>3.</w:t>
      </w:r>
      <w:r>
        <w:rPr>
          <w:rFonts w:ascii="Arial" w:hAnsi="Arial" w:cs="Arial"/>
        </w:rPr>
        <w:tab/>
      </w:r>
      <w:r w:rsidR="00424BCD" w:rsidRPr="005D4BEF">
        <w:rPr>
          <w:rFonts w:ascii="Arial" w:hAnsi="Arial" w:cs="Arial"/>
          <w:color w:val="000000"/>
        </w:rPr>
        <w:t>No order as to costs. </w:t>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r w:rsidR="001932BB">
        <w:rPr>
          <w:rFonts w:ascii="Arial" w:hAnsi="Arial" w:cs="Arial"/>
        </w:rPr>
        <w:tab/>
      </w:r>
    </w:p>
    <w:p w:rsidR="001932BB" w:rsidRDefault="001932BB" w:rsidP="00B501CB">
      <w:pPr>
        <w:pStyle w:val="NormalWeb"/>
        <w:spacing w:before="0" w:beforeAutospacing="0" w:after="0" w:afterAutospacing="0" w:line="360" w:lineRule="auto"/>
        <w:ind w:left="5040" w:firstLine="720"/>
        <w:jc w:val="both"/>
        <w:rPr>
          <w:rFonts w:ascii="Arial" w:hAnsi="Arial" w:cs="Arial"/>
        </w:rPr>
      </w:pPr>
      <w:r>
        <w:rPr>
          <w:rFonts w:ascii="Arial" w:hAnsi="Arial" w:cs="Arial"/>
        </w:rPr>
        <w:t>_____________________</w:t>
      </w:r>
    </w:p>
    <w:p w:rsidR="001932BB" w:rsidRDefault="001932BB" w:rsidP="00B501C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JS Prinsloo</w:t>
      </w:r>
    </w:p>
    <w:p w:rsidR="001932BB" w:rsidRDefault="001932BB" w:rsidP="00B501C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1932BB" w:rsidRDefault="001932BB" w:rsidP="00B501CB">
      <w:pPr>
        <w:spacing w:after="0" w:line="360" w:lineRule="auto"/>
        <w:jc w:val="both"/>
        <w:rPr>
          <w:rFonts w:ascii="Arial" w:hAnsi="Arial" w:cs="Arial"/>
          <w:sz w:val="24"/>
          <w:szCs w:val="24"/>
        </w:rPr>
      </w:pPr>
    </w:p>
    <w:p w:rsidR="00C35CEE" w:rsidRDefault="00C35CEE">
      <w:pPr>
        <w:spacing w:after="160" w:line="259" w:lineRule="auto"/>
        <w:rPr>
          <w:rFonts w:ascii="Arial" w:hAnsi="Arial" w:cs="Arial"/>
          <w:sz w:val="24"/>
          <w:szCs w:val="24"/>
        </w:rPr>
      </w:pPr>
      <w:r>
        <w:rPr>
          <w:rFonts w:ascii="Arial" w:hAnsi="Arial" w:cs="Arial"/>
          <w:sz w:val="24"/>
          <w:szCs w:val="24"/>
        </w:rPr>
        <w:br w:type="page"/>
      </w:r>
    </w:p>
    <w:p w:rsidR="00C35CEE" w:rsidRDefault="00C35CEE" w:rsidP="00B501CB">
      <w:pPr>
        <w:spacing w:after="0" w:line="360" w:lineRule="auto"/>
        <w:jc w:val="both"/>
        <w:rPr>
          <w:rFonts w:ascii="Arial" w:hAnsi="Arial" w:cs="Arial"/>
          <w:sz w:val="24"/>
          <w:szCs w:val="24"/>
        </w:rPr>
      </w:pPr>
      <w:r>
        <w:rPr>
          <w:rFonts w:ascii="Arial" w:hAnsi="Arial" w:cs="Arial"/>
          <w:sz w:val="24"/>
          <w:szCs w:val="24"/>
        </w:rPr>
        <w:lastRenderedPageBreak/>
        <w:t xml:space="preserve">APPEARANCES: </w:t>
      </w:r>
    </w:p>
    <w:p w:rsidR="00C35CEE" w:rsidRDefault="00C35CEE" w:rsidP="00B501CB">
      <w:pPr>
        <w:spacing w:after="0" w:line="360" w:lineRule="auto"/>
        <w:jc w:val="both"/>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 xml:space="preserve">For the Appellant: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van Greunen</w:t>
      </w:r>
    </w:p>
    <w:p w:rsidR="001932BB" w:rsidRDefault="001932BB" w:rsidP="00B501CB">
      <w:pPr>
        <w:spacing w:after="0" w:line="360" w:lineRule="auto"/>
        <w:ind w:left="5040"/>
        <w:rPr>
          <w:rFonts w:ascii="Arial" w:hAnsi="Arial" w:cs="Arial"/>
          <w:sz w:val="24"/>
          <w:szCs w:val="24"/>
        </w:rPr>
      </w:pPr>
      <w:r>
        <w:rPr>
          <w:rFonts w:ascii="Arial" w:hAnsi="Arial" w:cs="Arial"/>
          <w:sz w:val="24"/>
          <w:szCs w:val="24"/>
        </w:rPr>
        <w:t>Köpplinger Boltman Legal Practitioners</w:t>
      </w:r>
    </w:p>
    <w:p w:rsidR="00C35CEE" w:rsidRDefault="00C35CEE" w:rsidP="00B501CB">
      <w:pPr>
        <w:spacing w:after="0" w:line="360" w:lineRule="auto"/>
        <w:ind w:left="5040"/>
        <w:rPr>
          <w:rFonts w:ascii="Arial" w:hAnsi="Arial" w:cs="Arial"/>
          <w:sz w:val="24"/>
          <w:szCs w:val="24"/>
        </w:rPr>
      </w:pPr>
    </w:p>
    <w:p w:rsidR="00C35CEE" w:rsidRDefault="00C35CEE" w:rsidP="00B501CB">
      <w:pPr>
        <w:spacing w:after="0" w:line="360" w:lineRule="auto"/>
        <w:ind w:left="5040"/>
        <w:rPr>
          <w:rFonts w:ascii="Arial" w:hAnsi="Arial" w:cs="Arial"/>
          <w:sz w:val="24"/>
          <w:szCs w:val="24"/>
        </w:rPr>
      </w:pPr>
    </w:p>
    <w:p w:rsidR="001932BB" w:rsidRDefault="001932BB" w:rsidP="00B501CB">
      <w:pPr>
        <w:spacing w:after="0" w:line="360" w:lineRule="auto"/>
        <w:jc w:val="both"/>
        <w:rPr>
          <w:rFonts w:ascii="Arial" w:hAnsi="Arial" w:cs="Arial"/>
          <w:sz w:val="24"/>
          <w:szCs w:val="24"/>
        </w:rPr>
      </w:pPr>
      <w:r>
        <w:rPr>
          <w:rFonts w:ascii="Arial" w:hAnsi="Arial" w:cs="Arial"/>
          <w:sz w:val="24"/>
          <w:szCs w:val="24"/>
        </w:rPr>
        <w:t>For the Respondents: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Nekwaya</w:t>
      </w:r>
    </w:p>
    <w:p w:rsidR="001932BB" w:rsidRPr="00770F8A" w:rsidRDefault="001932BB" w:rsidP="00B501C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On instruction of Angula Co.</w:t>
      </w:r>
    </w:p>
    <w:bookmarkEnd w:id="0"/>
    <w:p w:rsidR="00610C5A" w:rsidRDefault="00610C5A" w:rsidP="00B501CB">
      <w:pPr>
        <w:spacing w:after="0" w:line="360" w:lineRule="auto"/>
        <w:jc w:val="both"/>
        <w:rPr>
          <w:rFonts w:ascii="Arial" w:hAnsi="Arial" w:cs="Arial"/>
          <w:sz w:val="24"/>
          <w:szCs w:val="24"/>
        </w:rPr>
      </w:pPr>
    </w:p>
    <w:sectPr w:rsidR="00610C5A" w:rsidSect="00C35CEE">
      <w:headerReference w:type="default" r:id="rId11"/>
      <w:pgSz w:w="11906" w:h="16838"/>
      <w:pgMar w:top="1135" w:right="1274" w:bottom="709" w:left="1276" w:header="708"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32D" w:rsidRDefault="0009632D" w:rsidP="00CD7C72">
      <w:pPr>
        <w:spacing w:after="0" w:line="240" w:lineRule="auto"/>
      </w:pPr>
      <w:r>
        <w:separator/>
      </w:r>
    </w:p>
  </w:endnote>
  <w:endnote w:type="continuationSeparator" w:id="0">
    <w:p w:rsidR="0009632D" w:rsidRDefault="0009632D" w:rsidP="00CD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32D" w:rsidRDefault="0009632D" w:rsidP="00CD7C72">
      <w:pPr>
        <w:spacing w:after="0" w:line="240" w:lineRule="auto"/>
      </w:pPr>
      <w:r>
        <w:separator/>
      </w:r>
    </w:p>
  </w:footnote>
  <w:footnote w:type="continuationSeparator" w:id="0">
    <w:p w:rsidR="0009632D" w:rsidRDefault="0009632D" w:rsidP="00CD7C72">
      <w:pPr>
        <w:spacing w:after="0" w:line="240" w:lineRule="auto"/>
      </w:pPr>
      <w:r>
        <w:continuationSeparator/>
      </w:r>
    </w:p>
  </w:footnote>
  <w:footnote w:id="1">
    <w:p w:rsidR="00CD7C72" w:rsidRPr="00925EE8" w:rsidRDefault="00CD7C72"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As summarized in the Respondent’s Heads of Argument.</w:t>
      </w:r>
    </w:p>
  </w:footnote>
  <w:footnote w:id="2">
    <w:p w:rsidR="00226E5E" w:rsidRPr="00925EE8" w:rsidRDefault="00CD7C72" w:rsidP="00925EE8">
      <w:pPr>
        <w:pStyle w:val="FootnoteText"/>
        <w:spacing w:line="360" w:lineRule="auto"/>
        <w:rPr>
          <w:rFonts w:ascii="Arial" w:hAnsi="Arial" w:cs="Arial"/>
        </w:rPr>
      </w:pPr>
      <w:r w:rsidRPr="00925EE8">
        <w:rPr>
          <w:rStyle w:val="FootnoteReference"/>
          <w:rFonts w:ascii="Arial" w:hAnsi="Arial" w:cs="Arial"/>
        </w:rPr>
        <w:footnoteRef/>
      </w:r>
      <w:r w:rsidRPr="00925EE8">
        <w:rPr>
          <w:rFonts w:ascii="Arial" w:hAnsi="Arial" w:cs="Arial"/>
        </w:rPr>
        <w:t xml:space="preserve"> 28. (1) This rule applies to </w:t>
      </w:r>
      <w:r w:rsidR="00226E5E" w:rsidRPr="00925EE8">
        <w:rPr>
          <w:rFonts w:ascii="Arial" w:hAnsi="Arial" w:cs="Arial"/>
        </w:rPr>
        <w:t>–</w:t>
      </w:r>
    </w:p>
    <w:p w:rsidR="00226E5E" w:rsidRPr="00925EE8" w:rsidRDefault="00CD7C72" w:rsidP="00925EE8">
      <w:pPr>
        <w:pStyle w:val="FootnoteText"/>
        <w:spacing w:line="360" w:lineRule="auto"/>
        <w:rPr>
          <w:rFonts w:ascii="Arial" w:hAnsi="Arial" w:cs="Arial"/>
        </w:rPr>
      </w:pPr>
      <w:r w:rsidRPr="00925EE8">
        <w:rPr>
          <w:rFonts w:ascii="Arial" w:hAnsi="Arial" w:cs="Arial"/>
        </w:rPr>
        <w:t xml:space="preserve"> (a) an application for postponement, condonation, substitution, variation or rescission; </w:t>
      </w:r>
    </w:p>
    <w:p w:rsidR="00226E5E" w:rsidRPr="00925EE8" w:rsidRDefault="00CD7C72" w:rsidP="00925EE8">
      <w:pPr>
        <w:pStyle w:val="FootnoteText"/>
        <w:spacing w:line="360" w:lineRule="auto"/>
        <w:rPr>
          <w:rFonts w:ascii="Arial" w:hAnsi="Arial" w:cs="Arial"/>
        </w:rPr>
      </w:pPr>
      <w:r w:rsidRPr="00925EE8">
        <w:rPr>
          <w:rFonts w:ascii="Arial" w:hAnsi="Arial" w:cs="Arial"/>
        </w:rPr>
        <w:t>(b) an application for class certification; and</w:t>
      </w:r>
    </w:p>
    <w:p w:rsidR="00CD7C72" w:rsidRPr="00925EE8" w:rsidRDefault="00CD7C72" w:rsidP="00925EE8">
      <w:pPr>
        <w:pStyle w:val="FootnoteText"/>
        <w:spacing w:line="360" w:lineRule="auto"/>
        <w:rPr>
          <w:rFonts w:ascii="Arial" w:hAnsi="Arial" w:cs="Arial"/>
          <w:lang w:val="en-ZA"/>
        </w:rPr>
      </w:pPr>
      <w:r w:rsidRPr="00925EE8">
        <w:rPr>
          <w:rFonts w:ascii="Arial" w:hAnsi="Arial" w:cs="Arial"/>
        </w:rPr>
        <w:t xml:space="preserve"> (c) any other application for preliminary or interlocutory relief, such as an application for consolidation or joinder</w:t>
      </w:r>
      <w:r w:rsidR="006B20A6" w:rsidRPr="00925EE8">
        <w:rPr>
          <w:rFonts w:ascii="Arial" w:hAnsi="Arial" w:cs="Arial"/>
        </w:rPr>
        <w:t>.</w:t>
      </w:r>
    </w:p>
  </w:footnote>
  <w:footnote w:id="3">
    <w:p w:rsidR="0019364F" w:rsidRPr="00925EE8" w:rsidRDefault="0019364F"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Para 1.1 of the notice of appeal.</w:t>
      </w:r>
    </w:p>
  </w:footnote>
  <w:footnote w:id="4">
    <w:p w:rsidR="0019364F" w:rsidRPr="00925EE8" w:rsidRDefault="0019364F"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Para 1.2 of the notice of appeal.</w:t>
      </w:r>
    </w:p>
  </w:footnote>
  <w:footnote w:id="5">
    <w:p w:rsidR="00C960FF" w:rsidRPr="00925EE8" w:rsidRDefault="0019364F"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960FF" w:rsidRPr="00925EE8">
        <w:rPr>
          <w:rFonts w:ascii="Arial" w:hAnsi="Arial" w:cs="Arial"/>
        </w:rPr>
        <w:t xml:space="preserve">Para 1.3 of the notice of appeal. </w:t>
      </w:r>
    </w:p>
  </w:footnote>
  <w:footnote w:id="6">
    <w:p w:rsidR="00C960FF" w:rsidRPr="00925EE8" w:rsidRDefault="00C960FF"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Para 1.4 of the notice of appeal.</w:t>
      </w:r>
    </w:p>
  </w:footnote>
  <w:footnote w:id="7">
    <w:p w:rsidR="00C960FF" w:rsidRPr="00925EE8" w:rsidRDefault="00C960FF"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Para 1.8 of the notice of appeal.</w:t>
      </w:r>
    </w:p>
  </w:footnote>
  <w:footnote w:id="8">
    <w:p w:rsidR="00226E5E" w:rsidRPr="00925EE8" w:rsidRDefault="00226E5E"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Pr="00925EE8">
        <w:rPr>
          <w:rFonts w:ascii="Arial" w:hAnsi="Arial" w:cs="Arial"/>
          <w:lang w:val="en-ZA"/>
        </w:rPr>
        <w:t>Para 1.9 of the notice of appeal.</w:t>
      </w:r>
    </w:p>
  </w:footnote>
  <w:footnote w:id="9">
    <w:p w:rsidR="00C960FF" w:rsidRPr="00925EE8" w:rsidRDefault="00C960FF"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Para1.11 of the notice of appe</w:t>
      </w:r>
      <w:r w:rsidR="00226E5E" w:rsidRPr="00925EE8">
        <w:rPr>
          <w:rFonts w:ascii="Arial" w:hAnsi="Arial" w:cs="Arial"/>
        </w:rPr>
        <w:t>a</w:t>
      </w:r>
      <w:r w:rsidRPr="00925EE8">
        <w:rPr>
          <w:rFonts w:ascii="Arial" w:hAnsi="Arial" w:cs="Arial"/>
        </w:rPr>
        <w:t xml:space="preserve">l. </w:t>
      </w:r>
    </w:p>
  </w:footnote>
  <w:footnote w:id="10">
    <w:p w:rsidR="00B676B6" w:rsidRPr="00925EE8" w:rsidRDefault="00B676B6" w:rsidP="00925EE8">
      <w:pPr>
        <w:pStyle w:val="FootnoteText"/>
        <w:spacing w:line="360" w:lineRule="auto"/>
        <w:jc w:val="both"/>
        <w:rPr>
          <w:rFonts w:ascii="Arial" w:hAnsi="Arial" w:cs="Arial"/>
        </w:rPr>
      </w:pPr>
      <w:r w:rsidRPr="00925EE8">
        <w:rPr>
          <w:rStyle w:val="FootnoteReference"/>
          <w:rFonts w:ascii="Arial" w:hAnsi="Arial" w:cs="Arial"/>
        </w:rPr>
        <w:footnoteRef/>
      </w:r>
      <w:r w:rsidRPr="00925EE8">
        <w:rPr>
          <w:rFonts w:ascii="Arial" w:hAnsi="Arial" w:cs="Arial"/>
        </w:rPr>
        <w:t xml:space="preserve"> ‘“dispute” means any disagreement between an employer or an employers’ organisation on the one hand, and an employee or a trade union on the other hand, which disagreement relates to a labour matter; </w:t>
      </w:r>
    </w:p>
    <w:p w:rsidR="00B676B6" w:rsidRPr="00925EE8" w:rsidRDefault="00B676B6" w:rsidP="00925EE8">
      <w:pPr>
        <w:pStyle w:val="FootnoteText"/>
        <w:spacing w:line="360" w:lineRule="auto"/>
        <w:jc w:val="both"/>
        <w:rPr>
          <w:rFonts w:ascii="Arial" w:hAnsi="Arial" w:cs="Arial"/>
          <w:lang w:val="en-ZA"/>
        </w:rPr>
      </w:pPr>
      <w:r w:rsidRPr="00925EE8">
        <w:rPr>
          <w:rFonts w:ascii="Arial" w:hAnsi="Arial" w:cs="Arial"/>
        </w:rPr>
        <w:t>“dispute of interest” means any dispute concerning a proposal for new or changed conditions of employment but does not include a dispute that this Act or any other Act requires to be resolved by - (a) adjudication in the Labour Court or other court of law; or (b) arbitration;’</w:t>
      </w:r>
    </w:p>
  </w:footnote>
  <w:footnote w:id="11">
    <w:p w:rsidR="00B676B6" w:rsidRPr="00925EE8" w:rsidRDefault="00B676B6"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rPr>
        <w:t>Gollach &amp; Gomperts (1967) (Pty) Ltd v Universal Mills and Produce Co (Pty) Ltd and Others</w:t>
      </w:r>
      <w:r w:rsidR="00C35CEE" w:rsidRPr="00C35CEE">
        <w:rPr>
          <w:rFonts w:ascii="Arial" w:hAnsi="Arial" w:cs="Arial"/>
        </w:rPr>
        <w:t xml:space="preserve"> </w:t>
      </w:r>
      <w:r w:rsidRPr="00925EE8">
        <w:rPr>
          <w:rFonts w:ascii="Arial" w:hAnsi="Arial" w:cs="Arial"/>
        </w:rPr>
        <w:t>1978 (1) SA 914 (A).</w:t>
      </w:r>
    </w:p>
  </w:footnote>
  <w:footnote w:id="12">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rPr>
        <w:t>Shibodge v Minister of Safety and Security and Others</w:t>
      </w:r>
      <w:r w:rsidR="00C35CEE" w:rsidRPr="00C35CEE">
        <w:rPr>
          <w:rFonts w:ascii="Arial" w:hAnsi="Arial" w:cs="Arial"/>
          <w:lang w:val="en-ZA"/>
        </w:rPr>
        <w:t xml:space="preserve"> </w:t>
      </w:r>
      <w:r w:rsidRPr="00925EE8">
        <w:rPr>
          <w:rFonts w:ascii="Arial" w:hAnsi="Arial" w:cs="Arial"/>
          <w:lang w:val="en-ZA"/>
        </w:rPr>
        <w:t>(LC) (unreported case no JR 3307/09, 11/07/2012) La Grange J at para 26</w:t>
      </w:r>
      <w:r w:rsidR="00243A54" w:rsidRPr="00925EE8">
        <w:rPr>
          <w:rFonts w:ascii="Arial" w:hAnsi="Arial" w:cs="Arial"/>
          <w:lang w:val="en-ZA"/>
        </w:rPr>
        <w:t>.</w:t>
      </w:r>
    </w:p>
  </w:footnote>
  <w:footnote w:id="13">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rPr>
        <w:t>Kgobokoe v Commissioner for Conciliation, Mediation and Arbitration and Others</w:t>
      </w:r>
      <w:r w:rsidR="00C35CEE" w:rsidRPr="00C35CEE">
        <w:rPr>
          <w:rFonts w:ascii="Arial" w:hAnsi="Arial" w:cs="Arial"/>
          <w:lang w:val="en-ZA"/>
        </w:rPr>
        <w:t xml:space="preserve"> </w:t>
      </w:r>
      <w:r w:rsidRPr="00925EE8">
        <w:rPr>
          <w:rFonts w:ascii="Arial" w:hAnsi="Arial" w:cs="Arial"/>
          <w:lang w:val="en-ZA"/>
        </w:rPr>
        <w:t>(2012) 33 ILJ 235 (LC)</w:t>
      </w:r>
      <w:r w:rsidR="00243A54" w:rsidRPr="00925EE8">
        <w:rPr>
          <w:rFonts w:ascii="Arial" w:hAnsi="Arial" w:cs="Arial"/>
          <w:lang w:val="en-ZA"/>
        </w:rPr>
        <w:t>.</w:t>
      </w:r>
    </w:p>
  </w:footnote>
  <w:footnote w:id="14">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rPr>
        <w:t>Georgias and Another v Standard Chartered Finance Zimbabwe Ltd</w:t>
      </w:r>
      <w:r w:rsidR="00C35CEE" w:rsidRPr="00C35CEE">
        <w:rPr>
          <w:rFonts w:ascii="Arial" w:hAnsi="Arial" w:cs="Arial"/>
        </w:rPr>
        <w:t xml:space="preserve"> </w:t>
      </w:r>
      <w:r w:rsidRPr="00925EE8">
        <w:rPr>
          <w:rFonts w:ascii="Arial" w:hAnsi="Arial" w:cs="Arial"/>
        </w:rPr>
        <w:t>2000 (1) SA 126 (ZS) at 138I to 139 D.</w:t>
      </w:r>
    </w:p>
  </w:footnote>
  <w:footnote w:id="15">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rPr>
        <w:t>Metals Australia Ltd and Another v Amakutuwa and Others</w:t>
      </w:r>
      <w:r w:rsidR="00C35CEE" w:rsidRPr="00C35CEE">
        <w:rPr>
          <w:rFonts w:ascii="Arial" w:hAnsi="Arial" w:cs="Arial"/>
        </w:rPr>
        <w:t xml:space="preserve"> </w:t>
      </w:r>
      <w:r w:rsidRPr="00925EE8">
        <w:rPr>
          <w:rFonts w:ascii="Arial" w:hAnsi="Arial" w:cs="Arial"/>
        </w:rPr>
        <w:t>2011 (1) NR 262 (SC) at 268 para 21.</w:t>
      </w:r>
    </w:p>
  </w:footnote>
  <w:footnote w:id="16">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rPr>
        <w:t>Ncaphayi v Commissioner for Conciliation Mediation and Arbitration and Others</w:t>
      </w:r>
      <w:r w:rsidR="00C35CEE" w:rsidRPr="00C35CEE">
        <w:rPr>
          <w:rFonts w:ascii="Arial" w:hAnsi="Arial" w:cs="Arial"/>
          <w:lang w:val="en-ZA"/>
        </w:rPr>
        <w:t xml:space="preserve"> </w:t>
      </w:r>
      <w:r w:rsidRPr="00925EE8">
        <w:rPr>
          <w:rFonts w:ascii="Arial" w:hAnsi="Arial" w:cs="Arial"/>
          <w:lang w:val="en-ZA"/>
        </w:rPr>
        <w:t>(2011) 32 ILJ 402 (LC).</w:t>
      </w:r>
    </w:p>
  </w:footnote>
  <w:footnote w:id="17">
    <w:p w:rsidR="001932BB" w:rsidRPr="00925EE8" w:rsidRDefault="001932BB" w:rsidP="00925EE8">
      <w:pPr>
        <w:pStyle w:val="FootnoteText"/>
        <w:spacing w:line="360" w:lineRule="auto"/>
        <w:jc w:val="both"/>
        <w:rPr>
          <w:rFonts w:ascii="Arial" w:hAnsi="Arial" w:cs="Arial"/>
          <w:lang w:val="af-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rPr>
        <w:t>Swart v Tube-O-Flex Namibia (Pty) Ltd and Another</w:t>
      </w:r>
      <w:r w:rsidR="00C35CEE" w:rsidRPr="00C35CEE">
        <w:rPr>
          <w:rFonts w:ascii="Arial" w:hAnsi="Arial" w:cs="Arial"/>
        </w:rPr>
        <w:t xml:space="preserve"> </w:t>
      </w:r>
      <w:r w:rsidRPr="00925EE8">
        <w:rPr>
          <w:rFonts w:ascii="Arial" w:hAnsi="Arial" w:cs="Arial"/>
        </w:rPr>
        <w:t>(SA 70/2013) [2016] NASC 15 (25 July 2016).</w:t>
      </w:r>
    </w:p>
  </w:footnote>
  <w:footnote w:id="18">
    <w:p w:rsidR="001932BB" w:rsidRPr="00925EE8" w:rsidRDefault="001932BB" w:rsidP="00925EE8">
      <w:pPr>
        <w:pStyle w:val="FootnoteText"/>
        <w:spacing w:line="360" w:lineRule="auto"/>
        <w:jc w:val="both"/>
        <w:rPr>
          <w:rFonts w:ascii="Arial" w:hAnsi="Arial" w:cs="Arial"/>
          <w:lang w:val="af-ZA"/>
        </w:rPr>
      </w:pPr>
      <w:r w:rsidRPr="00925EE8">
        <w:rPr>
          <w:rStyle w:val="FootnoteReference"/>
          <w:rFonts w:ascii="Arial" w:hAnsi="Arial" w:cs="Arial"/>
        </w:rPr>
        <w:footnoteRef/>
      </w:r>
      <w:r w:rsidRPr="00925EE8">
        <w:rPr>
          <w:rFonts w:ascii="Arial" w:hAnsi="Arial" w:cs="Arial"/>
        </w:rPr>
        <w:t xml:space="preserve"> </w:t>
      </w:r>
      <w:r w:rsidRPr="00925EE8">
        <w:rPr>
          <w:rStyle w:val="Emphasis"/>
          <w:rFonts w:ascii="Arial" w:hAnsi="Arial" w:cs="Arial"/>
          <w:shd w:val="clear" w:color="auto" w:fill="FFFFFF"/>
        </w:rPr>
        <w:t>Van Rensburg</w:t>
      </w:r>
      <w:r w:rsidRPr="00925EE8">
        <w:rPr>
          <w:rFonts w:ascii="Arial" w:hAnsi="Arial" w:cs="Arial"/>
          <w:shd w:val="clear" w:color="auto" w:fill="FFFFFF"/>
        </w:rPr>
        <w:t> at p 21, para 34.</w:t>
      </w:r>
    </w:p>
  </w:footnote>
  <w:footnote w:id="19">
    <w:p w:rsidR="001932BB" w:rsidRPr="00925EE8" w:rsidRDefault="001932BB" w:rsidP="00925EE8">
      <w:pPr>
        <w:pStyle w:val="FootnoteText"/>
        <w:spacing w:line="360" w:lineRule="auto"/>
        <w:jc w:val="both"/>
        <w:rPr>
          <w:rFonts w:ascii="Arial" w:hAnsi="Arial" w:cs="Arial"/>
          <w:lang w:val="af-ZA"/>
        </w:rPr>
      </w:pPr>
      <w:r w:rsidRPr="00925EE8">
        <w:rPr>
          <w:rStyle w:val="FootnoteReference"/>
          <w:rFonts w:ascii="Arial" w:hAnsi="Arial" w:cs="Arial"/>
        </w:rPr>
        <w:footnoteRef/>
      </w:r>
      <w:r w:rsidRPr="00925EE8">
        <w:rPr>
          <w:rFonts w:ascii="Arial" w:hAnsi="Arial" w:cs="Arial"/>
        </w:rPr>
        <w:t xml:space="preserve"> </w:t>
      </w:r>
      <w:r w:rsidRPr="00925EE8">
        <w:rPr>
          <w:rFonts w:ascii="Arial" w:hAnsi="Arial" w:cs="Arial"/>
          <w:shd w:val="clear" w:color="auto" w:fill="FFFFFF"/>
        </w:rPr>
        <w:t>Ibid at 22 para 45.</w:t>
      </w:r>
    </w:p>
  </w:footnote>
  <w:footnote w:id="20">
    <w:p w:rsidR="001932BB" w:rsidRPr="00925EE8" w:rsidRDefault="001932BB" w:rsidP="00925EE8">
      <w:pPr>
        <w:pStyle w:val="FootnoteText"/>
        <w:spacing w:line="360" w:lineRule="auto"/>
        <w:jc w:val="both"/>
        <w:rPr>
          <w:rFonts w:ascii="Arial" w:hAnsi="Arial" w:cs="Arial"/>
          <w:lang w:val="af-ZA"/>
        </w:rPr>
      </w:pPr>
      <w:r w:rsidRPr="00925EE8">
        <w:rPr>
          <w:rStyle w:val="FootnoteReference"/>
          <w:rFonts w:ascii="Arial" w:hAnsi="Arial" w:cs="Arial"/>
        </w:rPr>
        <w:footnoteRef/>
      </w:r>
      <w:r w:rsidRPr="00925EE8">
        <w:rPr>
          <w:rFonts w:ascii="Arial" w:hAnsi="Arial" w:cs="Arial"/>
        </w:rPr>
        <w:t xml:space="preserve"> </w:t>
      </w:r>
      <w:r w:rsidRPr="00925EE8">
        <w:rPr>
          <w:rFonts w:ascii="Arial" w:hAnsi="Arial" w:cs="Arial"/>
          <w:shd w:val="clear" w:color="auto" w:fill="FFFFFF"/>
        </w:rPr>
        <w:t xml:space="preserve">Compare </w:t>
      </w:r>
      <w:r w:rsidRPr="00925EE8">
        <w:rPr>
          <w:rStyle w:val="Emphasis"/>
          <w:rFonts w:ascii="Arial" w:hAnsi="Arial" w:cs="Arial"/>
          <w:shd w:val="clear" w:color="auto" w:fill="FFFFFF"/>
        </w:rPr>
        <w:t>Platt v Commissioner for Inland Revenue</w:t>
      </w:r>
      <w:r w:rsidRPr="00925EE8">
        <w:rPr>
          <w:rFonts w:ascii="Arial" w:hAnsi="Arial" w:cs="Arial"/>
          <w:shd w:val="clear" w:color="auto" w:fill="FFFFFF"/>
        </w:rPr>
        <w:t xml:space="preserve"> 1922 AD 42 at 50: 'Where all the material facts are fully found, and the only question whether the facts are such as to bring the case within the provisions properly construed of some statutory enactment, the question is one of law.'</w:t>
      </w:r>
    </w:p>
  </w:footnote>
  <w:footnote w:id="21">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bCs/>
          <w:i/>
        </w:rPr>
        <w:t>South African Municipal Workers Union and Others v Zenzeleni Cleaning and Transport Services CC and Others</w:t>
      </w:r>
      <w:r w:rsidR="00C35CEE" w:rsidRPr="00C35CEE">
        <w:rPr>
          <w:rFonts w:ascii="Arial" w:hAnsi="Arial" w:cs="Arial"/>
          <w:bCs/>
        </w:rPr>
        <w:t xml:space="preserve"> </w:t>
      </w:r>
      <w:r w:rsidRPr="00925EE8">
        <w:rPr>
          <w:rFonts w:ascii="Arial" w:hAnsi="Arial" w:cs="Arial"/>
          <w:bCs/>
          <w:color w:val="64473A"/>
        </w:rPr>
        <w:t>(</w:t>
      </w:r>
      <w:r w:rsidRPr="00925EE8">
        <w:rPr>
          <w:rFonts w:ascii="Arial" w:hAnsi="Arial" w:cs="Arial"/>
          <w:bCs/>
        </w:rPr>
        <w:t>JR852/13) [2015] ZALCJHB 47 (23 February 2015)</w:t>
      </w:r>
      <w:r w:rsidR="005B722E" w:rsidRPr="00925EE8">
        <w:rPr>
          <w:rFonts w:ascii="Arial" w:hAnsi="Arial" w:cs="Arial"/>
          <w:bCs/>
        </w:rPr>
        <w:t>.</w:t>
      </w:r>
    </w:p>
  </w:footnote>
  <w:footnote w:id="22">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00C35CEE">
        <w:rPr>
          <w:rFonts w:ascii="Arial" w:hAnsi="Arial" w:cs="Arial"/>
        </w:rPr>
        <w:t xml:space="preserve"> </w:t>
      </w:r>
      <w:r w:rsidR="00C35CEE" w:rsidRPr="00C35CEE">
        <w:rPr>
          <w:rFonts w:ascii="Arial" w:hAnsi="Arial" w:cs="Arial"/>
          <w:i/>
          <w:iCs/>
        </w:rPr>
        <w:t>SAMWU et al v the CCMA and Zenzeleni Cleaning and Transport Services CC</w:t>
      </w:r>
      <w:r w:rsidRPr="00925EE8">
        <w:rPr>
          <w:rFonts w:ascii="Arial" w:hAnsi="Arial" w:cs="Arial"/>
        </w:rPr>
        <w:t xml:space="preserve"> </w:t>
      </w:r>
      <w:r w:rsidRPr="00925EE8">
        <w:rPr>
          <w:rFonts w:ascii="Arial" w:hAnsi="Arial" w:cs="Arial"/>
          <w:shd w:val="clear" w:color="auto" w:fill="FFFFFF"/>
        </w:rPr>
        <w:t>[2013] ZALCJHB 303 (21 November 2013)</w:t>
      </w:r>
      <w:r w:rsidR="005B722E" w:rsidRPr="00925EE8">
        <w:rPr>
          <w:rFonts w:ascii="Arial" w:hAnsi="Arial" w:cs="Arial"/>
          <w:shd w:val="clear" w:color="auto" w:fill="FFFFFF"/>
        </w:rPr>
        <w:t>.</w:t>
      </w:r>
    </w:p>
  </w:footnote>
  <w:footnote w:id="23">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iCs/>
          <w:lang w:val="en-ZA"/>
        </w:rPr>
        <w:t>Golin t/a Golin Engineering v Cloete</w:t>
      </w:r>
      <w:r w:rsidR="00C35CEE" w:rsidRPr="00C35CEE">
        <w:rPr>
          <w:rFonts w:ascii="Arial" w:hAnsi="Arial" w:cs="Arial"/>
        </w:rPr>
        <w:t xml:space="preserve"> </w:t>
      </w:r>
      <w:r w:rsidRPr="00925EE8">
        <w:rPr>
          <w:rFonts w:ascii="Arial" w:hAnsi="Arial" w:cs="Arial"/>
          <w:shd w:val="clear" w:color="auto" w:fill="F8F8F8"/>
        </w:rPr>
        <w:t>NLLP (1) 1998 121 NLC, 13 December 1995, p 123</w:t>
      </w:r>
      <w:r w:rsidR="005B722E" w:rsidRPr="00925EE8">
        <w:rPr>
          <w:rFonts w:ascii="Arial" w:hAnsi="Arial" w:cs="Arial"/>
          <w:shd w:val="clear" w:color="auto" w:fill="F8F8F8"/>
        </w:rPr>
        <w:t>.</w:t>
      </w:r>
    </w:p>
  </w:footnote>
  <w:footnote w:id="24">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iCs/>
        </w:rPr>
        <w:t>Elizabeth Mbambus v Motor Vehicle Accident Fund</w:t>
      </w:r>
      <w:r w:rsidR="00C35CEE" w:rsidRPr="00C35CEE">
        <w:rPr>
          <w:rFonts w:ascii="Arial" w:hAnsi="Arial" w:cs="Arial"/>
        </w:rPr>
        <w:t xml:space="preserve"> </w:t>
      </w:r>
      <w:r w:rsidRPr="00925EE8">
        <w:rPr>
          <w:rFonts w:ascii="Arial" w:hAnsi="Arial" w:cs="Arial"/>
          <w:shd w:val="clear" w:color="auto" w:fill="F8F8F8"/>
        </w:rPr>
        <w:t>(Case No. I 3299/2007) [2013] NAHCMD 2 14 January 2013</w:t>
      </w:r>
      <w:r w:rsidR="00233CCF" w:rsidRPr="00925EE8">
        <w:rPr>
          <w:rFonts w:ascii="Arial" w:hAnsi="Arial" w:cs="Arial"/>
          <w:shd w:val="clear" w:color="auto" w:fill="F8F8F8"/>
        </w:rPr>
        <w:t>.</w:t>
      </w:r>
    </w:p>
  </w:footnote>
  <w:footnote w:id="25">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00C35CEE" w:rsidRPr="00C35CEE">
        <w:rPr>
          <w:rFonts w:ascii="Arial" w:hAnsi="Arial" w:cs="Arial"/>
          <w:i/>
          <w:iCs/>
          <w:lang w:val="en-ZA"/>
        </w:rPr>
        <w:t>Georgias v Standard Chartered Finance Zimbabwe Limited</w:t>
      </w:r>
      <w:r w:rsidR="00C35CEE" w:rsidRPr="00C35CEE">
        <w:rPr>
          <w:rFonts w:ascii="Arial" w:hAnsi="Arial" w:cs="Arial"/>
        </w:rPr>
        <w:t xml:space="preserve"> </w:t>
      </w:r>
      <w:r w:rsidRPr="00925EE8">
        <w:rPr>
          <w:rFonts w:ascii="Arial" w:hAnsi="Arial" w:cs="Arial"/>
          <w:shd w:val="clear" w:color="auto" w:fill="F8F8F8"/>
        </w:rPr>
        <w:t>2000 (1) SA 126 (ZSC) 138I-140D</w:t>
      </w:r>
      <w:r w:rsidR="00233CCF" w:rsidRPr="00925EE8">
        <w:rPr>
          <w:rFonts w:ascii="Arial" w:hAnsi="Arial" w:cs="Arial"/>
          <w:shd w:val="clear" w:color="auto" w:fill="F8F8F8"/>
        </w:rPr>
        <w:t>.</w:t>
      </w:r>
    </w:p>
  </w:footnote>
  <w:footnote w:id="26">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Pr="00925EE8">
        <w:rPr>
          <w:rFonts w:ascii="Arial" w:hAnsi="Arial" w:cs="Arial"/>
          <w:lang w:val="en-ZA"/>
        </w:rPr>
        <w:t>Page 142 of the record.</w:t>
      </w:r>
    </w:p>
  </w:footnote>
  <w:footnote w:id="27">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Pr="00925EE8">
        <w:rPr>
          <w:rFonts w:ascii="Arial" w:hAnsi="Arial" w:cs="Arial"/>
          <w:lang w:val="en-ZA"/>
        </w:rPr>
        <w:t>Page 193 of the record.</w:t>
      </w:r>
    </w:p>
  </w:footnote>
  <w:footnote w:id="28">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Pr="00925EE8">
        <w:rPr>
          <w:rFonts w:ascii="Arial" w:hAnsi="Arial" w:cs="Arial"/>
          <w:lang w:val="en-ZA"/>
        </w:rPr>
        <w:t>Page 215 of the record at para 40.</w:t>
      </w:r>
    </w:p>
  </w:footnote>
  <w:footnote w:id="29">
    <w:p w:rsidR="001932BB" w:rsidRPr="00925EE8" w:rsidRDefault="001932BB" w:rsidP="00925EE8">
      <w:pPr>
        <w:pStyle w:val="FootnoteText"/>
        <w:spacing w:line="360" w:lineRule="auto"/>
        <w:rPr>
          <w:rFonts w:ascii="Arial" w:hAnsi="Arial" w:cs="Arial"/>
          <w:lang w:val="en-ZA"/>
        </w:rPr>
      </w:pPr>
      <w:r w:rsidRPr="00925EE8">
        <w:rPr>
          <w:rStyle w:val="FootnoteReference"/>
          <w:rFonts w:ascii="Arial" w:hAnsi="Arial" w:cs="Arial"/>
        </w:rPr>
        <w:footnoteRef/>
      </w:r>
      <w:r w:rsidRPr="00925EE8">
        <w:rPr>
          <w:rFonts w:ascii="Arial" w:hAnsi="Arial" w:cs="Arial"/>
        </w:rPr>
        <w:t xml:space="preserve"> </w:t>
      </w:r>
      <w:r w:rsidRPr="00925EE8">
        <w:rPr>
          <w:rFonts w:ascii="Arial" w:hAnsi="Arial" w:cs="Arial"/>
          <w:lang w:val="en-ZA"/>
        </w:rPr>
        <w:t>The current matter.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043410"/>
      <w:docPartObj>
        <w:docPartGallery w:val="Page Numbers (Top of Page)"/>
        <w:docPartUnique/>
      </w:docPartObj>
    </w:sdtPr>
    <w:sdtEndPr>
      <w:rPr>
        <w:noProof/>
      </w:rPr>
    </w:sdtEndPr>
    <w:sdtContent>
      <w:p w:rsidR="00CA14CE" w:rsidRDefault="00CA14CE">
        <w:pPr>
          <w:pStyle w:val="Header"/>
          <w:jc w:val="right"/>
        </w:pPr>
        <w:r>
          <w:fldChar w:fldCharType="begin"/>
        </w:r>
        <w:r>
          <w:instrText xml:space="preserve"> PAGE   \* MERGEFORMAT </w:instrText>
        </w:r>
        <w:r>
          <w:fldChar w:fldCharType="separate"/>
        </w:r>
        <w:r w:rsidR="00034AF4">
          <w:rPr>
            <w:noProof/>
          </w:rPr>
          <w:t>2</w:t>
        </w:r>
        <w:r>
          <w:rPr>
            <w:noProof/>
          </w:rPr>
          <w:fldChar w:fldCharType="end"/>
        </w:r>
      </w:p>
    </w:sdtContent>
  </w:sdt>
  <w:p w:rsidR="00CA14CE" w:rsidRDefault="00CA1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3E01"/>
    <w:multiLevelType w:val="hybridMultilevel"/>
    <w:tmpl w:val="9F564B48"/>
    <w:lvl w:ilvl="0" w:tplc="1FD228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C0C6C4A"/>
    <w:multiLevelType w:val="hybridMultilevel"/>
    <w:tmpl w:val="E5EACFE2"/>
    <w:lvl w:ilvl="0" w:tplc="3B58314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5F2E"/>
    <w:multiLevelType w:val="hybridMultilevel"/>
    <w:tmpl w:val="A80E8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122E6"/>
    <w:multiLevelType w:val="multilevel"/>
    <w:tmpl w:val="12CC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87403"/>
    <w:multiLevelType w:val="hybridMultilevel"/>
    <w:tmpl w:val="BF4EB690"/>
    <w:lvl w:ilvl="0" w:tplc="C0A40A70">
      <w:start w:val="1"/>
      <w:numFmt w:val="lowerLetter"/>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 w15:restartNumberingAfterBreak="0">
    <w:nsid w:val="1CB3469A"/>
    <w:multiLevelType w:val="hybridMultilevel"/>
    <w:tmpl w:val="71125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50ED5"/>
    <w:multiLevelType w:val="hybridMultilevel"/>
    <w:tmpl w:val="E0E6960A"/>
    <w:lvl w:ilvl="0" w:tplc="AC56DEA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C02B5"/>
    <w:multiLevelType w:val="hybridMultilevel"/>
    <w:tmpl w:val="D75EB608"/>
    <w:lvl w:ilvl="0" w:tplc="DEEEE1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0A446B7"/>
    <w:multiLevelType w:val="hybridMultilevel"/>
    <w:tmpl w:val="8A068D14"/>
    <w:lvl w:ilvl="0" w:tplc="BF94277E">
      <w:start w:val="1"/>
      <w:numFmt w:val="decimal"/>
      <w:lvlText w:val="%1."/>
      <w:lvlJc w:val="left"/>
      <w:pPr>
        <w:ind w:left="720" w:hanging="360"/>
      </w:pPr>
      <w:rPr>
        <w:rFonts w:hint="default"/>
        <w:color w:val="00000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94F4E"/>
    <w:multiLevelType w:val="multilevel"/>
    <w:tmpl w:val="12CC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7A67D7"/>
    <w:multiLevelType w:val="hybridMultilevel"/>
    <w:tmpl w:val="C5284208"/>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4596463"/>
    <w:multiLevelType w:val="hybridMultilevel"/>
    <w:tmpl w:val="97148A3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76C71536"/>
    <w:multiLevelType w:val="hybridMultilevel"/>
    <w:tmpl w:val="83D899E2"/>
    <w:lvl w:ilvl="0" w:tplc="D6507A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79563159"/>
    <w:multiLevelType w:val="hybridMultilevel"/>
    <w:tmpl w:val="60840DB8"/>
    <w:lvl w:ilvl="0" w:tplc="CCF4222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0"/>
  </w:num>
  <w:num w:numId="5">
    <w:abstractNumId w:val="10"/>
  </w:num>
  <w:num w:numId="6">
    <w:abstractNumId w:val="3"/>
  </w:num>
  <w:num w:numId="7">
    <w:abstractNumId w:val="4"/>
  </w:num>
  <w:num w:numId="8">
    <w:abstractNumId w:val="9"/>
  </w:num>
  <w:num w:numId="9">
    <w:abstractNumId w:val="6"/>
  </w:num>
  <w:num w:numId="10">
    <w:abstractNumId w:val="13"/>
  </w:num>
  <w:num w:numId="11">
    <w:abstractNumId w:val="1"/>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9C"/>
    <w:rsid w:val="00016C9D"/>
    <w:rsid w:val="00023D37"/>
    <w:rsid w:val="00033DF6"/>
    <w:rsid w:val="00034AF4"/>
    <w:rsid w:val="000375C1"/>
    <w:rsid w:val="00087294"/>
    <w:rsid w:val="0009632D"/>
    <w:rsid w:val="000B38B7"/>
    <w:rsid w:val="000C3332"/>
    <w:rsid w:val="000E2188"/>
    <w:rsid w:val="00141359"/>
    <w:rsid w:val="001725DD"/>
    <w:rsid w:val="0018464C"/>
    <w:rsid w:val="001932BB"/>
    <w:rsid w:val="0019364F"/>
    <w:rsid w:val="001B0404"/>
    <w:rsid w:val="001B2987"/>
    <w:rsid w:val="001B4DC6"/>
    <w:rsid w:val="001C700A"/>
    <w:rsid w:val="001D14DC"/>
    <w:rsid w:val="001D187C"/>
    <w:rsid w:val="001F058B"/>
    <w:rsid w:val="0021756F"/>
    <w:rsid w:val="00224EB1"/>
    <w:rsid w:val="00226E5E"/>
    <w:rsid w:val="00233CCF"/>
    <w:rsid w:val="00243A54"/>
    <w:rsid w:val="002455E2"/>
    <w:rsid w:val="002553D0"/>
    <w:rsid w:val="002704F1"/>
    <w:rsid w:val="00280777"/>
    <w:rsid w:val="002904B8"/>
    <w:rsid w:val="0037692D"/>
    <w:rsid w:val="00386462"/>
    <w:rsid w:val="0038702D"/>
    <w:rsid w:val="00396389"/>
    <w:rsid w:val="003F0261"/>
    <w:rsid w:val="00424BCD"/>
    <w:rsid w:val="00472124"/>
    <w:rsid w:val="00481DEC"/>
    <w:rsid w:val="00494A9C"/>
    <w:rsid w:val="004D20D0"/>
    <w:rsid w:val="004F0E4C"/>
    <w:rsid w:val="00560C2A"/>
    <w:rsid w:val="0059742B"/>
    <w:rsid w:val="005B3564"/>
    <w:rsid w:val="005B5FE1"/>
    <w:rsid w:val="005B722E"/>
    <w:rsid w:val="005D4BEF"/>
    <w:rsid w:val="00610C5A"/>
    <w:rsid w:val="0063155F"/>
    <w:rsid w:val="00634C30"/>
    <w:rsid w:val="00650AD3"/>
    <w:rsid w:val="00680D89"/>
    <w:rsid w:val="006812DA"/>
    <w:rsid w:val="006A0AB0"/>
    <w:rsid w:val="006A55C5"/>
    <w:rsid w:val="006B20A6"/>
    <w:rsid w:val="006B7DB4"/>
    <w:rsid w:val="00711EE3"/>
    <w:rsid w:val="00714C7F"/>
    <w:rsid w:val="007A1166"/>
    <w:rsid w:val="007B7652"/>
    <w:rsid w:val="007F13F9"/>
    <w:rsid w:val="00855BEE"/>
    <w:rsid w:val="0088659B"/>
    <w:rsid w:val="008A6F1C"/>
    <w:rsid w:val="008C2756"/>
    <w:rsid w:val="008C7F70"/>
    <w:rsid w:val="008D02FA"/>
    <w:rsid w:val="008D6CAA"/>
    <w:rsid w:val="008E61B5"/>
    <w:rsid w:val="00925EE8"/>
    <w:rsid w:val="009B7020"/>
    <w:rsid w:val="009D5EB5"/>
    <w:rsid w:val="00A04C24"/>
    <w:rsid w:val="00A25D00"/>
    <w:rsid w:val="00A26CBF"/>
    <w:rsid w:val="00A3341B"/>
    <w:rsid w:val="00A375A9"/>
    <w:rsid w:val="00A401FF"/>
    <w:rsid w:val="00A5659E"/>
    <w:rsid w:val="00A57069"/>
    <w:rsid w:val="00AC0D31"/>
    <w:rsid w:val="00AF0D83"/>
    <w:rsid w:val="00B24723"/>
    <w:rsid w:val="00B25A3C"/>
    <w:rsid w:val="00B407CD"/>
    <w:rsid w:val="00B501CB"/>
    <w:rsid w:val="00B676B6"/>
    <w:rsid w:val="00B779D3"/>
    <w:rsid w:val="00B921E6"/>
    <w:rsid w:val="00C16DAB"/>
    <w:rsid w:val="00C35CEE"/>
    <w:rsid w:val="00C41D94"/>
    <w:rsid w:val="00C820C3"/>
    <w:rsid w:val="00C960FF"/>
    <w:rsid w:val="00CA14CE"/>
    <w:rsid w:val="00CB19FD"/>
    <w:rsid w:val="00CC1C00"/>
    <w:rsid w:val="00CD0843"/>
    <w:rsid w:val="00CD7C72"/>
    <w:rsid w:val="00CE200D"/>
    <w:rsid w:val="00CE4427"/>
    <w:rsid w:val="00D0041A"/>
    <w:rsid w:val="00D231E7"/>
    <w:rsid w:val="00D866F3"/>
    <w:rsid w:val="00DB3AAE"/>
    <w:rsid w:val="00DD70DE"/>
    <w:rsid w:val="00DE5BF2"/>
    <w:rsid w:val="00E27E96"/>
    <w:rsid w:val="00E56647"/>
    <w:rsid w:val="00E7346B"/>
    <w:rsid w:val="00ED2148"/>
    <w:rsid w:val="00EF6161"/>
    <w:rsid w:val="00F34893"/>
    <w:rsid w:val="00F5525D"/>
    <w:rsid w:val="00F62454"/>
    <w:rsid w:val="00F74702"/>
    <w:rsid w:val="00F758CD"/>
    <w:rsid w:val="00F85363"/>
    <w:rsid w:val="00F86FB5"/>
    <w:rsid w:val="00FA71CB"/>
    <w:rsid w:val="00FC053E"/>
    <w:rsid w:val="00FC17AC"/>
    <w:rsid w:val="00FC7EEE"/>
    <w:rsid w:val="00FD46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46789D-EA54-458E-BB76-560BBA0C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A9C"/>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245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04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494A9C"/>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94A9C"/>
    <w:rPr>
      <w:rFonts w:ascii="Arial" w:eastAsia="Times New Roman" w:hAnsi="Arial" w:cs="Times New Roman"/>
      <w:sz w:val="28"/>
      <w:szCs w:val="24"/>
      <w:lang w:val="en-GB"/>
    </w:rPr>
  </w:style>
  <w:style w:type="paragraph" w:styleId="ListParagraph">
    <w:name w:val="List Paragraph"/>
    <w:basedOn w:val="Normal"/>
    <w:uiPriority w:val="34"/>
    <w:qFormat/>
    <w:rsid w:val="0059742B"/>
    <w:pPr>
      <w:spacing w:after="0" w:line="240" w:lineRule="auto"/>
      <w:ind w:left="720"/>
    </w:pPr>
    <w:rPr>
      <w:rFonts w:ascii="Times New Roman" w:eastAsia="Times New Roman" w:hAnsi="Times New Roman"/>
      <w:sz w:val="24"/>
      <w:szCs w:val="24"/>
      <w:lang w:val="en-GB" w:eastAsia="en-GB"/>
    </w:rPr>
  </w:style>
  <w:style w:type="paragraph" w:styleId="FootnoteText">
    <w:name w:val="footnote text"/>
    <w:aliases w:val="HCR: - Footnote text,Char Char Char,Char Char Char Char Char Char,Char Char Char Char Char Char Char,Char Char Char Char Char Char Char Char Char Char Char,Char Char Char Char Char,Footnote Text Char Char Char,Footnote Text Char Char"/>
    <w:basedOn w:val="Normal"/>
    <w:link w:val="FootnoteTextChar"/>
    <w:uiPriority w:val="99"/>
    <w:unhideWhenUsed/>
    <w:qFormat/>
    <w:rsid w:val="00CD7C72"/>
    <w:pPr>
      <w:spacing w:after="0" w:line="240" w:lineRule="auto"/>
    </w:pPr>
    <w:rPr>
      <w:sz w:val="20"/>
      <w:szCs w:val="20"/>
    </w:rPr>
  </w:style>
  <w:style w:type="character" w:customStyle="1" w:styleId="FootnoteTextChar">
    <w:name w:val="Footnote Text Char"/>
    <w:aliases w:val="HCR: - Footnote text Char,Char Char Char Char,Char Char Char Char Char Char Char1,Char Char Char Char Char Char Char Char,Char Char Char Char Char Char Char Char Char Char Char Char,Char Char Char Char Char Char1"/>
    <w:basedOn w:val="DefaultParagraphFont"/>
    <w:link w:val="FootnoteText"/>
    <w:uiPriority w:val="99"/>
    <w:rsid w:val="00CD7C72"/>
    <w:rPr>
      <w:rFonts w:ascii="Calibri" w:eastAsia="Calibri" w:hAnsi="Calibri" w:cs="Times New Roman"/>
      <w:sz w:val="20"/>
      <w:szCs w:val="20"/>
      <w:lang w:val="en-US"/>
    </w:rPr>
  </w:style>
  <w:style w:type="character" w:styleId="FootnoteReference">
    <w:name w:val="footnote reference"/>
    <w:aliases w:val="Footnotes refss,Footnote Reference + Superscript,(NECG) Footnote Reference,Appel note de bas de page,Ref,de nota al pie,註腳內容"/>
    <w:basedOn w:val="DefaultParagraphFont"/>
    <w:uiPriority w:val="99"/>
    <w:unhideWhenUsed/>
    <w:rsid w:val="00CD7C72"/>
    <w:rPr>
      <w:vertAlign w:val="superscript"/>
    </w:rPr>
  </w:style>
  <w:style w:type="paragraph" w:styleId="NormalWeb">
    <w:name w:val="Normal (Web)"/>
    <w:basedOn w:val="Normal"/>
    <w:uiPriority w:val="99"/>
    <w:unhideWhenUsed/>
    <w:rsid w:val="00610C5A"/>
    <w:pPr>
      <w:spacing w:before="100" w:beforeAutospacing="1" w:after="100" w:afterAutospacing="1" w:line="240" w:lineRule="auto"/>
    </w:pPr>
    <w:rPr>
      <w:rFonts w:ascii="Times New Roman" w:eastAsia="Times New Roman" w:hAnsi="Times New Roman"/>
      <w:sz w:val="24"/>
      <w:szCs w:val="24"/>
      <w:lang w:val="en-ZA" w:eastAsia="en-ZA"/>
    </w:rPr>
  </w:style>
  <w:style w:type="character" w:styleId="Hyperlink">
    <w:name w:val="Hyperlink"/>
    <w:basedOn w:val="DefaultParagraphFont"/>
    <w:uiPriority w:val="99"/>
    <w:semiHidden/>
    <w:unhideWhenUsed/>
    <w:rsid w:val="00610C5A"/>
    <w:rPr>
      <w:color w:val="0000FF"/>
      <w:u w:val="single"/>
    </w:rPr>
  </w:style>
  <w:style w:type="character" w:customStyle="1" w:styleId="Heading2Char">
    <w:name w:val="Heading 2 Char"/>
    <w:basedOn w:val="DefaultParagraphFont"/>
    <w:link w:val="Heading2"/>
    <w:uiPriority w:val="9"/>
    <w:semiHidden/>
    <w:rsid w:val="00A04C24"/>
    <w:rPr>
      <w:rFonts w:asciiTheme="majorHAnsi" w:eastAsiaTheme="majorEastAsia" w:hAnsiTheme="majorHAnsi" w:cstheme="majorBidi"/>
      <w:color w:val="2E74B5" w:themeColor="accent1" w:themeShade="BF"/>
      <w:sz w:val="26"/>
      <w:szCs w:val="26"/>
      <w:lang w:val="en-US"/>
    </w:rPr>
  </w:style>
  <w:style w:type="paragraph" w:styleId="BalloonText">
    <w:name w:val="Balloon Text"/>
    <w:basedOn w:val="Normal"/>
    <w:link w:val="BalloonTextChar"/>
    <w:uiPriority w:val="99"/>
    <w:semiHidden/>
    <w:unhideWhenUsed/>
    <w:rsid w:val="00172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5DD"/>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2455E2"/>
    <w:rPr>
      <w:rFonts w:asciiTheme="majorHAnsi" w:eastAsiaTheme="majorEastAsia" w:hAnsiTheme="majorHAnsi" w:cstheme="majorBidi"/>
      <w:color w:val="2E74B5" w:themeColor="accent1" w:themeShade="BF"/>
      <w:sz w:val="32"/>
      <w:szCs w:val="32"/>
      <w:lang w:val="en-US"/>
    </w:rPr>
  </w:style>
  <w:style w:type="paragraph" w:customStyle="1" w:styleId="rtejustify">
    <w:name w:val="rtejustify"/>
    <w:basedOn w:val="Normal"/>
    <w:rsid w:val="002455E2"/>
    <w:pPr>
      <w:spacing w:before="100" w:beforeAutospacing="1" w:after="100" w:afterAutospacing="1" w:line="240" w:lineRule="auto"/>
    </w:pPr>
    <w:rPr>
      <w:rFonts w:ascii="Times New Roman" w:eastAsia="Times New Roman" w:hAnsi="Times New Roman"/>
      <w:sz w:val="24"/>
      <w:szCs w:val="24"/>
      <w:lang w:val="en-ZA" w:eastAsia="en-ZA"/>
    </w:rPr>
  </w:style>
  <w:style w:type="character" w:styleId="Emphasis">
    <w:name w:val="Emphasis"/>
    <w:basedOn w:val="DefaultParagraphFont"/>
    <w:uiPriority w:val="20"/>
    <w:qFormat/>
    <w:rsid w:val="002455E2"/>
    <w:rPr>
      <w:i/>
      <w:iCs/>
    </w:rPr>
  </w:style>
  <w:style w:type="paragraph" w:customStyle="1" w:styleId="rteindent1">
    <w:name w:val="rteindent1"/>
    <w:basedOn w:val="Normal"/>
    <w:rsid w:val="002455E2"/>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Header">
    <w:name w:val="header"/>
    <w:basedOn w:val="Normal"/>
    <w:link w:val="HeaderChar"/>
    <w:uiPriority w:val="99"/>
    <w:unhideWhenUsed/>
    <w:rsid w:val="00CA1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4CE"/>
    <w:rPr>
      <w:rFonts w:ascii="Calibri" w:eastAsia="Calibri" w:hAnsi="Calibri" w:cs="Times New Roman"/>
      <w:lang w:val="en-US"/>
    </w:rPr>
  </w:style>
  <w:style w:type="paragraph" w:styleId="Footer">
    <w:name w:val="footer"/>
    <w:basedOn w:val="Normal"/>
    <w:link w:val="FooterChar"/>
    <w:uiPriority w:val="99"/>
    <w:unhideWhenUsed/>
    <w:rsid w:val="00CA1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4CE"/>
    <w:rPr>
      <w:rFonts w:ascii="Calibri" w:eastAsia="Calibri" w:hAnsi="Calibri" w:cs="Times New Roman"/>
      <w:lang w:val="en-US"/>
    </w:rPr>
  </w:style>
  <w:style w:type="character" w:styleId="CommentReference">
    <w:name w:val="annotation reference"/>
    <w:basedOn w:val="DefaultParagraphFont"/>
    <w:uiPriority w:val="99"/>
    <w:semiHidden/>
    <w:unhideWhenUsed/>
    <w:rsid w:val="00224EB1"/>
    <w:rPr>
      <w:sz w:val="16"/>
      <w:szCs w:val="16"/>
    </w:rPr>
  </w:style>
  <w:style w:type="paragraph" w:styleId="CommentText">
    <w:name w:val="annotation text"/>
    <w:basedOn w:val="Normal"/>
    <w:link w:val="CommentTextChar"/>
    <w:uiPriority w:val="99"/>
    <w:semiHidden/>
    <w:unhideWhenUsed/>
    <w:rsid w:val="00224EB1"/>
    <w:pPr>
      <w:spacing w:line="240" w:lineRule="auto"/>
    </w:pPr>
    <w:rPr>
      <w:sz w:val="20"/>
      <w:szCs w:val="20"/>
    </w:rPr>
  </w:style>
  <w:style w:type="character" w:customStyle="1" w:styleId="CommentTextChar">
    <w:name w:val="Comment Text Char"/>
    <w:basedOn w:val="DefaultParagraphFont"/>
    <w:link w:val="CommentText"/>
    <w:uiPriority w:val="99"/>
    <w:semiHidden/>
    <w:rsid w:val="00224EB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4EB1"/>
    <w:rPr>
      <w:b/>
      <w:bCs/>
    </w:rPr>
  </w:style>
  <w:style w:type="character" w:customStyle="1" w:styleId="CommentSubjectChar">
    <w:name w:val="Comment Subject Char"/>
    <w:basedOn w:val="CommentTextChar"/>
    <w:link w:val="CommentSubject"/>
    <w:uiPriority w:val="99"/>
    <w:semiHidden/>
    <w:rsid w:val="00224EB1"/>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0222">
      <w:bodyDiv w:val="1"/>
      <w:marLeft w:val="0"/>
      <w:marRight w:val="0"/>
      <w:marTop w:val="0"/>
      <w:marBottom w:val="0"/>
      <w:divBdr>
        <w:top w:val="none" w:sz="0" w:space="0" w:color="auto"/>
        <w:left w:val="none" w:sz="0" w:space="0" w:color="auto"/>
        <w:bottom w:val="none" w:sz="0" w:space="0" w:color="auto"/>
        <w:right w:val="none" w:sz="0" w:space="0" w:color="auto"/>
      </w:divBdr>
    </w:div>
    <w:div w:id="347408303">
      <w:bodyDiv w:val="1"/>
      <w:marLeft w:val="0"/>
      <w:marRight w:val="0"/>
      <w:marTop w:val="0"/>
      <w:marBottom w:val="0"/>
      <w:divBdr>
        <w:top w:val="none" w:sz="0" w:space="0" w:color="auto"/>
        <w:left w:val="none" w:sz="0" w:space="0" w:color="auto"/>
        <w:bottom w:val="none" w:sz="0" w:space="0" w:color="auto"/>
        <w:right w:val="none" w:sz="0" w:space="0" w:color="auto"/>
      </w:divBdr>
    </w:div>
    <w:div w:id="1347053627">
      <w:bodyDiv w:val="1"/>
      <w:marLeft w:val="0"/>
      <w:marRight w:val="0"/>
      <w:marTop w:val="0"/>
      <w:marBottom w:val="0"/>
      <w:divBdr>
        <w:top w:val="none" w:sz="0" w:space="0" w:color="auto"/>
        <w:left w:val="none" w:sz="0" w:space="0" w:color="auto"/>
        <w:bottom w:val="none" w:sz="0" w:space="0" w:color="auto"/>
        <w:right w:val="none" w:sz="0" w:space="0" w:color="auto"/>
      </w:divBdr>
    </w:div>
    <w:div w:id="13599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2021-02-25T18:30:00+00:00</Judgment_x0020_Date>
    <Year xmlns="aec0a7e9-5f5c-4ba9-87b2-85cfc8a38b86">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CDCE-A999-4E6C-B1AD-34116FF5AD9A}">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2.xml><?xml version="1.0" encoding="utf-8"?>
<ds:datastoreItem xmlns:ds="http://schemas.openxmlformats.org/officeDocument/2006/customXml" ds:itemID="{C917AD45-1516-4ACD-8322-E743C9CF5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3EFD9-C6C0-44D7-BC2C-56D1D333E9B3}">
  <ds:schemaRefs>
    <ds:schemaRef ds:uri="http://schemas.microsoft.com/sharepoint/v3/contenttype/forms"/>
  </ds:schemaRefs>
</ds:datastoreItem>
</file>

<file path=customXml/itemProps4.xml><?xml version="1.0" encoding="utf-8"?>
<ds:datastoreItem xmlns:ds="http://schemas.openxmlformats.org/officeDocument/2006/customXml" ds:itemID="{3737EDEC-7B92-4C29-8D86-3E6924B2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5770</Words>
  <Characters>32889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Cape Orchard Company Namibia (Pty) Ltd v Yikoghahoha and 57 Others (HC-MD-LAB-APP-AAA-2020-00022) [2020] NALCMD 06 (26 February 2021)</vt:lpstr>
    </vt:vector>
  </TitlesOfParts>
  <Company/>
  <LinksUpToDate>false</LinksUpToDate>
  <CharactersWithSpaces>38582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Orchard Company Namibia (Pty) Ltd v Yikoghahoha and 57 Others (HC-MD-LAB-APP-AAA-2020-00022) [2020] NALCMD 06 (26 February 2021)</dc:title>
  <dc:subject/>
  <dc:creator>Prinsloo Hannelie</dc:creator>
  <cp:keywords/>
  <dc:description/>
  <cp:lastModifiedBy>Microsoft account</cp:lastModifiedBy>
  <cp:revision>2</cp:revision>
  <cp:lastPrinted>2021-02-26T09:04:00Z</cp:lastPrinted>
  <dcterms:created xsi:type="dcterms:W3CDTF">2021-12-06T06:17:00Z</dcterms:created>
  <dcterms:modified xsi:type="dcterms:W3CDTF">2021-12-06T06:17:00Z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