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19D0E" w14:textId="77777777" w:rsidR="00AE3844" w:rsidRPr="00AE3844" w:rsidRDefault="00AE3844" w:rsidP="00AE3844">
      <w:pPr>
        <w:spacing w:line="360" w:lineRule="auto"/>
        <w:jc w:val="center"/>
        <w:rPr>
          <w:rFonts w:ascii="Arial" w:eastAsia="MS Mincho" w:hAnsi="Arial" w:cs="Arial"/>
          <w:b/>
          <w:sz w:val="24"/>
        </w:rPr>
      </w:pPr>
      <w:r w:rsidRPr="00AE3844">
        <w:rPr>
          <w:rFonts w:ascii="Arial" w:eastAsia="MS Mincho" w:hAnsi="Arial" w:cs="Arial"/>
          <w:b/>
          <w:sz w:val="24"/>
        </w:rPr>
        <w:t>REPUBLIC OF NAMIBIA</w:t>
      </w:r>
    </w:p>
    <w:p w14:paraId="7392E12C" w14:textId="77777777" w:rsidR="00AE3844" w:rsidRPr="00AE3844" w:rsidRDefault="00AE3844" w:rsidP="00AE3844">
      <w:pPr>
        <w:spacing w:line="360" w:lineRule="auto"/>
        <w:jc w:val="center"/>
        <w:rPr>
          <w:rFonts w:ascii="Arial" w:eastAsia="MS Mincho" w:hAnsi="Arial" w:cs="Arial"/>
          <w:b/>
          <w:sz w:val="24"/>
        </w:rPr>
      </w:pPr>
      <w:r w:rsidRPr="00AE3844">
        <w:rPr>
          <w:rFonts w:ascii="Arial" w:eastAsia="MS Mincho" w:hAnsi="Arial" w:cs="Arial"/>
          <w:b/>
          <w:noProof/>
          <w:sz w:val="24"/>
          <w:lang w:eastAsia="en-ZA"/>
        </w:rPr>
        <w:drawing>
          <wp:inline distT="0" distB="0" distL="0" distR="0" wp14:anchorId="2236BF5F" wp14:editId="295859BC">
            <wp:extent cx="1280160" cy="1325880"/>
            <wp:effectExtent l="0" t="0" r="0" b="762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325880"/>
                    </a:xfrm>
                    <a:prstGeom prst="rect">
                      <a:avLst/>
                    </a:prstGeom>
                    <a:noFill/>
                    <a:ln>
                      <a:noFill/>
                    </a:ln>
                  </pic:spPr>
                </pic:pic>
              </a:graphicData>
            </a:graphic>
          </wp:inline>
        </w:drawing>
      </w:r>
    </w:p>
    <w:p w14:paraId="64D552F0" w14:textId="77777777" w:rsidR="00AE3844" w:rsidRPr="00AE3844" w:rsidRDefault="00AE3844" w:rsidP="001E233B">
      <w:pPr>
        <w:spacing w:after="0" w:line="360" w:lineRule="auto"/>
        <w:jc w:val="center"/>
        <w:rPr>
          <w:rFonts w:ascii="Arial" w:hAnsi="Arial" w:cs="Arial"/>
          <w:b/>
          <w:sz w:val="24"/>
        </w:rPr>
      </w:pPr>
      <w:r w:rsidRPr="00AE3844">
        <w:rPr>
          <w:rFonts w:ascii="Arial" w:hAnsi="Arial" w:cs="Arial"/>
          <w:b/>
          <w:sz w:val="24"/>
        </w:rPr>
        <w:t>LABOUR COURT OF NAMIBIA, MAIN DIVISION, WINDHOEK</w:t>
      </w:r>
    </w:p>
    <w:p w14:paraId="66DBA810" w14:textId="4EE8399A" w:rsidR="00AE3844" w:rsidRPr="00AE3844" w:rsidRDefault="009A1899" w:rsidP="001E233B">
      <w:pPr>
        <w:spacing w:after="0" w:line="360" w:lineRule="auto"/>
        <w:jc w:val="center"/>
        <w:rPr>
          <w:rFonts w:ascii="Arial" w:hAnsi="Arial" w:cs="Arial"/>
          <w:b/>
          <w:sz w:val="24"/>
        </w:rPr>
      </w:pPr>
      <w:r>
        <w:rPr>
          <w:rFonts w:ascii="Arial" w:hAnsi="Arial" w:cs="Arial"/>
          <w:b/>
          <w:sz w:val="24"/>
        </w:rPr>
        <w:t>RULING</w:t>
      </w:r>
    </w:p>
    <w:p w14:paraId="13CB56B7" w14:textId="77777777" w:rsidR="00AE3844" w:rsidRPr="00AE3844" w:rsidRDefault="00AE3844" w:rsidP="001E233B">
      <w:pPr>
        <w:spacing w:after="0" w:line="360" w:lineRule="auto"/>
        <w:jc w:val="right"/>
        <w:rPr>
          <w:rFonts w:ascii="Arial" w:hAnsi="Arial" w:cs="Arial"/>
          <w:b/>
          <w:sz w:val="24"/>
        </w:rPr>
      </w:pPr>
    </w:p>
    <w:p w14:paraId="7ACA6958" w14:textId="77777777" w:rsidR="00AE3844" w:rsidRDefault="00AE3844" w:rsidP="009017E0">
      <w:pPr>
        <w:spacing w:after="0" w:line="360" w:lineRule="auto"/>
        <w:jc w:val="right"/>
        <w:rPr>
          <w:rFonts w:ascii="Arial" w:hAnsi="Arial" w:cs="Arial"/>
          <w:bCs/>
          <w:sz w:val="24"/>
        </w:rPr>
      </w:pPr>
      <w:r w:rsidRPr="00AE3844">
        <w:rPr>
          <w:rFonts w:ascii="Arial" w:hAnsi="Arial" w:cs="Arial"/>
          <w:bCs/>
          <w:sz w:val="24"/>
        </w:rPr>
        <w:t>HC-MD-LAB-APP-AAA-2022/00010</w:t>
      </w:r>
    </w:p>
    <w:p w14:paraId="78CC6C9D" w14:textId="77777777" w:rsidR="009017E0" w:rsidRPr="00AE3844" w:rsidRDefault="009017E0" w:rsidP="009017E0">
      <w:pPr>
        <w:spacing w:after="0" w:line="360" w:lineRule="auto"/>
        <w:jc w:val="right"/>
        <w:rPr>
          <w:rFonts w:ascii="Arial" w:hAnsi="Arial" w:cs="Arial"/>
          <w:sz w:val="24"/>
        </w:rPr>
      </w:pPr>
    </w:p>
    <w:p w14:paraId="42383E05" w14:textId="77777777" w:rsidR="00AE3844" w:rsidRDefault="00AE3844" w:rsidP="009017E0">
      <w:pPr>
        <w:spacing w:after="0" w:line="360" w:lineRule="auto"/>
        <w:rPr>
          <w:rFonts w:ascii="Arial" w:hAnsi="Arial" w:cs="Arial"/>
          <w:sz w:val="24"/>
        </w:rPr>
      </w:pPr>
      <w:r w:rsidRPr="00AE3844">
        <w:rPr>
          <w:rFonts w:ascii="Arial" w:hAnsi="Arial" w:cs="Arial"/>
          <w:sz w:val="24"/>
        </w:rPr>
        <w:t>In the matter between:</w:t>
      </w:r>
    </w:p>
    <w:p w14:paraId="78B953B0" w14:textId="77777777" w:rsidR="009017E0" w:rsidRPr="00AE3844" w:rsidRDefault="009017E0" w:rsidP="009017E0">
      <w:pPr>
        <w:spacing w:after="0" w:line="360" w:lineRule="auto"/>
        <w:rPr>
          <w:rFonts w:ascii="Arial" w:hAnsi="Arial" w:cs="Arial"/>
          <w:sz w:val="24"/>
        </w:rPr>
      </w:pPr>
    </w:p>
    <w:p w14:paraId="37CCD7F3" w14:textId="257E61B8" w:rsidR="00D30BF5" w:rsidRDefault="00AE3844" w:rsidP="009017E0">
      <w:pPr>
        <w:spacing w:after="0" w:line="360" w:lineRule="auto"/>
        <w:ind w:right="26"/>
        <w:rPr>
          <w:rFonts w:ascii="Arial" w:hAnsi="Arial" w:cs="Arial"/>
          <w:b/>
          <w:sz w:val="24"/>
        </w:rPr>
      </w:pPr>
      <w:r w:rsidRPr="00AE3844">
        <w:rPr>
          <w:rFonts w:ascii="Arial" w:hAnsi="Arial" w:cs="Arial"/>
          <w:b/>
          <w:caps/>
          <w:sz w:val="24"/>
        </w:rPr>
        <w:t>QKR NAMIBIA NAVACHAB GOLD MINE (PTY) LTD</w:t>
      </w:r>
      <w:r w:rsidRPr="00AE3844">
        <w:rPr>
          <w:rFonts w:ascii="Arial" w:hAnsi="Arial" w:cs="Arial"/>
          <w:b/>
          <w:caps/>
          <w:sz w:val="24"/>
        </w:rPr>
        <w:tab/>
      </w:r>
      <w:r w:rsidRPr="00AE3844">
        <w:rPr>
          <w:rFonts w:ascii="Arial" w:hAnsi="Arial" w:cs="Arial"/>
          <w:b/>
          <w:caps/>
          <w:sz w:val="24"/>
        </w:rPr>
        <w:tab/>
      </w:r>
      <w:r w:rsidR="00D30BF5">
        <w:rPr>
          <w:rFonts w:ascii="Arial" w:hAnsi="Arial" w:cs="Arial"/>
          <w:b/>
          <w:caps/>
          <w:sz w:val="24"/>
        </w:rPr>
        <w:t xml:space="preserve">            </w:t>
      </w:r>
      <w:r w:rsidR="00EC75F2">
        <w:rPr>
          <w:rFonts w:ascii="Arial" w:hAnsi="Arial" w:cs="Arial"/>
          <w:b/>
          <w:caps/>
          <w:sz w:val="24"/>
        </w:rPr>
        <w:t xml:space="preserve">      </w:t>
      </w:r>
      <w:r w:rsidRPr="00AE3844">
        <w:rPr>
          <w:rFonts w:ascii="Arial" w:hAnsi="Arial" w:cs="Arial"/>
          <w:b/>
          <w:sz w:val="24"/>
        </w:rPr>
        <w:t>APPELLAN</w:t>
      </w:r>
      <w:r w:rsidR="00D30BF5">
        <w:rPr>
          <w:rFonts w:ascii="Arial" w:hAnsi="Arial" w:cs="Arial"/>
          <w:b/>
          <w:sz w:val="24"/>
        </w:rPr>
        <w:t>T</w:t>
      </w:r>
    </w:p>
    <w:p w14:paraId="1DD60EF9" w14:textId="77777777" w:rsidR="009017E0" w:rsidRDefault="009017E0" w:rsidP="009017E0">
      <w:pPr>
        <w:spacing w:after="0" w:line="360" w:lineRule="auto"/>
        <w:ind w:right="26"/>
        <w:rPr>
          <w:rFonts w:ascii="Arial" w:hAnsi="Arial" w:cs="Arial"/>
          <w:b/>
          <w:caps/>
          <w:sz w:val="24"/>
        </w:rPr>
      </w:pPr>
    </w:p>
    <w:p w14:paraId="48854A97" w14:textId="113810AA" w:rsidR="00AE3844" w:rsidRDefault="00EC75F2" w:rsidP="009017E0">
      <w:pPr>
        <w:spacing w:after="0" w:line="360" w:lineRule="auto"/>
        <w:ind w:right="26"/>
        <w:rPr>
          <w:rFonts w:ascii="Arial" w:hAnsi="Arial" w:cs="Arial"/>
          <w:sz w:val="24"/>
        </w:rPr>
      </w:pPr>
      <w:r>
        <w:rPr>
          <w:rFonts w:ascii="Arial" w:hAnsi="Arial" w:cs="Arial"/>
          <w:sz w:val="24"/>
        </w:rPr>
        <w:t>a</w:t>
      </w:r>
      <w:r w:rsidR="00AE3844" w:rsidRPr="00AE3844">
        <w:rPr>
          <w:rFonts w:ascii="Arial" w:hAnsi="Arial" w:cs="Arial"/>
          <w:sz w:val="24"/>
        </w:rPr>
        <w:t>nd</w:t>
      </w:r>
    </w:p>
    <w:p w14:paraId="38093A01" w14:textId="77777777" w:rsidR="009017E0" w:rsidRPr="00D30BF5" w:rsidRDefault="009017E0" w:rsidP="009017E0">
      <w:pPr>
        <w:spacing w:after="0" w:line="360" w:lineRule="auto"/>
        <w:ind w:right="26"/>
        <w:rPr>
          <w:rFonts w:ascii="Arial" w:hAnsi="Arial" w:cs="Arial"/>
          <w:b/>
          <w:sz w:val="24"/>
        </w:rPr>
      </w:pPr>
    </w:p>
    <w:p w14:paraId="3C8B4E02" w14:textId="7C7796CC" w:rsidR="00AE3844" w:rsidRPr="00AE3844" w:rsidRDefault="00AE3844" w:rsidP="009017E0">
      <w:pPr>
        <w:spacing w:after="0" w:line="360" w:lineRule="auto"/>
        <w:rPr>
          <w:rFonts w:ascii="Arial" w:hAnsi="Arial" w:cs="Arial"/>
          <w:b/>
          <w:sz w:val="24"/>
        </w:rPr>
      </w:pPr>
      <w:r>
        <w:rPr>
          <w:rFonts w:ascii="Arial" w:hAnsi="Arial" w:cs="Arial"/>
          <w:b/>
          <w:caps/>
          <w:sz w:val="24"/>
        </w:rPr>
        <w:t>MARIANE KWALA</w:t>
      </w:r>
      <w:r w:rsidRPr="00AE3844">
        <w:rPr>
          <w:rFonts w:ascii="Arial" w:hAnsi="Arial" w:cs="Arial"/>
          <w:b/>
          <w:caps/>
          <w:sz w:val="24"/>
        </w:rPr>
        <w:tab/>
      </w:r>
      <w:r w:rsidRPr="00AE3844">
        <w:rPr>
          <w:rFonts w:ascii="Arial" w:hAnsi="Arial" w:cs="Arial"/>
          <w:b/>
          <w:caps/>
          <w:sz w:val="24"/>
        </w:rPr>
        <w:tab/>
      </w:r>
      <w:r w:rsidRPr="00AE3844">
        <w:rPr>
          <w:rFonts w:ascii="Arial" w:hAnsi="Arial" w:cs="Arial"/>
          <w:b/>
          <w:sz w:val="24"/>
        </w:rPr>
        <w:tab/>
      </w:r>
      <w:r w:rsidRPr="00AE3844">
        <w:rPr>
          <w:rFonts w:ascii="Arial" w:hAnsi="Arial" w:cs="Arial"/>
          <w:b/>
          <w:sz w:val="24"/>
        </w:rPr>
        <w:tab/>
      </w:r>
      <w:r w:rsidRPr="00AE3844">
        <w:rPr>
          <w:rFonts w:ascii="Arial" w:hAnsi="Arial" w:cs="Arial"/>
          <w:b/>
          <w:sz w:val="24"/>
        </w:rPr>
        <w:tab/>
      </w:r>
      <w:r w:rsidRPr="00AE3844">
        <w:rPr>
          <w:rFonts w:ascii="Arial" w:hAnsi="Arial" w:cs="Arial"/>
          <w:b/>
          <w:sz w:val="24"/>
        </w:rPr>
        <w:tab/>
        <w:t xml:space="preserve">     </w:t>
      </w:r>
      <w:r w:rsidRPr="00AE3844">
        <w:rPr>
          <w:rFonts w:ascii="Arial" w:hAnsi="Arial" w:cs="Arial"/>
          <w:b/>
          <w:sz w:val="24"/>
        </w:rPr>
        <w:tab/>
      </w:r>
      <w:r>
        <w:rPr>
          <w:rFonts w:ascii="Arial" w:hAnsi="Arial" w:cs="Arial"/>
          <w:b/>
          <w:sz w:val="24"/>
        </w:rPr>
        <w:tab/>
      </w:r>
      <w:r w:rsidR="00EC75F2">
        <w:rPr>
          <w:rFonts w:ascii="Arial" w:hAnsi="Arial" w:cs="Arial"/>
          <w:b/>
          <w:sz w:val="24"/>
        </w:rPr>
        <w:t xml:space="preserve">    </w:t>
      </w:r>
      <w:r w:rsidRPr="00AE3844">
        <w:rPr>
          <w:rFonts w:ascii="Arial" w:hAnsi="Arial" w:cs="Arial"/>
          <w:b/>
          <w:sz w:val="24"/>
        </w:rPr>
        <w:t>RESPONDENT</w:t>
      </w:r>
    </w:p>
    <w:p w14:paraId="473C83AF" w14:textId="77777777" w:rsidR="001741BE" w:rsidRDefault="001741BE" w:rsidP="009017E0">
      <w:pPr>
        <w:spacing w:after="0" w:line="360" w:lineRule="auto"/>
        <w:rPr>
          <w:rFonts w:ascii="Arial" w:hAnsi="Arial" w:cs="Arial"/>
          <w:b/>
          <w:sz w:val="24"/>
        </w:rPr>
      </w:pPr>
    </w:p>
    <w:p w14:paraId="7794AC0F" w14:textId="0568BAE1" w:rsidR="00AE3844" w:rsidRPr="00AE3844" w:rsidRDefault="00AE3844" w:rsidP="009017E0">
      <w:pPr>
        <w:spacing w:after="0" w:line="360" w:lineRule="auto"/>
        <w:rPr>
          <w:rFonts w:ascii="Arial" w:hAnsi="Arial" w:cs="Arial"/>
          <w:sz w:val="24"/>
        </w:rPr>
      </w:pPr>
      <w:r w:rsidRPr="00AE3844">
        <w:rPr>
          <w:rFonts w:ascii="Arial" w:hAnsi="Arial" w:cs="Arial"/>
          <w:b/>
          <w:sz w:val="24"/>
        </w:rPr>
        <w:t>Neutral Citation:</w:t>
      </w:r>
      <w:r w:rsidRPr="00AE3844">
        <w:rPr>
          <w:rFonts w:ascii="Arial" w:hAnsi="Arial" w:cs="Arial"/>
          <w:b/>
          <w:sz w:val="24"/>
        </w:rPr>
        <w:tab/>
      </w:r>
      <w:r w:rsidR="00080CE1">
        <w:rPr>
          <w:rFonts w:ascii="Arial" w:hAnsi="Arial" w:cs="Arial"/>
          <w:i/>
          <w:sz w:val="24"/>
        </w:rPr>
        <w:t xml:space="preserve">QKR </w:t>
      </w:r>
      <w:r w:rsidR="002C092E">
        <w:rPr>
          <w:rFonts w:ascii="Arial" w:hAnsi="Arial" w:cs="Arial"/>
          <w:i/>
          <w:sz w:val="24"/>
        </w:rPr>
        <w:t xml:space="preserve">Namibia Navachab Gold Mine (Pty) Ltd </w:t>
      </w:r>
      <w:r w:rsidRPr="00AE3844">
        <w:rPr>
          <w:rFonts w:ascii="Arial" w:hAnsi="Arial" w:cs="Arial"/>
          <w:i/>
          <w:sz w:val="24"/>
        </w:rPr>
        <w:t xml:space="preserve">v </w:t>
      </w:r>
      <w:r w:rsidR="00080CE1">
        <w:rPr>
          <w:rFonts w:ascii="Arial" w:hAnsi="Arial" w:cs="Arial"/>
          <w:i/>
          <w:sz w:val="24"/>
        </w:rPr>
        <w:t>Kwala</w:t>
      </w:r>
      <w:r w:rsidRPr="00AE3844">
        <w:rPr>
          <w:rFonts w:ascii="Arial" w:hAnsi="Arial" w:cs="Arial"/>
          <w:i/>
          <w:sz w:val="24"/>
        </w:rPr>
        <w:t xml:space="preserve"> </w:t>
      </w:r>
      <w:r w:rsidRPr="00AE3844">
        <w:rPr>
          <w:rFonts w:ascii="Arial" w:hAnsi="Arial" w:cs="Arial"/>
          <w:sz w:val="24"/>
        </w:rPr>
        <w:t>(</w:t>
      </w:r>
      <w:r w:rsidRPr="00AE3844">
        <w:rPr>
          <w:rFonts w:ascii="Arial" w:hAnsi="Arial" w:cs="Arial"/>
          <w:bCs/>
          <w:sz w:val="24"/>
        </w:rPr>
        <w:t>HC-MD-</w:t>
      </w:r>
      <w:r w:rsidR="009017E0">
        <w:rPr>
          <w:rFonts w:ascii="Arial" w:hAnsi="Arial" w:cs="Arial"/>
          <w:bCs/>
          <w:sz w:val="24"/>
        </w:rPr>
        <w:tab/>
      </w:r>
      <w:r w:rsidR="009017E0">
        <w:rPr>
          <w:rFonts w:ascii="Arial" w:hAnsi="Arial" w:cs="Arial"/>
          <w:bCs/>
          <w:sz w:val="24"/>
        </w:rPr>
        <w:tab/>
      </w:r>
      <w:r w:rsidR="009017E0">
        <w:rPr>
          <w:rFonts w:ascii="Arial" w:hAnsi="Arial" w:cs="Arial"/>
          <w:bCs/>
          <w:sz w:val="24"/>
        </w:rPr>
        <w:tab/>
      </w:r>
      <w:r w:rsidRPr="00AE3844">
        <w:rPr>
          <w:rFonts w:ascii="Arial" w:hAnsi="Arial" w:cs="Arial"/>
          <w:bCs/>
          <w:sz w:val="24"/>
        </w:rPr>
        <w:t>LAB-APP-AAA-202</w:t>
      </w:r>
      <w:r w:rsidR="00080CE1">
        <w:rPr>
          <w:rFonts w:ascii="Arial" w:hAnsi="Arial" w:cs="Arial"/>
          <w:bCs/>
          <w:sz w:val="24"/>
        </w:rPr>
        <w:t>2</w:t>
      </w:r>
      <w:r w:rsidRPr="00AE3844">
        <w:rPr>
          <w:rFonts w:ascii="Arial" w:hAnsi="Arial" w:cs="Arial"/>
          <w:bCs/>
          <w:sz w:val="24"/>
        </w:rPr>
        <w:t>/000</w:t>
      </w:r>
      <w:r w:rsidR="00080CE1">
        <w:rPr>
          <w:rFonts w:ascii="Arial" w:hAnsi="Arial" w:cs="Arial"/>
          <w:bCs/>
          <w:sz w:val="24"/>
        </w:rPr>
        <w:t>10</w:t>
      </w:r>
      <w:r w:rsidRPr="00AE3844">
        <w:rPr>
          <w:rFonts w:ascii="Arial" w:hAnsi="Arial" w:cs="Arial"/>
          <w:sz w:val="24"/>
        </w:rPr>
        <w:t>) [202</w:t>
      </w:r>
      <w:r w:rsidR="00080CE1">
        <w:rPr>
          <w:rFonts w:ascii="Arial" w:hAnsi="Arial" w:cs="Arial"/>
          <w:sz w:val="24"/>
        </w:rPr>
        <w:t>2</w:t>
      </w:r>
      <w:r w:rsidRPr="00AE3844">
        <w:rPr>
          <w:rFonts w:ascii="Arial" w:hAnsi="Arial" w:cs="Arial"/>
          <w:sz w:val="24"/>
        </w:rPr>
        <w:t xml:space="preserve">] NALCMD </w:t>
      </w:r>
      <w:r w:rsidR="002D1601" w:rsidRPr="00211413">
        <w:rPr>
          <w:rFonts w:ascii="Arial" w:hAnsi="Arial" w:cs="Arial"/>
          <w:sz w:val="24"/>
        </w:rPr>
        <w:t>64</w:t>
      </w:r>
      <w:r w:rsidR="00080CE1" w:rsidRPr="00AE3844">
        <w:rPr>
          <w:rFonts w:ascii="Arial" w:hAnsi="Arial" w:cs="Arial"/>
          <w:sz w:val="24"/>
        </w:rPr>
        <w:t xml:space="preserve"> (</w:t>
      </w:r>
      <w:r w:rsidR="00080CE1">
        <w:rPr>
          <w:rFonts w:ascii="Arial" w:hAnsi="Arial" w:cs="Arial"/>
          <w:sz w:val="24"/>
        </w:rPr>
        <w:t>21 O</w:t>
      </w:r>
      <w:r w:rsidR="00211413">
        <w:rPr>
          <w:rFonts w:ascii="Arial" w:hAnsi="Arial" w:cs="Arial"/>
          <w:sz w:val="24"/>
        </w:rPr>
        <w:t xml:space="preserve">ctober </w:t>
      </w:r>
      <w:r w:rsidR="009017E0">
        <w:rPr>
          <w:rFonts w:ascii="Arial" w:hAnsi="Arial" w:cs="Arial"/>
          <w:sz w:val="24"/>
        </w:rPr>
        <w:tab/>
      </w:r>
      <w:r w:rsidR="009017E0">
        <w:rPr>
          <w:rFonts w:ascii="Arial" w:hAnsi="Arial" w:cs="Arial"/>
          <w:sz w:val="24"/>
        </w:rPr>
        <w:tab/>
      </w:r>
      <w:r w:rsidR="009017E0">
        <w:rPr>
          <w:rFonts w:ascii="Arial" w:hAnsi="Arial" w:cs="Arial"/>
          <w:sz w:val="24"/>
        </w:rPr>
        <w:tab/>
      </w:r>
      <w:r w:rsidR="00080CE1">
        <w:rPr>
          <w:rFonts w:ascii="Arial" w:hAnsi="Arial" w:cs="Arial"/>
          <w:sz w:val="24"/>
        </w:rPr>
        <w:t>2022</w:t>
      </w:r>
      <w:r w:rsidRPr="00AE3844">
        <w:rPr>
          <w:rFonts w:ascii="Arial" w:hAnsi="Arial" w:cs="Arial"/>
          <w:sz w:val="24"/>
        </w:rPr>
        <w:t>)</w:t>
      </w:r>
    </w:p>
    <w:p w14:paraId="1D99B356" w14:textId="77777777" w:rsidR="00AE3844" w:rsidRPr="00AE3844" w:rsidRDefault="00AE3844" w:rsidP="009017E0">
      <w:pPr>
        <w:spacing w:after="0" w:line="360" w:lineRule="auto"/>
        <w:rPr>
          <w:rFonts w:ascii="Arial" w:hAnsi="Arial" w:cs="Arial"/>
          <w:sz w:val="24"/>
        </w:rPr>
      </w:pPr>
    </w:p>
    <w:p w14:paraId="2C81B5B2" w14:textId="77777777" w:rsidR="00AE3844" w:rsidRPr="00AE3844" w:rsidRDefault="00AE3844" w:rsidP="009017E0">
      <w:pPr>
        <w:spacing w:after="0" w:line="360" w:lineRule="auto"/>
        <w:rPr>
          <w:rFonts w:ascii="Arial" w:hAnsi="Arial" w:cs="Arial"/>
          <w:sz w:val="24"/>
        </w:rPr>
      </w:pPr>
      <w:r w:rsidRPr="00AE3844">
        <w:rPr>
          <w:rFonts w:ascii="Arial" w:hAnsi="Arial" w:cs="Arial"/>
          <w:b/>
          <w:sz w:val="24"/>
        </w:rPr>
        <w:t>CORAM:</w:t>
      </w:r>
      <w:r w:rsidRPr="00AE3844">
        <w:rPr>
          <w:rFonts w:ascii="Arial" w:hAnsi="Arial" w:cs="Arial"/>
          <w:b/>
          <w:sz w:val="24"/>
        </w:rPr>
        <w:tab/>
      </w:r>
      <w:r w:rsidR="00080CE1">
        <w:rPr>
          <w:rFonts w:ascii="Arial" w:hAnsi="Arial" w:cs="Arial"/>
          <w:sz w:val="24"/>
        </w:rPr>
        <w:t>CHRISTIAAN AJ</w:t>
      </w:r>
    </w:p>
    <w:p w14:paraId="07244423" w14:textId="77777777" w:rsidR="00AE3844" w:rsidRPr="00AE3844" w:rsidRDefault="00AE3844" w:rsidP="009017E0">
      <w:pPr>
        <w:spacing w:after="0" w:line="360" w:lineRule="auto"/>
        <w:rPr>
          <w:rFonts w:ascii="Arial" w:hAnsi="Arial" w:cs="Arial"/>
          <w:b/>
          <w:sz w:val="24"/>
        </w:rPr>
      </w:pPr>
      <w:r w:rsidRPr="00AE3844">
        <w:rPr>
          <w:rFonts w:ascii="Arial" w:hAnsi="Arial" w:cs="Arial"/>
          <w:b/>
          <w:sz w:val="24"/>
        </w:rPr>
        <w:t>Heard:</w:t>
      </w:r>
      <w:r w:rsidRPr="00AE3844">
        <w:rPr>
          <w:rFonts w:ascii="Arial" w:hAnsi="Arial" w:cs="Arial"/>
          <w:b/>
          <w:sz w:val="24"/>
        </w:rPr>
        <w:tab/>
      </w:r>
      <w:r w:rsidR="00080CE1">
        <w:rPr>
          <w:rFonts w:ascii="Arial" w:hAnsi="Arial" w:cs="Arial"/>
          <w:b/>
          <w:sz w:val="24"/>
        </w:rPr>
        <w:t>03 October 2022</w:t>
      </w:r>
    </w:p>
    <w:p w14:paraId="1556975C" w14:textId="77777777" w:rsidR="00AE3844" w:rsidRPr="00AE3844" w:rsidRDefault="00AE3844" w:rsidP="009017E0">
      <w:pPr>
        <w:spacing w:after="0" w:line="360" w:lineRule="auto"/>
        <w:rPr>
          <w:rFonts w:ascii="Arial" w:hAnsi="Arial" w:cs="Arial"/>
          <w:b/>
          <w:sz w:val="24"/>
        </w:rPr>
      </w:pPr>
      <w:r w:rsidRPr="00AE3844">
        <w:rPr>
          <w:rFonts w:ascii="Arial" w:hAnsi="Arial" w:cs="Arial"/>
          <w:b/>
          <w:sz w:val="24"/>
        </w:rPr>
        <w:t>Delivered:</w:t>
      </w:r>
      <w:r w:rsidRPr="00AE3844">
        <w:rPr>
          <w:rFonts w:ascii="Arial" w:hAnsi="Arial" w:cs="Arial"/>
          <w:b/>
          <w:sz w:val="24"/>
        </w:rPr>
        <w:tab/>
      </w:r>
      <w:r w:rsidR="00080CE1">
        <w:rPr>
          <w:rFonts w:ascii="Arial" w:hAnsi="Arial" w:cs="Arial"/>
          <w:b/>
          <w:bCs/>
          <w:sz w:val="24"/>
        </w:rPr>
        <w:t>21 October 2022</w:t>
      </w:r>
    </w:p>
    <w:p w14:paraId="35F95115" w14:textId="77777777" w:rsidR="00AE3844" w:rsidRPr="00AE3844" w:rsidRDefault="00AE3844" w:rsidP="009017E0">
      <w:pPr>
        <w:spacing w:after="0" w:line="360" w:lineRule="auto"/>
        <w:rPr>
          <w:rFonts w:ascii="Arial" w:hAnsi="Arial" w:cs="Arial"/>
          <w:sz w:val="24"/>
        </w:rPr>
      </w:pPr>
    </w:p>
    <w:p w14:paraId="084D5D59" w14:textId="16F32339" w:rsidR="00D00BB5" w:rsidRDefault="00AE3844" w:rsidP="009017E0">
      <w:pPr>
        <w:spacing w:after="240" w:line="360" w:lineRule="auto"/>
        <w:jc w:val="both"/>
        <w:rPr>
          <w:rFonts w:ascii="Arial" w:hAnsi="Arial" w:cs="Arial"/>
          <w:sz w:val="24"/>
          <w:szCs w:val="24"/>
        </w:rPr>
      </w:pPr>
      <w:r w:rsidRPr="00AE3844">
        <w:rPr>
          <w:rFonts w:ascii="Arial" w:hAnsi="Arial" w:cs="Arial"/>
          <w:b/>
          <w:sz w:val="24"/>
        </w:rPr>
        <w:t>Flynote:</w:t>
      </w:r>
      <w:r w:rsidRPr="00AE3844">
        <w:rPr>
          <w:rFonts w:ascii="Arial" w:hAnsi="Arial" w:cs="Arial"/>
          <w:sz w:val="24"/>
        </w:rPr>
        <w:tab/>
      </w:r>
      <w:r w:rsidR="00D00BB5" w:rsidRPr="00F40B64">
        <w:rPr>
          <w:rFonts w:ascii="Arial" w:hAnsi="Arial"/>
          <w:sz w:val="24"/>
          <w:szCs w:val="24"/>
        </w:rPr>
        <w:t xml:space="preserve">Labour Law – </w:t>
      </w:r>
      <w:r w:rsidR="000A2BCD">
        <w:rPr>
          <w:rFonts w:ascii="Arial" w:hAnsi="Arial"/>
          <w:sz w:val="24"/>
          <w:szCs w:val="24"/>
        </w:rPr>
        <w:t>A</w:t>
      </w:r>
      <w:r w:rsidR="00D00BB5" w:rsidRPr="00F40B64">
        <w:rPr>
          <w:rFonts w:ascii="Arial" w:hAnsi="Arial"/>
          <w:sz w:val="24"/>
          <w:szCs w:val="24"/>
        </w:rPr>
        <w:t xml:space="preserve">ppeal from award of arbitrator – </w:t>
      </w:r>
      <w:r w:rsidR="000A2BCD">
        <w:rPr>
          <w:rFonts w:ascii="Arial" w:hAnsi="Arial"/>
          <w:sz w:val="24"/>
          <w:szCs w:val="24"/>
        </w:rPr>
        <w:t>C</w:t>
      </w:r>
      <w:r w:rsidR="00D00BB5" w:rsidRPr="00F40B64">
        <w:rPr>
          <w:rFonts w:ascii="Arial" w:hAnsi="Arial"/>
          <w:sz w:val="24"/>
          <w:szCs w:val="24"/>
        </w:rPr>
        <w:t xml:space="preserve">ondonation for failure to prosecute appeal within time limits – </w:t>
      </w:r>
      <w:r w:rsidR="000A2BCD">
        <w:rPr>
          <w:rFonts w:ascii="Arial" w:hAnsi="Arial"/>
          <w:sz w:val="24"/>
          <w:szCs w:val="24"/>
        </w:rPr>
        <w:t>P</w:t>
      </w:r>
      <w:r w:rsidR="00D00BB5" w:rsidRPr="00F40B64">
        <w:rPr>
          <w:rFonts w:ascii="Arial" w:hAnsi="Arial"/>
          <w:sz w:val="24"/>
          <w:szCs w:val="24"/>
        </w:rPr>
        <w:t xml:space="preserve">rinciples for condonation restated </w:t>
      </w:r>
      <w:r w:rsidR="00D00BB5">
        <w:rPr>
          <w:rFonts w:ascii="Arial" w:hAnsi="Arial"/>
          <w:sz w:val="24"/>
          <w:szCs w:val="24"/>
        </w:rPr>
        <w:t>–</w:t>
      </w:r>
      <w:r w:rsidR="00D00BB5" w:rsidRPr="00F40B64">
        <w:rPr>
          <w:rFonts w:ascii="Arial" w:hAnsi="Arial"/>
          <w:sz w:val="24"/>
          <w:szCs w:val="24"/>
        </w:rPr>
        <w:t xml:space="preserve"> </w:t>
      </w:r>
      <w:r w:rsidR="000A2BCD">
        <w:rPr>
          <w:rFonts w:ascii="Arial" w:hAnsi="Arial"/>
          <w:sz w:val="24"/>
          <w:szCs w:val="24"/>
        </w:rPr>
        <w:t>A</w:t>
      </w:r>
      <w:r w:rsidR="00D00BB5" w:rsidRPr="00F40B64">
        <w:rPr>
          <w:rFonts w:ascii="Arial" w:hAnsi="Arial" w:cs="Arial"/>
          <w:sz w:val="24"/>
          <w:szCs w:val="24"/>
        </w:rPr>
        <w:t xml:space="preserve">pplicant who seeks condonation bears the onus to satisfy the court that there is sufficient cause to grant condonation and to bring the application for condonation without delay </w:t>
      </w:r>
      <w:r w:rsidR="00D00BB5">
        <w:rPr>
          <w:rFonts w:ascii="Arial" w:hAnsi="Arial" w:cs="Arial"/>
          <w:sz w:val="24"/>
          <w:szCs w:val="24"/>
        </w:rPr>
        <w:t>–</w:t>
      </w:r>
      <w:r w:rsidR="00D00BB5" w:rsidRPr="00F40B64">
        <w:rPr>
          <w:rFonts w:ascii="Arial" w:hAnsi="Arial" w:cs="Arial"/>
          <w:sz w:val="24"/>
          <w:szCs w:val="24"/>
        </w:rPr>
        <w:t xml:space="preserve"> </w:t>
      </w:r>
      <w:r w:rsidR="00D00BB5">
        <w:rPr>
          <w:rFonts w:ascii="Arial" w:hAnsi="Arial" w:cs="Arial"/>
          <w:sz w:val="24"/>
          <w:szCs w:val="24"/>
        </w:rPr>
        <w:t xml:space="preserve">Court will also </w:t>
      </w:r>
      <w:r w:rsidR="00D00BB5" w:rsidRPr="00F40B64">
        <w:rPr>
          <w:rFonts w:ascii="Arial" w:hAnsi="Arial" w:cs="Arial"/>
          <w:sz w:val="24"/>
          <w:szCs w:val="24"/>
        </w:rPr>
        <w:t xml:space="preserve">consider the litigant’s prospects of success on the merits, save in cases of </w:t>
      </w:r>
      <w:r w:rsidR="00D00BB5" w:rsidRPr="00F40B64">
        <w:rPr>
          <w:rFonts w:ascii="Arial" w:hAnsi="Arial" w:cs="Arial"/>
          <w:sz w:val="24"/>
          <w:szCs w:val="24"/>
        </w:rPr>
        <w:lastRenderedPageBreak/>
        <w:t>‘flagrant’ non-compliance with the rules which demonstrate a ‘glaring and inexplicable disregard’ for the processes of the court.</w:t>
      </w:r>
    </w:p>
    <w:p w14:paraId="6FC19462" w14:textId="6CE1242E" w:rsidR="00D00BB5" w:rsidRPr="009A1899" w:rsidRDefault="00D00BB5" w:rsidP="001C69F9">
      <w:pPr>
        <w:spacing w:after="0" w:line="360" w:lineRule="auto"/>
        <w:jc w:val="both"/>
        <w:rPr>
          <w:rFonts w:ascii="Arial" w:hAnsi="Arial" w:cs="Arial"/>
          <w:sz w:val="24"/>
          <w:szCs w:val="24"/>
        </w:rPr>
      </w:pPr>
      <w:r w:rsidRPr="00F40B64">
        <w:rPr>
          <w:rFonts w:ascii="Arial" w:hAnsi="Arial"/>
          <w:sz w:val="24"/>
          <w:szCs w:val="24"/>
        </w:rPr>
        <w:t xml:space="preserve">Common law – </w:t>
      </w:r>
      <w:r w:rsidR="000D0C65">
        <w:rPr>
          <w:rFonts w:ascii="Arial" w:hAnsi="Arial"/>
          <w:sz w:val="24"/>
          <w:szCs w:val="24"/>
        </w:rPr>
        <w:t>A</w:t>
      </w:r>
      <w:r w:rsidRPr="00F40B64">
        <w:rPr>
          <w:rFonts w:ascii="Arial" w:hAnsi="Arial"/>
          <w:sz w:val="24"/>
          <w:szCs w:val="24"/>
        </w:rPr>
        <w:t xml:space="preserve">uthority to institute proceedings on behalf of a juristic person - </w:t>
      </w:r>
      <w:r w:rsidR="000D0C65">
        <w:rPr>
          <w:rFonts w:ascii="Arial" w:hAnsi="Arial" w:cs="Arial"/>
          <w:sz w:val="24"/>
          <w:szCs w:val="24"/>
        </w:rPr>
        <w:t>L</w:t>
      </w:r>
      <w:r w:rsidRPr="00922E49">
        <w:rPr>
          <w:rFonts w:ascii="Arial" w:hAnsi="Arial" w:cs="Arial"/>
          <w:sz w:val="24"/>
          <w:szCs w:val="24"/>
        </w:rPr>
        <w:t>egal position</w:t>
      </w:r>
      <w:r>
        <w:rPr>
          <w:rFonts w:ascii="Arial" w:hAnsi="Arial" w:cs="Arial"/>
          <w:sz w:val="24"/>
          <w:szCs w:val="24"/>
        </w:rPr>
        <w:t xml:space="preserve"> is</w:t>
      </w:r>
      <w:r w:rsidRPr="00922E49">
        <w:rPr>
          <w:rFonts w:ascii="Arial" w:hAnsi="Arial" w:cs="Arial"/>
          <w:sz w:val="24"/>
          <w:szCs w:val="24"/>
        </w:rPr>
        <w:t xml:space="preserve"> that where a litigant acts in a representative capacity, he or she must have the requisite authority to act in such capacity</w:t>
      </w:r>
      <w:r>
        <w:rPr>
          <w:rFonts w:ascii="Arial" w:hAnsi="Arial" w:cs="Arial"/>
          <w:sz w:val="24"/>
          <w:szCs w:val="24"/>
        </w:rPr>
        <w:t xml:space="preserve"> – </w:t>
      </w:r>
      <w:r w:rsidR="000D0C65">
        <w:rPr>
          <w:rFonts w:ascii="Arial" w:hAnsi="Arial" w:cs="Arial"/>
          <w:sz w:val="24"/>
          <w:szCs w:val="24"/>
        </w:rPr>
        <w:t>C</w:t>
      </w:r>
      <w:r>
        <w:rPr>
          <w:rFonts w:ascii="Arial" w:hAnsi="Arial" w:cs="Arial"/>
          <w:sz w:val="24"/>
          <w:szCs w:val="24"/>
        </w:rPr>
        <w:t xml:space="preserve">ourt’s determination on the issue of authority will depend on the factual allegations, if any, placed before court – </w:t>
      </w:r>
      <w:r w:rsidR="000D0C65">
        <w:rPr>
          <w:rFonts w:ascii="Arial" w:hAnsi="Arial" w:cs="Arial"/>
          <w:i/>
          <w:sz w:val="24"/>
          <w:szCs w:val="24"/>
        </w:rPr>
        <w:t>I</w:t>
      </w:r>
      <w:r>
        <w:rPr>
          <w:rFonts w:ascii="Arial" w:hAnsi="Arial" w:cs="Arial"/>
          <w:i/>
          <w:sz w:val="24"/>
          <w:szCs w:val="24"/>
        </w:rPr>
        <w:t xml:space="preserve">n case the </w:t>
      </w:r>
      <w:r w:rsidRPr="00922E49">
        <w:rPr>
          <w:rFonts w:ascii="Arial" w:hAnsi="Arial" w:cs="Arial"/>
          <w:sz w:val="24"/>
          <w:szCs w:val="24"/>
        </w:rPr>
        <w:t>respondent did not refer to any fact upon which she based her submission that the appellant did not have the requisite authority to oppose the application</w:t>
      </w:r>
      <w:r>
        <w:rPr>
          <w:rFonts w:ascii="Arial" w:hAnsi="Arial" w:cs="Arial"/>
          <w:sz w:val="24"/>
          <w:szCs w:val="24"/>
        </w:rPr>
        <w:t>.</w:t>
      </w:r>
    </w:p>
    <w:p w14:paraId="3F2920A4" w14:textId="77777777" w:rsidR="00AE3844" w:rsidRPr="00AE3844" w:rsidRDefault="00AE3844" w:rsidP="001C69F9">
      <w:pPr>
        <w:spacing w:after="0" w:line="360" w:lineRule="auto"/>
        <w:jc w:val="both"/>
        <w:rPr>
          <w:rFonts w:ascii="Arial" w:hAnsi="Arial" w:cs="Arial"/>
          <w:sz w:val="24"/>
        </w:rPr>
      </w:pPr>
    </w:p>
    <w:p w14:paraId="44C4E92D" w14:textId="77777777" w:rsidR="00E430E2" w:rsidRPr="00922E49" w:rsidRDefault="00AE3844" w:rsidP="00E430E2">
      <w:pPr>
        <w:spacing w:after="240" w:line="360" w:lineRule="auto"/>
        <w:jc w:val="both"/>
        <w:rPr>
          <w:rFonts w:ascii="Arial" w:hAnsi="Arial" w:cs="Arial"/>
          <w:sz w:val="24"/>
          <w:szCs w:val="24"/>
        </w:rPr>
      </w:pPr>
      <w:r w:rsidRPr="00AE3844">
        <w:rPr>
          <w:rFonts w:ascii="Arial" w:hAnsi="Arial" w:cs="Arial"/>
          <w:b/>
          <w:sz w:val="24"/>
        </w:rPr>
        <w:t>Summary:</w:t>
      </w:r>
      <w:r w:rsidRPr="00AE3844">
        <w:rPr>
          <w:rFonts w:ascii="Arial" w:hAnsi="Arial" w:cs="Arial"/>
          <w:sz w:val="24"/>
        </w:rPr>
        <w:tab/>
      </w:r>
      <w:r w:rsidR="00E430E2">
        <w:rPr>
          <w:rFonts w:ascii="Arial" w:hAnsi="Arial" w:cs="Arial"/>
          <w:sz w:val="24"/>
          <w:szCs w:val="24"/>
        </w:rPr>
        <w:t>The a</w:t>
      </w:r>
      <w:r w:rsidR="00E430E2" w:rsidRPr="00922E49">
        <w:rPr>
          <w:rFonts w:ascii="Arial" w:hAnsi="Arial" w:cs="Arial"/>
          <w:sz w:val="24"/>
          <w:szCs w:val="24"/>
        </w:rPr>
        <w:t>ppellant lodged an appeal against an arbitration award issued in favour of the respondent who was previously employed by the appellant. In terms of rule 17(15) of the Labour Court Rules the appellant was required to file its notice to amend its n</w:t>
      </w:r>
      <w:r w:rsidR="00E430E2">
        <w:rPr>
          <w:rFonts w:ascii="Arial" w:hAnsi="Arial" w:cs="Arial"/>
          <w:sz w:val="24"/>
          <w:szCs w:val="24"/>
        </w:rPr>
        <w:t>otice of appeal within ten</w:t>
      </w:r>
      <w:r w:rsidR="00E430E2" w:rsidRPr="00922E49">
        <w:rPr>
          <w:rFonts w:ascii="Arial" w:hAnsi="Arial" w:cs="Arial"/>
          <w:sz w:val="24"/>
          <w:szCs w:val="24"/>
        </w:rPr>
        <w:t xml:space="preserve"> days after the record of the is made available. The appellant filed its notice to amend one day after the ten day period had lapsed. It subsequently sought condonation for the late filing of its notice to amend which condonation was opposed by the respondent. </w:t>
      </w:r>
    </w:p>
    <w:p w14:paraId="51322A9B" w14:textId="77777777" w:rsidR="00E430E2" w:rsidRPr="00922E49" w:rsidRDefault="00E430E2" w:rsidP="00E430E2">
      <w:pPr>
        <w:spacing w:after="240" w:line="360" w:lineRule="auto"/>
        <w:jc w:val="both"/>
        <w:rPr>
          <w:rFonts w:ascii="Arial" w:hAnsi="Arial" w:cs="Arial"/>
          <w:sz w:val="24"/>
          <w:szCs w:val="24"/>
        </w:rPr>
      </w:pPr>
      <w:r w:rsidRPr="00922E49">
        <w:rPr>
          <w:rFonts w:ascii="Arial" w:hAnsi="Arial" w:cs="Arial"/>
          <w:i/>
          <w:sz w:val="24"/>
          <w:szCs w:val="24"/>
        </w:rPr>
        <w:t xml:space="preserve">Held that </w:t>
      </w:r>
      <w:r>
        <w:rPr>
          <w:rFonts w:ascii="Arial" w:hAnsi="Arial" w:cs="Arial"/>
          <w:sz w:val="24"/>
          <w:szCs w:val="24"/>
        </w:rPr>
        <w:t>it</w:t>
      </w:r>
      <w:r w:rsidRPr="00922E49">
        <w:rPr>
          <w:rFonts w:ascii="Arial" w:hAnsi="Arial" w:cs="Arial"/>
          <w:sz w:val="24"/>
          <w:szCs w:val="24"/>
        </w:rPr>
        <w:t xml:space="preserve"> is settled law that an applicant who seeks condonation bears the onus to satisfy the court that there is sufficient cause to grant condonation and to bring the application for condonation without delay.</w:t>
      </w:r>
    </w:p>
    <w:p w14:paraId="0C994C30" w14:textId="77777777" w:rsidR="00E430E2" w:rsidRPr="00922E49" w:rsidRDefault="00E430E2" w:rsidP="00E430E2">
      <w:pPr>
        <w:spacing w:after="240" w:line="360" w:lineRule="auto"/>
        <w:jc w:val="both"/>
        <w:rPr>
          <w:rFonts w:ascii="Arial" w:hAnsi="Arial" w:cs="Arial"/>
          <w:i/>
          <w:sz w:val="24"/>
          <w:szCs w:val="24"/>
        </w:rPr>
      </w:pPr>
      <w:r w:rsidRPr="00922E49">
        <w:rPr>
          <w:rFonts w:ascii="Arial" w:hAnsi="Arial" w:cs="Arial"/>
          <w:i/>
          <w:sz w:val="24"/>
          <w:szCs w:val="24"/>
        </w:rPr>
        <w:t xml:space="preserve">Held </w:t>
      </w:r>
      <w:r>
        <w:rPr>
          <w:rFonts w:ascii="Arial" w:hAnsi="Arial" w:cs="Arial"/>
          <w:i/>
          <w:sz w:val="24"/>
          <w:szCs w:val="24"/>
        </w:rPr>
        <w:t xml:space="preserve">further </w:t>
      </w:r>
      <w:r w:rsidRPr="00922E49">
        <w:rPr>
          <w:rFonts w:ascii="Arial" w:hAnsi="Arial" w:cs="Arial"/>
          <w:i/>
          <w:sz w:val="24"/>
          <w:szCs w:val="24"/>
        </w:rPr>
        <w:t>that</w:t>
      </w:r>
      <w:r w:rsidRPr="00922E49">
        <w:rPr>
          <w:rFonts w:ascii="Arial" w:hAnsi="Arial" w:cs="Arial"/>
          <w:sz w:val="24"/>
          <w:szCs w:val="24"/>
        </w:rPr>
        <w:t xml:space="preserve"> </w:t>
      </w:r>
      <w:r>
        <w:rPr>
          <w:rFonts w:ascii="Arial" w:hAnsi="Arial" w:cs="Arial"/>
          <w:sz w:val="24"/>
          <w:szCs w:val="24"/>
        </w:rPr>
        <w:t>i</w:t>
      </w:r>
      <w:r w:rsidRPr="00922E49">
        <w:rPr>
          <w:rFonts w:ascii="Arial" w:hAnsi="Arial" w:cs="Arial"/>
          <w:sz w:val="24"/>
          <w:szCs w:val="24"/>
        </w:rPr>
        <w:t>n determining whether to grant condonation, a court will consider whether the explanation is sufficient to warrant the grant of condonation, and will also consider the litigant’s prospects of success on the merits, save in cases of ‘flagrant’ non-compliance with the rules which demonstrate a ‘glaring and inexplicable disregard’ for the processes of the court.</w:t>
      </w:r>
      <w:r w:rsidRPr="00922E49">
        <w:rPr>
          <w:rFonts w:ascii="Arial" w:hAnsi="Arial" w:cs="Arial"/>
          <w:i/>
          <w:sz w:val="24"/>
          <w:szCs w:val="24"/>
        </w:rPr>
        <w:t xml:space="preserve"> </w:t>
      </w:r>
    </w:p>
    <w:p w14:paraId="700C72AD" w14:textId="77777777" w:rsidR="00E430E2" w:rsidRPr="00922E49" w:rsidRDefault="00E430E2" w:rsidP="00E430E2">
      <w:pPr>
        <w:spacing w:after="240" w:line="360" w:lineRule="auto"/>
        <w:jc w:val="both"/>
        <w:rPr>
          <w:rFonts w:ascii="Arial" w:hAnsi="Arial" w:cs="Arial"/>
          <w:sz w:val="24"/>
          <w:szCs w:val="24"/>
        </w:rPr>
      </w:pPr>
      <w:r w:rsidRPr="00922E49">
        <w:rPr>
          <w:rFonts w:ascii="Arial" w:hAnsi="Arial" w:cs="Arial"/>
          <w:i/>
          <w:sz w:val="24"/>
          <w:szCs w:val="24"/>
        </w:rPr>
        <w:t xml:space="preserve">Held </w:t>
      </w:r>
      <w:r>
        <w:rPr>
          <w:rFonts w:ascii="Arial" w:hAnsi="Arial" w:cs="Arial"/>
          <w:i/>
          <w:sz w:val="24"/>
          <w:szCs w:val="24"/>
        </w:rPr>
        <w:t xml:space="preserve">further </w:t>
      </w:r>
      <w:r w:rsidRPr="00922E49">
        <w:rPr>
          <w:rFonts w:ascii="Arial" w:hAnsi="Arial" w:cs="Arial"/>
          <w:i/>
          <w:sz w:val="24"/>
          <w:szCs w:val="24"/>
        </w:rPr>
        <w:t xml:space="preserve">that </w:t>
      </w:r>
      <w:r w:rsidRPr="00922E49">
        <w:rPr>
          <w:rFonts w:ascii="Arial" w:hAnsi="Arial" w:cs="Arial"/>
          <w:sz w:val="24"/>
          <w:szCs w:val="24"/>
        </w:rPr>
        <w:t xml:space="preserve">the appellant provided a reasonable explanation for its failure to file the notice of amendment one day late. </w:t>
      </w:r>
      <w:r>
        <w:rPr>
          <w:rFonts w:ascii="Arial" w:hAnsi="Arial" w:cs="Arial"/>
          <w:sz w:val="24"/>
          <w:szCs w:val="24"/>
        </w:rPr>
        <w:t>The court was</w:t>
      </w:r>
      <w:r w:rsidRPr="00922E49">
        <w:rPr>
          <w:rFonts w:ascii="Arial" w:hAnsi="Arial" w:cs="Arial"/>
          <w:sz w:val="24"/>
          <w:szCs w:val="24"/>
        </w:rPr>
        <w:t xml:space="preserve"> further of the view that the appellant </w:t>
      </w:r>
      <w:r>
        <w:rPr>
          <w:rFonts w:ascii="Arial" w:hAnsi="Arial" w:cs="Arial"/>
          <w:sz w:val="24"/>
          <w:szCs w:val="24"/>
        </w:rPr>
        <w:t>succeeded to demonstrate to the court that it</w:t>
      </w:r>
      <w:r w:rsidRPr="00922E49">
        <w:rPr>
          <w:rFonts w:ascii="Arial" w:hAnsi="Arial" w:cs="Arial"/>
          <w:sz w:val="24"/>
          <w:szCs w:val="24"/>
        </w:rPr>
        <w:t xml:space="preserve"> has good prospects of success on appeal. As a result, the application for condonation for late filing of the notice to amend the notice of appeal </w:t>
      </w:r>
      <w:r>
        <w:rPr>
          <w:rFonts w:ascii="Arial" w:hAnsi="Arial" w:cs="Arial"/>
          <w:sz w:val="24"/>
          <w:szCs w:val="24"/>
        </w:rPr>
        <w:t>was</w:t>
      </w:r>
      <w:r w:rsidRPr="00922E49">
        <w:rPr>
          <w:rFonts w:ascii="Arial" w:hAnsi="Arial" w:cs="Arial"/>
          <w:sz w:val="24"/>
          <w:szCs w:val="24"/>
        </w:rPr>
        <w:t xml:space="preserve"> granted.</w:t>
      </w:r>
    </w:p>
    <w:p w14:paraId="28983B41" w14:textId="77777777" w:rsidR="00E430E2" w:rsidRDefault="00E430E2" w:rsidP="00E430E2">
      <w:pPr>
        <w:spacing w:after="240" w:line="360" w:lineRule="auto"/>
        <w:jc w:val="both"/>
        <w:rPr>
          <w:rFonts w:ascii="Arial" w:hAnsi="Arial" w:cs="Arial"/>
          <w:sz w:val="24"/>
          <w:szCs w:val="24"/>
        </w:rPr>
      </w:pPr>
      <w:r w:rsidRPr="00922E49">
        <w:rPr>
          <w:rFonts w:ascii="Arial" w:hAnsi="Arial" w:cs="Arial"/>
          <w:sz w:val="24"/>
          <w:szCs w:val="24"/>
        </w:rPr>
        <w:t>The respondent failed to file its grounds of opposition in terms of rule 17(16) within the 21 day period after receipt of the arbitration record</w:t>
      </w:r>
      <w:r>
        <w:rPr>
          <w:rFonts w:ascii="Arial" w:hAnsi="Arial" w:cs="Arial"/>
          <w:sz w:val="24"/>
          <w:szCs w:val="24"/>
        </w:rPr>
        <w:t xml:space="preserve"> period</w:t>
      </w:r>
      <w:r w:rsidRPr="00922E49">
        <w:rPr>
          <w:rFonts w:ascii="Arial" w:hAnsi="Arial" w:cs="Arial"/>
          <w:sz w:val="24"/>
          <w:szCs w:val="24"/>
        </w:rPr>
        <w:t xml:space="preserve">, having received the record </w:t>
      </w:r>
      <w:r w:rsidRPr="00922E49">
        <w:rPr>
          <w:rFonts w:ascii="Arial" w:hAnsi="Arial" w:cs="Arial"/>
          <w:sz w:val="24"/>
          <w:szCs w:val="24"/>
        </w:rPr>
        <w:lastRenderedPageBreak/>
        <w:t xml:space="preserve">on 19 April 2022. The appeal lapsed on 10 May 2022, the same day on which the respondent was to file her grounds of opposition. The appeal was </w:t>
      </w:r>
      <w:r>
        <w:rPr>
          <w:rFonts w:ascii="Arial" w:hAnsi="Arial" w:cs="Arial"/>
          <w:sz w:val="24"/>
          <w:szCs w:val="24"/>
        </w:rPr>
        <w:t xml:space="preserve">subsequently </w:t>
      </w:r>
      <w:r w:rsidRPr="00922E49">
        <w:rPr>
          <w:rFonts w:ascii="Arial" w:hAnsi="Arial" w:cs="Arial"/>
          <w:sz w:val="24"/>
          <w:szCs w:val="24"/>
        </w:rPr>
        <w:t xml:space="preserve">reinstated on 4 August 2022. </w:t>
      </w:r>
    </w:p>
    <w:p w14:paraId="7325EF5F" w14:textId="1F414FDE" w:rsidR="00E430E2" w:rsidRPr="00922E49" w:rsidRDefault="00E430E2" w:rsidP="00E430E2">
      <w:pPr>
        <w:spacing w:after="240" w:line="360" w:lineRule="auto"/>
        <w:jc w:val="both"/>
        <w:rPr>
          <w:rFonts w:ascii="Arial" w:hAnsi="Arial" w:cs="Arial"/>
          <w:sz w:val="24"/>
          <w:szCs w:val="24"/>
        </w:rPr>
      </w:pPr>
      <w:r w:rsidRPr="00922E49">
        <w:rPr>
          <w:rFonts w:ascii="Arial" w:hAnsi="Arial" w:cs="Arial"/>
          <w:sz w:val="24"/>
          <w:szCs w:val="24"/>
        </w:rPr>
        <w:t>It was argued by the appellant that the respondent was required to file her grounds of opposition on the date when reinsta</w:t>
      </w:r>
      <w:r>
        <w:rPr>
          <w:rFonts w:ascii="Arial" w:hAnsi="Arial" w:cs="Arial"/>
          <w:sz w:val="24"/>
          <w:szCs w:val="24"/>
        </w:rPr>
        <w:t>te</w:t>
      </w:r>
      <w:r w:rsidRPr="00922E49">
        <w:rPr>
          <w:rFonts w:ascii="Arial" w:hAnsi="Arial" w:cs="Arial"/>
          <w:sz w:val="24"/>
          <w:szCs w:val="24"/>
        </w:rPr>
        <w:t xml:space="preserve">ment was ordered and </w:t>
      </w:r>
      <w:r>
        <w:rPr>
          <w:rFonts w:ascii="Arial" w:hAnsi="Arial" w:cs="Arial"/>
          <w:sz w:val="24"/>
          <w:szCs w:val="24"/>
        </w:rPr>
        <w:t>further that the respondent</w:t>
      </w:r>
      <w:r w:rsidRPr="00922E49">
        <w:rPr>
          <w:rFonts w:ascii="Arial" w:hAnsi="Arial" w:cs="Arial"/>
          <w:sz w:val="24"/>
          <w:szCs w:val="24"/>
        </w:rPr>
        <w:t xml:space="preserve"> had n</w:t>
      </w:r>
      <w:r>
        <w:rPr>
          <w:rFonts w:ascii="Arial" w:hAnsi="Arial" w:cs="Arial"/>
          <w:sz w:val="24"/>
          <w:szCs w:val="24"/>
        </w:rPr>
        <w:t>ot been afforded additional day</w:t>
      </w:r>
      <w:r w:rsidR="00D00BB5">
        <w:rPr>
          <w:rFonts w:ascii="Arial" w:hAnsi="Arial" w:cs="Arial"/>
          <w:sz w:val="24"/>
          <w:szCs w:val="24"/>
        </w:rPr>
        <w:t>s</w:t>
      </w:r>
      <w:r>
        <w:rPr>
          <w:rFonts w:ascii="Arial" w:hAnsi="Arial" w:cs="Arial"/>
          <w:sz w:val="24"/>
          <w:szCs w:val="24"/>
        </w:rPr>
        <w:t xml:space="preserve"> to d</w:t>
      </w:r>
      <w:r w:rsidRPr="00922E49">
        <w:rPr>
          <w:rFonts w:ascii="Arial" w:hAnsi="Arial" w:cs="Arial"/>
          <w:sz w:val="24"/>
          <w:szCs w:val="24"/>
        </w:rPr>
        <w:t>o so.</w:t>
      </w:r>
      <w:r>
        <w:rPr>
          <w:rFonts w:ascii="Arial" w:hAnsi="Arial" w:cs="Arial"/>
          <w:sz w:val="24"/>
          <w:szCs w:val="24"/>
        </w:rPr>
        <w:t xml:space="preserve"> </w:t>
      </w:r>
      <w:r w:rsidRPr="00922E49">
        <w:rPr>
          <w:rFonts w:ascii="Arial" w:hAnsi="Arial" w:cs="Arial"/>
          <w:sz w:val="24"/>
          <w:szCs w:val="24"/>
        </w:rPr>
        <w:t xml:space="preserve">It was argued by the appellant that by virtue of the respondent’s failure to </w:t>
      </w:r>
      <w:r>
        <w:rPr>
          <w:rFonts w:ascii="Arial" w:hAnsi="Arial" w:cs="Arial"/>
          <w:sz w:val="24"/>
          <w:szCs w:val="24"/>
        </w:rPr>
        <w:t>file her grounds of opposition within the prescribed period that</w:t>
      </w:r>
      <w:r w:rsidRPr="00922E49">
        <w:rPr>
          <w:rFonts w:ascii="Arial" w:hAnsi="Arial" w:cs="Arial"/>
          <w:sz w:val="24"/>
          <w:szCs w:val="24"/>
        </w:rPr>
        <w:t xml:space="preserve"> the appeal should be heard unopposed. </w:t>
      </w:r>
    </w:p>
    <w:p w14:paraId="115D09A6" w14:textId="77777777" w:rsidR="00E430E2" w:rsidRPr="00922E49" w:rsidRDefault="00E430E2" w:rsidP="00E430E2">
      <w:pPr>
        <w:spacing w:after="240" w:line="360" w:lineRule="auto"/>
        <w:jc w:val="both"/>
        <w:rPr>
          <w:rFonts w:ascii="Arial" w:hAnsi="Arial" w:cs="Arial"/>
          <w:sz w:val="24"/>
          <w:szCs w:val="24"/>
        </w:rPr>
      </w:pPr>
      <w:r w:rsidRPr="00604C21">
        <w:rPr>
          <w:rFonts w:ascii="Arial" w:hAnsi="Arial" w:cs="Arial"/>
          <w:i/>
          <w:sz w:val="24"/>
          <w:szCs w:val="24"/>
        </w:rPr>
        <w:t>Held that</w:t>
      </w:r>
      <w:r w:rsidRPr="00922E49">
        <w:rPr>
          <w:rFonts w:ascii="Arial" w:hAnsi="Arial" w:cs="Arial"/>
          <w:sz w:val="24"/>
          <w:szCs w:val="24"/>
        </w:rPr>
        <w:t xml:space="preserve"> </w:t>
      </w:r>
      <w:r w:rsidRPr="00922E49">
        <w:rPr>
          <w:rFonts w:ascii="Arial" w:hAnsi="Arial" w:cs="Arial"/>
          <w:sz w:val="24"/>
          <w:szCs w:val="24"/>
          <w:shd w:val="clear" w:color="auto" w:fill="FFFFFF"/>
        </w:rPr>
        <w:t>the reinstatement order must be interpreted broadly in order to</w:t>
      </w:r>
      <w:r>
        <w:rPr>
          <w:rFonts w:ascii="Arial" w:hAnsi="Arial" w:cs="Arial"/>
          <w:sz w:val="24"/>
          <w:szCs w:val="24"/>
          <w:shd w:val="clear" w:color="auto" w:fill="FFFFFF"/>
        </w:rPr>
        <w:t xml:space="preserve"> give practical effect thereto. T</w:t>
      </w:r>
      <w:r w:rsidRPr="00922E49">
        <w:rPr>
          <w:rFonts w:ascii="Arial" w:hAnsi="Arial" w:cs="Arial"/>
          <w:sz w:val="24"/>
          <w:szCs w:val="24"/>
          <w:shd w:val="clear" w:color="auto" w:fill="FFFFFF"/>
        </w:rPr>
        <w:t>he order must be interpreted to mean that the appeal which had lapsed has been revived. Similarly, the 21 day period thus can only be said to run from the date that the appeal was revived and the respondent was not obliged to file grounds of opposition prior to the date of reinstatement, as the appeal was considered dead and without life and no obligation could flow from it</w:t>
      </w:r>
    </w:p>
    <w:p w14:paraId="3947DBC7" w14:textId="3C9F4E63" w:rsidR="00E430E2" w:rsidRDefault="00E430E2" w:rsidP="00E430E2">
      <w:pPr>
        <w:spacing w:after="240" w:line="360" w:lineRule="auto"/>
        <w:jc w:val="both"/>
        <w:rPr>
          <w:rFonts w:ascii="Arial" w:hAnsi="Arial" w:cs="Arial"/>
          <w:sz w:val="24"/>
          <w:szCs w:val="24"/>
          <w:shd w:val="clear" w:color="auto" w:fill="FFFFFF"/>
        </w:rPr>
      </w:pPr>
      <w:r w:rsidRPr="00604C21">
        <w:rPr>
          <w:rFonts w:ascii="Arial" w:hAnsi="Arial" w:cs="Arial"/>
          <w:i/>
          <w:sz w:val="24"/>
          <w:szCs w:val="24"/>
          <w:shd w:val="clear" w:color="auto" w:fill="FFFFFF"/>
        </w:rPr>
        <w:t>Held</w:t>
      </w:r>
      <w:r>
        <w:rPr>
          <w:rFonts w:ascii="Arial" w:hAnsi="Arial" w:cs="Arial"/>
          <w:i/>
          <w:sz w:val="24"/>
          <w:szCs w:val="24"/>
          <w:shd w:val="clear" w:color="auto" w:fill="FFFFFF"/>
        </w:rPr>
        <w:t xml:space="preserve"> further</w:t>
      </w:r>
      <w:r w:rsidRPr="00604C21">
        <w:rPr>
          <w:rFonts w:ascii="Arial" w:hAnsi="Arial" w:cs="Arial"/>
          <w:i/>
          <w:sz w:val="24"/>
          <w:szCs w:val="24"/>
          <w:shd w:val="clear" w:color="auto" w:fill="FFFFFF"/>
        </w:rPr>
        <w:t xml:space="preserve"> that</w:t>
      </w:r>
      <w:r w:rsidRPr="00922E49">
        <w:rPr>
          <w:rFonts w:ascii="Arial" w:hAnsi="Arial" w:cs="Arial"/>
          <w:sz w:val="24"/>
          <w:szCs w:val="24"/>
          <w:shd w:val="clear" w:color="auto" w:fill="FFFFFF"/>
        </w:rPr>
        <w:t xml:space="preserve"> the respondent did not fail to adhere to the provisions of rule 17(16)</w:t>
      </w:r>
      <w:r w:rsidRPr="00922E49">
        <w:rPr>
          <w:rFonts w:ascii="Arial" w:hAnsi="Arial" w:cs="Arial"/>
          <w:i/>
          <w:sz w:val="24"/>
          <w:szCs w:val="24"/>
          <w:shd w:val="clear" w:color="auto" w:fill="FFFFFF"/>
        </w:rPr>
        <w:t>(b)</w:t>
      </w:r>
      <w:r w:rsidRPr="00922E49">
        <w:rPr>
          <w:rFonts w:ascii="Arial" w:hAnsi="Arial" w:cs="Arial"/>
          <w:sz w:val="24"/>
          <w:szCs w:val="24"/>
          <w:shd w:val="clear" w:color="auto" w:fill="FFFFFF"/>
        </w:rPr>
        <w:t xml:space="preserve"> and as a result respondent</w:t>
      </w:r>
      <w:r>
        <w:rPr>
          <w:rFonts w:ascii="Arial" w:hAnsi="Arial" w:cs="Arial"/>
          <w:sz w:val="24"/>
          <w:szCs w:val="24"/>
          <w:shd w:val="clear" w:color="auto" w:fill="FFFFFF"/>
        </w:rPr>
        <w:t xml:space="preserve"> could not</w:t>
      </w:r>
      <w:r w:rsidRPr="00922E49">
        <w:rPr>
          <w:rFonts w:ascii="Arial" w:hAnsi="Arial" w:cs="Arial"/>
          <w:sz w:val="24"/>
          <w:szCs w:val="24"/>
          <w:shd w:val="clear" w:color="auto" w:fill="FFFFFF"/>
        </w:rPr>
        <w:t xml:space="preserve"> be </w:t>
      </w:r>
      <w:r>
        <w:rPr>
          <w:rFonts w:ascii="Arial" w:hAnsi="Arial" w:cs="Arial"/>
          <w:sz w:val="24"/>
          <w:szCs w:val="24"/>
          <w:shd w:val="clear" w:color="auto" w:fill="FFFFFF"/>
        </w:rPr>
        <w:t>subjected to a bar to file her</w:t>
      </w:r>
      <w:r w:rsidRPr="00922E49">
        <w:rPr>
          <w:rFonts w:ascii="Arial" w:hAnsi="Arial" w:cs="Arial"/>
          <w:sz w:val="24"/>
          <w:szCs w:val="24"/>
          <w:shd w:val="clear" w:color="auto" w:fill="FFFFFF"/>
        </w:rPr>
        <w:t xml:space="preserve"> statement in terms of rule 17(16)</w:t>
      </w:r>
      <w:r w:rsidRPr="00922E49">
        <w:rPr>
          <w:rStyle w:val="Emphasis"/>
          <w:rFonts w:ascii="Arial" w:hAnsi="Arial" w:cs="Arial"/>
          <w:sz w:val="24"/>
          <w:szCs w:val="24"/>
          <w:shd w:val="clear" w:color="auto" w:fill="FFFFFF"/>
        </w:rPr>
        <w:t>(b)</w:t>
      </w:r>
      <w:r w:rsidRPr="00922E49">
        <w:rPr>
          <w:rFonts w:ascii="Arial" w:hAnsi="Arial" w:cs="Arial"/>
          <w:sz w:val="24"/>
          <w:szCs w:val="24"/>
          <w:shd w:val="clear" w:color="auto" w:fill="FFFFFF"/>
        </w:rPr>
        <w:t>.</w:t>
      </w:r>
    </w:p>
    <w:p w14:paraId="14C73D28" w14:textId="77777777" w:rsidR="00E430E2" w:rsidRPr="00922E49" w:rsidRDefault="00E430E2" w:rsidP="00E430E2">
      <w:pPr>
        <w:spacing w:after="240" w:line="360" w:lineRule="auto"/>
        <w:jc w:val="both"/>
        <w:rPr>
          <w:rFonts w:ascii="Arial" w:hAnsi="Arial" w:cs="Arial"/>
          <w:sz w:val="24"/>
          <w:szCs w:val="24"/>
          <w:shd w:val="clear" w:color="auto" w:fill="FFFFFF"/>
        </w:rPr>
      </w:pPr>
      <w:r>
        <w:rPr>
          <w:rFonts w:ascii="Arial" w:hAnsi="Arial" w:cs="Arial"/>
          <w:sz w:val="24"/>
          <w:szCs w:val="24"/>
          <w:shd w:val="clear" w:color="auto" w:fill="FFFFFF"/>
        </w:rPr>
        <w:t>The court was of the view that this was an appropriate case where the</w:t>
      </w:r>
      <w:r w:rsidRPr="00922E49">
        <w:rPr>
          <w:rFonts w:ascii="Arial" w:hAnsi="Arial" w:cs="Arial"/>
          <w:sz w:val="24"/>
          <w:szCs w:val="24"/>
          <w:shd w:val="clear" w:color="auto" w:fill="FFFFFF"/>
        </w:rPr>
        <w:t xml:space="preserve"> court, in the exercise of its inherent jurisdiction and in the interests of justice, may direct that the 21 days starts running from the date on which the appeal was reinstated.</w:t>
      </w:r>
    </w:p>
    <w:p w14:paraId="3A81F588" w14:textId="2247DCD8" w:rsidR="00E430E2" w:rsidRPr="00922E49" w:rsidRDefault="00E430E2" w:rsidP="00E430E2">
      <w:pPr>
        <w:spacing w:after="240" w:line="360" w:lineRule="auto"/>
        <w:jc w:val="both"/>
        <w:rPr>
          <w:rFonts w:ascii="Arial" w:hAnsi="Arial" w:cs="Arial"/>
          <w:sz w:val="24"/>
          <w:szCs w:val="24"/>
          <w:shd w:val="clear" w:color="auto" w:fill="FFFFFF"/>
        </w:rPr>
      </w:pPr>
      <w:r w:rsidRPr="00922E49">
        <w:rPr>
          <w:rFonts w:ascii="Arial" w:hAnsi="Arial" w:cs="Arial"/>
          <w:sz w:val="24"/>
          <w:szCs w:val="24"/>
          <w:shd w:val="clear" w:color="auto" w:fill="FFFFFF"/>
        </w:rPr>
        <w:t xml:space="preserve">It was further argued by the respondent that the appellant did not have the necessary </w:t>
      </w:r>
      <w:r w:rsidR="00D00BB5" w:rsidRPr="00922E49">
        <w:rPr>
          <w:rFonts w:ascii="Arial" w:hAnsi="Arial" w:cs="Arial"/>
          <w:sz w:val="24"/>
          <w:szCs w:val="24"/>
          <w:shd w:val="clear" w:color="auto" w:fill="FFFFFF"/>
        </w:rPr>
        <w:t>authority</w:t>
      </w:r>
      <w:r w:rsidRPr="00922E49">
        <w:rPr>
          <w:rFonts w:ascii="Arial" w:hAnsi="Arial" w:cs="Arial"/>
          <w:sz w:val="24"/>
          <w:szCs w:val="24"/>
          <w:shd w:val="clear" w:color="auto" w:fill="FFFFFF"/>
        </w:rPr>
        <w:t xml:space="preserve"> to lodge the appeal. </w:t>
      </w:r>
    </w:p>
    <w:p w14:paraId="26B53F9E" w14:textId="77777777" w:rsidR="00E430E2" w:rsidRPr="00922E49" w:rsidRDefault="00E430E2" w:rsidP="00E430E2">
      <w:pPr>
        <w:shd w:val="clear" w:color="auto" w:fill="FFFFFF"/>
        <w:spacing w:after="240" w:line="360" w:lineRule="auto"/>
        <w:jc w:val="both"/>
        <w:rPr>
          <w:rFonts w:ascii="Arial" w:hAnsi="Arial" w:cs="Arial"/>
          <w:sz w:val="24"/>
          <w:szCs w:val="24"/>
        </w:rPr>
      </w:pPr>
      <w:r w:rsidRPr="00604C21">
        <w:rPr>
          <w:rFonts w:ascii="Arial" w:hAnsi="Arial" w:cs="Arial"/>
          <w:i/>
          <w:sz w:val="24"/>
          <w:szCs w:val="24"/>
        </w:rPr>
        <w:t>Held that</w:t>
      </w:r>
      <w:r>
        <w:rPr>
          <w:rFonts w:ascii="Arial" w:hAnsi="Arial" w:cs="Arial"/>
          <w:sz w:val="24"/>
          <w:szCs w:val="24"/>
        </w:rPr>
        <w:t xml:space="preserve"> i</w:t>
      </w:r>
      <w:r w:rsidRPr="00922E49">
        <w:rPr>
          <w:rFonts w:ascii="Arial" w:hAnsi="Arial" w:cs="Arial"/>
          <w:sz w:val="24"/>
          <w:szCs w:val="24"/>
        </w:rPr>
        <w:t xml:space="preserve">t is indeed the legal position that where a litigant acts in a representative capacity, he or she must have the requisite authority to act in such capacity. It however depends upon what factual allegations, if any, are put before court which will determine the response by the opposing party and whether a court will subsequently be satisfied that enough has been placed before it or not, regarding the issue of authority. In the present matter the respondent did not refer to any fact upon which she based her submission that the appellant did not have the requisite authority to oppose the application. </w:t>
      </w:r>
    </w:p>
    <w:p w14:paraId="125668BE" w14:textId="409CD654" w:rsidR="00E430E2" w:rsidRPr="00922E49" w:rsidRDefault="00E430E2" w:rsidP="00E430E2">
      <w:pPr>
        <w:shd w:val="clear" w:color="auto" w:fill="FFFFFF"/>
        <w:spacing w:after="240" w:line="360" w:lineRule="auto"/>
        <w:jc w:val="both"/>
        <w:rPr>
          <w:rFonts w:ascii="Arial" w:hAnsi="Arial" w:cs="Arial"/>
          <w:sz w:val="24"/>
          <w:szCs w:val="24"/>
        </w:rPr>
      </w:pPr>
      <w:r>
        <w:rPr>
          <w:rFonts w:ascii="Arial" w:hAnsi="Arial" w:cs="Arial"/>
          <w:sz w:val="24"/>
          <w:szCs w:val="24"/>
        </w:rPr>
        <w:lastRenderedPageBreak/>
        <w:t>It was</w:t>
      </w:r>
      <w:r w:rsidRPr="00922E49">
        <w:rPr>
          <w:rFonts w:ascii="Arial" w:hAnsi="Arial" w:cs="Arial"/>
          <w:sz w:val="24"/>
          <w:szCs w:val="24"/>
        </w:rPr>
        <w:t xml:space="preserve"> clear from the special power of attorney that the allegation of authority has been made, although there </w:t>
      </w:r>
      <w:r w:rsidR="009C3E30">
        <w:rPr>
          <w:rFonts w:ascii="Arial" w:hAnsi="Arial" w:cs="Arial"/>
          <w:sz w:val="24"/>
          <w:szCs w:val="24"/>
        </w:rPr>
        <w:t>wa</w:t>
      </w:r>
      <w:r w:rsidRPr="00922E49">
        <w:rPr>
          <w:rFonts w:ascii="Arial" w:hAnsi="Arial" w:cs="Arial"/>
          <w:sz w:val="24"/>
          <w:szCs w:val="24"/>
        </w:rPr>
        <w:t>s no evidence in the form of a board resolution placed before court to prove such authority.</w:t>
      </w:r>
    </w:p>
    <w:p w14:paraId="3AB52FA7" w14:textId="1D8F0727" w:rsidR="008735E1" w:rsidRPr="00AE3844" w:rsidRDefault="00E430E2" w:rsidP="00916520">
      <w:pPr>
        <w:spacing w:after="0" w:line="360" w:lineRule="auto"/>
        <w:jc w:val="both"/>
        <w:rPr>
          <w:rFonts w:ascii="Arial" w:hAnsi="Arial" w:cs="Arial"/>
          <w:sz w:val="24"/>
        </w:rPr>
      </w:pPr>
      <w:r>
        <w:rPr>
          <w:rFonts w:ascii="Arial" w:hAnsi="Arial" w:cs="Arial"/>
          <w:i/>
          <w:sz w:val="24"/>
          <w:szCs w:val="24"/>
        </w:rPr>
        <w:t xml:space="preserve">Held </w:t>
      </w:r>
      <w:r w:rsidRPr="009C3E30">
        <w:rPr>
          <w:rFonts w:ascii="Arial" w:hAnsi="Arial" w:cs="Arial"/>
          <w:i/>
          <w:sz w:val="24"/>
          <w:szCs w:val="24"/>
        </w:rPr>
        <w:t xml:space="preserve">that </w:t>
      </w:r>
      <w:r>
        <w:rPr>
          <w:rFonts w:ascii="Arial" w:hAnsi="Arial" w:cs="Arial"/>
          <w:sz w:val="24"/>
          <w:szCs w:val="24"/>
        </w:rPr>
        <w:t>enough information had been placed before the court to satisfy the court that it wa</w:t>
      </w:r>
      <w:r w:rsidRPr="00922E49">
        <w:rPr>
          <w:rFonts w:ascii="Arial" w:hAnsi="Arial" w:cs="Arial"/>
          <w:sz w:val="24"/>
          <w:szCs w:val="24"/>
        </w:rPr>
        <w:t>s the appellant who was authorised to institute the application and not some unauthorised person.</w:t>
      </w:r>
    </w:p>
    <w:p w14:paraId="53F1E545" w14:textId="77777777" w:rsidR="00AE3844" w:rsidRPr="00AE3844" w:rsidRDefault="00AE3844" w:rsidP="00916520">
      <w:pPr>
        <w:pBdr>
          <w:bottom w:val="single" w:sz="6" w:space="1" w:color="auto"/>
        </w:pBdr>
        <w:spacing w:after="0" w:line="360" w:lineRule="auto"/>
        <w:rPr>
          <w:rFonts w:ascii="Arial" w:hAnsi="Arial" w:cs="Arial"/>
          <w:b/>
          <w:sz w:val="24"/>
        </w:rPr>
      </w:pPr>
    </w:p>
    <w:p w14:paraId="3F4F20B8" w14:textId="77777777" w:rsidR="00AE3844" w:rsidRPr="00AE3844" w:rsidRDefault="00AE3844" w:rsidP="009577B2">
      <w:pPr>
        <w:pBdr>
          <w:bottom w:val="single" w:sz="4" w:space="1" w:color="auto"/>
        </w:pBdr>
        <w:spacing w:before="360" w:after="360" w:line="360" w:lineRule="auto"/>
        <w:jc w:val="center"/>
        <w:rPr>
          <w:rFonts w:ascii="Arial" w:hAnsi="Arial" w:cs="Arial"/>
          <w:b/>
          <w:sz w:val="24"/>
        </w:rPr>
      </w:pPr>
      <w:r w:rsidRPr="00AE3844">
        <w:rPr>
          <w:rFonts w:ascii="Arial" w:hAnsi="Arial" w:cs="Arial"/>
          <w:b/>
          <w:sz w:val="24"/>
        </w:rPr>
        <w:t>ORDER</w:t>
      </w:r>
    </w:p>
    <w:p w14:paraId="59A7069D" w14:textId="77777777" w:rsidR="00AE3844" w:rsidRPr="00AE3844" w:rsidRDefault="00AE3844" w:rsidP="00AE3844">
      <w:pPr>
        <w:spacing w:line="360" w:lineRule="auto"/>
        <w:rPr>
          <w:rFonts w:ascii="Arial" w:hAnsi="Arial" w:cs="Arial"/>
          <w:sz w:val="24"/>
        </w:rPr>
      </w:pPr>
      <w:r w:rsidRPr="00AE3844">
        <w:rPr>
          <w:rFonts w:ascii="Arial" w:hAnsi="Arial" w:cs="Arial"/>
          <w:b/>
          <w:sz w:val="24"/>
        </w:rPr>
        <w:t>IT IS ORDERED THAT</w:t>
      </w:r>
      <w:r w:rsidRPr="00AE3844">
        <w:rPr>
          <w:rFonts w:ascii="Arial" w:hAnsi="Arial" w:cs="Arial"/>
          <w:sz w:val="24"/>
        </w:rPr>
        <w:t xml:space="preserve">: </w:t>
      </w:r>
    </w:p>
    <w:p w14:paraId="77B5A8B9" w14:textId="77777777" w:rsidR="002857FC" w:rsidRDefault="00AE3844" w:rsidP="002857FC">
      <w:pPr>
        <w:spacing w:line="360" w:lineRule="auto"/>
        <w:ind w:left="720" w:hanging="720"/>
        <w:jc w:val="both"/>
        <w:rPr>
          <w:rFonts w:ascii="Arial" w:hAnsi="Arial" w:cs="Arial"/>
          <w:sz w:val="24"/>
        </w:rPr>
      </w:pPr>
      <w:r w:rsidRPr="00AE3844">
        <w:rPr>
          <w:rFonts w:ascii="Arial" w:hAnsi="Arial" w:cs="Arial"/>
          <w:sz w:val="24"/>
        </w:rPr>
        <w:t>1.</w:t>
      </w:r>
      <w:r w:rsidRPr="00AE3844">
        <w:rPr>
          <w:rFonts w:ascii="Arial" w:hAnsi="Arial" w:cs="Arial"/>
          <w:sz w:val="24"/>
        </w:rPr>
        <w:tab/>
      </w:r>
      <w:r w:rsidR="002857FC" w:rsidRPr="00523A60">
        <w:rPr>
          <w:rFonts w:ascii="Arial" w:eastAsia="Times New Roman" w:hAnsi="Arial" w:cs="Arial"/>
          <w:sz w:val="24"/>
          <w:szCs w:val="24"/>
          <w:lang w:val="en-US" w:eastAsia="en-ZA"/>
        </w:rPr>
        <w:t xml:space="preserve">The application for condonation for late filing of the </w:t>
      </w:r>
      <w:r w:rsidR="002857FC">
        <w:rPr>
          <w:rFonts w:ascii="Arial" w:eastAsia="Times New Roman" w:hAnsi="Arial" w:cs="Arial"/>
          <w:sz w:val="24"/>
          <w:szCs w:val="24"/>
          <w:lang w:val="en-US" w:eastAsia="en-ZA"/>
        </w:rPr>
        <w:t>notice to amend the notice of appeal is hereby</w:t>
      </w:r>
      <w:r w:rsidR="002857FC" w:rsidRPr="00523A60">
        <w:rPr>
          <w:rFonts w:ascii="Arial" w:eastAsia="Times New Roman" w:hAnsi="Arial" w:cs="Arial"/>
          <w:sz w:val="24"/>
          <w:szCs w:val="24"/>
          <w:lang w:val="en-US" w:eastAsia="en-ZA"/>
        </w:rPr>
        <w:t xml:space="preserve"> granted</w:t>
      </w:r>
      <w:r w:rsidR="002857FC">
        <w:rPr>
          <w:rFonts w:ascii="Arial" w:eastAsia="Times New Roman" w:hAnsi="Arial" w:cs="Arial"/>
          <w:sz w:val="24"/>
          <w:szCs w:val="24"/>
          <w:lang w:val="en-US" w:eastAsia="en-ZA"/>
        </w:rPr>
        <w:t>.</w:t>
      </w:r>
      <w:r w:rsidR="002857FC" w:rsidRPr="00AE3844">
        <w:rPr>
          <w:rFonts w:ascii="Arial" w:hAnsi="Arial" w:cs="Arial"/>
          <w:sz w:val="24"/>
        </w:rPr>
        <w:t xml:space="preserve"> </w:t>
      </w:r>
    </w:p>
    <w:p w14:paraId="0F16AC6F" w14:textId="69671A92" w:rsidR="002857FC" w:rsidRPr="00F67403" w:rsidRDefault="002857FC" w:rsidP="002857FC">
      <w:pPr>
        <w:shd w:val="clear" w:color="auto" w:fill="FFFFFF"/>
        <w:spacing w:after="100" w:afterAutospacing="1" w:line="360" w:lineRule="auto"/>
        <w:ind w:left="720" w:hanging="720"/>
        <w:jc w:val="both"/>
        <w:rPr>
          <w:rFonts w:ascii="Arial" w:hAnsi="Arial" w:cs="Arial"/>
          <w:i/>
          <w:iCs/>
          <w:sz w:val="24"/>
          <w:u w:val="single"/>
          <w:lang w:eastAsia="en-ZA"/>
        </w:rPr>
      </w:pPr>
      <w:r w:rsidRPr="00AE3844">
        <w:rPr>
          <w:rFonts w:ascii="Arial" w:hAnsi="Arial" w:cs="Arial"/>
          <w:sz w:val="24"/>
        </w:rPr>
        <w:t>2.</w:t>
      </w:r>
      <w:r w:rsidRPr="00AE3844">
        <w:rPr>
          <w:rFonts w:ascii="Arial" w:hAnsi="Arial" w:cs="Arial"/>
          <w:sz w:val="24"/>
        </w:rPr>
        <w:tab/>
        <w:t xml:space="preserve">The </w:t>
      </w:r>
      <w:r>
        <w:rPr>
          <w:rFonts w:ascii="Arial" w:hAnsi="Arial" w:cs="Arial"/>
          <w:sz w:val="24"/>
        </w:rPr>
        <w:t xml:space="preserve">point </w:t>
      </w:r>
      <w:r w:rsidRPr="00332EDB">
        <w:rPr>
          <w:rFonts w:ascii="Arial" w:hAnsi="Arial" w:cs="Arial"/>
          <w:i/>
          <w:sz w:val="24"/>
        </w:rPr>
        <w:t>in limine</w:t>
      </w:r>
      <w:r>
        <w:rPr>
          <w:rFonts w:ascii="Arial" w:hAnsi="Arial" w:cs="Arial"/>
          <w:sz w:val="24"/>
        </w:rPr>
        <w:t xml:space="preserve"> dealing with the </w:t>
      </w:r>
      <w:r w:rsidRPr="00332EDB">
        <w:rPr>
          <w:rFonts w:ascii="Arial" w:hAnsi="Arial" w:cs="Arial"/>
          <w:sz w:val="24"/>
        </w:rPr>
        <w:t>r</w:t>
      </w:r>
      <w:r w:rsidRPr="00332EDB">
        <w:rPr>
          <w:rFonts w:ascii="Arial" w:hAnsi="Arial" w:cs="Arial"/>
          <w:sz w:val="24"/>
          <w:lang w:eastAsia="en-ZA"/>
        </w:rPr>
        <w:t>espondents’ non-compliance with rul</w:t>
      </w:r>
      <w:r w:rsidRPr="00332EDB">
        <w:rPr>
          <w:rFonts w:ascii="Arial" w:hAnsi="Arial" w:cs="Arial"/>
          <w:i/>
          <w:sz w:val="24"/>
          <w:lang w:eastAsia="en-ZA"/>
        </w:rPr>
        <w:t xml:space="preserve">e </w:t>
      </w:r>
      <w:r w:rsidRPr="00916520">
        <w:rPr>
          <w:rFonts w:ascii="Arial" w:hAnsi="Arial" w:cs="Arial"/>
          <w:sz w:val="24"/>
          <w:lang w:eastAsia="en-ZA"/>
        </w:rPr>
        <w:t>17(16)</w:t>
      </w:r>
      <w:r w:rsidRPr="00332EDB">
        <w:rPr>
          <w:rFonts w:ascii="Arial" w:hAnsi="Arial" w:cs="Arial"/>
          <w:i/>
          <w:iCs/>
          <w:sz w:val="24"/>
          <w:lang w:eastAsia="en-ZA"/>
        </w:rPr>
        <w:t>(b)</w:t>
      </w:r>
      <w:r>
        <w:rPr>
          <w:rFonts w:ascii="Arial" w:hAnsi="Arial" w:cs="Arial"/>
          <w:i/>
          <w:iCs/>
          <w:sz w:val="24"/>
          <w:lang w:eastAsia="en-ZA"/>
        </w:rPr>
        <w:t xml:space="preserve"> </w:t>
      </w:r>
      <w:r w:rsidRPr="00332EDB">
        <w:rPr>
          <w:rFonts w:ascii="Arial" w:hAnsi="Arial" w:cs="Arial"/>
          <w:iCs/>
          <w:sz w:val="24"/>
          <w:lang w:eastAsia="en-ZA"/>
        </w:rPr>
        <w:t>is dismissed</w:t>
      </w:r>
      <w:r>
        <w:rPr>
          <w:rFonts w:ascii="Arial" w:hAnsi="Arial" w:cs="Arial"/>
          <w:i/>
          <w:iCs/>
          <w:sz w:val="24"/>
          <w:lang w:eastAsia="en-ZA"/>
        </w:rPr>
        <w:t>.</w:t>
      </w:r>
    </w:p>
    <w:p w14:paraId="73E1CF1A" w14:textId="77777777" w:rsidR="00D97CC0" w:rsidRDefault="002857FC" w:rsidP="00D97CC0">
      <w:pPr>
        <w:shd w:val="clear" w:color="auto" w:fill="FFFFFF"/>
        <w:spacing w:after="0" w:line="360" w:lineRule="auto"/>
        <w:ind w:left="720" w:hanging="720"/>
        <w:jc w:val="both"/>
        <w:rPr>
          <w:rFonts w:ascii="Arial" w:eastAsia="Times New Roman" w:hAnsi="Arial" w:cs="Arial"/>
          <w:sz w:val="24"/>
          <w:szCs w:val="24"/>
          <w:lang w:val="af-ZA" w:eastAsia="en-ZA"/>
        </w:rPr>
      </w:pPr>
      <w:r w:rsidRPr="00AE3844">
        <w:rPr>
          <w:rFonts w:ascii="Arial" w:hAnsi="Arial" w:cs="Arial"/>
          <w:sz w:val="24"/>
        </w:rPr>
        <w:t>3.</w:t>
      </w:r>
      <w:r w:rsidRPr="00AE3844">
        <w:rPr>
          <w:rFonts w:ascii="Arial" w:hAnsi="Arial" w:cs="Arial"/>
          <w:sz w:val="24"/>
        </w:rPr>
        <w:tab/>
      </w:r>
      <w:r w:rsidR="00D97CC0" w:rsidRPr="00F67849">
        <w:rPr>
          <w:rFonts w:ascii="Arial" w:eastAsia="Times New Roman" w:hAnsi="Arial" w:cs="Arial"/>
          <w:sz w:val="24"/>
          <w:szCs w:val="24"/>
          <w:lang w:val="af-ZA" w:eastAsia="en-ZA"/>
        </w:rPr>
        <w:t xml:space="preserve">The point </w:t>
      </w:r>
      <w:r w:rsidR="00D97CC0" w:rsidRPr="00F67849">
        <w:rPr>
          <w:rFonts w:ascii="Arial" w:eastAsia="Times New Roman" w:hAnsi="Arial" w:cs="Arial"/>
          <w:i/>
          <w:sz w:val="24"/>
          <w:szCs w:val="24"/>
          <w:lang w:val="af-ZA" w:eastAsia="en-ZA"/>
        </w:rPr>
        <w:t>in limine</w:t>
      </w:r>
      <w:r w:rsidR="00D97CC0" w:rsidRPr="00F67849">
        <w:rPr>
          <w:rFonts w:ascii="Arial" w:eastAsia="Times New Roman" w:hAnsi="Arial" w:cs="Arial"/>
          <w:sz w:val="24"/>
          <w:szCs w:val="24"/>
          <w:lang w:val="af-ZA" w:eastAsia="en-ZA"/>
        </w:rPr>
        <w:t xml:space="preserve"> that the </w:t>
      </w:r>
      <w:r w:rsidR="00D97CC0">
        <w:rPr>
          <w:rFonts w:ascii="Arial" w:eastAsia="Times New Roman" w:hAnsi="Arial" w:cs="Arial"/>
          <w:sz w:val="24"/>
          <w:szCs w:val="24"/>
          <w:lang w:val="af-ZA" w:eastAsia="en-ZA"/>
        </w:rPr>
        <w:t>appellant</w:t>
      </w:r>
      <w:r w:rsidR="00D97CC0" w:rsidRPr="00F67849">
        <w:rPr>
          <w:rFonts w:ascii="Arial" w:eastAsia="Times New Roman" w:hAnsi="Arial" w:cs="Arial"/>
          <w:sz w:val="24"/>
          <w:szCs w:val="24"/>
          <w:lang w:val="af-ZA" w:eastAsia="en-ZA"/>
        </w:rPr>
        <w:t xml:space="preserve"> </w:t>
      </w:r>
      <w:r w:rsidR="00D97CC0">
        <w:rPr>
          <w:rFonts w:ascii="Arial" w:eastAsia="Times New Roman" w:hAnsi="Arial" w:cs="Arial"/>
          <w:sz w:val="24"/>
          <w:szCs w:val="24"/>
          <w:lang w:val="af-ZA" w:eastAsia="en-ZA"/>
        </w:rPr>
        <w:t>failed to provide authority that it authorised and it had given the necessary resolve to lodge this appeal is dismissed.</w:t>
      </w:r>
    </w:p>
    <w:p w14:paraId="38D2FBCD" w14:textId="77777777" w:rsidR="00D97CC0" w:rsidRDefault="00D97CC0" w:rsidP="002857FC">
      <w:pPr>
        <w:spacing w:after="0" w:line="360" w:lineRule="auto"/>
        <w:ind w:left="720" w:hanging="720"/>
        <w:contextualSpacing/>
        <w:jc w:val="both"/>
        <w:rPr>
          <w:rFonts w:ascii="Arial" w:eastAsia="Times New Roman" w:hAnsi="Arial" w:cs="Arial"/>
          <w:sz w:val="24"/>
          <w:szCs w:val="24"/>
          <w:lang w:val="af-ZA" w:eastAsia="en-ZA"/>
        </w:rPr>
      </w:pPr>
    </w:p>
    <w:p w14:paraId="1112BBEC" w14:textId="77777777" w:rsidR="002857FC" w:rsidRPr="002857FC" w:rsidRDefault="002857FC" w:rsidP="002857FC">
      <w:pPr>
        <w:spacing w:after="0" w:line="360" w:lineRule="auto"/>
        <w:ind w:left="720" w:hanging="720"/>
        <w:contextualSpacing/>
        <w:jc w:val="both"/>
        <w:rPr>
          <w:rFonts w:ascii="Arial" w:hAnsi="Arial" w:cs="Arial"/>
          <w:sz w:val="24"/>
          <w:szCs w:val="24"/>
        </w:rPr>
      </w:pPr>
      <w:r>
        <w:rPr>
          <w:rFonts w:ascii="Arial" w:eastAsia="Times New Roman" w:hAnsi="Arial" w:cs="Arial"/>
          <w:sz w:val="24"/>
          <w:szCs w:val="24"/>
          <w:lang w:val="af-ZA" w:eastAsia="en-ZA"/>
        </w:rPr>
        <w:t xml:space="preserve">4. </w:t>
      </w:r>
      <w:r>
        <w:rPr>
          <w:rFonts w:ascii="Arial" w:eastAsia="Times New Roman" w:hAnsi="Arial" w:cs="Arial"/>
          <w:sz w:val="24"/>
          <w:szCs w:val="24"/>
          <w:lang w:val="af-ZA" w:eastAsia="en-ZA"/>
        </w:rPr>
        <w:tab/>
      </w:r>
      <w:r w:rsidRPr="002857FC">
        <w:rPr>
          <w:rFonts w:ascii="Arial" w:eastAsia="Times New Roman" w:hAnsi="Arial" w:cs="Arial"/>
          <w:sz w:val="24"/>
          <w:szCs w:val="24"/>
          <w:lang w:val="af-ZA" w:eastAsia="en-ZA"/>
        </w:rPr>
        <w:t xml:space="preserve">The parties are ordered to file a joint status report on the further conduct of the matter by no later than </w:t>
      </w:r>
      <w:r>
        <w:rPr>
          <w:rFonts w:ascii="Arial" w:eastAsia="Times New Roman" w:hAnsi="Arial" w:cs="Arial"/>
          <w:sz w:val="24"/>
          <w:szCs w:val="24"/>
          <w:lang w:val="af-ZA" w:eastAsia="en-ZA"/>
        </w:rPr>
        <w:t>31</w:t>
      </w:r>
      <w:r w:rsidRPr="002857FC">
        <w:rPr>
          <w:rFonts w:ascii="Arial" w:eastAsia="Times New Roman" w:hAnsi="Arial" w:cs="Arial"/>
          <w:sz w:val="24"/>
          <w:szCs w:val="24"/>
          <w:lang w:val="af-ZA" w:eastAsia="en-ZA"/>
        </w:rPr>
        <w:t xml:space="preserve"> October 2022</w:t>
      </w:r>
      <w:r w:rsidR="007E7259">
        <w:rPr>
          <w:rFonts w:ascii="Arial" w:eastAsia="Times New Roman" w:hAnsi="Arial" w:cs="Arial"/>
          <w:sz w:val="24"/>
          <w:szCs w:val="24"/>
          <w:lang w:val="af-ZA" w:eastAsia="en-ZA"/>
        </w:rPr>
        <w:t>.</w:t>
      </w:r>
    </w:p>
    <w:p w14:paraId="16BFF50C" w14:textId="77777777" w:rsidR="002857FC" w:rsidRPr="002857FC" w:rsidRDefault="002857FC" w:rsidP="002857FC">
      <w:pPr>
        <w:ind w:left="720"/>
        <w:contextualSpacing/>
        <w:rPr>
          <w:rFonts w:ascii="Arial" w:eastAsia="Times New Roman" w:hAnsi="Arial" w:cs="Arial"/>
          <w:sz w:val="24"/>
          <w:szCs w:val="24"/>
          <w:lang w:val="af-ZA" w:eastAsia="en-ZA"/>
        </w:rPr>
      </w:pPr>
    </w:p>
    <w:p w14:paraId="5D289C8F" w14:textId="77777777" w:rsidR="002857FC" w:rsidRPr="002857FC" w:rsidRDefault="002857FC" w:rsidP="002857FC">
      <w:pPr>
        <w:spacing w:after="0" w:line="360" w:lineRule="auto"/>
        <w:contextualSpacing/>
        <w:jc w:val="both"/>
        <w:rPr>
          <w:rFonts w:ascii="Arial" w:hAnsi="Arial" w:cs="Arial"/>
          <w:sz w:val="24"/>
          <w:szCs w:val="24"/>
        </w:rPr>
      </w:pPr>
      <w:r>
        <w:rPr>
          <w:rFonts w:ascii="Arial" w:eastAsia="Times New Roman" w:hAnsi="Arial" w:cs="Arial"/>
          <w:sz w:val="24"/>
          <w:szCs w:val="24"/>
          <w:lang w:val="af-ZA" w:eastAsia="en-ZA"/>
        </w:rPr>
        <w:t>5.</w:t>
      </w:r>
      <w:r>
        <w:rPr>
          <w:rFonts w:ascii="Arial" w:eastAsia="Times New Roman" w:hAnsi="Arial" w:cs="Arial"/>
          <w:sz w:val="24"/>
          <w:szCs w:val="24"/>
          <w:lang w:val="af-ZA" w:eastAsia="en-ZA"/>
        </w:rPr>
        <w:tab/>
      </w:r>
      <w:r w:rsidRPr="002857FC">
        <w:rPr>
          <w:rFonts w:ascii="Arial" w:eastAsia="Times New Roman" w:hAnsi="Arial" w:cs="Arial"/>
          <w:sz w:val="24"/>
          <w:szCs w:val="24"/>
          <w:lang w:val="af-ZA" w:eastAsia="en-ZA"/>
        </w:rPr>
        <w:t>The case is postponed to 0</w:t>
      </w:r>
      <w:r>
        <w:rPr>
          <w:rFonts w:ascii="Arial" w:eastAsia="Times New Roman" w:hAnsi="Arial" w:cs="Arial"/>
          <w:sz w:val="24"/>
          <w:szCs w:val="24"/>
          <w:lang w:val="af-ZA" w:eastAsia="en-ZA"/>
        </w:rPr>
        <w:t>7</w:t>
      </w:r>
      <w:r w:rsidRPr="002857FC">
        <w:rPr>
          <w:rFonts w:ascii="Arial" w:eastAsia="Times New Roman" w:hAnsi="Arial" w:cs="Arial"/>
          <w:sz w:val="24"/>
          <w:szCs w:val="24"/>
          <w:lang w:val="af-ZA" w:eastAsia="en-ZA"/>
        </w:rPr>
        <w:t xml:space="preserve"> November 2022</w:t>
      </w:r>
      <w:r w:rsidR="001741BE">
        <w:rPr>
          <w:rFonts w:ascii="Arial" w:eastAsia="Times New Roman" w:hAnsi="Arial" w:cs="Arial"/>
          <w:sz w:val="24"/>
          <w:szCs w:val="24"/>
          <w:lang w:val="af-ZA" w:eastAsia="en-ZA"/>
        </w:rPr>
        <w:t xml:space="preserve"> at 09:00</w:t>
      </w:r>
      <w:r w:rsidRPr="002857FC">
        <w:rPr>
          <w:rFonts w:ascii="Arial" w:eastAsia="Times New Roman" w:hAnsi="Arial" w:cs="Arial"/>
          <w:sz w:val="24"/>
          <w:szCs w:val="24"/>
          <w:lang w:val="af-ZA" w:eastAsia="en-ZA"/>
        </w:rPr>
        <w:t xml:space="preserve"> for a Status Hearing.</w:t>
      </w:r>
    </w:p>
    <w:p w14:paraId="7A0AF38F" w14:textId="77777777" w:rsidR="00AE3844" w:rsidRPr="00AE3844" w:rsidRDefault="00AE3844" w:rsidP="00AE3844">
      <w:pPr>
        <w:pBdr>
          <w:bottom w:val="single" w:sz="6" w:space="1" w:color="auto"/>
        </w:pBdr>
        <w:spacing w:line="360" w:lineRule="auto"/>
        <w:rPr>
          <w:rFonts w:ascii="Arial" w:hAnsi="Arial" w:cs="Arial"/>
          <w:sz w:val="24"/>
        </w:rPr>
      </w:pPr>
    </w:p>
    <w:p w14:paraId="494CDAE1" w14:textId="77777777" w:rsidR="00AE3844" w:rsidRPr="00AE3844" w:rsidRDefault="00AE3844" w:rsidP="00916520">
      <w:pPr>
        <w:pBdr>
          <w:bottom w:val="single" w:sz="4" w:space="1" w:color="auto"/>
        </w:pBdr>
        <w:spacing w:before="360" w:after="360" w:line="360" w:lineRule="auto"/>
        <w:jc w:val="center"/>
        <w:rPr>
          <w:rFonts w:ascii="Arial" w:hAnsi="Arial" w:cs="Arial"/>
          <w:b/>
          <w:sz w:val="24"/>
        </w:rPr>
      </w:pPr>
      <w:r w:rsidRPr="00AE3844">
        <w:rPr>
          <w:rFonts w:ascii="Arial" w:hAnsi="Arial" w:cs="Arial"/>
          <w:b/>
          <w:sz w:val="24"/>
        </w:rPr>
        <w:t>JUDGMENT</w:t>
      </w:r>
    </w:p>
    <w:p w14:paraId="2475BDCF" w14:textId="77777777" w:rsidR="00AE3844" w:rsidRPr="00685C34" w:rsidRDefault="00080CE1" w:rsidP="00AE3844">
      <w:pPr>
        <w:spacing w:line="360" w:lineRule="auto"/>
        <w:rPr>
          <w:rFonts w:ascii="Arial" w:hAnsi="Arial" w:cs="Arial"/>
          <w:sz w:val="24"/>
        </w:rPr>
      </w:pPr>
      <w:r w:rsidRPr="00685C34">
        <w:rPr>
          <w:rFonts w:ascii="Arial" w:hAnsi="Arial" w:cs="Arial"/>
          <w:sz w:val="24"/>
        </w:rPr>
        <w:t>CHRISTIAAN A</w:t>
      </w:r>
      <w:r w:rsidR="00AE3844" w:rsidRPr="00685C34">
        <w:rPr>
          <w:rFonts w:ascii="Arial" w:hAnsi="Arial" w:cs="Arial"/>
          <w:sz w:val="24"/>
        </w:rPr>
        <w:t>J:</w:t>
      </w:r>
    </w:p>
    <w:p w14:paraId="53FF8065" w14:textId="77777777" w:rsidR="00AE3844" w:rsidRPr="00685C34" w:rsidRDefault="00AE3844" w:rsidP="00BD50D2">
      <w:pPr>
        <w:spacing w:after="240" w:line="360" w:lineRule="auto"/>
        <w:rPr>
          <w:rFonts w:ascii="Arial" w:hAnsi="Arial" w:cs="Arial"/>
          <w:i/>
          <w:sz w:val="24"/>
          <w:u w:val="single"/>
        </w:rPr>
      </w:pPr>
      <w:r w:rsidRPr="00685C34">
        <w:rPr>
          <w:rFonts w:ascii="Arial" w:hAnsi="Arial" w:cs="Arial"/>
          <w:i/>
          <w:sz w:val="24"/>
          <w:u w:val="single"/>
        </w:rPr>
        <w:t>Introduction</w:t>
      </w:r>
    </w:p>
    <w:p w14:paraId="324D8DE1" w14:textId="32053D28" w:rsidR="00080CE1" w:rsidRDefault="00AE3844" w:rsidP="00674081">
      <w:pPr>
        <w:pStyle w:val="ListParagraph"/>
        <w:spacing w:line="360" w:lineRule="auto"/>
        <w:ind w:left="0"/>
        <w:jc w:val="both"/>
        <w:rPr>
          <w:rFonts w:ascii="Arial" w:hAnsi="Arial" w:cs="Arial"/>
        </w:rPr>
      </w:pPr>
      <w:r w:rsidRPr="00AE3844">
        <w:rPr>
          <w:rFonts w:ascii="Arial" w:hAnsi="Arial" w:cs="Arial"/>
        </w:rPr>
        <w:t>[1]</w:t>
      </w:r>
      <w:r w:rsidRPr="00AE3844">
        <w:rPr>
          <w:rFonts w:ascii="Arial" w:hAnsi="Arial" w:cs="Arial"/>
        </w:rPr>
        <w:tab/>
        <w:t xml:space="preserve">The </w:t>
      </w:r>
      <w:r w:rsidR="00056562">
        <w:rPr>
          <w:rFonts w:ascii="Arial" w:hAnsi="Arial" w:cs="Arial"/>
        </w:rPr>
        <w:t>r</w:t>
      </w:r>
      <w:r w:rsidRPr="00AE3844">
        <w:rPr>
          <w:rFonts w:ascii="Arial" w:hAnsi="Arial" w:cs="Arial"/>
        </w:rPr>
        <w:t xml:space="preserve">espondent was a former employee of the </w:t>
      </w:r>
      <w:r w:rsidR="00056562">
        <w:rPr>
          <w:rFonts w:ascii="Arial" w:hAnsi="Arial" w:cs="Arial"/>
        </w:rPr>
        <w:t>a</w:t>
      </w:r>
      <w:r w:rsidRPr="00AE3844">
        <w:rPr>
          <w:rFonts w:ascii="Arial" w:hAnsi="Arial" w:cs="Arial"/>
        </w:rPr>
        <w:t>ppellant who referred a dispute to the Labour Commissioner’s Office for unfair dismissal.</w:t>
      </w:r>
      <w:r w:rsidRPr="00AE3844">
        <w:rPr>
          <w:rStyle w:val="FootnoteReference"/>
          <w:rFonts w:ascii="Arial" w:hAnsi="Arial" w:cs="Arial"/>
        </w:rPr>
        <w:footnoteReference w:id="1"/>
      </w:r>
      <w:r w:rsidRPr="00AE3844">
        <w:rPr>
          <w:rFonts w:ascii="Arial" w:hAnsi="Arial" w:cs="Arial"/>
        </w:rPr>
        <w:t xml:space="preserve"> The </w:t>
      </w:r>
      <w:r w:rsidR="00EA5542">
        <w:rPr>
          <w:rFonts w:ascii="Arial" w:hAnsi="Arial" w:cs="Arial"/>
        </w:rPr>
        <w:t>a</w:t>
      </w:r>
      <w:r w:rsidRPr="00AE3844">
        <w:rPr>
          <w:rFonts w:ascii="Arial" w:hAnsi="Arial" w:cs="Arial"/>
        </w:rPr>
        <w:t xml:space="preserve">ppellant noted an </w:t>
      </w:r>
      <w:r w:rsidRPr="00AE3844">
        <w:rPr>
          <w:rFonts w:ascii="Arial" w:hAnsi="Arial" w:cs="Arial"/>
        </w:rPr>
        <w:lastRenderedPageBreak/>
        <w:t>appeal against th</w:t>
      </w:r>
      <w:r w:rsidR="00056562">
        <w:rPr>
          <w:rFonts w:ascii="Arial" w:hAnsi="Arial" w:cs="Arial"/>
        </w:rPr>
        <w:t>e</w:t>
      </w:r>
      <w:r w:rsidRPr="00AE3844">
        <w:rPr>
          <w:rFonts w:ascii="Arial" w:hAnsi="Arial" w:cs="Arial"/>
        </w:rPr>
        <w:t xml:space="preserve"> arbitration award delivered on </w:t>
      </w:r>
      <w:r w:rsidR="00080CE1">
        <w:rPr>
          <w:rFonts w:ascii="Arial" w:hAnsi="Arial" w:cs="Arial"/>
        </w:rPr>
        <w:t>10 January 2022</w:t>
      </w:r>
      <w:r w:rsidR="00080CE1" w:rsidRPr="00080CE1">
        <w:rPr>
          <w:rFonts w:ascii="Arial" w:hAnsi="Arial" w:cs="Arial"/>
        </w:rPr>
        <w:t xml:space="preserve"> </w:t>
      </w:r>
      <w:r w:rsidR="00080CE1">
        <w:rPr>
          <w:rFonts w:ascii="Arial" w:hAnsi="Arial" w:cs="Arial"/>
        </w:rPr>
        <w:t>under case number CROM150.</w:t>
      </w:r>
    </w:p>
    <w:p w14:paraId="6756F5AB" w14:textId="77777777" w:rsidR="00674081" w:rsidRPr="00557AFE" w:rsidRDefault="00674081" w:rsidP="00674081">
      <w:pPr>
        <w:pStyle w:val="ListParagraph"/>
        <w:spacing w:line="360" w:lineRule="auto"/>
        <w:ind w:left="0"/>
        <w:jc w:val="both"/>
        <w:rPr>
          <w:rFonts w:ascii="Arial" w:hAnsi="Arial" w:cs="Arial"/>
        </w:rPr>
      </w:pPr>
    </w:p>
    <w:p w14:paraId="6448BF1D" w14:textId="77777777" w:rsidR="00080CE1" w:rsidRDefault="00080CE1" w:rsidP="00674081">
      <w:pPr>
        <w:spacing w:after="0" w:line="360" w:lineRule="auto"/>
        <w:jc w:val="both"/>
        <w:rPr>
          <w:rFonts w:ascii="Arial" w:hAnsi="Arial" w:cs="Arial"/>
          <w:sz w:val="24"/>
          <w:szCs w:val="24"/>
          <w:u w:val="single"/>
        </w:rPr>
      </w:pPr>
      <w:r w:rsidRPr="00685C34">
        <w:rPr>
          <w:rFonts w:ascii="Arial" w:hAnsi="Arial" w:cs="Arial"/>
          <w:sz w:val="24"/>
          <w:szCs w:val="24"/>
          <w:u w:val="single"/>
        </w:rPr>
        <w:t>Parties</w:t>
      </w:r>
    </w:p>
    <w:p w14:paraId="5895D4C2" w14:textId="77777777" w:rsidR="00674081" w:rsidRPr="00685C34" w:rsidRDefault="00674081" w:rsidP="00674081">
      <w:pPr>
        <w:spacing w:after="0" w:line="360" w:lineRule="auto"/>
        <w:jc w:val="both"/>
        <w:rPr>
          <w:rFonts w:ascii="Arial" w:hAnsi="Arial" w:cs="Arial"/>
          <w:sz w:val="24"/>
          <w:szCs w:val="24"/>
          <w:u w:val="single"/>
        </w:rPr>
      </w:pPr>
    </w:p>
    <w:p w14:paraId="55D89539" w14:textId="23911492" w:rsidR="00080CE1" w:rsidRPr="00080CE1" w:rsidRDefault="00080CE1" w:rsidP="00BD50D2">
      <w:pPr>
        <w:spacing w:after="240" w:line="360" w:lineRule="auto"/>
        <w:jc w:val="both"/>
        <w:rPr>
          <w:rFonts w:ascii="Arial" w:hAnsi="Arial" w:cs="Arial"/>
          <w:sz w:val="24"/>
          <w:szCs w:val="24"/>
          <w:lang w:val="en-US"/>
        </w:rPr>
      </w:pPr>
      <w:r w:rsidRPr="00080CE1">
        <w:rPr>
          <w:rFonts w:ascii="Arial" w:hAnsi="Arial" w:cs="Arial"/>
          <w:sz w:val="24"/>
          <w:szCs w:val="24"/>
        </w:rPr>
        <w:t>[</w:t>
      </w:r>
      <w:r w:rsidR="002C092E">
        <w:rPr>
          <w:rFonts w:ascii="Arial" w:hAnsi="Arial" w:cs="Arial"/>
          <w:sz w:val="24"/>
          <w:szCs w:val="24"/>
        </w:rPr>
        <w:t>2</w:t>
      </w:r>
      <w:r w:rsidRPr="00080CE1">
        <w:rPr>
          <w:rFonts w:ascii="Arial" w:hAnsi="Arial" w:cs="Arial"/>
          <w:sz w:val="24"/>
          <w:szCs w:val="24"/>
        </w:rPr>
        <w:t>]</w:t>
      </w:r>
      <w:r w:rsidRPr="00080CE1">
        <w:rPr>
          <w:rFonts w:ascii="Arial" w:hAnsi="Arial" w:cs="Arial"/>
          <w:sz w:val="24"/>
          <w:szCs w:val="24"/>
        </w:rPr>
        <w:tab/>
      </w:r>
      <w:r w:rsidRPr="00080CE1">
        <w:rPr>
          <w:rFonts w:ascii="Arial" w:hAnsi="Arial" w:cs="Arial"/>
          <w:sz w:val="24"/>
          <w:szCs w:val="24"/>
          <w:lang w:val="en-US"/>
        </w:rPr>
        <w:t xml:space="preserve">The appellant is </w:t>
      </w:r>
      <w:r w:rsidR="00B91368" w:rsidRPr="00B91368">
        <w:rPr>
          <w:rFonts w:ascii="Arial" w:hAnsi="Arial" w:cs="Arial"/>
          <w:sz w:val="24"/>
        </w:rPr>
        <w:t>QKR Namibia Navachab Gold Mine (Pty) Ltd</w:t>
      </w:r>
      <w:r w:rsidRPr="00080CE1">
        <w:rPr>
          <w:rFonts w:ascii="Arial" w:hAnsi="Arial" w:cs="Arial"/>
          <w:sz w:val="24"/>
          <w:szCs w:val="24"/>
          <w:lang w:val="en-US"/>
        </w:rPr>
        <w:t>,</w:t>
      </w:r>
      <w:r w:rsidR="002C092E">
        <w:rPr>
          <w:rFonts w:ascii="Arial" w:hAnsi="Arial" w:cs="Arial"/>
          <w:sz w:val="24"/>
          <w:szCs w:val="24"/>
          <w:lang w:val="en-US"/>
        </w:rPr>
        <w:t xml:space="preserve"> a company duly incorporated</w:t>
      </w:r>
      <w:r w:rsidRPr="00080CE1">
        <w:rPr>
          <w:rFonts w:ascii="Arial" w:hAnsi="Arial" w:cs="Arial"/>
          <w:sz w:val="24"/>
          <w:szCs w:val="24"/>
          <w:lang w:val="en-US"/>
        </w:rPr>
        <w:t xml:space="preserve"> </w:t>
      </w:r>
      <w:r w:rsidR="002C092E">
        <w:rPr>
          <w:rFonts w:ascii="Arial" w:hAnsi="Arial" w:cs="Arial"/>
          <w:sz w:val="24"/>
          <w:szCs w:val="24"/>
          <w:lang w:val="en-US"/>
        </w:rPr>
        <w:t>in accordance with the company laws of this Republic. Its place of business is situate at Farm 58, Farm Navachab, Republic of Namibia. Th</w:t>
      </w:r>
      <w:r w:rsidRPr="00080CE1">
        <w:rPr>
          <w:rFonts w:ascii="Arial" w:hAnsi="Arial" w:cs="Arial"/>
          <w:sz w:val="24"/>
          <w:szCs w:val="24"/>
          <w:lang w:val="en-US"/>
        </w:rPr>
        <w:t>e respondent</w:t>
      </w:r>
      <w:r w:rsidR="002C092E">
        <w:rPr>
          <w:rFonts w:ascii="Arial" w:hAnsi="Arial" w:cs="Arial"/>
          <w:sz w:val="24"/>
          <w:szCs w:val="24"/>
          <w:lang w:val="en-US"/>
        </w:rPr>
        <w:t xml:space="preserve"> is Ms</w:t>
      </w:r>
      <w:r w:rsidRPr="00080CE1">
        <w:rPr>
          <w:rFonts w:ascii="Arial" w:hAnsi="Arial" w:cs="Arial"/>
          <w:sz w:val="24"/>
          <w:szCs w:val="24"/>
          <w:lang w:val="en-US"/>
        </w:rPr>
        <w:t xml:space="preserve"> </w:t>
      </w:r>
      <w:r w:rsidR="00B91368">
        <w:rPr>
          <w:rFonts w:ascii="Arial" w:hAnsi="Arial" w:cs="Arial"/>
          <w:sz w:val="24"/>
          <w:szCs w:val="24"/>
          <w:lang w:val="en-US"/>
        </w:rPr>
        <w:t>Mariane Kwala</w:t>
      </w:r>
      <w:r w:rsidRPr="00080CE1">
        <w:rPr>
          <w:rFonts w:ascii="Arial" w:hAnsi="Arial" w:cs="Arial"/>
          <w:sz w:val="24"/>
          <w:szCs w:val="24"/>
          <w:lang w:val="en-US"/>
        </w:rPr>
        <w:t>, a</w:t>
      </w:r>
      <w:r w:rsidR="002C092E">
        <w:rPr>
          <w:rFonts w:ascii="Arial" w:hAnsi="Arial" w:cs="Arial"/>
          <w:sz w:val="24"/>
          <w:szCs w:val="24"/>
          <w:lang w:val="en-US"/>
        </w:rPr>
        <w:t>n adult female Namibian</w:t>
      </w:r>
      <w:r w:rsidRPr="00080CE1">
        <w:rPr>
          <w:rFonts w:ascii="Arial" w:hAnsi="Arial" w:cs="Arial"/>
          <w:sz w:val="24"/>
          <w:szCs w:val="24"/>
          <w:lang w:val="en-US"/>
        </w:rPr>
        <w:t xml:space="preserve"> </w:t>
      </w:r>
      <w:r w:rsidR="002C092E">
        <w:rPr>
          <w:rFonts w:ascii="Arial" w:hAnsi="Arial" w:cs="Arial"/>
          <w:sz w:val="24"/>
          <w:szCs w:val="24"/>
          <w:lang w:val="en-US"/>
        </w:rPr>
        <w:t>who had been in the applicant’s employ as a cleaner.</w:t>
      </w:r>
    </w:p>
    <w:p w14:paraId="70E195CE" w14:textId="77777777" w:rsidR="00080CE1" w:rsidRDefault="00080CE1" w:rsidP="00674081">
      <w:pPr>
        <w:spacing w:after="0" w:line="360" w:lineRule="auto"/>
        <w:jc w:val="both"/>
        <w:rPr>
          <w:rFonts w:ascii="Arial" w:hAnsi="Arial" w:cs="Arial"/>
          <w:i/>
          <w:sz w:val="24"/>
          <w:szCs w:val="24"/>
          <w:u w:val="single"/>
        </w:rPr>
      </w:pPr>
      <w:r w:rsidRPr="00685C34">
        <w:rPr>
          <w:rFonts w:ascii="Arial" w:hAnsi="Arial" w:cs="Arial"/>
          <w:i/>
          <w:sz w:val="24"/>
          <w:szCs w:val="24"/>
          <w:u w:val="single"/>
        </w:rPr>
        <w:t>Background</w:t>
      </w:r>
    </w:p>
    <w:p w14:paraId="0E1B7E26" w14:textId="77777777" w:rsidR="00674081" w:rsidRPr="00685C34" w:rsidRDefault="00674081" w:rsidP="00674081">
      <w:pPr>
        <w:spacing w:after="0" w:line="360" w:lineRule="auto"/>
        <w:jc w:val="both"/>
        <w:rPr>
          <w:rFonts w:ascii="Arial" w:hAnsi="Arial" w:cs="Arial"/>
          <w:i/>
          <w:sz w:val="24"/>
          <w:szCs w:val="24"/>
          <w:u w:val="single"/>
        </w:rPr>
      </w:pPr>
    </w:p>
    <w:p w14:paraId="193CE178" w14:textId="77777777" w:rsidR="000D6BFC" w:rsidRDefault="002C092E" w:rsidP="00674081">
      <w:pPr>
        <w:shd w:val="clear" w:color="auto" w:fill="FFFFFF"/>
        <w:spacing w:after="0" w:line="360" w:lineRule="auto"/>
        <w:jc w:val="both"/>
        <w:rPr>
          <w:rFonts w:ascii="Arial" w:eastAsia="Times New Roman" w:hAnsi="Arial" w:cs="Arial"/>
          <w:sz w:val="24"/>
          <w:szCs w:val="24"/>
          <w:lang w:val="en-US" w:eastAsia="en-ZA"/>
        </w:rPr>
      </w:pPr>
      <w:r>
        <w:rPr>
          <w:rFonts w:ascii="Arial" w:hAnsi="Arial" w:cs="Arial"/>
          <w:sz w:val="24"/>
          <w:szCs w:val="24"/>
        </w:rPr>
        <w:t>[3]</w:t>
      </w:r>
      <w:r>
        <w:rPr>
          <w:rFonts w:ascii="Arial" w:hAnsi="Arial" w:cs="Arial"/>
          <w:sz w:val="24"/>
          <w:szCs w:val="24"/>
        </w:rPr>
        <w:tab/>
      </w:r>
      <w:r w:rsidR="000D6BFC" w:rsidRPr="000D6BFC">
        <w:rPr>
          <w:rFonts w:ascii="Arial" w:eastAsia="Times New Roman" w:hAnsi="Arial" w:cs="Arial"/>
          <w:sz w:val="24"/>
          <w:szCs w:val="24"/>
          <w:lang w:val="en-US" w:eastAsia="en-ZA"/>
        </w:rPr>
        <w:t>I am confident that this judgment will be better appreciated when the background is revealed to the reader, which I dutifully proceed to do.</w:t>
      </w:r>
    </w:p>
    <w:p w14:paraId="0A90EE15" w14:textId="77777777" w:rsidR="00674081" w:rsidRPr="000D6BFC" w:rsidRDefault="00674081" w:rsidP="00674081">
      <w:pPr>
        <w:shd w:val="clear" w:color="auto" w:fill="FFFFFF"/>
        <w:spacing w:after="0" w:line="360" w:lineRule="auto"/>
        <w:jc w:val="both"/>
        <w:rPr>
          <w:rFonts w:ascii="Lato" w:eastAsia="Times New Roman" w:hAnsi="Lato" w:cs="Times New Roman"/>
          <w:sz w:val="21"/>
          <w:szCs w:val="21"/>
          <w:lang w:eastAsia="en-ZA"/>
        </w:rPr>
      </w:pPr>
    </w:p>
    <w:p w14:paraId="4FA28625" w14:textId="2195FBB8" w:rsidR="002C092E" w:rsidRDefault="000D6BFC" w:rsidP="0067408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C092E">
        <w:rPr>
          <w:rFonts w:ascii="Arial" w:hAnsi="Arial" w:cs="Arial"/>
          <w:sz w:val="24"/>
          <w:szCs w:val="24"/>
        </w:rPr>
        <w:t>It is common cause that the appellant dismissed the respondent, which dismissal was not accepted by the latter.  She approached the office of the Labour Commissioner, which eventually found in her favour. Dissatisfied with the award issued in the respondent’s favour</w:t>
      </w:r>
      <w:r>
        <w:rPr>
          <w:rFonts w:ascii="Arial" w:hAnsi="Arial" w:cs="Arial"/>
          <w:sz w:val="24"/>
          <w:szCs w:val="24"/>
        </w:rPr>
        <w:t xml:space="preserve"> on 10 January 2022</w:t>
      </w:r>
      <w:r w:rsidR="002C092E">
        <w:rPr>
          <w:rFonts w:ascii="Arial" w:hAnsi="Arial" w:cs="Arial"/>
          <w:sz w:val="24"/>
          <w:szCs w:val="24"/>
        </w:rPr>
        <w:t>, the app</w:t>
      </w:r>
      <w:r w:rsidR="00D65D72">
        <w:rPr>
          <w:rFonts w:ascii="Arial" w:hAnsi="Arial" w:cs="Arial"/>
          <w:sz w:val="24"/>
          <w:szCs w:val="24"/>
        </w:rPr>
        <w:t>el</w:t>
      </w:r>
      <w:r w:rsidR="002C092E">
        <w:rPr>
          <w:rFonts w:ascii="Arial" w:hAnsi="Arial" w:cs="Arial"/>
          <w:sz w:val="24"/>
          <w:szCs w:val="24"/>
        </w:rPr>
        <w:t>l</w:t>
      </w:r>
      <w:r w:rsidR="00D65D72">
        <w:rPr>
          <w:rFonts w:ascii="Arial" w:hAnsi="Arial" w:cs="Arial"/>
          <w:sz w:val="24"/>
          <w:szCs w:val="24"/>
        </w:rPr>
        <w:t>a</w:t>
      </w:r>
      <w:r w:rsidR="002C092E">
        <w:rPr>
          <w:rFonts w:ascii="Arial" w:hAnsi="Arial" w:cs="Arial"/>
          <w:sz w:val="24"/>
          <w:szCs w:val="24"/>
        </w:rPr>
        <w:t xml:space="preserve">nt lodged an appeal before this court. </w:t>
      </w:r>
    </w:p>
    <w:p w14:paraId="55F90ACC" w14:textId="77777777" w:rsidR="00674081" w:rsidRDefault="00674081" w:rsidP="00674081">
      <w:pPr>
        <w:spacing w:after="0" w:line="360" w:lineRule="auto"/>
        <w:jc w:val="both"/>
        <w:rPr>
          <w:rFonts w:ascii="Arial" w:hAnsi="Arial" w:cs="Arial"/>
          <w:sz w:val="24"/>
          <w:szCs w:val="24"/>
        </w:rPr>
      </w:pPr>
    </w:p>
    <w:p w14:paraId="29011335" w14:textId="4E07E0CE" w:rsidR="000D6BFC" w:rsidRDefault="002C092E" w:rsidP="00674081">
      <w:pPr>
        <w:spacing w:after="0" w:line="360" w:lineRule="auto"/>
        <w:jc w:val="both"/>
        <w:rPr>
          <w:rFonts w:ascii="Arial" w:hAnsi="Arial" w:cs="Arial"/>
          <w:sz w:val="24"/>
          <w:szCs w:val="24"/>
        </w:rPr>
      </w:pPr>
      <w:r>
        <w:rPr>
          <w:rFonts w:ascii="Arial" w:hAnsi="Arial" w:cs="Arial"/>
          <w:sz w:val="24"/>
          <w:szCs w:val="24"/>
        </w:rPr>
        <w:t>[</w:t>
      </w:r>
      <w:r w:rsidR="00D65D72">
        <w:rPr>
          <w:rFonts w:ascii="Arial" w:hAnsi="Arial" w:cs="Arial"/>
          <w:sz w:val="24"/>
          <w:szCs w:val="24"/>
        </w:rPr>
        <w:t>5</w:t>
      </w:r>
      <w:r>
        <w:rPr>
          <w:rFonts w:ascii="Arial" w:hAnsi="Arial" w:cs="Arial"/>
          <w:sz w:val="24"/>
          <w:szCs w:val="24"/>
        </w:rPr>
        <w:t>]</w:t>
      </w:r>
      <w:r>
        <w:rPr>
          <w:rFonts w:ascii="Arial" w:hAnsi="Arial" w:cs="Arial"/>
          <w:sz w:val="24"/>
          <w:szCs w:val="24"/>
        </w:rPr>
        <w:tab/>
      </w:r>
      <w:r w:rsidR="000D6BFC" w:rsidRPr="00335F28">
        <w:rPr>
          <w:rFonts w:ascii="Arial" w:hAnsi="Arial" w:cs="Arial"/>
          <w:sz w:val="24"/>
          <w:szCs w:val="24"/>
        </w:rPr>
        <w:t>On or about 09 February 2022 the appellant noted an appeal against</w:t>
      </w:r>
      <w:r w:rsidR="00A353B3">
        <w:rPr>
          <w:rFonts w:ascii="Arial" w:hAnsi="Arial" w:cs="Arial"/>
          <w:sz w:val="24"/>
          <w:szCs w:val="24"/>
        </w:rPr>
        <w:t xml:space="preserve"> the</w:t>
      </w:r>
      <w:r w:rsidR="000D6BFC" w:rsidRPr="00335F28">
        <w:rPr>
          <w:rFonts w:ascii="Arial" w:hAnsi="Arial" w:cs="Arial"/>
          <w:sz w:val="24"/>
          <w:szCs w:val="24"/>
        </w:rPr>
        <w:t xml:space="preserve"> said arbitration award under the above captioned case number, subsequent to service of the Form 11 and</w:t>
      </w:r>
      <w:r w:rsidR="00241A43">
        <w:rPr>
          <w:rFonts w:ascii="Arial" w:hAnsi="Arial" w:cs="Arial"/>
          <w:sz w:val="24"/>
          <w:szCs w:val="24"/>
        </w:rPr>
        <w:t xml:space="preserve"> Form</w:t>
      </w:r>
      <w:r w:rsidR="000D6BFC" w:rsidRPr="00335F28">
        <w:rPr>
          <w:rFonts w:ascii="Arial" w:hAnsi="Arial" w:cs="Arial"/>
          <w:sz w:val="24"/>
          <w:szCs w:val="24"/>
        </w:rPr>
        <w:t xml:space="preserve"> LC 41 on the respondent and the Office of the Labour Commissioner</w:t>
      </w:r>
      <w:r w:rsidR="00056562">
        <w:rPr>
          <w:rFonts w:ascii="Arial" w:hAnsi="Arial" w:cs="Arial"/>
          <w:sz w:val="24"/>
          <w:szCs w:val="24"/>
        </w:rPr>
        <w:t>,</w:t>
      </w:r>
      <w:r w:rsidR="000D6BFC" w:rsidRPr="00335F28">
        <w:rPr>
          <w:rFonts w:ascii="Arial" w:hAnsi="Arial" w:cs="Arial"/>
          <w:sz w:val="24"/>
          <w:szCs w:val="24"/>
        </w:rPr>
        <w:t xml:space="preserve"> respectively</w:t>
      </w:r>
      <w:r w:rsidR="00056562">
        <w:rPr>
          <w:rFonts w:ascii="Arial" w:hAnsi="Arial" w:cs="Arial"/>
          <w:sz w:val="24"/>
          <w:szCs w:val="24"/>
        </w:rPr>
        <w:t>,</w:t>
      </w:r>
      <w:r w:rsidR="000D6BFC" w:rsidRPr="00335F28">
        <w:rPr>
          <w:rFonts w:ascii="Arial" w:hAnsi="Arial" w:cs="Arial"/>
          <w:sz w:val="24"/>
          <w:szCs w:val="24"/>
        </w:rPr>
        <w:t xml:space="preserve"> on 08 February 2022. </w:t>
      </w:r>
    </w:p>
    <w:p w14:paraId="1FC7D881" w14:textId="77777777" w:rsidR="00674081" w:rsidRDefault="00674081" w:rsidP="00674081">
      <w:pPr>
        <w:spacing w:after="0" w:line="360" w:lineRule="auto"/>
        <w:jc w:val="both"/>
        <w:rPr>
          <w:rFonts w:ascii="Arial" w:hAnsi="Arial" w:cs="Arial"/>
          <w:sz w:val="24"/>
          <w:szCs w:val="24"/>
        </w:rPr>
      </w:pPr>
    </w:p>
    <w:p w14:paraId="294AA2F6" w14:textId="26FF6CB8" w:rsidR="000D6BFC" w:rsidRDefault="000D6BFC" w:rsidP="00674081">
      <w:pPr>
        <w:spacing w:after="0" w:line="360" w:lineRule="auto"/>
        <w:jc w:val="both"/>
        <w:rPr>
          <w:rFonts w:ascii="Arial" w:hAnsi="Arial" w:cs="Arial"/>
          <w:sz w:val="24"/>
          <w:szCs w:val="24"/>
        </w:rPr>
      </w:pPr>
      <w:r>
        <w:rPr>
          <w:rFonts w:ascii="Arial" w:hAnsi="Arial" w:cs="Arial"/>
          <w:sz w:val="24"/>
          <w:szCs w:val="24"/>
        </w:rPr>
        <w:t>[</w:t>
      </w:r>
      <w:r w:rsidR="00A353B3">
        <w:rPr>
          <w:rFonts w:ascii="Arial" w:hAnsi="Arial" w:cs="Arial"/>
          <w:sz w:val="24"/>
          <w:szCs w:val="24"/>
        </w:rPr>
        <w:t>6</w:t>
      </w:r>
      <w:r>
        <w:rPr>
          <w:rFonts w:ascii="Arial" w:hAnsi="Arial" w:cs="Arial"/>
          <w:sz w:val="24"/>
          <w:szCs w:val="24"/>
        </w:rPr>
        <w:t>]</w:t>
      </w:r>
      <w:r>
        <w:rPr>
          <w:rFonts w:ascii="Arial" w:hAnsi="Arial" w:cs="Arial"/>
          <w:sz w:val="24"/>
          <w:szCs w:val="24"/>
        </w:rPr>
        <w:tab/>
      </w:r>
      <w:r w:rsidRPr="00335F28">
        <w:rPr>
          <w:rFonts w:ascii="Arial" w:hAnsi="Arial" w:cs="Arial"/>
          <w:sz w:val="24"/>
          <w:szCs w:val="24"/>
        </w:rPr>
        <w:t xml:space="preserve">ln terms of </w:t>
      </w:r>
      <w:r w:rsidR="00056562">
        <w:rPr>
          <w:rFonts w:ascii="Arial" w:hAnsi="Arial" w:cs="Arial"/>
          <w:sz w:val="24"/>
          <w:szCs w:val="24"/>
        </w:rPr>
        <w:t>r</w:t>
      </w:r>
      <w:r w:rsidRPr="00335F28">
        <w:rPr>
          <w:rFonts w:ascii="Arial" w:hAnsi="Arial" w:cs="Arial"/>
          <w:sz w:val="24"/>
          <w:szCs w:val="24"/>
        </w:rPr>
        <w:t>ule 17(7)</w:t>
      </w:r>
      <w:r w:rsidR="00056562">
        <w:rPr>
          <w:rFonts w:ascii="Arial" w:hAnsi="Arial" w:cs="Arial"/>
          <w:sz w:val="24"/>
          <w:szCs w:val="24"/>
        </w:rPr>
        <w:t xml:space="preserve"> of the Labour Court Rules</w:t>
      </w:r>
      <w:r w:rsidRPr="00335F28">
        <w:rPr>
          <w:rFonts w:ascii="Arial" w:hAnsi="Arial" w:cs="Arial"/>
          <w:sz w:val="24"/>
          <w:szCs w:val="24"/>
        </w:rPr>
        <w:t>, the Office of the Labour</w:t>
      </w:r>
      <w:r>
        <w:rPr>
          <w:rFonts w:ascii="Arial" w:hAnsi="Arial" w:cs="Arial"/>
          <w:sz w:val="24"/>
          <w:szCs w:val="24"/>
        </w:rPr>
        <w:t xml:space="preserve"> Commissioner</w:t>
      </w:r>
      <w:r w:rsidRPr="00335F28">
        <w:rPr>
          <w:rFonts w:ascii="Arial" w:hAnsi="Arial" w:cs="Arial"/>
          <w:sz w:val="24"/>
          <w:szCs w:val="24"/>
        </w:rPr>
        <w:t xml:space="preserve"> was required to dispatch the record of proceedings within 21 days of service of the Form 11 and</w:t>
      </w:r>
      <w:r w:rsidR="00241A43">
        <w:rPr>
          <w:rFonts w:ascii="Arial" w:hAnsi="Arial" w:cs="Arial"/>
          <w:sz w:val="24"/>
          <w:szCs w:val="24"/>
        </w:rPr>
        <w:t xml:space="preserve"> Form</w:t>
      </w:r>
      <w:r w:rsidRPr="00335F28">
        <w:rPr>
          <w:rFonts w:ascii="Arial" w:hAnsi="Arial" w:cs="Arial"/>
          <w:sz w:val="24"/>
          <w:szCs w:val="24"/>
        </w:rPr>
        <w:t xml:space="preserve"> LC 41. The 21 days would therefore lapse on 01 March 2022. </w:t>
      </w:r>
    </w:p>
    <w:p w14:paraId="50C9892E" w14:textId="77777777" w:rsidR="00674081" w:rsidRDefault="00674081" w:rsidP="00674081">
      <w:pPr>
        <w:spacing w:after="0" w:line="360" w:lineRule="auto"/>
        <w:jc w:val="both"/>
        <w:rPr>
          <w:rFonts w:ascii="Arial" w:hAnsi="Arial" w:cs="Arial"/>
          <w:sz w:val="24"/>
          <w:szCs w:val="24"/>
        </w:rPr>
      </w:pPr>
    </w:p>
    <w:p w14:paraId="2F5A6E84" w14:textId="5FCA9568" w:rsidR="000D6BFC" w:rsidRDefault="000D6BFC" w:rsidP="00674081">
      <w:pPr>
        <w:spacing w:after="0" w:line="360" w:lineRule="auto"/>
        <w:jc w:val="both"/>
        <w:rPr>
          <w:rFonts w:ascii="Arial" w:hAnsi="Arial" w:cs="Arial"/>
          <w:sz w:val="24"/>
          <w:szCs w:val="24"/>
        </w:rPr>
      </w:pPr>
      <w:r>
        <w:rPr>
          <w:rFonts w:ascii="Arial" w:hAnsi="Arial" w:cs="Arial"/>
          <w:sz w:val="24"/>
          <w:szCs w:val="24"/>
        </w:rPr>
        <w:t>[</w:t>
      </w:r>
      <w:r w:rsidR="00A353B3">
        <w:rPr>
          <w:rFonts w:ascii="Arial" w:hAnsi="Arial" w:cs="Arial"/>
          <w:sz w:val="24"/>
          <w:szCs w:val="24"/>
        </w:rPr>
        <w:t>7</w:t>
      </w:r>
      <w:r>
        <w:rPr>
          <w:rFonts w:ascii="Arial" w:hAnsi="Arial" w:cs="Arial"/>
          <w:sz w:val="24"/>
          <w:szCs w:val="24"/>
        </w:rPr>
        <w:t>]</w:t>
      </w:r>
      <w:r>
        <w:rPr>
          <w:rFonts w:ascii="Arial" w:hAnsi="Arial" w:cs="Arial"/>
          <w:sz w:val="24"/>
          <w:szCs w:val="24"/>
        </w:rPr>
        <w:tab/>
      </w:r>
      <w:r w:rsidRPr="00335F28">
        <w:rPr>
          <w:rFonts w:ascii="Arial" w:hAnsi="Arial" w:cs="Arial"/>
          <w:sz w:val="24"/>
          <w:szCs w:val="24"/>
        </w:rPr>
        <w:t>The record was however, only dispatched on 08 April 2</w:t>
      </w:r>
      <w:r w:rsidR="00241A43">
        <w:rPr>
          <w:rFonts w:ascii="Arial" w:hAnsi="Arial" w:cs="Arial"/>
          <w:sz w:val="24"/>
          <w:szCs w:val="24"/>
        </w:rPr>
        <w:t>0</w:t>
      </w:r>
      <w:r w:rsidRPr="00335F28">
        <w:rPr>
          <w:rFonts w:ascii="Arial" w:hAnsi="Arial" w:cs="Arial"/>
          <w:sz w:val="24"/>
          <w:szCs w:val="24"/>
        </w:rPr>
        <w:t xml:space="preserve">22. </w:t>
      </w:r>
    </w:p>
    <w:p w14:paraId="3B4E8BCE" w14:textId="74950C60" w:rsidR="000D6BFC" w:rsidRDefault="000D6BFC" w:rsidP="00674081">
      <w:pPr>
        <w:spacing w:after="0" w:line="360" w:lineRule="auto"/>
        <w:jc w:val="both"/>
        <w:rPr>
          <w:rFonts w:ascii="Arial" w:hAnsi="Arial" w:cs="Arial"/>
          <w:sz w:val="24"/>
          <w:szCs w:val="24"/>
        </w:rPr>
      </w:pPr>
      <w:r>
        <w:rPr>
          <w:rFonts w:ascii="Arial" w:hAnsi="Arial" w:cs="Arial"/>
          <w:sz w:val="24"/>
          <w:szCs w:val="24"/>
        </w:rPr>
        <w:lastRenderedPageBreak/>
        <w:t>[</w:t>
      </w:r>
      <w:r w:rsidR="00A353B3">
        <w:rPr>
          <w:rFonts w:ascii="Arial" w:hAnsi="Arial" w:cs="Arial"/>
          <w:sz w:val="24"/>
          <w:szCs w:val="24"/>
        </w:rPr>
        <w:t>8</w:t>
      </w:r>
      <w:r>
        <w:rPr>
          <w:rFonts w:ascii="Arial" w:hAnsi="Arial" w:cs="Arial"/>
          <w:sz w:val="24"/>
          <w:szCs w:val="24"/>
        </w:rPr>
        <w:t>]</w:t>
      </w:r>
      <w:r>
        <w:rPr>
          <w:rFonts w:ascii="Arial" w:hAnsi="Arial" w:cs="Arial"/>
          <w:sz w:val="24"/>
          <w:szCs w:val="24"/>
        </w:rPr>
        <w:tab/>
        <w:t>T</w:t>
      </w:r>
      <w:r w:rsidRPr="00335F28">
        <w:rPr>
          <w:rFonts w:ascii="Arial" w:hAnsi="Arial" w:cs="Arial"/>
          <w:sz w:val="24"/>
          <w:szCs w:val="24"/>
        </w:rPr>
        <w:t>he appellant was required</w:t>
      </w:r>
      <w:r w:rsidRPr="000D6BFC">
        <w:rPr>
          <w:rFonts w:ascii="Arial" w:hAnsi="Arial" w:cs="Arial"/>
          <w:sz w:val="24"/>
          <w:szCs w:val="24"/>
        </w:rPr>
        <w:t xml:space="preserve"> </w:t>
      </w:r>
      <w:r>
        <w:rPr>
          <w:rFonts w:ascii="Arial" w:hAnsi="Arial" w:cs="Arial"/>
          <w:sz w:val="24"/>
          <w:szCs w:val="24"/>
        </w:rPr>
        <w:t>i</w:t>
      </w:r>
      <w:r w:rsidRPr="00335F28">
        <w:rPr>
          <w:rFonts w:ascii="Arial" w:hAnsi="Arial" w:cs="Arial"/>
          <w:sz w:val="24"/>
          <w:szCs w:val="24"/>
        </w:rPr>
        <w:t xml:space="preserve">n terms of </w:t>
      </w:r>
      <w:r w:rsidR="00DC7470">
        <w:rPr>
          <w:rFonts w:ascii="Arial" w:hAnsi="Arial" w:cs="Arial"/>
          <w:sz w:val="24"/>
          <w:szCs w:val="24"/>
        </w:rPr>
        <w:t>r</w:t>
      </w:r>
      <w:r w:rsidRPr="00335F28">
        <w:rPr>
          <w:rFonts w:ascii="Arial" w:hAnsi="Arial" w:cs="Arial"/>
          <w:sz w:val="24"/>
          <w:szCs w:val="24"/>
        </w:rPr>
        <w:t xml:space="preserve">ule 17(15), to file its </w:t>
      </w:r>
      <w:r w:rsidR="00DC7470">
        <w:rPr>
          <w:rFonts w:ascii="Arial" w:hAnsi="Arial" w:cs="Arial"/>
          <w:sz w:val="24"/>
          <w:szCs w:val="24"/>
        </w:rPr>
        <w:t>n</w:t>
      </w:r>
      <w:r w:rsidRPr="00335F28">
        <w:rPr>
          <w:rFonts w:ascii="Arial" w:hAnsi="Arial" w:cs="Arial"/>
          <w:sz w:val="24"/>
          <w:szCs w:val="24"/>
        </w:rPr>
        <w:t xml:space="preserve">otice to amend, add to, or vary the terms of the </w:t>
      </w:r>
      <w:r w:rsidR="00DC7470">
        <w:rPr>
          <w:rFonts w:ascii="Arial" w:hAnsi="Arial" w:cs="Arial"/>
          <w:sz w:val="24"/>
          <w:szCs w:val="24"/>
        </w:rPr>
        <w:t>n</w:t>
      </w:r>
      <w:r w:rsidRPr="00335F28">
        <w:rPr>
          <w:rFonts w:ascii="Arial" w:hAnsi="Arial" w:cs="Arial"/>
          <w:sz w:val="24"/>
          <w:szCs w:val="24"/>
        </w:rPr>
        <w:t xml:space="preserve">otice of </w:t>
      </w:r>
      <w:r w:rsidR="00DC7470">
        <w:rPr>
          <w:rFonts w:ascii="Arial" w:hAnsi="Arial" w:cs="Arial"/>
          <w:sz w:val="24"/>
          <w:szCs w:val="24"/>
        </w:rPr>
        <w:t>a</w:t>
      </w:r>
      <w:r w:rsidRPr="00335F28">
        <w:rPr>
          <w:rFonts w:ascii="Arial" w:hAnsi="Arial" w:cs="Arial"/>
          <w:sz w:val="24"/>
          <w:szCs w:val="24"/>
        </w:rPr>
        <w:t xml:space="preserve">ppeal within </w:t>
      </w:r>
      <w:r w:rsidR="00AD1204">
        <w:rPr>
          <w:rFonts w:ascii="Arial" w:hAnsi="Arial" w:cs="Arial"/>
          <w:sz w:val="24"/>
          <w:szCs w:val="24"/>
        </w:rPr>
        <w:t>ten</w:t>
      </w:r>
      <w:r w:rsidRPr="00335F28">
        <w:rPr>
          <w:rFonts w:ascii="Arial" w:hAnsi="Arial" w:cs="Arial"/>
          <w:sz w:val="24"/>
          <w:szCs w:val="24"/>
        </w:rPr>
        <w:t xml:space="preserve"> days after the Registrar ha</w:t>
      </w:r>
      <w:r w:rsidR="00DC7470">
        <w:rPr>
          <w:rFonts w:ascii="Arial" w:hAnsi="Arial" w:cs="Arial"/>
          <w:sz w:val="24"/>
          <w:szCs w:val="24"/>
        </w:rPr>
        <w:t>d</w:t>
      </w:r>
      <w:r w:rsidRPr="00335F28">
        <w:rPr>
          <w:rFonts w:ascii="Arial" w:hAnsi="Arial" w:cs="Arial"/>
          <w:sz w:val="24"/>
          <w:szCs w:val="24"/>
        </w:rPr>
        <w:t xml:space="preserve"> made available the record so dispatched by the Office of the Labour Commissioner. The record was uplifted on 08 April</w:t>
      </w:r>
      <w:r w:rsidR="009713E4">
        <w:rPr>
          <w:rFonts w:ascii="Arial" w:hAnsi="Arial" w:cs="Arial"/>
          <w:sz w:val="24"/>
          <w:szCs w:val="24"/>
        </w:rPr>
        <w:t xml:space="preserve"> </w:t>
      </w:r>
      <w:r w:rsidRPr="00335F28">
        <w:rPr>
          <w:rFonts w:ascii="Arial" w:hAnsi="Arial" w:cs="Arial"/>
          <w:sz w:val="24"/>
          <w:szCs w:val="24"/>
        </w:rPr>
        <w:t xml:space="preserve">2022, therefore, the </w:t>
      </w:r>
      <w:r w:rsidR="00AD1204">
        <w:rPr>
          <w:rFonts w:ascii="Arial" w:hAnsi="Arial" w:cs="Arial"/>
          <w:sz w:val="24"/>
          <w:szCs w:val="24"/>
        </w:rPr>
        <w:t>ten</w:t>
      </w:r>
      <w:r w:rsidRPr="00335F28">
        <w:rPr>
          <w:rFonts w:ascii="Arial" w:hAnsi="Arial" w:cs="Arial"/>
          <w:sz w:val="24"/>
          <w:szCs w:val="24"/>
        </w:rPr>
        <w:t xml:space="preserve"> days lapsed on 18 April</w:t>
      </w:r>
      <w:r w:rsidR="006D3686">
        <w:rPr>
          <w:rFonts w:ascii="Arial" w:hAnsi="Arial" w:cs="Arial"/>
          <w:sz w:val="24"/>
          <w:szCs w:val="24"/>
        </w:rPr>
        <w:t xml:space="preserve"> </w:t>
      </w:r>
      <w:r w:rsidRPr="00335F28">
        <w:rPr>
          <w:rFonts w:ascii="Arial" w:hAnsi="Arial" w:cs="Arial"/>
          <w:sz w:val="24"/>
          <w:szCs w:val="24"/>
        </w:rPr>
        <w:t>2022, which was a public holiday, which further meant that the Notice was due on 19 April 2022</w:t>
      </w:r>
      <w:r w:rsidR="006D3686">
        <w:rPr>
          <w:rFonts w:ascii="Arial" w:hAnsi="Arial" w:cs="Arial"/>
          <w:sz w:val="24"/>
          <w:szCs w:val="24"/>
        </w:rPr>
        <w:t>.</w:t>
      </w:r>
    </w:p>
    <w:p w14:paraId="5CCC4278" w14:textId="77777777" w:rsidR="00674081" w:rsidRDefault="00674081" w:rsidP="00674081">
      <w:pPr>
        <w:spacing w:after="0" w:line="360" w:lineRule="auto"/>
        <w:jc w:val="both"/>
        <w:rPr>
          <w:rFonts w:ascii="Arial" w:hAnsi="Arial" w:cs="Arial"/>
          <w:sz w:val="24"/>
          <w:szCs w:val="24"/>
        </w:rPr>
      </w:pPr>
    </w:p>
    <w:p w14:paraId="4F562D1C" w14:textId="1A76F3E9" w:rsidR="000D6BFC" w:rsidRDefault="000D6BFC" w:rsidP="00674081">
      <w:pPr>
        <w:spacing w:after="0" w:line="360" w:lineRule="auto"/>
        <w:jc w:val="both"/>
        <w:rPr>
          <w:rFonts w:ascii="Arial" w:hAnsi="Arial" w:cs="Arial"/>
          <w:sz w:val="24"/>
          <w:szCs w:val="24"/>
        </w:rPr>
      </w:pPr>
      <w:r>
        <w:rPr>
          <w:rFonts w:ascii="Arial" w:hAnsi="Arial" w:cs="Arial"/>
          <w:sz w:val="24"/>
          <w:szCs w:val="24"/>
        </w:rPr>
        <w:t>[</w:t>
      </w:r>
      <w:r w:rsidR="00A01AB9">
        <w:rPr>
          <w:rFonts w:ascii="Arial" w:hAnsi="Arial" w:cs="Arial"/>
          <w:sz w:val="24"/>
          <w:szCs w:val="24"/>
        </w:rPr>
        <w:t>9</w:t>
      </w:r>
      <w:r>
        <w:rPr>
          <w:rFonts w:ascii="Arial" w:hAnsi="Arial" w:cs="Arial"/>
          <w:sz w:val="24"/>
          <w:szCs w:val="24"/>
        </w:rPr>
        <w:t>]</w:t>
      </w:r>
      <w:r>
        <w:rPr>
          <w:rFonts w:ascii="Arial" w:hAnsi="Arial" w:cs="Arial"/>
          <w:sz w:val="24"/>
          <w:szCs w:val="24"/>
        </w:rPr>
        <w:tab/>
      </w:r>
      <w:r w:rsidRPr="00335F28">
        <w:rPr>
          <w:rFonts w:ascii="Arial" w:hAnsi="Arial" w:cs="Arial"/>
          <w:sz w:val="24"/>
          <w:szCs w:val="24"/>
        </w:rPr>
        <w:t>The appellant's notice was however only</w:t>
      </w:r>
      <w:r>
        <w:rPr>
          <w:rFonts w:ascii="Arial" w:hAnsi="Arial" w:cs="Arial"/>
          <w:sz w:val="24"/>
          <w:szCs w:val="24"/>
        </w:rPr>
        <w:t xml:space="preserve"> f</w:t>
      </w:r>
      <w:r w:rsidRPr="00335F28">
        <w:rPr>
          <w:rFonts w:ascii="Arial" w:hAnsi="Arial" w:cs="Arial"/>
          <w:sz w:val="24"/>
          <w:szCs w:val="24"/>
        </w:rPr>
        <w:t xml:space="preserve">iled on 20 April 2022. This is one day late in terms of </w:t>
      </w:r>
      <w:r w:rsidR="00A01AB9">
        <w:rPr>
          <w:rFonts w:ascii="Arial" w:hAnsi="Arial" w:cs="Arial"/>
          <w:sz w:val="24"/>
          <w:szCs w:val="24"/>
        </w:rPr>
        <w:t>r</w:t>
      </w:r>
      <w:r w:rsidRPr="00335F28">
        <w:rPr>
          <w:rFonts w:ascii="Arial" w:hAnsi="Arial" w:cs="Arial"/>
          <w:sz w:val="24"/>
          <w:szCs w:val="24"/>
        </w:rPr>
        <w:t>ule 17(15).</w:t>
      </w:r>
    </w:p>
    <w:p w14:paraId="32128274" w14:textId="77777777" w:rsidR="00674081" w:rsidRDefault="00674081" w:rsidP="00674081">
      <w:pPr>
        <w:spacing w:after="0" w:line="360" w:lineRule="auto"/>
        <w:jc w:val="both"/>
        <w:rPr>
          <w:rFonts w:ascii="Arial" w:hAnsi="Arial" w:cs="Arial"/>
          <w:sz w:val="24"/>
          <w:szCs w:val="24"/>
        </w:rPr>
      </w:pPr>
    </w:p>
    <w:p w14:paraId="380D6BC1" w14:textId="5F01FBBC" w:rsidR="00F5407C" w:rsidRDefault="00F5407C" w:rsidP="00674081">
      <w:pPr>
        <w:spacing w:after="0" w:line="360" w:lineRule="auto"/>
        <w:jc w:val="both"/>
        <w:rPr>
          <w:rFonts w:ascii="Arial" w:hAnsi="Arial" w:cs="Arial"/>
          <w:sz w:val="24"/>
          <w:szCs w:val="24"/>
        </w:rPr>
      </w:pPr>
      <w:r>
        <w:rPr>
          <w:rFonts w:ascii="Arial" w:hAnsi="Arial" w:cs="Arial"/>
          <w:sz w:val="24"/>
          <w:szCs w:val="24"/>
        </w:rPr>
        <w:t>[</w:t>
      </w:r>
      <w:r w:rsidR="00A01AB9">
        <w:rPr>
          <w:rFonts w:ascii="Arial" w:hAnsi="Arial" w:cs="Arial"/>
          <w:sz w:val="24"/>
          <w:szCs w:val="24"/>
        </w:rPr>
        <w:t>10</w:t>
      </w:r>
      <w:r>
        <w:rPr>
          <w:rFonts w:ascii="Arial" w:hAnsi="Arial" w:cs="Arial"/>
          <w:sz w:val="24"/>
          <w:szCs w:val="24"/>
        </w:rPr>
        <w:t>]</w:t>
      </w:r>
      <w:r>
        <w:rPr>
          <w:rFonts w:ascii="Arial" w:hAnsi="Arial" w:cs="Arial"/>
          <w:sz w:val="24"/>
          <w:szCs w:val="24"/>
        </w:rPr>
        <w:tab/>
        <w:t>On 27 April 2022 the appellant filed a condonation application in addition to an extension of time application. The respondent was required to file the grounds of opposition on 10 May 2022, which similarly lapsed on 10 May 2022.</w:t>
      </w:r>
    </w:p>
    <w:p w14:paraId="0B2366D9" w14:textId="77777777" w:rsidR="00674081" w:rsidRDefault="00674081" w:rsidP="00674081">
      <w:pPr>
        <w:spacing w:after="0" w:line="360" w:lineRule="auto"/>
        <w:jc w:val="both"/>
        <w:rPr>
          <w:rFonts w:ascii="Arial" w:hAnsi="Arial" w:cs="Arial"/>
          <w:sz w:val="24"/>
          <w:szCs w:val="24"/>
        </w:rPr>
      </w:pPr>
    </w:p>
    <w:p w14:paraId="75EBAA1F" w14:textId="66477936" w:rsidR="00F5407C" w:rsidRDefault="00F5407C" w:rsidP="00674081">
      <w:pPr>
        <w:spacing w:after="0" w:line="360" w:lineRule="auto"/>
        <w:jc w:val="both"/>
        <w:rPr>
          <w:rFonts w:ascii="Arial" w:hAnsi="Arial" w:cs="Arial"/>
          <w:sz w:val="24"/>
          <w:szCs w:val="24"/>
        </w:rPr>
      </w:pPr>
      <w:r>
        <w:rPr>
          <w:rFonts w:ascii="Arial" w:hAnsi="Arial" w:cs="Arial"/>
          <w:sz w:val="24"/>
          <w:szCs w:val="24"/>
        </w:rPr>
        <w:t>[1</w:t>
      </w:r>
      <w:r w:rsidR="00F45FD6">
        <w:rPr>
          <w:rFonts w:ascii="Arial" w:hAnsi="Arial" w:cs="Arial"/>
          <w:sz w:val="24"/>
          <w:szCs w:val="24"/>
        </w:rPr>
        <w:t>1</w:t>
      </w:r>
      <w:r>
        <w:rPr>
          <w:rFonts w:ascii="Arial" w:hAnsi="Arial" w:cs="Arial"/>
          <w:sz w:val="24"/>
          <w:szCs w:val="24"/>
        </w:rPr>
        <w:t>]</w:t>
      </w:r>
      <w:r>
        <w:rPr>
          <w:rFonts w:ascii="Arial" w:hAnsi="Arial" w:cs="Arial"/>
          <w:sz w:val="24"/>
          <w:szCs w:val="24"/>
        </w:rPr>
        <w:tab/>
        <w:t>The appellant successfully applied for reinstatement of the appeal and it was</w:t>
      </w:r>
      <w:r w:rsidR="00DC7470">
        <w:rPr>
          <w:rFonts w:ascii="Arial" w:hAnsi="Arial" w:cs="Arial"/>
          <w:sz w:val="24"/>
          <w:szCs w:val="24"/>
        </w:rPr>
        <w:t xml:space="preserve"> so</w:t>
      </w:r>
      <w:r>
        <w:rPr>
          <w:rFonts w:ascii="Arial" w:hAnsi="Arial" w:cs="Arial"/>
          <w:sz w:val="24"/>
          <w:szCs w:val="24"/>
        </w:rPr>
        <w:t xml:space="preserve"> ordered on 04 August 2022.</w:t>
      </w:r>
    </w:p>
    <w:p w14:paraId="682D49FA" w14:textId="77777777" w:rsidR="00674081" w:rsidRDefault="00674081" w:rsidP="00674081">
      <w:pPr>
        <w:spacing w:after="0" w:line="360" w:lineRule="auto"/>
        <w:jc w:val="both"/>
        <w:rPr>
          <w:rFonts w:ascii="Arial" w:hAnsi="Arial" w:cs="Arial"/>
          <w:sz w:val="24"/>
          <w:szCs w:val="24"/>
        </w:rPr>
      </w:pPr>
    </w:p>
    <w:p w14:paraId="6CEA4D63" w14:textId="2ADEA0A1" w:rsidR="00F5407C" w:rsidRDefault="00F5407C" w:rsidP="00674081">
      <w:pPr>
        <w:spacing w:after="0" w:line="360" w:lineRule="auto"/>
        <w:jc w:val="both"/>
        <w:rPr>
          <w:rFonts w:ascii="Arial" w:hAnsi="Arial" w:cs="Arial"/>
          <w:sz w:val="24"/>
          <w:szCs w:val="24"/>
        </w:rPr>
      </w:pPr>
      <w:r>
        <w:rPr>
          <w:rFonts w:ascii="Arial" w:hAnsi="Arial" w:cs="Arial"/>
          <w:sz w:val="24"/>
          <w:szCs w:val="24"/>
        </w:rPr>
        <w:t>[1</w:t>
      </w:r>
      <w:r w:rsidR="00F45FD6">
        <w:rPr>
          <w:rFonts w:ascii="Arial" w:hAnsi="Arial" w:cs="Arial"/>
          <w:sz w:val="24"/>
          <w:szCs w:val="24"/>
        </w:rPr>
        <w:t>2</w:t>
      </w:r>
      <w:r>
        <w:rPr>
          <w:rFonts w:ascii="Arial" w:hAnsi="Arial" w:cs="Arial"/>
          <w:sz w:val="24"/>
          <w:szCs w:val="24"/>
        </w:rPr>
        <w:t>]</w:t>
      </w:r>
      <w:r>
        <w:rPr>
          <w:rFonts w:ascii="Arial" w:hAnsi="Arial" w:cs="Arial"/>
          <w:sz w:val="24"/>
          <w:szCs w:val="24"/>
        </w:rPr>
        <w:tab/>
      </w:r>
      <w:r w:rsidR="00586756">
        <w:rPr>
          <w:rFonts w:ascii="Arial" w:hAnsi="Arial" w:cs="Arial"/>
          <w:sz w:val="24"/>
          <w:szCs w:val="24"/>
        </w:rPr>
        <w:t xml:space="preserve">The appellant applied for hearing dates on 08 August 2022, which was postponed by the Registrar to 17 August 2022. The respondent filed her statement of grounds of position on 22 August 2022. </w:t>
      </w:r>
    </w:p>
    <w:p w14:paraId="2C7BF009" w14:textId="77777777" w:rsidR="00674081" w:rsidRDefault="00674081" w:rsidP="00674081">
      <w:pPr>
        <w:spacing w:after="0" w:line="360" w:lineRule="auto"/>
        <w:jc w:val="both"/>
        <w:rPr>
          <w:rFonts w:ascii="Arial" w:hAnsi="Arial" w:cs="Arial"/>
          <w:sz w:val="24"/>
          <w:szCs w:val="24"/>
        </w:rPr>
      </w:pPr>
    </w:p>
    <w:p w14:paraId="73A7BEFB" w14:textId="60ECEE38" w:rsidR="00586756" w:rsidRDefault="00586756" w:rsidP="00674081">
      <w:pPr>
        <w:spacing w:after="0" w:line="360" w:lineRule="auto"/>
        <w:jc w:val="both"/>
        <w:rPr>
          <w:rFonts w:ascii="Arial" w:hAnsi="Arial" w:cs="Arial"/>
          <w:sz w:val="24"/>
          <w:szCs w:val="24"/>
        </w:rPr>
      </w:pPr>
      <w:r>
        <w:rPr>
          <w:rFonts w:ascii="Arial" w:hAnsi="Arial" w:cs="Arial"/>
          <w:sz w:val="24"/>
          <w:szCs w:val="24"/>
        </w:rPr>
        <w:t>[1</w:t>
      </w:r>
      <w:r w:rsidR="0020688D">
        <w:rPr>
          <w:rFonts w:ascii="Arial" w:hAnsi="Arial" w:cs="Arial"/>
          <w:sz w:val="24"/>
          <w:szCs w:val="24"/>
        </w:rPr>
        <w:t>3</w:t>
      </w:r>
      <w:r>
        <w:rPr>
          <w:rFonts w:ascii="Arial" w:hAnsi="Arial" w:cs="Arial"/>
          <w:sz w:val="24"/>
          <w:szCs w:val="24"/>
        </w:rPr>
        <w:t>]</w:t>
      </w:r>
      <w:r>
        <w:rPr>
          <w:rFonts w:ascii="Arial" w:hAnsi="Arial" w:cs="Arial"/>
          <w:sz w:val="24"/>
          <w:szCs w:val="24"/>
        </w:rPr>
        <w:tab/>
        <w:t xml:space="preserve">A notice of set down was issued </w:t>
      </w:r>
      <w:r w:rsidR="00DC7470">
        <w:rPr>
          <w:rFonts w:ascii="Arial" w:hAnsi="Arial" w:cs="Arial"/>
          <w:sz w:val="24"/>
          <w:szCs w:val="24"/>
        </w:rPr>
        <w:t xml:space="preserve">on </w:t>
      </w:r>
      <w:r>
        <w:rPr>
          <w:rFonts w:ascii="Arial" w:hAnsi="Arial" w:cs="Arial"/>
          <w:sz w:val="24"/>
          <w:szCs w:val="24"/>
        </w:rPr>
        <w:t>24 August 2022</w:t>
      </w:r>
      <w:r w:rsidR="00DC7470">
        <w:rPr>
          <w:rFonts w:ascii="Arial" w:hAnsi="Arial" w:cs="Arial"/>
          <w:sz w:val="24"/>
          <w:szCs w:val="24"/>
        </w:rPr>
        <w:t>. T</w:t>
      </w:r>
      <w:r>
        <w:rPr>
          <w:rFonts w:ascii="Arial" w:hAnsi="Arial" w:cs="Arial"/>
          <w:sz w:val="24"/>
          <w:szCs w:val="24"/>
        </w:rPr>
        <w:t>he respondent was duly served on 13 September 2022 and the hearing was said to commence on 30 September 2022.</w:t>
      </w:r>
    </w:p>
    <w:p w14:paraId="29B4588C" w14:textId="77777777" w:rsidR="00674081" w:rsidRDefault="00674081" w:rsidP="00674081">
      <w:pPr>
        <w:spacing w:after="0" w:line="360" w:lineRule="auto"/>
        <w:jc w:val="both"/>
        <w:rPr>
          <w:rFonts w:ascii="Arial" w:hAnsi="Arial" w:cs="Arial"/>
          <w:sz w:val="24"/>
          <w:szCs w:val="24"/>
        </w:rPr>
      </w:pPr>
    </w:p>
    <w:p w14:paraId="0556924E" w14:textId="3C3D9F55" w:rsidR="00586756" w:rsidRDefault="00586756" w:rsidP="00674081">
      <w:pPr>
        <w:spacing w:after="0" w:line="360" w:lineRule="auto"/>
        <w:jc w:val="both"/>
        <w:rPr>
          <w:rFonts w:ascii="Arial" w:hAnsi="Arial" w:cs="Arial"/>
          <w:sz w:val="24"/>
          <w:szCs w:val="24"/>
        </w:rPr>
      </w:pPr>
      <w:r>
        <w:rPr>
          <w:rFonts w:ascii="Arial" w:hAnsi="Arial" w:cs="Arial"/>
          <w:sz w:val="24"/>
          <w:szCs w:val="24"/>
        </w:rPr>
        <w:t>[1</w:t>
      </w:r>
      <w:r w:rsidR="0020688D">
        <w:rPr>
          <w:rFonts w:ascii="Arial" w:hAnsi="Arial" w:cs="Arial"/>
          <w:sz w:val="24"/>
          <w:szCs w:val="24"/>
        </w:rPr>
        <w:t>4</w:t>
      </w:r>
      <w:r>
        <w:rPr>
          <w:rFonts w:ascii="Arial" w:hAnsi="Arial" w:cs="Arial"/>
          <w:sz w:val="24"/>
          <w:szCs w:val="24"/>
        </w:rPr>
        <w:t>]</w:t>
      </w:r>
      <w:r>
        <w:rPr>
          <w:rFonts w:ascii="Arial" w:hAnsi="Arial" w:cs="Arial"/>
          <w:sz w:val="24"/>
          <w:szCs w:val="24"/>
        </w:rPr>
        <w:tab/>
        <w:t xml:space="preserve">On 30 September 2022, preliminary issues were raised by </w:t>
      </w:r>
      <w:r w:rsidR="004A2021">
        <w:rPr>
          <w:rFonts w:ascii="Arial" w:hAnsi="Arial" w:cs="Arial"/>
          <w:sz w:val="24"/>
          <w:szCs w:val="24"/>
        </w:rPr>
        <w:t>both</w:t>
      </w:r>
      <w:r>
        <w:rPr>
          <w:rFonts w:ascii="Arial" w:hAnsi="Arial" w:cs="Arial"/>
          <w:sz w:val="24"/>
          <w:szCs w:val="24"/>
        </w:rPr>
        <w:t xml:space="preserve"> counsel</w:t>
      </w:r>
      <w:r w:rsidR="004A2021">
        <w:rPr>
          <w:rFonts w:ascii="Arial" w:hAnsi="Arial" w:cs="Arial"/>
          <w:sz w:val="24"/>
          <w:szCs w:val="24"/>
        </w:rPr>
        <w:t>. The parties have agreed for the court to make a ruling on those aspects after hearing the arguments and based on that ruling determine the further conduct of the matter.</w:t>
      </w:r>
    </w:p>
    <w:p w14:paraId="0AD98320" w14:textId="77777777" w:rsidR="00674081" w:rsidRDefault="00674081" w:rsidP="00674081">
      <w:pPr>
        <w:spacing w:after="0" w:line="360" w:lineRule="auto"/>
        <w:jc w:val="both"/>
        <w:rPr>
          <w:rFonts w:ascii="Arial" w:hAnsi="Arial" w:cs="Arial"/>
          <w:sz w:val="24"/>
          <w:szCs w:val="24"/>
        </w:rPr>
      </w:pPr>
    </w:p>
    <w:p w14:paraId="65377C32" w14:textId="36107E61" w:rsidR="004A2021" w:rsidRDefault="004A2021" w:rsidP="00BD50D2">
      <w:pPr>
        <w:spacing w:after="240" w:line="360" w:lineRule="auto"/>
        <w:jc w:val="both"/>
        <w:rPr>
          <w:rFonts w:ascii="Arial" w:hAnsi="Arial" w:cs="Arial"/>
          <w:sz w:val="24"/>
        </w:rPr>
      </w:pPr>
      <w:r>
        <w:rPr>
          <w:rFonts w:ascii="Arial" w:hAnsi="Arial" w:cs="Arial"/>
          <w:sz w:val="24"/>
          <w:szCs w:val="24"/>
        </w:rPr>
        <w:t>[1</w:t>
      </w:r>
      <w:r w:rsidR="0020688D">
        <w:rPr>
          <w:rFonts w:ascii="Arial" w:hAnsi="Arial" w:cs="Arial"/>
          <w:sz w:val="24"/>
          <w:szCs w:val="24"/>
        </w:rPr>
        <w:t>5</w:t>
      </w:r>
      <w:r>
        <w:rPr>
          <w:rFonts w:ascii="Arial" w:hAnsi="Arial" w:cs="Arial"/>
          <w:sz w:val="24"/>
          <w:szCs w:val="24"/>
        </w:rPr>
        <w:t>]</w:t>
      </w:r>
      <w:r>
        <w:rPr>
          <w:rFonts w:ascii="Arial" w:hAnsi="Arial" w:cs="Arial"/>
          <w:sz w:val="24"/>
          <w:szCs w:val="24"/>
        </w:rPr>
        <w:tab/>
        <w:t xml:space="preserve">Serving before this court presently is an application dated 27 April 2022 </w:t>
      </w:r>
      <w:r>
        <w:rPr>
          <w:rFonts w:ascii="Arial" w:hAnsi="Arial" w:cs="Arial"/>
          <w:sz w:val="24"/>
        </w:rPr>
        <w:t>in which the appellant applies for condonation of its non-compliance</w:t>
      </w:r>
      <w:r w:rsidRPr="000D6BFC">
        <w:rPr>
          <w:rFonts w:ascii="Arial" w:hAnsi="Arial" w:cs="Arial"/>
          <w:sz w:val="24"/>
        </w:rPr>
        <w:t xml:space="preserve"> with</w:t>
      </w:r>
      <w:r>
        <w:rPr>
          <w:rFonts w:ascii="Arial" w:hAnsi="Arial" w:cs="Arial"/>
          <w:sz w:val="24"/>
        </w:rPr>
        <w:t xml:space="preserve"> the provisions of </w:t>
      </w:r>
      <w:r w:rsidR="00D30BF5">
        <w:rPr>
          <w:rFonts w:ascii="Arial" w:hAnsi="Arial" w:cs="Arial"/>
          <w:sz w:val="24"/>
        </w:rPr>
        <w:t>r</w:t>
      </w:r>
      <w:r w:rsidRPr="000D6BFC">
        <w:rPr>
          <w:rFonts w:ascii="Arial" w:hAnsi="Arial" w:cs="Arial"/>
          <w:sz w:val="24"/>
        </w:rPr>
        <w:t>ule 17(15)</w:t>
      </w:r>
      <w:r>
        <w:rPr>
          <w:rFonts w:ascii="Arial" w:hAnsi="Arial" w:cs="Arial"/>
          <w:sz w:val="24"/>
        </w:rPr>
        <w:t xml:space="preserve"> </w:t>
      </w:r>
      <w:r w:rsidRPr="000D6BFC">
        <w:rPr>
          <w:rFonts w:ascii="Arial" w:hAnsi="Arial" w:cs="Arial"/>
          <w:sz w:val="24"/>
        </w:rPr>
        <w:t xml:space="preserve">of the </w:t>
      </w:r>
      <w:r>
        <w:rPr>
          <w:rFonts w:ascii="Arial" w:hAnsi="Arial" w:cs="Arial"/>
          <w:sz w:val="24"/>
        </w:rPr>
        <w:t xml:space="preserve">Labour Court </w:t>
      </w:r>
      <w:r w:rsidRPr="000D6BFC">
        <w:rPr>
          <w:rFonts w:ascii="Arial" w:hAnsi="Arial" w:cs="Arial"/>
          <w:sz w:val="24"/>
        </w:rPr>
        <w:t>Rules</w:t>
      </w:r>
      <w:r w:rsidR="00DC7470">
        <w:rPr>
          <w:rFonts w:ascii="Arial" w:hAnsi="Arial" w:cs="Arial"/>
          <w:sz w:val="24"/>
        </w:rPr>
        <w:t xml:space="preserve"> </w:t>
      </w:r>
      <w:r w:rsidR="006D3686">
        <w:rPr>
          <w:rFonts w:ascii="Arial" w:hAnsi="Arial" w:cs="Arial"/>
          <w:sz w:val="24"/>
        </w:rPr>
        <w:t>(‘the rules’),</w:t>
      </w:r>
      <w:r w:rsidRPr="000D6BFC">
        <w:rPr>
          <w:rFonts w:ascii="Arial" w:hAnsi="Arial" w:cs="Arial"/>
          <w:sz w:val="24"/>
        </w:rPr>
        <w:t xml:space="preserve"> by </w:t>
      </w:r>
      <w:r w:rsidR="00DC7470">
        <w:rPr>
          <w:rFonts w:ascii="Arial" w:hAnsi="Arial" w:cs="Arial"/>
          <w:sz w:val="24"/>
        </w:rPr>
        <w:t xml:space="preserve">failing to </w:t>
      </w:r>
      <w:r w:rsidRPr="000D6BFC">
        <w:rPr>
          <w:rFonts w:ascii="Arial" w:hAnsi="Arial" w:cs="Arial"/>
          <w:sz w:val="24"/>
        </w:rPr>
        <w:t>fi</w:t>
      </w:r>
      <w:r>
        <w:rPr>
          <w:rFonts w:ascii="Arial" w:hAnsi="Arial" w:cs="Arial"/>
          <w:sz w:val="24"/>
        </w:rPr>
        <w:t>l</w:t>
      </w:r>
      <w:r w:rsidR="00DC7470">
        <w:rPr>
          <w:rFonts w:ascii="Arial" w:hAnsi="Arial" w:cs="Arial"/>
          <w:sz w:val="24"/>
        </w:rPr>
        <w:t>e</w:t>
      </w:r>
      <w:r w:rsidRPr="000D6BFC">
        <w:rPr>
          <w:rFonts w:ascii="Arial" w:hAnsi="Arial" w:cs="Arial"/>
          <w:sz w:val="24"/>
        </w:rPr>
        <w:t xml:space="preserve"> its </w:t>
      </w:r>
      <w:r w:rsidR="006D3686">
        <w:rPr>
          <w:rFonts w:ascii="Arial" w:hAnsi="Arial" w:cs="Arial"/>
          <w:sz w:val="24"/>
        </w:rPr>
        <w:t>n</w:t>
      </w:r>
      <w:r w:rsidRPr="000D6BFC">
        <w:rPr>
          <w:rFonts w:ascii="Arial" w:hAnsi="Arial" w:cs="Arial"/>
          <w:sz w:val="24"/>
        </w:rPr>
        <w:t>otice to amend</w:t>
      </w:r>
      <w:r w:rsidR="006D3686">
        <w:rPr>
          <w:rFonts w:ascii="Arial" w:hAnsi="Arial" w:cs="Arial"/>
          <w:sz w:val="24"/>
        </w:rPr>
        <w:t xml:space="preserve"> within a period of </w:t>
      </w:r>
      <w:r w:rsidR="00BA2373">
        <w:rPr>
          <w:rFonts w:ascii="Arial" w:hAnsi="Arial" w:cs="Arial"/>
          <w:sz w:val="24"/>
        </w:rPr>
        <w:t xml:space="preserve">ten </w:t>
      </w:r>
      <w:r w:rsidR="006D3686">
        <w:rPr>
          <w:rFonts w:ascii="Arial" w:hAnsi="Arial" w:cs="Arial"/>
          <w:sz w:val="24"/>
        </w:rPr>
        <w:t xml:space="preserve">days after the Registrar made available the record. </w:t>
      </w:r>
    </w:p>
    <w:p w14:paraId="5588187F" w14:textId="77777777" w:rsidR="00674081" w:rsidRDefault="00674081" w:rsidP="00674081">
      <w:pPr>
        <w:spacing w:after="0" w:line="360" w:lineRule="auto"/>
        <w:jc w:val="both"/>
        <w:rPr>
          <w:rFonts w:ascii="Arial" w:hAnsi="Arial" w:cs="Arial"/>
          <w:sz w:val="24"/>
          <w:szCs w:val="24"/>
        </w:rPr>
      </w:pPr>
    </w:p>
    <w:p w14:paraId="1CA47D68" w14:textId="350B6169" w:rsidR="004A2021" w:rsidRDefault="004A2021" w:rsidP="008B6AF5">
      <w:pPr>
        <w:shd w:val="clear" w:color="auto" w:fill="FFFFFF"/>
        <w:spacing w:after="0" w:line="360" w:lineRule="auto"/>
        <w:jc w:val="both"/>
        <w:rPr>
          <w:rFonts w:ascii="Arial" w:eastAsia="Times New Roman" w:hAnsi="Arial" w:cs="Arial"/>
          <w:sz w:val="24"/>
          <w:szCs w:val="24"/>
          <w:lang w:val="en-US" w:eastAsia="en-ZA"/>
        </w:rPr>
      </w:pPr>
      <w:r w:rsidRPr="004A2021">
        <w:rPr>
          <w:rFonts w:ascii="Arial" w:eastAsia="Times New Roman" w:hAnsi="Arial" w:cs="Arial"/>
          <w:sz w:val="24"/>
          <w:szCs w:val="24"/>
          <w:lang w:val="en-US" w:eastAsia="en-ZA"/>
        </w:rPr>
        <w:t>[</w:t>
      </w:r>
      <w:r w:rsidR="006D3686">
        <w:rPr>
          <w:rFonts w:ascii="Arial" w:eastAsia="Times New Roman" w:hAnsi="Arial" w:cs="Arial"/>
          <w:sz w:val="24"/>
          <w:szCs w:val="24"/>
          <w:lang w:val="en-US" w:eastAsia="en-ZA"/>
        </w:rPr>
        <w:t>1</w:t>
      </w:r>
      <w:r w:rsidR="00464D93">
        <w:rPr>
          <w:rFonts w:ascii="Arial" w:eastAsia="Times New Roman" w:hAnsi="Arial" w:cs="Arial"/>
          <w:sz w:val="24"/>
          <w:szCs w:val="24"/>
          <w:lang w:val="en-US" w:eastAsia="en-ZA"/>
        </w:rPr>
        <w:t>6</w:t>
      </w:r>
      <w:r w:rsidRPr="004A2021">
        <w:rPr>
          <w:rFonts w:ascii="Arial" w:eastAsia="Times New Roman" w:hAnsi="Arial" w:cs="Arial"/>
          <w:sz w:val="24"/>
          <w:szCs w:val="24"/>
          <w:lang w:val="en-US" w:eastAsia="en-ZA"/>
        </w:rPr>
        <w:t>]</w:t>
      </w:r>
      <w:r w:rsidR="00464D93">
        <w:rPr>
          <w:rFonts w:ascii="Arial" w:eastAsia="Times New Roman" w:hAnsi="Arial" w:cs="Arial"/>
          <w:sz w:val="24"/>
          <w:szCs w:val="24"/>
          <w:lang w:val="en-US" w:eastAsia="en-ZA"/>
        </w:rPr>
        <w:tab/>
      </w:r>
      <w:r>
        <w:rPr>
          <w:rFonts w:ascii="Arial" w:eastAsia="Times New Roman" w:hAnsi="Arial" w:cs="Arial"/>
          <w:sz w:val="24"/>
          <w:szCs w:val="24"/>
          <w:lang w:val="en-US" w:eastAsia="en-ZA"/>
        </w:rPr>
        <w:t>Ms Kemp</w:t>
      </w:r>
      <w:r w:rsidRPr="004A2021">
        <w:rPr>
          <w:rFonts w:ascii="Arial" w:eastAsia="Times New Roman" w:hAnsi="Arial" w:cs="Arial"/>
          <w:sz w:val="24"/>
          <w:szCs w:val="24"/>
          <w:lang w:val="en-US" w:eastAsia="en-ZA"/>
        </w:rPr>
        <w:t xml:space="preserve"> </w:t>
      </w:r>
      <w:r w:rsidR="006D3686">
        <w:rPr>
          <w:rFonts w:ascii="Arial" w:eastAsia="Times New Roman" w:hAnsi="Arial" w:cs="Arial"/>
          <w:sz w:val="24"/>
          <w:szCs w:val="24"/>
          <w:lang w:val="en-US" w:eastAsia="en-ZA"/>
        </w:rPr>
        <w:t xml:space="preserve">counsel for the appellant </w:t>
      </w:r>
      <w:r w:rsidRPr="004A2021">
        <w:rPr>
          <w:rFonts w:ascii="Arial" w:eastAsia="Times New Roman" w:hAnsi="Arial" w:cs="Arial"/>
          <w:sz w:val="24"/>
          <w:szCs w:val="24"/>
          <w:lang w:val="en-US" w:eastAsia="en-ZA"/>
        </w:rPr>
        <w:t xml:space="preserve">took issue with the </w:t>
      </w:r>
      <w:r w:rsidR="006D3686" w:rsidRPr="004A2021">
        <w:rPr>
          <w:rFonts w:ascii="Arial" w:eastAsia="Times New Roman" w:hAnsi="Arial" w:cs="Arial"/>
          <w:sz w:val="24"/>
          <w:szCs w:val="24"/>
          <w:lang w:val="en-US" w:eastAsia="en-ZA"/>
        </w:rPr>
        <w:t xml:space="preserve">respondents’ </w:t>
      </w:r>
      <w:r w:rsidR="006D3686">
        <w:rPr>
          <w:rFonts w:ascii="Arial" w:eastAsia="Times New Roman" w:hAnsi="Arial" w:cs="Arial"/>
          <w:sz w:val="24"/>
          <w:szCs w:val="24"/>
          <w:lang w:val="en-US" w:eastAsia="en-ZA"/>
        </w:rPr>
        <w:t xml:space="preserve">alleged </w:t>
      </w:r>
      <w:r w:rsidRPr="004A2021">
        <w:rPr>
          <w:rFonts w:ascii="Arial" w:eastAsia="Times New Roman" w:hAnsi="Arial" w:cs="Arial"/>
          <w:sz w:val="24"/>
          <w:szCs w:val="24"/>
          <w:lang w:val="en-US" w:eastAsia="en-ZA"/>
        </w:rPr>
        <w:t>non-compliance with rule 17(16</w:t>
      </w:r>
      <w:r w:rsidR="006D3686" w:rsidRPr="004A2021">
        <w:rPr>
          <w:rFonts w:ascii="Arial" w:eastAsia="Times New Roman" w:hAnsi="Arial" w:cs="Arial"/>
          <w:sz w:val="24"/>
          <w:szCs w:val="24"/>
          <w:lang w:val="en-US" w:eastAsia="en-ZA"/>
        </w:rPr>
        <w:t>)</w:t>
      </w:r>
      <w:r w:rsidR="006D3686" w:rsidRPr="004A2021">
        <w:rPr>
          <w:rFonts w:ascii="Arial" w:eastAsia="Times New Roman" w:hAnsi="Arial" w:cs="Arial"/>
          <w:i/>
          <w:iCs/>
          <w:sz w:val="24"/>
          <w:szCs w:val="24"/>
          <w:lang w:val="en-US" w:eastAsia="en-ZA"/>
        </w:rPr>
        <w:t>(</w:t>
      </w:r>
      <w:r w:rsidRPr="004A2021">
        <w:rPr>
          <w:rFonts w:ascii="Arial" w:eastAsia="Times New Roman" w:hAnsi="Arial" w:cs="Arial"/>
          <w:i/>
          <w:iCs/>
          <w:sz w:val="24"/>
          <w:szCs w:val="24"/>
          <w:lang w:val="en-US" w:eastAsia="en-ZA"/>
        </w:rPr>
        <w:t>b)</w:t>
      </w:r>
      <w:r w:rsidRPr="004A2021">
        <w:rPr>
          <w:rFonts w:ascii="Arial" w:eastAsia="Times New Roman" w:hAnsi="Arial" w:cs="Arial"/>
          <w:sz w:val="24"/>
          <w:szCs w:val="24"/>
          <w:lang w:val="en-US" w:eastAsia="en-ZA"/>
        </w:rPr>
        <w:t xml:space="preserve">and invited the court to consequently strike out the grounds of opposition filed by the respondents and for the appeal to be heard unopposed. </w:t>
      </w:r>
      <w:r w:rsidR="006D3686">
        <w:rPr>
          <w:rFonts w:ascii="Arial" w:eastAsia="Times New Roman" w:hAnsi="Arial" w:cs="Arial"/>
          <w:sz w:val="24"/>
          <w:szCs w:val="24"/>
          <w:lang w:val="en-US" w:eastAsia="en-ZA"/>
        </w:rPr>
        <w:t>Ms Kandjella counsel for the respondent</w:t>
      </w:r>
      <w:r w:rsidRPr="004A2021">
        <w:rPr>
          <w:rFonts w:ascii="Arial" w:eastAsia="Times New Roman" w:hAnsi="Arial" w:cs="Arial"/>
          <w:sz w:val="24"/>
          <w:szCs w:val="24"/>
          <w:lang w:val="en-US" w:eastAsia="en-ZA"/>
        </w:rPr>
        <w:t xml:space="preserve"> submitted contrariwise.</w:t>
      </w:r>
    </w:p>
    <w:p w14:paraId="2C120099" w14:textId="77777777" w:rsidR="00674081" w:rsidRDefault="00674081" w:rsidP="008B6AF5">
      <w:pPr>
        <w:shd w:val="clear" w:color="auto" w:fill="FFFFFF"/>
        <w:spacing w:after="0" w:line="360" w:lineRule="auto"/>
        <w:jc w:val="both"/>
        <w:rPr>
          <w:rFonts w:ascii="Arial" w:eastAsia="Times New Roman" w:hAnsi="Arial" w:cs="Arial"/>
          <w:sz w:val="24"/>
          <w:szCs w:val="24"/>
          <w:lang w:val="en-US" w:eastAsia="en-ZA"/>
        </w:rPr>
      </w:pPr>
    </w:p>
    <w:p w14:paraId="6D6BC031" w14:textId="7DF1593A" w:rsidR="00E34E2B" w:rsidRDefault="006D3686" w:rsidP="008B6AF5">
      <w:pPr>
        <w:shd w:val="clear" w:color="auto" w:fill="FFFFFF"/>
        <w:spacing w:after="0" w:line="360" w:lineRule="auto"/>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[1</w:t>
      </w:r>
      <w:r w:rsidR="00C038D1">
        <w:rPr>
          <w:rFonts w:ascii="Arial" w:eastAsia="Times New Roman" w:hAnsi="Arial" w:cs="Arial"/>
          <w:sz w:val="24"/>
          <w:szCs w:val="24"/>
          <w:lang w:val="en-US" w:eastAsia="en-ZA"/>
        </w:rPr>
        <w:t>7</w:t>
      </w:r>
      <w:r>
        <w:rPr>
          <w:rFonts w:ascii="Arial" w:eastAsia="Times New Roman" w:hAnsi="Arial" w:cs="Arial"/>
          <w:sz w:val="24"/>
          <w:szCs w:val="24"/>
          <w:lang w:val="en-US" w:eastAsia="en-ZA"/>
        </w:rPr>
        <w:t>]</w:t>
      </w:r>
      <w:r>
        <w:rPr>
          <w:rFonts w:ascii="Arial" w:eastAsia="Times New Roman" w:hAnsi="Arial" w:cs="Arial"/>
          <w:sz w:val="24"/>
          <w:szCs w:val="24"/>
          <w:lang w:val="en-US" w:eastAsia="en-ZA"/>
        </w:rPr>
        <w:tab/>
        <w:t>Ms Kandjella in her response to the heads of arguments filed by the counsel for the appellant took issue with the appellant</w:t>
      </w:r>
      <w:r w:rsidR="00D30BF5">
        <w:rPr>
          <w:rFonts w:ascii="Arial" w:eastAsia="Times New Roman" w:hAnsi="Arial" w:cs="Arial"/>
          <w:sz w:val="24"/>
          <w:szCs w:val="24"/>
          <w:lang w:val="en-US" w:eastAsia="en-ZA"/>
        </w:rPr>
        <w:t>’s</w:t>
      </w:r>
      <w:r>
        <w:rPr>
          <w:rFonts w:ascii="Arial" w:eastAsia="Times New Roman" w:hAnsi="Arial" w:cs="Arial"/>
          <w:sz w:val="24"/>
          <w:szCs w:val="24"/>
          <w:lang w:val="en-US" w:eastAsia="en-ZA"/>
        </w:rPr>
        <w:t xml:space="preserve"> alleged failure to provide authority that it is authorised to lodge the appeal.</w:t>
      </w:r>
      <w:r w:rsidRPr="006D3686">
        <w:rPr>
          <w:rFonts w:ascii="Arial" w:eastAsia="Times New Roman" w:hAnsi="Arial" w:cs="Arial"/>
          <w:sz w:val="24"/>
          <w:szCs w:val="24"/>
          <w:lang w:val="en-US" w:eastAsia="en-ZA"/>
        </w:rPr>
        <w:t xml:space="preserve"> </w:t>
      </w:r>
      <w:r>
        <w:rPr>
          <w:rFonts w:ascii="Arial" w:eastAsia="Times New Roman" w:hAnsi="Arial" w:cs="Arial"/>
          <w:sz w:val="24"/>
          <w:szCs w:val="24"/>
          <w:lang w:val="en-US" w:eastAsia="en-ZA"/>
        </w:rPr>
        <w:t>Ms Kemp counsel for the respondent</w:t>
      </w:r>
      <w:r w:rsidRPr="004A2021">
        <w:rPr>
          <w:rFonts w:ascii="Arial" w:eastAsia="Times New Roman" w:hAnsi="Arial" w:cs="Arial"/>
          <w:sz w:val="24"/>
          <w:szCs w:val="24"/>
          <w:lang w:val="en-US" w:eastAsia="en-ZA"/>
        </w:rPr>
        <w:t xml:space="preserve"> submitted contrariwise</w:t>
      </w:r>
      <w:r w:rsidR="00E34E2B">
        <w:rPr>
          <w:rFonts w:ascii="Arial" w:eastAsia="Times New Roman" w:hAnsi="Arial" w:cs="Arial"/>
          <w:sz w:val="24"/>
          <w:szCs w:val="24"/>
          <w:lang w:val="en-US" w:eastAsia="en-ZA"/>
        </w:rPr>
        <w:t>.</w:t>
      </w:r>
    </w:p>
    <w:p w14:paraId="49ADBBBB" w14:textId="77777777" w:rsidR="00674081" w:rsidRDefault="00674081" w:rsidP="008B6AF5">
      <w:pPr>
        <w:shd w:val="clear" w:color="auto" w:fill="FFFFFF"/>
        <w:spacing w:after="0" w:line="360" w:lineRule="auto"/>
        <w:jc w:val="both"/>
        <w:rPr>
          <w:rFonts w:ascii="Arial" w:eastAsia="Times New Roman" w:hAnsi="Arial" w:cs="Arial"/>
          <w:sz w:val="24"/>
          <w:szCs w:val="24"/>
          <w:lang w:val="en-US" w:eastAsia="en-ZA"/>
        </w:rPr>
      </w:pPr>
    </w:p>
    <w:p w14:paraId="59B90798" w14:textId="732028BA" w:rsidR="00E34E2B" w:rsidRPr="004A2021" w:rsidRDefault="00E34E2B" w:rsidP="00674081">
      <w:pPr>
        <w:shd w:val="clear" w:color="auto" w:fill="FFFFFF"/>
        <w:spacing w:after="0" w:line="360" w:lineRule="auto"/>
        <w:jc w:val="both"/>
        <w:rPr>
          <w:rFonts w:ascii="Arial" w:eastAsia="Times New Roman" w:hAnsi="Arial" w:cs="Arial"/>
          <w:sz w:val="21"/>
          <w:szCs w:val="21"/>
          <w:lang w:eastAsia="en-ZA"/>
        </w:rPr>
      </w:pPr>
      <w:r>
        <w:rPr>
          <w:rFonts w:ascii="Arial" w:eastAsia="Times New Roman" w:hAnsi="Arial" w:cs="Arial"/>
          <w:sz w:val="24"/>
          <w:szCs w:val="24"/>
          <w:lang w:val="en-US" w:eastAsia="en-ZA"/>
        </w:rPr>
        <w:t>[1</w:t>
      </w:r>
      <w:r w:rsidR="00C038D1">
        <w:rPr>
          <w:rFonts w:ascii="Arial" w:eastAsia="Times New Roman" w:hAnsi="Arial" w:cs="Arial"/>
          <w:sz w:val="24"/>
          <w:szCs w:val="24"/>
          <w:lang w:val="en-US" w:eastAsia="en-ZA"/>
        </w:rPr>
        <w:t>8</w:t>
      </w:r>
      <w:r>
        <w:rPr>
          <w:rFonts w:ascii="Arial" w:eastAsia="Times New Roman" w:hAnsi="Arial" w:cs="Arial"/>
          <w:sz w:val="24"/>
          <w:szCs w:val="24"/>
          <w:lang w:val="en-US" w:eastAsia="en-ZA"/>
        </w:rPr>
        <w:t>]</w:t>
      </w:r>
      <w:r>
        <w:rPr>
          <w:rFonts w:ascii="Arial" w:eastAsia="Times New Roman" w:hAnsi="Arial" w:cs="Arial"/>
          <w:sz w:val="24"/>
          <w:szCs w:val="24"/>
          <w:lang w:val="en-US" w:eastAsia="en-ZA"/>
        </w:rPr>
        <w:tab/>
      </w:r>
      <w:r w:rsidRPr="00E34E2B">
        <w:rPr>
          <w:rFonts w:ascii="Arial" w:eastAsia="Times New Roman" w:hAnsi="Arial" w:cs="Arial"/>
          <w:sz w:val="24"/>
          <w:szCs w:val="24"/>
          <w:shd w:val="clear" w:color="auto" w:fill="FFFFFF"/>
          <w:lang w:eastAsia="en-ZA"/>
        </w:rPr>
        <w:t xml:space="preserve">The court deemed it </w:t>
      </w:r>
      <w:r w:rsidR="00380008">
        <w:rPr>
          <w:rFonts w:ascii="Arial" w:eastAsia="Times New Roman" w:hAnsi="Arial" w:cs="Arial"/>
          <w:sz w:val="24"/>
          <w:szCs w:val="24"/>
          <w:shd w:val="clear" w:color="auto" w:fill="FFFFFF"/>
          <w:lang w:eastAsia="en-ZA"/>
        </w:rPr>
        <w:t>crucial</w:t>
      </w:r>
      <w:r w:rsidRPr="00E34E2B">
        <w:rPr>
          <w:rFonts w:ascii="Arial" w:eastAsia="Times New Roman" w:hAnsi="Arial" w:cs="Arial"/>
          <w:sz w:val="24"/>
          <w:szCs w:val="24"/>
          <w:shd w:val="clear" w:color="auto" w:fill="FFFFFF"/>
          <w:lang w:eastAsia="en-ZA"/>
        </w:rPr>
        <w:t xml:space="preserve"> to deal with </w:t>
      </w:r>
      <w:r w:rsidR="00380008">
        <w:rPr>
          <w:rFonts w:ascii="Arial" w:eastAsia="Times New Roman" w:hAnsi="Arial" w:cs="Arial"/>
          <w:sz w:val="24"/>
          <w:szCs w:val="24"/>
          <w:shd w:val="clear" w:color="auto" w:fill="FFFFFF"/>
          <w:lang w:eastAsia="en-ZA"/>
        </w:rPr>
        <w:t xml:space="preserve">the above </w:t>
      </w:r>
      <w:r w:rsidR="00380008" w:rsidRPr="00E34E2B">
        <w:rPr>
          <w:rFonts w:ascii="Arial" w:eastAsia="Times New Roman" w:hAnsi="Arial" w:cs="Arial"/>
          <w:sz w:val="24"/>
          <w:szCs w:val="24"/>
          <w:shd w:val="clear" w:color="auto" w:fill="FFFFFF"/>
          <w:lang w:eastAsia="en-ZA"/>
        </w:rPr>
        <w:t>points</w:t>
      </w:r>
      <w:r w:rsidRPr="00E34E2B">
        <w:rPr>
          <w:rFonts w:ascii="Arial" w:eastAsia="Times New Roman" w:hAnsi="Arial" w:cs="Arial"/>
          <w:sz w:val="24"/>
          <w:szCs w:val="24"/>
          <w:shd w:val="clear" w:color="auto" w:fill="FFFFFF"/>
          <w:lang w:eastAsia="en-ZA"/>
        </w:rPr>
        <w:t xml:space="preserve"> </w:t>
      </w:r>
      <w:r w:rsidRPr="00E34E2B">
        <w:rPr>
          <w:rFonts w:ascii="Arial" w:eastAsia="Times New Roman" w:hAnsi="Arial" w:cs="Arial"/>
          <w:i/>
          <w:sz w:val="24"/>
          <w:szCs w:val="24"/>
          <w:shd w:val="clear" w:color="auto" w:fill="FFFFFF"/>
          <w:lang w:eastAsia="en-ZA"/>
        </w:rPr>
        <w:t>in limine</w:t>
      </w:r>
      <w:r w:rsidRPr="00E34E2B">
        <w:rPr>
          <w:rFonts w:ascii="Arial" w:eastAsia="Times New Roman" w:hAnsi="Arial" w:cs="Arial"/>
          <w:sz w:val="24"/>
          <w:szCs w:val="24"/>
          <w:shd w:val="clear" w:color="auto" w:fill="FFFFFF"/>
          <w:lang w:eastAsia="en-ZA"/>
        </w:rPr>
        <w:t xml:space="preserve"> which might also have an impact on the</w:t>
      </w:r>
      <w:r w:rsidR="00380008">
        <w:rPr>
          <w:rFonts w:ascii="Arial" w:eastAsia="Times New Roman" w:hAnsi="Arial" w:cs="Arial"/>
          <w:sz w:val="24"/>
          <w:szCs w:val="24"/>
          <w:shd w:val="clear" w:color="auto" w:fill="FFFFFF"/>
          <w:lang w:eastAsia="en-ZA"/>
        </w:rPr>
        <w:t xml:space="preserve"> further conduct of the matter. I will therefore discuss them under the following headings:</w:t>
      </w:r>
      <w:r w:rsidRPr="00E34E2B">
        <w:rPr>
          <w:rFonts w:ascii="Arial" w:eastAsia="Times New Roman" w:hAnsi="Arial" w:cs="Arial"/>
          <w:sz w:val="24"/>
          <w:szCs w:val="24"/>
          <w:shd w:val="clear" w:color="auto" w:fill="FFFFFF"/>
          <w:lang w:eastAsia="en-ZA"/>
        </w:rPr>
        <w:t xml:space="preserve"> </w:t>
      </w:r>
    </w:p>
    <w:p w14:paraId="2A652C5C" w14:textId="77777777" w:rsidR="00E34E2B" w:rsidRPr="00380008" w:rsidRDefault="00E34E2B" w:rsidP="00807911">
      <w:pPr>
        <w:pStyle w:val="ListParagraph"/>
        <w:numPr>
          <w:ilvl w:val="0"/>
          <w:numId w:val="23"/>
        </w:numPr>
        <w:shd w:val="clear" w:color="auto" w:fill="FFFFFF"/>
        <w:spacing w:after="240" w:line="360" w:lineRule="auto"/>
        <w:ind w:firstLine="0"/>
        <w:jc w:val="both"/>
        <w:rPr>
          <w:rFonts w:ascii="Lato" w:hAnsi="Lato"/>
          <w:sz w:val="21"/>
          <w:szCs w:val="21"/>
          <w:lang w:eastAsia="en-ZA"/>
        </w:rPr>
      </w:pPr>
      <w:r w:rsidRPr="00380008">
        <w:rPr>
          <w:rFonts w:ascii="Arial" w:hAnsi="Arial" w:cs="Arial"/>
          <w:lang w:eastAsia="en-ZA"/>
        </w:rPr>
        <w:t>The appellant’s application for condonation for late filing of the notice to amend the notice of appeal</w:t>
      </w:r>
      <w:r w:rsidR="00D30BF5">
        <w:rPr>
          <w:rFonts w:ascii="Arial" w:hAnsi="Arial" w:cs="Arial"/>
          <w:lang w:eastAsia="en-ZA"/>
        </w:rPr>
        <w:t>;</w:t>
      </w:r>
    </w:p>
    <w:p w14:paraId="06638C9C" w14:textId="3908CB2A" w:rsidR="00E34E2B" w:rsidRPr="00807911" w:rsidRDefault="00E34E2B" w:rsidP="00807911">
      <w:pPr>
        <w:pStyle w:val="ListParagraph"/>
        <w:numPr>
          <w:ilvl w:val="0"/>
          <w:numId w:val="23"/>
        </w:numPr>
        <w:shd w:val="clear" w:color="auto" w:fill="FFFFFF"/>
        <w:spacing w:after="240" w:line="360" w:lineRule="auto"/>
        <w:ind w:firstLine="0"/>
        <w:jc w:val="both"/>
        <w:rPr>
          <w:rFonts w:ascii="Arial" w:hAnsi="Arial" w:cs="Arial"/>
          <w:iCs/>
          <w:lang w:eastAsia="en-ZA"/>
        </w:rPr>
      </w:pPr>
      <w:r w:rsidRPr="00380008">
        <w:rPr>
          <w:rFonts w:ascii="Arial" w:hAnsi="Arial" w:cs="Arial"/>
          <w:lang w:eastAsia="en-ZA"/>
        </w:rPr>
        <w:t>Respondent</w:t>
      </w:r>
      <w:r w:rsidR="00D30BF5">
        <w:rPr>
          <w:rFonts w:ascii="Arial" w:hAnsi="Arial" w:cs="Arial"/>
          <w:lang w:eastAsia="en-ZA"/>
        </w:rPr>
        <w:t>’s</w:t>
      </w:r>
      <w:r w:rsidRPr="00380008">
        <w:rPr>
          <w:rFonts w:ascii="Arial" w:hAnsi="Arial" w:cs="Arial"/>
          <w:lang w:eastAsia="en-ZA"/>
        </w:rPr>
        <w:t xml:space="preserve"> </w:t>
      </w:r>
      <w:r w:rsidR="007E7259">
        <w:rPr>
          <w:rFonts w:ascii="Arial" w:hAnsi="Arial" w:cs="Arial"/>
          <w:lang w:eastAsia="en-ZA"/>
        </w:rPr>
        <w:t xml:space="preserve">alleged </w:t>
      </w:r>
      <w:r w:rsidRPr="00380008">
        <w:rPr>
          <w:rFonts w:ascii="Arial" w:hAnsi="Arial" w:cs="Arial"/>
          <w:lang w:eastAsia="en-ZA"/>
        </w:rPr>
        <w:t>non-compliance with rule 17(16)</w:t>
      </w:r>
      <w:r w:rsidRPr="00380008">
        <w:rPr>
          <w:rFonts w:ascii="Arial" w:hAnsi="Arial" w:cs="Arial"/>
          <w:i/>
          <w:iCs/>
          <w:lang w:eastAsia="en-ZA"/>
        </w:rPr>
        <w:t>(b)</w:t>
      </w:r>
      <w:r w:rsidR="007E7259">
        <w:rPr>
          <w:rFonts w:ascii="Arial" w:hAnsi="Arial" w:cs="Arial"/>
          <w:i/>
          <w:iCs/>
          <w:lang w:eastAsia="en-ZA"/>
        </w:rPr>
        <w:t xml:space="preserve"> </w:t>
      </w:r>
      <w:r w:rsidR="007E7259" w:rsidRPr="00807911">
        <w:rPr>
          <w:rFonts w:ascii="Arial" w:hAnsi="Arial" w:cs="Arial"/>
          <w:iCs/>
          <w:lang w:eastAsia="en-ZA"/>
        </w:rPr>
        <w:t>of the Labour Court Rules</w:t>
      </w:r>
      <w:r w:rsidR="00D30BF5">
        <w:rPr>
          <w:rFonts w:ascii="Arial" w:hAnsi="Arial" w:cs="Arial"/>
          <w:iCs/>
          <w:lang w:eastAsia="en-ZA"/>
        </w:rPr>
        <w:t>; and</w:t>
      </w:r>
    </w:p>
    <w:p w14:paraId="3415DF37" w14:textId="38BCAB6A" w:rsidR="00D97CC0" w:rsidRDefault="00D97CC0" w:rsidP="007520C0">
      <w:pPr>
        <w:pStyle w:val="ListParagraph"/>
        <w:numPr>
          <w:ilvl w:val="0"/>
          <w:numId w:val="23"/>
        </w:numPr>
        <w:shd w:val="clear" w:color="auto" w:fill="FFFFFF"/>
        <w:spacing w:line="360" w:lineRule="auto"/>
        <w:ind w:firstLine="0"/>
        <w:jc w:val="both"/>
        <w:rPr>
          <w:rFonts w:ascii="Arial" w:hAnsi="Arial" w:cs="Arial"/>
          <w:lang w:val="af-ZA" w:eastAsia="en-ZA"/>
        </w:rPr>
      </w:pPr>
      <w:r w:rsidRPr="00D97CC0">
        <w:rPr>
          <w:rFonts w:ascii="Arial" w:hAnsi="Arial" w:cs="Arial"/>
          <w:lang w:val="af-ZA" w:eastAsia="en-ZA"/>
        </w:rPr>
        <w:t>Appellant</w:t>
      </w:r>
      <w:r w:rsidR="00D30BF5">
        <w:rPr>
          <w:rFonts w:ascii="Arial" w:hAnsi="Arial" w:cs="Arial"/>
          <w:lang w:val="af-ZA" w:eastAsia="en-ZA"/>
        </w:rPr>
        <w:t>’s</w:t>
      </w:r>
      <w:r w:rsidRPr="00D97CC0">
        <w:rPr>
          <w:rFonts w:ascii="Arial" w:hAnsi="Arial" w:cs="Arial"/>
          <w:lang w:val="af-ZA" w:eastAsia="en-ZA"/>
        </w:rPr>
        <w:t xml:space="preserve"> alledged failure to provide evidence that it authorised and it had given the necessary resolve to lodge this appeal.</w:t>
      </w:r>
    </w:p>
    <w:p w14:paraId="462110B4" w14:textId="77777777" w:rsidR="00D97CC0" w:rsidRPr="00D97CC0" w:rsidRDefault="00D97CC0" w:rsidP="007520C0">
      <w:pPr>
        <w:pStyle w:val="ListParagraph"/>
        <w:shd w:val="clear" w:color="auto" w:fill="FFFFFF"/>
        <w:spacing w:line="360" w:lineRule="auto"/>
        <w:jc w:val="both"/>
        <w:rPr>
          <w:rFonts w:ascii="Arial" w:hAnsi="Arial" w:cs="Arial"/>
          <w:lang w:val="af-ZA" w:eastAsia="en-ZA"/>
        </w:rPr>
      </w:pPr>
    </w:p>
    <w:p w14:paraId="7D8AAD6B" w14:textId="240C6D77" w:rsidR="00AC11BC" w:rsidRDefault="00AC11BC" w:rsidP="000B6480">
      <w:pPr>
        <w:spacing w:after="0" w:line="360" w:lineRule="auto"/>
        <w:jc w:val="both"/>
        <w:rPr>
          <w:rFonts w:ascii="Arial" w:hAnsi="Arial" w:cs="Arial"/>
          <w:sz w:val="24"/>
        </w:rPr>
      </w:pPr>
      <w:r w:rsidRPr="00D97CC0">
        <w:rPr>
          <w:rFonts w:ascii="Arial" w:hAnsi="Arial" w:cs="Arial"/>
          <w:sz w:val="24"/>
          <w:lang w:eastAsia="en-ZA"/>
        </w:rPr>
        <w:t>[1</w:t>
      </w:r>
      <w:r w:rsidR="007520C0">
        <w:rPr>
          <w:rFonts w:ascii="Arial" w:hAnsi="Arial" w:cs="Arial"/>
          <w:sz w:val="24"/>
          <w:lang w:eastAsia="en-ZA"/>
        </w:rPr>
        <w:t>9</w:t>
      </w:r>
      <w:r w:rsidRPr="00D97CC0">
        <w:rPr>
          <w:rFonts w:ascii="Arial" w:hAnsi="Arial" w:cs="Arial"/>
          <w:sz w:val="24"/>
          <w:lang w:eastAsia="en-ZA"/>
        </w:rPr>
        <w:t>]</w:t>
      </w:r>
      <w:r w:rsidRPr="00D97CC0">
        <w:rPr>
          <w:rFonts w:ascii="Arial" w:hAnsi="Arial" w:cs="Arial"/>
          <w:sz w:val="24"/>
          <w:lang w:eastAsia="en-ZA"/>
        </w:rPr>
        <w:tab/>
      </w:r>
      <w:r w:rsidRPr="00D97CC0">
        <w:rPr>
          <w:rFonts w:ascii="Arial" w:hAnsi="Arial" w:cs="Arial"/>
          <w:sz w:val="24"/>
        </w:rPr>
        <w:t xml:space="preserve">At this juncture I opt to set the judgment in motion by considering the points </w:t>
      </w:r>
      <w:r w:rsidRPr="00D97CC0">
        <w:rPr>
          <w:rFonts w:ascii="Arial" w:hAnsi="Arial" w:cs="Arial"/>
          <w:i/>
          <w:iCs/>
          <w:sz w:val="24"/>
        </w:rPr>
        <w:t>in limine</w:t>
      </w:r>
      <w:r w:rsidRPr="00D97CC0">
        <w:rPr>
          <w:rFonts w:ascii="Arial" w:hAnsi="Arial" w:cs="Arial"/>
          <w:sz w:val="24"/>
        </w:rPr>
        <w:t xml:space="preserve"> raised by the appellant and respondent. </w:t>
      </w:r>
    </w:p>
    <w:p w14:paraId="0BD02A8D" w14:textId="77777777" w:rsidR="007520C0" w:rsidRPr="00D97CC0" w:rsidRDefault="007520C0" w:rsidP="000B6480">
      <w:pPr>
        <w:spacing w:after="0" w:line="360" w:lineRule="auto"/>
        <w:jc w:val="both"/>
        <w:rPr>
          <w:rFonts w:ascii="Arial" w:hAnsi="Arial" w:cs="Arial"/>
          <w:sz w:val="24"/>
        </w:rPr>
      </w:pPr>
    </w:p>
    <w:p w14:paraId="4C2BCE84" w14:textId="77777777" w:rsidR="00523A60" w:rsidRDefault="00523A60" w:rsidP="003C6446">
      <w:pPr>
        <w:shd w:val="clear" w:color="auto" w:fill="FFFFFF"/>
        <w:spacing w:after="0" w:line="360" w:lineRule="auto"/>
        <w:jc w:val="both"/>
        <w:rPr>
          <w:rFonts w:ascii="Arial" w:hAnsi="Arial" w:cs="Arial"/>
          <w:sz w:val="24"/>
          <w:szCs w:val="24"/>
          <w:u w:val="single"/>
          <w:lang w:eastAsia="en-ZA"/>
        </w:rPr>
      </w:pPr>
      <w:r w:rsidRPr="00685C34">
        <w:rPr>
          <w:rFonts w:ascii="Arial" w:hAnsi="Arial" w:cs="Arial"/>
          <w:sz w:val="24"/>
          <w:szCs w:val="24"/>
          <w:u w:val="single"/>
          <w:lang w:eastAsia="en-ZA"/>
        </w:rPr>
        <w:t>Discussion</w:t>
      </w:r>
    </w:p>
    <w:p w14:paraId="216DE9F9" w14:textId="77777777" w:rsidR="003C6446" w:rsidRPr="00685C34" w:rsidRDefault="003C6446" w:rsidP="003C6446">
      <w:pPr>
        <w:shd w:val="clear" w:color="auto" w:fill="FFFFFF"/>
        <w:spacing w:after="0" w:line="360" w:lineRule="auto"/>
        <w:jc w:val="both"/>
        <w:rPr>
          <w:rFonts w:ascii="Arial" w:hAnsi="Arial" w:cs="Arial"/>
          <w:sz w:val="24"/>
          <w:szCs w:val="24"/>
          <w:u w:val="single"/>
          <w:lang w:eastAsia="en-ZA"/>
        </w:rPr>
      </w:pPr>
    </w:p>
    <w:p w14:paraId="479E867A" w14:textId="77777777" w:rsidR="00380008" w:rsidRDefault="00380008" w:rsidP="00814556">
      <w:pPr>
        <w:shd w:val="clear" w:color="auto" w:fill="FFFFFF"/>
        <w:spacing w:after="0" w:line="360" w:lineRule="auto"/>
        <w:jc w:val="both"/>
        <w:rPr>
          <w:rFonts w:ascii="Arial" w:hAnsi="Arial" w:cs="Arial"/>
          <w:i/>
          <w:sz w:val="24"/>
          <w:lang w:eastAsia="en-ZA"/>
        </w:rPr>
      </w:pPr>
      <w:r w:rsidRPr="007520C0">
        <w:rPr>
          <w:rFonts w:ascii="Arial" w:hAnsi="Arial" w:cs="Arial"/>
          <w:i/>
          <w:sz w:val="24"/>
          <w:lang w:eastAsia="en-ZA"/>
        </w:rPr>
        <w:t>The appellant’s application for condonation for late filing of the notice to amend the notice of appeal</w:t>
      </w:r>
    </w:p>
    <w:p w14:paraId="10B5C51C" w14:textId="77777777" w:rsidR="003C6446" w:rsidRPr="007520C0" w:rsidRDefault="003C6446" w:rsidP="00317528">
      <w:pPr>
        <w:shd w:val="clear" w:color="auto" w:fill="FFFFFF"/>
        <w:spacing w:after="0" w:line="360" w:lineRule="auto"/>
        <w:jc w:val="both"/>
        <w:rPr>
          <w:rFonts w:ascii="Arial" w:hAnsi="Arial" w:cs="Arial"/>
          <w:i/>
          <w:sz w:val="24"/>
          <w:lang w:eastAsia="en-ZA"/>
        </w:rPr>
      </w:pPr>
    </w:p>
    <w:p w14:paraId="2799DF12" w14:textId="198D7901" w:rsidR="00B53F9A" w:rsidRDefault="00600836" w:rsidP="000B6480">
      <w:pPr>
        <w:shd w:val="clear" w:color="auto" w:fill="FFFFFF"/>
        <w:spacing w:after="0" w:line="360" w:lineRule="auto"/>
        <w:jc w:val="both"/>
        <w:rPr>
          <w:rFonts w:ascii="Arial" w:hAnsi="Arial" w:cs="Arial"/>
          <w:sz w:val="24"/>
          <w:szCs w:val="24"/>
          <w:lang w:eastAsia="en-ZA"/>
        </w:rPr>
      </w:pPr>
      <w:r>
        <w:rPr>
          <w:rFonts w:ascii="Arial" w:hAnsi="Arial" w:cs="Arial"/>
          <w:sz w:val="24"/>
          <w:lang w:eastAsia="en-ZA"/>
        </w:rPr>
        <w:t>[</w:t>
      </w:r>
      <w:r w:rsidR="005651D2">
        <w:rPr>
          <w:rFonts w:ascii="Arial" w:hAnsi="Arial" w:cs="Arial"/>
          <w:sz w:val="24"/>
          <w:lang w:eastAsia="en-ZA"/>
        </w:rPr>
        <w:t>20</w:t>
      </w:r>
      <w:r>
        <w:rPr>
          <w:rFonts w:ascii="Arial" w:hAnsi="Arial" w:cs="Arial"/>
          <w:sz w:val="24"/>
          <w:lang w:eastAsia="en-ZA"/>
        </w:rPr>
        <w:t>]</w:t>
      </w:r>
      <w:r>
        <w:rPr>
          <w:rFonts w:ascii="Arial" w:hAnsi="Arial" w:cs="Arial"/>
          <w:sz w:val="24"/>
          <w:lang w:eastAsia="en-ZA"/>
        </w:rPr>
        <w:tab/>
      </w:r>
      <w:r w:rsidR="00F847B6" w:rsidRPr="00F847B6">
        <w:rPr>
          <w:rFonts w:ascii="Arial" w:hAnsi="Arial" w:cs="Arial"/>
          <w:sz w:val="24"/>
          <w:szCs w:val="24"/>
          <w:lang w:eastAsia="en-ZA"/>
        </w:rPr>
        <w:t xml:space="preserve">It is </w:t>
      </w:r>
      <w:r w:rsidR="00F847B6">
        <w:rPr>
          <w:rFonts w:ascii="Arial" w:hAnsi="Arial" w:cs="Arial"/>
          <w:sz w:val="24"/>
          <w:szCs w:val="24"/>
          <w:lang w:eastAsia="en-ZA"/>
        </w:rPr>
        <w:t>necessary, in this regard, to deal with the relevant prov</w:t>
      </w:r>
      <w:r w:rsidR="00F847B6" w:rsidRPr="00F847B6">
        <w:rPr>
          <w:rFonts w:ascii="Arial" w:hAnsi="Arial" w:cs="Arial"/>
          <w:sz w:val="24"/>
          <w:szCs w:val="24"/>
          <w:lang w:eastAsia="en-ZA"/>
        </w:rPr>
        <w:t>i</w:t>
      </w:r>
      <w:r w:rsidR="00F847B6">
        <w:rPr>
          <w:rFonts w:ascii="Arial" w:hAnsi="Arial" w:cs="Arial"/>
          <w:sz w:val="24"/>
          <w:szCs w:val="24"/>
          <w:lang w:eastAsia="en-ZA"/>
        </w:rPr>
        <w:t xml:space="preserve">sions of the rules. </w:t>
      </w:r>
      <w:r w:rsidR="00F847B6" w:rsidRPr="00F847B6">
        <w:rPr>
          <w:rFonts w:ascii="Arial" w:hAnsi="Arial" w:cs="Arial"/>
          <w:sz w:val="24"/>
          <w:szCs w:val="24"/>
          <w:lang w:eastAsia="en-ZA"/>
        </w:rPr>
        <w:t xml:space="preserve">Rule 17(15) </w:t>
      </w:r>
      <w:r w:rsidR="009713E4">
        <w:rPr>
          <w:rFonts w:ascii="Arial" w:hAnsi="Arial" w:cs="Arial"/>
          <w:sz w:val="24"/>
          <w:szCs w:val="24"/>
          <w:lang w:eastAsia="en-ZA"/>
        </w:rPr>
        <w:t>requires an</w:t>
      </w:r>
      <w:r w:rsidR="00F847B6" w:rsidRPr="00F847B6">
        <w:rPr>
          <w:rFonts w:ascii="Arial" w:hAnsi="Arial" w:cs="Arial"/>
          <w:sz w:val="24"/>
          <w:szCs w:val="24"/>
        </w:rPr>
        <w:t xml:space="preserve"> appellant </w:t>
      </w:r>
      <w:r w:rsidR="009713E4">
        <w:rPr>
          <w:rFonts w:ascii="Arial" w:hAnsi="Arial" w:cs="Arial"/>
          <w:sz w:val="24"/>
          <w:szCs w:val="24"/>
        </w:rPr>
        <w:t xml:space="preserve">to file a notice to </w:t>
      </w:r>
      <w:r w:rsidR="009713E4" w:rsidRPr="00F847B6">
        <w:rPr>
          <w:rFonts w:ascii="Arial" w:hAnsi="Arial" w:cs="Arial"/>
          <w:sz w:val="24"/>
          <w:szCs w:val="24"/>
        </w:rPr>
        <w:t xml:space="preserve">amend, add to or vary the terms of </w:t>
      </w:r>
      <w:r w:rsidR="009713E4" w:rsidRPr="00F847B6">
        <w:rPr>
          <w:rFonts w:ascii="Arial" w:hAnsi="Arial" w:cs="Arial"/>
          <w:sz w:val="24"/>
          <w:szCs w:val="24"/>
        </w:rPr>
        <w:lastRenderedPageBreak/>
        <w:t xml:space="preserve">the notice of appeal </w:t>
      </w:r>
      <w:r w:rsidR="00F847B6" w:rsidRPr="00F847B6">
        <w:rPr>
          <w:rFonts w:ascii="Arial" w:hAnsi="Arial" w:cs="Arial"/>
          <w:sz w:val="24"/>
          <w:szCs w:val="24"/>
        </w:rPr>
        <w:t xml:space="preserve">within </w:t>
      </w:r>
      <w:r w:rsidR="00AD1204">
        <w:rPr>
          <w:rFonts w:ascii="Arial" w:hAnsi="Arial" w:cs="Arial"/>
          <w:sz w:val="24"/>
          <w:szCs w:val="24"/>
        </w:rPr>
        <w:t>ten</w:t>
      </w:r>
      <w:r w:rsidR="00AD1204" w:rsidRPr="00F847B6">
        <w:rPr>
          <w:rFonts w:ascii="Arial" w:hAnsi="Arial" w:cs="Arial"/>
          <w:sz w:val="24"/>
          <w:szCs w:val="24"/>
        </w:rPr>
        <w:t xml:space="preserve"> </w:t>
      </w:r>
      <w:r w:rsidR="00F847B6" w:rsidRPr="00F847B6">
        <w:rPr>
          <w:rFonts w:ascii="Arial" w:hAnsi="Arial" w:cs="Arial"/>
          <w:sz w:val="24"/>
          <w:szCs w:val="24"/>
        </w:rPr>
        <w:t>days after the registrar has made the record available to him or her.</w:t>
      </w:r>
      <w:r w:rsidR="009713E4">
        <w:rPr>
          <w:rFonts w:ascii="Arial" w:hAnsi="Arial" w:cs="Arial"/>
          <w:sz w:val="24"/>
          <w:szCs w:val="24"/>
          <w:lang w:eastAsia="en-ZA"/>
        </w:rPr>
        <w:t xml:space="preserve"> </w:t>
      </w:r>
    </w:p>
    <w:p w14:paraId="6DC65A39" w14:textId="77777777" w:rsidR="000B6480" w:rsidRDefault="000B6480" w:rsidP="000B6480">
      <w:pPr>
        <w:shd w:val="clear" w:color="auto" w:fill="FFFFFF"/>
        <w:spacing w:after="0" w:line="360" w:lineRule="auto"/>
        <w:jc w:val="both"/>
        <w:rPr>
          <w:rFonts w:ascii="Arial" w:hAnsi="Arial" w:cs="Arial"/>
          <w:sz w:val="24"/>
          <w:szCs w:val="24"/>
        </w:rPr>
      </w:pPr>
    </w:p>
    <w:p w14:paraId="550F8CD4" w14:textId="7775DD2F" w:rsidR="00B53F9A" w:rsidRDefault="00B53F9A" w:rsidP="00BD50D2">
      <w:pPr>
        <w:shd w:val="clear" w:color="auto" w:fill="FFFFFF"/>
        <w:spacing w:after="240" w:line="360" w:lineRule="auto"/>
        <w:jc w:val="both"/>
        <w:rPr>
          <w:rFonts w:ascii="Arial" w:hAnsi="Arial" w:cs="Arial"/>
          <w:sz w:val="24"/>
          <w:szCs w:val="24"/>
          <w:lang w:eastAsia="en-ZA"/>
        </w:rPr>
      </w:pPr>
      <w:r>
        <w:rPr>
          <w:rFonts w:ascii="Arial" w:hAnsi="Arial" w:cs="Arial"/>
          <w:sz w:val="24"/>
          <w:szCs w:val="24"/>
        </w:rPr>
        <w:t>[</w:t>
      </w:r>
      <w:r w:rsidR="008735E1">
        <w:rPr>
          <w:rFonts w:ascii="Arial" w:hAnsi="Arial" w:cs="Arial"/>
          <w:sz w:val="24"/>
          <w:szCs w:val="24"/>
        </w:rPr>
        <w:t>2</w:t>
      </w:r>
      <w:r w:rsidR="005651D2">
        <w:rPr>
          <w:rFonts w:ascii="Arial" w:hAnsi="Arial" w:cs="Arial"/>
          <w:sz w:val="24"/>
          <w:szCs w:val="24"/>
        </w:rPr>
        <w:t>1</w:t>
      </w:r>
      <w:r>
        <w:rPr>
          <w:rFonts w:ascii="Arial" w:hAnsi="Arial" w:cs="Arial"/>
          <w:sz w:val="24"/>
          <w:szCs w:val="24"/>
        </w:rPr>
        <w:t>]</w:t>
      </w:r>
      <w:r>
        <w:rPr>
          <w:rFonts w:ascii="Arial" w:hAnsi="Arial" w:cs="Arial"/>
          <w:sz w:val="24"/>
          <w:szCs w:val="24"/>
        </w:rPr>
        <w:tab/>
      </w:r>
      <w:r w:rsidRPr="00F847B6">
        <w:rPr>
          <w:rFonts w:ascii="Arial" w:hAnsi="Arial" w:cs="Arial"/>
          <w:sz w:val="24"/>
          <w:szCs w:val="24"/>
          <w:lang w:eastAsia="en-ZA"/>
        </w:rPr>
        <w:t>Rule 17(15)</w:t>
      </w:r>
      <w:r>
        <w:rPr>
          <w:rFonts w:ascii="Arial" w:hAnsi="Arial" w:cs="Arial"/>
          <w:sz w:val="24"/>
          <w:szCs w:val="24"/>
          <w:lang w:eastAsia="en-ZA"/>
        </w:rPr>
        <w:t xml:space="preserve"> states the following: </w:t>
      </w:r>
    </w:p>
    <w:p w14:paraId="509A924E" w14:textId="77777777" w:rsidR="00380008" w:rsidRDefault="00B53F9A" w:rsidP="00674081">
      <w:pPr>
        <w:shd w:val="clear" w:color="auto" w:fill="FFFFFF"/>
        <w:spacing w:after="0" w:line="360" w:lineRule="auto"/>
        <w:ind w:firstLine="720"/>
        <w:jc w:val="both"/>
        <w:rPr>
          <w:rFonts w:ascii="Arial" w:hAnsi="Arial" w:cs="Arial"/>
          <w:szCs w:val="24"/>
        </w:rPr>
      </w:pPr>
      <w:r>
        <w:rPr>
          <w:rFonts w:ascii="Arial" w:hAnsi="Arial" w:cs="Arial"/>
          <w:szCs w:val="24"/>
        </w:rPr>
        <w:t>‘</w:t>
      </w:r>
      <w:r w:rsidRPr="00B53F9A">
        <w:rPr>
          <w:rFonts w:ascii="Arial" w:hAnsi="Arial" w:cs="Arial"/>
          <w:szCs w:val="24"/>
        </w:rPr>
        <w:t>The appellant may within 10 days after the registrar has made the record available to him or her, by delivery of a notice, amend, add to or vary the terms of the notice of appeal.</w:t>
      </w:r>
      <w:r>
        <w:rPr>
          <w:rFonts w:ascii="Arial" w:hAnsi="Arial" w:cs="Arial"/>
          <w:szCs w:val="24"/>
        </w:rPr>
        <w:t>’</w:t>
      </w:r>
    </w:p>
    <w:p w14:paraId="2907E015" w14:textId="77777777" w:rsidR="00674081" w:rsidRDefault="00674081" w:rsidP="00674081">
      <w:pPr>
        <w:shd w:val="clear" w:color="auto" w:fill="FFFFFF"/>
        <w:spacing w:after="0" w:line="360" w:lineRule="auto"/>
        <w:ind w:firstLine="720"/>
        <w:jc w:val="both"/>
        <w:rPr>
          <w:rFonts w:ascii="Arial" w:hAnsi="Arial" w:cs="Arial"/>
          <w:szCs w:val="24"/>
          <w:lang w:eastAsia="en-ZA"/>
        </w:rPr>
      </w:pPr>
    </w:p>
    <w:p w14:paraId="54EBACC0" w14:textId="5FF2FEB7" w:rsidR="00B53F9A" w:rsidRDefault="00B53F9A" w:rsidP="00674081">
      <w:pPr>
        <w:shd w:val="clear" w:color="auto" w:fill="FFFFFF"/>
        <w:spacing w:after="0" w:line="360" w:lineRule="auto"/>
        <w:jc w:val="both"/>
        <w:rPr>
          <w:rFonts w:ascii="Arial" w:hAnsi="Arial" w:cs="Arial"/>
          <w:sz w:val="24"/>
          <w:szCs w:val="24"/>
          <w:lang w:eastAsia="en-ZA"/>
        </w:rPr>
      </w:pPr>
      <w:r w:rsidRPr="00B53F9A">
        <w:rPr>
          <w:rFonts w:ascii="Arial" w:hAnsi="Arial" w:cs="Arial"/>
          <w:sz w:val="24"/>
          <w:szCs w:val="24"/>
          <w:lang w:eastAsia="en-ZA"/>
        </w:rPr>
        <w:t>[2</w:t>
      </w:r>
      <w:r w:rsidR="003F147D">
        <w:rPr>
          <w:rFonts w:ascii="Arial" w:hAnsi="Arial" w:cs="Arial"/>
          <w:sz w:val="24"/>
          <w:szCs w:val="24"/>
          <w:lang w:eastAsia="en-ZA"/>
        </w:rPr>
        <w:t>2</w:t>
      </w:r>
      <w:r w:rsidRPr="00B53F9A">
        <w:rPr>
          <w:rFonts w:ascii="Arial" w:hAnsi="Arial" w:cs="Arial"/>
          <w:sz w:val="24"/>
          <w:szCs w:val="24"/>
          <w:lang w:eastAsia="en-ZA"/>
        </w:rPr>
        <w:t>]</w:t>
      </w:r>
      <w:r>
        <w:rPr>
          <w:rFonts w:ascii="Arial" w:hAnsi="Arial" w:cs="Arial"/>
          <w:sz w:val="24"/>
          <w:szCs w:val="24"/>
          <w:lang w:eastAsia="en-ZA"/>
        </w:rPr>
        <w:tab/>
        <w:t xml:space="preserve">Ms Kemp informed the court that the appellant became aware of the non- compliance on 20 April 2022 and filed an application for condonation on 27 April 2022. </w:t>
      </w:r>
    </w:p>
    <w:p w14:paraId="5A09285E" w14:textId="77777777" w:rsidR="003F147D" w:rsidRDefault="003F147D" w:rsidP="000B6480">
      <w:pPr>
        <w:shd w:val="clear" w:color="auto" w:fill="FFFFFF"/>
        <w:spacing w:after="0" w:line="360" w:lineRule="auto"/>
        <w:jc w:val="both"/>
        <w:rPr>
          <w:rFonts w:ascii="Arial" w:hAnsi="Arial" w:cs="Arial"/>
          <w:sz w:val="24"/>
          <w:szCs w:val="24"/>
          <w:lang w:eastAsia="en-ZA"/>
        </w:rPr>
      </w:pPr>
    </w:p>
    <w:p w14:paraId="704F2999" w14:textId="5966DBC0" w:rsidR="00B53F9A" w:rsidRDefault="00B53F9A" w:rsidP="000B6480">
      <w:pPr>
        <w:shd w:val="clear" w:color="auto" w:fill="FFFFFF"/>
        <w:spacing w:after="0" w:line="360" w:lineRule="auto"/>
        <w:jc w:val="both"/>
        <w:rPr>
          <w:rFonts w:ascii="Arial" w:eastAsia="Times New Roman" w:hAnsi="Arial" w:cs="Arial"/>
          <w:sz w:val="24"/>
          <w:szCs w:val="24"/>
          <w:lang w:eastAsia="en-ZA"/>
        </w:rPr>
      </w:pPr>
      <w:r>
        <w:rPr>
          <w:rFonts w:ascii="Arial" w:hAnsi="Arial" w:cs="Arial"/>
          <w:sz w:val="24"/>
          <w:szCs w:val="24"/>
          <w:lang w:eastAsia="en-ZA"/>
        </w:rPr>
        <w:t>[2</w:t>
      </w:r>
      <w:r w:rsidR="003F147D">
        <w:rPr>
          <w:rFonts w:ascii="Arial" w:hAnsi="Arial" w:cs="Arial"/>
          <w:sz w:val="24"/>
          <w:szCs w:val="24"/>
          <w:lang w:eastAsia="en-ZA"/>
        </w:rPr>
        <w:t>3</w:t>
      </w:r>
      <w:r>
        <w:rPr>
          <w:rFonts w:ascii="Arial" w:hAnsi="Arial" w:cs="Arial"/>
          <w:sz w:val="24"/>
          <w:szCs w:val="24"/>
          <w:lang w:eastAsia="en-ZA"/>
        </w:rPr>
        <w:t>]</w:t>
      </w:r>
      <w:r>
        <w:rPr>
          <w:rFonts w:ascii="Arial" w:hAnsi="Arial" w:cs="Arial"/>
          <w:sz w:val="24"/>
          <w:szCs w:val="24"/>
          <w:lang w:eastAsia="en-ZA"/>
        </w:rPr>
        <w:tab/>
      </w:r>
      <w:r w:rsidRPr="00B53F9A">
        <w:rPr>
          <w:rFonts w:ascii="Arial" w:eastAsia="Times New Roman" w:hAnsi="Arial" w:cs="Arial"/>
          <w:sz w:val="24"/>
          <w:szCs w:val="24"/>
          <w:lang w:eastAsia="en-ZA"/>
        </w:rPr>
        <w:t>The law reports are replete with the approach that the court should take in an application for condonation.</w:t>
      </w:r>
    </w:p>
    <w:p w14:paraId="2C5E9343" w14:textId="77777777" w:rsidR="003F147D" w:rsidRDefault="003F147D" w:rsidP="000B6480">
      <w:pPr>
        <w:shd w:val="clear" w:color="auto" w:fill="FFFFFF"/>
        <w:spacing w:after="0" w:line="360" w:lineRule="auto"/>
        <w:jc w:val="both"/>
        <w:rPr>
          <w:rFonts w:ascii="Arial" w:eastAsia="Times New Roman" w:hAnsi="Arial" w:cs="Arial"/>
          <w:sz w:val="24"/>
          <w:szCs w:val="24"/>
          <w:lang w:eastAsia="en-ZA"/>
        </w:rPr>
      </w:pPr>
    </w:p>
    <w:p w14:paraId="27FBC958" w14:textId="1E69FE6B" w:rsidR="005D4509" w:rsidRDefault="005D4509" w:rsidP="002336CA">
      <w:pPr>
        <w:shd w:val="clear" w:color="auto" w:fill="FFFFFF"/>
        <w:spacing w:after="0" w:line="360" w:lineRule="auto"/>
        <w:jc w:val="both"/>
        <w:rPr>
          <w:rFonts w:ascii="Arial" w:eastAsia="Times New Roman" w:hAnsi="Arial" w:cs="Arial"/>
          <w:sz w:val="24"/>
          <w:szCs w:val="24"/>
          <w:lang w:eastAsia="en-ZA"/>
        </w:rPr>
      </w:pPr>
      <w:r w:rsidRPr="005D4509">
        <w:rPr>
          <w:rFonts w:ascii="Arial" w:eastAsia="Times New Roman" w:hAnsi="Arial" w:cs="Arial"/>
          <w:sz w:val="24"/>
          <w:szCs w:val="24"/>
          <w:lang w:eastAsia="en-ZA"/>
        </w:rPr>
        <w:t>[</w:t>
      </w:r>
      <w:r w:rsidR="009778BD">
        <w:rPr>
          <w:rFonts w:ascii="Arial" w:eastAsia="Times New Roman" w:hAnsi="Arial" w:cs="Arial"/>
          <w:sz w:val="24"/>
          <w:szCs w:val="24"/>
          <w:lang w:eastAsia="en-ZA"/>
        </w:rPr>
        <w:t>2</w:t>
      </w:r>
      <w:r w:rsidR="000B6480">
        <w:rPr>
          <w:rFonts w:ascii="Arial" w:eastAsia="Times New Roman" w:hAnsi="Arial" w:cs="Arial"/>
          <w:sz w:val="24"/>
          <w:szCs w:val="24"/>
          <w:lang w:eastAsia="en-ZA"/>
        </w:rPr>
        <w:t>4</w:t>
      </w:r>
      <w:r w:rsidRPr="005D4509">
        <w:rPr>
          <w:rFonts w:ascii="Arial" w:eastAsia="Times New Roman" w:hAnsi="Arial" w:cs="Arial"/>
          <w:sz w:val="24"/>
          <w:szCs w:val="24"/>
          <w:lang w:eastAsia="en-ZA"/>
        </w:rPr>
        <w:t>]</w:t>
      </w:r>
      <w:r w:rsidRPr="005D4509">
        <w:rPr>
          <w:rFonts w:ascii="Arial" w:eastAsia="Times New Roman" w:hAnsi="Arial" w:cs="Arial"/>
          <w:sz w:val="24"/>
          <w:szCs w:val="24"/>
          <w:lang w:eastAsia="en-ZA"/>
        </w:rPr>
        <w:tab/>
        <w:t xml:space="preserve">It is settled law that an applicant who seeks condonation bears the onus to satisfy the court that there is sufficient cause to grant condonation and to bring the application for condonation without delay. In </w:t>
      </w:r>
      <w:r w:rsidRPr="005D4509">
        <w:rPr>
          <w:rFonts w:ascii="Arial" w:eastAsia="Times New Roman" w:hAnsi="Arial" w:cs="Arial"/>
          <w:i/>
          <w:sz w:val="24"/>
          <w:szCs w:val="24"/>
          <w:lang w:eastAsia="en-ZA"/>
        </w:rPr>
        <w:t>Dietmar Dannecker v Leopard Tours Car and Camping Hire CC and Others</w:t>
      </w:r>
      <w:r w:rsidR="009778BD">
        <w:rPr>
          <w:rStyle w:val="FootnoteReference"/>
          <w:rFonts w:ascii="Arial" w:eastAsia="Times New Roman" w:hAnsi="Arial" w:cs="Arial"/>
          <w:i/>
          <w:sz w:val="24"/>
          <w:szCs w:val="24"/>
          <w:lang w:eastAsia="en-ZA"/>
        </w:rPr>
        <w:footnoteReference w:id="2"/>
      </w:r>
      <w:r w:rsidRPr="005D4509">
        <w:rPr>
          <w:rFonts w:ascii="Arial" w:eastAsia="Times New Roman" w:hAnsi="Arial" w:cs="Arial"/>
          <w:sz w:val="24"/>
          <w:szCs w:val="24"/>
          <w:lang w:eastAsia="en-ZA"/>
        </w:rPr>
        <w:t xml:space="preserve">, the Supreme Court cited with approval the following passage from </w:t>
      </w:r>
      <w:r w:rsidRPr="005D4509">
        <w:rPr>
          <w:rFonts w:ascii="Arial" w:eastAsia="Times New Roman" w:hAnsi="Arial" w:cs="Arial"/>
          <w:i/>
          <w:sz w:val="24"/>
          <w:szCs w:val="24"/>
          <w:lang w:eastAsia="en-ZA"/>
        </w:rPr>
        <w:t>Petrus v Roman Catholic Archdiocese</w:t>
      </w:r>
      <w:r>
        <w:rPr>
          <w:rStyle w:val="FootnoteReference"/>
          <w:rFonts w:ascii="Arial" w:eastAsia="Times New Roman" w:hAnsi="Arial" w:cs="Arial"/>
          <w:i/>
          <w:sz w:val="24"/>
          <w:szCs w:val="24"/>
          <w:lang w:eastAsia="en-ZA"/>
        </w:rPr>
        <w:footnoteReference w:id="3"/>
      </w:r>
      <w:r w:rsidRPr="005D4509">
        <w:rPr>
          <w:rFonts w:ascii="Arial" w:eastAsia="Times New Roman" w:hAnsi="Arial" w:cs="Arial"/>
          <w:sz w:val="24"/>
          <w:szCs w:val="24"/>
          <w:lang w:eastAsia="en-ZA"/>
        </w:rPr>
        <w:t>:</w:t>
      </w:r>
    </w:p>
    <w:p w14:paraId="43444782" w14:textId="77777777" w:rsidR="003F147D" w:rsidRPr="005D4509" w:rsidRDefault="003F147D" w:rsidP="002336CA">
      <w:pPr>
        <w:shd w:val="clear" w:color="auto" w:fill="FFFFFF"/>
        <w:spacing w:after="0" w:line="360" w:lineRule="auto"/>
        <w:jc w:val="both"/>
        <w:rPr>
          <w:rFonts w:ascii="Arial" w:eastAsia="Times New Roman" w:hAnsi="Arial" w:cs="Arial"/>
          <w:sz w:val="24"/>
          <w:szCs w:val="24"/>
          <w:lang w:eastAsia="en-ZA"/>
        </w:rPr>
      </w:pPr>
    </w:p>
    <w:p w14:paraId="01680B11" w14:textId="77777777" w:rsidR="009778BD" w:rsidRDefault="005D4509" w:rsidP="00674081">
      <w:pPr>
        <w:shd w:val="clear" w:color="auto" w:fill="FFFFFF"/>
        <w:spacing w:after="0" w:line="360" w:lineRule="auto"/>
        <w:ind w:firstLine="720"/>
        <w:jc w:val="both"/>
        <w:rPr>
          <w:rFonts w:ascii="Arial" w:eastAsia="Times New Roman" w:hAnsi="Arial" w:cs="Arial"/>
          <w:szCs w:val="24"/>
          <w:lang w:eastAsia="en-ZA"/>
        </w:rPr>
      </w:pPr>
      <w:r w:rsidRPr="009778BD">
        <w:rPr>
          <w:rFonts w:ascii="Arial" w:eastAsia="Times New Roman" w:hAnsi="Arial" w:cs="Arial"/>
          <w:szCs w:val="24"/>
          <w:lang w:eastAsia="en-ZA"/>
        </w:rPr>
        <w:t>‘[9]</w:t>
      </w:r>
      <w:r w:rsidRPr="009778BD">
        <w:rPr>
          <w:rFonts w:ascii="Arial" w:eastAsia="Times New Roman" w:hAnsi="Arial" w:cs="Arial"/>
          <w:szCs w:val="24"/>
          <w:lang w:eastAsia="en-ZA"/>
        </w:rPr>
        <w:tab/>
        <w:t>It is trite that a litigant seeking condonation bears an onus to satisfy the court that there is sufficient cause to warrant the grant of condonation. Moreover, it is also clear that a litigant should launch a condonation application without delay.</w:t>
      </w:r>
      <w:r w:rsidR="009778BD">
        <w:rPr>
          <w:rFonts w:ascii="Arial" w:eastAsia="Times New Roman" w:hAnsi="Arial" w:cs="Arial"/>
          <w:szCs w:val="24"/>
          <w:lang w:eastAsia="en-ZA"/>
        </w:rPr>
        <w:t>’</w:t>
      </w:r>
      <w:r w:rsidRPr="009778BD">
        <w:rPr>
          <w:rFonts w:ascii="Arial" w:eastAsia="Times New Roman" w:hAnsi="Arial" w:cs="Arial"/>
          <w:szCs w:val="24"/>
          <w:lang w:eastAsia="en-ZA"/>
        </w:rPr>
        <w:t xml:space="preserve"> </w:t>
      </w:r>
    </w:p>
    <w:p w14:paraId="2D781BB9" w14:textId="77777777" w:rsidR="003F147D" w:rsidRDefault="003F147D" w:rsidP="00674081">
      <w:pPr>
        <w:shd w:val="clear" w:color="auto" w:fill="FFFFFF"/>
        <w:spacing w:after="0" w:line="360" w:lineRule="auto"/>
        <w:ind w:firstLine="720"/>
        <w:jc w:val="both"/>
        <w:rPr>
          <w:rFonts w:ascii="Arial" w:eastAsia="Times New Roman" w:hAnsi="Arial" w:cs="Arial"/>
          <w:szCs w:val="24"/>
          <w:lang w:eastAsia="en-ZA"/>
        </w:rPr>
      </w:pPr>
    </w:p>
    <w:p w14:paraId="0F7D3357" w14:textId="006ABBA8" w:rsidR="005D4509" w:rsidRDefault="009778BD" w:rsidP="00674081">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2336CA">
        <w:rPr>
          <w:rFonts w:ascii="Arial" w:eastAsia="Times New Roman" w:hAnsi="Arial" w:cs="Arial"/>
          <w:sz w:val="24"/>
          <w:szCs w:val="24"/>
          <w:lang w:eastAsia="en-ZA"/>
        </w:rPr>
        <w:t>5</w:t>
      </w:r>
      <w:r>
        <w:rPr>
          <w:rFonts w:ascii="Arial" w:eastAsia="Times New Roman" w:hAnsi="Arial" w:cs="Arial"/>
          <w:sz w:val="24"/>
          <w:szCs w:val="24"/>
          <w:lang w:eastAsia="en-ZA"/>
        </w:rPr>
        <w:t>]</w:t>
      </w:r>
      <w:r>
        <w:rPr>
          <w:rFonts w:ascii="Arial" w:eastAsia="Times New Roman" w:hAnsi="Arial" w:cs="Arial"/>
          <w:sz w:val="24"/>
          <w:szCs w:val="24"/>
          <w:lang w:eastAsia="en-ZA"/>
        </w:rPr>
        <w:tab/>
      </w:r>
      <w:r w:rsidR="005D4509" w:rsidRPr="009778BD">
        <w:rPr>
          <w:rFonts w:ascii="Arial" w:eastAsia="Times New Roman" w:hAnsi="Arial" w:cs="Arial"/>
          <w:sz w:val="24"/>
          <w:szCs w:val="24"/>
          <w:lang w:eastAsia="en-ZA"/>
        </w:rPr>
        <w:t>In</w:t>
      </w:r>
      <w:r w:rsidR="004F2DB6">
        <w:rPr>
          <w:rFonts w:ascii="Arial" w:eastAsia="Times New Roman" w:hAnsi="Arial" w:cs="Arial"/>
          <w:sz w:val="24"/>
          <w:szCs w:val="24"/>
          <w:lang w:eastAsia="en-ZA"/>
        </w:rPr>
        <w:t xml:space="preserve"> </w:t>
      </w:r>
      <w:r w:rsidR="005D4509" w:rsidRPr="009778BD">
        <w:rPr>
          <w:rFonts w:ascii="Arial" w:eastAsia="Times New Roman" w:hAnsi="Arial" w:cs="Arial"/>
          <w:i/>
          <w:sz w:val="24"/>
          <w:szCs w:val="24"/>
          <w:lang w:eastAsia="en-ZA"/>
        </w:rPr>
        <w:t>Beukes and Another v SWABOU and Others</w:t>
      </w:r>
      <w:r>
        <w:rPr>
          <w:rStyle w:val="FootnoteReference"/>
          <w:rFonts w:ascii="Arial" w:eastAsia="Times New Roman" w:hAnsi="Arial" w:cs="Arial"/>
          <w:i/>
          <w:sz w:val="24"/>
          <w:szCs w:val="24"/>
          <w:lang w:eastAsia="en-ZA"/>
        </w:rPr>
        <w:footnoteReference w:id="4"/>
      </w:r>
      <w:r w:rsidR="004F2DB6">
        <w:rPr>
          <w:rFonts w:ascii="Arial" w:eastAsia="Times New Roman" w:hAnsi="Arial" w:cs="Arial"/>
          <w:sz w:val="24"/>
          <w:szCs w:val="24"/>
          <w:lang w:eastAsia="en-ZA"/>
        </w:rPr>
        <w:t xml:space="preserve"> the Supreme Court once again set out</w:t>
      </w:r>
      <w:r w:rsidR="005D4509" w:rsidRPr="009778BD">
        <w:rPr>
          <w:rFonts w:ascii="Arial" w:eastAsia="Times New Roman" w:hAnsi="Arial" w:cs="Arial"/>
          <w:i/>
          <w:sz w:val="24"/>
          <w:szCs w:val="24"/>
          <w:lang w:eastAsia="en-ZA"/>
        </w:rPr>
        <w:t xml:space="preserve"> </w:t>
      </w:r>
      <w:r w:rsidR="005D4509" w:rsidRPr="009778BD">
        <w:rPr>
          <w:rFonts w:ascii="Arial" w:eastAsia="Times New Roman" w:hAnsi="Arial" w:cs="Arial"/>
          <w:sz w:val="24"/>
          <w:szCs w:val="24"/>
          <w:lang w:eastAsia="en-ZA"/>
        </w:rPr>
        <w:t>the principles governing condonation</w:t>
      </w:r>
      <w:r w:rsidR="004F2DB6">
        <w:rPr>
          <w:rFonts w:ascii="Arial" w:eastAsia="Times New Roman" w:hAnsi="Arial" w:cs="Arial"/>
          <w:sz w:val="24"/>
          <w:szCs w:val="24"/>
          <w:lang w:eastAsia="en-ZA"/>
        </w:rPr>
        <w:t xml:space="preserve">. </w:t>
      </w:r>
      <w:r w:rsidR="005D4509" w:rsidRPr="009778BD">
        <w:rPr>
          <w:rFonts w:ascii="Arial" w:eastAsia="Times New Roman" w:hAnsi="Arial" w:cs="Arial"/>
          <w:sz w:val="24"/>
          <w:szCs w:val="24"/>
          <w:lang w:eastAsia="en-ZA"/>
        </w:rPr>
        <w:t xml:space="preserve">Langa AJA noted that </w:t>
      </w:r>
      <w:r w:rsidR="004F2DB6">
        <w:rPr>
          <w:rFonts w:ascii="Arial" w:eastAsia="Times New Roman" w:hAnsi="Arial" w:cs="Arial"/>
          <w:sz w:val="24"/>
          <w:szCs w:val="24"/>
          <w:lang w:eastAsia="en-ZA"/>
        </w:rPr>
        <w:t>‘</w:t>
      </w:r>
      <w:r w:rsidR="005D4509" w:rsidRPr="00BF4E77">
        <w:rPr>
          <w:rFonts w:ascii="Arial" w:eastAsia="Times New Roman" w:hAnsi="Arial" w:cs="Arial"/>
          <w:sz w:val="24"/>
          <w:szCs w:val="24"/>
          <w:lang w:eastAsia="en-ZA"/>
        </w:rPr>
        <w:t>an application for condonation is not a mere formality and that it must be launched as soon as a litigant becomes aware that there has been a failure to comply with the rules</w:t>
      </w:r>
      <w:r w:rsidR="004F2DB6">
        <w:rPr>
          <w:rStyle w:val="FootnoteReference"/>
          <w:rFonts w:ascii="Arial" w:eastAsia="Times New Roman" w:hAnsi="Arial" w:cs="Arial"/>
          <w:sz w:val="24"/>
          <w:szCs w:val="24"/>
          <w:lang w:eastAsia="en-ZA"/>
        </w:rPr>
        <w:footnoteReference w:id="5"/>
      </w:r>
      <w:r w:rsidR="004F2DB6">
        <w:rPr>
          <w:rFonts w:ascii="Arial" w:eastAsia="Times New Roman" w:hAnsi="Arial" w:cs="Arial"/>
          <w:sz w:val="24"/>
          <w:szCs w:val="24"/>
          <w:lang w:eastAsia="en-ZA"/>
        </w:rPr>
        <w:t xml:space="preserve">. </w:t>
      </w:r>
      <w:r w:rsidR="005D4509" w:rsidRPr="00BF4E77">
        <w:rPr>
          <w:rFonts w:ascii="Arial" w:eastAsia="Times New Roman" w:hAnsi="Arial" w:cs="Arial"/>
          <w:sz w:val="24"/>
          <w:szCs w:val="24"/>
          <w:lang w:eastAsia="en-ZA"/>
        </w:rPr>
        <w:t xml:space="preserve">The affidavit accompanying the condonation application must set out a </w:t>
      </w:r>
      <w:r w:rsidR="004F2DB6">
        <w:rPr>
          <w:rFonts w:ascii="Arial" w:eastAsia="Times New Roman" w:hAnsi="Arial" w:cs="Arial"/>
          <w:sz w:val="24"/>
          <w:szCs w:val="24"/>
          <w:lang w:eastAsia="en-ZA"/>
        </w:rPr>
        <w:t>‘</w:t>
      </w:r>
      <w:r w:rsidR="005D4509" w:rsidRPr="00BF4E77">
        <w:rPr>
          <w:rFonts w:ascii="Arial" w:eastAsia="Times New Roman" w:hAnsi="Arial" w:cs="Arial"/>
          <w:sz w:val="24"/>
          <w:szCs w:val="24"/>
          <w:lang w:eastAsia="en-ZA"/>
        </w:rPr>
        <w:t>full, detailed and accurate explanation</w:t>
      </w:r>
      <w:r w:rsidR="0057251B">
        <w:rPr>
          <w:rFonts w:ascii="Arial" w:eastAsia="Times New Roman" w:hAnsi="Arial" w:cs="Arial"/>
          <w:sz w:val="24"/>
          <w:szCs w:val="24"/>
          <w:lang w:eastAsia="en-ZA"/>
        </w:rPr>
        <w:t>,</w:t>
      </w:r>
      <w:r w:rsidR="00597A52">
        <w:rPr>
          <w:rFonts w:ascii="Arial" w:eastAsia="Times New Roman" w:hAnsi="Arial" w:cs="Arial"/>
          <w:sz w:val="24"/>
          <w:szCs w:val="24"/>
          <w:lang w:eastAsia="en-ZA"/>
        </w:rPr>
        <w:t>’</w:t>
      </w:r>
      <w:r w:rsidR="005D4509" w:rsidRPr="00BF4E77">
        <w:rPr>
          <w:rFonts w:ascii="Arial" w:eastAsia="Times New Roman" w:hAnsi="Arial" w:cs="Arial"/>
          <w:sz w:val="24"/>
          <w:szCs w:val="24"/>
          <w:lang w:eastAsia="en-ZA"/>
        </w:rPr>
        <w:t xml:space="preserve"> for the failure to comply with the rules.</w:t>
      </w:r>
      <w:r w:rsidR="004F2DB6">
        <w:rPr>
          <w:rStyle w:val="FootnoteReference"/>
          <w:rFonts w:ascii="Arial" w:eastAsia="Times New Roman" w:hAnsi="Arial" w:cs="Arial"/>
          <w:sz w:val="24"/>
          <w:szCs w:val="24"/>
          <w:lang w:eastAsia="en-ZA"/>
        </w:rPr>
        <w:footnoteReference w:id="6"/>
      </w:r>
    </w:p>
    <w:p w14:paraId="73CC4558" w14:textId="77777777" w:rsidR="003F147D" w:rsidRPr="00BF4E77" w:rsidRDefault="003F147D" w:rsidP="00366796">
      <w:pPr>
        <w:shd w:val="clear" w:color="auto" w:fill="FFFFFF"/>
        <w:spacing w:after="0" w:line="360" w:lineRule="auto"/>
        <w:jc w:val="both"/>
        <w:rPr>
          <w:rFonts w:ascii="Arial" w:eastAsia="Times New Roman" w:hAnsi="Arial" w:cs="Arial"/>
          <w:sz w:val="24"/>
          <w:szCs w:val="24"/>
          <w:lang w:eastAsia="en-ZA"/>
        </w:rPr>
      </w:pPr>
    </w:p>
    <w:p w14:paraId="512751DE" w14:textId="332A9955" w:rsidR="005D4509" w:rsidRDefault="005D4509" w:rsidP="00FE6D71">
      <w:pPr>
        <w:shd w:val="clear" w:color="auto" w:fill="FFFFFF"/>
        <w:spacing w:after="0" w:line="360" w:lineRule="auto"/>
        <w:jc w:val="both"/>
        <w:rPr>
          <w:rFonts w:ascii="Arial" w:eastAsia="Times New Roman" w:hAnsi="Arial" w:cs="Arial"/>
          <w:sz w:val="24"/>
          <w:szCs w:val="24"/>
          <w:lang w:eastAsia="en-ZA"/>
        </w:rPr>
      </w:pPr>
      <w:r w:rsidRPr="005D4509">
        <w:rPr>
          <w:rFonts w:ascii="Arial" w:eastAsia="Times New Roman" w:hAnsi="Arial" w:cs="Arial"/>
          <w:sz w:val="24"/>
          <w:szCs w:val="24"/>
          <w:lang w:eastAsia="en-ZA"/>
        </w:rPr>
        <w:t>[</w:t>
      </w:r>
      <w:r w:rsidR="009778BD">
        <w:rPr>
          <w:rFonts w:ascii="Arial" w:eastAsia="Times New Roman" w:hAnsi="Arial" w:cs="Arial"/>
          <w:sz w:val="24"/>
          <w:szCs w:val="24"/>
          <w:lang w:eastAsia="en-ZA"/>
        </w:rPr>
        <w:t>2</w:t>
      </w:r>
      <w:r w:rsidR="00E111D9">
        <w:rPr>
          <w:rFonts w:ascii="Arial" w:eastAsia="Times New Roman" w:hAnsi="Arial" w:cs="Arial"/>
          <w:sz w:val="24"/>
          <w:szCs w:val="24"/>
          <w:lang w:eastAsia="en-ZA"/>
        </w:rPr>
        <w:t>6</w:t>
      </w:r>
      <w:r w:rsidRPr="005D4509">
        <w:rPr>
          <w:rFonts w:ascii="Arial" w:eastAsia="Times New Roman" w:hAnsi="Arial" w:cs="Arial"/>
          <w:sz w:val="24"/>
          <w:szCs w:val="24"/>
          <w:lang w:eastAsia="en-ZA"/>
        </w:rPr>
        <w:t>]</w:t>
      </w:r>
      <w:r w:rsidRPr="005D4509">
        <w:rPr>
          <w:rFonts w:ascii="Arial" w:eastAsia="Times New Roman" w:hAnsi="Arial" w:cs="Arial"/>
          <w:sz w:val="24"/>
          <w:szCs w:val="24"/>
          <w:lang w:eastAsia="en-ZA"/>
        </w:rPr>
        <w:tab/>
        <w:t xml:space="preserve">In determining whether to grant condonation, a court will consider whether the explanation is sufficient to warrant the grant of condonation, and will also consider the litigant’s prospects of success on the merits, save in cases of </w:t>
      </w:r>
      <w:r w:rsidR="00597A52">
        <w:rPr>
          <w:rFonts w:ascii="Arial" w:eastAsia="Times New Roman" w:hAnsi="Arial" w:cs="Arial"/>
          <w:sz w:val="24"/>
          <w:szCs w:val="24"/>
          <w:lang w:eastAsia="en-ZA"/>
        </w:rPr>
        <w:t>‘</w:t>
      </w:r>
      <w:r w:rsidRPr="005D4509">
        <w:rPr>
          <w:rFonts w:ascii="Arial" w:eastAsia="Times New Roman" w:hAnsi="Arial" w:cs="Arial"/>
          <w:sz w:val="24"/>
          <w:szCs w:val="24"/>
          <w:lang w:eastAsia="en-ZA"/>
        </w:rPr>
        <w:t>flagrant</w:t>
      </w:r>
      <w:r w:rsidR="00597A52">
        <w:rPr>
          <w:rFonts w:ascii="Arial" w:eastAsia="Times New Roman" w:hAnsi="Arial" w:cs="Arial"/>
          <w:sz w:val="24"/>
          <w:szCs w:val="24"/>
          <w:lang w:eastAsia="en-ZA"/>
        </w:rPr>
        <w:t>’</w:t>
      </w:r>
      <w:r w:rsidRPr="005D4509">
        <w:rPr>
          <w:rFonts w:ascii="Arial" w:eastAsia="Times New Roman" w:hAnsi="Arial" w:cs="Arial"/>
          <w:sz w:val="24"/>
          <w:szCs w:val="24"/>
          <w:lang w:eastAsia="en-ZA"/>
        </w:rPr>
        <w:t xml:space="preserve"> non-compliance with the rules which demonstrate a </w:t>
      </w:r>
      <w:r w:rsidR="00597A52">
        <w:rPr>
          <w:rFonts w:ascii="Arial" w:eastAsia="Times New Roman" w:hAnsi="Arial" w:cs="Arial"/>
          <w:sz w:val="24"/>
          <w:szCs w:val="24"/>
          <w:lang w:eastAsia="en-ZA"/>
        </w:rPr>
        <w:t>‘</w:t>
      </w:r>
      <w:r w:rsidRPr="005D4509">
        <w:rPr>
          <w:rFonts w:ascii="Arial" w:eastAsia="Times New Roman" w:hAnsi="Arial" w:cs="Arial"/>
          <w:sz w:val="24"/>
          <w:szCs w:val="24"/>
          <w:lang w:eastAsia="en-ZA"/>
        </w:rPr>
        <w:t>glaring and inexplicable disregard</w:t>
      </w:r>
      <w:r w:rsidR="00597A52">
        <w:rPr>
          <w:rFonts w:ascii="Arial" w:eastAsia="Times New Roman" w:hAnsi="Arial" w:cs="Arial"/>
          <w:sz w:val="24"/>
          <w:szCs w:val="24"/>
          <w:lang w:eastAsia="en-ZA"/>
        </w:rPr>
        <w:t>’</w:t>
      </w:r>
      <w:r w:rsidRPr="005D4509">
        <w:rPr>
          <w:rFonts w:ascii="Arial" w:eastAsia="Times New Roman" w:hAnsi="Arial" w:cs="Arial"/>
          <w:sz w:val="24"/>
          <w:szCs w:val="24"/>
          <w:lang w:eastAsia="en-ZA"/>
        </w:rPr>
        <w:t xml:space="preserve"> for the processes of the court</w:t>
      </w:r>
      <w:r w:rsidR="00597A52">
        <w:rPr>
          <w:rFonts w:ascii="Arial" w:eastAsia="Times New Roman" w:hAnsi="Arial" w:cs="Arial"/>
          <w:sz w:val="24"/>
          <w:szCs w:val="24"/>
          <w:lang w:eastAsia="en-ZA"/>
        </w:rPr>
        <w:t>.</w:t>
      </w:r>
      <w:r w:rsidR="00597A52">
        <w:rPr>
          <w:rStyle w:val="FootnoteReference"/>
          <w:rFonts w:ascii="Arial" w:eastAsia="Times New Roman" w:hAnsi="Arial" w:cs="Arial"/>
          <w:i/>
          <w:sz w:val="24"/>
          <w:szCs w:val="24"/>
          <w:lang w:eastAsia="en-ZA"/>
        </w:rPr>
        <w:footnoteReference w:id="7"/>
      </w:r>
    </w:p>
    <w:p w14:paraId="7E8D498F" w14:textId="77777777" w:rsidR="003F147D" w:rsidRPr="005D4509" w:rsidRDefault="003F147D" w:rsidP="00FE6D71">
      <w:pPr>
        <w:shd w:val="clear" w:color="auto" w:fill="FFFFFF"/>
        <w:spacing w:after="0" w:line="360" w:lineRule="auto"/>
        <w:jc w:val="both"/>
        <w:rPr>
          <w:rFonts w:ascii="Arial" w:eastAsia="Times New Roman" w:hAnsi="Arial" w:cs="Arial"/>
          <w:sz w:val="24"/>
          <w:szCs w:val="24"/>
          <w:lang w:eastAsia="en-ZA"/>
        </w:rPr>
      </w:pPr>
    </w:p>
    <w:p w14:paraId="6C7C9F01" w14:textId="7CD59C6E" w:rsidR="00F67403" w:rsidRDefault="00F67403" w:rsidP="00FE6D71">
      <w:pPr>
        <w:shd w:val="clear" w:color="auto" w:fill="FFFFFF"/>
        <w:spacing w:after="0" w:line="360" w:lineRule="auto"/>
        <w:jc w:val="both"/>
        <w:rPr>
          <w:rFonts w:ascii="Arial" w:eastAsia="Times New Roman" w:hAnsi="Arial" w:cs="Arial"/>
          <w:sz w:val="24"/>
          <w:szCs w:val="24"/>
          <w:lang w:eastAsia="en-ZA"/>
        </w:rPr>
      </w:pPr>
      <w:r w:rsidRPr="00FE6D71">
        <w:rPr>
          <w:rFonts w:ascii="Arial" w:eastAsia="Times New Roman" w:hAnsi="Arial" w:cs="Arial"/>
          <w:sz w:val="24"/>
          <w:szCs w:val="24"/>
          <w:lang w:eastAsia="en-ZA"/>
        </w:rPr>
        <w:t>[2</w:t>
      </w:r>
      <w:r w:rsidR="00FE6D71">
        <w:rPr>
          <w:rFonts w:ascii="Arial" w:eastAsia="Times New Roman" w:hAnsi="Arial" w:cs="Arial"/>
          <w:sz w:val="24"/>
          <w:szCs w:val="24"/>
          <w:lang w:eastAsia="en-ZA"/>
        </w:rPr>
        <w:t>7</w:t>
      </w:r>
      <w:r w:rsidRPr="00FE6D71">
        <w:rPr>
          <w:rFonts w:ascii="Arial" w:eastAsia="Times New Roman" w:hAnsi="Arial" w:cs="Arial"/>
          <w:sz w:val="24"/>
          <w:szCs w:val="24"/>
          <w:lang w:eastAsia="en-ZA"/>
        </w:rPr>
        <w:t>]</w:t>
      </w:r>
      <w:r w:rsidRPr="00FE6D71">
        <w:rPr>
          <w:rFonts w:ascii="Arial" w:eastAsia="Times New Roman" w:hAnsi="Arial" w:cs="Arial"/>
          <w:sz w:val="24"/>
          <w:szCs w:val="24"/>
          <w:lang w:eastAsia="en-ZA"/>
        </w:rPr>
        <w:tab/>
      </w:r>
      <w:r w:rsidRPr="00F67403">
        <w:rPr>
          <w:rFonts w:ascii="Arial" w:eastAsia="Times New Roman" w:hAnsi="Arial" w:cs="Arial"/>
          <w:sz w:val="24"/>
          <w:szCs w:val="24"/>
          <w:lang w:eastAsia="en-ZA"/>
        </w:rPr>
        <w:t xml:space="preserve">The above </w:t>
      </w:r>
      <w:r w:rsidR="00EB32F9" w:rsidRPr="00F67403">
        <w:rPr>
          <w:rFonts w:ascii="Arial" w:eastAsia="Times New Roman" w:hAnsi="Arial" w:cs="Arial"/>
          <w:sz w:val="24"/>
          <w:szCs w:val="24"/>
          <w:lang w:eastAsia="en-ZA"/>
        </w:rPr>
        <w:t xml:space="preserve">authorities </w:t>
      </w:r>
      <w:r w:rsidR="00EB32F9">
        <w:rPr>
          <w:rFonts w:ascii="Arial" w:eastAsia="Times New Roman" w:hAnsi="Arial" w:cs="Arial"/>
          <w:sz w:val="24"/>
          <w:szCs w:val="24"/>
          <w:lang w:eastAsia="en-ZA"/>
        </w:rPr>
        <w:t>and</w:t>
      </w:r>
      <w:r w:rsidR="00C643CE">
        <w:rPr>
          <w:rFonts w:ascii="Arial" w:eastAsia="Times New Roman" w:hAnsi="Arial" w:cs="Arial"/>
          <w:sz w:val="24"/>
          <w:szCs w:val="24"/>
          <w:lang w:eastAsia="en-ZA"/>
        </w:rPr>
        <w:t xml:space="preserve"> authorities cited by counsel for the appellant in her heads of argument </w:t>
      </w:r>
      <w:r w:rsidRPr="00F67403">
        <w:rPr>
          <w:rFonts w:ascii="Arial" w:eastAsia="Times New Roman" w:hAnsi="Arial" w:cs="Arial"/>
          <w:sz w:val="24"/>
          <w:szCs w:val="24"/>
          <w:lang w:eastAsia="en-ZA"/>
        </w:rPr>
        <w:t>are clear that condonation is not to be granted for the asking but the explanation for the default must be full, detailed and accurate. In certain circumstances, the negligence or laxity of a legal practitioner will not save the applicant. The different factors applicable must be weighed together.</w:t>
      </w:r>
    </w:p>
    <w:p w14:paraId="367F681F" w14:textId="77777777" w:rsidR="003F147D" w:rsidRDefault="003F147D" w:rsidP="00FE6D71">
      <w:pPr>
        <w:shd w:val="clear" w:color="auto" w:fill="FFFFFF"/>
        <w:spacing w:after="0" w:line="360" w:lineRule="auto"/>
        <w:jc w:val="both"/>
        <w:rPr>
          <w:rFonts w:ascii="Arial" w:eastAsia="Times New Roman" w:hAnsi="Arial" w:cs="Arial"/>
          <w:sz w:val="24"/>
          <w:szCs w:val="24"/>
          <w:lang w:eastAsia="en-ZA"/>
        </w:rPr>
      </w:pPr>
    </w:p>
    <w:p w14:paraId="3081AB9A" w14:textId="0590BC23" w:rsidR="00AE53C8" w:rsidRDefault="00F67403" w:rsidP="00366796">
      <w:pPr>
        <w:pStyle w:val="ListParagraph"/>
        <w:spacing w:line="360" w:lineRule="auto"/>
        <w:ind w:left="0"/>
        <w:jc w:val="both"/>
        <w:rPr>
          <w:rFonts w:ascii="Arial" w:hAnsi="Arial" w:cs="Arial"/>
        </w:rPr>
      </w:pPr>
      <w:r>
        <w:rPr>
          <w:rFonts w:ascii="Arial" w:hAnsi="Arial" w:cs="Arial"/>
          <w:lang w:eastAsia="en-ZA"/>
        </w:rPr>
        <w:t>[2</w:t>
      </w:r>
      <w:r w:rsidR="00FE6D71">
        <w:rPr>
          <w:rFonts w:ascii="Arial" w:hAnsi="Arial" w:cs="Arial"/>
          <w:lang w:eastAsia="en-ZA"/>
        </w:rPr>
        <w:t>8</w:t>
      </w:r>
      <w:r>
        <w:rPr>
          <w:rFonts w:ascii="Arial" w:hAnsi="Arial" w:cs="Arial"/>
          <w:lang w:eastAsia="en-ZA"/>
        </w:rPr>
        <w:t>]</w:t>
      </w:r>
      <w:r>
        <w:rPr>
          <w:rFonts w:ascii="Arial" w:hAnsi="Arial" w:cs="Arial"/>
          <w:lang w:eastAsia="en-ZA"/>
        </w:rPr>
        <w:tab/>
      </w:r>
      <w:r w:rsidR="00AC11BC">
        <w:rPr>
          <w:rFonts w:ascii="Arial" w:hAnsi="Arial" w:cs="Arial"/>
          <w:lang w:eastAsia="en-ZA"/>
        </w:rPr>
        <w:t xml:space="preserve">Ms Kemp, counsel for the appellant </w:t>
      </w:r>
      <w:r w:rsidR="00AE53C8">
        <w:rPr>
          <w:rFonts w:ascii="Arial" w:hAnsi="Arial" w:cs="Arial"/>
        </w:rPr>
        <w:t xml:space="preserve">explained that the reason for the failure to file the </w:t>
      </w:r>
      <w:r w:rsidR="00597A52">
        <w:rPr>
          <w:rFonts w:ascii="Arial" w:hAnsi="Arial" w:cs="Arial"/>
        </w:rPr>
        <w:t>n</w:t>
      </w:r>
      <w:r w:rsidR="00AE53C8">
        <w:rPr>
          <w:rFonts w:ascii="Arial" w:hAnsi="Arial" w:cs="Arial"/>
        </w:rPr>
        <w:t xml:space="preserve">otice to </w:t>
      </w:r>
      <w:r w:rsidR="00597A52">
        <w:rPr>
          <w:rFonts w:ascii="Arial" w:hAnsi="Arial" w:cs="Arial"/>
        </w:rPr>
        <w:t>a</w:t>
      </w:r>
      <w:r w:rsidR="00AE53C8">
        <w:rPr>
          <w:rFonts w:ascii="Arial" w:hAnsi="Arial" w:cs="Arial"/>
        </w:rPr>
        <w:t xml:space="preserve">mend timeously was due to the fact that its legal practitioner of record, in computing the </w:t>
      </w:r>
      <w:r w:rsidR="00AD1204">
        <w:rPr>
          <w:rFonts w:ascii="Arial" w:hAnsi="Arial" w:cs="Arial"/>
        </w:rPr>
        <w:t>ten</w:t>
      </w:r>
      <w:r w:rsidR="00AE53C8">
        <w:rPr>
          <w:rFonts w:ascii="Arial" w:hAnsi="Arial" w:cs="Arial"/>
        </w:rPr>
        <w:t xml:space="preserve"> days to file the </w:t>
      </w:r>
      <w:r w:rsidR="00597A52">
        <w:rPr>
          <w:rFonts w:ascii="Arial" w:hAnsi="Arial" w:cs="Arial"/>
        </w:rPr>
        <w:t>n</w:t>
      </w:r>
      <w:r w:rsidR="00AE53C8">
        <w:rPr>
          <w:rFonts w:ascii="Arial" w:hAnsi="Arial" w:cs="Arial"/>
        </w:rPr>
        <w:t xml:space="preserve">otice to </w:t>
      </w:r>
      <w:r w:rsidR="00597A52">
        <w:rPr>
          <w:rFonts w:ascii="Arial" w:hAnsi="Arial" w:cs="Arial"/>
        </w:rPr>
        <w:t>a</w:t>
      </w:r>
      <w:r w:rsidR="00AE53C8">
        <w:rPr>
          <w:rFonts w:ascii="Arial" w:hAnsi="Arial" w:cs="Arial"/>
        </w:rPr>
        <w:t>mend, mistakenly excluded the 15</w:t>
      </w:r>
      <w:r w:rsidR="00AE53C8" w:rsidRPr="00C32A40">
        <w:rPr>
          <w:rFonts w:ascii="Arial" w:hAnsi="Arial" w:cs="Arial"/>
          <w:vertAlign w:val="superscript"/>
        </w:rPr>
        <w:t>th</w:t>
      </w:r>
      <w:r w:rsidR="00AE53C8">
        <w:rPr>
          <w:rFonts w:ascii="Arial" w:hAnsi="Arial" w:cs="Arial"/>
        </w:rPr>
        <w:t xml:space="preserve"> and 18</w:t>
      </w:r>
      <w:r w:rsidR="00AE53C8" w:rsidRPr="00C32A40">
        <w:rPr>
          <w:rFonts w:ascii="Arial" w:hAnsi="Arial" w:cs="Arial"/>
          <w:vertAlign w:val="superscript"/>
        </w:rPr>
        <w:t>th</w:t>
      </w:r>
      <w:r w:rsidR="00AE53C8">
        <w:rPr>
          <w:rFonts w:ascii="Arial" w:hAnsi="Arial" w:cs="Arial"/>
        </w:rPr>
        <w:t xml:space="preserve"> of April which were public holidays.</w:t>
      </w:r>
    </w:p>
    <w:p w14:paraId="50CA41EE" w14:textId="77777777" w:rsidR="003F147D" w:rsidRDefault="003F147D" w:rsidP="00366796">
      <w:pPr>
        <w:pStyle w:val="ListParagraph"/>
        <w:spacing w:line="360" w:lineRule="auto"/>
        <w:ind w:left="0"/>
        <w:jc w:val="both"/>
        <w:rPr>
          <w:rFonts w:ascii="Arial" w:hAnsi="Arial" w:cs="Arial"/>
        </w:rPr>
      </w:pPr>
    </w:p>
    <w:p w14:paraId="31467A46" w14:textId="3FA48E94" w:rsidR="00AE53C8" w:rsidRDefault="00AE53C8" w:rsidP="00366796">
      <w:pPr>
        <w:pStyle w:val="ListParagraph"/>
        <w:spacing w:line="360" w:lineRule="auto"/>
        <w:ind w:left="0"/>
        <w:jc w:val="both"/>
        <w:rPr>
          <w:rFonts w:ascii="Arial" w:hAnsi="Arial" w:cs="Arial"/>
        </w:rPr>
      </w:pPr>
      <w:r>
        <w:rPr>
          <w:rFonts w:ascii="Arial" w:hAnsi="Arial" w:cs="Arial"/>
        </w:rPr>
        <w:t>[2</w:t>
      </w:r>
      <w:r w:rsidR="00366796">
        <w:rPr>
          <w:rFonts w:ascii="Arial" w:hAnsi="Arial" w:cs="Arial"/>
        </w:rPr>
        <w:t>9</w:t>
      </w:r>
      <w:r>
        <w:rPr>
          <w:rFonts w:ascii="Arial" w:hAnsi="Arial" w:cs="Arial"/>
        </w:rPr>
        <w:t>]</w:t>
      </w:r>
      <w:r>
        <w:rPr>
          <w:rFonts w:ascii="Arial" w:hAnsi="Arial" w:cs="Arial"/>
        </w:rPr>
        <w:tab/>
        <w:t>It was further explained that the 15</w:t>
      </w:r>
      <w:r w:rsidRPr="00C32A40">
        <w:rPr>
          <w:rFonts w:ascii="Arial" w:hAnsi="Arial" w:cs="Arial"/>
          <w:vertAlign w:val="superscript"/>
        </w:rPr>
        <w:t>th</w:t>
      </w:r>
      <w:r>
        <w:rPr>
          <w:rFonts w:ascii="Arial" w:hAnsi="Arial" w:cs="Arial"/>
        </w:rPr>
        <w:t xml:space="preserve"> of April 2022 should not have been excluded since public holidays, in terms of the Labour Act</w:t>
      </w:r>
      <w:r w:rsidR="00597A52">
        <w:rPr>
          <w:rFonts w:ascii="Arial" w:hAnsi="Arial" w:cs="Arial"/>
        </w:rPr>
        <w:t xml:space="preserve"> 11 of</w:t>
      </w:r>
      <w:r>
        <w:rPr>
          <w:rFonts w:ascii="Arial" w:hAnsi="Arial" w:cs="Arial"/>
        </w:rPr>
        <w:t xml:space="preserve"> 2007 (“the Act”), are only excluded when the last day for filing falls on a public holiday. The last day to file the </w:t>
      </w:r>
      <w:r w:rsidR="00597A52">
        <w:rPr>
          <w:rFonts w:ascii="Arial" w:hAnsi="Arial" w:cs="Arial"/>
        </w:rPr>
        <w:t>n</w:t>
      </w:r>
      <w:r>
        <w:rPr>
          <w:rFonts w:ascii="Arial" w:hAnsi="Arial" w:cs="Arial"/>
        </w:rPr>
        <w:t xml:space="preserve">otice to </w:t>
      </w:r>
      <w:r w:rsidR="00597A52">
        <w:rPr>
          <w:rFonts w:ascii="Arial" w:hAnsi="Arial" w:cs="Arial"/>
        </w:rPr>
        <w:t>a</w:t>
      </w:r>
      <w:r>
        <w:rPr>
          <w:rFonts w:ascii="Arial" w:hAnsi="Arial" w:cs="Arial"/>
        </w:rPr>
        <w:t>mend was 18 April 2022 and as a result, only the 18</w:t>
      </w:r>
      <w:r w:rsidRPr="00C32A40">
        <w:rPr>
          <w:rFonts w:ascii="Arial" w:hAnsi="Arial" w:cs="Arial"/>
          <w:vertAlign w:val="superscript"/>
        </w:rPr>
        <w:t>th</w:t>
      </w:r>
      <w:r>
        <w:rPr>
          <w:rFonts w:ascii="Arial" w:hAnsi="Arial" w:cs="Arial"/>
        </w:rPr>
        <w:t xml:space="preserve"> of April should have been excluded. </w:t>
      </w:r>
    </w:p>
    <w:p w14:paraId="7A502B0A" w14:textId="77777777" w:rsidR="003F147D" w:rsidRDefault="003F147D" w:rsidP="00366796">
      <w:pPr>
        <w:pStyle w:val="ListParagraph"/>
        <w:spacing w:line="360" w:lineRule="auto"/>
        <w:ind w:left="0"/>
        <w:jc w:val="both"/>
        <w:rPr>
          <w:rFonts w:ascii="Arial" w:hAnsi="Arial" w:cs="Arial"/>
        </w:rPr>
      </w:pPr>
    </w:p>
    <w:p w14:paraId="709007D4" w14:textId="7E23D4B8" w:rsidR="003F147D" w:rsidRDefault="00AE53C8" w:rsidP="00ED232A">
      <w:pPr>
        <w:pStyle w:val="ListParagraph"/>
        <w:spacing w:line="360" w:lineRule="auto"/>
        <w:ind w:left="0"/>
        <w:jc w:val="both"/>
        <w:rPr>
          <w:rFonts w:ascii="Arial" w:hAnsi="Arial" w:cs="Arial"/>
        </w:rPr>
      </w:pPr>
      <w:r>
        <w:rPr>
          <w:rFonts w:ascii="Arial" w:hAnsi="Arial" w:cs="Arial"/>
        </w:rPr>
        <w:t>[</w:t>
      </w:r>
      <w:r w:rsidR="00ED232A">
        <w:rPr>
          <w:rFonts w:ascii="Arial" w:hAnsi="Arial" w:cs="Arial"/>
        </w:rPr>
        <w:t>30</w:t>
      </w:r>
      <w:r>
        <w:rPr>
          <w:rFonts w:ascii="Arial" w:hAnsi="Arial" w:cs="Arial"/>
        </w:rPr>
        <w:t>]</w:t>
      </w:r>
      <w:r>
        <w:rPr>
          <w:rFonts w:ascii="Arial" w:hAnsi="Arial" w:cs="Arial"/>
        </w:rPr>
        <w:tab/>
      </w:r>
      <w:r w:rsidR="008735E1">
        <w:rPr>
          <w:rFonts w:ascii="Arial" w:hAnsi="Arial" w:cs="Arial"/>
        </w:rPr>
        <w:t>The appellant further argued</w:t>
      </w:r>
      <w:r>
        <w:rPr>
          <w:rFonts w:ascii="Arial" w:hAnsi="Arial" w:cs="Arial"/>
        </w:rPr>
        <w:t xml:space="preserve"> that the application for condonation was done as soon as the non-compliance became apparent. Furthermore, the explanation tendered is reasonable in the circumstances. The appellant requested the court to condone the non- compliance as the respondent was not prejudiced in any manner since the grounds of opposition was still not filed at that stage. </w:t>
      </w:r>
    </w:p>
    <w:p w14:paraId="23B07E1C" w14:textId="0E93176D" w:rsidR="00DC3B6E" w:rsidRDefault="00DC3B6E" w:rsidP="00ED232A">
      <w:pPr>
        <w:pStyle w:val="ListParagraph"/>
        <w:spacing w:line="360" w:lineRule="auto"/>
        <w:ind w:left="0"/>
        <w:jc w:val="both"/>
        <w:rPr>
          <w:rFonts w:ascii="Arial" w:hAnsi="Arial" w:cs="Arial"/>
        </w:rPr>
      </w:pPr>
    </w:p>
    <w:p w14:paraId="44E2B1F1" w14:textId="5B66E723" w:rsidR="007F7175" w:rsidRDefault="00DC3B6E" w:rsidP="00130B41">
      <w:pPr>
        <w:pStyle w:val="ListParagraph"/>
        <w:spacing w:line="360" w:lineRule="auto"/>
        <w:ind w:left="0"/>
        <w:jc w:val="both"/>
        <w:rPr>
          <w:rFonts w:ascii="Arial" w:hAnsi="Arial" w:cs="Arial"/>
          <w:lang w:eastAsia="en-ZA"/>
        </w:rPr>
      </w:pPr>
      <w:r>
        <w:rPr>
          <w:rFonts w:ascii="Arial" w:hAnsi="Arial" w:cs="Arial"/>
        </w:rPr>
        <w:t>[</w:t>
      </w:r>
      <w:r w:rsidR="00C643CE">
        <w:rPr>
          <w:rFonts w:ascii="Arial" w:hAnsi="Arial" w:cs="Arial"/>
        </w:rPr>
        <w:t>3</w:t>
      </w:r>
      <w:r w:rsidR="00ED232A">
        <w:rPr>
          <w:rFonts w:ascii="Arial" w:hAnsi="Arial" w:cs="Arial"/>
        </w:rPr>
        <w:t>1</w:t>
      </w:r>
      <w:r>
        <w:rPr>
          <w:rFonts w:ascii="Arial" w:hAnsi="Arial" w:cs="Arial"/>
        </w:rPr>
        <w:t>]</w:t>
      </w:r>
      <w:r>
        <w:rPr>
          <w:rFonts w:ascii="Arial" w:hAnsi="Arial" w:cs="Arial"/>
        </w:rPr>
        <w:tab/>
        <w:t xml:space="preserve">The </w:t>
      </w:r>
      <w:r w:rsidR="007F7175">
        <w:rPr>
          <w:rFonts w:ascii="Arial" w:hAnsi="Arial" w:cs="Arial"/>
          <w:lang w:val="en-GB" w:eastAsia="en-ZA"/>
        </w:rPr>
        <w:t>appellant</w:t>
      </w:r>
      <w:r w:rsidR="00597A52">
        <w:rPr>
          <w:rFonts w:ascii="Arial" w:hAnsi="Arial" w:cs="Arial"/>
          <w:lang w:val="en-GB" w:eastAsia="en-ZA"/>
        </w:rPr>
        <w:t>’s</w:t>
      </w:r>
      <w:r w:rsidRPr="00B53F9A">
        <w:rPr>
          <w:rFonts w:ascii="Arial" w:hAnsi="Arial" w:cs="Arial"/>
          <w:lang w:val="en-GB" w:eastAsia="en-ZA"/>
        </w:rPr>
        <w:t xml:space="preserve"> prospects of success is in general an important </w:t>
      </w:r>
      <w:r w:rsidR="00130B41">
        <w:rPr>
          <w:rFonts w:ascii="Arial" w:hAnsi="Arial" w:cs="Arial"/>
          <w:lang w:val="en-GB" w:eastAsia="en-ZA"/>
        </w:rPr>
        <w:t xml:space="preserve">consideration </w:t>
      </w:r>
      <w:r w:rsidRPr="00B53F9A">
        <w:rPr>
          <w:rFonts w:ascii="Arial" w:hAnsi="Arial" w:cs="Arial"/>
          <w:lang w:val="en-GB" w:eastAsia="en-ZA"/>
        </w:rPr>
        <w:t>though not a decisive consideration</w:t>
      </w:r>
      <w:r>
        <w:rPr>
          <w:rFonts w:ascii="Arial" w:hAnsi="Arial" w:cs="Arial"/>
          <w:lang w:val="en-GB" w:eastAsia="en-ZA"/>
        </w:rPr>
        <w:t>.</w:t>
      </w:r>
      <w:r w:rsidR="00597A52">
        <w:rPr>
          <w:rFonts w:ascii="Arial" w:hAnsi="Arial" w:cs="Arial"/>
          <w:lang w:eastAsia="en-ZA"/>
        </w:rPr>
        <w:t xml:space="preserve"> </w:t>
      </w:r>
      <w:r w:rsidR="00C643CE" w:rsidRPr="00C643CE">
        <w:rPr>
          <w:rFonts w:ascii="Arial" w:hAnsi="Arial" w:cs="Arial"/>
        </w:rPr>
        <w:t xml:space="preserve">The prospects of success in this matter appear </w:t>
      </w:r>
      <w:r w:rsidR="00C643CE" w:rsidRPr="00C643CE">
        <w:rPr>
          <w:rFonts w:ascii="Arial" w:hAnsi="Arial" w:cs="Arial"/>
        </w:rPr>
        <w:lastRenderedPageBreak/>
        <w:t>from the founding affidavit</w:t>
      </w:r>
      <w:r w:rsidR="00C643CE">
        <w:rPr>
          <w:rStyle w:val="FootnoteReference"/>
          <w:rFonts w:ascii="Arial" w:hAnsi="Arial" w:cs="Arial"/>
        </w:rPr>
        <w:footnoteReference w:id="8"/>
      </w:r>
      <w:r w:rsidR="00C643CE" w:rsidRPr="00C643CE">
        <w:rPr>
          <w:rFonts w:ascii="Arial" w:hAnsi="Arial" w:cs="Arial"/>
        </w:rPr>
        <w:t xml:space="preserve"> to the application for condonation. The contents of such founding affidavit is incorporated into this condonation application</w:t>
      </w:r>
      <w:r w:rsidR="00C643CE">
        <w:rPr>
          <w:rFonts w:ascii="Arial" w:hAnsi="Arial" w:cs="Arial"/>
        </w:rPr>
        <w:t>.</w:t>
      </w:r>
      <w:r w:rsidR="00C643CE" w:rsidRPr="00C643CE">
        <w:rPr>
          <w:rFonts w:ascii="Arial" w:hAnsi="Arial" w:cs="Arial"/>
        </w:rPr>
        <w:t xml:space="preserve"> </w:t>
      </w:r>
      <w:r w:rsidR="00E05889">
        <w:rPr>
          <w:rFonts w:ascii="Arial" w:hAnsi="Arial" w:cs="Arial"/>
          <w:lang w:eastAsia="en-ZA"/>
        </w:rPr>
        <w:t>Counsel</w:t>
      </w:r>
      <w:r w:rsidR="00C643CE">
        <w:rPr>
          <w:rFonts w:ascii="Arial" w:hAnsi="Arial" w:cs="Arial"/>
          <w:lang w:eastAsia="en-ZA"/>
        </w:rPr>
        <w:t xml:space="preserve"> for the appellant argued that its appeal fall</w:t>
      </w:r>
      <w:r w:rsidR="00597A52">
        <w:rPr>
          <w:rFonts w:ascii="Arial" w:hAnsi="Arial" w:cs="Arial"/>
          <w:lang w:eastAsia="en-ZA"/>
        </w:rPr>
        <w:t>s</w:t>
      </w:r>
      <w:r w:rsidR="00C643CE">
        <w:rPr>
          <w:rFonts w:ascii="Arial" w:hAnsi="Arial" w:cs="Arial"/>
          <w:lang w:eastAsia="en-ZA"/>
        </w:rPr>
        <w:t xml:space="preserve"> with</w:t>
      </w:r>
      <w:r w:rsidR="0005202E">
        <w:rPr>
          <w:rFonts w:ascii="Arial" w:hAnsi="Arial" w:cs="Arial"/>
          <w:lang w:eastAsia="en-ZA"/>
        </w:rPr>
        <w:t>in</w:t>
      </w:r>
      <w:r w:rsidR="00C643CE">
        <w:rPr>
          <w:rFonts w:ascii="Arial" w:hAnsi="Arial" w:cs="Arial"/>
          <w:lang w:eastAsia="en-ZA"/>
        </w:rPr>
        <w:t xml:space="preserve"> the ambit of section 89 of the Act in that the arbitrator reached conclusions that are so perverse, that no reasonable arbitrator would have come to the same conclusion and that the arbitrator in some instances wrongly applied legal tests.  </w:t>
      </w:r>
      <w:r w:rsidR="00C643CE" w:rsidRPr="00C643CE">
        <w:rPr>
          <w:rFonts w:ascii="Arial" w:hAnsi="Arial" w:cs="Arial"/>
        </w:rPr>
        <w:t xml:space="preserve">The </w:t>
      </w:r>
      <w:r w:rsidR="00C643CE">
        <w:rPr>
          <w:rFonts w:ascii="Arial" w:hAnsi="Arial" w:cs="Arial"/>
        </w:rPr>
        <w:t>court is satisfied that the a</w:t>
      </w:r>
      <w:r w:rsidR="00C643CE" w:rsidRPr="00C643CE">
        <w:rPr>
          <w:rFonts w:ascii="Arial" w:hAnsi="Arial" w:cs="Arial"/>
        </w:rPr>
        <w:t>ppellant has clearly illustrated proper prospects of success for condonation to be granted.</w:t>
      </w:r>
      <w:r w:rsidR="00C643CE">
        <w:rPr>
          <w:rFonts w:ascii="Arial" w:hAnsi="Arial" w:cs="Arial"/>
          <w:lang w:eastAsia="en-ZA"/>
        </w:rPr>
        <w:t xml:space="preserve"> </w:t>
      </w:r>
    </w:p>
    <w:p w14:paraId="0EF9C48B" w14:textId="77777777" w:rsidR="003F147D" w:rsidRDefault="003F147D" w:rsidP="00130B41">
      <w:pPr>
        <w:pStyle w:val="ListParagraph"/>
        <w:spacing w:line="360" w:lineRule="auto"/>
        <w:ind w:left="0"/>
        <w:jc w:val="both"/>
        <w:rPr>
          <w:rFonts w:ascii="Arial" w:hAnsi="Arial" w:cs="Arial"/>
          <w:lang w:eastAsia="en-ZA"/>
        </w:rPr>
      </w:pPr>
    </w:p>
    <w:p w14:paraId="47D1461D" w14:textId="3E4EA9DA" w:rsidR="00F67403" w:rsidRDefault="00F67403" w:rsidP="006D5F85">
      <w:pPr>
        <w:shd w:val="clear" w:color="auto" w:fill="FFFFFF"/>
        <w:spacing w:after="0" w:line="360" w:lineRule="auto"/>
        <w:jc w:val="both"/>
        <w:rPr>
          <w:rFonts w:ascii="Arial" w:eastAsia="Times New Roman" w:hAnsi="Arial" w:cs="Arial"/>
          <w:sz w:val="24"/>
          <w:szCs w:val="24"/>
          <w:lang w:val="en-US" w:eastAsia="en-ZA"/>
        </w:rPr>
      </w:pPr>
      <w:r w:rsidRPr="00F67403">
        <w:rPr>
          <w:rFonts w:ascii="Arial" w:eastAsia="Times New Roman" w:hAnsi="Arial" w:cs="Arial"/>
          <w:sz w:val="24"/>
          <w:szCs w:val="24"/>
          <w:lang w:val="en-US" w:eastAsia="en-ZA"/>
        </w:rPr>
        <w:t>[</w:t>
      </w:r>
      <w:r w:rsidR="008735E1">
        <w:rPr>
          <w:rFonts w:ascii="Arial" w:eastAsia="Times New Roman" w:hAnsi="Arial" w:cs="Arial"/>
          <w:sz w:val="24"/>
          <w:szCs w:val="24"/>
          <w:lang w:val="en-US" w:eastAsia="en-ZA"/>
        </w:rPr>
        <w:t>3</w:t>
      </w:r>
      <w:r w:rsidR="00130B41">
        <w:rPr>
          <w:rFonts w:ascii="Arial" w:eastAsia="Times New Roman" w:hAnsi="Arial" w:cs="Arial"/>
          <w:sz w:val="24"/>
          <w:szCs w:val="24"/>
          <w:lang w:val="en-US" w:eastAsia="en-ZA"/>
        </w:rPr>
        <w:t>2</w:t>
      </w:r>
      <w:r w:rsidRPr="00F67403">
        <w:rPr>
          <w:rFonts w:ascii="Arial" w:eastAsia="Times New Roman" w:hAnsi="Arial" w:cs="Arial"/>
          <w:sz w:val="24"/>
          <w:szCs w:val="24"/>
          <w:lang w:val="en-US" w:eastAsia="en-ZA"/>
        </w:rPr>
        <w:t>]</w:t>
      </w:r>
      <w:r w:rsidR="00130B41">
        <w:rPr>
          <w:rFonts w:ascii="Arial" w:eastAsia="Times New Roman" w:hAnsi="Arial" w:cs="Arial"/>
          <w:sz w:val="24"/>
          <w:szCs w:val="24"/>
          <w:lang w:val="en-US" w:eastAsia="en-ZA"/>
        </w:rPr>
        <w:tab/>
      </w:r>
      <w:r w:rsidRPr="00F67403">
        <w:rPr>
          <w:rFonts w:ascii="Arial" w:eastAsia="Times New Roman" w:hAnsi="Arial" w:cs="Arial"/>
          <w:sz w:val="24"/>
          <w:szCs w:val="24"/>
          <w:lang w:eastAsia="en-ZA"/>
        </w:rPr>
        <w:t xml:space="preserve">It follows therefore that the appellant offered </w:t>
      </w:r>
      <w:r w:rsidR="00AC11BC">
        <w:rPr>
          <w:rFonts w:ascii="Arial" w:eastAsia="Times New Roman" w:hAnsi="Arial" w:cs="Arial"/>
          <w:sz w:val="24"/>
          <w:szCs w:val="24"/>
          <w:lang w:eastAsia="en-ZA"/>
        </w:rPr>
        <w:t>a</w:t>
      </w:r>
      <w:r w:rsidRPr="00F67403">
        <w:rPr>
          <w:rFonts w:ascii="Arial" w:eastAsia="Times New Roman" w:hAnsi="Arial" w:cs="Arial"/>
          <w:sz w:val="24"/>
          <w:szCs w:val="24"/>
          <w:lang w:eastAsia="en-ZA"/>
        </w:rPr>
        <w:t xml:space="preserve"> reasonable explanation for </w:t>
      </w:r>
      <w:r w:rsidR="00E05889">
        <w:rPr>
          <w:rFonts w:ascii="Arial" w:eastAsia="Times New Roman" w:hAnsi="Arial" w:cs="Arial"/>
          <w:sz w:val="24"/>
          <w:szCs w:val="24"/>
          <w:lang w:eastAsia="en-ZA"/>
        </w:rPr>
        <w:t xml:space="preserve">the </w:t>
      </w:r>
      <w:r w:rsidRPr="00F67403">
        <w:rPr>
          <w:rFonts w:ascii="Arial" w:eastAsia="Times New Roman" w:hAnsi="Arial" w:cs="Arial"/>
          <w:sz w:val="24"/>
          <w:szCs w:val="24"/>
          <w:lang w:eastAsia="en-ZA"/>
        </w:rPr>
        <w:t>delay.</w:t>
      </w:r>
      <w:r w:rsidRPr="00523A60">
        <w:rPr>
          <w:rFonts w:ascii="Arial" w:eastAsia="Times New Roman" w:hAnsi="Arial" w:cs="Arial"/>
          <w:sz w:val="24"/>
          <w:szCs w:val="24"/>
          <w:lang w:val="en-US" w:eastAsia="en-ZA"/>
        </w:rPr>
        <w:t xml:space="preserve">In view of the findings and conclusions stated herein above, I am of the considered opinion that the appellant provided a reasonable explanation for </w:t>
      </w:r>
      <w:r w:rsidR="00AC11BC">
        <w:rPr>
          <w:rFonts w:ascii="Arial" w:eastAsia="Times New Roman" w:hAnsi="Arial" w:cs="Arial"/>
          <w:sz w:val="24"/>
          <w:szCs w:val="24"/>
          <w:lang w:val="en-US" w:eastAsia="en-ZA"/>
        </w:rPr>
        <w:t>its failure to file the notice of amendment one day late</w:t>
      </w:r>
      <w:r w:rsidRPr="00523A60">
        <w:rPr>
          <w:rFonts w:ascii="Arial" w:eastAsia="Times New Roman" w:hAnsi="Arial" w:cs="Arial"/>
          <w:sz w:val="24"/>
          <w:szCs w:val="24"/>
          <w:lang w:val="en-US" w:eastAsia="en-ZA"/>
        </w:rPr>
        <w:t xml:space="preserve">. I am further of the view that the appellant </w:t>
      </w:r>
      <w:r w:rsidR="00AC11BC">
        <w:rPr>
          <w:rFonts w:ascii="Arial" w:eastAsia="Times New Roman" w:hAnsi="Arial" w:cs="Arial"/>
          <w:sz w:val="24"/>
          <w:szCs w:val="24"/>
          <w:lang w:val="en-US" w:eastAsia="en-ZA"/>
        </w:rPr>
        <w:t>succeeded</w:t>
      </w:r>
      <w:r w:rsidRPr="00523A60">
        <w:rPr>
          <w:rFonts w:ascii="Arial" w:eastAsia="Times New Roman" w:hAnsi="Arial" w:cs="Arial"/>
          <w:sz w:val="24"/>
          <w:szCs w:val="24"/>
          <w:lang w:val="en-US" w:eastAsia="en-ZA"/>
        </w:rPr>
        <w:t xml:space="preserve"> to demonstrate to this court that </w:t>
      </w:r>
      <w:r w:rsidR="00AD1204">
        <w:rPr>
          <w:rFonts w:ascii="Arial" w:eastAsia="Times New Roman" w:hAnsi="Arial" w:cs="Arial"/>
          <w:sz w:val="24"/>
          <w:szCs w:val="24"/>
          <w:lang w:val="en-US" w:eastAsia="en-ZA"/>
        </w:rPr>
        <w:t>it</w:t>
      </w:r>
      <w:r w:rsidRPr="00523A60">
        <w:rPr>
          <w:rFonts w:ascii="Arial" w:eastAsia="Times New Roman" w:hAnsi="Arial" w:cs="Arial"/>
          <w:sz w:val="24"/>
          <w:szCs w:val="24"/>
          <w:lang w:val="en-US" w:eastAsia="en-ZA"/>
        </w:rPr>
        <w:t xml:space="preserve"> has good prospects of success on appeal. As a result, the application for condonation for late filing of the </w:t>
      </w:r>
      <w:r w:rsidR="00332EDB">
        <w:rPr>
          <w:rFonts w:ascii="Arial" w:eastAsia="Times New Roman" w:hAnsi="Arial" w:cs="Arial"/>
          <w:sz w:val="24"/>
          <w:szCs w:val="24"/>
          <w:lang w:val="en-US" w:eastAsia="en-ZA"/>
        </w:rPr>
        <w:t xml:space="preserve">notice to amend the notice of appeal </w:t>
      </w:r>
      <w:r w:rsidRPr="00523A60">
        <w:rPr>
          <w:rFonts w:ascii="Arial" w:eastAsia="Times New Roman" w:hAnsi="Arial" w:cs="Arial"/>
          <w:sz w:val="24"/>
          <w:szCs w:val="24"/>
          <w:lang w:val="en-US" w:eastAsia="en-ZA"/>
        </w:rPr>
        <w:t>to be granted. This brings me to the next point to be decided upon.</w:t>
      </w:r>
    </w:p>
    <w:p w14:paraId="6E2A411B" w14:textId="77777777" w:rsidR="00960758" w:rsidRPr="00523A60" w:rsidRDefault="00960758" w:rsidP="006D5F85">
      <w:pPr>
        <w:shd w:val="clear" w:color="auto" w:fill="FFFFFF"/>
        <w:spacing w:after="0" w:line="360" w:lineRule="auto"/>
        <w:jc w:val="both"/>
        <w:rPr>
          <w:rFonts w:ascii="Arial" w:eastAsia="Times New Roman" w:hAnsi="Arial" w:cs="Arial"/>
          <w:sz w:val="24"/>
          <w:szCs w:val="24"/>
          <w:lang w:val="en-US" w:eastAsia="en-ZA"/>
        </w:rPr>
      </w:pPr>
    </w:p>
    <w:p w14:paraId="427B9F07" w14:textId="77777777" w:rsidR="00EB32F9" w:rsidRDefault="00EB32F9" w:rsidP="00E66C9E">
      <w:pPr>
        <w:shd w:val="clear" w:color="auto" w:fill="FFFFFF"/>
        <w:spacing w:after="0" w:line="360" w:lineRule="auto"/>
        <w:jc w:val="both"/>
        <w:rPr>
          <w:rFonts w:ascii="Arial" w:hAnsi="Arial" w:cs="Arial"/>
          <w:i/>
          <w:iCs/>
          <w:sz w:val="24"/>
          <w:szCs w:val="24"/>
          <w:lang w:eastAsia="en-ZA"/>
        </w:rPr>
      </w:pPr>
      <w:r w:rsidRPr="006D5F85">
        <w:rPr>
          <w:rFonts w:ascii="Arial" w:hAnsi="Arial" w:cs="Arial"/>
          <w:i/>
          <w:sz w:val="24"/>
          <w:szCs w:val="24"/>
          <w:lang w:eastAsia="en-ZA"/>
        </w:rPr>
        <w:t>Respondents’ alleged non-compliance with rule 17(16)</w:t>
      </w:r>
      <w:r w:rsidRPr="006D5F85">
        <w:rPr>
          <w:rFonts w:ascii="Arial" w:hAnsi="Arial" w:cs="Arial"/>
          <w:i/>
          <w:iCs/>
          <w:sz w:val="24"/>
          <w:szCs w:val="24"/>
          <w:lang w:eastAsia="en-ZA"/>
        </w:rPr>
        <w:t xml:space="preserve"> (b) of the Labour Court Rules</w:t>
      </w:r>
    </w:p>
    <w:p w14:paraId="0FFE0B8E" w14:textId="77777777" w:rsidR="00E66C9E" w:rsidRPr="006D5F85" w:rsidRDefault="00E66C9E" w:rsidP="00E66C9E">
      <w:pPr>
        <w:shd w:val="clear" w:color="auto" w:fill="FFFFFF"/>
        <w:spacing w:after="0" w:line="360" w:lineRule="auto"/>
        <w:jc w:val="both"/>
        <w:rPr>
          <w:rFonts w:ascii="Arial" w:hAnsi="Arial" w:cs="Arial"/>
          <w:i/>
          <w:iCs/>
          <w:sz w:val="24"/>
          <w:szCs w:val="24"/>
          <w:lang w:eastAsia="en-ZA"/>
        </w:rPr>
      </w:pPr>
    </w:p>
    <w:p w14:paraId="14F8E638" w14:textId="47460E15" w:rsidR="00523A60" w:rsidRDefault="00F67403" w:rsidP="003E2167">
      <w:pPr>
        <w:pStyle w:val="ListParagraph"/>
        <w:spacing w:line="360" w:lineRule="auto"/>
        <w:ind w:left="0"/>
        <w:jc w:val="both"/>
        <w:rPr>
          <w:rFonts w:ascii="Arial" w:hAnsi="Arial" w:cs="Arial"/>
        </w:rPr>
      </w:pPr>
      <w:r w:rsidRPr="00F67403">
        <w:rPr>
          <w:rFonts w:ascii="Arial" w:hAnsi="Arial" w:cs="Arial"/>
          <w:lang w:eastAsia="en-ZA"/>
        </w:rPr>
        <w:t>[</w:t>
      </w:r>
      <w:r w:rsidR="002857FC">
        <w:rPr>
          <w:rFonts w:ascii="Arial" w:hAnsi="Arial" w:cs="Arial"/>
          <w:lang w:eastAsia="en-ZA"/>
        </w:rPr>
        <w:t>3</w:t>
      </w:r>
      <w:r w:rsidR="006D5F85">
        <w:rPr>
          <w:rFonts w:ascii="Arial" w:hAnsi="Arial" w:cs="Arial"/>
          <w:lang w:eastAsia="en-ZA"/>
        </w:rPr>
        <w:t>3</w:t>
      </w:r>
      <w:r w:rsidRPr="00F67403">
        <w:rPr>
          <w:rFonts w:ascii="Arial" w:hAnsi="Arial" w:cs="Arial"/>
          <w:lang w:eastAsia="en-ZA"/>
        </w:rPr>
        <w:t>]</w:t>
      </w:r>
      <w:r>
        <w:rPr>
          <w:rFonts w:ascii="Arial" w:hAnsi="Arial" w:cs="Arial"/>
          <w:lang w:eastAsia="en-ZA"/>
        </w:rPr>
        <w:tab/>
      </w:r>
      <w:r w:rsidR="000136F0">
        <w:rPr>
          <w:rFonts w:ascii="Arial" w:eastAsia="Arial" w:hAnsi="Arial" w:cs="Arial"/>
          <w:color w:val="000000"/>
          <w:lang w:eastAsia="en-ZA"/>
        </w:rPr>
        <w:t>Rule 17(16)</w:t>
      </w:r>
      <w:r w:rsidR="000136F0" w:rsidRPr="006D5F85">
        <w:rPr>
          <w:rFonts w:ascii="Arial" w:eastAsia="Arial" w:hAnsi="Arial" w:cs="Arial"/>
          <w:i/>
          <w:color w:val="000000"/>
          <w:lang w:eastAsia="en-ZA"/>
        </w:rPr>
        <w:t>(b)</w:t>
      </w:r>
      <w:r w:rsidR="000136F0">
        <w:rPr>
          <w:rFonts w:ascii="Arial" w:eastAsia="Arial" w:hAnsi="Arial" w:cs="Arial"/>
          <w:color w:val="000000"/>
          <w:lang w:eastAsia="en-ZA"/>
        </w:rPr>
        <w:t xml:space="preserve"> of the rules requires any person opposing the appeal to file its grounds of opposition within 21 days after receipt of the copy of the record.</w:t>
      </w:r>
      <w:r w:rsidR="000136F0">
        <w:rPr>
          <w:rFonts w:ascii="Arial" w:hAnsi="Arial" w:cs="Arial"/>
        </w:rPr>
        <w:t xml:space="preserve"> It is important to note that t</w:t>
      </w:r>
      <w:r w:rsidR="000136F0">
        <w:rPr>
          <w:rFonts w:ascii="Arial" w:eastAsia="Arial" w:hAnsi="Arial" w:cs="Arial"/>
          <w:color w:val="000000"/>
          <w:lang w:eastAsia="en-ZA"/>
        </w:rPr>
        <w:t xml:space="preserve">he respondent received a copy of the record on 19 April 2022, the date on which the initial appeal was lodged. She was therefore required to file her grounds of opposition on or before 10 May 2022. </w:t>
      </w:r>
      <w:r w:rsidR="000136F0">
        <w:rPr>
          <w:rFonts w:ascii="Arial" w:hAnsi="Arial" w:cs="Arial"/>
        </w:rPr>
        <w:t xml:space="preserve">The appeal similarly lapsed on 10 May 2022 and reinstatement was thereafter ordered on 04 August 2022. Counsel for the </w:t>
      </w:r>
      <w:r w:rsidR="000136F0" w:rsidRPr="000136F0">
        <w:rPr>
          <w:rFonts w:ascii="Arial" w:hAnsi="Arial" w:cs="Arial"/>
        </w:rPr>
        <w:t xml:space="preserve">appellant </w:t>
      </w:r>
      <w:r w:rsidR="000136F0">
        <w:rPr>
          <w:rFonts w:ascii="Arial" w:hAnsi="Arial" w:cs="Arial"/>
        </w:rPr>
        <w:t xml:space="preserve">argues </w:t>
      </w:r>
      <w:r w:rsidR="000136F0" w:rsidRPr="000136F0">
        <w:rPr>
          <w:rFonts w:ascii="Arial" w:hAnsi="Arial" w:cs="Arial"/>
        </w:rPr>
        <w:t>that the respondent was required to file her grounds of opposition on 04 August 2022 when reinstatement was ordered</w:t>
      </w:r>
      <w:r w:rsidR="000136F0">
        <w:rPr>
          <w:rFonts w:ascii="Arial" w:hAnsi="Arial" w:cs="Arial"/>
        </w:rPr>
        <w:t xml:space="preserve">. It was further argued that the respondent was not afforded additional days to file her grounds of opposition, once reinstatement was ordered and is therefore in non-compliance with </w:t>
      </w:r>
      <w:r w:rsidR="006035BF">
        <w:rPr>
          <w:rFonts w:ascii="Arial" w:hAnsi="Arial" w:cs="Arial"/>
        </w:rPr>
        <w:t>r</w:t>
      </w:r>
      <w:r w:rsidR="000136F0">
        <w:rPr>
          <w:rFonts w:ascii="Arial" w:hAnsi="Arial" w:cs="Arial"/>
        </w:rPr>
        <w:t>ule 17(16)</w:t>
      </w:r>
      <w:r w:rsidR="000136F0" w:rsidRPr="006D5F85">
        <w:rPr>
          <w:rFonts w:ascii="Arial" w:hAnsi="Arial" w:cs="Arial"/>
          <w:i/>
        </w:rPr>
        <w:t>(b)</w:t>
      </w:r>
      <w:r w:rsidR="000136F0">
        <w:rPr>
          <w:rFonts w:ascii="Arial" w:hAnsi="Arial" w:cs="Arial"/>
        </w:rPr>
        <w:t>.</w:t>
      </w:r>
    </w:p>
    <w:p w14:paraId="28A3A4AA" w14:textId="77777777" w:rsidR="00960758" w:rsidRDefault="00960758" w:rsidP="003E2167">
      <w:pPr>
        <w:pStyle w:val="ListParagraph"/>
        <w:spacing w:line="360" w:lineRule="auto"/>
        <w:ind w:left="0"/>
        <w:jc w:val="both"/>
        <w:rPr>
          <w:rFonts w:ascii="Arial" w:hAnsi="Arial" w:cs="Arial"/>
        </w:rPr>
      </w:pPr>
    </w:p>
    <w:p w14:paraId="6979B86E" w14:textId="3BB14ACE" w:rsidR="00895D6B" w:rsidRDefault="00523A60" w:rsidP="007E0E62">
      <w:pPr>
        <w:pStyle w:val="ListParagraph"/>
        <w:spacing w:line="360" w:lineRule="auto"/>
        <w:ind w:left="0"/>
        <w:jc w:val="both"/>
        <w:rPr>
          <w:rFonts w:ascii="Arial" w:hAnsi="Arial" w:cs="Arial"/>
        </w:rPr>
      </w:pPr>
      <w:r>
        <w:rPr>
          <w:rFonts w:ascii="Arial" w:hAnsi="Arial" w:cs="Arial"/>
        </w:rPr>
        <w:lastRenderedPageBreak/>
        <w:t>[</w:t>
      </w:r>
      <w:r w:rsidR="002857FC">
        <w:rPr>
          <w:rFonts w:ascii="Arial" w:hAnsi="Arial" w:cs="Arial"/>
        </w:rPr>
        <w:t>3</w:t>
      </w:r>
      <w:r w:rsidR="00E66C9E">
        <w:rPr>
          <w:rFonts w:ascii="Arial" w:hAnsi="Arial" w:cs="Arial"/>
        </w:rPr>
        <w:t>4</w:t>
      </w:r>
      <w:r>
        <w:rPr>
          <w:rFonts w:ascii="Arial" w:hAnsi="Arial" w:cs="Arial"/>
        </w:rPr>
        <w:t>]</w:t>
      </w:r>
      <w:r>
        <w:rPr>
          <w:rFonts w:ascii="Arial" w:hAnsi="Arial" w:cs="Arial"/>
        </w:rPr>
        <w:tab/>
        <w:t xml:space="preserve">Counsel for the appellant </w:t>
      </w:r>
      <w:r w:rsidR="00895D6B">
        <w:rPr>
          <w:rFonts w:ascii="Arial" w:hAnsi="Arial" w:cs="Arial"/>
        </w:rPr>
        <w:t>in support of the above argument directed</w:t>
      </w:r>
      <w:r>
        <w:rPr>
          <w:rFonts w:ascii="Arial" w:hAnsi="Arial" w:cs="Arial"/>
        </w:rPr>
        <w:t xml:space="preserve"> the court to the matter of </w:t>
      </w:r>
      <w:r w:rsidRPr="00523A60">
        <w:rPr>
          <w:rFonts w:ascii="Arial" w:hAnsi="Arial" w:cs="Arial"/>
          <w:i/>
        </w:rPr>
        <w:t>Matuzee v Sihlahla</w:t>
      </w:r>
      <w:r>
        <w:rPr>
          <w:rStyle w:val="FootnoteReference"/>
          <w:rFonts w:ascii="Arial" w:hAnsi="Arial" w:cs="Arial"/>
        </w:rPr>
        <w:footnoteReference w:id="9"/>
      </w:r>
      <w:r w:rsidR="00895D6B">
        <w:rPr>
          <w:rFonts w:ascii="Arial" w:hAnsi="Arial" w:cs="Arial"/>
          <w:i/>
        </w:rPr>
        <w:t>,</w:t>
      </w:r>
      <w:r w:rsidR="00895D6B" w:rsidRPr="00895D6B">
        <w:rPr>
          <w:rFonts w:ascii="Arial" w:hAnsi="Arial" w:cs="Arial"/>
        </w:rPr>
        <w:t xml:space="preserve"> where</w:t>
      </w:r>
      <w:r w:rsidRPr="00895D6B">
        <w:rPr>
          <w:rFonts w:ascii="Arial" w:hAnsi="Arial" w:cs="Arial"/>
        </w:rPr>
        <w:t xml:space="preserve"> </w:t>
      </w:r>
      <w:r w:rsidRPr="00EB32F9">
        <w:rPr>
          <w:rFonts w:ascii="Arial" w:hAnsi="Arial" w:cs="Arial"/>
        </w:rPr>
        <w:t>Justice Parker</w:t>
      </w:r>
      <w:r w:rsidR="00895D6B">
        <w:rPr>
          <w:rFonts w:ascii="Arial" w:hAnsi="Arial" w:cs="Arial"/>
        </w:rPr>
        <w:t xml:space="preserve"> made the following remark in paragraph 22 of his judgment.</w:t>
      </w:r>
    </w:p>
    <w:p w14:paraId="28F0E2BA" w14:textId="77777777" w:rsidR="00960758" w:rsidRDefault="00960758" w:rsidP="007E0E62">
      <w:pPr>
        <w:pStyle w:val="ListParagraph"/>
        <w:spacing w:line="360" w:lineRule="auto"/>
        <w:ind w:left="0"/>
        <w:jc w:val="both"/>
        <w:rPr>
          <w:rFonts w:ascii="Arial" w:hAnsi="Arial" w:cs="Arial"/>
        </w:rPr>
      </w:pPr>
    </w:p>
    <w:p w14:paraId="7DA5398F" w14:textId="720F2119" w:rsidR="00895D6B" w:rsidRDefault="00895D6B" w:rsidP="007E0E62">
      <w:pPr>
        <w:pStyle w:val="ListParagraph"/>
        <w:spacing w:line="360" w:lineRule="auto"/>
        <w:ind w:left="0" w:firstLine="720"/>
        <w:jc w:val="both"/>
        <w:rPr>
          <w:rFonts w:ascii="Arial" w:hAnsi="Arial" w:cs="Arial"/>
          <w:sz w:val="22"/>
          <w:szCs w:val="20"/>
          <w:shd w:val="clear" w:color="auto" w:fill="FFFFFF"/>
        </w:rPr>
      </w:pPr>
      <w:r>
        <w:rPr>
          <w:rFonts w:ascii="Arial" w:hAnsi="Arial" w:cs="Arial"/>
          <w:sz w:val="22"/>
          <w:szCs w:val="20"/>
          <w:shd w:val="clear" w:color="auto" w:fill="FFFFFF"/>
        </w:rPr>
        <w:t>‘</w:t>
      </w:r>
      <w:r w:rsidR="00597A52">
        <w:rPr>
          <w:rFonts w:ascii="Arial" w:hAnsi="Arial" w:cs="Arial"/>
          <w:sz w:val="22"/>
          <w:szCs w:val="20"/>
          <w:shd w:val="clear" w:color="auto" w:fill="FFFFFF"/>
        </w:rPr>
        <w:t>[</w:t>
      </w:r>
      <w:r>
        <w:rPr>
          <w:rFonts w:ascii="Arial" w:hAnsi="Arial" w:cs="Arial"/>
          <w:sz w:val="22"/>
          <w:szCs w:val="20"/>
          <w:shd w:val="clear" w:color="auto" w:fill="FFFFFF"/>
        </w:rPr>
        <w:t>22</w:t>
      </w:r>
      <w:r w:rsidR="00597A52">
        <w:rPr>
          <w:rFonts w:ascii="Arial" w:hAnsi="Arial" w:cs="Arial"/>
          <w:sz w:val="22"/>
          <w:szCs w:val="20"/>
          <w:shd w:val="clear" w:color="auto" w:fill="FFFFFF"/>
        </w:rPr>
        <w:t>]</w:t>
      </w:r>
      <w:r w:rsidR="0018286C">
        <w:rPr>
          <w:rFonts w:ascii="Arial" w:hAnsi="Arial" w:cs="Arial"/>
          <w:sz w:val="22"/>
          <w:szCs w:val="20"/>
          <w:shd w:val="clear" w:color="auto" w:fill="FFFFFF"/>
        </w:rPr>
        <w:tab/>
      </w:r>
      <w:r w:rsidR="0018286C" w:rsidRPr="00895D6B">
        <w:rPr>
          <w:rFonts w:ascii="Arial" w:hAnsi="Arial" w:cs="Arial"/>
          <w:sz w:val="22"/>
          <w:szCs w:val="20"/>
          <w:shd w:val="clear" w:color="auto" w:fill="FFFFFF"/>
        </w:rPr>
        <w:t>The</w:t>
      </w:r>
      <w:r w:rsidRPr="00895D6B">
        <w:rPr>
          <w:rFonts w:ascii="Arial" w:hAnsi="Arial" w:cs="Arial"/>
          <w:sz w:val="22"/>
          <w:szCs w:val="20"/>
          <w:shd w:val="clear" w:color="auto" w:fill="FFFFFF"/>
        </w:rPr>
        <w:t xml:space="preserve"> reinstatement order must be interpreted broadly in order to give practical effect thereto. In my view the order must be interpreted to mean that the appeal which had lapsed has been revived. A new life, so to speak, has been breathed into the lapsed appeal’s limbs so that all the limbs are revived and alive – even those limbs of the lapsed appeal which are in possession of the respondent in the form of the record. In other words the reinstatement order must be interpreted to mean that the entire appeal, including the notice of appeal and the record is revived and is reinstated on the court’s appeal roll. </w:t>
      </w:r>
      <w:r w:rsidRPr="00895D6B">
        <w:rPr>
          <w:rFonts w:ascii="Arial" w:hAnsi="Arial" w:cs="Arial"/>
          <w:sz w:val="22"/>
          <w:szCs w:val="20"/>
          <w:u w:val="single"/>
          <w:shd w:val="clear" w:color="auto" w:fill="FFFFFF"/>
        </w:rPr>
        <w:t>The appeal is considered as if it had never lapsed.</w:t>
      </w:r>
      <w:r w:rsidRPr="00895D6B">
        <w:rPr>
          <w:rFonts w:ascii="Arial" w:hAnsi="Arial" w:cs="Arial"/>
          <w:sz w:val="22"/>
          <w:szCs w:val="20"/>
          <w:shd w:val="clear" w:color="auto" w:fill="FFFFFF"/>
        </w:rPr>
        <w:t xml:space="preserve"> Similarly, the copy of the record in possession of the respondent is revived so that there is no need to re-serve the record again on the respondent, after the reinstatement order.</w:t>
      </w:r>
      <w:r>
        <w:rPr>
          <w:rFonts w:ascii="Arial" w:hAnsi="Arial" w:cs="Arial"/>
          <w:sz w:val="22"/>
          <w:szCs w:val="20"/>
          <w:shd w:val="clear" w:color="auto" w:fill="FFFFFF"/>
        </w:rPr>
        <w:t>’(Emphasis on the underlining).</w:t>
      </w:r>
    </w:p>
    <w:p w14:paraId="3C36D2A9" w14:textId="77777777" w:rsidR="00960758" w:rsidRDefault="00960758" w:rsidP="002142E3">
      <w:pPr>
        <w:pStyle w:val="ListParagraph"/>
        <w:spacing w:line="360" w:lineRule="auto"/>
        <w:ind w:left="0" w:firstLine="720"/>
        <w:jc w:val="both"/>
        <w:rPr>
          <w:rFonts w:ascii="Arial" w:hAnsi="Arial" w:cs="Arial"/>
          <w:sz w:val="22"/>
          <w:szCs w:val="20"/>
          <w:shd w:val="clear" w:color="auto" w:fill="FFFFFF"/>
        </w:rPr>
      </w:pPr>
    </w:p>
    <w:p w14:paraId="469E2ED7" w14:textId="22ED7D69" w:rsidR="00895D6B" w:rsidRDefault="00895D6B" w:rsidP="002142E3">
      <w:pPr>
        <w:spacing w:after="0" w:line="360" w:lineRule="auto"/>
        <w:rPr>
          <w:rFonts w:ascii="Arial" w:hAnsi="Arial" w:cs="Arial"/>
          <w:sz w:val="24"/>
          <w:szCs w:val="20"/>
        </w:rPr>
      </w:pPr>
      <w:r w:rsidRPr="00895D6B">
        <w:rPr>
          <w:rFonts w:ascii="Arial" w:hAnsi="Arial" w:cs="Arial"/>
          <w:sz w:val="24"/>
          <w:szCs w:val="20"/>
        </w:rPr>
        <w:t>[</w:t>
      </w:r>
      <w:r w:rsidR="002857FC">
        <w:rPr>
          <w:rFonts w:ascii="Arial" w:hAnsi="Arial" w:cs="Arial"/>
          <w:sz w:val="24"/>
          <w:szCs w:val="20"/>
        </w:rPr>
        <w:t>3</w:t>
      </w:r>
      <w:r w:rsidR="003E2167">
        <w:rPr>
          <w:rFonts w:ascii="Arial" w:hAnsi="Arial" w:cs="Arial"/>
          <w:sz w:val="24"/>
          <w:szCs w:val="20"/>
        </w:rPr>
        <w:t>5</w:t>
      </w:r>
      <w:r w:rsidRPr="00895D6B">
        <w:rPr>
          <w:rFonts w:ascii="Arial" w:hAnsi="Arial" w:cs="Arial"/>
          <w:sz w:val="24"/>
          <w:szCs w:val="20"/>
        </w:rPr>
        <w:t>]</w:t>
      </w:r>
      <w:r w:rsidRPr="00895D6B">
        <w:rPr>
          <w:rFonts w:ascii="Arial" w:hAnsi="Arial" w:cs="Arial"/>
          <w:sz w:val="24"/>
          <w:szCs w:val="20"/>
        </w:rPr>
        <w:tab/>
      </w:r>
      <w:r>
        <w:rPr>
          <w:rFonts w:ascii="Arial" w:hAnsi="Arial" w:cs="Arial"/>
          <w:sz w:val="24"/>
          <w:szCs w:val="20"/>
        </w:rPr>
        <w:t xml:space="preserve">Counsel for the appellant further argued that the failure by the respondent to file the statement in terms of rule 17(16) on 04 August </w:t>
      </w:r>
      <w:r w:rsidR="00F6513D">
        <w:rPr>
          <w:rFonts w:ascii="Arial" w:hAnsi="Arial" w:cs="Arial"/>
          <w:sz w:val="24"/>
          <w:szCs w:val="20"/>
        </w:rPr>
        <w:t>2022, pushes</w:t>
      </w:r>
      <w:r>
        <w:rPr>
          <w:rFonts w:ascii="Arial" w:hAnsi="Arial" w:cs="Arial"/>
          <w:sz w:val="24"/>
          <w:szCs w:val="20"/>
        </w:rPr>
        <w:t xml:space="preserve"> them </w:t>
      </w:r>
      <w:r w:rsidR="00F6513D">
        <w:rPr>
          <w:rFonts w:ascii="Arial" w:hAnsi="Arial" w:cs="Arial"/>
          <w:sz w:val="24"/>
          <w:szCs w:val="20"/>
        </w:rPr>
        <w:t>of</w:t>
      </w:r>
      <w:r w:rsidR="00254C79">
        <w:rPr>
          <w:rFonts w:ascii="Arial" w:hAnsi="Arial" w:cs="Arial"/>
          <w:sz w:val="24"/>
          <w:szCs w:val="20"/>
        </w:rPr>
        <w:t>f</w:t>
      </w:r>
      <w:r w:rsidR="00F6513D">
        <w:rPr>
          <w:rFonts w:ascii="Arial" w:hAnsi="Arial" w:cs="Arial"/>
          <w:sz w:val="24"/>
          <w:szCs w:val="20"/>
        </w:rPr>
        <w:t xml:space="preserve"> the bus and the appeal therefore should be heard unopposed.</w:t>
      </w:r>
    </w:p>
    <w:p w14:paraId="1E3C761D" w14:textId="77777777" w:rsidR="00960758" w:rsidRPr="00895D6B" w:rsidRDefault="00960758" w:rsidP="002142E3">
      <w:pPr>
        <w:spacing w:after="0" w:line="360" w:lineRule="auto"/>
        <w:rPr>
          <w:rFonts w:ascii="Arial" w:hAnsi="Arial" w:cs="Arial"/>
          <w:sz w:val="24"/>
          <w:szCs w:val="20"/>
        </w:rPr>
      </w:pPr>
    </w:p>
    <w:p w14:paraId="3D77CCBE" w14:textId="278E4CB1" w:rsidR="00F67403" w:rsidRDefault="000136F0" w:rsidP="00AB0C0C">
      <w:pPr>
        <w:pStyle w:val="ListParagraph"/>
        <w:spacing w:line="360" w:lineRule="auto"/>
        <w:ind w:left="0"/>
        <w:contextualSpacing/>
        <w:jc w:val="both"/>
        <w:rPr>
          <w:rFonts w:ascii="Arial" w:hAnsi="Arial" w:cs="Arial"/>
          <w:lang w:eastAsia="en-ZA"/>
        </w:rPr>
      </w:pPr>
      <w:r>
        <w:rPr>
          <w:rFonts w:ascii="Arial" w:hAnsi="Arial" w:cs="Arial"/>
        </w:rPr>
        <w:t>[</w:t>
      </w:r>
      <w:r w:rsidR="002857FC">
        <w:rPr>
          <w:rFonts w:ascii="Arial" w:hAnsi="Arial" w:cs="Arial"/>
        </w:rPr>
        <w:t>3</w:t>
      </w:r>
      <w:r w:rsidR="002142E3">
        <w:rPr>
          <w:rFonts w:ascii="Arial" w:hAnsi="Arial" w:cs="Arial"/>
        </w:rPr>
        <w:t>6</w:t>
      </w:r>
      <w:r>
        <w:rPr>
          <w:rFonts w:ascii="Arial" w:hAnsi="Arial" w:cs="Arial"/>
        </w:rPr>
        <w:t>]</w:t>
      </w:r>
      <w:r>
        <w:rPr>
          <w:rFonts w:ascii="Arial" w:hAnsi="Arial" w:cs="Arial"/>
        </w:rPr>
        <w:tab/>
        <w:t>Rule 17(16) states</w:t>
      </w:r>
      <w:r>
        <w:rPr>
          <w:rFonts w:ascii="Arial" w:hAnsi="Arial" w:cs="Arial"/>
          <w:lang w:eastAsia="en-ZA"/>
        </w:rPr>
        <w:t xml:space="preserve"> the following:</w:t>
      </w:r>
    </w:p>
    <w:p w14:paraId="37F6584F" w14:textId="6446B04C" w:rsidR="000136F0" w:rsidRDefault="00D803A4" w:rsidP="00AB0C0C">
      <w:pPr>
        <w:pStyle w:val="ListParagraph"/>
        <w:tabs>
          <w:tab w:val="left" w:pos="1830"/>
        </w:tabs>
        <w:spacing w:line="360" w:lineRule="auto"/>
        <w:ind w:left="0"/>
        <w:contextualSpacing/>
        <w:jc w:val="both"/>
        <w:rPr>
          <w:rFonts w:ascii="Arial" w:hAnsi="Arial" w:cs="Arial"/>
          <w:lang w:eastAsia="en-ZA"/>
        </w:rPr>
      </w:pPr>
      <w:r>
        <w:rPr>
          <w:rFonts w:ascii="Arial" w:hAnsi="Arial" w:cs="Arial"/>
          <w:lang w:eastAsia="en-ZA"/>
        </w:rPr>
        <w:tab/>
      </w:r>
    </w:p>
    <w:p w14:paraId="00A6ACE3" w14:textId="77777777" w:rsidR="000136F0" w:rsidRDefault="000136F0" w:rsidP="00D803A4">
      <w:pPr>
        <w:pStyle w:val="ListParagraph"/>
        <w:spacing w:line="360" w:lineRule="auto"/>
        <w:contextualSpacing/>
        <w:jc w:val="both"/>
        <w:rPr>
          <w:rFonts w:ascii="Arial" w:hAnsi="Arial" w:cs="Arial"/>
          <w:sz w:val="22"/>
        </w:rPr>
      </w:pPr>
      <w:r>
        <w:rPr>
          <w:rFonts w:ascii="Arial" w:hAnsi="Arial" w:cs="Arial"/>
          <w:sz w:val="22"/>
        </w:rPr>
        <w:t>‘</w:t>
      </w:r>
      <w:r w:rsidRPr="000136F0">
        <w:rPr>
          <w:rFonts w:ascii="Arial" w:hAnsi="Arial" w:cs="Arial"/>
          <w:sz w:val="22"/>
        </w:rPr>
        <w:t>Should any person to whom the notice of appeal is delivered wish to oppose the appeal, he or she must-</w:t>
      </w:r>
    </w:p>
    <w:p w14:paraId="1543404F" w14:textId="77777777" w:rsidR="000136F0" w:rsidRPr="000136F0" w:rsidRDefault="000136F0" w:rsidP="000136F0">
      <w:pPr>
        <w:pStyle w:val="ListParagraph"/>
        <w:spacing w:after="160" w:line="360" w:lineRule="auto"/>
        <w:ind w:left="0" w:firstLine="720"/>
        <w:contextualSpacing/>
        <w:jc w:val="both"/>
        <w:rPr>
          <w:rFonts w:ascii="Arial" w:hAnsi="Arial" w:cs="Arial"/>
          <w:sz w:val="22"/>
        </w:rPr>
      </w:pPr>
    </w:p>
    <w:p w14:paraId="5006C0E2" w14:textId="77777777" w:rsidR="000136F0" w:rsidRDefault="000136F0" w:rsidP="005F7EA1">
      <w:pPr>
        <w:pStyle w:val="ListParagraph"/>
        <w:numPr>
          <w:ilvl w:val="0"/>
          <w:numId w:val="25"/>
        </w:numPr>
        <w:spacing w:after="160" w:line="360" w:lineRule="auto"/>
        <w:ind w:left="0" w:firstLine="851"/>
        <w:contextualSpacing/>
        <w:jc w:val="both"/>
        <w:rPr>
          <w:rFonts w:ascii="Arial" w:hAnsi="Arial" w:cs="Arial"/>
          <w:sz w:val="22"/>
        </w:rPr>
      </w:pPr>
      <w:r w:rsidRPr="000136F0">
        <w:rPr>
          <w:rFonts w:ascii="Arial" w:hAnsi="Arial" w:cs="Arial"/>
          <w:sz w:val="22"/>
        </w:rPr>
        <w:t>within 10 days after receipt by him or her of the notice of appeal or any amendment thereof, deliver notice to the appellant that he or she intends so to oppose the appeal on Form 12, and must in such notice appoint an address within eight kilometres of the office of the registrar at which he or she will accept notice and service of all process in the proceedings; and</w:t>
      </w:r>
    </w:p>
    <w:p w14:paraId="2E228D8F" w14:textId="77777777" w:rsidR="000136F0" w:rsidRPr="000136F0" w:rsidRDefault="000136F0" w:rsidP="00D803A4">
      <w:pPr>
        <w:pStyle w:val="ListParagraph"/>
        <w:spacing w:after="160" w:line="360" w:lineRule="auto"/>
        <w:ind w:left="0"/>
        <w:contextualSpacing/>
        <w:jc w:val="both"/>
        <w:rPr>
          <w:rFonts w:ascii="Arial" w:hAnsi="Arial" w:cs="Arial"/>
          <w:sz w:val="22"/>
        </w:rPr>
      </w:pPr>
    </w:p>
    <w:p w14:paraId="79998B9D" w14:textId="2F599766" w:rsidR="00697F2E" w:rsidRDefault="000136F0" w:rsidP="00D803A4">
      <w:pPr>
        <w:pStyle w:val="ListParagraph"/>
        <w:numPr>
          <w:ilvl w:val="0"/>
          <w:numId w:val="25"/>
        </w:numPr>
        <w:spacing w:after="160" w:line="360" w:lineRule="auto"/>
        <w:ind w:left="0" w:firstLine="0"/>
        <w:contextualSpacing/>
        <w:jc w:val="both"/>
        <w:rPr>
          <w:rFonts w:ascii="Arial" w:hAnsi="Arial" w:cs="Arial"/>
        </w:rPr>
      </w:pPr>
      <w:r w:rsidRPr="000136F0">
        <w:rPr>
          <w:rFonts w:ascii="Arial" w:hAnsi="Arial" w:cs="Arial"/>
          <w:sz w:val="22"/>
        </w:rPr>
        <w:t>within 21 days after receipt by him or her of a copy of the record of the proceedings appealed against, or where no such record is called for in the notice of appeal, within 14 days after delivery by him or her of the notice to oppose, deliver a statement stating the grounds on which he or she opposes the appeal together with any relevant documents.</w:t>
      </w:r>
      <w:r>
        <w:rPr>
          <w:rFonts w:ascii="Arial" w:hAnsi="Arial" w:cs="Arial"/>
        </w:rPr>
        <w:t>’</w:t>
      </w:r>
    </w:p>
    <w:p w14:paraId="048D5F82" w14:textId="77777777" w:rsidR="000136F0" w:rsidRPr="000136F0" w:rsidRDefault="000136F0" w:rsidP="000136F0">
      <w:pPr>
        <w:pStyle w:val="ListParagraph"/>
        <w:rPr>
          <w:rFonts w:ascii="Arial" w:hAnsi="Arial" w:cs="Arial"/>
        </w:rPr>
      </w:pPr>
    </w:p>
    <w:p w14:paraId="1C5F3FB5" w14:textId="3734C0BF" w:rsidR="00747975" w:rsidRDefault="00A02BA6" w:rsidP="00E144D8">
      <w:pPr>
        <w:pStyle w:val="ListParagraph"/>
        <w:spacing w:line="360" w:lineRule="auto"/>
        <w:ind w:left="0"/>
        <w:jc w:val="both"/>
        <w:rPr>
          <w:rFonts w:ascii="Arial" w:hAnsi="Arial" w:cs="Arial"/>
          <w:shd w:val="clear" w:color="auto" w:fill="FFFFFF"/>
        </w:rPr>
      </w:pPr>
      <w:r>
        <w:rPr>
          <w:rFonts w:ascii="Arial" w:hAnsi="Arial" w:cs="Arial"/>
          <w:shd w:val="clear" w:color="auto" w:fill="FFFFFF"/>
        </w:rPr>
        <w:t>[3</w:t>
      </w:r>
      <w:r w:rsidR="006035BF">
        <w:rPr>
          <w:rFonts w:ascii="Arial" w:hAnsi="Arial" w:cs="Arial"/>
          <w:shd w:val="clear" w:color="auto" w:fill="FFFFFF"/>
        </w:rPr>
        <w:t>7</w:t>
      </w:r>
      <w:r w:rsidR="007F0234">
        <w:rPr>
          <w:rFonts w:ascii="Arial" w:hAnsi="Arial" w:cs="Arial"/>
        </w:rPr>
        <w:t>]</w:t>
      </w:r>
      <w:r w:rsidR="007F0234">
        <w:rPr>
          <w:rFonts w:ascii="Arial" w:hAnsi="Arial" w:cs="Arial"/>
        </w:rPr>
        <w:tab/>
        <w:t xml:space="preserve">I </w:t>
      </w:r>
      <w:r w:rsidR="002F2220" w:rsidRPr="002F2220">
        <w:rPr>
          <w:rFonts w:ascii="Arial" w:hAnsi="Arial" w:cs="Arial"/>
          <w:shd w:val="clear" w:color="auto" w:fill="FFFFFF"/>
        </w:rPr>
        <w:t xml:space="preserve">must confess that I have a problem with </w:t>
      </w:r>
      <w:r w:rsidR="002F2220">
        <w:rPr>
          <w:rFonts w:ascii="Arial" w:hAnsi="Arial" w:cs="Arial"/>
          <w:shd w:val="clear" w:color="auto" w:fill="FFFFFF"/>
        </w:rPr>
        <w:t>Ms Kemp’s</w:t>
      </w:r>
      <w:r w:rsidR="002F2220" w:rsidRPr="002F2220">
        <w:rPr>
          <w:rFonts w:ascii="Arial" w:hAnsi="Arial" w:cs="Arial"/>
          <w:shd w:val="clear" w:color="auto" w:fill="FFFFFF"/>
        </w:rPr>
        <w:t xml:space="preserve"> argument in that it is too restrictive. It makes the purpose of </w:t>
      </w:r>
      <w:r w:rsidR="00DA5BF6">
        <w:rPr>
          <w:rFonts w:ascii="Arial" w:hAnsi="Arial" w:cs="Arial"/>
          <w:shd w:val="clear" w:color="auto" w:fill="FFFFFF"/>
        </w:rPr>
        <w:t xml:space="preserve">rule 17(16) </w:t>
      </w:r>
      <w:r w:rsidR="002F2220" w:rsidRPr="002F2220">
        <w:rPr>
          <w:rFonts w:ascii="Arial" w:hAnsi="Arial" w:cs="Arial"/>
          <w:shd w:val="clear" w:color="auto" w:fill="FFFFFF"/>
        </w:rPr>
        <w:t>almost meaningless. Furthermore, the interpretation is likely to lead to unintended and absurd consequences. Taken to its logical conclusion, it will mean that once the reinstatement order is granted</w:t>
      </w:r>
      <w:r w:rsidR="002F2220">
        <w:rPr>
          <w:rFonts w:ascii="Arial" w:hAnsi="Arial" w:cs="Arial"/>
          <w:shd w:val="clear" w:color="auto" w:fill="FFFFFF"/>
        </w:rPr>
        <w:t xml:space="preserve">, rule 17(16) is no longer applicable </w:t>
      </w:r>
      <w:r w:rsidR="00DA5BF6">
        <w:rPr>
          <w:rFonts w:ascii="Arial" w:hAnsi="Arial" w:cs="Arial"/>
          <w:shd w:val="clear" w:color="auto" w:fill="FFFFFF"/>
        </w:rPr>
        <w:t xml:space="preserve">and the </w:t>
      </w:r>
      <w:r w:rsidR="002F2220">
        <w:rPr>
          <w:rFonts w:ascii="Arial" w:hAnsi="Arial" w:cs="Arial"/>
          <w:shd w:val="clear" w:color="auto" w:fill="FFFFFF"/>
        </w:rPr>
        <w:t xml:space="preserve">respondent </w:t>
      </w:r>
      <w:r w:rsidR="00DA5BF6">
        <w:rPr>
          <w:rFonts w:ascii="Arial" w:hAnsi="Arial" w:cs="Arial"/>
          <w:shd w:val="clear" w:color="auto" w:fill="FFFFFF"/>
        </w:rPr>
        <w:t xml:space="preserve">who did not file the statement in terms of rule 17(16) on the lapsed appeal is barred from exercising their right to oppose the appeal. Further to the aforementioned, it would mean that the respondent should have filed documents on a dead </w:t>
      </w:r>
      <w:r w:rsidR="00747975">
        <w:rPr>
          <w:rFonts w:ascii="Arial" w:hAnsi="Arial" w:cs="Arial"/>
          <w:shd w:val="clear" w:color="auto" w:fill="FFFFFF"/>
        </w:rPr>
        <w:t xml:space="preserve">process that has no effect. </w:t>
      </w:r>
    </w:p>
    <w:p w14:paraId="794ACFB4" w14:textId="77777777" w:rsidR="00960758" w:rsidRDefault="00960758" w:rsidP="00E144D8">
      <w:pPr>
        <w:pStyle w:val="ListParagraph"/>
        <w:spacing w:line="360" w:lineRule="auto"/>
        <w:ind w:left="0"/>
        <w:jc w:val="both"/>
        <w:rPr>
          <w:rFonts w:ascii="Arial" w:hAnsi="Arial" w:cs="Arial"/>
          <w:shd w:val="clear" w:color="auto" w:fill="FFFFFF"/>
        </w:rPr>
      </w:pPr>
    </w:p>
    <w:p w14:paraId="7ADA4AB9" w14:textId="51318AEB" w:rsidR="00747975" w:rsidRDefault="00747975" w:rsidP="009E1CF0">
      <w:pPr>
        <w:pStyle w:val="ListParagraph"/>
        <w:spacing w:line="360" w:lineRule="auto"/>
        <w:ind w:left="0"/>
        <w:jc w:val="both"/>
        <w:rPr>
          <w:rFonts w:ascii="Arial" w:hAnsi="Arial" w:cs="Arial"/>
          <w:shd w:val="clear" w:color="auto" w:fill="FFFFFF"/>
        </w:rPr>
      </w:pPr>
      <w:r>
        <w:rPr>
          <w:rFonts w:ascii="Arial" w:hAnsi="Arial" w:cs="Arial"/>
          <w:shd w:val="clear" w:color="auto" w:fill="FFFFFF"/>
        </w:rPr>
        <w:t>[3</w:t>
      </w:r>
      <w:r w:rsidR="00E144D8">
        <w:rPr>
          <w:rFonts w:ascii="Arial" w:hAnsi="Arial" w:cs="Arial"/>
          <w:shd w:val="clear" w:color="auto" w:fill="FFFFFF"/>
        </w:rPr>
        <w:t>8</w:t>
      </w:r>
      <w:r>
        <w:rPr>
          <w:rFonts w:ascii="Arial" w:hAnsi="Arial" w:cs="Arial"/>
          <w:shd w:val="clear" w:color="auto" w:fill="FFFFFF"/>
        </w:rPr>
        <w:t>]</w:t>
      </w:r>
      <w:r>
        <w:rPr>
          <w:rFonts w:ascii="Arial" w:hAnsi="Arial" w:cs="Arial"/>
          <w:shd w:val="clear" w:color="auto" w:fill="FFFFFF"/>
        </w:rPr>
        <w:tab/>
        <w:t xml:space="preserve">I therefore disagree with the interpretation that Ms Kemp is giving to paragraph 22 of the </w:t>
      </w:r>
      <w:r w:rsidRPr="00747975">
        <w:rPr>
          <w:rFonts w:ascii="Arial" w:hAnsi="Arial" w:cs="Arial"/>
          <w:i/>
          <w:shd w:val="clear" w:color="auto" w:fill="FFFFFF"/>
        </w:rPr>
        <w:t>Matuzee</w:t>
      </w:r>
      <w:r>
        <w:rPr>
          <w:rFonts w:ascii="Arial" w:hAnsi="Arial" w:cs="Arial"/>
          <w:shd w:val="clear" w:color="auto" w:fill="FFFFFF"/>
        </w:rPr>
        <w:t xml:space="preserve"> matter.</w:t>
      </w:r>
      <w:r w:rsidR="00254C79">
        <w:rPr>
          <w:rFonts w:ascii="Arial" w:hAnsi="Arial" w:cs="Arial"/>
          <w:shd w:val="clear" w:color="auto" w:fill="FFFFFF"/>
        </w:rPr>
        <w:t xml:space="preserve"> </w:t>
      </w:r>
      <w:r w:rsidR="00A02BA6" w:rsidRPr="00A02BA6">
        <w:rPr>
          <w:rFonts w:ascii="Arial" w:hAnsi="Arial" w:cs="Arial"/>
          <w:shd w:val="clear" w:color="auto" w:fill="FFFFFF"/>
        </w:rPr>
        <w:t xml:space="preserve">I prefer </w:t>
      </w:r>
      <w:r w:rsidR="00A02BA6">
        <w:rPr>
          <w:rFonts w:ascii="Arial" w:hAnsi="Arial" w:cs="Arial"/>
          <w:shd w:val="clear" w:color="auto" w:fill="FFFFFF"/>
        </w:rPr>
        <w:t>Ms Kandjellas’</w:t>
      </w:r>
      <w:r w:rsidR="00A02BA6" w:rsidRPr="00A02BA6">
        <w:rPr>
          <w:rFonts w:ascii="Arial" w:hAnsi="Arial" w:cs="Arial"/>
          <w:shd w:val="clear" w:color="auto" w:fill="FFFFFF"/>
        </w:rPr>
        <w:t xml:space="preserve"> argument</w:t>
      </w:r>
      <w:r>
        <w:rPr>
          <w:rFonts w:ascii="Arial" w:hAnsi="Arial" w:cs="Arial"/>
          <w:shd w:val="clear" w:color="auto" w:fill="FFFFFF"/>
        </w:rPr>
        <w:t xml:space="preserve">, that the time the respondent ought to have filed her grounds of opposition to the appeal only starts to commence running once </w:t>
      </w:r>
      <w:r w:rsidR="00254C79">
        <w:rPr>
          <w:rFonts w:ascii="Arial" w:hAnsi="Arial" w:cs="Arial"/>
          <w:shd w:val="clear" w:color="auto" w:fill="FFFFFF"/>
        </w:rPr>
        <w:t>t</w:t>
      </w:r>
      <w:r>
        <w:rPr>
          <w:rFonts w:ascii="Arial" w:hAnsi="Arial" w:cs="Arial"/>
          <w:shd w:val="clear" w:color="auto" w:fill="FFFFFF"/>
        </w:rPr>
        <w:t>he appeal is alive again.</w:t>
      </w:r>
      <w:r w:rsidR="00A02BA6" w:rsidRPr="00A02BA6">
        <w:rPr>
          <w:rFonts w:ascii="Arial" w:hAnsi="Arial" w:cs="Arial"/>
          <w:shd w:val="clear" w:color="auto" w:fill="FFFFFF"/>
        </w:rPr>
        <w:t xml:space="preserve"> </w:t>
      </w:r>
      <w:r>
        <w:rPr>
          <w:rFonts w:ascii="Arial" w:hAnsi="Arial" w:cs="Arial"/>
          <w:shd w:val="clear" w:color="auto" w:fill="FFFFFF"/>
        </w:rPr>
        <w:t>The respondent would have 21 days to file her statement in terms of rule 17(16)</w:t>
      </w:r>
      <w:r w:rsidRPr="00E144D8">
        <w:rPr>
          <w:rFonts w:ascii="Arial" w:hAnsi="Arial" w:cs="Arial"/>
          <w:i/>
          <w:shd w:val="clear" w:color="auto" w:fill="FFFFFF"/>
        </w:rPr>
        <w:t>(b)</w:t>
      </w:r>
      <w:r>
        <w:rPr>
          <w:rFonts w:ascii="Arial" w:hAnsi="Arial" w:cs="Arial"/>
          <w:shd w:val="clear" w:color="auto" w:fill="FFFFFF"/>
        </w:rPr>
        <w:t xml:space="preserve"> since 4 August 2022. This 21 day period would then only lapse on 25 August 2022. The statement was filed by the respondent on 22 August 2022.</w:t>
      </w:r>
    </w:p>
    <w:p w14:paraId="460F136B" w14:textId="77777777" w:rsidR="00960758" w:rsidRDefault="00960758" w:rsidP="009E1CF0">
      <w:pPr>
        <w:pStyle w:val="ListParagraph"/>
        <w:spacing w:line="360" w:lineRule="auto"/>
        <w:ind w:left="0"/>
        <w:jc w:val="both"/>
        <w:rPr>
          <w:rFonts w:ascii="Arial" w:hAnsi="Arial" w:cs="Arial"/>
          <w:shd w:val="clear" w:color="auto" w:fill="FFFFFF"/>
        </w:rPr>
      </w:pPr>
    </w:p>
    <w:p w14:paraId="23719B43" w14:textId="35F80345" w:rsidR="000136F0" w:rsidRDefault="00747975" w:rsidP="00012F69">
      <w:pPr>
        <w:pStyle w:val="ListParagraph"/>
        <w:spacing w:line="360" w:lineRule="auto"/>
        <w:ind w:left="0"/>
        <w:jc w:val="both"/>
        <w:rPr>
          <w:rFonts w:ascii="Arial" w:hAnsi="Arial" w:cs="Arial"/>
          <w:shd w:val="clear" w:color="auto" w:fill="FFFFFF"/>
        </w:rPr>
      </w:pPr>
      <w:r>
        <w:rPr>
          <w:rFonts w:ascii="Arial" w:hAnsi="Arial" w:cs="Arial"/>
          <w:shd w:val="clear" w:color="auto" w:fill="FFFFFF"/>
        </w:rPr>
        <w:t>[3</w:t>
      </w:r>
      <w:r w:rsidR="009E1CF0">
        <w:rPr>
          <w:rFonts w:ascii="Arial" w:hAnsi="Arial" w:cs="Arial"/>
          <w:shd w:val="clear" w:color="auto" w:fill="FFFFFF"/>
        </w:rPr>
        <w:t>9</w:t>
      </w:r>
      <w:r>
        <w:rPr>
          <w:rFonts w:ascii="Arial" w:hAnsi="Arial" w:cs="Arial"/>
          <w:shd w:val="clear" w:color="auto" w:fill="FFFFFF"/>
        </w:rPr>
        <w:t>]</w:t>
      </w:r>
      <w:r w:rsidR="00955BD1">
        <w:rPr>
          <w:rFonts w:ascii="Arial" w:hAnsi="Arial" w:cs="Arial"/>
          <w:shd w:val="clear" w:color="auto" w:fill="FFFFFF"/>
        </w:rPr>
        <w:tab/>
      </w:r>
      <w:r w:rsidR="00A02BA6" w:rsidRPr="00A02BA6">
        <w:rPr>
          <w:rFonts w:ascii="Arial" w:hAnsi="Arial" w:cs="Arial"/>
          <w:shd w:val="clear" w:color="auto" w:fill="FFFFFF"/>
        </w:rPr>
        <w:t xml:space="preserve">The reinstatement order must be interpreted broadly in order to give practical effect thereto. In my view the order must be interpreted to mean that the appeal which had lapsed has been revived. Similarly, the </w:t>
      </w:r>
      <w:r w:rsidR="00955BD1">
        <w:rPr>
          <w:rFonts w:ascii="Arial" w:hAnsi="Arial" w:cs="Arial"/>
          <w:shd w:val="clear" w:color="auto" w:fill="FFFFFF"/>
        </w:rPr>
        <w:t xml:space="preserve">21 day period thus can only be said to run from the date that the appeal was revived and the respondent was not obliged to file grounds of opposition prior to the date of reinstatement, as the appeal was considered dead and without life and no obligation could flow from it. </w:t>
      </w:r>
    </w:p>
    <w:p w14:paraId="4B68C06B" w14:textId="77777777" w:rsidR="00960758" w:rsidRPr="00955BD1" w:rsidRDefault="00960758" w:rsidP="00012F69">
      <w:pPr>
        <w:pStyle w:val="ListParagraph"/>
        <w:spacing w:line="360" w:lineRule="auto"/>
        <w:ind w:left="0"/>
        <w:jc w:val="both"/>
        <w:rPr>
          <w:rFonts w:ascii="Arial" w:hAnsi="Arial" w:cs="Arial"/>
          <w:shd w:val="clear" w:color="auto" w:fill="FFFFFF"/>
        </w:rPr>
      </w:pPr>
    </w:p>
    <w:p w14:paraId="585E1D26" w14:textId="4E8402A9" w:rsidR="00B53F9A" w:rsidRDefault="00775A2E" w:rsidP="00012F69">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009E1CF0">
        <w:rPr>
          <w:rFonts w:ascii="Arial" w:hAnsi="Arial" w:cs="Arial"/>
          <w:sz w:val="24"/>
          <w:szCs w:val="24"/>
          <w:shd w:val="clear" w:color="auto" w:fill="FFFFFF"/>
        </w:rPr>
        <w:t>40</w:t>
      </w:r>
      <w:r>
        <w:rPr>
          <w:rFonts w:ascii="Arial" w:hAnsi="Arial" w:cs="Arial"/>
          <w:sz w:val="24"/>
          <w:szCs w:val="24"/>
          <w:shd w:val="clear" w:color="auto" w:fill="FFFFFF"/>
        </w:rPr>
        <w:t>]</w:t>
      </w:r>
      <w:r>
        <w:rPr>
          <w:rFonts w:ascii="Arial" w:hAnsi="Arial" w:cs="Arial"/>
          <w:sz w:val="24"/>
          <w:szCs w:val="24"/>
          <w:shd w:val="clear" w:color="auto" w:fill="FFFFFF"/>
        </w:rPr>
        <w:tab/>
      </w:r>
      <w:r w:rsidRPr="00775A2E">
        <w:rPr>
          <w:rFonts w:ascii="Arial" w:hAnsi="Arial" w:cs="Arial"/>
          <w:sz w:val="24"/>
          <w:szCs w:val="24"/>
          <w:shd w:val="clear" w:color="auto" w:fill="FFFFFF"/>
        </w:rPr>
        <w:t xml:space="preserve">In the light of the view I have taken with regard to the </w:t>
      </w:r>
      <w:r>
        <w:rPr>
          <w:rFonts w:ascii="Arial" w:hAnsi="Arial" w:cs="Arial"/>
          <w:sz w:val="24"/>
          <w:szCs w:val="24"/>
          <w:shd w:val="clear" w:color="auto" w:fill="FFFFFF"/>
        </w:rPr>
        <w:t>appellants</w:t>
      </w:r>
      <w:r w:rsidRPr="00775A2E">
        <w:rPr>
          <w:rFonts w:ascii="Arial" w:hAnsi="Arial" w:cs="Arial"/>
          <w:sz w:val="24"/>
          <w:szCs w:val="24"/>
          <w:shd w:val="clear" w:color="auto" w:fill="FFFFFF"/>
        </w:rPr>
        <w:t xml:space="preserve"> interpretation of the consequence of the re-instatement order, I am further of the considered view that the </w:t>
      </w:r>
      <w:r>
        <w:rPr>
          <w:rFonts w:ascii="Arial" w:hAnsi="Arial" w:cs="Arial"/>
          <w:sz w:val="24"/>
          <w:szCs w:val="24"/>
          <w:shd w:val="clear" w:color="auto" w:fill="FFFFFF"/>
        </w:rPr>
        <w:t>respondent did not fail to adhere to the provisions of rule 17(16)</w:t>
      </w:r>
      <w:r w:rsidRPr="00012F69">
        <w:rPr>
          <w:rFonts w:ascii="Arial" w:hAnsi="Arial" w:cs="Arial"/>
          <w:i/>
          <w:sz w:val="24"/>
          <w:szCs w:val="24"/>
          <w:shd w:val="clear" w:color="auto" w:fill="FFFFFF"/>
        </w:rPr>
        <w:t>(b)</w:t>
      </w:r>
      <w:r w:rsidRPr="00775A2E">
        <w:rPr>
          <w:rFonts w:ascii="Arial" w:hAnsi="Arial" w:cs="Arial"/>
          <w:sz w:val="24"/>
          <w:szCs w:val="24"/>
          <w:shd w:val="clear" w:color="auto" w:fill="FFFFFF"/>
        </w:rPr>
        <w:t xml:space="preserve"> </w:t>
      </w:r>
      <w:r>
        <w:rPr>
          <w:rFonts w:ascii="Arial" w:hAnsi="Arial" w:cs="Arial"/>
          <w:sz w:val="24"/>
          <w:szCs w:val="24"/>
          <w:shd w:val="clear" w:color="auto" w:fill="FFFFFF"/>
        </w:rPr>
        <w:t>and as a</w:t>
      </w:r>
      <w:r w:rsidRPr="00775A2E">
        <w:rPr>
          <w:rFonts w:ascii="Arial" w:hAnsi="Arial" w:cs="Arial"/>
          <w:sz w:val="24"/>
          <w:szCs w:val="24"/>
          <w:shd w:val="clear" w:color="auto" w:fill="FFFFFF"/>
        </w:rPr>
        <w:t xml:space="preserve"> result </w:t>
      </w:r>
      <w:r w:rsidR="007B5804">
        <w:rPr>
          <w:rFonts w:ascii="Arial" w:hAnsi="Arial" w:cs="Arial"/>
          <w:sz w:val="24"/>
          <w:szCs w:val="24"/>
          <w:shd w:val="clear" w:color="auto" w:fill="FFFFFF"/>
        </w:rPr>
        <w:t xml:space="preserve">the </w:t>
      </w:r>
      <w:r w:rsidRPr="00775A2E">
        <w:rPr>
          <w:rFonts w:ascii="Arial" w:hAnsi="Arial" w:cs="Arial"/>
          <w:sz w:val="24"/>
          <w:szCs w:val="24"/>
          <w:shd w:val="clear" w:color="auto" w:fill="FFFFFF"/>
        </w:rPr>
        <w:t>respondent</w:t>
      </w:r>
      <w:r>
        <w:rPr>
          <w:rFonts w:ascii="Arial" w:hAnsi="Arial" w:cs="Arial"/>
          <w:sz w:val="24"/>
          <w:szCs w:val="24"/>
          <w:shd w:val="clear" w:color="auto" w:fill="FFFFFF"/>
        </w:rPr>
        <w:t xml:space="preserve"> cannot be </w:t>
      </w:r>
      <w:r w:rsidRPr="00775A2E">
        <w:rPr>
          <w:rFonts w:ascii="Arial" w:hAnsi="Arial" w:cs="Arial"/>
          <w:sz w:val="24"/>
          <w:szCs w:val="24"/>
          <w:shd w:val="clear" w:color="auto" w:fill="FFFFFF"/>
        </w:rPr>
        <w:t>subjected to a bar to file its statement in terms of rule 17(16)</w:t>
      </w:r>
      <w:r w:rsidRPr="00775A2E">
        <w:rPr>
          <w:rStyle w:val="Emphasis"/>
          <w:rFonts w:ascii="Arial" w:hAnsi="Arial" w:cs="Arial"/>
          <w:sz w:val="24"/>
          <w:szCs w:val="24"/>
          <w:shd w:val="clear" w:color="auto" w:fill="FFFFFF"/>
        </w:rPr>
        <w:t>(b)</w:t>
      </w:r>
      <w:r w:rsidRPr="00775A2E">
        <w:rPr>
          <w:rFonts w:ascii="Arial" w:hAnsi="Arial" w:cs="Arial"/>
          <w:sz w:val="24"/>
          <w:szCs w:val="24"/>
          <w:shd w:val="clear" w:color="auto" w:fill="FFFFFF"/>
        </w:rPr>
        <w:t xml:space="preserve">. I am of the further view that this is an appropriate case where this court, in the exercise of its inherent jurisdiction and in the interests of justice, may </w:t>
      </w:r>
      <w:r>
        <w:rPr>
          <w:rFonts w:ascii="Arial" w:hAnsi="Arial" w:cs="Arial"/>
          <w:sz w:val="24"/>
          <w:szCs w:val="24"/>
          <w:shd w:val="clear" w:color="auto" w:fill="FFFFFF"/>
        </w:rPr>
        <w:t>direct that the 21 days</w:t>
      </w:r>
      <w:r w:rsidR="00BD499D">
        <w:rPr>
          <w:rFonts w:ascii="Arial" w:hAnsi="Arial" w:cs="Arial"/>
          <w:sz w:val="24"/>
          <w:szCs w:val="24"/>
          <w:shd w:val="clear" w:color="auto" w:fill="FFFFFF"/>
        </w:rPr>
        <w:t xml:space="preserve"> starts running from the date on which the appeal was reinstated,</w:t>
      </w:r>
      <w:r w:rsidRPr="00775A2E">
        <w:rPr>
          <w:rFonts w:ascii="Arial" w:hAnsi="Arial" w:cs="Arial"/>
          <w:sz w:val="24"/>
          <w:szCs w:val="24"/>
          <w:shd w:val="clear" w:color="auto" w:fill="FFFFFF"/>
        </w:rPr>
        <w:t xml:space="preserve"> which I accordingly do.</w:t>
      </w:r>
    </w:p>
    <w:p w14:paraId="0CAAACD4" w14:textId="77777777" w:rsidR="00960758" w:rsidRDefault="00960758" w:rsidP="00012F69">
      <w:pPr>
        <w:shd w:val="clear" w:color="auto" w:fill="FFFFFF"/>
        <w:spacing w:after="0" w:line="360" w:lineRule="auto"/>
        <w:jc w:val="both"/>
        <w:rPr>
          <w:rFonts w:ascii="Arial" w:hAnsi="Arial" w:cs="Arial"/>
          <w:sz w:val="24"/>
          <w:szCs w:val="24"/>
          <w:shd w:val="clear" w:color="auto" w:fill="FFFFFF"/>
        </w:rPr>
      </w:pPr>
    </w:p>
    <w:p w14:paraId="2D912368" w14:textId="2910FFC7" w:rsidR="00725123" w:rsidRDefault="00BD499D" w:rsidP="007E0E62">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w:t>
      </w:r>
      <w:r w:rsidR="002857FC">
        <w:rPr>
          <w:rFonts w:ascii="Arial" w:hAnsi="Arial" w:cs="Arial"/>
          <w:sz w:val="24"/>
          <w:szCs w:val="24"/>
          <w:shd w:val="clear" w:color="auto" w:fill="FFFFFF"/>
        </w:rPr>
        <w:t>4</w:t>
      </w:r>
      <w:r w:rsidR="00012F69">
        <w:rPr>
          <w:rFonts w:ascii="Arial" w:hAnsi="Arial" w:cs="Arial"/>
          <w:sz w:val="24"/>
          <w:szCs w:val="24"/>
          <w:shd w:val="clear" w:color="auto" w:fill="FFFFFF"/>
        </w:rPr>
        <w:t>1</w:t>
      </w:r>
      <w:r>
        <w:rPr>
          <w:rFonts w:ascii="Arial" w:hAnsi="Arial" w:cs="Arial"/>
          <w:sz w:val="24"/>
          <w:szCs w:val="24"/>
          <w:shd w:val="clear" w:color="auto" w:fill="FFFFFF"/>
        </w:rPr>
        <w:t>]</w:t>
      </w:r>
      <w:r>
        <w:rPr>
          <w:rFonts w:ascii="Arial" w:hAnsi="Arial" w:cs="Arial"/>
          <w:sz w:val="24"/>
          <w:szCs w:val="24"/>
          <w:shd w:val="clear" w:color="auto" w:fill="FFFFFF"/>
        </w:rPr>
        <w:tab/>
      </w:r>
      <w:r w:rsidR="00725123" w:rsidRPr="00725123">
        <w:rPr>
          <w:rFonts w:ascii="Arial" w:hAnsi="Arial" w:cs="Arial"/>
          <w:sz w:val="24"/>
          <w:szCs w:val="24"/>
          <w:shd w:val="clear" w:color="auto" w:fill="FFFFFF"/>
        </w:rPr>
        <w:t xml:space="preserve">It follows therefore from the above that the default position is that, once an appeal is reinstated, the period of </w:t>
      </w:r>
      <w:r>
        <w:rPr>
          <w:rFonts w:ascii="Arial" w:hAnsi="Arial" w:cs="Arial"/>
          <w:sz w:val="24"/>
          <w:szCs w:val="24"/>
          <w:shd w:val="clear" w:color="auto" w:fill="FFFFFF"/>
        </w:rPr>
        <w:t>21</w:t>
      </w:r>
      <w:r w:rsidR="00725123" w:rsidRPr="00725123">
        <w:rPr>
          <w:rFonts w:ascii="Arial" w:hAnsi="Arial" w:cs="Arial"/>
          <w:sz w:val="24"/>
          <w:szCs w:val="24"/>
          <w:shd w:val="clear" w:color="auto" w:fill="FFFFFF"/>
        </w:rPr>
        <w:t xml:space="preserve"> days stipulated by rule 17(</w:t>
      </w:r>
      <w:r>
        <w:rPr>
          <w:rFonts w:ascii="Arial" w:hAnsi="Arial" w:cs="Arial"/>
          <w:sz w:val="24"/>
          <w:szCs w:val="24"/>
          <w:shd w:val="clear" w:color="auto" w:fill="FFFFFF"/>
        </w:rPr>
        <w:t>16</w:t>
      </w:r>
      <w:r w:rsidR="00725123" w:rsidRPr="00725123">
        <w:rPr>
          <w:rFonts w:ascii="Arial" w:hAnsi="Arial" w:cs="Arial"/>
          <w:sz w:val="24"/>
          <w:szCs w:val="24"/>
          <w:shd w:val="clear" w:color="auto" w:fill="FFFFFF"/>
        </w:rPr>
        <w:t>)</w:t>
      </w:r>
      <w:r w:rsidRPr="00A11D42">
        <w:rPr>
          <w:rFonts w:ascii="Arial" w:hAnsi="Arial" w:cs="Arial"/>
          <w:i/>
          <w:sz w:val="24"/>
          <w:szCs w:val="24"/>
          <w:shd w:val="clear" w:color="auto" w:fill="FFFFFF"/>
        </w:rPr>
        <w:t>(b)</w:t>
      </w:r>
      <w:r>
        <w:rPr>
          <w:rFonts w:ascii="Arial" w:hAnsi="Arial" w:cs="Arial"/>
          <w:sz w:val="24"/>
          <w:szCs w:val="24"/>
          <w:shd w:val="clear" w:color="auto" w:fill="FFFFFF"/>
        </w:rPr>
        <w:t xml:space="preserve"> </w:t>
      </w:r>
      <w:r w:rsidR="00725123" w:rsidRPr="00725123">
        <w:rPr>
          <w:rFonts w:ascii="Arial" w:hAnsi="Arial" w:cs="Arial"/>
          <w:sz w:val="24"/>
          <w:szCs w:val="24"/>
          <w:shd w:val="clear" w:color="auto" w:fill="FFFFFF"/>
        </w:rPr>
        <w:t xml:space="preserve">commences to run and within which period </w:t>
      </w:r>
      <w:r>
        <w:rPr>
          <w:rFonts w:ascii="Arial" w:hAnsi="Arial" w:cs="Arial"/>
          <w:sz w:val="24"/>
          <w:szCs w:val="24"/>
          <w:shd w:val="clear" w:color="auto" w:fill="FFFFFF"/>
        </w:rPr>
        <w:t xml:space="preserve">a respondent must </w:t>
      </w:r>
      <w:r w:rsidRPr="00BD499D">
        <w:rPr>
          <w:rFonts w:ascii="Arial" w:hAnsi="Arial" w:cs="Arial"/>
          <w:sz w:val="24"/>
          <w:szCs w:val="24"/>
        </w:rPr>
        <w:t>deliver a statement stating the grounds on which he or she opposes the appeal together with any relevant documents</w:t>
      </w:r>
      <w:r w:rsidR="00725123" w:rsidRPr="00BD499D">
        <w:rPr>
          <w:rFonts w:ascii="Arial" w:hAnsi="Arial" w:cs="Arial"/>
          <w:sz w:val="24"/>
          <w:szCs w:val="24"/>
          <w:shd w:val="clear" w:color="auto" w:fill="FFFFFF"/>
        </w:rPr>
        <w:t>.</w:t>
      </w:r>
      <w:r w:rsidR="00725123" w:rsidRPr="00725123">
        <w:rPr>
          <w:rFonts w:ascii="Arial" w:hAnsi="Arial" w:cs="Arial"/>
          <w:sz w:val="24"/>
          <w:szCs w:val="24"/>
          <w:shd w:val="clear" w:color="auto" w:fill="FFFFFF"/>
        </w:rPr>
        <w:t xml:space="preserve"> </w:t>
      </w:r>
    </w:p>
    <w:p w14:paraId="0AB50055" w14:textId="77777777" w:rsidR="00960758" w:rsidRDefault="00960758" w:rsidP="007E0E62">
      <w:pPr>
        <w:shd w:val="clear" w:color="auto" w:fill="FFFFFF"/>
        <w:spacing w:after="0" w:line="360" w:lineRule="auto"/>
        <w:jc w:val="both"/>
        <w:rPr>
          <w:rFonts w:ascii="Arial" w:hAnsi="Arial" w:cs="Arial"/>
          <w:sz w:val="24"/>
          <w:szCs w:val="24"/>
          <w:shd w:val="clear" w:color="auto" w:fill="FFFFFF"/>
        </w:rPr>
      </w:pPr>
    </w:p>
    <w:p w14:paraId="34081623" w14:textId="702818ED" w:rsidR="00955BD1" w:rsidRDefault="00955BD1" w:rsidP="007E0E62">
      <w:pPr>
        <w:shd w:val="clear" w:color="auto" w:fill="FFFFFF"/>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[4</w:t>
      </w:r>
      <w:r w:rsidR="00A11D42">
        <w:rPr>
          <w:rFonts w:ascii="Arial" w:hAnsi="Arial" w:cs="Arial"/>
          <w:sz w:val="24"/>
          <w:szCs w:val="24"/>
          <w:shd w:val="clear" w:color="auto" w:fill="FFFFFF"/>
        </w:rPr>
        <w:t>2</w:t>
      </w:r>
      <w:r>
        <w:rPr>
          <w:rFonts w:ascii="Arial" w:hAnsi="Arial" w:cs="Arial"/>
          <w:sz w:val="24"/>
          <w:szCs w:val="24"/>
          <w:shd w:val="clear" w:color="auto" w:fill="FFFFFF"/>
        </w:rPr>
        <w:t>]</w:t>
      </w:r>
      <w:r>
        <w:rPr>
          <w:rFonts w:ascii="Arial" w:hAnsi="Arial" w:cs="Arial"/>
          <w:sz w:val="24"/>
          <w:szCs w:val="24"/>
          <w:shd w:val="clear" w:color="auto" w:fill="FFFFFF"/>
        </w:rPr>
        <w:tab/>
        <w:t>The appeal should therefore be considered opposed.</w:t>
      </w:r>
    </w:p>
    <w:p w14:paraId="35460FE3" w14:textId="0BE58EC0" w:rsidR="00D97CC0" w:rsidRPr="00081424" w:rsidRDefault="00D97CC0" w:rsidP="00D97CC0">
      <w:pPr>
        <w:shd w:val="clear" w:color="auto" w:fill="FFFFFF"/>
        <w:spacing w:after="0" w:line="360" w:lineRule="auto"/>
        <w:jc w:val="both"/>
        <w:rPr>
          <w:rFonts w:ascii="Arial" w:eastAsia="Times New Roman" w:hAnsi="Arial" w:cs="Arial"/>
          <w:i/>
          <w:sz w:val="24"/>
          <w:szCs w:val="24"/>
          <w:lang w:val="af-ZA" w:eastAsia="en-ZA"/>
        </w:rPr>
      </w:pPr>
      <w:r w:rsidRPr="00081424">
        <w:rPr>
          <w:rFonts w:ascii="Arial" w:eastAsia="Times New Roman" w:hAnsi="Arial" w:cs="Arial"/>
          <w:i/>
          <w:sz w:val="24"/>
          <w:szCs w:val="24"/>
          <w:lang w:val="af-ZA" w:eastAsia="en-ZA"/>
        </w:rPr>
        <w:t>Appellants’ alledged failure to provide evidence  that it authorised and it had given the necessary resolve to lodge this appeal</w:t>
      </w:r>
      <w:r w:rsidR="005B2159">
        <w:rPr>
          <w:rFonts w:ascii="Arial" w:eastAsia="Times New Roman" w:hAnsi="Arial" w:cs="Arial"/>
          <w:i/>
          <w:sz w:val="24"/>
          <w:szCs w:val="24"/>
          <w:lang w:val="af-ZA" w:eastAsia="en-ZA"/>
        </w:rPr>
        <w:t>.</w:t>
      </w:r>
    </w:p>
    <w:p w14:paraId="5BDC42C4" w14:textId="77777777" w:rsidR="00D97CC0" w:rsidRDefault="00D97CC0" w:rsidP="00D97CC0">
      <w:pPr>
        <w:shd w:val="clear" w:color="auto" w:fill="FFFFFF"/>
        <w:spacing w:after="0" w:line="360" w:lineRule="auto"/>
        <w:jc w:val="both"/>
        <w:rPr>
          <w:rFonts w:ascii="Arial" w:eastAsia="Times New Roman" w:hAnsi="Arial" w:cs="Arial"/>
          <w:color w:val="242121"/>
          <w:sz w:val="24"/>
          <w:szCs w:val="24"/>
          <w:shd w:val="clear" w:color="auto" w:fill="FFFFFF"/>
          <w:lang w:eastAsia="en-ZA"/>
        </w:rPr>
      </w:pPr>
    </w:p>
    <w:p w14:paraId="3BACBA54" w14:textId="580D00ED" w:rsidR="00B501CB" w:rsidRDefault="00685C34" w:rsidP="00DC023F">
      <w:pPr>
        <w:pStyle w:val="Header"/>
        <w:tabs>
          <w:tab w:val="clear" w:pos="4513"/>
          <w:tab w:val="clear" w:pos="9026"/>
          <w:tab w:val="right" w:pos="0"/>
        </w:tabs>
        <w:spacing w:line="360" w:lineRule="auto"/>
        <w:jc w:val="both"/>
        <w:rPr>
          <w:rFonts w:ascii="Arial" w:hAnsi="Arial" w:cs="Arial"/>
          <w:snapToGrid w:val="0"/>
          <w:sz w:val="24"/>
          <w:szCs w:val="24"/>
        </w:rPr>
      </w:pPr>
      <w:r w:rsidRPr="00685C34">
        <w:rPr>
          <w:rFonts w:ascii="Arial" w:hAnsi="Arial" w:cs="Arial"/>
          <w:snapToGrid w:val="0"/>
          <w:sz w:val="24"/>
          <w:szCs w:val="24"/>
        </w:rPr>
        <w:t>[</w:t>
      </w:r>
      <w:r w:rsidR="002857FC">
        <w:rPr>
          <w:rFonts w:ascii="Arial" w:hAnsi="Arial" w:cs="Arial"/>
          <w:snapToGrid w:val="0"/>
          <w:sz w:val="24"/>
          <w:szCs w:val="24"/>
        </w:rPr>
        <w:t>4</w:t>
      </w:r>
      <w:r w:rsidR="00081424">
        <w:rPr>
          <w:rFonts w:ascii="Arial" w:hAnsi="Arial" w:cs="Arial"/>
          <w:snapToGrid w:val="0"/>
          <w:sz w:val="24"/>
          <w:szCs w:val="24"/>
        </w:rPr>
        <w:t>3</w:t>
      </w:r>
      <w:r w:rsidRPr="00685C34">
        <w:rPr>
          <w:rFonts w:ascii="Arial" w:hAnsi="Arial" w:cs="Arial"/>
          <w:snapToGrid w:val="0"/>
          <w:sz w:val="24"/>
          <w:szCs w:val="24"/>
        </w:rPr>
        <w:t>]</w:t>
      </w:r>
      <w:r w:rsidR="00960758">
        <w:rPr>
          <w:rFonts w:ascii="Arial" w:hAnsi="Arial" w:cs="Arial"/>
          <w:snapToGrid w:val="0"/>
          <w:sz w:val="24"/>
          <w:szCs w:val="24"/>
        </w:rPr>
        <w:tab/>
      </w:r>
      <w:r w:rsidRPr="00685C34">
        <w:rPr>
          <w:rFonts w:ascii="Arial" w:hAnsi="Arial" w:cs="Arial"/>
          <w:snapToGrid w:val="0"/>
          <w:sz w:val="24"/>
          <w:szCs w:val="24"/>
        </w:rPr>
        <w:t xml:space="preserve">The point </w:t>
      </w:r>
      <w:r w:rsidRPr="00685C34">
        <w:rPr>
          <w:rFonts w:ascii="Arial" w:hAnsi="Arial" w:cs="Arial"/>
          <w:i/>
          <w:snapToGrid w:val="0"/>
          <w:sz w:val="24"/>
          <w:szCs w:val="24"/>
        </w:rPr>
        <w:t>in limine</w:t>
      </w:r>
      <w:r w:rsidRPr="00685C34">
        <w:rPr>
          <w:rFonts w:ascii="Arial" w:hAnsi="Arial" w:cs="Arial"/>
          <w:snapToGrid w:val="0"/>
          <w:sz w:val="24"/>
          <w:szCs w:val="24"/>
        </w:rPr>
        <w:t xml:space="preserve"> taken by </w:t>
      </w:r>
      <w:r>
        <w:rPr>
          <w:rFonts w:ascii="Arial" w:hAnsi="Arial" w:cs="Arial"/>
          <w:snapToGrid w:val="0"/>
          <w:sz w:val="24"/>
          <w:szCs w:val="24"/>
        </w:rPr>
        <w:t>Ms Kan</w:t>
      </w:r>
      <w:r w:rsidR="0066693C">
        <w:rPr>
          <w:rFonts w:ascii="Arial" w:hAnsi="Arial" w:cs="Arial"/>
          <w:snapToGrid w:val="0"/>
          <w:sz w:val="24"/>
          <w:szCs w:val="24"/>
        </w:rPr>
        <w:t>d</w:t>
      </w:r>
      <w:r>
        <w:rPr>
          <w:rFonts w:ascii="Arial" w:hAnsi="Arial" w:cs="Arial"/>
          <w:snapToGrid w:val="0"/>
          <w:sz w:val="24"/>
          <w:szCs w:val="24"/>
        </w:rPr>
        <w:t>jella counsel for the respondent</w:t>
      </w:r>
      <w:r w:rsidRPr="00685C34">
        <w:rPr>
          <w:rFonts w:ascii="Arial" w:hAnsi="Arial" w:cs="Arial"/>
          <w:snapToGrid w:val="0"/>
          <w:sz w:val="24"/>
          <w:szCs w:val="24"/>
        </w:rPr>
        <w:t xml:space="preserve"> </w:t>
      </w:r>
      <w:r>
        <w:rPr>
          <w:rFonts w:ascii="Arial" w:hAnsi="Arial" w:cs="Arial"/>
          <w:snapToGrid w:val="0"/>
          <w:sz w:val="24"/>
          <w:szCs w:val="24"/>
        </w:rPr>
        <w:t>is firstly</w:t>
      </w:r>
      <w:r w:rsidR="00B501CB">
        <w:rPr>
          <w:rFonts w:ascii="Arial" w:hAnsi="Arial" w:cs="Arial"/>
          <w:snapToGrid w:val="0"/>
          <w:sz w:val="24"/>
          <w:szCs w:val="24"/>
        </w:rPr>
        <w:t>,</w:t>
      </w:r>
      <w:r>
        <w:rPr>
          <w:rFonts w:ascii="Arial" w:hAnsi="Arial" w:cs="Arial"/>
          <w:snapToGrid w:val="0"/>
          <w:sz w:val="24"/>
          <w:szCs w:val="24"/>
        </w:rPr>
        <w:t xml:space="preserve"> </w:t>
      </w:r>
      <w:r w:rsidRPr="00685C34">
        <w:rPr>
          <w:rFonts w:ascii="Arial" w:hAnsi="Arial" w:cs="Arial"/>
          <w:snapToGrid w:val="0"/>
          <w:sz w:val="24"/>
          <w:szCs w:val="24"/>
        </w:rPr>
        <w:t xml:space="preserve">that the </w:t>
      </w:r>
      <w:r w:rsidR="00E008FC">
        <w:rPr>
          <w:rFonts w:ascii="Arial" w:hAnsi="Arial" w:cs="Arial"/>
          <w:snapToGrid w:val="0"/>
          <w:sz w:val="24"/>
          <w:szCs w:val="24"/>
        </w:rPr>
        <w:t>appellant failed to provide authority that it is authorised</w:t>
      </w:r>
      <w:r w:rsidR="00B501CB">
        <w:rPr>
          <w:rFonts w:ascii="Arial" w:hAnsi="Arial" w:cs="Arial"/>
          <w:snapToGrid w:val="0"/>
          <w:sz w:val="24"/>
          <w:szCs w:val="24"/>
        </w:rPr>
        <w:t xml:space="preserve"> and that they have obtained the necessary resolve to lodge the appeal.</w:t>
      </w:r>
      <w:r w:rsidR="00E008FC">
        <w:rPr>
          <w:rFonts w:ascii="Arial" w:hAnsi="Arial" w:cs="Arial"/>
          <w:snapToGrid w:val="0"/>
          <w:sz w:val="24"/>
          <w:szCs w:val="24"/>
        </w:rPr>
        <w:t xml:space="preserve"> </w:t>
      </w:r>
      <w:r w:rsidR="00B501CB">
        <w:rPr>
          <w:rFonts w:ascii="Arial" w:hAnsi="Arial" w:cs="Arial"/>
          <w:snapToGrid w:val="0"/>
          <w:sz w:val="24"/>
          <w:szCs w:val="24"/>
        </w:rPr>
        <w:t>Secondly,</w:t>
      </w:r>
      <w:r w:rsidR="00E008FC">
        <w:rPr>
          <w:rFonts w:ascii="Arial" w:hAnsi="Arial" w:cs="Arial"/>
          <w:snapToGrid w:val="0"/>
          <w:sz w:val="24"/>
          <w:szCs w:val="24"/>
        </w:rPr>
        <w:t xml:space="preserve"> the </w:t>
      </w:r>
      <w:r w:rsidRPr="00685C34">
        <w:rPr>
          <w:rFonts w:ascii="Arial" w:hAnsi="Arial" w:cs="Arial"/>
          <w:snapToGrid w:val="0"/>
          <w:sz w:val="24"/>
          <w:szCs w:val="24"/>
        </w:rPr>
        <w:t>special power of attorney</w:t>
      </w:r>
      <w:r w:rsidR="00E008FC">
        <w:rPr>
          <w:rFonts w:ascii="Arial" w:hAnsi="Arial" w:cs="Arial"/>
          <w:snapToGrid w:val="0"/>
          <w:sz w:val="24"/>
          <w:szCs w:val="24"/>
        </w:rPr>
        <w:t xml:space="preserve"> was not filed when the appeal was lodged, </w:t>
      </w:r>
      <w:r w:rsidR="00B501CB">
        <w:rPr>
          <w:rFonts w:ascii="Arial" w:hAnsi="Arial" w:cs="Arial"/>
          <w:snapToGrid w:val="0"/>
          <w:sz w:val="24"/>
          <w:szCs w:val="24"/>
        </w:rPr>
        <w:t>this is</w:t>
      </w:r>
      <w:r w:rsidR="00E008FC">
        <w:rPr>
          <w:rFonts w:ascii="Arial" w:hAnsi="Arial" w:cs="Arial"/>
          <w:snapToGrid w:val="0"/>
          <w:sz w:val="24"/>
          <w:szCs w:val="24"/>
        </w:rPr>
        <w:t xml:space="preserve"> indicative of the fact that no such power of attorney existed when the appeal was lodged.</w:t>
      </w:r>
      <w:r w:rsidRPr="00685C34">
        <w:rPr>
          <w:rFonts w:ascii="Arial" w:hAnsi="Arial" w:cs="Arial"/>
          <w:snapToGrid w:val="0"/>
          <w:sz w:val="24"/>
          <w:szCs w:val="24"/>
        </w:rPr>
        <w:t xml:space="preserve"> Consequently the legal practitioner appointed do</w:t>
      </w:r>
      <w:r>
        <w:rPr>
          <w:rFonts w:ascii="Arial" w:hAnsi="Arial" w:cs="Arial"/>
          <w:snapToGrid w:val="0"/>
          <w:sz w:val="24"/>
          <w:szCs w:val="24"/>
        </w:rPr>
        <w:t>es</w:t>
      </w:r>
      <w:r w:rsidRPr="00685C34">
        <w:rPr>
          <w:rFonts w:ascii="Arial" w:hAnsi="Arial" w:cs="Arial"/>
          <w:snapToGrid w:val="0"/>
          <w:sz w:val="24"/>
          <w:szCs w:val="24"/>
        </w:rPr>
        <w:t xml:space="preserve"> not have authority to represent the </w:t>
      </w:r>
      <w:r>
        <w:rPr>
          <w:rFonts w:ascii="Arial" w:hAnsi="Arial" w:cs="Arial"/>
          <w:snapToGrid w:val="0"/>
          <w:sz w:val="24"/>
          <w:szCs w:val="24"/>
        </w:rPr>
        <w:t xml:space="preserve">appellant </w:t>
      </w:r>
      <w:r w:rsidRPr="00685C34">
        <w:rPr>
          <w:rFonts w:ascii="Arial" w:hAnsi="Arial" w:cs="Arial"/>
          <w:snapToGrid w:val="0"/>
          <w:sz w:val="24"/>
          <w:szCs w:val="24"/>
        </w:rPr>
        <w:t xml:space="preserve">and Mr </w:t>
      </w:r>
      <w:r w:rsidR="00E008FC">
        <w:rPr>
          <w:rFonts w:ascii="Arial" w:hAnsi="Arial" w:cs="Arial"/>
          <w:snapToGrid w:val="0"/>
          <w:sz w:val="24"/>
          <w:szCs w:val="24"/>
        </w:rPr>
        <w:t>George Botshiwe</w:t>
      </w:r>
      <w:r w:rsidR="00DC79DD">
        <w:rPr>
          <w:rFonts w:ascii="Arial" w:hAnsi="Arial" w:cs="Arial"/>
          <w:snapToGrid w:val="0"/>
          <w:sz w:val="24"/>
          <w:szCs w:val="24"/>
        </w:rPr>
        <w:t>,</w:t>
      </w:r>
      <w:r w:rsidRPr="00685C34">
        <w:rPr>
          <w:rFonts w:ascii="Arial" w:hAnsi="Arial" w:cs="Arial"/>
          <w:snapToGrid w:val="0"/>
          <w:sz w:val="24"/>
          <w:szCs w:val="24"/>
        </w:rPr>
        <w:t xml:space="preserve"> </w:t>
      </w:r>
      <w:r w:rsidR="00E008FC">
        <w:rPr>
          <w:rFonts w:ascii="Arial" w:hAnsi="Arial" w:cs="Arial"/>
          <w:snapToGrid w:val="0"/>
          <w:sz w:val="24"/>
          <w:szCs w:val="24"/>
        </w:rPr>
        <w:t>is not authorised by any resolution to instruct Metcalfe Beukes to institute the action</w:t>
      </w:r>
      <w:r w:rsidR="00DC79DD">
        <w:rPr>
          <w:rFonts w:ascii="Arial" w:hAnsi="Arial" w:cs="Arial"/>
          <w:snapToGrid w:val="0"/>
          <w:sz w:val="24"/>
          <w:szCs w:val="24"/>
        </w:rPr>
        <w:t xml:space="preserve"> on behalf of the appellant</w:t>
      </w:r>
      <w:r w:rsidRPr="00685C34">
        <w:rPr>
          <w:rFonts w:ascii="Arial" w:hAnsi="Arial" w:cs="Arial"/>
          <w:snapToGrid w:val="0"/>
          <w:sz w:val="24"/>
          <w:szCs w:val="24"/>
        </w:rPr>
        <w:t>.</w:t>
      </w:r>
    </w:p>
    <w:p w14:paraId="05DAA593" w14:textId="77777777" w:rsidR="00E31A09" w:rsidRDefault="00E31A09" w:rsidP="00DC023F">
      <w:pPr>
        <w:pStyle w:val="Header"/>
        <w:tabs>
          <w:tab w:val="clear" w:pos="4513"/>
          <w:tab w:val="clear" w:pos="9026"/>
          <w:tab w:val="right" w:pos="0"/>
        </w:tabs>
        <w:spacing w:line="360" w:lineRule="auto"/>
        <w:jc w:val="both"/>
        <w:rPr>
          <w:rFonts w:ascii="Arial" w:hAnsi="Arial" w:cs="Arial"/>
          <w:snapToGrid w:val="0"/>
          <w:sz w:val="24"/>
          <w:szCs w:val="24"/>
        </w:rPr>
      </w:pPr>
    </w:p>
    <w:p w14:paraId="5EC5DBCA" w14:textId="167DEB98" w:rsidR="0066693C" w:rsidRDefault="002857FC" w:rsidP="00F66F01">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[4</w:t>
      </w:r>
      <w:r w:rsidR="00DC023F">
        <w:rPr>
          <w:rFonts w:ascii="Arial" w:eastAsia="Times New Roman" w:hAnsi="Arial" w:cs="Arial"/>
          <w:sz w:val="24"/>
          <w:szCs w:val="24"/>
          <w:lang w:eastAsia="en-ZA"/>
        </w:rPr>
        <w:t>4</w:t>
      </w:r>
      <w:r>
        <w:rPr>
          <w:rFonts w:ascii="Arial" w:eastAsia="Times New Roman" w:hAnsi="Arial" w:cs="Arial"/>
          <w:sz w:val="24"/>
          <w:szCs w:val="24"/>
          <w:lang w:eastAsia="en-ZA"/>
        </w:rPr>
        <w:t>]</w:t>
      </w:r>
      <w:r>
        <w:rPr>
          <w:rFonts w:ascii="Arial" w:eastAsia="Times New Roman" w:hAnsi="Arial" w:cs="Arial"/>
          <w:sz w:val="24"/>
          <w:szCs w:val="24"/>
          <w:lang w:eastAsia="en-ZA"/>
        </w:rPr>
        <w:tab/>
      </w:r>
      <w:r w:rsidR="00B501CB" w:rsidRPr="0066693C">
        <w:rPr>
          <w:rFonts w:ascii="Arial" w:eastAsia="Times New Roman" w:hAnsi="Arial" w:cs="Arial"/>
          <w:sz w:val="24"/>
          <w:szCs w:val="24"/>
          <w:lang w:eastAsia="en-ZA"/>
        </w:rPr>
        <w:t>From the onset, it should be pointed out that it is common cause that the respondent filed the heads of arguments on the eve of the hearing without seeking leave from this court to do so. There was also no engagement between the parties before uploading the documentation.</w:t>
      </w:r>
    </w:p>
    <w:p w14:paraId="300EA330" w14:textId="77777777" w:rsidR="00E31A09" w:rsidRDefault="00E31A09" w:rsidP="00F66F01">
      <w:pPr>
        <w:shd w:val="clear" w:color="auto" w:fill="FFFFFF"/>
        <w:spacing w:after="0" w:line="360" w:lineRule="auto"/>
        <w:jc w:val="both"/>
        <w:rPr>
          <w:rFonts w:ascii="Arial" w:eastAsia="Times New Roman" w:hAnsi="Arial" w:cs="Arial"/>
          <w:sz w:val="24"/>
          <w:szCs w:val="24"/>
          <w:lang w:eastAsia="en-ZA"/>
        </w:rPr>
      </w:pPr>
    </w:p>
    <w:p w14:paraId="678DCE70" w14:textId="2A64921D" w:rsidR="00685C34" w:rsidRPr="00332EDB" w:rsidRDefault="002857FC" w:rsidP="00B45E14">
      <w:pPr>
        <w:shd w:val="clear" w:color="auto" w:fill="FFFFFF"/>
        <w:spacing w:after="0" w:line="360" w:lineRule="auto"/>
        <w:jc w:val="both"/>
        <w:rPr>
          <w:rFonts w:ascii="Arial" w:eastAsia="Times New Roman" w:hAnsi="Arial" w:cs="Arial"/>
          <w:sz w:val="24"/>
          <w:szCs w:val="24"/>
          <w:lang w:eastAsia="en-ZA"/>
        </w:rPr>
      </w:pPr>
      <w:r>
        <w:rPr>
          <w:rFonts w:ascii="Arial" w:hAnsi="Arial" w:cs="Arial"/>
          <w:snapToGrid w:val="0"/>
          <w:sz w:val="24"/>
          <w:szCs w:val="24"/>
        </w:rPr>
        <w:t>[4</w:t>
      </w:r>
      <w:r w:rsidR="00F66F01">
        <w:rPr>
          <w:rFonts w:ascii="Arial" w:hAnsi="Arial" w:cs="Arial"/>
          <w:snapToGrid w:val="0"/>
          <w:sz w:val="24"/>
          <w:szCs w:val="24"/>
        </w:rPr>
        <w:t>5</w:t>
      </w:r>
      <w:r>
        <w:rPr>
          <w:rFonts w:ascii="Arial" w:hAnsi="Arial" w:cs="Arial"/>
          <w:snapToGrid w:val="0"/>
          <w:sz w:val="24"/>
          <w:szCs w:val="24"/>
        </w:rPr>
        <w:t>]</w:t>
      </w:r>
      <w:r>
        <w:rPr>
          <w:rFonts w:ascii="Arial" w:hAnsi="Arial" w:cs="Arial"/>
          <w:snapToGrid w:val="0"/>
          <w:sz w:val="24"/>
          <w:szCs w:val="24"/>
        </w:rPr>
        <w:tab/>
      </w:r>
      <w:r w:rsidR="002018FC">
        <w:rPr>
          <w:rFonts w:ascii="Arial" w:hAnsi="Arial" w:cs="Arial"/>
          <w:snapToGrid w:val="0"/>
          <w:sz w:val="24"/>
          <w:szCs w:val="24"/>
        </w:rPr>
        <w:t>The appeal was lodged on and the special power of attorney filed on</w:t>
      </w:r>
      <w:r w:rsidR="002D1601">
        <w:rPr>
          <w:rFonts w:ascii="Arial" w:hAnsi="Arial" w:cs="Arial"/>
          <w:snapToGrid w:val="0"/>
          <w:sz w:val="24"/>
          <w:szCs w:val="24"/>
        </w:rPr>
        <w:t xml:space="preserve"> 9 February 2022</w:t>
      </w:r>
      <w:r w:rsidR="002018FC">
        <w:rPr>
          <w:rFonts w:ascii="Arial" w:hAnsi="Arial" w:cs="Arial"/>
          <w:snapToGrid w:val="0"/>
          <w:sz w:val="24"/>
          <w:szCs w:val="24"/>
        </w:rPr>
        <w:t xml:space="preserve">. The special power of attorney is authorised by a certain George Bothiwe, the Managing director of the appellant, </w:t>
      </w:r>
      <w:r w:rsidR="002018FC" w:rsidRPr="007B5804">
        <w:rPr>
          <w:rFonts w:ascii="Arial" w:hAnsi="Arial" w:cs="Arial"/>
          <w:sz w:val="24"/>
        </w:rPr>
        <w:t>QKR Namibia Navachab Gold Mine (Pty) Ltd</w:t>
      </w:r>
      <w:r w:rsidR="002018FC">
        <w:rPr>
          <w:rFonts w:ascii="Arial" w:hAnsi="Arial" w:cs="Arial"/>
          <w:i/>
          <w:sz w:val="24"/>
        </w:rPr>
        <w:t xml:space="preserve">. </w:t>
      </w:r>
      <w:r w:rsidR="002018FC" w:rsidRPr="00332EDB">
        <w:rPr>
          <w:rFonts w:ascii="Arial" w:hAnsi="Arial" w:cs="Arial"/>
          <w:snapToGrid w:val="0"/>
          <w:sz w:val="24"/>
          <w:szCs w:val="24"/>
        </w:rPr>
        <w:t xml:space="preserve"> </w:t>
      </w:r>
      <w:r w:rsidR="00685C34" w:rsidRPr="00332EDB">
        <w:rPr>
          <w:rFonts w:ascii="Arial" w:hAnsi="Arial" w:cs="Arial"/>
          <w:snapToGrid w:val="0"/>
          <w:sz w:val="24"/>
          <w:szCs w:val="24"/>
        </w:rPr>
        <w:t xml:space="preserve">The document with the title </w:t>
      </w:r>
      <w:r w:rsidR="00685C34" w:rsidRPr="00332EDB">
        <w:rPr>
          <w:rFonts w:ascii="Arial" w:hAnsi="Arial" w:cs="Arial"/>
          <w:i/>
          <w:snapToGrid w:val="0"/>
          <w:sz w:val="24"/>
          <w:szCs w:val="24"/>
        </w:rPr>
        <w:t>“</w:t>
      </w:r>
      <w:r w:rsidR="00332EDB">
        <w:rPr>
          <w:rFonts w:ascii="Arial" w:hAnsi="Arial" w:cs="Arial"/>
          <w:i/>
          <w:snapToGrid w:val="0"/>
          <w:sz w:val="24"/>
          <w:szCs w:val="24"/>
        </w:rPr>
        <w:t>Special Power to sue and defend</w:t>
      </w:r>
      <w:r w:rsidR="00685C34" w:rsidRPr="00332EDB">
        <w:rPr>
          <w:rFonts w:ascii="Arial" w:hAnsi="Arial" w:cs="Arial"/>
          <w:i/>
          <w:snapToGrid w:val="0"/>
          <w:sz w:val="24"/>
          <w:szCs w:val="24"/>
        </w:rPr>
        <w:t xml:space="preserve"> by the Managing Director”</w:t>
      </w:r>
      <w:r w:rsidR="00685C34" w:rsidRPr="00332EDB">
        <w:rPr>
          <w:rFonts w:ascii="Arial" w:hAnsi="Arial" w:cs="Arial"/>
          <w:snapToGrid w:val="0"/>
          <w:sz w:val="24"/>
          <w:szCs w:val="24"/>
        </w:rPr>
        <w:t xml:space="preserve"> reads as follows</w:t>
      </w:r>
      <w:r w:rsidR="00332EDB">
        <w:rPr>
          <w:rFonts w:ascii="Arial" w:hAnsi="Arial" w:cs="Arial"/>
          <w:snapToGrid w:val="0"/>
          <w:sz w:val="24"/>
          <w:szCs w:val="24"/>
        </w:rPr>
        <w:t>:</w:t>
      </w:r>
      <w:r w:rsidR="00685C34" w:rsidRPr="00332EDB">
        <w:rPr>
          <w:rFonts w:ascii="Arial" w:hAnsi="Arial" w:cs="Arial"/>
          <w:snapToGrid w:val="0"/>
          <w:sz w:val="24"/>
          <w:szCs w:val="24"/>
        </w:rPr>
        <w:t>”</w:t>
      </w:r>
    </w:p>
    <w:p w14:paraId="46359AC5" w14:textId="77777777" w:rsidR="00332EDB" w:rsidRDefault="00332EDB" w:rsidP="00F66F01">
      <w:pPr>
        <w:pStyle w:val="ListParagraph"/>
        <w:spacing w:line="360" w:lineRule="auto"/>
        <w:rPr>
          <w:rFonts w:ascii="Arial" w:hAnsi="Arial" w:cs="Arial"/>
          <w:lang w:eastAsia="en-ZA"/>
        </w:rPr>
      </w:pPr>
    </w:p>
    <w:p w14:paraId="117F499E" w14:textId="77777777" w:rsidR="00332EDB" w:rsidRPr="00332EDB" w:rsidRDefault="00332EDB" w:rsidP="00332EDB">
      <w:pPr>
        <w:shd w:val="clear" w:color="auto" w:fill="FFFFFF"/>
        <w:spacing w:after="0" w:line="360" w:lineRule="auto"/>
        <w:ind w:firstLine="720"/>
        <w:jc w:val="both"/>
        <w:rPr>
          <w:rFonts w:ascii="Arial" w:eastAsia="Times New Roman" w:hAnsi="Arial" w:cs="Arial"/>
          <w:szCs w:val="24"/>
          <w:lang w:eastAsia="en-ZA"/>
        </w:rPr>
      </w:pPr>
      <w:r>
        <w:rPr>
          <w:rFonts w:ascii="Arial" w:eastAsia="Times New Roman" w:hAnsi="Arial" w:cs="Arial"/>
          <w:sz w:val="24"/>
          <w:szCs w:val="24"/>
          <w:lang w:eastAsia="en-ZA"/>
        </w:rPr>
        <w:t>‘</w:t>
      </w:r>
      <w:r w:rsidRPr="00332EDB">
        <w:rPr>
          <w:rFonts w:ascii="Arial" w:eastAsia="Times New Roman" w:hAnsi="Arial" w:cs="Arial"/>
          <w:szCs w:val="24"/>
          <w:lang w:eastAsia="en-ZA"/>
        </w:rPr>
        <w:t>I, the undersigned</w:t>
      </w:r>
    </w:p>
    <w:p w14:paraId="5B37E1E7" w14:textId="77777777" w:rsidR="00332EDB" w:rsidRPr="00332EDB" w:rsidRDefault="00332EDB" w:rsidP="00F66F01">
      <w:pPr>
        <w:shd w:val="clear" w:color="auto" w:fill="FFFFFF"/>
        <w:spacing w:after="0" w:line="360" w:lineRule="auto"/>
        <w:jc w:val="both"/>
        <w:rPr>
          <w:rFonts w:ascii="Arial" w:eastAsia="Times New Roman" w:hAnsi="Arial" w:cs="Arial"/>
          <w:szCs w:val="24"/>
          <w:lang w:eastAsia="en-ZA"/>
        </w:rPr>
      </w:pPr>
    </w:p>
    <w:p w14:paraId="09E23AE8" w14:textId="77777777" w:rsidR="00332EDB" w:rsidRPr="002018FC" w:rsidRDefault="00332EDB" w:rsidP="00032DC7">
      <w:pPr>
        <w:shd w:val="clear" w:color="auto" w:fill="FFFFFF"/>
        <w:spacing w:after="0" w:line="360" w:lineRule="auto"/>
        <w:ind w:left="2160" w:firstLine="720"/>
        <w:jc w:val="both"/>
        <w:rPr>
          <w:rFonts w:ascii="Arial" w:eastAsia="Times New Roman" w:hAnsi="Arial" w:cs="Arial"/>
          <w:b/>
          <w:szCs w:val="24"/>
          <w:lang w:eastAsia="en-ZA"/>
        </w:rPr>
      </w:pPr>
      <w:r w:rsidRPr="002018FC">
        <w:rPr>
          <w:rFonts w:ascii="Arial" w:eastAsia="Times New Roman" w:hAnsi="Arial" w:cs="Arial"/>
          <w:b/>
          <w:szCs w:val="24"/>
          <w:lang w:eastAsia="en-ZA"/>
        </w:rPr>
        <w:t>GEORGE BOTHIWE</w:t>
      </w:r>
    </w:p>
    <w:p w14:paraId="46FA7D8B" w14:textId="77777777" w:rsidR="00332EDB" w:rsidRDefault="00332EDB" w:rsidP="00332EDB">
      <w:pPr>
        <w:shd w:val="clear" w:color="auto" w:fill="FFFFFF"/>
        <w:spacing w:after="0" w:line="360" w:lineRule="auto"/>
        <w:jc w:val="both"/>
        <w:rPr>
          <w:rFonts w:ascii="Arial" w:eastAsia="Times New Roman" w:hAnsi="Arial" w:cs="Arial"/>
          <w:szCs w:val="24"/>
          <w:lang w:eastAsia="en-ZA"/>
        </w:rPr>
      </w:pPr>
      <w:r w:rsidRPr="00332EDB">
        <w:rPr>
          <w:rFonts w:ascii="Arial" w:eastAsia="Times New Roman" w:hAnsi="Arial" w:cs="Arial"/>
          <w:szCs w:val="24"/>
          <w:lang w:eastAsia="en-ZA"/>
        </w:rPr>
        <w:t xml:space="preserve">Duly authorised in my capacity as the </w:t>
      </w:r>
      <w:r w:rsidRPr="002018FC">
        <w:rPr>
          <w:rFonts w:ascii="Arial" w:eastAsia="Times New Roman" w:hAnsi="Arial" w:cs="Arial"/>
          <w:b/>
          <w:szCs w:val="24"/>
          <w:lang w:eastAsia="en-ZA"/>
        </w:rPr>
        <w:t>MANAGING DIREICT</w:t>
      </w:r>
      <w:r w:rsidRPr="00EA06C2">
        <w:rPr>
          <w:rFonts w:ascii="Arial" w:eastAsia="Times New Roman" w:hAnsi="Arial" w:cs="Arial"/>
          <w:b/>
          <w:szCs w:val="24"/>
          <w:lang w:eastAsia="en-ZA"/>
        </w:rPr>
        <w:t>OR</w:t>
      </w:r>
      <w:r w:rsidRPr="00332EDB">
        <w:rPr>
          <w:rFonts w:ascii="Arial" w:eastAsia="Times New Roman" w:hAnsi="Arial" w:cs="Arial"/>
          <w:szCs w:val="24"/>
          <w:lang w:eastAsia="en-ZA"/>
        </w:rPr>
        <w:t xml:space="preserve"> of the Appellant</w:t>
      </w:r>
    </w:p>
    <w:p w14:paraId="12AF1E3B" w14:textId="77777777" w:rsidR="00332EDB" w:rsidRDefault="00332EDB" w:rsidP="00332EDB">
      <w:pPr>
        <w:shd w:val="clear" w:color="auto" w:fill="FFFFFF"/>
        <w:spacing w:after="0" w:line="360" w:lineRule="auto"/>
        <w:jc w:val="both"/>
        <w:rPr>
          <w:rFonts w:ascii="Arial" w:eastAsia="Times New Roman" w:hAnsi="Arial" w:cs="Arial"/>
          <w:szCs w:val="24"/>
          <w:lang w:eastAsia="en-ZA"/>
        </w:rPr>
      </w:pPr>
      <w:r>
        <w:rPr>
          <w:rFonts w:ascii="Arial" w:eastAsia="Times New Roman" w:hAnsi="Arial" w:cs="Arial"/>
          <w:szCs w:val="24"/>
          <w:lang w:eastAsia="en-ZA"/>
        </w:rPr>
        <w:lastRenderedPageBreak/>
        <w:t xml:space="preserve">Do hereby nominate, constitute and appoint RICHARD NICHOLAS METCALFE and/or power of substitution to be our lawful legal practitioner/s and agent </w:t>
      </w:r>
      <w:r w:rsidR="002018FC">
        <w:rPr>
          <w:rFonts w:ascii="Arial" w:eastAsia="Times New Roman" w:hAnsi="Arial" w:cs="Arial"/>
          <w:szCs w:val="24"/>
          <w:lang w:eastAsia="en-ZA"/>
        </w:rPr>
        <w:t>in our</w:t>
      </w:r>
      <w:r>
        <w:rPr>
          <w:rFonts w:ascii="Arial" w:eastAsia="Times New Roman" w:hAnsi="Arial" w:cs="Arial"/>
          <w:szCs w:val="24"/>
          <w:lang w:eastAsia="en-ZA"/>
        </w:rPr>
        <w:t xml:space="preserve"> name, place and stead to appear before the abovementioned Honourable </w:t>
      </w:r>
      <w:r w:rsidR="002018FC">
        <w:rPr>
          <w:rFonts w:ascii="Arial" w:eastAsia="Times New Roman" w:hAnsi="Arial" w:cs="Arial"/>
          <w:szCs w:val="24"/>
          <w:lang w:eastAsia="en-ZA"/>
        </w:rPr>
        <w:t>Court</w:t>
      </w:r>
      <w:r>
        <w:rPr>
          <w:rFonts w:ascii="Arial" w:eastAsia="Times New Roman" w:hAnsi="Arial" w:cs="Arial"/>
          <w:szCs w:val="24"/>
          <w:lang w:eastAsia="en-ZA"/>
        </w:rPr>
        <w:t xml:space="preserve"> or wherever </w:t>
      </w:r>
      <w:r w:rsidR="002018FC">
        <w:rPr>
          <w:rFonts w:ascii="Arial" w:eastAsia="Times New Roman" w:hAnsi="Arial" w:cs="Arial"/>
          <w:szCs w:val="24"/>
          <w:lang w:eastAsia="en-ZA"/>
        </w:rPr>
        <w:t>else</w:t>
      </w:r>
      <w:r>
        <w:rPr>
          <w:rFonts w:ascii="Arial" w:eastAsia="Times New Roman" w:hAnsi="Arial" w:cs="Arial"/>
          <w:szCs w:val="24"/>
          <w:lang w:eastAsia="en-ZA"/>
        </w:rPr>
        <w:t xml:space="preserve"> may be necessary, and then and there as our act and deed, to prosecute the appeal </w:t>
      </w:r>
      <w:r w:rsidR="002018FC">
        <w:rPr>
          <w:rFonts w:ascii="Arial" w:eastAsia="Times New Roman" w:hAnsi="Arial" w:cs="Arial"/>
          <w:szCs w:val="24"/>
          <w:lang w:eastAsia="en-ZA"/>
        </w:rPr>
        <w:t>against</w:t>
      </w:r>
      <w:r>
        <w:rPr>
          <w:rFonts w:ascii="Arial" w:eastAsia="Times New Roman" w:hAnsi="Arial" w:cs="Arial"/>
          <w:szCs w:val="24"/>
          <w:lang w:eastAsia="en-ZA"/>
        </w:rPr>
        <w:t xml:space="preserve"> the </w:t>
      </w:r>
      <w:r w:rsidR="002018FC">
        <w:rPr>
          <w:rFonts w:ascii="Arial" w:eastAsia="Times New Roman" w:hAnsi="Arial" w:cs="Arial"/>
          <w:szCs w:val="24"/>
          <w:lang w:eastAsia="en-ZA"/>
        </w:rPr>
        <w:t>arbitration</w:t>
      </w:r>
      <w:r>
        <w:rPr>
          <w:rFonts w:ascii="Arial" w:eastAsia="Times New Roman" w:hAnsi="Arial" w:cs="Arial"/>
          <w:szCs w:val="24"/>
          <w:lang w:eastAsia="en-ZA"/>
        </w:rPr>
        <w:t xml:space="preserve"> awar</w:t>
      </w:r>
      <w:r w:rsidR="002018FC">
        <w:rPr>
          <w:rFonts w:ascii="Arial" w:eastAsia="Times New Roman" w:hAnsi="Arial" w:cs="Arial"/>
          <w:szCs w:val="24"/>
          <w:lang w:eastAsia="en-ZA"/>
        </w:rPr>
        <w:t xml:space="preserve">d </w:t>
      </w:r>
      <w:r>
        <w:rPr>
          <w:rFonts w:ascii="Arial" w:eastAsia="Times New Roman" w:hAnsi="Arial" w:cs="Arial"/>
          <w:szCs w:val="24"/>
          <w:lang w:eastAsia="en-ZA"/>
        </w:rPr>
        <w:t>/ruling issued by Ms La</w:t>
      </w:r>
      <w:r w:rsidR="002018FC">
        <w:rPr>
          <w:rFonts w:ascii="Arial" w:eastAsia="Times New Roman" w:hAnsi="Arial" w:cs="Arial"/>
          <w:szCs w:val="24"/>
          <w:lang w:eastAsia="en-ZA"/>
        </w:rPr>
        <w:t>h</w:t>
      </w:r>
      <w:r>
        <w:rPr>
          <w:rFonts w:ascii="Arial" w:eastAsia="Times New Roman" w:hAnsi="Arial" w:cs="Arial"/>
          <w:szCs w:val="24"/>
          <w:lang w:eastAsia="en-ZA"/>
        </w:rPr>
        <w:t>y</w:t>
      </w:r>
      <w:r w:rsidR="002018FC">
        <w:rPr>
          <w:rFonts w:ascii="Arial" w:eastAsia="Times New Roman" w:hAnsi="Arial" w:cs="Arial"/>
          <w:szCs w:val="24"/>
          <w:lang w:eastAsia="en-ZA"/>
        </w:rPr>
        <w:t xml:space="preserve">a Dumeni in the arbitration proceedings between the appellant and respondent under case number CROM150-16; and to pay all fees of Counsel and witnesses; to make all and any payments whatsoever which may be necessary and desirable for the proper conduct of the case; to compromise or withdraw the case or to proceed to the final end and determination thereof; and generally, for effecting the purpose aforesaid, to do or cause to be done, whatsoever shall be requisite, as fully and effectually, to all intents and purposes, as </w:t>
      </w:r>
      <w:r w:rsidR="00EA06C2">
        <w:rPr>
          <w:rFonts w:ascii="Arial" w:eastAsia="Times New Roman" w:hAnsi="Arial" w:cs="Arial"/>
          <w:szCs w:val="24"/>
          <w:lang w:eastAsia="en-ZA"/>
        </w:rPr>
        <w:t>I</w:t>
      </w:r>
      <w:r w:rsidR="002018FC">
        <w:rPr>
          <w:rFonts w:ascii="Arial" w:eastAsia="Times New Roman" w:hAnsi="Arial" w:cs="Arial"/>
          <w:szCs w:val="24"/>
          <w:lang w:eastAsia="en-ZA"/>
        </w:rPr>
        <w:t>/we might or could do if personally present and acting therein; hereby ratifying, allowing, and confirming, and promising and agreeing to ratify, allow and confirm all and whatsoever our said legal practitioners and agent have</w:t>
      </w:r>
      <w:r w:rsidR="00EA06C2">
        <w:rPr>
          <w:rFonts w:ascii="Arial" w:eastAsia="Times New Roman" w:hAnsi="Arial" w:cs="Arial"/>
          <w:szCs w:val="24"/>
          <w:lang w:eastAsia="en-ZA"/>
        </w:rPr>
        <w:t xml:space="preserve"> done or shall lawfully do or cause to be done by virtue of these presents.</w:t>
      </w:r>
    </w:p>
    <w:p w14:paraId="63278404" w14:textId="77777777" w:rsidR="00EA06C2" w:rsidRDefault="00EA06C2" w:rsidP="00332EDB">
      <w:pPr>
        <w:shd w:val="clear" w:color="auto" w:fill="FFFFFF"/>
        <w:spacing w:after="0" w:line="360" w:lineRule="auto"/>
        <w:jc w:val="both"/>
        <w:rPr>
          <w:rFonts w:ascii="Arial" w:eastAsia="Times New Roman" w:hAnsi="Arial" w:cs="Arial"/>
          <w:szCs w:val="24"/>
          <w:lang w:eastAsia="en-ZA"/>
        </w:rPr>
      </w:pPr>
    </w:p>
    <w:p w14:paraId="7E006B56" w14:textId="77777777" w:rsidR="00EA06C2" w:rsidRDefault="00EA06C2" w:rsidP="00332EDB">
      <w:pPr>
        <w:shd w:val="clear" w:color="auto" w:fill="FFFFFF"/>
        <w:spacing w:after="0" w:line="360" w:lineRule="auto"/>
        <w:jc w:val="both"/>
        <w:rPr>
          <w:rFonts w:ascii="Arial" w:eastAsia="Times New Roman" w:hAnsi="Arial" w:cs="Arial"/>
          <w:szCs w:val="24"/>
          <w:lang w:eastAsia="en-ZA"/>
        </w:rPr>
      </w:pPr>
      <w:r>
        <w:rPr>
          <w:rFonts w:ascii="Arial" w:eastAsia="Times New Roman" w:hAnsi="Arial" w:cs="Arial"/>
          <w:szCs w:val="24"/>
          <w:lang w:eastAsia="en-ZA"/>
        </w:rPr>
        <w:t xml:space="preserve">Given under my hand at </w:t>
      </w:r>
      <w:r w:rsidRPr="00EA06C2">
        <w:rPr>
          <w:rFonts w:ascii="Arial" w:eastAsia="Times New Roman" w:hAnsi="Arial" w:cs="Arial"/>
          <w:b/>
          <w:szCs w:val="24"/>
          <w:lang w:eastAsia="en-ZA"/>
        </w:rPr>
        <w:t>KARIBIB</w:t>
      </w:r>
      <w:r>
        <w:rPr>
          <w:rFonts w:ascii="Arial" w:eastAsia="Times New Roman" w:hAnsi="Arial" w:cs="Arial"/>
          <w:szCs w:val="24"/>
          <w:lang w:eastAsia="en-ZA"/>
        </w:rPr>
        <w:t xml:space="preserve"> this </w:t>
      </w:r>
      <w:r w:rsidRPr="00EA06C2">
        <w:rPr>
          <w:rFonts w:ascii="Arial" w:eastAsia="Times New Roman" w:hAnsi="Arial" w:cs="Arial"/>
          <w:b/>
          <w:szCs w:val="24"/>
          <w:lang w:eastAsia="en-ZA"/>
        </w:rPr>
        <w:t>09</w:t>
      </w:r>
      <w:r w:rsidRPr="00EA06C2">
        <w:rPr>
          <w:rFonts w:ascii="Arial" w:eastAsia="Times New Roman" w:hAnsi="Arial" w:cs="Arial"/>
          <w:b/>
          <w:szCs w:val="24"/>
          <w:vertAlign w:val="superscript"/>
          <w:lang w:eastAsia="en-ZA"/>
        </w:rPr>
        <w:t>th</w:t>
      </w:r>
      <w:r w:rsidRPr="00EA06C2">
        <w:rPr>
          <w:rFonts w:ascii="Arial" w:eastAsia="Times New Roman" w:hAnsi="Arial" w:cs="Arial"/>
          <w:b/>
          <w:szCs w:val="24"/>
          <w:lang w:eastAsia="en-ZA"/>
        </w:rPr>
        <w:t xml:space="preserve"> </w:t>
      </w:r>
      <w:r>
        <w:rPr>
          <w:rFonts w:ascii="Arial" w:eastAsia="Times New Roman" w:hAnsi="Arial" w:cs="Arial"/>
          <w:szCs w:val="24"/>
          <w:lang w:eastAsia="en-ZA"/>
        </w:rPr>
        <w:t xml:space="preserve">day of </w:t>
      </w:r>
      <w:r w:rsidRPr="00EA06C2">
        <w:rPr>
          <w:rFonts w:ascii="Arial" w:eastAsia="Times New Roman" w:hAnsi="Arial" w:cs="Arial"/>
          <w:b/>
          <w:szCs w:val="24"/>
          <w:lang w:eastAsia="en-ZA"/>
        </w:rPr>
        <w:t>FEBRUARY 2022</w:t>
      </w:r>
      <w:r>
        <w:rPr>
          <w:rFonts w:ascii="Arial" w:eastAsia="Times New Roman" w:hAnsi="Arial" w:cs="Arial"/>
          <w:szCs w:val="24"/>
          <w:lang w:eastAsia="en-ZA"/>
        </w:rPr>
        <w:t xml:space="preserve"> in the presence of the undersigned witnesses.’</w:t>
      </w:r>
    </w:p>
    <w:p w14:paraId="7122B2EF" w14:textId="77777777" w:rsidR="00EA06C2" w:rsidRDefault="00EA06C2" w:rsidP="00332EDB">
      <w:pPr>
        <w:shd w:val="clear" w:color="auto" w:fill="FFFFFF"/>
        <w:spacing w:after="0" w:line="360" w:lineRule="auto"/>
        <w:jc w:val="both"/>
        <w:rPr>
          <w:rFonts w:ascii="Arial" w:eastAsia="Times New Roman" w:hAnsi="Arial" w:cs="Arial"/>
          <w:szCs w:val="24"/>
          <w:lang w:eastAsia="en-ZA"/>
        </w:rPr>
      </w:pPr>
    </w:p>
    <w:p w14:paraId="75CBC316" w14:textId="70302CFC" w:rsidR="00207DD7" w:rsidRDefault="00EA06C2" w:rsidP="00417F44">
      <w:pPr>
        <w:shd w:val="clear" w:color="auto" w:fill="FFFFFF"/>
        <w:spacing w:after="0" w:line="360" w:lineRule="auto"/>
        <w:jc w:val="both"/>
        <w:rPr>
          <w:rFonts w:ascii="Arial" w:hAnsi="Arial" w:cs="Arial"/>
          <w:sz w:val="24"/>
          <w:szCs w:val="24"/>
        </w:rPr>
      </w:pPr>
      <w:r w:rsidRPr="00EA06C2">
        <w:rPr>
          <w:rFonts w:ascii="Arial" w:eastAsia="Times New Roman" w:hAnsi="Arial" w:cs="Arial"/>
          <w:sz w:val="24"/>
          <w:szCs w:val="24"/>
          <w:lang w:eastAsia="en-ZA"/>
        </w:rPr>
        <w:t>[</w:t>
      </w:r>
      <w:r w:rsidR="002857FC">
        <w:rPr>
          <w:rFonts w:ascii="Arial" w:eastAsia="Times New Roman" w:hAnsi="Arial" w:cs="Arial"/>
          <w:sz w:val="24"/>
          <w:szCs w:val="24"/>
          <w:lang w:eastAsia="en-ZA"/>
        </w:rPr>
        <w:t>4</w:t>
      </w:r>
      <w:r w:rsidR="00B45E14">
        <w:rPr>
          <w:rFonts w:ascii="Arial" w:eastAsia="Times New Roman" w:hAnsi="Arial" w:cs="Arial"/>
          <w:sz w:val="24"/>
          <w:szCs w:val="24"/>
          <w:lang w:eastAsia="en-ZA"/>
        </w:rPr>
        <w:t>6</w:t>
      </w:r>
      <w:r w:rsidRPr="00EA06C2">
        <w:rPr>
          <w:rFonts w:ascii="Arial" w:eastAsia="Times New Roman" w:hAnsi="Arial" w:cs="Arial"/>
          <w:sz w:val="24"/>
          <w:szCs w:val="24"/>
          <w:lang w:eastAsia="en-ZA"/>
        </w:rPr>
        <w:t>]</w:t>
      </w:r>
      <w:r w:rsidRPr="00EA06C2">
        <w:rPr>
          <w:rFonts w:ascii="Arial" w:eastAsia="Times New Roman" w:hAnsi="Arial" w:cs="Arial"/>
          <w:sz w:val="24"/>
          <w:szCs w:val="24"/>
          <w:lang w:eastAsia="en-ZA"/>
        </w:rPr>
        <w:tab/>
      </w:r>
      <w:r w:rsidRPr="00EA06C2">
        <w:rPr>
          <w:rFonts w:ascii="Arial" w:hAnsi="Arial" w:cs="Arial"/>
          <w:sz w:val="24"/>
          <w:szCs w:val="24"/>
        </w:rPr>
        <w:t xml:space="preserve">This document was thus signed by the Mr </w:t>
      </w:r>
      <w:r>
        <w:rPr>
          <w:rFonts w:ascii="Arial" w:hAnsi="Arial" w:cs="Arial"/>
          <w:sz w:val="24"/>
          <w:szCs w:val="24"/>
        </w:rPr>
        <w:t>Bothiwe as ‘</w:t>
      </w:r>
      <w:r w:rsidRPr="00EA06C2">
        <w:rPr>
          <w:rFonts w:ascii="Arial" w:hAnsi="Arial" w:cs="Arial"/>
          <w:i/>
          <w:sz w:val="24"/>
          <w:szCs w:val="24"/>
        </w:rPr>
        <w:t>duly au</w:t>
      </w:r>
      <w:r w:rsidRPr="00EA06C2">
        <w:rPr>
          <w:rFonts w:ascii="Arial" w:hAnsi="Arial" w:cs="Arial"/>
          <w:sz w:val="24"/>
          <w:szCs w:val="24"/>
        </w:rPr>
        <w:t>th</w:t>
      </w:r>
      <w:r w:rsidRPr="00EA06C2">
        <w:rPr>
          <w:rFonts w:ascii="Arial" w:hAnsi="Arial" w:cs="Arial"/>
          <w:i/>
          <w:sz w:val="24"/>
          <w:szCs w:val="24"/>
        </w:rPr>
        <w:t>orised</w:t>
      </w:r>
      <w:r>
        <w:rPr>
          <w:rFonts w:ascii="Arial" w:hAnsi="Arial" w:cs="Arial"/>
          <w:i/>
          <w:sz w:val="24"/>
          <w:szCs w:val="24"/>
        </w:rPr>
        <w:t>’</w:t>
      </w:r>
      <w:r w:rsidRPr="00EA06C2">
        <w:rPr>
          <w:rFonts w:ascii="Arial" w:hAnsi="Arial" w:cs="Arial"/>
          <w:sz w:val="24"/>
          <w:szCs w:val="24"/>
        </w:rPr>
        <w:t xml:space="preserve"> </w:t>
      </w:r>
      <w:r>
        <w:rPr>
          <w:rFonts w:ascii="Arial" w:hAnsi="Arial" w:cs="Arial"/>
          <w:sz w:val="24"/>
          <w:szCs w:val="24"/>
        </w:rPr>
        <w:t>on 9 February 2022</w:t>
      </w:r>
      <w:r w:rsidRPr="00EA06C2">
        <w:rPr>
          <w:rFonts w:ascii="Arial" w:hAnsi="Arial" w:cs="Arial"/>
          <w:sz w:val="24"/>
          <w:szCs w:val="24"/>
        </w:rPr>
        <w:t>.</w:t>
      </w:r>
      <w:r>
        <w:rPr>
          <w:rFonts w:ascii="Arial" w:hAnsi="Arial" w:cs="Arial"/>
          <w:sz w:val="24"/>
          <w:szCs w:val="24"/>
        </w:rPr>
        <w:t xml:space="preserve"> There is no resolution attached that authorises Mr Bothiwe to appoint Metcalfe</w:t>
      </w:r>
      <w:r w:rsidR="00254C79">
        <w:rPr>
          <w:rFonts w:ascii="Arial" w:hAnsi="Arial" w:cs="Arial"/>
          <w:sz w:val="24"/>
          <w:szCs w:val="24"/>
        </w:rPr>
        <w:t xml:space="preserve"> Beukes to institute the appeal.</w:t>
      </w:r>
    </w:p>
    <w:p w14:paraId="3C97376A" w14:textId="77777777" w:rsidR="00E31A09" w:rsidRPr="00207DD7" w:rsidRDefault="00E31A09" w:rsidP="00417F44">
      <w:pPr>
        <w:shd w:val="clear" w:color="auto" w:fill="FFFFFF"/>
        <w:spacing w:after="0" w:line="360" w:lineRule="auto"/>
        <w:jc w:val="both"/>
        <w:rPr>
          <w:rFonts w:ascii="Arial" w:eastAsia="Times New Roman" w:hAnsi="Arial" w:cs="Arial"/>
          <w:sz w:val="24"/>
          <w:szCs w:val="24"/>
          <w:lang w:eastAsia="en-ZA"/>
        </w:rPr>
      </w:pPr>
    </w:p>
    <w:p w14:paraId="25966286" w14:textId="023E63D4" w:rsidR="00F20270" w:rsidRDefault="002857FC" w:rsidP="00417F44">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[4</w:t>
      </w:r>
      <w:r w:rsidR="00B45E14">
        <w:rPr>
          <w:rFonts w:ascii="Arial" w:eastAsia="Times New Roman" w:hAnsi="Arial" w:cs="Arial"/>
          <w:sz w:val="24"/>
          <w:szCs w:val="24"/>
          <w:lang w:eastAsia="en-ZA"/>
        </w:rPr>
        <w:t>7</w:t>
      </w:r>
      <w:r>
        <w:rPr>
          <w:rFonts w:ascii="Arial" w:eastAsia="Times New Roman" w:hAnsi="Arial" w:cs="Arial"/>
          <w:sz w:val="24"/>
          <w:szCs w:val="24"/>
          <w:lang w:eastAsia="en-ZA"/>
        </w:rPr>
        <w:t>]</w:t>
      </w:r>
      <w:r>
        <w:rPr>
          <w:rFonts w:ascii="Arial" w:eastAsia="Times New Roman" w:hAnsi="Arial" w:cs="Arial"/>
          <w:sz w:val="24"/>
          <w:szCs w:val="24"/>
          <w:lang w:eastAsia="en-ZA"/>
        </w:rPr>
        <w:tab/>
      </w:r>
      <w:r w:rsidR="00207DD7" w:rsidRPr="00207DD7">
        <w:rPr>
          <w:rFonts w:ascii="Arial" w:eastAsia="Times New Roman" w:hAnsi="Arial" w:cs="Arial"/>
          <w:sz w:val="24"/>
          <w:szCs w:val="24"/>
          <w:lang w:eastAsia="en-ZA"/>
        </w:rPr>
        <w:t>It is trite that an applicant must make out his case in the founding affidavit and explicitly state the source of his authority to bring an application on behalf of another person, be it an artificial or a natural person. The deponent must state that he or she had been authorised to bring the application in that representative capacity and if possible produce his source or proof of such authority. Alternatively</w:t>
      </w:r>
      <w:r w:rsidR="00F20270">
        <w:rPr>
          <w:rFonts w:ascii="Arial" w:eastAsia="Times New Roman" w:hAnsi="Arial" w:cs="Arial"/>
          <w:sz w:val="24"/>
          <w:szCs w:val="24"/>
          <w:lang w:eastAsia="en-ZA"/>
        </w:rPr>
        <w:t>,</w:t>
      </w:r>
      <w:r w:rsidR="00207DD7" w:rsidRPr="00207DD7">
        <w:rPr>
          <w:rFonts w:ascii="Arial" w:eastAsia="Times New Roman" w:hAnsi="Arial" w:cs="Arial"/>
          <w:sz w:val="24"/>
          <w:szCs w:val="24"/>
          <w:lang w:eastAsia="en-ZA"/>
        </w:rPr>
        <w:t xml:space="preserve"> the principal must file a confirmatory affidavit confirming such authorisation.</w:t>
      </w:r>
      <w:r w:rsidR="00207DD7" w:rsidRPr="00207DD7">
        <w:rPr>
          <w:rFonts w:ascii="Arial" w:eastAsia="Times New Roman" w:hAnsi="Arial" w:cs="Arial"/>
          <w:sz w:val="24"/>
          <w:szCs w:val="24"/>
          <w:vertAlign w:val="superscript"/>
          <w:lang w:eastAsia="en-ZA"/>
        </w:rPr>
        <w:footnoteReference w:id="10"/>
      </w:r>
    </w:p>
    <w:p w14:paraId="1035A238" w14:textId="77777777" w:rsidR="00E31A09" w:rsidRPr="00207DD7" w:rsidRDefault="00E31A09" w:rsidP="00417F44">
      <w:pPr>
        <w:shd w:val="clear" w:color="auto" w:fill="FFFFFF"/>
        <w:spacing w:after="0" w:line="360" w:lineRule="auto"/>
        <w:jc w:val="both"/>
        <w:rPr>
          <w:rFonts w:ascii="Arial" w:eastAsia="Times New Roman" w:hAnsi="Arial" w:cs="Arial"/>
          <w:sz w:val="24"/>
          <w:szCs w:val="24"/>
          <w:lang w:eastAsia="en-ZA"/>
        </w:rPr>
      </w:pPr>
    </w:p>
    <w:p w14:paraId="3573A6DB" w14:textId="76062113" w:rsidR="00F67849" w:rsidRPr="00F67849" w:rsidRDefault="002857FC" w:rsidP="007E0E62">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[4</w:t>
      </w:r>
      <w:r w:rsidR="00417F44">
        <w:rPr>
          <w:rFonts w:ascii="Arial" w:eastAsia="Times New Roman" w:hAnsi="Arial" w:cs="Arial"/>
          <w:sz w:val="24"/>
          <w:szCs w:val="24"/>
          <w:lang w:eastAsia="en-ZA"/>
        </w:rPr>
        <w:t>8</w:t>
      </w:r>
      <w:r>
        <w:rPr>
          <w:rFonts w:ascii="Arial" w:eastAsia="Times New Roman" w:hAnsi="Arial" w:cs="Arial"/>
          <w:sz w:val="24"/>
          <w:szCs w:val="24"/>
          <w:lang w:eastAsia="en-ZA"/>
        </w:rPr>
        <w:t>]</w:t>
      </w:r>
      <w:r>
        <w:rPr>
          <w:rFonts w:ascii="Arial" w:eastAsia="Times New Roman" w:hAnsi="Arial" w:cs="Arial"/>
          <w:sz w:val="24"/>
          <w:szCs w:val="24"/>
          <w:lang w:eastAsia="en-ZA"/>
        </w:rPr>
        <w:tab/>
      </w:r>
      <w:r w:rsidR="00F67849" w:rsidRPr="00F67849">
        <w:rPr>
          <w:rFonts w:ascii="Arial" w:eastAsia="Times New Roman" w:hAnsi="Arial" w:cs="Arial"/>
          <w:sz w:val="24"/>
          <w:szCs w:val="24"/>
          <w:lang w:eastAsia="en-ZA"/>
        </w:rPr>
        <w:t>A distinction must be drawn between matters where authority to launch the application is averred in the founding affidavit and objected to by the opposing party and those matters where absolutely no averments are made regarding authority. In the former instance the principles as set out in</w:t>
      </w:r>
      <w:r w:rsidR="008760A8">
        <w:rPr>
          <w:rFonts w:ascii="Arial" w:eastAsia="Times New Roman" w:hAnsi="Arial" w:cs="Arial"/>
          <w:sz w:val="24"/>
          <w:szCs w:val="24"/>
          <w:lang w:eastAsia="en-ZA"/>
        </w:rPr>
        <w:t xml:space="preserve"> </w:t>
      </w:r>
      <w:r w:rsidR="00F67849" w:rsidRPr="00F67849">
        <w:rPr>
          <w:rFonts w:ascii="Arial" w:eastAsia="Times New Roman" w:hAnsi="Arial" w:cs="Arial"/>
          <w:i/>
          <w:iCs/>
          <w:sz w:val="24"/>
          <w:szCs w:val="24"/>
          <w:lang w:eastAsia="en-ZA"/>
        </w:rPr>
        <w:t xml:space="preserve">Otjozondjupa Regional Council v Dr Ndahafa Aino-Cecilia Nghifindaka &amp; Two </w:t>
      </w:r>
      <w:bookmarkStart w:id="1" w:name="_ftnref17"/>
      <w:r w:rsidR="00F67849" w:rsidRPr="00F67849">
        <w:rPr>
          <w:rFonts w:ascii="Arial" w:eastAsia="Times New Roman" w:hAnsi="Arial" w:cs="Arial"/>
          <w:i/>
          <w:iCs/>
          <w:sz w:val="24"/>
          <w:szCs w:val="24"/>
          <w:lang w:eastAsia="en-ZA"/>
        </w:rPr>
        <w:t>Others</w:t>
      </w:r>
      <w:bookmarkEnd w:id="1"/>
      <w:r w:rsidR="00F67849" w:rsidRPr="00F67849">
        <w:rPr>
          <w:rFonts w:ascii="Arial" w:eastAsia="Times New Roman" w:hAnsi="Arial" w:cs="Arial"/>
          <w:i/>
          <w:iCs/>
          <w:sz w:val="24"/>
          <w:szCs w:val="24"/>
          <w:vertAlign w:val="superscript"/>
          <w:lang w:eastAsia="en-ZA"/>
        </w:rPr>
        <w:footnoteReference w:id="11"/>
      </w:r>
      <w:r w:rsidR="00F67849" w:rsidRPr="00F67849">
        <w:rPr>
          <w:rFonts w:ascii="Arial" w:eastAsia="Times New Roman" w:hAnsi="Arial" w:cs="Arial"/>
          <w:sz w:val="24"/>
          <w:szCs w:val="24"/>
          <w:lang w:eastAsia="en-ZA"/>
        </w:rPr>
        <w:t> applies</w:t>
      </w:r>
      <w:r w:rsidR="00F67849" w:rsidRPr="00F67849">
        <w:rPr>
          <w:rFonts w:ascii="Arial" w:eastAsia="Times New Roman" w:hAnsi="Arial" w:cs="Arial"/>
          <w:i/>
          <w:iCs/>
          <w:sz w:val="24"/>
          <w:szCs w:val="24"/>
          <w:lang w:eastAsia="en-ZA"/>
        </w:rPr>
        <w:t>. </w:t>
      </w:r>
      <w:r w:rsidR="00F67849" w:rsidRPr="00F67849">
        <w:rPr>
          <w:rFonts w:ascii="Arial" w:eastAsia="Times New Roman" w:hAnsi="Arial" w:cs="Arial"/>
          <w:sz w:val="24"/>
          <w:szCs w:val="24"/>
          <w:lang w:eastAsia="en-ZA"/>
        </w:rPr>
        <w:t>In the </w:t>
      </w:r>
      <w:r w:rsidR="00F67849" w:rsidRPr="00F67849">
        <w:rPr>
          <w:rFonts w:ascii="Arial" w:eastAsia="Times New Roman" w:hAnsi="Arial" w:cs="Arial"/>
          <w:i/>
          <w:iCs/>
          <w:sz w:val="24"/>
          <w:szCs w:val="24"/>
          <w:lang w:eastAsia="en-ZA"/>
        </w:rPr>
        <w:t>Otjozondjupa Regional Council</w:t>
      </w:r>
      <w:r w:rsidR="00F67849" w:rsidRPr="00F67849">
        <w:rPr>
          <w:rFonts w:ascii="Arial" w:eastAsia="Times New Roman" w:hAnsi="Arial" w:cs="Arial"/>
          <w:sz w:val="24"/>
          <w:szCs w:val="24"/>
          <w:lang w:eastAsia="en-ZA"/>
        </w:rPr>
        <w:t> matter Muller J (as he then was) sets out the principles as follows:</w:t>
      </w:r>
    </w:p>
    <w:p w14:paraId="30D4F08F" w14:textId="77777777" w:rsidR="00F67849" w:rsidRPr="00F67849" w:rsidRDefault="00F67849" w:rsidP="007E0E62">
      <w:pPr>
        <w:shd w:val="clear" w:color="auto" w:fill="FFFFFF"/>
        <w:spacing w:after="0" w:line="360" w:lineRule="auto"/>
        <w:jc w:val="both"/>
        <w:rPr>
          <w:rFonts w:ascii="Arial" w:eastAsia="Times New Roman" w:hAnsi="Arial" w:cs="Arial"/>
          <w:sz w:val="24"/>
          <w:szCs w:val="24"/>
          <w:lang w:eastAsia="en-ZA"/>
        </w:rPr>
      </w:pPr>
    </w:p>
    <w:p w14:paraId="741D5EFC" w14:textId="73FF16D1" w:rsidR="00F67849" w:rsidRPr="00F67849" w:rsidRDefault="00F67849" w:rsidP="007E0E62">
      <w:pPr>
        <w:shd w:val="clear" w:color="auto" w:fill="FFFFFF"/>
        <w:spacing w:after="0" w:line="360" w:lineRule="auto"/>
        <w:ind w:firstLine="720"/>
        <w:jc w:val="both"/>
        <w:rPr>
          <w:rFonts w:ascii="Arial" w:eastAsia="Times New Roman" w:hAnsi="Arial" w:cs="Arial"/>
          <w:lang w:eastAsia="en-ZA"/>
        </w:rPr>
      </w:pPr>
      <w:r w:rsidRPr="00F67849">
        <w:rPr>
          <w:rFonts w:ascii="Arial" w:eastAsia="Times New Roman" w:hAnsi="Arial" w:cs="Arial"/>
          <w:lang w:eastAsia="en-ZA"/>
        </w:rPr>
        <w:t xml:space="preserve">‘(a) </w:t>
      </w:r>
      <w:r w:rsidRPr="00F67849">
        <w:rPr>
          <w:rFonts w:ascii="Arial" w:eastAsia="Times New Roman" w:hAnsi="Arial" w:cs="Arial"/>
          <w:u w:val="single"/>
          <w:lang w:eastAsia="en-ZA"/>
        </w:rPr>
        <w:t>The deponent of an affidavit on behalf of an artificial person has to state that he or she was duly authorised to bring the application and this will constitute that some evidence in respect of the authorization has been placed before Court</w:t>
      </w:r>
      <w:r w:rsidR="00DC2B9E">
        <w:rPr>
          <w:rFonts w:ascii="Arial" w:eastAsia="Times New Roman" w:hAnsi="Arial" w:cs="Arial"/>
          <w:u w:val="single"/>
          <w:lang w:eastAsia="en-ZA"/>
        </w:rPr>
        <w:t>.</w:t>
      </w:r>
      <w:r w:rsidR="00DC2B9E" w:rsidRPr="00211F5A">
        <w:rPr>
          <w:rFonts w:ascii="Arial" w:eastAsia="Times New Roman" w:hAnsi="Arial" w:cs="Arial"/>
          <w:lang w:eastAsia="en-ZA"/>
        </w:rPr>
        <w:t xml:space="preserve"> </w:t>
      </w:r>
      <w:r w:rsidRPr="00211F5A">
        <w:rPr>
          <w:rFonts w:ascii="Arial" w:eastAsia="Times New Roman" w:hAnsi="Arial" w:cs="Arial"/>
          <w:lang w:eastAsia="en-ZA"/>
        </w:rPr>
        <w:t>(My emphasis)</w:t>
      </w:r>
    </w:p>
    <w:p w14:paraId="25D1DCDD" w14:textId="77777777" w:rsidR="00F67849" w:rsidRPr="00F67849" w:rsidRDefault="00F67849" w:rsidP="00F67849">
      <w:pPr>
        <w:shd w:val="clear" w:color="auto" w:fill="FFFFFF"/>
        <w:spacing w:after="0" w:line="360" w:lineRule="auto"/>
        <w:jc w:val="both"/>
        <w:rPr>
          <w:rFonts w:ascii="Arial" w:hAnsi="Arial" w:cs="Arial"/>
        </w:rPr>
      </w:pPr>
    </w:p>
    <w:p w14:paraId="7F12D2BD" w14:textId="77777777" w:rsidR="00F67849" w:rsidRPr="00F67849" w:rsidRDefault="00F67849" w:rsidP="00E05889">
      <w:pPr>
        <w:numPr>
          <w:ilvl w:val="0"/>
          <w:numId w:val="26"/>
        </w:numPr>
        <w:shd w:val="clear" w:color="auto" w:fill="FFFFFF"/>
        <w:spacing w:after="0" w:line="360" w:lineRule="auto"/>
        <w:ind w:left="630" w:hanging="630"/>
        <w:jc w:val="both"/>
        <w:rPr>
          <w:rFonts w:ascii="Arial" w:eastAsia="Times New Roman" w:hAnsi="Arial" w:cs="Arial"/>
          <w:lang w:eastAsia="en-ZA"/>
        </w:rPr>
      </w:pPr>
      <w:r w:rsidRPr="00F67849">
        <w:rPr>
          <w:rFonts w:ascii="Arial" w:eastAsia="Times New Roman" w:hAnsi="Arial" w:cs="Arial"/>
          <w:lang w:eastAsia="en-ZA"/>
        </w:rPr>
        <w:t>If there is any objection to the authority to bring the application, such authorisation can be provided in the replying affidavit;</w:t>
      </w:r>
    </w:p>
    <w:p w14:paraId="102B8F4E" w14:textId="77777777" w:rsidR="00F67849" w:rsidRPr="00F67849" w:rsidRDefault="00F67849" w:rsidP="00E05889">
      <w:pPr>
        <w:shd w:val="clear" w:color="auto" w:fill="FFFFFF"/>
        <w:spacing w:after="0" w:line="360" w:lineRule="auto"/>
        <w:ind w:left="630" w:hanging="630"/>
        <w:jc w:val="both"/>
        <w:rPr>
          <w:rFonts w:ascii="Arial" w:eastAsia="Times New Roman" w:hAnsi="Arial" w:cs="Arial"/>
          <w:lang w:eastAsia="en-ZA"/>
        </w:rPr>
      </w:pPr>
    </w:p>
    <w:p w14:paraId="72255383" w14:textId="77777777" w:rsidR="00F67849" w:rsidRPr="00F67849" w:rsidRDefault="00F67849" w:rsidP="00E05889">
      <w:pPr>
        <w:numPr>
          <w:ilvl w:val="0"/>
          <w:numId w:val="26"/>
        </w:numPr>
        <w:shd w:val="clear" w:color="auto" w:fill="FFFFFF"/>
        <w:spacing w:after="0" w:line="360" w:lineRule="auto"/>
        <w:ind w:left="630" w:hanging="630"/>
        <w:jc w:val="both"/>
        <w:rPr>
          <w:rFonts w:ascii="Arial" w:eastAsia="Times New Roman" w:hAnsi="Arial" w:cs="Arial"/>
          <w:lang w:eastAsia="en-ZA"/>
        </w:rPr>
      </w:pPr>
      <w:r w:rsidRPr="00F67849">
        <w:rPr>
          <w:rFonts w:ascii="Arial" w:eastAsia="Times New Roman" w:hAnsi="Arial" w:cs="Arial"/>
          <w:lang w:eastAsia="en-ZA"/>
        </w:rPr>
        <w:t>Even if there was no proper resolution in respect of authority, it can be taken and provided at a later stage and operates retrospectively;</w:t>
      </w:r>
    </w:p>
    <w:p w14:paraId="1D01C0ED" w14:textId="77777777" w:rsidR="00F67849" w:rsidRPr="00F67849" w:rsidRDefault="00F67849" w:rsidP="00E05889">
      <w:pPr>
        <w:ind w:left="630" w:hanging="630"/>
        <w:contextualSpacing/>
        <w:rPr>
          <w:rFonts w:ascii="Arial" w:hAnsi="Arial" w:cs="Arial"/>
        </w:rPr>
      </w:pPr>
    </w:p>
    <w:p w14:paraId="67531325" w14:textId="77777777" w:rsidR="00F67849" w:rsidRPr="00F67849" w:rsidRDefault="00F67849" w:rsidP="00E05889">
      <w:pPr>
        <w:numPr>
          <w:ilvl w:val="0"/>
          <w:numId w:val="26"/>
        </w:numPr>
        <w:shd w:val="clear" w:color="auto" w:fill="FFFFFF"/>
        <w:spacing w:after="0" w:line="360" w:lineRule="auto"/>
        <w:ind w:left="630" w:hanging="630"/>
        <w:jc w:val="both"/>
        <w:rPr>
          <w:rFonts w:ascii="Arial" w:eastAsia="Times New Roman" w:hAnsi="Arial" w:cs="Arial"/>
          <w:lang w:eastAsia="en-ZA"/>
        </w:rPr>
      </w:pPr>
      <w:r w:rsidRPr="00F67849">
        <w:rPr>
          <w:rFonts w:ascii="Arial" w:eastAsia="Times New Roman" w:hAnsi="Arial" w:cs="Arial"/>
          <w:lang w:eastAsia="en-ZA"/>
        </w:rPr>
        <w:t>Each case will in any event be considered in respect of its own circumstances; and</w:t>
      </w:r>
    </w:p>
    <w:p w14:paraId="7912647B" w14:textId="77777777" w:rsidR="00F67849" w:rsidRPr="00F67849" w:rsidRDefault="00F67849" w:rsidP="00E05889">
      <w:pPr>
        <w:ind w:left="630" w:hanging="630"/>
        <w:contextualSpacing/>
        <w:rPr>
          <w:rFonts w:ascii="Arial" w:hAnsi="Arial" w:cs="Arial"/>
        </w:rPr>
      </w:pPr>
    </w:p>
    <w:p w14:paraId="51A5AE0E" w14:textId="77777777" w:rsidR="00F67849" w:rsidRPr="00F67849" w:rsidRDefault="00F67849" w:rsidP="00E05889">
      <w:pPr>
        <w:numPr>
          <w:ilvl w:val="0"/>
          <w:numId w:val="26"/>
        </w:numPr>
        <w:shd w:val="clear" w:color="auto" w:fill="FFFFFF"/>
        <w:spacing w:after="0" w:line="360" w:lineRule="auto"/>
        <w:ind w:left="630" w:hanging="630"/>
        <w:jc w:val="both"/>
        <w:rPr>
          <w:rFonts w:ascii="Arial" w:eastAsia="Times New Roman" w:hAnsi="Arial" w:cs="Arial"/>
          <w:lang w:eastAsia="en-ZA"/>
        </w:rPr>
      </w:pPr>
      <w:r w:rsidRPr="00F67849">
        <w:rPr>
          <w:rFonts w:ascii="Arial" w:eastAsia="Times New Roman" w:hAnsi="Arial" w:cs="Arial"/>
          <w:lang w:eastAsia="en-ZA"/>
        </w:rPr>
        <w:t>It is in the discretion of the Court to decide whether enough has been placed before it to conclude that it is the applicant who is litigating and not some unauthorised person on its behalf.’</w:t>
      </w:r>
    </w:p>
    <w:p w14:paraId="5C13342A" w14:textId="77777777" w:rsidR="00F67849" w:rsidRPr="00F67849" w:rsidRDefault="00F67849" w:rsidP="00F67849">
      <w:pPr>
        <w:ind w:left="720"/>
        <w:contextualSpacing/>
        <w:rPr>
          <w:rFonts w:ascii="Arial" w:hAnsi="Arial" w:cs="Arial"/>
        </w:rPr>
      </w:pPr>
    </w:p>
    <w:p w14:paraId="67C50A5E" w14:textId="0546462E" w:rsidR="00E132C1" w:rsidRDefault="002857FC" w:rsidP="002857FC">
      <w:pPr>
        <w:shd w:val="clear" w:color="auto" w:fill="FFFFFF"/>
        <w:spacing w:after="0" w:line="360" w:lineRule="auto"/>
        <w:jc w:val="both"/>
        <w:rPr>
          <w:rFonts w:ascii="Arial" w:hAnsi="Arial" w:cs="Arial"/>
          <w:sz w:val="24"/>
          <w:szCs w:val="24"/>
        </w:rPr>
      </w:pPr>
      <w:r w:rsidRPr="002857FC">
        <w:rPr>
          <w:rFonts w:ascii="Arial" w:hAnsi="Arial" w:cs="Arial"/>
          <w:sz w:val="24"/>
          <w:szCs w:val="24"/>
        </w:rPr>
        <w:t>[4</w:t>
      </w:r>
      <w:r w:rsidR="00211F5A">
        <w:rPr>
          <w:rFonts w:ascii="Arial" w:hAnsi="Arial" w:cs="Arial"/>
          <w:sz w:val="24"/>
          <w:szCs w:val="24"/>
        </w:rPr>
        <w:t>9</w:t>
      </w:r>
      <w:r w:rsidRPr="002857FC">
        <w:rPr>
          <w:rFonts w:ascii="Arial" w:hAnsi="Arial" w:cs="Arial"/>
          <w:sz w:val="24"/>
          <w:szCs w:val="24"/>
        </w:rPr>
        <w:t>]</w:t>
      </w:r>
      <w:r w:rsidRPr="002857FC">
        <w:rPr>
          <w:rFonts w:ascii="Arial" w:hAnsi="Arial" w:cs="Arial"/>
          <w:sz w:val="24"/>
          <w:szCs w:val="24"/>
        </w:rPr>
        <w:tab/>
      </w:r>
      <w:r w:rsidR="00E132C1" w:rsidRPr="002857FC">
        <w:rPr>
          <w:rFonts w:ascii="Arial" w:hAnsi="Arial" w:cs="Arial"/>
          <w:sz w:val="24"/>
          <w:szCs w:val="24"/>
        </w:rPr>
        <w:t xml:space="preserve">In </w:t>
      </w:r>
      <w:r w:rsidR="00E132C1" w:rsidRPr="002857FC">
        <w:rPr>
          <w:rFonts w:ascii="Arial" w:hAnsi="Arial" w:cs="Arial"/>
          <w:i/>
          <w:sz w:val="24"/>
          <w:szCs w:val="24"/>
        </w:rPr>
        <w:t>Mall (Cape) (Pty) Ltd v Merino Ko-operasie Bpk</w:t>
      </w:r>
      <w:r w:rsidR="00E132C1" w:rsidRPr="002857FC">
        <w:rPr>
          <w:rStyle w:val="FootnoteReference"/>
          <w:rFonts w:ascii="Arial" w:hAnsi="Arial" w:cs="Arial"/>
          <w:i/>
          <w:sz w:val="24"/>
          <w:szCs w:val="24"/>
        </w:rPr>
        <w:footnoteReference w:id="12"/>
      </w:r>
      <w:r w:rsidR="00E132C1" w:rsidRPr="002857FC">
        <w:rPr>
          <w:rFonts w:ascii="Arial" w:hAnsi="Arial" w:cs="Arial"/>
          <w:i/>
          <w:sz w:val="24"/>
          <w:szCs w:val="24"/>
        </w:rPr>
        <w:t xml:space="preserve"> </w:t>
      </w:r>
      <w:r w:rsidR="00E132C1" w:rsidRPr="002857FC">
        <w:rPr>
          <w:rFonts w:ascii="Arial" w:hAnsi="Arial" w:cs="Arial"/>
          <w:sz w:val="24"/>
          <w:szCs w:val="24"/>
        </w:rPr>
        <w:t>the Court said the following at 351 H – 325 H:</w:t>
      </w:r>
    </w:p>
    <w:p w14:paraId="570C098F" w14:textId="77777777" w:rsidR="00B76235" w:rsidRPr="002857FC" w:rsidRDefault="00B76235" w:rsidP="00B76235">
      <w:pPr>
        <w:shd w:val="clear" w:color="auto" w:fill="FFFFFF"/>
        <w:spacing w:after="0" w:line="360" w:lineRule="auto"/>
        <w:jc w:val="both"/>
        <w:rPr>
          <w:rFonts w:ascii="Arial" w:eastAsia="Times New Roman" w:hAnsi="Arial" w:cs="Arial"/>
          <w:sz w:val="24"/>
          <w:szCs w:val="24"/>
          <w:lang w:eastAsia="en-ZA"/>
        </w:rPr>
      </w:pPr>
    </w:p>
    <w:p w14:paraId="0D2BB38F" w14:textId="72738E2F" w:rsidR="00E132C1" w:rsidRDefault="00E132C1" w:rsidP="00B76235">
      <w:pPr>
        <w:shd w:val="clear" w:color="auto" w:fill="FFFFFF"/>
        <w:spacing w:after="0" w:line="360" w:lineRule="auto"/>
        <w:ind w:firstLine="720"/>
        <w:jc w:val="both"/>
        <w:rPr>
          <w:rFonts w:ascii="Arial" w:hAnsi="Arial" w:cs="Arial"/>
        </w:rPr>
      </w:pPr>
      <w:r w:rsidRPr="00E132C1">
        <w:rPr>
          <w:rFonts w:ascii="Arial" w:hAnsi="Arial" w:cs="Arial"/>
        </w:rPr>
        <w:t>‘This seems to be a salutary rule and one which should apply also to notice of motion proceedings where the applicant is an artificial person. In such cases some evidence should be placed before court to show that the applicant has duly resolved to institute the proceedings and that the proceedings are instituted at its instance</w:t>
      </w:r>
      <w:r w:rsidR="00DC2B9E">
        <w:rPr>
          <w:rFonts w:ascii="Arial" w:hAnsi="Arial" w:cs="Arial"/>
        </w:rPr>
        <w:t>.</w:t>
      </w:r>
      <w:r w:rsidRPr="00E132C1">
        <w:rPr>
          <w:rFonts w:ascii="Arial" w:hAnsi="Arial" w:cs="Arial"/>
        </w:rPr>
        <w:t xml:space="preserve"> The best evidence that the proceedings have been properly authorised will be provided by an affidavit made by the official at the company annexing a copy of the resolution but </w:t>
      </w:r>
      <w:r w:rsidRPr="00E132C1">
        <w:rPr>
          <w:rFonts w:ascii="Arial" w:hAnsi="Arial" w:cs="Arial"/>
          <w:u w:val="single"/>
        </w:rPr>
        <w:t xml:space="preserve">I do not consider that form of proof necessary in every case. Each case must be considered on its own merits and the court must decide </w:t>
      </w:r>
      <w:r w:rsidRPr="00E132C1">
        <w:rPr>
          <w:rFonts w:ascii="Arial" w:hAnsi="Arial" w:cs="Arial"/>
          <w:u w:val="single"/>
        </w:rPr>
        <w:lastRenderedPageBreak/>
        <w:t>whether enough has been placed before it to warrant the conclusion</w:t>
      </w:r>
      <w:r w:rsidRPr="00E132C1">
        <w:rPr>
          <w:rFonts w:ascii="Arial" w:hAnsi="Arial" w:cs="Arial"/>
        </w:rPr>
        <w:t xml:space="preserve"> that it is the applicant which is litigating and not some unauthorised person on its behalf.’ (Emphasis provided).</w:t>
      </w:r>
    </w:p>
    <w:p w14:paraId="60942EA4" w14:textId="77777777" w:rsidR="00E132C1" w:rsidRPr="00E132C1" w:rsidRDefault="00E132C1" w:rsidP="00E132C1">
      <w:pPr>
        <w:shd w:val="clear" w:color="auto" w:fill="FFFFFF"/>
        <w:spacing w:after="0" w:line="360" w:lineRule="auto"/>
        <w:ind w:firstLine="720"/>
        <w:jc w:val="both"/>
        <w:rPr>
          <w:rFonts w:ascii="Arial" w:eastAsia="Times New Roman" w:hAnsi="Arial" w:cs="Arial"/>
          <w:sz w:val="24"/>
          <w:szCs w:val="24"/>
          <w:lang w:eastAsia="en-ZA"/>
        </w:rPr>
      </w:pPr>
    </w:p>
    <w:p w14:paraId="2FCE4489" w14:textId="2533BD97" w:rsidR="00E132C1" w:rsidRDefault="002857FC" w:rsidP="003E7890">
      <w:pPr>
        <w:shd w:val="clear" w:color="auto" w:fill="FFFFFF"/>
        <w:spacing w:after="0" w:line="360" w:lineRule="auto"/>
        <w:jc w:val="both"/>
        <w:rPr>
          <w:rFonts w:ascii="Arial" w:hAnsi="Arial" w:cs="Arial"/>
          <w:sz w:val="24"/>
        </w:rPr>
      </w:pPr>
      <w:r>
        <w:rPr>
          <w:rFonts w:ascii="Arial" w:hAnsi="Arial" w:cs="Arial"/>
          <w:sz w:val="24"/>
        </w:rPr>
        <w:t>[</w:t>
      </w:r>
      <w:r w:rsidR="003E7890">
        <w:rPr>
          <w:rFonts w:ascii="Arial" w:hAnsi="Arial" w:cs="Arial"/>
          <w:sz w:val="24"/>
        </w:rPr>
        <w:t>50</w:t>
      </w:r>
      <w:r>
        <w:rPr>
          <w:rFonts w:ascii="Arial" w:hAnsi="Arial" w:cs="Arial"/>
          <w:sz w:val="24"/>
        </w:rPr>
        <w:t>]</w:t>
      </w:r>
      <w:r>
        <w:rPr>
          <w:rFonts w:ascii="Arial" w:hAnsi="Arial" w:cs="Arial"/>
          <w:sz w:val="24"/>
        </w:rPr>
        <w:tab/>
      </w:r>
      <w:r w:rsidR="00E132C1" w:rsidRPr="00E132C1">
        <w:rPr>
          <w:rFonts w:ascii="Arial" w:hAnsi="Arial" w:cs="Arial"/>
          <w:sz w:val="24"/>
        </w:rPr>
        <w:t xml:space="preserve">In </w:t>
      </w:r>
      <w:r w:rsidR="00E132C1" w:rsidRPr="00E132C1">
        <w:rPr>
          <w:rFonts w:ascii="Arial" w:hAnsi="Arial" w:cs="Arial"/>
          <w:i/>
          <w:sz w:val="24"/>
        </w:rPr>
        <w:t>Duntrust (Pty) Ltd v H Sedlacek t/a G M Refrigeration</w:t>
      </w:r>
      <w:r w:rsidR="00E132C1">
        <w:rPr>
          <w:rStyle w:val="FootnoteReference"/>
          <w:rFonts w:ascii="Arial" w:hAnsi="Arial" w:cs="Arial"/>
          <w:i/>
          <w:sz w:val="24"/>
        </w:rPr>
        <w:footnoteReference w:id="13"/>
      </w:r>
      <w:r w:rsidR="00E132C1" w:rsidRPr="00E132C1">
        <w:rPr>
          <w:rFonts w:ascii="Arial" w:hAnsi="Arial" w:cs="Arial"/>
          <w:i/>
          <w:sz w:val="24"/>
        </w:rPr>
        <w:t xml:space="preserve"> </w:t>
      </w:r>
      <w:r w:rsidR="00E132C1" w:rsidRPr="00E132C1">
        <w:rPr>
          <w:rFonts w:ascii="Arial" w:hAnsi="Arial" w:cs="Arial"/>
          <w:sz w:val="24"/>
        </w:rPr>
        <w:t xml:space="preserve">Hannah J referred with approval to the Mall (Cape) decision in which Watermeyer J stated inter alia at 352 A – B as follows: </w:t>
      </w:r>
    </w:p>
    <w:p w14:paraId="749D0779" w14:textId="77777777" w:rsidR="00E31A09" w:rsidRPr="003E7890" w:rsidRDefault="00E31A09" w:rsidP="003E7890">
      <w:pPr>
        <w:shd w:val="clear" w:color="auto" w:fill="FFFFFF"/>
        <w:spacing w:after="0" w:line="360" w:lineRule="auto"/>
        <w:jc w:val="both"/>
        <w:rPr>
          <w:rFonts w:ascii="Arial" w:eastAsia="Times New Roman" w:hAnsi="Arial" w:cs="Arial"/>
          <w:sz w:val="24"/>
          <w:szCs w:val="24"/>
          <w:lang w:eastAsia="en-ZA"/>
        </w:rPr>
      </w:pPr>
    </w:p>
    <w:p w14:paraId="783C2E8E" w14:textId="1BD3110A" w:rsidR="00902659" w:rsidRDefault="00E132C1" w:rsidP="003E7890">
      <w:pPr>
        <w:shd w:val="clear" w:color="auto" w:fill="FFFFFF"/>
        <w:spacing w:after="0" w:line="360" w:lineRule="auto"/>
        <w:ind w:firstLine="720"/>
        <w:jc w:val="both"/>
        <w:rPr>
          <w:rFonts w:ascii="Arial" w:hAnsi="Arial" w:cs="Arial"/>
        </w:rPr>
      </w:pPr>
      <w:r>
        <w:rPr>
          <w:rFonts w:ascii="Arial" w:hAnsi="Arial" w:cs="Arial"/>
        </w:rPr>
        <w:t>‘</w:t>
      </w:r>
      <w:r w:rsidRPr="00E132C1">
        <w:rPr>
          <w:rFonts w:ascii="Arial" w:hAnsi="Arial" w:cs="Arial"/>
        </w:rPr>
        <w:t xml:space="preserve">Where, as in the present case, the respondent has offered no evidence at all to suggest that the applicant is not properly before Court, then I consider that </w:t>
      </w:r>
      <w:r w:rsidRPr="00E132C1">
        <w:rPr>
          <w:rFonts w:ascii="Arial" w:hAnsi="Arial" w:cs="Arial"/>
          <w:u w:val="single"/>
        </w:rPr>
        <w:t>a minimum of evidence</w:t>
      </w:r>
      <w:r w:rsidRPr="00E132C1">
        <w:rPr>
          <w:rFonts w:ascii="Arial" w:hAnsi="Arial" w:cs="Arial"/>
        </w:rPr>
        <w:t xml:space="preserve"> will be required from the applicant.</w:t>
      </w:r>
      <w:r>
        <w:rPr>
          <w:rFonts w:ascii="Arial" w:hAnsi="Arial" w:cs="Arial"/>
        </w:rPr>
        <w:t>’</w:t>
      </w:r>
      <w:r w:rsidRPr="00E132C1">
        <w:rPr>
          <w:rFonts w:ascii="Arial" w:hAnsi="Arial" w:cs="Arial"/>
        </w:rPr>
        <w:t xml:space="preserve"> (Underlining mine).</w:t>
      </w:r>
    </w:p>
    <w:p w14:paraId="47349196" w14:textId="77777777" w:rsidR="00E31A09" w:rsidRPr="00E132C1" w:rsidRDefault="00E31A09" w:rsidP="003E7890">
      <w:pPr>
        <w:shd w:val="clear" w:color="auto" w:fill="FFFFFF"/>
        <w:spacing w:after="0" w:line="360" w:lineRule="auto"/>
        <w:ind w:firstLine="720"/>
        <w:jc w:val="both"/>
        <w:rPr>
          <w:rFonts w:ascii="Arial" w:hAnsi="Arial" w:cs="Arial"/>
        </w:rPr>
      </w:pPr>
    </w:p>
    <w:p w14:paraId="34731F4D" w14:textId="52AD7A14" w:rsidR="0066693C" w:rsidRDefault="00902659" w:rsidP="003E7890">
      <w:pPr>
        <w:shd w:val="clear" w:color="auto" w:fill="FFFFFF"/>
        <w:spacing w:after="0" w:line="360" w:lineRule="auto"/>
        <w:jc w:val="both"/>
        <w:rPr>
          <w:rFonts w:ascii="Arial" w:hAnsi="Arial" w:cs="Arial"/>
          <w:sz w:val="24"/>
        </w:rPr>
      </w:pPr>
      <w:r>
        <w:rPr>
          <w:rFonts w:ascii="Arial" w:hAnsi="Arial" w:cs="Arial"/>
          <w:sz w:val="24"/>
        </w:rPr>
        <w:t>[</w:t>
      </w:r>
      <w:r w:rsidR="002857FC">
        <w:rPr>
          <w:rFonts w:ascii="Arial" w:hAnsi="Arial" w:cs="Arial"/>
          <w:sz w:val="24"/>
        </w:rPr>
        <w:t>5</w:t>
      </w:r>
      <w:r w:rsidR="003E7890">
        <w:rPr>
          <w:rFonts w:ascii="Arial" w:hAnsi="Arial" w:cs="Arial"/>
          <w:sz w:val="24"/>
        </w:rPr>
        <w:t>1</w:t>
      </w:r>
      <w:r w:rsidRPr="00902659">
        <w:rPr>
          <w:rFonts w:ascii="Arial" w:hAnsi="Arial" w:cs="Arial"/>
          <w:sz w:val="24"/>
        </w:rPr>
        <w:t>]</w:t>
      </w:r>
      <w:r>
        <w:rPr>
          <w:rFonts w:ascii="Arial" w:hAnsi="Arial" w:cs="Arial"/>
          <w:sz w:val="24"/>
        </w:rPr>
        <w:tab/>
      </w:r>
      <w:r w:rsidRPr="00902659">
        <w:rPr>
          <w:rFonts w:ascii="Arial" w:hAnsi="Arial" w:cs="Arial"/>
          <w:sz w:val="24"/>
        </w:rPr>
        <w:t xml:space="preserve">Normally, where the issue of lack of authority is raised </w:t>
      </w:r>
      <w:r w:rsidR="00955BD1">
        <w:rPr>
          <w:rFonts w:ascii="Arial" w:hAnsi="Arial" w:cs="Arial"/>
          <w:sz w:val="24"/>
        </w:rPr>
        <w:t>earlier in the proceedings</w:t>
      </w:r>
      <w:r w:rsidRPr="00902659">
        <w:rPr>
          <w:rFonts w:ascii="Arial" w:hAnsi="Arial" w:cs="Arial"/>
          <w:sz w:val="24"/>
        </w:rPr>
        <w:t xml:space="preserve"> an </w:t>
      </w:r>
      <w:r>
        <w:rPr>
          <w:rFonts w:ascii="Arial" w:hAnsi="Arial" w:cs="Arial"/>
          <w:sz w:val="24"/>
        </w:rPr>
        <w:t>appellant</w:t>
      </w:r>
      <w:r w:rsidRPr="00902659">
        <w:rPr>
          <w:rFonts w:ascii="Arial" w:hAnsi="Arial" w:cs="Arial"/>
          <w:sz w:val="24"/>
        </w:rPr>
        <w:t xml:space="preserve"> would have the opportunity to deal with such allegation in the replying affidavit, depending on what evidence is provided in</w:t>
      </w:r>
      <w:r w:rsidR="00BD50D2">
        <w:rPr>
          <w:rFonts w:ascii="Arial" w:hAnsi="Arial" w:cs="Arial"/>
          <w:sz w:val="24"/>
        </w:rPr>
        <w:t xml:space="preserve"> support of such an allegation.</w:t>
      </w:r>
    </w:p>
    <w:p w14:paraId="46C1FF3C" w14:textId="77777777" w:rsidR="00E31A09" w:rsidRDefault="00E31A09" w:rsidP="003E7890">
      <w:pPr>
        <w:shd w:val="clear" w:color="auto" w:fill="FFFFFF"/>
        <w:spacing w:after="0" w:line="360" w:lineRule="auto"/>
        <w:jc w:val="both"/>
        <w:rPr>
          <w:rFonts w:ascii="Arial" w:hAnsi="Arial" w:cs="Arial"/>
          <w:sz w:val="24"/>
        </w:rPr>
      </w:pPr>
    </w:p>
    <w:p w14:paraId="5CB305BF" w14:textId="42397BEA" w:rsidR="00902659" w:rsidRDefault="00902659" w:rsidP="005B6FE0">
      <w:pPr>
        <w:shd w:val="clear" w:color="auto" w:fill="FFFFFF"/>
        <w:spacing w:after="0" w:line="360" w:lineRule="auto"/>
        <w:jc w:val="both"/>
        <w:rPr>
          <w:rFonts w:ascii="Arial" w:hAnsi="Arial" w:cs="Arial"/>
          <w:sz w:val="24"/>
        </w:rPr>
      </w:pPr>
      <w:r w:rsidRPr="00902659">
        <w:rPr>
          <w:rFonts w:ascii="Arial" w:hAnsi="Arial" w:cs="Arial"/>
          <w:sz w:val="24"/>
        </w:rPr>
        <w:t>[</w:t>
      </w:r>
      <w:r w:rsidR="002857FC">
        <w:rPr>
          <w:rFonts w:ascii="Arial" w:hAnsi="Arial" w:cs="Arial"/>
          <w:sz w:val="24"/>
        </w:rPr>
        <w:t>5</w:t>
      </w:r>
      <w:r w:rsidR="003E7890">
        <w:rPr>
          <w:rFonts w:ascii="Arial" w:hAnsi="Arial" w:cs="Arial"/>
          <w:sz w:val="24"/>
        </w:rPr>
        <w:t>2</w:t>
      </w:r>
      <w:r w:rsidRPr="00902659">
        <w:rPr>
          <w:rFonts w:ascii="Arial" w:hAnsi="Arial" w:cs="Arial"/>
          <w:sz w:val="24"/>
        </w:rPr>
        <w:t>]</w:t>
      </w:r>
      <w:r>
        <w:rPr>
          <w:rFonts w:ascii="Arial" w:hAnsi="Arial" w:cs="Arial"/>
          <w:sz w:val="24"/>
        </w:rPr>
        <w:tab/>
      </w:r>
      <w:r w:rsidRPr="00902659">
        <w:rPr>
          <w:rFonts w:ascii="Arial" w:hAnsi="Arial" w:cs="Arial"/>
          <w:sz w:val="24"/>
        </w:rPr>
        <w:t xml:space="preserve">In the present matter the allegation of lack of authority was first raised in the </w:t>
      </w:r>
      <w:r>
        <w:rPr>
          <w:rFonts w:ascii="Arial" w:hAnsi="Arial" w:cs="Arial"/>
          <w:sz w:val="24"/>
        </w:rPr>
        <w:t>heads of arguments</w:t>
      </w:r>
      <w:r w:rsidRPr="00902659">
        <w:rPr>
          <w:rFonts w:ascii="Arial" w:hAnsi="Arial" w:cs="Arial"/>
          <w:sz w:val="24"/>
        </w:rPr>
        <w:t xml:space="preserve"> by the </w:t>
      </w:r>
      <w:r>
        <w:rPr>
          <w:rFonts w:ascii="Arial" w:hAnsi="Arial" w:cs="Arial"/>
          <w:sz w:val="24"/>
        </w:rPr>
        <w:t>respondent as a preliminary point</w:t>
      </w:r>
      <w:r w:rsidRPr="00902659">
        <w:rPr>
          <w:rFonts w:ascii="Arial" w:hAnsi="Arial" w:cs="Arial"/>
          <w:sz w:val="24"/>
        </w:rPr>
        <w:t xml:space="preserve">. </w:t>
      </w:r>
      <w:r w:rsidR="0066693C">
        <w:rPr>
          <w:rFonts w:ascii="Arial" w:hAnsi="Arial" w:cs="Arial"/>
          <w:sz w:val="24"/>
        </w:rPr>
        <w:t xml:space="preserve">As pointed out above, the respondent filed the heads of arguments on the eve of the hearing, leaving the appellant with no room to file a reply to the allegation of lack of authority. </w:t>
      </w:r>
    </w:p>
    <w:p w14:paraId="3253A1F1" w14:textId="77777777" w:rsidR="005B6FE0" w:rsidRDefault="005B6FE0" w:rsidP="005B6FE0">
      <w:pPr>
        <w:shd w:val="clear" w:color="auto" w:fill="FFFFFF"/>
        <w:spacing w:after="0" w:line="360" w:lineRule="auto"/>
        <w:jc w:val="both"/>
        <w:rPr>
          <w:rFonts w:ascii="Arial" w:hAnsi="Arial" w:cs="Arial"/>
          <w:sz w:val="24"/>
        </w:rPr>
      </w:pPr>
    </w:p>
    <w:p w14:paraId="4F6AC418" w14:textId="2D5793E2" w:rsidR="00902659" w:rsidRDefault="00902659" w:rsidP="005B6FE0">
      <w:pPr>
        <w:shd w:val="clear" w:color="auto" w:fill="FFFFFF"/>
        <w:spacing w:after="0" w:line="360" w:lineRule="auto"/>
        <w:jc w:val="both"/>
        <w:rPr>
          <w:rFonts w:ascii="Arial" w:hAnsi="Arial" w:cs="Arial"/>
          <w:sz w:val="24"/>
        </w:rPr>
      </w:pPr>
      <w:r w:rsidRPr="00902659">
        <w:rPr>
          <w:rFonts w:ascii="Arial" w:hAnsi="Arial" w:cs="Arial"/>
          <w:sz w:val="24"/>
        </w:rPr>
        <w:t>[</w:t>
      </w:r>
      <w:r w:rsidR="002857FC">
        <w:rPr>
          <w:rFonts w:ascii="Arial" w:hAnsi="Arial" w:cs="Arial"/>
          <w:sz w:val="24"/>
        </w:rPr>
        <w:t>5</w:t>
      </w:r>
      <w:r w:rsidR="005B6FE0">
        <w:rPr>
          <w:rFonts w:ascii="Arial" w:hAnsi="Arial" w:cs="Arial"/>
          <w:sz w:val="24"/>
        </w:rPr>
        <w:t>3</w:t>
      </w:r>
      <w:r w:rsidRPr="00902659">
        <w:rPr>
          <w:rFonts w:ascii="Arial" w:hAnsi="Arial" w:cs="Arial"/>
          <w:sz w:val="24"/>
        </w:rPr>
        <w:t>]</w:t>
      </w:r>
      <w:r>
        <w:rPr>
          <w:rFonts w:ascii="Arial" w:hAnsi="Arial" w:cs="Arial"/>
          <w:sz w:val="24"/>
        </w:rPr>
        <w:tab/>
      </w:r>
      <w:r w:rsidRPr="00902659">
        <w:rPr>
          <w:rFonts w:ascii="Arial" w:hAnsi="Arial" w:cs="Arial"/>
          <w:sz w:val="24"/>
        </w:rPr>
        <w:t xml:space="preserve">It is trite law that this </w:t>
      </w:r>
      <w:r w:rsidR="00DC2B9E">
        <w:rPr>
          <w:rFonts w:ascii="Arial" w:hAnsi="Arial" w:cs="Arial"/>
          <w:sz w:val="24"/>
        </w:rPr>
        <w:t>c</w:t>
      </w:r>
      <w:r w:rsidRPr="00902659">
        <w:rPr>
          <w:rFonts w:ascii="Arial" w:hAnsi="Arial" w:cs="Arial"/>
          <w:sz w:val="24"/>
        </w:rPr>
        <w:t>ourt may in its discretion permit the filing of further affidavits.</w:t>
      </w:r>
      <w:r>
        <w:rPr>
          <w:rStyle w:val="FootnoteReference"/>
          <w:rFonts w:ascii="Arial" w:hAnsi="Arial" w:cs="Arial"/>
          <w:sz w:val="24"/>
        </w:rPr>
        <w:footnoteReference w:id="14"/>
      </w:r>
      <w:r w:rsidRPr="00902659">
        <w:rPr>
          <w:rFonts w:ascii="Arial" w:hAnsi="Arial" w:cs="Arial"/>
          <w:sz w:val="24"/>
        </w:rPr>
        <w:t xml:space="preserve"> </w:t>
      </w:r>
    </w:p>
    <w:p w14:paraId="1B696F2D" w14:textId="77777777" w:rsidR="00E31A09" w:rsidRDefault="00E31A09" w:rsidP="005B6FE0">
      <w:pPr>
        <w:shd w:val="clear" w:color="auto" w:fill="FFFFFF"/>
        <w:spacing w:after="0" w:line="360" w:lineRule="auto"/>
        <w:jc w:val="both"/>
        <w:rPr>
          <w:rFonts w:ascii="Arial" w:hAnsi="Arial" w:cs="Arial"/>
          <w:sz w:val="24"/>
        </w:rPr>
      </w:pPr>
    </w:p>
    <w:p w14:paraId="4D278FBF" w14:textId="505E6192" w:rsidR="00902659" w:rsidRDefault="00902659" w:rsidP="005B6FE0">
      <w:pPr>
        <w:shd w:val="clear" w:color="auto" w:fill="FFFFFF"/>
        <w:spacing w:after="0" w:line="360" w:lineRule="auto"/>
        <w:jc w:val="both"/>
        <w:rPr>
          <w:rFonts w:ascii="Arial" w:hAnsi="Arial" w:cs="Arial"/>
          <w:sz w:val="24"/>
        </w:rPr>
      </w:pPr>
      <w:r w:rsidRPr="00902659">
        <w:rPr>
          <w:rFonts w:ascii="Arial" w:hAnsi="Arial" w:cs="Arial"/>
          <w:sz w:val="24"/>
        </w:rPr>
        <w:t>[</w:t>
      </w:r>
      <w:r w:rsidR="002857FC">
        <w:rPr>
          <w:rFonts w:ascii="Arial" w:hAnsi="Arial" w:cs="Arial"/>
          <w:sz w:val="24"/>
        </w:rPr>
        <w:t>5</w:t>
      </w:r>
      <w:r w:rsidR="005B6FE0">
        <w:rPr>
          <w:rFonts w:ascii="Arial" w:hAnsi="Arial" w:cs="Arial"/>
          <w:sz w:val="24"/>
        </w:rPr>
        <w:t>4</w:t>
      </w:r>
      <w:r w:rsidRPr="00902659">
        <w:rPr>
          <w:rFonts w:ascii="Arial" w:hAnsi="Arial" w:cs="Arial"/>
          <w:sz w:val="24"/>
        </w:rPr>
        <w:t>]</w:t>
      </w:r>
      <w:r>
        <w:rPr>
          <w:rFonts w:ascii="Arial" w:hAnsi="Arial" w:cs="Arial"/>
          <w:sz w:val="24"/>
        </w:rPr>
        <w:tab/>
      </w:r>
      <w:r w:rsidRPr="00902659">
        <w:rPr>
          <w:rFonts w:ascii="Arial" w:hAnsi="Arial" w:cs="Arial"/>
          <w:sz w:val="24"/>
        </w:rPr>
        <w:t xml:space="preserve">In the present instance </w:t>
      </w:r>
      <w:r>
        <w:rPr>
          <w:rFonts w:ascii="Arial" w:hAnsi="Arial" w:cs="Arial"/>
          <w:sz w:val="24"/>
        </w:rPr>
        <w:t>appellant</w:t>
      </w:r>
      <w:r w:rsidRPr="00902659">
        <w:rPr>
          <w:rFonts w:ascii="Arial" w:hAnsi="Arial" w:cs="Arial"/>
          <w:sz w:val="24"/>
        </w:rPr>
        <w:t xml:space="preserve"> did not apply to </w:t>
      </w:r>
      <w:r w:rsidR="00DC2B9E">
        <w:rPr>
          <w:rFonts w:ascii="Arial" w:hAnsi="Arial" w:cs="Arial"/>
          <w:sz w:val="24"/>
        </w:rPr>
        <w:t>c</w:t>
      </w:r>
      <w:r w:rsidRPr="00902659">
        <w:rPr>
          <w:rFonts w:ascii="Arial" w:hAnsi="Arial" w:cs="Arial"/>
          <w:sz w:val="24"/>
        </w:rPr>
        <w:t>ourt for the filing of a further affidavit to deal with the allegation of lack of authority. In my view having regard to the circumstances of this matter, it was not necessary to do so.</w:t>
      </w:r>
    </w:p>
    <w:p w14:paraId="36DAC4AD" w14:textId="77777777" w:rsidR="00E31A09" w:rsidRPr="00BD50D2" w:rsidRDefault="00E31A09" w:rsidP="005B6FE0">
      <w:pPr>
        <w:shd w:val="clear" w:color="auto" w:fill="FFFFFF"/>
        <w:spacing w:after="0" w:line="360" w:lineRule="auto"/>
        <w:jc w:val="both"/>
        <w:rPr>
          <w:rFonts w:ascii="Arial" w:hAnsi="Arial" w:cs="Arial"/>
          <w:sz w:val="24"/>
        </w:rPr>
      </w:pPr>
    </w:p>
    <w:p w14:paraId="01C272E6" w14:textId="207D9FB0" w:rsidR="00902659" w:rsidRDefault="00902659" w:rsidP="005B6FE0">
      <w:pPr>
        <w:shd w:val="clear" w:color="auto" w:fill="FFFFFF"/>
        <w:spacing w:after="0" w:line="360" w:lineRule="auto"/>
        <w:jc w:val="both"/>
        <w:rPr>
          <w:rFonts w:ascii="Arial" w:hAnsi="Arial" w:cs="Arial"/>
          <w:sz w:val="24"/>
          <w:szCs w:val="24"/>
        </w:rPr>
      </w:pPr>
      <w:r w:rsidRPr="00902659">
        <w:rPr>
          <w:rFonts w:ascii="Arial" w:hAnsi="Arial" w:cs="Arial"/>
          <w:sz w:val="24"/>
          <w:szCs w:val="24"/>
        </w:rPr>
        <w:t>[</w:t>
      </w:r>
      <w:r w:rsidR="002857FC">
        <w:rPr>
          <w:rFonts w:ascii="Arial" w:hAnsi="Arial" w:cs="Arial"/>
          <w:sz w:val="24"/>
          <w:szCs w:val="24"/>
        </w:rPr>
        <w:t>5</w:t>
      </w:r>
      <w:r w:rsidR="005B6FE0">
        <w:rPr>
          <w:rFonts w:ascii="Arial" w:hAnsi="Arial" w:cs="Arial"/>
          <w:sz w:val="24"/>
          <w:szCs w:val="24"/>
        </w:rPr>
        <w:t>5</w:t>
      </w:r>
      <w:r w:rsidRPr="00902659">
        <w:rPr>
          <w:rFonts w:ascii="Arial" w:hAnsi="Arial" w:cs="Arial"/>
          <w:sz w:val="24"/>
          <w:szCs w:val="24"/>
        </w:rPr>
        <w:t>]</w:t>
      </w:r>
      <w:r w:rsidR="0066693C">
        <w:rPr>
          <w:rFonts w:ascii="Arial" w:hAnsi="Arial" w:cs="Arial"/>
          <w:sz w:val="24"/>
          <w:szCs w:val="24"/>
        </w:rPr>
        <w:tab/>
      </w:r>
      <w:r w:rsidRPr="00902659">
        <w:rPr>
          <w:rFonts w:ascii="Arial" w:hAnsi="Arial" w:cs="Arial"/>
          <w:sz w:val="24"/>
          <w:szCs w:val="24"/>
        </w:rPr>
        <w:t xml:space="preserve">I say this since the </w:t>
      </w:r>
      <w:r w:rsidR="0066693C">
        <w:rPr>
          <w:rFonts w:ascii="Arial" w:hAnsi="Arial" w:cs="Arial"/>
          <w:sz w:val="24"/>
          <w:szCs w:val="24"/>
        </w:rPr>
        <w:t>respondent</w:t>
      </w:r>
      <w:r w:rsidRPr="00902659">
        <w:rPr>
          <w:rFonts w:ascii="Arial" w:hAnsi="Arial" w:cs="Arial"/>
          <w:sz w:val="24"/>
          <w:szCs w:val="24"/>
        </w:rPr>
        <w:t xml:space="preserve"> made a </w:t>
      </w:r>
      <w:r w:rsidR="0066693C">
        <w:rPr>
          <w:rFonts w:ascii="Arial" w:hAnsi="Arial" w:cs="Arial"/>
          <w:sz w:val="24"/>
          <w:szCs w:val="24"/>
        </w:rPr>
        <w:t xml:space="preserve">brief allegation of </w:t>
      </w:r>
      <w:r w:rsidR="0066693C" w:rsidRPr="00902659">
        <w:rPr>
          <w:rFonts w:ascii="Arial" w:hAnsi="Arial" w:cs="Arial"/>
          <w:sz w:val="24"/>
          <w:szCs w:val="24"/>
        </w:rPr>
        <w:t>lack</w:t>
      </w:r>
      <w:r w:rsidRPr="00902659">
        <w:rPr>
          <w:rFonts w:ascii="Arial" w:hAnsi="Arial" w:cs="Arial"/>
          <w:sz w:val="24"/>
          <w:szCs w:val="24"/>
        </w:rPr>
        <w:t xml:space="preserve"> of authorit</w:t>
      </w:r>
      <w:r w:rsidR="0066693C">
        <w:rPr>
          <w:rFonts w:ascii="Arial" w:hAnsi="Arial" w:cs="Arial"/>
          <w:sz w:val="24"/>
          <w:szCs w:val="24"/>
        </w:rPr>
        <w:t>y in her heads of arguments</w:t>
      </w:r>
      <w:r w:rsidRPr="00902659">
        <w:rPr>
          <w:rFonts w:ascii="Arial" w:hAnsi="Arial" w:cs="Arial"/>
          <w:sz w:val="24"/>
          <w:szCs w:val="24"/>
        </w:rPr>
        <w:t xml:space="preserve">. It is indeed the legal position that where a litigant acts in a representative capacity, he or she must have the requisite authority to act in such capacity. </w:t>
      </w:r>
    </w:p>
    <w:p w14:paraId="1BBE933C" w14:textId="77777777" w:rsidR="00902659" w:rsidRDefault="00902659" w:rsidP="005B6FE0">
      <w:pPr>
        <w:shd w:val="clear" w:color="auto" w:fill="FFFFFF"/>
        <w:spacing w:after="0" w:line="360" w:lineRule="auto"/>
        <w:jc w:val="both"/>
        <w:rPr>
          <w:rFonts w:ascii="Arial" w:hAnsi="Arial" w:cs="Arial"/>
          <w:sz w:val="24"/>
          <w:szCs w:val="24"/>
        </w:rPr>
      </w:pPr>
    </w:p>
    <w:p w14:paraId="54DCA1C8" w14:textId="20BD49E2" w:rsidR="00902659" w:rsidRDefault="00902659" w:rsidP="003E140F">
      <w:pPr>
        <w:shd w:val="clear" w:color="auto" w:fill="FFFFFF"/>
        <w:spacing w:after="0" w:line="360" w:lineRule="auto"/>
        <w:jc w:val="both"/>
        <w:rPr>
          <w:rFonts w:ascii="Arial" w:hAnsi="Arial" w:cs="Arial"/>
          <w:sz w:val="24"/>
          <w:szCs w:val="24"/>
        </w:rPr>
      </w:pPr>
      <w:r w:rsidRPr="00902659">
        <w:rPr>
          <w:rFonts w:ascii="Arial" w:hAnsi="Arial" w:cs="Arial"/>
          <w:sz w:val="24"/>
          <w:szCs w:val="24"/>
        </w:rPr>
        <w:lastRenderedPageBreak/>
        <w:t>[</w:t>
      </w:r>
      <w:r w:rsidR="002857FC">
        <w:rPr>
          <w:rFonts w:ascii="Arial" w:hAnsi="Arial" w:cs="Arial"/>
          <w:sz w:val="24"/>
          <w:szCs w:val="24"/>
        </w:rPr>
        <w:t>5</w:t>
      </w:r>
      <w:r w:rsidR="005B6FE0">
        <w:rPr>
          <w:rFonts w:ascii="Arial" w:hAnsi="Arial" w:cs="Arial"/>
          <w:sz w:val="24"/>
          <w:szCs w:val="24"/>
        </w:rPr>
        <w:t>6</w:t>
      </w:r>
      <w:r w:rsidRPr="00902659">
        <w:rPr>
          <w:rFonts w:ascii="Arial" w:hAnsi="Arial" w:cs="Arial"/>
          <w:sz w:val="24"/>
          <w:szCs w:val="24"/>
        </w:rPr>
        <w:t>]</w:t>
      </w:r>
      <w:r w:rsidR="00DC2B9E">
        <w:rPr>
          <w:rFonts w:ascii="Arial" w:hAnsi="Arial" w:cs="Arial"/>
          <w:sz w:val="24"/>
          <w:szCs w:val="24"/>
        </w:rPr>
        <w:tab/>
      </w:r>
      <w:r w:rsidRPr="00902659">
        <w:rPr>
          <w:rFonts w:ascii="Arial" w:hAnsi="Arial" w:cs="Arial"/>
          <w:sz w:val="24"/>
          <w:szCs w:val="24"/>
        </w:rPr>
        <w:t xml:space="preserve">It however depends upon what factual allegations, if any, are put before </w:t>
      </w:r>
      <w:r w:rsidR="00DC2B9E">
        <w:rPr>
          <w:rFonts w:ascii="Arial" w:hAnsi="Arial" w:cs="Arial"/>
          <w:sz w:val="24"/>
          <w:szCs w:val="24"/>
        </w:rPr>
        <w:t>c</w:t>
      </w:r>
      <w:r w:rsidRPr="00902659">
        <w:rPr>
          <w:rFonts w:ascii="Arial" w:hAnsi="Arial" w:cs="Arial"/>
          <w:sz w:val="24"/>
          <w:szCs w:val="24"/>
        </w:rPr>
        <w:t xml:space="preserve">ourt which will determine the response by the opposing party and whether a </w:t>
      </w:r>
      <w:r w:rsidR="00DC2B9E">
        <w:rPr>
          <w:rFonts w:ascii="Arial" w:hAnsi="Arial" w:cs="Arial"/>
          <w:sz w:val="24"/>
          <w:szCs w:val="24"/>
        </w:rPr>
        <w:t>c</w:t>
      </w:r>
      <w:r w:rsidRPr="00902659">
        <w:rPr>
          <w:rFonts w:ascii="Arial" w:hAnsi="Arial" w:cs="Arial"/>
          <w:sz w:val="24"/>
          <w:szCs w:val="24"/>
        </w:rPr>
        <w:t xml:space="preserve">ourt will subsequently be satisfied that enough has been placed before it or not, regarding the issue of authority. </w:t>
      </w:r>
    </w:p>
    <w:p w14:paraId="01B7E496" w14:textId="77777777" w:rsidR="00E31A09" w:rsidRDefault="00E31A09" w:rsidP="003E140F">
      <w:pPr>
        <w:shd w:val="clear" w:color="auto" w:fill="FFFFFF"/>
        <w:spacing w:after="0" w:line="360" w:lineRule="auto"/>
        <w:jc w:val="both"/>
        <w:rPr>
          <w:rFonts w:ascii="Arial" w:hAnsi="Arial" w:cs="Arial"/>
          <w:sz w:val="24"/>
          <w:szCs w:val="24"/>
        </w:rPr>
      </w:pPr>
    </w:p>
    <w:p w14:paraId="793EFDCE" w14:textId="723C037D" w:rsidR="00902659" w:rsidRDefault="002857FC" w:rsidP="003E140F">
      <w:pPr>
        <w:shd w:val="clear" w:color="auto" w:fill="FFFFFF"/>
        <w:spacing w:after="0" w:line="360" w:lineRule="auto"/>
        <w:jc w:val="both"/>
        <w:rPr>
          <w:rFonts w:ascii="Arial" w:hAnsi="Arial" w:cs="Arial"/>
          <w:sz w:val="24"/>
          <w:szCs w:val="24"/>
        </w:rPr>
      </w:pPr>
      <w:r>
        <w:rPr>
          <w:rFonts w:ascii="Arial" w:hAnsi="Arial" w:cs="Arial"/>
          <w:sz w:val="24"/>
          <w:szCs w:val="24"/>
        </w:rPr>
        <w:t>[5</w:t>
      </w:r>
      <w:r w:rsidR="003E140F">
        <w:rPr>
          <w:rFonts w:ascii="Arial" w:hAnsi="Arial" w:cs="Arial"/>
          <w:sz w:val="24"/>
          <w:szCs w:val="24"/>
        </w:rPr>
        <w:t>7</w:t>
      </w:r>
      <w:r w:rsidR="00902659" w:rsidRPr="00902659">
        <w:rPr>
          <w:rFonts w:ascii="Arial" w:hAnsi="Arial" w:cs="Arial"/>
          <w:sz w:val="24"/>
          <w:szCs w:val="24"/>
        </w:rPr>
        <w:t>]</w:t>
      </w:r>
      <w:r w:rsidR="0066693C">
        <w:rPr>
          <w:rFonts w:ascii="Arial" w:hAnsi="Arial" w:cs="Arial"/>
          <w:sz w:val="24"/>
          <w:szCs w:val="24"/>
        </w:rPr>
        <w:tab/>
      </w:r>
      <w:r w:rsidR="00902659" w:rsidRPr="00902659">
        <w:rPr>
          <w:rFonts w:ascii="Arial" w:hAnsi="Arial" w:cs="Arial"/>
          <w:sz w:val="24"/>
          <w:szCs w:val="24"/>
        </w:rPr>
        <w:t xml:space="preserve">In the present matter the </w:t>
      </w:r>
      <w:r w:rsidR="0066693C">
        <w:rPr>
          <w:rFonts w:ascii="Arial" w:hAnsi="Arial" w:cs="Arial"/>
          <w:sz w:val="24"/>
          <w:szCs w:val="24"/>
        </w:rPr>
        <w:t>respondent</w:t>
      </w:r>
      <w:r w:rsidR="00902659" w:rsidRPr="00902659">
        <w:rPr>
          <w:rFonts w:ascii="Arial" w:hAnsi="Arial" w:cs="Arial"/>
          <w:sz w:val="24"/>
          <w:szCs w:val="24"/>
        </w:rPr>
        <w:t xml:space="preserve"> did not refer to any fact upon which </w:t>
      </w:r>
      <w:r w:rsidR="0066693C">
        <w:rPr>
          <w:rFonts w:ascii="Arial" w:hAnsi="Arial" w:cs="Arial"/>
          <w:sz w:val="24"/>
          <w:szCs w:val="24"/>
        </w:rPr>
        <w:t>s</w:t>
      </w:r>
      <w:r w:rsidR="00902659" w:rsidRPr="00902659">
        <w:rPr>
          <w:rFonts w:ascii="Arial" w:hAnsi="Arial" w:cs="Arial"/>
          <w:sz w:val="24"/>
          <w:szCs w:val="24"/>
        </w:rPr>
        <w:t xml:space="preserve">he based </w:t>
      </w:r>
      <w:r w:rsidR="0066693C">
        <w:rPr>
          <w:rFonts w:ascii="Arial" w:hAnsi="Arial" w:cs="Arial"/>
          <w:sz w:val="24"/>
          <w:szCs w:val="24"/>
        </w:rPr>
        <w:t>her</w:t>
      </w:r>
      <w:r w:rsidR="00902659" w:rsidRPr="00902659">
        <w:rPr>
          <w:rFonts w:ascii="Arial" w:hAnsi="Arial" w:cs="Arial"/>
          <w:sz w:val="24"/>
          <w:szCs w:val="24"/>
        </w:rPr>
        <w:t xml:space="preserve"> submission that the </w:t>
      </w:r>
      <w:r w:rsidR="0066693C">
        <w:rPr>
          <w:rFonts w:ascii="Arial" w:hAnsi="Arial" w:cs="Arial"/>
          <w:sz w:val="24"/>
          <w:szCs w:val="24"/>
        </w:rPr>
        <w:t>appellant</w:t>
      </w:r>
      <w:r w:rsidR="00902659" w:rsidRPr="00902659">
        <w:rPr>
          <w:rFonts w:ascii="Arial" w:hAnsi="Arial" w:cs="Arial"/>
          <w:sz w:val="24"/>
          <w:szCs w:val="24"/>
        </w:rPr>
        <w:t xml:space="preserve"> did not have the requisite authority to oppose the application. </w:t>
      </w:r>
    </w:p>
    <w:p w14:paraId="06C909C4" w14:textId="77777777" w:rsidR="00E31A09" w:rsidRDefault="00E31A09" w:rsidP="003E140F">
      <w:pPr>
        <w:shd w:val="clear" w:color="auto" w:fill="FFFFFF"/>
        <w:spacing w:after="0" w:line="360" w:lineRule="auto"/>
        <w:jc w:val="both"/>
        <w:rPr>
          <w:rFonts w:ascii="Arial" w:hAnsi="Arial" w:cs="Arial"/>
          <w:sz w:val="24"/>
          <w:szCs w:val="24"/>
        </w:rPr>
      </w:pPr>
    </w:p>
    <w:p w14:paraId="709E58AC" w14:textId="0E98D757" w:rsidR="00902659" w:rsidRDefault="00902659" w:rsidP="00BD50D2">
      <w:pPr>
        <w:shd w:val="clear" w:color="auto" w:fill="FFFFFF"/>
        <w:spacing w:after="240" w:line="360" w:lineRule="auto"/>
        <w:jc w:val="both"/>
        <w:rPr>
          <w:rFonts w:ascii="Arial" w:hAnsi="Arial" w:cs="Arial"/>
          <w:sz w:val="24"/>
          <w:szCs w:val="24"/>
        </w:rPr>
      </w:pPr>
      <w:r w:rsidRPr="00902659">
        <w:rPr>
          <w:rFonts w:ascii="Arial" w:hAnsi="Arial" w:cs="Arial"/>
          <w:sz w:val="24"/>
          <w:szCs w:val="24"/>
        </w:rPr>
        <w:t>[</w:t>
      </w:r>
      <w:r w:rsidR="002857FC">
        <w:rPr>
          <w:rFonts w:ascii="Arial" w:hAnsi="Arial" w:cs="Arial"/>
          <w:sz w:val="24"/>
          <w:szCs w:val="24"/>
        </w:rPr>
        <w:t>5</w:t>
      </w:r>
      <w:r w:rsidR="003E140F">
        <w:rPr>
          <w:rFonts w:ascii="Arial" w:hAnsi="Arial" w:cs="Arial"/>
          <w:sz w:val="24"/>
          <w:szCs w:val="24"/>
        </w:rPr>
        <w:t>8</w:t>
      </w:r>
      <w:r w:rsidRPr="00902659">
        <w:rPr>
          <w:rFonts w:ascii="Arial" w:hAnsi="Arial" w:cs="Arial"/>
          <w:sz w:val="24"/>
          <w:szCs w:val="24"/>
        </w:rPr>
        <w:t>]</w:t>
      </w:r>
      <w:r w:rsidR="00481908">
        <w:rPr>
          <w:rFonts w:ascii="Arial" w:hAnsi="Arial" w:cs="Arial"/>
          <w:sz w:val="24"/>
          <w:szCs w:val="24"/>
        </w:rPr>
        <w:tab/>
      </w:r>
      <w:r w:rsidRPr="00902659">
        <w:rPr>
          <w:rFonts w:ascii="Arial" w:hAnsi="Arial" w:cs="Arial"/>
          <w:sz w:val="24"/>
          <w:szCs w:val="24"/>
        </w:rPr>
        <w:t xml:space="preserve">A minimum of evidence would thus in my view be required by the </w:t>
      </w:r>
      <w:r>
        <w:rPr>
          <w:rFonts w:ascii="Arial" w:hAnsi="Arial" w:cs="Arial"/>
          <w:sz w:val="24"/>
          <w:szCs w:val="24"/>
        </w:rPr>
        <w:t>appellant</w:t>
      </w:r>
      <w:r w:rsidRPr="00902659">
        <w:rPr>
          <w:rFonts w:ascii="Arial" w:hAnsi="Arial" w:cs="Arial"/>
          <w:sz w:val="24"/>
          <w:szCs w:val="24"/>
        </w:rPr>
        <w:t xml:space="preserve"> to refute the submission of lack of authority. In this regard Muller J in </w:t>
      </w:r>
      <w:r w:rsidRPr="00902659">
        <w:rPr>
          <w:rFonts w:ascii="Arial" w:hAnsi="Arial" w:cs="Arial"/>
          <w:i/>
          <w:sz w:val="24"/>
          <w:szCs w:val="24"/>
        </w:rPr>
        <w:t>Otjozondjupa Regional Council</w:t>
      </w:r>
      <w:r w:rsidRPr="00902659">
        <w:rPr>
          <w:rFonts w:ascii="Arial" w:hAnsi="Arial" w:cs="Arial"/>
          <w:sz w:val="24"/>
          <w:szCs w:val="24"/>
        </w:rPr>
        <w:t xml:space="preserve"> (supra) said at p</w:t>
      </w:r>
      <w:r w:rsidR="00481908">
        <w:rPr>
          <w:rFonts w:ascii="Arial" w:hAnsi="Arial" w:cs="Arial"/>
          <w:sz w:val="24"/>
          <w:szCs w:val="24"/>
        </w:rPr>
        <w:t>aragraph</w:t>
      </w:r>
      <w:r w:rsidRPr="00902659">
        <w:rPr>
          <w:rFonts w:ascii="Arial" w:hAnsi="Arial" w:cs="Arial"/>
          <w:sz w:val="24"/>
          <w:szCs w:val="24"/>
        </w:rPr>
        <w:t xml:space="preserve"> 14 the following: </w:t>
      </w:r>
    </w:p>
    <w:p w14:paraId="05BCC510" w14:textId="77777777" w:rsidR="00902659" w:rsidRDefault="00902659" w:rsidP="0099740C">
      <w:pPr>
        <w:shd w:val="clear" w:color="auto" w:fill="FFFFFF"/>
        <w:spacing w:after="0" w:line="360" w:lineRule="auto"/>
        <w:ind w:firstLine="720"/>
        <w:jc w:val="both"/>
        <w:rPr>
          <w:rFonts w:ascii="Arial" w:hAnsi="Arial" w:cs="Arial"/>
          <w:szCs w:val="24"/>
        </w:rPr>
      </w:pPr>
      <w:r>
        <w:rPr>
          <w:rFonts w:ascii="Arial" w:hAnsi="Arial" w:cs="Arial"/>
          <w:szCs w:val="24"/>
        </w:rPr>
        <w:t>‘</w:t>
      </w:r>
      <w:r w:rsidRPr="00902659">
        <w:rPr>
          <w:rFonts w:ascii="Arial" w:hAnsi="Arial" w:cs="Arial"/>
          <w:szCs w:val="24"/>
        </w:rPr>
        <w:t>It is clear from the authorities that there must be at least something to show that the litigation on behalf of an artificial person has been authorized. In several matters Courts have regarded a statement under oath by a deponent that he or she had been duly authorized to bring the application as sufficient.</w:t>
      </w:r>
      <w:r>
        <w:rPr>
          <w:rFonts w:ascii="Arial" w:hAnsi="Arial" w:cs="Arial"/>
          <w:szCs w:val="24"/>
        </w:rPr>
        <w:t>’</w:t>
      </w:r>
    </w:p>
    <w:p w14:paraId="69884B51" w14:textId="77777777" w:rsidR="00E31A09" w:rsidRPr="00902659" w:rsidRDefault="00E31A09" w:rsidP="0099740C">
      <w:pPr>
        <w:shd w:val="clear" w:color="auto" w:fill="FFFFFF"/>
        <w:spacing w:after="0" w:line="360" w:lineRule="auto"/>
        <w:ind w:firstLine="720"/>
        <w:jc w:val="both"/>
        <w:rPr>
          <w:rFonts w:ascii="Arial" w:eastAsia="Times New Roman" w:hAnsi="Arial" w:cs="Arial"/>
          <w:szCs w:val="24"/>
          <w:lang w:eastAsia="en-ZA"/>
        </w:rPr>
      </w:pPr>
    </w:p>
    <w:p w14:paraId="35E09828" w14:textId="1AB54F48" w:rsidR="00481908" w:rsidRDefault="00481908" w:rsidP="00BD50D2">
      <w:pPr>
        <w:shd w:val="clear" w:color="auto" w:fill="FFFFFF"/>
        <w:spacing w:after="240" w:line="360" w:lineRule="auto"/>
        <w:jc w:val="both"/>
        <w:rPr>
          <w:rFonts w:ascii="Arial" w:hAnsi="Arial" w:cs="Arial"/>
          <w:sz w:val="24"/>
          <w:szCs w:val="24"/>
        </w:rPr>
      </w:pPr>
      <w:r w:rsidRPr="00481908">
        <w:rPr>
          <w:rFonts w:ascii="Arial" w:hAnsi="Arial" w:cs="Arial"/>
          <w:sz w:val="24"/>
          <w:szCs w:val="24"/>
        </w:rPr>
        <w:t>[</w:t>
      </w:r>
      <w:r w:rsidR="00955BD1">
        <w:rPr>
          <w:rFonts w:ascii="Arial" w:hAnsi="Arial" w:cs="Arial"/>
          <w:sz w:val="24"/>
          <w:szCs w:val="24"/>
        </w:rPr>
        <w:t>5</w:t>
      </w:r>
      <w:r w:rsidR="0099740C">
        <w:rPr>
          <w:rFonts w:ascii="Arial" w:hAnsi="Arial" w:cs="Arial"/>
          <w:sz w:val="24"/>
          <w:szCs w:val="24"/>
        </w:rPr>
        <w:t>9</w:t>
      </w:r>
      <w:r w:rsidRPr="00481908">
        <w:rPr>
          <w:rFonts w:ascii="Arial" w:hAnsi="Arial" w:cs="Arial"/>
          <w:sz w:val="24"/>
          <w:szCs w:val="24"/>
        </w:rPr>
        <w:t>]</w:t>
      </w:r>
      <w:r>
        <w:rPr>
          <w:rFonts w:ascii="Arial" w:hAnsi="Arial" w:cs="Arial"/>
          <w:sz w:val="24"/>
          <w:szCs w:val="24"/>
        </w:rPr>
        <w:tab/>
      </w:r>
      <w:r w:rsidRPr="00481908">
        <w:rPr>
          <w:rFonts w:ascii="Arial" w:hAnsi="Arial" w:cs="Arial"/>
          <w:sz w:val="24"/>
          <w:szCs w:val="24"/>
        </w:rPr>
        <w:t xml:space="preserve">In the present instance the </w:t>
      </w:r>
      <w:r>
        <w:rPr>
          <w:rFonts w:ascii="Arial" w:hAnsi="Arial" w:cs="Arial"/>
          <w:sz w:val="24"/>
          <w:szCs w:val="24"/>
        </w:rPr>
        <w:t>managing director</w:t>
      </w:r>
      <w:r w:rsidRPr="00481908">
        <w:rPr>
          <w:rFonts w:ascii="Arial" w:hAnsi="Arial" w:cs="Arial"/>
          <w:sz w:val="24"/>
          <w:szCs w:val="24"/>
        </w:rPr>
        <w:t xml:space="preserve"> of </w:t>
      </w:r>
      <w:r>
        <w:rPr>
          <w:rFonts w:ascii="Arial" w:hAnsi="Arial" w:cs="Arial"/>
          <w:sz w:val="24"/>
          <w:szCs w:val="24"/>
        </w:rPr>
        <w:t>the appellant</w:t>
      </w:r>
      <w:r w:rsidRPr="00481908">
        <w:rPr>
          <w:rFonts w:ascii="Arial" w:hAnsi="Arial" w:cs="Arial"/>
          <w:sz w:val="24"/>
          <w:szCs w:val="24"/>
        </w:rPr>
        <w:t xml:space="preserve"> stated </w:t>
      </w:r>
      <w:r>
        <w:rPr>
          <w:rFonts w:ascii="Arial" w:hAnsi="Arial" w:cs="Arial"/>
          <w:sz w:val="24"/>
          <w:szCs w:val="24"/>
        </w:rPr>
        <w:t xml:space="preserve">on the special power of attorney that </w:t>
      </w:r>
      <w:r w:rsidRPr="00481908">
        <w:rPr>
          <w:rFonts w:ascii="Arial" w:hAnsi="Arial" w:cs="Arial"/>
          <w:sz w:val="24"/>
          <w:szCs w:val="24"/>
        </w:rPr>
        <w:t>he was duly authorised to</w:t>
      </w:r>
      <w:r>
        <w:rPr>
          <w:rFonts w:ascii="Arial" w:hAnsi="Arial" w:cs="Arial"/>
          <w:sz w:val="24"/>
          <w:szCs w:val="24"/>
        </w:rPr>
        <w:t>:</w:t>
      </w:r>
    </w:p>
    <w:p w14:paraId="043A09DB" w14:textId="5CBCC482" w:rsidR="00481908" w:rsidRPr="0099740C" w:rsidRDefault="00481908" w:rsidP="00481908">
      <w:pPr>
        <w:shd w:val="clear" w:color="auto" w:fill="FFFFFF"/>
        <w:spacing w:after="0" w:line="360" w:lineRule="auto"/>
        <w:ind w:firstLine="720"/>
        <w:jc w:val="both"/>
        <w:rPr>
          <w:rFonts w:ascii="Arial" w:hAnsi="Arial" w:cs="Arial"/>
        </w:rPr>
      </w:pPr>
      <w:r w:rsidRPr="00481908">
        <w:rPr>
          <w:rFonts w:ascii="Arial" w:hAnsi="Arial" w:cs="Arial"/>
          <w:sz w:val="24"/>
          <w:szCs w:val="24"/>
        </w:rPr>
        <w:t xml:space="preserve"> </w:t>
      </w:r>
      <w:r w:rsidRPr="0099740C">
        <w:rPr>
          <w:rFonts w:ascii="Arial" w:hAnsi="Arial" w:cs="Arial"/>
        </w:rPr>
        <w:t>‘</w:t>
      </w:r>
      <w:r w:rsidR="00DC2B9E" w:rsidRPr="0099740C">
        <w:rPr>
          <w:rFonts w:ascii="Arial" w:eastAsia="Times New Roman" w:hAnsi="Arial" w:cs="Arial"/>
          <w:lang w:eastAsia="en-ZA"/>
        </w:rPr>
        <w:t>. . .</w:t>
      </w:r>
      <w:r w:rsidRPr="0099740C">
        <w:rPr>
          <w:rFonts w:ascii="Arial" w:eastAsia="Times New Roman" w:hAnsi="Arial" w:cs="Arial"/>
          <w:lang w:eastAsia="en-ZA"/>
        </w:rPr>
        <w:t xml:space="preserve"> nominate, constitute and appoint RICHARD NICHOLAS METCALFE and/or power of substitution to be our lawful legal practitioner/s and agent in our name, place and stead to appear before the abovementioned Honourable Court or wherever else may be necessary, and then and there as our act and deed, to prosecute the appeal against the arbitration award /ruling issued by Ms Lahya Dumeni in the arbitration proceedings between the appellant and respondent under case number CROM150-16</w:t>
      </w:r>
      <w:r w:rsidRPr="0099740C">
        <w:rPr>
          <w:rFonts w:ascii="Arial" w:hAnsi="Arial" w:cs="Arial"/>
        </w:rPr>
        <w:t>.’</w:t>
      </w:r>
    </w:p>
    <w:p w14:paraId="4198C96F" w14:textId="77777777" w:rsidR="00481908" w:rsidRDefault="00481908" w:rsidP="00481908">
      <w:pPr>
        <w:shd w:val="clear" w:color="auto" w:fill="FFFFFF"/>
        <w:spacing w:after="0" w:line="360" w:lineRule="auto"/>
        <w:jc w:val="both"/>
        <w:rPr>
          <w:rFonts w:ascii="Arial" w:hAnsi="Arial" w:cs="Arial"/>
          <w:sz w:val="24"/>
          <w:szCs w:val="24"/>
        </w:rPr>
      </w:pPr>
    </w:p>
    <w:p w14:paraId="1D748DFA" w14:textId="236EAB90" w:rsidR="00481908" w:rsidRDefault="00481908" w:rsidP="00481908">
      <w:pPr>
        <w:shd w:val="clear" w:color="auto" w:fill="FFFFFF"/>
        <w:spacing w:after="0" w:line="360" w:lineRule="auto"/>
        <w:jc w:val="both"/>
        <w:rPr>
          <w:rFonts w:ascii="Arial" w:hAnsi="Arial" w:cs="Arial"/>
          <w:sz w:val="24"/>
          <w:szCs w:val="24"/>
        </w:rPr>
      </w:pPr>
      <w:r>
        <w:rPr>
          <w:rFonts w:ascii="Arial" w:hAnsi="Arial" w:cs="Arial"/>
          <w:sz w:val="24"/>
          <w:szCs w:val="24"/>
        </w:rPr>
        <w:t>[</w:t>
      </w:r>
      <w:r w:rsidR="0099740C">
        <w:rPr>
          <w:rFonts w:ascii="Arial" w:hAnsi="Arial" w:cs="Arial"/>
          <w:sz w:val="24"/>
          <w:szCs w:val="24"/>
        </w:rPr>
        <w:t>60</w:t>
      </w:r>
      <w:r>
        <w:rPr>
          <w:rFonts w:ascii="Arial" w:hAnsi="Arial" w:cs="Arial"/>
          <w:sz w:val="24"/>
          <w:szCs w:val="24"/>
        </w:rPr>
        <w:t>]</w:t>
      </w:r>
      <w:r>
        <w:rPr>
          <w:rFonts w:ascii="Arial" w:hAnsi="Arial" w:cs="Arial"/>
          <w:sz w:val="24"/>
          <w:szCs w:val="24"/>
        </w:rPr>
        <w:tab/>
      </w:r>
      <w:r w:rsidRPr="00481908">
        <w:rPr>
          <w:rFonts w:ascii="Arial" w:hAnsi="Arial" w:cs="Arial"/>
          <w:sz w:val="24"/>
          <w:szCs w:val="24"/>
        </w:rPr>
        <w:t>In addition</w:t>
      </w:r>
      <w:r>
        <w:rPr>
          <w:rFonts w:ascii="Arial" w:hAnsi="Arial" w:cs="Arial"/>
          <w:sz w:val="24"/>
          <w:szCs w:val="24"/>
        </w:rPr>
        <w:t xml:space="preserve"> to the aforementioned</w:t>
      </w:r>
      <w:r w:rsidRPr="00481908">
        <w:rPr>
          <w:rFonts w:ascii="Arial" w:hAnsi="Arial" w:cs="Arial"/>
          <w:sz w:val="24"/>
          <w:szCs w:val="24"/>
        </w:rPr>
        <w:t>,</w:t>
      </w:r>
      <w:r>
        <w:rPr>
          <w:rFonts w:ascii="Arial" w:hAnsi="Arial" w:cs="Arial"/>
          <w:sz w:val="24"/>
          <w:szCs w:val="24"/>
        </w:rPr>
        <w:t xml:space="preserve"> the special power of attorney provides </w:t>
      </w:r>
      <w:r w:rsidR="00F34071">
        <w:rPr>
          <w:rFonts w:ascii="Arial" w:hAnsi="Arial" w:cs="Arial"/>
          <w:sz w:val="24"/>
          <w:szCs w:val="24"/>
        </w:rPr>
        <w:t>that:</w:t>
      </w:r>
      <w:r>
        <w:rPr>
          <w:rFonts w:ascii="Arial" w:hAnsi="Arial" w:cs="Arial"/>
          <w:sz w:val="24"/>
          <w:szCs w:val="24"/>
        </w:rPr>
        <w:t xml:space="preserve"> </w:t>
      </w:r>
      <w:r w:rsidRPr="00481908">
        <w:rPr>
          <w:rFonts w:ascii="Arial" w:hAnsi="Arial" w:cs="Arial"/>
          <w:sz w:val="24"/>
          <w:szCs w:val="24"/>
        </w:rPr>
        <w:t xml:space="preserve"> </w:t>
      </w:r>
    </w:p>
    <w:p w14:paraId="1B7783D1" w14:textId="77777777" w:rsidR="00481908" w:rsidRDefault="00481908" w:rsidP="00481908">
      <w:pPr>
        <w:shd w:val="clear" w:color="auto" w:fill="FFFFFF"/>
        <w:spacing w:after="0" w:line="360" w:lineRule="auto"/>
        <w:jc w:val="both"/>
        <w:rPr>
          <w:rFonts w:ascii="Arial" w:hAnsi="Arial" w:cs="Arial"/>
          <w:sz w:val="24"/>
          <w:szCs w:val="24"/>
        </w:rPr>
      </w:pPr>
    </w:p>
    <w:p w14:paraId="5308B427" w14:textId="77777777" w:rsidR="00F34071" w:rsidRDefault="00F34071" w:rsidP="00F34071">
      <w:pPr>
        <w:shd w:val="clear" w:color="auto" w:fill="FFFFFF"/>
        <w:spacing w:after="0" w:line="360" w:lineRule="auto"/>
        <w:ind w:firstLine="720"/>
        <w:jc w:val="both"/>
        <w:rPr>
          <w:rFonts w:ascii="Arial" w:eastAsia="Times New Roman" w:hAnsi="Arial" w:cs="Arial"/>
          <w:szCs w:val="24"/>
          <w:lang w:eastAsia="en-ZA"/>
        </w:rPr>
      </w:pPr>
      <w:r>
        <w:rPr>
          <w:rFonts w:ascii="Arial" w:eastAsia="Times New Roman" w:hAnsi="Arial" w:cs="Arial"/>
          <w:szCs w:val="24"/>
          <w:lang w:eastAsia="en-ZA"/>
        </w:rPr>
        <w:t>‘I/we might or could do if personally present and acting therein; hereby ratifying, allowing, and confirming, and promising and agreeing to ratify, allow and confirm all and whatsoever our said legal practitioners and agent have done or shall lawfully do or cause to be done by virtue of these presents</w:t>
      </w:r>
      <w:r w:rsidR="0034104B">
        <w:rPr>
          <w:rStyle w:val="FootnoteReference"/>
          <w:rFonts w:ascii="Arial" w:eastAsia="Times New Roman" w:hAnsi="Arial" w:cs="Arial"/>
          <w:szCs w:val="24"/>
          <w:lang w:eastAsia="en-ZA"/>
        </w:rPr>
        <w:footnoteReference w:id="15"/>
      </w:r>
      <w:r>
        <w:rPr>
          <w:rFonts w:ascii="Arial" w:eastAsia="Times New Roman" w:hAnsi="Arial" w:cs="Arial"/>
          <w:szCs w:val="24"/>
          <w:lang w:eastAsia="en-ZA"/>
        </w:rPr>
        <w:t>.’</w:t>
      </w:r>
    </w:p>
    <w:p w14:paraId="0FF42419" w14:textId="77777777" w:rsidR="00481908" w:rsidRDefault="00481908" w:rsidP="00481908">
      <w:pPr>
        <w:shd w:val="clear" w:color="auto" w:fill="FFFFFF"/>
        <w:spacing w:after="0" w:line="360" w:lineRule="auto"/>
        <w:jc w:val="both"/>
        <w:rPr>
          <w:rFonts w:ascii="Arial" w:hAnsi="Arial" w:cs="Arial"/>
          <w:sz w:val="24"/>
          <w:szCs w:val="24"/>
        </w:rPr>
      </w:pPr>
    </w:p>
    <w:p w14:paraId="24198416" w14:textId="4B7051F4" w:rsidR="0034104B" w:rsidRDefault="0034104B" w:rsidP="00BD50D2">
      <w:pPr>
        <w:shd w:val="clear" w:color="auto" w:fill="FFFFFF"/>
        <w:spacing w:after="240" w:line="360" w:lineRule="auto"/>
        <w:jc w:val="both"/>
        <w:rPr>
          <w:rFonts w:ascii="Arial" w:hAnsi="Arial" w:cs="Arial"/>
          <w:sz w:val="24"/>
          <w:szCs w:val="24"/>
        </w:rPr>
      </w:pPr>
      <w:r w:rsidRPr="0034104B">
        <w:rPr>
          <w:rFonts w:ascii="Arial" w:eastAsia="Times New Roman" w:hAnsi="Arial" w:cs="Arial"/>
          <w:sz w:val="24"/>
          <w:lang w:eastAsia="en-ZA"/>
        </w:rPr>
        <w:t>[6</w:t>
      </w:r>
      <w:r w:rsidR="002E7E57">
        <w:rPr>
          <w:rFonts w:ascii="Arial" w:eastAsia="Times New Roman" w:hAnsi="Arial" w:cs="Arial"/>
          <w:sz w:val="24"/>
          <w:lang w:eastAsia="en-ZA"/>
        </w:rPr>
        <w:t>1</w:t>
      </w:r>
      <w:r w:rsidRPr="0034104B">
        <w:rPr>
          <w:rFonts w:ascii="Arial" w:eastAsia="Times New Roman" w:hAnsi="Arial" w:cs="Arial"/>
          <w:sz w:val="24"/>
          <w:lang w:eastAsia="en-ZA"/>
        </w:rPr>
        <w:t>]</w:t>
      </w:r>
      <w:r w:rsidR="002E7E57">
        <w:rPr>
          <w:rFonts w:ascii="Arial" w:eastAsia="Times New Roman" w:hAnsi="Arial" w:cs="Arial"/>
          <w:sz w:val="24"/>
          <w:lang w:eastAsia="en-ZA"/>
        </w:rPr>
        <w:tab/>
      </w:r>
      <w:r w:rsidRPr="00902659">
        <w:rPr>
          <w:rFonts w:ascii="Arial" w:hAnsi="Arial" w:cs="Arial"/>
          <w:sz w:val="24"/>
          <w:szCs w:val="24"/>
        </w:rPr>
        <w:t xml:space="preserve">Muller J in </w:t>
      </w:r>
      <w:r w:rsidRPr="00902659">
        <w:rPr>
          <w:rFonts w:ascii="Arial" w:hAnsi="Arial" w:cs="Arial"/>
          <w:i/>
          <w:sz w:val="24"/>
          <w:szCs w:val="24"/>
        </w:rPr>
        <w:t>Otjozondjupa Regional Council</w:t>
      </w:r>
      <w:r w:rsidRPr="00902659">
        <w:rPr>
          <w:rFonts w:ascii="Arial" w:hAnsi="Arial" w:cs="Arial"/>
          <w:sz w:val="24"/>
          <w:szCs w:val="24"/>
        </w:rPr>
        <w:t xml:space="preserve"> (supra) said at p</w:t>
      </w:r>
      <w:r>
        <w:rPr>
          <w:rFonts w:ascii="Arial" w:hAnsi="Arial" w:cs="Arial"/>
          <w:sz w:val="24"/>
          <w:szCs w:val="24"/>
        </w:rPr>
        <w:t>aragraph</w:t>
      </w:r>
      <w:r w:rsidRPr="00902659">
        <w:rPr>
          <w:rFonts w:ascii="Arial" w:hAnsi="Arial" w:cs="Arial"/>
          <w:sz w:val="24"/>
          <w:szCs w:val="24"/>
        </w:rPr>
        <w:t xml:space="preserve"> </w:t>
      </w:r>
      <w:r w:rsidR="00C11F87">
        <w:rPr>
          <w:rFonts w:ascii="Arial" w:hAnsi="Arial" w:cs="Arial"/>
          <w:sz w:val="24"/>
          <w:szCs w:val="24"/>
        </w:rPr>
        <w:t>5</w:t>
      </w:r>
      <w:r w:rsidRPr="00902659">
        <w:rPr>
          <w:rFonts w:ascii="Arial" w:hAnsi="Arial" w:cs="Arial"/>
          <w:sz w:val="24"/>
          <w:szCs w:val="24"/>
        </w:rPr>
        <w:t xml:space="preserve"> the following: </w:t>
      </w:r>
    </w:p>
    <w:p w14:paraId="01ED11E5" w14:textId="77777777" w:rsidR="0034104B" w:rsidRPr="0034104B" w:rsidRDefault="0034104B" w:rsidP="00BD50D2">
      <w:pPr>
        <w:shd w:val="clear" w:color="auto" w:fill="FFFFFF"/>
        <w:spacing w:after="240" w:line="360" w:lineRule="auto"/>
        <w:ind w:firstLine="720"/>
        <w:jc w:val="both"/>
        <w:rPr>
          <w:rFonts w:ascii="Arial" w:eastAsia="Times New Roman" w:hAnsi="Arial" w:cs="Arial"/>
          <w:lang w:eastAsia="en-ZA"/>
        </w:rPr>
      </w:pPr>
      <w:r w:rsidRPr="0034104B">
        <w:rPr>
          <w:rFonts w:ascii="Arial" w:eastAsia="Times New Roman" w:hAnsi="Arial" w:cs="Arial"/>
          <w:sz w:val="24"/>
          <w:lang w:eastAsia="en-ZA"/>
        </w:rPr>
        <w:t xml:space="preserve"> </w:t>
      </w:r>
      <w:r>
        <w:rPr>
          <w:rFonts w:ascii="Arial" w:eastAsia="Times New Roman" w:hAnsi="Arial" w:cs="Arial"/>
          <w:sz w:val="24"/>
          <w:lang w:eastAsia="en-ZA"/>
        </w:rPr>
        <w:t xml:space="preserve"> ‘</w:t>
      </w:r>
      <w:r w:rsidRPr="0034104B">
        <w:rPr>
          <w:rFonts w:ascii="Arial" w:eastAsia="Times New Roman" w:hAnsi="Arial" w:cs="Arial"/>
          <w:lang w:eastAsia="en-ZA"/>
        </w:rPr>
        <w:t>Even if there was no proper resolution in respect of authority, it can be taken and provided at a later stage and operates retrospectively;’</w:t>
      </w:r>
    </w:p>
    <w:p w14:paraId="7ED41FC1" w14:textId="77777777" w:rsidR="0034104B" w:rsidRPr="00F67849" w:rsidRDefault="0034104B" w:rsidP="00BD50D2">
      <w:pPr>
        <w:spacing w:after="240"/>
        <w:ind w:left="720"/>
        <w:contextualSpacing/>
        <w:rPr>
          <w:rFonts w:ascii="Arial" w:hAnsi="Arial" w:cs="Arial"/>
        </w:rPr>
      </w:pPr>
    </w:p>
    <w:p w14:paraId="04F30646" w14:textId="51A6736D" w:rsidR="0034104B" w:rsidRDefault="00457974" w:rsidP="00735473">
      <w:pPr>
        <w:shd w:val="clear" w:color="auto" w:fill="FFFFFF"/>
        <w:spacing w:after="0" w:line="360" w:lineRule="auto"/>
        <w:jc w:val="both"/>
        <w:rPr>
          <w:rFonts w:ascii="Arial" w:hAnsi="Arial" w:cs="Arial"/>
          <w:sz w:val="24"/>
          <w:szCs w:val="24"/>
        </w:rPr>
      </w:pPr>
      <w:r>
        <w:rPr>
          <w:rFonts w:ascii="Arial" w:hAnsi="Arial" w:cs="Arial"/>
          <w:sz w:val="24"/>
          <w:szCs w:val="24"/>
        </w:rPr>
        <w:t>[6</w:t>
      </w:r>
      <w:r w:rsidR="002E7E57">
        <w:rPr>
          <w:rFonts w:ascii="Arial" w:hAnsi="Arial" w:cs="Arial"/>
          <w:sz w:val="24"/>
          <w:szCs w:val="24"/>
        </w:rPr>
        <w:t>2</w:t>
      </w:r>
      <w:r>
        <w:rPr>
          <w:rFonts w:ascii="Arial" w:hAnsi="Arial" w:cs="Arial"/>
          <w:sz w:val="24"/>
          <w:szCs w:val="24"/>
        </w:rPr>
        <w:t>]</w:t>
      </w:r>
      <w:r>
        <w:rPr>
          <w:rFonts w:ascii="Arial" w:hAnsi="Arial" w:cs="Arial"/>
          <w:sz w:val="24"/>
          <w:szCs w:val="24"/>
        </w:rPr>
        <w:tab/>
      </w:r>
      <w:r w:rsidR="00C11F87">
        <w:rPr>
          <w:rFonts w:ascii="Arial" w:hAnsi="Arial" w:cs="Arial"/>
          <w:sz w:val="24"/>
          <w:szCs w:val="24"/>
        </w:rPr>
        <w:t>It is clear from the special power of attorney that</w:t>
      </w:r>
      <w:r>
        <w:rPr>
          <w:rFonts w:ascii="Arial" w:hAnsi="Arial" w:cs="Arial"/>
          <w:sz w:val="24"/>
          <w:szCs w:val="24"/>
        </w:rPr>
        <w:t xml:space="preserve"> the allegation of authority has been </w:t>
      </w:r>
      <w:r w:rsidR="004D06B8">
        <w:rPr>
          <w:rFonts w:ascii="Arial" w:hAnsi="Arial" w:cs="Arial"/>
          <w:sz w:val="24"/>
          <w:szCs w:val="24"/>
        </w:rPr>
        <w:t>made, although there is no evidence in the form of a board resolution has been placed before court to prove such authority</w:t>
      </w:r>
      <w:r>
        <w:rPr>
          <w:rFonts w:ascii="Arial" w:hAnsi="Arial" w:cs="Arial"/>
          <w:sz w:val="24"/>
          <w:szCs w:val="24"/>
        </w:rPr>
        <w:t xml:space="preserve">. </w:t>
      </w:r>
      <w:r w:rsidR="004D06B8">
        <w:rPr>
          <w:rFonts w:ascii="Arial" w:hAnsi="Arial" w:cs="Arial"/>
          <w:sz w:val="24"/>
          <w:szCs w:val="24"/>
        </w:rPr>
        <w:t>The above principle makes it clear that</w:t>
      </w:r>
      <w:r>
        <w:rPr>
          <w:rFonts w:ascii="Arial" w:hAnsi="Arial" w:cs="Arial"/>
          <w:sz w:val="24"/>
          <w:szCs w:val="24"/>
        </w:rPr>
        <w:t xml:space="preserve"> that ratification of the lack of authority can be done at a later stage and it will operate retrospectively. </w:t>
      </w:r>
      <w:r w:rsidR="004D06B8">
        <w:rPr>
          <w:rFonts w:ascii="Arial" w:hAnsi="Arial" w:cs="Arial"/>
          <w:sz w:val="24"/>
          <w:szCs w:val="24"/>
        </w:rPr>
        <w:t xml:space="preserve">If one has to closely interrogate the argument of the respondent that there is no resolution to support the authority to institute the appeal or the Managing Director was not authorised by a board resolution to appoint Metcalfe Beukes, thus they lack the necessary authority to institute proceedings. I do not see why the abovementioned principle cannot be invoked to ratify such authority. The circumstances under which the allegation was made justifies the safe application of the principle. </w:t>
      </w:r>
    </w:p>
    <w:p w14:paraId="2CBE4C37" w14:textId="77777777" w:rsidR="00E31A09" w:rsidRPr="00BD50D2" w:rsidRDefault="00E31A09" w:rsidP="00735473">
      <w:pPr>
        <w:shd w:val="clear" w:color="auto" w:fill="FFFFFF"/>
        <w:spacing w:after="0" w:line="360" w:lineRule="auto"/>
        <w:jc w:val="both"/>
        <w:rPr>
          <w:rFonts w:ascii="Arial" w:eastAsia="Times New Roman" w:hAnsi="Arial" w:cs="Arial"/>
          <w:lang w:eastAsia="en-ZA"/>
        </w:rPr>
      </w:pPr>
    </w:p>
    <w:p w14:paraId="2CB4938C" w14:textId="2C2DC9CA" w:rsidR="000C658C" w:rsidRDefault="000C658C" w:rsidP="00BD50D2">
      <w:pPr>
        <w:shd w:val="clear" w:color="auto" w:fill="FFFFFF"/>
        <w:spacing w:after="240" w:line="360" w:lineRule="auto"/>
        <w:jc w:val="both"/>
        <w:rPr>
          <w:rFonts w:ascii="Arial" w:hAnsi="Arial" w:cs="Arial"/>
          <w:sz w:val="24"/>
          <w:szCs w:val="24"/>
        </w:rPr>
      </w:pPr>
      <w:r>
        <w:rPr>
          <w:rFonts w:ascii="Arial" w:hAnsi="Arial" w:cs="Arial"/>
          <w:sz w:val="24"/>
          <w:szCs w:val="24"/>
        </w:rPr>
        <w:t>[</w:t>
      </w:r>
      <w:r w:rsidR="00955BD1">
        <w:rPr>
          <w:rFonts w:ascii="Arial" w:hAnsi="Arial" w:cs="Arial"/>
          <w:sz w:val="24"/>
          <w:szCs w:val="24"/>
        </w:rPr>
        <w:t>6</w:t>
      </w:r>
      <w:r w:rsidR="00735473">
        <w:rPr>
          <w:rFonts w:ascii="Arial" w:hAnsi="Arial" w:cs="Arial"/>
          <w:sz w:val="24"/>
          <w:szCs w:val="24"/>
        </w:rPr>
        <w:t>3</w:t>
      </w:r>
      <w:r w:rsidRPr="000C658C">
        <w:rPr>
          <w:rFonts w:ascii="Arial" w:hAnsi="Arial" w:cs="Arial"/>
          <w:sz w:val="24"/>
          <w:szCs w:val="24"/>
        </w:rPr>
        <w:t>]</w:t>
      </w:r>
      <w:r w:rsidRPr="000C658C">
        <w:rPr>
          <w:rFonts w:ascii="Arial" w:hAnsi="Arial" w:cs="Arial"/>
          <w:sz w:val="24"/>
          <w:szCs w:val="24"/>
        </w:rPr>
        <w:tab/>
        <w:t xml:space="preserve">In </w:t>
      </w:r>
      <w:r w:rsidRPr="000C658C">
        <w:rPr>
          <w:rFonts w:ascii="Arial" w:hAnsi="Arial" w:cs="Arial"/>
          <w:i/>
          <w:sz w:val="24"/>
          <w:szCs w:val="24"/>
        </w:rPr>
        <w:t>National Union of Namibian Workers v Peter Naholo</w:t>
      </w:r>
      <w:r w:rsidRPr="000C658C">
        <w:rPr>
          <w:rStyle w:val="FootnoteReference"/>
          <w:rFonts w:ascii="Arial" w:hAnsi="Arial" w:cs="Arial"/>
          <w:i/>
          <w:sz w:val="24"/>
          <w:szCs w:val="24"/>
        </w:rPr>
        <w:footnoteReference w:id="16"/>
      </w:r>
      <w:r w:rsidRPr="000C658C">
        <w:rPr>
          <w:rFonts w:ascii="Arial" w:hAnsi="Arial" w:cs="Arial"/>
          <w:i/>
          <w:sz w:val="24"/>
          <w:szCs w:val="24"/>
        </w:rPr>
        <w:t xml:space="preserve"> </w:t>
      </w:r>
      <w:r w:rsidRPr="000C658C">
        <w:rPr>
          <w:rFonts w:ascii="Arial" w:hAnsi="Arial" w:cs="Arial"/>
          <w:sz w:val="24"/>
          <w:szCs w:val="24"/>
        </w:rPr>
        <w:t xml:space="preserve">unreported judgment of this </w:t>
      </w:r>
      <w:r w:rsidR="00DC2B9E">
        <w:rPr>
          <w:rFonts w:ascii="Arial" w:hAnsi="Arial" w:cs="Arial"/>
          <w:sz w:val="24"/>
          <w:szCs w:val="24"/>
        </w:rPr>
        <w:t>c</w:t>
      </w:r>
      <w:r w:rsidRPr="000C658C">
        <w:rPr>
          <w:rFonts w:ascii="Arial" w:hAnsi="Arial" w:cs="Arial"/>
          <w:sz w:val="24"/>
          <w:szCs w:val="24"/>
        </w:rPr>
        <w:t>ourt delivered on 7 April 2006 by Tötemeyer AJ</w:t>
      </w:r>
      <w:r w:rsidR="00DC2B9E">
        <w:rPr>
          <w:rFonts w:ascii="Arial" w:hAnsi="Arial" w:cs="Arial"/>
          <w:sz w:val="24"/>
          <w:szCs w:val="24"/>
        </w:rPr>
        <w:t xml:space="preserve"> –</w:t>
      </w:r>
      <w:r w:rsidRPr="000C658C">
        <w:rPr>
          <w:rFonts w:ascii="Arial" w:hAnsi="Arial" w:cs="Arial"/>
          <w:sz w:val="24"/>
          <w:szCs w:val="24"/>
        </w:rPr>
        <w:t xml:space="preserve"> which is distinguishable on the facts from the present application</w:t>
      </w:r>
      <w:r w:rsidR="00DC2B9E">
        <w:rPr>
          <w:rFonts w:ascii="Arial" w:hAnsi="Arial" w:cs="Arial"/>
          <w:sz w:val="24"/>
          <w:szCs w:val="24"/>
        </w:rPr>
        <w:t xml:space="preserve"> – </w:t>
      </w:r>
      <w:r w:rsidRPr="000C658C">
        <w:rPr>
          <w:rFonts w:ascii="Arial" w:hAnsi="Arial" w:cs="Arial"/>
          <w:sz w:val="24"/>
          <w:szCs w:val="24"/>
        </w:rPr>
        <w:t xml:space="preserve">one of the issues raised was lack of authority to bring the application and the court dealt with this issue </w:t>
      </w:r>
      <w:r w:rsidR="00DC2B9E">
        <w:rPr>
          <w:rFonts w:ascii="Arial" w:hAnsi="Arial" w:cs="Arial"/>
          <w:sz w:val="24"/>
          <w:szCs w:val="24"/>
        </w:rPr>
        <w:t xml:space="preserve">at </w:t>
      </w:r>
      <w:r w:rsidRPr="000C658C">
        <w:rPr>
          <w:rFonts w:ascii="Arial" w:hAnsi="Arial" w:cs="Arial"/>
          <w:sz w:val="24"/>
          <w:szCs w:val="24"/>
        </w:rPr>
        <w:t xml:space="preserve">paragraphs 26.1 and 26.2 as follows: </w:t>
      </w:r>
    </w:p>
    <w:p w14:paraId="268D3C00" w14:textId="7F51D099" w:rsidR="000C658C" w:rsidRPr="000C658C" w:rsidRDefault="000C658C" w:rsidP="000C658C">
      <w:pPr>
        <w:shd w:val="clear" w:color="auto" w:fill="FFFFFF"/>
        <w:spacing w:after="0" w:line="360" w:lineRule="auto"/>
        <w:ind w:firstLine="720"/>
        <w:jc w:val="both"/>
        <w:rPr>
          <w:rFonts w:ascii="Arial" w:hAnsi="Arial" w:cs="Arial"/>
          <w:i/>
          <w:sz w:val="24"/>
          <w:szCs w:val="24"/>
        </w:rPr>
      </w:pPr>
      <w:r>
        <w:rPr>
          <w:rFonts w:ascii="Arial" w:hAnsi="Arial" w:cs="Arial"/>
          <w:sz w:val="24"/>
          <w:szCs w:val="24"/>
        </w:rPr>
        <w:t>‘</w:t>
      </w:r>
      <w:r w:rsidRPr="000C658C">
        <w:rPr>
          <w:rFonts w:ascii="Arial" w:hAnsi="Arial" w:cs="Arial"/>
          <w:sz w:val="24"/>
          <w:szCs w:val="24"/>
        </w:rPr>
        <w:t>[26.1]</w:t>
      </w:r>
      <w:r w:rsidR="008F3F53">
        <w:rPr>
          <w:rFonts w:ascii="Arial" w:hAnsi="Arial" w:cs="Arial"/>
          <w:sz w:val="24"/>
          <w:szCs w:val="24"/>
        </w:rPr>
        <w:tab/>
      </w:r>
      <w:r w:rsidR="00717384">
        <w:rPr>
          <w:rFonts w:ascii="Arial" w:hAnsi="Arial" w:cs="Arial"/>
          <w:i/>
          <w:sz w:val="24"/>
          <w:szCs w:val="24"/>
          <w:u w:val="single"/>
        </w:rPr>
        <w:t>I</w:t>
      </w:r>
      <w:r w:rsidRPr="0034104B">
        <w:rPr>
          <w:rFonts w:ascii="Arial" w:hAnsi="Arial" w:cs="Arial"/>
          <w:i/>
          <w:sz w:val="24"/>
          <w:szCs w:val="24"/>
          <w:u w:val="single"/>
        </w:rPr>
        <w:t xml:space="preserve">f a respondent offers no evidence at all to suggest that an applicant is not properly before Court, a minimum of evidence will be required from the applicant to establish authority. This is the import of the frequently followed judgment of the Mall (Cape) matter, supra. In my view, this principle should also apply if respondent avails himself of a mere non-admission or a tactical denial of authority without placing any evidence before Court </w:t>
      </w:r>
      <w:r w:rsidR="0034104B" w:rsidRPr="0034104B">
        <w:rPr>
          <w:rFonts w:ascii="Arial" w:hAnsi="Arial" w:cs="Arial"/>
          <w:i/>
          <w:sz w:val="24"/>
          <w:szCs w:val="24"/>
          <w:u w:val="single"/>
        </w:rPr>
        <w:t>to suggest</w:t>
      </w:r>
      <w:r w:rsidRPr="0034104B">
        <w:rPr>
          <w:rFonts w:ascii="Arial" w:hAnsi="Arial" w:cs="Arial"/>
          <w:i/>
          <w:sz w:val="24"/>
          <w:szCs w:val="24"/>
          <w:u w:val="single"/>
        </w:rPr>
        <w:t xml:space="preserve"> that the applicant is not properly authorised.</w:t>
      </w:r>
      <w:r w:rsidRPr="000C658C">
        <w:rPr>
          <w:rFonts w:ascii="Arial" w:hAnsi="Arial" w:cs="Arial"/>
          <w:i/>
          <w:sz w:val="24"/>
          <w:szCs w:val="24"/>
        </w:rPr>
        <w:t xml:space="preserve"> </w:t>
      </w:r>
      <w:r w:rsidR="0034104B">
        <w:rPr>
          <w:rFonts w:ascii="Arial" w:hAnsi="Arial" w:cs="Arial"/>
          <w:i/>
          <w:sz w:val="24"/>
          <w:szCs w:val="24"/>
        </w:rPr>
        <w:t>(My emphasis)</w:t>
      </w:r>
    </w:p>
    <w:p w14:paraId="1343932F" w14:textId="77777777" w:rsidR="000C658C" w:rsidRDefault="000C658C" w:rsidP="00481908">
      <w:pPr>
        <w:shd w:val="clear" w:color="auto" w:fill="FFFFFF"/>
        <w:spacing w:after="0" w:line="360" w:lineRule="auto"/>
        <w:jc w:val="both"/>
        <w:rPr>
          <w:rFonts w:ascii="Arial" w:hAnsi="Arial" w:cs="Arial"/>
          <w:sz w:val="24"/>
          <w:szCs w:val="24"/>
        </w:rPr>
      </w:pPr>
    </w:p>
    <w:p w14:paraId="22723AFB" w14:textId="77777777" w:rsidR="000C658C" w:rsidRPr="000C658C" w:rsidRDefault="000C658C" w:rsidP="00481908">
      <w:pPr>
        <w:shd w:val="clear" w:color="auto" w:fill="FFFFFF"/>
        <w:spacing w:after="0" w:line="360" w:lineRule="auto"/>
        <w:jc w:val="both"/>
        <w:rPr>
          <w:rFonts w:ascii="Arial" w:hAnsi="Arial" w:cs="Arial"/>
          <w:szCs w:val="24"/>
        </w:rPr>
      </w:pPr>
      <w:r w:rsidRPr="000C658C">
        <w:rPr>
          <w:rFonts w:ascii="Arial" w:hAnsi="Arial" w:cs="Arial"/>
          <w:szCs w:val="24"/>
        </w:rPr>
        <w:lastRenderedPageBreak/>
        <w:t xml:space="preserve">[26.2] In circumstances where a respondent substantially challenges the authority of the applicant – supported by sufficient evidence so as to create a genuine dispute of fact as to whether or not the applicant was properly authorised – the duty is casted on the applicant to refute that evidence. In this case the validity of the particular resolution or extract purporting to confer authority (AVM1) was challenged on specific grounds. It went well beyond a mere non-admission. This challenge was supported by sufficient evidence. The applicant was called upon to properly respond thereto and to refute those allegations. In those circumstances the applicant could not merely be content by simply relying on the text of the resolution (and a bare allegation in the founding affidavit that the deponent of the applicant is duly authorised) without meeting these challenges. The duty was casted on the applicant to show that the relevant resolution has a valid underlying basis.” </w:t>
      </w:r>
    </w:p>
    <w:p w14:paraId="134D7EE9" w14:textId="77777777" w:rsidR="000C658C" w:rsidRPr="000C658C" w:rsidRDefault="000C658C" w:rsidP="00481908">
      <w:pPr>
        <w:shd w:val="clear" w:color="auto" w:fill="FFFFFF"/>
        <w:spacing w:after="0" w:line="360" w:lineRule="auto"/>
        <w:jc w:val="both"/>
        <w:rPr>
          <w:rFonts w:ascii="Arial" w:hAnsi="Arial" w:cs="Arial"/>
          <w:szCs w:val="24"/>
        </w:rPr>
      </w:pPr>
    </w:p>
    <w:p w14:paraId="6E36B958" w14:textId="30CD9613" w:rsidR="002857FC" w:rsidRDefault="000C658C" w:rsidP="00F24AE1">
      <w:pPr>
        <w:shd w:val="clear" w:color="auto" w:fill="FFFFFF"/>
        <w:spacing w:after="0" w:line="360" w:lineRule="auto"/>
        <w:jc w:val="both"/>
        <w:rPr>
          <w:rFonts w:ascii="Arial" w:hAnsi="Arial" w:cs="Arial"/>
          <w:sz w:val="24"/>
          <w:szCs w:val="24"/>
        </w:rPr>
      </w:pPr>
      <w:r w:rsidRPr="000C658C">
        <w:rPr>
          <w:rFonts w:ascii="Arial" w:hAnsi="Arial" w:cs="Arial"/>
          <w:sz w:val="24"/>
          <w:szCs w:val="24"/>
        </w:rPr>
        <w:t>[</w:t>
      </w:r>
      <w:r w:rsidR="002857FC">
        <w:rPr>
          <w:rFonts w:ascii="Arial" w:hAnsi="Arial" w:cs="Arial"/>
          <w:sz w:val="24"/>
          <w:szCs w:val="24"/>
        </w:rPr>
        <w:t>6</w:t>
      </w:r>
      <w:r w:rsidR="00F24AE1">
        <w:rPr>
          <w:rFonts w:ascii="Arial" w:hAnsi="Arial" w:cs="Arial"/>
          <w:sz w:val="24"/>
          <w:szCs w:val="24"/>
        </w:rPr>
        <w:t>4</w:t>
      </w:r>
      <w:r w:rsidRPr="000C658C">
        <w:rPr>
          <w:rFonts w:ascii="Arial" w:hAnsi="Arial" w:cs="Arial"/>
          <w:sz w:val="24"/>
          <w:szCs w:val="24"/>
        </w:rPr>
        <w:t>]</w:t>
      </w:r>
      <w:r w:rsidR="002857FC">
        <w:rPr>
          <w:rFonts w:ascii="Arial" w:hAnsi="Arial" w:cs="Arial"/>
          <w:sz w:val="24"/>
          <w:szCs w:val="24"/>
        </w:rPr>
        <w:tab/>
      </w:r>
      <w:r w:rsidRPr="000C658C">
        <w:rPr>
          <w:rFonts w:ascii="Arial" w:hAnsi="Arial" w:cs="Arial"/>
          <w:sz w:val="24"/>
          <w:szCs w:val="24"/>
        </w:rPr>
        <w:t xml:space="preserve">This approach is endorsed by this </w:t>
      </w:r>
      <w:r w:rsidR="00717384">
        <w:rPr>
          <w:rFonts w:ascii="Arial" w:hAnsi="Arial" w:cs="Arial"/>
          <w:sz w:val="24"/>
          <w:szCs w:val="24"/>
        </w:rPr>
        <w:t>c</w:t>
      </w:r>
      <w:r w:rsidRPr="000C658C">
        <w:rPr>
          <w:rFonts w:ascii="Arial" w:hAnsi="Arial" w:cs="Arial"/>
          <w:sz w:val="24"/>
          <w:szCs w:val="24"/>
        </w:rPr>
        <w:t>ourt.</w:t>
      </w:r>
    </w:p>
    <w:p w14:paraId="1B7EB6D2" w14:textId="77777777" w:rsidR="00E31A09" w:rsidRDefault="00E31A09" w:rsidP="00F24AE1">
      <w:pPr>
        <w:shd w:val="clear" w:color="auto" w:fill="FFFFFF"/>
        <w:spacing w:after="0" w:line="360" w:lineRule="auto"/>
        <w:jc w:val="both"/>
        <w:rPr>
          <w:rFonts w:ascii="Arial" w:hAnsi="Arial" w:cs="Arial"/>
          <w:sz w:val="24"/>
          <w:szCs w:val="24"/>
        </w:rPr>
      </w:pPr>
    </w:p>
    <w:p w14:paraId="49B103DB" w14:textId="47B28EB0" w:rsidR="000C658C" w:rsidRDefault="002857FC" w:rsidP="00F24AE1">
      <w:pPr>
        <w:shd w:val="clear" w:color="auto" w:fill="FFFFFF"/>
        <w:spacing w:after="0" w:line="360" w:lineRule="auto"/>
        <w:jc w:val="both"/>
        <w:rPr>
          <w:rFonts w:ascii="Arial" w:hAnsi="Arial" w:cs="Arial"/>
          <w:sz w:val="24"/>
          <w:szCs w:val="24"/>
        </w:rPr>
      </w:pPr>
      <w:r>
        <w:rPr>
          <w:rFonts w:ascii="Arial" w:hAnsi="Arial" w:cs="Arial"/>
          <w:sz w:val="24"/>
          <w:szCs w:val="24"/>
        </w:rPr>
        <w:t>[6</w:t>
      </w:r>
      <w:r w:rsidR="00F24AE1">
        <w:rPr>
          <w:rFonts w:ascii="Arial" w:hAnsi="Arial" w:cs="Arial"/>
          <w:sz w:val="24"/>
          <w:szCs w:val="24"/>
        </w:rPr>
        <w:t>5</w:t>
      </w:r>
      <w:r>
        <w:rPr>
          <w:rFonts w:ascii="Arial" w:hAnsi="Arial" w:cs="Arial"/>
          <w:sz w:val="24"/>
          <w:szCs w:val="24"/>
        </w:rPr>
        <w:t>]</w:t>
      </w:r>
      <w:r>
        <w:rPr>
          <w:rFonts w:ascii="Arial" w:hAnsi="Arial" w:cs="Arial"/>
          <w:sz w:val="24"/>
          <w:szCs w:val="24"/>
        </w:rPr>
        <w:tab/>
      </w:r>
      <w:r w:rsidR="000C658C" w:rsidRPr="000C658C">
        <w:rPr>
          <w:rFonts w:ascii="Arial" w:hAnsi="Arial" w:cs="Arial"/>
          <w:sz w:val="24"/>
          <w:szCs w:val="24"/>
        </w:rPr>
        <w:t xml:space="preserve">I am satisfied (since the submission by </w:t>
      </w:r>
      <w:r w:rsidR="000C658C">
        <w:rPr>
          <w:rFonts w:ascii="Arial" w:hAnsi="Arial" w:cs="Arial"/>
          <w:sz w:val="24"/>
          <w:szCs w:val="24"/>
        </w:rPr>
        <w:t xml:space="preserve">responded </w:t>
      </w:r>
      <w:r w:rsidR="000C658C" w:rsidRPr="000C658C">
        <w:rPr>
          <w:rFonts w:ascii="Arial" w:hAnsi="Arial" w:cs="Arial"/>
          <w:sz w:val="24"/>
          <w:szCs w:val="24"/>
        </w:rPr>
        <w:t xml:space="preserve">is a tactical denial of authority) that enough information has been placed before me to satisfy me that it is the </w:t>
      </w:r>
      <w:r w:rsidR="000C658C">
        <w:rPr>
          <w:rFonts w:ascii="Arial" w:hAnsi="Arial" w:cs="Arial"/>
          <w:sz w:val="24"/>
          <w:szCs w:val="24"/>
        </w:rPr>
        <w:t xml:space="preserve">appellant </w:t>
      </w:r>
      <w:r w:rsidR="000C658C" w:rsidRPr="000C658C">
        <w:rPr>
          <w:rFonts w:ascii="Arial" w:hAnsi="Arial" w:cs="Arial"/>
          <w:sz w:val="24"/>
          <w:szCs w:val="24"/>
        </w:rPr>
        <w:t xml:space="preserve">who </w:t>
      </w:r>
      <w:r w:rsidR="000C658C">
        <w:rPr>
          <w:rFonts w:ascii="Arial" w:hAnsi="Arial" w:cs="Arial"/>
          <w:sz w:val="24"/>
          <w:szCs w:val="24"/>
        </w:rPr>
        <w:t>was authorised to institute</w:t>
      </w:r>
      <w:r w:rsidR="000C658C" w:rsidRPr="000C658C">
        <w:rPr>
          <w:rFonts w:ascii="Arial" w:hAnsi="Arial" w:cs="Arial"/>
          <w:sz w:val="24"/>
          <w:szCs w:val="24"/>
        </w:rPr>
        <w:t xml:space="preserve"> the application and not some unauthorised person.</w:t>
      </w:r>
    </w:p>
    <w:p w14:paraId="67384BC9" w14:textId="77777777" w:rsidR="00E31A09" w:rsidRDefault="00E31A09" w:rsidP="00F24AE1">
      <w:pPr>
        <w:shd w:val="clear" w:color="auto" w:fill="FFFFFF"/>
        <w:spacing w:after="0" w:line="360" w:lineRule="auto"/>
        <w:jc w:val="both"/>
        <w:rPr>
          <w:rFonts w:ascii="Arial" w:hAnsi="Arial" w:cs="Arial"/>
          <w:sz w:val="24"/>
          <w:szCs w:val="24"/>
        </w:rPr>
      </w:pPr>
    </w:p>
    <w:p w14:paraId="0C2D5EE0" w14:textId="586DFCD6" w:rsidR="002857FC" w:rsidRDefault="002857FC" w:rsidP="00F24AE1">
      <w:pPr>
        <w:shd w:val="clear" w:color="auto" w:fill="FFFFFF"/>
        <w:spacing w:after="0" w:line="360" w:lineRule="auto"/>
        <w:jc w:val="both"/>
        <w:rPr>
          <w:rFonts w:ascii="Arial" w:eastAsia="Times New Roman" w:hAnsi="Arial" w:cs="Arial"/>
          <w:sz w:val="24"/>
          <w:szCs w:val="24"/>
          <w:lang w:val="af-ZA" w:eastAsia="en-ZA"/>
        </w:rPr>
      </w:pPr>
      <w:r>
        <w:rPr>
          <w:rFonts w:ascii="Arial" w:eastAsia="Times New Roman" w:hAnsi="Arial" w:cs="Arial"/>
          <w:sz w:val="24"/>
          <w:szCs w:val="24"/>
          <w:lang w:val="af-ZA" w:eastAsia="en-ZA"/>
        </w:rPr>
        <w:t>[6</w:t>
      </w:r>
      <w:r w:rsidR="00F24AE1">
        <w:rPr>
          <w:rFonts w:ascii="Arial" w:eastAsia="Times New Roman" w:hAnsi="Arial" w:cs="Arial"/>
          <w:sz w:val="24"/>
          <w:szCs w:val="24"/>
          <w:lang w:val="af-ZA" w:eastAsia="en-ZA"/>
        </w:rPr>
        <w:t>6</w:t>
      </w:r>
      <w:r>
        <w:rPr>
          <w:rFonts w:ascii="Arial" w:eastAsia="Times New Roman" w:hAnsi="Arial" w:cs="Arial"/>
          <w:sz w:val="24"/>
          <w:szCs w:val="24"/>
          <w:lang w:val="af-ZA" w:eastAsia="en-ZA"/>
        </w:rPr>
        <w:t>]</w:t>
      </w:r>
      <w:r>
        <w:rPr>
          <w:rFonts w:ascii="Arial" w:eastAsia="Times New Roman" w:hAnsi="Arial" w:cs="Arial"/>
          <w:sz w:val="24"/>
          <w:szCs w:val="24"/>
          <w:lang w:val="af-ZA" w:eastAsia="en-ZA"/>
        </w:rPr>
        <w:tab/>
      </w:r>
      <w:r w:rsidR="00F67849" w:rsidRPr="00F67849">
        <w:rPr>
          <w:rFonts w:ascii="Arial" w:eastAsia="Times New Roman" w:hAnsi="Arial" w:cs="Arial"/>
          <w:sz w:val="24"/>
          <w:szCs w:val="24"/>
          <w:lang w:val="af-ZA" w:eastAsia="en-ZA"/>
        </w:rPr>
        <w:t xml:space="preserve">The point </w:t>
      </w:r>
      <w:r w:rsidR="00F67849" w:rsidRPr="00F67849">
        <w:rPr>
          <w:rFonts w:ascii="Arial" w:eastAsia="Times New Roman" w:hAnsi="Arial" w:cs="Arial"/>
          <w:i/>
          <w:sz w:val="24"/>
          <w:szCs w:val="24"/>
          <w:lang w:val="af-ZA" w:eastAsia="en-ZA"/>
        </w:rPr>
        <w:t>in limine</w:t>
      </w:r>
      <w:r w:rsidR="00F67849" w:rsidRPr="00F67849">
        <w:rPr>
          <w:rFonts w:ascii="Arial" w:eastAsia="Times New Roman" w:hAnsi="Arial" w:cs="Arial"/>
          <w:sz w:val="24"/>
          <w:szCs w:val="24"/>
          <w:lang w:val="af-ZA" w:eastAsia="en-ZA"/>
        </w:rPr>
        <w:t xml:space="preserve"> that the </w:t>
      </w:r>
      <w:r w:rsidR="00E132C1">
        <w:rPr>
          <w:rFonts w:ascii="Arial" w:eastAsia="Times New Roman" w:hAnsi="Arial" w:cs="Arial"/>
          <w:sz w:val="24"/>
          <w:szCs w:val="24"/>
          <w:lang w:val="af-ZA" w:eastAsia="en-ZA"/>
        </w:rPr>
        <w:t>appellant</w:t>
      </w:r>
      <w:r w:rsidR="00F67849" w:rsidRPr="00F67849">
        <w:rPr>
          <w:rFonts w:ascii="Arial" w:eastAsia="Times New Roman" w:hAnsi="Arial" w:cs="Arial"/>
          <w:sz w:val="24"/>
          <w:szCs w:val="24"/>
          <w:lang w:val="af-ZA" w:eastAsia="en-ZA"/>
        </w:rPr>
        <w:t xml:space="preserve"> </w:t>
      </w:r>
      <w:r w:rsidR="00D97CC0">
        <w:rPr>
          <w:rFonts w:ascii="Arial" w:eastAsia="Times New Roman" w:hAnsi="Arial" w:cs="Arial"/>
          <w:sz w:val="24"/>
          <w:szCs w:val="24"/>
          <w:lang w:val="af-ZA" w:eastAsia="en-ZA"/>
        </w:rPr>
        <w:t>failed to provide authority that it authorised and it had given the necessary resolve to lodge this appeal is dismissed.</w:t>
      </w:r>
    </w:p>
    <w:p w14:paraId="642FDFB2" w14:textId="77777777" w:rsidR="008760A8" w:rsidRDefault="008760A8" w:rsidP="00F24AE1">
      <w:pPr>
        <w:shd w:val="clear" w:color="auto" w:fill="FFFFFF"/>
        <w:spacing w:after="0" w:line="360" w:lineRule="auto"/>
        <w:jc w:val="both"/>
        <w:rPr>
          <w:rFonts w:ascii="Arial" w:eastAsia="Times New Roman" w:hAnsi="Arial" w:cs="Arial"/>
          <w:color w:val="242121"/>
          <w:sz w:val="24"/>
          <w:szCs w:val="24"/>
          <w:shd w:val="clear" w:color="auto" w:fill="FFFFFF"/>
          <w:lang w:eastAsia="en-ZA"/>
        </w:rPr>
      </w:pPr>
    </w:p>
    <w:p w14:paraId="439D647B" w14:textId="77777777" w:rsidR="008E0BA6" w:rsidRPr="00557AFE" w:rsidRDefault="008E0BA6" w:rsidP="008E0BA6">
      <w:pPr>
        <w:pStyle w:val="NormalWeb"/>
        <w:shd w:val="clear" w:color="auto" w:fill="FFFFFF"/>
        <w:spacing w:before="0" w:beforeAutospacing="0" w:line="360" w:lineRule="auto"/>
        <w:jc w:val="both"/>
        <w:rPr>
          <w:rFonts w:ascii="Arial" w:hAnsi="Arial" w:cs="Arial"/>
          <w:sz w:val="21"/>
          <w:szCs w:val="21"/>
        </w:rPr>
      </w:pPr>
      <w:r w:rsidRPr="00557AFE">
        <w:rPr>
          <w:rFonts w:ascii="Arial" w:hAnsi="Arial" w:cs="Arial"/>
          <w:u w:val="single"/>
          <w:shd w:val="clear" w:color="auto" w:fill="FFFFFF"/>
          <w:lang w:val="en-GB"/>
        </w:rPr>
        <w:t>Order</w:t>
      </w:r>
    </w:p>
    <w:p w14:paraId="0824A9DD" w14:textId="09252DAF" w:rsidR="00775A2E" w:rsidRPr="00775A2E" w:rsidRDefault="00775A2E" w:rsidP="00775A2E">
      <w:pPr>
        <w:shd w:val="clear" w:color="auto" w:fill="FFFFFF"/>
        <w:spacing w:after="100" w:afterAutospacing="1"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2857FC">
        <w:rPr>
          <w:rFonts w:ascii="Arial" w:eastAsia="Times New Roman" w:hAnsi="Arial" w:cs="Arial"/>
          <w:sz w:val="24"/>
          <w:szCs w:val="24"/>
          <w:lang w:eastAsia="en-ZA"/>
        </w:rPr>
        <w:t>6</w:t>
      </w:r>
      <w:r w:rsidR="00F24AE1">
        <w:rPr>
          <w:rFonts w:ascii="Arial" w:eastAsia="Times New Roman" w:hAnsi="Arial" w:cs="Arial"/>
          <w:sz w:val="24"/>
          <w:szCs w:val="24"/>
          <w:lang w:eastAsia="en-ZA"/>
        </w:rPr>
        <w:t>7</w:t>
      </w:r>
      <w:r w:rsidRPr="00775A2E">
        <w:rPr>
          <w:rFonts w:ascii="Arial" w:eastAsia="Times New Roman" w:hAnsi="Arial" w:cs="Arial"/>
          <w:sz w:val="24"/>
          <w:szCs w:val="24"/>
          <w:lang w:eastAsia="en-ZA"/>
        </w:rPr>
        <w:t>]</w:t>
      </w:r>
      <w:r w:rsidR="00F24AE1">
        <w:rPr>
          <w:rFonts w:ascii="Arial" w:eastAsia="Times New Roman" w:hAnsi="Arial" w:cs="Arial"/>
          <w:sz w:val="24"/>
          <w:szCs w:val="24"/>
          <w:lang w:eastAsia="en-ZA"/>
        </w:rPr>
        <w:tab/>
      </w:r>
      <w:r w:rsidRPr="00775A2E">
        <w:rPr>
          <w:rFonts w:ascii="Arial" w:eastAsia="Times New Roman" w:hAnsi="Arial" w:cs="Arial"/>
          <w:sz w:val="24"/>
          <w:szCs w:val="24"/>
          <w:lang w:eastAsia="en-ZA"/>
        </w:rPr>
        <w:t>In the result I make the following order:</w:t>
      </w:r>
    </w:p>
    <w:p w14:paraId="01953B56" w14:textId="77777777" w:rsidR="00DC7470" w:rsidRPr="00DC7470" w:rsidRDefault="00DC7470" w:rsidP="00DC7470">
      <w:pPr>
        <w:shd w:val="clear" w:color="auto" w:fill="FFFFFF"/>
        <w:spacing w:after="100" w:afterAutospacing="1" w:line="360" w:lineRule="auto"/>
        <w:ind w:left="810" w:hanging="81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 xml:space="preserve">1. </w:t>
      </w:r>
      <w:r>
        <w:rPr>
          <w:rFonts w:ascii="Arial" w:eastAsia="Times New Roman" w:hAnsi="Arial" w:cs="Arial"/>
          <w:sz w:val="24"/>
          <w:szCs w:val="24"/>
          <w:lang w:val="en-US" w:eastAsia="en-ZA"/>
        </w:rPr>
        <w:tab/>
      </w:r>
      <w:r w:rsidRPr="00DC7470">
        <w:rPr>
          <w:rFonts w:ascii="Arial" w:eastAsia="Times New Roman" w:hAnsi="Arial" w:cs="Arial"/>
          <w:sz w:val="24"/>
          <w:szCs w:val="24"/>
          <w:lang w:val="en-US" w:eastAsia="en-ZA"/>
        </w:rPr>
        <w:t xml:space="preserve">The application for condonation for late filing of the notice to amend the notice of appeal is hereby granted. </w:t>
      </w:r>
    </w:p>
    <w:p w14:paraId="5512009F" w14:textId="77777777" w:rsidR="00DC7470" w:rsidRPr="00DC7470" w:rsidRDefault="00DC7470" w:rsidP="00DC7470">
      <w:pPr>
        <w:shd w:val="clear" w:color="auto" w:fill="FFFFFF"/>
        <w:spacing w:after="100" w:afterAutospacing="1" w:line="360" w:lineRule="auto"/>
        <w:ind w:left="810" w:hanging="810"/>
        <w:jc w:val="both"/>
        <w:rPr>
          <w:rFonts w:ascii="Arial" w:eastAsia="Times New Roman" w:hAnsi="Arial" w:cs="Arial"/>
          <w:sz w:val="24"/>
          <w:szCs w:val="24"/>
          <w:lang w:val="en-US" w:eastAsia="en-ZA"/>
        </w:rPr>
      </w:pPr>
      <w:r w:rsidRPr="00DC7470">
        <w:rPr>
          <w:rFonts w:ascii="Arial" w:eastAsia="Times New Roman" w:hAnsi="Arial" w:cs="Arial"/>
          <w:sz w:val="24"/>
          <w:szCs w:val="24"/>
          <w:lang w:val="en-US" w:eastAsia="en-ZA"/>
        </w:rPr>
        <w:t>2.</w:t>
      </w:r>
      <w:r w:rsidRPr="00DC7470">
        <w:rPr>
          <w:rFonts w:ascii="Arial" w:eastAsia="Times New Roman" w:hAnsi="Arial" w:cs="Arial"/>
          <w:sz w:val="24"/>
          <w:szCs w:val="24"/>
          <w:lang w:val="en-US" w:eastAsia="en-ZA"/>
        </w:rPr>
        <w:tab/>
        <w:t>The point in limine dealing with the respondents’ non-compliance with rule 17(16)(b) is dismissed.</w:t>
      </w:r>
    </w:p>
    <w:p w14:paraId="2EAEBE50" w14:textId="77777777" w:rsidR="00DC7470" w:rsidRPr="00DC7470" w:rsidRDefault="00DC7470" w:rsidP="00DC7470">
      <w:pPr>
        <w:shd w:val="clear" w:color="auto" w:fill="FFFFFF"/>
        <w:spacing w:after="100" w:afterAutospacing="1" w:line="360" w:lineRule="auto"/>
        <w:ind w:left="810" w:hanging="810"/>
        <w:jc w:val="both"/>
        <w:rPr>
          <w:rFonts w:ascii="Arial" w:eastAsia="Times New Roman" w:hAnsi="Arial" w:cs="Arial"/>
          <w:sz w:val="24"/>
          <w:szCs w:val="24"/>
          <w:lang w:val="en-US" w:eastAsia="en-ZA"/>
        </w:rPr>
      </w:pPr>
      <w:r w:rsidRPr="00DC7470">
        <w:rPr>
          <w:rFonts w:ascii="Arial" w:eastAsia="Times New Roman" w:hAnsi="Arial" w:cs="Arial"/>
          <w:sz w:val="24"/>
          <w:szCs w:val="24"/>
          <w:lang w:val="en-US" w:eastAsia="en-ZA"/>
        </w:rPr>
        <w:t>3.</w:t>
      </w:r>
      <w:r w:rsidRPr="00DC7470">
        <w:rPr>
          <w:rFonts w:ascii="Arial" w:eastAsia="Times New Roman" w:hAnsi="Arial" w:cs="Arial"/>
          <w:sz w:val="24"/>
          <w:szCs w:val="24"/>
          <w:lang w:val="en-US" w:eastAsia="en-ZA"/>
        </w:rPr>
        <w:tab/>
        <w:t xml:space="preserve">The point in limine that the appellant failed to provide authority that it authorised and it had given the necessary resolve to </w:t>
      </w:r>
      <w:r>
        <w:rPr>
          <w:rFonts w:ascii="Arial" w:eastAsia="Times New Roman" w:hAnsi="Arial" w:cs="Arial"/>
          <w:sz w:val="24"/>
          <w:szCs w:val="24"/>
          <w:lang w:val="en-US" w:eastAsia="en-ZA"/>
        </w:rPr>
        <w:t>lodge this appeal is dismissed.</w:t>
      </w:r>
    </w:p>
    <w:p w14:paraId="00C7CD3F" w14:textId="77777777" w:rsidR="00DC7470" w:rsidRPr="00DC7470" w:rsidRDefault="00DC7470" w:rsidP="00DC7470">
      <w:pPr>
        <w:shd w:val="clear" w:color="auto" w:fill="FFFFFF"/>
        <w:spacing w:after="100" w:afterAutospacing="1" w:line="360" w:lineRule="auto"/>
        <w:ind w:left="810" w:hanging="810"/>
        <w:jc w:val="both"/>
        <w:rPr>
          <w:rFonts w:ascii="Arial" w:eastAsia="Times New Roman" w:hAnsi="Arial" w:cs="Arial"/>
          <w:sz w:val="24"/>
          <w:szCs w:val="24"/>
          <w:lang w:val="en-US" w:eastAsia="en-ZA"/>
        </w:rPr>
      </w:pPr>
      <w:r w:rsidRPr="00DC7470">
        <w:rPr>
          <w:rFonts w:ascii="Arial" w:eastAsia="Times New Roman" w:hAnsi="Arial" w:cs="Arial"/>
          <w:sz w:val="24"/>
          <w:szCs w:val="24"/>
          <w:lang w:val="en-US" w:eastAsia="en-ZA"/>
        </w:rPr>
        <w:t xml:space="preserve">4. </w:t>
      </w:r>
      <w:r w:rsidRPr="00DC7470">
        <w:rPr>
          <w:rFonts w:ascii="Arial" w:eastAsia="Times New Roman" w:hAnsi="Arial" w:cs="Arial"/>
          <w:sz w:val="24"/>
          <w:szCs w:val="24"/>
          <w:lang w:val="en-US" w:eastAsia="en-ZA"/>
        </w:rPr>
        <w:tab/>
        <w:t>The parties are ordered to file a joint status report on the further conduct of the matter by</w:t>
      </w:r>
      <w:r>
        <w:rPr>
          <w:rFonts w:ascii="Arial" w:eastAsia="Times New Roman" w:hAnsi="Arial" w:cs="Arial"/>
          <w:sz w:val="24"/>
          <w:szCs w:val="24"/>
          <w:lang w:val="en-US" w:eastAsia="en-ZA"/>
        </w:rPr>
        <w:t xml:space="preserve"> no later than 31 October 2022.</w:t>
      </w:r>
    </w:p>
    <w:p w14:paraId="7D4E9389" w14:textId="6BF4DA5B" w:rsidR="002857FC" w:rsidRPr="002857FC" w:rsidRDefault="00DC7470" w:rsidP="00DC7470">
      <w:pPr>
        <w:spacing w:after="0" w:line="360" w:lineRule="auto"/>
        <w:ind w:left="810" w:hanging="810"/>
        <w:contextualSpacing/>
        <w:jc w:val="both"/>
        <w:rPr>
          <w:rFonts w:ascii="Arial" w:hAnsi="Arial" w:cs="Arial"/>
          <w:sz w:val="24"/>
          <w:szCs w:val="24"/>
        </w:rPr>
      </w:pPr>
      <w:r w:rsidRPr="00DC7470">
        <w:rPr>
          <w:rFonts w:ascii="Arial" w:eastAsia="Times New Roman" w:hAnsi="Arial" w:cs="Arial"/>
          <w:sz w:val="24"/>
          <w:szCs w:val="24"/>
          <w:lang w:val="en-US" w:eastAsia="en-ZA"/>
        </w:rPr>
        <w:lastRenderedPageBreak/>
        <w:t>5.</w:t>
      </w:r>
      <w:r w:rsidRPr="00DC7470">
        <w:rPr>
          <w:rFonts w:ascii="Arial" w:eastAsia="Times New Roman" w:hAnsi="Arial" w:cs="Arial"/>
          <w:sz w:val="24"/>
          <w:szCs w:val="24"/>
          <w:lang w:val="en-US" w:eastAsia="en-ZA"/>
        </w:rPr>
        <w:tab/>
        <w:t>The case is postponed to 07 November 2022 at 09:00 for a Status Hearing.</w:t>
      </w:r>
    </w:p>
    <w:p w14:paraId="4A7EF1AB" w14:textId="77777777" w:rsidR="002857FC" w:rsidRPr="00332EDB" w:rsidRDefault="002857FC" w:rsidP="002857FC">
      <w:pPr>
        <w:spacing w:line="360" w:lineRule="auto"/>
        <w:ind w:left="720" w:hanging="720"/>
        <w:jc w:val="both"/>
        <w:rPr>
          <w:rFonts w:ascii="Arial" w:hAnsi="Arial" w:cs="Arial"/>
          <w:sz w:val="24"/>
        </w:rPr>
      </w:pPr>
    </w:p>
    <w:p w14:paraId="030A138D" w14:textId="77777777" w:rsidR="001D2957" w:rsidRPr="00557AFE" w:rsidRDefault="001D2957" w:rsidP="001D2957">
      <w:pPr>
        <w:pStyle w:val="NormalWeb"/>
        <w:shd w:val="clear" w:color="auto" w:fill="FFFFFF"/>
        <w:spacing w:before="0" w:beforeAutospacing="0"/>
        <w:jc w:val="both"/>
        <w:rPr>
          <w:rFonts w:ascii="Arial" w:hAnsi="Arial" w:cs="Arial"/>
          <w:sz w:val="21"/>
          <w:szCs w:val="21"/>
        </w:rPr>
      </w:pPr>
    </w:p>
    <w:p w14:paraId="349CC750" w14:textId="77777777" w:rsidR="001D2957" w:rsidRPr="00557AFE" w:rsidRDefault="001D2957" w:rsidP="001D2957">
      <w:pPr>
        <w:pStyle w:val="NormalWeb"/>
        <w:shd w:val="clear" w:color="auto" w:fill="FFFFFF"/>
        <w:spacing w:before="0" w:beforeAutospacing="0"/>
        <w:jc w:val="right"/>
        <w:rPr>
          <w:rFonts w:ascii="Arial" w:hAnsi="Arial" w:cs="Arial"/>
          <w:sz w:val="21"/>
          <w:szCs w:val="21"/>
        </w:rPr>
      </w:pPr>
      <w:r w:rsidRPr="00557AFE">
        <w:rPr>
          <w:rFonts w:ascii="Arial" w:hAnsi="Arial" w:cs="Arial"/>
        </w:rPr>
        <w:t>__________________</w:t>
      </w:r>
    </w:p>
    <w:p w14:paraId="7D971FA7" w14:textId="77777777" w:rsidR="001D2957" w:rsidRPr="00557AFE" w:rsidRDefault="001D2957" w:rsidP="001D2957">
      <w:pPr>
        <w:pStyle w:val="NormalWeb"/>
        <w:shd w:val="clear" w:color="auto" w:fill="FFFFFF"/>
        <w:spacing w:before="0" w:beforeAutospacing="0"/>
        <w:jc w:val="right"/>
        <w:rPr>
          <w:rFonts w:ascii="Arial" w:hAnsi="Arial" w:cs="Arial"/>
          <w:sz w:val="21"/>
          <w:szCs w:val="21"/>
        </w:rPr>
      </w:pPr>
      <w:r w:rsidRPr="00557AFE">
        <w:rPr>
          <w:rFonts w:ascii="Arial" w:hAnsi="Arial" w:cs="Arial"/>
        </w:rPr>
        <w:t>P CHRISTIAAN</w:t>
      </w:r>
    </w:p>
    <w:p w14:paraId="29A64779" w14:textId="77777777" w:rsidR="001D2957" w:rsidRDefault="001D2957" w:rsidP="001D2957">
      <w:pPr>
        <w:pStyle w:val="NormalWeb"/>
        <w:shd w:val="clear" w:color="auto" w:fill="FFFFFF"/>
        <w:spacing w:before="0" w:beforeAutospacing="0"/>
        <w:jc w:val="right"/>
        <w:rPr>
          <w:rFonts w:ascii="Arial" w:hAnsi="Arial" w:cs="Arial"/>
        </w:rPr>
      </w:pPr>
      <w:r w:rsidRPr="00557AFE">
        <w:rPr>
          <w:rFonts w:ascii="Arial" w:hAnsi="Arial" w:cs="Arial"/>
        </w:rPr>
        <w:t>Judge, Acting</w:t>
      </w:r>
    </w:p>
    <w:p w14:paraId="6B10C5E5" w14:textId="77777777" w:rsidR="001E7BC7" w:rsidRDefault="001E7BC7" w:rsidP="001D2957">
      <w:pPr>
        <w:pStyle w:val="NormalWeb"/>
        <w:shd w:val="clear" w:color="auto" w:fill="FFFFFF"/>
        <w:spacing w:before="0" w:beforeAutospacing="0"/>
        <w:jc w:val="right"/>
        <w:rPr>
          <w:rFonts w:ascii="Arial" w:hAnsi="Arial" w:cs="Arial"/>
          <w:sz w:val="21"/>
          <w:szCs w:val="21"/>
        </w:rPr>
      </w:pPr>
    </w:p>
    <w:p w14:paraId="3B3068C6" w14:textId="77777777" w:rsidR="00110562" w:rsidRDefault="00110562" w:rsidP="001E7BC7">
      <w:pPr>
        <w:spacing w:after="0" w:line="360" w:lineRule="auto"/>
        <w:jc w:val="both"/>
        <w:rPr>
          <w:rFonts w:ascii="Arial" w:hAnsi="Arial" w:cs="Arial"/>
          <w:sz w:val="24"/>
          <w:szCs w:val="24"/>
        </w:rPr>
      </w:pPr>
    </w:p>
    <w:p w14:paraId="4B303EDC" w14:textId="77777777" w:rsidR="00110562" w:rsidRDefault="00110562" w:rsidP="001E7BC7">
      <w:pPr>
        <w:spacing w:after="0" w:line="360" w:lineRule="auto"/>
        <w:jc w:val="both"/>
        <w:rPr>
          <w:rFonts w:ascii="Arial" w:hAnsi="Arial" w:cs="Arial"/>
          <w:sz w:val="24"/>
          <w:szCs w:val="24"/>
        </w:rPr>
      </w:pPr>
    </w:p>
    <w:p w14:paraId="14E849FA" w14:textId="77777777" w:rsidR="00110562" w:rsidRDefault="00110562" w:rsidP="001E7BC7">
      <w:pPr>
        <w:spacing w:after="0" w:line="360" w:lineRule="auto"/>
        <w:jc w:val="both"/>
        <w:rPr>
          <w:rFonts w:ascii="Arial" w:hAnsi="Arial" w:cs="Arial"/>
          <w:sz w:val="24"/>
          <w:szCs w:val="24"/>
        </w:rPr>
      </w:pPr>
    </w:p>
    <w:p w14:paraId="2E6ABD4F" w14:textId="77777777" w:rsidR="00110562" w:rsidRDefault="00110562" w:rsidP="001E7BC7">
      <w:pPr>
        <w:spacing w:after="0" w:line="360" w:lineRule="auto"/>
        <w:jc w:val="both"/>
        <w:rPr>
          <w:rFonts w:ascii="Arial" w:hAnsi="Arial" w:cs="Arial"/>
          <w:sz w:val="24"/>
          <w:szCs w:val="24"/>
        </w:rPr>
      </w:pPr>
    </w:p>
    <w:p w14:paraId="2B69D08B" w14:textId="77777777" w:rsidR="00032DC7" w:rsidRDefault="00032DC7" w:rsidP="001E7BC7">
      <w:pPr>
        <w:spacing w:after="0" w:line="360" w:lineRule="auto"/>
        <w:jc w:val="both"/>
        <w:rPr>
          <w:rFonts w:ascii="Arial" w:hAnsi="Arial" w:cs="Arial"/>
          <w:sz w:val="24"/>
          <w:szCs w:val="24"/>
        </w:rPr>
      </w:pPr>
    </w:p>
    <w:p w14:paraId="1572252A" w14:textId="77777777" w:rsidR="00032DC7" w:rsidRDefault="00032DC7" w:rsidP="001E7BC7">
      <w:pPr>
        <w:spacing w:after="0" w:line="360" w:lineRule="auto"/>
        <w:jc w:val="both"/>
        <w:rPr>
          <w:rFonts w:ascii="Arial" w:hAnsi="Arial" w:cs="Arial"/>
          <w:sz w:val="24"/>
          <w:szCs w:val="24"/>
        </w:rPr>
      </w:pPr>
    </w:p>
    <w:p w14:paraId="5708665E" w14:textId="77777777" w:rsidR="00032DC7" w:rsidRDefault="00032DC7" w:rsidP="001E7BC7">
      <w:pPr>
        <w:spacing w:after="0" w:line="360" w:lineRule="auto"/>
        <w:jc w:val="both"/>
        <w:rPr>
          <w:rFonts w:ascii="Arial" w:hAnsi="Arial" w:cs="Arial"/>
          <w:sz w:val="24"/>
          <w:szCs w:val="24"/>
        </w:rPr>
      </w:pPr>
    </w:p>
    <w:p w14:paraId="784C0122" w14:textId="77777777" w:rsidR="00032DC7" w:rsidRDefault="00032DC7" w:rsidP="001E7BC7">
      <w:pPr>
        <w:spacing w:after="0" w:line="360" w:lineRule="auto"/>
        <w:jc w:val="both"/>
        <w:rPr>
          <w:rFonts w:ascii="Arial" w:hAnsi="Arial" w:cs="Arial"/>
          <w:sz w:val="24"/>
          <w:szCs w:val="24"/>
        </w:rPr>
      </w:pPr>
    </w:p>
    <w:p w14:paraId="16D45F27" w14:textId="77777777" w:rsidR="00032DC7" w:rsidRDefault="00032DC7" w:rsidP="001E7BC7">
      <w:pPr>
        <w:spacing w:after="0" w:line="360" w:lineRule="auto"/>
        <w:jc w:val="both"/>
        <w:rPr>
          <w:rFonts w:ascii="Arial" w:hAnsi="Arial" w:cs="Arial"/>
          <w:sz w:val="24"/>
          <w:szCs w:val="24"/>
        </w:rPr>
      </w:pPr>
    </w:p>
    <w:p w14:paraId="6C5320ED" w14:textId="77777777" w:rsidR="00032DC7" w:rsidRDefault="00032DC7" w:rsidP="001E7BC7">
      <w:pPr>
        <w:spacing w:after="0" w:line="360" w:lineRule="auto"/>
        <w:jc w:val="both"/>
        <w:rPr>
          <w:rFonts w:ascii="Arial" w:hAnsi="Arial" w:cs="Arial"/>
          <w:sz w:val="24"/>
          <w:szCs w:val="24"/>
        </w:rPr>
      </w:pPr>
    </w:p>
    <w:p w14:paraId="4C23020F" w14:textId="77777777" w:rsidR="00032DC7" w:rsidRDefault="00032DC7" w:rsidP="001E7BC7">
      <w:pPr>
        <w:spacing w:after="0" w:line="360" w:lineRule="auto"/>
        <w:jc w:val="both"/>
        <w:rPr>
          <w:rFonts w:ascii="Arial" w:hAnsi="Arial" w:cs="Arial"/>
          <w:sz w:val="24"/>
          <w:szCs w:val="24"/>
        </w:rPr>
      </w:pPr>
    </w:p>
    <w:p w14:paraId="7612CAE5" w14:textId="77777777" w:rsidR="00032DC7" w:rsidRDefault="00032DC7" w:rsidP="001E7BC7">
      <w:pPr>
        <w:spacing w:after="0" w:line="360" w:lineRule="auto"/>
        <w:jc w:val="both"/>
        <w:rPr>
          <w:rFonts w:ascii="Arial" w:hAnsi="Arial" w:cs="Arial"/>
          <w:sz w:val="24"/>
          <w:szCs w:val="24"/>
        </w:rPr>
      </w:pPr>
    </w:p>
    <w:p w14:paraId="49FE9E0A" w14:textId="77777777" w:rsidR="00032DC7" w:rsidRDefault="00032DC7" w:rsidP="001E7BC7">
      <w:pPr>
        <w:spacing w:after="0" w:line="360" w:lineRule="auto"/>
        <w:jc w:val="both"/>
        <w:rPr>
          <w:rFonts w:ascii="Arial" w:hAnsi="Arial" w:cs="Arial"/>
          <w:sz w:val="24"/>
          <w:szCs w:val="24"/>
        </w:rPr>
      </w:pPr>
    </w:p>
    <w:p w14:paraId="4801C05F" w14:textId="77777777" w:rsidR="00032DC7" w:rsidRDefault="00032DC7" w:rsidP="001E7BC7">
      <w:pPr>
        <w:spacing w:after="0" w:line="360" w:lineRule="auto"/>
        <w:jc w:val="both"/>
        <w:rPr>
          <w:rFonts w:ascii="Arial" w:hAnsi="Arial" w:cs="Arial"/>
          <w:sz w:val="24"/>
          <w:szCs w:val="24"/>
        </w:rPr>
      </w:pPr>
    </w:p>
    <w:p w14:paraId="063DD515" w14:textId="77777777" w:rsidR="00032DC7" w:rsidRDefault="00032DC7" w:rsidP="001E7BC7">
      <w:pPr>
        <w:spacing w:after="0" w:line="360" w:lineRule="auto"/>
        <w:jc w:val="both"/>
        <w:rPr>
          <w:rFonts w:ascii="Arial" w:hAnsi="Arial" w:cs="Arial"/>
          <w:sz w:val="24"/>
          <w:szCs w:val="24"/>
        </w:rPr>
      </w:pPr>
    </w:p>
    <w:p w14:paraId="0D242E92" w14:textId="77777777" w:rsidR="00032DC7" w:rsidRDefault="00032DC7" w:rsidP="001E7BC7">
      <w:pPr>
        <w:spacing w:after="0" w:line="360" w:lineRule="auto"/>
        <w:jc w:val="both"/>
        <w:rPr>
          <w:rFonts w:ascii="Arial" w:hAnsi="Arial" w:cs="Arial"/>
          <w:sz w:val="24"/>
          <w:szCs w:val="24"/>
        </w:rPr>
      </w:pPr>
    </w:p>
    <w:p w14:paraId="401B4366" w14:textId="77777777" w:rsidR="00032DC7" w:rsidRDefault="00032DC7" w:rsidP="001E7BC7">
      <w:pPr>
        <w:spacing w:after="0" w:line="360" w:lineRule="auto"/>
        <w:jc w:val="both"/>
        <w:rPr>
          <w:rFonts w:ascii="Arial" w:hAnsi="Arial" w:cs="Arial"/>
          <w:sz w:val="24"/>
          <w:szCs w:val="24"/>
        </w:rPr>
      </w:pPr>
    </w:p>
    <w:p w14:paraId="70F567E9" w14:textId="77777777" w:rsidR="00032DC7" w:rsidRDefault="00032DC7" w:rsidP="001E7BC7">
      <w:pPr>
        <w:spacing w:after="0" w:line="360" w:lineRule="auto"/>
        <w:jc w:val="both"/>
        <w:rPr>
          <w:rFonts w:ascii="Arial" w:hAnsi="Arial" w:cs="Arial"/>
          <w:sz w:val="24"/>
          <w:szCs w:val="24"/>
        </w:rPr>
      </w:pPr>
    </w:p>
    <w:p w14:paraId="11A036E8" w14:textId="77777777" w:rsidR="00032DC7" w:rsidRDefault="00032DC7" w:rsidP="001E7BC7">
      <w:pPr>
        <w:spacing w:after="0" w:line="360" w:lineRule="auto"/>
        <w:jc w:val="both"/>
        <w:rPr>
          <w:rFonts w:ascii="Arial" w:hAnsi="Arial" w:cs="Arial"/>
          <w:sz w:val="24"/>
          <w:szCs w:val="24"/>
        </w:rPr>
      </w:pPr>
    </w:p>
    <w:p w14:paraId="4A670D11" w14:textId="77777777" w:rsidR="00032DC7" w:rsidRDefault="00032DC7" w:rsidP="001E7BC7">
      <w:pPr>
        <w:spacing w:after="0" w:line="360" w:lineRule="auto"/>
        <w:jc w:val="both"/>
        <w:rPr>
          <w:rFonts w:ascii="Arial" w:hAnsi="Arial" w:cs="Arial"/>
          <w:sz w:val="24"/>
          <w:szCs w:val="24"/>
        </w:rPr>
      </w:pPr>
    </w:p>
    <w:p w14:paraId="6E6D1426" w14:textId="77777777" w:rsidR="00032DC7" w:rsidRDefault="00032DC7" w:rsidP="001E7BC7">
      <w:pPr>
        <w:spacing w:after="0" w:line="360" w:lineRule="auto"/>
        <w:jc w:val="both"/>
        <w:rPr>
          <w:rFonts w:ascii="Arial" w:hAnsi="Arial" w:cs="Arial"/>
          <w:sz w:val="24"/>
          <w:szCs w:val="24"/>
        </w:rPr>
      </w:pPr>
    </w:p>
    <w:p w14:paraId="69AAE0E0" w14:textId="77777777" w:rsidR="00032DC7" w:rsidRDefault="00032DC7" w:rsidP="001E7BC7">
      <w:pPr>
        <w:spacing w:after="0" w:line="360" w:lineRule="auto"/>
        <w:jc w:val="both"/>
        <w:rPr>
          <w:rFonts w:ascii="Arial" w:hAnsi="Arial" w:cs="Arial"/>
          <w:sz w:val="24"/>
          <w:szCs w:val="24"/>
        </w:rPr>
      </w:pPr>
    </w:p>
    <w:p w14:paraId="5B81E0F1" w14:textId="77777777" w:rsidR="00032DC7" w:rsidRDefault="00032DC7" w:rsidP="001E7BC7">
      <w:pPr>
        <w:spacing w:after="0" w:line="360" w:lineRule="auto"/>
        <w:jc w:val="both"/>
        <w:rPr>
          <w:rFonts w:ascii="Arial" w:hAnsi="Arial" w:cs="Arial"/>
          <w:sz w:val="24"/>
          <w:szCs w:val="24"/>
        </w:rPr>
      </w:pPr>
    </w:p>
    <w:p w14:paraId="209F6926" w14:textId="77777777" w:rsidR="00032DC7" w:rsidRDefault="00032DC7" w:rsidP="001E7BC7">
      <w:pPr>
        <w:spacing w:after="0" w:line="360" w:lineRule="auto"/>
        <w:jc w:val="both"/>
        <w:rPr>
          <w:rFonts w:ascii="Arial" w:hAnsi="Arial" w:cs="Arial"/>
          <w:sz w:val="24"/>
          <w:szCs w:val="24"/>
        </w:rPr>
      </w:pPr>
    </w:p>
    <w:p w14:paraId="1E91AA5A" w14:textId="77777777" w:rsidR="00032DC7" w:rsidRDefault="00032DC7" w:rsidP="001E7BC7">
      <w:pPr>
        <w:spacing w:after="0" w:line="360" w:lineRule="auto"/>
        <w:jc w:val="both"/>
        <w:rPr>
          <w:rFonts w:ascii="Arial" w:hAnsi="Arial" w:cs="Arial"/>
          <w:sz w:val="24"/>
          <w:szCs w:val="24"/>
        </w:rPr>
      </w:pPr>
    </w:p>
    <w:p w14:paraId="5541067A" w14:textId="77777777" w:rsidR="00032DC7" w:rsidRDefault="00032DC7" w:rsidP="001E7BC7">
      <w:pPr>
        <w:spacing w:after="0" w:line="360" w:lineRule="auto"/>
        <w:jc w:val="both"/>
        <w:rPr>
          <w:rFonts w:ascii="Arial" w:hAnsi="Arial" w:cs="Arial"/>
          <w:sz w:val="24"/>
          <w:szCs w:val="24"/>
        </w:rPr>
      </w:pPr>
    </w:p>
    <w:p w14:paraId="7D84D354" w14:textId="77777777" w:rsidR="0025337B" w:rsidRDefault="00434F3E" w:rsidP="001E7BC7">
      <w:pPr>
        <w:spacing w:after="0" w:line="360" w:lineRule="auto"/>
        <w:jc w:val="both"/>
        <w:rPr>
          <w:rFonts w:ascii="Arial" w:hAnsi="Arial" w:cs="Arial"/>
          <w:sz w:val="24"/>
          <w:szCs w:val="24"/>
        </w:rPr>
      </w:pPr>
      <w:r>
        <w:rPr>
          <w:rFonts w:ascii="Arial" w:hAnsi="Arial" w:cs="Arial"/>
          <w:sz w:val="24"/>
          <w:szCs w:val="24"/>
        </w:rPr>
        <w:t>APPEARANCES</w:t>
      </w:r>
    </w:p>
    <w:p w14:paraId="6BAC4881" w14:textId="77777777" w:rsidR="00496302" w:rsidRDefault="00496302" w:rsidP="001E7BC7">
      <w:pPr>
        <w:spacing w:after="0" w:line="360" w:lineRule="auto"/>
        <w:jc w:val="both"/>
        <w:rPr>
          <w:rFonts w:ascii="Arial" w:hAnsi="Arial" w:cs="Arial"/>
          <w:sz w:val="24"/>
          <w:szCs w:val="24"/>
        </w:rPr>
      </w:pPr>
    </w:p>
    <w:p w14:paraId="4B667AF8" w14:textId="77777777" w:rsidR="00496302" w:rsidRDefault="00496302" w:rsidP="001E7BC7">
      <w:pPr>
        <w:spacing w:after="0" w:line="360" w:lineRule="auto"/>
        <w:jc w:val="both"/>
        <w:rPr>
          <w:rFonts w:ascii="Arial" w:hAnsi="Arial" w:cs="Arial"/>
          <w:sz w:val="24"/>
          <w:szCs w:val="24"/>
        </w:rPr>
      </w:pPr>
    </w:p>
    <w:p w14:paraId="35884A8B" w14:textId="546CBFBE" w:rsidR="00496302" w:rsidRDefault="00110562" w:rsidP="001E7BC7">
      <w:pPr>
        <w:spacing w:after="0" w:line="360" w:lineRule="auto"/>
        <w:jc w:val="both"/>
        <w:rPr>
          <w:rFonts w:ascii="Arial" w:hAnsi="Arial" w:cs="Arial"/>
          <w:sz w:val="24"/>
          <w:szCs w:val="24"/>
        </w:rPr>
      </w:pPr>
      <w:r>
        <w:rPr>
          <w:rFonts w:ascii="Arial" w:hAnsi="Arial" w:cs="Arial"/>
          <w:sz w:val="24"/>
          <w:szCs w:val="24"/>
        </w:rPr>
        <w:t>APPELLANT:</w:t>
      </w:r>
      <w:r w:rsidR="00434F3E">
        <w:rPr>
          <w:rFonts w:ascii="Arial" w:hAnsi="Arial" w:cs="Arial"/>
          <w:sz w:val="24"/>
          <w:szCs w:val="24"/>
        </w:rPr>
        <w:tab/>
      </w:r>
      <w:r w:rsidR="00434F3E">
        <w:rPr>
          <w:rFonts w:ascii="Arial" w:hAnsi="Arial" w:cs="Arial"/>
          <w:sz w:val="24"/>
          <w:szCs w:val="24"/>
        </w:rPr>
        <w:tab/>
      </w:r>
      <w:r w:rsidR="008E0BA6">
        <w:rPr>
          <w:rFonts w:ascii="Arial" w:hAnsi="Arial" w:cs="Arial"/>
          <w:sz w:val="24"/>
          <w:szCs w:val="24"/>
        </w:rPr>
        <w:t>M Kemp</w:t>
      </w:r>
    </w:p>
    <w:p w14:paraId="48A09727" w14:textId="55DF120E" w:rsidR="00496302" w:rsidRDefault="00496302" w:rsidP="001E7BC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10562">
        <w:rPr>
          <w:rFonts w:ascii="Arial" w:hAnsi="Arial" w:cs="Arial"/>
          <w:sz w:val="24"/>
          <w:szCs w:val="24"/>
        </w:rPr>
        <w:tab/>
      </w:r>
      <w:r w:rsidR="001F23F9">
        <w:rPr>
          <w:rFonts w:ascii="Arial" w:hAnsi="Arial" w:cs="Arial"/>
          <w:sz w:val="24"/>
          <w:szCs w:val="24"/>
        </w:rPr>
        <w:t xml:space="preserve">Of </w:t>
      </w:r>
      <w:r w:rsidR="008E0BA6">
        <w:rPr>
          <w:rFonts w:ascii="Arial" w:hAnsi="Arial" w:cs="Arial"/>
          <w:sz w:val="24"/>
          <w:szCs w:val="24"/>
        </w:rPr>
        <w:t>Metcalfe Beukes Attorneys</w:t>
      </w:r>
      <w:r w:rsidR="002635CD">
        <w:rPr>
          <w:rFonts w:ascii="Arial" w:hAnsi="Arial" w:cs="Arial"/>
          <w:sz w:val="24"/>
          <w:szCs w:val="24"/>
        </w:rPr>
        <w:t>,</w:t>
      </w:r>
    </w:p>
    <w:p w14:paraId="53D39925" w14:textId="69C496DA" w:rsidR="0014378A" w:rsidRDefault="0014378A" w:rsidP="001E7BC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10562">
        <w:rPr>
          <w:rFonts w:ascii="Arial" w:hAnsi="Arial" w:cs="Arial"/>
          <w:sz w:val="24"/>
          <w:szCs w:val="24"/>
        </w:rPr>
        <w:tab/>
      </w:r>
      <w:r>
        <w:rPr>
          <w:rFonts w:ascii="Arial" w:hAnsi="Arial" w:cs="Arial"/>
          <w:sz w:val="24"/>
          <w:szCs w:val="24"/>
        </w:rPr>
        <w:t>Windhoek</w:t>
      </w:r>
    </w:p>
    <w:p w14:paraId="77A70272" w14:textId="77777777" w:rsidR="00F66D2F" w:rsidRDefault="00F66D2F" w:rsidP="001B475A">
      <w:pPr>
        <w:spacing w:line="360" w:lineRule="auto"/>
        <w:jc w:val="both"/>
        <w:rPr>
          <w:rFonts w:ascii="Arial" w:hAnsi="Arial" w:cs="Arial"/>
          <w:sz w:val="24"/>
          <w:szCs w:val="24"/>
        </w:rPr>
      </w:pPr>
    </w:p>
    <w:p w14:paraId="5D15BFBB" w14:textId="35DC0C07" w:rsidR="00A02BA6" w:rsidRDefault="00110562" w:rsidP="00A02BA6">
      <w:pPr>
        <w:spacing w:after="0" w:line="360" w:lineRule="auto"/>
        <w:jc w:val="both"/>
        <w:rPr>
          <w:rFonts w:ascii="Arial" w:hAnsi="Arial" w:cs="Arial"/>
          <w:sz w:val="24"/>
          <w:szCs w:val="24"/>
        </w:rPr>
      </w:pPr>
      <w:r>
        <w:rPr>
          <w:rFonts w:ascii="Arial" w:hAnsi="Arial" w:cs="Arial"/>
          <w:sz w:val="24"/>
          <w:szCs w:val="24"/>
        </w:rPr>
        <w:t xml:space="preserve">RESPONDENT:    </w:t>
      </w:r>
      <w:r w:rsidR="00A02BA6">
        <w:rPr>
          <w:rFonts w:ascii="Arial" w:hAnsi="Arial" w:cs="Arial"/>
          <w:sz w:val="24"/>
          <w:szCs w:val="24"/>
        </w:rPr>
        <w:tab/>
      </w:r>
      <w:r>
        <w:rPr>
          <w:rFonts w:ascii="Arial" w:hAnsi="Arial" w:cs="Arial"/>
          <w:sz w:val="24"/>
          <w:szCs w:val="24"/>
        </w:rPr>
        <w:tab/>
      </w:r>
      <w:r w:rsidR="00A02BA6">
        <w:rPr>
          <w:rFonts w:ascii="Arial" w:hAnsi="Arial" w:cs="Arial"/>
          <w:sz w:val="24"/>
          <w:szCs w:val="24"/>
        </w:rPr>
        <w:t xml:space="preserve">R Kandjella </w:t>
      </w:r>
    </w:p>
    <w:p w14:paraId="26694D90" w14:textId="55C6326C" w:rsidR="00A02BA6" w:rsidRDefault="00A02BA6" w:rsidP="00A02BA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10562">
        <w:rPr>
          <w:rFonts w:ascii="Arial" w:hAnsi="Arial" w:cs="Arial"/>
          <w:sz w:val="24"/>
          <w:szCs w:val="24"/>
        </w:rPr>
        <w:tab/>
      </w:r>
      <w:r>
        <w:rPr>
          <w:rFonts w:ascii="Arial" w:hAnsi="Arial" w:cs="Arial"/>
          <w:sz w:val="24"/>
          <w:szCs w:val="24"/>
        </w:rPr>
        <w:t>Of AngulaCo Inc,</w:t>
      </w:r>
    </w:p>
    <w:p w14:paraId="30D164FB" w14:textId="2F8936D2" w:rsidR="00A02BA6" w:rsidRDefault="00A02BA6" w:rsidP="00A02BA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10562">
        <w:rPr>
          <w:rFonts w:ascii="Arial" w:hAnsi="Arial" w:cs="Arial"/>
          <w:sz w:val="24"/>
          <w:szCs w:val="24"/>
        </w:rPr>
        <w:tab/>
      </w:r>
      <w:r>
        <w:rPr>
          <w:rFonts w:ascii="Arial" w:hAnsi="Arial" w:cs="Arial"/>
          <w:sz w:val="24"/>
          <w:szCs w:val="24"/>
        </w:rPr>
        <w:t>Windhoek</w:t>
      </w:r>
    </w:p>
    <w:p w14:paraId="6C1BB897" w14:textId="77777777" w:rsidR="00F66D2F" w:rsidRDefault="00F66D2F" w:rsidP="001B475A">
      <w:pPr>
        <w:spacing w:line="360" w:lineRule="auto"/>
        <w:jc w:val="both"/>
        <w:rPr>
          <w:rFonts w:ascii="Arial" w:hAnsi="Arial" w:cs="Arial"/>
          <w:sz w:val="24"/>
          <w:szCs w:val="24"/>
        </w:rPr>
      </w:pPr>
    </w:p>
    <w:p w14:paraId="7E8556AA" w14:textId="77777777" w:rsidR="00F66D2F" w:rsidRDefault="00F66D2F" w:rsidP="001B475A">
      <w:pPr>
        <w:spacing w:line="360" w:lineRule="auto"/>
        <w:jc w:val="both"/>
        <w:rPr>
          <w:rFonts w:ascii="Arial" w:hAnsi="Arial" w:cs="Arial"/>
          <w:sz w:val="24"/>
          <w:szCs w:val="24"/>
        </w:rPr>
      </w:pPr>
    </w:p>
    <w:p w14:paraId="5C5AA17B" w14:textId="77777777" w:rsidR="00F66D2F" w:rsidRDefault="00F66D2F" w:rsidP="001B475A">
      <w:pPr>
        <w:spacing w:line="360" w:lineRule="auto"/>
        <w:jc w:val="both"/>
        <w:rPr>
          <w:rFonts w:ascii="Arial" w:hAnsi="Arial" w:cs="Arial"/>
          <w:sz w:val="24"/>
          <w:szCs w:val="24"/>
        </w:rPr>
      </w:pPr>
    </w:p>
    <w:p w14:paraId="1BF1D0EA" w14:textId="77777777" w:rsidR="00F66D2F" w:rsidRDefault="00F66D2F" w:rsidP="001B475A">
      <w:pPr>
        <w:spacing w:line="360" w:lineRule="auto"/>
        <w:jc w:val="both"/>
        <w:rPr>
          <w:rFonts w:ascii="Arial" w:hAnsi="Arial" w:cs="Arial"/>
          <w:sz w:val="24"/>
          <w:szCs w:val="24"/>
        </w:rPr>
      </w:pPr>
    </w:p>
    <w:p w14:paraId="26E863B2" w14:textId="77777777" w:rsidR="00F66D2F" w:rsidRDefault="00F66D2F" w:rsidP="001B475A">
      <w:pPr>
        <w:spacing w:line="360" w:lineRule="auto"/>
        <w:jc w:val="both"/>
        <w:rPr>
          <w:rFonts w:ascii="Arial" w:hAnsi="Arial" w:cs="Arial"/>
          <w:sz w:val="24"/>
          <w:szCs w:val="24"/>
        </w:rPr>
      </w:pPr>
    </w:p>
    <w:p w14:paraId="3C457077" w14:textId="77777777" w:rsidR="00F66D2F" w:rsidRDefault="00F66D2F" w:rsidP="001B475A">
      <w:pPr>
        <w:spacing w:line="360" w:lineRule="auto"/>
        <w:jc w:val="both"/>
        <w:rPr>
          <w:rFonts w:ascii="Arial" w:hAnsi="Arial" w:cs="Arial"/>
          <w:sz w:val="24"/>
          <w:szCs w:val="24"/>
        </w:rPr>
      </w:pPr>
    </w:p>
    <w:p w14:paraId="4EF8660A" w14:textId="77777777" w:rsidR="00F66D2F" w:rsidRDefault="00F66D2F" w:rsidP="001B475A">
      <w:pPr>
        <w:spacing w:line="360" w:lineRule="auto"/>
        <w:jc w:val="both"/>
        <w:rPr>
          <w:rFonts w:ascii="Arial" w:hAnsi="Arial" w:cs="Arial"/>
          <w:sz w:val="24"/>
          <w:szCs w:val="24"/>
        </w:rPr>
      </w:pPr>
    </w:p>
    <w:p w14:paraId="2A6F5B2F" w14:textId="77777777" w:rsidR="00F66D2F" w:rsidRDefault="00F66D2F" w:rsidP="001B475A">
      <w:pPr>
        <w:spacing w:line="360" w:lineRule="auto"/>
        <w:jc w:val="both"/>
        <w:rPr>
          <w:rFonts w:ascii="Arial" w:hAnsi="Arial" w:cs="Arial"/>
          <w:sz w:val="24"/>
          <w:szCs w:val="24"/>
        </w:rPr>
      </w:pPr>
    </w:p>
    <w:p w14:paraId="0D09F3D7" w14:textId="77777777" w:rsidR="00F66D2F" w:rsidRDefault="00F66D2F" w:rsidP="001B475A">
      <w:pPr>
        <w:spacing w:line="360" w:lineRule="auto"/>
        <w:jc w:val="both"/>
        <w:rPr>
          <w:rFonts w:ascii="Arial" w:hAnsi="Arial" w:cs="Arial"/>
          <w:sz w:val="24"/>
          <w:szCs w:val="24"/>
        </w:rPr>
      </w:pPr>
    </w:p>
    <w:p w14:paraId="51DC49CF" w14:textId="77777777" w:rsidR="00F66D2F" w:rsidRDefault="00F66D2F" w:rsidP="001B475A">
      <w:pPr>
        <w:spacing w:line="360" w:lineRule="auto"/>
        <w:jc w:val="both"/>
        <w:rPr>
          <w:rFonts w:ascii="Arial" w:hAnsi="Arial" w:cs="Arial"/>
          <w:sz w:val="24"/>
          <w:szCs w:val="24"/>
        </w:rPr>
      </w:pPr>
    </w:p>
    <w:p w14:paraId="0B0867B7" w14:textId="77777777" w:rsidR="00F66D2F" w:rsidRDefault="00F66D2F" w:rsidP="001B475A">
      <w:pPr>
        <w:spacing w:line="360" w:lineRule="auto"/>
        <w:jc w:val="both"/>
        <w:rPr>
          <w:rFonts w:ascii="Arial" w:hAnsi="Arial" w:cs="Arial"/>
          <w:sz w:val="24"/>
          <w:szCs w:val="24"/>
        </w:rPr>
      </w:pPr>
    </w:p>
    <w:p w14:paraId="5C7F7EF7" w14:textId="77777777" w:rsidR="00F66D2F" w:rsidRDefault="00F66D2F" w:rsidP="001B475A">
      <w:pPr>
        <w:spacing w:line="360" w:lineRule="auto"/>
        <w:jc w:val="both"/>
        <w:rPr>
          <w:rFonts w:ascii="Arial" w:hAnsi="Arial" w:cs="Arial"/>
          <w:sz w:val="24"/>
          <w:szCs w:val="24"/>
        </w:rPr>
      </w:pPr>
    </w:p>
    <w:sectPr w:rsidR="00F66D2F" w:rsidSect="00211413">
      <w:headerReference w:type="default" r:id="rId9"/>
      <w:pgSz w:w="11906" w:h="16838"/>
      <w:pgMar w:top="1440" w:right="128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A84E4" w14:textId="77777777" w:rsidR="00326CBD" w:rsidRDefault="00326CBD" w:rsidP="002D1BEC">
      <w:pPr>
        <w:spacing w:after="0" w:line="240" w:lineRule="auto"/>
      </w:pPr>
      <w:r>
        <w:separator/>
      </w:r>
    </w:p>
  </w:endnote>
  <w:endnote w:type="continuationSeparator" w:id="0">
    <w:p w14:paraId="63EE9DA3" w14:textId="77777777" w:rsidR="00326CBD" w:rsidRDefault="00326CBD" w:rsidP="002D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ato">
    <w:altName w:val="Arial"/>
    <w:charset w:val="00"/>
    <w:family w:val="swiss"/>
    <w:pitch w:val="variable"/>
    <w:sig w:usb0="00000001" w:usb1="5000ECF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E439A" w14:textId="77777777" w:rsidR="00326CBD" w:rsidRDefault="00326CBD" w:rsidP="002D1BEC">
      <w:pPr>
        <w:spacing w:after="0" w:line="240" w:lineRule="auto"/>
      </w:pPr>
      <w:r>
        <w:separator/>
      </w:r>
    </w:p>
  </w:footnote>
  <w:footnote w:type="continuationSeparator" w:id="0">
    <w:p w14:paraId="161A0A50" w14:textId="77777777" w:rsidR="00326CBD" w:rsidRDefault="00326CBD" w:rsidP="002D1BEC">
      <w:pPr>
        <w:spacing w:after="0" w:line="240" w:lineRule="auto"/>
      </w:pPr>
      <w:r>
        <w:continuationSeparator/>
      </w:r>
    </w:p>
  </w:footnote>
  <w:footnote w:id="1">
    <w:p w14:paraId="43B51289" w14:textId="77777777" w:rsidR="00D12CE0" w:rsidRPr="00784BD9" w:rsidRDefault="00D12CE0" w:rsidP="00AE3844">
      <w:pPr>
        <w:pStyle w:val="FootnoteText"/>
        <w:rPr>
          <w:rFonts w:ascii="Arial" w:hAnsi="Arial" w:cs="Arial"/>
          <w:lang w:val="en-US"/>
        </w:rPr>
      </w:pPr>
      <w:r w:rsidRPr="00784BD9">
        <w:rPr>
          <w:rStyle w:val="FootnoteReference"/>
          <w:rFonts w:ascii="Arial" w:hAnsi="Arial" w:cs="Arial"/>
        </w:rPr>
        <w:footnoteRef/>
      </w:r>
      <w:r w:rsidRPr="00784BD9">
        <w:rPr>
          <w:rFonts w:ascii="Arial" w:hAnsi="Arial" w:cs="Arial"/>
        </w:rPr>
        <w:t xml:space="preserve"> </w:t>
      </w:r>
      <w:r w:rsidRPr="00784BD9">
        <w:rPr>
          <w:rFonts w:ascii="Arial" w:hAnsi="Arial" w:cs="Arial"/>
          <w:lang w:val="en-US"/>
        </w:rPr>
        <w:t>Appeal Record p.1-4.</w:t>
      </w:r>
    </w:p>
  </w:footnote>
  <w:footnote w:id="2">
    <w:p w14:paraId="2D59914A" w14:textId="26F6AA4B" w:rsidR="00D12CE0" w:rsidRPr="003F30E8" w:rsidRDefault="00D12CE0" w:rsidP="00597A52">
      <w:pPr>
        <w:pStyle w:val="FootnoteText"/>
        <w:rPr>
          <w:rFonts w:ascii="Arial" w:hAnsi="Arial" w:cs="Arial"/>
          <w:lang w:val="en-US"/>
        </w:rPr>
      </w:pPr>
      <w:r w:rsidRPr="003F30E8">
        <w:rPr>
          <w:rStyle w:val="FootnoteReference"/>
          <w:rFonts w:ascii="Arial" w:hAnsi="Arial" w:cs="Arial"/>
        </w:rPr>
        <w:footnoteRef/>
      </w:r>
      <w:r w:rsidRPr="003F30E8">
        <w:rPr>
          <w:rFonts w:ascii="Arial" w:hAnsi="Arial" w:cs="Arial"/>
        </w:rPr>
        <w:t xml:space="preserve"> </w:t>
      </w:r>
      <w:r w:rsidRPr="003F30E8">
        <w:rPr>
          <w:rFonts w:ascii="Arial" w:eastAsia="Times New Roman" w:hAnsi="Arial" w:cs="Arial"/>
          <w:i/>
          <w:lang w:eastAsia="en-ZA"/>
        </w:rPr>
        <w:t>Dietmar Dannecker v Leopard Tours Car and Camping Hire CC and Others</w:t>
      </w:r>
      <w:r w:rsidRPr="003F30E8">
        <w:rPr>
          <w:rFonts w:ascii="Arial" w:hAnsi="Arial" w:cs="Arial"/>
        </w:rPr>
        <w:t xml:space="preserve"> SA 79/2016 delivered on 31 August 2018 at para 20.</w:t>
      </w:r>
    </w:p>
  </w:footnote>
  <w:footnote w:id="3">
    <w:p w14:paraId="681A5390" w14:textId="7E1BB0E7" w:rsidR="00D12CE0" w:rsidRPr="003F30E8" w:rsidRDefault="00D12CE0" w:rsidP="00597A52">
      <w:pPr>
        <w:pStyle w:val="FootnoteText"/>
        <w:rPr>
          <w:rFonts w:ascii="Arial" w:hAnsi="Arial" w:cs="Arial"/>
          <w:lang w:val="en-US"/>
        </w:rPr>
      </w:pPr>
      <w:r w:rsidRPr="003F30E8">
        <w:rPr>
          <w:rStyle w:val="FootnoteReference"/>
          <w:rFonts w:ascii="Arial" w:hAnsi="Arial" w:cs="Arial"/>
        </w:rPr>
        <w:footnoteRef/>
      </w:r>
      <w:r w:rsidRPr="003F30E8">
        <w:rPr>
          <w:rFonts w:ascii="Arial" w:hAnsi="Arial" w:cs="Arial"/>
        </w:rPr>
        <w:t xml:space="preserve"> </w:t>
      </w:r>
      <w:r w:rsidRPr="003F30E8">
        <w:rPr>
          <w:rFonts w:ascii="Arial" w:eastAsia="Times New Roman" w:hAnsi="Arial" w:cs="Arial"/>
          <w:i/>
          <w:lang w:eastAsia="en-ZA"/>
        </w:rPr>
        <w:t>Petrus v Roman Catholic Archdiocese</w:t>
      </w:r>
      <w:r w:rsidRPr="003F30E8">
        <w:rPr>
          <w:rFonts w:ascii="Arial" w:hAnsi="Arial" w:cs="Arial"/>
        </w:rPr>
        <w:t xml:space="preserve"> 1997 NR 184 (HC).</w:t>
      </w:r>
    </w:p>
  </w:footnote>
  <w:footnote w:id="4">
    <w:p w14:paraId="24D36455" w14:textId="1A5CE7BF" w:rsidR="00D12CE0" w:rsidRPr="00E4328F" w:rsidRDefault="00D12CE0" w:rsidP="005B72DF">
      <w:pPr>
        <w:pStyle w:val="Heading2"/>
        <w:shd w:val="clear" w:color="auto" w:fill="FFFFFF"/>
        <w:spacing w:before="0" w:line="240" w:lineRule="auto"/>
        <w:rPr>
          <w:rFonts w:ascii="Arial" w:hAnsi="Arial" w:cs="Arial"/>
          <w:color w:val="auto"/>
          <w:sz w:val="20"/>
          <w:szCs w:val="20"/>
          <w:lang w:val="en-US"/>
        </w:rPr>
      </w:pPr>
      <w:bookmarkStart w:id="0" w:name="_GoBack"/>
      <w:bookmarkEnd w:id="0"/>
      <w:r w:rsidRPr="003F30E8">
        <w:rPr>
          <w:rStyle w:val="FootnoteReference"/>
          <w:rFonts w:ascii="Arial" w:hAnsi="Arial" w:cs="Arial"/>
          <w:color w:val="auto"/>
          <w:sz w:val="20"/>
          <w:szCs w:val="20"/>
        </w:rPr>
        <w:footnoteRef/>
      </w:r>
      <w:r w:rsidRPr="003F30E8">
        <w:rPr>
          <w:rFonts w:ascii="Arial" w:hAnsi="Arial" w:cs="Arial"/>
          <w:color w:val="auto"/>
          <w:sz w:val="20"/>
          <w:szCs w:val="20"/>
        </w:rPr>
        <w:t xml:space="preserve"> </w:t>
      </w:r>
      <w:r w:rsidRPr="00E4328F">
        <w:rPr>
          <w:rFonts w:ascii="Arial" w:eastAsia="Times New Roman" w:hAnsi="Arial" w:cs="Arial"/>
          <w:i/>
          <w:color w:val="auto"/>
          <w:sz w:val="20"/>
          <w:szCs w:val="20"/>
          <w:lang w:eastAsia="en-ZA"/>
        </w:rPr>
        <w:t>Beukes and Another v South West Africa Building Soci</w:t>
      </w:r>
      <w:r w:rsidRPr="00E4328F">
        <w:rPr>
          <w:rFonts w:ascii="Arial" w:eastAsia="Times New Roman" w:hAnsi="Arial" w:cs="Arial"/>
          <w:i/>
          <w:iCs/>
          <w:color w:val="auto"/>
          <w:sz w:val="20"/>
          <w:szCs w:val="20"/>
          <w:lang w:eastAsia="en-ZA"/>
        </w:rPr>
        <w:t xml:space="preserve">ety (SWABOU) and Others </w:t>
      </w:r>
      <w:r w:rsidRPr="00E4328F">
        <w:rPr>
          <w:rFonts w:ascii="Arial" w:eastAsia="Times New Roman" w:hAnsi="Arial" w:cs="Arial"/>
          <w:iCs/>
          <w:color w:val="auto"/>
          <w:sz w:val="20"/>
          <w:szCs w:val="20"/>
          <w:lang w:eastAsia="en-ZA"/>
        </w:rPr>
        <w:t>(Appeal Judgment</w:t>
      </w:r>
      <w:r w:rsidRPr="00E4328F">
        <w:rPr>
          <w:rFonts w:ascii="Arial" w:eastAsia="Times New Roman" w:hAnsi="Arial" w:cs="Arial"/>
          <w:color w:val="auto"/>
          <w:sz w:val="20"/>
          <w:szCs w:val="20"/>
          <w:lang w:eastAsia="en-ZA"/>
        </w:rPr>
        <w:t>) (SA 10 of 2006) [2010] NASC 14 (05 November 2010</w:t>
      </w:r>
      <w:r w:rsidRPr="00E4328F">
        <w:rPr>
          <w:rFonts w:ascii="Arial" w:eastAsia="Times New Roman" w:hAnsi="Arial" w:cs="Arial"/>
          <w:iCs/>
          <w:color w:val="auto"/>
          <w:sz w:val="20"/>
          <w:szCs w:val="20"/>
          <w:lang w:eastAsia="en-ZA"/>
        </w:rPr>
        <w:t>).</w:t>
      </w:r>
    </w:p>
  </w:footnote>
  <w:footnote w:id="5">
    <w:p w14:paraId="4C1DBD36" w14:textId="710E1ECC" w:rsidR="00D12CE0" w:rsidRPr="00E4328F" w:rsidRDefault="00D12CE0" w:rsidP="00CC03AC">
      <w:pPr>
        <w:pStyle w:val="FootnoteText"/>
        <w:tabs>
          <w:tab w:val="left" w:pos="5895"/>
        </w:tabs>
        <w:rPr>
          <w:rFonts w:ascii="Arial" w:hAnsi="Arial" w:cs="Arial"/>
          <w:lang w:val="en-US"/>
        </w:rPr>
      </w:pPr>
      <w:r w:rsidRPr="00E4328F">
        <w:rPr>
          <w:rStyle w:val="FootnoteReference"/>
          <w:rFonts w:ascii="Arial" w:hAnsi="Arial" w:cs="Arial"/>
        </w:rPr>
        <w:footnoteRef/>
      </w:r>
      <w:r w:rsidRPr="00E4328F">
        <w:rPr>
          <w:rFonts w:ascii="Arial" w:hAnsi="Arial" w:cs="Arial"/>
        </w:rPr>
        <w:t xml:space="preserve"> </w:t>
      </w:r>
      <w:r w:rsidRPr="00E4328F">
        <w:rPr>
          <w:rFonts w:ascii="Arial" w:hAnsi="Arial" w:cs="Arial"/>
          <w:i/>
          <w:lang w:val="en-US"/>
        </w:rPr>
        <w:t>Beukes</w:t>
      </w:r>
      <w:r w:rsidRPr="00E4328F">
        <w:rPr>
          <w:rFonts w:ascii="Arial" w:hAnsi="Arial" w:cs="Arial"/>
          <w:lang w:val="en-US"/>
        </w:rPr>
        <w:t xml:space="preserve"> para 12.</w:t>
      </w:r>
      <w:r w:rsidR="003F30E8" w:rsidRPr="00E4328F">
        <w:rPr>
          <w:rFonts w:ascii="Arial" w:hAnsi="Arial" w:cs="Arial"/>
          <w:lang w:val="en-US"/>
        </w:rPr>
        <w:tab/>
      </w:r>
    </w:p>
  </w:footnote>
  <w:footnote w:id="6">
    <w:p w14:paraId="040684E5" w14:textId="32D40239" w:rsidR="00D12CE0" w:rsidRPr="00974890" w:rsidRDefault="00D12CE0" w:rsidP="00597A52">
      <w:pPr>
        <w:pStyle w:val="FootnoteText"/>
        <w:rPr>
          <w:i/>
          <w:lang w:val="en-US"/>
        </w:rPr>
      </w:pPr>
      <w:r w:rsidRPr="00CC03AC">
        <w:rPr>
          <w:rStyle w:val="FootnoteReference"/>
          <w:rFonts w:ascii="Arial" w:hAnsi="Arial" w:cs="Arial"/>
        </w:rPr>
        <w:footnoteRef/>
      </w:r>
      <w:r w:rsidRPr="00CC03AC">
        <w:rPr>
          <w:rFonts w:ascii="Arial" w:hAnsi="Arial" w:cs="Arial"/>
        </w:rPr>
        <w:t xml:space="preserve"> </w:t>
      </w:r>
      <w:r w:rsidRPr="00CC03AC">
        <w:rPr>
          <w:rFonts w:ascii="Arial" w:hAnsi="Arial" w:cs="Arial"/>
          <w:i/>
          <w:lang w:val="en-US"/>
        </w:rPr>
        <w:t xml:space="preserve">Beukes </w:t>
      </w:r>
      <w:r w:rsidRPr="00CC03AC">
        <w:rPr>
          <w:rFonts w:ascii="Arial" w:hAnsi="Arial" w:cs="Arial"/>
          <w:lang w:val="en-US"/>
        </w:rPr>
        <w:t>para 13.</w:t>
      </w:r>
    </w:p>
  </w:footnote>
  <w:footnote w:id="7">
    <w:p w14:paraId="4D77B341" w14:textId="48AB9E35" w:rsidR="00D12CE0" w:rsidRPr="00ED232A" w:rsidRDefault="00D12CE0">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Beukes </w:t>
      </w:r>
      <w:r>
        <w:rPr>
          <w:rFonts w:ascii="Arial" w:hAnsi="Arial" w:cs="Arial"/>
          <w:lang w:val="en-US"/>
        </w:rPr>
        <w:t>para 20.</w:t>
      </w:r>
    </w:p>
  </w:footnote>
  <w:footnote w:id="8">
    <w:p w14:paraId="5CBCCD32" w14:textId="5F32C8AA" w:rsidR="00D12CE0" w:rsidRPr="00C643CE" w:rsidRDefault="00D12CE0">
      <w:pPr>
        <w:pStyle w:val="FootnoteText"/>
        <w:rPr>
          <w:rFonts w:ascii="Arial" w:hAnsi="Arial" w:cs="Arial"/>
          <w:lang w:val="en-US"/>
        </w:rPr>
      </w:pPr>
      <w:r>
        <w:rPr>
          <w:rStyle w:val="FootnoteReference"/>
        </w:rPr>
        <w:footnoteRef/>
      </w:r>
      <w:r>
        <w:t xml:space="preserve"> </w:t>
      </w:r>
      <w:r w:rsidRPr="00C643CE">
        <w:rPr>
          <w:rFonts w:ascii="Arial" w:hAnsi="Arial" w:cs="Arial"/>
          <w:lang w:val="en-US"/>
        </w:rPr>
        <w:t>Paragraph 34- 36 of the founding affidavit filed in support of the application for condonation</w:t>
      </w:r>
      <w:r w:rsidR="00CC5000">
        <w:rPr>
          <w:rFonts w:ascii="Arial" w:hAnsi="Arial" w:cs="Arial"/>
          <w:lang w:val="en-US"/>
        </w:rPr>
        <w:t>.</w:t>
      </w:r>
    </w:p>
  </w:footnote>
  <w:footnote w:id="9">
    <w:p w14:paraId="5218D978" w14:textId="295697B1" w:rsidR="00D12CE0" w:rsidRPr="00523A60" w:rsidRDefault="00D12CE0">
      <w:pPr>
        <w:pStyle w:val="FootnoteText"/>
        <w:rPr>
          <w:rFonts w:ascii="Arial" w:hAnsi="Arial" w:cs="Arial"/>
          <w:lang w:val="en-US"/>
        </w:rPr>
      </w:pPr>
      <w:r w:rsidRPr="00523A60">
        <w:rPr>
          <w:rStyle w:val="FootnoteReference"/>
          <w:rFonts w:ascii="Arial" w:hAnsi="Arial" w:cs="Arial"/>
        </w:rPr>
        <w:footnoteRef/>
      </w:r>
      <w:r w:rsidRPr="00523A60">
        <w:rPr>
          <w:rFonts w:ascii="Arial" w:hAnsi="Arial" w:cs="Arial"/>
        </w:rPr>
        <w:t xml:space="preserve"> </w:t>
      </w:r>
      <w:r w:rsidRPr="00523A60">
        <w:rPr>
          <w:rFonts w:ascii="Arial" w:hAnsi="Arial" w:cs="Arial"/>
          <w:i/>
        </w:rPr>
        <w:t>Matuzee v Sihlahla</w:t>
      </w:r>
      <w:r w:rsidRPr="00523A60">
        <w:rPr>
          <w:rFonts w:ascii="Arial" w:hAnsi="Arial" w:cs="Arial"/>
          <w:lang w:val="en-US"/>
        </w:rPr>
        <w:t xml:space="preserve"> (LCA 2/2016) [2017] NALCMD 23 (5 July 2017)</w:t>
      </w:r>
      <w:r>
        <w:rPr>
          <w:rFonts w:ascii="Arial" w:hAnsi="Arial" w:cs="Arial"/>
          <w:lang w:val="en-US"/>
        </w:rPr>
        <w:t>.</w:t>
      </w:r>
    </w:p>
  </w:footnote>
  <w:footnote w:id="10">
    <w:p w14:paraId="1E5BB66C" w14:textId="7FE23EF6" w:rsidR="00D12CE0" w:rsidRPr="00622213" w:rsidRDefault="00D12CE0" w:rsidP="00EC7043">
      <w:pPr>
        <w:pStyle w:val="FootnoteText"/>
        <w:spacing w:after="40"/>
        <w:jc w:val="both"/>
        <w:rPr>
          <w:rFonts w:ascii="Arial" w:hAnsi="Arial" w:cs="Arial"/>
          <w:lang w:val="en-US"/>
        </w:rPr>
      </w:pPr>
      <w:r w:rsidRPr="00622213">
        <w:rPr>
          <w:rStyle w:val="FootnoteReference"/>
          <w:rFonts w:ascii="Arial" w:hAnsi="Arial" w:cs="Arial"/>
        </w:rPr>
        <w:footnoteRef/>
      </w:r>
      <w:r w:rsidRPr="00622213">
        <w:rPr>
          <w:rFonts w:ascii="Arial" w:hAnsi="Arial" w:cs="Arial"/>
        </w:rPr>
        <w:t xml:space="preserve"> </w:t>
      </w:r>
      <w:r w:rsidRPr="00622213">
        <w:rPr>
          <w:rStyle w:val="Emphasis"/>
          <w:rFonts w:ascii="Arial" w:hAnsi="Arial" w:cs="Arial"/>
          <w:shd w:val="clear" w:color="auto" w:fill="FFFFFF"/>
        </w:rPr>
        <w:t>Minister of Safety and Security v Inyemba</w:t>
      </w:r>
      <w:r w:rsidRPr="00622213">
        <w:rPr>
          <w:rFonts w:ascii="Arial" w:hAnsi="Arial" w:cs="Arial"/>
          <w:shd w:val="clear" w:color="auto" w:fill="FFFFFF"/>
        </w:rPr>
        <w:t> (HC-MD-CIV-MOT-GEN-2019/00247) [2020] NAHCMD 170 (13 May 2020) referring to </w:t>
      </w:r>
      <w:r w:rsidRPr="00622213">
        <w:rPr>
          <w:rStyle w:val="Emphasis"/>
          <w:rFonts w:ascii="Arial" w:hAnsi="Arial" w:cs="Arial"/>
          <w:shd w:val="clear" w:color="auto" w:fill="FFFFFF"/>
        </w:rPr>
        <w:t>Naholo v National Union of Namibia Workers</w:t>
      </w:r>
      <w:r w:rsidRPr="00622213">
        <w:rPr>
          <w:rFonts w:ascii="Arial" w:hAnsi="Arial" w:cs="Arial"/>
          <w:shd w:val="clear" w:color="auto" w:fill="FFFFFF"/>
        </w:rPr>
        <w:t> 2006 (2) NR (659) (HC); </w:t>
      </w:r>
      <w:r w:rsidRPr="00622213">
        <w:rPr>
          <w:rStyle w:val="Emphasis"/>
          <w:rFonts w:ascii="Arial" w:hAnsi="Arial" w:cs="Arial"/>
          <w:shd w:val="clear" w:color="auto" w:fill="FFFFFF"/>
        </w:rPr>
        <w:t>South West Africa National Union v Tjozongoro and Other</w:t>
      </w:r>
      <w:r w:rsidRPr="00622213">
        <w:rPr>
          <w:rFonts w:ascii="Arial" w:hAnsi="Arial" w:cs="Arial"/>
          <w:shd w:val="clear" w:color="auto" w:fill="FFFFFF"/>
        </w:rPr>
        <w:t> 1985 (1) SA 376 (SWA); </w:t>
      </w:r>
      <w:r w:rsidRPr="00622213">
        <w:rPr>
          <w:rStyle w:val="Emphasis"/>
          <w:rFonts w:ascii="Arial" w:hAnsi="Arial" w:cs="Arial"/>
          <w:shd w:val="clear" w:color="auto" w:fill="FFFFFF"/>
        </w:rPr>
        <w:t>Wlotzkasbaken Home Owners Association v Erongo Regional Council</w:t>
      </w:r>
      <w:r w:rsidRPr="00622213">
        <w:rPr>
          <w:rFonts w:ascii="Arial" w:hAnsi="Arial" w:cs="Arial"/>
          <w:shd w:val="clear" w:color="auto" w:fill="FFFFFF"/>
        </w:rPr>
        <w:t> 2007 (2) NR 799; </w:t>
      </w:r>
      <w:r w:rsidRPr="00622213">
        <w:rPr>
          <w:rStyle w:val="Emphasis"/>
          <w:rFonts w:ascii="Arial" w:hAnsi="Arial" w:cs="Arial"/>
          <w:shd w:val="clear" w:color="auto" w:fill="FFFFFF"/>
        </w:rPr>
        <w:t>JB Cooling and Refrigeration CC v Dean Jacques Willems t/a Armature Winding and Other</w:t>
      </w:r>
      <w:r w:rsidRPr="00622213">
        <w:rPr>
          <w:rFonts w:ascii="Arial" w:hAnsi="Arial" w:cs="Arial"/>
          <w:shd w:val="clear" w:color="auto" w:fill="FFFFFF"/>
        </w:rPr>
        <w:t> (A 76/2015 [2016] HAHCMD 8 (20 January 2016); and </w:t>
      </w:r>
      <w:r w:rsidRPr="00622213">
        <w:rPr>
          <w:rStyle w:val="Emphasis"/>
          <w:rFonts w:ascii="Arial" w:hAnsi="Arial" w:cs="Arial"/>
          <w:shd w:val="clear" w:color="auto" w:fill="FFFFFF"/>
        </w:rPr>
        <w:t>Standard Bank Namibia Ltd v Nekwaya</w:t>
      </w:r>
      <w:r w:rsidRPr="00622213">
        <w:rPr>
          <w:rFonts w:ascii="Arial" w:hAnsi="Arial" w:cs="Arial"/>
          <w:shd w:val="clear" w:color="auto" w:fill="FFFFFF"/>
        </w:rPr>
        <w:t> (HC-MD-CIV-MOT-GEN-2020/00089 [2020] NAHCMD 122 (26 March 2020).</w:t>
      </w:r>
    </w:p>
  </w:footnote>
  <w:footnote w:id="11">
    <w:p w14:paraId="3F72214E" w14:textId="262BE164" w:rsidR="00D12CE0" w:rsidRPr="00622213" w:rsidRDefault="00D12CE0" w:rsidP="00B76235">
      <w:pPr>
        <w:pStyle w:val="Heading1"/>
        <w:shd w:val="clear" w:color="auto" w:fill="FFFFFF"/>
        <w:spacing w:before="0"/>
        <w:jc w:val="both"/>
        <w:rPr>
          <w:rFonts w:ascii="Arial" w:hAnsi="Arial" w:cs="Arial"/>
          <w:color w:val="auto"/>
          <w:sz w:val="20"/>
          <w:szCs w:val="20"/>
          <w:lang w:val="en-US"/>
        </w:rPr>
      </w:pPr>
      <w:r w:rsidRPr="00622213">
        <w:rPr>
          <w:rStyle w:val="FootnoteReference"/>
          <w:rFonts w:ascii="Arial" w:hAnsi="Arial" w:cs="Arial"/>
          <w:color w:val="auto"/>
          <w:sz w:val="20"/>
          <w:szCs w:val="20"/>
        </w:rPr>
        <w:footnoteRef/>
      </w:r>
      <w:r w:rsidRPr="00622213">
        <w:rPr>
          <w:rFonts w:ascii="Arial" w:hAnsi="Arial" w:cs="Arial"/>
          <w:color w:val="auto"/>
          <w:sz w:val="20"/>
          <w:szCs w:val="20"/>
        </w:rPr>
        <w:t xml:space="preserve"> </w:t>
      </w:r>
      <w:r w:rsidRPr="00B76235">
        <w:rPr>
          <w:rFonts w:ascii="Arial" w:hAnsi="Arial" w:cs="Arial"/>
          <w:i/>
          <w:color w:val="auto"/>
          <w:sz w:val="20"/>
          <w:szCs w:val="20"/>
        </w:rPr>
        <w:t>Otjozondjupa Regional Council v Dr Ndahafa Aino-Cecilia Nghifindaka &amp; Two Others</w:t>
      </w:r>
      <w:r w:rsidRPr="00DC2B9E">
        <w:rPr>
          <w:rFonts w:ascii="Arial" w:hAnsi="Arial" w:cs="Arial"/>
          <w:color w:val="auto"/>
          <w:sz w:val="20"/>
          <w:szCs w:val="20"/>
        </w:rPr>
        <w:t xml:space="preserve"> </w:t>
      </w:r>
      <w:r w:rsidRPr="00622213">
        <w:rPr>
          <w:rFonts w:ascii="Arial" w:eastAsia="Times New Roman" w:hAnsi="Arial" w:cs="Arial"/>
          <w:bCs/>
          <w:color w:val="auto"/>
          <w:kern w:val="36"/>
          <w:sz w:val="20"/>
          <w:szCs w:val="20"/>
          <w:lang w:eastAsia="en-ZA"/>
        </w:rPr>
        <w:t>(LC 7/2010) [2010] NAHC 29 (26 March 2010).</w:t>
      </w:r>
    </w:p>
  </w:footnote>
  <w:footnote w:id="12">
    <w:p w14:paraId="18747F89" w14:textId="752C0E56" w:rsidR="00D12CE0" w:rsidRPr="00B76235" w:rsidRDefault="00D12CE0">
      <w:pPr>
        <w:pStyle w:val="FootnoteText"/>
        <w:rPr>
          <w:rFonts w:ascii="Arial" w:hAnsi="Arial" w:cs="Arial"/>
          <w:lang w:val="en-US"/>
        </w:rPr>
      </w:pPr>
      <w:r w:rsidRPr="00B76235">
        <w:rPr>
          <w:rStyle w:val="FootnoteReference"/>
          <w:rFonts w:ascii="Arial" w:hAnsi="Arial" w:cs="Arial"/>
        </w:rPr>
        <w:footnoteRef/>
      </w:r>
      <w:r w:rsidRPr="00B76235">
        <w:rPr>
          <w:rFonts w:ascii="Arial" w:hAnsi="Arial" w:cs="Arial"/>
        </w:rPr>
        <w:t xml:space="preserve"> </w:t>
      </w:r>
      <w:r w:rsidRPr="00B76235">
        <w:rPr>
          <w:rFonts w:ascii="Arial" w:hAnsi="Arial" w:cs="Arial"/>
          <w:i/>
        </w:rPr>
        <w:t xml:space="preserve">Mall (Cape) (Pty) Ltd v Merino Ko-operasie Bpk </w:t>
      </w:r>
      <w:r w:rsidRPr="00B76235">
        <w:rPr>
          <w:rFonts w:ascii="Arial" w:hAnsi="Arial" w:cs="Arial"/>
        </w:rPr>
        <w:t>1957 (2) SA 347 (C).</w:t>
      </w:r>
    </w:p>
  </w:footnote>
  <w:footnote w:id="13">
    <w:p w14:paraId="484D6836" w14:textId="38C2003E" w:rsidR="00D12CE0" w:rsidRPr="00E132C1" w:rsidRDefault="00D12CE0">
      <w:pPr>
        <w:pStyle w:val="FootnoteText"/>
        <w:rPr>
          <w:lang w:val="en-US"/>
        </w:rPr>
      </w:pPr>
      <w:r w:rsidRPr="00B76235">
        <w:rPr>
          <w:rStyle w:val="FootnoteReference"/>
          <w:rFonts w:ascii="Arial" w:hAnsi="Arial" w:cs="Arial"/>
        </w:rPr>
        <w:footnoteRef/>
      </w:r>
      <w:r w:rsidRPr="00B76235">
        <w:rPr>
          <w:rFonts w:ascii="Arial" w:hAnsi="Arial" w:cs="Arial"/>
        </w:rPr>
        <w:t xml:space="preserve"> </w:t>
      </w:r>
      <w:r w:rsidRPr="00121A48">
        <w:rPr>
          <w:rFonts w:ascii="Arial" w:hAnsi="Arial" w:cs="Arial"/>
          <w:i/>
        </w:rPr>
        <w:t xml:space="preserve">Duntrust (Pty) Ltd v H Sedlacek t/a G M Refrigeration </w:t>
      </w:r>
      <w:r w:rsidRPr="00121A48">
        <w:rPr>
          <w:rFonts w:ascii="Arial" w:hAnsi="Arial" w:cs="Arial"/>
        </w:rPr>
        <w:t>2005 NR 147 HC.</w:t>
      </w:r>
    </w:p>
  </w:footnote>
  <w:footnote w:id="14">
    <w:p w14:paraId="5CA3B75B" w14:textId="77777777" w:rsidR="00D12CE0" w:rsidRPr="00902659" w:rsidRDefault="00D12CE0">
      <w:pPr>
        <w:pStyle w:val="FootnoteText"/>
        <w:rPr>
          <w:sz w:val="16"/>
          <w:lang w:val="en-US"/>
        </w:rPr>
      </w:pPr>
      <w:r>
        <w:rPr>
          <w:rStyle w:val="FootnoteReference"/>
        </w:rPr>
        <w:footnoteRef/>
      </w:r>
      <w:r>
        <w:t xml:space="preserve"> </w:t>
      </w:r>
      <w:r w:rsidRPr="00902659">
        <w:rPr>
          <w:rFonts w:ascii="Arial" w:hAnsi="Arial" w:cs="Arial"/>
        </w:rPr>
        <w:t>Ritz Reise (Pty) Ltd v Air Namibia (Pty) Ltd 2007 (1) NR 222).</w:t>
      </w:r>
    </w:p>
  </w:footnote>
  <w:footnote w:id="15">
    <w:p w14:paraId="0FBE12CD" w14:textId="32B89E1D" w:rsidR="00D12CE0" w:rsidRPr="002E7E57" w:rsidRDefault="00D12CE0">
      <w:pPr>
        <w:pStyle w:val="FootnoteText"/>
        <w:rPr>
          <w:rFonts w:ascii="Arial" w:hAnsi="Arial" w:cs="Arial"/>
          <w:lang w:val="en-US"/>
        </w:rPr>
      </w:pPr>
      <w:r w:rsidRPr="002E7E57">
        <w:rPr>
          <w:rStyle w:val="FootnoteReference"/>
          <w:rFonts w:ascii="Arial" w:hAnsi="Arial" w:cs="Arial"/>
        </w:rPr>
        <w:footnoteRef/>
      </w:r>
      <w:r w:rsidRPr="002E7E57">
        <w:rPr>
          <w:rFonts w:ascii="Arial" w:hAnsi="Arial" w:cs="Arial"/>
        </w:rPr>
        <w:t xml:space="preserve"> Special power of attorney filed in support of the application to appeal. </w:t>
      </w:r>
    </w:p>
  </w:footnote>
  <w:footnote w:id="16">
    <w:p w14:paraId="09E3F5CD" w14:textId="77569A0F" w:rsidR="00D12CE0" w:rsidRPr="000C658C" w:rsidRDefault="00D12CE0">
      <w:pPr>
        <w:pStyle w:val="FootnoteText"/>
        <w:rPr>
          <w:sz w:val="16"/>
          <w:lang w:val="en-US"/>
        </w:rPr>
      </w:pPr>
      <w:r w:rsidRPr="002E7E57">
        <w:rPr>
          <w:rStyle w:val="FootnoteReference"/>
          <w:rFonts w:ascii="Arial" w:hAnsi="Arial" w:cs="Arial"/>
        </w:rPr>
        <w:footnoteRef/>
      </w:r>
      <w:r w:rsidRPr="002E7E57">
        <w:rPr>
          <w:rFonts w:ascii="Arial" w:hAnsi="Arial" w:cs="Arial"/>
        </w:rPr>
        <w:t xml:space="preserve"> </w:t>
      </w:r>
      <w:r w:rsidRPr="00DC2B9E">
        <w:rPr>
          <w:rFonts w:ascii="Arial" w:hAnsi="Arial" w:cs="Arial"/>
          <w:i/>
          <w:szCs w:val="24"/>
        </w:rPr>
        <w:t xml:space="preserve">National Union of Namibian Workers v Peter Naholo Case No. A 16/2006 </w:t>
      </w:r>
      <w:r w:rsidRPr="00DC2B9E">
        <w:rPr>
          <w:rFonts w:ascii="Arial" w:hAnsi="Arial" w:cs="Arial"/>
          <w:szCs w:val="24"/>
        </w:rPr>
        <w:t>unreported judgment of this Court delivered on 7 April 2006</w:t>
      </w:r>
      <w:r>
        <w:rPr>
          <w:rFonts w:ascii="Arial" w:hAnsi="Arial" w:cs="Arial"/>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909568"/>
      <w:docPartObj>
        <w:docPartGallery w:val="Page Numbers (Top of Page)"/>
        <w:docPartUnique/>
      </w:docPartObj>
    </w:sdtPr>
    <w:sdtEndPr>
      <w:rPr>
        <w:noProof/>
      </w:rPr>
    </w:sdtEndPr>
    <w:sdtContent>
      <w:p w14:paraId="778AE942" w14:textId="77777777" w:rsidR="00D12CE0" w:rsidRDefault="00D12CE0">
        <w:pPr>
          <w:pStyle w:val="Header"/>
          <w:jc w:val="right"/>
        </w:pPr>
        <w:r>
          <w:fldChar w:fldCharType="begin"/>
        </w:r>
        <w:r>
          <w:instrText xml:space="preserve"> PAGE   \* MERGEFORMAT </w:instrText>
        </w:r>
        <w:r>
          <w:fldChar w:fldCharType="separate"/>
        </w:r>
        <w:r w:rsidR="00E4328F">
          <w:rPr>
            <w:noProof/>
          </w:rPr>
          <w:t>21</w:t>
        </w:r>
        <w:r>
          <w:rPr>
            <w:noProof/>
          </w:rPr>
          <w:fldChar w:fldCharType="end"/>
        </w:r>
      </w:p>
    </w:sdtContent>
  </w:sdt>
  <w:p w14:paraId="27238536" w14:textId="77777777" w:rsidR="00D12CE0" w:rsidRDefault="00D12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1FA"/>
    <w:multiLevelType w:val="hybridMultilevel"/>
    <w:tmpl w:val="5FCEF2B0"/>
    <w:lvl w:ilvl="0" w:tplc="03A89FC0">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61C63"/>
    <w:multiLevelType w:val="multilevel"/>
    <w:tmpl w:val="2E98FC7E"/>
    <w:lvl w:ilvl="0">
      <w:start w:val="1"/>
      <w:numFmt w:val="decimal"/>
      <w:lvlText w:val="%1."/>
      <w:lvlJc w:val="left"/>
      <w:pPr>
        <w:ind w:left="720" w:hanging="360"/>
      </w:pPr>
      <w:rPr>
        <w:rFonts w:hint="default"/>
        <w:i w:val="0"/>
        <w:iCs/>
        <w:sz w:val="24"/>
        <w:szCs w:val="24"/>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D31EB"/>
    <w:multiLevelType w:val="multilevel"/>
    <w:tmpl w:val="175A172C"/>
    <w:lvl w:ilvl="0">
      <w:start w:val="1"/>
      <w:numFmt w:val="decimal"/>
      <w:lvlText w:val="%1."/>
      <w:lvlJc w:val="left"/>
      <w:pPr>
        <w:ind w:left="720" w:hanging="720"/>
      </w:pPr>
      <w:rPr>
        <w:rFonts w:ascii="Arial" w:hAnsi="Arial" w:cs="Arial" w:hint="default"/>
        <w:b w:val="0"/>
        <w:i w:val="0"/>
        <w:sz w:val="24"/>
        <w:szCs w:val="24"/>
        <w:vertAlign w:val="baseline"/>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461DA0"/>
    <w:multiLevelType w:val="hybridMultilevel"/>
    <w:tmpl w:val="6B6A4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B6F61"/>
    <w:multiLevelType w:val="hybridMultilevel"/>
    <w:tmpl w:val="6D7C9C6A"/>
    <w:lvl w:ilvl="0" w:tplc="F40E3E94">
      <w:start w:val="2"/>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2C7B5D"/>
    <w:multiLevelType w:val="hybridMultilevel"/>
    <w:tmpl w:val="7F3CA370"/>
    <w:lvl w:ilvl="0" w:tplc="EC564892">
      <w:start w:val="33"/>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199C3387"/>
    <w:multiLevelType w:val="hybridMultilevel"/>
    <w:tmpl w:val="E594EC94"/>
    <w:lvl w:ilvl="0" w:tplc="63123E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BB36915"/>
    <w:multiLevelType w:val="hybridMultilevel"/>
    <w:tmpl w:val="27F8C3D4"/>
    <w:lvl w:ilvl="0" w:tplc="0EC4E9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946BD1"/>
    <w:multiLevelType w:val="hybridMultilevel"/>
    <w:tmpl w:val="1B2E2808"/>
    <w:lvl w:ilvl="0" w:tplc="681EC118">
      <w:start w:val="14"/>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2024A"/>
    <w:multiLevelType w:val="hybridMultilevel"/>
    <w:tmpl w:val="BC16463A"/>
    <w:lvl w:ilvl="0" w:tplc="2EF4AE4A">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EC12F32"/>
    <w:multiLevelType w:val="hybridMultilevel"/>
    <w:tmpl w:val="18ACE39C"/>
    <w:lvl w:ilvl="0" w:tplc="B4BE8DD0">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88966BC6">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C5C184C"/>
    <w:multiLevelType w:val="hybridMultilevel"/>
    <w:tmpl w:val="86B8A1BA"/>
    <w:lvl w:ilvl="0" w:tplc="C0C268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2DD1D97"/>
    <w:multiLevelType w:val="hybridMultilevel"/>
    <w:tmpl w:val="BFFCC49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59682862"/>
    <w:multiLevelType w:val="hybridMultilevel"/>
    <w:tmpl w:val="FFDA02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26165B"/>
    <w:multiLevelType w:val="hybridMultilevel"/>
    <w:tmpl w:val="5FCEF2B0"/>
    <w:lvl w:ilvl="0" w:tplc="03A89FC0">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502C3"/>
    <w:multiLevelType w:val="multilevel"/>
    <w:tmpl w:val="2C40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781192"/>
    <w:multiLevelType w:val="hybridMultilevel"/>
    <w:tmpl w:val="A3F45F10"/>
    <w:lvl w:ilvl="0" w:tplc="3C7E05AA">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15:restartNumberingAfterBreak="0">
    <w:nsid w:val="675E3ECA"/>
    <w:multiLevelType w:val="hybridMultilevel"/>
    <w:tmpl w:val="2112F188"/>
    <w:lvl w:ilvl="0" w:tplc="33743662">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F2A67"/>
    <w:multiLevelType w:val="hybridMultilevel"/>
    <w:tmpl w:val="BF745852"/>
    <w:lvl w:ilvl="0" w:tplc="0409000F">
      <w:start w:val="1"/>
      <w:numFmt w:val="decimal"/>
      <w:lvlText w:val="%1."/>
      <w:lvlJc w:val="left"/>
      <w:pPr>
        <w:ind w:left="10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6A5A97"/>
    <w:multiLevelType w:val="hybridMultilevel"/>
    <w:tmpl w:val="E786B056"/>
    <w:lvl w:ilvl="0" w:tplc="D1426DC0">
      <w:start w:val="1"/>
      <w:numFmt w:val="lowerLetter"/>
      <w:lvlText w:val="%1)"/>
      <w:lvlJc w:val="left"/>
      <w:pPr>
        <w:ind w:left="465" w:hanging="405"/>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6DCE3E8E"/>
    <w:multiLevelType w:val="hybridMultilevel"/>
    <w:tmpl w:val="3B5CCA8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EAB72EC"/>
    <w:multiLevelType w:val="hybridMultilevel"/>
    <w:tmpl w:val="282C6964"/>
    <w:lvl w:ilvl="0" w:tplc="58D418C2">
      <w:start w:val="1"/>
      <w:numFmt w:val="lowerRoman"/>
      <w:lvlText w:val="%1."/>
      <w:lvlJc w:val="left"/>
      <w:pPr>
        <w:ind w:left="1440" w:hanging="72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0443B02"/>
    <w:multiLevelType w:val="hybridMultilevel"/>
    <w:tmpl w:val="DFB4C224"/>
    <w:lvl w:ilvl="0" w:tplc="6354E860">
      <w:start w:val="1"/>
      <w:numFmt w:val="lowerLetter"/>
      <w:lvlText w:val="(%1)"/>
      <w:lvlJc w:val="left"/>
      <w:pPr>
        <w:ind w:left="720" w:hanging="360"/>
      </w:pPr>
      <w:rPr>
        <w:rFonts w:ascii="Arial" w:eastAsia="Times New Roman" w:hAnsi="Arial" w:cs="Arial"/>
        <w:i w:val="0"/>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29B06A2"/>
    <w:multiLevelType w:val="multilevel"/>
    <w:tmpl w:val="7FF07FE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580A2E"/>
    <w:multiLevelType w:val="multilevel"/>
    <w:tmpl w:val="5F4666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D5B6873"/>
    <w:multiLevelType w:val="hybridMultilevel"/>
    <w:tmpl w:val="B924230E"/>
    <w:lvl w:ilvl="0" w:tplc="437A001E">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6" w15:restartNumberingAfterBreak="0">
    <w:nsid w:val="7EF41B67"/>
    <w:multiLevelType w:val="hybridMultilevel"/>
    <w:tmpl w:val="696E415C"/>
    <w:lvl w:ilvl="0" w:tplc="DDB2B90E">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24"/>
  </w:num>
  <w:num w:numId="2">
    <w:abstractNumId w:val="11"/>
  </w:num>
  <w:num w:numId="3">
    <w:abstractNumId w:val="3"/>
  </w:num>
  <w:num w:numId="4">
    <w:abstractNumId w:val="20"/>
  </w:num>
  <w:num w:numId="5">
    <w:abstractNumId w:val="0"/>
  </w:num>
  <w:num w:numId="6">
    <w:abstractNumId w:val="13"/>
  </w:num>
  <w:num w:numId="7">
    <w:abstractNumId w:val="19"/>
  </w:num>
  <w:num w:numId="8">
    <w:abstractNumId w:val="14"/>
  </w:num>
  <w:num w:numId="9">
    <w:abstractNumId w:val="2"/>
  </w:num>
  <w:num w:numId="10">
    <w:abstractNumId w:val="7"/>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6"/>
  </w:num>
  <w:num w:numId="15">
    <w:abstractNumId w:val="5"/>
  </w:num>
  <w:num w:numId="16">
    <w:abstractNumId w:val="23"/>
  </w:num>
  <w:num w:numId="17">
    <w:abstractNumId w:val="21"/>
  </w:num>
  <w:num w:numId="18">
    <w:abstractNumId w:val="16"/>
  </w:num>
  <w:num w:numId="19">
    <w:abstractNumId w:val="10"/>
  </w:num>
  <w:num w:numId="20">
    <w:abstractNumId w:val="8"/>
  </w:num>
  <w:num w:numId="21">
    <w:abstractNumId w:val="12"/>
  </w:num>
  <w:num w:numId="22">
    <w:abstractNumId w:val="17"/>
  </w:num>
  <w:num w:numId="23">
    <w:abstractNumId w:val="22"/>
  </w:num>
  <w:num w:numId="24">
    <w:abstractNumId w:val="15"/>
  </w:num>
  <w:num w:numId="25">
    <w:abstractNumId w:val="25"/>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C"/>
    <w:rsid w:val="00001512"/>
    <w:rsid w:val="000035DF"/>
    <w:rsid w:val="0000621E"/>
    <w:rsid w:val="00012D03"/>
    <w:rsid w:val="00012F69"/>
    <w:rsid w:val="000136F0"/>
    <w:rsid w:val="000173CA"/>
    <w:rsid w:val="000238B4"/>
    <w:rsid w:val="00032DC7"/>
    <w:rsid w:val="0005202E"/>
    <w:rsid w:val="00056562"/>
    <w:rsid w:val="0007044E"/>
    <w:rsid w:val="00073A91"/>
    <w:rsid w:val="00076F7C"/>
    <w:rsid w:val="00080CE1"/>
    <w:rsid w:val="00081424"/>
    <w:rsid w:val="00086739"/>
    <w:rsid w:val="00091DA2"/>
    <w:rsid w:val="00095559"/>
    <w:rsid w:val="000A2BCD"/>
    <w:rsid w:val="000B6480"/>
    <w:rsid w:val="000C2B56"/>
    <w:rsid w:val="000C4427"/>
    <w:rsid w:val="000C5CBB"/>
    <w:rsid w:val="000C658C"/>
    <w:rsid w:val="000D0C65"/>
    <w:rsid w:val="000D6BFC"/>
    <w:rsid w:val="000F4FBE"/>
    <w:rsid w:val="000F51B7"/>
    <w:rsid w:val="00110562"/>
    <w:rsid w:val="00121A48"/>
    <w:rsid w:val="001233B7"/>
    <w:rsid w:val="00130B41"/>
    <w:rsid w:val="00131B3D"/>
    <w:rsid w:val="00132E95"/>
    <w:rsid w:val="0014378A"/>
    <w:rsid w:val="0015282C"/>
    <w:rsid w:val="001741BE"/>
    <w:rsid w:val="00174A76"/>
    <w:rsid w:val="001760CE"/>
    <w:rsid w:val="0018286C"/>
    <w:rsid w:val="00184783"/>
    <w:rsid w:val="001B475A"/>
    <w:rsid w:val="001B7B70"/>
    <w:rsid w:val="001C69F9"/>
    <w:rsid w:val="001D211F"/>
    <w:rsid w:val="001D2957"/>
    <w:rsid w:val="001E233B"/>
    <w:rsid w:val="001E7BC7"/>
    <w:rsid w:val="001F23F9"/>
    <w:rsid w:val="002018FC"/>
    <w:rsid w:val="0020599F"/>
    <w:rsid w:val="0020684F"/>
    <w:rsid w:val="0020688D"/>
    <w:rsid w:val="00207DD7"/>
    <w:rsid w:val="00211413"/>
    <w:rsid w:val="00211F5A"/>
    <w:rsid w:val="002142E3"/>
    <w:rsid w:val="00225CC8"/>
    <w:rsid w:val="002329C8"/>
    <w:rsid w:val="002336CA"/>
    <w:rsid w:val="00241A43"/>
    <w:rsid w:val="00243066"/>
    <w:rsid w:val="00244EAB"/>
    <w:rsid w:val="002503BB"/>
    <w:rsid w:val="00250CF2"/>
    <w:rsid w:val="0025337B"/>
    <w:rsid w:val="00254C79"/>
    <w:rsid w:val="002635CD"/>
    <w:rsid w:val="00266B2C"/>
    <w:rsid w:val="002719FC"/>
    <w:rsid w:val="0027271D"/>
    <w:rsid w:val="002857FC"/>
    <w:rsid w:val="002A27BE"/>
    <w:rsid w:val="002A5917"/>
    <w:rsid w:val="002A7256"/>
    <w:rsid w:val="002B04CB"/>
    <w:rsid w:val="002C092E"/>
    <w:rsid w:val="002C3992"/>
    <w:rsid w:val="002C5C12"/>
    <w:rsid w:val="002D1601"/>
    <w:rsid w:val="002D1BEC"/>
    <w:rsid w:val="002E6547"/>
    <w:rsid w:val="002E7E57"/>
    <w:rsid w:val="002F2220"/>
    <w:rsid w:val="00310C54"/>
    <w:rsid w:val="00311E52"/>
    <w:rsid w:val="00317528"/>
    <w:rsid w:val="003221EF"/>
    <w:rsid w:val="00323673"/>
    <w:rsid w:val="00323D4D"/>
    <w:rsid w:val="00326CBD"/>
    <w:rsid w:val="00332EDB"/>
    <w:rsid w:val="00335F28"/>
    <w:rsid w:val="00340B83"/>
    <w:rsid w:val="0034104B"/>
    <w:rsid w:val="00366796"/>
    <w:rsid w:val="00367D79"/>
    <w:rsid w:val="00380008"/>
    <w:rsid w:val="00385411"/>
    <w:rsid w:val="003A34D0"/>
    <w:rsid w:val="003C6446"/>
    <w:rsid w:val="003D4362"/>
    <w:rsid w:val="003E140F"/>
    <w:rsid w:val="003E2167"/>
    <w:rsid w:val="003E7890"/>
    <w:rsid w:val="003F147D"/>
    <w:rsid w:val="003F30E8"/>
    <w:rsid w:val="00403AA7"/>
    <w:rsid w:val="004043FC"/>
    <w:rsid w:val="00407BF3"/>
    <w:rsid w:val="00417F44"/>
    <w:rsid w:val="004308A6"/>
    <w:rsid w:val="004337B9"/>
    <w:rsid w:val="00434F3E"/>
    <w:rsid w:val="00457974"/>
    <w:rsid w:val="0046001C"/>
    <w:rsid w:val="00464D93"/>
    <w:rsid w:val="00481908"/>
    <w:rsid w:val="004824A4"/>
    <w:rsid w:val="00492726"/>
    <w:rsid w:val="00496302"/>
    <w:rsid w:val="004A0B3A"/>
    <w:rsid w:val="004A1A18"/>
    <w:rsid w:val="004A2021"/>
    <w:rsid w:val="004A2D51"/>
    <w:rsid w:val="004B2067"/>
    <w:rsid w:val="004C58AE"/>
    <w:rsid w:val="004D06B8"/>
    <w:rsid w:val="004E37F9"/>
    <w:rsid w:val="004E3BCB"/>
    <w:rsid w:val="004F1392"/>
    <w:rsid w:val="004F2DB6"/>
    <w:rsid w:val="004F65C8"/>
    <w:rsid w:val="005128E7"/>
    <w:rsid w:val="00517F88"/>
    <w:rsid w:val="00521B56"/>
    <w:rsid w:val="00523A60"/>
    <w:rsid w:val="005455EC"/>
    <w:rsid w:val="00545EE8"/>
    <w:rsid w:val="00557AFE"/>
    <w:rsid w:val="005651D2"/>
    <w:rsid w:val="00565603"/>
    <w:rsid w:val="0057033D"/>
    <w:rsid w:val="0057251B"/>
    <w:rsid w:val="00586756"/>
    <w:rsid w:val="005944C5"/>
    <w:rsid w:val="00597A52"/>
    <w:rsid w:val="005A4129"/>
    <w:rsid w:val="005A58DE"/>
    <w:rsid w:val="005B105E"/>
    <w:rsid w:val="005B2159"/>
    <w:rsid w:val="005B6FE0"/>
    <w:rsid w:val="005B72DF"/>
    <w:rsid w:val="005D4509"/>
    <w:rsid w:val="005D5ACA"/>
    <w:rsid w:val="005E40D8"/>
    <w:rsid w:val="005F2ECE"/>
    <w:rsid w:val="005F60F6"/>
    <w:rsid w:val="005F75CF"/>
    <w:rsid w:val="005F7614"/>
    <w:rsid w:val="005F7EA1"/>
    <w:rsid w:val="00600836"/>
    <w:rsid w:val="006035BF"/>
    <w:rsid w:val="00630B36"/>
    <w:rsid w:val="0063459D"/>
    <w:rsid w:val="006364D6"/>
    <w:rsid w:val="00640269"/>
    <w:rsid w:val="00656018"/>
    <w:rsid w:val="00656C59"/>
    <w:rsid w:val="006619E9"/>
    <w:rsid w:val="00664950"/>
    <w:rsid w:val="0066693C"/>
    <w:rsid w:val="00670868"/>
    <w:rsid w:val="00674081"/>
    <w:rsid w:val="00685C34"/>
    <w:rsid w:val="006946B2"/>
    <w:rsid w:val="00697F2E"/>
    <w:rsid w:val="006A07DA"/>
    <w:rsid w:val="006A767B"/>
    <w:rsid w:val="006B6A7F"/>
    <w:rsid w:val="006C5D89"/>
    <w:rsid w:val="006D3686"/>
    <w:rsid w:val="006D5F85"/>
    <w:rsid w:val="006E7E42"/>
    <w:rsid w:val="007124A4"/>
    <w:rsid w:val="007152AA"/>
    <w:rsid w:val="00717384"/>
    <w:rsid w:val="00725123"/>
    <w:rsid w:val="0073038F"/>
    <w:rsid w:val="00735473"/>
    <w:rsid w:val="0074140F"/>
    <w:rsid w:val="00747975"/>
    <w:rsid w:val="007501BD"/>
    <w:rsid w:val="007520C0"/>
    <w:rsid w:val="00752AB1"/>
    <w:rsid w:val="007536A7"/>
    <w:rsid w:val="00775A2E"/>
    <w:rsid w:val="00775A5B"/>
    <w:rsid w:val="00793713"/>
    <w:rsid w:val="00793758"/>
    <w:rsid w:val="00796507"/>
    <w:rsid w:val="007A3AA7"/>
    <w:rsid w:val="007B5804"/>
    <w:rsid w:val="007C0340"/>
    <w:rsid w:val="007D25D0"/>
    <w:rsid w:val="007D5507"/>
    <w:rsid w:val="007E0E62"/>
    <w:rsid w:val="007E7259"/>
    <w:rsid w:val="007F0234"/>
    <w:rsid w:val="007F7175"/>
    <w:rsid w:val="00801828"/>
    <w:rsid w:val="008056C0"/>
    <w:rsid w:val="00807911"/>
    <w:rsid w:val="00814556"/>
    <w:rsid w:val="00820E80"/>
    <w:rsid w:val="008223BD"/>
    <w:rsid w:val="00825FC8"/>
    <w:rsid w:val="00832917"/>
    <w:rsid w:val="00832AAE"/>
    <w:rsid w:val="0086314B"/>
    <w:rsid w:val="00872CF4"/>
    <w:rsid w:val="008735E1"/>
    <w:rsid w:val="008760A8"/>
    <w:rsid w:val="00895D6B"/>
    <w:rsid w:val="008A2AE6"/>
    <w:rsid w:val="008B4223"/>
    <w:rsid w:val="008B4586"/>
    <w:rsid w:val="008B6AF5"/>
    <w:rsid w:val="008C3553"/>
    <w:rsid w:val="008C5484"/>
    <w:rsid w:val="008E0BA6"/>
    <w:rsid w:val="008E2D33"/>
    <w:rsid w:val="008F3F53"/>
    <w:rsid w:val="008F6747"/>
    <w:rsid w:val="0090144C"/>
    <w:rsid w:val="009017E0"/>
    <w:rsid w:val="00902659"/>
    <w:rsid w:val="00910455"/>
    <w:rsid w:val="00914DEF"/>
    <w:rsid w:val="00916520"/>
    <w:rsid w:val="00920A50"/>
    <w:rsid w:val="00920E7B"/>
    <w:rsid w:val="009223BC"/>
    <w:rsid w:val="00932EEC"/>
    <w:rsid w:val="009337FF"/>
    <w:rsid w:val="009343C7"/>
    <w:rsid w:val="009545B4"/>
    <w:rsid w:val="00955BD1"/>
    <w:rsid w:val="009577B2"/>
    <w:rsid w:val="00960758"/>
    <w:rsid w:val="009641B0"/>
    <w:rsid w:val="009713E4"/>
    <w:rsid w:val="00974890"/>
    <w:rsid w:val="009778BD"/>
    <w:rsid w:val="00983D01"/>
    <w:rsid w:val="0099740C"/>
    <w:rsid w:val="00997A9C"/>
    <w:rsid w:val="009A1899"/>
    <w:rsid w:val="009A6C0C"/>
    <w:rsid w:val="009B6661"/>
    <w:rsid w:val="009C00D8"/>
    <w:rsid w:val="009C0AEE"/>
    <w:rsid w:val="009C3E30"/>
    <w:rsid w:val="009E1CF0"/>
    <w:rsid w:val="009E45AC"/>
    <w:rsid w:val="009F0BB0"/>
    <w:rsid w:val="009F702D"/>
    <w:rsid w:val="009F7505"/>
    <w:rsid w:val="00A01AB9"/>
    <w:rsid w:val="00A02BA6"/>
    <w:rsid w:val="00A06AB7"/>
    <w:rsid w:val="00A11C4C"/>
    <w:rsid w:val="00A11D42"/>
    <w:rsid w:val="00A32544"/>
    <w:rsid w:val="00A353B3"/>
    <w:rsid w:val="00A529C0"/>
    <w:rsid w:val="00A60211"/>
    <w:rsid w:val="00A73014"/>
    <w:rsid w:val="00A82202"/>
    <w:rsid w:val="00AA68B1"/>
    <w:rsid w:val="00AB0C0C"/>
    <w:rsid w:val="00AC11BC"/>
    <w:rsid w:val="00AC615D"/>
    <w:rsid w:val="00AC7CD9"/>
    <w:rsid w:val="00AD1204"/>
    <w:rsid w:val="00AD58C6"/>
    <w:rsid w:val="00AD7B22"/>
    <w:rsid w:val="00AE3844"/>
    <w:rsid w:val="00AE53C8"/>
    <w:rsid w:val="00AE7C7F"/>
    <w:rsid w:val="00B066F0"/>
    <w:rsid w:val="00B1472D"/>
    <w:rsid w:val="00B15F01"/>
    <w:rsid w:val="00B21BCF"/>
    <w:rsid w:val="00B3756E"/>
    <w:rsid w:val="00B45E14"/>
    <w:rsid w:val="00B501CB"/>
    <w:rsid w:val="00B52B53"/>
    <w:rsid w:val="00B537B8"/>
    <w:rsid w:val="00B53F9A"/>
    <w:rsid w:val="00B7280F"/>
    <w:rsid w:val="00B73596"/>
    <w:rsid w:val="00B76235"/>
    <w:rsid w:val="00B85A57"/>
    <w:rsid w:val="00B87DCF"/>
    <w:rsid w:val="00B91368"/>
    <w:rsid w:val="00B94782"/>
    <w:rsid w:val="00BA2373"/>
    <w:rsid w:val="00BB72FE"/>
    <w:rsid w:val="00BC65A5"/>
    <w:rsid w:val="00BD499D"/>
    <w:rsid w:val="00BD50D2"/>
    <w:rsid w:val="00BF032B"/>
    <w:rsid w:val="00BF4E77"/>
    <w:rsid w:val="00C038D1"/>
    <w:rsid w:val="00C11F87"/>
    <w:rsid w:val="00C161DF"/>
    <w:rsid w:val="00C25C5D"/>
    <w:rsid w:val="00C60D45"/>
    <w:rsid w:val="00C643CE"/>
    <w:rsid w:val="00C72A02"/>
    <w:rsid w:val="00C76CEC"/>
    <w:rsid w:val="00C8048A"/>
    <w:rsid w:val="00C82FBB"/>
    <w:rsid w:val="00CA5D31"/>
    <w:rsid w:val="00CB29F1"/>
    <w:rsid w:val="00CC03AC"/>
    <w:rsid w:val="00CC3722"/>
    <w:rsid w:val="00CC5000"/>
    <w:rsid w:val="00CE626B"/>
    <w:rsid w:val="00CE7DBE"/>
    <w:rsid w:val="00CF5356"/>
    <w:rsid w:val="00D00BB5"/>
    <w:rsid w:val="00D12CE0"/>
    <w:rsid w:val="00D26E6A"/>
    <w:rsid w:val="00D30BF5"/>
    <w:rsid w:val="00D5086B"/>
    <w:rsid w:val="00D6201D"/>
    <w:rsid w:val="00D6530A"/>
    <w:rsid w:val="00D65D72"/>
    <w:rsid w:val="00D71282"/>
    <w:rsid w:val="00D7425C"/>
    <w:rsid w:val="00D76BCC"/>
    <w:rsid w:val="00D803A4"/>
    <w:rsid w:val="00D97CC0"/>
    <w:rsid w:val="00DA5BF6"/>
    <w:rsid w:val="00DB12CD"/>
    <w:rsid w:val="00DC023F"/>
    <w:rsid w:val="00DC2B9E"/>
    <w:rsid w:val="00DC3B6E"/>
    <w:rsid w:val="00DC7440"/>
    <w:rsid w:val="00DC7470"/>
    <w:rsid w:val="00DC79DD"/>
    <w:rsid w:val="00DE1637"/>
    <w:rsid w:val="00DE62BA"/>
    <w:rsid w:val="00E008FC"/>
    <w:rsid w:val="00E05889"/>
    <w:rsid w:val="00E111D9"/>
    <w:rsid w:val="00E132C1"/>
    <w:rsid w:val="00E144D8"/>
    <w:rsid w:val="00E16A88"/>
    <w:rsid w:val="00E31A09"/>
    <w:rsid w:val="00E34E2B"/>
    <w:rsid w:val="00E41463"/>
    <w:rsid w:val="00E430E2"/>
    <w:rsid w:val="00E4328F"/>
    <w:rsid w:val="00E55742"/>
    <w:rsid w:val="00E56CF9"/>
    <w:rsid w:val="00E60883"/>
    <w:rsid w:val="00E65904"/>
    <w:rsid w:val="00E66C9E"/>
    <w:rsid w:val="00E67DED"/>
    <w:rsid w:val="00E85188"/>
    <w:rsid w:val="00E932B9"/>
    <w:rsid w:val="00E96A55"/>
    <w:rsid w:val="00EA06C2"/>
    <w:rsid w:val="00EA5542"/>
    <w:rsid w:val="00EA68EC"/>
    <w:rsid w:val="00EB023D"/>
    <w:rsid w:val="00EB32F9"/>
    <w:rsid w:val="00EC3056"/>
    <w:rsid w:val="00EC5B4C"/>
    <w:rsid w:val="00EC7043"/>
    <w:rsid w:val="00EC75F2"/>
    <w:rsid w:val="00ED232A"/>
    <w:rsid w:val="00EF0E65"/>
    <w:rsid w:val="00EF12FD"/>
    <w:rsid w:val="00EF5BBC"/>
    <w:rsid w:val="00F017E5"/>
    <w:rsid w:val="00F20270"/>
    <w:rsid w:val="00F24AE1"/>
    <w:rsid w:val="00F30B8A"/>
    <w:rsid w:val="00F34071"/>
    <w:rsid w:val="00F40752"/>
    <w:rsid w:val="00F45FD6"/>
    <w:rsid w:val="00F5407C"/>
    <w:rsid w:val="00F62731"/>
    <w:rsid w:val="00F63852"/>
    <w:rsid w:val="00F6513D"/>
    <w:rsid w:val="00F66D01"/>
    <w:rsid w:val="00F66D2F"/>
    <w:rsid w:val="00F66F01"/>
    <w:rsid w:val="00F67403"/>
    <w:rsid w:val="00F67849"/>
    <w:rsid w:val="00F7148B"/>
    <w:rsid w:val="00F75D57"/>
    <w:rsid w:val="00F847B6"/>
    <w:rsid w:val="00F919EC"/>
    <w:rsid w:val="00FB790E"/>
    <w:rsid w:val="00FC0BD4"/>
    <w:rsid w:val="00FC628B"/>
    <w:rsid w:val="00FD5879"/>
    <w:rsid w:val="00FD79F0"/>
    <w:rsid w:val="00FE6D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AEA7"/>
  <w15:docId w15:val="{E0DDB32B-3D56-4A0A-B65B-116F97A9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BEC"/>
  </w:style>
  <w:style w:type="paragraph" w:styleId="Heading1">
    <w:name w:val="heading 1"/>
    <w:basedOn w:val="Normal"/>
    <w:next w:val="Normal"/>
    <w:link w:val="Heading1Char"/>
    <w:uiPriority w:val="9"/>
    <w:qFormat/>
    <w:rsid w:val="00F6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0B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2D1B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aliases w:val="-E Fußnotenzeichen,Footnotes refss,Footnote Reference + Superscript,(NECG) Footnote Reference,Appel note de bas de page,Ref,de nota al pie,註腳內容"/>
    <w:basedOn w:val="DefaultParagraphFont"/>
    <w:uiPriority w:val="99"/>
    <w:unhideWhenUsed/>
    <w:qFormat/>
    <w:rsid w:val="002D1BEC"/>
    <w:rPr>
      <w:vertAlign w:val="superscript"/>
    </w:rPr>
  </w:style>
  <w:style w:type="paragraph" w:styleId="NormalWeb">
    <w:name w:val="Normal (Web)"/>
    <w:basedOn w:val="Normal"/>
    <w:uiPriority w:val="99"/>
    <w:unhideWhenUsed/>
    <w:rsid w:val="002D1B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B475A"/>
    <w:rPr>
      <w:color w:val="0000FF"/>
      <w:u w:val="single"/>
    </w:rPr>
  </w:style>
  <w:style w:type="paragraph" w:styleId="FootnoteText">
    <w:name w:val="footnote text"/>
    <w:aliases w:val="HCR: - Footnote text,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qFormat/>
    <w:rsid w:val="00492726"/>
    <w:pPr>
      <w:spacing w:after="0" w:line="240" w:lineRule="auto"/>
    </w:pPr>
    <w:rPr>
      <w:sz w:val="20"/>
      <w:szCs w:val="20"/>
    </w:rPr>
  </w:style>
  <w:style w:type="character" w:customStyle="1" w:styleId="FootnoteTextChar">
    <w:name w:val="Footnote Text Char"/>
    <w:aliases w:val="HCR: - Footnote text Char,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492726"/>
    <w:rPr>
      <w:sz w:val="20"/>
      <w:szCs w:val="20"/>
    </w:rPr>
  </w:style>
  <w:style w:type="character" w:styleId="Emphasis">
    <w:name w:val="Emphasis"/>
    <w:basedOn w:val="DefaultParagraphFont"/>
    <w:uiPriority w:val="20"/>
    <w:qFormat/>
    <w:rsid w:val="0000621E"/>
    <w:rPr>
      <w:i/>
      <w:iCs/>
    </w:rPr>
  </w:style>
  <w:style w:type="paragraph" w:styleId="Header">
    <w:name w:val="header"/>
    <w:basedOn w:val="Normal"/>
    <w:link w:val="HeaderChar"/>
    <w:uiPriority w:val="99"/>
    <w:unhideWhenUsed/>
    <w:rsid w:val="00C80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48A"/>
  </w:style>
  <w:style w:type="paragraph" w:styleId="Footer">
    <w:name w:val="footer"/>
    <w:basedOn w:val="Normal"/>
    <w:link w:val="FooterChar"/>
    <w:uiPriority w:val="99"/>
    <w:unhideWhenUsed/>
    <w:rsid w:val="00C80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48A"/>
  </w:style>
  <w:style w:type="character" w:customStyle="1" w:styleId="Heading2Char">
    <w:name w:val="Heading 2 Char"/>
    <w:basedOn w:val="DefaultParagraphFont"/>
    <w:link w:val="Heading2"/>
    <w:uiPriority w:val="9"/>
    <w:rsid w:val="00F30B8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5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AFE"/>
    <w:rPr>
      <w:rFonts w:ascii="Tahoma" w:hAnsi="Tahoma" w:cs="Tahoma"/>
      <w:sz w:val="16"/>
      <w:szCs w:val="16"/>
    </w:rPr>
  </w:style>
  <w:style w:type="paragraph" w:styleId="BodyText">
    <w:name w:val="Body Text"/>
    <w:basedOn w:val="Normal"/>
    <w:link w:val="BodyTextChar"/>
    <w:rsid w:val="004F1392"/>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F139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66D2F"/>
    <w:pPr>
      <w:spacing w:after="0" w:line="240" w:lineRule="auto"/>
      <w:ind w:left="720"/>
    </w:pPr>
    <w:rPr>
      <w:rFonts w:ascii="Lucida Bright" w:eastAsia="Times New Roman" w:hAnsi="Lucida Bright" w:cs="Times New Roman"/>
      <w:sz w:val="24"/>
      <w:szCs w:val="24"/>
      <w:lang w:val="en-US"/>
    </w:rPr>
  </w:style>
  <w:style w:type="character" w:customStyle="1" w:styleId="Heading1Char">
    <w:name w:val="Heading 1 Char"/>
    <w:basedOn w:val="DefaultParagraphFont"/>
    <w:link w:val="Heading1"/>
    <w:uiPriority w:val="9"/>
    <w:rsid w:val="00F6784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30BF5"/>
    <w:rPr>
      <w:sz w:val="16"/>
      <w:szCs w:val="16"/>
    </w:rPr>
  </w:style>
  <w:style w:type="paragraph" w:styleId="CommentText">
    <w:name w:val="annotation text"/>
    <w:basedOn w:val="Normal"/>
    <w:link w:val="CommentTextChar"/>
    <w:uiPriority w:val="99"/>
    <w:semiHidden/>
    <w:unhideWhenUsed/>
    <w:rsid w:val="00D30BF5"/>
    <w:pPr>
      <w:spacing w:line="240" w:lineRule="auto"/>
    </w:pPr>
    <w:rPr>
      <w:sz w:val="20"/>
      <w:szCs w:val="20"/>
    </w:rPr>
  </w:style>
  <w:style w:type="character" w:customStyle="1" w:styleId="CommentTextChar">
    <w:name w:val="Comment Text Char"/>
    <w:basedOn w:val="DefaultParagraphFont"/>
    <w:link w:val="CommentText"/>
    <w:uiPriority w:val="99"/>
    <w:semiHidden/>
    <w:rsid w:val="00D30BF5"/>
    <w:rPr>
      <w:sz w:val="20"/>
      <w:szCs w:val="20"/>
    </w:rPr>
  </w:style>
  <w:style w:type="paragraph" w:styleId="CommentSubject">
    <w:name w:val="annotation subject"/>
    <w:basedOn w:val="CommentText"/>
    <w:next w:val="CommentText"/>
    <w:link w:val="CommentSubjectChar"/>
    <w:uiPriority w:val="99"/>
    <w:semiHidden/>
    <w:unhideWhenUsed/>
    <w:rsid w:val="00D30BF5"/>
    <w:rPr>
      <w:b/>
      <w:bCs/>
    </w:rPr>
  </w:style>
  <w:style w:type="character" w:customStyle="1" w:styleId="CommentSubjectChar">
    <w:name w:val="Comment Subject Char"/>
    <w:basedOn w:val="CommentTextChar"/>
    <w:link w:val="CommentSubject"/>
    <w:uiPriority w:val="99"/>
    <w:semiHidden/>
    <w:rsid w:val="00D30B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0043">
      <w:bodyDiv w:val="1"/>
      <w:marLeft w:val="0"/>
      <w:marRight w:val="0"/>
      <w:marTop w:val="0"/>
      <w:marBottom w:val="0"/>
      <w:divBdr>
        <w:top w:val="none" w:sz="0" w:space="0" w:color="auto"/>
        <w:left w:val="none" w:sz="0" w:space="0" w:color="auto"/>
        <w:bottom w:val="none" w:sz="0" w:space="0" w:color="auto"/>
        <w:right w:val="none" w:sz="0" w:space="0" w:color="auto"/>
      </w:divBdr>
    </w:div>
    <w:div w:id="139663233">
      <w:bodyDiv w:val="1"/>
      <w:marLeft w:val="0"/>
      <w:marRight w:val="0"/>
      <w:marTop w:val="0"/>
      <w:marBottom w:val="0"/>
      <w:divBdr>
        <w:top w:val="none" w:sz="0" w:space="0" w:color="auto"/>
        <w:left w:val="none" w:sz="0" w:space="0" w:color="auto"/>
        <w:bottom w:val="none" w:sz="0" w:space="0" w:color="auto"/>
        <w:right w:val="none" w:sz="0" w:space="0" w:color="auto"/>
      </w:divBdr>
    </w:div>
    <w:div w:id="164366492">
      <w:bodyDiv w:val="1"/>
      <w:marLeft w:val="0"/>
      <w:marRight w:val="0"/>
      <w:marTop w:val="0"/>
      <w:marBottom w:val="0"/>
      <w:divBdr>
        <w:top w:val="none" w:sz="0" w:space="0" w:color="auto"/>
        <w:left w:val="none" w:sz="0" w:space="0" w:color="auto"/>
        <w:bottom w:val="none" w:sz="0" w:space="0" w:color="auto"/>
        <w:right w:val="none" w:sz="0" w:space="0" w:color="auto"/>
      </w:divBdr>
    </w:div>
    <w:div w:id="183833344">
      <w:bodyDiv w:val="1"/>
      <w:marLeft w:val="0"/>
      <w:marRight w:val="0"/>
      <w:marTop w:val="0"/>
      <w:marBottom w:val="0"/>
      <w:divBdr>
        <w:top w:val="none" w:sz="0" w:space="0" w:color="auto"/>
        <w:left w:val="none" w:sz="0" w:space="0" w:color="auto"/>
        <w:bottom w:val="none" w:sz="0" w:space="0" w:color="auto"/>
        <w:right w:val="none" w:sz="0" w:space="0" w:color="auto"/>
      </w:divBdr>
    </w:div>
    <w:div w:id="349376074">
      <w:bodyDiv w:val="1"/>
      <w:marLeft w:val="0"/>
      <w:marRight w:val="0"/>
      <w:marTop w:val="0"/>
      <w:marBottom w:val="0"/>
      <w:divBdr>
        <w:top w:val="none" w:sz="0" w:space="0" w:color="auto"/>
        <w:left w:val="none" w:sz="0" w:space="0" w:color="auto"/>
        <w:bottom w:val="none" w:sz="0" w:space="0" w:color="auto"/>
        <w:right w:val="none" w:sz="0" w:space="0" w:color="auto"/>
      </w:divBdr>
    </w:div>
    <w:div w:id="357199826">
      <w:bodyDiv w:val="1"/>
      <w:marLeft w:val="0"/>
      <w:marRight w:val="0"/>
      <w:marTop w:val="0"/>
      <w:marBottom w:val="0"/>
      <w:divBdr>
        <w:top w:val="none" w:sz="0" w:space="0" w:color="auto"/>
        <w:left w:val="none" w:sz="0" w:space="0" w:color="auto"/>
        <w:bottom w:val="none" w:sz="0" w:space="0" w:color="auto"/>
        <w:right w:val="none" w:sz="0" w:space="0" w:color="auto"/>
      </w:divBdr>
    </w:div>
    <w:div w:id="444816461">
      <w:bodyDiv w:val="1"/>
      <w:marLeft w:val="0"/>
      <w:marRight w:val="0"/>
      <w:marTop w:val="0"/>
      <w:marBottom w:val="0"/>
      <w:divBdr>
        <w:top w:val="none" w:sz="0" w:space="0" w:color="auto"/>
        <w:left w:val="none" w:sz="0" w:space="0" w:color="auto"/>
        <w:bottom w:val="none" w:sz="0" w:space="0" w:color="auto"/>
        <w:right w:val="none" w:sz="0" w:space="0" w:color="auto"/>
      </w:divBdr>
    </w:div>
    <w:div w:id="689575055">
      <w:bodyDiv w:val="1"/>
      <w:marLeft w:val="0"/>
      <w:marRight w:val="0"/>
      <w:marTop w:val="0"/>
      <w:marBottom w:val="0"/>
      <w:divBdr>
        <w:top w:val="none" w:sz="0" w:space="0" w:color="auto"/>
        <w:left w:val="none" w:sz="0" w:space="0" w:color="auto"/>
        <w:bottom w:val="none" w:sz="0" w:space="0" w:color="auto"/>
        <w:right w:val="none" w:sz="0" w:space="0" w:color="auto"/>
      </w:divBdr>
    </w:div>
    <w:div w:id="919867720">
      <w:bodyDiv w:val="1"/>
      <w:marLeft w:val="0"/>
      <w:marRight w:val="0"/>
      <w:marTop w:val="0"/>
      <w:marBottom w:val="0"/>
      <w:divBdr>
        <w:top w:val="none" w:sz="0" w:space="0" w:color="auto"/>
        <w:left w:val="none" w:sz="0" w:space="0" w:color="auto"/>
        <w:bottom w:val="none" w:sz="0" w:space="0" w:color="auto"/>
        <w:right w:val="none" w:sz="0" w:space="0" w:color="auto"/>
      </w:divBdr>
    </w:div>
    <w:div w:id="978995717">
      <w:bodyDiv w:val="1"/>
      <w:marLeft w:val="0"/>
      <w:marRight w:val="0"/>
      <w:marTop w:val="0"/>
      <w:marBottom w:val="0"/>
      <w:divBdr>
        <w:top w:val="none" w:sz="0" w:space="0" w:color="auto"/>
        <w:left w:val="none" w:sz="0" w:space="0" w:color="auto"/>
        <w:bottom w:val="none" w:sz="0" w:space="0" w:color="auto"/>
        <w:right w:val="none" w:sz="0" w:space="0" w:color="auto"/>
      </w:divBdr>
    </w:div>
    <w:div w:id="999693075">
      <w:bodyDiv w:val="1"/>
      <w:marLeft w:val="0"/>
      <w:marRight w:val="0"/>
      <w:marTop w:val="0"/>
      <w:marBottom w:val="0"/>
      <w:divBdr>
        <w:top w:val="none" w:sz="0" w:space="0" w:color="auto"/>
        <w:left w:val="none" w:sz="0" w:space="0" w:color="auto"/>
        <w:bottom w:val="none" w:sz="0" w:space="0" w:color="auto"/>
        <w:right w:val="none" w:sz="0" w:space="0" w:color="auto"/>
      </w:divBdr>
    </w:div>
    <w:div w:id="1017660807">
      <w:bodyDiv w:val="1"/>
      <w:marLeft w:val="0"/>
      <w:marRight w:val="0"/>
      <w:marTop w:val="0"/>
      <w:marBottom w:val="0"/>
      <w:divBdr>
        <w:top w:val="none" w:sz="0" w:space="0" w:color="auto"/>
        <w:left w:val="none" w:sz="0" w:space="0" w:color="auto"/>
        <w:bottom w:val="none" w:sz="0" w:space="0" w:color="auto"/>
        <w:right w:val="none" w:sz="0" w:space="0" w:color="auto"/>
      </w:divBdr>
    </w:div>
    <w:div w:id="1037850300">
      <w:bodyDiv w:val="1"/>
      <w:marLeft w:val="0"/>
      <w:marRight w:val="0"/>
      <w:marTop w:val="0"/>
      <w:marBottom w:val="0"/>
      <w:divBdr>
        <w:top w:val="none" w:sz="0" w:space="0" w:color="auto"/>
        <w:left w:val="none" w:sz="0" w:space="0" w:color="auto"/>
        <w:bottom w:val="none" w:sz="0" w:space="0" w:color="auto"/>
        <w:right w:val="none" w:sz="0" w:space="0" w:color="auto"/>
      </w:divBdr>
    </w:div>
    <w:div w:id="1080447924">
      <w:bodyDiv w:val="1"/>
      <w:marLeft w:val="0"/>
      <w:marRight w:val="0"/>
      <w:marTop w:val="0"/>
      <w:marBottom w:val="0"/>
      <w:divBdr>
        <w:top w:val="none" w:sz="0" w:space="0" w:color="auto"/>
        <w:left w:val="none" w:sz="0" w:space="0" w:color="auto"/>
        <w:bottom w:val="none" w:sz="0" w:space="0" w:color="auto"/>
        <w:right w:val="none" w:sz="0" w:space="0" w:color="auto"/>
      </w:divBdr>
    </w:div>
    <w:div w:id="1089034907">
      <w:bodyDiv w:val="1"/>
      <w:marLeft w:val="0"/>
      <w:marRight w:val="0"/>
      <w:marTop w:val="0"/>
      <w:marBottom w:val="0"/>
      <w:divBdr>
        <w:top w:val="none" w:sz="0" w:space="0" w:color="auto"/>
        <w:left w:val="none" w:sz="0" w:space="0" w:color="auto"/>
        <w:bottom w:val="none" w:sz="0" w:space="0" w:color="auto"/>
        <w:right w:val="none" w:sz="0" w:space="0" w:color="auto"/>
      </w:divBdr>
    </w:div>
    <w:div w:id="1221598481">
      <w:bodyDiv w:val="1"/>
      <w:marLeft w:val="0"/>
      <w:marRight w:val="0"/>
      <w:marTop w:val="0"/>
      <w:marBottom w:val="0"/>
      <w:divBdr>
        <w:top w:val="none" w:sz="0" w:space="0" w:color="auto"/>
        <w:left w:val="none" w:sz="0" w:space="0" w:color="auto"/>
        <w:bottom w:val="none" w:sz="0" w:space="0" w:color="auto"/>
        <w:right w:val="none" w:sz="0" w:space="0" w:color="auto"/>
      </w:divBdr>
    </w:div>
    <w:div w:id="1346443168">
      <w:bodyDiv w:val="1"/>
      <w:marLeft w:val="0"/>
      <w:marRight w:val="0"/>
      <w:marTop w:val="0"/>
      <w:marBottom w:val="0"/>
      <w:divBdr>
        <w:top w:val="none" w:sz="0" w:space="0" w:color="auto"/>
        <w:left w:val="none" w:sz="0" w:space="0" w:color="auto"/>
        <w:bottom w:val="none" w:sz="0" w:space="0" w:color="auto"/>
        <w:right w:val="none" w:sz="0" w:space="0" w:color="auto"/>
      </w:divBdr>
    </w:div>
    <w:div w:id="1551192104">
      <w:bodyDiv w:val="1"/>
      <w:marLeft w:val="0"/>
      <w:marRight w:val="0"/>
      <w:marTop w:val="0"/>
      <w:marBottom w:val="0"/>
      <w:divBdr>
        <w:top w:val="none" w:sz="0" w:space="0" w:color="auto"/>
        <w:left w:val="none" w:sz="0" w:space="0" w:color="auto"/>
        <w:bottom w:val="none" w:sz="0" w:space="0" w:color="auto"/>
        <w:right w:val="none" w:sz="0" w:space="0" w:color="auto"/>
      </w:divBdr>
    </w:div>
    <w:div w:id="1624924201">
      <w:bodyDiv w:val="1"/>
      <w:marLeft w:val="0"/>
      <w:marRight w:val="0"/>
      <w:marTop w:val="0"/>
      <w:marBottom w:val="0"/>
      <w:divBdr>
        <w:top w:val="none" w:sz="0" w:space="0" w:color="auto"/>
        <w:left w:val="none" w:sz="0" w:space="0" w:color="auto"/>
        <w:bottom w:val="none" w:sz="0" w:space="0" w:color="auto"/>
        <w:right w:val="none" w:sz="0" w:space="0" w:color="auto"/>
      </w:divBdr>
    </w:div>
    <w:div w:id="1674917786">
      <w:bodyDiv w:val="1"/>
      <w:marLeft w:val="0"/>
      <w:marRight w:val="0"/>
      <w:marTop w:val="0"/>
      <w:marBottom w:val="0"/>
      <w:divBdr>
        <w:top w:val="none" w:sz="0" w:space="0" w:color="auto"/>
        <w:left w:val="none" w:sz="0" w:space="0" w:color="auto"/>
        <w:bottom w:val="none" w:sz="0" w:space="0" w:color="auto"/>
        <w:right w:val="none" w:sz="0" w:space="0" w:color="auto"/>
      </w:divBdr>
    </w:div>
    <w:div w:id="1723602391">
      <w:bodyDiv w:val="1"/>
      <w:marLeft w:val="0"/>
      <w:marRight w:val="0"/>
      <w:marTop w:val="0"/>
      <w:marBottom w:val="0"/>
      <w:divBdr>
        <w:top w:val="none" w:sz="0" w:space="0" w:color="auto"/>
        <w:left w:val="none" w:sz="0" w:space="0" w:color="auto"/>
        <w:bottom w:val="none" w:sz="0" w:space="0" w:color="auto"/>
        <w:right w:val="none" w:sz="0" w:space="0" w:color="auto"/>
      </w:divBdr>
    </w:div>
    <w:div w:id="19516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2022-10-20T18:30:00+00:00</Judgment_x0020_Date>
    <Year xmlns="aec0a7e9-5f5c-4ba9-87b2-85cfc8a38b86">2022</Year>
  </documentManagement>
</p:properties>
</file>

<file path=customXml/itemProps1.xml><?xml version="1.0" encoding="utf-8"?>
<ds:datastoreItem xmlns:ds="http://schemas.openxmlformats.org/officeDocument/2006/customXml" ds:itemID="{D10DCE93-8090-4F67-9BB6-8D341BDE00F0}"/>
</file>

<file path=customXml/itemProps2.xml><?xml version="1.0" encoding="utf-8"?>
<ds:datastoreItem xmlns:ds="http://schemas.openxmlformats.org/officeDocument/2006/customXml" ds:itemID="{0E475BB6-D604-43AD-B49D-DF93CBA62FD9}"/>
</file>

<file path=customXml/itemProps3.xml><?xml version="1.0" encoding="utf-8"?>
<ds:datastoreItem xmlns:ds="http://schemas.openxmlformats.org/officeDocument/2006/customXml" ds:itemID="{6293CACC-E2E3-4B7A-99C2-81B49AE12A77}"/>
</file>

<file path=customXml/itemProps4.xml><?xml version="1.0" encoding="utf-8"?>
<ds:datastoreItem xmlns:ds="http://schemas.openxmlformats.org/officeDocument/2006/customXml" ds:itemID="{EA87F134-CA4A-4BC0-B45C-6B41E95CE82E}"/>
</file>

<file path=docProps/app.xml><?xml version="1.0" encoding="utf-8"?>
<Properties xmlns="http://schemas.openxmlformats.org/officeDocument/2006/extended-properties" xmlns:vt="http://schemas.openxmlformats.org/officeDocument/2006/docPropsVTypes">
  <Template>Normal</Template>
  <TotalTime>1356</TotalTime>
  <Pages>21</Pages>
  <Words>5397</Words>
  <Characters>30765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QKR Namibia Navachab Gold Mine (Pty) Ltd v Kwala (HC-MD-LAB-APP-AAA-2022-00010) [2022] NALCMD 64 (21 October 2022)</dc:title>
  <dc:creator>Philanda Christiaan</dc:creator>
  <cp:lastModifiedBy>Kandi N.H. Karlus</cp:lastModifiedBy>
  <cp:revision>17</cp:revision>
  <cp:lastPrinted>2022-10-28T09:49:00Z</cp:lastPrinted>
  <dcterms:created xsi:type="dcterms:W3CDTF">2022-10-22T12:41:00Z</dcterms:created>
  <dcterms:modified xsi:type="dcterms:W3CDTF">2022-10-28T14:01:00Z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