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 xml:space="preserve">IN THE </w:t>
      </w:r>
      <w:r w:rsidR="00A779DE">
        <w:rPr>
          <w:rFonts w:ascii="Arial" w:hAnsi="Arial" w:cs="Arial"/>
          <w:b/>
          <w:sz w:val="24"/>
          <w:szCs w:val="24"/>
          <w:lang w:val="en-US"/>
        </w:rPr>
        <w:t>LABOUR</w:t>
      </w:r>
      <w:r w:rsidRPr="008F189E">
        <w:rPr>
          <w:rFonts w:ascii="Arial" w:hAnsi="Arial" w:cs="Arial"/>
          <w:b/>
          <w:sz w:val="24"/>
          <w:szCs w:val="24"/>
          <w:lang w:val="en-US"/>
        </w:rPr>
        <w:t xml:space="preserve"> COURT OF NAMIBIA, MAIN DIVISION, WINDHOEK</w:t>
      </w:r>
    </w:p>
    <w:p w:rsidR="008F189E" w:rsidRPr="006427DF" w:rsidRDefault="008F189E" w:rsidP="007F0C90">
      <w:pPr>
        <w:spacing w:after="0" w:line="360" w:lineRule="auto"/>
        <w:jc w:val="center"/>
        <w:rPr>
          <w:rFonts w:ascii="Arial" w:hAnsi="Arial" w:cs="Arial"/>
          <w:b/>
          <w:sz w:val="24"/>
          <w:szCs w:val="24"/>
        </w:rPr>
      </w:pPr>
      <w:r w:rsidRPr="006427DF">
        <w:rPr>
          <w:rFonts w:ascii="Arial" w:hAnsi="Arial" w:cs="Arial"/>
          <w:b/>
          <w:sz w:val="24"/>
          <w:szCs w:val="24"/>
        </w:rPr>
        <w:t>RULING IN TERMS OF PRACTICE DIRECTI</w:t>
      </w:r>
      <w:r w:rsidR="00127B6D" w:rsidRPr="006427DF">
        <w:rPr>
          <w:rFonts w:ascii="Arial" w:hAnsi="Arial" w:cs="Arial"/>
          <w:b/>
          <w:sz w:val="24"/>
          <w:szCs w:val="24"/>
        </w:rPr>
        <w:t>ON</w:t>
      </w:r>
      <w:r w:rsidRPr="006427DF">
        <w:rPr>
          <w:rFonts w:ascii="Arial" w:hAnsi="Arial" w:cs="Arial"/>
          <w:b/>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2F3F5B" w:rsidRPr="002F3F5B" w:rsidRDefault="002F3F5B" w:rsidP="002F3F5B">
            <w:pPr>
              <w:spacing w:after="160" w:line="259" w:lineRule="auto"/>
              <w:rPr>
                <w:rFonts w:ascii="Arial" w:hAnsi="Arial" w:cs="Arial"/>
                <w:sz w:val="24"/>
                <w:szCs w:val="24"/>
              </w:rPr>
            </w:pPr>
          </w:p>
          <w:p w:rsidR="002F3F5B" w:rsidRPr="002F3F5B" w:rsidRDefault="002F3F5B" w:rsidP="002F3F5B">
            <w:pPr>
              <w:spacing w:after="160" w:line="259" w:lineRule="auto"/>
              <w:rPr>
                <w:rFonts w:ascii="Arial" w:hAnsi="Arial" w:cs="Arial"/>
                <w:sz w:val="24"/>
                <w:szCs w:val="24"/>
              </w:rPr>
            </w:pPr>
            <w:r w:rsidRPr="002F3F5B">
              <w:rPr>
                <w:rFonts w:ascii="Arial" w:hAnsi="Arial" w:cs="Arial"/>
                <w:sz w:val="24"/>
                <w:szCs w:val="24"/>
              </w:rPr>
              <w:t>Jan Frederick Jobs</w:t>
            </w:r>
            <w:r w:rsidRPr="002F3F5B">
              <w:rPr>
                <w:rFonts w:ascii="Arial" w:hAnsi="Arial" w:cs="Arial"/>
                <w:sz w:val="24"/>
                <w:szCs w:val="24"/>
              </w:rPr>
              <w:tab/>
            </w:r>
            <w:r w:rsidRPr="002F3F5B">
              <w:rPr>
                <w:rFonts w:ascii="Arial" w:hAnsi="Arial" w:cs="Arial"/>
                <w:sz w:val="24"/>
                <w:szCs w:val="24"/>
              </w:rPr>
              <w:tab/>
            </w:r>
            <w:r w:rsidRPr="002F3F5B">
              <w:rPr>
                <w:rFonts w:ascii="Arial" w:hAnsi="Arial" w:cs="Arial"/>
                <w:sz w:val="24"/>
                <w:szCs w:val="24"/>
              </w:rPr>
              <w:tab/>
            </w:r>
            <w:r w:rsidRPr="002F3F5B">
              <w:rPr>
                <w:rFonts w:ascii="Arial" w:hAnsi="Arial" w:cs="Arial"/>
                <w:sz w:val="24"/>
                <w:szCs w:val="24"/>
              </w:rPr>
              <w:tab/>
            </w:r>
            <w:r w:rsidRPr="002F3F5B">
              <w:rPr>
                <w:rFonts w:ascii="Arial" w:eastAsia="Arial Unicode MS" w:hAnsi="Arial" w:cs="Arial"/>
                <w:color w:val="000000"/>
                <w:sz w:val="24"/>
                <w:szCs w:val="24"/>
                <w:lang w:eastAsia="en-ZA"/>
              </w:rPr>
              <w:tab/>
            </w:r>
            <w:r>
              <w:rPr>
                <w:rFonts w:ascii="Arial" w:eastAsia="Arial Unicode MS" w:hAnsi="Arial" w:cs="Arial"/>
                <w:color w:val="000000"/>
                <w:sz w:val="24"/>
                <w:szCs w:val="24"/>
                <w:lang w:eastAsia="en-ZA"/>
              </w:rPr>
              <w:t xml:space="preserve">  </w:t>
            </w:r>
            <w:r w:rsidRPr="002F3F5B">
              <w:rPr>
                <w:rFonts w:ascii="Arial" w:hAnsi="Arial" w:cs="Arial"/>
                <w:sz w:val="24"/>
                <w:szCs w:val="24"/>
              </w:rPr>
              <w:t>Applicant</w:t>
            </w:r>
          </w:p>
          <w:p w:rsidR="004D5728" w:rsidRPr="002F3F5B" w:rsidRDefault="004D5728" w:rsidP="007F0C90">
            <w:pPr>
              <w:spacing w:after="0" w:line="360" w:lineRule="auto"/>
              <w:ind w:left="48" w:hanging="10"/>
              <w:jc w:val="both"/>
              <w:rPr>
                <w:rFonts w:ascii="Arial" w:eastAsia="Arial Unicode MS" w:hAnsi="Arial" w:cs="Arial"/>
                <w:color w:val="000000"/>
                <w:sz w:val="24"/>
                <w:szCs w:val="24"/>
                <w:lang w:eastAsia="en-ZA"/>
              </w:rPr>
            </w:pPr>
          </w:p>
          <w:p w:rsidR="00054921" w:rsidRPr="002F3F5B" w:rsidRDefault="00054921" w:rsidP="007F0C90">
            <w:pPr>
              <w:spacing w:after="0" w:line="360" w:lineRule="auto"/>
              <w:ind w:left="48" w:hanging="10"/>
              <w:jc w:val="both"/>
              <w:rPr>
                <w:rFonts w:ascii="Arial" w:eastAsia="Calibri" w:hAnsi="Arial" w:cs="Arial"/>
                <w:color w:val="000000"/>
                <w:sz w:val="24"/>
                <w:szCs w:val="24"/>
                <w:lang w:eastAsia="en-ZA"/>
              </w:rPr>
            </w:pPr>
            <w:r w:rsidRPr="002F3F5B">
              <w:rPr>
                <w:rFonts w:ascii="Arial" w:eastAsia="Arial Unicode MS" w:hAnsi="Arial" w:cs="Arial"/>
                <w:color w:val="000000"/>
                <w:sz w:val="24"/>
                <w:szCs w:val="24"/>
                <w:lang w:eastAsia="en-ZA"/>
              </w:rPr>
              <w:t>and</w:t>
            </w:r>
          </w:p>
          <w:p w:rsidR="004D5728" w:rsidRPr="002F3F5B" w:rsidRDefault="004D5728" w:rsidP="007F0C90">
            <w:pPr>
              <w:tabs>
                <w:tab w:val="right" w:pos="10542"/>
              </w:tabs>
              <w:spacing w:after="0" w:line="360" w:lineRule="auto"/>
              <w:rPr>
                <w:rFonts w:ascii="Arial" w:hAnsi="Arial" w:cs="Arial"/>
                <w:sz w:val="24"/>
                <w:szCs w:val="24"/>
              </w:rPr>
            </w:pPr>
          </w:p>
          <w:p w:rsidR="002F3F5B" w:rsidRDefault="002F3F5B" w:rsidP="007F0C90">
            <w:pPr>
              <w:tabs>
                <w:tab w:val="right" w:pos="10542"/>
              </w:tabs>
              <w:spacing w:after="0" w:line="360" w:lineRule="auto"/>
              <w:rPr>
                <w:rFonts w:ascii="Arial" w:hAnsi="Arial" w:cs="Arial"/>
                <w:sz w:val="24"/>
                <w:szCs w:val="24"/>
              </w:rPr>
            </w:pPr>
            <w:r w:rsidRPr="002F3F5B">
              <w:rPr>
                <w:rFonts w:ascii="Arial" w:hAnsi="Arial" w:cs="Arial"/>
                <w:sz w:val="24"/>
                <w:szCs w:val="24"/>
              </w:rPr>
              <w:t xml:space="preserve">Namibia Office Equipment </w:t>
            </w:r>
          </w:p>
          <w:p w:rsidR="00054921" w:rsidRPr="002F3F5B" w:rsidRDefault="002F3F5B" w:rsidP="007F0C90">
            <w:pPr>
              <w:tabs>
                <w:tab w:val="right" w:pos="10542"/>
              </w:tabs>
              <w:spacing w:after="0" w:line="360" w:lineRule="auto"/>
              <w:rPr>
                <w:rFonts w:ascii="Arial" w:eastAsia="Calibri" w:hAnsi="Arial" w:cs="Arial"/>
                <w:color w:val="000000"/>
                <w:sz w:val="24"/>
                <w:szCs w:val="24"/>
                <w:lang w:eastAsia="en-ZA"/>
              </w:rPr>
            </w:pPr>
            <w:r w:rsidRPr="002F3F5B">
              <w:rPr>
                <w:rFonts w:ascii="Arial" w:hAnsi="Arial" w:cs="Arial"/>
                <w:sz w:val="24"/>
                <w:szCs w:val="24"/>
              </w:rPr>
              <w:t>Company (Pty) Ltd</w:t>
            </w:r>
            <w:r w:rsidR="00054921" w:rsidRPr="002F3F5B">
              <w:rPr>
                <w:rFonts w:ascii="Arial" w:eastAsia="Arial Unicode MS" w:hAnsi="Arial" w:cs="Arial"/>
                <w:color w:val="000000"/>
                <w:sz w:val="24"/>
                <w:szCs w:val="24"/>
                <w:lang w:eastAsia="en-ZA"/>
              </w:rPr>
              <w:tab/>
            </w:r>
            <w:r>
              <w:rPr>
                <w:rFonts w:ascii="Arial" w:eastAsia="Arial Unicode MS" w:hAnsi="Arial" w:cs="Arial"/>
                <w:color w:val="000000"/>
                <w:sz w:val="24"/>
                <w:szCs w:val="24"/>
                <w:lang w:eastAsia="en-ZA"/>
              </w:rPr>
              <w:t xml:space="preserve">   </w:t>
            </w:r>
            <w:r w:rsidR="004D5728" w:rsidRPr="002F3F5B">
              <w:rPr>
                <w:rFonts w:ascii="Arial" w:eastAsia="Arial Unicode MS" w:hAnsi="Arial" w:cs="Arial"/>
                <w:color w:val="000000"/>
                <w:sz w:val="24"/>
                <w:szCs w:val="24"/>
                <w:lang w:eastAsia="en-ZA"/>
              </w:rPr>
              <w:t>1</w:t>
            </w:r>
            <w:r w:rsidR="004D5728" w:rsidRPr="002F3F5B">
              <w:rPr>
                <w:rFonts w:ascii="Arial" w:eastAsia="Arial Unicode MS" w:hAnsi="Arial" w:cs="Arial"/>
                <w:color w:val="000000"/>
                <w:sz w:val="24"/>
                <w:szCs w:val="24"/>
                <w:vertAlign w:val="superscript"/>
                <w:lang w:eastAsia="en-ZA"/>
              </w:rPr>
              <w:t xml:space="preserve">st </w:t>
            </w:r>
            <w:r>
              <w:rPr>
                <w:rFonts w:ascii="Arial" w:eastAsia="Arial Unicode MS" w:hAnsi="Arial" w:cs="Arial"/>
                <w:color w:val="000000"/>
                <w:sz w:val="24"/>
                <w:szCs w:val="24"/>
                <w:lang w:eastAsia="en-ZA"/>
              </w:rPr>
              <w:t>R</w:t>
            </w:r>
            <w:r w:rsidR="00054921" w:rsidRPr="002F3F5B">
              <w:rPr>
                <w:rFonts w:ascii="Arial" w:eastAsia="Arial Unicode MS" w:hAnsi="Arial" w:cs="Arial"/>
                <w:color w:val="000000"/>
                <w:sz w:val="24"/>
                <w:szCs w:val="24"/>
                <w:lang w:eastAsia="en-ZA"/>
              </w:rPr>
              <w:t>e</w:t>
            </w:r>
            <w:r>
              <w:rPr>
                <w:rFonts w:ascii="Arial" w:eastAsia="Arial Unicode MS" w:hAnsi="Arial" w:cs="Arial"/>
                <w:color w:val="000000"/>
                <w:sz w:val="24"/>
                <w:szCs w:val="24"/>
                <w:lang w:eastAsia="en-ZA"/>
              </w:rPr>
              <w:t>spo</w:t>
            </w:r>
            <w:r w:rsidR="00054921" w:rsidRPr="002F3F5B">
              <w:rPr>
                <w:rFonts w:ascii="Arial" w:eastAsia="Arial Unicode MS" w:hAnsi="Arial" w:cs="Arial"/>
                <w:color w:val="000000"/>
                <w:sz w:val="24"/>
                <w:szCs w:val="24"/>
                <w:lang w:eastAsia="en-ZA"/>
              </w:rPr>
              <w:t>nd</w:t>
            </w:r>
            <w:r>
              <w:rPr>
                <w:rFonts w:ascii="Arial" w:eastAsia="Arial Unicode MS" w:hAnsi="Arial" w:cs="Arial"/>
                <w:color w:val="000000"/>
                <w:sz w:val="24"/>
                <w:szCs w:val="24"/>
                <w:lang w:eastAsia="en-ZA"/>
              </w:rPr>
              <w:t>e</w:t>
            </w:r>
            <w:r w:rsidR="00054921" w:rsidRPr="002F3F5B">
              <w:rPr>
                <w:rFonts w:ascii="Arial" w:eastAsia="Arial Unicode MS" w:hAnsi="Arial" w:cs="Arial"/>
                <w:color w:val="000000"/>
                <w:sz w:val="24"/>
                <w:szCs w:val="24"/>
                <w:lang w:eastAsia="en-ZA"/>
              </w:rPr>
              <w:t>nt</w:t>
            </w:r>
          </w:p>
          <w:p w:rsidR="00244918" w:rsidRDefault="002F3F5B" w:rsidP="00A779DE">
            <w:pPr>
              <w:spacing w:after="160" w:line="259" w:lineRule="auto"/>
              <w:rPr>
                <w:rFonts w:ascii="Arial" w:eastAsia="Arial Unicode MS" w:hAnsi="Arial" w:cs="Arial"/>
                <w:color w:val="000000"/>
                <w:sz w:val="24"/>
                <w:szCs w:val="24"/>
                <w:lang w:eastAsia="en-ZA"/>
              </w:rPr>
            </w:pPr>
            <w:proofErr w:type="spellStart"/>
            <w:r w:rsidRPr="002F3F5B">
              <w:rPr>
                <w:rFonts w:ascii="Arial" w:hAnsi="Arial" w:cs="Arial"/>
                <w:sz w:val="24"/>
                <w:szCs w:val="24"/>
              </w:rPr>
              <w:t>Liwela</w:t>
            </w:r>
            <w:proofErr w:type="spellEnd"/>
            <w:r w:rsidRPr="002F3F5B">
              <w:rPr>
                <w:rFonts w:ascii="Arial" w:hAnsi="Arial" w:cs="Arial"/>
                <w:sz w:val="24"/>
                <w:szCs w:val="24"/>
              </w:rPr>
              <w:t xml:space="preserve"> </w:t>
            </w:r>
            <w:proofErr w:type="spellStart"/>
            <w:r w:rsidRPr="002F3F5B">
              <w:rPr>
                <w:rFonts w:ascii="Arial" w:hAnsi="Arial" w:cs="Arial"/>
                <w:sz w:val="24"/>
                <w:szCs w:val="24"/>
              </w:rPr>
              <w:t>Sasela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D5728" w:rsidRPr="002F3F5B">
              <w:rPr>
                <w:rFonts w:ascii="Arial" w:hAnsi="Arial" w:cs="Arial"/>
                <w:sz w:val="24"/>
                <w:szCs w:val="24"/>
              </w:rPr>
              <w:t>2</w:t>
            </w:r>
            <w:r w:rsidR="004D5728" w:rsidRPr="002F3F5B">
              <w:rPr>
                <w:rFonts w:ascii="Arial" w:hAnsi="Arial" w:cs="Arial"/>
                <w:sz w:val="24"/>
                <w:szCs w:val="24"/>
                <w:vertAlign w:val="superscript"/>
              </w:rPr>
              <w:t>nd</w:t>
            </w:r>
            <w:r w:rsidR="004D5728" w:rsidRPr="002F3F5B">
              <w:rPr>
                <w:rFonts w:ascii="Arial" w:hAnsi="Arial" w:cs="Arial"/>
                <w:sz w:val="24"/>
                <w:szCs w:val="24"/>
              </w:rPr>
              <w:t xml:space="preserve"> </w:t>
            </w:r>
            <w:r>
              <w:rPr>
                <w:rFonts w:ascii="Arial" w:eastAsia="Arial Unicode MS" w:hAnsi="Arial" w:cs="Arial"/>
                <w:color w:val="000000"/>
                <w:sz w:val="24"/>
                <w:szCs w:val="24"/>
                <w:lang w:eastAsia="en-ZA"/>
              </w:rPr>
              <w:t>Respondent</w:t>
            </w:r>
          </w:p>
          <w:p w:rsidR="00A779DE" w:rsidRPr="009B2E99" w:rsidRDefault="00A779DE" w:rsidP="00A779DE">
            <w:pPr>
              <w:spacing w:after="160" w:line="259" w:lineRule="auto"/>
              <w:rPr>
                <w:rFonts w:ascii="Arial" w:hAnsi="Arial" w:cs="Arial"/>
                <w:sz w:val="10"/>
                <w:szCs w:val="10"/>
              </w:rPr>
            </w:pP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Default="002F3F5B" w:rsidP="002F3F5B">
            <w:pPr>
              <w:spacing w:after="160" w:line="259" w:lineRule="auto"/>
              <w:rPr>
                <w:rFonts w:ascii="Arial" w:hAnsi="Arial" w:cs="Arial"/>
                <w:sz w:val="24"/>
                <w:szCs w:val="24"/>
              </w:rPr>
            </w:pPr>
            <w:r w:rsidRPr="006427DF">
              <w:rPr>
                <w:rFonts w:ascii="Arial" w:hAnsi="Arial" w:cs="Arial"/>
                <w:sz w:val="24"/>
                <w:szCs w:val="24"/>
              </w:rPr>
              <w:t>Main Case Number: HC-MD-LAB-APP-AAA-2023/00005</w:t>
            </w:r>
          </w:p>
          <w:p w:rsidR="006427DF" w:rsidRPr="006427DF" w:rsidRDefault="006427DF" w:rsidP="002F3F5B">
            <w:pPr>
              <w:spacing w:after="160" w:line="259" w:lineRule="auto"/>
              <w:rPr>
                <w:rFonts w:ascii="Arial" w:hAnsi="Arial" w:cs="Arial"/>
                <w:sz w:val="24"/>
                <w:szCs w:val="24"/>
              </w:rPr>
            </w:pPr>
            <w:r w:rsidRPr="006427DF">
              <w:rPr>
                <w:rFonts w:ascii="Arial" w:hAnsi="Arial" w:cs="Arial"/>
                <w:sz w:val="24"/>
                <w:szCs w:val="24"/>
              </w:rPr>
              <w:t>INT-HC-OTH-2023/00012</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D33B2C" w:rsidP="00D33B2C">
            <w:pPr>
              <w:spacing w:after="0" w:line="360" w:lineRule="auto"/>
              <w:jc w:val="both"/>
              <w:rPr>
                <w:rFonts w:ascii="Arial" w:hAnsi="Arial" w:cs="Arial"/>
                <w:b/>
                <w:sz w:val="24"/>
                <w:szCs w:val="24"/>
              </w:rPr>
            </w:pPr>
            <w:r w:rsidRPr="00D33B2C">
              <w:rPr>
                <w:rFonts w:ascii="Arial" w:hAnsi="Arial" w:cs="Arial"/>
                <w:sz w:val="24"/>
                <w:szCs w:val="24"/>
              </w:rPr>
              <w:t>12 May 2023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5A4749" w:rsidP="002F3F5B">
            <w:pPr>
              <w:spacing w:after="0" w:line="360" w:lineRule="auto"/>
              <w:jc w:val="both"/>
              <w:rPr>
                <w:rFonts w:ascii="Arial" w:hAnsi="Arial" w:cs="Arial"/>
                <w:sz w:val="24"/>
                <w:szCs w:val="24"/>
              </w:rPr>
            </w:pPr>
            <w:r>
              <w:rPr>
                <w:rFonts w:ascii="Arial" w:hAnsi="Arial" w:cs="Arial"/>
                <w:sz w:val="24"/>
                <w:szCs w:val="24"/>
              </w:rPr>
              <w:t>11 August</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2F3F5B">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2F3F5B" w:rsidRPr="002F3F5B">
              <w:rPr>
                <w:rFonts w:ascii="Arial" w:hAnsi="Arial" w:cs="Arial"/>
                <w:i/>
                <w:sz w:val="24"/>
                <w:szCs w:val="24"/>
              </w:rPr>
              <w:t>Jobs</w:t>
            </w:r>
            <w:r w:rsidR="004D5728" w:rsidRPr="004D5728">
              <w:rPr>
                <w:rFonts w:ascii="Arial" w:hAnsi="Arial" w:cs="Arial"/>
                <w:i/>
                <w:sz w:val="24"/>
                <w:szCs w:val="24"/>
              </w:rPr>
              <w:t xml:space="preserve"> </w:t>
            </w:r>
            <w:r w:rsidR="00311914">
              <w:rPr>
                <w:rFonts w:ascii="Arial" w:hAnsi="Arial" w:cs="Arial"/>
                <w:i/>
                <w:sz w:val="24"/>
                <w:szCs w:val="24"/>
              </w:rPr>
              <w:t>v</w:t>
            </w:r>
            <w:r w:rsidR="00311914" w:rsidRPr="00D50FC7">
              <w:rPr>
                <w:rFonts w:ascii="Arial" w:hAnsi="Arial" w:cs="Arial"/>
                <w:i/>
                <w:sz w:val="24"/>
                <w:szCs w:val="24"/>
              </w:rPr>
              <w:t xml:space="preserve"> </w:t>
            </w:r>
            <w:r w:rsidR="002F3F5B" w:rsidRPr="002F3F5B">
              <w:rPr>
                <w:rFonts w:ascii="Arial" w:hAnsi="Arial" w:cs="Arial"/>
                <w:i/>
                <w:sz w:val="24"/>
                <w:szCs w:val="24"/>
              </w:rPr>
              <w:t xml:space="preserve">Namibia Office Equipment Company (Pty) Ltd </w:t>
            </w:r>
            <w:r w:rsidRPr="00A81F7C">
              <w:rPr>
                <w:rFonts w:ascii="Arial" w:hAnsi="Arial" w:cs="Arial"/>
                <w:i/>
                <w:sz w:val="24"/>
                <w:szCs w:val="24"/>
              </w:rPr>
              <w:t>(</w:t>
            </w:r>
            <w:r w:rsidR="002F3F5B" w:rsidRPr="002F3F5B">
              <w:rPr>
                <w:rFonts w:ascii="Arial" w:hAnsi="Arial" w:cs="Arial"/>
                <w:sz w:val="24"/>
                <w:szCs w:val="24"/>
              </w:rPr>
              <w:t>HC-MD-LAB-APP-AAA-2023/00005</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w:t>
            </w:r>
            <w:r w:rsidR="00A779DE">
              <w:rPr>
                <w:rFonts w:ascii="Arial" w:hAnsi="Arial" w:cs="Arial"/>
                <w:sz w:val="24"/>
                <w:szCs w:val="24"/>
              </w:rPr>
              <w:t>L</w:t>
            </w:r>
            <w:bookmarkStart w:id="0" w:name="_GoBack"/>
            <w:bookmarkEnd w:id="0"/>
            <w:r w:rsidRPr="00A81F7C">
              <w:rPr>
                <w:rFonts w:ascii="Arial" w:hAnsi="Arial" w:cs="Arial"/>
                <w:sz w:val="24"/>
                <w:szCs w:val="24"/>
              </w:rPr>
              <w:t>C</w:t>
            </w:r>
            <w:r w:rsidR="009A00F9" w:rsidRPr="00A81F7C">
              <w:rPr>
                <w:rFonts w:ascii="Arial" w:hAnsi="Arial" w:cs="Arial"/>
                <w:sz w:val="24"/>
                <w:szCs w:val="24"/>
              </w:rPr>
              <w:t xml:space="preserve">MD </w:t>
            </w:r>
            <w:r w:rsidR="00C618D8">
              <w:rPr>
                <w:rFonts w:ascii="Arial" w:hAnsi="Arial" w:cs="Arial"/>
                <w:sz w:val="24"/>
                <w:szCs w:val="24"/>
              </w:rPr>
              <w:t>33</w:t>
            </w:r>
            <w:r w:rsidR="00A779DE">
              <w:rPr>
                <w:rFonts w:ascii="Arial" w:hAnsi="Arial" w:cs="Arial"/>
                <w:sz w:val="24"/>
                <w:szCs w:val="24"/>
              </w:rPr>
              <w:t xml:space="preserve"> </w:t>
            </w:r>
            <w:r w:rsidR="00E21A68" w:rsidRPr="00A81F7C">
              <w:rPr>
                <w:rFonts w:ascii="Arial" w:hAnsi="Arial" w:cs="Arial"/>
                <w:sz w:val="24"/>
                <w:szCs w:val="24"/>
              </w:rPr>
              <w:t>(</w:t>
            </w:r>
            <w:r w:rsidR="005A4749">
              <w:rPr>
                <w:rFonts w:ascii="Arial" w:hAnsi="Arial" w:cs="Arial"/>
                <w:sz w:val="24"/>
                <w:szCs w:val="24"/>
              </w:rPr>
              <w:t>11 August</w:t>
            </w:r>
            <w:r w:rsidR="002F3F5B">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w:t>
            </w:r>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E60132" w:rsidRPr="00E60132" w:rsidRDefault="00E60132" w:rsidP="00E60132">
            <w:pPr>
              <w:spacing w:after="0" w:line="360" w:lineRule="auto"/>
              <w:ind w:left="1310" w:hanging="743"/>
              <w:jc w:val="both"/>
              <w:rPr>
                <w:rFonts w:ascii="Arial" w:hAnsi="Arial" w:cs="Arial"/>
                <w:sz w:val="24"/>
                <w:szCs w:val="24"/>
                <w:lang w:val="en-ZA"/>
              </w:rPr>
            </w:pPr>
          </w:p>
          <w:p w:rsidR="00E60132" w:rsidRPr="00E60132" w:rsidRDefault="00E60132" w:rsidP="00E60132">
            <w:pPr>
              <w:spacing w:after="0" w:line="360" w:lineRule="auto"/>
              <w:ind w:left="1310" w:hanging="743"/>
              <w:jc w:val="both"/>
              <w:rPr>
                <w:rFonts w:ascii="Arial" w:hAnsi="Arial" w:cs="Arial"/>
                <w:sz w:val="24"/>
                <w:szCs w:val="24"/>
                <w:lang w:val="en-ZA"/>
              </w:rPr>
            </w:pPr>
            <w:r w:rsidRPr="00E60132">
              <w:rPr>
                <w:rFonts w:ascii="Arial" w:hAnsi="Arial" w:cs="Arial"/>
                <w:sz w:val="24"/>
                <w:szCs w:val="24"/>
                <w:lang w:val="en-ZA"/>
              </w:rPr>
              <w:t>1.</w:t>
            </w:r>
            <w:r w:rsidRPr="00E60132">
              <w:rPr>
                <w:rFonts w:ascii="Arial" w:hAnsi="Arial" w:cs="Arial"/>
                <w:sz w:val="24"/>
                <w:szCs w:val="24"/>
                <w:lang w:val="en-ZA"/>
              </w:rPr>
              <w:tab/>
              <w:t>The court grants condonation for the late noting of the appeal</w:t>
            </w:r>
            <w:r w:rsidR="00E806D9">
              <w:rPr>
                <w:rFonts w:ascii="Arial" w:hAnsi="Arial" w:cs="Arial"/>
                <w:sz w:val="24"/>
                <w:szCs w:val="24"/>
                <w:lang w:val="en-ZA"/>
              </w:rPr>
              <w:t xml:space="preserve"> and the appeal is re-instated</w:t>
            </w:r>
          </w:p>
          <w:p w:rsidR="00B131EA" w:rsidRDefault="00E60132" w:rsidP="00E60132">
            <w:pPr>
              <w:spacing w:after="0" w:line="360" w:lineRule="auto"/>
              <w:ind w:left="1310" w:hanging="743"/>
              <w:jc w:val="both"/>
              <w:rPr>
                <w:rFonts w:ascii="Arial" w:hAnsi="Arial" w:cs="Arial"/>
                <w:sz w:val="24"/>
                <w:szCs w:val="24"/>
              </w:rPr>
            </w:pPr>
            <w:r w:rsidRPr="00E60132">
              <w:rPr>
                <w:rFonts w:ascii="Arial" w:hAnsi="Arial" w:cs="Arial"/>
                <w:sz w:val="24"/>
                <w:szCs w:val="24"/>
                <w:lang w:val="en-ZA"/>
              </w:rPr>
              <w:t>2.</w:t>
            </w:r>
            <w:r w:rsidRPr="00E60132">
              <w:rPr>
                <w:rFonts w:ascii="Arial" w:hAnsi="Arial" w:cs="Arial"/>
                <w:sz w:val="24"/>
                <w:szCs w:val="24"/>
                <w:lang w:val="en-ZA"/>
              </w:rPr>
              <w:tab/>
              <w:t>No order as to costs.</w:t>
            </w:r>
          </w:p>
          <w:p w:rsidR="005A4749" w:rsidRPr="00E60132" w:rsidRDefault="005A4749" w:rsidP="00E60132">
            <w:pPr>
              <w:spacing w:after="0" w:line="360" w:lineRule="auto"/>
              <w:ind w:left="1310" w:hanging="743"/>
              <w:jc w:val="both"/>
              <w:rPr>
                <w:rFonts w:ascii="Arial" w:hAnsi="Arial" w:cs="Arial"/>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054921" w:rsidRDefault="00054921" w:rsidP="007F0C90">
            <w:pPr>
              <w:spacing w:after="0" w:line="360" w:lineRule="auto"/>
              <w:jc w:val="both"/>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J</w:t>
            </w:r>
            <w:r w:rsidR="00A91522" w:rsidRPr="00A91522">
              <w:rPr>
                <w:rFonts w:ascii="Arial" w:hAnsi="Arial" w:cs="Arial"/>
                <w:sz w:val="24"/>
                <w:szCs w:val="24"/>
              </w:rPr>
              <w:t>:</w:t>
            </w:r>
          </w:p>
          <w:p w:rsidR="005A4749" w:rsidRDefault="005A4749" w:rsidP="007F0C90">
            <w:pPr>
              <w:spacing w:after="0" w:line="360" w:lineRule="auto"/>
              <w:jc w:val="both"/>
              <w:rPr>
                <w:rFonts w:ascii="Arial" w:hAnsi="Arial" w:cs="Arial"/>
                <w:sz w:val="24"/>
                <w:szCs w:val="24"/>
              </w:rPr>
            </w:pPr>
          </w:p>
          <w:p w:rsidR="00662932" w:rsidRDefault="00662932" w:rsidP="007F0C90">
            <w:pPr>
              <w:spacing w:after="0" w:line="360" w:lineRule="auto"/>
              <w:jc w:val="both"/>
              <w:rPr>
                <w:rFonts w:ascii="Arial" w:hAnsi="Arial" w:cs="Arial"/>
                <w:sz w:val="24"/>
                <w:szCs w:val="24"/>
              </w:rPr>
            </w:pPr>
          </w:p>
          <w:p w:rsidR="003F0FDD" w:rsidRDefault="001936EA" w:rsidP="007F0C90">
            <w:pPr>
              <w:spacing w:after="0" w:line="360" w:lineRule="auto"/>
              <w:jc w:val="both"/>
              <w:rPr>
                <w:rFonts w:ascii="Arial" w:hAnsi="Arial" w:cs="Arial"/>
                <w:sz w:val="24"/>
                <w:szCs w:val="24"/>
                <w:u w:val="single"/>
              </w:rPr>
            </w:pPr>
            <w:r w:rsidRPr="001936EA">
              <w:rPr>
                <w:rFonts w:ascii="Arial" w:hAnsi="Arial" w:cs="Arial"/>
                <w:sz w:val="24"/>
                <w:szCs w:val="24"/>
                <w:u w:val="single"/>
              </w:rPr>
              <w:lastRenderedPageBreak/>
              <w:t>Background</w:t>
            </w:r>
          </w:p>
          <w:p w:rsidR="00662932" w:rsidRPr="001936EA" w:rsidRDefault="00662932" w:rsidP="007F0C90">
            <w:pPr>
              <w:spacing w:after="0" w:line="360" w:lineRule="auto"/>
              <w:jc w:val="both"/>
              <w:rPr>
                <w:rFonts w:ascii="Arial" w:hAnsi="Arial" w:cs="Arial"/>
                <w:sz w:val="24"/>
                <w:szCs w:val="24"/>
                <w:u w:val="single"/>
              </w:rPr>
            </w:pPr>
          </w:p>
          <w:p w:rsidR="00662932" w:rsidRPr="00662932" w:rsidRDefault="004F338F" w:rsidP="007F0C90">
            <w:pPr>
              <w:pStyle w:val="ListParagraph"/>
              <w:numPr>
                <w:ilvl w:val="0"/>
                <w:numId w:val="47"/>
              </w:numPr>
              <w:spacing w:after="0" w:line="360" w:lineRule="auto"/>
              <w:ind w:left="0" w:firstLine="0"/>
              <w:jc w:val="both"/>
              <w:rPr>
                <w:rFonts w:ascii="Arial" w:hAnsi="Arial" w:cs="Arial"/>
                <w:sz w:val="24"/>
                <w:szCs w:val="24"/>
              </w:rPr>
            </w:pPr>
            <w:r w:rsidRPr="00662932">
              <w:rPr>
                <w:rFonts w:ascii="Arial" w:hAnsi="Arial" w:cs="Arial"/>
                <w:sz w:val="24"/>
                <w:szCs w:val="24"/>
                <w:lang w:val="en-ZA"/>
              </w:rPr>
              <w:t>The applicant seek</w:t>
            </w:r>
            <w:r w:rsidR="005A4749" w:rsidRPr="00662932">
              <w:rPr>
                <w:rFonts w:ascii="Arial" w:hAnsi="Arial" w:cs="Arial"/>
                <w:sz w:val="24"/>
                <w:szCs w:val="24"/>
                <w:lang w:val="en-ZA"/>
              </w:rPr>
              <w:t>s</w:t>
            </w:r>
            <w:r w:rsidRPr="00662932">
              <w:rPr>
                <w:rFonts w:ascii="Arial" w:hAnsi="Arial" w:cs="Arial"/>
                <w:sz w:val="24"/>
                <w:szCs w:val="24"/>
                <w:lang w:val="en-ZA"/>
              </w:rPr>
              <w:t xml:space="preserve"> relief in the form of condonation for the late noting of his appeal.</w:t>
            </w:r>
            <w:r w:rsidR="001936EA" w:rsidRPr="001936EA">
              <w:rPr>
                <w:lang w:val="en-ZA"/>
              </w:rPr>
              <w:t xml:space="preserve"> </w:t>
            </w:r>
            <w:r w:rsidR="001936EA" w:rsidRPr="00662932">
              <w:rPr>
                <w:rFonts w:ascii="Arial" w:hAnsi="Arial" w:cs="Arial"/>
                <w:sz w:val="24"/>
                <w:szCs w:val="24"/>
                <w:lang w:val="en-ZA"/>
              </w:rPr>
              <w:t>The dispute over the applicant's unfair dismissal gave rise to this application. The applicant was employed by the respondent as a technician and on 18 September 2020 he was charged with misconduct. He was subjected to a disciplinary hearing at the end of which a sanction of dismissal was imposed on him. Alleging that his dismissal was unfair, the applicant referred a dispute of unfair dismissal to the Office of the Labour Commissioner. T</w:t>
            </w:r>
            <w:r w:rsidR="00662932">
              <w:rPr>
                <w:rFonts w:ascii="Arial" w:hAnsi="Arial" w:cs="Arial"/>
                <w:sz w:val="24"/>
                <w:szCs w:val="24"/>
                <w:lang w:val="en-ZA"/>
              </w:rPr>
              <w:t>he Commissioner designated the second r</w:t>
            </w:r>
            <w:r w:rsidR="001936EA" w:rsidRPr="00662932">
              <w:rPr>
                <w:rFonts w:ascii="Arial" w:hAnsi="Arial" w:cs="Arial"/>
                <w:sz w:val="24"/>
                <w:szCs w:val="24"/>
                <w:lang w:val="en-ZA"/>
              </w:rPr>
              <w:t>espondent to conciliate and arbitrate the dispute. Following the arbitration of th</w:t>
            </w:r>
            <w:r w:rsidR="00662932">
              <w:rPr>
                <w:rFonts w:ascii="Arial" w:hAnsi="Arial" w:cs="Arial"/>
                <w:sz w:val="24"/>
                <w:szCs w:val="24"/>
                <w:lang w:val="en-ZA"/>
              </w:rPr>
              <w:t>e dispute during May 2021, the second respondent, on 15 March 2022</w:t>
            </w:r>
            <w:r w:rsidR="001936EA" w:rsidRPr="00662932">
              <w:rPr>
                <w:rFonts w:ascii="Arial" w:hAnsi="Arial" w:cs="Arial"/>
                <w:sz w:val="24"/>
                <w:szCs w:val="24"/>
                <w:lang w:val="en-ZA"/>
              </w:rPr>
              <w:t xml:space="preserve"> rendered the arbitration award. I</w:t>
            </w:r>
            <w:r w:rsidR="00662932">
              <w:rPr>
                <w:rFonts w:ascii="Arial" w:hAnsi="Arial" w:cs="Arial"/>
                <w:sz w:val="24"/>
                <w:szCs w:val="24"/>
                <w:lang w:val="en-ZA"/>
              </w:rPr>
              <w:t>n terms of the award, the second r</w:t>
            </w:r>
            <w:r w:rsidR="001936EA" w:rsidRPr="00662932">
              <w:rPr>
                <w:rFonts w:ascii="Arial" w:hAnsi="Arial" w:cs="Arial"/>
                <w:sz w:val="24"/>
                <w:szCs w:val="24"/>
                <w:lang w:val="en-ZA"/>
              </w:rPr>
              <w:t>espondent found that the applicant was dismissed for a valid reason.</w:t>
            </w:r>
          </w:p>
          <w:p w:rsidR="00662932" w:rsidRPr="00662932" w:rsidRDefault="00662932" w:rsidP="00662932">
            <w:pPr>
              <w:pStyle w:val="ListParagraph"/>
              <w:spacing w:after="0" w:line="360" w:lineRule="auto"/>
              <w:ind w:left="0"/>
              <w:jc w:val="both"/>
              <w:rPr>
                <w:rFonts w:ascii="Arial" w:hAnsi="Arial" w:cs="Arial"/>
                <w:sz w:val="24"/>
                <w:szCs w:val="24"/>
              </w:rPr>
            </w:pPr>
          </w:p>
          <w:p w:rsidR="00662932" w:rsidRPr="00662932" w:rsidRDefault="001936EA" w:rsidP="007F0C90">
            <w:pPr>
              <w:pStyle w:val="ListParagraph"/>
              <w:numPr>
                <w:ilvl w:val="0"/>
                <w:numId w:val="47"/>
              </w:numPr>
              <w:spacing w:after="0" w:line="360" w:lineRule="auto"/>
              <w:ind w:left="0" w:firstLine="0"/>
              <w:jc w:val="both"/>
              <w:rPr>
                <w:rFonts w:ascii="Arial" w:hAnsi="Arial" w:cs="Arial"/>
                <w:sz w:val="24"/>
                <w:szCs w:val="24"/>
              </w:rPr>
            </w:pPr>
            <w:r w:rsidRPr="00662932">
              <w:rPr>
                <w:rFonts w:ascii="Arial" w:hAnsi="Arial" w:cs="Arial"/>
                <w:sz w:val="24"/>
                <w:szCs w:val="24"/>
                <w:lang w:val="en-ZA"/>
              </w:rPr>
              <w:t xml:space="preserve">On 18 March 2022 the applicant’s representative at arbitration collected the arbitration award from the Office of the Labour Commissioner. Unhappy with the award, the applicant noted an appeal against the award on 18 May 2022 together with an application for condonation for the late noting of his appeal.  The applicant applied for legal aid on 13 September 2022, and it was approved in December of that same year. As the offices of the legal practitioners were closed during the December holidays, the applicant only consulted his legal aid funded lawyer on 16 January 2023. On 16 January 2023 the legal aid appointed lawyer advised the applicant that the appeal that he had noted is flawed and that he needed to note a fresh appeal with an application for condonation for the late noting of his appeal. On 19 January 2023 the flawed appeal was withdrawn and on 20 January 2023 the applicant caused a fresh appeal to be noted on his behalf together with this application. </w:t>
            </w:r>
          </w:p>
          <w:p w:rsidR="00662932" w:rsidRPr="00662932" w:rsidRDefault="00662932" w:rsidP="00662932">
            <w:pPr>
              <w:pStyle w:val="ListParagraph"/>
              <w:rPr>
                <w:rFonts w:ascii="Arial" w:hAnsi="Arial" w:cs="Arial"/>
                <w:sz w:val="24"/>
                <w:szCs w:val="24"/>
                <w:lang w:val="en-ZA"/>
              </w:rPr>
            </w:pPr>
          </w:p>
          <w:p w:rsidR="00601E8D" w:rsidRPr="00662932" w:rsidRDefault="001936EA" w:rsidP="007F0C90">
            <w:pPr>
              <w:pStyle w:val="ListParagraph"/>
              <w:numPr>
                <w:ilvl w:val="0"/>
                <w:numId w:val="47"/>
              </w:numPr>
              <w:spacing w:after="0" w:line="360" w:lineRule="auto"/>
              <w:ind w:left="0" w:firstLine="0"/>
              <w:jc w:val="both"/>
              <w:rPr>
                <w:rFonts w:ascii="Arial" w:hAnsi="Arial" w:cs="Arial"/>
                <w:sz w:val="24"/>
                <w:szCs w:val="24"/>
              </w:rPr>
            </w:pPr>
            <w:r w:rsidRPr="00662932">
              <w:rPr>
                <w:rFonts w:ascii="Arial" w:hAnsi="Arial" w:cs="Arial"/>
                <w:sz w:val="24"/>
                <w:szCs w:val="24"/>
                <w:lang w:val="en-ZA"/>
              </w:rPr>
              <w:t>The time period for which the applicant must give a full, detailed and accurate explanation runs from 18 March 2022 to 20 January 2023.  According to the applicant, he was assisted by three labour consultants as from when he received his award (18 March 2022) until an application for condonation for his failure to file a Form 41 was filed. He always accepted the advice of these consultants because he is a layman. He paid for their services and there was no reason for him to</w:t>
            </w:r>
            <w:r w:rsidR="00662932">
              <w:rPr>
                <w:rFonts w:ascii="Arial" w:hAnsi="Arial" w:cs="Arial"/>
                <w:sz w:val="24"/>
                <w:szCs w:val="24"/>
                <w:lang w:val="en-ZA"/>
              </w:rPr>
              <w:t xml:space="preserve"> believe that an invalid appeal</w:t>
            </w:r>
            <w:r w:rsidRPr="00662932">
              <w:rPr>
                <w:rFonts w:ascii="Arial" w:hAnsi="Arial" w:cs="Arial"/>
                <w:sz w:val="24"/>
                <w:szCs w:val="24"/>
                <w:lang w:val="en-ZA"/>
              </w:rPr>
              <w:t xml:space="preserve"> h</w:t>
            </w:r>
            <w:r w:rsidR="00662932">
              <w:rPr>
                <w:rFonts w:ascii="Arial" w:hAnsi="Arial" w:cs="Arial"/>
                <w:sz w:val="24"/>
                <w:szCs w:val="24"/>
                <w:lang w:val="en-ZA"/>
              </w:rPr>
              <w:t xml:space="preserve">ad been filed on his behalf. </w:t>
            </w:r>
            <w:r w:rsidRPr="00662932">
              <w:rPr>
                <w:rFonts w:ascii="Arial" w:hAnsi="Arial" w:cs="Arial"/>
                <w:sz w:val="24"/>
                <w:szCs w:val="24"/>
                <w:lang w:val="en-ZA"/>
              </w:rPr>
              <w:t>Form 41 was not filed wit</w:t>
            </w:r>
            <w:r w:rsidR="00662932">
              <w:rPr>
                <w:rFonts w:ascii="Arial" w:hAnsi="Arial" w:cs="Arial"/>
                <w:sz w:val="24"/>
                <w:szCs w:val="24"/>
                <w:lang w:val="en-ZA"/>
              </w:rPr>
              <w:t>h</w:t>
            </w:r>
            <w:r w:rsidRPr="00662932">
              <w:rPr>
                <w:rFonts w:ascii="Arial" w:hAnsi="Arial" w:cs="Arial"/>
                <w:sz w:val="24"/>
                <w:szCs w:val="24"/>
                <w:lang w:val="en-ZA"/>
              </w:rPr>
              <w:t xml:space="preserve"> Form 11 as required by the Rules of the Labour Court and the Rules relating to</w:t>
            </w:r>
            <w:r w:rsidR="00662932">
              <w:rPr>
                <w:rFonts w:ascii="Arial" w:hAnsi="Arial" w:cs="Arial"/>
                <w:sz w:val="24"/>
                <w:szCs w:val="24"/>
                <w:lang w:val="en-ZA"/>
              </w:rPr>
              <w:t xml:space="preserve"> Conciliation and Arbitration.</w:t>
            </w:r>
            <w:r w:rsidRPr="00662932">
              <w:rPr>
                <w:rFonts w:ascii="Arial" w:hAnsi="Arial" w:cs="Arial"/>
                <w:sz w:val="24"/>
                <w:szCs w:val="24"/>
                <w:lang w:val="en-ZA"/>
              </w:rPr>
              <w:t xml:space="preserve"> Founding Affidavit paragraphs 10 to 14. It was not until the applicant consulted with his legal practitioners of record on 16 January 2023, that he learned of his defective appeal and that it needed to be withdrawn. Prior to that he believed that his appeal was valid.</w:t>
            </w:r>
          </w:p>
          <w:p w:rsidR="00233479" w:rsidRDefault="00233479" w:rsidP="007F0C90">
            <w:pPr>
              <w:spacing w:after="0" w:line="360" w:lineRule="auto"/>
              <w:jc w:val="both"/>
              <w:rPr>
                <w:rFonts w:ascii="Arial" w:hAnsi="Arial" w:cs="Arial"/>
                <w:sz w:val="24"/>
                <w:szCs w:val="24"/>
                <w:u w:val="single"/>
              </w:rPr>
            </w:pPr>
            <w:r w:rsidRPr="00233479">
              <w:rPr>
                <w:rFonts w:ascii="Arial" w:hAnsi="Arial" w:cs="Arial"/>
                <w:sz w:val="24"/>
                <w:szCs w:val="24"/>
                <w:u w:val="single"/>
              </w:rPr>
              <w:lastRenderedPageBreak/>
              <w:t>Arguments by the parties</w:t>
            </w:r>
          </w:p>
          <w:p w:rsidR="005A4749" w:rsidRPr="00233479" w:rsidRDefault="005A4749" w:rsidP="007F0C90">
            <w:pPr>
              <w:spacing w:after="0" w:line="360" w:lineRule="auto"/>
              <w:jc w:val="both"/>
              <w:rPr>
                <w:rFonts w:ascii="Arial" w:hAnsi="Arial" w:cs="Arial"/>
                <w:sz w:val="24"/>
                <w:szCs w:val="24"/>
                <w:u w:val="single"/>
              </w:rPr>
            </w:pPr>
          </w:p>
          <w:p w:rsidR="009D7C3B" w:rsidRDefault="00233479" w:rsidP="007F0C90">
            <w:pPr>
              <w:pStyle w:val="ListParagraph"/>
              <w:numPr>
                <w:ilvl w:val="0"/>
                <w:numId w:val="47"/>
              </w:numPr>
              <w:spacing w:after="0" w:line="360" w:lineRule="auto"/>
              <w:ind w:left="0" w:firstLine="0"/>
              <w:jc w:val="both"/>
              <w:rPr>
                <w:rFonts w:ascii="Arial" w:hAnsi="Arial" w:cs="Arial"/>
                <w:sz w:val="24"/>
                <w:szCs w:val="24"/>
                <w:lang w:val="en-ZA"/>
              </w:rPr>
            </w:pPr>
            <w:r w:rsidRPr="009D7C3B">
              <w:rPr>
                <w:rFonts w:ascii="Arial" w:hAnsi="Arial" w:cs="Arial"/>
                <w:sz w:val="24"/>
                <w:szCs w:val="24"/>
              </w:rPr>
              <w:t xml:space="preserve">On behalf of the applicant it was argued that </w:t>
            </w:r>
            <w:r w:rsidRPr="009D7C3B">
              <w:rPr>
                <w:rFonts w:ascii="Arial" w:hAnsi="Arial" w:cs="Arial"/>
                <w:sz w:val="24"/>
                <w:szCs w:val="24"/>
                <w:lang w:val="en-ZA"/>
              </w:rPr>
              <w:t xml:space="preserve">the default was not </w:t>
            </w:r>
            <w:r w:rsidR="00792B86" w:rsidRPr="009D7C3B">
              <w:rPr>
                <w:rFonts w:ascii="Arial" w:hAnsi="Arial" w:cs="Arial"/>
                <w:sz w:val="24"/>
                <w:szCs w:val="24"/>
                <w:lang w:val="en-ZA"/>
              </w:rPr>
              <w:t>wilful</w:t>
            </w:r>
            <w:r w:rsidRPr="009D7C3B">
              <w:rPr>
                <w:rFonts w:ascii="Arial" w:hAnsi="Arial" w:cs="Arial"/>
                <w:sz w:val="24"/>
                <w:szCs w:val="24"/>
                <w:lang w:val="en-ZA"/>
              </w:rPr>
              <w:t xml:space="preserve">, nor intended to prejudice either the Honourable Court or the respondent. The applicant laboured under the false impression that a valid appeal had been filed on his behalf. It is </w:t>
            </w:r>
            <w:r w:rsidR="00662932" w:rsidRPr="009D7C3B">
              <w:rPr>
                <w:rFonts w:ascii="Arial" w:hAnsi="Arial" w:cs="Arial"/>
                <w:sz w:val="24"/>
                <w:szCs w:val="24"/>
                <w:lang w:val="en-ZA"/>
              </w:rPr>
              <w:t>furthermore submitted that the first r</w:t>
            </w:r>
            <w:r w:rsidRPr="009D7C3B">
              <w:rPr>
                <w:rFonts w:ascii="Arial" w:hAnsi="Arial" w:cs="Arial"/>
                <w:sz w:val="24"/>
                <w:szCs w:val="24"/>
                <w:lang w:val="en-ZA"/>
              </w:rPr>
              <w:t>espondent did not suffer any prejudice.</w:t>
            </w:r>
            <w:r w:rsidR="00792B86" w:rsidRPr="00792B86">
              <w:rPr>
                <w:lang w:val="en-ZA"/>
              </w:rPr>
              <w:t xml:space="preserve"> </w:t>
            </w:r>
            <w:r w:rsidR="00792B86" w:rsidRPr="009D7C3B">
              <w:rPr>
                <w:rFonts w:ascii="Arial" w:hAnsi="Arial" w:cs="Arial"/>
                <w:sz w:val="24"/>
                <w:szCs w:val="24"/>
                <w:lang w:val="en-ZA"/>
              </w:rPr>
              <w:t xml:space="preserve">It is submitted that the applicant enjoys good prospects of success. The applicant was charged and dismissed for conflict of interest in that he was doing business similar to the functions he was employed </w:t>
            </w:r>
            <w:r w:rsidR="00662932" w:rsidRPr="009D7C3B">
              <w:rPr>
                <w:rFonts w:ascii="Arial" w:hAnsi="Arial" w:cs="Arial"/>
                <w:sz w:val="24"/>
                <w:szCs w:val="24"/>
                <w:lang w:val="en-ZA"/>
              </w:rPr>
              <w:t>for at the first r</w:t>
            </w:r>
            <w:r w:rsidR="00792B86" w:rsidRPr="009D7C3B">
              <w:rPr>
                <w:rFonts w:ascii="Arial" w:hAnsi="Arial" w:cs="Arial"/>
                <w:sz w:val="24"/>
                <w:szCs w:val="24"/>
                <w:lang w:val="en-ZA"/>
              </w:rPr>
              <w:t xml:space="preserve">espondent.  Section </w:t>
            </w:r>
            <w:r w:rsidR="00662932" w:rsidRPr="009D7C3B">
              <w:rPr>
                <w:rFonts w:ascii="Arial" w:hAnsi="Arial" w:cs="Arial"/>
                <w:sz w:val="24"/>
                <w:szCs w:val="24"/>
                <w:lang w:val="en-ZA"/>
              </w:rPr>
              <w:t>33(1) and (4) of the Labour Act 11 of</w:t>
            </w:r>
            <w:r w:rsidR="00792B86" w:rsidRPr="009D7C3B">
              <w:rPr>
                <w:rFonts w:ascii="Arial" w:hAnsi="Arial" w:cs="Arial"/>
                <w:sz w:val="24"/>
                <w:szCs w:val="24"/>
                <w:lang w:val="en-ZA"/>
              </w:rPr>
              <w:t xml:space="preserve"> 2007, places the burden on the employer to establish the substantive fairness of its decision to dismiss an employee. </w:t>
            </w:r>
          </w:p>
          <w:p w:rsidR="009D7C3B" w:rsidRDefault="009D7C3B" w:rsidP="009D7C3B">
            <w:pPr>
              <w:pStyle w:val="ListParagraph"/>
              <w:spacing w:after="0" w:line="360" w:lineRule="auto"/>
              <w:ind w:left="0"/>
              <w:jc w:val="both"/>
              <w:rPr>
                <w:rFonts w:ascii="Arial" w:hAnsi="Arial" w:cs="Arial"/>
                <w:sz w:val="24"/>
                <w:szCs w:val="24"/>
                <w:lang w:val="en-ZA"/>
              </w:rPr>
            </w:pPr>
          </w:p>
          <w:p w:rsidR="009D7C3B" w:rsidRDefault="00662932" w:rsidP="007F0C90">
            <w:pPr>
              <w:pStyle w:val="ListParagraph"/>
              <w:numPr>
                <w:ilvl w:val="0"/>
                <w:numId w:val="47"/>
              </w:numPr>
              <w:spacing w:after="0" w:line="360" w:lineRule="auto"/>
              <w:ind w:left="0" w:firstLine="0"/>
              <w:jc w:val="both"/>
              <w:rPr>
                <w:rFonts w:ascii="Arial" w:hAnsi="Arial" w:cs="Arial"/>
                <w:sz w:val="24"/>
                <w:szCs w:val="24"/>
                <w:lang w:val="en-ZA"/>
              </w:rPr>
            </w:pPr>
            <w:r w:rsidRPr="009D7C3B">
              <w:rPr>
                <w:rFonts w:ascii="Arial" w:hAnsi="Arial" w:cs="Arial"/>
                <w:sz w:val="24"/>
                <w:szCs w:val="24"/>
                <w:lang w:val="en-ZA"/>
              </w:rPr>
              <w:t>The f</w:t>
            </w:r>
            <w:r w:rsidR="00792B86" w:rsidRPr="009D7C3B">
              <w:rPr>
                <w:rFonts w:ascii="Arial" w:hAnsi="Arial" w:cs="Arial"/>
                <w:sz w:val="24"/>
                <w:szCs w:val="24"/>
                <w:lang w:val="en-ZA"/>
              </w:rPr>
              <w:t xml:space="preserve">irst </w:t>
            </w:r>
            <w:r w:rsidRPr="009D7C3B">
              <w:rPr>
                <w:rFonts w:ascii="Arial" w:hAnsi="Arial" w:cs="Arial"/>
                <w:sz w:val="24"/>
                <w:szCs w:val="24"/>
                <w:lang w:val="en-ZA"/>
              </w:rPr>
              <w:t>r</w:t>
            </w:r>
            <w:r w:rsidR="00792B86" w:rsidRPr="009D7C3B">
              <w:rPr>
                <w:rFonts w:ascii="Arial" w:hAnsi="Arial" w:cs="Arial"/>
                <w:sz w:val="24"/>
                <w:szCs w:val="24"/>
                <w:lang w:val="en-ZA"/>
              </w:rPr>
              <w:t>espondent called two witnesses at the arbitration hearing, the Chairperson of the disciplinary hearing (the Chairperson) as well as the initiator at the said hearing. The initiator testified as to what transpired at the disciplinary hearing. The Chairperson testified that because the applicant’s misconduct is a dismissible offence according t</w:t>
            </w:r>
            <w:r w:rsidR="00E20A70" w:rsidRPr="009D7C3B">
              <w:rPr>
                <w:rFonts w:ascii="Arial" w:hAnsi="Arial" w:cs="Arial"/>
                <w:sz w:val="24"/>
                <w:szCs w:val="24"/>
                <w:lang w:val="en-ZA"/>
              </w:rPr>
              <w:t>o the Disciplinary Code of the first r</w:t>
            </w:r>
            <w:r w:rsidR="00792B86" w:rsidRPr="009D7C3B">
              <w:rPr>
                <w:rFonts w:ascii="Arial" w:hAnsi="Arial" w:cs="Arial"/>
                <w:sz w:val="24"/>
                <w:szCs w:val="24"/>
                <w:lang w:val="en-ZA"/>
              </w:rPr>
              <w:t xml:space="preserve">espondent, he recommended the dismissal of the applicant. That was the Chairperson's sole justification for the dismissal. Nothing more. Thus, at the arbitration hearing, no evidence </w:t>
            </w:r>
            <w:r w:rsidR="00E20A70" w:rsidRPr="009D7C3B">
              <w:rPr>
                <w:rFonts w:ascii="Arial" w:hAnsi="Arial" w:cs="Arial"/>
                <w:sz w:val="24"/>
                <w:szCs w:val="24"/>
                <w:lang w:val="en-ZA"/>
              </w:rPr>
              <w:t>was presented on behalf of the first r</w:t>
            </w:r>
            <w:r w:rsidR="00792B86" w:rsidRPr="009D7C3B">
              <w:rPr>
                <w:rFonts w:ascii="Arial" w:hAnsi="Arial" w:cs="Arial"/>
                <w:sz w:val="24"/>
                <w:szCs w:val="24"/>
                <w:lang w:val="en-ZA"/>
              </w:rPr>
              <w:t>espondent concerning how the applicant's misconduct would affect the employment relationship</w:t>
            </w:r>
            <w:r w:rsidR="00580C00" w:rsidRPr="009D7C3B">
              <w:rPr>
                <w:rFonts w:ascii="Arial" w:hAnsi="Arial" w:cs="Arial"/>
                <w:sz w:val="24"/>
                <w:szCs w:val="24"/>
                <w:lang w:val="en-ZA"/>
              </w:rPr>
              <w:t>.</w:t>
            </w:r>
          </w:p>
          <w:p w:rsidR="009D7C3B" w:rsidRPr="009D7C3B" w:rsidRDefault="009D7C3B" w:rsidP="009D7C3B">
            <w:pPr>
              <w:pStyle w:val="ListParagraph"/>
              <w:rPr>
                <w:rFonts w:ascii="Arial" w:hAnsi="Arial" w:cs="Arial"/>
                <w:sz w:val="24"/>
                <w:szCs w:val="24"/>
              </w:rPr>
            </w:pPr>
          </w:p>
          <w:p w:rsidR="009D7C3B" w:rsidRDefault="00580C00" w:rsidP="007F0C90">
            <w:pPr>
              <w:pStyle w:val="ListParagraph"/>
              <w:numPr>
                <w:ilvl w:val="0"/>
                <w:numId w:val="47"/>
              </w:numPr>
              <w:spacing w:after="0" w:line="360" w:lineRule="auto"/>
              <w:ind w:left="0" w:firstLine="0"/>
              <w:jc w:val="both"/>
              <w:rPr>
                <w:rFonts w:ascii="Arial" w:hAnsi="Arial" w:cs="Arial"/>
                <w:sz w:val="24"/>
                <w:szCs w:val="24"/>
                <w:lang w:val="en-ZA"/>
              </w:rPr>
            </w:pPr>
            <w:r w:rsidRPr="009D7C3B">
              <w:rPr>
                <w:rFonts w:ascii="Arial" w:hAnsi="Arial" w:cs="Arial"/>
                <w:sz w:val="24"/>
                <w:szCs w:val="24"/>
              </w:rPr>
              <w:t>On behalf of the respondents</w:t>
            </w:r>
            <w:r w:rsidR="00E20A70" w:rsidRPr="009D7C3B">
              <w:rPr>
                <w:rFonts w:ascii="Arial" w:hAnsi="Arial" w:cs="Arial"/>
                <w:sz w:val="24"/>
                <w:szCs w:val="24"/>
              </w:rPr>
              <w:t>,</w:t>
            </w:r>
            <w:r w:rsidRPr="009D7C3B">
              <w:rPr>
                <w:rFonts w:ascii="Arial" w:hAnsi="Arial" w:cs="Arial"/>
                <w:sz w:val="24"/>
                <w:szCs w:val="24"/>
              </w:rPr>
              <w:t xml:space="preserve"> it was argued that the </w:t>
            </w:r>
            <w:r w:rsidRPr="009D7C3B">
              <w:rPr>
                <w:rFonts w:ascii="Arial" w:hAnsi="Arial" w:cs="Arial"/>
                <w:sz w:val="24"/>
                <w:szCs w:val="24"/>
                <w:lang w:val="en-ZA"/>
              </w:rPr>
              <w:t>applicant was found guilty of breach of Contract in that he ag</w:t>
            </w:r>
            <w:r w:rsidR="00E20A70" w:rsidRPr="009D7C3B">
              <w:rPr>
                <w:rFonts w:ascii="Arial" w:hAnsi="Arial" w:cs="Arial"/>
                <w:sz w:val="24"/>
                <w:szCs w:val="24"/>
                <w:lang w:val="en-ZA"/>
              </w:rPr>
              <w:t>reed in his employment contract that it would be a c</w:t>
            </w:r>
            <w:r w:rsidRPr="009D7C3B">
              <w:rPr>
                <w:rFonts w:ascii="Arial" w:hAnsi="Arial" w:cs="Arial"/>
                <w:sz w:val="24"/>
                <w:szCs w:val="24"/>
                <w:lang w:val="en-ZA"/>
              </w:rPr>
              <w:t xml:space="preserve">onflict of interest if he is doing business similar to the functions </w:t>
            </w:r>
            <w:r w:rsidR="00E20A70" w:rsidRPr="009D7C3B">
              <w:rPr>
                <w:rFonts w:ascii="Arial" w:hAnsi="Arial" w:cs="Arial"/>
                <w:sz w:val="24"/>
                <w:szCs w:val="24"/>
                <w:lang w:val="en-ZA"/>
              </w:rPr>
              <w:t>for which he was employed by first respondent</w:t>
            </w:r>
            <w:r w:rsidRPr="009D7C3B">
              <w:rPr>
                <w:rFonts w:ascii="Arial" w:hAnsi="Arial" w:cs="Arial"/>
                <w:sz w:val="24"/>
                <w:szCs w:val="24"/>
                <w:lang w:val="en-ZA"/>
              </w:rPr>
              <w:t xml:space="preserve"> and use parts and time during work hours to perform duties of another comp</w:t>
            </w:r>
            <w:r w:rsidR="00E20A70" w:rsidRPr="009D7C3B">
              <w:rPr>
                <w:rFonts w:ascii="Arial" w:hAnsi="Arial" w:cs="Arial"/>
                <w:sz w:val="24"/>
                <w:szCs w:val="24"/>
                <w:lang w:val="en-ZA"/>
              </w:rPr>
              <w:t>any. The arbitrator found that a</w:t>
            </w:r>
            <w:r w:rsidRPr="009D7C3B">
              <w:rPr>
                <w:rFonts w:ascii="Arial" w:hAnsi="Arial" w:cs="Arial"/>
                <w:sz w:val="24"/>
                <w:szCs w:val="24"/>
                <w:lang w:val="en-ZA"/>
              </w:rPr>
              <w:t xml:space="preserve">pplicant did admit guilt during the disciplinary hearing and that he did not disclose his other business interest (in competition with the </w:t>
            </w:r>
            <w:r w:rsidR="00E20A70" w:rsidRPr="009D7C3B">
              <w:rPr>
                <w:rFonts w:ascii="Arial" w:hAnsi="Arial" w:cs="Arial"/>
                <w:sz w:val="24"/>
                <w:szCs w:val="24"/>
                <w:lang w:val="en-ZA"/>
              </w:rPr>
              <w:t>first r</w:t>
            </w:r>
            <w:r w:rsidRPr="009D7C3B">
              <w:rPr>
                <w:rFonts w:ascii="Arial" w:hAnsi="Arial" w:cs="Arial"/>
                <w:sz w:val="24"/>
                <w:szCs w:val="24"/>
                <w:lang w:val="en-ZA"/>
              </w:rPr>
              <w:t xml:space="preserve">espondent) to the </w:t>
            </w:r>
            <w:r w:rsidR="00E20A70" w:rsidRPr="009D7C3B">
              <w:rPr>
                <w:rFonts w:ascii="Arial" w:hAnsi="Arial" w:cs="Arial"/>
                <w:sz w:val="24"/>
                <w:szCs w:val="24"/>
                <w:lang w:val="en-ZA"/>
              </w:rPr>
              <w:t>first r</w:t>
            </w:r>
            <w:r w:rsidRPr="009D7C3B">
              <w:rPr>
                <w:rFonts w:ascii="Arial" w:hAnsi="Arial" w:cs="Arial"/>
                <w:sz w:val="24"/>
                <w:szCs w:val="24"/>
                <w:lang w:val="en-ZA"/>
              </w:rPr>
              <w:t>espondent as his employer.</w:t>
            </w:r>
          </w:p>
          <w:p w:rsidR="009D7C3B" w:rsidRPr="009D7C3B" w:rsidRDefault="009D7C3B" w:rsidP="009D7C3B">
            <w:pPr>
              <w:pStyle w:val="ListParagraph"/>
              <w:rPr>
                <w:rFonts w:ascii="Arial" w:hAnsi="Arial" w:cs="Arial"/>
                <w:sz w:val="24"/>
                <w:szCs w:val="24"/>
                <w:lang w:val="en-ZA"/>
              </w:rPr>
            </w:pPr>
          </w:p>
          <w:p w:rsidR="00FB5F2C" w:rsidRPr="009D7C3B" w:rsidRDefault="00580C00" w:rsidP="007F0C90">
            <w:pPr>
              <w:pStyle w:val="ListParagraph"/>
              <w:numPr>
                <w:ilvl w:val="0"/>
                <w:numId w:val="47"/>
              </w:numPr>
              <w:spacing w:after="0" w:line="360" w:lineRule="auto"/>
              <w:ind w:left="0" w:firstLine="0"/>
              <w:jc w:val="both"/>
              <w:rPr>
                <w:rFonts w:ascii="Arial" w:hAnsi="Arial" w:cs="Arial"/>
                <w:sz w:val="24"/>
                <w:szCs w:val="24"/>
                <w:lang w:val="en-ZA"/>
              </w:rPr>
            </w:pPr>
            <w:r w:rsidRPr="009D7C3B">
              <w:rPr>
                <w:rFonts w:ascii="Arial" w:hAnsi="Arial" w:cs="Arial"/>
                <w:sz w:val="24"/>
                <w:szCs w:val="24"/>
                <w:lang w:val="en-ZA"/>
              </w:rPr>
              <w:t>It was also submitted that the applicant has not made out a case for good prospects of success for the appeal in his affidavit, which is a requirement. The nature of the misconduct and the fact that the employer’s code stipulate</w:t>
            </w:r>
            <w:r w:rsidR="00E20A70" w:rsidRPr="009D7C3B">
              <w:rPr>
                <w:rFonts w:ascii="Arial" w:hAnsi="Arial" w:cs="Arial"/>
                <w:sz w:val="24"/>
                <w:szCs w:val="24"/>
                <w:lang w:val="en-ZA"/>
              </w:rPr>
              <w:t>s</w:t>
            </w:r>
            <w:r w:rsidRPr="009D7C3B">
              <w:rPr>
                <w:rFonts w:ascii="Arial" w:hAnsi="Arial" w:cs="Arial"/>
                <w:sz w:val="24"/>
                <w:szCs w:val="24"/>
                <w:lang w:val="en-ZA"/>
              </w:rPr>
              <w:t xml:space="preserve"> dismissal as</w:t>
            </w:r>
            <w:r w:rsidR="00E20A70" w:rsidRPr="009D7C3B">
              <w:rPr>
                <w:rFonts w:ascii="Arial" w:hAnsi="Arial" w:cs="Arial"/>
                <w:sz w:val="24"/>
                <w:szCs w:val="24"/>
                <w:lang w:val="en-ZA"/>
              </w:rPr>
              <w:t xml:space="preserve"> an</w:t>
            </w:r>
            <w:r w:rsidRPr="009D7C3B">
              <w:rPr>
                <w:rFonts w:ascii="Arial" w:hAnsi="Arial" w:cs="Arial"/>
                <w:sz w:val="24"/>
                <w:szCs w:val="24"/>
                <w:lang w:val="en-ZA"/>
              </w:rPr>
              <w:t xml:space="preserve"> appropriate sanction for when its employees conducted services in competition with the employer is a breach of the fiduciary duties of an employee. On breach of such a duty there is an irretrievable breakdown of the employer-employee relationship as in addition to the codes stipulation</w:t>
            </w:r>
            <w:r w:rsidR="009D7C3B" w:rsidRPr="009D7C3B">
              <w:rPr>
                <w:rFonts w:ascii="Arial" w:hAnsi="Arial" w:cs="Arial"/>
                <w:sz w:val="24"/>
                <w:szCs w:val="24"/>
                <w:lang w:val="en-ZA"/>
              </w:rPr>
              <w:t>,</w:t>
            </w:r>
            <w:r w:rsidRPr="009D7C3B">
              <w:rPr>
                <w:rFonts w:ascii="Arial" w:hAnsi="Arial" w:cs="Arial"/>
                <w:sz w:val="24"/>
                <w:szCs w:val="24"/>
                <w:lang w:val="en-ZA"/>
              </w:rPr>
              <w:t xml:space="preserve"> the misconduct also resulted in a conflict of interest.</w:t>
            </w:r>
          </w:p>
          <w:p w:rsidR="00923BA4" w:rsidRDefault="00923BA4" w:rsidP="007F0C90">
            <w:pPr>
              <w:spacing w:after="0" w:line="360" w:lineRule="auto"/>
              <w:jc w:val="both"/>
              <w:rPr>
                <w:rFonts w:ascii="Arial" w:hAnsi="Arial" w:cs="Arial"/>
                <w:sz w:val="24"/>
                <w:szCs w:val="24"/>
              </w:rPr>
            </w:pPr>
          </w:p>
          <w:p w:rsidR="00A779DE" w:rsidRDefault="00A779DE" w:rsidP="007F0C90">
            <w:pPr>
              <w:spacing w:after="0" w:line="360" w:lineRule="auto"/>
              <w:jc w:val="both"/>
              <w:rPr>
                <w:rFonts w:ascii="Arial" w:hAnsi="Arial" w:cs="Arial"/>
                <w:sz w:val="24"/>
                <w:szCs w:val="24"/>
              </w:rPr>
            </w:pPr>
          </w:p>
          <w:p w:rsidR="00580C00" w:rsidRDefault="00580C00" w:rsidP="007F0C90">
            <w:pPr>
              <w:spacing w:after="0" w:line="360" w:lineRule="auto"/>
              <w:jc w:val="both"/>
              <w:rPr>
                <w:rFonts w:ascii="Arial" w:hAnsi="Arial" w:cs="Arial"/>
                <w:sz w:val="24"/>
                <w:szCs w:val="24"/>
                <w:u w:val="single"/>
              </w:rPr>
            </w:pPr>
            <w:r w:rsidRPr="00580C00">
              <w:rPr>
                <w:rFonts w:ascii="Arial" w:hAnsi="Arial" w:cs="Arial"/>
                <w:sz w:val="24"/>
                <w:szCs w:val="24"/>
                <w:u w:val="single"/>
              </w:rPr>
              <w:lastRenderedPageBreak/>
              <w:t>Legal considerations</w:t>
            </w:r>
          </w:p>
          <w:p w:rsidR="005A4749" w:rsidRPr="00580C00" w:rsidRDefault="005A4749" w:rsidP="007F0C90">
            <w:pPr>
              <w:spacing w:after="0" w:line="360" w:lineRule="auto"/>
              <w:jc w:val="both"/>
              <w:rPr>
                <w:rFonts w:ascii="Arial" w:hAnsi="Arial" w:cs="Arial"/>
                <w:sz w:val="24"/>
                <w:szCs w:val="24"/>
                <w:u w:val="single"/>
              </w:rPr>
            </w:pPr>
          </w:p>
          <w:p w:rsidR="00E60132" w:rsidRPr="009D7C3B" w:rsidRDefault="00E60132" w:rsidP="009D7C3B">
            <w:pPr>
              <w:pStyle w:val="ListParagraph"/>
              <w:numPr>
                <w:ilvl w:val="0"/>
                <w:numId w:val="47"/>
              </w:numPr>
              <w:spacing w:after="0" w:line="360" w:lineRule="auto"/>
              <w:ind w:left="0" w:firstLine="0"/>
              <w:jc w:val="both"/>
              <w:rPr>
                <w:rFonts w:ascii="Arial" w:hAnsi="Arial" w:cs="Arial"/>
                <w:sz w:val="24"/>
                <w:szCs w:val="24"/>
              </w:rPr>
            </w:pPr>
            <w:r w:rsidRPr="009D7C3B">
              <w:rPr>
                <w:rFonts w:ascii="Arial" w:hAnsi="Arial" w:cs="Arial"/>
                <w:sz w:val="24"/>
                <w:szCs w:val="24"/>
              </w:rPr>
              <w:t xml:space="preserve">Regarding the decision whether to grant condonation or not, the application must meet two requirements. In the matter of </w:t>
            </w:r>
            <w:r w:rsidRPr="009D7C3B">
              <w:rPr>
                <w:rFonts w:ascii="Arial" w:hAnsi="Arial" w:cs="Arial"/>
                <w:i/>
                <w:sz w:val="24"/>
                <w:szCs w:val="24"/>
              </w:rPr>
              <w:t xml:space="preserve">Telecom Namibia Limited v Mitchell </w:t>
            </w:r>
            <w:proofErr w:type="spellStart"/>
            <w:r w:rsidRPr="009D7C3B">
              <w:rPr>
                <w:rFonts w:ascii="Arial" w:hAnsi="Arial" w:cs="Arial"/>
                <w:i/>
                <w:sz w:val="24"/>
                <w:szCs w:val="24"/>
              </w:rPr>
              <w:t>Nangolo</w:t>
            </w:r>
            <w:proofErr w:type="spellEnd"/>
            <w:r w:rsidRPr="009D7C3B">
              <w:rPr>
                <w:rFonts w:ascii="Arial" w:hAnsi="Arial" w:cs="Arial"/>
                <w:i/>
                <w:sz w:val="24"/>
                <w:szCs w:val="24"/>
              </w:rPr>
              <w:t xml:space="preserve"> &amp; 34 Others</w:t>
            </w:r>
            <w:r w:rsidRPr="00E60132">
              <w:rPr>
                <w:i/>
                <w:vertAlign w:val="superscript"/>
              </w:rPr>
              <w:footnoteReference w:id="1"/>
            </w:r>
            <w:r w:rsidRPr="009D7C3B">
              <w:rPr>
                <w:rFonts w:ascii="Arial" w:hAnsi="Arial" w:cs="Arial"/>
                <w:sz w:val="24"/>
                <w:szCs w:val="24"/>
              </w:rPr>
              <w:t xml:space="preserve"> </w:t>
            </w:r>
            <w:r w:rsidR="009D7C3B">
              <w:rPr>
                <w:rFonts w:ascii="Arial" w:hAnsi="Arial" w:cs="Arial"/>
                <w:sz w:val="24"/>
                <w:szCs w:val="24"/>
              </w:rPr>
              <w:t>,</w:t>
            </w:r>
            <w:proofErr w:type="spellStart"/>
            <w:r w:rsidRPr="009D7C3B">
              <w:rPr>
                <w:rFonts w:ascii="Arial" w:hAnsi="Arial" w:cs="Arial"/>
                <w:sz w:val="24"/>
                <w:szCs w:val="24"/>
              </w:rPr>
              <w:t>Damaseb</w:t>
            </w:r>
            <w:proofErr w:type="spellEnd"/>
            <w:r w:rsidRPr="009D7C3B">
              <w:rPr>
                <w:rFonts w:ascii="Arial" w:hAnsi="Arial" w:cs="Arial"/>
                <w:sz w:val="24"/>
                <w:szCs w:val="24"/>
              </w:rPr>
              <w:t xml:space="preserve"> JP identified the following as principles guiding applications for condonation:</w:t>
            </w:r>
          </w:p>
          <w:p w:rsidR="00E60132" w:rsidRPr="00E60132" w:rsidRDefault="00E60132" w:rsidP="00E60132">
            <w:pPr>
              <w:spacing w:after="0" w:line="360" w:lineRule="auto"/>
              <w:jc w:val="both"/>
              <w:rPr>
                <w:rFonts w:ascii="Arial" w:hAnsi="Arial" w:cs="Arial"/>
                <w:sz w:val="24"/>
                <w:szCs w:val="24"/>
              </w:rPr>
            </w:pPr>
          </w:p>
          <w:p w:rsidR="00E60132" w:rsidRPr="00E60132" w:rsidRDefault="005A4749" w:rsidP="00E60132">
            <w:pPr>
              <w:spacing w:after="0" w:line="360" w:lineRule="auto"/>
              <w:jc w:val="both"/>
              <w:rPr>
                <w:rFonts w:ascii="Arial" w:hAnsi="Arial" w:cs="Arial"/>
              </w:rPr>
            </w:pPr>
            <w:r>
              <w:rPr>
                <w:rFonts w:ascii="Arial" w:hAnsi="Arial" w:cs="Arial"/>
              </w:rPr>
              <w:t xml:space="preserve">            ‘</w:t>
            </w:r>
            <w:r w:rsidR="00E60132" w:rsidRPr="00E60132">
              <w:rPr>
                <w:rFonts w:ascii="Arial" w:hAnsi="Arial" w:cs="Arial"/>
              </w:rPr>
              <w:t xml:space="preserve">1. </w:t>
            </w:r>
            <w:r>
              <w:rPr>
                <w:rFonts w:ascii="Arial" w:hAnsi="Arial" w:cs="Arial"/>
              </w:rPr>
              <w:t xml:space="preserve"> </w:t>
            </w:r>
            <w:r w:rsidR="00E60132" w:rsidRPr="00E60132">
              <w:rPr>
                <w:rFonts w:ascii="Arial" w:hAnsi="Arial" w:cs="Arial"/>
              </w:rPr>
              <w:t xml:space="preserve"> It is not a mere formality and will not be had for the asking. </w:t>
            </w:r>
            <w:r>
              <w:rPr>
                <w:rFonts w:ascii="Arial" w:hAnsi="Arial" w:cs="Arial"/>
              </w:rPr>
              <w:t xml:space="preserve">The party seeking </w:t>
            </w:r>
            <w:r w:rsidR="00E60132" w:rsidRPr="00E60132">
              <w:rPr>
                <w:rFonts w:ascii="Arial" w:hAnsi="Arial" w:cs="Arial"/>
              </w:rPr>
              <w:t>condonation bears the onus to satisfy the court that there is sufficient cause to warrant the grant of condonation.</w:t>
            </w:r>
          </w:p>
          <w:p w:rsidR="00E60132" w:rsidRPr="00E60132" w:rsidRDefault="00E60132" w:rsidP="005A4749">
            <w:pPr>
              <w:numPr>
                <w:ilvl w:val="0"/>
                <w:numId w:val="46"/>
              </w:numPr>
              <w:spacing w:after="0" w:line="360" w:lineRule="auto"/>
              <w:jc w:val="both"/>
              <w:rPr>
                <w:rFonts w:ascii="Arial" w:hAnsi="Arial" w:cs="Arial"/>
              </w:rPr>
            </w:pPr>
            <w:r w:rsidRPr="00E60132">
              <w:rPr>
                <w:rFonts w:ascii="Arial" w:hAnsi="Arial" w:cs="Arial"/>
              </w:rPr>
              <w:t>There must be an acceptable explanation for the delay or non-compliance. The explanation must be full, detailed and accurate.</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It must be sought as soon as the non-compliance has come to the fore. An application for condonation must be made without delay.</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The degree of delay is a relevant consideration;</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The entire period during which the delay had occurred and continued must be fully explained;</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There is a point beyond which the negligence of the legal practitioner will not avail the client that is legally represented. (Legal practitioners are expected to familiarize themselves with the rules of court).</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The applicant for condonation must demonstrate good prospects of success on the merits. But where the non-compliance with the rules of Court is flagrant and gross, prospects of success are not decisive.</w:t>
            </w:r>
          </w:p>
          <w:p w:rsidR="00E60132" w:rsidRPr="00E60132" w:rsidRDefault="00E60132" w:rsidP="00E60132">
            <w:pPr>
              <w:numPr>
                <w:ilvl w:val="0"/>
                <w:numId w:val="46"/>
              </w:numPr>
              <w:spacing w:after="0" w:line="360" w:lineRule="auto"/>
              <w:jc w:val="both"/>
              <w:rPr>
                <w:rFonts w:ascii="Arial" w:hAnsi="Arial" w:cs="Arial"/>
              </w:rPr>
            </w:pPr>
            <w:r w:rsidRPr="00E60132">
              <w:rPr>
                <w:rFonts w:ascii="Arial" w:hAnsi="Arial" w:cs="Arial"/>
              </w:rPr>
              <w:t xml:space="preserve">The applicant’s prospect of success is in general an important though not a decisive consideration. In the case of </w:t>
            </w:r>
            <w:proofErr w:type="spellStart"/>
            <w:r w:rsidRPr="00E60132">
              <w:rPr>
                <w:rFonts w:ascii="Arial" w:hAnsi="Arial" w:cs="Arial"/>
                <w:i/>
              </w:rPr>
              <w:t>Finbro</w:t>
            </w:r>
            <w:proofErr w:type="spellEnd"/>
            <w:r w:rsidRPr="00E60132">
              <w:rPr>
                <w:rFonts w:ascii="Arial" w:hAnsi="Arial" w:cs="Arial"/>
                <w:i/>
              </w:rPr>
              <w:t xml:space="preserve"> Furnishers (Pty) Ltd v Registrar of Deeds, Bloemfontein and </w:t>
            </w:r>
            <w:proofErr w:type="gramStart"/>
            <w:r w:rsidRPr="00E60132">
              <w:rPr>
                <w:rFonts w:ascii="Arial" w:hAnsi="Arial" w:cs="Arial"/>
                <w:i/>
              </w:rPr>
              <w:t xml:space="preserve">Others </w:t>
            </w:r>
            <w:r w:rsidRPr="00E60132">
              <w:rPr>
                <w:rFonts w:ascii="Arial" w:hAnsi="Arial" w:cs="Arial"/>
              </w:rPr>
              <w:t>,</w:t>
            </w:r>
            <w:proofErr w:type="gramEnd"/>
            <w:r w:rsidRPr="00E60132">
              <w:rPr>
                <w:rFonts w:ascii="Arial" w:hAnsi="Arial" w:cs="Arial"/>
              </w:rPr>
              <w:t xml:space="preserve"> </w:t>
            </w:r>
            <w:proofErr w:type="spellStart"/>
            <w:r w:rsidRPr="00E60132">
              <w:rPr>
                <w:rFonts w:ascii="Arial" w:hAnsi="Arial" w:cs="Arial"/>
              </w:rPr>
              <w:t>Hoexter</w:t>
            </w:r>
            <w:proofErr w:type="spellEnd"/>
            <w:r w:rsidRPr="00E60132">
              <w:rPr>
                <w:rFonts w:ascii="Arial" w:hAnsi="Arial" w:cs="Arial"/>
              </w:rPr>
              <w:t xml:space="preserve">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 </w:t>
            </w:r>
          </w:p>
          <w:p w:rsidR="00601E8D" w:rsidRPr="00E60132" w:rsidRDefault="00E60132" w:rsidP="007F0C90">
            <w:pPr>
              <w:numPr>
                <w:ilvl w:val="0"/>
                <w:numId w:val="46"/>
              </w:numPr>
              <w:spacing w:after="0" w:line="360" w:lineRule="auto"/>
              <w:jc w:val="both"/>
              <w:rPr>
                <w:rFonts w:ascii="Arial" w:hAnsi="Arial" w:cs="Arial"/>
              </w:rPr>
            </w:pPr>
            <w:r w:rsidRPr="00E60132">
              <w:rPr>
                <w:rFonts w:ascii="Arial" w:hAnsi="Arial" w:cs="Arial"/>
              </w:rPr>
              <w:t>If there are no prospects of success, there is no point in granting condonation.’</w:t>
            </w:r>
          </w:p>
          <w:p w:rsidR="00601E8D" w:rsidRDefault="00601E8D" w:rsidP="007F0C90">
            <w:pPr>
              <w:spacing w:after="0" w:line="360" w:lineRule="auto"/>
              <w:jc w:val="both"/>
              <w:rPr>
                <w:rFonts w:ascii="Arial" w:hAnsi="Arial" w:cs="Arial"/>
                <w:sz w:val="24"/>
                <w:szCs w:val="24"/>
              </w:rPr>
            </w:pPr>
          </w:p>
          <w:p w:rsidR="00E60132" w:rsidRPr="009D7C3B" w:rsidRDefault="00E60132" w:rsidP="009D7C3B">
            <w:pPr>
              <w:pStyle w:val="ListParagraph"/>
              <w:numPr>
                <w:ilvl w:val="0"/>
                <w:numId w:val="47"/>
              </w:numPr>
              <w:spacing w:after="0" w:line="360" w:lineRule="auto"/>
              <w:ind w:left="0" w:firstLine="0"/>
              <w:jc w:val="both"/>
              <w:rPr>
                <w:rFonts w:ascii="Arial" w:hAnsi="Arial" w:cs="Arial"/>
                <w:sz w:val="24"/>
                <w:szCs w:val="24"/>
                <w:lang w:val="en-ZA"/>
              </w:rPr>
            </w:pPr>
            <w:r w:rsidRPr="009D7C3B">
              <w:rPr>
                <w:rFonts w:ascii="Arial" w:hAnsi="Arial" w:cs="Arial"/>
                <w:sz w:val="24"/>
                <w:szCs w:val="24"/>
              </w:rPr>
              <w:t>Regarding the</w:t>
            </w:r>
            <w:r w:rsidR="009D7C3B" w:rsidRPr="009D7C3B">
              <w:rPr>
                <w:rFonts w:ascii="Arial" w:hAnsi="Arial" w:cs="Arial"/>
                <w:sz w:val="24"/>
                <w:szCs w:val="24"/>
              </w:rPr>
              <w:t xml:space="preserve"> impact of the </w:t>
            </w:r>
            <w:proofErr w:type="spellStart"/>
            <w:r w:rsidR="009D7C3B" w:rsidRPr="009D7C3B">
              <w:rPr>
                <w:rFonts w:ascii="Arial" w:hAnsi="Arial" w:cs="Arial"/>
                <w:sz w:val="24"/>
                <w:szCs w:val="24"/>
              </w:rPr>
              <w:t>misconduct</w:t>
            </w:r>
            <w:proofErr w:type="gramStart"/>
            <w:r w:rsidR="009D7C3B" w:rsidRPr="009D7C3B">
              <w:rPr>
                <w:rFonts w:ascii="Arial" w:hAnsi="Arial" w:cs="Arial"/>
                <w:sz w:val="24"/>
                <w:szCs w:val="24"/>
              </w:rPr>
              <w:t>,</w:t>
            </w:r>
            <w:r w:rsidRPr="009D7C3B">
              <w:rPr>
                <w:rFonts w:ascii="Arial" w:hAnsi="Arial" w:cs="Arial"/>
                <w:sz w:val="24"/>
                <w:szCs w:val="24"/>
              </w:rPr>
              <w:t>in</w:t>
            </w:r>
            <w:proofErr w:type="spellEnd"/>
            <w:proofErr w:type="gramEnd"/>
            <w:r w:rsidRPr="009D7C3B">
              <w:rPr>
                <w:rFonts w:ascii="Arial" w:hAnsi="Arial" w:cs="Arial"/>
                <w:sz w:val="24"/>
                <w:szCs w:val="24"/>
                <w:lang w:val="en-ZA"/>
              </w:rPr>
              <w:t xml:space="preserve"> </w:t>
            </w:r>
            <w:r w:rsidRPr="009D7C3B">
              <w:rPr>
                <w:rFonts w:ascii="Arial" w:hAnsi="Arial" w:cs="Arial"/>
                <w:i/>
                <w:sz w:val="24"/>
                <w:szCs w:val="24"/>
                <w:lang w:val="en-ZA"/>
              </w:rPr>
              <w:t xml:space="preserve">B2Gold Namibia (Pty) Ltd v </w:t>
            </w:r>
            <w:proofErr w:type="spellStart"/>
            <w:r w:rsidRPr="009D7C3B">
              <w:rPr>
                <w:rFonts w:ascii="Arial" w:hAnsi="Arial" w:cs="Arial"/>
                <w:i/>
                <w:sz w:val="24"/>
                <w:szCs w:val="24"/>
                <w:lang w:val="en-ZA"/>
              </w:rPr>
              <w:t>Kamundu</w:t>
            </w:r>
            <w:proofErr w:type="spellEnd"/>
            <w:r>
              <w:rPr>
                <w:rStyle w:val="FootnoteReference"/>
                <w:rFonts w:ascii="Arial" w:hAnsi="Arial" w:cs="Arial"/>
                <w:sz w:val="24"/>
                <w:szCs w:val="24"/>
                <w:lang w:val="en-ZA"/>
              </w:rPr>
              <w:footnoteReference w:id="2"/>
            </w:r>
            <w:r w:rsidRPr="009D7C3B">
              <w:rPr>
                <w:rFonts w:ascii="Arial" w:hAnsi="Arial" w:cs="Arial"/>
                <w:sz w:val="24"/>
                <w:szCs w:val="24"/>
                <w:lang w:val="en-ZA"/>
              </w:rPr>
              <w:t xml:space="preserve"> the employee was dismissed for theft. The Court held the following: </w:t>
            </w:r>
          </w:p>
          <w:p w:rsidR="00E60132" w:rsidRPr="00E60132" w:rsidRDefault="00E60132" w:rsidP="007F0C90">
            <w:pPr>
              <w:spacing w:after="0" w:line="360" w:lineRule="auto"/>
              <w:jc w:val="both"/>
              <w:rPr>
                <w:rFonts w:ascii="Arial" w:hAnsi="Arial" w:cs="Arial"/>
                <w:lang w:val="en-ZA"/>
              </w:rPr>
            </w:pPr>
          </w:p>
          <w:p w:rsidR="00E60132" w:rsidRPr="00E60132" w:rsidRDefault="005A4749" w:rsidP="007F0C90">
            <w:pPr>
              <w:spacing w:after="0" w:line="360" w:lineRule="auto"/>
              <w:jc w:val="both"/>
              <w:rPr>
                <w:rFonts w:ascii="Arial" w:hAnsi="Arial" w:cs="Arial"/>
                <w:lang w:val="en-ZA"/>
              </w:rPr>
            </w:pPr>
            <w:r>
              <w:rPr>
                <w:rFonts w:ascii="Arial" w:hAnsi="Arial" w:cs="Arial"/>
                <w:lang w:val="en-ZA"/>
              </w:rPr>
              <w:tab/>
              <w:t>‘</w:t>
            </w:r>
            <w:r w:rsidR="00E60132" w:rsidRPr="00E60132">
              <w:rPr>
                <w:rFonts w:ascii="Arial" w:hAnsi="Arial" w:cs="Arial"/>
                <w:lang w:val="en-ZA"/>
              </w:rPr>
              <w:t xml:space="preserve">[23] In the present matter, the arbitrator correctly found that theft is a dismissible misconduct. This is subject to a caveat – that is, that the dismissal must be warranted in the circumstances of the case. Dismissal will only be warranted if it is reasonable and not ‘dramatically wrong’ or ‘perverse’. The question </w:t>
            </w:r>
            <w:r w:rsidR="00E60132" w:rsidRPr="00E60132">
              <w:rPr>
                <w:rFonts w:ascii="Arial" w:hAnsi="Arial" w:cs="Arial"/>
                <w:lang w:val="en-ZA"/>
              </w:rPr>
              <w:lastRenderedPageBreak/>
              <w:t xml:space="preserve">is, whether the decision to dismiss was a sanction that no reasonable person acting fairly and reasonably could have imposed. </w:t>
            </w:r>
          </w:p>
          <w:p w:rsidR="00E60132" w:rsidRPr="00E60132" w:rsidRDefault="00E60132" w:rsidP="007F0C90">
            <w:pPr>
              <w:spacing w:after="0" w:line="360" w:lineRule="auto"/>
              <w:jc w:val="both"/>
              <w:rPr>
                <w:rFonts w:ascii="Arial" w:hAnsi="Arial" w:cs="Arial"/>
                <w:lang w:val="en-ZA"/>
              </w:rPr>
            </w:pPr>
          </w:p>
          <w:p w:rsidR="00E60132" w:rsidRPr="00E60132" w:rsidRDefault="00E60132" w:rsidP="007F0C90">
            <w:pPr>
              <w:spacing w:after="0" w:line="360" w:lineRule="auto"/>
              <w:jc w:val="both"/>
              <w:rPr>
                <w:rFonts w:ascii="Arial" w:hAnsi="Arial" w:cs="Arial"/>
                <w:lang w:val="en-ZA"/>
              </w:rPr>
            </w:pPr>
            <w:r w:rsidRPr="00E60132">
              <w:rPr>
                <w:rFonts w:ascii="Arial" w:hAnsi="Arial" w:cs="Arial"/>
                <w:lang w:val="en-ZA"/>
              </w:rPr>
              <w:t xml:space="preserve">[24] Counsel were ad idem and correctly so, that the decision, insofar as to what sanction to impose on an errant employee is concerned, rests with the employer. But that decision must be reasonable and fair. The arbitrator in her award merely pointed out that the sanction was excessive and that the dismissal was substantively unfair. She did not indicate what would in the circumstances have been an appropriate sanction. </w:t>
            </w:r>
          </w:p>
          <w:p w:rsidR="00E60132" w:rsidRPr="00E60132" w:rsidRDefault="00E60132" w:rsidP="007F0C90">
            <w:pPr>
              <w:spacing w:after="0" w:line="360" w:lineRule="auto"/>
              <w:jc w:val="both"/>
              <w:rPr>
                <w:rFonts w:ascii="Arial" w:hAnsi="Arial" w:cs="Arial"/>
                <w:lang w:val="en-ZA"/>
              </w:rPr>
            </w:pPr>
          </w:p>
          <w:p w:rsidR="00E60132" w:rsidRPr="00E60132" w:rsidRDefault="00E60132" w:rsidP="007F0C90">
            <w:pPr>
              <w:spacing w:after="0" w:line="360" w:lineRule="auto"/>
              <w:jc w:val="both"/>
              <w:rPr>
                <w:rFonts w:ascii="Arial" w:hAnsi="Arial" w:cs="Arial"/>
                <w:lang w:val="en-ZA"/>
              </w:rPr>
            </w:pPr>
            <w:r w:rsidRPr="00E60132">
              <w:rPr>
                <w:rFonts w:ascii="Arial" w:hAnsi="Arial" w:cs="Arial"/>
                <w:lang w:val="en-ZA"/>
              </w:rPr>
              <w:t xml:space="preserve">[25] Neither at the disciplinary hearing nor at the arbitration hearing did the appellant present evidence on how the misconduct of the respondent would impact the employer/employee relationship. </w:t>
            </w:r>
          </w:p>
          <w:p w:rsidR="00E60132" w:rsidRPr="00E60132" w:rsidRDefault="00E60132" w:rsidP="007F0C90">
            <w:pPr>
              <w:spacing w:after="0" w:line="360" w:lineRule="auto"/>
              <w:jc w:val="both"/>
              <w:rPr>
                <w:rFonts w:ascii="Arial" w:hAnsi="Arial" w:cs="Arial"/>
                <w:lang w:val="en-ZA"/>
              </w:rPr>
            </w:pPr>
          </w:p>
          <w:p w:rsidR="00E60132" w:rsidRPr="00E60132" w:rsidRDefault="00E60132" w:rsidP="007F0C90">
            <w:pPr>
              <w:spacing w:after="0" w:line="360" w:lineRule="auto"/>
              <w:jc w:val="both"/>
              <w:rPr>
                <w:rFonts w:ascii="Arial" w:hAnsi="Arial" w:cs="Arial"/>
                <w:lang w:val="en-ZA"/>
              </w:rPr>
            </w:pPr>
            <w:r w:rsidRPr="00E60132">
              <w:rPr>
                <w:rFonts w:ascii="Arial" w:hAnsi="Arial" w:cs="Arial"/>
                <w:lang w:val="en-ZA"/>
              </w:rPr>
              <w:t xml:space="preserve">[26] The record shows that the evidence led on behalf of the appellant was focused on and merely concentrated on establishing that the respondent had committed the act of theft. No evidence was led on behalf of the appellant as to how the misconduct by the respondent would affect their relationship. Section 33(1) and (4) of the Labour Act, 2007, places the burden on the employer to establish the substantive fairness of its decision to dismiss an employee. The arbitrator found that the appellant had failed to prove on a balance of probabilities that the appellant’s decision to dismiss the respondent was substantively fair. I am of the view that the finding is unassailable if regard to the evidence on record. </w:t>
            </w:r>
          </w:p>
          <w:p w:rsidR="00E60132" w:rsidRPr="00E60132" w:rsidRDefault="00E60132" w:rsidP="007F0C90">
            <w:pPr>
              <w:spacing w:after="0" w:line="360" w:lineRule="auto"/>
              <w:jc w:val="both"/>
              <w:rPr>
                <w:rFonts w:ascii="Arial" w:hAnsi="Arial" w:cs="Arial"/>
                <w:lang w:val="en-ZA"/>
              </w:rPr>
            </w:pPr>
          </w:p>
          <w:p w:rsidR="00601E8D" w:rsidRDefault="00E60132" w:rsidP="007F0C90">
            <w:pPr>
              <w:spacing w:after="0" w:line="360" w:lineRule="auto"/>
              <w:jc w:val="both"/>
              <w:rPr>
                <w:rFonts w:ascii="Arial" w:hAnsi="Arial" w:cs="Arial"/>
                <w:lang w:val="en-ZA"/>
              </w:rPr>
            </w:pPr>
            <w:r w:rsidRPr="00E60132">
              <w:rPr>
                <w:rFonts w:ascii="Arial" w:hAnsi="Arial" w:cs="Arial"/>
                <w:lang w:val="en-ZA"/>
              </w:rPr>
              <w:t>[27] The appellant’s failure to lead evidence that the respondent’s conduct would render the continuation of the employer/employee relationship unbearable is in my view, fatal to justification for the sanction. In my view this factor cannot</w:t>
            </w:r>
            <w:r w:rsidR="009D7C3B">
              <w:rPr>
                <w:rFonts w:ascii="Arial" w:hAnsi="Arial" w:cs="Arial"/>
                <w:lang w:val="en-ZA"/>
              </w:rPr>
              <w:t xml:space="preserve"> be assumed: it must be proved.’</w:t>
            </w:r>
          </w:p>
          <w:p w:rsidR="00E60132" w:rsidRDefault="00E60132" w:rsidP="007F0C90">
            <w:pPr>
              <w:spacing w:after="0" w:line="360" w:lineRule="auto"/>
              <w:jc w:val="both"/>
              <w:rPr>
                <w:rFonts w:ascii="Arial" w:hAnsi="Arial" w:cs="Arial"/>
                <w:lang w:val="en-ZA"/>
              </w:rPr>
            </w:pPr>
          </w:p>
          <w:p w:rsidR="00E60132" w:rsidRPr="004030E0" w:rsidRDefault="00E60132" w:rsidP="007F0C90">
            <w:pPr>
              <w:spacing w:after="0" w:line="360" w:lineRule="auto"/>
              <w:jc w:val="both"/>
              <w:rPr>
                <w:rFonts w:ascii="Arial" w:hAnsi="Arial" w:cs="Arial"/>
                <w:sz w:val="24"/>
                <w:szCs w:val="24"/>
                <w:u w:val="single"/>
              </w:rPr>
            </w:pPr>
            <w:r w:rsidRPr="004030E0">
              <w:rPr>
                <w:rFonts w:ascii="Arial" w:hAnsi="Arial" w:cs="Arial"/>
                <w:sz w:val="24"/>
                <w:szCs w:val="24"/>
                <w:u w:val="single"/>
                <w:lang w:val="en-ZA"/>
              </w:rPr>
              <w:t>Conclusion</w:t>
            </w:r>
          </w:p>
          <w:p w:rsidR="000D0F54" w:rsidRDefault="000D0F54" w:rsidP="007F0C90">
            <w:pPr>
              <w:spacing w:after="0" w:line="360" w:lineRule="auto"/>
              <w:jc w:val="both"/>
              <w:rPr>
                <w:rFonts w:ascii="Arial" w:hAnsi="Arial" w:cs="Arial"/>
                <w:sz w:val="24"/>
                <w:szCs w:val="24"/>
              </w:rPr>
            </w:pPr>
          </w:p>
          <w:p w:rsidR="00E60132" w:rsidRDefault="00601E8D" w:rsidP="007F0C90">
            <w:pPr>
              <w:spacing w:after="0" w:line="360" w:lineRule="auto"/>
              <w:jc w:val="both"/>
              <w:rPr>
                <w:rFonts w:ascii="Arial" w:hAnsi="Arial" w:cs="Arial"/>
                <w:sz w:val="24"/>
                <w:szCs w:val="24"/>
              </w:rPr>
            </w:pPr>
            <w:r w:rsidRPr="001E32E7">
              <w:rPr>
                <w:rFonts w:ascii="Arial" w:hAnsi="Arial" w:cs="Arial"/>
                <w:sz w:val="24"/>
                <w:szCs w:val="24"/>
              </w:rPr>
              <w:t>[10]</w:t>
            </w:r>
            <w:r w:rsidRPr="001E32E7">
              <w:rPr>
                <w:rFonts w:ascii="Arial" w:hAnsi="Arial" w:cs="Arial"/>
                <w:sz w:val="24"/>
                <w:szCs w:val="24"/>
              </w:rPr>
              <w:tab/>
            </w:r>
            <w:r w:rsidR="00E60132">
              <w:rPr>
                <w:rFonts w:ascii="Arial" w:hAnsi="Arial" w:cs="Arial"/>
                <w:sz w:val="24"/>
                <w:szCs w:val="24"/>
              </w:rPr>
              <w:t xml:space="preserve">The applicant satisfied the court that he, at all times intended to have his appeal heard although his initial attempts were unsuccessful due to the advice he received from </w:t>
            </w:r>
            <w:proofErr w:type="spellStart"/>
            <w:r w:rsidR="00E60132">
              <w:rPr>
                <w:rFonts w:ascii="Arial" w:hAnsi="Arial" w:cs="Arial"/>
                <w:sz w:val="24"/>
                <w:szCs w:val="24"/>
              </w:rPr>
              <w:t>labour</w:t>
            </w:r>
            <w:proofErr w:type="spellEnd"/>
            <w:r w:rsidR="00E60132">
              <w:rPr>
                <w:rFonts w:ascii="Arial" w:hAnsi="Arial" w:cs="Arial"/>
                <w:sz w:val="24"/>
                <w:szCs w:val="24"/>
              </w:rPr>
              <w:t xml:space="preserve"> consultants.  He explained these periods as well as dealt with his prospects of success if the matter should be heard as an appeal.</w:t>
            </w:r>
          </w:p>
          <w:p w:rsidR="00E60132" w:rsidRDefault="00E60132" w:rsidP="007F0C90">
            <w:pPr>
              <w:spacing w:after="0" w:line="360" w:lineRule="auto"/>
              <w:jc w:val="both"/>
              <w:rPr>
                <w:rFonts w:ascii="Arial" w:hAnsi="Arial" w:cs="Arial"/>
                <w:sz w:val="24"/>
                <w:szCs w:val="24"/>
              </w:rPr>
            </w:pPr>
          </w:p>
          <w:p w:rsidR="000D0F54" w:rsidRDefault="00601E8D" w:rsidP="007F0C90">
            <w:pPr>
              <w:spacing w:after="0" w:line="360" w:lineRule="auto"/>
              <w:jc w:val="both"/>
              <w:rPr>
                <w:rFonts w:ascii="Arial" w:hAnsi="Arial" w:cs="Arial"/>
                <w:sz w:val="24"/>
                <w:szCs w:val="24"/>
              </w:rPr>
            </w:pPr>
            <w:r w:rsidRPr="001E32E7">
              <w:rPr>
                <w:rFonts w:ascii="Arial" w:hAnsi="Arial" w:cs="Arial"/>
                <w:sz w:val="24"/>
                <w:szCs w:val="24"/>
              </w:rPr>
              <w:t>[</w:t>
            </w:r>
            <w:r w:rsidR="00E60132">
              <w:rPr>
                <w:rFonts w:ascii="Arial" w:hAnsi="Arial" w:cs="Arial"/>
                <w:sz w:val="24"/>
                <w:szCs w:val="24"/>
              </w:rPr>
              <w:t>11</w:t>
            </w:r>
            <w:r w:rsidRPr="001E32E7">
              <w:rPr>
                <w:rFonts w:ascii="Arial" w:hAnsi="Arial" w:cs="Arial"/>
                <w:sz w:val="24"/>
                <w:szCs w:val="24"/>
              </w:rPr>
              <w:t>]</w:t>
            </w:r>
            <w:r w:rsidRPr="001E32E7">
              <w:rPr>
                <w:rFonts w:ascii="Arial" w:hAnsi="Arial" w:cs="Arial"/>
                <w:sz w:val="24"/>
                <w:szCs w:val="24"/>
              </w:rPr>
              <w:tab/>
            </w:r>
            <w:r w:rsidR="00A7631F">
              <w:rPr>
                <w:rFonts w:ascii="Arial" w:hAnsi="Arial" w:cs="Arial"/>
                <w:sz w:val="24"/>
                <w:szCs w:val="24"/>
              </w:rPr>
              <w:t>In the result, I make the following order:</w:t>
            </w:r>
          </w:p>
          <w:p w:rsidR="000D0F54" w:rsidRPr="001E32E7" w:rsidRDefault="000D0F54" w:rsidP="007F0C90">
            <w:pPr>
              <w:spacing w:after="0" w:line="360" w:lineRule="auto"/>
              <w:jc w:val="both"/>
              <w:rPr>
                <w:rFonts w:ascii="Arial" w:hAnsi="Arial" w:cs="Arial"/>
                <w:sz w:val="24"/>
                <w:szCs w:val="24"/>
              </w:rPr>
            </w:pPr>
          </w:p>
          <w:p w:rsidR="00E623B8"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E60132">
              <w:rPr>
                <w:rFonts w:ascii="Arial" w:hAnsi="Arial" w:cs="Arial"/>
                <w:sz w:val="24"/>
                <w:szCs w:val="24"/>
              </w:rPr>
              <w:t>The court grants condonation for the late noting of the appeal</w:t>
            </w:r>
            <w:r w:rsidR="00E806D9">
              <w:rPr>
                <w:rFonts w:ascii="Arial" w:hAnsi="Arial" w:cs="Arial"/>
                <w:sz w:val="24"/>
                <w:szCs w:val="24"/>
              </w:rPr>
              <w:t xml:space="preserve"> and the appeal is re-instated.</w:t>
            </w:r>
          </w:p>
          <w:p w:rsidR="00626D05" w:rsidRPr="00A91522" w:rsidRDefault="00E623B8" w:rsidP="00E60132">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E60132">
              <w:rPr>
                <w:rFonts w:ascii="Arial" w:hAnsi="Arial" w:cs="Arial"/>
                <w:sz w:val="24"/>
                <w:szCs w:val="24"/>
              </w:rPr>
              <w:t>No order as to costs.</w:t>
            </w:r>
            <w:r w:rsidRPr="001E32E7">
              <w:rPr>
                <w:rFonts w:ascii="Arial" w:hAnsi="Arial" w:cs="Arial"/>
                <w:sz w:val="24"/>
                <w:szCs w:val="24"/>
              </w:rPr>
              <w:tab/>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lastRenderedPageBreak/>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2F3F5B" w:rsidP="002F3F5B">
            <w:pPr>
              <w:spacing w:after="0" w:line="360" w:lineRule="auto"/>
              <w:jc w:val="center"/>
              <w:rPr>
                <w:rFonts w:ascii="Arial" w:hAnsi="Arial" w:cs="Arial"/>
                <w:b/>
                <w:sz w:val="24"/>
                <w:szCs w:val="24"/>
              </w:rPr>
            </w:pPr>
            <w:r>
              <w:rPr>
                <w:rFonts w:ascii="Arial" w:hAnsi="Arial" w:cs="Arial"/>
                <w:b/>
                <w:sz w:val="24"/>
                <w:szCs w:val="24"/>
              </w:rPr>
              <w:t>Applicant</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E64C54" w:rsidP="002F3F5B">
            <w:pPr>
              <w:spacing w:after="0" w:line="360" w:lineRule="auto"/>
              <w:jc w:val="center"/>
              <w:rPr>
                <w:rFonts w:ascii="Arial" w:hAnsi="Arial" w:cs="Arial"/>
                <w:b/>
                <w:sz w:val="24"/>
                <w:szCs w:val="24"/>
              </w:rPr>
            </w:pPr>
            <w:r>
              <w:rPr>
                <w:rFonts w:ascii="Arial" w:eastAsia="Times New Roman" w:hAnsi="Arial" w:cs="Arial"/>
                <w:b/>
                <w:sz w:val="24"/>
                <w:szCs w:val="24"/>
                <w:lang w:eastAsia="en-GB"/>
              </w:rPr>
              <w:t>First</w:t>
            </w:r>
            <w:r w:rsidR="002F3F5B">
              <w:rPr>
                <w:rFonts w:ascii="Arial" w:eastAsia="Times New Roman" w:hAnsi="Arial" w:cs="Arial"/>
                <w:b/>
                <w:sz w:val="24"/>
                <w:szCs w:val="24"/>
                <w:lang w:eastAsia="en-GB"/>
              </w:rPr>
              <w:t xml:space="preserve"> Respondent(</w:t>
            </w:r>
            <w:r w:rsidR="00C9470C">
              <w:rPr>
                <w:rFonts w:ascii="Arial" w:eastAsia="Times New Roman" w:hAnsi="Arial" w:cs="Arial"/>
                <w:b/>
                <w:sz w:val="24"/>
                <w:szCs w:val="24"/>
                <w:lang w:eastAsia="en-GB"/>
              </w:rPr>
              <w:t>s</w:t>
            </w:r>
            <w:r w:rsidR="002F3F5B">
              <w:rPr>
                <w:rFonts w:ascii="Arial" w:eastAsia="Times New Roman" w:hAnsi="Arial" w:cs="Arial"/>
                <w:b/>
                <w:sz w:val="24"/>
                <w:szCs w:val="24"/>
                <w:lang w:eastAsia="en-GB"/>
              </w:rPr>
              <w:t>)</w:t>
            </w:r>
            <w:r w:rsidR="004378DA"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2F3F5B" w:rsidRPr="002F3F5B" w:rsidRDefault="002F3F5B" w:rsidP="005A4749">
            <w:pPr>
              <w:spacing w:after="0" w:line="360" w:lineRule="auto"/>
              <w:jc w:val="center"/>
              <w:rPr>
                <w:rFonts w:ascii="Arial" w:hAnsi="Arial" w:cs="Arial"/>
                <w:sz w:val="24"/>
                <w:szCs w:val="24"/>
                <w:shd w:val="clear" w:color="auto" w:fill="FFFFFF"/>
              </w:rPr>
            </w:pPr>
            <w:r w:rsidRPr="002F3F5B">
              <w:rPr>
                <w:rFonts w:ascii="Arial" w:hAnsi="Arial" w:cs="Arial"/>
                <w:sz w:val="24"/>
                <w:szCs w:val="24"/>
                <w:shd w:val="clear" w:color="auto" w:fill="FFFFFF"/>
              </w:rPr>
              <w:t>E Coetzee</w:t>
            </w:r>
          </w:p>
          <w:p w:rsidR="005B7BF9" w:rsidRPr="002F3F5B" w:rsidRDefault="002F3F5B" w:rsidP="005A4749">
            <w:pPr>
              <w:spacing w:after="0" w:line="360" w:lineRule="auto"/>
              <w:jc w:val="center"/>
              <w:rPr>
                <w:rFonts w:ascii="Arial" w:hAnsi="Arial" w:cs="Arial"/>
                <w:sz w:val="24"/>
                <w:szCs w:val="24"/>
                <w:shd w:val="clear" w:color="auto" w:fill="FFFFFF"/>
              </w:rPr>
            </w:pPr>
            <w:r w:rsidRPr="002F3F5B">
              <w:rPr>
                <w:rFonts w:ascii="Arial" w:hAnsi="Arial" w:cs="Arial"/>
                <w:sz w:val="24"/>
                <w:szCs w:val="24"/>
                <w:shd w:val="clear" w:color="auto" w:fill="FFFFFF"/>
              </w:rPr>
              <w:t xml:space="preserve">Of </w:t>
            </w:r>
            <w:proofErr w:type="spellStart"/>
            <w:r w:rsidRPr="002F3F5B">
              <w:rPr>
                <w:rFonts w:ascii="Arial" w:hAnsi="Arial" w:cs="Arial"/>
                <w:sz w:val="24"/>
                <w:szCs w:val="24"/>
                <w:shd w:val="clear" w:color="auto" w:fill="FFFFFF"/>
              </w:rPr>
              <w:t>Tjitemisa</w:t>
            </w:r>
            <w:proofErr w:type="spellEnd"/>
            <w:r w:rsidRPr="002F3F5B">
              <w:rPr>
                <w:rFonts w:ascii="Arial" w:hAnsi="Arial" w:cs="Arial"/>
                <w:sz w:val="24"/>
                <w:szCs w:val="24"/>
                <w:shd w:val="clear" w:color="auto" w:fill="FFFFFF"/>
              </w:rPr>
              <w:t xml:space="preserve"> &amp; Associates</w:t>
            </w:r>
            <w:r w:rsidR="00C9470C" w:rsidRPr="002F3F5B">
              <w:rPr>
                <w:rFonts w:ascii="Arial" w:hAnsi="Arial" w:cs="Arial"/>
                <w:sz w:val="24"/>
                <w:szCs w:val="24"/>
                <w:shd w:val="clear" w:color="auto" w:fill="FFFFFF"/>
              </w:rPr>
              <w:t>, Windhoek</w:t>
            </w:r>
          </w:p>
          <w:p w:rsidR="002F3F5B" w:rsidRPr="002F3F5B" w:rsidRDefault="002F3F5B" w:rsidP="002F3F5B">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2F3F5B" w:rsidRDefault="002F3F5B" w:rsidP="005A4749">
            <w:pPr>
              <w:spacing w:after="0" w:line="360" w:lineRule="auto"/>
              <w:jc w:val="center"/>
              <w:rPr>
                <w:rFonts w:ascii="Arial" w:hAnsi="Arial" w:cs="Arial"/>
                <w:sz w:val="24"/>
                <w:szCs w:val="24"/>
                <w:shd w:val="clear" w:color="auto" w:fill="FFFFFF"/>
              </w:rPr>
            </w:pPr>
            <w:r w:rsidRPr="002F3F5B">
              <w:rPr>
                <w:rFonts w:ascii="Arial" w:hAnsi="Arial" w:cs="Arial"/>
                <w:sz w:val="24"/>
                <w:szCs w:val="24"/>
                <w:shd w:val="clear" w:color="auto" w:fill="FFFFFF"/>
              </w:rPr>
              <w:t>P De Beer</w:t>
            </w:r>
          </w:p>
          <w:p w:rsidR="005B7BF9" w:rsidRPr="002F3F5B" w:rsidRDefault="002F3F5B" w:rsidP="005A4749">
            <w:pPr>
              <w:spacing w:after="0" w:line="360" w:lineRule="auto"/>
              <w:jc w:val="center"/>
              <w:rPr>
                <w:rFonts w:ascii="Arial" w:eastAsia="Times New Roman" w:hAnsi="Arial" w:cs="Arial"/>
                <w:sz w:val="24"/>
                <w:szCs w:val="24"/>
                <w:lang w:eastAsia="en-GB"/>
              </w:rPr>
            </w:pPr>
            <w:r w:rsidRPr="002F3F5B">
              <w:rPr>
                <w:rFonts w:ascii="Arial" w:hAnsi="Arial" w:cs="Arial"/>
                <w:sz w:val="24"/>
                <w:szCs w:val="24"/>
                <w:shd w:val="clear" w:color="auto" w:fill="FFFFFF"/>
              </w:rPr>
              <w:t>Of De Beer Law Chambers</w:t>
            </w:r>
            <w:r w:rsidR="00C9470C" w:rsidRPr="002F3F5B">
              <w:rPr>
                <w:rFonts w:ascii="Arial" w:hAnsi="Arial" w:cs="Arial"/>
                <w:sz w:val="24"/>
                <w:szCs w:val="24"/>
                <w:shd w:val="clear" w:color="auto" w:fill="FFFFFF"/>
              </w:rPr>
              <w:t>, Windhoek</w:t>
            </w:r>
          </w:p>
        </w:tc>
      </w:tr>
    </w:tbl>
    <w:p w:rsidR="007D437D" w:rsidRDefault="007D437D" w:rsidP="007F0C90">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5C" w:rsidRDefault="003F155C" w:rsidP="001B7253">
      <w:pPr>
        <w:spacing w:after="0" w:line="240" w:lineRule="auto"/>
      </w:pPr>
      <w:r>
        <w:separator/>
      </w:r>
    </w:p>
  </w:endnote>
  <w:endnote w:type="continuationSeparator" w:id="0">
    <w:p w:rsidR="003F155C" w:rsidRDefault="003F155C"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5C" w:rsidRDefault="003F155C" w:rsidP="001B7253">
      <w:pPr>
        <w:spacing w:after="0" w:line="240" w:lineRule="auto"/>
      </w:pPr>
      <w:r>
        <w:separator/>
      </w:r>
    </w:p>
  </w:footnote>
  <w:footnote w:type="continuationSeparator" w:id="0">
    <w:p w:rsidR="003F155C" w:rsidRDefault="003F155C" w:rsidP="001B7253">
      <w:pPr>
        <w:spacing w:after="0" w:line="240" w:lineRule="auto"/>
      </w:pPr>
      <w:r>
        <w:continuationSeparator/>
      </w:r>
    </w:p>
  </w:footnote>
  <w:footnote w:id="1">
    <w:p w:rsidR="00E60132" w:rsidRPr="005A4749" w:rsidRDefault="00E60132" w:rsidP="00E60132">
      <w:pPr>
        <w:pStyle w:val="FootnoteText"/>
        <w:rPr>
          <w:rFonts w:ascii="Arial" w:hAnsi="Arial" w:cs="Arial"/>
          <w:lang w:val="en-US"/>
        </w:rPr>
      </w:pPr>
      <w:r>
        <w:rPr>
          <w:rStyle w:val="FootnoteReference"/>
        </w:rPr>
        <w:footnoteRef/>
      </w:r>
      <w:r>
        <w:t xml:space="preserve"> </w:t>
      </w:r>
      <w:proofErr w:type="spellStart"/>
      <w:r w:rsidRPr="005A4749">
        <w:rPr>
          <w:rFonts w:ascii="Arial" w:hAnsi="Arial" w:cs="Arial"/>
          <w:i/>
          <w:iCs/>
        </w:rPr>
        <w:t>Telcom</w:t>
      </w:r>
      <w:proofErr w:type="spellEnd"/>
      <w:r w:rsidRPr="005A4749">
        <w:rPr>
          <w:rFonts w:ascii="Arial" w:hAnsi="Arial" w:cs="Arial"/>
          <w:i/>
          <w:iCs/>
        </w:rPr>
        <w:t xml:space="preserve"> Namibia Limited v </w:t>
      </w:r>
      <w:proofErr w:type="spellStart"/>
      <w:r w:rsidRPr="005A4749">
        <w:rPr>
          <w:rFonts w:ascii="Arial" w:hAnsi="Arial" w:cs="Arial"/>
          <w:i/>
          <w:iCs/>
        </w:rPr>
        <w:t>Nangolo</w:t>
      </w:r>
      <w:proofErr w:type="spellEnd"/>
      <w:r w:rsidRPr="005A4749">
        <w:rPr>
          <w:rFonts w:ascii="Arial" w:hAnsi="Arial" w:cs="Arial"/>
          <w:i/>
          <w:iCs/>
        </w:rPr>
        <w:t xml:space="preserve"> and Others </w:t>
      </w:r>
      <w:r w:rsidRPr="005A4749">
        <w:rPr>
          <w:rFonts w:ascii="Arial" w:hAnsi="Arial" w:cs="Arial"/>
        </w:rPr>
        <w:t>(LC 33 of 2009) [2012] NALC 15 (28 May 2012)</w:t>
      </w:r>
      <w:r w:rsidR="005A4749">
        <w:rPr>
          <w:rFonts w:ascii="Arial" w:hAnsi="Arial" w:cs="Arial"/>
        </w:rPr>
        <w:t>.</w:t>
      </w:r>
    </w:p>
  </w:footnote>
  <w:footnote w:id="2">
    <w:p w:rsidR="00E60132" w:rsidRPr="005A4749" w:rsidRDefault="00E60132" w:rsidP="005A4749">
      <w:pPr>
        <w:pStyle w:val="FootnoteText"/>
        <w:jc w:val="both"/>
        <w:rPr>
          <w:rFonts w:ascii="Arial" w:hAnsi="Arial" w:cs="Arial"/>
          <w:lang w:val="en-US"/>
        </w:rPr>
      </w:pPr>
      <w:r w:rsidRPr="005A4749">
        <w:rPr>
          <w:rStyle w:val="FootnoteReference"/>
          <w:rFonts w:ascii="Arial" w:hAnsi="Arial" w:cs="Arial"/>
        </w:rPr>
        <w:footnoteRef/>
      </w:r>
      <w:r w:rsidRPr="005A4749">
        <w:rPr>
          <w:rFonts w:ascii="Arial" w:hAnsi="Arial" w:cs="Arial"/>
        </w:rPr>
        <w:t xml:space="preserve"> </w:t>
      </w:r>
      <w:r w:rsidRPr="005A4749">
        <w:rPr>
          <w:rFonts w:ascii="Arial" w:hAnsi="Arial" w:cs="Arial"/>
          <w:i/>
        </w:rPr>
        <w:t xml:space="preserve">B2Gold Namibia (Pty) Ltd v </w:t>
      </w:r>
      <w:proofErr w:type="spellStart"/>
      <w:r w:rsidRPr="005A4749">
        <w:rPr>
          <w:rFonts w:ascii="Arial" w:hAnsi="Arial" w:cs="Arial"/>
          <w:i/>
        </w:rPr>
        <w:t>Kamundu</w:t>
      </w:r>
      <w:proofErr w:type="spellEnd"/>
      <w:r w:rsidRPr="005A4749">
        <w:rPr>
          <w:rFonts w:ascii="Arial" w:hAnsi="Arial" w:cs="Arial"/>
        </w:rPr>
        <w:t xml:space="preserve"> (HC-MD-LAB-APP-AAA-2018/00062) [2019] NALCMD 35 (4 December 2019</w:t>
      </w:r>
      <w:r w:rsidR="005A474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9B2E99">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16A1A50"/>
    <w:multiLevelType w:val="hybridMultilevel"/>
    <w:tmpl w:val="F134DED8"/>
    <w:lvl w:ilvl="0" w:tplc="A77CE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6"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9"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1"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2"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15:restartNumberingAfterBreak="0">
    <w:nsid w:val="7F566DA9"/>
    <w:multiLevelType w:val="hybridMultilevel"/>
    <w:tmpl w:val="C3B2F5F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8"/>
  </w:num>
  <w:num w:numId="4">
    <w:abstractNumId w:val="9"/>
  </w:num>
  <w:num w:numId="5">
    <w:abstractNumId w:val="39"/>
  </w:num>
  <w:num w:numId="6">
    <w:abstractNumId w:val="41"/>
  </w:num>
  <w:num w:numId="7">
    <w:abstractNumId w:val="24"/>
  </w:num>
  <w:num w:numId="8">
    <w:abstractNumId w:val="38"/>
  </w:num>
  <w:num w:numId="9">
    <w:abstractNumId w:val="35"/>
  </w:num>
  <w:num w:numId="10">
    <w:abstractNumId w:val="15"/>
  </w:num>
  <w:num w:numId="11">
    <w:abstractNumId w:val="27"/>
  </w:num>
  <w:num w:numId="12">
    <w:abstractNumId w:val="43"/>
  </w:num>
  <w:num w:numId="13">
    <w:abstractNumId w:val="4"/>
  </w:num>
  <w:num w:numId="14">
    <w:abstractNumId w:val="22"/>
  </w:num>
  <w:num w:numId="15">
    <w:abstractNumId w:val="32"/>
  </w:num>
  <w:num w:numId="16">
    <w:abstractNumId w:val="7"/>
  </w:num>
  <w:num w:numId="17">
    <w:abstractNumId w:val="31"/>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40"/>
  </w:num>
  <w:num w:numId="27">
    <w:abstractNumId w:val="45"/>
  </w:num>
  <w:num w:numId="28">
    <w:abstractNumId w:val="14"/>
  </w:num>
  <w:num w:numId="29">
    <w:abstractNumId w:val="30"/>
  </w:num>
  <w:num w:numId="30">
    <w:abstractNumId w:val="23"/>
  </w:num>
  <w:num w:numId="31">
    <w:abstractNumId w:val="33"/>
  </w:num>
  <w:num w:numId="32">
    <w:abstractNumId w:val="37"/>
  </w:num>
  <w:num w:numId="33">
    <w:abstractNumId w:val="34"/>
  </w:num>
  <w:num w:numId="34">
    <w:abstractNumId w:val="0"/>
  </w:num>
  <w:num w:numId="35">
    <w:abstractNumId w:val="19"/>
  </w:num>
  <w:num w:numId="36">
    <w:abstractNumId w:val="36"/>
  </w:num>
  <w:num w:numId="37">
    <w:abstractNumId w:val="11"/>
  </w:num>
  <w:num w:numId="38">
    <w:abstractNumId w:val="8"/>
  </w:num>
  <w:num w:numId="39">
    <w:abstractNumId w:val="12"/>
  </w:num>
  <w:num w:numId="40">
    <w:abstractNumId w:val="1"/>
  </w:num>
  <w:num w:numId="41">
    <w:abstractNumId w:val="2"/>
  </w:num>
  <w:num w:numId="42">
    <w:abstractNumId w:val="42"/>
  </w:num>
  <w:num w:numId="43">
    <w:abstractNumId w:val="17"/>
  </w:num>
  <w:num w:numId="44">
    <w:abstractNumId w:val="29"/>
  </w:num>
  <w:num w:numId="45">
    <w:abstractNumId w:val="5"/>
  </w:num>
  <w:num w:numId="46">
    <w:abstractNumId w:val="2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2EF5"/>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36EA"/>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3479"/>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4A76"/>
    <w:rsid w:val="0026521E"/>
    <w:rsid w:val="002653C3"/>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4AC9"/>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3F5B"/>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5D74"/>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155C"/>
    <w:rsid w:val="003F39B9"/>
    <w:rsid w:val="003F49A2"/>
    <w:rsid w:val="003F7423"/>
    <w:rsid w:val="00400D2C"/>
    <w:rsid w:val="00402402"/>
    <w:rsid w:val="004025BD"/>
    <w:rsid w:val="004030E0"/>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338F"/>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0C00"/>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749"/>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3745"/>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7DF"/>
    <w:rsid w:val="00642A84"/>
    <w:rsid w:val="00642FCD"/>
    <w:rsid w:val="00644497"/>
    <w:rsid w:val="00645393"/>
    <w:rsid w:val="006462B3"/>
    <w:rsid w:val="00652738"/>
    <w:rsid w:val="00653C4F"/>
    <w:rsid w:val="00655674"/>
    <w:rsid w:val="00655AF5"/>
    <w:rsid w:val="00656F9B"/>
    <w:rsid w:val="00662932"/>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5C00"/>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2B86"/>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64FF"/>
    <w:rsid w:val="0082787C"/>
    <w:rsid w:val="008311FE"/>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2E99"/>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D7C3B"/>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3806"/>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779DE"/>
    <w:rsid w:val="00A81F7C"/>
    <w:rsid w:val="00A90FCE"/>
    <w:rsid w:val="00A91522"/>
    <w:rsid w:val="00A92057"/>
    <w:rsid w:val="00A925EE"/>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16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18D8"/>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3B2C"/>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0A70"/>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0132"/>
    <w:rsid w:val="00E623B8"/>
    <w:rsid w:val="00E62D01"/>
    <w:rsid w:val="00E6382D"/>
    <w:rsid w:val="00E6443A"/>
    <w:rsid w:val="00E64C54"/>
    <w:rsid w:val="00E652B1"/>
    <w:rsid w:val="00E65441"/>
    <w:rsid w:val="00E65FD7"/>
    <w:rsid w:val="00E70B01"/>
    <w:rsid w:val="00E70E40"/>
    <w:rsid w:val="00E74911"/>
    <w:rsid w:val="00E75BA7"/>
    <w:rsid w:val="00E75DD2"/>
    <w:rsid w:val="00E774D1"/>
    <w:rsid w:val="00E806D9"/>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37"/>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2023-08-10T18:30:00+00:00</Judgment_x0020_Date>
    <Year xmlns="aec0a7e9-5f5c-4ba9-87b2-85cfc8a38b86">2023</Year>
  </documentManagement>
</p:properties>
</file>

<file path=customXml/itemProps1.xml><?xml version="1.0" encoding="utf-8"?>
<ds:datastoreItem xmlns:ds="http://schemas.openxmlformats.org/officeDocument/2006/customXml" ds:itemID="{4320C948-92AB-46AB-89B1-C37CD9C26AC0}"/>
</file>

<file path=customXml/itemProps2.xml><?xml version="1.0" encoding="utf-8"?>
<ds:datastoreItem xmlns:ds="http://schemas.openxmlformats.org/officeDocument/2006/customXml" ds:itemID="{C15F3E80-1973-4EC9-99FD-1EC2B0A70E63}"/>
</file>

<file path=customXml/itemProps3.xml><?xml version="1.0" encoding="utf-8"?>
<ds:datastoreItem xmlns:ds="http://schemas.openxmlformats.org/officeDocument/2006/customXml" ds:itemID="{00206EFD-0DA4-4934-82B3-FD2E674A0089}"/>
</file>

<file path=customXml/itemProps4.xml><?xml version="1.0" encoding="utf-8"?>
<ds:datastoreItem xmlns:ds="http://schemas.openxmlformats.org/officeDocument/2006/customXml" ds:itemID="{C47F5F67-3539-4424-B585-27ADFC45691F}"/>
</file>

<file path=docProps/app.xml><?xml version="1.0" encoding="utf-8"?>
<Properties xmlns="http://schemas.openxmlformats.org/officeDocument/2006/extended-properties" xmlns:vt="http://schemas.openxmlformats.org/officeDocument/2006/docPropsVTypes">
  <Template>Normal</Template>
  <TotalTime>8</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v Namibia Office Equipment Company (Pty) Ltd (HC-MD-LAB-APP-AAA-2023-00005) [2023] NALCMD 33 (11 August 2023)</dc:title>
  <dc:subject/>
  <dc:creator>Selma Nambahu</dc:creator>
  <cp:keywords/>
  <dc:description/>
  <cp:lastModifiedBy>Selma Nambahu</cp:lastModifiedBy>
  <cp:revision>4</cp:revision>
  <cp:lastPrinted>2023-08-10T13:38:00Z</cp:lastPrinted>
  <dcterms:created xsi:type="dcterms:W3CDTF">2023-08-10T13:33:00Z</dcterms:created>
  <dcterms:modified xsi:type="dcterms:W3CDTF">2023-08-10T13:40:00Z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