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4D3" w14:textId="1B413A0B" w:rsidR="00853524" w:rsidRPr="00D24E4F" w:rsidRDefault="00853524" w:rsidP="00C036D4">
      <w:pPr>
        <w:jc w:val="center"/>
        <w:rPr>
          <w:b/>
        </w:rPr>
      </w:pPr>
      <w:r w:rsidRPr="00D24E4F">
        <w:rPr>
          <w:b/>
        </w:rPr>
        <w:t>REPUBLIC OF NAMIBIA</w:t>
      </w:r>
    </w:p>
    <w:p w14:paraId="4D884DEA" w14:textId="05633A06" w:rsidR="00853524" w:rsidRPr="00D24E4F" w:rsidRDefault="00853524" w:rsidP="00C036D4">
      <w:pPr>
        <w:jc w:val="center"/>
        <w:rPr>
          <w:b/>
          <w:sz w:val="32"/>
          <w:szCs w:val="32"/>
        </w:rPr>
      </w:pPr>
      <w:r w:rsidRPr="00D24E4F">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r w:rsidR="00920F28" w:rsidRPr="00D24E4F">
        <w:rPr>
          <w:b/>
          <w:sz w:val="32"/>
          <w:szCs w:val="32"/>
        </w:rPr>
        <w:t xml:space="preserve"> </w:t>
      </w:r>
    </w:p>
    <w:p w14:paraId="0121DDEF" w14:textId="2F43A5DD" w:rsidR="00853524" w:rsidRDefault="0013112C" w:rsidP="00C036D4">
      <w:pPr>
        <w:jc w:val="center"/>
        <w:rPr>
          <w:b/>
        </w:rPr>
      </w:pPr>
      <w:r>
        <w:rPr>
          <w:b/>
        </w:rPr>
        <w:t>HIGH COURT OF NAMIBIA LABOUR</w:t>
      </w:r>
      <w:r w:rsidR="00853524" w:rsidRPr="00D24E4F">
        <w:rPr>
          <w:b/>
        </w:rPr>
        <w:t xml:space="preserve"> DIVISION, WINDHOEK</w:t>
      </w:r>
    </w:p>
    <w:p w14:paraId="08B88304" w14:textId="77777777" w:rsidR="00A07B0C" w:rsidRPr="00D24E4F" w:rsidRDefault="00A07B0C" w:rsidP="00C036D4">
      <w:pPr>
        <w:jc w:val="center"/>
        <w:rPr>
          <w:bCs/>
        </w:rPr>
      </w:pPr>
    </w:p>
    <w:p w14:paraId="0B4BB7B9" w14:textId="2DEB6638" w:rsidR="00853524" w:rsidRPr="00D24E4F" w:rsidRDefault="00140A9D" w:rsidP="00C036D4">
      <w:pPr>
        <w:jc w:val="center"/>
        <w:rPr>
          <w:b/>
        </w:rPr>
      </w:pPr>
      <w:r w:rsidRPr="00D24E4F">
        <w:rPr>
          <w:b/>
        </w:rPr>
        <w:t>JUDGMENT</w:t>
      </w:r>
    </w:p>
    <w:p w14:paraId="4AB5AAC2" w14:textId="77777777" w:rsidR="00140A9D" w:rsidRPr="00D24E4F" w:rsidRDefault="00140A9D" w:rsidP="00C036D4">
      <w:pPr>
        <w:jc w:val="center"/>
        <w:rPr>
          <w:b/>
        </w:rPr>
      </w:pPr>
    </w:p>
    <w:p w14:paraId="656267F7" w14:textId="007C9220" w:rsidR="00853524" w:rsidRPr="005610BF" w:rsidRDefault="005610BF" w:rsidP="00C036D4">
      <w:pPr>
        <w:jc w:val="right"/>
        <w:rPr>
          <w:bCs/>
        </w:rPr>
      </w:pPr>
      <w:r>
        <w:t xml:space="preserve">             Case No.: </w:t>
      </w:r>
      <w:r w:rsidR="0013112C" w:rsidRPr="0013112C">
        <w:rPr>
          <w:bCs/>
        </w:rPr>
        <w:t>HC-MD-LAB-MOT-GEN-2023/00032</w:t>
      </w:r>
    </w:p>
    <w:p w14:paraId="0B3B6951" w14:textId="77777777" w:rsidR="00853524" w:rsidRPr="00D24E4F" w:rsidRDefault="00853524" w:rsidP="00C036D4"/>
    <w:p w14:paraId="01440233" w14:textId="77777777" w:rsidR="00853524" w:rsidRPr="00D24E4F" w:rsidRDefault="00853524" w:rsidP="00C036D4">
      <w:r w:rsidRPr="00D24E4F">
        <w:t>In the matter between:</w:t>
      </w:r>
    </w:p>
    <w:p w14:paraId="291513BA" w14:textId="77777777" w:rsidR="00853524" w:rsidRPr="00D24E4F" w:rsidRDefault="00853524" w:rsidP="00C036D4"/>
    <w:p w14:paraId="28A29F10" w14:textId="125114DA" w:rsidR="00853524" w:rsidRPr="00D24E4F" w:rsidRDefault="0013112C" w:rsidP="00C036D4">
      <w:pPr>
        <w:pStyle w:val="Heading4"/>
        <w:numPr>
          <w:ilvl w:val="0"/>
          <w:numId w:val="0"/>
        </w:numPr>
        <w:rPr>
          <w:b/>
        </w:rPr>
      </w:pPr>
      <w:r w:rsidRPr="0013112C">
        <w:rPr>
          <w:b/>
        </w:rPr>
        <w:t>REHOBOTH TOWN COUNCIL</w:t>
      </w:r>
      <w:r w:rsidR="005226D1">
        <w:rPr>
          <w:b/>
        </w:rPr>
        <w:tab/>
      </w:r>
      <w:r w:rsidR="005226D1">
        <w:rPr>
          <w:b/>
        </w:rPr>
        <w:tab/>
      </w:r>
      <w:r w:rsidR="005226D1">
        <w:rPr>
          <w:b/>
        </w:rPr>
        <w:tab/>
      </w:r>
      <w:r w:rsidR="005226D1">
        <w:rPr>
          <w:b/>
        </w:rPr>
        <w:tab/>
        <w:t xml:space="preserve">         </w:t>
      </w:r>
      <w:r>
        <w:rPr>
          <w:b/>
        </w:rPr>
        <w:t xml:space="preserve">         APPLICANT</w:t>
      </w:r>
    </w:p>
    <w:p w14:paraId="28A88F8F" w14:textId="77777777" w:rsidR="005610BF" w:rsidRDefault="005610BF" w:rsidP="00C036D4"/>
    <w:p w14:paraId="35124039" w14:textId="77777777" w:rsidR="00853524" w:rsidRPr="00D24E4F" w:rsidRDefault="00853524" w:rsidP="00C036D4">
      <w:r w:rsidRPr="00D24E4F">
        <w:t>and</w:t>
      </w:r>
    </w:p>
    <w:p w14:paraId="65981685" w14:textId="77777777" w:rsidR="005610BF" w:rsidRDefault="005610BF" w:rsidP="00C036D4">
      <w:pPr>
        <w:rPr>
          <w:b/>
          <w:color w:val="000000" w:themeColor="text1"/>
        </w:rPr>
      </w:pPr>
    </w:p>
    <w:p w14:paraId="72A36D59" w14:textId="6081A42F" w:rsidR="008B1836" w:rsidRDefault="0013112C" w:rsidP="00C036D4">
      <w:pPr>
        <w:rPr>
          <w:b/>
          <w:color w:val="000000" w:themeColor="text1"/>
        </w:rPr>
      </w:pPr>
      <w:r w:rsidRPr="0013112C">
        <w:rPr>
          <w:b/>
          <w:color w:val="000000" w:themeColor="text1"/>
        </w:rPr>
        <w:t>CHRISTOPH /UIRAB</w:t>
      </w:r>
      <w:r w:rsidR="0015202E">
        <w:rPr>
          <w:b/>
          <w:color w:val="000000" w:themeColor="text1"/>
        </w:rPr>
        <w:tab/>
        <w:t xml:space="preserve">     </w:t>
      </w:r>
      <w:r>
        <w:rPr>
          <w:b/>
          <w:color w:val="000000" w:themeColor="text1"/>
        </w:rPr>
        <w:tab/>
      </w:r>
      <w:r>
        <w:rPr>
          <w:b/>
          <w:color w:val="000000" w:themeColor="text1"/>
        </w:rPr>
        <w:tab/>
      </w:r>
      <w:r>
        <w:rPr>
          <w:b/>
          <w:color w:val="000000" w:themeColor="text1"/>
        </w:rPr>
        <w:tab/>
      </w:r>
      <w:r>
        <w:rPr>
          <w:b/>
          <w:color w:val="000000" w:themeColor="text1"/>
        </w:rPr>
        <w:tab/>
        <w:t xml:space="preserve">  FIRST RESPONDENT</w:t>
      </w:r>
    </w:p>
    <w:p w14:paraId="749F8844" w14:textId="3795EF4B" w:rsidR="005610BF" w:rsidRDefault="0013112C" w:rsidP="00C036D4">
      <w:pPr>
        <w:rPr>
          <w:b/>
          <w:color w:val="000000" w:themeColor="text1"/>
        </w:rPr>
      </w:pPr>
      <w:r w:rsidRPr="0013112C">
        <w:rPr>
          <w:b/>
          <w:color w:val="000000" w:themeColor="text1"/>
        </w:rPr>
        <w:t>DIONYSIUS LOUW N.O</w:t>
      </w:r>
      <w:r>
        <w:rPr>
          <w:b/>
          <w:color w:val="000000" w:themeColor="text1"/>
        </w:rPr>
        <w:tab/>
      </w:r>
      <w:r>
        <w:rPr>
          <w:b/>
          <w:color w:val="000000" w:themeColor="text1"/>
        </w:rPr>
        <w:tab/>
      </w:r>
      <w:r>
        <w:rPr>
          <w:b/>
          <w:color w:val="000000" w:themeColor="text1"/>
        </w:rPr>
        <w:tab/>
      </w:r>
      <w:r w:rsidR="005226D1">
        <w:rPr>
          <w:b/>
          <w:color w:val="000000" w:themeColor="text1"/>
        </w:rPr>
        <w:t xml:space="preserve">    </w:t>
      </w:r>
      <w:r>
        <w:rPr>
          <w:b/>
          <w:color w:val="000000" w:themeColor="text1"/>
        </w:rPr>
        <w:tab/>
        <w:t xml:space="preserve">         SECOND RESPONDENT</w:t>
      </w:r>
    </w:p>
    <w:p w14:paraId="26369720" w14:textId="73F7E0BF" w:rsidR="0015202E" w:rsidRPr="00D24E4F" w:rsidRDefault="0013112C" w:rsidP="00C036D4">
      <w:pPr>
        <w:rPr>
          <w:b/>
          <w:color w:val="000000" w:themeColor="text1"/>
        </w:rPr>
      </w:pPr>
      <w:r w:rsidRPr="0013112C">
        <w:rPr>
          <w:b/>
          <w:color w:val="000000" w:themeColor="text1"/>
        </w:rPr>
        <w:t>LABOUR COMMISSIONER</w:t>
      </w:r>
      <w:r>
        <w:rPr>
          <w:b/>
          <w:color w:val="000000" w:themeColor="text1"/>
        </w:rPr>
        <w:tab/>
      </w:r>
      <w:r>
        <w:rPr>
          <w:b/>
          <w:color w:val="000000" w:themeColor="text1"/>
        </w:rPr>
        <w:tab/>
      </w:r>
      <w:r>
        <w:rPr>
          <w:b/>
          <w:color w:val="000000" w:themeColor="text1"/>
        </w:rPr>
        <w:tab/>
        <w:t xml:space="preserve">    </w:t>
      </w:r>
      <w:r>
        <w:rPr>
          <w:b/>
          <w:color w:val="000000" w:themeColor="text1"/>
        </w:rPr>
        <w:tab/>
        <w:t xml:space="preserve">  THIRD RESPONDENT</w:t>
      </w:r>
    </w:p>
    <w:p w14:paraId="2EAE5FF1" w14:textId="566C858C" w:rsidR="008B1836" w:rsidRPr="00D24E4F" w:rsidRDefault="00382515" w:rsidP="00C036D4">
      <w:pPr>
        <w:rPr>
          <w:b/>
          <w:color w:val="000000" w:themeColor="text1"/>
        </w:rPr>
      </w:pPr>
      <w:r w:rsidRPr="00D24E4F">
        <w:rPr>
          <w:b/>
          <w:color w:val="000000" w:themeColor="text1"/>
        </w:rPr>
        <w:tab/>
      </w:r>
      <w:r w:rsidR="00F40790">
        <w:rPr>
          <w:b/>
          <w:color w:val="000000" w:themeColor="text1"/>
        </w:rPr>
        <w:t xml:space="preserve">                                                                                            </w:t>
      </w:r>
    </w:p>
    <w:p w14:paraId="11C06559" w14:textId="77777777" w:rsidR="00853524" w:rsidRPr="00D24E4F" w:rsidRDefault="00853524" w:rsidP="00C036D4">
      <w:pPr>
        <w:rPr>
          <w:b/>
          <w:u w:val="single"/>
        </w:rPr>
      </w:pPr>
    </w:p>
    <w:p w14:paraId="1CFCD256" w14:textId="667B3902" w:rsidR="00853524" w:rsidRPr="00D24E4F" w:rsidRDefault="00853524" w:rsidP="005226D1">
      <w:pPr>
        <w:ind w:left="2160" w:hanging="2160"/>
        <w:rPr>
          <w:i/>
          <w:iCs/>
          <w:color w:val="000000" w:themeColor="text1"/>
        </w:rPr>
      </w:pPr>
      <w:r w:rsidRPr="00D24E4F">
        <w:rPr>
          <w:b/>
        </w:rPr>
        <w:t>Neutral citation</w:t>
      </w:r>
      <w:r w:rsidR="001076B6" w:rsidRPr="00D24E4F">
        <w:rPr>
          <w:b/>
        </w:rPr>
        <w:t>:</w:t>
      </w:r>
      <w:r w:rsidRPr="00D24E4F">
        <w:rPr>
          <w:b/>
        </w:rPr>
        <w:tab/>
      </w:r>
      <w:r w:rsidR="0013112C">
        <w:rPr>
          <w:i/>
          <w:iCs/>
          <w:color w:val="000000" w:themeColor="text1"/>
        </w:rPr>
        <w:t xml:space="preserve">Rehoboth Town Council v /Uirab </w:t>
      </w:r>
      <w:r w:rsidR="005226D1">
        <w:rPr>
          <w:iCs/>
          <w:color w:val="000000" w:themeColor="text1"/>
        </w:rPr>
        <w:t>(</w:t>
      </w:r>
      <w:r w:rsidR="0013112C" w:rsidRPr="0013112C">
        <w:rPr>
          <w:iCs/>
          <w:color w:val="000000" w:themeColor="text1"/>
        </w:rPr>
        <w:t>HC-MD-LAB-MOT-GEN-2023/00032</w:t>
      </w:r>
      <w:r w:rsidR="00312FD1">
        <w:rPr>
          <w:iCs/>
          <w:color w:val="000000" w:themeColor="text1"/>
        </w:rPr>
        <w:t>) [2023] NAL</w:t>
      </w:r>
      <w:r w:rsidR="00B759EC">
        <w:rPr>
          <w:iCs/>
          <w:color w:val="000000" w:themeColor="text1"/>
        </w:rPr>
        <w:t>CMD 36</w:t>
      </w:r>
      <w:r w:rsidR="00DC6935" w:rsidRPr="00DC6935">
        <w:rPr>
          <w:iCs/>
          <w:color w:val="FF0000"/>
        </w:rPr>
        <w:t xml:space="preserve"> </w:t>
      </w:r>
      <w:r w:rsidR="00312FD1">
        <w:rPr>
          <w:iCs/>
          <w:color w:val="000000" w:themeColor="text1"/>
        </w:rPr>
        <w:t>(18 August</w:t>
      </w:r>
      <w:r w:rsidR="005610BF" w:rsidRPr="005610BF">
        <w:rPr>
          <w:iCs/>
          <w:color w:val="000000" w:themeColor="text1"/>
        </w:rPr>
        <w:t xml:space="preserve"> 2023)</w:t>
      </w:r>
    </w:p>
    <w:p w14:paraId="2A1E0044" w14:textId="77777777" w:rsidR="00853524" w:rsidRPr="00D24E4F" w:rsidRDefault="00853524" w:rsidP="00C036D4">
      <w:pPr>
        <w:ind w:left="2160" w:hanging="2160"/>
      </w:pPr>
    </w:p>
    <w:p w14:paraId="6CFF978A" w14:textId="18B81DB5" w:rsidR="006D65BF" w:rsidRPr="00D24E4F" w:rsidRDefault="00853524" w:rsidP="00C036D4">
      <w:pPr>
        <w:ind w:left="2160" w:hanging="2160"/>
        <w:rPr>
          <w:b/>
          <w:i/>
        </w:rPr>
      </w:pPr>
      <w:r w:rsidRPr="00D24E4F">
        <w:rPr>
          <w:b/>
        </w:rPr>
        <w:t>Coram</w:t>
      </w:r>
      <w:r w:rsidR="001076B6" w:rsidRPr="00D24E4F">
        <w:rPr>
          <w:b/>
        </w:rPr>
        <w:t>:</w:t>
      </w:r>
      <w:r w:rsidR="008B1836" w:rsidRPr="00D24E4F">
        <w:tab/>
        <w:t>Schimming</w:t>
      </w:r>
      <w:r w:rsidR="00F40790">
        <w:t>-</w:t>
      </w:r>
      <w:r w:rsidRPr="00D24E4F">
        <w:t>Chase J</w:t>
      </w:r>
    </w:p>
    <w:p w14:paraId="1145F951" w14:textId="6196B7C9" w:rsidR="00853524" w:rsidRPr="00905FFF" w:rsidRDefault="00853524" w:rsidP="00C036D4">
      <w:pPr>
        <w:ind w:left="2160" w:hanging="2160"/>
        <w:rPr>
          <w:b/>
        </w:rPr>
      </w:pPr>
      <w:r w:rsidRPr="00D24E4F">
        <w:rPr>
          <w:b/>
          <w:bCs/>
        </w:rPr>
        <w:t>Heard</w:t>
      </w:r>
      <w:r w:rsidR="001076B6" w:rsidRPr="00D24E4F">
        <w:rPr>
          <w:b/>
          <w:bCs/>
        </w:rPr>
        <w:t>:</w:t>
      </w:r>
      <w:r w:rsidRPr="00D24E4F">
        <w:tab/>
      </w:r>
      <w:r w:rsidR="0013112C" w:rsidRPr="00905FFF">
        <w:rPr>
          <w:b/>
        </w:rPr>
        <w:t>28</w:t>
      </w:r>
      <w:r w:rsidR="005610BF" w:rsidRPr="00905FFF">
        <w:rPr>
          <w:b/>
        </w:rPr>
        <w:t xml:space="preserve"> July 2023</w:t>
      </w:r>
    </w:p>
    <w:p w14:paraId="39A31AE1" w14:textId="18005775" w:rsidR="00905FFF" w:rsidRDefault="005610BF" w:rsidP="00312FD1">
      <w:pPr>
        <w:ind w:left="2160" w:hanging="2160"/>
        <w:rPr>
          <w:b/>
          <w:bCs/>
        </w:rPr>
      </w:pPr>
      <w:r w:rsidRPr="00905FFF">
        <w:rPr>
          <w:b/>
          <w:bCs/>
        </w:rPr>
        <w:t>Order</w:t>
      </w:r>
      <w:r w:rsidR="001076B6" w:rsidRPr="00905FFF">
        <w:rPr>
          <w:b/>
          <w:bCs/>
        </w:rPr>
        <w:t>:</w:t>
      </w:r>
      <w:r w:rsidR="00334AFC" w:rsidRPr="00905FFF">
        <w:rPr>
          <w:b/>
          <w:bCs/>
        </w:rPr>
        <w:tab/>
      </w:r>
      <w:r w:rsidR="00312FD1">
        <w:rPr>
          <w:b/>
          <w:bCs/>
        </w:rPr>
        <w:t>18 August 2023</w:t>
      </w:r>
    </w:p>
    <w:p w14:paraId="11BE8744" w14:textId="77777777" w:rsidR="001C79DE" w:rsidRDefault="001C79DE" w:rsidP="00312FD1">
      <w:pPr>
        <w:ind w:left="2160" w:hanging="2160"/>
        <w:rPr>
          <w:b/>
          <w:bCs/>
        </w:rPr>
      </w:pPr>
    </w:p>
    <w:p w14:paraId="6AE689C6" w14:textId="51A4F6DB" w:rsidR="001C79DE" w:rsidRDefault="006F5F72" w:rsidP="001C79DE">
      <w:pPr>
        <w:rPr>
          <w:b/>
          <w:bCs/>
        </w:rPr>
      </w:pPr>
      <w:r>
        <w:rPr>
          <w:b/>
          <w:bCs/>
        </w:rPr>
        <w:t>Fly</w:t>
      </w:r>
      <w:r w:rsidR="001C79DE">
        <w:rPr>
          <w:b/>
          <w:bCs/>
        </w:rPr>
        <w:t>note:</w:t>
      </w:r>
      <w:r w:rsidR="001C79DE">
        <w:rPr>
          <w:b/>
          <w:bCs/>
        </w:rPr>
        <w:tab/>
      </w:r>
      <w:r w:rsidR="001C79DE" w:rsidRPr="001C79DE">
        <w:rPr>
          <w:bCs/>
        </w:rPr>
        <w:t>Practice — Applications for condonation — principles restated.</w:t>
      </w:r>
    </w:p>
    <w:p w14:paraId="6F587E04" w14:textId="77777777" w:rsidR="001C79DE" w:rsidRDefault="001C79DE" w:rsidP="001C79DE">
      <w:pPr>
        <w:rPr>
          <w:b/>
          <w:bCs/>
        </w:rPr>
      </w:pPr>
    </w:p>
    <w:p w14:paraId="5557FE04" w14:textId="29406FEF" w:rsidR="001C79DE" w:rsidRDefault="001C79DE" w:rsidP="001C79DE">
      <w:pPr>
        <w:rPr>
          <w:bCs/>
          <w:lang w:val="en-GB"/>
        </w:rPr>
      </w:pPr>
      <w:r w:rsidRPr="001C79DE">
        <w:rPr>
          <w:bCs/>
          <w:lang w:val="en-GB"/>
        </w:rPr>
        <w:t xml:space="preserve">Practice — Labour Court — Stay of execution of arbitration award pending appeal </w:t>
      </w:r>
      <w:r w:rsidRPr="001C79DE">
        <w:rPr>
          <w:bCs/>
          <w:lang w:val="en-GB"/>
        </w:rPr>
        <w:lastRenderedPageBreak/>
        <w:t>– Section 89 (6) and (7) of Labour Act — Balance of irreparable harm favours the applicant.</w:t>
      </w:r>
    </w:p>
    <w:p w14:paraId="5920900B" w14:textId="77777777" w:rsidR="001C79DE" w:rsidRDefault="001C79DE" w:rsidP="001C79DE">
      <w:pPr>
        <w:rPr>
          <w:bCs/>
          <w:lang w:val="en-GB"/>
        </w:rPr>
      </w:pPr>
    </w:p>
    <w:p w14:paraId="5142D4A1" w14:textId="1D54CCCD" w:rsidR="001C79DE" w:rsidRPr="00570D0B" w:rsidRDefault="001C79DE" w:rsidP="001C79DE">
      <w:pPr>
        <w:rPr>
          <w:bCs/>
          <w:lang w:val="en-GB"/>
        </w:rPr>
      </w:pPr>
      <w:r w:rsidRPr="001C79DE">
        <w:rPr>
          <w:b/>
          <w:bCs/>
          <w:lang w:val="en-GB"/>
        </w:rPr>
        <w:t>Summary:</w:t>
      </w:r>
      <w:r w:rsidRPr="001C79DE">
        <w:rPr>
          <w:b/>
          <w:bCs/>
          <w:lang w:val="en-GB"/>
        </w:rPr>
        <w:tab/>
      </w:r>
      <w:r w:rsidR="004A58F6" w:rsidRPr="00570D0B">
        <w:rPr>
          <w:bCs/>
          <w:lang w:val="en-GB"/>
        </w:rPr>
        <w:t>During February 2019, the first respondent referred a dispute for non-payment of his notice period, unauthori</w:t>
      </w:r>
      <w:r w:rsidR="00100DB6">
        <w:rPr>
          <w:bCs/>
          <w:lang w:val="en-GB"/>
        </w:rPr>
        <w:t>s</w:t>
      </w:r>
      <w:r w:rsidR="004A58F6" w:rsidRPr="00570D0B">
        <w:rPr>
          <w:bCs/>
          <w:lang w:val="en-GB"/>
        </w:rPr>
        <w:t>ed deductions of leave days, and damages for loss of property</w:t>
      </w:r>
      <w:r w:rsidR="00100DB6">
        <w:rPr>
          <w:bCs/>
          <w:lang w:val="en-GB"/>
        </w:rPr>
        <w:t xml:space="preserve"> </w:t>
      </w:r>
      <w:r w:rsidR="004A58F6" w:rsidRPr="00570D0B">
        <w:rPr>
          <w:bCs/>
          <w:lang w:val="en-GB"/>
        </w:rPr>
        <w:t>against the applicant, to the office of the Labour Commissioner.</w:t>
      </w:r>
    </w:p>
    <w:p w14:paraId="164AA6CB" w14:textId="77777777" w:rsidR="004A58F6" w:rsidRPr="00570D0B" w:rsidRDefault="004A58F6" w:rsidP="001C79DE">
      <w:pPr>
        <w:rPr>
          <w:bCs/>
          <w:lang w:val="en-GB"/>
        </w:rPr>
      </w:pPr>
    </w:p>
    <w:p w14:paraId="48ED80B4" w14:textId="29476FF1" w:rsidR="004A58F6" w:rsidRDefault="004A58F6" w:rsidP="001C79DE">
      <w:pPr>
        <w:rPr>
          <w:bCs/>
          <w:lang w:val="en-GB"/>
        </w:rPr>
      </w:pPr>
      <w:r w:rsidRPr="00570D0B">
        <w:rPr>
          <w:bCs/>
          <w:lang w:val="en-GB"/>
        </w:rPr>
        <w:t>Follow</w:t>
      </w:r>
      <w:r w:rsidR="00CB46C9">
        <w:rPr>
          <w:bCs/>
          <w:lang w:val="en-GB"/>
        </w:rPr>
        <w:t>ing arbitration, the arbitrator</w:t>
      </w:r>
      <w:r w:rsidRPr="00570D0B">
        <w:rPr>
          <w:bCs/>
          <w:lang w:val="en-GB"/>
        </w:rPr>
        <w:t xml:space="preserve"> on 15 September 2022, issued a</w:t>
      </w:r>
      <w:r w:rsidR="006F5F72">
        <w:rPr>
          <w:bCs/>
          <w:lang w:val="en-GB"/>
        </w:rPr>
        <w:t>n award in excess of N$1 million</w:t>
      </w:r>
      <w:r w:rsidRPr="00570D0B">
        <w:rPr>
          <w:bCs/>
          <w:lang w:val="en-GB"/>
        </w:rPr>
        <w:t xml:space="preserve"> in favour of the first respondent. </w:t>
      </w:r>
      <w:r w:rsidR="00570D0B" w:rsidRPr="00570D0B">
        <w:rPr>
          <w:bCs/>
          <w:lang w:val="en-GB"/>
        </w:rPr>
        <w:t>The first respondent on</w:t>
      </w:r>
      <w:r w:rsidR="006F5F72">
        <w:rPr>
          <w:bCs/>
          <w:lang w:val="en-GB"/>
        </w:rPr>
        <w:t>,</w:t>
      </w:r>
      <w:r w:rsidR="00570D0B" w:rsidRPr="00570D0B">
        <w:rPr>
          <w:bCs/>
          <w:lang w:val="en-GB"/>
        </w:rPr>
        <w:t xml:space="preserve"> 26 October 2022</w:t>
      </w:r>
      <w:r w:rsidR="006F5F72">
        <w:rPr>
          <w:bCs/>
          <w:lang w:val="en-GB"/>
        </w:rPr>
        <w:t>,</w:t>
      </w:r>
      <w:r w:rsidR="00570D0B" w:rsidRPr="00570D0B">
        <w:rPr>
          <w:bCs/>
          <w:lang w:val="en-GB"/>
        </w:rPr>
        <w:t xml:space="preserve"> filed the award with the Labour Court, which award was made an order of court. The applicant then during January 2023 </w:t>
      </w:r>
      <w:r w:rsidR="00100DB6">
        <w:rPr>
          <w:bCs/>
          <w:lang w:val="en-GB"/>
        </w:rPr>
        <w:t>noted</w:t>
      </w:r>
      <w:r w:rsidR="00570D0B" w:rsidRPr="00570D0B">
        <w:rPr>
          <w:bCs/>
          <w:lang w:val="en-GB"/>
        </w:rPr>
        <w:t xml:space="preserve"> an appeal against the arbitration award. In the meantime, the applicant </w:t>
      </w:r>
      <w:r w:rsidR="00FD63E5">
        <w:rPr>
          <w:bCs/>
          <w:lang w:val="en-GB"/>
        </w:rPr>
        <w:t xml:space="preserve">launched </w:t>
      </w:r>
      <w:r w:rsidR="00570D0B" w:rsidRPr="00570D0B">
        <w:rPr>
          <w:bCs/>
          <w:lang w:val="en-GB"/>
        </w:rPr>
        <w:t>the present application seeking condonation for the late noting of its appeal, and an order suspending the execution and any other process emanating from the arbitration award, pending appeal.</w:t>
      </w:r>
    </w:p>
    <w:p w14:paraId="7FE085E9" w14:textId="77777777" w:rsidR="00570D0B" w:rsidRDefault="00570D0B" w:rsidP="001C79DE">
      <w:pPr>
        <w:rPr>
          <w:bCs/>
          <w:lang w:val="en-GB"/>
        </w:rPr>
      </w:pPr>
    </w:p>
    <w:p w14:paraId="637E467C" w14:textId="41D483E7" w:rsidR="00570D0B" w:rsidRDefault="00570D0B" w:rsidP="001C79DE">
      <w:pPr>
        <w:rPr>
          <w:bCs/>
          <w:lang w:val="en-GB"/>
        </w:rPr>
      </w:pPr>
      <w:r>
        <w:rPr>
          <w:bCs/>
          <w:lang w:val="en-GB"/>
        </w:rPr>
        <w:t>The applicant contends</w:t>
      </w:r>
      <w:r w:rsidR="006F5F72">
        <w:rPr>
          <w:bCs/>
          <w:lang w:val="en-GB"/>
        </w:rPr>
        <w:t xml:space="preserve"> that</w:t>
      </w:r>
      <w:r>
        <w:rPr>
          <w:bCs/>
          <w:lang w:val="en-GB"/>
        </w:rPr>
        <w:t xml:space="preserve"> it faced financial difficulties, and as a result its erstwhile legal practitioner withdrew representation</w:t>
      </w:r>
      <w:r w:rsidR="00FD63E5">
        <w:rPr>
          <w:bCs/>
          <w:lang w:val="en-GB"/>
        </w:rPr>
        <w:t>. The</w:t>
      </w:r>
      <w:r>
        <w:rPr>
          <w:bCs/>
          <w:lang w:val="en-GB"/>
        </w:rPr>
        <w:t xml:space="preserve"> applicant was forced to seek the assistance of the Government Attorney</w:t>
      </w:r>
      <w:r w:rsidR="00100DB6">
        <w:rPr>
          <w:bCs/>
          <w:lang w:val="en-GB"/>
        </w:rPr>
        <w:t xml:space="preserve"> </w:t>
      </w:r>
      <w:r>
        <w:rPr>
          <w:bCs/>
          <w:lang w:val="en-GB"/>
        </w:rPr>
        <w:t>to note the appeal. The applicant further contend</w:t>
      </w:r>
      <w:r w:rsidR="00100DB6">
        <w:rPr>
          <w:bCs/>
          <w:lang w:val="en-GB"/>
        </w:rPr>
        <w:t>s that</w:t>
      </w:r>
      <w:r>
        <w:rPr>
          <w:bCs/>
          <w:lang w:val="en-GB"/>
        </w:rPr>
        <w:t xml:space="preserve"> the arbitrator made </w:t>
      </w:r>
      <w:r w:rsidR="00FD63E5">
        <w:rPr>
          <w:bCs/>
          <w:lang w:val="en-GB"/>
        </w:rPr>
        <w:t>perverse</w:t>
      </w:r>
      <w:r>
        <w:rPr>
          <w:bCs/>
          <w:lang w:val="en-GB"/>
        </w:rPr>
        <w:t xml:space="preserve"> findings when he awarded damages to the first respondent, which damages could not have been awarded</w:t>
      </w:r>
      <w:r w:rsidR="00FD63E5">
        <w:rPr>
          <w:bCs/>
          <w:lang w:val="en-GB"/>
        </w:rPr>
        <w:t xml:space="preserve"> because</w:t>
      </w:r>
      <w:r>
        <w:rPr>
          <w:bCs/>
          <w:lang w:val="en-GB"/>
        </w:rPr>
        <w:t xml:space="preserve"> the first respondent was never dismissed </w:t>
      </w:r>
      <w:r w:rsidR="00CB46C9">
        <w:rPr>
          <w:bCs/>
          <w:lang w:val="en-GB"/>
        </w:rPr>
        <w:t>from</w:t>
      </w:r>
      <w:r>
        <w:rPr>
          <w:bCs/>
          <w:lang w:val="en-GB"/>
        </w:rPr>
        <w:t xml:space="preserve"> his employment. The applicant contends</w:t>
      </w:r>
      <w:r w:rsidR="006F5F72">
        <w:rPr>
          <w:bCs/>
          <w:lang w:val="en-GB"/>
        </w:rPr>
        <w:t xml:space="preserve"> that</w:t>
      </w:r>
      <w:r>
        <w:rPr>
          <w:bCs/>
          <w:lang w:val="en-GB"/>
        </w:rPr>
        <w:t xml:space="preserve"> it enjoys prospects of success on appeal, and that as a result, </w:t>
      </w:r>
      <w:r w:rsidR="006F5F72">
        <w:rPr>
          <w:bCs/>
          <w:lang w:val="en-GB"/>
        </w:rPr>
        <w:t>considering it is a town c</w:t>
      </w:r>
      <w:r>
        <w:rPr>
          <w:bCs/>
          <w:lang w:val="en-GB"/>
        </w:rPr>
        <w:t xml:space="preserve">ouncil, the balance of irreparable harm </w:t>
      </w:r>
      <w:r w:rsidR="00CB46C9">
        <w:rPr>
          <w:bCs/>
          <w:lang w:val="en-GB"/>
        </w:rPr>
        <w:t>favours</w:t>
      </w:r>
      <w:r>
        <w:rPr>
          <w:bCs/>
          <w:lang w:val="en-GB"/>
        </w:rPr>
        <w:t xml:space="preserve"> it</w:t>
      </w:r>
      <w:r w:rsidR="006F5F72">
        <w:rPr>
          <w:bCs/>
          <w:lang w:val="en-GB"/>
        </w:rPr>
        <w:t xml:space="preserve">; </w:t>
      </w:r>
      <w:r w:rsidR="00100DB6">
        <w:rPr>
          <w:bCs/>
          <w:lang w:val="en-GB"/>
        </w:rPr>
        <w:t>as it</w:t>
      </w:r>
      <w:r>
        <w:rPr>
          <w:bCs/>
          <w:lang w:val="en-GB"/>
        </w:rPr>
        <w:t xml:space="preserve"> may suffer service interruption if the sum of the award is paid, and the applicant may not be able to recoup the award against the first respondent</w:t>
      </w:r>
      <w:r w:rsidR="00100DB6">
        <w:rPr>
          <w:bCs/>
          <w:lang w:val="en-GB"/>
        </w:rPr>
        <w:t xml:space="preserve"> should it succeed on appeal.</w:t>
      </w:r>
    </w:p>
    <w:p w14:paraId="3B161AA4" w14:textId="77777777" w:rsidR="00570D0B" w:rsidRDefault="00570D0B" w:rsidP="001C79DE">
      <w:pPr>
        <w:rPr>
          <w:bCs/>
          <w:lang w:val="en-GB"/>
        </w:rPr>
      </w:pPr>
    </w:p>
    <w:p w14:paraId="5A08C86A" w14:textId="654DE556" w:rsidR="00570D0B" w:rsidRDefault="00570D0B" w:rsidP="001C79DE">
      <w:pPr>
        <w:rPr>
          <w:bCs/>
          <w:lang w:val="en-GB"/>
        </w:rPr>
      </w:pPr>
      <w:r>
        <w:rPr>
          <w:bCs/>
          <w:lang w:val="en-GB"/>
        </w:rPr>
        <w:t xml:space="preserve">The first respondent denies </w:t>
      </w:r>
      <w:r w:rsidR="00100DB6">
        <w:rPr>
          <w:bCs/>
          <w:lang w:val="en-GB"/>
        </w:rPr>
        <w:t xml:space="preserve">that </w:t>
      </w:r>
      <w:r>
        <w:rPr>
          <w:bCs/>
          <w:lang w:val="en-GB"/>
        </w:rPr>
        <w:t>the applicant enjoys any prospects of success, contending</w:t>
      </w:r>
      <w:r w:rsidR="00100DB6">
        <w:rPr>
          <w:bCs/>
          <w:lang w:val="en-GB"/>
        </w:rPr>
        <w:t xml:space="preserve"> that</w:t>
      </w:r>
      <w:r>
        <w:rPr>
          <w:bCs/>
          <w:lang w:val="en-GB"/>
        </w:rPr>
        <w:t xml:space="preserve"> the applicant failed to give a detailed, accurate and full explanation for its </w:t>
      </w:r>
      <w:r w:rsidR="00100DB6">
        <w:rPr>
          <w:bCs/>
          <w:lang w:val="en-GB"/>
        </w:rPr>
        <w:t xml:space="preserve">extensive </w:t>
      </w:r>
      <w:r>
        <w:rPr>
          <w:bCs/>
          <w:lang w:val="en-GB"/>
        </w:rPr>
        <w:t>de</w:t>
      </w:r>
      <w:r w:rsidR="00100DB6">
        <w:rPr>
          <w:bCs/>
          <w:lang w:val="en-GB"/>
        </w:rPr>
        <w:t>lay</w:t>
      </w:r>
      <w:r>
        <w:rPr>
          <w:bCs/>
          <w:lang w:val="en-GB"/>
        </w:rPr>
        <w:t xml:space="preserve"> in noting the appeal.</w:t>
      </w:r>
      <w:r w:rsidR="00BE31A3">
        <w:rPr>
          <w:bCs/>
          <w:lang w:val="en-GB"/>
        </w:rPr>
        <w:t xml:space="preserve"> </w:t>
      </w:r>
      <w:r w:rsidR="00100DB6">
        <w:rPr>
          <w:bCs/>
          <w:lang w:val="en-GB"/>
        </w:rPr>
        <w:t>A</w:t>
      </w:r>
      <w:r w:rsidR="00BE31A3">
        <w:rPr>
          <w:bCs/>
          <w:lang w:val="en-GB"/>
        </w:rPr>
        <w:t>s a result of the applicant’s failure to pay him during his notice period, he suffered the loss of his motor vehicle and his life came to a standstill.</w:t>
      </w:r>
    </w:p>
    <w:p w14:paraId="726D3246" w14:textId="77777777" w:rsidR="000E05E7" w:rsidRDefault="000E05E7" w:rsidP="001C79DE">
      <w:pPr>
        <w:rPr>
          <w:bCs/>
          <w:lang w:val="en-GB"/>
        </w:rPr>
      </w:pPr>
    </w:p>
    <w:p w14:paraId="622E9559" w14:textId="7A7E8BF2" w:rsidR="000E05E7" w:rsidRDefault="000E05E7" w:rsidP="001C79DE">
      <w:pPr>
        <w:rPr>
          <w:bCs/>
          <w:lang w:val="en-GB"/>
        </w:rPr>
      </w:pPr>
      <w:r w:rsidRPr="000E05E7">
        <w:rPr>
          <w:bCs/>
          <w:i/>
          <w:lang w:val="en-GB"/>
        </w:rPr>
        <w:t>Held that</w:t>
      </w:r>
      <w:r>
        <w:rPr>
          <w:bCs/>
          <w:lang w:val="en-GB"/>
        </w:rPr>
        <w:t xml:space="preserve">, during an inquiry on condonation, the question is </w:t>
      </w:r>
      <w:r w:rsidRPr="000E05E7">
        <w:rPr>
          <w:bCs/>
          <w:lang w:val="en-GB"/>
        </w:rPr>
        <w:t xml:space="preserve">whether or not the explanation for the default and any accompanying conduct by the defaulter, be it willful or negligent or otherwise, gives rise to the probable inference that there is no </w:t>
      </w:r>
      <w:r w:rsidRPr="00100DB6">
        <w:rPr>
          <w:bCs/>
          <w:i/>
          <w:iCs/>
          <w:lang w:val="en-GB"/>
        </w:rPr>
        <w:t>bona fide</w:t>
      </w:r>
      <w:r w:rsidRPr="000E05E7">
        <w:rPr>
          <w:bCs/>
          <w:lang w:val="en-GB"/>
        </w:rPr>
        <w:t xml:space="preserve"> defence and hence that the application for condonation is not </w:t>
      </w:r>
      <w:r w:rsidRPr="00100DB6">
        <w:rPr>
          <w:bCs/>
          <w:i/>
          <w:iCs/>
          <w:lang w:val="en-GB"/>
        </w:rPr>
        <w:t>bona fide</w:t>
      </w:r>
      <w:r>
        <w:rPr>
          <w:bCs/>
          <w:lang w:val="en-GB"/>
        </w:rPr>
        <w:t>.</w:t>
      </w:r>
    </w:p>
    <w:p w14:paraId="221A4A90" w14:textId="77777777" w:rsidR="000E05E7" w:rsidRDefault="000E05E7" w:rsidP="001C79DE">
      <w:pPr>
        <w:rPr>
          <w:bCs/>
          <w:lang w:val="en-GB"/>
        </w:rPr>
      </w:pPr>
    </w:p>
    <w:p w14:paraId="65AB437D" w14:textId="30A25FE9" w:rsidR="000E05E7" w:rsidRDefault="000E05E7" w:rsidP="001C79DE">
      <w:pPr>
        <w:rPr>
          <w:bCs/>
          <w:lang w:val="en-GB"/>
        </w:rPr>
      </w:pPr>
      <w:r w:rsidRPr="000E05E7">
        <w:rPr>
          <w:bCs/>
          <w:i/>
          <w:lang w:val="en-GB"/>
        </w:rPr>
        <w:t>Held that</w:t>
      </w:r>
      <w:r>
        <w:rPr>
          <w:bCs/>
          <w:lang w:val="en-GB"/>
        </w:rPr>
        <w:t xml:space="preserve">, </w:t>
      </w:r>
      <w:r w:rsidRPr="000E05E7">
        <w:rPr>
          <w:bCs/>
          <w:lang w:val="en-GB"/>
        </w:rPr>
        <w:t>the application for condonation by the Town Council is rather lacking in its disclosure to court as to the del</w:t>
      </w:r>
      <w:r>
        <w:rPr>
          <w:bCs/>
          <w:lang w:val="en-GB"/>
        </w:rPr>
        <w:t>ay in bringing the application, however, t</w:t>
      </w:r>
      <w:r w:rsidRPr="000E05E7">
        <w:rPr>
          <w:bCs/>
          <w:lang w:val="en-GB"/>
        </w:rPr>
        <w:t xml:space="preserve">he Town Council has arguably demonstrated that on the issue of the quantum of the award, it may enjoy prospects of success on appeal, and that although delayed, gives rise to </w:t>
      </w:r>
      <w:r w:rsidR="00100DB6">
        <w:rPr>
          <w:bCs/>
          <w:lang w:val="en-GB"/>
        </w:rPr>
        <w:t xml:space="preserve">a </w:t>
      </w:r>
      <w:r w:rsidRPr="000E05E7">
        <w:rPr>
          <w:bCs/>
          <w:lang w:val="en-GB"/>
        </w:rPr>
        <w:t>probable defence against the award.</w:t>
      </w:r>
    </w:p>
    <w:p w14:paraId="19F24F7F" w14:textId="77777777" w:rsidR="00570D0B" w:rsidRDefault="00570D0B" w:rsidP="001C79DE">
      <w:pPr>
        <w:rPr>
          <w:bCs/>
          <w:lang w:val="en-GB"/>
        </w:rPr>
      </w:pPr>
    </w:p>
    <w:p w14:paraId="6B3FB438" w14:textId="4DF491DE" w:rsidR="000E05E7" w:rsidRPr="001C79DE" w:rsidRDefault="000E05E7" w:rsidP="001C79DE">
      <w:pPr>
        <w:rPr>
          <w:b/>
          <w:bCs/>
        </w:rPr>
      </w:pPr>
      <w:r>
        <w:rPr>
          <w:bCs/>
          <w:lang w:val="en-GB"/>
        </w:rPr>
        <w:t>In the result, the application for condonation and stay of the execution of the arbitration award succeeds.</w:t>
      </w:r>
    </w:p>
    <w:p w14:paraId="6BE47DE3" w14:textId="77777777" w:rsidR="00853524" w:rsidRPr="00D24E4F" w:rsidRDefault="00000000" w:rsidP="00C036D4">
      <w:pPr>
        <w:rPr>
          <w:bCs/>
        </w:rPr>
      </w:pPr>
      <w:r>
        <w:rPr>
          <w:bCs/>
        </w:rPr>
        <w:pict w14:anchorId="5E7E26FB">
          <v:rect id="_x0000_i1025" style="width:0;height:1.5pt" o:hralign="center" o:hrstd="t" o:hr="t" fillcolor="#a0a0a0" stroked="f"/>
        </w:pict>
      </w:r>
    </w:p>
    <w:p w14:paraId="37BE7084" w14:textId="4192C691" w:rsidR="00853524" w:rsidRPr="00D24E4F" w:rsidRDefault="001F6CB9" w:rsidP="00C036D4">
      <w:pPr>
        <w:jc w:val="center"/>
        <w:rPr>
          <w:b/>
          <w:bCs/>
        </w:rPr>
      </w:pPr>
      <w:r w:rsidRPr="00D24E4F">
        <w:rPr>
          <w:b/>
          <w:bCs/>
        </w:rPr>
        <w:t>ORDER</w:t>
      </w:r>
    </w:p>
    <w:p w14:paraId="1FEF45F5" w14:textId="77777777" w:rsidR="00853524" w:rsidRPr="00D24E4F" w:rsidRDefault="00000000" w:rsidP="00C036D4">
      <w:pPr>
        <w:jc w:val="center"/>
        <w:rPr>
          <w:b/>
          <w:bCs/>
        </w:rPr>
      </w:pPr>
      <w:r>
        <w:rPr>
          <w:bCs/>
        </w:rPr>
        <w:pict w14:anchorId="28AA4E8A">
          <v:rect id="_x0000_i1026" style="width:0;height:1.5pt" o:hralign="center" o:hrstd="t" o:hr="t" fillcolor="#a0a0a0" stroked="f"/>
        </w:pict>
      </w:r>
    </w:p>
    <w:p w14:paraId="395B7EDA" w14:textId="77777777" w:rsidR="00853524" w:rsidRPr="00D24E4F" w:rsidRDefault="00853524" w:rsidP="00C036D4">
      <w:pPr>
        <w:rPr>
          <w:bCs/>
        </w:rPr>
      </w:pPr>
    </w:p>
    <w:p w14:paraId="3989991E" w14:textId="381EDD94" w:rsidR="00564FC7" w:rsidRPr="00564FC7" w:rsidRDefault="00C50CFC" w:rsidP="00C50CFC">
      <w:pPr>
        <w:ind w:left="720" w:hanging="360"/>
        <w:rPr>
          <w:rFonts w:cs="Times New Roman"/>
          <w:spacing w:val="0"/>
          <w:szCs w:val="22"/>
          <w:lang w:val="en-US"/>
        </w:rPr>
      </w:pPr>
      <w:r w:rsidRPr="00564FC7">
        <w:rPr>
          <w:rFonts w:eastAsiaTheme="minorHAnsi"/>
          <w:spacing w:val="0"/>
          <w:szCs w:val="22"/>
          <w:lang w:val="en-US"/>
        </w:rPr>
        <w:t>1.</w:t>
      </w:r>
      <w:r w:rsidRPr="00564FC7">
        <w:rPr>
          <w:rFonts w:eastAsiaTheme="minorHAnsi"/>
          <w:spacing w:val="0"/>
          <w:szCs w:val="22"/>
          <w:lang w:val="en-US"/>
        </w:rPr>
        <w:tab/>
      </w:r>
      <w:r w:rsidR="00564FC7" w:rsidRPr="00564FC7">
        <w:rPr>
          <w:rFonts w:cs="Times New Roman"/>
          <w:spacing w:val="0"/>
          <w:szCs w:val="22"/>
          <w:lang w:val="en-US"/>
        </w:rPr>
        <w:t>The applicant’s application for condonation is granted.</w:t>
      </w:r>
    </w:p>
    <w:p w14:paraId="6EC3DA41" w14:textId="77777777" w:rsidR="00564FC7" w:rsidRPr="00564FC7" w:rsidRDefault="00564FC7" w:rsidP="00564FC7">
      <w:pPr>
        <w:rPr>
          <w:rFonts w:cs="Times New Roman"/>
          <w:spacing w:val="0"/>
          <w:szCs w:val="22"/>
          <w:lang w:val="en-US"/>
        </w:rPr>
      </w:pPr>
    </w:p>
    <w:p w14:paraId="6A98DEF4" w14:textId="0B82E885" w:rsidR="00564FC7" w:rsidRPr="00564FC7" w:rsidRDefault="00C50CFC" w:rsidP="00C50CFC">
      <w:pPr>
        <w:ind w:left="720" w:hanging="360"/>
        <w:rPr>
          <w:rFonts w:cs="Times New Roman"/>
          <w:spacing w:val="0"/>
          <w:szCs w:val="22"/>
          <w:lang w:val="en-US"/>
        </w:rPr>
      </w:pPr>
      <w:r w:rsidRPr="00564FC7">
        <w:rPr>
          <w:rFonts w:eastAsiaTheme="minorHAnsi"/>
          <w:spacing w:val="0"/>
          <w:szCs w:val="22"/>
          <w:lang w:val="en-US"/>
        </w:rPr>
        <w:t>2.</w:t>
      </w:r>
      <w:r w:rsidRPr="00564FC7">
        <w:rPr>
          <w:rFonts w:eastAsiaTheme="minorHAnsi"/>
          <w:spacing w:val="0"/>
          <w:szCs w:val="22"/>
          <w:lang w:val="en-US"/>
        </w:rPr>
        <w:tab/>
      </w:r>
      <w:r w:rsidR="00564FC7" w:rsidRPr="00564FC7">
        <w:rPr>
          <w:rFonts w:cs="Times New Roman"/>
          <w:spacing w:val="0"/>
          <w:szCs w:val="22"/>
          <w:lang w:val="en-US"/>
        </w:rPr>
        <w:t xml:space="preserve">The execution of the arbitration award dated 15 September 2022 under case number CRWK 215-19 is suspended pending </w:t>
      </w:r>
      <w:r w:rsidR="00FD63E5">
        <w:rPr>
          <w:rFonts w:cs="Times New Roman"/>
          <w:spacing w:val="0"/>
          <w:szCs w:val="22"/>
          <w:lang w:val="en-US"/>
        </w:rPr>
        <w:t xml:space="preserve">finalisation of the </w:t>
      </w:r>
      <w:r w:rsidR="00564FC7" w:rsidRPr="00564FC7">
        <w:rPr>
          <w:rFonts w:cs="Times New Roman"/>
          <w:spacing w:val="0"/>
          <w:szCs w:val="22"/>
          <w:lang w:val="en-US"/>
        </w:rPr>
        <w:t>appeal.</w:t>
      </w:r>
    </w:p>
    <w:p w14:paraId="05AE33DA" w14:textId="77777777" w:rsidR="00564FC7" w:rsidRPr="00564FC7" w:rsidRDefault="00564FC7" w:rsidP="00564FC7">
      <w:pPr>
        <w:rPr>
          <w:rFonts w:cs="Times New Roman"/>
          <w:spacing w:val="0"/>
          <w:szCs w:val="22"/>
          <w:lang w:val="en-US"/>
        </w:rPr>
      </w:pPr>
    </w:p>
    <w:p w14:paraId="0707D351" w14:textId="1DDB9229" w:rsidR="00564FC7" w:rsidRPr="00564FC7" w:rsidRDefault="00C50CFC" w:rsidP="00C50CFC">
      <w:pPr>
        <w:ind w:left="720" w:hanging="360"/>
        <w:rPr>
          <w:rFonts w:cs="Times New Roman"/>
          <w:spacing w:val="0"/>
          <w:szCs w:val="22"/>
          <w:lang w:val="en-US"/>
        </w:rPr>
      </w:pPr>
      <w:r w:rsidRPr="00564FC7">
        <w:rPr>
          <w:rFonts w:eastAsiaTheme="minorHAnsi"/>
          <w:spacing w:val="0"/>
          <w:szCs w:val="22"/>
          <w:lang w:val="en-US"/>
        </w:rPr>
        <w:t>3.</w:t>
      </w:r>
      <w:r w:rsidRPr="00564FC7">
        <w:rPr>
          <w:rFonts w:eastAsiaTheme="minorHAnsi"/>
          <w:spacing w:val="0"/>
          <w:szCs w:val="22"/>
          <w:lang w:val="en-US"/>
        </w:rPr>
        <w:tab/>
      </w:r>
      <w:r w:rsidR="00564FC7" w:rsidRPr="00564FC7">
        <w:rPr>
          <w:rFonts w:cs="Times New Roman"/>
          <w:spacing w:val="0"/>
          <w:szCs w:val="22"/>
          <w:lang w:val="en-US"/>
        </w:rPr>
        <w:t xml:space="preserve">There shall </w:t>
      </w:r>
      <w:r w:rsidR="006F5F72">
        <w:rPr>
          <w:rFonts w:cs="Times New Roman"/>
          <w:spacing w:val="0"/>
          <w:szCs w:val="22"/>
          <w:lang w:val="en-US"/>
        </w:rPr>
        <w:t xml:space="preserve">be </w:t>
      </w:r>
      <w:r w:rsidR="00564FC7" w:rsidRPr="00564FC7">
        <w:rPr>
          <w:rFonts w:cs="Times New Roman"/>
          <w:spacing w:val="0"/>
          <w:szCs w:val="22"/>
          <w:lang w:val="en-US"/>
        </w:rPr>
        <w:t>no order as to costs.</w:t>
      </w:r>
    </w:p>
    <w:p w14:paraId="524288D7" w14:textId="77777777" w:rsidR="00564FC7" w:rsidRPr="00564FC7" w:rsidRDefault="00564FC7" w:rsidP="00564FC7">
      <w:pPr>
        <w:rPr>
          <w:rFonts w:cs="Times New Roman"/>
          <w:spacing w:val="0"/>
          <w:szCs w:val="22"/>
        </w:rPr>
      </w:pPr>
    </w:p>
    <w:p w14:paraId="5D8885B5" w14:textId="237014D2" w:rsidR="00564FC7" w:rsidRPr="00564FC7" w:rsidRDefault="00C50CFC" w:rsidP="00C50CFC">
      <w:pPr>
        <w:ind w:left="720" w:hanging="360"/>
        <w:rPr>
          <w:rFonts w:cs="Times New Roman"/>
          <w:spacing w:val="0"/>
          <w:szCs w:val="22"/>
          <w:lang w:val="en-US"/>
        </w:rPr>
      </w:pPr>
      <w:r w:rsidRPr="00564FC7">
        <w:rPr>
          <w:rFonts w:eastAsiaTheme="minorHAnsi"/>
          <w:spacing w:val="0"/>
          <w:szCs w:val="22"/>
          <w:lang w:val="en-US"/>
        </w:rPr>
        <w:t>4.</w:t>
      </w:r>
      <w:r w:rsidRPr="00564FC7">
        <w:rPr>
          <w:rFonts w:eastAsiaTheme="minorHAnsi"/>
          <w:spacing w:val="0"/>
          <w:szCs w:val="22"/>
          <w:lang w:val="en-US"/>
        </w:rPr>
        <w:tab/>
      </w:r>
      <w:r w:rsidR="00564FC7" w:rsidRPr="00564FC7">
        <w:rPr>
          <w:rFonts w:cs="Times New Roman"/>
          <w:spacing w:val="0"/>
          <w:szCs w:val="22"/>
          <w:lang w:val="en-US"/>
        </w:rPr>
        <w:t>The matter is regarded as finali</w:t>
      </w:r>
      <w:r w:rsidR="00100DB6">
        <w:rPr>
          <w:rFonts w:cs="Times New Roman"/>
          <w:spacing w:val="0"/>
          <w:szCs w:val="22"/>
          <w:lang w:val="en-US"/>
        </w:rPr>
        <w:t>s</w:t>
      </w:r>
      <w:r w:rsidR="00564FC7" w:rsidRPr="00564FC7">
        <w:rPr>
          <w:rFonts w:cs="Times New Roman"/>
          <w:spacing w:val="0"/>
          <w:szCs w:val="22"/>
          <w:lang w:val="en-US"/>
        </w:rPr>
        <w:t>ed and removed from the roll.</w:t>
      </w:r>
    </w:p>
    <w:p w14:paraId="6BCDA908" w14:textId="77777777" w:rsidR="00853524" w:rsidRPr="00D24E4F" w:rsidRDefault="00000000" w:rsidP="00C036D4">
      <w:pPr>
        <w:rPr>
          <w:bCs/>
        </w:rPr>
      </w:pPr>
      <w:r>
        <w:rPr>
          <w:bCs/>
        </w:rPr>
        <w:pict w14:anchorId="2893D86E">
          <v:rect id="_x0000_i1027" style="width:0;height:1.5pt" o:hralign="center" o:hrstd="t" o:hr="t" fillcolor="#a0a0a0" stroked="f"/>
        </w:pict>
      </w:r>
    </w:p>
    <w:p w14:paraId="4BDA99AF" w14:textId="283B76EE" w:rsidR="00853524" w:rsidRPr="00D24E4F" w:rsidRDefault="001F6CB9" w:rsidP="00C036D4">
      <w:pPr>
        <w:jc w:val="center"/>
        <w:rPr>
          <w:b/>
        </w:rPr>
      </w:pPr>
      <w:r w:rsidRPr="00D24E4F">
        <w:rPr>
          <w:b/>
        </w:rPr>
        <w:t>JUDGMENT</w:t>
      </w:r>
    </w:p>
    <w:p w14:paraId="1C469921" w14:textId="77777777" w:rsidR="00853524" w:rsidRPr="00D24E4F" w:rsidRDefault="00000000" w:rsidP="00C036D4">
      <w:pPr>
        <w:jc w:val="center"/>
        <w:rPr>
          <w:b/>
        </w:rPr>
      </w:pPr>
      <w:r>
        <w:rPr>
          <w:bCs/>
        </w:rPr>
        <w:pict w14:anchorId="4AE2B4B3">
          <v:rect id="_x0000_i1028" style="width:0;height:1.5pt" o:hralign="center" o:hrstd="t" o:hr="t" fillcolor="#a0a0a0" stroked="f"/>
        </w:pict>
      </w:r>
    </w:p>
    <w:p w14:paraId="249A22DE" w14:textId="77777777" w:rsidR="005368A3" w:rsidRDefault="005368A3" w:rsidP="00C036D4"/>
    <w:p w14:paraId="37329537" w14:textId="77777777" w:rsidR="006F5F72" w:rsidRDefault="006F5F72" w:rsidP="00A07B0C"/>
    <w:p w14:paraId="2A932557" w14:textId="77777777" w:rsidR="006F5F72" w:rsidRDefault="006F5F72" w:rsidP="00A07B0C"/>
    <w:p w14:paraId="6A0C4395" w14:textId="77777777" w:rsidR="006F5F72" w:rsidRDefault="006F5F72" w:rsidP="00A07B0C"/>
    <w:p w14:paraId="7938F2A4" w14:textId="763FC757" w:rsidR="00C37A61" w:rsidRDefault="006F4DCB" w:rsidP="00A07B0C">
      <w:r w:rsidRPr="00D24E4F">
        <w:t>SCHIMMING-CHASE</w:t>
      </w:r>
      <w:r w:rsidR="00853524" w:rsidRPr="00D24E4F">
        <w:t xml:space="preserve"> J</w:t>
      </w:r>
      <w:r w:rsidRPr="00D24E4F">
        <w:t>:</w:t>
      </w:r>
    </w:p>
    <w:p w14:paraId="07CF5E54" w14:textId="77777777" w:rsidR="00A07B0C" w:rsidRPr="00A07B0C" w:rsidRDefault="00A07B0C" w:rsidP="00A07B0C"/>
    <w:p w14:paraId="61E52D99" w14:textId="19A9D57E" w:rsidR="00A07B0C" w:rsidRPr="00C50CFC" w:rsidRDefault="00C50CFC" w:rsidP="00C50CFC">
      <w:pPr>
        <w:rPr>
          <w:shd w:val="clear" w:color="auto" w:fill="FFFFFF"/>
          <w:lang w:val="en-GB"/>
        </w:rPr>
      </w:pPr>
      <w:r w:rsidRPr="00A07B0C">
        <w:rPr>
          <w:spacing w:val="0"/>
          <w:lang w:val="en-GB"/>
        </w:rPr>
        <w:t>[1]</w:t>
      </w:r>
      <w:r w:rsidRPr="00A07B0C">
        <w:rPr>
          <w:spacing w:val="0"/>
          <w:lang w:val="en-GB"/>
        </w:rPr>
        <w:tab/>
      </w:r>
      <w:r w:rsidR="00C37A61" w:rsidRPr="00C50CFC">
        <w:rPr>
          <w:color w:val="222222"/>
        </w:rPr>
        <w:t>The applicant is the Rehoboth Town Council</w:t>
      </w:r>
      <w:r w:rsidR="006F5F72" w:rsidRPr="00C50CFC">
        <w:rPr>
          <w:color w:val="222222"/>
        </w:rPr>
        <w:t xml:space="preserve"> (‘the Town Council’</w:t>
      </w:r>
      <w:r w:rsidR="00A07B0C" w:rsidRPr="00C50CFC">
        <w:rPr>
          <w:color w:val="222222"/>
        </w:rPr>
        <w:t>)</w:t>
      </w:r>
      <w:r w:rsidR="00C37A61" w:rsidRPr="00C50CFC">
        <w:rPr>
          <w:color w:val="222222"/>
        </w:rPr>
        <w:t>, a juristic person duly</w:t>
      </w:r>
      <w:r w:rsidR="006F5F72" w:rsidRPr="00C50CFC">
        <w:rPr>
          <w:color w:val="222222"/>
        </w:rPr>
        <w:t xml:space="preserve"> established in terms of s</w:t>
      </w:r>
      <w:r w:rsidR="00C37A61" w:rsidRPr="00C50CFC">
        <w:rPr>
          <w:color w:val="222222"/>
        </w:rPr>
        <w:t xml:space="preserve"> 2 </w:t>
      </w:r>
      <w:r w:rsidR="00813B51" w:rsidRPr="00C50CFC">
        <w:rPr>
          <w:color w:val="222222"/>
        </w:rPr>
        <w:t xml:space="preserve">of the Local Authorities Act 23 of </w:t>
      </w:r>
      <w:r w:rsidR="00C37A61" w:rsidRPr="00C50CFC">
        <w:rPr>
          <w:color w:val="222222"/>
        </w:rPr>
        <w:t xml:space="preserve">1992 (as amended), with </w:t>
      </w:r>
      <w:r w:rsidR="006F5F72" w:rsidRPr="00C50CFC">
        <w:rPr>
          <w:color w:val="222222"/>
        </w:rPr>
        <w:t xml:space="preserve">its </w:t>
      </w:r>
      <w:r w:rsidR="00C37A61" w:rsidRPr="00C50CFC">
        <w:rPr>
          <w:color w:val="222222"/>
        </w:rPr>
        <w:t>principal place of business at the corner of Banhoff and Niklaas Olivier Streets,</w:t>
      </w:r>
      <w:r w:rsidR="00813B51" w:rsidRPr="00C50CFC">
        <w:rPr>
          <w:color w:val="222222"/>
        </w:rPr>
        <w:t xml:space="preserve"> Rehoboth, Republic of Namibia.</w:t>
      </w:r>
      <w:r w:rsidR="00A07B0C" w:rsidRPr="00C50CFC">
        <w:rPr>
          <w:color w:val="222222"/>
        </w:rPr>
        <w:t xml:space="preserve"> The Town Council was the losing party in a labour dispute that was referred for conciliation by its erstwhile Chief Executive Office</w:t>
      </w:r>
      <w:r w:rsidR="006F5F72" w:rsidRPr="00C50CFC">
        <w:rPr>
          <w:color w:val="222222"/>
        </w:rPr>
        <w:t>r</w:t>
      </w:r>
      <w:r w:rsidR="00100DB6" w:rsidRPr="00C50CFC">
        <w:rPr>
          <w:color w:val="222222"/>
        </w:rPr>
        <w:t>, t</w:t>
      </w:r>
      <w:r w:rsidR="00A07B0C" w:rsidRPr="00C50CFC">
        <w:rPr>
          <w:color w:val="222222"/>
        </w:rPr>
        <w:t>he first respondent in this application</w:t>
      </w:r>
      <w:r w:rsidR="006F5F72" w:rsidRPr="00C50CFC">
        <w:rPr>
          <w:color w:val="222222"/>
        </w:rPr>
        <w:t xml:space="preserve"> </w:t>
      </w:r>
      <w:r w:rsidR="00A07B0C" w:rsidRPr="00C50CFC">
        <w:rPr>
          <w:color w:val="222222"/>
        </w:rPr>
        <w:t xml:space="preserve">Mr Christoph /Uirab. The labour dispute resulted in an arbitration award in the amount of </w:t>
      </w:r>
      <w:r w:rsidR="00E6642B" w:rsidRPr="00C50CFC">
        <w:rPr>
          <w:color w:val="222222"/>
        </w:rPr>
        <w:t>N$1 031 336,37 on 15 September 2022, made by the second respondent in his capacity as</w:t>
      </w:r>
      <w:r w:rsidR="006F5F72" w:rsidRPr="00C50CFC">
        <w:rPr>
          <w:color w:val="222222"/>
        </w:rPr>
        <w:t xml:space="preserve"> the</w:t>
      </w:r>
      <w:r w:rsidR="00E6642B" w:rsidRPr="00C50CFC">
        <w:rPr>
          <w:color w:val="222222"/>
        </w:rPr>
        <w:t xml:space="preserve"> designated arbitrator.</w:t>
      </w:r>
    </w:p>
    <w:p w14:paraId="6BDA9DDB" w14:textId="77777777" w:rsidR="00A07B0C" w:rsidRPr="00A07B0C" w:rsidRDefault="00A07B0C" w:rsidP="00A07B0C">
      <w:pPr>
        <w:pStyle w:val="ListParagraph"/>
        <w:spacing w:after="0"/>
        <w:ind w:left="0"/>
        <w:rPr>
          <w:rFonts w:cs="Arial"/>
          <w:szCs w:val="24"/>
          <w:shd w:val="clear" w:color="auto" w:fill="FFFFFF"/>
          <w:lang w:val="en-GB"/>
        </w:rPr>
      </w:pPr>
    </w:p>
    <w:p w14:paraId="02DD8DAB" w14:textId="297BF382" w:rsidR="00813B51" w:rsidRPr="00C50CFC" w:rsidRDefault="00C50CFC" w:rsidP="00C50CFC">
      <w:pPr>
        <w:rPr>
          <w:shd w:val="clear" w:color="auto" w:fill="FFFFFF"/>
          <w:lang w:val="en-GB"/>
        </w:rPr>
      </w:pPr>
      <w:r>
        <w:rPr>
          <w:spacing w:val="0"/>
          <w:lang w:val="en-GB"/>
        </w:rPr>
        <w:t>[2]</w:t>
      </w:r>
      <w:r>
        <w:rPr>
          <w:spacing w:val="0"/>
          <w:lang w:val="en-GB"/>
        </w:rPr>
        <w:tab/>
      </w:r>
      <w:r w:rsidR="00E12E44" w:rsidRPr="00C50CFC">
        <w:rPr>
          <w:shd w:val="clear" w:color="auto" w:fill="FFFFFF"/>
          <w:lang w:val="en-GB"/>
        </w:rPr>
        <w:t>In the present application</w:t>
      </w:r>
      <w:r w:rsidR="006F5F72" w:rsidRPr="00C50CFC">
        <w:rPr>
          <w:shd w:val="clear" w:color="auto" w:fill="FFFFFF"/>
          <w:lang w:val="en-GB"/>
        </w:rPr>
        <w:t>,</w:t>
      </w:r>
      <w:r w:rsidR="00E12E44" w:rsidRPr="00C50CFC">
        <w:rPr>
          <w:shd w:val="clear" w:color="auto" w:fill="FFFFFF"/>
          <w:lang w:val="en-GB"/>
        </w:rPr>
        <w:t xml:space="preserve"> the Town Council applied</w:t>
      </w:r>
      <w:r w:rsidR="00A07B0C" w:rsidRPr="00C50CFC">
        <w:rPr>
          <w:shd w:val="clear" w:color="auto" w:fill="FFFFFF"/>
          <w:lang w:val="en-GB"/>
        </w:rPr>
        <w:t xml:space="preserve"> for </w:t>
      </w:r>
      <w:r w:rsidR="002D71A6" w:rsidRPr="00C50CFC">
        <w:rPr>
          <w:shd w:val="clear" w:color="auto" w:fill="FFFFFF"/>
          <w:lang w:val="en-GB"/>
        </w:rPr>
        <w:t>an order condoning its non-</w:t>
      </w:r>
      <w:r w:rsidR="00A07B0C" w:rsidRPr="00C50CFC">
        <w:rPr>
          <w:shd w:val="clear" w:color="auto" w:fill="FFFFFF"/>
          <w:lang w:val="en-GB"/>
        </w:rPr>
        <w:t xml:space="preserve">compliance with rule 17(4) of the rules of this </w:t>
      </w:r>
      <w:r w:rsidR="00100DB6" w:rsidRPr="00C50CFC">
        <w:rPr>
          <w:shd w:val="clear" w:color="auto" w:fill="FFFFFF"/>
          <w:lang w:val="en-GB"/>
        </w:rPr>
        <w:t>c</w:t>
      </w:r>
      <w:r w:rsidR="00A07B0C" w:rsidRPr="00C50CFC">
        <w:rPr>
          <w:shd w:val="clear" w:color="auto" w:fill="FFFFFF"/>
          <w:lang w:val="en-GB"/>
        </w:rPr>
        <w:t xml:space="preserve">ourt for the late filing of the notice of appeal against the arbitration award. The Town Council also </w:t>
      </w:r>
      <w:r w:rsidR="00E12E44" w:rsidRPr="00C50CFC">
        <w:rPr>
          <w:shd w:val="clear" w:color="auto" w:fill="FFFFFF"/>
          <w:lang w:val="en-GB"/>
        </w:rPr>
        <w:t>seek</w:t>
      </w:r>
      <w:r w:rsidR="00100DB6" w:rsidRPr="00C50CFC">
        <w:rPr>
          <w:shd w:val="clear" w:color="auto" w:fill="FFFFFF"/>
          <w:lang w:val="en-GB"/>
        </w:rPr>
        <w:t>s</w:t>
      </w:r>
      <w:r w:rsidR="00E12E44" w:rsidRPr="00C50CFC">
        <w:rPr>
          <w:shd w:val="clear" w:color="auto" w:fill="FFFFFF"/>
          <w:lang w:val="en-GB"/>
        </w:rPr>
        <w:t xml:space="preserve"> </w:t>
      </w:r>
      <w:r w:rsidR="006F5F72" w:rsidRPr="00C50CFC">
        <w:rPr>
          <w:shd w:val="clear" w:color="auto" w:fill="FFFFFF"/>
          <w:lang w:val="en-GB"/>
        </w:rPr>
        <w:t>an order in terms of s 89(7) read with s</w:t>
      </w:r>
      <w:r w:rsidR="00A07B0C" w:rsidRPr="00C50CFC">
        <w:rPr>
          <w:shd w:val="clear" w:color="auto" w:fill="FFFFFF"/>
          <w:lang w:val="en-GB"/>
        </w:rPr>
        <w:t xml:space="preserve"> 89(9)(</w:t>
      </w:r>
      <w:r w:rsidR="00A07B0C" w:rsidRPr="00C50CFC">
        <w:rPr>
          <w:i/>
          <w:shd w:val="clear" w:color="auto" w:fill="FFFFFF"/>
          <w:lang w:val="en-GB"/>
        </w:rPr>
        <w:t>a</w:t>
      </w:r>
      <w:r w:rsidR="00A07B0C" w:rsidRPr="00C50CFC">
        <w:rPr>
          <w:shd w:val="clear" w:color="auto" w:fill="FFFFFF"/>
          <w:lang w:val="en-GB"/>
        </w:rPr>
        <w:t>) of the Labour Act 11 of 2007</w:t>
      </w:r>
      <w:r w:rsidR="006F5F72" w:rsidRPr="00C50CFC">
        <w:rPr>
          <w:shd w:val="clear" w:color="auto" w:fill="FFFFFF"/>
          <w:lang w:val="en-GB"/>
        </w:rPr>
        <w:t xml:space="preserve"> (‘the Act’</w:t>
      </w:r>
      <w:r w:rsidR="00A07B0C" w:rsidRPr="00C50CFC">
        <w:rPr>
          <w:shd w:val="clear" w:color="auto" w:fill="FFFFFF"/>
          <w:lang w:val="en-GB"/>
        </w:rPr>
        <w:t xml:space="preserve">), that the execution of the arbitration award, and all other processes issued pursuant to this award, be suspended pending the appeal which was </w:t>
      </w:r>
      <w:r w:rsidR="00E12E44" w:rsidRPr="00C50CFC">
        <w:rPr>
          <w:shd w:val="clear" w:color="auto" w:fill="FFFFFF"/>
          <w:lang w:val="en-GB"/>
        </w:rPr>
        <w:t xml:space="preserve">noted by it (the Town Council) </w:t>
      </w:r>
      <w:r w:rsidR="00A07B0C" w:rsidRPr="00C50CFC">
        <w:rPr>
          <w:shd w:val="clear" w:color="auto" w:fill="FFFFFF"/>
          <w:lang w:val="en-GB"/>
        </w:rPr>
        <w:t>on 30 January 2023 under case number HC-MD-LAB-APP-AAA-2023/00007</w:t>
      </w:r>
      <w:r w:rsidR="00E12E44" w:rsidRPr="00C50CFC">
        <w:rPr>
          <w:shd w:val="clear" w:color="auto" w:fill="FFFFFF"/>
          <w:lang w:val="en-GB"/>
        </w:rPr>
        <w:t>.</w:t>
      </w:r>
    </w:p>
    <w:p w14:paraId="4E96B8AD" w14:textId="77777777" w:rsidR="00E6642B" w:rsidRPr="00E6642B" w:rsidRDefault="00E6642B" w:rsidP="00E6642B">
      <w:pPr>
        <w:pStyle w:val="ListParagraph"/>
        <w:spacing w:after="0"/>
        <w:ind w:left="0"/>
        <w:rPr>
          <w:rFonts w:cs="Arial"/>
          <w:szCs w:val="24"/>
          <w:shd w:val="clear" w:color="auto" w:fill="FFFFFF"/>
          <w:lang w:val="en-GB"/>
        </w:rPr>
      </w:pPr>
    </w:p>
    <w:p w14:paraId="7FABF4DC" w14:textId="1E015DD2" w:rsidR="00813B51" w:rsidRPr="00C50CFC" w:rsidRDefault="00C50CFC" w:rsidP="00C50CFC">
      <w:pPr>
        <w:rPr>
          <w:shd w:val="clear" w:color="auto" w:fill="FFFFFF"/>
          <w:lang w:val="en-GB"/>
        </w:rPr>
      </w:pPr>
      <w:r>
        <w:rPr>
          <w:spacing w:val="0"/>
          <w:lang w:val="en-GB"/>
        </w:rPr>
        <w:t>[3]</w:t>
      </w:r>
      <w:r>
        <w:rPr>
          <w:spacing w:val="0"/>
          <w:lang w:val="en-GB"/>
        </w:rPr>
        <w:tab/>
      </w:r>
      <w:r w:rsidR="00813B51" w:rsidRPr="00C50CFC">
        <w:rPr>
          <w:shd w:val="clear" w:color="auto" w:fill="FFFFFF"/>
          <w:lang w:val="en-GB"/>
        </w:rPr>
        <w:t xml:space="preserve">The factual matrix of this matter is </w:t>
      </w:r>
      <w:r w:rsidR="00E6642B" w:rsidRPr="00C50CFC">
        <w:rPr>
          <w:shd w:val="clear" w:color="auto" w:fill="FFFFFF"/>
          <w:lang w:val="en-GB"/>
        </w:rPr>
        <w:t xml:space="preserve">the following. </w:t>
      </w:r>
      <w:r w:rsidR="006F5F72" w:rsidRPr="00C50CFC">
        <w:rPr>
          <w:shd w:val="clear" w:color="auto" w:fill="FFFFFF"/>
          <w:lang w:val="en-GB"/>
        </w:rPr>
        <w:t xml:space="preserve">Mr /Uirab was employed on a </w:t>
      </w:r>
      <w:r w:rsidR="00FD63E5" w:rsidRPr="00C50CFC">
        <w:rPr>
          <w:shd w:val="clear" w:color="auto" w:fill="FFFFFF"/>
          <w:lang w:val="en-GB"/>
        </w:rPr>
        <w:t>five-year</w:t>
      </w:r>
      <w:r w:rsidR="00100DB6" w:rsidRPr="00C50CFC">
        <w:rPr>
          <w:shd w:val="clear" w:color="auto" w:fill="FFFFFF"/>
          <w:lang w:val="en-GB"/>
        </w:rPr>
        <w:t xml:space="preserve"> fixed-term contract. He resigned and a dispute arose as to the calculation of his remuneration. </w:t>
      </w:r>
      <w:r w:rsidR="00E6642B" w:rsidRPr="00C50CFC">
        <w:rPr>
          <w:shd w:val="clear" w:color="auto" w:fill="FFFFFF"/>
          <w:lang w:val="en-GB"/>
        </w:rPr>
        <w:t>On</w:t>
      </w:r>
      <w:r w:rsidR="00813B51" w:rsidRPr="00C50CFC">
        <w:rPr>
          <w:shd w:val="clear" w:color="auto" w:fill="FFFFFF"/>
          <w:lang w:val="en-GB"/>
        </w:rPr>
        <w:t xml:space="preserve"> 27 February 2019, </w:t>
      </w:r>
      <w:r w:rsidR="00E6642B" w:rsidRPr="00C50CFC">
        <w:rPr>
          <w:shd w:val="clear" w:color="auto" w:fill="FFFFFF"/>
          <w:lang w:val="en-GB"/>
        </w:rPr>
        <w:t xml:space="preserve">Mr /Uirab referred a labour dispute for conciliation or arbitration in terms of </w:t>
      </w:r>
      <w:r w:rsidR="006F5F72" w:rsidRPr="00C50CFC">
        <w:rPr>
          <w:shd w:val="clear" w:color="auto" w:fill="FFFFFF"/>
          <w:lang w:val="en-GB"/>
        </w:rPr>
        <w:t xml:space="preserve">ss 82(7) and 86(1) of the </w:t>
      </w:r>
      <w:r w:rsidR="00E6642B" w:rsidRPr="00C50CFC">
        <w:rPr>
          <w:shd w:val="clear" w:color="auto" w:fill="FFFFFF"/>
          <w:lang w:val="en-GB"/>
        </w:rPr>
        <w:t>Act.  The referral relates to a</w:t>
      </w:r>
      <w:r w:rsidR="00813B51" w:rsidRPr="00C50CFC">
        <w:rPr>
          <w:shd w:val="clear" w:color="auto" w:fill="FFFFFF"/>
          <w:lang w:val="en-GB"/>
        </w:rPr>
        <w:t xml:space="preserve"> claim for non-payment of his notice period, unauthori</w:t>
      </w:r>
      <w:r w:rsidR="00100DB6" w:rsidRPr="00C50CFC">
        <w:rPr>
          <w:shd w:val="clear" w:color="auto" w:fill="FFFFFF"/>
          <w:lang w:val="en-GB"/>
        </w:rPr>
        <w:t>s</w:t>
      </w:r>
      <w:r w:rsidR="00813B51" w:rsidRPr="00C50CFC">
        <w:rPr>
          <w:shd w:val="clear" w:color="auto" w:fill="FFFFFF"/>
          <w:lang w:val="en-GB"/>
        </w:rPr>
        <w:t>ed deductions of leave days, and damages for loss of property.</w:t>
      </w:r>
    </w:p>
    <w:p w14:paraId="15A65F9C" w14:textId="77777777" w:rsidR="00431D7B" w:rsidRPr="00431D7B" w:rsidRDefault="00431D7B" w:rsidP="00431D7B">
      <w:pPr>
        <w:pStyle w:val="ListParagraph"/>
        <w:rPr>
          <w:rFonts w:cs="Arial"/>
          <w:szCs w:val="24"/>
          <w:shd w:val="clear" w:color="auto" w:fill="FFFFFF"/>
          <w:lang w:val="en-GB"/>
        </w:rPr>
      </w:pPr>
    </w:p>
    <w:p w14:paraId="0B49A277" w14:textId="38DFC9A2" w:rsidR="00C320AA" w:rsidRPr="00C50CFC" w:rsidRDefault="00C50CFC" w:rsidP="00C50CFC">
      <w:pPr>
        <w:rPr>
          <w:shd w:val="clear" w:color="auto" w:fill="FFFFFF"/>
          <w:lang w:val="en-GB"/>
        </w:rPr>
      </w:pPr>
      <w:r w:rsidRPr="00E6642B">
        <w:rPr>
          <w:spacing w:val="0"/>
          <w:lang w:val="en-GB"/>
        </w:rPr>
        <w:t>[4]</w:t>
      </w:r>
      <w:r w:rsidRPr="00E6642B">
        <w:rPr>
          <w:spacing w:val="0"/>
          <w:lang w:val="en-GB"/>
        </w:rPr>
        <w:tab/>
      </w:r>
      <w:r w:rsidR="00E6642B" w:rsidRPr="00C50CFC">
        <w:rPr>
          <w:shd w:val="clear" w:color="auto" w:fill="FFFFFF"/>
          <w:lang w:val="en-GB"/>
        </w:rPr>
        <w:t>According to the Town Council</w:t>
      </w:r>
      <w:r w:rsidR="006F5F72" w:rsidRPr="00C50CFC">
        <w:rPr>
          <w:shd w:val="clear" w:color="auto" w:fill="FFFFFF"/>
          <w:lang w:val="en-GB"/>
        </w:rPr>
        <w:t>,</w:t>
      </w:r>
      <w:r w:rsidR="00E6642B" w:rsidRPr="00C50CFC">
        <w:rPr>
          <w:shd w:val="clear" w:color="auto" w:fill="FFFFFF"/>
          <w:lang w:val="en-GB"/>
        </w:rPr>
        <w:t xml:space="preserve"> the case of Mr /Uirab is that, Mr /Uirab issued it with a noti</w:t>
      </w:r>
      <w:r w:rsidR="00E12E44" w:rsidRPr="00C50CFC">
        <w:rPr>
          <w:shd w:val="clear" w:color="auto" w:fill="FFFFFF"/>
          <w:lang w:val="en-GB"/>
        </w:rPr>
        <w:t>ce of resignation on 20 June 2018</w:t>
      </w:r>
      <w:r w:rsidR="00E6642B" w:rsidRPr="00C50CFC">
        <w:rPr>
          <w:shd w:val="clear" w:color="auto" w:fill="FFFFFF"/>
          <w:lang w:val="en-GB"/>
        </w:rPr>
        <w:t xml:space="preserve">, stating that the effective date of resignation would be </w:t>
      </w:r>
      <w:r w:rsidR="00431D7B" w:rsidRPr="00C50CFC">
        <w:rPr>
          <w:shd w:val="clear" w:color="auto" w:fill="FFFFFF"/>
          <w:lang w:val="en-GB"/>
        </w:rPr>
        <w:t>26 November 2018. On 13 Ju</w:t>
      </w:r>
      <w:r w:rsidR="00E6642B" w:rsidRPr="00C50CFC">
        <w:rPr>
          <w:shd w:val="clear" w:color="auto" w:fill="FFFFFF"/>
          <w:lang w:val="en-GB"/>
        </w:rPr>
        <w:t>ly 2018, the Town Council</w:t>
      </w:r>
      <w:r w:rsidR="006F5F72" w:rsidRPr="00C50CFC">
        <w:rPr>
          <w:shd w:val="clear" w:color="auto" w:fill="FFFFFF"/>
          <w:lang w:val="en-GB"/>
        </w:rPr>
        <w:t xml:space="preserve"> informed</w:t>
      </w:r>
      <w:r w:rsidR="00431D7B" w:rsidRPr="00C50CFC">
        <w:rPr>
          <w:shd w:val="clear" w:color="auto" w:fill="FFFFFF"/>
          <w:lang w:val="en-GB"/>
        </w:rPr>
        <w:t xml:space="preserve"> </w:t>
      </w:r>
      <w:r w:rsidR="00E6642B" w:rsidRPr="00C50CFC">
        <w:rPr>
          <w:shd w:val="clear" w:color="auto" w:fill="FFFFFF"/>
          <w:lang w:val="en-GB"/>
        </w:rPr>
        <w:t>Mr /Uirab</w:t>
      </w:r>
      <w:r w:rsidR="00431D7B" w:rsidRPr="00C50CFC">
        <w:rPr>
          <w:shd w:val="clear" w:color="auto" w:fill="FFFFFF"/>
          <w:lang w:val="en-GB"/>
        </w:rPr>
        <w:t xml:space="preserve"> that his services w</w:t>
      </w:r>
      <w:r w:rsidR="00BB1196" w:rsidRPr="00C50CFC">
        <w:rPr>
          <w:shd w:val="clear" w:color="auto" w:fill="FFFFFF"/>
          <w:lang w:val="en-GB"/>
        </w:rPr>
        <w:t>ould</w:t>
      </w:r>
      <w:r w:rsidR="00431D7B" w:rsidRPr="00C50CFC">
        <w:rPr>
          <w:shd w:val="clear" w:color="auto" w:fill="FFFFFF"/>
          <w:lang w:val="en-GB"/>
        </w:rPr>
        <w:t xml:space="preserve"> end on 2</w:t>
      </w:r>
      <w:r w:rsidR="00E6642B" w:rsidRPr="00C50CFC">
        <w:rPr>
          <w:shd w:val="clear" w:color="auto" w:fill="FFFFFF"/>
          <w:lang w:val="en-GB"/>
        </w:rPr>
        <w:t xml:space="preserve">0 July </w:t>
      </w:r>
      <w:r w:rsidR="006A3A69" w:rsidRPr="00C50CFC">
        <w:rPr>
          <w:shd w:val="clear" w:color="auto" w:fill="FFFFFF"/>
          <w:lang w:val="en-GB"/>
        </w:rPr>
        <w:t>2018</w:t>
      </w:r>
      <w:r w:rsidR="00BB1196" w:rsidRPr="00C50CFC">
        <w:rPr>
          <w:shd w:val="clear" w:color="auto" w:fill="FFFFFF"/>
          <w:lang w:val="en-GB"/>
        </w:rPr>
        <w:t xml:space="preserve">, </w:t>
      </w:r>
      <w:r w:rsidR="006A3A69" w:rsidRPr="00C50CFC">
        <w:rPr>
          <w:shd w:val="clear" w:color="auto" w:fill="FFFFFF"/>
          <w:lang w:val="en-GB"/>
        </w:rPr>
        <w:t xml:space="preserve"> that</w:t>
      </w:r>
      <w:r w:rsidR="00E6642B" w:rsidRPr="00C50CFC">
        <w:rPr>
          <w:shd w:val="clear" w:color="auto" w:fill="FFFFFF"/>
          <w:lang w:val="en-GB"/>
        </w:rPr>
        <w:t xml:space="preserve"> it </w:t>
      </w:r>
      <w:r w:rsidR="00431D7B" w:rsidRPr="00C50CFC">
        <w:rPr>
          <w:shd w:val="clear" w:color="auto" w:fill="FFFFFF"/>
          <w:lang w:val="en-GB"/>
        </w:rPr>
        <w:lastRenderedPageBreak/>
        <w:t xml:space="preserve">waived the notice </w:t>
      </w:r>
      <w:r w:rsidR="00E6642B" w:rsidRPr="00C50CFC">
        <w:rPr>
          <w:shd w:val="clear" w:color="auto" w:fill="FFFFFF"/>
          <w:lang w:val="en-GB"/>
        </w:rPr>
        <w:t>period requirement</w:t>
      </w:r>
      <w:r w:rsidR="00431D7B" w:rsidRPr="00C50CFC">
        <w:rPr>
          <w:shd w:val="clear" w:color="auto" w:fill="FFFFFF"/>
          <w:lang w:val="en-GB"/>
        </w:rPr>
        <w:t xml:space="preserve"> and</w:t>
      </w:r>
      <w:r w:rsidR="00431D7B" w:rsidRPr="00C50CFC">
        <w:rPr>
          <w:i/>
          <w:shd w:val="clear" w:color="auto" w:fill="FFFFFF"/>
          <w:lang w:val="en-GB"/>
        </w:rPr>
        <w:t xml:space="preserve"> </w:t>
      </w:r>
      <w:r w:rsidR="002F2ADC" w:rsidRPr="00C50CFC">
        <w:rPr>
          <w:i/>
          <w:shd w:val="clear" w:color="auto" w:fill="FFFFFF"/>
          <w:lang w:val="en-GB"/>
        </w:rPr>
        <w:t xml:space="preserve">in </w:t>
      </w:r>
      <w:r w:rsidR="00431D7B" w:rsidRPr="00C50CFC">
        <w:rPr>
          <w:i/>
          <w:shd w:val="clear" w:color="auto" w:fill="FFFFFF"/>
          <w:lang w:val="en-GB"/>
        </w:rPr>
        <w:t xml:space="preserve">lieu </w:t>
      </w:r>
      <w:r w:rsidR="00431D7B" w:rsidRPr="00C50CFC">
        <w:rPr>
          <w:shd w:val="clear" w:color="auto" w:fill="FFFFFF"/>
          <w:lang w:val="en-GB"/>
        </w:rPr>
        <w:t>thereof</w:t>
      </w:r>
      <w:r w:rsidR="00C8567A" w:rsidRPr="00C50CFC">
        <w:rPr>
          <w:shd w:val="clear" w:color="auto" w:fill="FFFFFF"/>
          <w:lang w:val="en-GB"/>
        </w:rPr>
        <w:t>,</w:t>
      </w:r>
      <w:r w:rsidR="00E6642B" w:rsidRPr="00C50CFC">
        <w:rPr>
          <w:shd w:val="clear" w:color="auto" w:fill="FFFFFF"/>
          <w:lang w:val="en-GB"/>
        </w:rPr>
        <w:t xml:space="preserve"> Mr /Uirab</w:t>
      </w:r>
      <w:r w:rsidR="00C320AA" w:rsidRPr="00C50CFC">
        <w:rPr>
          <w:shd w:val="clear" w:color="auto" w:fill="FFFFFF"/>
          <w:lang w:val="en-GB"/>
        </w:rPr>
        <w:t xml:space="preserve"> would be entitled to remuneration for the work he would have done during the notice period.</w:t>
      </w:r>
      <w:r w:rsidR="00E6642B" w:rsidRPr="00C50CFC">
        <w:rPr>
          <w:shd w:val="clear" w:color="auto" w:fill="FFFFFF"/>
          <w:lang w:val="en-GB"/>
        </w:rPr>
        <w:t xml:space="preserve"> </w:t>
      </w:r>
    </w:p>
    <w:p w14:paraId="4AC689A4" w14:textId="77777777" w:rsidR="00C320AA" w:rsidRPr="00C320AA" w:rsidRDefault="00C320AA" w:rsidP="00C320AA">
      <w:pPr>
        <w:pStyle w:val="ListParagraph"/>
        <w:rPr>
          <w:rFonts w:cs="Arial"/>
          <w:szCs w:val="24"/>
          <w:shd w:val="clear" w:color="auto" w:fill="FFFFFF"/>
          <w:lang w:val="en-GB"/>
        </w:rPr>
      </w:pPr>
    </w:p>
    <w:p w14:paraId="0CAFAE83" w14:textId="4759E74A" w:rsidR="00C320AA" w:rsidRPr="00C50CFC" w:rsidRDefault="00C50CFC" w:rsidP="00C50CFC">
      <w:pPr>
        <w:rPr>
          <w:shd w:val="clear" w:color="auto" w:fill="FFFFFF"/>
          <w:lang w:val="en-GB"/>
        </w:rPr>
      </w:pPr>
      <w:r>
        <w:rPr>
          <w:spacing w:val="0"/>
          <w:lang w:val="en-GB"/>
        </w:rPr>
        <w:t>[5]</w:t>
      </w:r>
      <w:r>
        <w:rPr>
          <w:spacing w:val="0"/>
          <w:lang w:val="en-GB"/>
        </w:rPr>
        <w:tab/>
      </w:r>
      <w:r w:rsidR="00C320AA" w:rsidRPr="00C50CFC">
        <w:rPr>
          <w:shd w:val="clear" w:color="auto" w:fill="FFFFFF"/>
          <w:lang w:val="en-GB"/>
        </w:rPr>
        <w:t>At the conclusion of the arbitration, the second respondent ordered the applicant pay to the first respondent:</w:t>
      </w:r>
    </w:p>
    <w:p w14:paraId="4ED8E35C" w14:textId="77777777" w:rsidR="00C320AA" w:rsidRPr="00C320AA" w:rsidRDefault="00C320AA" w:rsidP="00C320AA">
      <w:pPr>
        <w:pStyle w:val="ListParagraph"/>
        <w:rPr>
          <w:rFonts w:cs="Arial"/>
          <w:szCs w:val="24"/>
          <w:shd w:val="clear" w:color="auto" w:fill="FFFFFF"/>
          <w:lang w:val="en-GB"/>
        </w:rPr>
      </w:pPr>
    </w:p>
    <w:p w14:paraId="19E3AFB8" w14:textId="23D229BF" w:rsidR="00C320AA" w:rsidRPr="00C50CFC" w:rsidRDefault="00C50CFC" w:rsidP="00C50CFC">
      <w:pPr>
        <w:ind w:left="720" w:hanging="360"/>
        <w:rPr>
          <w:shd w:val="clear" w:color="auto" w:fill="FFFFFF"/>
          <w:lang w:val="en-GB"/>
        </w:rPr>
      </w:pPr>
      <w:r>
        <w:rPr>
          <w:spacing w:val="0"/>
          <w:lang w:val="en-GB"/>
        </w:rPr>
        <w:t>a)</w:t>
      </w:r>
      <w:r>
        <w:rPr>
          <w:spacing w:val="0"/>
          <w:lang w:val="en-GB"/>
        </w:rPr>
        <w:tab/>
      </w:r>
      <w:r w:rsidR="006F5F72" w:rsidRPr="00C50CFC">
        <w:rPr>
          <w:shd w:val="clear" w:color="auto" w:fill="FFFFFF"/>
          <w:lang w:val="en-GB"/>
        </w:rPr>
        <w:t>Notice pay of N$219 110 (N$</w:t>
      </w:r>
      <w:r w:rsidR="00C320AA" w:rsidRPr="00C50CFC">
        <w:rPr>
          <w:shd w:val="clear" w:color="auto" w:fill="FFFFFF"/>
          <w:lang w:val="en-GB"/>
        </w:rPr>
        <w:t xml:space="preserve"> 54 777,47 being the monthly rate for four months;</w:t>
      </w:r>
    </w:p>
    <w:p w14:paraId="04E99C36" w14:textId="77777777" w:rsidR="006F5F72" w:rsidRDefault="006F5F72" w:rsidP="006F5F72">
      <w:pPr>
        <w:pStyle w:val="ListParagraph"/>
        <w:spacing w:after="0"/>
        <w:rPr>
          <w:rFonts w:cs="Arial"/>
          <w:szCs w:val="24"/>
          <w:shd w:val="clear" w:color="auto" w:fill="FFFFFF"/>
          <w:lang w:val="en-GB"/>
        </w:rPr>
      </w:pPr>
    </w:p>
    <w:p w14:paraId="3E7A4F59" w14:textId="661E0FC5" w:rsidR="006F5F72" w:rsidRPr="00C50CFC" w:rsidRDefault="00C50CFC" w:rsidP="00C50CFC">
      <w:pPr>
        <w:ind w:left="720" w:hanging="360"/>
        <w:rPr>
          <w:shd w:val="clear" w:color="auto" w:fill="FFFFFF"/>
          <w:lang w:val="en-GB"/>
        </w:rPr>
      </w:pPr>
      <w:r w:rsidRPr="006F5F72">
        <w:rPr>
          <w:spacing w:val="0"/>
          <w:lang w:val="en-GB"/>
        </w:rPr>
        <w:t>b)</w:t>
      </w:r>
      <w:r w:rsidRPr="006F5F72">
        <w:rPr>
          <w:spacing w:val="0"/>
          <w:lang w:val="en-GB"/>
        </w:rPr>
        <w:tab/>
      </w:r>
      <w:r w:rsidR="006F5F72" w:rsidRPr="00C50CFC">
        <w:rPr>
          <w:shd w:val="clear" w:color="auto" w:fill="FFFFFF"/>
          <w:lang w:val="en-GB"/>
        </w:rPr>
        <w:t>Leave gratuity of N$161 856 (N$</w:t>
      </w:r>
      <w:r w:rsidR="00C320AA" w:rsidRPr="00C50CFC">
        <w:rPr>
          <w:shd w:val="clear" w:color="auto" w:fill="FFFFFF"/>
          <w:lang w:val="en-GB"/>
        </w:rPr>
        <w:t xml:space="preserve"> 54 777,47 /4.333 / 5 x 64 days);</w:t>
      </w:r>
    </w:p>
    <w:p w14:paraId="111A7154" w14:textId="77777777" w:rsidR="006F5F72" w:rsidRDefault="006F5F72" w:rsidP="006F5F72">
      <w:pPr>
        <w:pStyle w:val="ListParagraph"/>
        <w:spacing w:after="0"/>
        <w:rPr>
          <w:rFonts w:cs="Arial"/>
          <w:szCs w:val="24"/>
          <w:shd w:val="clear" w:color="auto" w:fill="FFFFFF"/>
          <w:lang w:val="en-GB"/>
        </w:rPr>
      </w:pPr>
    </w:p>
    <w:p w14:paraId="3D2E479A" w14:textId="1DAD1F72" w:rsidR="006F5F72" w:rsidRPr="00C50CFC" w:rsidRDefault="00C50CFC" w:rsidP="00C50CFC">
      <w:pPr>
        <w:ind w:left="720" w:hanging="360"/>
        <w:rPr>
          <w:shd w:val="clear" w:color="auto" w:fill="FFFFFF"/>
          <w:lang w:val="en-GB"/>
        </w:rPr>
      </w:pPr>
      <w:r w:rsidRPr="006F5F72">
        <w:rPr>
          <w:spacing w:val="0"/>
          <w:lang w:val="en-GB"/>
        </w:rPr>
        <w:t>c)</w:t>
      </w:r>
      <w:r w:rsidRPr="006F5F72">
        <w:rPr>
          <w:spacing w:val="0"/>
          <w:lang w:val="en-GB"/>
        </w:rPr>
        <w:tab/>
      </w:r>
      <w:r w:rsidR="00C320AA" w:rsidRPr="00C50CFC">
        <w:rPr>
          <w:shd w:val="clear" w:color="auto" w:fill="FFFFFF"/>
          <w:lang w:val="en-GB"/>
        </w:rPr>
        <w:t>Prorate bonus of N$10 675,61;</w:t>
      </w:r>
    </w:p>
    <w:p w14:paraId="74F6DAA1" w14:textId="77777777" w:rsidR="006F5F72" w:rsidRDefault="006F5F72" w:rsidP="006F5F72">
      <w:pPr>
        <w:pStyle w:val="ListParagraph"/>
        <w:spacing w:after="0"/>
        <w:rPr>
          <w:rFonts w:cs="Arial"/>
          <w:szCs w:val="24"/>
          <w:shd w:val="clear" w:color="auto" w:fill="FFFFFF"/>
          <w:lang w:val="en-GB"/>
        </w:rPr>
      </w:pPr>
    </w:p>
    <w:p w14:paraId="67DFF7CF" w14:textId="12BB4047" w:rsidR="006F5F72" w:rsidRPr="00C50CFC" w:rsidRDefault="00C50CFC" w:rsidP="00C50CFC">
      <w:pPr>
        <w:ind w:left="720" w:hanging="360"/>
        <w:rPr>
          <w:shd w:val="clear" w:color="auto" w:fill="FFFFFF"/>
          <w:lang w:val="en-GB"/>
        </w:rPr>
      </w:pPr>
      <w:r w:rsidRPr="006F5F72">
        <w:rPr>
          <w:spacing w:val="0"/>
          <w:lang w:val="en-GB"/>
        </w:rPr>
        <w:t>d)</w:t>
      </w:r>
      <w:r w:rsidRPr="006F5F72">
        <w:rPr>
          <w:spacing w:val="0"/>
          <w:lang w:val="en-GB"/>
        </w:rPr>
        <w:tab/>
      </w:r>
      <w:r w:rsidR="00C320AA" w:rsidRPr="00C50CFC">
        <w:rPr>
          <w:shd w:val="clear" w:color="auto" w:fill="FFFFFF"/>
          <w:lang w:val="en-GB"/>
        </w:rPr>
        <w:t>NHE arrears of N$102 967.90; and</w:t>
      </w:r>
    </w:p>
    <w:p w14:paraId="1AAC87BC" w14:textId="77777777" w:rsidR="006F5F72" w:rsidRDefault="006F5F72" w:rsidP="006F5F72">
      <w:pPr>
        <w:pStyle w:val="ListParagraph"/>
        <w:spacing w:after="0"/>
        <w:rPr>
          <w:rFonts w:cs="Arial"/>
          <w:szCs w:val="24"/>
          <w:shd w:val="clear" w:color="auto" w:fill="FFFFFF"/>
          <w:lang w:val="en-GB"/>
        </w:rPr>
      </w:pPr>
    </w:p>
    <w:p w14:paraId="5085244A" w14:textId="0AE7D6DB" w:rsidR="00C320AA" w:rsidRPr="00C50CFC" w:rsidRDefault="00C50CFC" w:rsidP="00C50CFC">
      <w:pPr>
        <w:ind w:left="720" w:hanging="360"/>
        <w:rPr>
          <w:shd w:val="clear" w:color="auto" w:fill="FFFFFF"/>
          <w:lang w:val="en-GB"/>
        </w:rPr>
      </w:pPr>
      <w:r w:rsidRPr="00C320AA">
        <w:rPr>
          <w:spacing w:val="0"/>
          <w:lang w:val="en-GB"/>
        </w:rPr>
        <w:t>e)</w:t>
      </w:r>
      <w:r w:rsidRPr="00C320AA">
        <w:rPr>
          <w:spacing w:val="0"/>
          <w:lang w:val="en-GB"/>
        </w:rPr>
        <w:tab/>
      </w:r>
      <w:r w:rsidR="00C320AA" w:rsidRPr="00C50CFC">
        <w:rPr>
          <w:shd w:val="clear" w:color="auto" w:fill="FFFFFF"/>
          <w:lang w:val="en-GB"/>
        </w:rPr>
        <w:t>Motor vehicle loss of N$536 726,86.</w:t>
      </w:r>
    </w:p>
    <w:p w14:paraId="64D5C739" w14:textId="77777777" w:rsidR="00333A65" w:rsidRPr="00333A65" w:rsidRDefault="00333A65" w:rsidP="00333A65">
      <w:pPr>
        <w:pStyle w:val="ListParagraph"/>
        <w:rPr>
          <w:rFonts w:cs="Arial"/>
          <w:szCs w:val="24"/>
          <w:shd w:val="clear" w:color="auto" w:fill="FFFFFF"/>
          <w:lang w:val="en-GB"/>
        </w:rPr>
      </w:pPr>
    </w:p>
    <w:p w14:paraId="2EC04530" w14:textId="704E78E9" w:rsidR="00C320AA" w:rsidRPr="00C50CFC" w:rsidRDefault="00C50CFC" w:rsidP="00C50CFC">
      <w:pPr>
        <w:rPr>
          <w:shd w:val="clear" w:color="auto" w:fill="FFFFFF"/>
          <w:lang w:val="en-GB"/>
        </w:rPr>
      </w:pPr>
      <w:r>
        <w:rPr>
          <w:spacing w:val="0"/>
          <w:lang w:val="en-GB"/>
        </w:rPr>
        <w:t>[6]</w:t>
      </w:r>
      <w:r>
        <w:rPr>
          <w:spacing w:val="0"/>
          <w:lang w:val="en-GB"/>
        </w:rPr>
        <w:tab/>
      </w:r>
      <w:r w:rsidR="00C320AA" w:rsidRPr="00C50CFC">
        <w:rPr>
          <w:shd w:val="clear" w:color="auto" w:fill="FFFFFF"/>
          <w:lang w:val="en-GB"/>
        </w:rPr>
        <w:t>The sum of th</w:t>
      </w:r>
      <w:r w:rsidR="006F5F72" w:rsidRPr="00C50CFC">
        <w:rPr>
          <w:shd w:val="clear" w:color="auto" w:fill="FFFFFF"/>
          <w:lang w:val="en-GB"/>
        </w:rPr>
        <w:t>e arbitration award was thus N$</w:t>
      </w:r>
      <w:r w:rsidR="00C320AA" w:rsidRPr="00C50CFC">
        <w:rPr>
          <w:shd w:val="clear" w:color="auto" w:fill="FFFFFF"/>
          <w:lang w:val="en-GB"/>
        </w:rPr>
        <w:t>1 0</w:t>
      </w:r>
      <w:r w:rsidR="00C8567A" w:rsidRPr="00C50CFC">
        <w:rPr>
          <w:shd w:val="clear" w:color="auto" w:fill="FFFFFF"/>
          <w:lang w:val="en-GB"/>
        </w:rPr>
        <w:t>31 336,37, plus interest</w:t>
      </w:r>
      <w:r w:rsidR="00C320AA" w:rsidRPr="00C50CFC">
        <w:rPr>
          <w:shd w:val="clear" w:color="auto" w:fill="FFFFFF"/>
          <w:lang w:val="en-GB"/>
        </w:rPr>
        <w:t>.</w:t>
      </w:r>
    </w:p>
    <w:p w14:paraId="71754806" w14:textId="77777777" w:rsidR="000B54E5" w:rsidRDefault="000B54E5" w:rsidP="000B54E5">
      <w:pPr>
        <w:pStyle w:val="ListParagraph"/>
        <w:spacing w:after="0"/>
        <w:ind w:left="0"/>
        <w:rPr>
          <w:rFonts w:cs="Arial"/>
          <w:szCs w:val="24"/>
          <w:shd w:val="clear" w:color="auto" w:fill="FFFFFF"/>
          <w:lang w:val="en-GB"/>
        </w:rPr>
      </w:pPr>
    </w:p>
    <w:p w14:paraId="5D4C1AAC" w14:textId="6836E0BC" w:rsidR="00E12E44" w:rsidRPr="00C50CFC" w:rsidRDefault="00C50CFC" w:rsidP="00C50CFC">
      <w:pPr>
        <w:rPr>
          <w:shd w:val="clear" w:color="auto" w:fill="FFFFFF"/>
          <w:lang w:val="en-GB"/>
        </w:rPr>
      </w:pPr>
      <w:r>
        <w:rPr>
          <w:spacing w:val="0"/>
          <w:lang w:val="en-GB"/>
        </w:rPr>
        <w:t>[7]</w:t>
      </w:r>
      <w:r>
        <w:rPr>
          <w:spacing w:val="0"/>
          <w:lang w:val="en-GB"/>
        </w:rPr>
        <w:tab/>
      </w:r>
      <w:r w:rsidR="00E12E44" w:rsidRPr="00C50CFC">
        <w:rPr>
          <w:shd w:val="clear" w:color="auto" w:fill="FFFFFF"/>
          <w:lang w:val="en-GB"/>
        </w:rPr>
        <w:t>It is common cause between the parties that the Town Council noted an appeal against the arbitration award, and that the appeal was noted out of time. T</w:t>
      </w:r>
      <w:r w:rsidR="00193B50" w:rsidRPr="00C50CFC">
        <w:rPr>
          <w:shd w:val="clear" w:color="auto" w:fill="FFFFFF"/>
          <w:lang w:val="en-GB"/>
        </w:rPr>
        <w:t xml:space="preserve">he Town Council presented the following explanation for the </w:t>
      </w:r>
      <w:r w:rsidR="00FD63E5" w:rsidRPr="00C50CFC">
        <w:rPr>
          <w:shd w:val="clear" w:color="auto" w:fill="FFFFFF"/>
          <w:lang w:val="en-GB"/>
        </w:rPr>
        <w:t>four-month</w:t>
      </w:r>
      <w:r w:rsidR="00E12E44" w:rsidRPr="00C50CFC">
        <w:rPr>
          <w:shd w:val="clear" w:color="auto" w:fill="FFFFFF"/>
          <w:lang w:val="en-GB"/>
        </w:rPr>
        <w:t xml:space="preserve"> delay in noting the </w:t>
      </w:r>
      <w:r w:rsidR="00193B50" w:rsidRPr="00C50CFC">
        <w:rPr>
          <w:shd w:val="clear" w:color="auto" w:fill="FFFFFF"/>
          <w:lang w:val="en-GB"/>
        </w:rPr>
        <w:t xml:space="preserve">appeal against the arbitrator’s award, which was made an order of court on 26 October 2022. </w:t>
      </w:r>
    </w:p>
    <w:p w14:paraId="0CD0696D" w14:textId="77777777" w:rsidR="00E12E44" w:rsidRPr="00E12E44" w:rsidRDefault="00E12E44" w:rsidP="00E12E44">
      <w:pPr>
        <w:pStyle w:val="ListParagraph"/>
        <w:rPr>
          <w:rFonts w:cs="Arial"/>
          <w:szCs w:val="24"/>
          <w:shd w:val="clear" w:color="auto" w:fill="FFFFFF"/>
          <w:lang w:val="en-GB"/>
        </w:rPr>
      </w:pPr>
    </w:p>
    <w:p w14:paraId="548478E7" w14:textId="43FFDC45" w:rsidR="000A7AA5" w:rsidRPr="00C50CFC" w:rsidRDefault="00C50CFC" w:rsidP="00C50CFC">
      <w:pPr>
        <w:rPr>
          <w:shd w:val="clear" w:color="auto" w:fill="FFFFFF"/>
          <w:lang w:val="en-GB"/>
        </w:rPr>
      </w:pPr>
      <w:r>
        <w:rPr>
          <w:spacing w:val="0"/>
          <w:lang w:val="en-GB"/>
        </w:rPr>
        <w:t>[8]</w:t>
      </w:r>
      <w:r>
        <w:rPr>
          <w:spacing w:val="0"/>
          <w:lang w:val="en-GB"/>
        </w:rPr>
        <w:tab/>
      </w:r>
      <w:r w:rsidR="00193B50" w:rsidRPr="00C50CFC">
        <w:rPr>
          <w:shd w:val="clear" w:color="auto" w:fill="FFFFFF"/>
          <w:lang w:val="en-GB"/>
        </w:rPr>
        <w:t>T</w:t>
      </w:r>
      <w:r w:rsidR="00E12E44" w:rsidRPr="00C50CFC">
        <w:rPr>
          <w:shd w:val="clear" w:color="auto" w:fill="FFFFFF"/>
          <w:lang w:val="en-GB"/>
        </w:rPr>
        <w:t>he Town Council</w:t>
      </w:r>
      <w:r w:rsidR="00193B50" w:rsidRPr="00C50CFC">
        <w:rPr>
          <w:shd w:val="clear" w:color="auto" w:fill="FFFFFF"/>
          <w:lang w:val="en-GB"/>
        </w:rPr>
        <w:t xml:space="preserve"> states</w:t>
      </w:r>
      <w:r w:rsidR="006F5F72" w:rsidRPr="00C50CFC">
        <w:rPr>
          <w:shd w:val="clear" w:color="auto" w:fill="FFFFFF"/>
          <w:lang w:val="en-GB"/>
        </w:rPr>
        <w:t xml:space="preserve"> that</w:t>
      </w:r>
      <w:r w:rsidR="00E12E44" w:rsidRPr="00C50CFC">
        <w:rPr>
          <w:shd w:val="clear" w:color="auto" w:fill="FFFFFF"/>
          <w:lang w:val="en-GB"/>
        </w:rPr>
        <w:t xml:space="preserve"> it was represented during</w:t>
      </w:r>
      <w:r w:rsidR="00193B50" w:rsidRPr="00C50CFC">
        <w:rPr>
          <w:shd w:val="clear" w:color="auto" w:fill="FFFFFF"/>
          <w:lang w:val="en-GB"/>
        </w:rPr>
        <w:t xml:space="preserve"> the arbitration proceedings </w:t>
      </w:r>
      <w:r w:rsidR="000A7AA5" w:rsidRPr="00C50CFC">
        <w:rPr>
          <w:shd w:val="clear" w:color="auto" w:fill="FFFFFF"/>
          <w:lang w:val="en-GB"/>
        </w:rPr>
        <w:t>by</w:t>
      </w:r>
      <w:r w:rsidR="006F5F72" w:rsidRPr="00C50CFC">
        <w:rPr>
          <w:shd w:val="clear" w:color="auto" w:fill="FFFFFF"/>
          <w:lang w:val="en-GB"/>
        </w:rPr>
        <w:t xml:space="preserve"> Ms Gebhardt of</w:t>
      </w:r>
      <w:r w:rsidR="000A7AA5" w:rsidRPr="00C50CFC">
        <w:rPr>
          <w:shd w:val="clear" w:color="auto" w:fill="FFFFFF"/>
          <w:lang w:val="en-GB"/>
        </w:rPr>
        <w:t xml:space="preserve"> Ileni Gebhardt and Co. </w:t>
      </w:r>
      <w:r w:rsidR="00193B50" w:rsidRPr="00C50CFC">
        <w:rPr>
          <w:shd w:val="clear" w:color="auto" w:fill="FFFFFF"/>
          <w:lang w:val="en-GB"/>
        </w:rPr>
        <w:t>Inc. D</w:t>
      </w:r>
      <w:r w:rsidR="000A7AA5" w:rsidRPr="00C50CFC">
        <w:rPr>
          <w:shd w:val="clear" w:color="auto" w:fill="FFFFFF"/>
          <w:lang w:val="en-GB"/>
        </w:rPr>
        <w:t>uring September 2022, it terminated the services of Ms Gebhardt, one of the reasons being that it proved too costly to have Ms Gebhardt represent them in litigious matter</w:t>
      </w:r>
      <w:r w:rsidR="00C8567A" w:rsidRPr="00C50CFC">
        <w:rPr>
          <w:shd w:val="clear" w:color="auto" w:fill="FFFFFF"/>
          <w:lang w:val="en-GB"/>
        </w:rPr>
        <w:t>s</w:t>
      </w:r>
      <w:r w:rsidR="000A7AA5" w:rsidRPr="00C50CFC">
        <w:rPr>
          <w:shd w:val="clear" w:color="auto" w:fill="FFFFFF"/>
          <w:lang w:val="en-GB"/>
        </w:rPr>
        <w:t>.</w:t>
      </w:r>
    </w:p>
    <w:p w14:paraId="3B590E62" w14:textId="77777777" w:rsidR="000B54E5" w:rsidRDefault="000B54E5" w:rsidP="000B54E5">
      <w:pPr>
        <w:pStyle w:val="ListParagraph"/>
        <w:spacing w:after="0"/>
        <w:ind w:left="0"/>
        <w:rPr>
          <w:rFonts w:cs="Arial"/>
          <w:szCs w:val="24"/>
          <w:shd w:val="clear" w:color="auto" w:fill="FFFFFF"/>
          <w:lang w:val="en-GB"/>
        </w:rPr>
      </w:pPr>
    </w:p>
    <w:p w14:paraId="79510F19" w14:textId="745D7D20" w:rsidR="000A7AA5" w:rsidRPr="00C50CFC" w:rsidRDefault="00C50CFC" w:rsidP="00C50CFC">
      <w:pPr>
        <w:rPr>
          <w:shd w:val="clear" w:color="auto" w:fill="FFFFFF"/>
          <w:lang w:val="en-GB"/>
        </w:rPr>
      </w:pPr>
      <w:r>
        <w:rPr>
          <w:spacing w:val="0"/>
          <w:lang w:val="en-GB"/>
        </w:rPr>
        <w:t>[9]</w:t>
      </w:r>
      <w:r>
        <w:rPr>
          <w:spacing w:val="0"/>
          <w:lang w:val="en-GB"/>
        </w:rPr>
        <w:tab/>
      </w:r>
      <w:r w:rsidR="00193B50" w:rsidRPr="00C50CFC">
        <w:rPr>
          <w:shd w:val="clear" w:color="auto" w:fill="FFFFFF"/>
          <w:lang w:val="en-GB"/>
        </w:rPr>
        <w:t>A</w:t>
      </w:r>
      <w:r w:rsidR="000A7AA5" w:rsidRPr="00C50CFC">
        <w:rPr>
          <w:shd w:val="clear" w:color="auto" w:fill="FFFFFF"/>
          <w:lang w:val="en-GB"/>
        </w:rPr>
        <w:t xml:space="preserve">s a result of the financial difficulties it faced </w:t>
      </w:r>
      <w:r w:rsidR="00193B50" w:rsidRPr="00C50CFC">
        <w:rPr>
          <w:shd w:val="clear" w:color="auto" w:fill="FFFFFF"/>
          <w:lang w:val="en-GB"/>
        </w:rPr>
        <w:t xml:space="preserve">and </w:t>
      </w:r>
      <w:r w:rsidR="000A7AA5" w:rsidRPr="00C50CFC">
        <w:rPr>
          <w:shd w:val="clear" w:color="auto" w:fill="FFFFFF"/>
          <w:lang w:val="en-GB"/>
        </w:rPr>
        <w:t>following the award on 15 Septem</w:t>
      </w:r>
      <w:r w:rsidR="00193B50" w:rsidRPr="00C50CFC">
        <w:rPr>
          <w:shd w:val="clear" w:color="auto" w:fill="FFFFFF"/>
          <w:lang w:val="en-GB"/>
        </w:rPr>
        <w:t xml:space="preserve">ber 2022, the Town Council </w:t>
      </w:r>
      <w:r w:rsidR="000A7AA5" w:rsidRPr="00C50CFC">
        <w:rPr>
          <w:shd w:val="clear" w:color="auto" w:fill="FFFFFF"/>
          <w:lang w:val="en-GB"/>
        </w:rPr>
        <w:t xml:space="preserve">sent a letter to the Office of the </w:t>
      </w:r>
      <w:r w:rsidR="000A7AA5" w:rsidRPr="00C50CFC">
        <w:rPr>
          <w:shd w:val="clear" w:color="auto" w:fill="FFFFFF"/>
          <w:lang w:val="en-GB"/>
        </w:rPr>
        <w:lastRenderedPageBreak/>
        <w:t>Government At</w:t>
      </w:r>
      <w:r w:rsidR="003668B7" w:rsidRPr="00C50CFC">
        <w:rPr>
          <w:shd w:val="clear" w:color="auto" w:fill="FFFFFF"/>
          <w:lang w:val="en-GB"/>
        </w:rPr>
        <w:t>torney,</w:t>
      </w:r>
      <w:r w:rsidR="00193B50" w:rsidRPr="00C50CFC">
        <w:rPr>
          <w:shd w:val="clear" w:color="auto" w:fill="FFFFFF"/>
          <w:lang w:val="en-GB"/>
        </w:rPr>
        <w:t xml:space="preserve"> requesting legal assistance for the noting of an appeal against the arbitration award, and</w:t>
      </w:r>
      <w:r w:rsidR="003668B7" w:rsidRPr="00C50CFC">
        <w:rPr>
          <w:shd w:val="clear" w:color="auto" w:fill="FFFFFF"/>
          <w:lang w:val="en-GB"/>
        </w:rPr>
        <w:t xml:space="preserve"> other litigious matters before court.</w:t>
      </w:r>
    </w:p>
    <w:p w14:paraId="18AFB461" w14:textId="77777777" w:rsidR="00DD0254" w:rsidRPr="00DD0254" w:rsidRDefault="00DD0254" w:rsidP="00DD0254">
      <w:pPr>
        <w:pStyle w:val="ListParagraph"/>
        <w:rPr>
          <w:rFonts w:cs="Arial"/>
          <w:szCs w:val="24"/>
          <w:shd w:val="clear" w:color="auto" w:fill="FFFFFF"/>
          <w:lang w:val="en-GB"/>
        </w:rPr>
      </w:pPr>
    </w:p>
    <w:p w14:paraId="76B4FF36" w14:textId="5ABEACD1" w:rsidR="00DD0254" w:rsidRPr="00C50CFC" w:rsidRDefault="00C50CFC" w:rsidP="00C50CFC">
      <w:pPr>
        <w:rPr>
          <w:shd w:val="clear" w:color="auto" w:fill="FFFFFF"/>
          <w:lang w:val="en-GB"/>
        </w:rPr>
      </w:pPr>
      <w:r>
        <w:rPr>
          <w:spacing w:val="0"/>
          <w:lang w:val="en-GB"/>
        </w:rPr>
        <w:t>[10]</w:t>
      </w:r>
      <w:r>
        <w:rPr>
          <w:spacing w:val="0"/>
          <w:lang w:val="en-GB"/>
        </w:rPr>
        <w:tab/>
      </w:r>
      <w:r w:rsidR="00193B50" w:rsidRPr="00C50CFC">
        <w:rPr>
          <w:shd w:val="clear" w:color="auto" w:fill="FFFFFF"/>
          <w:lang w:val="en-GB"/>
        </w:rPr>
        <w:t>O</w:t>
      </w:r>
      <w:r w:rsidR="00DD0254" w:rsidRPr="00C50CFC">
        <w:rPr>
          <w:shd w:val="clear" w:color="auto" w:fill="FFFFFF"/>
          <w:lang w:val="en-GB"/>
        </w:rPr>
        <w:t>n or about 11 November 2022, this matter was</w:t>
      </w:r>
      <w:r w:rsidR="00193B50" w:rsidRPr="00C50CFC">
        <w:rPr>
          <w:shd w:val="clear" w:color="auto" w:fill="FFFFFF"/>
          <w:lang w:val="en-GB"/>
        </w:rPr>
        <w:t xml:space="preserve"> apparently</w:t>
      </w:r>
      <w:r w:rsidR="00DD0254" w:rsidRPr="00C50CFC">
        <w:rPr>
          <w:shd w:val="clear" w:color="auto" w:fill="FFFFFF"/>
          <w:lang w:val="en-GB"/>
        </w:rPr>
        <w:t xml:space="preserve"> assigned t</w:t>
      </w:r>
      <w:r w:rsidR="006F5F72" w:rsidRPr="00C50CFC">
        <w:rPr>
          <w:shd w:val="clear" w:color="auto" w:fill="FFFFFF"/>
          <w:lang w:val="en-GB"/>
        </w:rPr>
        <w:t>o one Mr Ndamonao Ilovu in the O</w:t>
      </w:r>
      <w:r w:rsidR="00DD0254" w:rsidRPr="00C50CFC">
        <w:rPr>
          <w:shd w:val="clear" w:color="auto" w:fill="FFFFFF"/>
          <w:lang w:val="en-GB"/>
        </w:rPr>
        <w:t>f</w:t>
      </w:r>
      <w:r w:rsidR="00193B50" w:rsidRPr="00C50CFC">
        <w:rPr>
          <w:shd w:val="clear" w:color="auto" w:fill="FFFFFF"/>
          <w:lang w:val="en-GB"/>
        </w:rPr>
        <w:t>fice of the Government Attorney. Upon his perusal of the file, Mr Ilovu</w:t>
      </w:r>
      <w:r w:rsidR="00DD0254" w:rsidRPr="00C50CFC">
        <w:rPr>
          <w:shd w:val="clear" w:color="auto" w:fill="FFFFFF"/>
          <w:lang w:val="en-GB"/>
        </w:rPr>
        <w:t xml:space="preserve"> realised the appeal had not been noted and instructed Ms Gebhardt to do so – </w:t>
      </w:r>
      <w:r w:rsidR="00BB1196" w:rsidRPr="00C50CFC">
        <w:rPr>
          <w:shd w:val="clear" w:color="auto" w:fill="FFFFFF"/>
          <w:lang w:val="en-GB"/>
        </w:rPr>
        <w:t xml:space="preserve">this </w:t>
      </w:r>
      <w:r w:rsidR="00DD0254" w:rsidRPr="00C50CFC">
        <w:rPr>
          <w:shd w:val="clear" w:color="auto" w:fill="FFFFFF"/>
          <w:lang w:val="en-GB"/>
        </w:rPr>
        <w:t>includ</w:t>
      </w:r>
      <w:r w:rsidR="00BB1196" w:rsidRPr="00C50CFC">
        <w:rPr>
          <w:shd w:val="clear" w:color="auto" w:fill="FFFFFF"/>
          <w:lang w:val="en-GB"/>
        </w:rPr>
        <w:t>ed</w:t>
      </w:r>
      <w:r w:rsidR="00DD0254" w:rsidRPr="00C50CFC">
        <w:rPr>
          <w:shd w:val="clear" w:color="auto" w:fill="FFFFFF"/>
          <w:lang w:val="en-GB"/>
        </w:rPr>
        <w:t xml:space="preserve"> instruc</w:t>
      </w:r>
      <w:r w:rsidR="00E12E44" w:rsidRPr="00C50CFC">
        <w:rPr>
          <w:shd w:val="clear" w:color="auto" w:fill="FFFFFF"/>
          <w:lang w:val="en-GB"/>
        </w:rPr>
        <w:t>tions to represent the Town Council</w:t>
      </w:r>
      <w:r w:rsidR="00DD0254" w:rsidRPr="00C50CFC">
        <w:rPr>
          <w:shd w:val="clear" w:color="auto" w:fill="FFFFFF"/>
          <w:lang w:val="en-GB"/>
        </w:rPr>
        <w:t xml:space="preserve"> in other litigious matters, and that all invoices of Ms Gebhardt would forthwith be settled by the Government Attorney.</w:t>
      </w:r>
    </w:p>
    <w:p w14:paraId="7570E7AA" w14:textId="77777777" w:rsidR="00FB568A" w:rsidRPr="00FB568A" w:rsidRDefault="00FB568A" w:rsidP="00FB568A">
      <w:pPr>
        <w:pStyle w:val="ListParagraph"/>
        <w:rPr>
          <w:rFonts w:cs="Arial"/>
          <w:szCs w:val="24"/>
          <w:shd w:val="clear" w:color="auto" w:fill="FFFFFF"/>
          <w:lang w:val="en-GB"/>
        </w:rPr>
      </w:pPr>
    </w:p>
    <w:p w14:paraId="2D56C92F" w14:textId="3084D1B3" w:rsidR="00FB568A" w:rsidRPr="00C50CFC" w:rsidRDefault="00C50CFC" w:rsidP="00C50CFC">
      <w:pPr>
        <w:rPr>
          <w:shd w:val="clear" w:color="auto" w:fill="FFFFFF"/>
          <w:lang w:val="en-GB"/>
        </w:rPr>
      </w:pPr>
      <w:r>
        <w:rPr>
          <w:spacing w:val="0"/>
          <w:lang w:val="en-GB"/>
        </w:rPr>
        <w:t>[11]</w:t>
      </w:r>
      <w:r>
        <w:rPr>
          <w:spacing w:val="0"/>
          <w:lang w:val="en-GB"/>
        </w:rPr>
        <w:tab/>
      </w:r>
      <w:r w:rsidR="00FB568A" w:rsidRPr="00C50CFC">
        <w:rPr>
          <w:shd w:val="clear" w:color="auto" w:fill="FFFFFF"/>
          <w:lang w:val="en-GB"/>
        </w:rPr>
        <w:t xml:space="preserve">Ms Gebhardt was then briefed on 11 </w:t>
      </w:r>
      <w:r w:rsidR="00E12E44" w:rsidRPr="00C50CFC">
        <w:rPr>
          <w:shd w:val="clear" w:color="auto" w:fill="FFFFFF"/>
          <w:lang w:val="en-GB"/>
        </w:rPr>
        <w:t>November 2022, and the Town Council</w:t>
      </w:r>
      <w:r w:rsidR="00FB568A" w:rsidRPr="00C50CFC">
        <w:rPr>
          <w:shd w:val="clear" w:color="auto" w:fill="FFFFFF"/>
          <w:lang w:val="en-GB"/>
        </w:rPr>
        <w:t xml:space="preserve"> was informed of this on 15 November</w:t>
      </w:r>
      <w:r w:rsidR="00193B50" w:rsidRPr="00C50CFC">
        <w:rPr>
          <w:shd w:val="clear" w:color="auto" w:fill="FFFFFF"/>
          <w:lang w:val="en-GB"/>
        </w:rPr>
        <w:t xml:space="preserve"> 2022. O</w:t>
      </w:r>
      <w:r w:rsidR="00FB568A" w:rsidRPr="00C50CFC">
        <w:rPr>
          <w:shd w:val="clear" w:color="auto" w:fill="FFFFFF"/>
          <w:lang w:val="en-GB"/>
        </w:rPr>
        <w:t>n 28 November 2022, Mr Ilovu contacted Ms Gebhardt requesting her to ren</w:t>
      </w:r>
      <w:r w:rsidR="00E12E44" w:rsidRPr="00C50CFC">
        <w:rPr>
          <w:shd w:val="clear" w:color="auto" w:fill="FFFFFF"/>
          <w:lang w:val="en-GB"/>
        </w:rPr>
        <w:t xml:space="preserve">der assistance to the Town Council </w:t>
      </w:r>
      <w:r w:rsidR="00FB568A" w:rsidRPr="00C50CFC">
        <w:rPr>
          <w:shd w:val="clear" w:color="auto" w:fill="FFFFFF"/>
          <w:lang w:val="en-GB"/>
        </w:rPr>
        <w:t>as per the brief to avoid any further delays.</w:t>
      </w:r>
      <w:r w:rsidR="00193B50">
        <w:rPr>
          <w:rStyle w:val="FootnoteReference"/>
          <w:shd w:val="clear" w:color="auto" w:fill="FFFFFF"/>
          <w:lang w:val="en-GB"/>
        </w:rPr>
        <w:footnoteReference w:id="1"/>
      </w:r>
      <w:r w:rsidR="00FB568A" w:rsidRPr="00C50CFC">
        <w:rPr>
          <w:shd w:val="clear" w:color="auto" w:fill="FFFFFF"/>
          <w:lang w:val="en-GB"/>
        </w:rPr>
        <w:t xml:space="preserve"> On 6 December 2022, the Government Attorney </w:t>
      </w:r>
      <w:r w:rsidR="00B13B60" w:rsidRPr="00C50CFC">
        <w:rPr>
          <w:shd w:val="clear" w:color="auto" w:fill="FFFFFF"/>
          <w:lang w:val="en-GB"/>
        </w:rPr>
        <w:t>cancelled</w:t>
      </w:r>
      <w:r w:rsidR="00FB568A" w:rsidRPr="00C50CFC">
        <w:rPr>
          <w:shd w:val="clear" w:color="auto" w:fill="FFFFFF"/>
          <w:lang w:val="en-GB"/>
        </w:rPr>
        <w:t xml:space="preserve"> the brief of Ms Gebhardt, due to the fact that she refused to take any further instructions until at least 70 percent of her existing outstanding invoices were </w:t>
      </w:r>
      <w:r w:rsidR="00B13B60" w:rsidRPr="00C50CFC">
        <w:rPr>
          <w:shd w:val="clear" w:color="auto" w:fill="FFFFFF"/>
          <w:lang w:val="en-GB"/>
        </w:rPr>
        <w:t>settled</w:t>
      </w:r>
      <w:r w:rsidR="0058685A" w:rsidRPr="00C50CFC">
        <w:rPr>
          <w:shd w:val="clear" w:color="auto" w:fill="FFFFFF"/>
          <w:lang w:val="en-GB"/>
        </w:rPr>
        <w:t xml:space="preserve">. </w:t>
      </w:r>
      <w:r w:rsidR="00E12E44" w:rsidRPr="00C50CFC">
        <w:rPr>
          <w:shd w:val="clear" w:color="auto" w:fill="FFFFFF"/>
          <w:lang w:val="en-GB"/>
        </w:rPr>
        <w:t>The Town Council states that</w:t>
      </w:r>
      <w:r w:rsidR="0058685A" w:rsidRPr="00C50CFC">
        <w:rPr>
          <w:shd w:val="clear" w:color="auto" w:fill="FFFFFF"/>
          <w:lang w:val="en-GB"/>
        </w:rPr>
        <w:t xml:space="preserve"> it c</w:t>
      </w:r>
      <w:r w:rsidR="00FB568A" w:rsidRPr="00C50CFC">
        <w:rPr>
          <w:shd w:val="clear" w:color="auto" w:fill="FFFFFF"/>
          <w:lang w:val="en-GB"/>
        </w:rPr>
        <w:t>ould not meet such demand.</w:t>
      </w:r>
    </w:p>
    <w:p w14:paraId="5EEFFBFD" w14:textId="77777777" w:rsidR="00FB568A" w:rsidRPr="00FB568A" w:rsidRDefault="00FB568A" w:rsidP="00FB568A">
      <w:pPr>
        <w:pStyle w:val="ListParagraph"/>
        <w:rPr>
          <w:rFonts w:cs="Arial"/>
          <w:szCs w:val="24"/>
          <w:shd w:val="clear" w:color="auto" w:fill="FFFFFF"/>
          <w:lang w:val="en-GB"/>
        </w:rPr>
      </w:pPr>
    </w:p>
    <w:p w14:paraId="6E024BB2" w14:textId="52A4D422" w:rsidR="00FB568A" w:rsidRPr="00C50CFC" w:rsidRDefault="00C50CFC" w:rsidP="00C50CFC">
      <w:pPr>
        <w:rPr>
          <w:shd w:val="clear" w:color="auto" w:fill="FFFFFF"/>
          <w:lang w:val="en-GB"/>
        </w:rPr>
      </w:pPr>
      <w:r>
        <w:rPr>
          <w:spacing w:val="0"/>
          <w:lang w:val="en-GB"/>
        </w:rPr>
        <w:t>[12]</w:t>
      </w:r>
      <w:r>
        <w:rPr>
          <w:spacing w:val="0"/>
          <w:lang w:val="en-GB"/>
        </w:rPr>
        <w:tab/>
      </w:r>
      <w:r w:rsidR="0058685A" w:rsidRPr="00C50CFC">
        <w:rPr>
          <w:shd w:val="clear" w:color="auto" w:fill="FFFFFF"/>
          <w:lang w:val="en-GB"/>
        </w:rPr>
        <w:t>O</w:t>
      </w:r>
      <w:r w:rsidR="00FB568A" w:rsidRPr="00C50CFC">
        <w:rPr>
          <w:shd w:val="clear" w:color="auto" w:fill="FFFFFF"/>
          <w:lang w:val="en-GB"/>
        </w:rPr>
        <w:t>n 6 December 2022, the Go</w:t>
      </w:r>
      <w:r w:rsidR="00E12E44" w:rsidRPr="00C50CFC">
        <w:rPr>
          <w:shd w:val="clear" w:color="auto" w:fill="FFFFFF"/>
          <w:lang w:val="en-GB"/>
        </w:rPr>
        <w:t>vernment Attorney instructed the</w:t>
      </w:r>
      <w:r w:rsidR="00FB568A" w:rsidRPr="00C50CFC">
        <w:rPr>
          <w:shd w:val="clear" w:color="auto" w:fill="FFFFFF"/>
          <w:lang w:val="en-GB"/>
        </w:rPr>
        <w:t xml:space="preserve"> current legal practitioners of record, Andreas-Hamunyela Legal Practitio</w:t>
      </w:r>
      <w:r w:rsidR="00E12E44" w:rsidRPr="00C50CFC">
        <w:rPr>
          <w:shd w:val="clear" w:color="auto" w:fill="FFFFFF"/>
          <w:lang w:val="en-GB"/>
        </w:rPr>
        <w:t>ners, to represent the Town Council</w:t>
      </w:r>
      <w:r w:rsidR="00FB568A" w:rsidRPr="00C50CFC">
        <w:rPr>
          <w:shd w:val="clear" w:color="auto" w:fill="FFFFFF"/>
          <w:lang w:val="en-GB"/>
        </w:rPr>
        <w:t xml:space="preserve">. These briefs </w:t>
      </w:r>
      <w:r w:rsidR="0058685A" w:rsidRPr="00C50CFC">
        <w:rPr>
          <w:shd w:val="clear" w:color="auto" w:fill="FFFFFF"/>
          <w:lang w:val="en-GB"/>
        </w:rPr>
        <w:t xml:space="preserve">apparently </w:t>
      </w:r>
      <w:r w:rsidR="00FB568A" w:rsidRPr="00C50CFC">
        <w:rPr>
          <w:shd w:val="clear" w:color="auto" w:fill="FFFFFF"/>
          <w:lang w:val="en-GB"/>
        </w:rPr>
        <w:t>did not contain any supporting documents, as these documents were</w:t>
      </w:r>
      <w:r w:rsidR="0058685A" w:rsidRPr="00C50CFC">
        <w:rPr>
          <w:shd w:val="clear" w:color="auto" w:fill="FFFFFF"/>
          <w:lang w:val="en-GB"/>
        </w:rPr>
        <w:t xml:space="preserve"> still </w:t>
      </w:r>
      <w:r w:rsidR="00E12E44" w:rsidRPr="00C50CFC">
        <w:rPr>
          <w:shd w:val="clear" w:color="auto" w:fill="FFFFFF"/>
          <w:lang w:val="en-GB"/>
        </w:rPr>
        <w:t xml:space="preserve">in its possession, so the </w:t>
      </w:r>
      <w:r w:rsidR="0058685A" w:rsidRPr="00C50CFC">
        <w:rPr>
          <w:shd w:val="clear" w:color="auto" w:fill="FFFFFF"/>
          <w:lang w:val="en-GB"/>
        </w:rPr>
        <w:t>Town Council</w:t>
      </w:r>
      <w:r w:rsidR="00FB568A" w:rsidRPr="00C50CFC">
        <w:rPr>
          <w:shd w:val="clear" w:color="auto" w:fill="FFFFFF"/>
          <w:lang w:val="en-GB"/>
        </w:rPr>
        <w:t xml:space="preserve"> contends.</w:t>
      </w:r>
    </w:p>
    <w:p w14:paraId="04857434" w14:textId="77777777" w:rsidR="00FB568A" w:rsidRPr="00FB568A" w:rsidRDefault="00FB568A" w:rsidP="00FB568A">
      <w:pPr>
        <w:pStyle w:val="ListParagraph"/>
        <w:rPr>
          <w:rFonts w:cs="Arial"/>
          <w:szCs w:val="24"/>
          <w:shd w:val="clear" w:color="auto" w:fill="FFFFFF"/>
          <w:lang w:val="en-GB"/>
        </w:rPr>
      </w:pPr>
    </w:p>
    <w:p w14:paraId="52F462F7" w14:textId="4B8F1E87" w:rsidR="00FB568A" w:rsidRPr="00C50CFC" w:rsidRDefault="00C50CFC" w:rsidP="00C50CFC">
      <w:pPr>
        <w:rPr>
          <w:shd w:val="clear" w:color="auto" w:fill="FFFFFF"/>
          <w:lang w:val="en-GB"/>
        </w:rPr>
      </w:pPr>
      <w:r>
        <w:rPr>
          <w:spacing w:val="0"/>
          <w:lang w:val="en-GB"/>
        </w:rPr>
        <w:t>[13]</w:t>
      </w:r>
      <w:r>
        <w:rPr>
          <w:spacing w:val="0"/>
          <w:lang w:val="en-GB"/>
        </w:rPr>
        <w:tab/>
      </w:r>
      <w:r w:rsidR="00E12E44" w:rsidRPr="00C50CFC">
        <w:rPr>
          <w:shd w:val="clear" w:color="auto" w:fill="FFFFFF"/>
          <w:lang w:val="en-GB"/>
        </w:rPr>
        <w:t xml:space="preserve">Mr Hamunyela </w:t>
      </w:r>
      <w:r w:rsidR="006F5F72" w:rsidRPr="00C50CFC">
        <w:rPr>
          <w:shd w:val="clear" w:color="auto" w:fill="FFFFFF"/>
          <w:lang w:val="en-GB"/>
        </w:rPr>
        <w:t xml:space="preserve">of Andreas-Hamunyela Legal Practitioners </w:t>
      </w:r>
      <w:r w:rsidR="00FB568A" w:rsidRPr="00C50CFC">
        <w:rPr>
          <w:shd w:val="clear" w:color="auto" w:fill="FFFFFF"/>
          <w:lang w:val="en-GB"/>
        </w:rPr>
        <w:t>was</w:t>
      </w:r>
      <w:r w:rsidR="00BB1196" w:rsidRPr="00C50CFC">
        <w:rPr>
          <w:shd w:val="clear" w:color="auto" w:fill="FFFFFF"/>
          <w:lang w:val="en-GB"/>
        </w:rPr>
        <w:t xml:space="preserve"> at the time</w:t>
      </w:r>
      <w:r w:rsidR="00FB568A" w:rsidRPr="00C50CFC">
        <w:rPr>
          <w:shd w:val="clear" w:color="auto" w:fill="FFFFFF"/>
          <w:lang w:val="en-GB"/>
        </w:rPr>
        <w:t xml:space="preserve"> engaged in a High Court trial from 5 December 2022 to 9 </w:t>
      </w:r>
      <w:r w:rsidR="0058685A" w:rsidRPr="00C50CFC">
        <w:rPr>
          <w:shd w:val="clear" w:color="auto" w:fill="FFFFFF"/>
          <w:lang w:val="en-GB"/>
        </w:rPr>
        <w:t>December 2022, and the Town Council</w:t>
      </w:r>
      <w:r w:rsidR="00FB568A" w:rsidRPr="00C50CFC">
        <w:rPr>
          <w:shd w:val="clear" w:color="auto" w:fill="FFFFFF"/>
          <w:lang w:val="en-GB"/>
        </w:rPr>
        <w:t xml:space="preserve"> only sent full briefs on 9 December and 12 December 2022.</w:t>
      </w:r>
      <w:r w:rsidR="0058685A" w:rsidRPr="00C50CFC">
        <w:rPr>
          <w:shd w:val="clear" w:color="auto" w:fill="FFFFFF"/>
          <w:lang w:val="en-GB"/>
        </w:rPr>
        <w:t xml:space="preserve"> Mr Hamunyela deposed to a confirmatory affidavit.</w:t>
      </w:r>
    </w:p>
    <w:p w14:paraId="388B16A2" w14:textId="77777777" w:rsidR="009002A5" w:rsidRPr="009002A5" w:rsidRDefault="009002A5" w:rsidP="009002A5">
      <w:pPr>
        <w:pStyle w:val="ListParagraph"/>
        <w:rPr>
          <w:rFonts w:cs="Arial"/>
          <w:szCs w:val="24"/>
          <w:shd w:val="clear" w:color="auto" w:fill="FFFFFF"/>
          <w:lang w:val="en-GB"/>
        </w:rPr>
      </w:pPr>
    </w:p>
    <w:p w14:paraId="5BEB68FB" w14:textId="40151B8C" w:rsidR="00263E48" w:rsidRPr="00C50CFC" w:rsidRDefault="00C50CFC" w:rsidP="00C50CFC">
      <w:pPr>
        <w:rPr>
          <w:shd w:val="clear" w:color="auto" w:fill="FFFFFF"/>
          <w:lang w:val="en-GB"/>
        </w:rPr>
      </w:pPr>
      <w:r>
        <w:rPr>
          <w:spacing w:val="0"/>
          <w:lang w:val="en-GB"/>
        </w:rPr>
        <w:t>[14]</w:t>
      </w:r>
      <w:r>
        <w:rPr>
          <w:spacing w:val="0"/>
          <w:lang w:val="en-GB"/>
        </w:rPr>
        <w:tab/>
      </w:r>
      <w:r w:rsidR="006F5F72" w:rsidRPr="00C50CFC">
        <w:rPr>
          <w:shd w:val="clear" w:color="auto" w:fill="FFFFFF"/>
          <w:lang w:val="en-GB"/>
        </w:rPr>
        <w:t>Between 15 December 2022 and</w:t>
      </w:r>
      <w:r w:rsidR="009002A5" w:rsidRPr="00C50CFC">
        <w:rPr>
          <w:shd w:val="clear" w:color="auto" w:fill="FFFFFF"/>
          <w:lang w:val="en-GB"/>
        </w:rPr>
        <w:t xml:space="preserve"> 09 </w:t>
      </w:r>
      <w:r w:rsidR="0058685A" w:rsidRPr="00C50CFC">
        <w:rPr>
          <w:shd w:val="clear" w:color="auto" w:fill="FFFFFF"/>
          <w:lang w:val="en-GB"/>
        </w:rPr>
        <w:t>January 2023, the offices of the Town Council’s</w:t>
      </w:r>
      <w:r w:rsidR="009002A5" w:rsidRPr="00C50CFC">
        <w:rPr>
          <w:shd w:val="clear" w:color="auto" w:fill="FFFFFF"/>
          <w:lang w:val="en-GB"/>
        </w:rPr>
        <w:t xml:space="preserve"> legal practitioners were closed f</w:t>
      </w:r>
      <w:r w:rsidR="0058685A" w:rsidRPr="00C50CFC">
        <w:rPr>
          <w:shd w:val="clear" w:color="auto" w:fill="FFFFFF"/>
          <w:lang w:val="en-GB"/>
        </w:rPr>
        <w:t>or the holidays, and although</w:t>
      </w:r>
      <w:r w:rsidR="009002A5" w:rsidRPr="00C50CFC">
        <w:rPr>
          <w:shd w:val="clear" w:color="auto" w:fill="FFFFFF"/>
          <w:lang w:val="en-GB"/>
        </w:rPr>
        <w:t xml:space="preserve"> Mr Hamunyela considered the record in this matter, he</w:t>
      </w:r>
      <w:r w:rsidR="0058685A" w:rsidRPr="00C50CFC">
        <w:rPr>
          <w:shd w:val="clear" w:color="auto" w:fill="FFFFFF"/>
          <w:lang w:val="en-GB"/>
        </w:rPr>
        <w:t xml:space="preserve"> could not consult the Town Council, as its employees </w:t>
      </w:r>
      <w:r w:rsidR="00263E48" w:rsidRPr="00C50CFC">
        <w:rPr>
          <w:shd w:val="clear" w:color="auto" w:fill="FFFFFF"/>
          <w:lang w:val="en-GB"/>
        </w:rPr>
        <w:t>also went on holiday. The Town Council further laments</w:t>
      </w:r>
      <w:r w:rsidR="00BB1196" w:rsidRPr="00C50CFC">
        <w:rPr>
          <w:shd w:val="clear" w:color="auto" w:fill="FFFFFF"/>
          <w:lang w:val="en-GB"/>
        </w:rPr>
        <w:t xml:space="preserve"> that</w:t>
      </w:r>
      <w:r w:rsidR="009002A5" w:rsidRPr="00C50CFC">
        <w:rPr>
          <w:shd w:val="clear" w:color="auto" w:fill="FFFFFF"/>
          <w:lang w:val="en-GB"/>
        </w:rPr>
        <w:t xml:space="preserve"> most of the official</w:t>
      </w:r>
      <w:r w:rsidR="0023417F" w:rsidRPr="00C50CFC">
        <w:rPr>
          <w:shd w:val="clear" w:color="auto" w:fill="FFFFFF"/>
          <w:lang w:val="en-GB"/>
        </w:rPr>
        <w:t>s</w:t>
      </w:r>
      <w:r w:rsidR="006F5F72" w:rsidRPr="00C50CFC">
        <w:rPr>
          <w:shd w:val="clear" w:color="auto" w:fill="FFFFFF"/>
          <w:lang w:val="en-GB"/>
        </w:rPr>
        <w:t>,</w:t>
      </w:r>
      <w:r w:rsidR="009002A5" w:rsidRPr="00C50CFC">
        <w:rPr>
          <w:shd w:val="clear" w:color="auto" w:fill="FFFFFF"/>
          <w:lang w:val="en-GB"/>
        </w:rPr>
        <w:t xml:space="preserve"> with knowledge of this matter</w:t>
      </w:r>
      <w:r w:rsidR="006F5F72" w:rsidRPr="00C50CFC">
        <w:rPr>
          <w:shd w:val="clear" w:color="auto" w:fill="FFFFFF"/>
          <w:lang w:val="en-GB"/>
        </w:rPr>
        <w:t>,</w:t>
      </w:r>
      <w:r w:rsidR="009002A5" w:rsidRPr="00C50CFC">
        <w:rPr>
          <w:shd w:val="clear" w:color="auto" w:fill="FFFFFF"/>
          <w:lang w:val="en-GB"/>
        </w:rPr>
        <w:t xml:space="preserve"> are no longer in the employ of the applicant.</w:t>
      </w:r>
      <w:r w:rsidR="00B03A94" w:rsidRPr="00C50CFC">
        <w:rPr>
          <w:shd w:val="clear" w:color="auto" w:fill="FFFFFF"/>
          <w:lang w:val="en-GB"/>
        </w:rPr>
        <w:t xml:space="preserve"> </w:t>
      </w:r>
    </w:p>
    <w:p w14:paraId="0A50535B" w14:textId="77777777" w:rsidR="00263E48" w:rsidRPr="00263E48" w:rsidRDefault="00263E48" w:rsidP="00263E48">
      <w:pPr>
        <w:pStyle w:val="ListParagraph"/>
        <w:rPr>
          <w:rFonts w:cs="Arial"/>
          <w:szCs w:val="24"/>
          <w:shd w:val="clear" w:color="auto" w:fill="FFFFFF"/>
          <w:lang w:val="en-GB"/>
        </w:rPr>
      </w:pPr>
    </w:p>
    <w:p w14:paraId="15B414B5" w14:textId="5D9AC08E" w:rsidR="009002A5" w:rsidRPr="00C50CFC" w:rsidRDefault="00C50CFC" w:rsidP="00C50CFC">
      <w:pPr>
        <w:rPr>
          <w:shd w:val="clear" w:color="auto" w:fill="FFFFFF"/>
          <w:lang w:val="en-GB"/>
        </w:rPr>
      </w:pPr>
      <w:r>
        <w:rPr>
          <w:spacing w:val="0"/>
          <w:lang w:val="en-GB"/>
        </w:rPr>
        <w:t>[15]</w:t>
      </w:r>
      <w:r>
        <w:rPr>
          <w:spacing w:val="0"/>
          <w:lang w:val="en-GB"/>
        </w:rPr>
        <w:tab/>
      </w:r>
      <w:r w:rsidR="006F5F72" w:rsidRPr="00C50CFC">
        <w:rPr>
          <w:shd w:val="clear" w:color="auto" w:fill="FFFFFF"/>
          <w:lang w:val="en-GB"/>
        </w:rPr>
        <w:t>Mr Hamunyela was</w:t>
      </w:r>
      <w:r w:rsidR="00263E48" w:rsidRPr="00C50CFC">
        <w:rPr>
          <w:shd w:val="clear" w:color="auto" w:fill="FFFFFF"/>
          <w:lang w:val="en-GB"/>
        </w:rPr>
        <w:t xml:space="preserve"> </w:t>
      </w:r>
      <w:r w:rsidR="00B03A94" w:rsidRPr="00C50CFC">
        <w:rPr>
          <w:shd w:val="clear" w:color="auto" w:fill="FFFFFF"/>
          <w:lang w:val="en-GB"/>
        </w:rPr>
        <w:t>further engaged in anot</w:t>
      </w:r>
      <w:r w:rsidR="006F5F72" w:rsidRPr="00C50CFC">
        <w:rPr>
          <w:shd w:val="clear" w:color="auto" w:fill="FFFFFF"/>
          <w:lang w:val="en-GB"/>
        </w:rPr>
        <w:t>her labour appeal hearing between 10 January and</w:t>
      </w:r>
      <w:r w:rsidR="00B03A94" w:rsidRPr="00C50CFC">
        <w:rPr>
          <w:shd w:val="clear" w:color="auto" w:fill="FFFFFF"/>
          <w:lang w:val="en-GB"/>
        </w:rPr>
        <w:t xml:space="preserve"> 13 J</w:t>
      </w:r>
      <w:r w:rsidR="00937265" w:rsidRPr="00C50CFC">
        <w:rPr>
          <w:shd w:val="clear" w:color="auto" w:fill="FFFFFF"/>
          <w:lang w:val="en-GB"/>
        </w:rPr>
        <w:t>anuary 2023; and further details engagements</w:t>
      </w:r>
      <w:r w:rsidR="00616BEB" w:rsidRPr="00C50CFC">
        <w:rPr>
          <w:shd w:val="clear" w:color="auto" w:fill="FFFFFF"/>
          <w:lang w:val="en-GB"/>
        </w:rPr>
        <w:t xml:space="preserve"> that prevent</w:t>
      </w:r>
      <w:r w:rsidR="00BB1196" w:rsidRPr="00C50CFC">
        <w:rPr>
          <w:shd w:val="clear" w:color="auto" w:fill="FFFFFF"/>
          <w:lang w:val="en-GB"/>
        </w:rPr>
        <w:t>ed</w:t>
      </w:r>
      <w:r w:rsidR="00616BEB" w:rsidRPr="00C50CFC">
        <w:rPr>
          <w:shd w:val="clear" w:color="auto" w:fill="FFFFFF"/>
          <w:lang w:val="en-GB"/>
        </w:rPr>
        <w:t xml:space="preserve"> him from preparing </w:t>
      </w:r>
      <w:r w:rsidR="00263E48" w:rsidRPr="00C50CFC">
        <w:rPr>
          <w:shd w:val="clear" w:color="auto" w:fill="FFFFFF"/>
          <w:lang w:val="en-GB"/>
        </w:rPr>
        <w:t xml:space="preserve">the notice of appeal, which resulted </w:t>
      </w:r>
      <w:r w:rsidR="00937265" w:rsidRPr="00C50CFC">
        <w:rPr>
          <w:shd w:val="clear" w:color="auto" w:fill="FFFFFF"/>
          <w:lang w:val="en-GB"/>
        </w:rPr>
        <w:t>in the appeal being noted only on 30 January 2023.</w:t>
      </w:r>
    </w:p>
    <w:p w14:paraId="1DEB9E99" w14:textId="77777777" w:rsidR="00C320AA" w:rsidRDefault="00C320AA" w:rsidP="00C320AA">
      <w:pPr>
        <w:pStyle w:val="ListParagraph"/>
        <w:spacing w:after="0"/>
        <w:ind w:left="0"/>
        <w:rPr>
          <w:rFonts w:cs="Arial"/>
          <w:szCs w:val="24"/>
          <w:shd w:val="clear" w:color="auto" w:fill="FFFFFF"/>
          <w:lang w:val="en-GB"/>
        </w:rPr>
      </w:pPr>
    </w:p>
    <w:p w14:paraId="07A270F5" w14:textId="5CF3D765" w:rsidR="003668B7" w:rsidRPr="00C50CFC" w:rsidRDefault="00C50CFC" w:rsidP="00C50CFC">
      <w:pPr>
        <w:rPr>
          <w:shd w:val="clear" w:color="auto" w:fill="FFFFFF"/>
          <w:lang w:val="en-GB"/>
        </w:rPr>
      </w:pPr>
      <w:r>
        <w:rPr>
          <w:spacing w:val="0"/>
          <w:lang w:val="en-GB"/>
        </w:rPr>
        <w:t>[16]</w:t>
      </w:r>
      <w:r>
        <w:rPr>
          <w:spacing w:val="0"/>
          <w:lang w:val="en-GB"/>
        </w:rPr>
        <w:tab/>
      </w:r>
      <w:r w:rsidR="00616BEB" w:rsidRPr="00C50CFC">
        <w:rPr>
          <w:shd w:val="clear" w:color="auto" w:fill="FFFFFF"/>
          <w:lang w:val="en-GB"/>
        </w:rPr>
        <w:t>Mr /Uirab</w:t>
      </w:r>
      <w:r w:rsidR="003668B7" w:rsidRPr="00C50CFC">
        <w:rPr>
          <w:shd w:val="clear" w:color="auto" w:fill="FFFFFF"/>
          <w:lang w:val="en-GB"/>
        </w:rPr>
        <w:t xml:space="preserve"> avers the a</w:t>
      </w:r>
      <w:r w:rsidR="00616BEB" w:rsidRPr="00C50CFC">
        <w:rPr>
          <w:shd w:val="clear" w:color="auto" w:fill="FFFFFF"/>
          <w:lang w:val="en-GB"/>
        </w:rPr>
        <w:t>ward was served on the Town Council</w:t>
      </w:r>
      <w:r w:rsidR="003668B7" w:rsidRPr="00C50CFC">
        <w:rPr>
          <w:shd w:val="clear" w:color="auto" w:fill="FFFFFF"/>
          <w:lang w:val="en-GB"/>
        </w:rPr>
        <w:t xml:space="preserve"> on 15 September 2022, and that</w:t>
      </w:r>
      <w:r w:rsidR="00616BEB" w:rsidRPr="00C50CFC">
        <w:rPr>
          <w:shd w:val="clear" w:color="auto" w:fill="FFFFFF"/>
          <w:lang w:val="en-GB"/>
        </w:rPr>
        <w:t xml:space="preserve"> on the version of the Town Council, it</w:t>
      </w:r>
      <w:r w:rsidR="006F5F72" w:rsidRPr="00C50CFC">
        <w:rPr>
          <w:shd w:val="clear" w:color="auto" w:fill="FFFFFF"/>
          <w:lang w:val="en-GB"/>
        </w:rPr>
        <w:t xml:space="preserve"> only sent correspondence</w:t>
      </w:r>
      <w:r w:rsidR="003668B7" w:rsidRPr="00C50CFC">
        <w:rPr>
          <w:shd w:val="clear" w:color="auto" w:fill="FFFFFF"/>
          <w:lang w:val="en-GB"/>
        </w:rPr>
        <w:t xml:space="preserve"> which is not </w:t>
      </w:r>
      <w:r w:rsidR="006F5F72" w:rsidRPr="00C50CFC">
        <w:rPr>
          <w:shd w:val="clear" w:color="auto" w:fill="FFFFFF"/>
          <w:lang w:val="en-GB"/>
        </w:rPr>
        <w:t>attached to the papers, to the O</w:t>
      </w:r>
      <w:r w:rsidR="003668B7" w:rsidRPr="00C50CFC">
        <w:rPr>
          <w:shd w:val="clear" w:color="auto" w:fill="FFFFFF"/>
          <w:lang w:val="en-GB"/>
        </w:rPr>
        <w:t>ffice of the Government Attorney on 4 October 2022, about 19 days later, evincing the neg</w:t>
      </w:r>
      <w:r w:rsidR="00616BEB" w:rsidRPr="00C50CFC">
        <w:rPr>
          <w:shd w:val="clear" w:color="auto" w:fill="FFFFFF"/>
          <w:lang w:val="en-GB"/>
        </w:rPr>
        <w:t>ligent attitude of the Town Council</w:t>
      </w:r>
      <w:r w:rsidR="003668B7" w:rsidRPr="00C50CFC">
        <w:rPr>
          <w:shd w:val="clear" w:color="auto" w:fill="FFFFFF"/>
          <w:lang w:val="en-GB"/>
        </w:rPr>
        <w:t>.</w:t>
      </w:r>
    </w:p>
    <w:p w14:paraId="77CCD903" w14:textId="77777777" w:rsidR="00263E48" w:rsidRPr="00263E48" w:rsidRDefault="00263E48" w:rsidP="00263E48">
      <w:pPr>
        <w:pStyle w:val="ListParagraph"/>
        <w:rPr>
          <w:rFonts w:cs="Arial"/>
          <w:szCs w:val="24"/>
          <w:shd w:val="clear" w:color="auto" w:fill="FFFFFF"/>
          <w:lang w:val="en-GB"/>
        </w:rPr>
      </w:pPr>
    </w:p>
    <w:p w14:paraId="6BDF28CE" w14:textId="773A75C1" w:rsidR="00851116" w:rsidRPr="00C50CFC" w:rsidRDefault="00C50CFC" w:rsidP="00C50CFC">
      <w:pPr>
        <w:rPr>
          <w:shd w:val="clear" w:color="auto" w:fill="FFFFFF"/>
          <w:lang w:val="en-GB"/>
        </w:rPr>
      </w:pPr>
      <w:r w:rsidRPr="00616BEB">
        <w:rPr>
          <w:spacing w:val="0"/>
          <w:lang w:val="en-GB"/>
        </w:rPr>
        <w:t>[17]</w:t>
      </w:r>
      <w:r w:rsidRPr="00616BEB">
        <w:rPr>
          <w:spacing w:val="0"/>
          <w:lang w:val="en-GB"/>
        </w:rPr>
        <w:tab/>
      </w:r>
      <w:r w:rsidR="00263E48" w:rsidRPr="00C50CFC">
        <w:rPr>
          <w:shd w:val="clear" w:color="auto" w:fill="FFFFFF"/>
          <w:lang w:val="en-GB"/>
        </w:rPr>
        <w:t xml:space="preserve">Mr /Uirab’s opposition relates mainly to the </w:t>
      </w:r>
      <w:r w:rsidR="00616BEB" w:rsidRPr="00C50CFC">
        <w:rPr>
          <w:shd w:val="clear" w:color="auto" w:fill="FFFFFF"/>
          <w:lang w:val="en-GB"/>
        </w:rPr>
        <w:t>unexplainable</w:t>
      </w:r>
      <w:r w:rsidR="00263E48" w:rsidRPr="00C50CFC">
        <w:rPr>
          <w:shd w:val="clear" w:color="auto" w:fill="FFFFFF"/>
          <w:lang w:val="en-GB"/>
        </w:rPr>
        <w:t xml:space="preserve"> dilatory conduct of the Town Council in noting the appeal, which in these particular circumstances are flagrant </w:t>
      </w:r>
      <w:r w:rsidR="00851116" w:rsidRPr="00C50CFC">
        <w:rPr>
          <w:shd w:val="clear" w:color="auto" w:fill="FFFFFF"/>
          <w:lang w:val="en-GB"/>
        </w:rPr>
        <w:t>enough for dismissal of the condonation application without considering prospects of success.</w:t>
      </w:r>
    </w:p>
    <w:p w14:paraId="1B99D49E" w14:textId="77777777" w:rsidR="00CE4CCA" w:rsidRPr="00CE4CCA" w:rsidRDefault="00CE4CCA" w:rsidP="00CE4CCA">
      <w:pPr>
        <w:pStyle w:val="ListParagraph"/>
        <w:rPr>
          <w:rFonts w:cs="Arial"/>
          <w:szCs w:val="24"/>
          <w:shd w:val="clear" w:color="auto" w:fill="FFFFFF"/>
          <w:lang w:val="en-GB"/>
        </w:rPr>
      </w:pPr>
    </w:p>
    <w:p w14:paraId="1B656329" w14:textId="0B530684" w:rsidR="00CE4CCA" w:rsidRPr="00C50CFC" w:rsidRDefault="00C50CFC" w:rsidP="00C50CFC">
      <w:pPr>
        <w:rPr>
          <w:shd w:val="clear" w:color="auto" w:fill="FFFFFF"/>
          <w:lang w:val="en-GB"/>
        </w:rPr>
      </w:pPr>
      <w:r>
        <w:rPr>
          <w:spacing w:val="0"/>
          <w:lang w:val="en-GB"/>
        </w:rPr>
        <w:t>[18]</w:t>
      </w:r>
      <w:r>
        <w:rPr>
          <w:spacing w:val="0"/>
          <w:lang w:val="en-GB"/>
        </w:rPr>
        <w:tab/>
      </w:r>
      <w:r w:rsidR="001D0579" w:rsidRPr="00C50CFC">
        <w:rPr>
          <w:shd w:val="clear" w:color="auto" w:fill="FFFFFF"/>
          <w:lang w:val="en-GB"/>
        </w:rPr>
        <w:t xml:space="preserve">By </w:t>
      </w:r>
      <w:r w:rsidR="00CE4CCA" w:rsidRPr="00C50CFC">
        <w:rPr>
          <w:shd w:val="clear" w:color="auto" w:fill="FFFFFF"/>
          <w:lang w:val="en-GB"/>
        </w:rPr>
        <w:t>the time Mr Ilovu was assigned the matter, the a</w:t>
      </w:r>
      <w:r w:rsidR="001D0579" w:rsidRPr="00C50CFC">
        <w:rPr>
          <w:shd w:val="clear" w:color="auto" w:fill="FFFFFF"/>
          <w:lang w:val="en-GB"/>
        </w:rPr>
        <w:t>ppeal had already lapsed and yet</w:t>
      </w:r>
      <w:r w:rsidR="00CE4CCA" w:rsidRPr="00C50CFC">
        <w:rPr>
          <w:shd w:val="clear" w:color="auto" w:fill="FFFFFF"/>
          <w:lang w:val="en-GB"/>
        </w:rPr>
        <w:t xml:space="preserve"> Mr Ilovu did n</w:t>
      </w:r>
      <w:r w:rsidR="00B02F91" w:rsidRPr="00C50CFC">
        <w:rPr>
          <w:shd w:val="clear" w:color="auto" w:fill="FFFFFF"/>
          <w:lang w:val="en-GB"/>
        </w:rPr>
        <w:t>ot himself attend to the appeal</w:t>
      </w:r>
      <w:r w:rsidR="001D0579" w:rsidRPr="00C50CFC">
        <w:rPr>
          <w:shd w:val="clear" w:color="auto" w:fill="FFFFFF"/>
          <w:lang w:val="en-GB"/>
        </w:rPr>
        <w:t xml:space="preserve">. This aspect is not at all canvassed in the founding papers, and </w:t>
      </w:r>
      <w:r w:rsidR="00CE4CCA" w:rsidRPr="00C50CFC">
        <w:rPr>
          <w:shd w:val="clear" w:color="auto" w:fill="FFFFFF"/>
          <w:lang w:val="en-GB"/>
        </w:rPr>
        <w:t xml:space="preserve">this once </w:t>
      </w:r>
      <w:r w:rsidR="001D0579" w:rsidRPr="00C50CFC">
        <w:rPr>
          <w:shd w:val="clear" w:color="auto" w:fill="FFFFFF"/>
          <w:lang w:val="en-GB"/>
        </w:rPr>
        <w:t>more illustrates the Town Council’s</w:t>
      </w:r>
      <w:r w:rsidR="00CE4CCA" w:rsidRPr="00C50CFC">
        <w:rPr>
          <w:shd w:val="clear" w:color="auto" w:fill="FFFFFF"/>
          <w:lang w:val="en-GB"/>
        </w:rPr>
        <w:t xml:space="preserve"> lackadaisical </w:t>
      </w:r>
      <w:r w:rsidR="00616BEB" w:rsidRPr="00C50CFC">
        <w:rPr>
          <w:shd w:val="clear" w:color="auto" w:fill="FFFFFF"/>
          <w:lang w:val="en-GB"/>
        </w:rPr>
        <w:t>approach in handling the matter, so contends Mr /Uirab.</w:t>
      </w:r>
    </w:p>
    <w:p w14:paraId="1EE6794D" w14:textId="77777777" w:rsidR="00E94BFF" w:rsidRPr="00E94BFF" w:rsidRDefault="00E94BFF" w:rsidP="00E94BFF">
      <w:pPr>
        <w:pStyle w:val="ListParagraph"/>
        <w:rPr>
          <w:rFonts w:cs="Arial"/>
          <w:szCs w:val="24"/>
          <w:shd w:val="clear" w:color="auto" w:fill="FFFFFF"/>
          <w:lang w:val="en-GB"/>
        </w:rPr>
      </w:pPr>
    </w:p>
    <w:p w14:paraId="2F244E8E" w14:textId="722CE939" w:rsidR="00E94BFF" w:rsidRPr="00C50CFC" w:rsidRDefault="00C50CFC" w:rsidP="00C50CFC">
      <w:pPr>
        <w:rPr>
          <w:shd w:val="clear" w:color="auto" w:fill="FFFFFF"/>
          <w:lang w:val="en-GB"/>
        </w:rPr>
      </w:pPr>
      <w:r>
        <w:rPr>
          <w:spacing w:val="0"/>
          <w:lang w:val="en-GB"/>
        </w:rPr>
        <w:t>[19]</w:t>
      </w:r>
      <w:r>
        <w:rPr>
          <w:spacing w:val="0"/>
          <w:lang w:val="en-GB"/>
        </w:rPr>
        <w:tab/>
      </w:r>
      <w:r w:rsidR="00610B13" w:rsidRPr="00C50CFC">
        <w:rPr>
          <w:shd w:val="clear" w:color="auto" w:fill="FFFFFF"/>
          <w:lang w:val="en-GB"/>
        </w:rPr>
        <w:t xml:space="preserve">After </w:t>
      </w:r>
      <w:r w:rsidR="00E94BFF" w:rsidRPr="00C50CFC">
        <w:rPr>
          <w:shd w:val="clear" w:color="auto" w:fill="FFFFFF"/>
          <w:lang w:val="en-GB"/>
        </w:rPr>
        <w:t xml:space="preserve">Ms Gebhardt communicated her refusal to accept any further instructions on 14 November 2022, the Government Attorney only on 6 December </w:t>
      </w:r>
      <w:r w:rsidR="00E94BFF" w:rsidRPr="00C50CFC">
        <w:rPr>
          <w:shd w:val="clear" w:color="auto" w:fill="FFFFFF"/>
          <w:lang w:val="en-GB"/>
        </w:rPr>
        <w:lastRenderedPageBreak/>
        <w:t xml:space="preserve">2022 </w:t>
      </w:r>
      <w:r w:rsidR="00616BEB" w:rsidRPr="00C50CFC">
        <w:rPr>
          <w:shd w:val="clear" w:color="auto" w:fill="FFFFFF"/>
          <w:lang w:val="en-GB"/>
        </w:rPr>
        <w:t>cancelled</w:t>
      </w:r>
      <w:r w:rsidR="00E94BFF" w:rsidRPr="00C50CFC">
        <w:rPr>
          <w:shd w:val="clear" w:color="auto" w:fill="FFFFFF"/>
          <w:lang w:val="en-GB"/>
        </w:rPr>
        <w:t xml:space="preserve"> her mandate and instructed al</w:t>
      </w:r>
      <w:r w:rsidR="00610B13" w:rsidRPr="00C50CFC">
        <w:rPr>
          <w:shd w:val="clear" w:color="auto" w:fill="FFFFFF"/>
          <w:lang w:val="en-GB"/>
        </w:rPr>
        <w:t xml:space="preserve">ternative counsel. This time period is similarly completely unexplained and Mr /Uirab </w:t>
      </w:r>
      <w:r w:rsidR="00E94BFF" w:rsidRPr="00C50CFC">
        <w:rPr>
          <w:shd w:val="clear" w:color="auto" w:fill="FFFFFF"/>
          <w:lang w:val="en-GB"/>
        </w:rPr>
        <w:t>contends</w:t>
      </w:r>
      <w:r w:rsidR="00610B13" w:rsidRPr="00C50CFC">
        <w:rPr>
          <w:shd w:val="clear" w:color="auto" w:fill="FFFFFF"/>
          <w:lang w:val="en-GB"/>
        </w:rPr>
        <w:t xml:space="preserve"> that</w:t>
      </w:r>
      <w:r w:rsidR="00E94BFF" w:rsidRPr="00C50CFC">
        <w:rPr>
          <w:shd w:val="clear" w:color="auto" w:fill="FFFFFF"/>
          <w:lang w:val="en-GB"/>
        </w:rPr>
        <w:t xml:space="preserve"> the unexplained time period affects t</w:t>
      </w:r>
      <w:r w:rsidR="00610B13" w:rsidRPr="00C50CFC">
        <w:rPr>
          <w:shd w:val="clear" w:color="auto" w:fill="FFFFFF"/>
          <w:lang w:val="en-GB"/>
        </w:rPr>
        <w:t xml:space="preserve">he </w:t>
      </w:r>
      <w:r w:rsidR="00610B13" w:rsidRPr="00C50CFC">
        <w:rPr>
          <w:i/>
          <w:iCs/>
          <w:shd w:val="clear" w:color="auto" w:fill="FFFFFF"/>
          <w:lang w:val="en-GB"/>
        </w:rPr>
        <w:t>bona fides</w:t>
      </w:r>
      <w:r w:rsidR="00610B13" w:rsidRPr="00C50CFC">
        <w:rPr>
          <w:shd w:val="clear" w:color="auto" w:fill="FFFFFF"/>
          <w:lang w:val="en-GB"/>
        </w:rPr>
        <w:t xml:space="preserve"> of the</w:t>
      </w:r>
      <w:r w:rsidR="00E94BFF" w:rsidRPr="00C50CFC">
        <w:rPr>
          <w:shd w:val="clear" w:color="auto" w:fill="FFFFFF"/>
          <w:lang w:val="en-GB"/>
        </w:rPr>
        <w:t xml:space="preserve"> application.</w:t>
      </w:r>
    </w:p>
    <w:p w14:paraId="48283213" w14:textId="77777777" w:rsidR="009002A5" w:rsidRPr="009002A5" w:rsidRDefault="009002A5" w:rsidP="009002A5">
      <w:pPr>
        <w:pStyle w:val="ListParagraph"/>
        <w:rPr>
          <w:rFonts w:cs="Arial"/>
          <w:szCs w:val="24"/>
          <w:shd w:val="clear" w:color="auto" w:fill="FFFFFF"/>
          <w:lang w:val="en-GB"/>
        </w:rPr>
      </w:pPr>
    </w:p>
    <w:p w14:paraId="05166B8A" w14:textId="24359F90" w:rsidR="009002A5" w:rsidRPr="00C50CFC" w:rsidRDefault="00C50CFC" w:rsidP="00C50CFC">
      <w:pPr>
        <w:rPr>
          <w:shd w:val="clear" w:color="auto" w:fill="FFFFFF"/>
          <w:lang w:val="en-GB"/>
        </w:rPr>
      </w:pPr>
      <w:r>
        <w:rPr>
          <w:spacing w:val="0"/>
          <w:lang w:val="en-GB"/>
        </w:rPr>
        <w:t>[20]</w:t>
      </w:r>
      <w:r>
        <w:rPr>
          <w:spacing w:val="0"/>
          <w:lang w:val="en-GB"/>
        </w:rPr>
        <w:tab/>
      </w:r>
      <w:r w:rsidR="00610B13" w:rsidRPr="00C50CFC">
        <w:rPr>
          <w:shd w:val="clear" w:color="auto" w:fill="FFFFFF"/>
          <w:lang w:val="en-GB"/>
        </w:rPr>
        <w:t>Mr /Uirab took exception to the f</w:t>
      </w:r>
      <w:r w:rsidR="00616BEB" w:rsidRPr="00C50CFC">
        <w:rPr>
          <w:shd w:val="clear" w:color="auto" w:fill="FFFFFF"/>
          <w:lang w:val="en-GB"/>
        </w:rPr>
        <w:t xml:space="preserve">ailure to undertake any work or </w:t>
      </w:r>
      <w:r w:rsidR="00610B13" w:rsidRPr="00C50CFC">
        <w:rPr>
          <w:shd w:val="clear" w:color="auto" w:fill="FFFFFF"/>
          <w:lang w:val="en-GB"/>
        </w:rPr>
        <w:t>provide instructions during the holiday. He pointed out that th</w:t>
      </w:r>
      <w:r w:rsidR="009002A5" w:rsidRPr="00C50CFC">
        <w:rPr>
          <w:shd w:val="clear" w:color="auto" w:fill="FFFFFF"/>
          <w:lang w:val="en-GB"/>
        </w:rPr>
        <w:t>e obligations</w:t>
      </w:r>
      <w:r w:rsidR="00610B13" w:rsidRPr="00C50CFC">
        <w:rPr>
          <w:shd w:val="clear" w:color="auto" w:fill="FFFFFF"/>
          <w:lang w:val="en-GB"/>
        </w:rPr>
        <w:t xml:space="preserve"> of a litigant in the labour c</w:t>
      </w:r>
      <w:r w:rsidR="009002A5" w:rsidRPr="00C50CFC">
        <w:rPr>
          <w:shd w:val="clear" w:color="auto" w:fill="FFFFFF"/>
          <w:lang w:val="en-GB"/>
        </w:rPr>
        <w:t>ourt do not cease d</w:t>
      </w:r>
      <w:r w:rsidR="006F5F72" w:rsidRPr="00C50CFC">
        <w:rPr>
          <w:shd w:val="clear" w:color="auto" w:fill="FFFFFF"/>
          <w:lang w:val="en-GB"/>
        </w:rPr>
        <w:t>uring the holidays of December and</w:t>
      </w:r>
      <w:r w:rsidR="009002A5" w:rsidRPr="00C50CFC">
        <w:rPr>
          <w:shd w:val="clear" w:color="auto" w:fill="FFFFFF"/>
          <w:lang w:val="en-GB"/>
        </w:rPr>
        <w:t xml:space="preserve"> January; and </w:t>
      </w:r>
      <w:r w:rsidR="00610B13" w:rsidRPr="00C50CFC">
        <w:rPr>
          <w:shd w:val="clear" w:color="auto" w:fill="FFFFFF"/>
          <w:lang w:val="en-GB"/>
        </w:rPr>
        <w:t>that the fact that the Town Council</w:t>
      </w:r>
      <w:r w:rsidR="009002A5" w:rsidRPr="00C50CFC">
        <w:rPr>
          <w:shd w:val="clear" w:color="auto" w:fill="FFFFFF"/>
          <w:lang w:val="en-GB"/>
        </w:rPr>
        <w:t xml:space="preserve"> fails to </w:t>
      </w:r>
      <w:r w:rsidR="00610B13" w:rsidRPr="00C50CFC">
        <w:rPr>
          <w:shd w:val="clear" w:color="auto" w:fill="FFFFFF"/>
          <w:lang w:val="en-GB"/>
        </w:rPr>
        <w:t xml:space="preserve">even </w:t>
      </w:r>
      <w:r w:rsidR="009002A5" w:rsidRPr="00C50CFC">
        <w:rPr>
          <w:shd w:val="clear" w:color="auto" w:fill="FFFFFF"/>
          <w:lang w:val="en-GB"/>
        </w:rPr>
        <w:t xml:space="preserve">identify who the relevant employees are who took leave, </w:t>
      </w:r>
      <w:r w:rsidR="00BB1196" w:rsidRPr="00C50CFC">
        <w:rPr>
          <w:shd w:val="clear" w:color="auto" w:fill="FFFFFF"/>
          <w:lang w:val="en-GB"/>
        </w:rPr>
        <w:t xml:space="preserve">also negatively affects the Town Council’s application. </w:t>
      </w:r>
    </w:p>
    <w:p w14:paraId="527D22F0" w14:textId="77777777" w:rsidR="00B03A94" w:rsidRPr="00B03A94" w:rsidRDefault="00B03A94" w:rsidP="00B03A94">
      <w:pPr>
        <w:pStyle w:val="ListParagraph"/>
        <w:rPr>
          <w:rFonts w:cs="Arial"/>
          <w:szCs w:val="24"/>
          <w:shd w:val="clear" w:color="auto" w:fill="FFFFFF"/>
          <w:lang w:val="en-GB"/>
        </w:rPr>
      </w:pPr>
    </w:p>
    <w:p w14:paraId="0CC73D08" w14:textId="486C1FAB" w:rsidR="00B03A94" w:rsidRPr="00C50CFC" w:rsidRDefault="00C50CFC" w:rsidP="00C50CFC">
      <w:pPr>
        <w:rPr>
          <w:shd w:val="clear" w:color="auto" w:fill="FFFFFF"/>
          <w:lang w:val="en-GB"/>
        </w:rPr>
      </w:pPr>
      <w:r>
        <w:rPr>
          <w:spacing w:val="0"/>
          <w:lang w:val="en-GB"/>
        </w:rPr>
        <w:t>[21]</w:t>
      </w:r>
      <w:r>
        <w:rPr>
          <w:spacing w:val="0"/>
          <w:lang w:val="en-GB"/>
        </w:rPr>
        <w:tab/>
      </w:r>
      <w:r w:rsidR="00610B13" w:rsidRPr="00C50CFC">
        <w:rPr>
          <w:shd w:val="clear" w:color="auto" w:fill="FFFFFF"/>
          <w:lang w:val="en-GB"/>
        </w:rPr>
        <w:t xml:space="preserve">By </w:t>
      </w:r>
      <w:r w:rsidR="00B03A94" w:rsidRPr="00C50CFC">
        <w:rPr>
          <w:shd w:val="clear" w:color="auto" w:fill="FFFFFF"/>
          <w:lang w:val="en-GB"/>
        </w:rPr>
        <w:t xml:space="preserve">9 January 2023, the </w:t>
      </w:r>
      <w:r w:rsidR="00610B13" w:rsidRPr="00C50CFC">
        <w:rPr>
          <w:shd w:val="clear" w:color="auto" w:fill="FFFFFF"/>
          <w:lang w:val="en-GB"/>
        </w:rPr>
        <w:t xml:space="preserve">Town Council </w:t>
      </w:r>
      <w:r w:rsidR="00B03A94" w:rsidRPr="00C50CFC">
        <w:rPr>
          <w:shd w:val="clear" w:color="auto" w:fill="FFFFFF"/>
          <w:lang w:val="en-GB"/>
        </w:rPr>
        <w:t>was already late with it</w:t>
      </w:r>
      <w:r w:rsidR="00610B13" w:rsidRPr="00C50CFC">
        <w:rPr>
          <w:shd w:val="clear" w:color="auto" w:fill="FFFFFF"/>
          <w:lang w:val="en-GB"/>
        </w:rPr>
        <w:t>s appeal by more than 90 d</w:t>
      </w:r>
      <w:r w:rsidR="00616BEB" w:rsidRPr="00C50CFC">
        <w:rPr>
          <w:shd w:val="clear" w:color="auto" w:fill="FFFFFF"/>
          <w:lang w:val="en-GB"/>
        </w:rPr>
        <w:t xml:space="preserve">ays, yet it </w:t>
      </w:r>
      <w:r w:rsidR="00610B13" w:rsidRPr="00C50CFC">
        <w:rPr>
          <w:shd w:val="clear" w:color="auto" w:fill="FFFFFF"/>
          <w:lang w:val="en-GB"/>
        </w:rPr>
        <w:t xml:space="preserve">made no averments </w:t>
      </w:r>
      <w:r w:rsidR="00B03A94" w:rsidRPr="00C50CFC">
        <w:rPr>
          <w:shd w:val="clear" w:color="auto" w:fill="FFFFFF"/>
          <w:lang w:val="en-GB"/>
        </w:rPr>
        <w:t xml:space="preserve">as to any inquiry </w:t>
      </w:r>
      <w:r w:rsidR="00610B13" w:rsidRPr="00C50CFC">
        <w:rPr>
          <w:shd w:val="clear" w:color="auto" w:fill="FFFFFF"/>
          <w:lang w:val="en-GB"/>
        </w:rPr>
        <w:t xml:space="preserve">made </w:t>
      </w:r>
      <w:r w:rsidR="00B03A94" w:rsidRPr="00C50CFC">
        <w:rPr>
          <w:shd w:val="clear" w:color="auto" w:fill="FFFFFF"/>
          <w:lang w:val="en-GB"/>
        </w:rPr>
        <w:t>to its l</w:t>
      </w:r>
      <w:r w:rsidR="00610B13" w:rsidRPr="00C50CFC">
        <w:rPr>
          <w:shd w:val="clear" w:color="auto" w:fill="FFFFFF"/>
          <w:lang w:val="en-GB"/>
        </w:rPr>
        <w:t>egal practitioners</w:t>
      </w:r>
      <w:r w:rsidR="00B03A94" w:rsidRPr="00C50CFC">
        <w:rPr>
          <w:shd w:val="clear" w:color="auto" w:fill="FFFFFF"/>
          <w:lang w:val="en-GB"/>
        </w:rPr>
        <w:t>.</w:t>
      </w:r>
      <w:r w:rsidR="00610B13" w:rsidRPr="00C50CFC">
        <w:rPr>
          <w:shd w:val="clear" w:color="auto" w:fill="FFFFFF"/>
          <w:lang w:val="en-GB"/>
        </w:rPr>
        <w:t xml:space="preserve"> In any event, Mr /Uirab submitted that its legal practitioners </w:t>
      </w:r>
      <w:r w:rsidR="00937265" w:rsidRPr="00C50CFC">
        <w:rPr>
          <w:shd w:val="clear" w:color="auto" w:fill="FFFFFF"/>
          <w:lang w:val="en-GB"/>
        </w:rPr>
        <w:t>were alternatively engaged</w:t>
      </w:r>
      <w:r w:rsidR="00610B13" w:rsidRPr="00C50CFC">
        <w:rPr>
          <w:shd w:val="clear" w:color="auto" w:fill="FFFFFF"/>
          <w:lang w:val="en-GB"/>
        </w:rPr>
        <w:t xml:space="preserve">, again without further explanation, </w:t>
      </w:r>
      <w:r w:rsidR="00BB1196" w:rsidRPr="00C50CFC">
        <w:rPr>
          <w:shd w:val="clear" w:color="auto" w:fill="FFFFFF"/>
          <w:lang w:val="en-GB"/>
        </w:rPr>
        <w:t xml:space="preserve">and this </w:t>
      </w:r>
      <w:r w:rsidR="00937265" w:rsidRPr="00C50CFC">
        <w:rPr>
          <w:shd w:val="clear" w:color="auto" w:fill="FFFFFF"/>
          <w:lang w:val="en-GB"/>
        </w:rPr>
        <w:t>is not a reason for the non-compliance with the rules of court.</w:t>
      </w:r>
    </w:p>
    <w:p w14:paraId="5CED8CD3" w14:textId="77777777" w:rsidR="00937265" w:rsidRPr="00610B13" w:rsidRDefault="00937265" w:rsidP="00610B13">
      <w:pPr>
        <w:rPr>
          <w:shd w:val="clear" w:color="auto" w:fill="FFFFFF"/>
          <w:lang w:val="en-GB"/>
        </w:rPr>
      </w:pPr>
    </w:p>
    <w:p w14:paraId="33B97B62" w14:textId="7D94E390" w:rsidR="00937265" w:rsidRPr="00C50CFC" w:rsidRDefault="00C50CFC" w:rsidP="00C50CFC">
      <w:pPr>
        <w:rPr>
          <w:shd w:val="clear" w:color="auto" w:fill="FFFFFF"/>
          <w:lang w:val="en-GB"/>
        </w:rPr>
      </w:pPr>
      <w:r>
        <w:rPr>
          <w:spacing w:val="0"/>
          <w:lang w:val="en-GB"/>
        </w:rPr>
        <w:t>[22]</w:t>
      </w:r>
      <w:r>
        <w:rPr>
          <w:spacing w:val="0"/>
          <w:lang w:val="en-GB"/>
        </w:rPr>
        <w:tab/>
      </w:r>
      <w:r w:rsidR="00610B13" w:rsidRPr="00C50CFC">
        <w:rPr>
          <w:shd w:val="clear" w:color="auto" w:fill="FFFFFF"/>
          <w:lang w:val="en-GB"/>
        </w:rPr>
        <w:t>Therefore, and giv</w:t>
      </w:r>
      <w:r w:rsidR="00937265" w:rsidRPr="00C50CFC">
        <w:rPr>
          <w:shd w:val="clear" w:color="auto" w:fill="FFFFFF"/>
          <w:lang w:val="en-GB"/>
        </w:rPr>
        <w:t>e</w:t>
      </w:r>
      <w:r w:rsidR="00610B13" w:rsidRPr="00C50CFC">
        <w:rPr>
          <w:shd w:val="clear" w:color="auto" w:fill="FFFFFF"/>
          <w:lang w:val="en-GB"/>
        </w:rPr>
        <w:t>n</w:t>
      </w:r>
      <w:r w:rsidR="00937265" w:rsidRPr="00C50CFC">
        <w:rPr>
          <w:shd w:val="clear" w:color="auto" w:fill="FFFFFF"/>
          <w:lang w:val="en-GB"/>
        </w:rPr>
        <w:t xml:space="preserve"> time between 15 September 2022 and 3</w:t>
      </w:r>
      <w:r w:rsidR="00610B13" w:rsidRPr="00C50CFC">
        <w:rPr>
          <w:shd w:val="clear" w:color="auto" w:fill="FFFFFF"/>
          <w:lang w:val="en-GB"/>
        </w:rPr>
        <w:t xml:space="preserve">0 January 2023, </w:t>
      </w:r>
      <w:r w:rsidR="00BB1196" w:rsidRPr="00C50CFC">
        <w:rPr>
          <w:shd w:val="clear" w:color="auto" w:fill="FFFFFF"/>
          <w:lang w:val="en-GB"/>
        </w:rPr>
        <w:t xml:space="preserve">and </w:t>
      </w:r>
      <w:r w:rsidR="00937265" w:rsidRPr="00C50CFC">
        <w:rPr>
          <w:shd w:val="clear" w:color="auto" w:fill="FFFFFF"/>
          <w:lang w:val="en-GB"/>
        </w:rPr>
        <w:t>the fact that labour matters should be dealt with expeditiously, the disregard of the</w:t>
      </w:r>
      <w:r w:rsidR="00610B13" w:rsidRPr="00C50CFC">
        <w:rPr>
          <w:shd w:val="clear" w:color="auto" w:fill="FFFFFF"/>
          <w:lang w:val="en-GB"/>
        </w:rPr>
        <w:t xml:space="preserve"> rules of court by the Town Council</w:t>
      </w:r>
      <w:r w:rsidR="00937265" w:rsidRPr="00C50CFC">
        <w:rPr>
          <w:shd w:val="clear" w:color="auto" w:fill="FFFFFF"/>
          <w:lang w:val="en-GB"/>
        </w:rPr>
        <w:t xml:space="preserve"> was wilful an</w:t>
      </w:r>
      <w:r w:rsidR="00CB46C9" w:rsidRPr="00C50CFC">
        <w:rPr>
          <w:shd w:val="clear" w:color="auto" w:fill="FFFFFF"/>
          <w:lang w:val="en-GB"/>
        </w:rPr>
        <w:t xml:space="preserve">d flagrant. Mr /Uirab considers </w:t>
      </w:r>
      <w:r w:rsidR="00610B13" w:rsidRPr="00C50CFC">
        <w:rPr>
          <w:shd w:val="clear" w:color="auto" w:fill="FFFFFF"/>
          <w:lang w:val="en-GB"/>
        </w:rPr>
        <w:t xml:space="preserve">the apology for the </w:t>
      </w:r>
      <w:r w:rsidR="00CB46C9" w:rsidRPr="00C50CFC">
        <w:rPr>
          <w:shd w:val="clear" w:color="auto" w:fill="FFFFFF"/>
          <w:lang w:val="en-GB"/>
        </w:rPr>
        <w:t>non-compliance with the</w:t>
      </w:r>
      <w:r w:rsidR="00937265" w:rsidRPr="00C50CFC">
        <w:rPr>
          <w:shd w:val="clear" w:color="auto" w:fill="FFFFFF"/>
          <w:lang w:val="en-GB"/>
        </w:rPr>
        <w:t xml:space="preserve"> rules</w:t>
      </w:r>
      <w:r w:rsidR="00CB46C9" w:rsidRPr="00C50CFC">
        <w:rPr>
          <w:shd w:val="clear" w:color="auto" w:fill="FFFFFF"/>
          <w:lang w:val="en-GB"/>
        </w:rPr>
        <w:t xml:space="preserve"> of court</w:t>
      </w:r>
      <w:r w:rsidR="00BB1196" w:rsidRPr="00C50CFC">
        <w:rPr>
          <w:shd w:val="clear" w:color="auto" w:fill="FFFFFF"/>
          <w:lang w:val="en-GB"/>
        </w:rPr>
        <w:t xml:space="preserve"> to be of</w:t>
      </w:r>
      <w:r w:rsidR="00937265" w:rsidRPr="00C50CFC">
        <w:rPr>
          <w:shd w:val="clear" w:color="auto" w:fill="FFFFFF"/>
          <w:lang w:val="en-GB"/>
        </w:rPr>
        <w:t xml:space="preserve"> no moment, </w:t>
      </w:r>
      <w:r w:rsidR="00610B13" w:rsidRPr="00C50CFC">
        <w:rPr>
          <w:shd w:val="clear" w:color="auto" w:fill="FFFFFF"/>
          <w:lang w:val="en-GB"/>
        </w:rPr>
        <w:t>as it did not properly explain the reasons for i</w:t>
      </w:r>
      <w:r w:rsidR="00CB46C9" w:rsidRPr="00C50CFC">
        <w:rPr>
          <w:shd w:val="clear" w:color="auto" w:fill="FFFFFF"/>
          <w:lang w:val="en-GB"/>
        </w:rPr>
        <w:t>ts non-compliance</w:t>
      </w:r>
      <w:r w:rsidR="00610B13" w:rsidRPr="00C50CFC">
        <w:rPr>
          <w:shd w:val="clear" w:color="auto" w:fill="FFFFFF"/>
          <w:lang w:val="en-GB"/>
        </w:rPr>
        <w:t>.</w:t>
      </w:r>
    </w:p>
    <w:p w14:paraId="6BB945FA" w14:textId="77777777" w:rsidR="00D8237D" w:rsidRPr="00D8237D" w:rsidRDefault="00D8237D" w:rsidP="00D8237D">
      <w:pPr>
        <w:pStyle w:val="ListParagraph"/>
        <w:rPr>
          <w:rFonts w:cs="Arial"/>
          <w:szCs w:val="24"/>
          <w:shd w:val="clear" w:color="auto" w:fill="FFFFFF"/>
          <w:lang w:val="en-GB"/>
        </w:rPr>
      </w:pPr>
    </w:p>
    <w:p w14:paraId="2DF6AF8B" w14:textId="0E0EEED2" w:rsidR="00D8237D" w:rsidRPr="00C50CFC" w:rsidRDefault="00C50CFC" w:rsidP="00C50CFC">
      <w:pPr>
        <w:rPr>
          <w:shd w:val="clear" w:color="auto" w:fill="FFFFFF"/>
          <w:lang w:val="en-GB"/>
        </w:rPr>
      </w:pPr>
      <w:r>
        <w:rPr>
          <w:spacing w:val="0"/>
          <w:lang w:val="en-GB"/>
        </w:rPr>
        <w:t>[23]</w:t>
      </w:r>
      <w:r>
        <w:rPr>
          <w:spacing w:val="0"/>
          <w:lang w:val="en-GB"/>
        </w:rPr>
        <w:tab/>
      </w:r>
      <w:r w:rsidR="00D8237D" w:rsidRPr="00C50CFC">
        <w:rPr>
          <w:shd w:val="clear" w:color="auto" w:fill="FFFFFF"/>
          <w:lang w:val="en-GB"/>
        </w:rPr>
        <w:t>In addition to the condonation, as al</w:t>
      </w:r>
      <w:r w:rsidR="00C517CD" w:rsidRPr="00C50CFC">
        <w:rPr>
          <w:shd w:val="clear" w:color="auto" w:fill="FFFFFF"/>
          <w:lang w:val="en-GB"/>
        </w:rPr>
        <w:t xml:space="preserve">luded to earlier, the Town Council </w:t>
      </w:r>
      <w:r w:rsidR="00D8237D" w:rsidRPr="00C50CFC">
        <w:rPr>
          <w:shd w:val="clear" w:color="auto" w:fill="FFFFFF"/>
          <w:lang w:val="en-GB"/>
        </w:rPr>
        <w:t>also seeks an order staying the execution of the arbitratio</w:t>
      </w:r>
      <w:r w:rsidR="00C517CD" w:rsidRPr="00C50CFC">
        <w:rPr>
          <w:shd w:val="clear" w:color="auto" w:fill="FFFFFF"/>
          <w:lang w:val="en-GB"/>
        </w:rPr>
        <w:t>n award and all other processes, pending finalisation of the appeal. Essentially the grounds of appeal are that the arbitrator erred in law in all the findings made in support of the arbitration</w:t>
      </w:r>
      <w:r w:rsidR="00616BEB" w:rsidRPr="00C50CFC">
        <w:rPr>
          <w:shd w:val="clear" w:color="auto" w:fill="FFFFFF"/>
          <w:lang w:val="en-GB"/>
        </w:rPr>
        <w:t xml:space="preserve"> award.</w:t>
      </w:r>
    </w:p>
    <w:p w14:paraId="7DD41B86" w14:textId="77777777" w:rsidR="003668B7" w:rsidRPr="00C517CD" w:rsidRDefault="003668B7" w:rsidP="00C517CD">
      <w:pPr>
        <w:rPr>
          <w:shd w:val="clear" w:color="auto" w:fill="FFFFFF"/>
          <w:lang w:val="en-GB"/>
        </w:rPr>
      </w:pPr>
    </w:p>
    <w:p w14:paraId="4E476097" w14:textId="75AE6FE6" w:rsidR="008B0B98" w:rsidRPr="00C50CFC" w:rsidRDefault="00C50CFC" w:rsidP="00C50CFC">
      <w:pPr>
        <w:rPr>
          <w:shd w:val="clear" w:color="auto" w:fill="FFFFFF"/>
          <w:lang w:val="en-GB"/>
        </w:rPr>
      </w:pPr>
      <w:r w:rsidRPr="00FA0D02">
        <w:rPr>
          <w:spacing w:val="0"/>
          <w:lang w:val="en-GB"/>
        </w:rPr>
        <w:t>[24]</w:t>
      </w:r>
      <w:r w:rsidRPr="00FA0D02">
        <w:rPr>
          <w:spacing w:val="0"/>
          <w:lang w:val="en-GB"/>
        </w:rPr>
        <w:tab/>
      </w:r>
      <w:r w:rsidR="008B0B98" w:rsidRPr="00C50CFC">
        <w:rPr>
          <w:shd w:val="clear" w:color="auto" w:fill="FFFFFF"/>
          <w:lang w:val="en-GB"/>
        </w:rPr>
        <w:t>T</w:t>
      </w:r>
      <w:r w:rsidR="00FA0D02" w:rsidRPr="00C50CFC">
        <w:rPr>
          <w:shd w:val="clear" w:color="auto" w:fill="FFFFFF"/>
          <w:lang w:val="en-GB"/>
        </w:rPr>
        <w:t xml:space="preserve">he Town Council </w:t>
      </w:r>
      <w:r w:rsidR="008B0B98" w:rsidRPr="00C50CFC">
        <w:rPr>
          <w:shd w:val="clear" w:color="auto" w:fill="FFFFFF"/>
          <w:lang w:val="en-GB"/>
        </w:rPr>
        <w:t>places great reliance on what it contends to be the limitation of its financial resources in not bringing the present application at</w:t>
      </w:r>
      <w:r w:rsidR="00FA0D02" w:rsidRPr="00C50CFC">
        <w:rPr>
          <w:shd w:val="clear" w:color="auto" w:fill="FFFFFF"/>
          <w:lang w:val="en-GB"/>
        </w:rPr>
        <w:t xml:space="preserve"> an earlier stage. The Town Council</w:t>
      </w:r>
      <w:r w:rsidR="008B0B98" w:rsidRPr="00C50CFC">
        <w:rPr>
          <w:shd w:val="clear" w:color="auto" w:fill="FFFFFF"/>
          <w:lang w:val="en-GB"/>
        </w:rPr>
        <w:t xml:space="preserve"> admits service of </w:t>
      </w:r>
      <w:r w:rsidR="00FA0D02" w:rsidRPr="00C50CFC">
        <w:rPr>
          <w:shd w:val="clear" w:color="auto" w:fill="FFFFFF"/>
          <w:lang w:val="en-GB"/>
        </w:rPr>
        <w:t xml:space="preserve">the award on 15 September </w:t>
      </w:r>
      <w:r w:rsidR="00FA0D02" w:rsidRPr="00C50CFC">
        <w:rPr>
          <w:shd w:val="clear" w:color="auto" w:fill="FFFFFF"/>
          <w:lang w:val="en-GB"/>
        </w:rPr>
        <w:lastRenderedPageBreak/>
        <w:t>2022. It is submitted further that</w:t>
      </w:r>
      <w:r w:rsidR="00BB1196" w:rsidRPr="00C50CFC">
        <w:rPr>
          <w:shd w:val="clear" w:color="auto" w:fill="FFFFFF"/>
          <w:lang w:val="en-GB"/>
        </w:rPr>
        <w:t xml:space="preserve"> </w:t>
      </w:r>
      <w:r w:rsidR="008B0B98" w:rsidRPr="00C50CFC">
        <w:rPr>
          <w:shd w:val="clear" w:color="auto" w:fill="FFFFFF"/>
          <w:lang w:val="en-GB"/>
        </w:rPr>
        <w:t xml:space="preserve">the award is for a substantial amount of money, and it would suffer great prejudice </w:t>
      </w:r>
      <w:r w:rsidR="00616BEB" w:rsidRPr="00C50CFC">
        <w:rPr>
          <w:shd w:val="clear" w:color="auto" w:fill="FFFFFF"/>
          <w:lang w:val="en-GB"/>
        </w:rPr>
        <w:t>if</w:t>
      </w:r>
      <w:r w:rsidR="008B0B98" w:rsidRPr="00C50CFC">
        <w:rPr>
          <w:shd w:val="clear" w:color="auto" w:fill="FFFFFF"/>
          <w:lang w:val="en-GB"/>
        </w:rPr>
        <w:t xml:space="preserve"> the award had to be </w:t>
      </w:r>
      <w:r w:rsidR="00FA0D02" w:rsidRPr="00C50CFC">
        <w:rPr>
          <w:shd w:val="clear" w:color="auto" w:fill="FFFFFF"/>
          <w:lang w:val="en-GB"/>
        </w:rPr>
        <w:t xml:space="preserve">paid to Mr /Uirab pending appeal, as he </w:t>
      </w:r>
      <w:r w:rsidR="008B0B98" w:rsidRPr="00C50CFC">
        <w:rPr>
          <w:shd w:val="clear" w:color="auto" w:fill="FFFFFF"/>
          <w:lang w:val="en-GB"/>
        </w:rPr>
        <w:t>does not have sufficient</w:t>
      </w:r>
      <w:r w:rsidR="00FA0D02" w:rsidRPr="00C50CFC">
        <w:rPr>
          <w:shd w:val="clear" w:color="auto" w:fill="FFFFFF"/>
          <w:lang w:val="en-GB"/>
        </w:rPr>
        <w:t xml:space="preserve"> security, should the Town Council prove successful on appeal. S</w:t>
      </w:r>
      <w:r w:rsidR="008B0B98" w:rsidRPr="00C50CFC">
        <w:rPr>
          <w:shd w:val="clear" w:color="auto" w:fill="FFFFFF"/>
          <w:lang w:val="en-GB"/>
        </w:rPr>
        <w:t>hould the award not be stayed, the Deputy Sheriff may at</w:t>
      </w:r>
      <w:r w:rsidR="00616BEB" w:rsidRPr="00C50CFC">
        <w:rPr>
          <w:shd w:val="clear" w:color="auto" w:fill="FFFFFF"/>
          <w:lang w:val="en-GB"/>
        </w:rPr>
        <w:t>tach the account of the Town Council</w:t>
      </w:r>
      <w:r w:rsidR="008B0B98" w:rsidRPr="00C50CFC">
        <w:rPr>
          <w:shd w:val="clear" w:color="auto" w:fill="FFFFFF"/>
          <w:lang w:val="en-GB"/>
        </w:rPr>
        <w:t xml:space="preserve"> and pay</w:t>
      </w:r>
      <w:r w:rsidR="00616BEB" w:rsidRPr="00C50CFC">
        <w:rPr>
          <w:shd w:val="clear" w:color="auto" w:fill="FFFFFF"/>
          <w:lang w:val="en-GB"/>
        </w:rPr>
        <w:t xml:space="preserve"> it over to Mr /Uirab</w:t>
      </w:r>
      <w:r w:rsidR="008B0B98" w:rsidRPr="00C50CFC">
        <w:rPr>
          <w:shd w:val="clear" w:color="auto" w:fill="FFFFFF"/>
          <w:lang w:val="en-GB"/>
        </w:rPr>
        <w:t>, which attachment would have catastrophic consequences to the ope</w:t>
      </w:r>
      <w:r w:rsidR="00616BEB" w:rsidRPr="00C50CFC">
        <w:rPr>
          <w:shd w:val="clear" w:color="auto" w:fill="FFFFFF"/>
          <w:lang w:val="en-GB"/>
        </w:rPr>
        <w:t>rations of the Town Council</w:t>
      </w:r>
      <w:r w:rsidR="008B0B98" w:rsidRPr="00C50CFC">
        <w:rPr>
          <w:shd w:val="clear" w:color="auto" w:fill="FFFFFF"/>
          <w:lang w:val="en-GB"/>
        </w:rPr>
        <w:t xml:space="preserve">, including service </w:t>
      </w:r>
      <w:r w:rsidR="00616BEB" w:rsidRPr="00C50CFC">
        <w:rPr>
          <w:shd w:val="clear" w:color="auto" w:fill="FFFFFF"/>
          <w:lang w:val="en-GB"/>
        </w:rPr>
        <w:t>delivery</w:t>
      </w:r>
      <w:r w:rsidR="008B0B98" w:rsidRPr="00C50CFC">
        <w:rPr>
          <w:shd w:val="clear" w:color="auto" w:fill="FFFFFF"/>
          <w:lang w:val="en-GB"/>
        </w:rPr>
        <w:t xml:space="preserve"> to the residents of Rehoboth.</w:t>
      </w:r>
    </w:p>
    <w:p w14:paraId="4739AD1D" w14:textId="77777777" w:rsidR="008B0B98" w:rsidRDefault="008B0B98" w:rsidP="008B0B98">
      <w:pPr>
        <w:pStyle w:val="ListParagraph"/>
        <w:spacing w:after="0"/>
        <w:ind w:left="0"/>
        <w:rPr>
          <w:rFonts w:cs="Arial"/>
          <w:szCs w:val="24"/>
          <w:shd w:val="clear" w:color="auto" w:fill="FFFFFF"/>
          <w:lang w:val="en-GB"/>
        </w:rPr>
      </w:pPr>
    </w:p>
    <w:p w14:paraId="364C35D1" w14:textId="529D7724" w:rsidR="00B84F8E" w:rsidRPr="00C50CFC" w:rsidRDefault="00C50CFC" w:rsidP="00C50CFC">
      <w:pPr>
        <w:rPr>
          <w:shd w:val="clear" w:color="auto" w:fill="FFFFFF"/>
          <w:lang w:val="en-GB"/>
        </w:rPr>
      </w:pPr>
      <w:r>
        <w:rPr>
          <w:spacing w:val="0"/>
          <w:lang w:val="en-GB"/>
        </w:rPr>
        <w:t>[25]</w:t>
      </w:r>
      <w:r>
        <w:rPr>
          <w:spacing w:val="0"/>
          <w:lang w:val="en-GB"/>
        </w:rPr>
        <w:tab/>
      </w:r>
      <w:r w:rsidR="00FA0D02" w:rsidRPr="00C50CFC">
        <w:rPr>
          <w:shd w:val="clear" w:color="auto" w:fill="FFFFFF"/>
          <w:lang w:val="en-GB"/>
        </w:rPr>
        <w:t xml:space="preserve">Mr /Uirab submits that </w:t>
      </w:r>
      <w:r w:rsidR="008B0B98" w:rsidRPr="00C50CFC">
        <w:rPr>
          <w:shd w:val="clear" w:color="auto" w:fill="FFFFFF"/>
          <w:lang w:val="en-GB"/>
        </w:rPr>
        <w:t xml:space="preserve">the </w:t>
      </w:r>
      <w:r w:rsidR="00B13B60" w:rsidRPr="00C50CFC">
        <w:rPr>
          <w:shd w:val="clear" w:color="auto" w:fill="FFFFFF"/>
          <w:lang w:val="en-GB"/>
        </w:rPr>
        <w:t>present</w:t>
      </w:r>
      <w:r w:rsidR="008B0B98" w:rsidRPr="00C50CFC">
        <w:rPr>
          <w:shd w:val="clear" w:color="auto" w:fill="FFFFFF"/>
          <w:lang w:val="en-GB"/>
        </w:rPr>
        <w:t xml:space="preserve"> matter is not the first labour matter </w:t>
      </w:r>
      <w:r w:rsidR="00FA0D02" w:rsidRPr="00C50CFC">
        <w:rPr>
          <w:shd w:val="clear" w:color="auto" w:fill="FFFFFF"/>
          <w:lang w:val="en-GB"/>
        </w:rPr>
        <w:t>that the Town Council is involved in. Th</w:t>
      </w:r>
      <w:r w:rsidR="008B0B98" w:rsidRPr="00C50CFC">
        <w:rPr>
          <w:shd w:val="clear" w:color="auto" w:fill="FFFFFF"/>
          <w:lang w:val="en-GB"/>
        </w:rPr>
        <w:t xml:space="preserve">e mere </w:t>
      </w:r>
      <w:r w:rsidR="008E6BDB" w:rsidRPr="00C50CFC">
        <w:rPr>
          <w:shd w:val="clear" w:color="auto" w:fill="FFFFFF"/>
          <w:lang w:val="en-GB"/>
        </w:rPr>
        <w:t>say-so</w:t>
      </w:r>
      <w:r w:rsidR="008B0B98" w:rsidRPr="00C50CFC">
        <w:rPr>
          <w:shd w:val="clear" w:color="auto" w:fill="FFFFFF"/>
          <w:lang w:val="en-GB"/>
        </w:rPr>
        <w:t xml:space="preserve"> of financial limitations </w:t>
      </w:r>
      <w:r w:rsidR="00FA0D02" w:rsidRPr="00C50CFC">
        <w:rPr>
          <w:shd w:val="clear" w:color="auto" w:fill="FFFFFF"/>
          <w:lang w:val="en-GB"/>
        </w:rPr>
        <w:t xml:space="preserve">is insufficient, as it failed to present any documents or even explain under oath what the financial constraints are. </w:t>
      </w:r>
      <w:r w:rsidR="00616BEB" w:rsidRPr="00C50CFC">
        <w:rPr>
          <w:shd w:val="clear" w:color="auto" w:fill="FFFFFF"/>
          <w:lang w:val="en-GB"/>
        </w:rPr>
        <w:t>In fact, the Town Council failed</w:t>
      </w:r>
      <w:r w:rsidR="008B0B98" w:rsidRPr="00C50CFC">
        <w:rPr>
          <w:shd w:val="clear" w:color="auto" w:fill="FFFFFF"/>
          <w:lang w:val="en-GB"/>
        </w:rPr>
        <w:t xml:space="preserve"> to provide a detailed, full and accurate </w:t>
      </w:r>
      <w:r w:rsidR="00B13B60" w:rsidRPr="00C50CFC">
        <w:rPr>
          <w:shd w:val="clear" w:color="auto" w:fill="FFFFFF"/>
          <w:lang w:val="en-GB"/>
        </w:rPr>
        <w:t>explanation</w:t>
      </w:r>
      <w:r w:rsidR="00FA0D02" w:rsidRPr="00C50CFC">
        <w:rPr>
          <w:shd w:val="clear" w:color="auto" w:fill="FFFFFF"/>
          <w:lang w:val="en-GB"/>
        </w:rPr>
        <w:t xml:space="preserve"> for its non-compliance, and that the application should be dismissed on this ground alone.</w:t>
      </w:r>
    </w:p>
    <w:p w14:paraId="135F8C63" w14:textId="77777777" w:rsidR="00B84F8E" w:rsidRPr="00B84F8E" w:rsidRDefault="00B84F8E" w:rsidP="00B84F8E">
      <w:pPr>
        <w:pStyle w:val="ListParagraph"/>
        <w:rPr>
          <w:rFonts w:cs="Arial"/>
          <w:szCs w:val="24"/>
          <w:shd w:val="clear" w:color="auto" w:fill="FFFFFF"/>
          <w:lang w:val="en-GB"/>
        </w:rPr>
      </w:pPr>
    </w:p>
    <w:p w14:paraId="00F6A121" w14:textId="7A56DBD6" w:rsidR="00531C33" w:rsidRPr="00C50CFC" w:rsidRDefault="00C50CFC" w:rsidP="00C50CFC">
      <w:pPr>
        <w:rPr>
          <w:shd w:val="clear" w:color="auto" w:fill="FFFFFF"/>
          <w:lang w:val="en-GB"/>
        </w:rPr>
      </w:pPr>
      <w:r w:rsidRPr="00C411FB">
        <w:rPr>
          <w:spacing w:val="0"/>
          <w:lang w:val="en-GB"/>
        </w:rPr>
        <w:t>[26]</w:t>
      </w:r>
      <w:r w:rsidRPr="00C411FB">
        <w:rPr>
          <w:spacing w:val="0"/>
          <w:lang w:val="en-GB"/>
        </w:rPr>
        <w:tab/>
      </w:r>
      <w:r w:rsidR="00C411FB" w:rsidRPr="00C50CFC">
        <w:rPr>
          <w:shd w:val="clear" w:color="auto" w:fill="FFFFFF"/>
          <w:lang w:val="en-GB"/>
        </w:rPr>
        <w:t>Mr /Uirab denies the Town Council</w:t>
      </w:r>
      <w:r w:rsidR="00B84F8E" w:rsidRPr="00C50CFC">
        <w:rPr>
          <w:shd w:val="clear" w:color="auto" w:fill="FFFFFF"/>
          <w:lang w:val="en-GB"/>
        </w:rPr>
        <w:t xml:space="preserve"> has any prospect of success on appeal, and that if no prospects exists, any condonation by the court is a </w:t>
      </w:r>
      <w:r w:rsidR="00B84F8E" w:rsidRPr="00C50CFC">
        <w:rPr>
          <w:i/>
          <w:shd w:val="clear" w:color="auto" w:fill="FFFFFF"/>
          <w:lang w:val="en-GB"/>
        </w:rPr>
        <w:t>brutum fulmen</w:t>
      </w:r>
      <w:r w:rsidR="00B84F8E" w:rsidRPr="00C50CFC">
        <w:rPr>
          <w:shd w:val="clear" w:color="auto" w:fill="FFFFFF"/>
          <w:lang w:val="en-GB"/>
        </w:rPr>
        <w:t>.</w:t>
      </w:r>
      <w:r w:rsidR="00C411FB" w:rsidRPr="00C50CFC">
        <w:rPr>
          <w:shd w:val="clear" w:color="auto" w:fill="FFFFFF"/>
          <w:lang w:val="en-GB"/>
        </w:rPr>
        <w:t xml:space="preserve"> The failure by the Town Council</w:t>
      </w:r>
      <w:r w:rsidR="00531C33" w:rsidRPr="00C50CFC">
        <w:rPr>
          <w:shd w:val="clear" w:color="auto" w:fill="FFFFFF"/>
          <w:lang w:val="en-GB"/>
        </w:rPr>
        <w:t xml:space="preserve"> to pay his salary resulted in his vehicle being sold in</w:t>
      </w:r>
      <w:r w:rsidR="00C411FB" w:rsidRPr="00C50CFC">
        <w:rPr>
          <w:shd w:val="clear" w:color="auto" w:fill="FFFFFF"/>
          <w:lang w:val="en-GB"/>
        </w:rPr>
        <w:t xml:space="preserve"> execution, and that its</w:t>
      </w:r>
      <w:r w:rsidR="00531C33" w:rsidRPr="00C50CFC">
        <w:rPr>
          <w:shd w:val="clear" w:color="auto" w:fill="FFFFFF"/>
          <w:lang w:val="en-GB"/>
        </w:rPr>
        <w:t xml:space="preserve"> failure to pay him after waiving his notice period, resulted in his life coming to a financial standstill.</w:t>
      </w:r>
    </w:p>
    <w:p w14:paraId="54173382" w14:textId="77777777" w:rsidR="00130BF3" w:rsidRPr="00C411FB" w:rsidRDefault="00130BF3" w:rsidP="00C411FB">
      <w:pPr>
        <w:rPr>
          <w:shd w:val="clear" w:color="auto" w:fill="FFFFFF"/>
        </w:rPr>
      </w:pPr>
    </w:p>
    <w:p w14:paraId="7211B50E" w14:textId="18B43B1F" w:rsidR="00466EE7" w:rsidRPr="00C50CFC" w:rsidRDefault="00C50CFC" w:rsidP="00C50CFC">
      <w:pPr>
        <w:rPr>
          <w:shd w:val="clear" w:color="auto" w:fill="FFFFFF"/>
          <w:lang w:val="en-GB"/>
        </w:rPr>
      </w:pPr>
      <w:r w:rsidRPr="004B5E14">
        <w:rPr>
          <w:spacing w:val="0"/>
          <w:lang w:val="en-GB"/>
        </w:rPr>
        <w:t>[27]</w:t>
      </w:r>
      <w:r w:rsidRPr="004B5E14">
        <w:rPr>
          <w:spacing w:val="0"/>
          <w:lang w:val="en-GB"/>
        </w:rPr>
        <w:tab/>
      </w:r>
      <w:r w:rsidR="004B5E14" w:rsidRPr="00C50CFC">
        <w:rPr>
          <w:shd w:val="clear" w:color="auto" w:fill="FFFFFF"/>
        </w:rPr>
        <w:t xml:space="preserve">The court’s power to condone </w:t>
      </w:r>
      <w:r w:rsidR="00BB1196" w:rsidRPr="00C50CFC">
        <w:rPr>
          <w:shd w:val="clear" w:color="auto" w:fill="FFFFFF"/>
        </w:rPr>
        <w:t xml:space="preserve">non-compliances </w:t>
      </w:r>
      <w:r w:rsidR="004B5E14" w:rsidRPr="00C50CFC">
        <w:rPr>
          <w:shd w:val="clear" w:color="auto" w:fill="FFFFFF"/>
        </w:rPr>
        <w:t>is de</w:t>
      </w:r>
      <w:r w:rsidR="006F5F72" w:rsidRPr="00C50CFC">
        <w:rPr>
          <w:shd w:val="clear" w:color="auto" w:fill="FFFFFF"/>
        </w:rPr>
        <w:t>rived from s 89(3) of the</w:t>
      </w:r>
      <w:r w:rsidR="004B5E14" w:rsidRPr="00C50CFC">
        <w:rPr>
          <w:shd w:val="clear" w:color="auto" w:fill="FFFFFF"/>
        </w:rPr>
        <w:t> </w:t>
      </w:r>
      <w:r w:rsidR="008E6BDB" w:rsidRPr="00C50CFC">
        <w:rPr>
          <w:shd w:val="clear" w:color="auto" w:fill="FFFFFF"/>
        </w:rPr>
        <w:t>Act</w:t>
      </w:r>
      <w:r w:rsidR="004B5E14" w:rsidRPr="00C50CFC">
        <w:rPr>
          <w:shd w:val="clear" w:color="auto" w:fill="FFFFFF"/>
        </w:rPr>
        <w:t>. The scheme of s 89(3) is this: Where an appeal has been noted out of the time limit prescribed by s 89(2), the appeal remains on the court roll, except that the court cannot hear it until and unless on good cause shown the court has condoned the late noting of the appeal. That is the proper interpretation and application of s 89(3) of the Labour Act.</w:t>
      </w:r>
      <w:r w:rsidR="004B5E14">
        <w:rPr>
          <w:rStyle w:val="FootnoteReference"/>
          <w:shd w:val="clear" w:color="auto" w:fill="FFFFFF"/>
        </w:rPr>
        <w:footnoteReference w:id="2"/>
      </w:r>
    </w:p>
    <w:p w14:paraId="07042450" w14:textId="77777777" w:rsidR="00466EE7" w:rsidRPr="004B5E14" w:rsidRDefault="00466EE7" w:rsidP="004B5E14"/>
    <w:p w14:paraId="69438B82" w14:textId="3F5ECCA6" w:rsidR="00AC6C11" w:rsidRDefault="00C50CFC" w:rsidP="00C50CFC">
      <w:r>
        <w:rPr>
          <w:rFonts w:cs="Times New Roman"/>
          <w:spacing w:val="0"/>
          <w:lang w:val="en-US"/>
        </w:rPr>
        <w:t>[28]</w:t>
      </w:r>
      <w:r>
        <w:rPr>
          <w:rFonts w:cs="Times New Roman"/>
          <w:spacing w:val="0"/>
          <w:lang w:val="en-US"/>
        </w:rPr>
        <w:tab/>
      </w:r>
      <w:r w:rsidR="00FE5956" w:rsidRPr="00C50CFC">
        <w:t>It is trite</w:t>
      </w:r>
      <w:r w:rsidR="00BB1196" w:rsidRPr="00C50CFC">
        <w:t xml:space="preserve"> that</w:t>
      </w:r>
      <w:r w:rsidR="00FE5956" w:rsidRPr="00C50CFC">
        <w:t xml:space="preserve"> a</w:t>
      </w:r>
      <w:r w:rsidR="00466EE7" w:rsidRPr="00C50CFC">
        <w:t xml:space="preserve"> party seeking condonation must furnish a satisfactory explanation for the non-compliance, explain the failure to act timeously and show </w:t>
      </w:r>
      <w:r w:rsidR="00FE5956" w:rsidRPr="00C50CFC">
        <w:lastRenderedPageBreak/>
        <w:t xml:space="preserve">that </w:t>
      </w:r>
      <w:r w:rsidR="00466EE7" w:rsidRPr="00C50CFC">
        <w:t>the default was not willful.</w:t>
      </w:r>
      <w:r w:rsidR="00466EE7">
        <w:rPr>
          <w:rStyle w:val="FootnoteReference"/>
        </w:rPr>
        <w:footnoteReference w:id="3"/>
      </w:r>
      <w:r w:rsidR="00466EE7" w:rsidRPr="00C50CFC">
        <w:t xml:space="preserve"> </w:t>
      </w:r>
      <w:r w:rsidR="00AC6C11" w:rsidRPr="00C50CFC">
        <w:t xml:space="preserve">Damaseb JP, writing for this </w:t>
      </w:r>
      <w:r w:rsidR="00BB1196" w:rsidRPr="00C50CFC">
        <w:t>c</w:t>
      </w:r>
      <w:r w:rsidR="00AC6C11" w:rsidRPr="00C50CFC">
        <w:t xml:space="preserve">ourt in </w:t>
      </w:r>
      <w:r w:rsidR="00AC6C11" w:rsidRPr="00C50CFC">
        <w:rPr>
          <w:i/>
        </w:rPr>
        <w:t>Telcom Namibia Limited v Nangolo and Others</w:t>
      </w:r>
      <w:r w:rsidR="00AC6C11" w:rsidRPr="00C50CFC">
        <w:t>,</w:t>
      </w:r>
      <w:r w:rsidR="00AC6C11">
        <w:rPr>
          <w:rStyle w:val="FootnoteReference"/>
        </w:rPr>
        <w:footnoteReference w:id="4"/>
      </w:r>
      <w:r w:rsidR="00AC6C11" w:rsidRPr="00C50CFC">
        <w:t xml:space="preserve"> </w:t>
      </w:r>
      <w:r w:rsidR="00FE5956">
        <w:t>distilled the following principles from judgments of the c</w:t>
      </w:r>
      <w:r w:rsidR="00AC6C11" w:rsidRPr="00AC6C11">
        <w:t>ourts as regards applications for condonation:</w:t>
      </w:r>
    </w:p>
    <w:p w14:paraId="5887F130" w14:textId="77777777" w:rsidR="00AC6C11" w:rsidRDefault="00AC6C11" w:rsidP="00AC6C11">
      <w:pPr>
        <w:pStyle w:val="ListParagraph"/>
        <w:ind w:left="0"/>
      </w:pPr>
    </w:p>
    <w:p w14:paraId="2B88D40E" w14:textId="507DCC59" w:rsidR="00AC6C11" w:rsidRDefault="00C50CFC" w:rsidP="00C50CFC">
      <w:pPr>
        <w:ind w:left="720" w:hanging="360"/>
      </w:pPr>
      <w:r>
        <w:rPr>
          <w:rFonts w:cs="Times New Roman"/>
          <w:spacing w:val="0"/>
          <w:szCs w:val="22"/>
          <w:lang w:val="en-US"/>
        </w:rPr>
        <w:t>a.</w:t>
      </w:r>
      <w:r>
        <w:rPr>
          <w:rFonts w:cs="Times New Roman"/>
          <w:spacing w:val="0"/>
          <w:szCs w:val="22"/>
          <w:lang w:val="en-US"/>
        </w:rPr>
        <w:tab/>
      </w:r>
      <w:r w:rsidR="00AC6C11" w:rsidRPr="00AC6C11">
        <w:t>It is not a mere formality and will not be had for the asking.</w:t>
      </w:r>
      <w:r w:rsidR="00AC6C11">
        <w:rPr>
          <w:rStyle w:val="FootnoteReference"/>
        </w:rPr>
        <w:footnoteReference w:id="5"/>
      </w:r>
      <w:r w:rsidR="00AC6C11" w:rsidRPr="00C50CFC">
        <w:rPr>
          <w:vertAlign w:val="superscript"/>
        </w:rPr>
        <w:t xml:space="preserve"> </w:t>
      </w:r>
      <w:r w:rsidR="00AC6C11" w:rsidRPr="00AC6C11">
        <w:t>The party seeking condonation bears the onus to satisfy the court that there is sufficient cause to warrant the grant of condonation.</w:t>
      </w:r>
      <w:r w:rsidR="00AC6C11">
        <w:rPr>
          <w:rStyle w:val="FootnoteReference"/>
        </w:rPr>
        <w:footnoteReference w:id="6"/>
      </w:r>
    </w:p>
    <w:p w14:paraId="7E2C192B" w14:textId="77777777" w:rsidR="00FD56DF" w:rsidRDefault="00FD56DF" w:rsidP="00FD56DF">
      <w:pPr>
        <w:pStyle w:val="ListParagraph"/>
      </w:pPr>
    </w:p>
    <w:p w14:paraId="2CEE315C" w14:textId="47674652" w:rsidR="00BB1196" w:rsidRDefault="00C50CFC" w:rsidP="00C50CFC">
      <w:pPr>
        <w:ind w:left="720" w:hanging="360"/>
      </w:pPr>
      <w:r>
        <w:rPr>
          <w:rFonts w:cs="Times New Roman"/>
          <w:spacing w:val="0"/>
          <w:szCs w:val="22"/>
          <w:lang w:val="en-US"/>
        </w:rPr>
        <w:t>b.</w:t>
      </w:r>
      <w:r>
        <w:rPr>
          <w:rFonts w:cs="Times New Roman"/>
          <w:spacing w:val="0"/>
          <w:szCs w:val="22"/>
          <w:lang w:val="en-US"/>
        </w:rPr>
        <w:tab/>
      </w:r>
      <w:r w:rsidR="00AC6C11" w:rsidRPr="00AC6C11">
        <w:t>There must be an acceptable explanation for the delay or non-compliance. The explanation must</w:t>
      </w:r>
      <w:r w:rsidR="00AC6C11">
        <w:t xml:space="preserve"> be full, detailed and accurate.</w:t>
      </w:r>
      <w:r w:rsidR="00AC6C11">
        <w:rPr>
          <w:rStyle w:val="FootnoteReference"/>
        </w:rPr>
        <w:footnoteReference w:id="7"/>
      </w:r>
    </w:p>
    <w:p w14:paraId="16469EB2" w14:textId="77777777" w:rsidR="00BB1196" w:rsidRDefault="00BB1196" w:rsidP="00BB1196"/>
    <w:p w14:paraId="36FF76DE" w14:textId="54CEE166" w:rsidR="00FD56DF" w:rsidRDefault="00C50CFC" w:rsidP="00C50CFC">
      <w:pPr>
        <w:ind w:left="720" w:hanging="360"/>
      </w:pPr>
      <w:r>
        <w:rPr>
          <w:rFonts w:cs="Times New Roman"/>
          <w:spacing w:val="0"/>
          <w:szCs w:val="22"/>
          <w:lang w:val="en-US"/>
        </w:rPr>
        <w:t>c.</w:t>
      </w:r>
      <w:r>
        <w:rPr>
          <w:rFonts w:cs="Times New Roman"/>
          <w:spacing w:val="0"/>
          <w:szCs w:val="22"/>
          <w:lang w:val="en-US"/>
        </w:rPr>
        <w:tab/>
      </w:r>
      <w:r w:rsidR="00AC6C11" w:rsidRPr="00AC6C11">
        <w:t>It must be sought as soon as the non-compliance has come to the fore. An application for condonation must be made without delay</w:t>
      </w:r>
      <w:r w:rsidR="00AC6C11">
        <w:t>.</w:t>
      </w:r>
      <w:r w:rsidR="00AC6C11">
        <w:rPr>
          <w:rStyle w:val="FootnoteReference"/>
        </w:rPr>
        <w:footnoteReference w:id="8"/>
      </w:r>
    </w:p>
    <w:p w14:paraId="514DF6BC" w14:textId="77777777" w:rsidR="00FD56DF" w:rsidRDefault="00FD56DF" w:rsidP="00FD56DF">
      <w:pPr>
        <w:pStyle w:val="ListParagraph"/>
      </w:pPr>
    </w:p>
    <w:p w14:paraId="0C331519" w14:textId="6EED061D" w:rsidR="00FD56DF" w:rsidRDefault="00C50CFC" w:rsidP="00C50CFC">
      <w:pPr>
        <w:ind w:left="720" w:hanging="360"/>
      </w:pPr>
      <w:r>
        <w:rPr>
          <w:rFonts w:cs="Times New Roman"/>
          <w:spacing w:val="0"/>
          <w:szCs w:val="22"/>
          <w:lang w:val="en-US"/>
        </w:rPr>
        <w:t>d.</w:t>
      </w:r>
      <w:r>
        <w:rPr>
          <w:rFonts w:cs="Times New Roman"/>
          <w:spacing w:val="0"/>
          <w:szCs w:val="22"/>
          <w:lang w:val="en-US"/>
        </w:rPr>
        <w:tab/>
      </w:r>
      <w:r w:rsidR="00AC6C11" w:rsidRPr="00AC6C11">
        <w:t>The degree of delay is a relevant consider</w:t>
      </w:r>
      <w:r w:rsidR="006F5F72">
        <w:t>ation.</w:t>
      </w:r>
      <w:r w:rsidR="00AC6C11">
        <w:rPr>
          <w:rStyle w:val="FootnoteReference"/>
        </w:rPr>
        <w:footnoteReference w:id="9"/>
      </w:r>
    </w:p>
    <w:p w14:paraId="0593A524" w14:textId="77777777" w:rsidR="00FD56DF" w:rsidRDefault="00FD56DF" w:rsidP="00FD56DF">
      <w:pPr>
        <w:pStyle w:val="ListParagraph"/>
      </w:pPr>
    </w:p>
    <w:p w14:paraId="0EFD1657" w14:textId="7CB60565" w:rsidR="00616BEB" w:rsidRDefault="00C50CFC" w:rsidP="00C50CFC">
      <w:pPr>
        <w:ind w:left="720" w:hanging="360"/>
      </w:pPr>
      <w:r>
        <w:rPr>
          <w:rFonts w:cs="Times New Roman"/>
          <w:spacing w:val="0"/>
          <w:szCs w:val="22"/>
          <w:lang w:val="en-US"/>
        </w:rPr>
        <w:t>e.</w:t>
      </w:r>
      <w:r>
        <w:rPr>
          <w:rFonts w:cs="Times New Roman"/>
          <w:spacing w:val="0"/>
          <w:szCs w:val="22"/>
          <w:lang w:val="en-US"/>
        </w:rPr>
        <w:tab/>
      </w:r>
      <w:r w:rsidR="00AC6C11" w:rsidRPr="00AC6C11">
        <w:t>The entire period during which the delay had occurred and co</w:t>
      </w:r>
      <w:r w:rsidR="006F5F72">
        <w:t>ntinued must be fully explained.</w:t>
      </w:r>
      <w:r w:rsidR="00AC6C11">
        <w:rPr>
          <w:rStyle w:val="FootnoteReference"/>
        </w:rPr>
        <w:footnoteReference w:id="10"/>
      </w:r>
    </w:p>
    <w:p w14:paraId="35A4D145" w14:textId="77777777" w:rsidR="00616BEB" w:rsidRDefault="00616BEB" w:rsidP="00616BEB">
      <w:pPr>
        <w:pStyle w:val="ListParagraph"/>
      </w:pPr>
    </w:p>
    <w:p w14:paraId="4CCC4CFC" w14:textId="65E4EFD6" w:rsidR="00AC6C11" w:rsidRDefault="00C50CFC" w:rsidP="00C50CFC">
      <w:pPr>
        <w:ind w:left="720" w:hanging="360"/>
      </w:pPr>
      <w:r>
        <w:rPr>
          <w:rFonts w:cs="Times New Roman"/>
          <w:spacing w:val="0"/>
          <w:szCs w:val="22"/>
          <w:lang w:val="en-US"/>
        </w:rPr>
        <w:t>f.</w:t>
      </w:r>
      <w:r>
        <w:rPr>
          <w:rFonts w:cs="Times New Roman"/>
          <w:spacing w:val="0"/>
          <w:szCs w:val="22"/>
          <w:lang w:val="en-US"/>
        </w:rPr>
        <w:tab/>
      </w:r>
      <w:r w:rsidR="00AC6C11" w:rsidRPr="00AC6C11">
        <w:t>There is a point beyond which the negligence of the legal practitioner will not avail the cli</w:t>
      </w:r>
      <w:r w:rsidR="00AC6C11">
        <w:t>ent that is legally represented.</w:t>
      </w:r>
      <w:r w:rsidR="00AC6C11">
        <w:rPr>
          <w:rStyle w:val="FootnoteReference"/>
        </w:rPr>
        <w:footnoteReference w:id="11"/>
      </w:r>
      <w:r w:rsidR="00AC6C11" w:rsidRPr="00AC6C11">
        <w:t xml:space="preserve"> (Legal practitioners are </w:t>
      </w:r>
      <w:r w:rsidR="00AC6C11" w:rsidRPr="00AC6C11">
        <w:lastRenderedPageBreak/>
        <w:t>expected to familiari</w:t>
      </w:r>
      <w:r w:rsidR="00BB1196">
        <w:t>s</w:t>
      </w:r>
      <w:r w:rsidR="00AC6C11" w:rsidRPr="00AC6C11">
        <w:t>e them</w:t>
      </w:r>
      <w:r w:rsidR="00AC6C11">
        <w:t>selves with the rules of court).</w:t>
      </w:r>
      <w:r w:rsidR="00AC6C11">
        <w:rPr>
          <w:rStyle w:val="FootnoteReference"/>
        </w:rPr>
        <w:footnoteReference w:id="12"/>
      </w:r>
    </w:p>
    <w:p w14:paraId="58CB62C3" w14:textId="77777777" w:rsidR="00FD56DF" w:rsidRDefault="00FD56DF" w:rsidP="00FD56DF">
      <w:pPr>
        <w:pStyle w:val="ListParagraph"/>
      </w:pPr>
    </w:p>
    <w:p w14:paraId="34286C44" w14:textId="12BD44AA" w:rsidR="00FD56DF" w:rsidRDefault="00C50CFC" w:rsidP="00C50CFC">
      <w:pPr>
        <w:ind w:left="720" w:hanging="360"/>
      </w:pPr>
      <w:r>
        <w:rPr>
          <w:rFonts w:cs="Times New Roman"/>
          <w:spacing w:val="0"/>
          <w:szCs w:val="22"/>
          <w:lang w:val="en-US"/>
        </w:rPr>
        <w:t>g.</w:t>
      </w:r>
      <w:r>
        <w:rPr>
          <w:rFonts w:cs="Times New Roman"/>
          <w:spacing w:val="0"/>
          <w:szCs w:val="22"/>
          <w:lang w:val="en-US"/>
        </w:rPr>
        <w:tab/>
      </w:r>
      <w:r w:rsidR="00AC6C11" w:rsidRPr="00AC6C11">
        <w:t xml:space="preserve">The applicant for condonation must demonstrate good prospects of success on the merits. But where the non-compliance with the rules of </w:t>
      </w:r>
      <w:r w:rsidR="00BB1196">
        <w:t>c</w:t>
      </w:r>
      <w:r w:rsidR="00AC6C11" w:rsidRPr="00AC6C11">
        <w:t>ourt is flagrant and gross, prospe</w:t>
      </w:r>
      <w:r w:rsidR="00AC6C11">
        <w:t>cts of success are not decisive.</w:t>
      </w:r>
      <w:r w:rsidR="00AC6C11">
        <w:rPr>
          <w:rStyle w:val="FootnoteReference"/>
        </w:rPr>
        <w:footnoteReference w:id="13"/>
      </w:r>
    </w:p>
    <w:p w14:paraId="0D98A617" w14:textId="77777777" w:rsidR="00FD56DF" w:rsidRDefault="00FD56DF" w:rsidP="00FD56DF">
      <w:pPr>
        <w:pStyle w:val="ListParagraph"/>
      </w:pPr>
    </w:p>
    <w:p w14:paraId="7B030F27" w14:textId="5187A19E" w:rsidR="00FD56DF" w:rsidRDefault="00C50CFC" w:rsidP="00C50CFC">
      <w:pPr>
        <w:ind w:left="720" w:hanging="360"/>
      </w:pPr>
      <w:r>
        <w:rPr>
          <w:rFonts w:cs="Times New Roman"/>
          <w:spacing w:val="0"/>
          <w:szCs w:val="22"/>
          <w:lang w:val="en-US"/>
        </w:rPr>
        <w:t>h.</w:t>
      </w:r>
      <w:r>
        <w:rPr>
          <w:rFonts w:cs="Times New Roman"/>
          <w:spacing w:val="0"/>
          <w:szCs w:val="22"/>
          <w:lang w:val="en-US"/>
        </w:rPr>
        <w:tab/>
      </w:r>
      <w:r w:rsidR="00AC6C11" w:rsidRPr="00AC6C11">
        <w:t>The applicant’s prospects of success is in general an important though not a decisi</w:t>
      </w:r>
      <w:r w:rsidR="006F5F72">
        <w:t>ve consideration. In</w:t>
      </w:r>
      <w:r w:rsidR="00AC6C11" w:rsidRPr="00AC6C11">
        <w:t> </w:t>
      </w:r>
      <w:r w:rsidR="00AC6C11" w:rsidRPr="00C50CFC">
        <w:rPr>
          <w:i/>
          <w:iCs/>
        </w:rPr>
        <w:t>Finbro Furnishers (Pty) Ltd v Registrar of Deeds, Bloemfontein and Others</w:t>
      </w:r>
      <w:r w:rsidR="00AC6C11">
        <w:rPr>
          <w:rStyle w:val="FootnoteReference"/>
          <w:i/>
          <w:iCs/>
        </w:rPr>
        <w:footnoteReference w:id="14"/>
      </w:r>
      <w:r w:rsidR="00AC6C11" w:rsidRPr="00AC6C11">
        <w:t xml:space="preserve"> Hoexter JA pointed out</w:t>
      </w:r>
      <w:r w:rsidR="00BB1196">
        <w:rPr>
          <w:rStyle w:val="FootnoteReference"/>
        </w:rPr>
        <w:footnoteReference w:id="15"/>
      </w:r>
      <w:r w:rsidR="00AC6C11" w:rsidRPr="00AC6C11">
        <w:t xml:space="preserve"> that the factor of prospects of success on appeal in an application for condonation for the late notice of appeal can never, standing alone, be conclusive, but the cumulative effect of all the factors, including the explanation tendered for non-compliance with the rules, should be considered.</w:t>
      </w:r>
    </w:p>
    <w:p w14:paraId="7519D4BB" w14:textId="77777777" w:rsidR="00FD56DF" w:rsidRDefault="00FD56DF" w:rsidP="00FD56DF">
      <w:pPr>
        <w:pStyle w:val="ListParagraph"/>
      </w:pPr>
    </w:p>
    <w:p w14:paraId="7BA434D5" w14:textId="5152C727" w:rsidR="00AC6C11" w:rsidRPr="00EB3211" w:rsidRDefault="00C50CFC" w:rsidP="00C50CFC">
      <w:pPr>
        <w:ind w:left="720" w:hanging="360"/>
      </w:pPr>
      <w:r w:rsidRPr="00EB3211">
        <w:rPr>
          <w:rFonts w:cs="Times New Roman"/>
          <w:spacing w:val="0"/>
          <w:szCs w:val="22"/>
          <w:lang w:val="en-US"/>
        </w:rPr>
        <w:t>i.</w:t>
      </w:r>
      <w:r w:rsidRPr="00EB3211">
        <w:rPr>
          <w:rFonts w:cs="Times New Roman"/>
          <w:spacing w:val="0"/>
          <w:szCs w:val="22"/>
          <w:lang w:val="en-US"/>
        </w:rPr>
        <w:tab/>
      </w:r>
      <w:r w:rsidR="00AC6C11" w:rsidRPr="00AC6C11">
        <w:t>If there are no prospects of success</w:t>
      </w:r>
      <w:r w:rsidR="00AC6C11">
        <w:t>, there is no point in granting condonation.</w:t>
      </w:r>
      <w:r w:rsidR="00AC6C11">
        <w:rPr>
          <w:rStyle w:val="FootnoteReference"/>
        </w:rPr>
        <w:footnoteReference w:id="16"/>
      </w:r>
    </w:p>
    <w:p w14:paraId="658BBB59" w14:textId="77777777" w:rsidR="00AC6C11" w:rsidRPr="00AC6C11" w:rsidRDefault="00AC6C11" w:rsidP="00AC6C11">
      <w:pPr>
        <w:pStyle w:val="ListParagraph"/>
        <w:spacing w:after="0"/>
        <w:ind w:left="0"/>
        <w:rPr>
          <w:rFonts w:cs="Arial"/>
        </w:rPr>
      </w:pPr>
    </w:p>
    <w:p w14:paraId="04A872B1" w14:textId="2897AB18" w:rsidR="00AC6C11" w:rsidRPr="00C50CFC" w:rsidRDefault="00C50CFC" w:rsidP="00C50CFC">
      <w:pPr>
        <w:rPr>
          <w:shd w:val="clear" w:color="auto" w:fill="FFFFFF"/>
          <w:lang w:val="en-GB"/>
        </w:rPr>
      </w:pPr>
      <w:r>
        <w:rPr>
          <w:spacing w:val="0"/>
          <w:lang w:val="en-GB"/>
        </w:rPr>
        <w:t>[34]</w:t>
      </w:r>
      <w:r>
        <w:rPr>
          <w:spacing w:val="0"/>
          <w:lang w:val="en-GB"/>
        </w:rPr>
        <w:tab/>
      </w:r>
      <w:r w:rsidR="004B5E14" w:rsidRPr="00C50CFC">
        <w:rPr>
          <w:shd w:val="clear" w:color="auto" w:fill="FFFFFF"/>
          <w:lang w:val="en-GB"/>
        </w:rPr>
        <w:t>Fundamental to the consideration of the application is the issue of good cause, that is, has the applicant</w:t>
      </w:r>
      <w:r w:rsidR="00BB1196" w:rsidRPr="00C50CFC">
        <w:rPr>
          <w:shd w:val="clear" w:color="auto" w:fill="FFFFFF"/>
          <w:lang w:val="en-GB"/>
        </w:rPr>
        <w:t xml:space="preserve"> </w:t>
      </w:r>
      <w:r w:rsidR="00400716" w:rsidRPr="00C50CFC">
        <w:rPr>
          <w:shd w:val="clear" w:color="auto" w:fill="FFFFFF"/>
          <w:lang w:val="en-GB"/>
        </w:rPr>
        <w:t xml:space="preserve">properly explained its dilatory conduct. </w:t>
      </w:r>
      <w:r w:rsidR="004B5E14" w:rsidRPr="00C50CFC">
        <w:rPr>
          <w:shd w:val="clear" w:color="auto" w:fill="FFFFFF"/>
          <w:lang w:val="en-GB"/>
        </w:rPr>
        <w:t>It is now well entrenched that the two requisites of good cause are in the first instance establishing a reasonable and acceptable explanation for the delay and secondly satisfying the court that there are reasonable prospects of success on appeal.</w:t>
      </w:r>
      <w:r w:rsidR="004B5E14">
        <w:rPr>
          <w:rStyle w:val="FootnoteReference"/>
          <w:shd w:val="clear" w:color="auto" w:fill="FFFFFF"/>
          <w:lang w:val="en-GB"/>
        </w:rPr>
        <w:footnoteReference w:id="17"/>
      </w:r>
    </w:p>
    <w:p w14:paraId="64A2350E" w14:textId="77777777" w:rsidR="008705FC" w:rsidRPr="00400716" w:rsidRDefault="008705FC" w:rsidP="00400716">
      <w:pPr>
        <w:rPr>
          <w:shd w:val="clear" w:color="auto" w:fill="FFFFFF"/>
          <w:lang w:val="en-GB"/>
        </w:rPr>
      </w:pPr>
    </w:p>
    <w:p w14:paraId="46812CD8" w14:textId="3B94C00E" w:rsidR="008705FC" w:rsidRPr="00C50CFC" w:rsidRDefault="00C50CFC" w:rsidP="00C50CFC">
      <w:pPr>
        <w:rPr>
          <w:shd w:val="clear" w:color="auto" w:fill="FFFFFF"/>
          <w:lang w:val="en-GB"/>
        </w:rPr>
      </w:pPr>
      <w:r>
        <w:rPr>
          <w:spacing w:val="0"/>
          <w:lang w:val="en-GB"/>
        </w:rPr>
        <w:t>[35]</w:t>
      </w:r>
      <w:r>
        <w:rPr>
          <w:spacing w:val="0"/>
          <w:lang w:val="en-GB"/>
        </w:rPr>
        <w:tab/>
      </w:r>
      <w:r w:rsidR="00400716" w:rsidRPr="00C50CFC">
        <w:rPr>
          <w:shd w:val="clear" w:color="auto" w:fill="FFFFFF"/>
          <w:lang w:val="en-GB"/>
        </w:rPr>
        <w:t xml:space="preserve">The Town Council </w:t>
      </w:r>
      <w:r w:rsidR="008705FC" w:rsidRPr="00C50CFC">
        <w:rPr>
          <w:shd w:val="clear" w:color="auto" w:fill="FFFFFF"/>
          <w:lang w:val="en-GB"/>
        </w:rPr>
        <w:t xml:space="preserve">admits service of the order making the arbitration award an order of court on </w:t>
      </w:r>
      <w:r w:rsidR="00400716" w:rsidRPr="00C50CFC">
        <w:rPr>
          <w:shd w:val="clear" w:color="auto" w:fill="FFFFFF"/>
          <w:lang w:val="en-GB"/>
        </w:rPr>
        <w:t xml:space="preserve">26 October </w:t>
      </w:r>
      <w:r w:rsidR="008705FC" w:rsidRPr="00C50CFC">
        <w:rPr>
          <w:shd w:val="clear" w:color="auto" w:fill="FFFFFF"/>
          <w:lang w:val="en-GB"/>
        </w:rPr>
        <w:t>2022</w:t>
      </w:r>
      <w:r w:rsidR="00400716" w:rsidRPr="00C50CFC">
        <w:rPr>
          <w:shd w:val="clear" w:color="auto" w:fill="FFFFFF"/>
          <w:lang w:val="en-GB"/>
        </w:rPr>
        <w:t>, as well as receipt of the award made on 15 September 2022</w:t>
      </w:r>
      <w:r w:rsidR="008705FC" w:rsidRPr="00C50CFC">
        <w:rPr>
          <w:shd w:val="clear" w:color="auto" w:fill="FFFFFF"/>
          <w:lang w:val="en-GB"/>
        </w:rPr>
        <w:t xml:space="preserve">. </w:t>
      </w:r>
      <w:r w:rsidR="00400716" w:rsidRPr="00C50CFC">
        <w:rPr>
          <w:shd w:val="clear" w:color="auto" w:fill="FFFFFF"/>
          <w:lang w:val="en-GB"/>
        </w:rPr>
        <w:t>While the Town Council</w:t>
      </w:r>
      <w:r w:rsidR="008E6BDB" w:rsidRPr="00C50CFC">
        <w:rPr>
          <w:shd w:val="clear" w:color="auto" w:fill="FFFFFF"/>
          <w:lang w:val="en-GB"/>
        </w:rPr>
        <w:t xml:space="preserve"> only sought </w:t>
      </w:r>
      <w:r w:rsidR="008705FC" w:rsidRPr="00C50CFC">
        <w:rPr>
          <w:shd w:val="clear" w:color="auto" w:fill="FFFFFF"/>
          <w:lang w:val="en-GB"/>
        </w:rPr>
        <w:t>assistance of the Government Attorney for legal representation</w:t>
      </w:r>
      <w:r w:rsidR="008E6BDB" w:rsidRPr="00C50CFC">
        <w:rPr>
          <w:shd w:val="clear" w:color="auto" w:fill="FFFFFF"/>
          <w:lang w:val="en-GB"/>
        </w:rPr>
        <w:t xml:space="preserve"> on 4 October 2022</w:t>
      </w:r>
      <w:r w:rsidR="008705FC" w:rsidRPr="00C50CFC">
        <w:rPr>
          <w:shd w:val="clear" w:color="auto" w:fill="FFFFFF"/>
          <w:lang w:val="en-GB"/>
        </w:rPr>
        <w:t xml:space="preserve">, </w:t>
      </w:r>
      <w:r w:rsidR="008E6BDB" w:rsidRPr="00C50CFC">
        <w:rPr>
          <w:shd w:val="clear" w:color="auto" w:fill="FFFFFF"/>
          <w:lang w:val="en-GB"/>
        </w:rPr>
        <w:t xml:space="preserve">when an answer was received - </w:t>
      </w:r>
      <w:r w:rsidR="008705FC" w:rsidRPr="00C50CFC">
        <w:rPr>
          <w:shd w:val="clear" w:color="auto" w:fill="FFFFFF"/>
          <w:lang w:val="en-GB"/>
        </w:rPr>
        <w:t>the delay until 11 November 2022, when the matter was as</w:t>
      </w:r>
      <w:r w:rsidR="00400716" w:rsidRPr="00C50CFC">
        <w:rPr>
          <w:shd w:val="clear" w:color="auto" w:fill="FFFFFF"/>
          <w:lang w:val="en-GB"/>
        </w:rPr>
        <w:t xml:space="preserve">signed to Mr Ilovu is not </w:t>
      </w:r>
      <w:r w:rsidR="008705FC" w:rsidRPr="00C50CFC">
        <w:rPr>
          <w:shd w:val="clear" w:color="auto" w:fill="FFFFFF"/>
          <w:lang w:val="en-GB"/>
        </w:rPr>
        <w:t>explained, I sa</w:t>
      </w:r>
      <w:r w:rsidR="00400716" w:rsidRPr="00C50CFC">
        <w:rPr>
          <w:shd w:val="clear" w:color="auto" w:fill="FFFFFF"/>
          <w:lang w:val="en-GB"/>
        </w:rPr>
        <w:t>y so, bearing in mind</w:t>
      </w:r>
      <w:r w:rsidR="008705FC" w:rsidRPr="00C50CFC">
        <w:rPr>
          <w:shd w:val="clear" w:color="auto" w:fill="FFFFFF"/>
          <w:lang w:val="en-GB"/>
        </w:rPr>
        <w:t xml:space="preserve"> that Mr Ilovu deposed to a confirmatory affi</w:t>
      </w:r>
      <w:r w:rsidR="00400716" w:rsidRPr="00C50CFC">
        <w:rPr>
          <w:shd w:val="clear" w:color="auto" w:fill="FFFFFF"/>
          <w:lang w:val="en-GB"/>
        </w:rPr>
        <w:t>davit</w:t>
      </w:r>
      <w:r w:rsidR="008705FC" w:rsidRPr="00C50CFC">
        <w:rPr>
          <w:shd w:val="clear" w:color="auto" w:fill="FFFFFF"/>
          <w:lang w:val="en-GB"/>
        </w:rPr>
        <w:t xml:space="preserve">, and it would be well within the knowledge </w:t>
      </w:r>
      <w:r w:rsidR="00400716" w:rsidRPr="00C50CFC">
        <w:rPr>
          <w:shd w:val="clear" w:color="auto" w:fill="FFFFFF"/>
          <w:lang w:val="en-GB"/>
        </w:rPr>
        <w:t>of the deponents what transpired</w:t>
      </w:r>
      <w:r w:rsidR="008705FC" w:rsidRPr="00C50CFC">
        <w:rPr>
          <w:shd w:val="clear" w:color="auto" w:fill="FFFFFF"/>
          <w:lang w:val="en-GB"/>
        </w:rPr>
        <w:t xml:space="preserve"> during this period. </w:t>
      </w:r>
    </w:p>
    <w:p w14:paraId="25B0F75A" w14:textId="77777777" w:rsidR="008705FC" w:rsidRPr="008705FC" w:rsidRDefault="008705FC" w:rsidP="008705FC">
      <w:pPr>
        <w:pStyle w:val="ListParagraph"/>
        <w:rPr>
          <w:rFonts w:cs="Arial"/>
          <w:szCs w:val="24"/>
          <w:shd w:val="clear" w:color="auto" w:fill="FFFFFF"/>
          <w:lang w:val="en-GB"/>
        </w:rPr>
      </w:pPr>
    </w:p>
    <w:p w14:paraId="4F87BED6" w14:textId="663FB7A9" w:rsidR="008705FC" w:rsidRPr="00C50CFC" w:rsidRDefault="00C50CFC" w:rsidP="00C50CFC">
      <w:pPr>
        <w:rPr>
          <w:shd w:val="clear" w:color="auto" w:fill="FFFFFF"/>
          <w:lang w:val="en-GB"/>
        </w:rPr>
      </w:pPr>
      <w:r>
        <w:rPr>
          <w:spacing w:val="0"/>
          <w:lang w:val="en-GB"/>
        </w:rPr>
        <w:t>[36]</w:t>
      </w:r>
      <w:r>
        <w:rPr>
          <w:spacing w:val="0"/>
          <w:lang w:val="en-GB"/>
        </w:rPr>
        <w:tab/>
      </w:r>
      <w:r w:rsidR="00400716" w:rsidRPr="00C50CFC">
        <w:rPr>
          <w:shd w:val="clear" w:color="auto" w:fill="FFFFFF"/>
          <w:lang w:val="en-GB"/>
        </w:rPr>
        <w:t>The further delay between 11 November 2022 and</w:t>
      </w:r>
      <w:r w:rsidR="008705FC" w:rsidRPr="00C50CFC">
        <w:rPr>
          <w:shd w:val="clear" w:color="auto" w:fill="FFFFFF"/>
          <w:lang w:val="en-GB"/>
        </w:rPr>
        <w:t xml:space="preserve"> 28 November 2022, when Ms </w:t>
      </w:r>
      <w:r w:rsidR="00B13B60" w:rsidRPr="00C50CFC">
        <w:rPr>
          <w:shd w:val="clear" w:color="auto" w:fill="FFFFFF"/>
          <w:lang w:val="en-GB"/>
        </w:rPr>
        <w:t>Gebhardt</w:t>
      </w:r>
      <w:r w:rsidR="008705FC" w:rsidRPr="00C50CFC">
        <w:rPr>
          <w:shd w:val="clear" w:color="auto" w:fill="FFFFFF"/>
          <w:lang w:val="en-GB"/>
        </w:rPr>
        <w:t xml:space="preserve"> was</w:t>
      </w:r>
      <w:r w:rsidR="00400716" w:rsidRPr="00C50CFC">
        <w:rPr>
          <w:shd w:val="clear" w:color="auto" w:fill="FFFFFF"/>
          <w:lang w:val="en-GB"/>
        </w:rPr>
        <w:t xml:space="preserve"> briefed and instructed is similarly shrouded</w:t>
      </w:r>
      <w:r w:rsidR="00616BEB" w:rsidRPr="00C50CFC">
        <w:rPr>
          <w:shd w:val="clear" w:color="auto" w:fill="FFFFFF"/>
          <w:lang w:val="en-GB"/>
        </w:rPr>
        <w:t xml:space="preserve"> in mystery</w:t>
      </w:r>
      <w:r w:rsidR="008705FC" w:rsidRPr="00C50CFC">
        <w:rPr>
          <w:shd w:val="clear" w:color="auto" w:fill="FFFFFF"/>
          <w:lang w:val="en-GB"/>
        </w:rPr>
        <w:t>, as it is evident from the replying affidavit of Mr Wind</w:t>
      </w:r>
      <w:r w:rsidR="006F5F72" w:rsidRPr="00C50CFC">
        <w:rPr>
          <w:shd w:val="clear" w:color="auto" w:fill="FFFFFF"/>
          <w:lang w:val="en-GB"/>
        </w:rPr>
        <w:t xml:space="preserve">swaai, </w:t>
      </w:r>
      <w:r w:rsidR="00400716" w:rsidRPr="00C50CFC">
        <w:rPr>
          <w:shd w:val="clear" w:color="auto" w:fill="FFFFFF"/>
          <w:lang w:val="en-GB"/>
        </w:rPr>
        <w:t>on behalf of the Town Council</w:t>
      </w:r>
      <w:r w:rsidR="008705FC" w:rsidRPr="00C50CFC">
        <w:rPr>
          <w:shd w:val="clear" w:color="auto" w:fill="FFFFFF"/>
          <w:lang w:val="en-GB"/>
        </w:rPr>
        <w:t xml:space="preserve">, </w:t>
      </w:r>
      <w:r w:rsidR="00400716" w:rsidRPr="00C50CFC">
        <w:rPr>
          <w:shd w:val="clear" w:color="auto" w:fill="FFFFFF"/>
          <w:lang w:val="en-GB"/>
        </w:rPr>
        <w:t xml:space="preserve">that </w:t>
      </w:r>
      <w:r w:rsidR="008705FC" w:rsidRPr="00C50CFC">
        <w:rPr>
          <w:shd w:val="clear" w:color="auto" w:fill="FFFFFF"/>
          <w:lang w:val="en-GB"/>
        </w:rPr>
        <w:t>Ms Gebhardt already on 14 November 2022</w:t>
      </w:r>
      <w:r w:rsidR="00400716" w:rsidRPr="00C50CFC">
        <w:rPr>
          <w:shd w:val="clear" w:color="auto" w:fill="FFFFFF"/>
          <w:lang w:val="en-GB"/>
        </w:rPr>
        <w:t xml:space="preserve"> communicated her decision not to act</w:t>
      </w:r>
      <w:r w:rsidR="00616BEB" w:rsidRPr="00C50CFC">
        <w:rPr>
          <w:shd w:val="clear" w:color="auto" w:fill="FFFFFF"/>
          <w:lang w:val="en-GB"/>
        </w:rPr>
        <w:t xml:space="preserve"> </w:t>
      </w:r>
      <w:r w:rsidR="008705FC" w:rsidRPr="00C50CFC">
        <w:rPr>
          <w:shd w:val="clear" w:color="auto" w:fill="FFFFFF"/>
          <w:lang w:val="en-GB"/>
        </w:rPr>
        <w:t xml:space="preserve">in the absence of the substantial payment of her outstanding fees. It took the office of the Government Attorney once more until 6 December 2022, to cancel the mandate of Ms Gebhardt. </w:t>
      </w:r>
    </w:p>
    <w:p w14:paraId="210B9066" w14:textId="77777777" w:rsidR="001A1981" w:rsidRPr="001A1981" w:rsidRDefault="001A1981" w:rsidP="001A1981">
      <w:pPr>
        <w:pStyle w:val="ListParagraph"/>
        <w:rPr>
          <w:rFonts w:cs="Arial"/>
          <w:szCs w:val="24"/>
          <w:shd w:val="clear" w:color="auto" w:fill="FFFFFF"/>
          <w:lang w:val="en-GB"/>
        </w:rPr>
      </w:pPr>
    </w:p>
    <w:p w14:paraId="2C5A58C0" w14:textId="3D812A0C" w:rsidR="001A1981" w:rsidRPr="00C50CFC" w:rsidRDefault="00C50CFC" w:rsidP="00C50CFC">
      <w:pPr>
        <w:rPr>
          <w:shd w:val="clear" w:color="auto" w:fill="FFFFFF"/>
          <w:lang w:val="en-GB"/>
        </w:rPr>
      </w:pPr>
      <w:r w:rsidRPr="00B47249">
        <w:rPr>
          <w:spacing w:val="0"/>
          <w:lang w:val="en-GB"/>
        </w:rPr>
        <w:t>[37]</w:t>
      </w:r>
      <w:r w:rsidRPr="00B47249">
        <w:rPr>
          <w:spacing w:val="0"/>
          <w:lang w:val="en-GB"/>
        </w:rPr>
        <w:tab/>
      </w:r>
      <w:r w:rsidR="007D5B99" w:rsidRPr="00C50CFC">
        <w:rPr>
          <w:shd w:val="clear" w:color="auto" w:fill="FFFFFF"/>
          <w:lang w:val="en-GB"/>
        </w:rPr>
        <w:t>Then, on</w:t>
      </w:r>
      <w:r w:rsidR="001A1981" w:rsidRPr="00C50CFC">
        <w:rPr>
          <w:shd w:val="clear" w:color="auto" w:fill="FFFFFF"/>
          <w:lang w:val="en-GB"/>
        </w:rPr>
        <w:t xml:space="preserve"> 6 December 2022, Mr Hamunyela was instructed and engaged </w:t>
      </w:r>
      <w:r w:rsidR="00B13B60" w:rsidRPr="00C50CFC">
        <w:rPr>
          <w:shd w:val="clear" w:color="auto" w:fill="FFFFFF"/>
          <w:lang w:val="en-GB"/>
        </w:rPr>
        <w:t>until</w:t>
      </w:r>
      <w:r w:rsidR="001A1981" w:rsidRPr="00C50CFC">
        <w:rPr>
          <w:shd w:val="clear" w:color="auto" w:fill="FFFFFF"/>
          <w:lang w:val="en-GB"/>
        </w:rPr>
        <w:t xml:space="preserve"> 9 December 2022, and even if accepted, it i</w:t>
      </w:r>
      <w:r w:rsidR="007D5B99" w:rsidRPr="00C50CFC">
        <w:rPr>
          <w:shd w:val="clear" w:color="auto" w:fill="FFFFFF"/>
          <w:lang w:val="en-GB"/>
        </w:rPr>
        <w:t>s not explained</w:t>
      </w:r>
      <w:r w:rsidR="001A1981" w:rsidRPr="00C50CFC">
        <w:rPr>
          <w:shd w:val="clear" w:color="auto" w:fill="FFFFFF"/>
          <w:lang w:val="en-GB"/>
        </w:rPr>
        <w:t xml:space="preserve"> why the engagement of its legal practitioner prevented it from submitting de</w:t>
      </w:r>
      <w:r w:rsidR="00CB46C9" w:rsidRPr="00C50CFC">
        <w:rPr>
          <w:shd w:val="clear" w:color="auto" w:fill="FFFFFF"/>
          <w:lang w:val="en-GB"/>
        </w:rPr>
        <w:t>tailed briefs in the meantime.</w:t>
      </w:r>
    </w:p>
    <w:p w14:paraId="33CD9474" w14:textId="77777777" w:rsidR="009E65CE" w:rsidRPr="009E65CE" w:rsidRDefault="009E65CE" w:rsidP="009E65CE">
      <w:pPr>
        <w:pStyle w:val="ListParagraph"/>
        <w:rPr>
          <w:rFonts w:cs="Arial"/>
          <w:szCs w:val="24"/>
          <w:shd w:val="clear" w:color="auto" w:fill="FFFFFF"/>
          <w:lang w:val="en-GB"/>
        </w:rPr>
      </w:pPr>
    </w:p>
    <w:p w14:paraId="4FF71F67" w14:textId="65204655" w:rsidR="00606E93" w:rsidRPr="00C50CFC" w:rsidRDefault="00C50CFC" w:rsidP="00C50CFC">
      <w:pPr>
        <w:rPr>
          <w:shd w:val="clear" w:color="auto" w:fill="FFFFFF"/>
          <w:lang w:val="en-GB"/>
        </w:rPr>
      </w:pPr>
      <w:r>
        <w:rPr>
          <w:spacing w:val="0"/>
          <w:lang w:val="en-GB"/>
        </w:rPr>
        <w:t>[38]</w:t>
      </w:r>
      <w:r>
        <w:rPr>
          <w:spacing w:val="0"/>
          <w:lang w:val="en-GB"/>
        </w:rPr>
        <w:tab/>
      </w:r>
      <w:r w:rsidR="00944E88" w:rsidRPr="00C50CFC">
        <w:rPr>
          <w:shd w:val="clear" w:color="auto" w:fill="FFFFFF"/>
          <w:lang w:val="en-GB"/>
        </w:rPr>
        <w:t>The Town Council</w:t>
      </w:r>
      <w:r w:rsidR="000F1A80" w:rsidRPr="00C50CFC">
        <w:rPr>
          <w:shd w:val="clear" w:color="auto" w:fill="FFFFFF"/>
          <w:lang w:val="en-GB"/>
        </w:rPr>
        <w:t xml:space="preserve"> further does not take the court into its confidence by informing the</w:t>
      </w:r>
      <w:r w:rsidR="00B46B3B" w:rsidRPr="00C50CFC">
        <w:rPr>
          <w:shd w:val="clear" w:color="auto" w:fill="FFFFFF"/>
          <w:lang w:val="en-GB"/>
        </w:rPr>
        <w:t xml:space="preserve"> court who the staff members were</w:t>
      </w:r>
      <w:r w:rsidR="000F1A80" w:rsidRPr="00C50CFC">
        <w:rPr>
          <w:shd w:val="clear" w:color="auto" w:fill="FFFFFF"/>
          <w:lang w:val="en-GB"/>
        </w:rPr>
        <w:t xml:space="preserve"> who were on leave during this time period – or who </w:t>
      </w:r>
      <w:r w:rsidR="00944E88" w:rsidRPr="00C50CFC">
        <w:rPr>
          <w:shd w:val="clear" w:color="auto" w:fill="FFFFFF"/>
          <w:lang w:val="en-GB"/>
        </w:rPr>
        <w:t xml:space="preserve">of the staff members </w:t>
      </w:r>
      <w:r w:rsidR="000F1A80" w:rsidRPr="00C50CFC">
        <w:rPr>
          <w:shd w:val="clear" w:color="auto" w:fill="FFFFFF"/>
          <w:lang w:val="en-GB"/>
        </w:rPr>
        <w:t xml:space="preserve">with the necessary knowledge </w:t>
      </w:r>
      <w:r w:rsidR="00B13B60" w:rsidRPr="00C50CFC">
        <w:rPr>
          <w:shd w:val="clear" w:color="auto" w:fill="FFFFFF"/>
          <w:lang w:val="en-GB"/>
        </w:rPr>
        <w:t>resign</w:t>
      </w:r>
      <w:r w:rsidR="00B46B3B" w:rsidRPr="00C50CFC">
        <w:rPr>
          <w:shd w:val="clear" w:color="auto" w:fill="FFFFFF"/>
          <w:lang w:val="en-GB"/>
        </w:rPr>
        <w:t>ed</w:t>
      </w:r>
      <w:r w:rsidR="000F1A80" w:rsidRPr="00C50CFC">
        <w:rPr>
          <w:shd w:val="clear" w:color="auto" w:fill="FFFFFF"/>
          <w:lang w:val="en-GB"/>
        </w:rPr>
        <w:t>, and what knowledge they may have regarding thi</w:t>
      </w:r>
      <w:r w:rsidR="00CB46C9" w:rsidRPr="00C50CFC">
        <w:rPr>
          <w:shd w:val="clear" w:color="auto" w:fill="FFFFFF"/>
          <w:lang w:val="en-GB"/>
        </w:rPr>
        <w:t>s matter. Although the Town Council</w:t>
      </w:r>
      <w:r w:rsidR="000F1A80" w:rsidRPr="00C50CFC">
        <w:rPr>
          <w:shd w:val="clear" w:color="auto" w:fill="FFFFFF"/>
          <w:lang w:val="en-GB"/>
        </w:rPr>
        <w:t xml:space="preserve"> seems to seek</w:t>
      </w:r>
      <w:r w:rsidR="00944E88" w:rsidRPr="00C50CFC">
        <w:rPr>
          <w:shd w:val="clear" w:color="auto" w:fill="FFFFFF"/>
          <w:lang w:val="en-GB"/>
        </w:rPr>
        <w:t xml:space="preserve"> to address this issue in reply. </w:t>
      </w:r>
    </w:p>
    <w:p w14:paraId="036B2E29" w14:textId="77777777" w:rsidR="00606E93" w:rsidRPr="00606E93" w:rsidRDefault="00606E93" w:rsidP="00606E93">
      <w:pPr>
        <w:pStyle w:val="ListParagraph"/>
        <w:rPr>
          <w:rFonts w:cs="Arial"/>
          <w:szCs w:val="24"/>
          <w:shd w:val="clear" w:color="auto" w:fill="FFFFFF"/>
          <w:lang w:val="en-GB"/>
        </w:rPr>
      </w:pPr>
    </w:p>
    <w:p w14:paraId="08CA1807" w14:textId="54DE4C8E" w:rsidR="00606E93" w:rsidRPr="00C50CFC" w:rsidRDefault="00C50CFC" w:rsidP="00C50CFC">
      <w:pPr>
        <w:rPr>
          <w:shd w:val="clear" w:color="auto" w:fill="FFFFFF"/>
          <w:lang w:val="en-GB"/>
        </w:rPr>
      </w:pPr>
      <w:r>
        <w:rPr>
          <w:spacing w:val="0"/>
          <w:lang w:val="en-GB"/>
        </w:rPr>
        <w:t>[39]</w:t>
      </w:r>
      <w:r>
        <w:rPr>
          <w:spacing w:val="0"/>
          <w:lang w:val="en-GB"/>
        </w:rPr>
        <w:tab/>
      </w:r>
      <w:r w:rsidR="00606E93" w:rsidRPr="00C50CFC">
        <w:rPr>
          <w:shd w:val="clear" w:color="auto" w:fill="FFFFFF"/>
          <w:lang w:val="en-GB"/>
        </w:rPr>
        <w:t xml:space="preserve">I deal with this issue cautiously, as the issue of the appeal is not present before this court. It is however trite that </w:t>
      </w:r>
      <w:r w:rsidR="00CB46C9" w:rsidRPr="00C50CFC">
        <w:rPr>
          <w:shd w:val="clear" w:color="auto" w:fill="FFFFFF"/>
          <w:lang w:val="en-GB"/>
        </w:rPr>
        <w:t xml:space="preserve">in </w:t>
      </w:r>
      <w:r w:rsidR="00606E93" w:rsidRPr="00C50CFC">
        <w:rPr>
          <w:shd w:val="clear" w:color="auto" w:fill="FFFFFF"/>
          <w:lang w:val="en-GB"/>
        </w:rPr>
        <w:t>the assessment of prospects of success, the court must consider the record in question.</w:t>
      </w:r>
    </w:p>
    <w:p w14:paraId="78A85F9D" w14:textId="77777777" w:rsidR="00C50D5C" w:rsidRPr="00C50D5C" w:rsidRDefault="00C50D5C" w:rsidP="00C50D5C">
      <w:pPr>
        <w:pStyle w:val="ListParagraph"/>
        <w:rPr>
          <w:rFonts w:cs="Arial"/>
          <w:szCs w:val="24"/>
          <w:shd w:val="clear" w:color="auto" w:fill="FFFFFF"/>
          <w:lang w:val="en-GB"/>
        </w:rPr>
      </w:pPr>
    </w:p>
    <w:p w14:paraId="226786BA" w14:textId="2A8CD980" w:rsidR="00C50D5C" w:rsidRPr="00C50CFC" w:rsidRDefault="00C50CFC" w:rsidP="00C50CFC">
      <w:pPr>
        <w:rPr>
          <w:shd w:val="clear" w:color="auto" w:fill="FFFFFF"/>
          <w:lang w:val="en-GB"/>
        </w:rPr>
      </w:pPr>
      <w:r>
        <w:rPr>
          <w:spacing w:val="0"/>
          <w:lang w:val="en-GB"/>
        </w:rPr>
        <w:t>[40]</w:t>
      </w:r>
      <w:r>
        <w:rPr>
          <w:spacing w:val="0"/>
          <w:lang w:val="en-GB"/>
        </w:rPr>
        <w:tab/>
      </w:r>
      <w:r w:rsidR="00C50D5C" w:rsidRPr="00C50CFC">
        <w:rPr>
          <w:shd w:val="clear" w:color="auto" w:fill="FFFFFF"/>
          <w:lang w:val="en-GB"/>
        </w:rPr>
        <w:t>The gravamen of Mr Hamunyela’s argument on behalf of the Town Council laid against the quantum of the arbitrator’s award. Mr Hamunyela argued</w:t>
      </w:r>
      <w:r w:rsidR="00BB1196" w:rsidRPr="00C50CFC">
        <w:rPr>
          <w:shd w:val="clear" w:color="auto" w:fill="FFFFFF"/>
          <w:lang w:val="en-GB"/>
        </w:rPr>
        <w:t xml:space="preserve"> that</w:t>
      </w:r>
      <w:r w:rsidR="00C50D5C" w:rsidRPr="00C50CFC">
        <w:rPr>
          <w:shd w:val="clear" w:color="auto" w:fill="FFFFFF"/>
          <w:lang w:val="en-GB"/>
        </w:rPr>
        <w:t xml:space="preserve"> Mr /Uirab bought a motor vehicle from Standard Bank Namibia valued at N$536 726,86, and that Mr /Uirab made payments to Standard Bank Namibia in the amount of N$254 521, and that despite Mr /Uirab seeking an order for damages in the amount of N$282 206,62, the arbitrator </w:t>
      </w:r>
      <w:r w:rsidR="00BB1196" w:rsidRPr="00C50CFC">
        <w:rPr>
          <w:shd w:val="clear" w:color="auto" w:fill="FFFFFF"/>
          <w:lang w:val="en-GB"/>
        </w:rPr>
        <w:t xml:space="preserve">still </w:t>
      </w:r>
      <w:r w:rsidR="006F5F72" w:rsidRPr="00C50CFC">
        <w:rPr>
          <w:shd w:val="clear" w:color="auto" w:fill="FFFFFF"/>
          <w:lang w:val="en-GB"/>
        </w:rPr>
        <w:t>awarded the sum of N$536 726,</w:t>
      </w:r>
      <w:r w:rsidR="00C50D5C" w:rsidRPr="00C50CFC">
        <w:rPr>
          <w:shd w:val="clear" w:color="auto" w:fill="FFFFFF"/>
          <w:lang w:val="en-GB"/>
        </w:rPr>
        <w:t>86</w:t>
      </w:r>
      <w:r w:rsidR="00BB1196" w:rsidRPr="00C50CFC">
        <w:rPr>
          <w:shd w:val="clear" w:color="auto" w:fill="FFFFFF"/>
          <w:lang w:val="en-GB"/>
        </w:rPr>
        <w:t xml:space="preserve"> to Mr /Uirab</w:t>
      </w:r>
      <w:r w:rsidR="00C50D5C" w:rsidRPr="00C50CFC">
        <w:rPr>
          <w:shd w:val="clear" w:color="auto" w:fill="FFFFFF"/>
          <w:lang w:val="en-GB"/>
        </w:rPr>
        <w:t>.</w:t>
      </w:r>
    </w:p>
    <w:p w14:paraId="34DC6133" w14:textId="77777777" w:rsidR="00B44EC1" w:rsidRPr="00B44EC1" w:rsidRDefault="00B44EC1" w:rsidP="00B44EC1">
      <w:pPr>
        <w:pStyle w:val="ListParagraph"/>
        <w:rPr>
          <w:rFonts w:cs="Arial"/>
          <w:szCs w:val="24"/>
          <w:shd w:val="clear" w:color="auto" w:fill="FFFFFF"/>
          <w:lang w:val="en-GB"/>
        </w:rPr>
      </w:pPr>
    </w:p>
    <w:p w14:paraId="3AFF9364" w14:textId="706372C5" w:rsidR="00CB46C9" w:rsidRPr="00C50CFC" w:rsidRDefault="00C50CFC" w:rsidP="00C50CFC">
      <w:pPr>
        <w:rPr>
          <w:shd w:val="clear" w:color="auto" w:fill="FFFFFF"/>
          <w:lang w:val="en-GB"/>
        </w:rPr>
      </w:pPr>
      <w:r>
        <w:rPr>
          <w:spacing w:val="0"/>
          <w:lang w:val="en-GB"/>
        </w:rPr>
        <w:t>[41]</w:t>
      </w:r>
      <w:r>
        <w:rPr>
          <w:spacing w:val="0"/>
          <w:lang w:val="en-GB"/>
        </w:rPr>
        <w:tab/>
      </w:r>
      <w:r w:rsidR="00B44EC1" w:rsidRPr="00C50CFC">
        <w:rPr>
          <w:shd w:val="clear" w:color="auto" w:fill="FFFFFF"/>
          <w:lang w:val="en-GB"/>
        </w:rPr>
        <w:t xml:space="preserve">Further, Mr Hamunyela argued that /Mr Uirab was alleged to have been in arrears </w:t>
      </w:r>
      <w:r w:rsidR="00F0529E" w:rsidRPr="00C50CFC">
        <w:rPr>
          <w:shd w:val="clear" w:color="auto" w:fill="FFFFFF"/>
          <w:lang w:val="en-GB"/>
        </w:rPr>
        <w:t xml:space="preserve">on </w:t>
      </w:r>
      <w:r w:rsidR="00B44EC1" w:rsidRPr="00C50CFC">
        <w:rPr>
          <w:shd w:val="clear" w:color="auto" w:fill="FFFFFF"/>
          <w:lang w:val="en-GB"/>
        </w:rPr>
        <w:t xml:space="preserve">his NHE house </w:t>
      </w:r>
      <w:r w:rsidR="00F0529E" w:rsidRPr="00C50CFC">
        <w:rPr>
          <w:shd w:val="clear" w:color="auto" w:fill="FFFFFF"/>
          <w:lang w:val="en-GB"/>
        </w:rPr>
        <w:t xml:space="preserve">payments </w:t>
      </w:r>
      <w:r w:rsidR="00B44EC1" w:rsidRPr="00C50CFC">
        <w:rPr>
          <w:shd w:val="clear" w:color="auto" w:fill="FFFFFF"/>
          <w:lang w:val="en-GB"/>
        </w:rPr>
        <w:t>in the amount of N$102 967,90 and that the arbitrator awarded to the Mr /Uirab the sum of N$102 967,60.</w:t>
      </w:r>
      <w:r w:rsidR="00156259" w:rsidRPr="00C50CFC">
        <w:rPr>
          <w:shd w:val="clear" w:color="auto" w:fill="FFFFFF"/>
          <w:lang w:val="en-GB"/>
        </w:rPr>
        <w:t xml:space="preserve"> It was the argument of Mr Hamunyela that the sum for payment in relation to the house and vehicle amounts to damages, and that the arbitrator was not in law permitted to make such an award as Mr /Uirab was not dismissed.</w:t>
      </w:r>
    </w:p>
    <w:p w14:paraId="441FD810" w14:textId="77777777" w:rsidR="00CB46C9" w:rsidRPr="00CB46C9" w:rsidRDefault="00CB46C9" w:rsidP="00CB46C9">
      <w:pPr>
        <w:pStyle w:val="ListParagraph"/>
        <w:rPr>
          <w:rFonts w:cs="Arial"/>
          <w:szCs w:val="24"/>
          <w:shd w:val="clear" w:color="auto" w:fill="FFFFFF"/>
          <w:lang w:val="en-GB"/>
        </w:rPr>
      </w:pPr>
    </w:p>
    <w:p w14:paraId="28E5FC21" w14:textId="7105F726" w:rsidR="000409B6" w:rsidRPr="00C50CFC" w:rsidRDefault="00C50CFC" w:rsidP="00C50CFC">
      <w:pPr>
        <w:rPr>
          <w:shd w:val="clear" w:color="auto" w:fill="FFFFFF"/>
          <w:lang w:val="en-GB"/>
        </w:rPr>
      </w:pPr>
      <w:r w:rsidRPr="00CB46C9">
        <w:rPr>
          <w:spacing w:val="0"/>
          <w:lang w:val="en-GB"/>
        </w:rPr>
        <w:t>[42]</w:t>
      </w:r>
      <w:r w:rsidRPr="00CB46C9">
        <w:rPr>
          <w:spacing w:val="0"/>
          <w:lang w:val="en-GB"/>
        </w:rPr>
        <w:tab/>
      </w:r>
      <w:r w:rsidR="00944E88" w:rsidRPr="00C50CFC">
        <w:rPr>
          <w:shd w:val="clear" w:color="auto" w:fill="FFFFFF"/>
          <w:lang w:val="en-GB"/>
        </w:rPr>
        <w:t>It is noted</w:t>
      </w:r>
      <w:r w:rsidR="006F5F72" w:rsidRPr="00C50CFC">
        <w:rPr>
          <w:shd w:val="clear" w:color="auto" w:fill="FFFFFF"/>
          <w:lang w:val="en-GB"/>
        </w:rPr>
        <w:t xml:space="preserve"> that</w:t>
      </w:r>
      <w:r w:rsidR="00944E88" w:rsidRPr="00C50CFC">
        <w:rPr>
          <w:shd w:val="clear" w:color="auto" w:fill="FFFFFF"/>
          <w:lang w:val="en-GB"/>
        </w:rPr>
        <w:t xml:space="preserve"> the Town Council</w:t>
      </w:r>
      <w:r w:rsidR="006F5F72" w:rsidRPr="00C50CFC">
        <w:rPr>
          <w:shd w:val="clear" w:color="auto" w:fill="FFFFFF"/>
          <w:lang w:val="en-GB"/>
        </w:rPr>
        <w:t>,</w:t>
      </w:r>
      <w:r w:rsidR="000409B6" w:rsidRPr="00C50CFC">
        <w:rPr>
          <w:shd w:val="clear" w:color="auto" w:fill="FFFFFF"/>
          <w:lang w:val="en-GB"/>
        </w:rPr>
        <w:t xml:space="preserve"> by extension</w:t>
      </w:r>
      <w:r w:rsidR="006F5F72" w:rsidRPr="00C50CFC">
        <w:rPr>
          <w:shd w:val="clear" w:color="auto" w:fill="FFFFFF"/>
          <w:lang w:val="en-GB"/>
        </w:rPr>
        <w:t>,</w:t>
      </w:r>
      <w:r w:rsidR="000409B6" w:rsidRPr="00C50CFC">
        <w:rPr>
          <w:shd w:val="clear" w:color="auto" w:fill="FFFFFF"/>
          <w:lang w:val="en-GB"/>
        </w:rPr>
        <w:t xml:space="preserve"> forms part of local government. The explanation </w:t>
      </w:r>
      <w:r w:rsidR="00944E88" w:rsidRPr="00C50CFC">
        <w:rPr>
          <w:shd w:val="clear" w:color="auto" w:fill="FFFFFF"/>
          <w:lang w:val="en-GB"/>
        </w:rPr>
        <w:t>proffered</w:t>
      </w:r>
      <w:r w:rsidR="00B46B3B" w:rsidRPr="00C50CFC">
        <w:rPr>
          <w:shd w:val="clear" w:color="auto" w:fill="FFFFFF"/>
          <w:lang w:val="en-GB"/>
        </w:rPr>
        <w:t xml:space="preserve"> </w:t>
      </w:r>
      <w:r w:rsidR="00944E88" w:rsidRPr="00C50CFC">
        <w:rPr>
          <w:shd w:val="clear" w:color="auto" w:fill="FFFFFF"/>
          <w:lang w:val="en-GB"/>
        </w:rPr>
        <w:t>by the Town Council</w:t>
      </w:r>
      <w:r w:rsidR="000409B6" w:rsidRPr="00C50CFC">
        <w:rPr>
          <w:shd w:val="clear" w:color="auto" w:fill="FFFFFF"/>
          <w:lang w:val="en-GB"/>
        </w:rPr>
        <w:t xml:space="preserve"> that its financial position did not allow the instruction of private counsel is untenable and must be rejected. </w:t>
      </w:r>
      <w:r w:rsidR="00B82A89" w:rsidRPr="00C50CFC">
        <w:rPr>
          <w:shd w:val="clear" w:color="auto" w:fill="FFFFFF"/>
          <w:lang w:val="en-GB"/>
        </w:rPr>
        <w:t xml:space="preserve">In this regard it was held in </w:t>
      </w:r>
      <w:r w:rsidR="00B82A89" w:rsidRPr="00C50CFC">
        <w:rPr>
          <w:i/>
          <w:shd w:val="clear" w:color="auto" w:fill="FFFFFF"/>
          <w:lang w:val="en-GB"/>
        </w:rPr>
        <w:t>Swak</w:t>
      </w:r>
      <w:r w:rsidR="006A3A69" w:rsidRPr="00C50CFC">
        <w:rPr>
          <w:i/>
          <w:shd w:val="clear" w:color="auto" w:fill="FFFFFF"/>
          <w:lang w:val="en-GB"/>
        </w:rPr>
        <w:t>o</w:t>
      </w:r>
      <w:r w:rsidR="00B82A89" w:rsidRPr="00C50CFC">
        <w:rPr>
          <w:i/>
          <w:shd w:val="clear" w:color="auto" w:fill="FFFFFF"/>
          <w:lang w:val="en-GB"/>
        </w:rPr>
        <w:t>pmund Uranium (Pty) Ltd v Kalipa</w:t>
      </w:r>
      <w:r w:rsidR="00B82A89" w:rsidRPr="00C50CFC">
        <w:rPr>
          <w:shd w:val="clear" w:color="auto" w:fill="FFFFFF"/>
          <w:lang w:val="en-GB"/>
        </w:rPr>
        <w:t>,</w:t>
      </w:r>
      <w:r w:rsidR="00B82A89">
        <w:rPr>
          <w:rStyle w:val="FootnoteReference"/>
          <w:shd w:val="clear" w:color="auto" w:fill="FFFFFF"/>
          <w:lang w:val="en-GB"/>
        </w:rPr>
        <w:footnoteReference w:id="18"/>
      </w:r>
      <w:r w:rsidR="00B82A89" w:rsidRPr="00C50CFC">
        <w:rPr>
          <w:shd w:val="clear" w:color="auto" w:fill="FFFFFF"/>
          <w:lang w:val="en-GB"/>
        </w:rPr>
        <w:t xml:space="preserve"> that:</w:t>
      </w:r>
    </w:p>
    <w:p w14:paraId="06800FF3" w14:textId="77777777" w:rsidR="009A254B" w:rsidRDefault="009A254B" w:rsidP="009A254B">
      <w:pPr>
        <w:rPr>
          <w:spacing w:val="0"/>
          <w:shd w:val="clear" w:color="auto" w:fill="FFFFFF"/>
          <w:lang w:val="en-GB"/>
        </w:rPr>
      </w:pPr>
    </w:p>
    <w:p w14:paraId="6EE4471B" w14:textId="6C17AFBB" w:rsidR="009A254B" w:rsidRPr="009A254B" w:rsidRDefault="009A254B" w:rsidP="009A254B">
      <w:pPr>
        <w:rPr>
          <w:spacing w:val="0"/>
          <w:shd w:val="clear" w:color="auto" w:fill="FFFFFF"/>
          <w:lang w:val="en-GB"/>
        </w:rPr>
      </w:pPr>
      <w:r>
        <w:rPr>
          <w:spacing w:val="0"/>
          <w:shd w:val="clear" w:color="auto" w:fill="FFFFFF"/>
          <w:lang w:val="en-GB"/>
        </w:rPr>
        <w:tab/>
        <w:t>‘</w:t>
      </w:r>
      <w:r w:rsidRPr="009A254B">
        <w:rPr>
          <w:spacing w:val="0"/>
          <w:sz w:val="22"/>
          <w:shd w:val="clear" w:color="auto" w:fill="FFFFFF"/>
          <w:lang w:val="en-GB"/>
        </w:rPr>
        <w:t>Lack of funds to pay fees of the legal practitioner in order for the latter to draft the pleadings in my view, cannot justify the non-observance of the rules – nor can it be accepted by the court as sufficient and a detailed cause for the delay in seeking condonation.’</w:t>
      </w:r>
    </w:p>
    <w:p w14:paraId="79FDADBC" w14:textId="7F0E9E85" w:rsidR="00B82A89" w:rsidRPr="00B82A89" w:rsidRDefault="00B82A89" w:rsidP="00B82A89">
      <w:pPr>
        <w:pStyle w:val="ListParagraph"/>
        <w:spacing w:after="0"/>
        <w:ind w:left="0"/>
        <w:rPr>
          <w:rFonts w:cs="Arial"/>
          <w:szCs w:val="24"/>
          <w:shd w:val="clear" w:color="auto" w:fill="FFFFFF"/>
          <w:lang w:val="en-GB"/>
        </w:rPr>
      </w:pPr>
    </w:p>
    <w:p w14:paraId="1EAA8E22" w14:textId="3F397765" w:rsidR="000409B6" w:rsidRPr="00C50CFC" w:rsidRDefault="00C50CFC" w:rsidP="00C50CFC">
      <w:pPr>
        <w:rPr>
          <w:shd w:val="clear" w:color="auto" w:fill="FFFFFF"/>
          <w:lang w:val="en-GB"/>
        </w:rPr>
      </w:pPr>
      <w:r>
        <w:rPr>
          <w:spacing w:val="0"/>
          <w:lang w:val="en-GB"/>
        </w:rPr>
        <w:t>[43]</w:t>
      </w:r>
      <w:r>
        <w:rPr>
          <w:spacing w:val="0"/>
          <w:lang w:val="en-GB"/>
        </w:rPr>
        <w:tab/>
      </w:r>
      <w:r w:rsidR="000409B6" w:rsidRPr="00C50CFC">
        <w:rPr>
          <w:shd w:val="clear" w:color="auto" w:fill="FFFFFF"/>
          <w:lang w:val="en-GB"/>
        </w:rPr>
        <w:t xml:space="preserve">The Supreme Court as recently as July 2023, in </w:t>
      </w:r>
      <w:r w:rsidR="000409B6" w:rsidRPr="00C50CFC">
        <w:rPr>
          <w:i/>
          <w:shd w:val="clear" w:color="auto" w:fill="FFFFFF"/>
          <w:lang w:val="en-GB"/>
        </w:rPr>
        <w:t>Minister of Safety and Security &amp; 5 others v Kennedy &amp; another</w:t>
      </w:r>
      <w:r w:rsidR="00BA5F19" w:rsidRPr="00C50CFC">
        <w:rPr>
          <w:shd w:val="clear" w:color="auto" w:fill="FFFFFF"/>
          <w:lang w:val="en-GB"/>
        </w:rPr>
        <w:t>,</w:t>
      </w:r>
      <w:r w:rsidR="00BA5F19">
        <w:rPr>
          <w:rStyle w:val="FootnoteReference"/>
          <w:shd w:val="clear" w:color="auto" w:fill="FFFFFF"/>
          <w:lang w:val="en-GB"/>
        </w:rPr>
        <w:footnoteReference w:id="19"/>
      </w:r>
      <w:r w:rsidR="006419B3" w:rsidRPr="00C50CFC">
        <w:rPr>
          <w:shd w:val="clear" w:color="auto" w:fill="FFFFFF"/>
          <w:lang w:val="en-GB"/>
        </w:rPr>
        <w:t xml:space="preserve"> stated:</w:t>
      </w:r>
    </w:p>
    <w:p w14:paraId="73C12585" w14:textId="77777777" w:rsidR="00146092" w:rsidRDefault="00146092" w:rsidP="00146092">
      <w:pPr>
        <w:pStyle w:val="ListParagraph"/>
        <w:spacing w:after="0"/>
        <w:ind w:left="0"/>
        <w:rPr>
          <w:rFonts w:cs="Arial"/>
          <w:szCs w:val="24"/>
          <w:shd w:val="clear" w:color="auto" w:fill="FFFFFF"/>
          <w:lang w:val="en-GB"/>
        </w:rPr>
      </w:pPr>
    </w:p>
    <w:p w14:paraId="78A7E0D5" w14:textId="2FA9D656" w:rsidR="006419B3" w:rsidRPr="006419B3" w:rsidRDefault="006419B3" w:rsidP="006419B3">
      <w:pPr>
        <w:rPr>
          <w:spacing w:val="0"/>
          <w:sz w:val="22"/>
          <w:shd w:val="clear" w:color="auto" w:fill="FFFFFF"/>
          <w:lang w:val="en-GB"/>
        </w:rPr>
      </w:pPr>
      <w:r>
        <w:rPr>
          <w:spacing w:val="0"/>
          <w:shd w:val="clear" w:color="auto" w:fill="FFFFFF"/>
          <w:lang w:val="en-GB"/>
        </w:rPr>
        <w:tab/>
      </w:r>
      <w:r w:rsidRPr="006419B3">
        <w:rPr>
          <w:spacing w:val="0"/>
          <w:sz w:val="22"/>
          <w:shd w:val="clear" w:color="auto" w:fill="FFFFFF"/>
          <w:lang w:val="en-GB"/>
        </w:rPr>
        <w:t>‘[22]</w:t>
      </w:r>
      <w:r w:rsidRPr="006419B3">
        <w:rPr>
          <w:spacing w:val="0"/>
          <w:sz w:val="22"/>
          <w:shd w:val="clear" w:color="auto" w:fill="FFFFFF"/>
          <w:lang w:val="en-GB"/>
        </w:rPr>
        <w:tab/>
        <w:t>The non-compliance(s) in this matter constitute a flagrant disregard of the rules of court. The record was filed outside the three months as prescribed by the rules of this court. To crown it all, the condonation application was lodged quite late and the reason therefor inexcusable. The Government Attorney’s office being poorly staffed and its lawyers being overworked is not a satisfactory explanation for the inordinate delay. The matter could just as well and with great ease have been outsourced to a legal practitioner in p</w:t>
      </w:r>
      <w:r w:rsidR="009A254B">
        <w:rPr>
          <w:spacing w:val="0"/>
          <w:sz w:val="22"/>
          <w:shd w:val="clear" w:color="auto" w:fill="FFFFFF"/>
          <w:lang w:val="en-GB"/>
        </w:rPr>
        <w:t xml:space="preserve">rivate practice. . . </w:t>
      </w:r>
    </w:p>
    <w:p w14:paraId="619EA765" w14:textId="77777777" w:rsidR="006419B3" w:rsidRPr="006419B3" w:rsidRDefault="006419B3" w:rsidP="006419B3">
      <w:pPr>
        <w:rPr>
          <w:spacing w:val="0"/>
          <w:sz w:val="22"/>
          <w:shd w:val="clear" w:color="auto" w:fill="FFFFFF"/>
          <w:lang w:val="en-GB"/>
        </w:rPr>
      </w:pPr>
    </w:p>
    <w:p w14:paraId="58BF40E1" w14:textId="3C28D89F" w:rsidR="00B47249" w:rsidRDefault="006419B3" w:rsidP="00B47249">
      <w:pPr>
        <w:rPr>
          <w:spacing w:val="0"/>
          <w:sz w:val="22"/>
          <w:shd w:val="clear" w:color="auto" w:fill="FFFFFF"/>
          <w:lang w:val="en-GB"/>
        </w:rPr>
      </w:pPr>
      <w:r w:rsidRPr="006419B3">
        <w:rPr>
          <w:spacing w:val="0"/>
          <w:sz w:val="22"/>
          <w:shd w:val="clear" w:color="auto" w:fill="FFFFFF"/>
          <w:lang w:val="en-GB"/>
        </w:rPr>
        <w:t>[23]</w:t>
      </w:r>
      <w:r w:rsidRPr="006419B3">
        <w:rPr>
          <w:spacing w:val="0"/>
          <w:sz w:val="22"/>
          <w:shd w:val="clear" w:color="auto" w:fill="FFFFFF"/>
          <w:lang w:val="en-GB"/>
        </w:rPr>
        <w:tab/>
        <w:t>We have in the past cautioned that dereliction of duty by a party’s legal representative will be visited upon a litigant in circumstances where non-compliance with the rules has been glaring, flagrant and inexplicable. With its incomparable resources, the Government has to lead by example when it comes to litigation in the courts.’</w:t>
      </w:r>
    </w:p>
    <w:p w14:paraId="42CB4479" w14:textId="77777777" w:rsidR="000E05E7" w:rsidRPr="00B47249" w:rsidRDefault="000E05E7" w:rsidP="00B47249">
      <w:pPr>
        <w:rPr>
          <w:spacing w:val="0"/>
          <w:sz w:val="22"/>
          <w:shd w:val="clear" w:color="auto" w:fill="FFFFFF"/>
          <w:lang w:val="en-GB"/>
        </w:rPr>
      </w:pPr>
    </w:p>
    <w:p w14:paraId="12E8EF62" w14:textId="2626B022" w:rsidR="00CB46C9" w:rsidRPr="00C50CFC" w:rsidRDefault="00C50CFC" w:rsidP="00C50CFC">
      <w:pPr>
        <w:rPr>
          <w:shd w:val="clear" w:color="auto" w:fill="FFFFFF"/>
          <w:lang w:val="en-GB"/>
        </w:rPr>
      </w:pPr>
      <w:r w:rsidRPr="00CB46C9">
        <w:rPr>
          <w:spacing w:val="0"/>
          <w:lang w:val="en-GB"/>
        </w:rPr>
        <w:t>[44]</w:t>
      </w:r>
      <w:r w:rsidRPr="00CB46C9">
        <w:rPr>
          <w:spacing w:val="0"/>
          <w:lang w:val="en-GB"/>
        </w:rPr>
        <w:tab/>
      </w:r>
      <w:r w:rsidR="008621CF" w:rsidRPr="00C50CFC">
        <w:rPr>
          <w:shd w:val="clear" w:color="auto" w:fill="FFFFFF"/>
          <w:lang w:val="en-GB"/>
        </w:rPr>
        <w:t xml:space="preserve">The law on condonation applications is trite. </w:t>
      </w:r>
      <w:r w:rsidR="008621CF" w:rsidRPr="00C50CFC">
        <w:rPr>
          <w:shd w:val="clear" w:color="auto" w:fill="FFFFFF"/>
        </w:rPr>
        <w:t>The factors considered in an application for condonation will be based on the surrounding circumstances of the case.</w:t>
      </w:r>
      <w:bookmarkStart w:id="0" w:name="sdfootnote5anc"/>
      <w:r w:rsidR="008621CF">
        <w:rPr>
          <w:rStyle w:val="FootnoteReference"/>
          <w:shd w:val="clear" w:color="auto" w:fill="FFFFFF"/>
        </w:rPr>
        <w:footnoteReference w:id="20"/>
      </w:r>
      <w:bookmarkEnd w:id="0"/>
      <w:r w:rsidR="008621CF" w:rsidRPr="00C50CFC">
        <w:rPr>
          <w:shd w:val="clear" w:color="auto" w:fill="FFFFFF"/>
        </w:rPr>
        <w:t xml:space="preserve"> The court in </w:t>
      </w:r>
      <w:r w:rsidR="008621CF" w:rsidRPr="00C50CFC">
        <w:rPr>
          <w:i/>
          <w:iCs/>
          <w:shd w:val="clear" w:color="auto" w:fill="FFFFFF"/>
        </w:rPr>
        <w:t>Telecom Namibia Ltd v Michael Nangolo &amp; others</w:t>
      </w:r>
      <w:r w:rsidR="008621CF" w:rsidRPr="00C50CFC">
        <w:rPr>
          <w:shd w:val="clear" w:color="auto" w:fill="FFFFFF"/>
        </w:rPr>
        <w:t>,</w:t>
      </w:r>
      <w:r w:rsidR="008621CF">
        <w:rPr>
          <w:rStyle w:val="FootnoteReference"/>
          <w:shd w:val="clear" w:color="auto" w:fill="FFFFFF"/>
        </w:rPr>
        <w:footnoteReference w:id="21"/>
      </w:r>
      <w:r w:rsidR="008621CF" w:rsidRPr="00C50CFC">
        <w:rPr>
          <w:shd w:val="clear" w:color="auto" w:fill="FFFFFF"/>
        </w:rPr>
        <w:t xml:space="preserve"> restated the settled legal principles and factors that a court will take into account when exercising its discretion notwithstanding that the respondents are not opposed to condonation.</w:t>
      </w:r>
      <w:r w:rsidR="008621CF">
        <w:rPr>
          <w:rStyle w:val="FootnoteReference"/>
          <w:shd w:val="clear" w:color="auto" w:fill="FFFFFF"/>
        </w:rPr>
        <w:footnoteReference w:id="22"/>
      </w:r>
    </w:p>
    <w:p w14:paraId="299511B6" w14:textId="77777777" w:rsidR="00CB46C9" w:rsidRPr="00CB46C9" w:rsidRDefault="00CB46C9" w:rsidP="00CB46C9">
      <w:pPr>
        <w:pStyle w:val="ListParagraph"/>
        <w:spacing w:after="0"/>
        <w:ind w:left="0"/>
        <w:rPr>
          <w:rFonts w:cs="Arial"/>
          <w:szCs w:val="24"/>
          <w:shd w:val="clear" w:color="auto" w:fill="FFFFFF"/>
          <w:lang w:val="en-GB"/>
        </w:rPr>
      </w:pPr>
    </w:p>
    <w:p w14:paraId="5E78BD91" w14:textId="3B7AEB5D" w:rsidR="008621CF" w:rsidRPr="00C50CFC" w:rsidRDefault="00C50CFC" w:rsidP="00C50CFC">
      <w:pPr>
        <w:rPr>
          <w:shd w:val="clear" w:color="auto" w:fill="FFFFFF"/>
          <w:lang w:val="en-GB"/>
        </w:rPr>
      </w:pPr>
      <w:r w:rsidRPr="006F5F72">
        <w:rPr>
          <w:spacing w:val="0"/>
          <w:lang w:val="en-GB"/>
        </w:rPr>
        <w:t>[45]</w:t>
      </w:r>
      <w:r w:rsidRPr="006F5F72">
        <w:rPr>
          <w:spacing w:val="0"/>
          <w:lang w:val="en-GB"/>
        </w:rPr>
        <w:tab/>
      </w:r>
      <w:r w:rsidR="008621CF" w:rsidRPr="00C50CFC">
        <w:t xml:space="preserve">A party seeking condonation must furnish a satisfactory explanation for the non-compliance, explain the failure to act timeously and show the default was not willful. </w:t>
      </w:r>
      <w:r w:rsidR="008621CF" w:rsidRPr="00C50CFC">
        <w:rPr>
          <w:i/>
        </w:rPr>
        <w:t>In Beukes</w:t>
      </w:r>
      <w:r w:rsidR="008621CF" w:rsidRPr="00C50CFC">
        <w:rPr>
          <w:i/>
          <w:iCs/>
          <w:shd w:val="clear" w:color="auto" w:fill="FFFFFF"/>
        </w:rPr>
        <w:t xml:space="preserve"> and Another v South West Africa Building Society (SWABOU) and Others</w:t>
      </w:r>
      <w:r w:rsidR="008621CF" w:rsidRPr="007B45B6">
        <w:rPr>
          <w:rStyle w:val="FootnoteReference"/>
          <w:i/>
          <w:iCs/>
          <w:shd w:val="clear" w:color="auto" w:fill="FFFFFF"/>
        </w:rPr>
        <w:footnoteReference w:id="23"/>
      </w:r>
      <w:r w:rsidR="008621CF" w:rsidRPr="00C50CFC">
        <w:rPr>
          <w:shd w:val="clear" w:color="auto" w:fill="FFFFFF"/>
        </w:rPr>
        <w:t xml:space="preserve"> this court held that:</w:t>
      </w:r>
      <w:r w:rsidR="008621CF">
        <w:rPr>
          <w:rStyle w:val="FootnoteReference"/>
          <w:shd w:val="clear" w:color="auto" w:fill="FFFFFF"/>
        </w:rPr>
        <w:footnoteReference w:id="24"/>
      </w:r>
    </w:p>
    <w:p w14:paraId="16432BB9" w14:textId="45542B3D" w:rsidR="000E05E7" w:rsidRDefault="008621CF" w:rsidP="00CE4E33">
      <w:pPr>
        <w:pStyle w:val="NormalWeb"/>
        <w:shd w:val="clear" w:color="auto" w:fill="FFFFFF"/>
        <w:spacing w:after="0" w:line="360" w:lineRule="auto"/>
        <w:ind w:firstLine="720"/>
        <w:jc w:val="both"/>
        <w:textAlignment w:val="baseline"/>
        <w:rPr>
          <w:rFonts w:ascii="Arial" w:hAnsi="Arial" w:cs="Arial"/>
          <w:shd w:val="clear" w:color="auto" w:fill="FFFFFF"/>
        </w:rPr>
      </w:pPr>
      <w:r w:rsidRPr="007B45B6">
        <w:rPr>
          <w:rFonts w:ascii="Arial" w:hAnsi="Arial" w:cs="Arial"/>
          <w:sz w:val="22"/>
          <w:szCs w:val="22"/>
          <w:shd w:val="clear" w:color="auto" w:fill="FFFFFF"/>
        </w:rPr>
        <w:lastRenderedPageBreak/>
        <w:t xml:space="preserve">‘An application for condonation is not a mere formality; the trigger for it is non-compliance with the Rules of Court. Accordingly, once there has been non-compliance, </w:t>
      </w:r>
      <w:r w:rsidRPr="00DD1585">
        <w:rPr>
          <w:rFonts w:ascii="Arial" w:hAnsi="Arial" w:cs="Arial"/>
          <w:sz w:val="22"/>
          <w:szCs w:val="22"/>
          <w:u w:val="single"/>
          <w:shd w:val="clear" w:color="auto" w:fill="FFFFFF"/>
        </w:rPr>
        <w:t>the applicant should, without delay, apply for condonation</w:t>
      </w:r>
      <w:r w:rsidRPr="00DD1585">
        <w:rPr>
          <w:rFonts w:ascii="Arial" w:hAnsi="Arial" w:cs="Arial"/>
          <w:sz w:val="22"/>
          <w:szCs w:val="22"/>
          <w:shd w:val="clear" w:color="auto" w:fill="FFFFFF"/>
        </w:rPr>
        <w:t xml:space="preserve"> and comply with the Rules….</w:t>
      </w:r>
      <w:r w:rsidRPr="00DD1585">
        <w:rPr>
          <w:rFonts w:ascii="Arial" w:hAnsi="Arial" w:cs="Arial"/>
          <w:sz w:val="22"/>
          <w:szCs w:val="22"/>
        </w:rPr>
        <w:t xml:space="preserve"> I</w:t>
      </w:r>
      <w:r w:rsidRPr="00DD1585">
        <w:rPr>
          <w:rFonts w:ascii="Arial" w:hAnsi="Arial" w:cs="Arial"/>
          <w:sz w:val="22"/>
          <w:szCs w:val="22"/>
          <w:shd w:val="clear" w:color="auto" w:fill="FFFFFF"/>
        </w:rPr>
        <w:t xml:space="preserve">n seeking condonation, the applicants have to make out their case on the papers submitted to explain the delay and the failure to comply with the Rules. </w:t>
      </w:r>
      <w:r w:rsidRPr="00DD1585">
        <w:rPr>
          <w:rFonts w:ascii="Arial" w:hAnsi="Arial" w:cs="Arial"/>
          <w:sz w:val="22"/>
          <w:szCs w:val="22"/>
          <w:u w:val="single"/>
          <w:shd w:val="clear" w:color="auto" w:fill="FFFFFF"/>
        </w:rPr>
        <w:t>The explanation must be full, detailed and accurate in order to enable the Court to understand clearly the reasons for it</w:t>
      </w:r>
      <w:r w:rsidRPr="00DD1585">
        <w:rPr>
          <w:rFonts w:ascii="Arial" w:hAnsi="Arial" w:cs="Arial"/>
          <w:sz w:val="22"/>
          <w:szCs w:val="22"/>
          <w:shd w:val="clear" w:color="auto" w:fill="FFFFFF"/>
        </w:rPr>
        <w:t>.’</w:t>
      </w:r>
      <w:r w:rsidR="00B47249">
        <w:rPr>
          <w:rFonts w:ascii="Arial" w:hAnsi="Arial" w:cs="Arial"/>
          <w:shd w:val="clear" w:color="auto" w:fill="FFFFFF"/>
        </w:rPr>
        <w:t xml:space="preserve"> (Emphasis supplied).</w:t>
      </w:r>
    </w:p>
    <w:p w14:paraId="04E92DF7" w14:textId="66873111" w:rsidR="00CB46C9" w:rsidRDefault="00C50CFC" w:rsidP="00C50CFC">
      <w:pPr>
        <w:pStyle w:val="NoSpacing"/>
        <w:spacing w:line="360" w:lineRule="auto"/>
        <w:rPr>
          <w:shd w:val="clear" w:color="auto" w:fill="FFFFFF"/>
        </w:rPr>
      </w:pPr>
      <w:r>
        <w:t>[46]</w:t>
      </w:r>
      <w:r>
        <w:tab/>
      </w:r>
      <w:r w:rsidR="008621CF" w:rsidRPr="00E72B16">
        <w:rPr>
          <w:shd w:val="clear" w:color="auto" w:fill="FFFFFF"/>
        </w:rPr>
        <w:t xml:space="preserve">The second leg for condonation as pronounced in </w:t>
      </w:r>
      <w:r w:rsidR="008621CF" w:rsidRPr="00E72B16">
        <w:rPr>
          <w:i/>
          <w:iCs/>
          <w:shd w:val="clear" w:color="auto" w:fill="FFFFFF"/>
        </w:rPr>
        <w:t>Metropolitan Namibia v Amos Nangolo,</w:t>
      </w:r>
      <w:r w:rsidR="008621CF">
        <w:rPr>
          <w:rStyle w:val="FootnoteReference"/>
          <w:i/>
          <w:iCs/>
          <w:shd w:val="clear" w:color="auto" w:fill="FFFFFF"/>
        </w:rPr>
        <w:footnoteReference w:id="25"/>
      </w:r>
      <w:r w:rsidR="008621CF" w:rsidRPr="00E72B16">
        <w:rPr>
          <w:i/>
          <w:iCs/>
          <w:shd w:val="clear" w:color="auto" w:fill="FFFFFF"/>
        </w:rPr>
        <w:t xml:space="preserve"> </w:t>
      </w:r>
      <w:r w:rsidR="008621CF" w:rsidRPr="00E72B16">
        <w:rPr>
          <w:shd w:val="clear" w:color="auto" w:fill="FFFFFF"/>
        </w:rPr>
        <w:t>held that not only shall an applicant provide a reasonable and acceptable explanation for their non-compliance, it must also be shown that the main matter has prospects of success in fact and in terms of the applicable law, and that each case will be determined on its merits</w:t>
      </w:r>
      <w:r w:rsidR="008621CF">
        <w:rPr>
          <w:shd w:val="clear" w:color="auto" w:fill="FFFFFF"/>
        </w:rPr>
        <w:t>,</w:t>
      </w:r>
      <w:r w:rsidR="008621CF">
        <w:rPr>
          <w:rStyle w:val="FootnoteReference"/>
          <w:shd w:val="clear" w:color="auto" w:fill="FFFFFF"/>
        </w:rPr>
        <w:footnoteReference w:id="26"/>
      </w:r>
      <w:r w:rsidR="008621CF">
        <w:rPr>
          <w:shd w:val="clear" w:color="auto" w:fill="FFFFFF"/>
        </w:rPr>
        <w:t xml:space="preserve"> while the court enjoys a very wide discretion.</w:t>
      </w:r>
      <w:r w:rsidR="008621CF">
        <w:rPr>
          <w:rStyle w:val="FootnoteReference"/>
          <w:shd w:val="clear" w:color="auto" w:fill="FFFFFF"/>
        </w:rPr>
        <w:footnoteReference w:id="27"/>
      </w:r>
    </w:p>
    <w:p w14:paraId="73E038CD" w14:textId="77777777" w:rsidR="00CB46C9" w:rsidRDefault="00CB46C9" w:rsidP="00CB46C9">
      <w:pPr>
        <w:pStyle w:val="NoSpacing"/>
        <w:spacing w:line="360" w:lineRule="auto"/>
        <w:rPr>
          <w:shd w:val="clear" w:color="auto" w:fill="FFFFFF"/>
        </w:rPr>
      </w:pPr>
    </w:p>
    <w:p w14:paraId="23786AA5" w14:textId="15E0A784" w:rsidR="003A006F" w:rsidRPr="00CB46C9" w:rsidRDefault="00C50CFC" w:rsidP="00C50CFC">
      <w:pPr>
        <w:pStyle w:val="NoSpacing"/>
        <w:spacing w:line="360" w:lineRule="auto"/>
        <w:rPr>
          <w:shd w:val="clear" w:color="auto" w:fill="FFFFFF"/>
        </w:rPr>
      </w:pPr>
      <w:r w:rsidRPr="00CB46C9">
        <w:t>[47]</w:t>
      </w:r>
      <w:r w:rsidRPr="00CB46C9">
        <w:tab/>
      </w:r>
      <w:r w:rsidR="003A006F" w:rsidRPr="00CB46C9">
        <w:rPr>
          <w:lang w:val="en-GB"/>
        </w:rPr>
        <w:t xml:space="preserve">In </w:t>
      </w:r>
      <w:r w:rsidR="003A006F" w:rsidRPr="00CB46C9">
        <w:rPr>
          <w:i/>
          <w:lang w:val="en-GB"/>
        </w:rPr>
        <w:t>South Cape Corporation (Pty) Ltd v Engineering Management Services (Pty) Ltd,</w:t>
      </w:r>
      <w:r w:rsidR="003A006F" w:rsidRPr="003A006F">
        <w:rPr>
          <w:iCs/>
          <w:vertAlign w:val="superscript"/>
          <w:lang w:val="en-GB"/>
        </w:rPr>
        <w:footnoteReference w:id="28"/>
      </w:r>
      <w:r w:rsidR="003A006F" w:rsidRPr="00CB46C9">
        <w:rPr>
          <w:lang w:val="en-GB"/>
        </w:rPr>
        <w:t xml:space="preserve"> it was held that in determining an application of this nature, a consideration of what is just and equitable was necessary, and regard should be had to the following factors: </w:t>
      </w:r>
    </w:p>
    <w:p w14:paraId="5DA00B10" w14:textId="77777777" w:rsidR="003A006F" w:rsidRPr="003A006F" w:rsidRDefault="003A006F" w:rsidP="003A006F">
      <w:pPr>
        <w:widowControl/>
        <w:rPr>
          <w:lang w:val="en-GB"/>
        </w:rPr>
      </w:pPr>
    </w:p>
    <w:p w14:paraId="5FD55DD2" w14:textId="678C8BEB" w:rsidR="003A006F" w:rsidRPr="003A006F" w:rsidRDefault="00C50CFC" w:rsidP="00C50CFC">
      <w:pPr>
        <w:widowControl/>
        <w:ind w:left="720"/>
        <w:rPr>
          <w:rFonts w:cs="Times New Roman"/>
          <w:spacing w:val="0"/>
          <w:lang w:val="en-GB"/>
        </w:rPr>
      </w:pPr>
      <w:r w:rsidRPr="003A006F">
        <w:rPr>
          <w:rFonts w:cs="Times New Roman"/>
          <w:spacing w:val="0"/>
          <w:lang w:val="en-GB"/>
        </w:rPr>
        <w:t>(a)</w:t>
      </w:r>
      <w:r w:rsidRPr="003A006F">
        <w:rPr>
          <w:rFonts w:cs="Times New Roman"/>
          <w:spacing w:val="0"/>
          <w:lang w:val="en-GB"/>
        </w:rPr>
        <w:tab/>
      </w:r>
      <w:r w:rsidR="003A006F" w:rsidRPr="003A006F">
        <w:rPr>
          <w:rFonts w:cs="Times New Roman"/>
          <w:spacing w:val="0"/>
          <w:lang w:val="en-GB"/>
        </w:rPr>
        <w:t>the potentiality of irreparable harm or prejudice being sustained by the appellant on appeal (respondent in the application) if leave to execute were to be granted;</w:t>
      </w:r>
    </w:p>
    <w:p w14:paraId="177D288B" w14:textId="77777777" w:rsidR="003A006F" w:rsidRPr="003A006F" w:rsidRDefault="003A006F" w:rsidP="003A006F">
      <w:pPr>
        <w:widowControl/>
        <w:ind w:left="2008"/>
        <w:rPr>
          <w:rFonts w:cs="Times New Roman"/>
          <w:spacing w:val="0"/>
          <w:lang w:val="en-GB"/>
        </w:rPr>
      </w:pPr>
    </w:p>
    <w:p w14:paraId="37891B83" w14:textId="2353F938" w:rsidR="003A006F" w:rsidRPr="003A006F" w:rsidRDefault="00C50CFC" w:rsidP="00C50CFC">
      <w:pPr>
        <w:widowControl/>
        <w:ind w:left="720"/>
        <w:rPr>
          <w:rFonts w:cs="Times New Roman"/>
          <w:spacing w:val="0"/>
          <w:lang w:val="en-GB"/>
        </w:rPr>
      </w:pPr>
      <w:r w:rsidRPr="003A006F">
        <w:rPr>
          <w:rFonts w:cs="Times New Roman"/>
          <w:spacing w:val="0"/>
          <w:lang w:val="en-GB"/>
        </w:rPr>
        <w:t>(b)</w:t>
      </w:r>
      <w:r w:rsidRPr="003A006F">
        <w:rPr>
          <w:rFonts w:cs="Times New Roman"/>
          <w:spacing w:val="0"/>
          <w:lang w:val="en-GB"/>
        </w:rPr>
        <w:tab/>
      </w:r>
      <w:r w:rsidR="003A006F" w:rsidRPr="003A006F">
        <w:rPr>
          <w:rFonts w:cs="Times New Roman"/>
          <w:spacing w:val="0"/>
          <w:lang w:val="en-GB"/>
        </w:rPr>
        <w:t>the potentiality of irreparable harm or prejudice being sustained by the respondent on appeal (applicant in the application) if leave to execute were to be refused;</w:t>
      </w:r>
    </w:p>
    <w:p w14:paraId="21F14137" w14:textId="77777777" w:rsidR="003A006F" w:rsidRPr="003A006F" w:rsidRDefault="003A006F" w:rsidP="003A006F">
      <w:pPr>
        <w:ind w:left="720"/>
        <w:rPr>
          <w:lang w:val="en-GB"/>
        </w:rPr>
      </w:pPr>
    </w:p>
    <w:p w14:paraId="3F5F9F8A" w14:textId="586B316D" w:rsidR="003A006F" w:rsidRPr="003A006F" w:rsidRDefault="00C50CFC" w:rsidP="00C50CFC">
      <w:pPr>
        <w:widowControl/>
        <w:ind w:left="720"/>
        <w:rPr>
          <w:rFonts w:cs="Times New Roman"/>
          <w:spacing w:val="0"/>
          <w:lang w:val="en-GB"/>
        </w:rPr>
      </w:pPr>
      <w:r w:rsidRPr="003A006F">
        <w:rPr>
          <w:rFonts w:cs="Times New Roman"/>
          <w:spacing w:val="0"/>
          <w:lang w:val="en-GB"/>
        </w:rPr>
        <w:t>(c)</w:t>
      </w:r>
      <w:r w:rsidRPr="003A006F">
        <w:rPr>
          <w:rFonts w:cs="Times New Roman"/>
          <w:spacing w:val="0"/>
          <w:lang w:val="en-GB"/>
        </w:rPr>
        <w:tab/>
      </w:r>
      <w:r w:rsidR="003A006F" w:rsidRPr="003A006F">
        <w:rPr>
          <w:rFonts w:cs="Times New Roman"/>
          <w:spacing w:val="0"/>
          <w:lang w:val="en-GB"/>
        </w:rPr>
        <w:t>the prospects of success on appeal, including more particularly the question as to whether the appeal is frivolous or vexatious or has been noted not with the bona fide intention of seeking to reverse the judgment but for some indirect purpose, e.g., to gain time or harass the other party;</w:t>
      </w:r>
    </w:p>
    <w:p w14:paraId="527852B0" w14:textId="77777777" w:rsidR="003A006F" w:rsidRPr="003A006F" w:rsidRDefault="003A006F" w:rsidP="003A006F">
      <w:pPr>
        <w:widowControl/>
        <w:ind w:left="1440"/>
        <w:rPr>
          <w:rFonts w:cs="Times New Roman"/>
          <w:spacing w:val="0"/>
          <w:lang w:val="en-GB"/>
        </w:rPr>
      </w:pPr>
    </w:p>
    <w:p w14:paraId="2389C2A3" w14:textId="5A8C6E2A" w:rsidR="003A006F" w:rsidRPr="003A006F" w:rsidRDefault="00C50CFC" w:rsidP="00C50CFC">
      <w:pPr>
        <w:widowControl/>
        <w:ind w:left="720"/>
        <w:rPr>
          <w:rFonts w:cs="Times New Roman"/>
          <w:spacing w:val="0"/>
          <w:lang w:val="en-GB"/>
        </w:rPr>
      </w:pPr>
      <w:r w:rsidRPr="003A006F">
        <w:rPr>
          <w:rFonts w:cs="Times New Roman"/>
          <w:spacing w:val="0"/>
          <w:lang w:val="en-GB"/>
        </w:rPr>
        <w:t>(d)</w:t>
      </w:r>
      <w:r w:rsidRPr="003A006F">
        <w:rPr>
          <w:rFonts w:cs="Times New Roman"/>
          <w:spacing w:val="0"/>
          <w:lang w:val="en-GB"/>
        </w:rPr>
        <w:tab/>
      </w:r>
      <w:r w:rsidR="003A006F" w:rsidRPr="003A006F">
        <w:rPr>
          <w:rFonts w:cs="Times New Roman"/>
          <w:spacing w:val="0"/>
          <w:lang w:val="en-GB"/>
        </w:rPr>
        <w:t>where there is the potentiality of irreparable harm or prejudice to both the appellant and respondent, the balance of hardship or convenience, as the case may be.</w:t>
      </w:r>
    </w:p>
    <w:p w14:paraId="0342EF33" w14:textId="77777777" w:rsidR="008621CF" w:rsidRDefault="008621CF" w:rsidP="008621CF">
      <w:pPr>
        <w:pStyle w:val="NoSpacing"/>
        <w:spacing w:line="360" w:lineRule="auto"/>
        <w:rPr>
          <w:shd w:val="clear" w:color="auto" w:fill="FFFFFF"/>
        </w:rPr>
      </w:pPr>
    </w:p>
    <w:p w14:paraId="0858329B" w14:textId="729BB570" w:rsidR="00156259" w:rsidRDefault="00C50CFC" w:rsidP="00C50CFC">
      <w:pPr>
        <w:pStyle w:val="NoSpacing"/>
        <w:spacing w:line="360" w:lineRule="auto"/>
        <w:rPr>
          <w:shd w:val="clear" w:color="auto" w:fill="FFFFFF"/>
        </w:rPr>
      </w:pPr>
      <w:r>
        <w:t>[48]</w:t>
      </w:r>
      <w:r>
        <w:tab/>
      </w:r>
      <w:r w:rsidR="00CE4E33">
        <w:rPr>
          <w:shd w:val="clear" w:color="auto" w:fill="FFFFFF"/>
        </w:rPr>
        <w:t>Mr Hamunyela</w:t>
      </w:r>
      <w:r w:rsidR="00156259">
        <w:rPr>
          <w:shd w:val="clear" w:color="auto" w:fill="FFFFFF"/>
        </w:rPr>
        <w:t xml:space="preserve"> asserts </w:t>
      </w:r>
      <w:r w:rsidR="00F0529E">
        <w:rPr>
          <w:shd w:val="clear" w:color="auto" w:fill="FFFFFF"/>
        </w:rPr>
        <w:t xml:space="preserve">that </w:t>
      </w:r>
      <w:r w:rsidR="00156259">
        <w:rPr>
          <w:shd w:val="clear" w:color="auto" w:fill="FFFFFF"/>
        </w:rPr>
        <w:t>the Town Council enjoys prospects of success as the arbitrator erred in granting the award, which award exce</w:t>
      </w:r>
      <w:r w:rsidR="00CE4E33">
        <w:rPr>
          <w:shd w:val="clear" w:color="auto" w:fill="FFFFFF"/>
        </w:rPr>
        <w:t>eds N$1 million</w:t>
      </w:r>
      <w:r w:rsidR="00156259">
        <w:rPr>
          <w:shd w:val="clear" w:color="auto" w:fill="FFFFFF"/>
        </w:rPr>
        <w:t>, and that on the strength of the damages awarded to Mr /Uirab, the balance of convenience favours the Town Council, as the Town Council may be left in a position that it may not be able to recover the award if successful on appeal, and further that in the meantime, payment of the excessive award may result in service interruptions for the town of Rehoboth.</w:t>
      </w:r>
    </w:p>
    <w:p w14:paraId="341AC25D" w14:textId="77777777" w:rsidR="00156259" w:rsidRPr="00156259" w:rsidRDefault="00156259" w:rsidP="00156259">
      <w:pPr>
        <w:pStyle w:val="NoSpacing"/>
        <w:spacing w:line="360" w:lineRule="auto"/>
        <w:rPr>
          <w:shd w:val="clear" w:color="auto" w:fill="FFFFFF"/>
        </w:rPr>
      </w:pPr>
    </w:p>
    <w:p w14:paraId="104AA247" w14:textId="35E378BD" w:rsidR="00D550CC" w:rsidRDefault="00C50CFC" w:rsidP="00C50CFC">
      <w:pPr>
        <w:pStyle w:val="NoSpacing"/>
        <w:spacing w:line="360" w:lineRule="auto"/>
        <w:rPr>
          <w:shd w:val="clear" w:color="auto" w:fill="FFFFFF"/>
        </w:rPr>
      </w:pPr>
      <w:r>
        <w:t>[49]</w:t>
      </w:r>
      <w:r>
        <w:tab/>
      </w:r>
      <w:r w:rsidR="009F53FD">
        <w:rPr>
          <w:shd w:val="clear" w:color="auto" w:fill="FFFFFF"/>
        </w:rPr>
        <w:t xml:space="preserve">In turn, much of the opposition by </w:t>
      </w:r>
      <w:r w:rsidR="00BF1D73">
        <w:rPr>
          <w:shd w:val="clear" w:color="auto" w:fill="FFFFFF"/>
        </w:rPr>
        <w:t>counsel on</w:t>
      </w:r>
      <w:r w:rsidR="009F53FD">
        <w:rPr>
          <w:shd w:val="clear" w:color="auto" w:fill="FFFFFF"/>
        </w:rPr>
        <w:t xml:space="preserve"> behalf of Mr /Uirab, is levelled against the condonation application and the </w:t>
      </w:r>
      <w:r w:rsidR="009F53FD" w:rsidRPr="006F5F72">
        <w:rPr>
          <w:i/>
          <w:shd w:val="clear" w:color="auto" w:fill="FFFFFF"/>
        </w:rPr>
        <w:t>bona fides</w:t>
      </w:r>
      <w:r w:rsidR="009F53FD">
        <w:rPr>
          <w:shd w:val="clear" w:color="auto" w:fill="FFFFFF"/>
        </w:rPr>
        <w:t xml:space="preserve"> thereof. I say so, keeping in my mind both on the heads of argument and in oral argument, counsel on behalf of Mr /Uirab, save for denying the Town Council has any prospects of success, does not address the denial, despite the clear assertion by the Town Council that the award stands to be set aside on appeal with reference to the damages order alone. As a matter of fact, when question</w:t>
      </w:r>
      <w:r w:rsidR="00F0529E">
        <w:rPr>
          <w:shd w:val="clear" w:color="auto" w:fill="FFFFFF"/>
        </w:rPr>
        <w:t>ed</w:t>
      </w:r>
      <w:r w:rsidR="009F53FD">
        <w:rPr>
          <w:shd w:val="clear" w:color="auto" w:fill="FFFFFF"/>
        </w:rPr>
        <w:t xml:space="preserve"> during argument on the quantum of the award, counsel for Mr /Uirab conceded that the correctness thereof was not something he had occasion to consider and could not take the matter any further. </w:t>
      </w:r>
    </w:p>
    <w:p w14:paraId="2E97743F" w14:textId="77777777" w:rsidR="00D550CC" w:rsidRPr="00D550CC" w:rsidRDefault="00D550CC" w:rsidP="00D550CC">
      <w:pPr>
        <w:rPr>
          <w:shd w:val="clear" w:color="auto" w:fill="FFFFFF"/>
        </w:rPr>
      </w:pPr>
    </w:p>
    <w:p w14:paraId="029FD3C1" w14:textId="0DA60A3D" w:rsidR="00D550CC" w:rsidRDefault="00C50CFC" w:rsidP="00C50CFC">
      <w:pPr>
        <w:pStyle w:val="NoSpacing"/>
        <w:spacing w:line="360" w:lineRule="auto"/>
        <w:rPr>
          <w:shd w:val="clear" w:color="auto" w:fill="FFFFFF"/>
        </w:rPr>
      </w:pPr>
      <w:r>
        <w:t>[50]</w:t>
      </w:r>
      <w:r>
        <w:tab/>
      </w:r>
      <w:r w:rsidR="00D550CC" w:rsidRPr="00D550CC">
        <w:rPr>
          <w:shd w:val="clear" w:color="auto" w:fill="FFFFFF"/>
        </w:rPr>
        <w:t xml:space="preserve">Ueitele J in </w:t>
      </w:r>
      <w:r w:rsidR="00D550CC" w:rsidRPr="00D550CC">
        <w:rPr>
          <w:i/>
          <w:shd w:val="clear" w:color="auto" w:fill="FFFFFF"/>
        </w:rPr>
        <w:t>Ongwediva Medipark (Pty) Ltd v Iithete</w:t>
      </w:r>
      <w:r w:rsidR="00D550CC">
        <w:rPr>
          <w:rStyle w:val="FootnoteReference"/>
          <w:i/>
          <w:shd w:val="clear" w:color="auto" w:fill="FFFFFF"/>
        </w:rPr>
        <w:footnoteReference w:id="29"/>
      </w:r>
      <w:r w:rsidR="00D550CC">
        <w:rPr>
          <w:shd w:val="clear" w:color="auto" w:fill="FFFFFF"/>
        </w:rPr>
        <w:t xml:space="preserve"> writes:</w:t>
      </w:r>
    </w:p>
    <w:p w14:paraId="40566D8E" w14:textId="77777777" w:rsidR="00D550CC" w:rsidRDefault="00D550CC" w:rsidP="00D550CC">
      <w:pPr>
        <w:pStyle w:val="NoSpacing"/>
        <w:spacing w:line="360" w:lineRule="auto"/>
        <w:rPr>
          <w:rFonts w:cs="Times New Roman"/>
          <w:spacing w:val="0"/>
          <w:szCs w:val="22"/>
          <w:shd w:val="clear" w:color="auto" w:fill="FFFFFF"/>
          <w:lang w:val="en-US"/>
        </w:rPr>
      </w:pPr>
    </w:p>
    <w:p w14:paraId="128C5DBB" w14:textId="154EDA68" w:rsidR="00D550CC" w:rsidRPr="00D550CC" w:rsidRDefault="00D550CC" w:rsidP="00D550CC">
      <w:pPr>
        <w:pStyle w:val="NoSpacing"/>
        <w:spacing w:line="360" w:lineRule="auto"/>
        <w:rPr>
          <w:sz w:val="22"/>
          <w:shd w:val="clear" w:color="auto" w:fill="FFFFFF"/>
        </w:rPr>
      </w:pPr>
      <w:r>
        <w:rPr>
          <w:rFonts w:cs="Times New Roman"/>
          <w:spacing w:val="0"/>
          <w:szCs w:val="22"/>
          <w:shd w:val="clear" w:color="auto" w:fill="FFFFFF"/>
          <w:lang w:val="en-US"/>
        </w:rPr>
        <w:lastRenderedPageBreak/>
        <w:tab/>
      </w:r>
      <w:r w:rsidRPr="00D550CC">
        <w:rPr>
          <w:rFonts w:cs="Times New Roman"/>
          <w:spacing w:val="0"/>
          <w:sz w:val="22"/>
          <w:szCs w:val="22"/>
          <w:shd w:val="clear" w:color="auto" w:fill="FFFFFF"/>
          <w:lang w:val="en-US"/>
        </w:rPr>
        <w:t>‘</w:t>
      </w:r>
      <w:r w:rsidRPr="00D550CC">
        <w:rPr>
          <w:sz w:val="22"/>
          <w:shd w:val="clear" w:color="auto" w:fill="FFFFFF"/>
        </w:rPr>
        <w:t xml:space="preserve">It would seem to me that although the non-compliance by the defendant is serious, I keep in mind what Strydom CJ has said in the </w:t>
      </w:r>
      <w:r w:rsidRPr="00D550CC">
        <w:rPr>
          <w:i/>
          <w:sz w:val="22"/>
          <w:shd w:val="clear" w:color="auto" w:fill="FFFFFF"/>
        </w:rPr>
        <w:t>Leweis v Sampoio</w:t>
      </w:r>
      <w:r w:rsidRPr="00D550CC">
        <w:rPr>
          <w:rStyle w:val="FootnoteReference"/>
          <w:i/>
          <w:sz w:val="22"/>
          <w:shd w:val="clear" w:color="auto" w:fill="FFFFFF"/>
        </w:rPr>
        <w:footnoteReference w:id="30"/>
      </w:r>
      <w:r w:rsidRPr="00D550CC">
        <w:rPr>
          <w:sz w:val="22"/>
          <w:shd w:val="clear" w:color="auto" w:fill="FFFFFF"/>
        </w:rPr>
        <w:t xml:space="preserve"> matter. I am of the view that an application for condonation must also not be regarded as an inquiry whether or not to penalise a party for his failure to follow the rules and procedures laid down for civil proceedings in our courts. The question is, rather, whether or not the explanation for the default and any accompanying conduct by the defaulter, be it willful or negligent or otherwise, gives rise to the probable inference that there is no bona fide defence and hence that the application for condonation is not bona fide.’</w:t>
      </w:r>
    </w:p>
    <w:p w14:paraId="0D1D975C" w14:textId="77777777" w:rsidR="00D550CC" w:rsidRPr="00D550CC" w:rsidRDefault="00D550CC" w:rsidP="00D550CC">
      <w:pPr>
        <w:pStyle w:val="NoSpacing"/>
        <w:spacing w:line="360" w:lineRule="auto"/>
        <w:rPr>
          <w:shd w:val="clear" w:color="auto" w:fill="FFFFFF"/>
        </w:rPr>
      </w:pPr>
    </w:p>
    <w:p w14:paraId="4521AA03" w14:textId="060BCC37" w:rsidR="00AE123A" w:rsidRDefault="00C50CFC" w:rsidP="00C50CFC">
      <w:pPr>
        <w:pStyle w:val="NoSpacing"/>
        <w:spacing w:line="360" w:lineRule="auto"/>
        <w:rPr>
          <w:shd w:val="clear" w:color="auto" w:fill="FFFFFF"/>
        </w:rPr>
      </w:pPr>
      <w:r>
        <w:t>[51]</w:t>
      </w:r>
      <w:r>
        <w:tab/>
      </w:r>
      <w:r w:rsidR="00D550CC">
        <w:rPr>
          <w:shd w:val="clear" w:color="auto" w:fill="FFFFFF"/>
        </w:rPr>
        <w:t xml:space="preserve"> </w:t>
      </w:r>
      <w:r w:rsidR="00AE123A">
        <w:rPr>
          <w:shd w:val="clear" w:color="auto" w:fill="FFFFFF"/>
        </w:rPr>
        <w:t xml:space="preserve">The Supreme Court in </w:t>
      </w:r>
      <w:r w:rsidR="00AE123A" w:rsidRPr="00AE123A">
        <w:rPr>
          <w:i/>
          <w:shd w:val="clear" w:color="auto" w:fill="FFFFFF"/>
        </w:rPr>
        <w:t>Standard Bank Namibia Limited v Nekwaya</w:t>
      </w:r>
      <w:r w:rsidR="00AE123A">
        <w:rPr>
          <w:rStyle w:val="FootnoteReference"/>
          <w:shd w:val="clear" w:color="auto" w:fill="FFFFFF"/>
        </w:rPr>
        <w:footnoteReference w:id="31"/>
      </w:r>
      <w:r w:rsidR="00AE123A">
        <w:rPr>
          <w:shd w:val="clear" w:color="auto" w:fill="FFFFFF"/>
        </w:rPr>
        <w:t>, found:</w:t>
      </w:r>
    </w:p>
    <w:p w14:paraId="3170FAAB" w14:textId="77777777" w:rsidR="00AE123A" w:rsidRDefault="00AE123A" w:rsidP="00AE123A">
      <w:pPr>
        <w:pStyle w:val="NoSpacing"/>
        <w:spacing w:line="360" w:lineRule="auto"/>
        <w:rPr>
          <w:shd w:val="clear" w:color="auto" w:fill="FFFFFF"/>
        </w:rPr>
      </w:pPr>
    </w:p>
    <w:p w14:paraId="564D364E" w14:textId="6D3CE380" w:rsidR="00AE123A" w:rsidRPr="00AE123A" w:rsidRDefault="00AE123A" w:rsidP="00AE123A">
      <w:pPr>
        <w:pStyle w:val="NoSpacing"/>
        <w:spacing w:line="360" w:lineRule="auto"/>
        <w:rPr>
          <w:sz w:val="22"/>
          <w:shd w:val="clear" w:color="auto" w:fill="FFFFFF"/>
        </w:rPr>
      </w:pPr>
      <w:r w:rsidRPr="00AE123A">
        <w:rPr>
          <w:sz w:val="22"/>
          <w:shd w:val="clear" w:color="auto" w:fill="FFFFFF"/>
        </w:rPr>
        <w:tab/>
        <w:t>‘This court has held that there is some interplay between the obligation of a litigant to provide a reasonable and acceptable explanation for the non-compliance with a rule of court, and the reasonable prospects of success on appeal. Thus, good prospects of success may lead to a condonation and reinstatement application being granted, in spite of the fact that the explanation for the non-compliance is weak or not entirely satisfactory, as it is in this instance.’</w:t>
      </w:r>
    </w:p>
    <w:p w14:paraId="6B551B31" w14:textId="77777777" w:rsidR="00AE123A" w:rsidRDefault="00AE123A" w:rsidP="00AE123A">
      <w:pPr>
        <w:pStyle w:val="NoSpacing"/>
        <w:spacing w:line="360" w:lineRule="auto"/>
        <w:rPr>
          <w:shd w:val="clear" w:color="auto" w:fill="FFFFFF"/>
        </w:rPr>
      </w:pPr>
    </w:p>
    <w:p w14:paraId="39AED2F8" w14:textId="60891587" w:rsidR="00D550CC" w:rsidRDefault="00C50CFC" w:rsidP="00C50CFC">
      <w:pPr>
        <w:pStyle w:val="NoSpacing"/>
        <w:spacing w:line="360" w:lineRule="auto"/>
        <w:rPr>
          <w:shd w:val="clear" w:color="auto" w:fill="FFFFFF"/>
        </w:rPr>
      </w:pPr>
      <w:r>
        <w:t>[52]</w:t>
      </w:r>
      <w:r>
        <w:tab/>
      </w:r>
      <w:r w:rsidR="00D550CC">
        <w:rPr>
          <w:shd w:val="clear" w:color="auto" w:fill="FFFFFF"/>
        </w:rPr>
        <w:t xml:space="preserve">I accept </w:t>
      </w:r>
      <w:r w:rsidR="00F0529E">
        <w:rPr>
          <w:shd w:val="clear" w:color="auto" w:fill="FFFFFF"/>
        </w:rPr>
        <w:t xml:space="preserve">that </w:t>
      </w:r>
      <w:r w:rsidR="00D550CC">
        <w:rPr>
          <w:shd w:val="clear" w:color="auto" w:fill="FFFFFF"/>
        </w:rPr>
        <w:t>the application for condonation by the Town Council is rather lacking in its disclosure to court as to the delay in bringing the application</w:t>
      </w:r>
      <w:r w:rsidR="00F0529E">
        <w:rPr>
          <w:shd w:val="clear" w:color="auto" w:fill="FFFFFF"/>
        </w:rPr>
        <w:t xml:space="preserve">. I also do not understand why legal practitioners accept briefs which they are unable to execute </w:t>
      </w:r>
      <w:r w:rsidR="00CE4E33">
        <w:rPr>
          <w:shd w:val="clear" w:color="auto" w:fill="FFFFFF"/>
        </w:rPr>
        <w:t>timeously</w:t>
      </w:r>
      <w:r w:rsidR="00F0529E">
        <w:rPr>
          <w:shd w:val="clear" w:color="auto" w:fill="FFFFFF"/>
        </w:rPr>
        <w:t>. This conduct has been deprecated</w:t>
      </w:r>
      <w:r w:rsidR="00CE4E33">
        <w:rPr>
          <w:shd w:val="clear" w:color="auto" w:fill="FFFFFF"/>
        </w:rPr>
        <w:t xml:space="preserve"> in numerous judgments of this c</w:t>
      </w:r>
      <w:r w:rsidR="00F0529E">
        <w:rPr>
          <w:shd w:val="clear" w:color="auto" w:fill="FFFFFF"/>
        </w:rPr>
        <w:t>ourt. The line, on the particulars facts of this case</w:t>
      </w:r>
      <w:r w:rsidR="00CE4E33">
        <w:rPr>
          <w:shd w:val="clear" w:color="auto" w:fill="FFFFFF"/>
        </w:rPr>
        <w:t>,</w:t>
      </w:r>
      <w:r w:rsidR="00F0529E">
        <w:rPr>
          <w:shd w:val="clear" w:color="auto" w:fill="FFFFFF"/>
        </w:rPr>
        <w:t xml:space="preserve"> is very thin. However, I must say that  </w:t>
      </w:r>
      <w:r w:rsidR="00D550CC">
        <w:rPr>
          <w:shd w:val="clear" w:color="auto" w:fill="FFFFFF"/>
        </w:rPr>
        <w:t xml:space="preserve">I do not believe </w:t>
      </w:r>
      <w:r w:rsidR="00F0529E">
        <w:rPr>
          <w:shd w:val="clear" w:color="auto" w:fill="FFFFFF"/>
        </w:rPr>
        <w:t xml:space="preserve">that </w:t>
      </w:r>
      <w:r w:rsidR="00D550CC">
        <w:rPr>
          <w:shd w:val="clear" w:color="auto" w:fill="FFFFFF"/>
        </w:rPr>
        <w:t xml:space="preserve">the application is not </w:t>
      </w:r>
      <w:r w:rsidR="00D550CC" w:rsidRPr="00F0529E">
        <w:rPr>
          <w:i/>
          <w:iCs/>
          <w:shd w:val="clear" w:color="auto" w:fill="FFFFFF"/>
        </w:rPr>
        <w:t>bona fide</w:t>
      </w:r>
      <w:r w:rsidR="00D550CC">
        <w:rPr>
          <w:shd w:val="clear" w:color="auto" w:fill="FFFFFF"/>
        </w:rPr>
        <w:t>. The Town Council has arguably demonstrated that on the issue of the quantum of the award, it may enjoy prospects of success on appeal, and that although delayed, gives rise to probable defence against the award.</w:t>
      </w:r>
    </w:p>
    <w:p w14:paraId="6E774565" w14:textId="77777777" w:rsidR="00D550CC" w:rsidRDefault="00D550CC" w:rsidP="001C79DE">
      <w:pPr>
        <w:pStyle w:val="NoSpacing"/>
        <w:spacing w:line="360" w:lineRule="auto"/>
        <w:rPr>
          <w:shd w:val="clear" w:color="auto" w:fill="FFFFFF"/>
        </w:rPr>
      </w:pPr>
    </w:p>
    <w:p w14:paraId="44A3FB69" w14:textId="2CCA1B61" w:rsidR="00BF1D73" w:rsidRDefault="00C50CFC" w:rsidP="00C50CFC">
      <w:pPr>
        <w:pStyle w:val="NoSpacing"/>
        <w:spacing w:line="360" w:lineRule="auto"/>
        <w:rPr>
          <w:shd w:val="clear" w:color="auto" w:fill="FFFFFF"/>
        </w:rPr>
      </w:pPr>
      <w:r>
        <w:t>[53]</w:t>
      </w:r>
      <w:r>
        <w:tab/>
      </w:r>
      <w:r w:rsidR="00D550CC" w:rsidRPr="00D550CC">
        <w:rPr>
          <w:shd w:val="clear" w:color="auto" w:fill="FFFFFF"/>
        </w:rPr>
        <w:t xml:space="preserve">In my mind, it further follows, on the arguments by counsel for the parties, where the Town Council is in the business of providing municipal services to the </w:t>
      </w:r>
      <w:r w:rsidR="00D550CC" w:rsidRPr="00D550CC">
        <w:rPr>
          <w:shd w:val="clear" w:color="auto" w:fill="FFFFFF"/>
        </w:rPr>
        <w:lastRenderedPageBreak/>
        <w:t>residents of the town of Rehoboth,</w:t>
      </w:r>
      <w:r w:rsidR="00D550CC">
        <w:rPr>
          <w:shd w:val="clear" w:color="auto" w:fill="FFFFFF"/>
        </w:rPr>
        <w:t xml:space="preserve"> </w:t>
      </w:r>
      <w:r w:rsidR="00D550CC" w:rsidRPr="00D550CC">
        <w:rPr>
          <w:shd w:val="clear" w:color="auto" w:fill="FFFFFF"/>
        </w:rPr>
        <w:t>the potentiality of irreparable harm or prejudice being sustained by the appellant on appeal if leave to execute were to be granted</w:t>
      </w:r>
      <w:r w:rsidR="00D550CC">
        <w:rPr>
          <w:shd w:val="clear" w:color="auto" w:fill="FFFFFF"/>
        </w:rPr>
        <w:t>, favour</w:t>
      </w:r>
      <w:r w:rsidR="001C79DE">
        <w:rPr>
          <w:shd w:val="clear" w:color="auto" w:fill="FFFFFF"/>
        </w:rPr>
        <w:t>s the Town Council, as the award is in excess</w:t>
      </w:r>
      <w:r w:rsidR="00CE4E33">
        <w:rPr>
          <w:shd w:val="clear" w:color="auto" w:fill="FFFFFF"/>
        </w:rPr>
        <w:t xml:space="preserve"> of N$1 million</w:t>
      </w:r>
      <w:r w:rsidR="001C79DE">
        <w:rPr>
          <w:shd w:val="clear" w:color="auto" w:fill="FFFFFF"/>
        </w:rPr>
        <w:t xml:space="preserve"> of </w:t>
      </w:r>
      <w:r w:rsidR="00F0529E">
        <w:rPr>
          <w:shd w:val="clear" w:color="auto" w:fill="FFFFFF"/>
        </w:rPr>
        <w:t>rate</w:t>
      </w:r>
      <w:r w:rsidR="001C79DE">
        <w:rPr>
          <w:shd w:val="clear" w:color="auto" w:fill="FFFFFF"/>
        </w:rPr>
        <w:t xml:space="preserve"> payer</w:t>
      </w:r>
      <w:r w:rsidR="00F0529E">
        <w:rPr>
          <w:shd w:val="clear" w:color="auto" w:fill="FFFFFF"/>
        </w:rPr>
        <w:t>s</w:t>
      </w:r>
      <w:r w:rsidR="001C79DE">
        <w:rPr>
          <w:shd w:val="clear" w:color="auto" w:fill="FFFFFF"/>
        </w:rPr>
        <w:t xml:space="preserve"> money, which money the Town Council is responsible for.</w:t>
      </w:r>
    </w:p>
    <w:p w14:paraId="6AC2203D" w14:textId="77777777" w:rsidR="00BF1D73" w:rsidRPr="00BF1D73" w:rsidRDefault="00BF1D73" w:rsidP="00BF1D73">
      <w:pPr>
        <w:rPr>
          <w:shd w:val="clear" w:color="auto" w:fill="FFFFFF"/>
        </w:rPr>
      </w:pPr>
    </w:p>
    <w:p w14:paraId="162F8A9C" w14:textId="576DDD28" w:rsidR="001C79DE" w:rsidRPr="00BF1D73" w:rsidRDefault="00C50CFC" w:rsidP="00C50CFC">
      <w:pPr>
        <w:pStyle w:val="NoSpacing"/>
        <w:spacing w:line="360" w:lineRule="auto"/>
        <w:rPr>
          <w:shd w:val="clear" w:color="auto" w:fill="FFFFFF"/>
        </w:rPr>
      </w:pPr>
      <w:r w:rsidRPr="00BF1D73">
        <w:t>[54]</w:t>
      </w:r>
      <w:r w:rsidRPr="00BF1D73">
        <w:tab/>
      </w:r>
      <w:r w:rsidR="001C79DE" w:rsidRPr="00BF1D73">
        <w:rPr>
          <w:shd w:val="clear" w:color="auto" w:fill="FFFFFF"/>
        </w:rPr>
        <w:t xml:space="preserve">I do not for a second assume this will in all instances be the case, but on the consideration of the facts, and having regard to the papers put up </w:t>
      </w:r>
      <w:r w:rsidR="006F5F72">
        <w:rPr>
          <w:shd w:val="clear" w:color="auto" w:fill="FFFFFF"/>
        </w:rPr>
        <w:t>by Mr /Uirab, Mr /Uirab makes</w:t>
      </w:r>
      <w:r w:rsidR="001C79DE" w:rsidRPr="00BF1D73">
        <w:rPr>
          <w:shd w:val="clear" w:color="auto" w:fill="FFFFFF"/>
        </w:rPr>
        <w:t xml:space="preserve"> bare allegations that his vehicle was sold in execu</w:t>
      </w:r>
      <w:r w:rsidR="006F5F72">
        <w:rPr>
          <w:shd w:val="clear" w:color="auto" w:fill="FFFFFF"/>
        </w:rPr>
        <w:t>tion and that his life came to a</w:t>
      </w:r>
      <w:r w:rsidR="001C79DE" w:rsidRPr="00BF1D73">
        <w:rPr>
          <w:shd w:val="clear" w:color="auto" w:fill="FFFFFF"/>
        </w:rPr>
        <w:t xml:space="preserve"> virtual standstill</w:t>
      </w:r>
      <w:r w:rsidR="00CE4E33">
        <w:rPr>
          <w:shd w:val="clear" w:color="auto" w:fill="FFFFFF"/>
        </w:rPr>
        <w:t>.</w:t>
      </w:r>
      <w:r w:rsidR="001C79DE">
        <w:rPr>
          <w:rStyle w:val="FootnoteReference"/>
          <w:shd w:val="clear" w:color="auto" w:fill="FFFFFF"/>
        </w:rPr>
        <w:footnoteReference w:id="32"/>
      </w:r>
      <w:r w:rsidR="001C79DE" w:rsidRPr="00BF1D73">
        <w:rPr>
          <w:shd w:val="clear" w:color="auto" w:fill="FFFFFF"/>
        </w:rPr>
        <w:t xml:space="preserve"> What is meant with virtual standstill and the specificity thereof is not placed before court.</w:t>
      </w:r>
    </w:p>
    <w:p w14:paraId="4E01AE77" w14:textId="77777777" w:rsidR="001C79DE" w:rsidRPr="001C79DE" w:rsidRDefault="001C79DE" w:rsidP="001C79DE">
      <w:pPr>
        <w:rPr>
          <w:shd w:val="clear" w:color="auto" w:fill="FFFFFF"/>
        </w:rPr>
      </w:pPr>
    </w:p>
    <w:p w14:paraId="003D6154" w14:textId="5C2DB9FE" w:rsidR="001C79DE" w:rsidRPr="001C79DE" w:rsidRDefault="00C50CFC" w:rsidP="00C50CFC">
      <w:pPr>
        <w:pStyle w:val="NoSpacing"/>
        <w:spacing w:line="360" w:lineRule="auto"/>
        <w:rPr>
          <w:shd w:val="clear" w:color="auto" w:fill="FFFFFF"/>
        </w:rPr>
      </w:pPr>
      <w:r w:rsidRPr="001C79DE">
        <w:t>[55]</w:t>
      </w:r>
      <w:r w:rsidRPr="001C79DE">
        <w:tab/>
      </w:r>
      <w:r w:rsidR="001C79DE" w:rsidRPr="001C79DE">
        <w:rPr>
          <w:shd w:val="clear" w:color="auto" w:fill="FFFFFF"/>
        </w:rPr>
        <w:t xml:space="preserve">The parties </w:t>
      </w:r>
      <w:r w:rsidR="001C79DE">
        <w:rPr>
          <w:shd w:val="clear" w:color="auto" w:fill="FFFFFF"/>
        </w:rPr>
        <w:t xml:space="preserve">make no issue of costs, and I do not consider that either party </w:t>
      </w:r>
      <w:r w:rsidR="001C79DE" w:rsidRPr="001C79DE">
        <w:rPr>
          <w:shd w:val="clear" w:color="auto" w:fill="FFFFFF"/>
        </w:rPr>
        <w:t xml:space="preserve"> acted vexa</w:t>
      </w:r>
      <w:r w:rsidR="001C79DE">
        <w:rPr>
          <w:shd w:val="clear" w:color="auto" w:fill="FFFFFF"/>
        </w:rPr>
        <w:t>tious</w:t>
      </w:r>
      <w:r w:rsidR="00F0529E">
        <w:rPr>
          <w:shd w:val="clear" w:color="auto" w:fill="FFFFFF"/>
        </w:rPr>
        <w:t>ly</w:t>
      </w:r>
      <w:r w:rsidR="001C79DE">
        <w:rPr>
          <w:shd w:val="clear" w:color="auto" w:fill="FFFFFF"/>
        </w:rPr>
        <w:t xml:space="preserve"> during these proceedings. As a result, I find no reason why an award of costs extraordinary to the labour arena should be made.</w:t>
      </w:r>
    </w:p>
    <w:p w14:paraId="12D3225F" w14:textId="77777777" w:rsidR="00D550CC" w:rsidRPr="00D550CC" w:rsidRDefault="00D550CC" w:rsidP="00D550CC">
      <w:pPr>
        <w:rPr>
          <w:shd w:val="clear" w:color="auto" w:fill="FFFFFF"/>
          <w:lang w:val="en-GB"/>
        </w:rPr>
      </w:pPr>
    </w:p>
    <w:p w14:paraId="0D07F1D4" w14:textId="28E7B594" w:rsidR="009A254B" w:rsidRPr="008621CF" w:rsidRDefault="00C50CFC" w:rsidP="00C50CFC">
      <w:pPr>
        <w:pStyle w:val="NoSpacing"/>
        <w:spacing w:line="360" w:lineRule="auto"/>
        <w:rPr>
          <w:shd w:val="clear" w:color="auto" w:fill="FFFFFF"/>
        </w:rPr>
      </w:pPr>
      <w:r w:rsidRPr="008621CF">
        <w:t>[56]</w:t>
      </w:r>
      <w:r w:rsidRPr="008621CF">
        <w:tab/>
      </w:r>
      <w:r w:rsidR="009A254B" w:rsidRPr="008621CF">
        <w:rPr>
          <w:shd w:val="clear" w:color="auto" w:fill="FFFFFF"/>
          <w:lang w:val="en-GB"/>
        </w:rPr>
        <w:t>In light of the foregoing, the application for a stay of the arbitration award cannot be entertained either. Therefore, I make the following order:</w:t>
      </w:r>
    </w:p>
    <w:p w14:paraId="70BB3EF4" w14:textId="77777777" w:rsidR="005226D1" w:rsidRDefault="005226D1" w:rsidP="005226D1">
      <w:pPr>
        <w:pStyle w:val="ListParagraph"/>
        <w:rPr>
          <w:rFonts w:cs="Arial"/>
          <w:szCs w:val="24"/>
          <w:shd w:val="clear" w:color="auto" w:fill="FFFFFF"/>
          <w:lang w:val="en-GB"/>
        </w:rPr>
      </w:pPr>
    </w:p>
    <w:p w14:paraId="5B539DA6" w14:textId="4A2C8499" w:rsidR="005610BF" w:rsidRPr="00C50CFC" w:rsidRDefault="00C50CFC" w:rsidP="00C50CFC">
      <w:pPr>
        <w:ind w:left="720" w:hanging="360"/>
      </w:pPr>
      <w:r>
        <w:rPr>
          <w:rFonts w:eastAsiaTheme="minorHAnsi"/>
          <w:spacing w:val="0"/>
          <w:lang w:val="en-US"/>
        </w:rPr>
        <w:t>1.</w:t>
      </w:r>
      <w:r>
        <w:rPr>
          <w:rFonts w:eastAsiaTheme="minorHAnsi"/>
          <w:spacing w:val="0"/>
          <w:lang w:val="en-US"/>
        </w:rPr>
        <w:tab/>
      </w:r>
      <w:r w:rsidR="00130BF3" w:rsidRPr="00C50CFC">
        <w:t>The applican</w:t>
      </w:r>
      <w:r w:rsidR="003A006F" w:rsidRPr="00C50CFC">
        <w:t>t’s application for condonation is granted.</w:t>
      </w:r>
    </w:p>
    <w:p w14:paraId="2D3F77B6" w14:textId="77777777" w:rsidR="003A006F" w:rsidRDefault="003A006F" w:rsidP="003A006F">
      <w:pPr>
        <w:pStyle w:val="ListParagraph"/>
        <w:spacing w:after="0"/>
        <w:rPr>
          <w:rFonts w:cs="Arial"/>
          <w:szCs w:val="24"/>
        </w:rPr>
      </w:pPr>
    </w:p>
    <w:p w14:paraId="65EA1930" w14:textId="5B6FC0D6" w:rsidR="003A006F" w:rsidRPr="00C50CFC" w:rsidRDefault="00C50CFC" w:rsidP="00C50CFC">
      <w:pPr>
        <w:ind w:left="720" w:hanging="360"/>
      </w:pPr>
      <w:r>
        <w:rPr>
          <w:rFonts w:eastAsiaTheme="minorHAnsi"/>
          <w:spacing w:val="0"/>
          <w:lang w:val="en-US"/>
        </w:rPr>
        <w:t>2.</w:t>
      </w:r>
      <w:r>
        <w:rPr>
          <w:rFonts w:eastAsiaTheme="minorHAnsi"/>
          <w:spacing w:val="0"/>
          <w:lang w:val="en-US"/>
        </w:rPr>
        <w:tab/>
      </w:r>
      <w:r w:rsidR="003A006F" w:rsidRPr="00C50CFC">
        <w:t>The execution of the arbitration award dated 15 September 2022 under case number CRWK 215-19 is suspended pending appeal.</w:t>
      </w:r>
    </w:p>
    <w:p w14:paraId="1C375464" w14:textId="77777777" w:rsidR="00227218" w:rsidRDefault="00227218" w:rsidP="00227218">
      <w:pPr>
        <w:pStyle w:val="ListParagraph"/>
        <w:spacing w:after="0"/>
        <w:rPr>
          <w:rFonts w:cs="Arial"/>
          <w:szCs w:val="24"/>
        </w:rPr>
      </w:pPr>
    </w:p>
    <w:p w14:paraId="0C1F7F8C" w14:textId="13F0840B" w:rsidR="00130BF3" w:rsidRPr="00C50CFC" w:rsidRDefault="00C50CFC" w:rsidP="00C50CFC">
      <w:pPr>
        <w:ind w:left="720" w:hanging="360"/>
      </w:pPr>
      <w:r>
        <w:rPr>
          <w:rFonts w:eastAsiaTheme="minorHAnsi"/>
          <w:spacing w:val="0"/>
          <w:lang w:val="en-US"/>
        </w:rPr>
        <w:t>3.</w:t>
      </w:r>
      <w:r>
        <w:rPr>
          <w:rFonts w:eastAsiaTheme="minorHAnsi"/>
          <w:spacing w:val="0"/>
          <w:lang w:val="en-US"/>
        </w:rPr>
        <w:tab/>
      </w:r>
      <w:r w:rsidR="00227218" w:rsidRPr="00C50CFC">
        <w:t>There shall</w:t>
      </w:r>
      <w:r w:rsidR="006F5F72" w:rsidRPr="00C50CFC">
        <w:t xml:space="preserve"> be</w:t>
      </w:r>
      <w:r w:rsidR="00227218" w:rsidRPr="00C50CFC">
        <w:t xml:space="preserve"> no order as to costs.</w:t>
      </w:r>
    </w:p>
    <w:p w14:paraId="11AD33BB" w14:textId="77777777" w:rsidR="00227218" w:rsidRPr="00227218" w:rsidRDefault="00227218" w:rsidP="00227218"/>
    <w:p w14:paraId="449943D1" w14:textId="1951808A" w:rsidR="00130BF3" w:rsidRPr="00C50CFC" w:rsidRDefault="00C50CFC" w:rsidP="00C50CFC">
      <w:pPr>
        <w:ind w:left="720" w:hanging="360"/>
      </w:pPr>
      <w:r w:rsidRPr="0015202E">
        <w:rPr>
          <w:rFonts w:eastAsiaTheme="minorHAnsi"/>
          <w:spacing w:val="0"/>
          <w:lang w:val="en-US"/>
        </w:rPr>
        <w:t>4.</w:t>
      </w:r>
      <w:r w:rsidRPr="0015202E">
        <w:rPr>
          <w:rFonts w:eastAsiaTheme="minorHAnsi"/>
          <w:spacing w:val="0"/>
          <w:lang w:val="en-US"/>
        </w:rPr>
        <w:tab/>
      </w:r>
      <w:r w:rsidR="00130BF3" w:rsidRPr="00C50CFC">
        <w:t>T</w:t>
      </w:r>
      <w:r w:rsidR="00CE4E33" w:rsidRPr="00C50CFC">
        <w:t>he matter is regarded as finalis</w:t>
      </w:r>
      <w:r w:rsidR="00130BF3" w:rsidRPr="00C50CFC">
        <w:t>ed and removed from the roll.</w:t>
      </w:r>
    </w:p>
    <w:p w14:paraId="08D48088" w14:textId="77777777" w:rsidR="005610BF" w:rsidRDefault="005610BF" w:rsidP="005610BF">
      <w:pPr>
        <w:pStyle w:val="ListParagraph"/>
        <w:spacing w:after="0"/>
        <w:rPr>
          <w:rFonts w:cs="Arial"/>
          <w:szCs w:val="24"/>
        </w:rPr>
      </w:pPr>
    </w:p>
    <w:p w14:paraId="00509BA4" w14:textId="77777777" w:rsidR="00BB03B8" w:rsidRDefault="00BB03B8" w:rsidP="00146092">
      <w:pPr>
        <w:widowControl/>
        <w:jc w:val="left"/>
      </w:pPr>
    </w:p>
    <w:p w14:paraId="7B24043E" w14:textId="5133507D" w:rsidR="00853524" w:rsidRPr="00D24E4F" w:rsidRDefault="00853524" w:rsidP="005610BF">
      <w:pPr>
        <w:widowControl/>
        <w:ind w:left="4320"/>
        <w:jc w:val="right"/>
      </w:pPr>
      <w:r w:rsidRPr="00D24E4F">
        <w:t>____________________</w:t>
      </w:r>
    </w:p>
    <w:p w14:paraId="2FC3ACD2" w14:textId="138029EB" w:rsidR="00853524" w:rsidRPr="00D24E4F" w:rsidRDefault="00853524" w:rsidP="005610BF">
      <w:pPr>
        <w:ind w:left="3600" w:firstLine="720"/>
        <w:jc w:val="right"/>
      </w:pPr>
      <w:r w:rsidRPr="00D24E4F">
        <w:t>E</w:t>
      </w:r>
      <w:r w:rsidR="009A4927">
        <w:t xml:space="preserve"> </w:t>
      </w:r>
      <w:r w:rsidRPr="00D24E4F">
        <w:t>M SCHIMMING-CHASE</w:t>
      </w:r>
    </w:p>
    <w:p w14:paraId="46B13592" w14:textId="63A6223C" w:rsidR="00147336" w:rsidRDefault="00053826" w:rsidP="005610BF">
      <w:pPr>
        <w:jc w:val="right"/>
      </w:pPr>
      <w:r>
        <w:t xml:space="preserve">                                                                    </w:t>
      </w:r>
      <w:r w:rsidR="00853524" w:rsidRPr="00D24E4F">
        <w:t>Judg</w:t>
      </w:r>
      <w:r w:rsidR="0012505E" w:rsidRPr="00D24E4F">
        <w:t>e</w:t>
      </w:r>
      <w:r w:rsidR="00147336">
        <w:br w:type="page"/>
      </w:r>
    </w:p>
    <w:p w14:paraId="1C4F74C7" w14:textId="24680C6B" w:rsidR="00853524" w:rsidRPr="00D24E4F" w:rsidRDefault="00853524" w:rsidP="00C036D4">
      <w:pPr>
        <w:widowControl/>
        <w:jc w:val="left"/>
      </w:pPr>
      <w:r w:rsidRPr="00D24E4F">
        <w:lastRenderedPageBreak/>
        <w:t>APPEARANCES</w:t>
      </w:r>
    </w:p>
    <w:p w14:paraId="2F3FACC4" w14:textId="77777777" w:rsidR="00853524" w:rsidRPr="00D24E4F" w:rsidRDefault="00853524" w:rsidP="00C036D4">
      <w:pPr>
        <w:pStyle w:val="BodyText"/>
        <w:autoSpaceDE w:val="0"/>
        <w:autoSpaceDN w:val="0"/>
        <w:adjustRightInd w:val="0"/>
        <w:spacing w:line="360" w:lineRule="auto"/>
        <w:jc w:val="both"/>
        <w:rPr>
          <w:rFonts w:ascii="Arial" w:hAnsi="Arial" w:cs="Arial"/>
        </w:rPr>
      </w:pPr>
    </w:p>
    <w:p w14:paraId="5B49111C" w14:textId="77777777" w:rsidR="0013112C" w:rsidRDefault="0013112C" w:rsidP="005610BF">
      <w:r>
        <w:t>APPLICANT</w:t>
      </w:r>
      <w:r w:rsidR="000E59B9" w:rsidRPr="00D24E4F">
        <w:t>:</w:t>
      </w:r>
      <w:r w:rsidR="000E59B9" w:rsidRPr="00D24E4F">
        <w:tab/>
      </w:r>
      <w:r w:rsidR="000E59B9" w:rsidRPr="00D24E4F">
        <w:tab/>
      </w:r>
      <w:r w:rsidR="000E59B9" w:rsidRPr="00D24E4F">
        <w:tab/>
      </w:r>
      <w:r w:rsidR="000E59B9" w:rsidRPr="00D24E4F">
        <w:tab/>
      </w:r>
      <w:r>
        <w:t>H Hamunyela</w:t>
      </w:r>
    </w:p>
    <w:p w14:paraId="214B5EB1" w14:textId="15B3239E" w:rsidR="005610BF" w:rsidRDefault="0013112C" w:rsidP="0013112C">
      <w:pPr>
        <w:ind w:left="2880" w:firstLine="720"/>
      </w:pPr>
      <w:r>
        <w:t xml:space="preserve">Of </w:t>
      </w:r>
      <w:r w:rsidRPr="0013112C">
        <w:t>Andreas-Hamunyela Legal Practitioners</w:t>
      </w:r>
      <w:r w:rsidR="00CE4E33">
        <w:t>,</w:t>
      </w:r>
    </w:p>
    <w:p w14:paraId="3CAA1AD7" w14:textId="637C670B" w:rsidR="00053826" w:rsidRPr="00D24E4F" w:rsidRDefault="005610BF" w:rsidP="0015202E">
      <w:pPr>
        <w:ind w:left="2880" w:firstLine="720"/>
      </w:pPr>
      <w:r>
        <w:t>Windhoek</w:t>
      </w:r>
    </w:p>
    <w:p w14:paraId="3689FA6C" w14:textId="77777777" w:rsidR="005610BF" w:rsidRDefault="005610BF" w:rsidP="00C036D4">
      <w:pPr>
        <w:autoSpaceDE w:val="0"/>
        <w:autoSpaceDN w:val="0"/>
        <w:adjustRightInd w:val="0"/>
      </w:pPr>
    </w:p>
    <w:p w14:paraId="1B285492" w14:textId="604335E1" w:rsidR="0015202E" w:rsidRDefault="0013112C" w:rsidP="005610BF">
      <w:pPr>
        <w:autoSpaceDE w:val="0"/>
        <w:autoSpaceDN w:val="0"/>
        <w:adjustRightInd w:val="0"/>
      </w:pPr>
      <w:r>
        <w:t>FIRST RESPONDENT</w:t>
      </w:r>
      <w:r w:rsidR="000E59B9" w:rsidRPr="00D24E4F">
        <w:t>:</w:t>
      </w:r>
      <w:r w:rsidR="0015202E">
        <w:tab/>
      </w:r>
      <w:r w:rsidR="0015202E">
        <w:tab/>
      </w:r>
      <w:r>
        <w:t>R Silungwe</w:t>
      </w:r>
    </w:p>
    <w:p w14:paraId="1851C46B" w14:textId="146A2B49" w:rsidR="0015202E" w:rsidRDefault="0013112C" w:rsidP="0015202E">
      <w:pPr>
        <w:autoSpaceDE w:val="0"/>
        <w:autoSpaceDN w:val="0"/>
        <w:adjustRightInd w:val="0"/>
      </w:pPr>
      <w:r>
        <w:tab/>
      </w:r>
      <w:r>
        <w:tab/>
      </w:r>
      <w:r>
        <w:tab/>
      </w:r>
      <w:r>
        <w:tab/>
      </w:r>
      <w:r>
        <w:tab/>
        <w:t xml:space="preserve">Of </w:t>
      </w:r>
      <w:r w:rsidRPr="0013112C">
        <w:t>Silungwe Legal Practitioners</w:t>
      </w:r>
      <w:r w:rsidR="00CE4E33">
        <w:t>,</w:t>
      </w:r>
    </w:p>
    <w:p w14:paraId="7252089C" w14:textId="7A7A241B" w:rsidR="005610BF" w:rsidRPr="00D24E4F" w:rsidRDefault="0015202E" w:rsidP="0015202E">
      <w:pPr>
        <w:autoSpaceDE w:val="0"/>
        <w:autoSpaceDN w:val="0"/>
        <w:adjustRightInd w:val="0"/>
        <w:ind w:left="2880" w:firstLine="720"/>
      </w:pPr>
      <w:r>
        <w:t>Windhoek</w:t>
      </w:r>
    </w:p>
    <w:sectPr w:rsidR="005610BF" w:rsidRPr="00D24E4F" w:rsidSect="00866EC4">
      <w:headerReference w:type="even" r:id="rId12"/>
      <w:headerReference w:type="default" r:id="rId13"/>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6C9B" w14:textId="77777777" w:rsidR="003C0C66" w:rsidRDefault="003C0C66" w:rsidP="00867D73">
      <w:pPr>
        <w:spacing w:line="240" w:lineRule="auto"/>
      </w:pPr>
      <w:r>
        <w:separator/>
      </w:r>
    </w:p>
  </w:endnote>
  <w:endnote w:type="continuationSeparator" w:id="0">
    <w:p w14:paraId="4191EDC5" w14:textId="77777777" w:rsidR="003C0C66" w:rsidRDefault="003C0C66"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41D3" w14:textId="77777777" w:rsidR="003C0C66" w:rsidRDefault="003C0C66" w:rsidP="00867D73">
      <w:pPr>
        <w:spacing w:line="240" w:lineRule="auto"/>
      </w:pPr>
      <w:r>
        <w:separator/>
      </w:r>
    </w:p>
  </w:footnote>
  <w:footnote w:type="continuationSeparator" w:id="0">
    <w:p w14:paraId="7854C265" w14:textId="77777777" w:rsidR="003C0C66" w:rsidRDefault="003C0C66" w:rsidP="00867D73">
      <w:pPr>
        <w:spacing w:line="240" w:lineRule="auto"/>
      </w:pPr>
      <w:r>
        <w:continuationSeparator/>
      </w:r>
    </w:p>
  </w:footnote>
  <w:footnote w:id="1">
    <w:p w14:paraId="4027F0F4" w14:textId="2024B075" w:rsidR="00CB46C9" w:rsidRPr="00193B50" w:rsidRDefault="00CB46C9">
      <w:pPr>
        <w:pStyle w:val="FootnoteText"/>
        <w:rPr>
          <w:lang w:val="en-US"/>
        </w:rPr>
      </w:pPr>
      <w:r>
        <w:rPr>
          <w:rStyle w:val="FootnoteReference"/>
        </w:rPr>
        <w:footnoteRef/>
      </w:r>
      <w:r>
        <w:t xml:space="preserve"> </w:t>
      </w:r>
      <w:r>
        <w:rPr>
          <w:lang w:val="en-US"/>
        </w:rPr>
        <w:t>Mr Ilovu deposed to a confirmatory affidavit.</w:t>
      </w:r>
    </w:p>
  </w:footnote>
  <w:footnote w:id="2">
    <w:p w14:paraId="0CB06B88" w14:textId="1710B19D" w:rsidR="00CB46C9" w:rsidRPr="004B5E14" w:rsidRDefault="00CB46C9" w:rsidP="00903A22">
      <w:pPr>
        <w:pStyle w:val="FootnoteText"/>
      </w:pPr>
      <w:r>
        <w:rPr>
          <w:rStyle w:val="FootnoteReference"/>
        </w:rPr>
        <w:footnoteRef/>
      </w:r>
      <w:r>
        <w:t xml:space="preserve"> </w:t>
      </w:r>
      <w:r w:rsidRPr="00903A22">
        <w:rPr>
          <w:i/>
        </w:rPr>
        <w:t>Haukambe v National Disability Council of Namibia</w:t>
      </w:r>
      <w:r>
        <w:t xml:space="preserve"> (HC-MD-LAB-APP-AAA-2023/00025) (INT-HC-OTH-2023/00103)) [2023] NALCMD 28 (7 July 2023) para 1.</w:t>
      </w:r>
    </w:p>
  </w:footnote>
  <w:footnote w:id="3">
    <w:p w14:paraId="3C400200" w14:textId="0C1B1A92" w:rsidR="00CB46C9" w:rsidRPr="00466EE7" w:rsidRDefault="00CB46C9" w:rsidP="00903A22">
      <w:pPr>
        <w:pStyle w:val="FootnoteText"/>
        <w:rPr>
          <w:lang w:val="en-US"/>
        </w:rPr>
      </w:pPr>
      <w:r>
        <w:rPr>
          <w:rStyle w:val="FootnoteReference"/>
        </w:rPr>
        <w:footnoteRef/>
      </w:r>
      <w:r w:rsidR="006F5F72">
        <w:t xml:space="preserve"> </w:t>
      </w:r>
      <w:r w:rsidRPr="00903A22">
        <w:rPr>
          <w:i/>
        </w:rPr>
        <w:t>Bokomo Namibia Pty (Ltd) v Shivute</w:t>
      </w:r>
      <w:r w:rsidRPr="00466EE7">
        <w:t xml:space="preserve"> (HC-MD-CIV-ACT-MOT-GEN-2020/00589) [2022] NAHCMD 345 (12 July 2022)</w:t>
      </w:r>
      <w:r>
        <w:t xml:space="preserve"> para 14.</w:t>
      </w:r>
    </w:p>
  </w:footnote>
  <w:footnote w:id="4">
    <w:p w14:paraId="10CDC223" w14:textId="75B3EA98" w:rsidR="00CB46C9" w:rsidRPr="00AC6C11" w:rsidRDefault="00CB46C9" w:rsidP="00903A22">
      <w:pPr>
        <w:pStyle w:val="FootnoteText"/>
        <w:rPr>
          <w:lang w:val="en-US"/>
        </w:rPr>
      </w:pPr>
      <w:r>
        <w:rPr>
          <w:rStyle w:val="FootnoteReference"/>
        </w:rPr>
        <w:footnoteRef/>
      </w:r>
      <w:r>
        <w:t xml:space="preserve"> </w:t>
      </w:r>
      <w:r w:rsidRPr="00AC6C11">
        <w:rPr>
          <w:i/>
        </w:rPr>
        <w:t xml:space="preserve">Telcom Namibia Limited v Nangolo and Others </w:t>
      </w:r>
      <w:r w:rsidRPr="00AC6C11">
        <w:t>(LC 33 of 2009) [2012] NALC 15 (28 May 2012)</w:t>
      </w:r>
    </w:p>
  </w:footnote>
  <w:footnote w:id="5">
    <w:p w14:paraId="1388525E" w14:textId="2A74DEA3" w:rsidR="00CB46C9" w:rsidRPr="00AC6C11" w:rsidRDefault="00CB46C9" w:rsidP="00903A22">
      <w:pPr>
        <w:pStyle w:val="FootnoteText"/>
        <w:rPr>
          <w:lang w:val="en-US"/>
        </w:rPr>
      </w:pPr>
      <w:r>
        <w:rPr>
          <w:rStyle w:val="FootnoteReference"/>
        </w:rPr>
        <w:footnoteRef/>
      </w:r>
      <w:r>
        <w:t xml:space="preserve"> </w:t>
      </w:r>
      <w:r w:rsidRPr="00903A22">
        <w:rPr>
          <w:i/>
        </w:rPr>
        <w:t>Beukes and Another v Swabou and Others</w:t>
      </w:r>
      <w:r>
        <w:t xml:space="preserve"> [2010] NASC 14 </w:t>
      </w:r>
      <w:r w:rsidRPr="00AC6C11">
        <w:t>(5 November 2010), para 12.</w:t>
      </w:r>
    </w:p>
  </w:footnote>
  <w:footnote w:id="6">
    <w:p w14:paraId="105D59B2" w14:textId="3865D2F1" w:rsidR="00CB46C9" w:rsidRPr="00AC6C11" w:rsidRDefault="00CB46C9" w:rsidP="00903A22">
      <w:pPr>
        <w:pStyle w:val="FootnoteText"/>
        <w:rPr>
          <w:lang w:val="en-US"/>
        </w:rPr>
      </w:pPr>
      <w:r>
        <w:rPr>
          <w:rStyle w:val="FootnoteReference"/>
        </w:rPr>
        <w:footnoteRef/>
      </w:r>
      <w:r>
        <w:t xml:space="preserve"> </w:t>
      </w:r>
      <w:r w:rsidRPr="00AC6C11">
        <w:rPr>
          <w:i/>
          <w:iCs/>
        </w:rPr>
        <w:t>Father Gert Dominic Petrus v Roman Catholic Archdiocese </w:t>
      </w:r>
      <w:r w:rsidRPr="00AC6C11">
        <w:t>, SA 32/2009, delivered on 09 June 2011, para 9.</w:t>
      </w:r>
    </w:p>
  </w:footnote>
  <w:footnote w:id="7">
    <w:p w14:paraId="0C6BF9B0" w14:textId="011CB12E" w:rsidR="00CB46C9" w:rsidRPr="00AC6C11" w:rsidRDefault="00CB46C9" w:rsidP="00903A22">
      <w:pPr>
        <w:pStyle w:val="FootnoteText"/>
        <w:rPr>
          <w:lang w:val="en-US"/>
        </w:rPr>
      </w:pPr>
      <w:r>
        <w:rPr>
          <w:rStyle w:val="FootnoteReference"/>
        </w:rPr>
        <w:footnoteRef/>
      </w:r>
      <w:r>
        <w:t xml:space="preserve"> </w:t>
      </w:r>
      <w:r w:rsidRPr="00AC6C11">
        <w:rPr>
          <w:i/>
          <w:iCs/>
        </w:rPr>
        <w:t>Beukes and Another v Swabou and Others</w:t>
      </w:r>
      <w:r>
        <w:rPr>
          <w:i/>
          <w:iCs/>
        </w:rPr>
        <w:t xml:space="preserve"> </w:t>
      </w:r>
      <w:r w:rsidRPr="00903A22">
        <w:rPr>
          <w:iCs/>
        </w:rPr>
        <w:t xml:space="preserve">[2010] NASC 14 </w:t>
      </w:r>
      <w:r w:rsidRPr="00AC6C11">
        <w:t>(5 November 2010), para 13.</w:t>
      </w:r>
    </w:p>
  </w:footnote>
  <w:footnote w:id="8">
    <w:p w14:paraId="0FCA925F" w14:textId="4BB46E7A" w:rsidR="00CB46C9" w:rsidRPr="00AC6C11" w:rsidRDefault="00CB46C9" w:rsidP="00903A22">
      <w:pPr>
        <w:pStyle w:val="FootnoteText"/>
        <w:rPr>
          <w:lang w:val="en-US"/>
        </w:rPr>
      </w:pPr>
      <w:r>
        <w:rPr>
          <w:rStyle w:val="FootnoteReference"/>
        </w:rPr>
        <w:footnoteRef/>
      </w:r>
      <w:r>
        <w:t xml:space="preserve"> </w:t>
      </w:r>
      <w:r w:rsidRPr="00AC6C11">
        <w:rPr>
          <w:i/>
          <w:iCs/>
        </w:rPr>
        <w:t>Ondjava Construction CC v HAW Retailers </w:t>
      </w:r>
      <w:r w:rsidRPr="00AC6C11">
        <w:t>2010 (1) NR 286(SC) at 288B, para 5.</w:t>
      </w:r>
    </w:p>
  </w:footnote>
  <w:footnote w:id="9">
    <w:p w14:paraId="0D6EA062" w14:textId="7D94A3BA" w:rsidR="00CB46C9" w:rsidRPr="00AC6C11" w:rsidRDefault="00CB46C9" w:rsidP="00903A22">
      <w:pPr>
        <w:pStyle w:val="FootnoteText"/>
        <w:rPr>
          <w:lang w:val="en-US"/>
        </w:rPr>
      </w:pPr>
      <w:r>
        <w:rPr>
          <w:rStyle w:val="FootnoteReference"/>
        </w:rPr>
        <w:footnoteRef/>
      </w:r>
      <w:r>
        <w:t xml:space="preserve"> </w:t>
      </w:r>
      <w:r w:rsidRPr="00903A22">
        <w:rPr>
          <w:i/>
        </w:rPr>
        <w:t>Pitersen-Diergaardt v Fischer</w:t>
      </w:r>
      <w:r w:rsidRPr="00AC6C11">
        <w:t xml:space="preserve"> 2008(1) NR 307C-D(HC)</w:t>
      </w:r>
    </w:p>
  </w:footnote>
  <w:footnote w:id="10">
    <w:p w14:paraId="506A44D1" w14:textId="23F28C23" w:rsidR="00CB46C9" w:rsidRPr="00AC6C11" w:rsidRDefault="00CB46C9" w:rsidP="00903A22">
      <w:pPr>
        <w:pStyle w:val="FootnoteText"/>
        <w:rPr>
          <w:lang w:val="en-US"/>
        </w:rPr>
      </w:pPr>
      <w:r>
        <w:rPr>
          <w:rStyle w:val="FootnoteReference"/>
        </w:rPr>
        <w:footnoteRef/>
      </w:r>
      <w:r>
        <w:t xml:space="preserve"> </w:t>
      </w:r>
      <w:r w:rsidRPr="00AC6C11">
        <w:rPr>
          <w:i/>
          <w:iCs/>
        </w:rPr>
        <w:t>Unitrans Fuel and Chemical (Pty) Ltd v Gove –Co carriers CC </w:t>
      </w:r>
      <w:r w:rsidRPr="00AC6C11">
        <w:t>2010 (5) SA 340, para 28</w:t>
      </w:r>
    </w:p>
  </w:footnote>
  <w:footnote w:id="11">
    <w:p w14:paraId="1D400ABD" w14:textId="725FFF3B" w:rsidR="00CB46C9" w:rsidRPr="00AC6C11" w:rsidRDefault="00CB46C9" w:rsidP="00903A22">
      <w:pPr>
        <w:pStyle w:val="FootnoteText"/>
        <w:rPr>
          <w:lang w:val="en-US"/>
        </w:rPr>
      </w:pPr>
      <w:r>
        <w:rPr>
          <w:rStyle w:val="FootnoteReference"/>
        </w:rPr>
        <w:footnoteRef/>
      </w:r>
      <w:r>
        <w:t xml:space="preserve"> </w:t>
      </w:r>
      <w:r w:rsidRPr="00AC6C11">
        <w:rPr>
          <w:i/>
          <w:iCs/>
        </w:rPr>
        <w:t>Salojee and Another NNO v Minister of Community Development</w:t>
      </w:r>
      <w:r w:rsidRPr="00AC6C11">
        <w:t> 1965 (2) SA 135(A) at 141B</w:t>
      </w:r>
      <w:r w:rsidRPr="00AC6C11">
        <w:rPr>
          <w:i/>
          <w:iCs/>
        </w:rPr>
        <w:t>; Moraliswani v Mamili </w:t>
      </w:r>
      <w:r w:rsidRPr="00AC6C11">
        <w:t>1989(4) SA 1 (AD) at p.10; </w:t>
      </w:r>
      <w:r w:rsidRPr="00AC6C11">
        <w:rPr>
          <w:i/>
          <w:iCs/>
        </w:rPr>
        <w:t>Maia v Total Namibia (Pty) Ltd</w:t>
      </w:r>
      <w:r w:rsidRPr="00AC6C11">
        <w:t> 1998 NR 303 (HC) at 304; </w:t>
      </w:r>
      <w:r w:rsidRPr="00AC6C11">
        <w:rPr>
          <w:i/>
          <w:iCs/>
        </w:rPr>
        <w:t>Ark Trading v Meredien Financial Services Namibia (Pty) Ltd</w:t>
      </w:r>
      <w:r w:rsidRPr="00AC6C11">
        <w:t> 1999 NR 230 at 238D-I.</w:t>
      </w:r>
    </w:p>
  </w:footnote>
  <w:footnote w:id="12">
    <w:p w14:paraId="21D96C79" w14:textId="74CD0702" w:rsidR="00CB46C9" w:rsidRPr="00AC6C11" w:rsidRDefault="00CB46C9" w:rsidP="00903A22">
      <w:pPr>
        <w:pStyle w:val="FootnoteText"/>
        <w:rPr>
          <w:lang w:val="en-US"/>
        </w:rPr>
      </w:pPr>
      <w:r>
        <w:rPr>
          <w:rStyle w:val="FootnoteReference"/>
        </w:rPr>
        <w:footnoteRef/>
      </w:r>
      <w:r>
        <w:t xml:space="preserve"> </w:t>
      </w:r>
      <w:r w:rsidRPr="00AC6C11">
        <w:rPr>
          <w:i/>
          <w:iCs/>
        </w:rPr>
        <w:t>Channel Life Namibia (Pty) Ltd v Otto</w:t>
      </w:r>
      <w:r w:rsidRPr="00AC6C11">
        <w:t> 2008 (2) NR 432(SC) at 445, para 47.</w:t>
      </w:r>
    </w:p>
  </w:footnote>
  <w:footnote w:id="13">
    <w:p w14:paraId="5EA2072A" w14:textId="361DBED7" w:rsidR="00CB46C9" w:rsidRPr="00AC6C11" w:rsidRDefault="00CB46C9" w:rsidP="00903A22">
      <w:pPr>
        <w:pStyle w:val="FootnoteText"/>
        <w:rPr>
          <w:lang w:val="en-US"/>
        </w:rPr>
      </w:pPr>
      <w:r>
        <w:rPr>
          <w:rStyle w:val="FootnoteReference"/>
        </w:rPr>
        <w:footnoteRef/>
      </w:r>
      <w:r>
        <w:t xml:space="preserve"> </w:t>
      </w:r>
      <w:r w:rsidRPr="00903A22">
        <w:rPr>
          <w:i/>
        </w:rPr>
        <w:t>Vaatz: </w:t>
      </w:r>
      <w:r w:rsidRPr="00AC6C11">
        <w:rPr>
          <w:i/>
          <w:iCs/>
        </w:rPr>
        <w:t>In re Schweiger v Gamikub (Pty) Ltd</w:t>
      </w:r>
      <w:r w:rsidRPr="00AC6C11">
        <w:t xml:space="preserve"> 2006 (Pty) Ltd 2006 (1) NR 161 (HC), para; </w:t>
      </w:r>
      <w:r w:rsidRPr="00903A22">
        <w:rPr>
          <w:i/>
        </w:rPr>
        <w:t>Father Gert Dominic Petrus v Roman Catholic Diocese</w:t>
      </w:r>
      <w:r w:rsidRPr="00AC6C11">
        <w:t>, case No. SA 32/2009, delivered on 9 June 2011, page 5 at paragraph 10.</w:t>
      </w:r>
    </w:p>
  </w:footnote>
  <w:footnote w:id="14">
    <w:p w14:paraId="709FA064" w14:textId="33C02B04" w:rsidR="00CB46C9" w:rsidRPr="00AC6C11" w:rsidRDefault="00CB46C9" w:rsidP="00903A22">
      <w:pPr>
        <w:pStyle w:val="FootnoteText"/>
        <w:rPr>
          <w:lang w:val="en-US"/>
        </w:rPr>
      </w:pPr>
      <w:r>
        <w:rPr>
          <w:rStyle w:val="FootnoteReference"/>
        </w:rPr>
        <w:footnoteRef/>
      </w:r>
      <w:r>
        <w:t xml:space="preserve"> </w:t>
      </w:r>
      <w:r w:rsidRPr="00AC6C11">
        <w:rPr>
          <w:i/>
        </w:rPr>
        <w:t>Finbro Furnishers (Pty) Ltd v Registrar of Deeds, Bloemfontein and Others</w:t>
      </w:r>
      <w:r w:rsidRPr="00AC6C11">
        <w:t xml:space="preserve"> 1985 (4) SA 773 (A)</w:t>
      </w:r>
    </w:p>
  </w:footnote>
  <w:footnote w:id="15">
    <w:p w14:paraId="42F9E944" w14:textId="7C4EEBD4" w:rsidR="00BB1196" w:rsidRPr="00BB1196" w:rsidRDefault="00BB1196">
      <w:pPr>
        <w:pStyle w:val="FootnoteText"/>
        <w:rPr>
          <w:lang w:val="en-GB"/>
        </w:rPr>
      </w:pPr>
      <w:r>
        <w:rPr>
          <w:rStyle w:val="FootnoteReference"/>
        </w:rPr>
        <w:footnoteRef/>
      </w:r>
      <w:r>
        <w:t xml:space="preserve"> </w:t>
      </w:r>
      <w:r w:rsidR="006F5F72">
        <w:t xml:space="preserve">Ibid </w:t>
      </w:r>
      <w:r w:rsidRPr="00AC6C11">
        <w:t>at 789I-J</w:t>
      </w:r>
    </w:p>
  </w:footnote>
  <w:footnote w:id="16">
    <w:p w14:paraId="5998DECA" w14:textId="1DCE85A1" w:rsidR="00CB46C9" w:rsidRPr="00AC6C11" w:rsidRDefault="00CB46C9" w:rsidP="00903A22">
      <w:pPr>
        <w:pStyle w:val="FootnoteText"/>
        <w:rPr>
          <w:lang w:val="en-US"/>
        </w:rPr>
      </w:pPr>
      <w:r>
        <w:rPr>
          <w:rStyle w:val="FootnoteReference"/>
        </w:rPr>
        <w:footnoteRef/>
      </w:r>
      <w:r>
        <w:t xml:space="preserve"> </w:t>
      </w:r>
      <w:r w:rsidRPr="00903A22">
        <w:rPr>
          <w:i/>
        </w:rPr>
        <w:t>Melane v Santam Insurance Co Ltd</w:t>
      </w:r>
      <w:r w:rsidRPr="00AC6C11">
        <w:t xml:space="preserve"> 1962 (4) SA 531 (A).</w:t>
      </w:r>
    </w:p>
  </w:footnote>
  <w:footnote w:id="17">
    <w:p w14:paraId="3BF5D68E" w14:textId="70DB4FE2" w:rsidR="00CB46C9" w:rsidRPr="004B5E14" w:rsidRDefault="00CB46C9" w:rsidP="00903A22">
      <w:pPr>
        <w:pStyle w:val="FootnoteText"/>
        <w:rPr>
          <w:lang w:val="en-US"/>
        </w:rPr>
      </w:pPr>
      <w:r>
        <w:rPr>
          <w:rStyle w:val="FootnoteReference"/>
        </w:rPr>
        <w:footnoteRef/>
      </w:r>
      <w:r>
        <w:t xml:space="preserve"> </w:t>
      </w:r>
      <w:r w:rsidRPr="004B5E14">
        <w:rPr>
          <w:i/>
        </w:rPr>
        <w:t xml:space="preserve">Haukambe v National Disability Council of Namibia </w:t>
      </w:r>
      <w:r w:rsidRPr="004B5E14">
        <w:t>(HC-MD-LAB-APP-AAA-2023/00025) (INT-HC-OTH-2023/00103)) [2023] NALCMD 28 (7 July 2023) para 1.</w:t>
      </w:r>
    </w:p>
  </w:footnote>
  <w:footnote w:id="18">
    <w:p w14:paraId="181B6E4F" w14:textId="6B284E2B" w:rsidR="00CB46C9" w:rsidRPr="00B82A89" w:rsidRDefault="00CB46C9">
      <w:pPr>
        <w:pStyle w:val="FootnoteText"/>
        <w:rPr>
          <w:lang w:val="en-US"/>
        </w:rPr>
      </w:pPr>
      <w:r>
        <w:rPr>
          <w:rStyle w:val="FootnoteReference"/>
        </w:rPr>
        <w:footnoteRef/>
      </w:r>
      <w:r>
        <w:t xml:space="preserve"> </w:t>
      </w:r>
      <w:r w:rsidRPr="00CB46C9">
        <w:rPr>
          <w:i/>
        </w:rPr>
        <w:t>Swakpmund Uranium (Pty) Ltd v Kalipa</w:t>
      </w:r>
      <w:r w:rsidR="006F5F72">
        <w:t xml:space="preserve"> (LCA 41</w:t>
      </w:r>
      <w:r>
        <w:t xml:space="preserve"> 2014) [2015] NALCMD 28 (04 December 2015).</w:t>
      </w:r>
    </w:p>
  </w:footnote>
  <w:footnote w:id="19">
    <w:p w14:paraId="447B3122" w14:textId="74D10B15" w:rsidR="00CB46C9" w:rsidRPr="00BA5F19" w:rsidRDefault="00CB46C9" w:rsidP="00903A22">
      <w:pPr>
        <w:pStyle w:val="FootnoteText"/>
        <w:rPr>
          <w:lang w:val="en-US"/>
        </w:rPr>
      </w:pPr>
      <w:r>
        <w:rPr>
          <w:rStyle w:val="FootnoteReference"/>
        </w:rPr>
        <w:footnoteRef/>
      </w:r>
      <w:r>
        <w:t xml:space="preserve"> </w:t>
      </w:r>
      <w:r w:rsidRPr="00BA5F19">
        <w:rPr>
          <w:i/>
        </w:rPr>
        <w:t xml:space="preserve">Minister of Safety and Security &amp; 5 others v Kennedy &amp; another </w:t>
      </w:r>
      <w:r w:rsidRPr="00BA5F19">
        <w:t>(SA 69-2020) [2023] NASC (18 July 2023)</w:t>
      </w:r>
    </w:p>
  </w:footnote>
  <w:footnote w:id="20">
    <w:p w14:paraId="7F5799BD" w14:textId="77777777" w:rsidR="00CB46C9" w:rsidRPr="00CD4D53" w:rsidRDefault="00CB46C9" w:rsidP="008621CF">
      <w:pPr>
        <w:pStyle w:val="FootnoteText"/>
        <w:rPr>
          <w:lang w:val="en-US"/>
        </w:rPr>
      </w:pPr>
      <w:r w:rsidRPr="00CD4D53">
        <w:rPr>
          <w:rStyle w:val="FootnoteReference"/>
        </w:rPr>
        <w:footnoteRef/>
      </w:r>
      <w:r w:rsidRPr="00CD4D53">
        <w:t xml:space="preserve"> </w:t>
      </w:r>
      <w:r w:rsidRPr="00CD4D53">
        <w:rPr>
          <w:i/>
        </w:rPr>
        <w:t>Channel Life Namibia (Pty) Ltd v Ott</w:t>
      </w:r>
      <w:r w:rsidRPr="00CD4D53">
        <w:t>o 2008(2) NR 432(SC) at 445 para 45.</w:t>
      </w:r>
    </w:p>
  </w:footnote>
  <w:footnote w:id="21">
    <w:p w14:paraId="5EB1D8E0" w14:textId="77777777" w:rsidR="00CB46C9" w:rsidRPr="00CD4D53" w:rsidRDefault="00CB46C9" w:rsidP="008621CF">
      <w:pPr>
        <w:pStyle w:val="FootnoteText"/>
        <w:rPr>
          <w:lang w:val="en-US"/>
        </w:rPr>
      </w:pPr>
      <w:r w:rsidRPr="00CD4D53">
        <w:rPr>
          <w:rStyle w:val="FootnoteReference"/>
        </w:rPr>
        <w:footnoteRef/>
      </w:r>
      <w:r w:rsidRPr="00CD4D53">
        <w:t xml:space="preserve"> </w:t>
      </w:r>
      <w:r w:rsidRPr="00CD4D53">
        <w:rPr>
          <w:i/>
        </w:rPr>
        <w:t>Telecom Namibia Ltd v Nangolo and Others</w:t>
      </w:r>
      <w:r w:rsidRPr="00CD4D53">
        <w:t xml:space="preserve"> 2015 (2) NR 510 (SC).</w:t>
      </w:r>
    </w:p>
  </w:footnote>
  <w:footnote w:id="22">
    <w:p w14:paraId="67D9F4E5" w14:textId="77777777" w:rsidR="00CB46C9" w:rsidRPr="00CD4D53" w:rsidRDefault="00CB46C9" w:rsidP="008621CF">
      <w:pPr>
        <w:pStyle w:val="FootnoteText"/>
        <w:rPr>
          <w:lang w:val="en-US"/>
        </w:rPr>
      </w:pPr>
      <w:r w:rsidRPr="00CD4D53">
        <w:rPr>
          <w:rStyle w:val="FootnoteReference"/>
        </w:rPr>
        <w:footnoteRef/>
      </w:r>
      <w:r w:rsidRPr="00CD4D53">
        <w:t xml:space="preserve"> </w:t>
      </w:r>
      <w:r w:rsidRPr="00CD4D53">
        <w:rPr>
          <w:i/>
        </w:rPr>
        <w:t>De Klerk v Penderis and Others</w:t>
      </w:r>
      <w:r w:rsidRPr="00CD4D53">
        <w:t xml:space="preserve"> (SA 76 of 2020) 2023 NASC 1 (1 March 2023).</w:t>
      </w:r>
    </w:p>
  </w:footnote>
  <w:footnote w:id="23">
    <w:p w14:paraId="2F94E822" w14:textId="77777777" w:rsidR="00CB46C9" w:rsidRPr="00CD4D53" w:rsidRDefault="00CB46C9" w:rsidP="008621CF">
      <w:pPr>
        <w:pStyle w:val="FootnoteText"/>
        <w:tabs>
          <w:tab w:val="left" w:pos="284"/>
        </w:tabs>
      </w:pPr>
      <w:r w:rsidRPr="00CD4D53">
        <w:rPr>
          <w:rStyle w:val="FootnoteReference"/>
        </w:rPr>
        <w:footnoteRef/>
      </w:r>
      <w:r w:rsidRPr="00CD4D53">
        <w:t xml:space="preserve"> </w:t>
      </w:r>
      <w:r w:rsidRPr="00CD4D53">
        <w:rPr>
          <w:i/>
          <w:iCs/>
          <w:shd w:val="clear" w:color="auto" w:fill="FFFFFF"/>
        </w:rPr>
        <w:t>Beukes and Another v South West Africa Building Society (SWABOU) and Others</w:t>
      </w:r>
      <w:r w:rsidRPr="00CD4D53">
        <w:rPr>
          <w:rStyle w:val="FootnoteReference"/>
          <w:i/>
          <w:iCs/>
          <w:shd w:val="clear" w:color="auto" w:fill="FFFFFF"/>
        </w:rPr>
        <w:footnoteRef/>
      </w:r>
      <w:r w:rsidRPr="00CD4D53">
        <w:rPr>
          <w:shd w:val="clear" w:color="auto" w:fill="FFFFFF"/>
        </w:rPr>
        <w:t xml:space="preserve"> (SA 10/2006) [2010] NASC 14 (05   November 2010).</w:t>
      </w:r>
    </w:p>
  </w:footnote>
  <w:footnote w:id="24">
    <w:p w14:paraId="7E9A2C40" w14:textId="77777777" w:rsidR="00CB46C9" w:rsidRPr="00E72B16" w:rsidRDefault="00CB46C9" w:rsidP="008621CF">
      <w:pPr>
        <w:pStyle w:val="FootnoteText"/>
        <w:rPr>
          <w:lang w:val="en-US"/>
        </w:rPr>
      </w:pPr>
      <w:r w:rsidRPr="00CD4D53">
        <w:rPr>
          <w:rStyle w:val="FootnoteReference"/>
        </w:rPr>
        <w:footnoteRef/>
      </w:r>
      <w:r w:rsidRPr="00CD4D53">
        <w:t xml:space="preserve"> </w:t>
      </w:r>
      <w:r w:rsidRPr="00CD4D53">
        <w:rPr>
          <w:i/>
        </w:rPr>
        <w:t>Lewis v Draghoender</w:t>
      </w:r>
      <w:r w:rsidRPr="00CD4D53">
        <w:t xml:space="preserve"> (HC-MD-LAB-APP-AAA-2021/00042) [2022] NAHCMD 41 (22 July 2022) para 17.</w:t>
      </w:r>
    </w:p>
  </w:footnote>
  <w:footnote w:id="25">
    <w:p w14:paraId="7BA09386" w14:textId="77777777" w:rsidR="00CB46C9" w:rsidRPr="00CD4D53" w:rsidRDefault="00CB46C9" w:rsidP="008621CF">
      <w:pPr>
        <w:pStyle w:val="FootnoteText"/>
        <w:rPr>
          <w:lang w:val="en-US"/>
        </w:rPr>
      </w:pPr>
      <w:r w:rsidRPr="00CD4D53">
        <w:rPr>
          <w:rStyle w:val="FootnoteReference"/>
        </w:rPr>
        <w:footnoteRef/>
      </w:r>
      <w:r w:rsidRPr="00CD4D53">
        <w:t xml:space="preserve"> </w:t>
      </w:r>
      <w:r w:rsidRPr="00CD4D53">
        <w:rPr>
          <w:i/>
        </w:rPr>
        <w:t>Metropolitan Namibia v Amos Nangolo</w:t>
      </w:r>
      <w:r w:rsidRPr="00CD4D53">
        <w:t xml:space="preserve"> (CA 03/2015) [2017] NAHCNLD 2 (30 January 2017).</w:t>
      </w:r>
    </w:p>
  </w:footnote>
  <w:footnote w:id="26">
    <w:p w14:paraId="5A487AAF" w14:textId="77777777" w:rsidR="00CB46C9" w:rsidRPr="00CD4D53" w:rsidRDefault="00CB46C9" w:rsidP="008621CF">
      <w:pPr>
        <w:pStyle w:val="FootnoteText"/>
        <w:rPr>
          <w:lang w:val="en-US"/>
        </w:rPr>
      </w:pPr>
      <w:r w:rsidRPr="00CD4D53">
        <w:rPr>
          <w:rStyle w:val="FootnoteReference"/>
        </w:rPr>
        <w:footnoteRef/>
      </w:r>
      <w:r w:rsidRPr="00CD4D53">
        <w:t xml:space="preserve"> </w:t>
      </w:r>
      <w:r w:rsidRPr="00CD4D53">
        <w:rPr>
          <w:i/>
        </w:rPr>
        <w:t>Prosecutor-General v Paulo</w:t>
      </w:r>
      <w:r w:rsidRPr="00CD4D53">
        <w:t xml:space="preserve"> (2) [2020] NASC 19 (24 June 2020) para 22.</w:t>
      </w:r>
    </w:p>
  </w:footnote>
  <w:footnote w:id="27">
    <w:p w14:paraId="299760EB" w14:textId="77777777" w:rsidR="00CB46C9" w:rsidRPr="00712E81" w:rsidRDefault="00CB46C9" w:rsidP="008621CF">
      <w:pPr>
        <w:pStyle w:val="FootnoteText"/>
        <w:rPr>
          <w:lang w:val="en-US"/>
        </w:rPr>
      </w:pPr>
      <w:r w:rsidRPr="00CD4D53">
        <w:rPr>
          <w:rStyle w:val="FootnoteReference"/>
        </w:rPr>
        <w:footnoteRef/>
      </w:r>
      <w:r w:rsidRPr="00CD4D53">
        <w:t xml:space="preserve"> </w:t>
      </w:r>
      <w:r w:rsidRPr="00CD4D53">
        <w:rPr>
          <w:i/>
        </w:rPr>
        <w:t>Lewis v Draghoender</w:t>
      </w:r>
      <w:r w:rsidRPr="00CD4D53">
        <w:t xml:space="preserve"> (HC-MD-LAB-APP-AAA-2021/00042) [2022] NAHCMD 41 (22 July 2022) para 18.</w:t>
      </w:r>
    </w:p>
  </w:footnote>
  <w:footnote w:id="28">
    <w:p w14:paraId="10BCDA1F" w14:textId="77777777" w:rsidR="00CB46C9" w:rsidRPr="0025580C" w:rsidRDefault="00CB46C9" w:rsidP="003A006F">
      <w:pPr>
        <w:pStyle w:val="FootnoteText"/>
      </w:pPr>
      <w:r>
        <w:rPr>
          <w:rStyle w:val="FootnoteReference"/>
        </w:rPr>
        <w:footnoteRef/>
      </w:r>
      <w:r>
        <w:t xml:space="preserve"> </w:t>
      </w:r>
      <w:r w:rsidRPr="006D6866">
        <w:rPr>
          <w:i/>
        </w:rPr>
        <w:t>South Cape Corporation (Pty) Ltd v Engineering Management Services (Pty) Ltd</w:t>
      </w:r>
      <w:r>
        <w:t xml:space="preserve"> 1977 (3) SA 534 (A) at 545D-G;</w:t>
      </w:r>
      <w:r w:rsidRPr="00006BFF">
        <w:rPr>
          <w:i/>
        </w:rPr>
        <w:t xml:space="preserve"> </w:t>
      </w:r>
      <w:r w:rsidRPr="0025580C">
        <w:rPr>
          <w:i/>
        </w:rPr>
        <w:t>Hardap Regional Council v Sankwasa and Another</w:t>
      </w:r>
      <w:r w:rsidRPr="0025580C">
        <w:t xml:space="preserve"> (LC 15/2009) [2009] NALC 4 (28 May 2009) para 9.</w:t>
      </w:r>
    </w:p>
    <w:p w14:paraId="38087F59" w14:textId="77777777" w:rsidR="00CB46C9" w:rsidRPr="00006BFF" w:rsidRDefault="00CB46C9" w:rsidP="003A006F">
      <w:pPr>
        <w:pStyle w:val="FootnoteText"/>
        <w:rPr>
          <w:lang w:val="en-GB"/>
        </w:rPr>
      </w:pPr>
    </w:p>
  </w:footnote>
  <w:footnote w:id="29">
    <w:p w14:paraId="3079A4B6" w14:textId="6C262161" w:rsidR="00CB46C9" w:rsidRPr="00D550CC" w:rsidRDefault="00CB46C9">
      <w:pPr>
        <w:pStyle w:val="FootnoteText"/>
        <w:rPr>
          <w:lang w:val="en-US"/>
        </w:rPr>
      </w:pPr>
      <w:r>
        <w:rPr>
          <w:rStyle w:val="FootnoteReference"/>
        </w:rPr>
        <w:footnoteRef/>
      </w:r>
      <w:r>
        <w:t xml:space="preserve"> </w:t>
      </w:r>
      <w:r w:rsidRPr="00D550CC">
        <w:rPr>
          <w:i/>
        </w:rPr>
        <w:t>Ongwediva Medipark (Pty) Ltd v Iithete</w:t>
      </w:r>
      <w:r w:rsidRPr="00D550CC">
        <w:t xml:space="preserve"> (HC-MD-CIV-ACT-CON-2022/02350) [2023] NAHCMD 432 (25 July 2023)</w:t>
      </w:r>
      <w:r>
        <w:t xml:space="preserve"> para 23.</w:t>
      </w:r>
    </w:p>
  </w:footnote>
  <w:footnote w:id="30">
    <w:p w14:paraId="26C273A7" w14:textId="547951E0" w:rsidR="00CB46C9" w:rsidRPr="00D550CC" w:rsidRDefault="00CB46C9">
      <w:pPr>
        <w:pStyle w:val="FootnoteText"/>
        <w:rPr>
          <w:lang w:val="en-US"/>
        </w:rPr>
      </w:pPr>
      <w:r>
        <w:rPr>
          <w:rStyle w:val="FootnoteReference"/>
        </w:rPr>
        <w:footnoteRef/>
      </w:r>
      <w:r>
        <w:t xml:space="preserve"> </w:t>
      </w:r>
      <w:r w:rsidRPr="00D550CC">
        <w:rPr>
          <w:i/>
        </w:rPr>
        <w:t>Leweis v Sampoio</w:t>
      </w:r>
      <w:r w:rsidRPr="00D550CC">
        <w:t xml:space="preserve"> 2000 NR 186 (SC).</w:t>
      </w:r>
    </w:p>
  </w:footnote>
  <w:footnote w:id="31">
    <w:p w14:paraId="72E5ED9A" w14:textId="149DA346" w:rsidR="00AE123A" w:rsidRPr="00AE123A" w:rsidRDefault="00AE123A">
      <w:pPr>
        <w:pStyle w:val="FootnoteText"/>
        <w:rPr>
          <w:lang w:val="en-US"/>
        </w:rPr>
      </w:pPr>
      <w:r>
        <w:rPr>
          <w:rStyle w:val="FootnoteReference"/>
        </w:rPr>
        <w:footnoteRef/>
      </w:r>
      <w:r>
        <w:t xml:space="preserve"> </w:t>
      </w:r>
      <w:r w:rsidRPr="00AE123A">
        <w:rPr>
          <w:i/>
        </w:rPr>
        <w:t>Standard Bank Namibia Limited v Nekwaya</w:t>
      </w:r>
      <w:r w:rsidRPr="00AE123A">
        <w:t xml:space="preserve"> (SA 95-2020) [2022] NASC (1 December 2022)</w:t>
      </w:r>
      <w:r>
        <w:t xml:space="preserve"> para 40.</w:t>
      </w:r>
    </w:p>
  </w:footnote>
  <w:footnote w:id="32">
    <w:p w14:paraId="266351E8" w14:textId="42D07392" w:rsidR="00CB46C9" w:rsidRPr="001C79DE" w:rsidRDefault="00CB46C9">
      <w:pPr>
        <w:pStyle w:val="FootnoteText"/>
        <w:rPr>
          <w:lang w:val="en-US"/>
        </w:rPr>
      </w:pPr>
      <w:r>
        <w:rPr>
          <w:rStyle w:val="FootnoteReference"/>
        </w:rPr>
        <w:footnoteRef/>
      </w:r>
      <w:r>
        <w:t xml:space="preserve"> </w:t>
      </w:r>
      <w:r>
        <w:rPr>
          <w:lang w:val="en-US"/>
        </w:rPr>
        <w:t>Para 35 of Mr /Uirab’s answering affidavit.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FC7" w14:textId="77777777" w:rsidR="00CB46C9" w:rsidRDefault="00CB46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CB46C9" w:rsidRDefault="00CB46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5FD" w14:textId="77777777" w:rsidR="00CB46C9" w:rsidRDefault="00CB46C9">
    <w:pPr>
      <w:ind w:right="360"/>
      <w:jc w:val="right"/>
    </w:pPr>
    <w:r>
      <w:rPr>
        <w:rStyle w:val="PageNumber"/>
      </w:rPr>
      <w:fldChar w:fldCharType="begin"/>
    </w:r>
    <w:r>
      <w:rPr>
        <w:rStyle w:val="PageNumber"/>
      </w:rPr>
      <w:instrText xml:space="preserve"> PAGE </w:instrText>
    </w:r>
    <w:r>
      <w:rPr>
        <w:rStyle w:val="PageNumber"/>
      </w:rPr>
      <w:fldChar w:fldCharType="separate"/>
    </w:r>
    <w:r w:rsidR="003E600F">
      <w:rPr>
        <w:rStyle w:val="PageNumber"/>
        <w:noProof/>
      </w:rPr>
      <w:t>16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60DD1A"/>
    <w:lvl w:ilvl="0">
      <w:start w:val="1"/>
      <w:numFmt w:val="decimal"/>
      <w:pStyle w:val="Heading1"/>
      <w:lvlText w:val="[%1]"/>
      <w:lvlJc w:val="left"/>
      <w:pPr>
        <w:ind w:left="1211" w:hanging="360"/>
      </w:pPr>
      <w:rPr>
        <w:rFonts w:hint="default"/>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0000002"/>
    <w:multiLevelType w:val="singleLevel"/>
    <w:tmpl w:val="00000002"/>
    <w:name w:val="WW8Num18"/>
    <w:lvl w:ilvl="0">
      <w:start w:val="1"/>
      <w:numFmt w:val="lowerLetter"/>
      <w:lvlText w:val="(%1)"/>
      <w:lvlJc w:val="left"/>
      <w:pPr>
        <w:ind w:left="1350" w:hanging="630"/>
      </w:pPr>
      <w:rPr>
        <w:i/>
      </w:rPr>
    </w:lvl>
  </w:abstractNum>
  <w:abstractNum w:abstractNumId="2" w15:restartNumberingAfterBreak="0">
    <w:nsid w:val="09C33D37"/>
    <w:multiLevelType w:val="hybridMultilevel"/>
    <w:tmpl w:val="42A62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F4B67"/>
    <w:multiLevelType w:val="hybridMultilevel"/>
    <w:tmpl w:val="22A44124"/>
    <w:lvl w:ilvl="0" w:tplc="5C081486">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BA705F"/>
    <w:multiLevelType w:val="hybridMultilevel"/>
    <w:tmpl w:val="22A44124"/>
    <w:lvl w:ilvl="0" w:tplc="5C081486">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26E23"/>
    <w:multiLevelType w:val="hybridMultilevel"/>
    <w:tmpl w:val="E5300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F160A"/>
    <w:multiLevelType w:val="hybridMultilevel"/>
    <w:tmpl w:val="740C8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8" w15:restartNumberingAfterBreak="0">
    <w:nsid w:val="357D45FF"/>
    <w:multiLevelType w:val="hybridMultilevel"/>
    <w:tmpl w:val="815E9B40"/>
    <w:lvl w:ilvl="0" w:tplc="D9D8CA24">
      <w:start w:val="1"/>
      <w:numFmt w:val="lowerLetter"/>
      <w:lvlText w:val="(%1)"/>
      <w:lvlJc w:val="left"/>
      <w:pPr>
        <w:ind w:left="1288" w:hanging="360"/>
      </w:pPr>
      <w:rPr>
        <w:rFonts w:hint="default"/>
      </w:rPr>
    </w:lvl>
    <w:lvl w:ilvl="1" w:tplc="20000019" w:tentative="1">
      <w:start w:val="1"/>
      <w:numFmt w:val="lowerLetter"/>
      <w:lvlText w:val="%2."/>
      <w:lvlJc w:val="left"/>
      <w:pPr>
        <w:ind w:left="2008" w:hanging="360"/>
      </w:pPr>
    </w:lvl>
    <w:lvl w:ilvl="2" w:tplc="2000001B" w:tentative="1">
      <w:start w:val="1"/>
      <w:numFmt w:val="lowerRoman"/>
      <w:lvlText w:val="%3."/>
      <w:lvlJc w:val="right"/>
      <w:pPr>
        <w:ind w:left="2728" w:hanging="180"/>
      </w:pPr>
    </w:lvl>
    <w:lvl w:ilvl="3" w:tplc="2000000F" w:tentative="1">
      <w:start w:val="1"/>
      <w:numFmt w:val="decimal"/>
      <w:lvlText w:val="%4."/>
      <w:lvlJc w:val="left"/>
      <w:pPr>
        <w:ind w:left="3448" w:hanging="360"/>
      </w:pPr>
    </w:lvl>
    <w:lvl w:ilvl="4" w:tplc="20000019" w:tentative="1">
      <w:start w:val="1"/>
      <w:numFmt w:val="lowerLetter"/>
      <w:lvlText w:val="%5."/>
      <w:lvlJc w:val="left"/>
      <w:pPr>
        <w:ind w:left="4168" w:hanging="360"/>
      </w:pPr>
    </w:lvl>
    <w:lvl w:ilvl="5" w:tplc="2000001B" w:tentative="1">
      <w:start w:val="1"/>
      <w:numFmt w:val="lowerRoman"/>
      <w:lvlText w:val="%6."/>
      <w:lvlJc w:val="right"/>
      <w:pPr>
        <w:ind w:left="4888" w:hanging="180"/>
      </w:pPr>
    </w:lvl>
    <w:lvl w:ilvl="6" w:tplc="2000000F" w:tentative="1">
      <w:start w:val="1"/>
      <w:numFmt w:val="decimal"/>
      <w:lvlText w:val="%7."/>
      <w:lvlJc w:val="left"/>
      <w:pPr>
        <w:ind w:left="5608" w:hanging="360"/>
      </w:pPr>
    </w:lvl>
    <w:lvl w:ilvl="7" w:tplc="20000019" w:tentative="1">
      <w:start w:val="1"/>
      <w:numFmt w:val="lowerLetter"/>
      <w:lvlText w:val="%8."/>
      <w:lvlJc w:val="left"/>
      <w:pPr>
        <w:ind w:left="6328" w:hanging="360"/>
      </w:pPr>
    </w:lvl>
    <w:lvl w:ilvl="8" w:tplc="2000001B" w:tentative="1">
      <w:start w:val="1"/>
      <w:numFmt w:val="lowerRoman"/>
      <w:lvlText w:val="%9."/>
      <w:lvlJc w:val="right"/>
      <w:pPr>
        <w:ind w:left="7048" w:hanging="180"/>
      </w:pPr>
    </w:lvl>
  </w:abstractNum>
  <w:abstractNum w:abstractNumId="9" w15:restartNumberingAfterBreak="0">
    <w:nsid w:val="35E1400C"/>
    <w:multiLevelType w:val="hybridMultilevel"/>
    <w:tmpl w:val="A846177C"/>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A58DD"/>
    <w:multiLevelType w:val="hybridMultilevel"/>
    <w:tmpl w:val="8188E51C"/>
    <w:lvl w:ilvl="0" w:tplc="CD164870">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93ACC"/>
    <w:multiLevelType w:val="hybridMultilevel"/>
    <w:tmpl w:val="BA24A15C"/>
    <w:lvl w:ilvl="0" w:tplc="86B4253E">
      <w:start w:val="1"/>
      <w:numFmt w:val="lowerRoman"/>
      <w:pStyle w:val="Heading3"/>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2" w15:restartNumberingAfterBreak="0">
    <w:nsid w:val="54260793"/>
    <w:multiLevelType w:val="hybridMultilevel"/>
    <w:tmpl w:val="4766A41C"/>
    <w:lvl w:ilvl="0" w:tplc="DD802FD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E57CD"/>
    <w:multiLevelType w:val="hybridMultilevel"/>
    <w:tmpl w:val="0B90D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F2EA5"/>
    <w:multiLevelType w:val="hybridMultilevel"/>
    <w:tmpl w:val="417EE698"/>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B442FF"/>
    <w:multiLevelType w:val="hybridMultilevel"/>
    <w:tmpl w:val="3126C6B0"/>
    <w:lvl w:ilvl="0" w:tplc="84FC15EE">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009303">
    <w:abstractNumId w:val="0"/>
  </w:num>
  <w:num w:numId="2" w16cid:durableId="132452032">
    <w:abstractNumId w:val="7"/>
  </w:num>
  <w:num w:numId="3" w16cid:durableId="1260604909">
    <w:abstractNumId w:val="11"/>
  </w:num>
  <w:num w:numId="4" w16cid:durableId="1758403951">
    <w:abstractNumId w:val="12"/>
  </w:num>
  <w:num w:numId="5" w16cid:durableId="1732117888">
    <w:abstractNumId w:val="4"/>
  </w:num>
  <w:num w:numId="6" w16cid:durableId="68843392">
    <w:abstractNumId w:val="2"/>
  </w:num>
  <w:num w:numId="7" w16cid:durableId="694885724">
    <w:abstractNumId w:val="5"/>
  </w:num>
  <w:num w:numId="8" w16cid:durableId="1374426389">
    <w:abstractNumId w:val="13"/>
  </w:num>
  <w:num w:numId="9" w16cid:durableId="609510717">
    <w:abstractNumId w:val="6"/>
  </w:num>
  <w:num w:numId="10" w16cid:durableId="681786776">
    <w:abstractNumId w:val="10"/>
  </w:num>
  <w:num w:numId="11" w16cid:durableId="474491966">
    <w:abstractNumId w:val="9"/>
  </w:num>
  <w:num w:numId="12" w16cid:durableId="24258797">
    <w:abstractNumId w:val="14"/>
  </w:num>
  <w:num w:numId="13" w16cid:durableId="261304344">
    <w:abstractNumId w:val="8"/>
  </w:num>
  <w:num w:numId="14" w16cid:durableId="1158612562">
    <w:abstractNumId w:val="15"/>
  </w:num>
  <w:num w:numId="15" w16cid:durableId="57855867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24"/>
    <w:rsid w:val="00000AD3"/>
    <w:rsid w:val="00001E44"/>
    <w:rsid w:val="000031EF"/>
    <w:rsid w:val="00005673"/>
    <w:rsid w:val="0001020A"/>
    <w:rsid w:val="00010EE2"/>
    <w:rsid w:val="00013787"/>
    <w:rsid w:val="00014C91"/>
    <w:rsid w:val="00015776"/>
    <w:rsid w:val="00016E2D"/>
    <w:rsid w:val="00016FEE"/>
    <w:rsid w:val="000178BA"/>
    <w:rsid w:val="000226A9"/>
    <w:rsid w:val="00024191"/>
    <w:rsid w:val="00027D48"/>
    <w:rsid w:val="000324F3"/>
    <w:rsid w:val="000409B6"/>
    <w:rsid w:val="00045453"/>
    <w:rsid w:val="0005086D"/>
    <w:rsid w:val="00051121"/>
    <w:rsid w:val="00051574"/>
    <w:rsid w:val="00053826"/>
    <w:rsid w:val="00063685"/>
    <w:rsid w:val="000650A6"/>
    <w:rsid w:val="00070A8F"/>
    <w:rsid w:val="0007119C"/>
    <w:rsid w:val="00072ED7"/>
    <w:rsid w:val="00072F8E"/>
    <w:rsid w:val="00083864"/>
    <w:rsid w:val="00083B84"/>
    <w:rsid w:val="00085D64"/>
    <w:rsid w:val="00087A71"/>
    <w:rsid w:val="00093246"/>
    <w:rsid w:val="00093CE9"/>
    <w:rsid w:val="000975CD"/>
    <w:rsid w:val="00097B54"/>
    <w:rsid w:val="000A5A46"/>
    <w:rsid w:val="000A5F03"/>
    <w:rsid w:val="000A7AA5"/>
    <w:rsid w:val="000B1663"/>
    <w:rsid w:val="000B54E5"/>
    <w:rsid w:val="000B66A4"/>
    <w:rsid w:val="000B7750"/>
    <w:rsid w:val="000C20ED"/>
    <w:rsid w:val="000C4BBF"/>
    <w:rsid w:val="000C4C61"/>
    <w:rsid w:val="000C54BA"/>
    <w:rsid w:val="000C6711"/>
    <w:rsid w:val="000C75F9"/>
    <w:rsid w:val="000C7A3B"/>
    <w:rsid w:val="000D3986"/>
    <w:rsid w:val="000D490E"/>
    <w:rsid w:val="000D617B"/>
    <w:rsid w:val="000D661F"/>
    <w:rsid w:val="000E05E7"/>
    <w:rsid w:val="000E0AC9"/>
    <w:rsid w:val="000E1E31"/>
    <w:rsid w:val="000E321B"/>
    <w:rsid w:val="000E3CA3"/>
    <w:rsid w:val="000E59B9"/>
    <w:rsid w:val="000E61B8"/>
    <w:rsid w:val="000E6332"/>
    <w:rsid w:val="000F1A80"/>
    <w:rsid w:val="000F3ED7"/>
    <w:rsid w:val="000F7F8A"/>
    <w:rsid w:val="00100DB6"/>
    <w:rsid w:val="0010488E"/>
    <w:rsid w:val="00105F5C"/>
    <w:rsid w:val="001063BC"/>
    <w:rsid w:val="001076B6"/>
    <w:rsid w:val="00110892"/>
    <w:rsid w:val="00115C5D"/>
    <w:rsid w:val="001173DC"/>
    <w:rsid w:val="00117DD9"/>
    <w:rsid w:val="0012505E"/>
    <w:rsid w:val="00127FC9"/>
    <w:rsid w:val="00130BF3"/>
    <w:rsid w:val="0013112C"/>
    <w:rsid w:val="0013471F"/>
    <w:rsid w:val="00135CE1"/>
    <w:rsid w:val="001367FF"/>
    <w:rsid w:val="00140A9D"/>
    <w:rsid w:val="0014460F"/>
    <w:rsid w:val="0014505C"/>
    <w:rsid w:val="00145ADF"/>
    <w:rsid w:val="00146092"/>
    <w:rsid w:val="00147336"/>
    <w:rsid w:val="0015202E"/>
    <w:rsid w:val="00156259"/>
    <w:rsid w:val="00157754"/>
    <w:rsid w:val="001600D3"/>
    <w:rsid w:val="00161ADB"/>
    <w:rsid w:val="00162921"/>
    <w:rsid w:val="00162FA5"/>
    <w:rsid w:val="0016314E"/>
    <w:rsid w:val="0016544A"/>
    <w:rsid w:val="00165969"/>
    <w:rsid w:val="00171961"/>
    <w:rsid w:val="00174E15"/>
    <w:rsid w:val="001763A5"/>
    <w:rsid w:val="00176DB6"/>
    <w:rsid w:val="00180C19"/>
    <w:rsid w:val="001825ED"/>
    <w:rsid w:val="001846B9"/>
    <w:rsid w:val="001846FB"/>
    <w:rsid w:val="00185464"/>
    <w:rsid w:val="00186562"/>
    <w:rsid w:val="0019079A"/>
    <w:rsid w:val="00193B50"/>
    <w:rsid w:val="00193D82"/>
    <w:rsid w:val="0019695F"/>
    <w:rsid w:val="0019700F"/>
    <w:rsid w:val="001A0782"/>
    <w:rsid w:val="001A1981"/>
    <w:rsid w:val="001A4178"/>
    <w:rsid w:val="001A7011"/>
    <w:rsid w:val="001B3027"/>
    <w:rsid w:val="001B39A8"/>
    <w:rsid w:val="001B4699"/>
    <w:rsid w:val="001B6D0D"/>
    <w:rsid w:val="001C373C"/>
    <w:rsid w:val="001C5C4C"/>
    <w:rsid w:val="001C727F"/>
    <w:rsid w:val="001C79DE"/>
    <w:rsid w:val="001D0579"/>
    <w:rsid w:val="001D4C80"/>
    <w:rsid w:val="001D4E59"/>
    <w:rsid w:val="001D690F"/>
    <w:rsid w:val="001E1CC2"/>
    <w:rsid w:val="001E20BF"/>
    <w:rsid w:val="001E46B3"/>
    <w:rsid w:val="001E5489"/>
    <w:rsid w:val="001F4B3E"/>
    <w:rsid w:val="001F4D61"/>
    <w:rsid w:val="001F5190"/>
    <w:rsid w:val="001F6CB9"/>
    <w:rsid w:val="002023D0"/>
    <w:rsid w:val="002025F8"/>
    <w:rsid w:val="002076B9"/>
    <w:rsid w:val="00210D9A"/>
    <w:rsid w:val="00211B5D"/>
    <w:rsid w:val="00214E82"/>
    <w:rsid w:val="00216928"/>
    <w:rsid w:val="00222B92"/>
    <w:rsid w:val="00227218"/>
    <w:rsid w:val="00231AB5"/>
    <w:rsid w:val="0023417F"/>
    <w:rsid w:val="00237278"/>
    <w:rsid w:val="0024093F"/>
    <w:rsid w:val="00240999"/>
    <w:rsid w:val="00241AD6"/>
    <w:rsid w:val="0024419B"/>
    <w:rsid w:val="00244899"/>
    <w:rsid w:val="00247EF9"/>
    <w:rsid w:val="0025315E"/>
    <w:rsid w:val="0025677F"/>
    <w:rsid w:val="00257636"/>
    <w:rsid w:val="00257D35"/>
    <w:rsid w:val="00263E48"/>
    <w:rsid w:val="00264113"/>
    <w:rsid w:val="00266D54"/>
    <w:rsid w:val="0027073E"/>
    <w:rsid w:val="002719BF"/>
    <w:rsid w:val="00271D96"/>
    <w:rsid w:val="0027372B"/>
    <w:rsid w:val="0027567E"/>
    <w:rsid w:val="00275A78"/>
    <w:rsid w:val="00277B56"/>
    <w:rsid w:val="00277E0C"/>
    <w:rsid w:val="002812F7"/>
    <w:rsid w:val="00285FF7"/>
    <w:rsid w:val="00287908"/>
    <w:rsid w:val="00290268"/>
    <w:rsid w:val="002A0EEB"/>
    <w:rsid w:val="002A217F"/>
    <w:rsid w:val="002A4EDC"/>
    <w:rsid w:val="002A70A8"/>
    <w:rsid w:val="002A7773"/>
    <w:rsid w:val="002A7BCD"/>
    <w:rsid w:val="002B1453"/>
    <w:rsid w:val="002B24D7"/>
    <w:rsid w:val="002B6CD0"/>
    <w:rsid w:val="002B7099"/>
    <w:rsid w:val="002C5751"/>
    <w:rsid w:val="002D035C"/>
    <w:rsid w:val="002D08EE"/>
    <w:rsid w:val="002D0A9C"/>
    <w:rsid w:val="002D1C5A"/>
    <w:rsid w:val="002D31C9"/>
    <w:rsid w:val="002D47EB"/>
    <w:rsid w:val="002D4990"/>
    <w:rsid w:val="002D6750"/>
    <w:rsid w:val="002D6836"/>
    <w:rsid w:val="002D6B87"/>
    <w:rsid w:val="002D71A6"/>
    <w:rsid w:val="002D786B"/>
    <w:rsid w:val="002E30DE"/>
    <w:rsid w:val="002E380C"/>
    <w:rsid w:val="002E3BF2"/>
    <w:rsid w:val="002E56E4"/>
    <w:rsid w:val="002E6D61"/>
    <w:rsid w:val="002F09FA"/>
    <w:rsid w:val="002F1084"/>
    <w:rsid w:val="002F2ADC"/>
    <w:rsid w:val="002F3C44"/>
    <w:rsid w:val="002F6E63"/>
    <w:rsid w:val="003016C4"/>
    <w:rsid w:val="0030298A"/>
    <w:rsid w:val="00305200"/>
    <w:rsid w:val="00307C87"/>
    <w:rsid w:val="00307D34"/>
    <w:rsid w:val="00311B99"/>
    <w:rsid w:val="00312FD1"/>
    <w:rsid w:val="00316EA0"/>
    <w:rsid w:val="003209AD"/>
    <w:rsid w:val="00321344"/>
    <w:rsid w:val="003219ED"/>
    <w:rsid w:val="00333A65"/>
    <w:rsid w:val="00333E79"/>
    <w:rsid w:val="00334677"/>
    <w:rsid w:val="00334AFC"/>
    <w:rsid w:val="0033501B"/>
    <w:rsid w:val="00340D6A"/>
    <w:rsid w:val="003428D2"/>
    <w:rsid w:val="00347D03"/>
    <w:rsid w:val="00350278"/>
    <w:rsid w:val="003504E0"/>
    <w:rsid w:val="003517F4"/>
    <w:rsid w:val="00352F30"/>
    <w:rsid w:val="00354402"/>
    <w:rsid w:val="00360285"/>
    <w:rsid w:val="00365991"/>
    <w:rsid w:val="003668B7"/>
    <w:rsid w:val="00367F3E"/>
    <w:rsid w:val="0037192F"/>
    <w:rsid w:val="00373CDF"/>
    <w:rsid w:val="00376F2E"/>
    <w:rsid w:val="003770DD"/>
    <w:rsid w:val="00382515"/>
    <w:rsid w:val="00383735"/>
    <w:rsid w:val="00383E88"/>
    <w:rsid w:val="00384959"/>
    <w:rsid w:val="00391047"/>
    <w:rsid w:val="00392518"/>
    <w:rsid w:val="0039415D"/>
    <w:rsid w:val="00394CCF"/>
    <w:rsid w:val="003A006F"/>
    <w:rsid w:val="003A3CF2"/>
    <w:rsid w:val="003A3E0C"/>
    <w:rsid w:val="003A5FD0"/>
    <w:rsid w:val="003A636A"/>
    <w:rsid w:val="003A667E"/>
    <w:rsid w:val="003A7C97"/>
    <w:rsid w:val="003B1674"/>
    <w:rsid w:val="003C07FB"/>
    <w:rsid w:val="003C0C66"/>
    <w:rsid w:val="003C1894"/>
    <w:rsid w:val="003C30BF"/>
    <w:rsid w:val="003C3175"/>
    <w:rsid w:val="003C3E52"/>
    <w:rsid w:val="003C3EA1"/>
    <w:rsid w:val="003C42F0"/>
    <w:rsid w:val="003D158E"/>
    <w:rsid w:val="003D180E"/>
    <w:rsid w:val="003D1B0D"/>
    <w:rsid w:val="003D70E6"/>
    <w:rsid w:val="003E2C84"/>
    <w:rsid w:val="003E364B"/>
    <w:rsid w:val="003E3AA8"/>
    <w:rsid w:val="003E600F"/>
    <w:rsid w:val="003E6394"/>
    <w:rsid w:val="003E6BED"/>
    <w:rsid w:val="003E70D0"/>
    <w:rsid w:val="003E7333"/>
    <w:rsid w:val="003F4C9B"/>
    <w:rsid w:val="003F5776"/>
    <w:rsid w:val="003F5D86"/>
    <w:rsid w:val="003F6093"/>
    <w:rsid w:val="003F6F0E"/>
    <w:rsid w:val="00400716"/>
    <w:rsid w:val="00400D96"/>
    <w:rsid w:val="004032BD"/>
    <w:rsid w:val="00403581"/>
    <w:rsid w:val="0040448F"/>
    <w:rsid w:val="00406D74"/>
    <w:rsid w:val="00410928"/>
    <w:rsid w:val="00414D46"/>
    <w:rsid w:val="00414F89"/>
    <w:rsid w:val="00415368"/>
    <w:rsid w:val="00422636"/>
    <w:rsid w:val="004229A8"/>
    <w:rsid w:val="00430666"/>
    <w:rsid w:val="0043111A"/>
    <w:rsid w:val="0043178F"/>
    <w:rsid w:val="00431D7B"/>
    <w:rsid w:val="004375AE"/>
    <w:rsid w:val="00437C3B"/>
    <w:rsid w:val="00440A23"/>
    <w:rsid w:val="004412A9"/>
    <w:rsid w:val="0044133E"/>
    <w:rsid w:val="00441FD6"/>
    <w:rsid w:val="0044236A"/>
    <w:rsid w:val="00442B69"/>
    <w:rsid w:val="00444DD0"/>
    <w:rsid w:val="00452D35"/>
    <w:rsid w:val="00457F74"/>
    <w:rsid w:val="00466EE7"/>
    <w:rsid w:val="00467F45"/>
    <w:rsid w:val="00470471"/>
    <w:rsid w:val="0047151B"/>
    <w:rsid w:val="00472891"/>
    <w:rsid w:val="00480A13"/>
    <w:rsid w:val="00487CB0"/>
    <w:rsid w:val="00493180"/>
    <w:rsid w:val="00495BDE"/>
    <w:rsid w:val="00497186"/>
    <w:rsid w:val="004A24AC"/>
    <w:rsid w:val="004A2820"/>
    <w:rsid w:val="004A334F"/>
    <w:rsid w:val="004A3A4C"/>
    <w:rsid w:val="004A4AF2"/>
    <w:rsid w:val="004A58F6"/>
    <w:rsid w:val="004A5900"/>
    <w:rsid w:val="004A762E"/>
    <w:rsid w:val="004B2778"/>
    <w:rsid w:val="004B3FC8"/>
    <w:rsid w:val="004B5075"/>
    <w:rsid w:val="004B5E14"/>
    <w:rsid w:val="004C0E9A"/>
    <w:rsid w:val="004C2460"/>
    <w:rsid w:val="004C3E57"/>
    <w:rsid w:val="004C3E5C"/>
    <w:rsid w:val="004C3E84"/>
    <w:rsid w:val="004C4E6C"/>
    <w:rsid w:val="004C574D"/>
    <w:rsid w:val="004C713A"/>
    <w:rsid w:val="004D008F"/>
    <w:rsid w:val="004D7CF8"/>
    <w:rsid w:val="004E0048"/>
    <w:rsid w:val="004E16FD"/>
    <w:rsid w:val="004E2466"/>
    <w:rsid w:val="004E24E2"/>
    <w:rsid w:val="004E3A5D"/>
    <w:rsid w:val="004E3AEA"/>
    <w:rsid w:val="004E3D9F"/>
    <w:rsid w:val="004E4C08"/>
    <w:rsid w:val="004E7BF8"/>
    <w:rsid w:val="004F3395"/>
    <w:rsid w:val="004F3D79"/>
    <w:rsid w:val="00500299"/>
    <w:rsid w:val="0050055E"/>
    <w:rsid w:val="005011FC"/>
    <w:rsid w:val="00502403"/>
    <w:rsid w:val="00504963"/>
    <w:rsid w:val="00504DF7"/>
    <w:rsid w:val="00507804"/>
    <w:rsid w:val="0051036D"/>
    <w:rsid w:val="00515B97"/>
    <w:rsid w:val="00520409"/>
    <w:rsid w:val="00520746"/>
    <w:rsid w:val="00521176"/>
    <w:rsid w:val="0052144B"/>
    <w:rsid w:val="005226D1"/>
    <w:rsid w:val="00522C0C"/>
    <w:rsid w:val="00524FCF"/>
    <w:rsid w:val="00531A75"/>
    <w:rsid w:val="00531C33"/>
    <w:rsid w:val="00534EC6"/>
    <w:rsid w:val="005368A3"/>
    <w:rsid w:val="00536902"/>
    <w:rsid w:val="00536A0A"/>
    <w:rsid w:val="00536C1B"/>
    <w:rsid w:val="00547F1F"/>
    <w:rsid w:val="0055152A"/>
    <w:rsid w:val="00556AB7"/>
    <w:rsid w:val="005610BF"/>
    <w:rsid w:val="00562A56"/>
    <w:rsid w:val="00564D69"/>
    <w:rsid w:val="00564FC7"/>
    <w:rsid w:val="00564FD2"/>
    <w:rsid w:val="0056666C"/>
    <w:rsid w:val="0056674E"/>
    <w:rsid w:val="0056681E"/>
    <w:rsid w:val="00570A7D"/>
    <w:rsid w:val="00570D0B"/>
    <w:rsid w:val="005718E1"/>
    <w:rsid w:val="0057255A"/>
    <w:rsid w:val="0057760E"/>
    <w:rsid w:val="005807C6"/>
    <w:rsid w:val="00583CCB"/>
    <w:rsid w:val="0058685A"/>
    <w:rsid w:val="00590726"/>
    <w:rsid w:val="00590E8B"/>
    <w:rsid w:val="00591F68"/>
    <w:rsid w:val="00594D8C"/>
    <w:rsid w:val="00597431"/>
    <w:rsid w:val="005A31E6"/>
    <w:rsid w:val="005A6786"/>
    <w:rsid w:val="005A6ECB"/>
    <w:rsid w:val="005B04B8"/>
    <w:rsid w:val="005B28AD"/>
    <w:rsid w:val="005B3279"/>
    <w:rsid w:val="005B39C1"/>
    <w:rsid w:val="005B3AF2"/>
    <w:rsid w:val="005B4B91"/>
    <w:rsid w:val="005B6574"/>
    <w:rsid w:val="005B6D6B"/>
    <w:rsid w:val="005B78E3"/>
    <w:rsid w:val="005C03A3"/>
    <w:rsid w:val="005C0AD7"/>
    <w:rsid w:val="005C183C"/>
    <w:rsid w:val="005C2F88"/>
    <w:rsid w:val="005C4415"/>
    <w:rsid w:val="005C5E86"/>
    <w:rsid w:val="005C5F32"/>
    <w:rsid w:val="005D5F13"/>
    <w:rsid w:val="005D6252"/>
    <w:rsid w:val="005E2068"/>
    <w:rsid w:val="005E3952"/>
    <w:rsid w:val="005E51A6"/>
    <w:rsid w:val="005F05E6"/>
    <w:rsid w:val="005F2313"/>
    <w:rsid w:val="005F2BBE"/>
    <w:rsid w:val="005F3EC0"/>
    <w:rsid w:val="005F7044"/>
    <w:rsid w:val="0060209D"/>
    <w:rsid w:val="00603B05"/>
    <w:rsid w:val="00604C91"/>
    <w:rsid w:val="006050CC"/>
    <w:rsid w:val="00605E59"/>
    <w:rsid w:val="00606E93"/>
    <w:rsid w:val="00610B13"/>
    <w:rsid w:val="006146AC"/>
    <w:rsid w:val="00615357"/>
    <w:rsid w:val="00616BEB"/>
    <w:rsid w:val="006201EB"/>
    <w:rsid w:val="0062079B"/>
    <w:rsid w:val="00622353"/>
    <w:rsid w:val="00625494"/>
    <w:rsid w:val="00630E6B"/>
    <w:rsid w:val="006313FB"/>
    <w:rsid w:val="00632F1C"/>
    <w:rsid w:val="00633456"/>
    <w:rsid w:val="00635001"/>
    <w:rsid w:val="00635820"/>
    <w:rsid w:val="00636471"/>
    <w:rsid w:val="00640853"/>
    <w:rsid w:val="006419B3"/>
    <w:rsid w:val="00642C9C"/>
    <w:rsid w:val="00643D8B"/>
    <w:rsid w:val="006461DE"/>
    <w:rsid w:val="00646AA0"/>
    <w:rsid w:val="00647FE5"/>
    <w:rsid w:val="006517D3"/>
    <w:rsid w:val="006539B7"/>
    <w:rsid w:val="00655DE0"/>
    <w:rsid w:val="006563E5"/>
    <w:rsid w:val="006573D4"/>
    <w:rsid w:val="00664B76"/>
    <w:rsid w:val="00667C0B"/>
    <w:rsid w:val="00670699"/>
    <w:rsid w:val="00680C7F"/>
    <w:rsid w:val="006814B2"/>
    <w:rsid w:val="00682AC4"/>
    <w:rsid w:val="006860BD"/>
    <w:rsid w:val="00687B62"/>
    <w:rsid w:val="00691776"/>
    <w:rsid w:val="00692E4F"/>
    <w:rsid w:val="00693E19"/>
    <w:rsid w:val="00695CD4"/>
    <w:rsid w:val="006A1816"/>
    <w:rsid w:val="006A3A69"/>
    <w:rsid w:val="006A42D1"/>
    <w:rsid w:val="006A7D62"/>
    <w:rsid w:val="006B3EE2"/>
    <w:rsid w:val="006B4221"/>
    <w:rsid w:val="006B4A65"/>
    <w:rsid w:val="006C1B65"/>
    <w:rsid w:val="006C22CB"/>
    <w:rsid w:val="006C4AA8"/>
    <w:rsid w:val="006C4FAE"/>
    <w:rsid w:val="006C7366"/>
    <w:rsid w:val="006D43D2"/>
    <w:rsid w:val="006D524F"/>
    <w:rsid w:val="006D6564"/>
    <w:rsid w:val="006D65BF"/>
    <w:rsid w:val="006E0D29"/>
    <w:rsid w:val="006E0F9A"/>
    <w:rsid w:val="006E3EA2"/>
    <w:rsid w:val="006E5F8D"/>
    <w:rsid w:val="006E69A8"/>
    <w:rsid w:val="006F133F"/>
    <w:rsid w:val="006F3377"/>
    <w:rsid w:val="006F41F1"/>
    <w:rsid w:val="006F4DCB"/>
    <w:rsid w:val="006F5F72"/>
    <w:rsid w:val="006F720F"/>
    <w:rsid w:val="007070E0"/>
    <w:rsid w:val="00710297"/>
    <w:rsid w:val="00712D16"/>
    <w:rsid w:val="007155E4"/>
    <w:rsid w:val="007200FB"/>
    <w:rsid w:val="00721509"/>
    <w:rsid w:val="007233E5"/>
    <w:rsid w:val="00723A0A"/>
    <w:rsid w:val="00724FDC"/>
    <w:rsid w:val="0072692A"/>
    <w:rsid w:val="00726BD2"/>
    <w:rsid w:val="0072728C"/>
    <w:rsid w:val="00732EFE"/>
    <w:rsid w:val="007330E9"/>
    <w:rsid w:val="00740067"/>
    <w:rsid w:val="00740AB0"/>
    <w:rsid w:val="00742A5D"/>
    <w:rsid w:val="007442DD"/>
    <w:rsid w:val="0075040C"/>
    <w:rsid w:val="007510C8"/>
    <w:rsid w:val="00753359"/>
    <w:rsid w:val="00754C6F"/>
    <w:rsid w:val="00755D63"/>
    <w:rsid w:val="007603F4"/>
    <w:rsid w:val="00762395"/>
    <w:rsid w:val="00765944"/>
    <w:rsid w:val="0077034D"/>
    <w:rsid w:val="00772D12"/>
    <w:rsid w:val="00780102"/>
    <w:rsid w:val="00785D24"/>
    <w:rsid w:val="007865B5"/>
    <w:rsid w:val="007935D2"/>
    <w:rsid w:val="00793607"/>
    <w:rsid w:val="007A5F4E"/>
    <w:rsid w:val="007B1D29"/>
    <w:rsid w:val="007B2F5C"/>
    <w:rsid w:val="007B52EA"/>
    <w:rsid w:val="007B7AF6"/>
    <w:rsid w:val="007C3F4C"/>
    <w:rsid w:val="007D1502"/>
    <w:rsid w:val="007D3D85"/>
    <w:rsid w:val="007D4F0A"/>
    <w:rsid w:val="007D5B99"/>
    <w:rsid w:val="007D71AB"/>
    <w:rsid w:val="007D7ABE"/>
    <w:rsid w:val="007E0468"/>
    <w:rsid w:val="007E0621"/>
    <w:rsid w:val="007E12E4"/>
    <w:rsid w:val="007E2130"/>
    <w:rsid w:val="007F2B89"/>
    <w:rsid w:val="007F3450"/>
    <w:rsid w:val="007F5084"/>
    <w:rsid w:val="007F569D"/>
    <w:rsid w:val="007F6100"/>
    <w:rsid w:val="007F6554"/>
    <w:rsid w:val="007F7ABD"/>
    <w:rsid w:val="0080635A"/>
    <w:rsid w:val="00806373"/>
    <w:rsid w:val="008077F3"/>
    <w:rsid w:val="00813B51"/>
    <w:rsid w:val="00814E3A"/>
    <w:rsid w:val="00814FE2"/>
    <w:rsid w:val="00815061"/>
    <w:rsid w:val="0081590F"/>
    <w:rsid w:val="008173A5"/>
    <w:rsid w:val="00822342"/>
    <w:rsid w:val="00824AE6"/>
    <w:rsid w:val="00824C4F"/>
    <w:rsid w:val="00834AA4"/>
    <w:rsid w:val="008358E8"/>
    <w:rsid w:val="00836131"/>
    <w:rsid w:val="00840FFD"/>
    <w:rsid w:val="008411B2"/>
    <w:rsid w:val="00844780"/>
    <w:rsid w:val="008507E5"/>
    <w:rsid w:val="00851116"/>
    <w:rsid w:val="00851776"/>
    <w:rsid w:val="00853524"/>
    <w:rsid w:val="008552C7"/>
    <w:rsid w:val="008621CF"/>
    <w:rsid w:val="00862509"/>
    <w:rsid w:val="00862DBC"/>
    <w:rsid w:val="008665CF"/>
    <w:rsid w:val="00866EC4"/>
    <w:rsid w:val="00867D73"/>
    <w:rsid w:val="0087008D"/>
    <w:rsid w:val="008705FC"/>
    <w:rsid w:val="00874910"/>
    <w:rsid w:val="0088248A"/>
    <w:rsid w:val="008844A5"/>
    <w:rsid w:val="00885655"/>
    <w:rsid w:val="0088723F"/>
    <w:rsid w:val="00890991"/>
    <w:rsid w:val="00892889"/>
    <w:rsid w:val="00893153"/>
    <w:rsid w:val="008939CB"/>
    <w:rsid w:val="008A1B50"/>
    <w:rsid w:val="008A4252"/>
    <w:rsid w:val="008A443F"/>
    <w:rsid w:val="008A670E"/>
    <w:rsid w:val="008A7105"/>
    <w:rsid w:val="008B0B98"/>
    <w:rsid w:val="008B1118"/>
    <w:rsid w:val="008B1836"/>
    <w:rsid w:val="008B2C30"/>
    <w:rsid w:val="008B5984"/>
    <w:rsid w:val="008B61FB"/>
    <w:rsid w:val="008C3EE3"/>
    <w:rsid w:val="008C3F7C"/>
    <w:rsid w:val="008C724F"/>
    <w:rsid w:val="008D5327"/>
    <w:rsid w:val="008D5E53"/>
    <w:rsid w:val="008D7A77"/>
    <w:rsid w:val="008E0138"/>
    <w:rsid w:val="008E1361"/>
    <w:rsid w:val="008E35C3"/>
    <w:rsid w:val="008E3D66"/>
    <w:rsid w:val="008E5D02"/>
    <w:rsid w:val="008E6309"/>
    <w:rsid w:val="008E6BDB"/>
    <w:rsid w:val="008F29DB"/>
    <w:rsid w:val="008F3DD8"/>
    <w:rsid w:val="008F549A"/>
    <w:rsid w:val="008F59B4"/>
    <w:rsid w:val="008F6648"/>
    <w:rsid w:val="008F70BF"/>
    <w:rsid w:val="009002A5"/>
    <w:rsid w:val="00900D62"/>
    <w:rsid w:val="00900EFC"/>
    <w:rsid w:val="0090176D"/>
    <w:rsid w:val="00903A22"/>
    <w:rsid w:val="00903C6E"/>
    <w:rsid w:val="00904FF4"/>
    <w:rsid w:val="00905FFF"/>
    <w:rsid w:val="00906BF4"/>
    <w:rsid w:val="00906D61"/>
    <w:rsid w:val="00913B34"/>
    <w:rsid w:val="00913E2F"/>
    <w:rsid w:val="00914691"/>
    <w:rsid w:val="00915DAC"/>
    <w:rsid w:val="0092066C"/>
    <w:rsid w:val="00920F28"/>
    <w:rsid w:val="0092115E"/>
    <w:rsid w:val="0092146F"/>
    <w:rsid w:val="009240AC"/>
    <w:rsid w:val="00925473"/>
    <w:rsid w:val="0092741F"/>
    <w:rsid w:val="0093023C"/>
    <w:rsid w:val="00932E18"/>
    <w:rsid w:val="00934A94"/>
    <w:rsid w:val="009366F1"/>
    <w:rsid w:val="00937089"/>
    <w:rsid w:val="00937265"/>
    <w:rsid w:val="00942B5B"/>
    <w:rsid w:val="00942F45"/>
    <w:rsid w:val="00944E88"/>
    <w:rsid w:val="009462CD"/>
    <w:rsid w:val="009462FC"/>
    <w:rsid w:val="00950943"/>
    <w:rsid w:val="00950B99"/>
    <w:rsid w:val="00952D40"/>
    <w:rsid w:val="00953461"/>
    <w:rsid w:val="00953FFC"/>
    <w:rsid w:val="0096179E"/>
    <w:rsid w:val="00964DF4"/>
    <w:rsid w:val="00965051"/>
    <w:rsid w:val="0097405C"/>
    <w:rsid w:val="00976BDB"/>
    <w:rsid w:val="00980D52"/>
    <w:rsid w:val="009824E5"/>
    <w:rsid w:val="00986AC9"/>
    <w:rsid w:val="009930C3"/>
    <w:rsid w:val="009933FE"/>
    <w:rsid w:val="00993D08"/>
    <w:rsid w:val="009A12EB"/>
    <w:rsid w:val="009A254B"/>
    <w:rsid w:val="009A354E"/>
    <w:rsid w:val="009A4927"/>
    <w:rsid w:val="009A5007"/>
    <w:rsid w:val="009A707B"/>
    <w:rsid w:val="009B026F"/>
    <w:rsid w:val="009B055D"/>
    <w:rsid w:val="009B07B0"/>
    <w:rsid w:val="009B4960"/>
    <w:rsid w:val="009C0647"/>
    <w:rsid w:val="009C2458"/>
    <w:rsid w:val="009C43E4"/>
    <w:rsid w:val="009C45F1"/>
    <w:rsid w:val="009C4958"/>
    <w:rsid w:val="009D0A59"/>
    <w:rsid w:val="009D1158"/>
    <w:rsid w:val="009D2A5B"/>
    <w:rsid w:val="009D555E"/>
    <w:rsid w:val="009D6CC5"/>
    <w:rsid w:val="009E1DD7"/>
    <w:rsid w:val="009E215A"/>
    <w:rsid w:val="009E4C16"/>
    <w:rsid w:val="009E65CE"/>
    <w:rsid w:val="009E6C5E"/>
    <w:rsid w:val="009F3851"/>
    <w:rsid w:val="009F40B4"/>
    <w:rsid w:val="009F531F"/>
    <w:rsid w:val="009F53FD"/>
    <w:rsid w:val="009F6AC2"/>
    <w:rsid w:val="009F7910"/>
    <w:rsid w:val="009F7B94"/>
    <w:rsid w:val="00A00520"/>
    <w:rsid w:val="00A00DBD"/>
    <w:rsid w:val="00A04557"/>
    <w:rsid w:val="00A04BAD"/>
    <w:rsid w:val="00A058CE"/>
    <w:rsid w:val="00A066DB"/>
    <w:rsid w:val="00A07B0C"/>
    <w:rsid w:val="00A1072B"/>
    <w:rsid w:val="00A11A32"/>
    <w:rsid w:val="00A134C3"/>
    <w:rsid w:val="00A164F9"/>
    <w:rsid w:val="00A20919"/>
    <w:rsid w:val="00A26A4B"/>
    <w:rsid w:val="00A3136C"/>
    <w:rsid w:val="00A341ED"/>
    <w:rsid w:val="00A4258A"/>
    <w:rsid w:val="00A44195"/>
    <w:rsid w:val="00A46120"/>
    <w:rsid w:val="00A514A6"/>
    <w:rsid w:val="00A52125"/>
    <w:rsid w:val="00A55F19"/>
    <w:rsid w:val="00A57B46"/>
    <w:rsid w:val="00A57E84"/>
    <w:rsid w:val="00A6569C"/>
    <w:rsid w:val="00A65B85"/>
    <w:rsid w:val="00A66A69"/>
    <w:rsid w:val="00A66BDE"/>
    <w:rsid w:val="00A67FA9"/>
    <w:rsid w:val="00A72A55"/>
    <w:rsid w:val="00A72E3E"/>
    <w:rsid w:val="00A7452A"/>
    <w:rsid w:val="00A8094D"/>
    <w:rsid w:val="00A824DB"/>
    <w:rsid w:val="00A83182"/>
    <w:rsid w:val="00A87EE2"/>
    <w:rsid w:val="00A9094A"/>
    <w:rsid w:val="00A92315"/>
    <w:rsid w:val="00A92604"/>
    <w:rsid w:val="00A9317E"/>
    <w:rsid w:val="00A94D0B"/>
    <w:rsid w:val="00A973AE"/>
    <w:rsid w:val="00AA420E"/>
    <w:rsid w:val="00AA4837"/>
    <w:rsid w:val="00AA4D49"/>
    <w:rsid w:val="00AA58B7"/>
    <w:rsid w:val="00AA5C68"/>
    <w:rsid w:val="00AA73BA"/>
    <w:rsid w:val="00AA7A97"/>
    <w:rsid w:val="00AB2B3C"/>
    <w:rsid w:val="00AB4794"/>
    <w:rsid w:val="00AB56AC"/>
    <w:rsid w:val="00AB5D12"/>
    <w:rsid w:val="00AB6647"/>
    <w:rsid w:val="00AC4482"/>
    <w:rsid w:val="00AC6678"/>
    <w:rsid w:val="00AC6C11"/>
    <w:rsid w:val="00AC7A72"/>
    <w:rsid w:val="00AD1D1B"/>
    <w:rsid w:val="00AD4E77"/>
    <w:rsid w:val="00AD4FF1"/>
    <w:rsid w:val="00AD5017"/>
    <w:rsid w:val="00AD79B5"/>
    <w:rsid w:val="00AE123A"/>
    <w:rsid w:val="00AE2106"/>
    <w:rsid w:val="00AE477D"/>
    <w:rsid w:val="00AF09D9"/>
    <w:rsid w:val="00AF6829"/>
    <w:rsid w:val="00B01433"/>
    <w:rsid w:val="00B023C5"/>
    <w:rsid w:val="00B02F91"/>
    <w:rsid w:val="00B03333"/>
    <w:rsid w:val="00B03A94"/>
    <w:rsid w:val="00B05917"/>
    <w:rsid w:val="00B13B60"/>
    <w:rsid w:val="00B15B75"/>
    <w:rsid w:val="00B17B51"/>
    <w:rsid w:val="00B211D8"/>
    <w:rsid w:val="00B217A5"/>
    <w:rsid w:val="00B21F75"/>
    <w:rsid w:val="00B2259D"/>
    <w:rsid w:val="00B23222"/>
    <w:rsid w:val="00B234EC"/>
    <w:rsid w:val="00B263DA"/>
    <w:rsid w:val="00B308EF"/>
    <w:rsid w:val="00B322D3"/>
    <w:rsid w:val="00B32CC1"/>
    <w:rsid w:val="00B33DAF"/>
    <w:rsid w:val="00B4256E"/>
    <w:rsid w:val="00B43B5B"/>
    <w:rsid w:val="00B44EC1"/>
    <w:rsid w:val="00B46439"/>
    <w:rsid w:val="00B46B3B"/>
    <w:rsid w:val="00B47249"/>
    <w:rsid w:val="00B50397"/>
    <w:rsid w:val="00B5074D"/>
    <w:rsid w:val="00B50EF2"/>
    <w:rsid w:val="00B51244"/>
    <w:rsid w:val="00B512B8"/>
    <w:rsid w:val="00B5234D"/>
    <w:rsid w:val="00B52869"/>
    <w:rsid w:val="00B57C72"/>
    <w:rsid w:val="00B57D38"/>
    <w:rsid w:val="00B630F5"/>
    <w:rsid w:val="00B6528F"/>
    <w:rsid w:val="00B662F2"/>
    <w:rsid w:val="00B70DB8"/>
    <w:rsid w:val="00B74264"/>
    <w:rsid w:val="00B759EC"/>
    <w:rsid w:val="00B80D4B"/>
    <w:rsid w:val="00B80EF8"/>
    <w:rsid w:val="00B81E8B"/>
    <w:rsid w:val="00B8223D"/>
    <w:rsid w:val="00B82A89"/>
    <w:rsid w:val="00B8303E"/>
    <w:rsid w:val="00B83486"/>
    <w:rsid w:val="00B8465D"/>
    <w:rsid w:val="00B84F8E"/>
    <w:rsid w:val="00B85363"/>
    <w:rsid w:val="00B85E7B"/>
    <w:rsid w:val="00B936E0"/>
    <w:rsid w:val="00B95662"/>
    <w:rsid w:val="00B973FC"/>
    <w:rsid w:val="00B97C49"/>
    <w:rsid w:val="00B97D48"/>
    <w:rsid w:val="00B97ECE"/>
    <w:rsid w:val="00BA17B4"/>
    <w:rsid w:val="00BA203B"/>
    <w:rsid w:val="00BA2BA0"/>
    <w:rsid w:val="00BA2D6F"/>
    <w:rsid w:val="00BA3661"/>
    <w:rsid w:val="00BA5707"/>
    <w:rsid w:val="00BA5F19"/>
    <w:rsid w:val="00BA5F62"/>
    <w:rsid w:val="00BA62E3"/>
    <w:rsid w:val="00BA7207"/>
    <w:rsid w:val="00BA7FAD"/>
    <w:rsid w:val="00BB03B8"/>
    <w:rsid w:val="00BB1196"/>
    <w:rsid w:val="00BB2281"/>
    <w:rsid w:val="00BB540C"/>
    <w:rsid w:val="00BB7C52"/>
    <w:rsid w:val="00BC0919"/>
    <w:rsid w:val="00BC2852"/>
    <w:rsid w:val="00BC303B"/>
    <w:rsid w:val="00BC5027"/>
    <w:rsid w:val="00BD04DE"/>
    <w:rsid w:val="00BD09A7"/>
    <w:rsid w:val="00BD48E2"/>
    <w:rsid w:val="00BE0263"/>
    <w:rsid w:val="00BE31A3"/>
    <w:rsid w:val="00BE6BAB"/>
    <w:rsid w:val="00BE72A7"/>
    <w:rsid w:val="00BF1D73"/>
    <w:rsid w:val="00BF37FD"/>
    <w:rsid w:val="00BF4616"/>
    <w:rsid w:val="00BF5362"/>
    <w:rsid w:val="00BF59E2"/>
    <w:rsid w:val="00C00517"/>
    <w:rsid w:val="00C02A42"/>
    <w:rsid w:val="00C036D4"/>
    <w:rsid w:val="00C03808"/>
    <w:rsid w:val="00C07101"/>
    <w:rsid w:val="00C077DA"/>
    <w:rsid w:val="00C148C6"/>
    <w:rsid w:val="00C15F41"/>
    <w:rsid w:val="00C16E4A"/>
    <w:rsid w:val="00C2159C"/>
    <w:rsid w:val="00C22E73"/>
    <w:rsid w:val="00C30673"/>
    <w:rsid w:val="00C320AA"/>
    <w:rsid w:val="00C35AEF"/>
    <w:rsid w:val="00C37A61"/>
    <w:rsid w:val="00C4026A"/>
    <w:rsid w:val="00C411FB"/>
    <w:rsid w:val="00C44B26"/>
    <w:rsid w:val="00C45A81"/>
    <w:rsid w:val="00C50CFC"/>
    <w:rsid w:val="00C50D5C"/>
    <w:rsid w:val="00C517CD"/>
    <w:rsid w:val="00C522FD"/>
    <w:rsid w:val="00C53115"/>
    <w:rsid w:val="00C53E83"/>
    <w:rsid w:val="00C54B9D"/>
    <w:rsid w:val="00C5721E"/>
    <w:rsid w:val="00C64774"/>
    <w:rsid w:val="00C65F21"/>
    <w:rsid w:val="00C66999"/>
    <w:rsid w:val="00C66DC7"/>
    <w:rsid w:val="00C670F1"/>
    <w:rsid w:val="00C7534F"/>
    <w:rsid w:val="00C76811"/>
    <w:rsid w:val="00C8033C"/>
    <w:rsid w:val="00C81590"/>
    <w:rsid w:val="00C83803"/>
    <w:rsid w:val="00C8567A"/>
    <w:rsid w:val="00C860B6"/>
    <w:rsid w:val="00C87180"/>
    <w:rsid w:val="00C91BD0"/>
    <w:rsid w:val="00CA0000"/>
    <w:rsid w:val="00CA6F10"/>
    <w:rsid w:val="00CB37F9"/>
    <w:rsid w:val="00CB46C9"/>
    <w:rsid w:val="00CB50B6"/>
    <w:rsid w:val="00CB73FA"/>
    <w:rsid w:val="00CC2442"/>
    <w:rsid w:val="00CD1079"/>
    <w:rsid w:val="00CD181C"/>
    <w:rsid w:val="00CD23C2"/>
    <w:rsid w:val="00CD266B"/>
    <w:rsid w:val="00CD2876"/>
    <w:rsid w:val="00CD6D81"/>
    <w:rsid w:val="00CE4CCA"/>
    <w:rsid w:val="00CE4E33"/>
    <w:rsid w:val="00CE736A"/>
    <w:rsid w:val="00CE7F02"/>
    <w:rsid w:val="00CF196E"/>
    <w:rsid w:val="00CF3519"/>
    <w:rsid w:val="00CF4FDD"/>
    <w:rsid w:val="00CF68DF"/>
    <w:rsid w:val="00CF7085"/>
    <w:rsid w:val="00D01238"/>
    <w:rsid w:val="00D03261"/>
    <w:rsid w:val="00D03BE9"/>
    <w:rsid w:val="00D05290"/>
    <w:rsid w:val="00D06B02"/>
    <w:rsid w:val="00D07B8E"/>
    <w:rsid w:val="00D1074F"/>
    <w:rsid w:val="00D16257"/>
    <w:rsid w:val="00D2082C"/>
    <w:rsid w:val="00D22901"/>
    <w:rsid w:val="00D24E4F"/>
    <w:rsid w:val="00D25820"/>
    <w:rsid w:val="00D31624"/>
    <w:rsid w:val="00D316B5"/>
    <w:rsid w:val="00D32E28"/>
    <w:rsid w:val="00D35271"/>
    <w:rsid w:val="00D52ADD"/>
    <w:rsid w:val="00D53972"/>
    <w:rsid w:val="00D550CC"/>
    <w:rsid w:val="00D56C6C"/>
    <w:rsid w:val="00D63218"/>
    <w:rsid w:val="00D6339D"/>
    <w:rsid w:val="00D6476E"/>
    <w:rsid w:val="00D65318"/>
    <w:rsid w:val="00D65DA7"/>
    <w:rsid w:val="00D6713E"/>
    <w:rsid w:val="00D70565"/>
    <w:rsid w:val="00D709D1"/>
    <w:rsid w:val="00D70F34"/>
    <w:rsid w:val="00D7245B"/>
    <w:rsid w:val="00D8237D"/>
    <w:rsid w:val="00D83A3C"/>
    <w:rsid w:val="00D846C8"/>
    <w:rsid w:val="00D84C43"/>
    <w:rsid w:val="00D85042"/>
    <w:rsid w:val="00D86343"/>
    <w:rsid w:val="00D877B1"/>
    <w:rsid w:val="00D920BA"/>
    <w:rsid w:val="00D92F77"/>
    <w:rsid w:val="00D9358D"/>
    <w:rsid w:val="00D944AE"/>
    <w:rsid w:val="00D96B8A"/>
    <w:rsid w:val="00DA04DF"/>
    <w:rsid w:val="00DA6AB4"/>
    <w:rsid w:val="00DA7497"/>
    <w:rsid w:val="00DB33AA"/>
    <w:rsid w:val="00DB4581"/>
    <w:rsid w:val="00DB5EC5"/>
    <w:rsid w:val="00DB652D"/>
    <w:rsid w:val="00DC0A0D"/>
    <w:rsid w:val="00DC2989"/>
    <w:rsid w:val="00DC52B4"/>
    <w:rsid w:val="00DC5B78"/>
    <w:rsid w:val="00DC620E"/>
    <w:rsid w:val="00DC6935"/>
    <w:rsid w:val="00DD0254"/>
    <w:rsid w:val="00DD04F8"/>
    <w:rsid w:val="00DD063D"/>
    <w:rsid w:val="00DD1A53"/>
    <w:rsid w:val="00DD3657"/>
    <w:rsid w:val="00DD410E"/>
    <w:rsid w:val="00DD69EF"/>
    <w:rsid w:val="00DD6AAE"/>
    <w:rsid w:val="00DD79D1"/>
    <w:rsid w:val="00DE21AA"/>
    <w:rsid w:val="00DE36E3"/>
    <w:rsid w:val="00DE4815"/>
    <w:rsid w:val="00DE4A11"/>
    <w:rsid w:val="00DE607E"/>
    <w:rsid w:val="00DE687F"/>
    <w:rsid w:val="00DE6AD4"/>
    <w:rsid w:val="00DE77EF"/>
    <w:rsid w:val="00DF2F71"/>
    <w:rsid w:val="00E05C98"/>
    <w:rsid w:val="00E06B6F"/>
    <w:rsid w:val="00E070CA"/>
    <w:rsid w:val="00E07289"/>
    <w:rsid w:val="00E121F1"/>
    <w:rsid w:val="00E12E44"/>
    <w:rsid w:val="00E13FE5"/>
    <w:rsid w:val="00E157C7"/>
    <w:rsid w:val="00E15D08"/>
    <w:rsid w:val="00E168BC"/>
    <w:rsid w:val="00E17D36"/>
    <w:rsid w:val="00E207D2"/>
    <w:rsid w:val="00E20D1F"/>
    <w:rsid w:val="00E2339A"/>
    <w:rsid w:val="00E251D5"/>
    <w:rsid w:val="00E26282"/>
    <w:rsid w:val="00E30A24"/>
    <w:rsid w:val="00E335FF"/>
    <w:rsid w:val="00E37357"/>
    <w:rsid w:val="00E3766B"/>
    <w:rsid w:val="00E403C2"/>
    <w:rsid w:val="00E41AE3"/>
    <w:rsid w:val="00E42669"/>
    <w:rsid w:val="00E432D1"/>
    <w:rsid w:val="00E5229D"/>
    <w:rsid w:val="00E539DE"/>
    <w:rsid w:val="00E54F9E"/>
    <w:rsid w:val="00E55795"/>
    <w:rsid w:val="00E5618B"/>
    <w:rsid w:val="00E562FB"/>
    <w:rsid w:val="00E574E7"/>
    <w:rsid w:val="00E6075F"/>
    <w:rsid w:val="00E60D91"/>
    <w:rsid w:val="00E6196B"/>
    <w:rsid w:val="00E6327F"/>
    <w:rsid w:val="00E6642B"/>
    <w:rsid w:val="00E669F4"/>
    <w:rsid w:val="00E66A15"/>
    <w:rsid w:val="00E7645E"/>
    <w:rsid w:val="00E82B50"/>
    <w:rsid w:val="00E83597"/>
    <w:rsid w:val="00E84EC5"/>
    <w:rsid w:val="00E87B59"/>
    <w:rsid w:val="00E90C91"/>
    <w:rsid w:val="00E92B40"/>
    <w:rsid w:val="00E930A8"/>
    <w:rsid w:val="00E940F5"/>
    <w:rsid w:val="00E9475D"/>
    <w:rsid w:val="00E94BFF"/>
    <w:rsid w:val="00E952DA"/>
    <w:rsid w:val="00E9744D"/>
    <w:rsid w:val="00E97F85"/>
    <w:rsid w:val="00EA1B5F"/>
    <w:rsid w:val="00EA2D24"/>
    <w:rsid w:val="00EA50DB"/>
    <w:rsid w:val="00EA6D85"/>
    <w:rsid w:val="00EA7AB5"/>
    <w:rsid w:val="00EB17AD"/>
    <w:rsid w:val="00EB3211"/>
    <w:rsid w:val="00EB4524"/>
    <w:rsid w:val="00EB60B6"/>
    <w:rsid w:val="00EB71C4"/>
    <w:rsid w:val="00EC1167"/>
    <w:rsid w:val="00EC1726"/>
    <w:rsid w:val="00EC40A6"/>
    <w:rsid w:val="00EC5429"/>
    <w:rsid w:val="00EC587D"/>
    <w:rsid w:val="00ED4799"/>
    <w:rsid w:val="00EE3A01"/>
    <w:rsid w:val="00EE4968"/>
    <w:rsid w:val="00EF1A8B"/>
    <w:rsid w:val="00EF4530"/>
    <w:rsid w:val="00EF46F6"/>
    <w:rsid w:val="00EF4E9B"/>
    <w:rsid w:val="00EF504B"/>
    <w:rsid w:val="00EF5B97"/>
    <w:rsid w:val="00EF638E"/>
    <w:rsid w:val="00F0054C"/>
    <w:rsid w:val="00F01B4D"/>
    <w:rsid w:val="00F03820"/>
    <w:rsid w:val="00F0529E"/>
    <w:rsid w:val="00F071D4"/>
    <w:rsid w:val="00F079AF"/>
    <w:rsid w:val="00F10AFE"/>
    <w:rsid w:val="00F12DCC"/>
    <w:rsid w:val="00F14228"/>
    <w:rsid w:val="00F14D6F"/>
    <w:rsid w:val="00F168F9"/>
    <w:rsid w:val="00F21787"/>
    <w:rsid w:val="00F24CC4"/>
    <w:rsid w:val="00F250FE"/>
    <w:rsid w:val="00F26BA3"/>
    <w:rsid w:val="00F27103"/>
    <w:rsid w:val="00F31D14"/>
    <w:rsid w:val="00F326C8"/>
    <w:rsid w:val="00F331DF"/>
    <w:rsid w:val="00F33C9C"/>
    <w:rsid w:val="00F35357"/>
    <w:rsid w:val="00F366C4"/>
    <w:rsid w:val="00F40092"/>
    <w:rsid w:val="00F40790"/>
    <w:rsid w:val="00F40E48"/>
    <w:rsid w:val="00F441D3"/>
    <w:rsid w:val="00F47FFB"/>
    <w:rsid w:val="00F50E6D"/>
    <w:rsid w:val="00F5326C"/>
    <w:rsid w:val="00F54433"/>
    <w:rsid w:val="00F54B07"/>
    <w:rsid w:val="00F54D3C"/>
    <w:rsid w:val="00F5636F"/>
    <w:rsid w:val="00F602D6"/>
    <w:rsid w:val="00F60487"/>
    <w:rsid w:val="00F6058D"/>
    <w:rsid w:val="00F6200D"/>
    <w:rsid w:val="00F62CE4"/>
    <w:rsid w:val="00F6471C"/>
    <w:rsid w:val="00F6608A"/>
    <w:rsid w:val="00F67B26"/>
    <w:rsid w:val="00F73040"/>
    <w:rsid w:val="00F7418D"/>
    <w:rsid w:val="00F75287"/>
    <w:rsid w:val="00F77FAE"/>
    <w:rsid w:val="00F80622"/>
    <w:rsid w:val="00F82F17"/>
    <w:rsid w:val="00F84F29"/>
    <w:rsid w:val="00F85335"/>
    <w:rsid w:val="00F92D72"/>
    <w:rsid w:val="00F97355"/>
    <w:rsid w:val="00F97417"/>
    <w:rsid w:val="00F9779C"/>
    <w:rsid w:val="00F977CD"/>
    <w:rsid w:val="00F97D17"/>
    <w:rsid w:val="00FA0D02"/>
    <w:rsid w:val="00FA2093"/>
    <w:rsid w:val="00FB1263"/>
    <w:rsid w:val="00FB2E23"/>
    <w:rsid w:val="00FB30C6"/>
    <w:rsid w:val="00FB3696"/>
    <w:rsid w:val="00FB568A"/>
    <w:rsid w:val="00FC2247"/>
    <w:rsid w:val="00FC2E89"/>
    <w:rsid w:val="00FC49D0"/>
    <w:rsid w:val="00FC67C0"/>
    <w:rsid w:val="00FD07D9"/>
    <w:rsid w:val="00FD56DF"/>
    <w:rsid w:val="00FD5F0D"/>
    <w:rsid w:val="00FD63E5"/>
    <w:rsid w:val="00FE320D"/>
    <w:rsid w:val="00FE5956"/>
    <w:rsid w:val="00FE6385"/>
    <w:rsid w:val="00FE66CA"/>
    <w:rsid w:val="00FE6902"/>
    <w:rsid w:val="00FF2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021F"/>
  <w15:docId w15:val="{BC9A0E22-F90D-4F9B-A8D1-65052823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FC7"/>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qFormat/>
    <w:rsid w:val="005368A3"/>
    <w:pPr>
      <w:numPr>
        <w:numId w:val="1"/>
      </w:numPr>
      <w:ind w:left="0" w:firstLine="0"/>
      <w:outlineLvl w:val="0"/>
    </w:pPr>
  </w:style>
  <w:style w:type="paragraph" w:styleId="Heading2">
    <w:name w:val="heading 2"/>
    <w:basedOn w:val="Normal"/>
    <w:next w:val="Normal"/>
    <w:link w:val="Heading2Char"/>
    <w:qFormat/>
    <w:rsid w:val="00257D35"/>
    <w:pPr>
      <w:numPr>
        <w:numId w:val="2"/>
      </w:numPr>
      <w:ind w:left="720" w:firstLine="0"/>
      <w:outlineLvl w:val="1"/>
    </w:pPr>
  </w:style>
  <w:style w:type="paragraph" w:styleId="Heading3">
    <w:name w:val="heading 3"/>
    <w:basedOn w:val="Normal"/>
    <w:next w:val="Normal"/>
    <w:qFormat/>
    <w:rsid w:val="0072728C"/>
    <w:pPr>
      <w:numPr>
        <w:numId w:val="3"/>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qFormat/>
    <w:rsid w:val="00853524"/>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qFormat/>
    <w:rsid w:val="00853524"/>
    <w:rPr>
      <w:vertAlign w:val="superscript"/>
    </w:rPr>
  </w:style>
  <w:style w:type="character" w:customStyle="1" w:styleId="Heading1Char">
    <w:name w:val="Heading 1 Char"/>
    <w:basedOn w:val="DefaultParagraphFont"/>
    <w:link w:val="Heading1"/>
    <w:uiPriority w:val="9"/>
    <w:rsid w:val="005368A3"/>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aliases w:val="Bullet Main"/>
    <w:basedOn w:val="Normal"/>
    <w:link w:val="ListParagraphChar"/>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 w:type="character" w:customStyle="1" w:styleId="ListParagraphChar">
    <w:name w:val="List Paragraph Char"/>
    <w:aliases w:val="Bullet Main Char"/>
    <w:link w:val="ListParagraph"/>
    <w:uiPriority w:val="34"/>
    <w:locked/>
    <w:rsid w:val="005610BF"/>
    <w:rPr>
      <w:rFonts w:ascii="Arial" w:hAnsi="Arial"/>
      <w:sz w:val="24"/>
      <w:szCs w:val="22"/>
      <w:lang w:val="en-US" w:eastAsia="en-US"/>
    </w:rPr>
  </w:style>
  <w:style w:type="paragraph" w:styleId="NoSpacing">
    <w:name w:val="No Spacing"/>
    <w:uiPriority w:val="1"/>
    <w:qFormat/>
    <w:rsid w:val="00466EE7"/>
    <w:pPr>
      <w:widowControl w:val="0"/>
      <w:jc w:val="both"/>
    </w:pPr>
    <w:rPr>
      <w:rFonts w:ascii="Arial" w:hAnsi="Arial" w:cs="Arial"/>
      <w:spacing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80774">
      <w:bodyDiv w:val="1"/>
      <w:marLeft w:val="0"/>
      <w:marRight w:val="0"/>
      <w:marTop w:val="0"/>
      <w:marBottom w:val="0"/>
      <w:divBdr>
        <w:top w:val="none" w:sz="0" w:space="0" w:color="auto"/>
        <w:left w:val="none" w:sz="0" w:space="0" w:color="auto"/>
        <w:bottom w:val="none" w:sz="0" w:space="0" w:color="auto"/>
        <w:right w:val="none" w:sz="0" w:space="0" w:color="auto"/>
      </w:divBdr>
    </w:div>
    <w:div w:id="1202479657">
      <w:bodyDiv w:val="1"/>
      <w:marLeft w:val="0"/>
      <w:marRight w:val="0"/>
      <w:marTop w:val="0"/>
      <w:marBottom w:val="0"/>
      <w:divBdr>
        <w:top w:val="none" w:sz="0" w:space="0" w:color="auto"/>
        <w:left w:val="none" w:sz="0" w:space="0" w:color="auto"/>
        <w:bottom w:val="none" w:sz="0" w:space="0" w:color="auto"/>
        <w:right w:val="none" w:sz="0" w:space="0" w:color="auto"/>
      </w:divBdr>
      <w:divsChild>
        <w:div w:id="396558597">
          <w:marLeft w:val="0"/>
          <w:marRight w:val="0"/>
          <w:marTop w:val="0"/>
          <w:marBottom w:val="0"/>
          <w:divBdr>
            <w:top w:val="none" w:sz="0" w:space="0" w:color="auto"/>
            <w:left w:val="none" w:sz="0" w:space="0" w:color="auto"/>
            <w:bottom w:val="none" w:sz="0" w:space="0" w:color="auto"/>
            <w:right w:val="none" w:sz="0" w:space="0" w:color="auto"/>
          </w:divBdr>
        </w:div>
        <w:div w:id="568734682">
          <w:marLeft w:val="0"/>
          <w:marRight w:val="0"/>
          <w:marTop w:val="0"/>
          <w:marBottom w:val="0"/>
          <w:divBdr>
            <w:top w:val="none" w:sz="0" w:space="0" w:color="auto"/>
            <w:left w:val="none" w:sz="0" w:space="0" w:color="auto"/>
            <w:bottom w:val="none" w:sz="0" w:space="0" w:color="auto"/>
            <w:right w:val="none" w:sz="0" w:space="0" w:color="auto"/>
          </w:divBdr>
        </w:div>
      </w:divsChild>
    </w:div>
    <w:div w:id="1482622763">
      <w:bodyDiv w:val="1"/>
      <w:marLeft w:val="0"/>
      <w:marRight w:val="0"/>
      <w:marTop w:val="0"/>
      <w:marBottom w:val="0"/>
      <w:divBdr>
        <w:top w:val="none" w:sz="0" w:space="0" w:color="auto"/>
        <w:left w:val="none" w:sz="0" w:space="0" w:color="auto"/>
        <w:bottom w:val="none" w:sz="0" w:space="0" w:color="auto"/>
        <w:right w:val="none" w:sz="0" w:space="0" w:color="auto"/>
      </w:divBdr>
    </w:div>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Custom%20Office%20Templates\Pleading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2023-08-17T18:30:00+00:00</Judgment_x0020_Date>
    <Year xmlns="aec0a7e9-5f5c-4ba9-87b2-85cfc8a38b86">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5B4AA-D2C5-4288-9FBC-6D1E59D3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57466-E9A8-4F40-9544-33CA9E675A8D}">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3.xml><?xml version="1.0" encoding="utf-8"?>
<ds:datastoreItem xmlns:ds="http://schemas.openxmlformats.org/officeDocument/2006/customXml" ds:itemID="{45E19FBB-0801-4DC3-9D52-D28CFC05FD12}">
  <ds:schemaRefs>
    <ds:schemaRef ds:uri="http://schemas.microsoft.com/sharepoint/v3/contenttype/forms"/>
  </ds:schemaRefs>
</ds:datastoreItem>
</file>

<file path=customXml/itemProps4.xml><?xml version="1.0" encoding="utf-8"?>
<ds:datastoreItem xmlns:ds="http://schemas.openxmlformats.org/officeDocument/2006/customXml" ds:itemID="{473A3761-E7B6-4020-BD96-0DAB9B12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Affidavit</Template>
  <TotalTime>3</TotalTime>
  <Pages>19</Pages>
  <Words>4828</Words>
  <Characters>24628</Characters>
  <Application>Microsoft Office Word</Application>
  <DocSecurity>0</DocSecurity>
  <Lines>2238</Lines>
  <Paragraphs>1280</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Rehoboth Town Council v Uirab (HC-MD-LAB-MOT-GEN-202300032) [2023] NALCMD 36 (18 August 2023)</dc:title>
  <dc:subject/>
  <dc:creator>Monica</dc:creator>
  <cp:keywords/>
  <dc:description/>
  <cp:lastModifiedBy>Mariana Anguelov</cp:lastModifiedBy>
  <cp:revision>5</cp:revision>
  <cp:lastPrinted>2023-08-18T11:25:00Z</cp:lastPrinted>
  <dcterms:created xsi:type="dcterms:W3CDTF">2023-08-18T11:26:00Z</dcterms:created>
  <dcterms:modified xsi:type="dcterms:W3CDTF">2023-08-19T17:21:00Z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b6910caf408c31acfb96933886e011f04a99956a06965b9bd9452ad5b6b4abbc</vt:lpwstr>
  </property>
  <property fmtid="{D5CDD505-2E9C-101B-9397-08002B2CF9AE}" pid="3" name="ContentTypeId">
    <vt:lpwstr>0x0101008CCF6D66F229EE4D8B714E6AF2A2557D</vt:lpwstr>
  </property>
</Properties>
</file>