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6D0C0" w14:textId="77777777" w:rsidR="00C20F5D" w:rsidRPr="008D43A2" w:rsidRDefault="00C20F5D" w:rsidP="00C20F5D">
      <w:pPr>
        <w:spacing w:line="360" w:lineRule="auto"/>
        <w:jc w:val="center"/>
        <w:rPr>
          <w:rFonts w:ascii="Arial" w:hAnsi="Arial" w:cs="Arial"/>
          <w:b/>
        </w:rPr>
      </w:pPr>
      <w:r w:rsidRPr="008D43A2">
        <w:rPr>
          <w:rFonts w:ascii="Arial" w:hAnsi="Arial" w:cs="Arial"/>
          <w:b/>
        </w:rPr>
        <w:t>REPUBLIC OF NAMIBIA</w:t>
      </w:r>
    </w:p>
    <w:p w14:paraId="57A32E8A" w14:textId="77777777" w:rsidR="00C20F5D" w:rsidRPr="008D43A2" w:rsidRDefault="00C20F5D" w:rsidP="00C20F5D">
      <w:pPr>
        <w:spacing w:line="360" w:lineRule="auto"/>
        <w:jc w:val="center"/>
        <w:rPr>
          <w:rFonts w:ascii="Arial" w:hAnsi="Arial" w:cs="Arial"/>
          <w:b/>
        </w:rPr>
      </w:pPr>
      <w:r w:rsidRPr="008D43A2">
        <w:rPr>
          <w:rFonts w:ascii="Arial" w:hAnsi="Arial" w:cs="Arial"/>
          <w:b/>
          <w:noProof/>
          <w:lang w:val="en-US"/>
        </w:rPr>
        <w:drawing>
          <wp:inline distT="0" distB="0" distL="0" distR="0" wp14:anchorId="2A3D4757" wp14:editId="0BE69AF7">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5343CFB3" w14:textId="3F83DCF5" w:rsidR="002E1CDF" w:rsidRDefault="002E1CDF" w:rsidP="00C20F5D">
      <w:pPr>
        <w:spacing w:line="360" w:lineRule="auto"/>
        <w:jc w:val="center"/>
        <w:rPr>
          <w:rFonts w:ascii="Arial" w:hAnsi="Arial"/>
          <w:b/>
        </w:rPr>
      </w:pPr>
      <w:r>
        <w:rPr>
          <w:rFonts w:ascii="Arial" w:hAnsi="Arial"/>
          <w:b/>
        </w:rPr>
        <w:t>HIGH COURT OF NAMIBIA, MAIN DIVISION, WINDHOEK</w:t>
      </w:r>
    </w:p>
    <w:p w14:paraId="6B83DF6A" w14:textId="77777777" w:rsidR="002E1CDF" w:rsidRDefault="002E1CDF" w:rsidP="00C20F5D">
      <w:pPr>
        <w:spacing w:line="360" w:lineRule="auto"/>
        <w:jc w:val="center"/>
        <w:rPr>
          <w:rFonts w:ascii="Arial" w:hAnsi="Arial"/>
          <w:b/>
        </w:rPr>
      </w:pPr>
      <w:r>
        <w:rPr>
          <w:rFonts w:ascii="Arial" w:hAnsi="Arial"/>
          <w:b/>
        </w:rPr>
        <w:t>RULING ON APPLICATION FOR LEAVE TO APPEAL</w:t>
      </w:r>
    </w:p>
    <w:p w14:paraId="63A1BCD5" w14:textId="77777777" w:rsidR="002E1CDF" w:rsidRDefault="002E1CDF" w:rsidP="00C20F5D">
      <w:pPr>
        <w:tabs>
          <w:tab w:val="right" w:pos="8280"/>
        </w:tabs>
        <w:spacing w:line="360" w:lineRule="auto"/>
        <w:rPr>
          <w:rFonts w:ascii="Arial" w:hAnsi="Arial"/>
          <w:b/>
        </w:rPr>
      </w:pPr>
    </w:p>
    <w:p w14:paraId="4ED629B8" w14:textId="77777777" w:rsidR="002E1CDF" w:rsidRDefault="002E1CDF" w:rsidP="00C20F5D">
      <w:pPr>
        <w:spacing w:line="360" w:lineRule="auto"/>
        <w:jc w:val="right"/>
        <w:rPr>
          <w:rFonts w:ascii="Arial" w:hAnsi="Arial"/>
        </w:rPr>
      </w:pPr>
      <w:r>
        <w:rPr>
          <w:rFonts w:ascii="Arial" w:hAnsi="Arial"/>
        </w:rPr>
        <w:t>Case No: HC-MD-LAB-APP-AAA-</w:t>
      </w:r>
      <w:r w:rsidR="00715202">
        <w:rPr>
          <w:rFonts w:ascii="Arial" w:hAnsi="Arial"/>
        </w:rPr>
        <w:t>2021/00068</w:t>
      </w:r>
    </w:p>
    <w:p w14:paraId="090B58BB" w14:textId="77777777" w:rsidR="00715202" w:rsidRDefault="00715202" w:rsidP="00C20F5D">
      <w:pPr>
        <w:spacing w:line="360" w:lineRule="auto"/>
        <w:jc w:val="right"/>
        <w:rPr>
          <w:rFonts w:ascii="Arial" w:hAnsi="Arial"/>
        </w:rPr>
      </w:pPr>
    </w:p>
    <w:p w14:paraId="1357AC18" w14:textId="77777777" w:rsidR="00715202" w:rsidRDefault="00B65BD9" w:rsidP="00C20F5D">
      <w:pPr>
        <w:spacing w:line="360" w:lineRule="auto"/>
        <w:rPr>
          <w:rFonts w:ascii="Arial" w:hAnsi="Arial"/>
        </w:rPr>
      </w:pPr>
      <w:r>
        <w:rPr>
          <w:rFonts w:ascii="Arial" w:hAnsi="Arial"/>
        </w:rPr>
        <w:t>In the matter between:</w:t>
      </w:r>
    </w:p>
    <w:p w14:paraId="2571C400" w14:textId="77777777" w:rsidR="00B65BD9" w:rsidRDefault="00B65BD9" w:rsidP="00C20F5D">
      <w:pPr>
        <w:spacing w:line="360" w:lineRule="auto"/>
        <w:rPr>
          <w:rFonts w:ascii="Arial" w:hAnsi="Arial"/>
        </w:rPr>
      </w:pPr>
    </w:p>
    <w:p w14:paraId="1878FF15" w14:textId="106B3C4B" w:rsidR="00B65BD9" w:rsidRDefault="00B65BD9" w:rsidP="001763F7">
      <w:pPr>
        <w:tabs>
          <w:tab w:val="right" w:pos="9720"/>
        </w:tabs>
        <w:spacing w:line="360" w:lineRule="auto"/>
        <w:rPr>
          <w:rFonts w:ascii="Arial" w:hAnsi="Arial"/>
          <w:b/>
        </w:rPr>
      </w:pPr>
      <w:r>
        <w:rPr>
          <w:rFonts w:ascii="Arial" w:hAnsi="Arial"/>
          <w:b/>
        </w:rPr>
        <w:t xml:space="preserve">HILARIUS MANU IIPINGE                                                            </w:t>
      </w:r>
      <w:r w:rsidR="001763F7">
        <w:rPr>
          <w:rFonts w:ascii="Arial" w:hAnsi="Arial"/>
          <w:b/>
        </w:rPr>
        <w:tab/>
      </w:r>
      <w:r>
        <w:rPr>
          <w:rFonts w:ascii="Arial" w:hAnsi="Arial"/>
          <w:b/>
        </w:rPr>
        <w:t>APPLICANT</w:t>
      </w:r>
    </w:p>
    <w:p w14:paraId="74DE7C40" w14:textId="77777777" w:rsidR="00B65BD9" w:rsidRDefault="00B65BD9" w:rsidP="00C20F5D">
      <w:pPr>
        <w:spacing w:line="360" w:lineRule="auto"/>
        <w:rPr>
          <w:rFonts w:ascii="Arial" w:hAnsi="Arial"/>
          <w:b/>
        </w:rPr>
      </w:pPr>
    </w:p>
    <w:p w14:paraId="1651A93A" w14:textId="77777777" w:rsidR="00B65BD9" w:rsidRDefault="00B65BD9" w:rsidP="00C20F5D">
      <w:pPr>
        <w:spacing w:line="360" w:lineRule="auto"/>
        <w:rPr>
          <w:rFonts w:ascii="Arial" w:hAnsi="Arial"/>
        </w:rPr>
      </w:pPr>
      <w:proofErr w:type="gramStart"/>
      <w:r>
        <w:rPr>
          <w:rFonts w:ascii="Arial" w:hAnsi="Arial"/>
        </w:rPr>
        <w:t>and</w:t>
      </w:r>
      <w:proofErr w:type="gramEnd"/>
    </w:p>
    <w:p w14:paraId="55D5C0DA" w14:textId="77777777" w:rsidR="00B65BD9" w:rsidRDefault="00B65BD9" w:rsidP="00C20F5D">
      <w:pPr>
        <w:spacing w:line="360" w:lineRule="auto"/>
        <w:rPr>
          <w:rFonts w:ascii="Arial" w:hAnsi="Arial"/>
        </w:rPr>
      </w:pPr>
    </w:p>
    <w:p w14:paraId="34082C7B" w14:textId="4EB53BA9" w:rsidR="007A3763" w:rsidRDefault="00B65BD9" w:rsidP="001763F7">
      <w:pPr>
        <w:tabs>
          <w:tab w:val="right" w:pos="9870"/>
        </w:tabs>
        <w:spacing w:line="360" w:lineRule="auto"/>
        <w:rPr>
          <w:rFonts w:ascii="Arial" w:hAnsi="Arial"/>
          <w:b/>
        </w:rPr>
      </w:pPr>
      <w:r>
        <w:rPr>
          <w:rFonts w:ascii="Arial" w:hAnsi="Arial"/>
          <w:b/>
        </w:rPr>
        <w:t xml:space="preserve">INDONGO AUTO (PTY) LTD t/a INDONGO TOYOTA      </w:t>
      </w:r>
      <w:r w:rsidR="001763F7">
        <w:rPr>
          <w:rFonts w:ascii="Arial" w:hAnsi="Arial"/>
          <w:b/>
        </w:rPr>
        <w:tab/>
      </w:r>
      <w:r>
        <w:rPr>
          <w:rFonts w:ascii="Arial" w:hAnsi="Arial"/>
          <w:b/>
        </w:rPr>
        <w:t>1</w:t>
      </w:r>
      <w:r w:rsidRPr="00B65BD9">
        <w:rPr>
          <w:rFonts w:ascii="Arial" w:hAnsi="Arial"/>
          <w:b/>
          <w:vertAlign w:val="superscript"/>
        </w:rPr>
        <w:t>ST</w:t>
      </w:r>
      <w:r>
        <w:rPr>
          <w:rFonts w:ascii="Arial" w:hAnsi="Arial"/>
          <w:b/>
        </w:rPr>
        <w:t xml:space="preserve"> RESPONDENT</w:t>
      </w:r>
    </w:p>
    <w:p w14:paraId="389F33D0" w14:textId="6D7C86E2" w:rsidR="007A3763" w:rsidRDefault="007A3763" w:rsidP="001763F7">
      <w:pPr>
        <w:tabs>
          <w:tab w:val="right" w:pos="9870"/>
        </w:tabs>
        <w:spacing w:line="360" w:lineRule="auto"/>
        <w:rPr>
          <w:rFonts w:ascii="Arial" w:hAnsi="Arial"/>
          <w:b/>
        </w:rPr>
      </w:pPr>
      <w:r>
        <w:rPr>
          <w:rFonts w:ascii="Arial" w:hAnsi="Arial"/>
          <w:b/>
        </w:rPr>
        <w:t xml:space="preserve">LIWELA SASELE </w:t>
      </w:r>
      <w:r>
        <w:rPr>
          <w:rFonts w:ascii="Arial" w:hAnsi="Arial"/>
          <w:b/>
          <w:i/>
        </w:rPr>
        <w:t xml:space="preserve">NO </w:t>
      </w:r>
      <w:r>
        <w:rPr>
          <w:rFonts w:ascii="Arial" w:hAnsi="Arial"/>
          <w:b/>
        </w:rPr>
        <w:t xml:space="preserve">                                                       </w:t>
      </w:r>
      <w:r w:rsidR="001763F7">
        <w:rPr>
          <w:rFonts w:ascii="Arial" w:hAnsi="Arial"/>
          <w:b/>
        </w:rPr>
        <w:tab/>
      </w:r>
      <w:r>
        <w:rPr>
          <w:rFonts w:ascii="Arial" w:hAnsi="Arial"/>
          <w:b/>
        </w:rPr>
        <w:t>2</w:t>
      </w:r>
      <w:r w:rsidRPr="007A3763">
        <w:rPr>
          <w:rFonts w:ascii="Arial" w:hAnsi="Arial"/>
          <w:b/>
          <w:vertAlign w:val="superscript"/>
        </w:rPr>
        <w:t>ND</w:t>
      </w:r>
      <w:r>
        <w:rPr>
          <w:rFonts w:ascii="Arial" w:hAnsi="Arial"/>
          <w:b/>
        </w:rPr>
        <w:t xml:space="preserve"> RESPONDENT</w:t>
      </w:r>
    </w:p>
    <w:p w14:paraId="7620D3D9" w14:textId="77777777" w:rsidR="00D35C1F" w:rsidRDefault="00D35C1F" w:rsidP="00C20F5D">
      <w:pPr>
        <w:spacing w:line="360" w:lineRule="auto"/>
        <w:rPr>
          <w:rFonts w:ascii="Arial" w:hAnsi="Arial"/>
          <w:b/>
        </w:rPr>
      </w:pPr>
    </w:p>
    <w:p w14:paraId="646C28E3" w14:textId="3C875C05" w:rsidR="00D35C1F" w:rsidRDefault="00D35C1F" w:rsidP="00C20F5D">
      <w:pPr>
        <w:spacing w:line="360" w:lineRule="auto"/>
        <w:ind w:left="2160" w:hanging="2160"/>
        <w:rPr>
          <w:rFonts w:ascii="Arial" w:hAnsi="Arial"/>
        </w:rPr>
      </w:pPr>
      <w:r>
        <w:rPr>
          <w:rFonts w:ascii="Arial" w:hAnsi="Arial"/>
          <w:b/>
        </w:rPr>
        <w:t>Neutral Citation:</w:t>
      </w:r>
      <w:r>
        <w:rPr>
          <w:rFonts w:ascii="Arial" w:hAnsi="Arial"/>
          <w:b/>
        </w:rPr>
        <w:tab/>
      </w:r>
      <w:proofErr w:type="spellStart"/>
      <w:r>
        <w:rPr>
          <w:rFonts w:ascii="Arial" w:hAnsi="Arial"/>
          <w:i/>
        </w:rPr>
        <w:t>Iipinge</w:t>
      </w:r>
      <w:proofErr w:type="spellEnd"/>
      <w:r>
        <w:rPr>
          <w:rFonts w:ascii="Arial" w:hAnsi="Arial"/>
          <w:i/>
        </w:rPr>
        <w:t xml:space="preserve"> v </w:t>
      </w:r>
      <w:proofErr w:type="spellStart"/>
      <w:r>
        <w:rPr>
          <w:rFonts w:ascii="Arial" w:hAnsi="Arial"/>
          <w:i/>
        </w:rPr>
        <w:t>Indongo</w:t>
      </w:r>
      <w:proofErr w:type="spellEnd"/>
      <w:r>
        <w:rPr>
          <w:rFonts w:ascii="Arial" w:hAnsi="Arial"/>
          <w:i/>
        </w:rPr>
        <w:t xml:space="preserve"> Auto (Pty</w:t>
      </w:r>
      <w:r w:rsidR="0046554C">
        <w:rPr>
          <w:rFonts w:ascii="Arial" w:hAnsi="Arial"/>
          <w:i/>
        </w:rPr>
        <w:t>)</w:t>
      </w:r>
      <w:r>
        <w:rPr>
          <w:rFonts w:ascii="Arial" w:hAnsi="Arial"/>
          <w:i/>
        </w:rPr>
        <w:t xml:space="preserve"> Ltd t/</w:t>
      </w:r>
      <w:proofErr w:type="gramStart"/>
      <w:r>
        <w:rPr>
          <w:rFonts w:ascii="Arial" w:hAnsi="Arial"/>
          <w:i/>
        </w:rPr>
        <w:t>a</w:t>
      </w:r>
      <w:proofErr w:type="gramEnd"/>
      <w:r>
        <w:rPr>
          <w:rFonts w:ascii="Arial" w:hAnsi="Arial"/>
          <w:i/>
        </w:rPr>
        <w:t xml:space="preserve"> </w:t>
      </w:r>
      <w:proofErr w:type="spellStart"/>
      <w:r>
        <w:rPr>
          <w:rFonts w:ascii="Arial" w:hAnsi="Arial"/>
          <w:i/>
        </w:rPr>
        <w:t>Indongo</w:t>
      </w:r>
      <w:proofErr w:type="spellEnd"/>
      <w:r>
        <w:rPr>
          <w:rFonts w:ascii="Arial" w:hAnsi="Arial"/>
          <w:i/>
        </w:rPr>
        <w:t xml:space="preserve"> Toyota </w:t>
      </w:r>
      <w:r>
        <w:rPr>
          <w:rFonts w:ascii="Arial" w:hAnsi="Arial"/>
        </w:rPr>
        <w:t>(HC</w:t>
      </w:r>
      <w:r w:rsidR="00C20F5D">
        <w:rPr>
          <w:rFonts w:ascii="Arial" w:hAnsi="Arial"/>
        </w:rPr>
        <w:t>- MD</w:t>
      </w:r>
      <w:r>
        <w:rPr>
          <w:rFonts w:ascii="Arial" w:hAnsi="Arial"/>
        </w:rPr>
        <w:t>-LAB-APP-AAA-</w:t>
      </w:r>
      <w:r w:rsidR="00B374FC">
        <w:rPr>
          <w:rFonts w:ascii="Arial" w:hAnsi="Arial"/>
        </w:rPr>
        <w:t>2021/00068) [2023] NALCMD 38 (24</w:t>
      </w:r>
      <w:r>
        <w:rPr>
          <w:rFonts w:ascii="Arial" w:hAnsi="Arial"/>
        </w:rPr>
        <w:t xml:space="preserve"> August 2023).</w:t>
      </w:r>
    </w:p>
    <w:p w14:paraId="69785A91" w14:textId="77777777" w:rsidR="00D35C1F" w:rsidRDefault="00D35C1F" w:rsidP="00C20F5D">
      <w:pPr>
        <w:spacing w:line="360" w:lineRule="auto"/>
        <w:rPr>
          <w:rFonts w:ascii="Arial" w:hAnsi="Arial"/>
        </w:rPr>
      </w:pPr>
    </w:p>
    <w:p w14:paraId="6C72FB44" w14:textId="2BE8F774" w:rsidR="00D35C1F" w:rsidRDefault="00D35C1F" w:rsidP="00C20F5D">
      <w:pPr>
        <w:spacing w:line="360" w:lineRule="auto"/>
        <w:rPr>
          <w:rFonts w:ascii="Arial" w:hAnsi="Arial"/>
        </w:rPr>
      </w:pPr>
      <w:r>
        <w:rPr>
          <w:rFonts w:ascii="Arial" w:hAnsi="Arial"/>
          <w:b/>
        </w:rPr>
        <w:t>CORAM:</w:t>
      </w:r>
      <w:r>
        <w:rPr>
          <w:rFonts w:ascii="Arial" w:hAnsi="Arial"/>
          <w:b/>
        </w:rPr>
        <w:tab/>
      </w:r>
      <w:r>
        <w:rPr>
          <w:rFonts w:ascii="Arial" w:hAnsi="Arial"/>
          <w:b/>
        </w:rPr>
        <w:tab/>
      </w:r>
      <w:r>
        <w:rPr>
          <w:rFonts w:ascii="Arial" w:hAnsi="Arial"/>
        </w:rPr>
        <w:t>MASUKU J</w:t>
      </w:r>
    </w:p>
    <w:p w14:paraId="2D6431BB" w14:textId="0F578729" w:rsidR="00D35C1F" w:rsidRPr="00C20F5D" w:rsidRDefault="00D35C1F" w:rsidP="00C20F5D">
      <w:pPr>
        <w:spacing w:line="360" w:lineRule="auto"/>
        <w:rPr>
          <w:rFonts w:ascii="Arial" w:hAnsi="Arial"/>
          <w:b/>
        </w:rPr>
      </w:pPr>
      <w:r>
        <w:rPr>
          <w:rFonts w:ascii="Arial" w:hAnsi="Arial"/>
          <w:b/>
        </w:rPr>
        <w:t>Date Heard:</w:t>
      </w:r>
      <w:r>
        <w:rPr>
          <w:rFonts w:ascii="Arial" w:hAnsi="Arial"/>
          <w:b/>
        </w:rPr>
        <w:tab/>
      </w:r>
      <w:r>
        <w:rPr>
          <w:rFonts w:ascii="Arial" w:hAnsi="Arial"/>
          <w:b/>
        </w:rPr>
        <w:tab/>
      </w:r>
      <w:r w:rsidRPr="00C20F5D">
        <w:rPr>
          <w:rFonts w:ascii="Arial" w:hAnsi="Arial"/>
          <w:b/>
        </w:rPr>
        <w:t>28 July 2023</w:t>
      </w:r>
    </w:p>
    <w:p w14:paraId="4E939731" w14:textId="4F7FB264" w:rsidR="007A3763" w:rsidRPr="00C20F5D" w:rsidRDefault="00D35C1F" w:rsidP="00C20F5D">
      <w:pPr>
        <w:spacing w:line="360" w:lineRule="auto"/>
        <w:rPr>
          <w:rFonts w:ascii="Arial" w:hAnsi="Arial"/>
          <w:b/>
        </w:rPr>
      </w:pPr>
      <w:r w:rsidRPr="00C20F5D">
        <w:rPr>
          <w:rFonts w:ascii="Arial" w:hAnsi="Arial"/>
          <w:b/>
        </w:rPr>
        <w:t>Date Delivered:</w:t>
      </w:r>
      <w:r w:rsidRPr="00C20F5D">
        <w:rPr>
          <w:rFonts w:ascii="Arial" w:hAnsi="Arial"/>
          <w:b/>
        </w:rPr>
        <w:tab/>
      </w:r>
      <w:r w:rsidR="002A073B">
        <w:rPr>
          <w:rFonts w:ascii="Arial" w:hAnsi="Arial"/>
          <w:b/>
        </w:rPr>
        <w:t>24</w:t>
      </w:r>
      <w:r w:rsidRPr="00C20F5D">
        <w:rPr>
          <w:rFonts w:ascii="Arial" w:hAnsi="Arial"/>
          <w:b/>
        </w:rPr>
        <w:t xml:space="preserve"> August 2023</w:t>
      </w:r>
    </w:p>
    <w:p w14:paraId="3024102A" w14:textId="77777777" w:rsidR="00D35C1F" w:rsidRDefault="00D35C1F" w:rsidP="00C20F5D">
      <w:pPr>
        <w:spacing w:line="360" w:lineRule="auto"/>
        <w:rPr>
          <w:rFonts w:ascii="Arial" w:hAnsi="Arial"/>
        </w:rPr>
      </w:pPr>
    </w:p>
    <w:p w14:paraId="728CDACB" w14:textId="0B256C00" w:rsidR="00D35C1F" w:rsidRDefault="00D35C1F" w:rsidP="00C20F5D">
      <w:pPr>
        <w:spacing w:line="360" w:lineRule="auto"/>
        <w:jc w:val="both"/>
        <w:rPr>
          <w:rFonts w:ascii="Arial" w:hAnsi="Arial"/>
        </w:rPr>
      </w:pPr>
      <w:r>
        <w:rPr>
          <w:rFonts w:ascii="Arial" w:hAnsi="Arial"/>
          <w:b/>
        </w:rPr>
        <w:t>Flynote:</w:t>
      </w:r>
      <w:r>
        <w:rPr>
          <w:rFonts w:ascii="Arial" w:hAnsi="Arial"/>
          <w:b/>
        </w:rPr>
        <w:tab/>
      </w:r>
      <w:r>
        <w:rPr>
          <w:rFonts w:ascii="Arial" w:hAnsi="Arial"/>
        </w:rPr>
        <w:t>Labour Law – Civil Procedure – Application for leave to appeal – Co</w:t>
      </w:r>
      <w:r w:rsidR="00EA4B27">
        <w:rPr>
          <w:rFonts w:ascii="Arial" w:hAnsi="Arial"/>
        </w:rPr>
        <w:t>nsiderations taken into account in granting or refusing the said application –</w:t>
      </w:r>
      <w:r>
        <w:rPr>
          <w:rFonts w:ascii="Arial" w:hAnsi="Arial"/>
        </w:rPr>
        <w:t xml:space="preserve"> </w:t>
      </w:r>
      <w:r w:rsidR="0046554C">
        <w:rPr>
          <w:rFonts w:ascii="Arial" w:hAnsi="Arial"/>
        </w:rPr>
        <w:t>Grounds of appeal – T</w:t>
      </w:r>
      <w:r w:rsidR="00EA4B27">
        <w:rPr>
          <w:rFonts w:ascii="Arial" w:hAnsi="Arial"/>
        </w:rPr>
        <w:t>heir nature and purpose and what they must contain.</w:t>
      </w:r>
    </w:p>
    <w:p w14:paraId="3EBD79FD" w14:textId="77777777" w:rsidR="00EA4B27" w:rsidRDefault="00EA4B27" w:rsidP="00C20F5D">
      <w:pPr>
        <w:spacing w:line="360" w:lineRule="auto"/>
        <w:jc w:val="both"/>
        <w:rPr>
          <w:rFonts w:ascii="Arial" w:hAnsi="Arial"/>
        </w:rPr>
      </w:pPr>
    </w:p>
    <w:p w14:paraId="05FDB18F" w14:textId="75237E29" w:rsidR="00EA4B27" w:rsidRDefault="00EA4B27" w:rsidP="00C20F5D">
      <w:pPr>
        <w:spacing w:line="360" w:lineRule="auto"/>
        <w:jc w:val="both"/>
        <w:rPr>
          <w:rFonts w:ascii="Arial" w:hAnsi="Arial"/>
        </w:rPr>
      </w:pPr>
      <w:r>
        <w:rPr>
          <w:rFonts w:ascii="Arial" w:hAnsi="Arial"/>
          <w:b/>
        </w:rPr>
        <w:t>Summary:</w:t>
      </w:r>
      <w:r>
        <w:rPr>
          <w:rFonts w:ascii="Arial" w:hAnsi="Arial"/>
          <w:b/>
        </w:rPr>
        <w:tab/>
      </w:r>
      <w:r>
        <w:rPr>
          <w:rFonts w:ascii="Arial" w:hAnsi="Arial"/>
        </w:rPr>
        <w:t>This is an application for leave to appeal a judgment of the Labour Court</w:t>
      </w:r>
      <w:r w:rsidR="00CA13BC">
        <w:rPr>
          <w:rFonts w:ascii="Arial" w:hAnsi="Arial"/>
        </w:rPr>
        <w:t>. In that judgment, this court set aside</w:t>
      </w:r>
      <w:r>
        <w:rPr>
          <w:rFonts w:ascii="Arial" w:hAnsi="Arial"/>
        </w:rPr>
        <w:t xml:space="preserve"> an arbitral award issued by the arbitrator,</w:t>
      </w:r>
      <w:r w:rsidR="00CA13BC">
        <w:rPr>
          <w:rFonts w:ascii="Arial" w:hAnsi="Arial"/>
        </w:rPr>
        <w:t xml:space="preserve"> finding that</w:t>
      </w:r>
      <w:r w:rsidR="00593EF9">
        <w:rPr>
          <w:rFonts w:ascii="Arial" w:hAnsi="Arial"/>
        </w:rPr>
        <w:t xml:space="preserve"> the applicant’s di</w:t>
      </w:r>
      <w:r w:rsidR="00CA13BC">
        <w:rPr>
          <w:rFonts w:ascii="Arial" w:hAnsi="Arial"/>
        </w:rPr>
        <w:t>smissal was unfair. The arbitrator reinstated the applicant in his</w:t>
      </w:r>
      <w:r w:rsidR="00593EF9">
        <w:rPr>
          <w:rFonts w:ascii="Arial" w:hAnsi="Arial"/>
        </w:rPr>
        <w:t xml:space="preserve"> employment with the first respondent</w:t>
      </w:r>
      <w:r w:rsidR="00CA13BC">
        <w:rPr>
          <w:rFonts w:ascii="Arial" w:hAnsi="Arial"/>
        </w:rPr>
        <w:t xml:space="preserve">. </w:t>
      </w:r>
      <w:r w:rsidR="00593EF9">
        <w:rPr>
          <w:rFonts w:ascii="Arial" w:hAnsi="Arial"/>
        </w:rPr>
        <w:t xml:space="preserve"> The applicant, dissatisfied with the decision of the court, applied for leave to appeal to the Supreme Court.</w:t>
      </w:r>
    </w:p>
    <w:p w14:paraId="4D745F13" w14:textId="77777777" w:rsidR="00593EF9" w:rsidRDefault="00593EF9" w:rsidP="00C20F5D">
      <w:pPr>
        <w:spacing w:line="360" w:lineRule="auto"/>
        <w:jc w:val="both"/>
        <w:rPr>
          <w:rFonts w:ascii="Arial" w:hAnsi="Arial"/>
        </w:rPr>
      </w:pPr>
    </w:p>
    <w:p w14:paraId="43A7A310" w14:textId="77777777" w:rsidR="0013714E" w:rsidRDefault="00593EF9" w:rsidP="0013714E">
      <w:pPr>
        <w:spacing w:line="360" w:lineRule="auto"/>
        <w:jc w:val="both"/>
        <w:rPr>
          <w:rFonts w:ascii="Arial" w:hAnsi="Arial"/>
        </w:rPr>
      </w:pPr>
      <w:r>
        <w:rPr>
          <w:rFonts w:ascii="Arial" w:hAnsi="Arial"/>
          <w:i/>
        </w:rPr>
        <w:lastRenderedPageBreak/>
        <w:t>Held</w:t>
      </w:r>
      <w:r>
        <w:rPr>
          <w:rFonts w:ascii="Arial" w:hAnsi="Arial"/>
        </w:rPr>
        <w:t xml:space="preserve">: </w:t>
      </w:r>
      <w:r w:rsidR="0013714E">
        <w:rPr>
          <w:rFonts w:ascii="Arial" w:hAnsi="Arial"/>
        </w:rPr>
        <w:t>That in applications for leave to appeal, the applicant must satisfy this court that there is a reasonable probability that the Supreme Court may come to a different decision from that of this court.</w:t>
      </w:r>
    </w:p>
    <w:p w14:paraId="0F771880" w14:textId="2BB46C33" w:rsidR="00274761" w:rsidRDefault="00274761" w:rsidP="00C20F5D">
      <w:pPr>
        <w:spacing w:line="360" w:lineRule="auto"/>
        <w:jc w:val="both"/>
        <w:rPr>
          <w:rFonts w:ascii="Arial" w:hAnsi="Arial"/>
        </w:rPr>
      </w:pPr>
    </w:p>
    <w:p w14:paraId="12198F94" w14:textId="53053AED" w:rsidR="00812393" w:rsidRDefault="00812393" w:rsidP="00C20F5D">
      <w:pPr>
        <w:spacing w:line="360" w:lineRule="auto"/>
        <w:jc w:val="both"/>
        <w:rPr>
          <w:rFonts w:ascii="Arial" w:hAnsi="Arial"/>
        </w:rPr>
      </w:pPr>
      <w:r>
        <w:rPr>
          <w:rFonts w:ascii="Arial" w:hAnsi="Arial"/>
          <w:i/>
        </w:rPr>
        <w:t>Held that</w:t>
      </w:r>
      <w:r>
        <w:rPr>
          <w:rFonts w:ascii="Arial" w:hAnsi="Arial"/>
        </w:rPr>
        <w:t xml:space="preserve">: In doing so, the court must disabuse its mind of the fact that it has no reasonable doubt regarding the correctness of its judgment. What the court must ask itself is whether on the grounds of appeal raised by the applicant, </w:t>
      </w:r>
      <w:r w:rsidR="00EA01E0">
        <w:rPr>
          <w:rFonts w:ascii="Arial" w:hAnsi="Arial"/>
        </w:rPr>
        <w:t xml:space="preserve">there is a reasonable prospect that the Supreme Court might come to a different conclusion. </w:t>
      </w:r>
    </w:p>
    <w:p w14:paraId="3A43B861" w14:textId="77777777" w:rsidR="00EA01E0" w:rsidRDefault="00EA01E0" w:rsidP="00C20F5D">
      <w:pPr>
        <w:spacing w:line="360" w:lineRule="auto"/>
        <w:jc w:val="both"/>
        <w:rPr>
          <w:rFonts w:ascii="Arial" w:hAnsi="Arial"/>
        </w:rPr>
      </w:pPr>
    </w:p>
    <w:p w14:paraId="0AB28033" w14:textId="4C551C15" w:rsidR="00EA01E0" w:rsidRDefault="00EA01E0" w:rsidP="00C20F5D">
      <w:pPr>
        <w:spacing w:line="360" w:lineRule="auto"/>
        <w:jc w:val="both"/>
        <w:rPr>
          <w:rFonts w:ascii="Arial" w:hAnsi="Arial"/>
        </w:rPr>
      </w:pPr>
      <w:r>
        <w:rPr>
          <w:rFonts w:ascii="Arial" w:hAnsi="Arial"/>
          <w:i/>
        </w:rPr>
        <w:t>Held further that</w:t>
      </w:r>
      <w:r>
        <w:rPr>
          <w:rFonts w:ascii="Arial" w:hAnsi="Arial"/>
        </w:rPr>
        <w:t>: The applicant in the instant case failed to present grounds of appeal that meet the standard. W</w:t>
      </w:r>
      <w:r w:rsidR="00AB7591">
        <w:rPr>
          <w:rFonts w:ascii="Arial" w:hAnsi="Arial"/>
        </w:rPr>
        <w:t>hat he did was to merely record</w:t>
      </w:r>
      <w:r>
        <w:rPr>
          <w:rFonts w:ascii="Arial" w:hAnsi="Arial"/>
        </w:rPr>
        <w:t xml:space="preserve"> conclusions of law</w:t>
      </w:r>
      <w:r w:rsidR="00AB7591">
        <w:rPr>
          <w:rFonts w:ascii="Arial" w:hAnsi="Arial"/>
        </w:rPr>
        <w:t>,</w:t>
      </w:r>
      <w:r>
        <w:rPr>
          <w:rFonts w:ascii="Arial" w:hAnsi="Arial"/>
        </w:rPr>
        <w:t xml:space="preserve"> in the absence of detailed bases for the conclusion.</w:t>
      </w:r>
    </w:p>
    <w:p w14:paraId="0F1D60AD" w14:textId="77777777" w:rsidR="00EA01E0" w:rsidRDefault="00EA01E0" w:rsidP="00C20F5D">
      <w:pPr>
        <w:spacing w:line="360" w:lineRule="auto"/>
        <w:jc w:val="both"/>
        <w:rPr>
          <w:rFonts w:ascii="Arial" w:hAnsi="Arial"/>
        </w:rPr>
      </w:pPr>
    </w:p>
    <w:p w14:paraId="346EC57E" w14:textId="2BDCA34D" w:rsidR="00DA6B9D" w:rsidRDefault="00EA01E0" w:rsidP="00C20F5D">
      <w:pPr>
        <w:spacing w:line="360" w:lineRule="auto"/>
        <w:jc w:val="both"/>
        <w:rPr>
          <w:rFonts w:ascii="Arial" w:hAnsi="Arial"/>
        </w:rPr>
      </w:pPr>
      <w:r>
        <w:rPr>
          <w:rFonts w:ascii="Arial" w:hAnsi="Arial"/>
          <w:i/>
        </w:rPr>
        <w:t>Held</w:t>
      </w:r>
      <w:r>
        <w:rPr>
          <w:rFonts w:ascii="Arial" w:hAnsi="Arial"/>
        </w:rPr>
        <w:t xml:space="preserve">: That the purpose of </w:t>
      </w:r>
      <w:r w:rsidR="004B734A">
        <w:rPr>
          <w:rFonts w:ascii="Arial" w:hAnsi="Arial"/>
        </w:rPr>
        <w:t>grounds of appeal is to apprise all interested parties and the court as fully as possible of what the applicant contends are the issues in contention. In addition, grounds of appeal are designed to give the respondent an opportu</w:t>
      </w:r>
      <w:r w:rsidR="00AB7591">
        <w:rPr>
          <w:rFonts w:ascii="Arial" w:hAnsi="Arial"/>
        </w:rPr>
        <w:t>nity of abandoning the judgment and</w:t>
      </w:r>
      <w:r w:rsidR="004B734A">
        <w:rPr>
          <w:rFonts w:ascii="Arial" w:hAnsi="Arial"/>
        </w:rPr>
        <w:t xml:space="preserve"> to inform the respondent of </w:t>
      </w:r>
      <w:r w:rsidR="00AB7591">
        <w:rPr>
          <w:rFonts w:ascii="Arial" w:hAnsi="Arial"/>
        </w:rPr>
        <w:t>the case it has to meet. If grounds of appeal are widely couch</w:t>
      </w:r>
      <w:r w:rsidR="004B734A">
        <w:rPr>
          <w:rFonts w:ascii="Arial" w:hAnsi="Arial"/>
        </w:rPr>
        <w:t xml:space="preserve">ed, they are bad </w:t>
      </w:r>
      <w:r w:rsidR="00F54337">
        <w:rPr>
          <w:rFonts w:ascii="Arial" w:hAnsi="Arial"/>
        </w:rPr>
        <w:t>because</w:t>
      </w:r>
      <w:r w:rsidR="00DA6B9D">
        <w:rPr>
          <w:rFonts w:ascii="Arial" w:hAnsi="Arial"/>
        </w:rPr>
        <w:t xml:space="preserve"> they fail to specify clearly and in unambiguous terms exactly what case the respondent is called upon to meet.</w:t>
      </w:r>
    </w:p>
    <w:p w14:paraId="18D6F4B6" w14:textId="77777777" w:rsidR="00DA6B9D" w:rsidRDefault="00DA6B9D" w:rsidP="00C20F5D">
      <w:pPr>
        <w:spacing w:line="360" w:lineRule="auto"/>
        <w:jc w:val="both"/>
        <w:rPr>
          <w:rFonts w:ascii="Arial" w:hAnsi="Arial"/>
        </w:rPr>
      </w:pPr>
    </w:p>
    <w:p w14:paraId="7512789A" w14:textId="548C1C25" w:rsidR="00EA01E0" w:rsidRDefault="00DA6B9D" w:rsidP="00C20F5D">
      <w:pPr>
        <w:spacing w:line="360" w:lineRule="auto"/>
        <w:jc w:val="both"/>
        <w:rPr>
          <w:rFonts w:ascii="Arial" w:hAnsi="Arial"/>
        </w:rPr>
      </w:pPr>
      <w:r>
        <w:rPr>
          <w:rFonts w:ascii="Arial" w:hAnsi="Arial"/>
          <w:i/>
        </w:rPr>
        <w:t>Held that</w:t>
      </w:r>
      <w:r>
        <w:rPr>
          <w:rFonts w:ascii="Arial" w:hAnsi="Arial"/>
        </w:rPr>
        <w:t xml:space="preserve">: The applicant did not cross-appeal against a finding by the arbitrator to the effect that he was properly found guilty of </w:t>
      </w:r>
      <w:r w:rsidR="00F54337">
        <w:rPr>
          <w:rFonts w:ascii="Arial" w:hAnsi="Arial"/>
        </w:rPr>
        <w:t xml:space="preserve">one count of </w:t>
      </w:r>
      <w:r>
        <w:rPr>
          <w:rFonts w:ascii="Arial" w:hAnsi="Arial"/>
        </w:rPr>
        <w:t>dishonesty. That being the case, that finding, on its own leaves the court with no other finding than that there are no reasonable prospects that the Supreme Court may come to a different conclusion than this court.</w:t>
      </w:r>
    </w:p>
    <w:p w14:paraId="3C37D6F9" w14:textId="77777777" w:rsidR="0030676A" w:rsidRDefault="0030676A" w:rsidP="00C20F5D">
      <w:pPr>
        <w:spacing w:line="360" w:lineRule="auto"/>
        <w:jc w:val="both"/>
        <w:rPr>
          <w:rFonts w:ascii="Arial" w:hAnsi="Arial"/>
        </w:rPr>
      </w:pPr>
    </w:p>
    <w:p w14:paraId="453EE885" w14:textId="1A995486" w:rsidR="0030676A" w:rsidRPr="0030676A" w:rsidRDefault="0030676A" w:rsidP="00C20F5D">
      <w:pPr>
        <w:spacing w:line="360" w:lineRule="auto"/>
        <w:jc w:val="both"/>
        <w:rPr>
          <w:rFonts w:ascii="Arial" w:hAnsi="Arial"/>
        </w:rPr>
      </w:pPr>
      <w:r>
        <w:rPr>
          <w:rFonts w:ascii="Arial" w:hAnsi="Arial"/>
          <w:i/>
        </w:rPr>
        <w:t>Held further that</w:t>
      </w:r>
      <w:r>
        <w:rPr>
          <w:rFonts w:ascii="Arial" w:hAnsi="Arial"/>
        </w:rPr>
        <w:t xml:space="preserve">: The Supreme Court’s decision in </w:t>
      </w:r>
      <w:r>
        <w:rPr>
          <w:rFonts w:ascii="Arial" w:hAnsi="Arial"/>
          <w:i/>
        </w:rPr>
        <w:t xml:space="preserve">Desert Fruit v Smith </w:t>
      </w:r>
      <w:r w:rsidR="009930AA">
        <w:rPr>
          <w:rFonts w:ascii="Arial" w:hAnsi="Arial"/>
        </w:rPr>
        <w:t>(</w:t>
      </w:r>
      <w:r>
        <w:rPr>
          <w:rFonts w:ascii="Arial" w:hAnsi="Arial"/>
        </w:rPr>
        <w:t>SA 43/2021</w:t>
      </w:r>
      <w:r w:rsidR="009930AA">
        <w:rPr>
          <w:rFonts w:ascii="Arial" w:hAnsi="Arial"/>
        </w:rPr>
        <w:t>) [2023] NASC (28 July 2023), has recently ruled that an application for leave to appeal is not necessary in matters of appeal or review which have served before this court. This is because when this court presides over those matters, it does not sit in an appellate capacity but as a court of first instance in line with s 18(2) of the High Court Act, 16 of 1991. As such, an application for leave to appeal was not necessary in the instant case.</w:t>
      </w:r>
    </w:p>
    <w:p w14:paraId="1646BE3C" w14:textId="77777777" w:rsidR="00DA6B9D" w:rsidRDefault="00DA6B9D" w:rsidP="00C20F5D">
      <w:pPr>
        <w:spacing w:line="360" w:lineRule="auto"/>
        <w:jc w:val="both"/>
        <w:rPr>
          <w:rFonts w:ascii="Arial" w:hAnsi="Arial"/>
        </w:rPr>
      </w:pPr>
    </w:p>
    <w:p w14:paraId="24ED2025" w14:textId="613CAFFD" w:rsidR="00DA6B9D" w:rsidRDefault="00DA6B9D" w:rsidP="00C20F5D">
      <w:pPr>
        <w:spacing w:line="360" w:lineRule="auto"/>
        <w:jc w:val="both"/>
        <w:rPr>
          <w:rFonts w:ascii="Arial" w:hAnsi="Arial"/>
        </w:rPr>
      </w:pPr>
      <w:r>
        <w:rPr>
          <w:rFonts w:ascii="Arial" w:hAnsi="Arial"/>
        </w:rPr>
        <w:t>The applicati</w:t>
      </w:r>
      <w:r w:rsidR="0030676A">
        <w:rPr>
          <w:rFonts w:ascii="Arial" w:hAnsi="Arial"/>
        </w:rPr>
        <w:t>on for leave to appeal is struck from the roll</w:t>
      </w:r>
      <w:r>
        <w:rPr>
          <w:rFonts w:ascii="Arial" w:hAnsi="Arial"/>
        </w:rPr>
        <w:t>.</w:t>
      </w:r>
    </w:p>
    <w:p w14:paraId="11423C8D" w14:textId="77777777" w:rsidR="00DE33C4" w:rsidRDefault="00DE33C4" w:rsidP="00C20F5D">
      <w:pPr>
        <w:spacing w:line="360" w:lineRule="auto"/>
        <w:jc w:val="both"/>
        <w:rPr>
          <w:rFonts w:ascii="Arial" w:hAnsi="Arial"/>
        </w:rPr>
      </w:pPr>
    </w:p>
    <w:p w14:paraId="3519AD4A" w14:textId="77777777" w:rsidR="00DE33C4" w:rsidRDefault="00DE33C4" w:rsidP="00C20F5D">
      <w:pPr>
        <w:spacing w:line="360" w:lineRule="auto"/>
        <w:jc w:val="both"/>
        <w:rPr>
          <w:rFonts w:ascii="Arial" w:hAnsi="Arial"/>
        </w:rPr>
      </w:pPr>
    </w:p>
    <w:p w14:paraId="3519AEF9" w14:textId="77777777" w:rsidR="00DE33C4" w:rsidRPr="00EA01E0" w:rsidRDefault="00DE33C4" w:rsidP="00C20F5D">
      <w:pPr>
        <w:spacing w:line="360" w:lineRule="auto"/>
        <w:jc w:val="both"/>
        <w:rPr>
          <w:rFonts w:ascii="Arial" w:hAnsi="Arial"/>
        </w:rPr>
      </w:pPr>
    </w:p>
    <w:p w14:paraId="0DB673B4" w14:textId="77777777" w:rsidR="00593EF9" w:rsidRDefault="00593EF9" w:rsidP="00C20F5D">
      <w:pPr>
        <w:spacing w:line="360" w:lineRule="auto"/>
        <w:jc w:val="both"/>
        <w:rPr>
          <w:rFonts w:ascii="Arial" w:hAnsi="Arial"/>
        </w:rPr>
      </w:pPr>
    </w:p>
    <w:p w14:paraId="1AED034E" w14:textId="77777777" w:rsidR="00CA3B0B" w:rsidRPr="00CA3B0B" w:rsidRDefault="00CA3B0B" w:rsidP="00CA3B0B">
      <w:pPr>
        <w:pBdr>
          <w:top w:val="single" w:sz="4" w:space="1" w:color="auto"/>
          <w:bottom w:val="single" w:sz="4" w:space="1" w:color="auto"/>
        </w:pBdr>
        <w:jc w:val="center"/>
        <w:rPr>
          <w:rFonts w:ascii="Arial" w:hAnsi="Arial"/>
          <w:b/>
        </w:rPr>
      </w:pPr>
    </w:p>
    <w:p w14:paraId="1E0A4753" w14:textId="0B5EEB09" w:rsidR="00CA3B0B" w:rsidRPr="00CA3B0B" w:rsidRDefault="00CA3B0B" w:rsidP="00CA3B0B">
      <w:pPr>
        <w:pBdr>
          <w:top w:val="single" w:sz="4" w:space="1" w:color="auto"/>
          <w:bottom w:val="single" w:sz="4" w:space="1" w:color="auto"/>
        </w:pBdr>
        <w:jc w:val="center"/>
        <w:rPr>
          <w:rFonts w:ascii="Arial" w:hAnsi="Arial"/>
          <w:b/>
        </w:rPr>
      </w:pPr>
      <w:r w:rsidRPr="00CA3B0B">
        <w:rPr>
          <w:rFonts w:ascii="Arial" w:hAnsi="Arial"/>
          <w:b/>
        </w:rPr>
        <w:t>ORDER</w:t>
      </w:r>
    </w:p>
    <w:p w14:paraId="11A49963" w14:textId="77777777" w:rsidR="00CA3B0B" w:rsidRPr="00CA3B0B" w:rsidRDefault="00CA3B0B" w:rsidP="00CA3B0B">
      <w:pPr>
        <w:pBdr>
          <w:top w:val="single" w:sz="4" w:space="1" w:color="auto"/>
          <w:bottom w:val="single" w:sz="4" w:space="1" w:color="auto"/>
        </w:pBdr>
        <w:jc w:val="center"/>
        <w:rPr>
          <w:rFonts w:ascii="Arial" w:hAnsi="Arial"/>
          <w:b/>
        </w:rPr>
      </w:pPr>
    </w:p>
    <w:p w14:paraId="4FA6E4B5" w14:textId="77777777" w:rsidR="00CA3B0B" w:rsidRDefault="00CA3B0B" w:rsidP="00C20F5D">
      <w:pPr>
        <w:spacing w:line="360" w:lineRule="auto"/>
        <w:jc w:val="both"/>
        <w:rPr>
          <w:rFonts w:ascii="Arial" w:hAnsi="Arial"/>
        </w:rPr>
      </w:pPr>
    </w:p>
    <w:p w14:paraId="42FF1D45" w14:textId="3DE60418" w:rsidR="00CA3B0B" w:rsidRPr="00DB3507" w:rsidRDefault="00CA3B0B" w:rsidP="00CA3B0B">
      <w:pPr>
        <w:pStyle w:val="ListParagraph"/>
        <w:numPr>
          <w:ilvl w:val="0"/>
          <w:numId w:val="1"/>
        </w:numPr>
        <w:spacing w:line="360" w:lineRule="auto"/>
        <w:jc w:val="both"/>
        <w:rPr>
          <w:rFonts w:ascii="Arial" w:hAnsi="Arial"/>
        </w:rPr>
      </w:pPr>
      <w:r w:rsidRPr="00DB3507">
        <w:rPr>
          <w:rFonts w:ascii="Arial" w:hAnsi="Arial"/>
        </w:rPr>
        <w:t xml:space="preserve">The applicant’s </w:t>
      </w:r>
      <w:r>
        <w:rPr>
          <w:rFonts w:ascii="Arial" w:hAnsi="Arial"/>
        </w:rPr>
        <w:t>application for leave to appeal</w:t>
      </w:r>
      <w:r w:rsidR="0030676A">
        <w:rPr>
          <w:rFonts w:ascii="Arial" w:hAnsi="Arial"/>
        </w:rPr>
        <w:t xml:space="preserve"> is struck from the roll</w:t>
      </w:r>
      <w:r w:rsidRPr="00DB3507">
        <w:rPr>
          <w:rFonts w:ascii="Arial" w:hAnsi="Arial"/>
        </w:rPr>
        <w:t>.</w:t>
      </w:r>
    </w:p>
    <w:p w14:paraId="5012CAD7" w14:textId="77777777" w:rsidR="00CA3B0B" w:rsidRDefault="00CA3B0B" w:rsidP="00CA3B0B">
      <w:pPr>
        <w:pStyle w:val="ListParagraph"/>
        <w:numPr>
          <w:ilvl w:val="0"/>
          <w:numId w:val="1"/>
        </w:numPr>
        <w:spacing w:line="360" w:lineRule="auto"/>
        <w:jc w:val="both"/>
        <w:rPr>
          <w:rFonts w:ascii="Arial" w:hAnsi="Arial"/>
        </w:rPr>
      </w:pPr>
      <w:r>
        <w:rPr>
          <w:rFonts w:ascii="Arial" w:hAnsi="Arial"/>
        </w:rPr>
        <w:t>There is no order as to costs.</w:t>
      </w:r>
    </w:p>
    <w:p w14:paraId="7BFC6DB9" w14:textId="77777777" w:rsidR="00CA3B0B" w:rsidRDefault="00CA3B0B" w:rsidP="00CA3B0B">
      <w:pPr>
        <w:pStyle w:val="ListParagraph"/>
        <w:numPr>
          <w:ilvl w:val="0"/>
          <w:numId w:val="1"/>
        </w:numPr>
        <w:spacing w:line="360" w:lineRule="auto"/>
        <w:jc w:val="both"/>
        <w:rPr>
          <w:rFonts w:ascii="Arial" w:hAnsi="Arial"/>
        </w:rPr>
      </w:pPr>
      <w:r>
        <w:rPr>
          <w:rFonts w:ascii="Arial" w:hAnsi="Arial"/>
        </w:rPr>
        <w:t>The matter is removed from the roll and is regarded as finalised.</w:t>
      </w:r>
      <w:r w:rsidRPr="00DB3507">
        <w:rPr>
          <w:rFonts w:ascii="Arial" w:hAnsi="Arial"/>
        </w:rPr>
        <w:t xml:space="preserve"> </w:t>
      </w:r>
    </w:p>
    <w:p w14:paraId="0F1C0A78" w14:textId="77777777" w:rsidR="007A3763" w:rsidRDefault="007A3763" w:rsidP="00C20F5D">
      <w:pPr>
        <w:pBdr>
          <w:bottom w:val="single" w:sz="6" w:space="1" w:color="auto"/>
        </w:pBdr>
        <w:spacing w:line="360" w:lineRule="auto"/>
        <w:rPr>
          <w:rFonts w:ascii="Arial" w:hAnsi="Arial"/>
          <w:b/>
        </w:rPr>
      </w:pPr>
    </w:p>
    <w:p w14:paraId="41CA6500" w14:textId="77777777" w:rsidR="007A3763" w:rsidRDefault="007A3763" w:rsidP="00C20F5D">
      <w:pPr>
        <w:rPr>
          <w:rFonts w:ascii="Arial" w:hAnsi="Arial"/>
          <w:b/>
        </w:rPr>
      </w:pPr>
    </w:p>
    <w:p w14:paraId="0C918ED0" w14:textId="77777777" w:rsidR="007A3763" w:rsidRDefault="007A3763" w:rsidP="00C20F5D">
      <w:pPr>
        <w:jc w:val="center"/>
        <w:rPr>
          <w:rFonts w:ascii="Arial" w:hAnsi="Arial"/>
          <w:b/>
        </w:rPr>
      </w:pPr>
      <w:r>
        <w:rPr>
          <w:rFonts w:ascii="Arial" w:hAnsi="Arial"/>
          <w:b/>
        </w:rPr>
        <w:t>RULING</w:t>
      </w:r>
    </w:p>
    <w:p w14:paraId="472084EC" w14:textId="77777777" w:rsidR="007A3763" w:rsidRDefault="007A3763" w:rsidP="00C20F5D">
      <w:pPr>
        <w:pBdr>
          <w:bottom w:val="single" w:sz="6" w:space="1" w:color="auto"/>
        </w:pBdr>
        <w:jc w:val="center"/>
        <w:rPr>
          <w:rFonts w:ascii="Arial" w:hAnsi="Arial"/>
          <w:b/>
        </w:rPr>
      </w:pPr>
    </w:p>
    <w:p w14:paraId="7B7E848B" w14:textId="77777777" w:rsidR="007A3763" w:rsidRDefault="007A3763" w:rsidP="00C20F5D">
      <w:pPr>
        <w:spacing w:line="360" w:lineRule="auto"/>
        <w:rPr>
          <w:rFonts w:ascii="Arial" w:hAnsi="Arial"/>
        </w:rPr>
      </w:pPr>
    </w:p>
    <w:p w14:paraId="17D70F6E" w14:textId="3928C0AF" w:rsidR="007A3763" w:rsidRPr="0046554C" w:rsidRDefault="007A3763" w:rsidP="00C20F5D">
      <w:pPr>
        <w:spacing w:line="360" w:lineRule="auto"/>
        <w:rPr>
          <w:rFonts w:ascii="Arial" w:hAnsi="Arial"/>
        </w:rPr>
      </w:pPr>
      <w:r w:rsidRPr="0046554C">
        <w:rPr>
          <w:rFonts w:ascii="Arial" w:hAnsi="Arial"/>
        </w:rPr>
        <w:t>MASUKU J:</w:t>
      </w:r>
    </w:p>
    <w:p w14:paraId="7608EE32" w14:textId="77777777" w:rsidR="00CA3B0B" w:rsidRDefault="00CA3B0B" w:rsidP="00C20F5D">
      <w:pPr>
        <w:spacing w:line="360" w:lineRule="auto"/>
        <w:rPr>
          <w:rFonts w:ascii="Arial" w:hAnsi="Arial"/>
          <w:u w:val="single"/>
        </w:rPr>
      </w:pPr>
    </w:p>
    <w:p w14:paraId="3077B6F8" w14:textId="77777777" w:rsidR="007A3763" w:rsidRDefault="007A3763" w:rsidP="00C20F5D">
      <w:pPr>
        <w:spacing w:line="360" w:lineRule="auto"/>
        <w:rPr>
          <w:rFonts w:ascii="Arial" w:hAnsi="Arial"/>
          <w:u w:val="single"/>
        </w:rPr>
      </w:pPr>
      <w:r>
        <w:rPr>
          <w:rFonts w:ascii="Arial" w:hAnsi="Arial"/>
          <w:u w:val="single"/>
        </w:rPr>
        <w:t>Introduction</w:t>
      </w:r>
    </w:p>
    <w:p w14:paraId="2D4CCAB3" w14:textId="77777777" w:rsidR="00CA3B0B" w:rsidRDefault="00CA3B0B" w:rsidP="00C20F5D">
      <w:pPr>
        <w:spacing w:line="360" w:lineRule="auto"/>
        <w:rPr>
          <w:rFonts w:ascii="Arial" w:hAnsi="Arial"/>
          <w:u w:val="single"/>
        </w:rPr>
      </w:pPr>
    </w:p>
    <w:p w14:paraId="094B48B1" w14:textId="77777777" w:rsidR="00C20F5D" w:rsidRDefault="0091542C"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On 27 </w:t>
      </w:r>
      <w:r w:rsidR="00193158" w:rsidRPr="00C20F5D">
        <w:rPr>
          <w:rFonts w:ascii="Arial" w:hAnsi="Arial"/>
        </w:rPr>
        <w:t xml:space="preserve">April 2023, I delivered judgment in a labour appeal instituted by the first respondent in which it challenged the propriety of a labour award issued by the arbitrator, Mr </w:t>
      </w:r>
      <w:proofErr w:type="spellStart"/>
      <w:r w:rsidR="00193158" w:rsidRPr="00C20F5D">
        <w:rPr>
          <w:rFonts w:ascii="Arial" w:hAnsi="Arial"/>
        </w:rPr>
        <w:t>Liwela</w:t>
      </w:r>
      <w:proofErr w:type="spellEnd"/>
      <w:r w:rsidR="00193158" w:rsidRPr="00C20F5D">
        <w:rPr>
          <w:rFonts w:ascii="Arial" w:hAnsi="Arial"/>
        </w:rPr>
        <w:t xml:space="preserve"> </w:t>
      </w:r>
      <w:proofErr w:type="spellStart"/>
      <w:r w:rsidR="00193158" w:rsidRPr="00C20F5D">
        <w:rPr>
          <w:rFonts w:ascii="Arial" w:hAnsi="Arial"/>
        </w:rPr>
        <w:t>Sasele</w:t>
      </w:r>
      <w:proofErr w:type="spellEnd"/>
      <w:r w:rsidR="00193158" w:rsidRPr="00C20F5D">
        <w:rPr>
          <w:rFonts w:ascii="Arial" w:hAnsi="Arial"/>
        </w:rPr>
        <w:t xml:space="preserve">, in the applicant’s favour. The applicant, Mr </w:t>
      </w:r>
      <w:proofErr w:type="spellStart"/>
      <w:r w:rsidR="00193158" w:rsidRPr="00C20F5D">
        <w:rPr>
          <w:rFonts w:ascii="Arial" w:hAnsi="Arial"/>
        </w:rPr>
        <w:t>Hilarius</w:t>
      </w:r>
      <w:proofErr w:type="spellEnd"/>
      <w:r w:rsidR="00193158" w:rsidRPr="00C20F5D">
        <w:rPr>
          <w:rFonts w:ascii="Arial" w:hAnsi="Arial"/>
        </w:rPr>
        <w:t xml:space="preserve"> </w:t>
      </w:r>
      <w:proofErr w:type="spellStart"/>
      <w:r w:rsidR="00193158" w:rsidRPr="00C20F5D">
        <w:rPr>
          <w:rFonts w:ascii="Arial" w:hAnsi="Arial"/>
        </w:rPr>
        <w:t>Iipinge</w:t>
      </w:r>
      <w:proofErr w:type="spellEnd"/>
      <w:r w:rsidR="00193158" w:rsidRPr="00C20F5D">
        <w:rPr>
          <w:rFonts w:ascii="Arial" w:hAnsi="Arial"/>
        </w:rPr>
        <w:t xml:space="preserve">, being the unsuccessful party in the labour appeal, </w:t>
      </w:r>
      <w:r w:rsidRPr="00C20F5D">
        <w:rPr>
          <w:rFonts w:ascii="Arial" w:hAnsi="Arial"/>
        </w:rPr>
        <w:t xml:space="preserve">is aggrieved by the outcome of the labour appeal. He </w:t>
      </w:r>
      <w:r w:rsidR="00193158" w:rsidRPr="00C20F5D">
        <w:rPr>
          <w:rFonts w:ascii="Arial" w:hAnsi="Arial"/>
        </w:rPr>
        <w:t>has</w:t>
      </w:r>
      <w:r w:rsidRPr="00C20F5D">
        <w:rPr>
          <w:rFonts w:ascii="Arial" w:hAnsi="Arial"/>
        </w:rPr>
        <w:t>, to that end,</w:t>
      </w:r>
      <w:r w:rsidR="00193158" w:rsidRPr="00C20F5D">
        <w:rPr>
          <w:rFonts w:ascii="Arial" w:hAnsi="Arial"/>
        </w:rPr>
        <w:t xml:space="preserve"> ins</w:t>
      </w:r>
      <w:r w:rsidRPr="00C20F5D">
        <w:rPr>
          <w:rFonts w:ascii="Arial" w:hAnsi="Arial"/>
        </w:rPr>
        <w:t>titut</w:t>
      </w:r>
      <w:r w:rsidR="00193158" w:rsidRPr="00C20F5D">
        <w:rPr>
          <w:rFonts w:ascii="Arial" w:hAnsi="Arial"/>
        </w:rPr>
        <w:t>ed a</w:t>
      </w:r>
      <w:r w:rsidRPr="00C20F5D">
        <w:rPr>
          <w:rFonts w:ascii="Arial" w:hAnsi="Arial"/>
        </w:rPr>
        <w:t>n application for leave to appeal, which is the subject of this ruling.</w:t>
      </w:r>
    </w:p>
    <w:p w14:paraId="6412763B" w14:textId="77777777" w:rsidR="00C20F5D" w:rsidRDefault="00C20F5D" w:rsidP="00C20F5D">
      <w:pPr>
        <w:pStyle w:val="ListParagraph"/>
        <w:spacing w:line="360" w:lineRule="auto"/>
        <w:ind w:left="0"/>
        <w:jc w:val="both"/>
        <w:rPr>
          <w:rFonts w:ascii="Arial" w:hAnsi="Arial"/>
        </w:rPr>
      </w:pPr>
    </w:p>
    <w:p w14:paraId="68459D50" w14:textId="77777777" w:rsidR="00C20F5D" w:rsidRDefault="00C20F5D" w:rsidP="00C20F5D">
      <w:pPr>
        <w:spacing w:line="360" w:lineRule="auto"/>
        <w:jc w:val="both"/>
        <w:rPr>
          <w:rFonts w:ascii="Arial" w:hAnsi="Arial"/>
          <w:u w:val="single"/>
        </w:rPr>
      </w:pPr>
      <w:r>
        <w:rPr>
          <w:rFonts w:ascii="Arial" w:hAnsi="Arial"/>
          <w:u w:val="single"/>
        </w:rPr>
        <w:t>The parties</w:t>
      </w:r>
    </w:p>
    <w:p w14:paraId="334E920C" w14:textId="77777777" w:rsidR="00C20F5D" w:rsidRDefault="00C20F5D" w:rsidP="00C20F5D">
      <w:pPr>
        <w:pStyle w:val="ListParagraph"/>
        <w:spacing w:line="360" w:lineRule="auto"/>
        <w:ind w:left="0"/>
        <w:jc w:val="both"/>
        <w:rPr>
          <w:rFonts w:ascii="Arial" w:hAnsi="Arial"/>
        </w:rPr>
      </w:pPr>
    </w:p>
    <w:p w14:paraId="41D26772" w14:textId="4501BD4A" w:rsidR="00C20F5D" w:rsidRDefault="0091542C"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The applicant for leave, is Mr </w:t>
      </w:r>
      <w:proofErr w:type="spellStart"/>
      <w:r w:rsidRPr="00C20F5D">
        <w:rPr>
          <w:rFonts w:ascii="Arial" w:hAnsi="Arial"/>
        </w:rPr>
        <w:t>Hilarius</w:t>
      </w:r>
      <w:proofErr w:type="spellEnd"/>
      <w:r w:rsidRPr="00C20F5D">
        <w:rPr>
          <w:rFonts w:ascii="Arial" w:hAnsi="Arial"/>
        </w:rPr>
        <w:t xml:space="preserve"> </w:t>
      </w:r>
      <w:proofErr w:type="spellStart"/>
      <w:r w:rsidRPr="00C20F5D">
        <w:rPr>
          <w:rFonts w:ascii="Arial" w:hAnsi="Arial"/>
        </w:rPr>
        <w:t>Iipinge</w:t>
      </w:r>
      <w:proofErr w:type="spellEnd"/>
      <w:r w:rsidRPr="00C20F5D">
        <w:rPr>
          <w:rFonts w:ascii="Arial" w:hAnsi="Arial"/>
        </w:rPr>
        <w:t xml:space="preserve">. The first respondent is </w:t>
      </w:r>
      <w:proofErr w:type="spellStart"/>
      <w:r w:rsidRPr="00C20F5D">
        <w:rPr>
          <w:rFonts w:ascii="Arial" w:hAnsi="Arial"/>
        </w:rPr>
        <w:t>Indongo</w:t>
      </w:r>
      <w:proofErr w:type="spellEnd"/>
      <w:r w:rsidRPr="00C20F5D">
        <w:rPr>
          <w:rFonts w:ascii="Arial" w:hAnsi="Arial"/>
        </w:rPr>
        <w:t xml:space="preserve"> Auto (Pty) Ltd t/</w:t>
      </w:r>
      <w:proofErr w:type="gramStart"/>
      <w:r w:rsidRPr="00C20F5D">
        <w:rPr>
          <w:rFonts w:ascii="Arial" w:hAnsi="Arial"/>
        </w:rPr>
        <w:t>a</w:t>
      </w:r>
      <w:proofErr w:type="gramEnd"/>
      <w:r w:rsidRPr="00C20F5D">
        <w:rPr>
          <w:rFonts w:ascii="Arial" w:hAnsi="Arial"/>
        </w:rPr>
        <w:t xml:space="preserve"> </w:t>
      </w:r>
      <w:proofErr w:type="spellStart"/>
      <w:r w:rsidRPr="00C20F5D">
        <w:rPr>
          <w:rFonts w:ascii="Arial" w:hAnsi="Arial"/>
        </w:rPr>
        <w:t>Indongo</w:t>
      </w:r>
      <w:proofErr w:type="spellEnd"/>
      <w:r w:rsidRPr="00C20F5D">
        <w:rPr>
          <w:rFonts w:ascii="Arial" w:hAnsi="Arial"/>
        </w:rPr>
        <w:t xml:space="preserve"> Toyota. The second r</w:t>
      </w:r>
      <w:r w:rsidR="0046554C">
        <w:rPr>
          <w:rFonts w:ascii="Arial" w:hAnsi="Arial"/>
        </w:rPr>
        <w:t xml:space="preserve">espondent, Mr </w:t>
      </w:r>
      <w:proofErr w:type="spellStart"/>
      <w:r w:rsidR="0046554C">
        <w:rPr>
          <w:rFonts w:ascii="Arial" w:hAnsi="Arial"/>
        </w:rPr>
        <w:t>Liwela</w:t>
      </w:r>
      <w:proofErr w:type="spellEnd"/>
      <w:r w:rsidR="0046554C">
        <w:rPr>
          <w:rFonts w:ascii="Arial" w:hAnsi="Arial"/>
        </w:rPr>
        <w:t xml:space="preserve"> </w:t>
      </w:r>
      <w:proofErr w:type="spellStart"/>
      <w:r w:rsidR="0046554C">
        <w:rPr>
          <w:rFonts w:ascii="Arial" w:hAnsi="Arial"/>
        </w:rPr>
        <w:t>Sasele</w:t>
      </w:r>
      <w:proofErr w:type="spellEnd"/>
      <w:r w:rsidR="0046554C">
        <w:rPr>
          <w:rFonts w:ascii="Arial" w:hAnsi="Arial"/>
        </w:rPr>
        <w:t>,</w:t>
      </w:r>
      <w:r w:rsidRPr="00C20F5D">
        <w:rPr>
          <w:rFonts w:ascii="Arial" w:hAnsi="Arial"/>
        </w:rPr>
        <w:t xml:space="preserve"> is the arbitrator, whose decision was set aside on appeal. He has no interest in this matter</w:t>
      </w:r>
      <w:r w:rsidR="00235F5E" w:rsidRPr="00C20F5D">
        <w:rPr>
          <w:rFonts w:ascii="Arial" w:hAnsi="Arial"/>
        </w:rPr>
        <w:t xml:space="preserve"> and has been cited for formal purposes only.</w:t>
      </w:r>
    </w:p>
    <w:p w14:paraId="44355B35" w14:textId="77777777" w:rsidR="00C20F5D" w:rsidRDefault="00C20F5D" w:rsidP="00C20F5D">
      <w:pPr>
        <w:pStyle w:val="ListParagraph"/>
        <w:spacing w:line="360" w:lineRule="auto"/>
        <w:ind w:left="0"/>
        <w:jc w:val="both"/>
        <w:rPr>
          <w:rFonts w:ascii="Arial" w:hAnsi="Arial"/>
        </w:rPr>
      </w:pPr>
    </w:p>
    <w:p w14:paraId="77798BB3" w14:textId="33631E50" w:rsidR="00C20F5D" w:rsidRDefault="00235F5E"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It is plain that the main protagonists in this matter are the applicant, Mr </w:t>
      </w:r>
      <w:proofErr w:type="spellStart"/>
      <w:r w:rsidRPr="00C20F5D">
        <w:rPr>
          <w:rFonts w:ascii="Arial" w:hAnsi="Arial"/>
        </w:rPr>
        <w:t>Iipinge</w:t>
      </w:r>
      <w:proofErr w:type="spellEnd"/>
      <w:r w:rsidRPr="00C20F5D">
        <w:rPr>
          <w:rFonts w:ascii="Arial" w:hAnsi="Arial"/>
        </w:rPr>
        <w:t xml:space="preserve"> and the first respondent, </w:t>
      </w:r>
      <w:proofErr w:type="spellStart"/>
      <w:r w:rsidRPr="00C20F5D">
        <w:rPr>
          <w:rFonts w:ascii="Arial" w:hAnsi="Arial"/>
        </w:rPr>
        <w:t>Indongo</w:t>
      </w:r>
      <w:proofErr w:type="spellEnd"/>
      <w:r w:rsidRPr="00C20F5D">
        <w:rPr>
          <w:rFonts w:ascii="Arial" w:hAnsi="Arial"/>
        </w:rPr>
        <w:t xml:space="preserve"> Toyota. For that reason, I will refer to </w:t>
      </w:r>
      <w:r w:rsidR="00AB7591" w:rsidRPr="00C20F5D">
        <w:rPr>
          <w:rFonts w:ascii="Arial" w:hAnsi="Arial"/>
        </w:rPr>
        <w:t xml:space="preserve">Mr </w:t>
      </w:r>
      <w:proofErr w:type="spellStart"/>
      <w:r w:rsidR="00AB7591" w:rsidRPr="00C20F5D">
        <w:rPr>
          <w:rFonts w:ascii="Arial" w:hAnsi="Arial"/>
        </w:rPr>
        <w:t>Iipinge</w:t>
      </w:r>
      <w:proofErr w:type="spellEnd"/>
      <w:r w:rsidRPr="00C20F5D">
        <w:rPr>
          <w:rFonts w:ascii="Arial" w:hAnsi="Arial"/>
        </w:rPr>
        <w:t>, as ‘</w:t>
      </w:r>
      <w:r w:rsidR="00F5635E" w:rsidRPr="00C20F5D">
        <w:rPr>
          <w:rFonts w:ascii="Arial" w:hAnsi="Arial"/>
        </w:rPr>
        <w:t xml:space="preserve">the applicant’ and to </w:t>
      </w:r>
      <w:proofErr w:type="spellStart"/>
      <w:r w:rsidR="00AB7591" w:rsidRPr="00C20F5D">
        <w:rPr>
          <w:rFonts w:ascii="Arial" w:hAnsi="Arial"/>
        </w:rPr>
        <w:t>Indongo</w:t>
      </w:r>
      <w:proofErr w:type="spellEnd"/>
      <w:r w:rsidR="00AB7591" w:rsidRPr="00C20F5D">
        <w:rPr>
          <w:rFonts w:ascii="Arial" w:hAnsi="Arial"/>
        </w:rPr>
        <w:t xml:space="preserve"> Toyota</w:t>
      </w:r>
      <w:r w:rsidRPr="00C20F5D">
        <w:rPr>
          <w:rFonts w:ascii="Arial" w:hAnsi="Arial"/>
        </w:rPr>
        <w:t xml:space="preserve">, as ‘the respondent.’ Where it is necessary to refer to Mr </w:t>
      </w:r>
      <w:proofErr w:type="spellStart"/>
      <w:r w:rsidRPr="00C20F5D">
        <w:rPr>
          <w:rFonts w:ascii="Arial" w:hAnsi="Arial"/>
        </w:rPr>
        <w:t>Sasele</w:t>
      </w:r>
      <w:proofErr w:type="spellEnd"/>
      <w:r w:rsidRPr="00C20F5D">
        <w:rPr>
          <w:rFonts w:ascii="Arial" w:hAnsi="Arial"/>
        </w:rPr>
        <w:t xml:space="preserve">, I will refer to him as </w:t>
      </w:r>
      <w:r w:rsidR="00F5635E" w:rsidRPr="00C20F5D">
        <w:rPr>
          <w:rFonts w:ascii="Arial" w:hAnsi="Arial"/>
        </w:rPr>
        <w:t>‘</w:t>
      </w:r>
      <w:r w:rsidRPr="00C20F5D">
        <w:rPr>
          <w:rFonts w:ascii="Arial" w:hAnsi="Arial"/>
        </w:rPr>
        <w:t>the arbitrator</w:t>
      </w:r>
      <w:r w:rsidR="00F5635E" w:rsidRPr="00C20F5D">
        <w:rPr>
          <w:rFonts w:ascii="Arial" w:hAnsi="Arial"/>
        </w:rPr>
        <w:t>’</w:t>
      </w:r>
      <w:r w:rsidRPr="00C20F5D">
        <w:rPr>
          <w:rFonts w:ascii="Arial" w:hAnsi="Arial"/>
        </w:rPr>
        <w:t xml:space="preserve">. Where reference is made to all the litigants in this matter, they shall be </w:t>
      </w:r>
      <w:r w:rsidR="00F5635E" w:rsidRPr="00C20F5D">
        <w:rPr>
          <w:rFonts w:ascii="Arial" w:hAnsi="Arial"/>
        </w:rPr>
        <w:t xml:space="preserve">collectively </w:t>
      </w:r>
      <w:r w:rsidRPr="00C20F5D">
        <w:rPr>
          <w:rFonts w:ascii="Arial" w:hAnsi="Arial"/>
        </w:rPr>
        <w:t xml:space="preserve">referred </w:t>
      </w:r>
      <w:r w:rsidR="00F5635E" w:rsidRPr="00C20F5D">
        <w:rPr>
          <w:rFonts w:ascii="Arial" w:hAnsi="Arial"/>
        </w:rPr>
        <w:t xml:space="preserve">to </w:t>
      </w:r>
      <w:r w:rsidRPr="00C20F5D">
        <w:rPr>
          <w:rFonts w:ascii="Arial" w:hAnsi="Arial"/>
        </w:rPr>
        <w:t xml:space="preserve">as ‘the parties’. </w:t>
      </w:r>
    </w:p>
    <w:p w14:paraId="7C8EB4BB" w14:textId="77777777" w:rsidR="002F4845" w:rsidRDefault="002F4845" w:rsidP="002F4845">
      <w:pPr>
        <w:pStyle w:val="ListParagraph"/>
        <w:spacing w:line="360" w:lineRule="auto"/>
        <w:ind w:left="0"/>
        <w:jc w:val="both"/>
        <w:rPr>
          <w:rFonts w:ascii="Arial" w:hAnsi="Arial"/>
        </w:rPr>
      </w:pPr>
    </w:p>
    <w:p w14:paraId="09B869B1" w14:textId="77777777" w:rsidR="002F4845" w:rsidRDefault="002F4845" w:rsidP="002F4845">
      <w:pPr>
        <w:pStyle w:val="ListParagraph"/>
        <w:spacing w:line="360" w:lineRule="auto"/>
        <w:ind w:left="0"/>
        <w:jc w:val="both"/>
        <w:rPr>
          <w:rFonts w:ascii="Arial" w:hAnsi="Arial"/>
        </w:rPr>
      </w:pPr>
    </w:p>
    <w:p w14:paraId="02BB533E" w14:textId="77777777" w:rsidR="002F4845" w:rsidRDefault="002F4845" w:rsidP="002F4845">
      <w:pPr>
        <w:pStyle w:val="ListParagraph"/>
        <w:spacing w:line="360" w:lineRule="auto"/>
        <w:ind w:left="0"/>
        <w:jc w:val="both"/>
        <w:rPr>
          <w:rFonts w:ascii="Arial" w:hAnsi="Arial"/>
        </w:rPr>
      </w:pPr>
    </w:p>
    <w:p w14:paraId="67751DE1" w14:textId="77777777" w:rsidR="002F4845" w:rsidRPr="002F4845" w:rsidRDefault="002F4845" w:rsidP="002F4845">
      <w:pPr>
        <w:pStyle w:val="ListParagraph"/>
        <w:spacing w:line="360" w:lineRule="auto"/>
        <w:ind w:left="0"/>
        <w:jc w:val="both"/>
        <w:rPr>
          <w:rFonts w:ascii="Arial" w:hAnsi="Arial"/>
        </w:rPr>
      </w:pPr>
    </w:p>
    <w:p w14:paraId="59A5EDDA" w14:textId="77777777" w:rsidR="00C20F5D" w:rsidRDefault="00C20F5D" w:rsidP="00C20F5D">
      <w:pPr>
        <w:spacing w:line="360" w:lineRule="auto"/>
        <w:jc w:val="both"/>
        <w:rPr>
          <w:rFonts w:ascii="Arial" w:hAnsi="Arial"/>
          <w:u w:val="single"/>
        </w:rPr>
      </w:pPr>
      <w:r>
        <w:rPr>
          <w:rFonts w:ascii="Arial" w:hAnsi="Arial"/>
          <w:u w:val="single"/>
        </w:rPr>
        <w:lastRenderedPageBreak/>
        <w:t>Background</w:t>
      </w:r>
    </w:p>
    <w:p w14:paraId="1B565274" w14:textId="77777777" w:rsidR="00C20F5D" w:rsidRDefault="00C20F5D" w:rsidP="00C20F5D">
      <w:pPr>
        <w:pStyle w:val="ListParagraph"/>
        <w:spacing w:line="360" w:lineRule="auto"/>
        <w:ind w:left="0"/>
        <w:jc w:val="both"/>
        <w:rPr>
          <w:rFonts w:ascii="Arial" w:hAnsi="Arial"/>
        </w:rPr>
      </w:pPr>
    </w:p>
    <w:p w14:paraId="1F1A9CF8" w14:textId="6EC78770" w:rsidR="00C20F5D" w:rsidRDefault="00F5635E" w:rsidP="00C20F5D">
      <w:pPr>
        <w:pStyle w:val="ListParagraph"/>
        <w:numPr>
          <w:ilvl w:val="0"/>
          <w:numId w:val="2"/>
        </w:numPr>
        <w:spacing w:line="360" w:lineRule="auto"/>
        <w:ind w:left="0" w:firstLine="0"/>
        <w:jc w:val="both"/>
        <w:rPr>
          <w:rFonts w:ascii="Arial" w:hAnsi="Arial"/>
        </w:rPr>
      </w:pPr>
      <w:r w:rsidRPr="00C20F5D">
        <w:rPr>
          <w:rFonts w:ascii="Arial" w:hAnsi="Arial"/>
        </w:rPr>
        <w:t>Considering that this matter serves before court</w:t>
      </w:r>
      <w:r w:rsidR="00235F5E" w:rsidRPr="00C20F5D">
        <w:rPr>
          <w:rFonts w:ascii="Arial" w:hAnsi="Arial"/>
        </w:rPr>
        <w:t xml:space="preserve"> for leave to appeal, it is unnecessary to delve deeply into the background. I will </w:t>
      </w:r>
      <w:r w:rsidRPr="00C20F5D">
        <w:rPr>
          <w:rFonts w:ascii="Arial" w:hAnsi="Arial"/>
        </w:rPr>
        <w:t xml:space="preserve">merely </w:t>
      </w:r>
      <w:r w:rsidR="00235F5E" w:rsidRPr="00C20F5D">
        <w:rPr>
          <w:rFonts w:ascii="Arial" w:hAnsi="Arial"/>
        </w:rPr>
        <w:t>mention the salient issues that inform the present application. They can be summarised as follows:</w:t>
      </w:r>
      <w:r w:rsidR="00264459" w:rsidRPr="00C20F5D">
        <w:rPr>
          <w:rFonts w:ascii="Arial" w:hAnsi="Arial"/>
        </w:rPr>
        <w:t xml:space="preserve"> The applicant had</w:t>
      </w:r>
      <w:r w:rsidRPr="00C20F5D">
        <w:rPr>
          <w:rFonts w:ascii="Arial" w:hAnsi="Arial"/>
        </w:rPr>
        <w:t xml:space="preserve"> been</w:t>
      </w:r>
      <w:r w:rsidR="00264459" w:rsidRPr="00C20F5D">
        <w:rPr>
          <w:rFonts w:ascii="Arial" w:hAnsi="Arial"/>
        </w:rPr>
        <w:t xml:space="preserve"> employed </w:t>
      </w:r>
      <w:r w:rsidR="0046554C">
        <w:rPr>
          <w:rFonts w:ascii="Arial" w:hAnsi="Arial"/>
        </w:rPr>
        <w:t xml:space="preserve">by </w:t>
      </w:r>
      <w:r w:rsidR="00264459" w:rsidRPr="00C20F5D">
        <w:rPr>
          <w:rFonts w:ascii="Arial" w:hAnsi="Arial"/>
        </w:rPr>
        <w:t>the respondent as a sales consultant in its dealership. Following a disciplinary process, in which the respondent was charged with three counts of dishonesty, he was dismissed by the respondent</w:t>
      </w:r>
      <w:r w:rsidRPr="00C20F5D">
        <w:rPr>
          <w:rFonts w:ascii="Arial" w:hAnsi="Arial"/>
        </w:rPr>
        <w:t>, having been found guilty of all three</w:t>
      </w:r>
      <w:r w:rsidR="00264459" w:rsidRPr="00C20F5D">
        <w:rPr>
          <w:rFonts w:ascii="Arial" w:hAnsi="Arial"/>
        </w:rPr>
        <w:t>.</w:t>
      </w:r>
    </w:p>
    <w:p w14:paraId="58803350" w14:textId="77777777" w:rsidR="00C20F5D" w:rsidRDefault="00C20F5D" w:rsidP="00C20F5D">
      <w:pPr>
        <w:pStyle w:val="ListParagraph"/>
        <w:spacing w:line="360" w:lineRule="auto"/>
        <w:ind w:left="0"/>
        <w:jc w:val="both"/>
        <w:rPr>
          <w:rFonts w:ascii="Arial" w:hAnsi="Arial"/>
        </w:rPr>
      </w:pPr>
    </w:p>
    <w:p w14:paraId="2CFB5921" w14:textId="77777777" w:rsidR="00C20F5D" w:rsidRDefault="00264459" w:rsidP="00C20F5D">
      <w:pPr>
        <w:pStyle w:val="ListParagraph"/>
        <w:numPr>
          <w:ilvl w:val="0"/>
          <w:numId w:val="2"/>
        </w:numPr>
        <w:spacing w:line="360" w:lineRule="auto"/>
        <w:ind w:left="0" w:firstLine="0"/>
        <w:jc w:val="both"/>
        <w:rPr>
          <w:rFonts w:ascii="Arial" w:hAnsi="Arial"/>
        </w:rPr>
      </w:pPr>
      <w:r w:rsidRPr="00C20F5D">
        <w:rPr>
          <w:rFonts w:ascii="Arial" w:hAnsi="Arial"/>
        </w:rPr>
        <w:t>Aggrieved by the dismissal, the applicant lodged a labour dispute with the office of the Labour Commissioner. The arbitrator, after the matter failed to settle at conciliation, presided over the arbitration and found for the applicant. He held that the applicant’s dismissal could not stand and ordered that he be</w:t>
      </w:r>
      <w:r w:rsidR="00F5635E" w:rsidRPr="00C20F5D">
        <w:rPr>
          <w:rFonts w:ascii="Arial" w:hAnsi="Arial"/>
        </w:rPr>
        <w:t xml:space="preserve"> compensated and</w:t>
      </w:r>
      <w:r w:rsidRPr="00C20F5D">
        <w:rPr>
          <w:rFonts w:ascii="Arial" w:hAnsi="Arial"/>
        </w:rPr>
        <w:t xml:space="preserve"> reinstated to his previous position.</w:t>
      </w:r>
    </w:p>
    <w:p w14:paraId="5DB0B83D" w14:textId="77777777" w:rsidR="00C20F5D" w:rsidRDefault="00C20F5D" w:rsidP="00C20F5D">
      <w:pPr>
        <w:pStyle w:val="ListParagraph"/>
        <w:spacing w:line="360" w:lineRule="auto"/>
        <w:ind w:left="0"/>
        <w:jc w:val="both"/>
        <w:rPr>
          <w:rFonts w:ascii="Arial" w:hAnsi="Arial"/>
        </w:rPr>
      </w:pPr>
    </w:p>
    <w:p w14:paraId="6B40D1B7" w14:textId="77A3BF6E" w:rsidR="00C20F5D" w:rsidRDefault="00264459" w:rsidP="00C20F5D">
      <w:pPr>
        <w:pStyle w:val="ListParagraph"/>
        <w:numPr>
          <w:ilvl w:val="0"/>
          <w:numId w:val="2"/>
        </w:numPr>
        <w:spacing w:line="360" w:lineRule="auto"/>
        <w:ind w:left="0" w:firstLine="0"/>
        <w:jc w:val="both"/>
        <w:rPr>
          <w:rFonts w:ascii="Arial" w:hAnsi="Arial"/>
        </w:rPr>
      </w:pPr>
      <w:r w:rsidRPr="00C20F5D">
        <w:rPr>
          <w:rFonts w:ascii="Arial" w:hAnsi="Arial"/>
        </w:rPr>
        <w:t>The respondent was in turn dissatisfied with the arbitral award reinstating the applicant and appealed the award to this court. The appeal culminated in the judgment referred to in the opening paragraph of this ruling. The long and short of it, is that the applicant, dissatisfied by t</w:t>
      </w:r>
      <w:r w:rsidR="0039603E" w:rsidRPr="00C20F5D">
        <w:rPr>
          <w:rFonts w:ascii="Arial" w:hAnsi="Arial"/>
        </w:rPr>
        <w:t>he judgment of the Labour Court, seeks leave from this court to appeal the judgment to the Supreme Court. It is the sustainability of that applicat</w:t>
      </w:r>
      <w:r w:rsidR="00F5635E" w:rsidRPr="00C20F5D">
        <w:rPr>
          <w:rFonts w:ascii="Arial" w:hAnsi="Arial"/>
        </w:rPr>
        <w:t xml:space="preserve">ion for leave </w:t>
      </w:r>
      <w:r w:rsidR="0046554C">
        <w:rPr>
          <w:rFonts w:ascii="Arial" w:hAnsi="Arial"/>
        </w:rPr>
        <w:t xml:space="preserve">to appeal </w:t>
      </w:r>
      <w:r w:rsidR="00F5635E" w:rsidRPr="00C20F5D">
        <w:rPr>
          <w:rFonts w:ascii="Arial" w:hAnsi="Arial"/>
        </w:rPr>
        <w:t>that is at the h</w:t>
      </w:r>
      <w:r w:rsidR="0039603E" w:rsidRPr="00C20F5D">
        <w:rPr>
          <w:rFonts w:ascii="Arial" w:hAnsi="Arial"/>
        </w:rPr>
        <w:t>e</w:t>
      </w:r>
      <w:r w:rsidR="00F5635E" w:rsidRPr="00C20F5D">
        <w:rPr>
          <w:rFonts w:ascii="Arial" w:hAnsi="Arial"/>
        </w:rPr>
        <w:t>art</w:t>
      </w:r>
      <w:r w:rsidR="0039603E" w:rsidRPr="00C20F5D">
        <w:rPr>
          <w:rFonts w:ascii="Arial" w:hAnsi="Arial"/>
        </w:rPr>
        <w:t xml:space="preserve"> of this judgment.</w:t>
      </w:r>
    </w:p>
    <w:p w14:paraId="73F34FA7" w14:textId="77777777" w:rsidR="00C20F5D" w:rsidRDefault="00C20F5D" w:rsidP="00C20F5D">
      <w:pPr>
        <w:pStyle w:val="ListParagraph"/>
        <w:spacing w:line="360" w:lineRule="auto"/>
        <w:ind w:left="0"/>
        <w:jc w:val="both"/>
        <w:rPr>
          <w:rFonts w:ascii="Arial" w:hAnsi="Arial"/>
        </w:rPr>
      </w:pPr>
    </w:p>
    <w:p w14:paraId="364A73B2" w14:textId="77777777" w:rsidR="00C20F5D" w:rsidRDefault="00C20F5D" w:rsidP="00C20F5D">
      <w:pPr>
        <w:spacing w:line="360" w:lineRule="auto"/>
        <w:jc w:val="both"/>
        <w:rPr>
          <w:rFonts w:ascii="Arial" w:hAnsi="Arial"/>
          <w:u w:val="single"/>
        </w:rPr>
      </w:pPr>
      <w:r>
        <w:rPr>
          <w:rFonts w:ascii="Arial" w:hAnsi="Arial"/>
          <w:u w:val="single"/>
        </w:rPr>
        <w:t>The applicant’s approach</w:t>
      </w:r>
    </w:p>
    <w:p w14:paraId="5843A62A" w14:textId="77777777" w:rsidR="00C20F5D" w:rsidRDefault="00C20F5D" w:rsidP="00C20F5D">
      <w:pPr>
        <w:pStyle w:val="ListParagraph"/>
        <w:spacing w:line="360" w:lineRule="auto"/>
        <w:ind w:left="0"/>
        <w:jc w:val="both"/>
        <w:rPr>
          <w:rFonts w:ascii="Arial" w:hAnsi="Arial"/>
        </w:rPr>
      </w:pPr>
    </w:p>
    <w:p w14:paraId="5980C3AF" w14:textId="77777777" w:rsidR="00C20F5D" w:rsidRDefault="0039603E" w:rsidP="00C20F5D">
      <w:pPr>
        <w:pStyle w:val="ListParagraph"/>
        <w:numPr>
          <w:ilvl w:val="0"/>
          <w:numId w:val="2"/>
        </w:numPr>
        <w:spacing w:line="360" w:lineRule="auto"/>
        <w:ind w:left="0" w:firstLine="0"/>
        <w:jc w:val="both"/>
        <w:rPr>
          <w:rFonts w:ascii="Arial" w:hAnsi="Arial"/>
        </w:rPr>
      </w:pPr>
      <w:r w:rsidRPr="00C20F5D">
        <w:rPr>
          <w:rFonts w:ascii="Arial" w:hAnsi="Arial"/>
        </w:rPr>
        <w:t>In moving this application, the applicant filed a notice of application for leave to appeal. It was accompanied by an affidavit deposed to by the applicant</w:t>
      </w:r>
      <w:r w:rsidR="00CA72DE" w:rsidRPr="00C20F5D">
        <w:rPr>
          <w:rFonts w:ascii="Arial" w:hAnsi="Arial"/>
        </w:rPr>
        <w:t>. It called on the respondent, if it opposes the application, to file a notice to oppose and answering affidavits. This the respondent did</w:t>
      </w:r>
      <w:r w:rsidR="00F5635E" w:rsidRPr="00C20F5D">
        <w:rPr>
          <w:rFonts w:ascii="Arial" w:hAnsi="Arial"/>
        </w:rPr>
        <w:t xml:space="preserve"> so</w:t>
      </w:r>
      <w:r w:rsidR="00CA72DE" w:rsidRPr="00C20F5D">
        <w:rPr>
          <w:rFonts w:ascii="Arial" w:hAnsi="Arial"/>
        </w:rPr>
        <w:t xml:space="preserve">. In the terse founding affidavit, the applicant contends that this court erred in reaching the conclusion that it did. He proceeded to allege eight grounds of appeal, some of which may not be properly regarded as grounds of appeal at all. For completeness’ sake, it is necessary that I cite the said grounds of </w:t>
      </w:r>
      <w:r w:rsidR="00C20F5D">
        <w:rPr>
          <w:rFonts w:ascii="Arial" w:hAnsi="Arial"/>
        </w:rPr>
        <w:t>appeal verbatim.</w:t>
      </w:r>
    </w:p>
    <w:p w14:paraId="1BE54B81" w14:textId="77777777" w:rsidR="00C20F5D" w:rsidRDefault="00C20F5D" w:rsidP="00C20F5D">
      <w:pPr>
        <w:pStyle w:val="ListParagraph"/>
        <w:spacing w:line="360" w:lineRule="auto"/>
        <w:ind w:left="0"/>
        <w:jc w:val="both"/>
        <w:rPr>
          <w:rFonts w:ascii="Arial" w:hAnsi="Arial"/>
        </w:rPr>
      </w:pPr>
    </w:p>
    <w:p w14:paraId="1E726637" w14:textId="3BE00324" w:rsidR="00CA72DE" w:rsidRPr="00C20F5D" w:rsidRDefault="00CA72DE" w:rsidP="00C20F5D">
      <w:pPr>
        <w:pStyle w:val="ListParagraph"/>
        <w:numPr>
          <w:ilvl w:val="0"/>
          <w:numId w:val="2"/>
        </w:numPr>
        <w:spacing w:line="360" w:lineRule="auto"/>
        <w:ind w:left="0" w:firstLine="0"/>
        <w:jc w:val="both"/>
        <w:rPr>
          <w:rFonts w:ascii="Arial" w:hAnsi="Arial"/>
        </w:rPr>
      </w:pPr>
      <w:r w:rsidRPr="00C20F5D">
        <w:rPr>
          <w:rFonts w:ascii="Arial" w:hAnsi="Arial"/>
        </w:rPr>
        <w:t>At para 5 of the founding affidavit, the applicant contends that the following are the grounds of appeal:</w:t>
      </w:r>
    </w:p>
    <w:p w14:paraId="25C809A6" w14:textId="77777777" w:rsidR="008B1102" w:rsidRDefault="008B1102" w:rsidP="00C20F5D">
      <w:pPr>
        <w:spacing w:line="360" w:lineRule="auto"/>
        <w:jc w:val="both"/>
        <w:rPr>
          <w:rFonts w:ascii="Arial" w:hAnsi="Arial"/>
        </w:rPr>
      </w:pPr>
    </w:p>
    <w:p w14:paraId="0626EB97" w14:textId="77777777" w:rsidR="008B1102" w:rsidRDefault="008B1102" w:rsidP="00C20F5D">
      <w:pPr>
        <w:spacing w:line="360" w:lineRule="auto"/>
        <w:jc w:val="both"/>
        <w:rPr>
          <w:rFonts w:ascii="Arial" w:hAnsi="Arial"/>
          <w:sz w:val="22"/>
          <w:szCs w:val="22"/>
        </w:rPr>
      </w:pPr>
      <w:r>
        <w:rPr>
          <w:rFonts w:ascii="Arial" w:hAnsi="Arial"/>
        </w:rPr>
        <w:tab/>
        <w:t>‘</w:t>
      </w:r>
      <w:r>
        <w:rPr>
          <w:rFonts w:ascii="Arial" w:hAnsi="Arial"/>
          <w:sz w:val="22"/>
          <w:szCs w:val="22"/>
        </w:rPr>
        <w:t>5.1 That His Honourable Justice Masuku erred in law by upholding the appeal against the arbitration award.</w:t>
      </w:r>
    </w:p>
    <w:p w14:paraId="1E28C1DF" w14:textId="77777777" w:rsidR="008B1102" w:rsidRDefault="008B1102" w:rsidP="00C20F5D">
      <w:pPr>
        <w:spacing w:line="360" w:lineRule="auto"/>
        <w:jc w:val="both"/>
        <w:rPr>
          <w:rFonts w:ascii="Arial" w:hAnsi="Arial"/>
          <w:sz w:val="22"/>
          <w:szCs w:val="22"/>
        </w:rPr>
      </w:pPr>
      <w:r>
        <w:rPr>
          <w:rFonts w:ascii="Arial" w:hAnsi="Arial"/>
          <w:sz w:val="22"/>
          <w:szCs w:val="22"/>
        </w:rPr>
        <w:lastRenderedPageBreak/>
        <w:t xml:space="preserve">5.2 That His Honourable Justice Masuku erred in law by failing to give any consideration, alternatively sufficient consideration to the fact that Mr. </w:t>
      </w:r>
      <w:proofErr w:type="spellStart"/>
      <w:r>
        <w:rPr>
          <w:rFonts w:ascii="Arial" w:hAnsi="Arial"/>
          <w:sz w:val="22"/>
          <w:szCs w:val="22"/>
        </w:rPr>
        <w:t>Heita</w:t>
      </w:r>
      <w:proofErr w:type="spellEnd"/>
      <w:r>
        <w:rPr>
          <w:rFonts w:ascii="Arial" w:hAnsi="Arial"/>
          <w:sz w:val="22"/>
          <w:szCs w:val="22"/>
        </w:rPr>
        <w:t xml:space="preserve"> testified during the Applicant’s disciplinary hearing and confirmed the Applicant’s version of events, which version was taken into account by the 2</w:t>
      </w:r>
      <w:r w:rsidRPr="008B1102">
        <w:rPr>
          <w:rFonts w:ascii="Arial" w:hAnsi="Arial"/>
          <w:sz w:val="22"/>
          <w:szCs w:val="22"/>
          <w:vertAlign w:val="superscript"/>
        </w:rPr>
        <w:t>nd</w:t>
      </w:r>
      <w:r w:rsidR="00EB7B4B">
        <w:rPr>
          <w:rFonts w:ascii="Arial" w:hAnsi="Arial"/>
          <w:sz w:val="22"/>
          <w:szCs w:val="22"/>
        </w:rPr>
        <w:t xml:space="preserve"> R</w:t>
      </w:r>
      <w:r>
        <w:rPr>
          <w:rFonts w:ascii="Arial" w:hAnsi="Arial"/>
          <w:sz w:val="22"/>
          <w:szCs w:val="22"/>
        </w:rPr>
        <w:t>espondent when making his award during the arbitration.</w:t>
      </w:r>
    </w:p>
    <w:p w14:paraId="1CA23C77" w14:textId="77777777" w:rsidR="00EB7B4B" w:rsidRDefault="00EB7B4B" w:rsidP="00C20F5D">
      <w:pPr>
        <w:spacing w:line="360" w:lineRule="auto"/>
        <w:jc w:val="both"/>
        <w:rPr>
          <w:rFonts w:ascii="Arial" w:hAnsi="Arial"/>
          <w:sz w:val="22"/>
          <w:szCs w:val="22"/>
        </w:rPr>
      </w:pPr>
      <w:r>
        <w:rPr>
          <w:rFonts w:ascii="Arial" w:hAnsi="Arial"/>
          <w:sz w:val="22"/>
          <w:szCs w:val="22"/>
        </w:rPr>
        <w:t xml:space="preserve">5.3 That His Honourable Justice Masuku erred in law by holding that the second and third counts of dishonesty were proven despite there being an unchallenged version by Mr </w:t>
      </w:r>
      <w:proofErr w:type="spellStart"/>
      <w:r>
        <w:rPr>
          <w:rFonts w:ascii="Arial" w:hAnsi="Arial"/>
          <w:sz w:val="22"/>
          <w:szCs w:val="22"/>
        </w:rPr>
        <w:t>Heita</w:t>
      </w:r>
      <w:proofErr w:type="spellEnd"/>
      <w:r>
        <w:rPr>
          <w:rFonts w:ascii="Arial" w:hAnsi="Arial"/>
          <w:sz w:val="22"/>
          <w:szCs w:val="22"/>
        </w:rPr>
        <w:t>, who is the owner of the add-ons apparently unlawfully booked out.</w:t>
      </w:r>
    </w:p>
    <w:p w14:paraId="16F65A67" w14:textId="77777777" w:rsidR="00EB7B4B" w:rsidRDefault="00EB7B4B" w:rsidP="00C20F5D">
      <w:pPr>
        <w:spacing w:line="360" w:lineRule="auto"/>
        <w:jc w:val="both"/>
        <w:rPr>
          <w:rFonts w:ascii="Arial" w:hAnsi="Arial"/>
          <w:sz w:val="22"/>
          <w:szCs w:val="22"/>
        </w:rPr>
      </w:pPr>
      <w:r>
        <w:rPr>
          <w:rFonts w:ascii="Arial" w:hAnsi="Arial"/>
          <w:sz w:val="22"/>
          <w:szCs w:val="22"/>
        </w:rPr>
        <w:t>5.4 That His Honourable Justice Masuku erred in law by setting aside the arbitration award.</w:t>
      </w:r>
    </w:p>
    <w:p w14:paraId="03F6EB9A" w14:textId="77777777" w:rsidR="00212137" w:rsidRDefault="00EB7B4B" w:rsidP="00C20F5D">
      <w:pPr>
        <w:spacing w:line="360" w:lineRule="auto"/>
        <w:jc w:val="both"/>
        <w:rPr>
          <w:rFonts w:ascii="Arial" w:hAnsi="Arial"/>
          <w:sz w:val="22"/>
          <w:szCs w:val="22"/>
        </w:rPr>
      </w:pPr>
      <w:r>
        <w:rPr>
          <w:rFonts w:ascii="Arial" w:hAnsi="Arial"/>
          <w:sz w:val="22"/>
          <w:szCs w:val="22"/>
        </w:rPr>
        <w:t>5.5 That His Honourable Justice Masuku erred in law by holding that the award was wrong because the evidence presented in the arbitration proceedings does not support the conclusion reached by the arbitrator despite the overwhelming evidence to the contrary.</w:t>
      </w:r>
    </w:p>
    <w:p w14:paraId="32B91FAE" w14:textId="77777777" w:rsidR="00EB7B4B" w:rsidRDefault="00212137" w:rsidP="00C20F5D">
      <w:pPr>
        <w:spacing w:line="360" w:lineRule="auto"/>
        <w:jc w:val="both"/>
        <w:rPr>
          <w:rFonts w:ascii="Arial" w:hAnsi="Arial"/>
          <w:sz w:val="22"/>
          <w:szCs w:val="22"/>
        </w:rPr>
      </w:pPr>
      <w:r>
        <w:rPr>
          <w:rFonts w:ascii="Arial" w:hAnsi="Arial"/>
          <w:sz w:val="22"/>
          <w:szCs w:val="22"/>
        </w:rPr>
        <w:t>5.6 That His Honourable Justice Masuku erred in law by holding that the arbitrator failed to correctly consider and apply the rules of evidence.</w:t>
      </w:r>
      <w:r w:rsidR="00EB7B4B">
        <w:rPr>
          <w:rFonts w:ascii="Arial" w:hAnsi="Arial"/>
          <w:sz w:val="22"/>
          <w:szCs w:val="22"/>
        </w:rPr>
        <w:t xml:space="preserve"> </w:t>
      </w:r>
    </w:p>
    <w:p w14:paraId="03011A8D" w14:textId="77777777" w:rsidR="00212137" w:rsidRDefault="00212137" w:rsidP="00C20F5D">
      <w:pPr>
        <w:spacing w:line="360" w:lineRule="auto"/>
        <w:jc w:val="both"/>
        <w:rPr>
          <w:rFonts w:ascii="Arial" w:hAnsi="Arial"/>
          <w:sz w:val="22"/>
          <w:szCs w:val="22"/>
        </w:rPr>
      </w:pPr>
      <w:r>
        <w:rPr>
          <w:rFonts w:ascii="Arial" w:hAnsi="Arial"/>
          <w:sz w:val="22"/>
          <w:szCs w:val="22"/>
        </w:rPr>
        <w:t>5.7 That His Honourable Justice Masuku erred in law by holding that the order of reinstatement by the arbitrator was unreasonable and that no reasonable arbitrator would have made such an order.</w:t>
      </w:r>
    </w:p>
    <w:p w14:paraId="5C643982" w14:textId="77777777" w:rsidR="00212137" w:rsidRDefault="00212137" w:rsidP="00C20F5D">
      <w:pPr>
        <w:spacing w:line="360" w:lineRule="auto"/>
        <w:jc w:val="both"/>
        <w:rPr>
          <w:rFonts w:ascii="Arial" w:hAnsi="Arial"/>
          <w:sz w:val="22"/>
          <w:szCs w:val="22"/>
        </w:rPr>
      </w:pPr>
      <w:r>
        <w:rPr>
          <w:rFonts w:ascii="Arial" w:hAnsi="Arial"/>
          <w:sz w:val="22"/>
          <w:szCs w:val="22"/>
        </w:rPr>
        <w:t>5.8 That His Honourable Justice Masuku erred in law by giving no consideration, alternatively, little consideration to the fact that the respondent bears the onus to prove that the dismissal was fair.</w:t>
      </w:r>
    </w:p>
    <w:p w14:paraId="0BFF2977" w14:textId="77777777" w:rsidR="00212137" w:rsidRDefault="00212137" w:rsidP="00C20F5D">
      <w:pPr>
        <w:spacing w:line="360" w:lineRule="auto"/>
        <w:jc w:val="both"/>
        <w:rPr>
          <w:rFonts w:ascii="Arial" w:hAnsi="Arial"/>
          <w:sz w:val="22"/>
          <w:szCs w:val="22"/>
        </w:rPr>
      </w:pPr>
      <w:r>
        <w:rPr>
          <w:rFonts w:ascii="Arial" w:hAnsi="Arial"/>
          <w:sz w:val="22"/>
          <w:szCs w:val="22"/>
        </w:rPr>
        <w:t xml:space="preserve">That His Honourable Justice Masuku erred in law by </w:t>
      </w:r>
      <w:r w:rsidR="00AE438D">
        <w:rPr>
          <w:rFonts w:ascii="Arial" w:hAnsi="Arial"/>
          <w:sz w:val="22"/>
          <w:szCs w:val="22"/>
        </w:rPr>
        <w:t>giving no consideration, alternatively little consideration to the presumption of unfair dismissal and the duty of the respondent to rebut same.’</w:t>
      </w:r>
    </w:p>
    <w:p w14:paraId="5E6D0295" w14:textId="77777777" w:rsidR="00C20F5D" w:rsidRDefault="00C20F5D" w:rsidP="00C20F5D">
      <w:pPr>
        <w:spacing w:line="360" w:lineRule="auto"/>
        <w:jc w:val="both"/>
        <w:rPr>
          <w:rFonts w:ascii="Arial" w:hAnsi="Arial"/>
          <w:sz w:val="22"/>
          <w:szCs w:val="22"/>
        </w:rPr>
      </w:pPr>
    </w:p>
    <w:p w14:paraId="63E2C9B4" w14:textId="468E5C05" w:rsidR="00E67465" w:rsidRPr="00C20F5D" w:rsidRDefault="00E67465"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The reason why I have quoted liberally from the applicant’s affidavit, will become apparent as this ruling progresses. </w:t>
      </w:r>
    </w:p>
    <w:p w14:paraId="0E60F754" w14:textId="77777777" w:rsidR="00E67465" w:rsidRDefault="00E67465" w:rsidP="00C20F5D">
      <w:pPr>
        <w:spacing w:line="360" w:lineRule="auto"/>
        <w:jc w:val="both"/>
        <w:rPr>
          <w:rFonts w:ascii="Arial" w:hAnsi="Arial"/>
        </w:rPr>
      </w:pPr>
    </w:p>
    <w:p w14:paraId="38FD0B70" w14:textId="77777777" w:rsidR="00E67465" w:rsidRDefault="00E67465" w:rsidP="00C20F5D">
      <w:pPr>
        <w:spacing w:line="360" w:lineRule="auto"/>
        <w:jc w:val="both"/>
        <w:rPr>
          <w:rFonts w:ascii="Arial" w:hAnsi="Arial"/>
          <w:u w:val="single"/>
        </w:rPr>
      </w:pPr>
      <w:r>
        <w:rPr>
          <w:rFonts w:ascii="Arial" w:hAnsi="Arial"/>
          <w:u w:val="single"/>
        </w:rPr>
        <w:t>The respondent’s contentions</w:t>
      </w:r>
    </w:p>
    <w:p w14:paraId="5EAC8AD2" w14:textId="77777777" w:rsidR="00E67465" w:rsidRDefault="00E67465" w:rsidP="00C20F5D">
      <w:pPr>
        <w:spacing w:line="360" w:lineRule="auto"/>
        <w:jc w:val="both"/>
        <w:rPr>
          <w:rFonts w:ascii="Arial" w:hAnsi="Arial"/>
          <w:u w:val="single"/>
        </w:rPr>
      </w:pPr>
    </w:p>
    <w:p w14:paraId="3E6CECC4" w14:textId="77777777" w:rsidR="00C20F5D" w:rsidRDefault="00E67465"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It is important to mention that the respondent filed an answering affidavit contesting the propriety of the court granting the application. In this connection, it should be pointed out that the applicant did not file a replying affidavit. </w:t>
      </w:r>
      <w:r w:rsidR="00A8601E" w:rsidRPr="00C20F5D">
        <w:rPr>
          <w:rFonts w:ascii="Arial" w:hAnsi="Arial"/>
        </w:rPr>
        <w:t xml:space="preserve">This has the effect that the allegations by the respondent should, all things being equal, stand. </w:t>
      </w:r>
      <w:r w:rsidRPr="00C20F5D">
        <w:rPr>
          <w:rFonts w:ascii="Arial" w:hAnsi="Arial"/>
        </w:rPr>
        <w:t>No heads of argument were filed on the applicant’s behalf and this is not a criticism as the court did not order the parties to file heads of argument. The respondent did file its heads of argument and they have been extremely helpful to the court.</w:t>
      </w:r>
    </w:p>
    <w:p w14:paraId="3EF2E04C" w14:textId="77777777" w:rsidR="00C20F5D" w:rsidRDefault="00C20F5D" w:rsidP="00C20F5D">
      <w:pPr>
        <w:pStyle w:val="ListParagraph"/>
        <w:spacing w:line="360" w:lineRule="auto"/>
        <w:ind w:left="0"/>
        <w:jc w:val="both"/>
        <w:rPr>
          <w:rFonts w:ascii="Arial" w:hAnsi="Arial"/>
        </w:rPr>
      </w:pPr>
    </w:p>
    <w:p w14:paraId="5871CFA9" w14:textId="1127820B" w:rsidR="00C20F5D" w:rsidRDefault="00E67465"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In the answering affidavit, the respondent takes the point that the applicant has not properly set out grounds of appeal. It contends that what has been quoted above from the applicant’s affidavit, are nothing but conclusions of law by the applicant without any factual basis being laid for the contention that the court erred in the respects mentioned. As far as the </w:t>
      </w:r>
      <w:r w:rsidRPr="00C20F5D">
        <w:rPr>
          <w:rFonts w:ascii="Arial" w:hAnsi="Arial"/>
        </w:rPr>
        <w:lastRenderedPageBreak/>
        <w:t xml:space="preserve">respondent is concerned, there are no proper grounds of appeal that can </w:t>
      </w:r>
      <w:r w:rsidR="0046554C">
        <w:rPr>
          <w:rFonts w:ascii="Arial" w:hAnsi="Arial"/>
        </w:rPr>
        <w:t>persuade this court to decide</w:t>
      </w:r>
      <w:r w:rsidR="0013714E">
        <w:rPr>
          <w:rFonts w:ascii="Arial" w:hAnsi="Arial"/>
        </w:rPr>
        <w:t xml:space="preserve"> in</w:t>
      </w:r>
      <w:r w:rsidRPr="00C20F5D">
        <w:rPr>
          <w:rFonts w:ascii="Arial" w:hAnsi="Arial"/>
        </w:rPr>
        <w:t xml:space="preserve"> the </w:t>
      </w:r>
      <w:r w:rsidR="003B1753" w:rsidRPr="00C20F5D">
        <w:rPr>
          <w:rFonts w:ascii="Arial" w:hAnsi="Arial"/>
        </w:rPr>
        <w:t xml:space="preserve">application in the </w:t>
      </w:r>
      <w:r w:rsidRPr="00C20F5D">
        <w:rPr>
          <w:rFonts w:ascii="Arial" w:hAnsi="Arial"/>
        </w:rPr>
        <w:t>applicant’s favour</w:t>
      </w:r>
      <w:r w:rsidR="003B1753" w:rsidRPr="00C20F5D">
        <w:rPr>
          <w:rFonts w:ascii="Arial" w:hAnsi="Arial"/>
        </w:rPr>
        <w:t xml:space="preserve">. </w:t>
      </w:r>
    </w:p>
    <w:p w14:paraId="0DBC0DD9" w14:textId="77777777" w:rsidR="00C20F5D" w:rsidRDefault="00C20F5D" w:rsidP="00C20F5D">
      <w:pPr>
        <w:pStyle w:val="ListParagraph"/>
        <w:spacing w:line="360" w:lineRule="auto"/>
        <w:ind w:left="0"/>
        <w:jc w:val="both"/>
        <w:rPr>
          <w:rFonts w:ascii="Arial" w:hAnsi="Arial"/>
        </w:rPr>
      </w:pPr>
    </w:p>
    <w:p w14:paraId="03BED792" w14:textId="77777777" w:rsidR="00C20F5D" w:rsidRDefault="003B1753" w:rsidP="00C20F5D">
      <w:pPr>
        <w:pStyle w:val="ListParagraph"/>
        <w:numPr>
          <w:ilvl w:val="0"/>
          <w:numId w:val="2"/>
        </w:numPr>
        <w:spacing w:line="360" w:lineRule="auto"/>
        <w:ind w:left="0" w:firstLine="0"/>
        <w:jc w:val="both"/>
        <w:rPr>
          <w:rFonts w:ascii="Arial" w:hAnsi="Arial"/>
        </w:rPr>
      </w:pPr>
      <w:r w:rsidRPr="00C20F5D">
        <w:rPr>
          <w:rFonts w:ascii="Arial" w:hAnsi="Arial"/>
        </w:rPr>
        <w:t>The respondent further points out that when proper regard is had to the applicable test in applications for leave to appeal, the applicant’s case falls flat</w:t>
      </w:r>
      <w:r w:rsidR="00E6087A" w:rsidRPr="00C20F5D">
        <w:rPr>
          <w:rFonts w:ascii="Arial" w:hAnsi="Arial"/>
        </w:rPr>
        <w:t xml:space="preserve"> on its face</w:t>
      </w:r>
      <w:r w:rsidRPr="00C20F5D">
        <w:rPr>
          <w:rFonts w:ascii="Arial" w:hAnsi="Arial"/>
        </w:rPr>
        <w:t>. This is because from what is alleged to be grounds of appeal filed by the applicant,</w:t>
      </w:r>
      <w:r w:rsidR="00E6087A" w:rsidRPr="00C20F5D">
        <w:rPr>
          <w:rFonts w:ascii="Arial" w:hAnsi="Arial"/>
        </w:rPr>
        <w:t xml:space="preserve"> the respondent and the court are</w:t>
      </w:r>
      <w:r w:rsidRPr="00C20F5D">
        <w:rPr>
          <w:rFonts w:ascii="Arial" w:hAnsi="Arial"/>
        </w:rPr>
        <w:t xml:space="preserve"> made no wiser as to why leave should be granted. </w:t>
      </w:r>
      <w:r w:rsidR="00241616" w:rsidRPr="00C20F5D">
        <w:rPr>
          <w:rFonts w:ascii="Arial" w:hAnsi="Arial"/>
        </w:rPr>
        <w:t xml:space="preserve"> </w:t>
      </w:r>
    </w:p>
    <w:p w14:paraId="55854048" w14:textId="77777777" w:rsidR="00C20F5D" w:rsidRDefault="00C20F5D" w:rsidP="00C20F5D">
      <w:pPr>
        <w:pStyle w:val="ListParagraph"/>
        <w:spacing w:line="360" w:lineRule="auto"/>
        <w:ind w:left="0"/>
        <w:jc w:val="both"/>
        <w:rPr>
          <w:rFonts w:ascii="Arial" w:hAnsi="Arial"/>
        </w:rPr>
      </w:pPr>
    </w:p>
    <w:p w14:paraId="19FB69C3" w14:textId="77777777" w:rsidR="00C20F5D" w:rsidRDefault="003B1753" w:rsidP="00C20F5D">
      <w:pPr>
        <w:pStyle w:val="ListParagraph"/>
        <w:numPr>
          <w:ilvl w:val="0"/>
          <w:numId w:val="2"/>
        </w:numPr>
        <w:spacing w:line="360" w:lineRule="auto"/>
        <w:ind w:left="0" w:firstLine="0"/>
        <w:jc w:val="both"/>
        <w:rPr>
          <w:rFonts w:ascii="Arial" w:hAnsi="Arial"/>
        </w:rPr>
      </w:pPr>
      <w:r w:rsidRPr="00C20F5D">
        <w:rPr>
          <w:rFonts w:ascii="Arial" w:hAnsi="Arial"/>
        </w:rPr>
        <w:t>The respondent further points out that the applicant was found by the arbitrator to have been guilty of dishonesty and that this finding was not appealed against and it</w:t>
      </w:r>
      <w:r w:rsidR="00A8601E" w:rsidRPr="00C20F5D">
        <w:rPr>
          <w:rFonts w:ascii="Arial" w:hAnsi="Arial"/>
        </w:rPr>
        <w:t xml:space="preserve"> thu</w:t>
      </w:r>
      <w:r w:rsidRPr="00C20F5D">
        <w:rPr>
          <w:rFonts w:ascii="Arial" w:hAnsi="Arial"/>
        </w:rPr>
        <w:t>s stands. The effect of this finding, argues the respondent, is that he accepts that he was guilty of dishonesty and as such, there can be no prospect, reasonable, or otherwise that a different court might find for him.</w:t>
      </w:r>
    </w:p>
    <w:p w14:paraId="0B602C72" w14:textId="77777777" w:rsidR="00C20F5D" w:rsidRDefault="00C20F5D" w:rsidP="00C20F5D">
      <w:pPr>
        <w:pStyle w:val="ListParagraph"/>
        <w:spacing w:line="360" w:lineRule="auto"/>
        <w:ind w:left="0"/>
        <w:jc w:val="both"/>
        <w:rPr>
          <w:rFonts w:ascii="Arial" w:hAnsi="Arial"/>
        </w:rPr>
      </w:pPr>
    </w:p>
    <w:p w14:paraId="2D5CEB68" w14:textId="77777777" w:rsidR="00C20F5D" w:rsidRDefault="00241616"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Furthermore, the respondent points out that the findings by this court cannot be assailed and that the applicant has failed to show that another court, faced with the same facts, </w:t>
      </w:r>
      <w:proofErr w:type="gramStart"/>
      <w:r w:rsidRPr="00C20F5D">
        <w:rPr>
          <w:rFonts w:ascii="Arial" w:hAnsi="Arial"/>
        </w:rPr>
        <w:t>may</w:t>
      </w:r>
      <w:proofErr w:type="gramEnd"/>
      <w:r w:rsidRPr="00C20F5D">
        <w:rPr>
          <w:rFonts w:ascii="Arial" w:hAnsi="Arial"/>
        </w:rPr>
        <w:t xml:space="preserve"> come to a different conclusion. The respondent pointed out that the findings </w:t>
      </w:r>
      <w:r w:rsidR="00C20F5D" w:rsidRPr="00C20F5D">
        <w:rPr>
          <w:rFonts w:ascii="Arial" w:hAnsi="Arial"/>
        </w:rPr>
        <w:t>made by</w:t>
      </w:r>
      <w:r w:rsidR="00A8601E" w:rsidRPr="00C20F5D">
        <w:rPr>
          <w:rFonts w:ascii="Arial" w:hAnsi="Arial"/>
        </w:rPr>
        <w:t xml:space="preserve"> this court </w:t>
      </w:r>
      <w:r w:rsidRPr="00C20F5D">
        <w:rPr>
          <w:rFonts w:ascii="Arial" w:hAnsi="Arial"/>
        </w:rPr>
        <w:t>regarding the credibility of the applicant as a witness, cannot be faulted and which is a criticism of how the arbitrator dealt with the evidence on disputed issues. The long and short of the respondent’s case was that this application should be dismissed.</w:t>
      </w:r>
    </w:p>
    <w:p w14:paraId="388EE522" w14:textId="77777777" w:rsidR="00C20F5D" w:rsidRDefault="00C20F5D" w:rsidP="00C20F5D">
      <w:pPr>
        <w:pStyle w:val="ListParagraph"/>
        <w:spacing w:line="360" w:lineRule="auto"/>
        <w:ind w:left="0"/>
        <w:jc w:val="both"/>
        <w:rPr>
          <w:rFonts w:ascii="Arial" w:hAnsi="Arial"/>
        </w:rPr>
      </w:pPr>
    </w:p>
    <w:p w14:paraId="5D09FD7F" w14:textId="77777777" w:rsidR="00C20F5D" w:rsidRDefault="00C20F5D" w:rsidP="00C20F5D">
      <w:pPr>
        <w:spacing w:line="360" w:lineRule="auto"/>
        <w:jc w:val="both"/>
        <w:rPr>
          <w:rFonts w:ascii="Arial" w:hAnsi="Arial"/>
          <w:u w:val="single"/>
        </w:rPr>
      </w:pPr>
      <w:r>
        <w:rPr>
          <w:rFonts w:ascii="Arial" w:hAnsi="Arial"/>
          <w:u w:val="single"/>
        </w:rPr>
        <w:t>The applicable test for applications for leave to appeal</w:t>
      </w:r>
    </w:p>
    <w:p w14:paraId="5CF924EA" w14:textId="77777777" w:rsidR="00C20F5D" w:rsidRDefault="00C20F5D" w:rsidP="00C20F5D">
      <w:pPr>
        <w:pStyle w:val="ListParagraph"/>
        <w:spacing w:line="360" w:lineRule="auto"/>
        <w:ind w:left="0"/>
        <w:jc w:val="both"/>
        <w:rPr>
          <w:rFonts w:ascii="Arial" w:hAnsi="Arial"/>
        </w:rPr>
      </w:pPr>
    </w:p>
    <w:p w14:paraId="090C7FDF" w14:textId="77777777" w:rsidR="00C20F5D" w:rsidRDefault="00055C43" w:rsidP="00C20F5D">
      <w:pPr>
        <w:pStyle w:val="ListParagraph"/>
        <w:numPr>
          <w:ilvl w:val="0"/>
          <w:numId w:val="2"/>
        </w:numPr>
        <w:spacing w:line="360" w:lineRule="auto"/>
        <w:ind w:left="0" w:firstLine="0"/>
        <w:jc w:val="both"/>
        <w:rPr>
          <w:rFonts w:ascii="Arial" w:hAnsi="Arial"/>
        </w:rPr>
      </w:pPr>
      <w:r w:rsidRPr="00C20F5D">
        <w:rPr>
          <w:rFonts w:ascii="Arial" w:hAnsi="Arial"/>
        </w:rPr>
        <w:t>The applicable test has been stated to be that the court against whose judgment the appeal is proposed, must decide whether there is a reasonable possibility that the Supreme Court, in this case, may come to a different conclusion from the one reached by this court.</w:t>
      </w:r>
      <w:r w:rsidR="0063365F" w:rsidRPr="00C20F5D">
        <w:rPr>
          <w:rFonts w:ascii="Arial" w:hAnsi="Arial"/>
        </w:rPr>
        <w:t xml:space="preserve"> </w:t>
      </w:r>
    </w:p>
    <w:p w14:paraId="674EFC72" w14:textId="77777777" w:rsidR="00C20F5D" w:rsidRDefault="00C20F5D" w:rsidP="00C20F5D">
      <w:pPr>
        <w:pStyle w:val="ListParagraph"/>
        <w:spacing w:line="360" w:lineRule="auto"/>
        <w:ind w:left="0"/>
        <w:jc w:val="both"/>
        <w:rPr>
          <w:rFonts w:ascii="Arial" w:hAnsi="Arial"/>
        </w:rPr>
      </w:pPr>
    </w:p>
    <w:p w14:paraId="0809977B" w14:textId="3F9236D9" w:rsidR="0063365F" w:rsidRPr="00C20F5D" w:rsidRDefault="000D4DA0"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In </w:t>
      </w:r>
      <w:r w:rsidR="00E6758C" w:rsidRPr="00C20F5D">
        <w:rPr>
          <w:rFonts w:ascii="Arial" w:hAnsi="Arial"/>
          <w:i/>
        </w:rPr>
        <w:t xml:space="preserve">Minister </w:t>
      </w:r>
      <w:r w:rsidRPr="00C20F5D">
        <w:rPr>
          <w:rFonts w:ascii="Arial" w:hAnsi="Arial"/>
          <w:i/>
        </w:rPr>
        <w:t xml:space="preserve">of Finance v </w:t>
      </w:r>
      <w:proofErr w:type="spellStart"/>
      <w:r w:rsidRPr="00C20F5D">
        <w:rPr>
          <w:rFonts w:ascii="Arial" w:hAnsi="Arial"/>
          <w:i/>
        </w:rPr>
        <w:t>Hollard</w:t>
      </w:r>
      <w:proofErr w:type="spellEnd"/>
      <w:r w:rsidR="00E6758C" w:rsidRPr="00C20F5D">
        <w:rPr>
          <w:rFonts w:ascii="Arial" w:hAnsi="Arial"/>
          <w:i/>
        </w:rPr>
        <w:t xml:space="preserve"> Insurance Company of Namibia  Ltd</w:t>
      </w:r>
      <w:r w:rsidR="00E6758C" w:rsidRPr="00C20F5D">
        <w:rPr>
          <w:rFonts w:ascii="Arial" w:hAnsi="Arial"/>
        </w:rPr>
        <w:t>,</w:t>
      </w:r>
      <w:r w:rsidR="00E6758C">
        <w:rPr>
          <w:rStyle w:val="FootnoteReference"/>
          <w:rFonts w:ascii="Arial" w:hAnsi="Arial"/>
          <w:i/>
        </w:rPr>
        <w:footnoteReference w:id="1"/>
      </w:r>
      <w:r w:rsidR="00E6758C" w:rsidRPr="00C20F5D">
        <w:rPr>
          <w:rFonts w:ascii="Arial" w:hAnsi="Arial"/>
        </w:rPr>
        <w:t xml:space="preserve"> the Supreme Court dealt with the applicable test in the following terms:</w:t>
      </w:r>
    </w:p>
    <w:p w14:paraId="7304F045" w14:textId="77777777" w:rsidR="00E6758C" w:rsidRDefault="00E6758C" w:rsidP="00C20F5D">
      <w:pPr>
        <w:spacing w:line="360" w:lineRule="auto"/>
        <w:jc w:val="both"/>
        <w:rPr>
          <w:rFonts w:ascii="Arial" w:hAnsi="Arial"/>
        </w:rPr>
      </w:pPr>
    </w:p>
    <w:p w14:paraId="1F8275D0" w14:textId="77777777" w:rsidR="00E6758C" w:rsidRDefault="00E6758C" w:rsidP="00C20F5D">
      <w:pPr>
        <w:spacing w:line="360" w:lineRule="auto"/>
        <w:jc w:val="both"/>
        <w:rPr>
          <w:rFonts w:ascii="Arial" w:hAnsi="Arial"/>
          <w:sz w:val="22"/>
          <w:szCs w:val="22"/>
        </w:rPr>
      </w:pPr>
      <w:r>
        <w:rPr>
          <w:rFonts w:ascii="Arial" w:hAnsi="Arial"/>
        </w:rPr>
        <w:tab/>
        <w:t>‘</w:t>
      </w:r>
      <w:r>
        <w:rPr>
          <w:rFonts w:ascii="Arial" w:hAnsi="Arial"/>
          <w:sz w:val="22"/>
          <w:szCs w:val="22"/>
        </w:rPr>
        <w:t xml:space="preserve">The test for granting leave to appeal is whether there is a </w:t>
      </w:r>
      <w:r>
        <w:rPr>
          <w:rFonts w:ascii="Arial" w:hAnsi="Arial"/>
          <w:sz w:val="22"/>
          <w:szCs w:val="22"/>
          <w:u w:val="single"/>
        </w:rPr>
        <w:t>reasonable</w:t>
      </w:r>
      <w:r w:rsidRPr="001763F7">
        <w:rPr>
          <w:rFonts w:ascii="Arial" w:hAnsi="Arial"/>
          <w:sz w:val="22"/>
          <w:szCs w:val="22"/>
        </w:rPr>
        <w:t xml:space="preserve"> </w:t>
      </w:r>
      <w:r>
        <w:rPr>
          <w:rFonts w:ascii="Arial" w:hAnsi="Arial"/>
          <w:sz w:val="22"/>
          <w:szCs w:val="22"/>
        </w:rPr>
        <w:t xml:space="preserve">possibility </w:t>
      </w:r>
      <w:r w:rsidR="00A0425E">
        <w:rPr>
          <w:rFonts w:ascii="Arial" w:hAnsi="Arial"/>
          <w:sz w:val="22"/>
          <w:szCs w:val="22"/>
        </w:rPr>
        <w:t xml:space="preserve">(not a probability) </w:t>
      </w:r>
      <w:r>
        <w:rPr>
          <w:rFonts w:ascii="Arial" w:hAnsi="Arial"/>
          <w:sz w:val="22"/>
          <w:szCs w:val="22"/>
        </w:rPr>
        <w:t>th</w:t>
      </w:r>
      <w:r w:rsidR="00A0425E">
        <w:rPr>
          <w:rFonts w:ascii="Arial" w:hAnsi="Arial"/>
          <w:sz w:val="22"/>
          <w:szCs w:val="22"/>
        </w:rPr>
        <w:t xml:space="preserve">at the Supreme Court may come to a different conclusion. The question in the present case therefore is whether there are reasonable prospects that the Supreme Court might come to the conclusion that the order for stay is competent.’ </w:t>
      </w:r>
    </w:p>
    <w:p w14:paraId="6AEE7205" w14:textId="77777777" w:rsidR="00A0425E" w:rsidRDefault="00A0425E" w:rsidP="00C20F5D">
      <w:pPr>
        <w:spacing w:line="360" w:lineRule="auto"/>
        <w:jc w:val="both"/>
        <w:rPr>
          <w:rFonts w:ascii="Arial" w:hAnsi="Arial"/>
          <w:sz w:val="22"/>
          <w:szCs w:val="22"/>
        </w:rPr>
      </w:pPr>
    </w:p>
    <w:p w14:paraId="50A6A973" w14:textId="12BC6C88" w:rsidR="00C20F5D" w:rsidRDefault="00A0425E" w:rsidP="00C20F5D">
      <w:pPr>
        <w:pStyle w:val="ListParagraph"/>
        <w:numPr>
          <w:ilvl w:val="0"/>
          <w:numId w:val="2"/>
        </w:numPr>
        <w:spacing w:line="360" w:lineRule="auto"/>
        <w:ind w:left="0" w:firstLine="0"/>
        <w:jc w:val="both"/>
        <w:rPr>
          <w:rFonts w:ascii="Arial" w:hAnsi="Arial"/>
        </w:rPr>
      </w:pPr>
      <w:r w:rsidRPr="00C20F5D">
        <w:rPr>
          <w:rFonts w:ascii="Arial" w:hAnsi="Arial"/>
        </w:rPr>
        <w:lastRenderedPageBreak/>
        <w:t xml:space="preserve">Transposed to the instant case, the question that this court is called upon to answer is the following: has the applicant </w:t>
      </w:r>
      <w:r w:rsidR="009C41C9" w:rsidRPr="00C20F5D">
        <w:rPr>
          <w:rFonts w:ascii="Arial" w:hAnsi="Arial"/>
        </w:rPr>
        <w:t>persuaded this court that there is a reasonable possibility that the Supreme Court might come to a different</w:t>
      </w:r>
      <w:r w:rsidR="0065158B" w:rsidRPr="00C20F5D">
        <w:rPr>
          <w:rFonts w:ascii="Arial" w:hAnsi="Arial"/>
        </w:rPr>
        <w:t xml:space="preserve"> conclusion on whether </w:t>
      </w:r>
      <w:r w:rsidR="009C41C9" w:rsidRPr="00C20F5D">
        <w:rPr>
          <w:rFonts w:ascii="Arial" w:hAnsi="Arial"/>
        </w:rPr>
        <w:t>it was proper for the</w:t>
      </w:r>
      <w:r w:rsidR="0046554C">
        <w:rPr>
          <w:rFonts w:ascii="Arial" w:hAnsi="Arial"/>
        </w:rPr>
        <w:t xml:space="preserve"> respondent’s appeal to succeed?</w:t>
      </w:r>
      <w:r w:rsidR="009C41C9" w:rsidRPr="00C20F5D">
        <w:rPr>
          <w:rFonts w:ascii="Arial" w:hAnsi="Arial"/>
        </w:rPr>
        <w:t xml:space="preserve"> Put differently, the question is whether there are reasonable prospects that the Supreme Court may find that the upholding of the respondent’s appeal</w:t>
      </w:r>
      <w:r w:rsidR="0046554C">
        <w:rPr>
          <w:rFonts w:ascii="Arial" w:hAnsi="Arial"/>
        </w:rPr>
        <w:t xml:space="preserve"> by this court</w:t>
      </w:r>
      <w:r w:rsidR="009C41C9" w:rsidRPr="00C20F5D">
        <w:rPr>
          <w:rFonts w:ascii="Arial" w:hAnsi="Arial"/>
        </w:rPr>
        <w:t>, was incorrect.</w:t>
      </w:r>
    </w:p>
    <w:p w14:paraId="630337B8" w14:textId="77777777" w:rsidR="00C20F5D" w:rsidRDefault="00C20F5D" w:rsidP="00C20F5D">
      <w:pPr>
        <w:pStyle w:val="ListParagraph"/>
        <w:spacing w:line="360" w:lineRule="auto"/>
        <w:ind w:left="0"/>
        <w:jc w:val="both"/>
        <w:rPr>
          <w:rFonts w:ascii="Arial" w:hAnsi="Arial"/>
        </w:rPr>
      </w:pPr>
    </w:p>
    <w:p w14:paraId="5FABDC33" w14:textId="33B4A2AF" w:rsidR="009C41C9" w:rsidRPr="00C20F5D" w:rsidRDefault="009C41C9" w:rsidP="00C20F5D">
      <w:pPr>
        <w:pStyle w:val="ListParagraph"/>
        <w:numPr>
          <w:ilvl w:val="0"/>
          <w:numId w:val="2"/>
        </w:numPr>
        <w:spacing w:line="360" w:lineRule="auto"/>
        <w:ind w:left="0" w:firstLine="0"/>
        <w:jc w:val="both"/>
        <w:rPr>
          <w:rFonts w:ascii="Arial" w:hAnsi="Arial"/>
        </w:rPr>
      </w:pPr>
      <w:r w:rsidRPr="00C20F5D">
        <w:rPr>
          <w:rFonts w:ascii="Arial" w:hAnsi="Arial"/>
        </w:rPr>
        <w:t>It is n</w:t>
      </w:r>
      <w:r w:rsidR="00DE6D9B" w:rsidRPr="00C20F5D">
        <w:rPr>
          <w:rFonts w:ascii="Arial" w:hAnsi="Arial"/>
        </w:rPr>
        <w:t>o</w:t>
      </w:r>
      <w:r w:rsidRPr="00C20F5D">
        <w:rPr>
          <w:rFonts w:ascii="Arial" w:hAnsi="Arial"/>
        </w:rPr>
        <w:t>w opportune that consideration is give</w:t>
      </w:r>
      <w:r w:rsidR="00DE6D9B" w:rsidRPr="00C20F5D">
        <w:rPr>
          <w:rFonts w:ascii="Arial" w:hAnsi="Arial"/>
        </w:rPr>
        <w:t xml:space="preserve">n to </w:t>
      </w:r>
      <w:r w:rsidR="0013714E">
        <w:rPr>
          <w:rFonts w:ascii="Arial" w:hAnsi="Arial"/>
        </w:rPr>
        <w:t xml:space="preserve">the </w:t>
      </w:r>
      <w:r w:rsidR="00DE6D9B" w:rsidRPr="00C20F5D">
        <w:rPr>
          <w:rFonts w:ascii="Arial" w:hAnsi="Arial"/>
        </w:rPr>
        <w:t xml:space="preserve">prime question whether there is a reasonable possibility that the Supreme Court may come to a different conclusion. In doing so, I will be mindful of the remarks expressed by this court in </w:t>
      </w:r>
      <w:proofErr w:type="spellStart"/>
      <w:r w:rsidR="00DE6D9B" w:rsidRPr="00C20F5D">
        <w:rPr>
          <w:rFonts w:ascii="Arial" w:hAnsi="Arial"/>
          <w:i/>
        </w:rPr>
        <w:t>Shilongo</w:t>
      </w:r>
      <w:proofErr w:type="spellEnd"/>
      <w:r w:rsidR="00DE6D9B" w:rsidRPr="00C20F5D">
        <w:rPr>
          <w:rFonts w:ascii="Arial" w:hAnsi="Arial"/>
          <w:i/>
        </w:rPr>
        <w:t xml:space="preserve"> v Vector Logistics (Pty) Ltd</w:t>
      </w:r>
      <w:r w:rsidR="0065158B" w:rsidRPr="00C20F5D">
        <w:rPr>
          <w:rFonts w:ascii="Arial" w:hAnsi="Arial"/>
        </w:rPr>
        <w:t>,</w:t>
      </w:r>
      <w:r w:rsidR="00DE6D9B" w:rsidRPr="00C20F5D">
        <w:rPr>
          <w:rFonts w:ascii="Arial" w:hAnsi="Arial"/>
          <w:i/>
        </w:rPr>
        <w:t xml:space="preserve"> </w:t>
      </w:r>
      <w:r w:rsidR="00DE6D9B">
        <w:rPr>
          <w:rStyle w:val="FootnoteReference"/>
          <w:rFonts w:ascii="Arial" w:hAnsi="Arial"/>
          <w:i/>
        </w:rPr>
        <w:footnoteReference w:id="2"/>
      </w:r>
      <w:r w:rsidR="00022BFA" w:rsidRPr="00C20F5D">
        <w:rPr>
          <w:rFonts w:ascii="Arial" w:hAnsi="Arial"/>
          <w:i/>
        </w:rPr>
        <w:t xml:space="preserve"> </w:t>
      </w:r>
      <w:r w:rsidR="00022BFA" w:rsidRPr="00C20F5D">
        <w:rPr>
          <w:rFonts w:ascii="Arial" w:hAnsi="Arial"/>
        </w:rPr>
        <w:t>where the following appears:</w:t>
      </w:r>
    </w:p>
    <w:p w14:paraId="5F2B7933" w14:textId="77777777" w:rsidR="00022BFA" w:rsidRDefault="00022BFA" w:rsidP="00C20F5D">
      <w:pPr>
        <w:spacing w:line="360" w:lineRule="auto"/>
        <w:jc w:val="both"/>
        <w:rPr>
          <w:rFonts w:ascii="Arial" w:hAnsi="Arial"/>
        </w:rPr>
      </w:pPr>
    </w:p>
    <w:p w14:paraId="21D59037" w14:textId="605B0BF0" w:rsidR="00022BFA" w:rsidRDefault="00022BFA" w:rsidP="00C20F5D">
      <w:pPr>
        <w:spacing w:line="360" w:lineRule="auto"/>
        <w:jc w:val="both"/>
        <w:rPr>
          <w:rFonts w:ascii="Arial" w:hAnsi="Arial"/>
          <w:sz w:val="22"/>
          <w:szCs w:val="22"/>
        </w:rPr>
      </w:pPr>
      <w:r>
        <w:rPr>
          <w:rFonts w:ascii="Arial" w:hAnsi="Arial"/>
        </w:rPr>
        <w:tab/>
        <w:t>‘</w:t>
      </w:r>
      <w:r>
        <w:rPr>
          <w:rFonts w:ascii="Arial" w:hAnsi="Arial"/>
          <w:sz w:val="22"/>
          <w:szCs w:val="22"/>
        </w:rPr>
        <w:t>An applicat</w:t>
      </w:r>
      <w:r w:rsidR="0065158B">
        <w:rPr>
          <w:rFonts w:ascii="Arial" w:hAnsi="Arial"/>
          <w:sz w:val="22"/>
          <w:szCs w:val="22"/>
        </w:rPr>
        <w:t>ion for leave to appeal should n</w:t>
      </w:r>
      <w:r>
        <w:rPr>
          <w:rFonts w:ascii="Arial" w:hAnsi="Arial"/>
          <w:sz w:val="22"/>
          <w:szCs w:val="22"/>
        </w:rPr>
        <w:t xml:space="preserve">ot be granted if it appears to the Judge that there is no reasonable prospect of success. And it has been said that in the exercise of his or her power, the trial Judge (or in the present case, the appellate Judge) must disabuse his or her mind of the fact that he or she has no reasonable doubt as to the guilt of the accused. The Judge must ask himself or herself whether, on the grounds of appeal raised by the applicant, there is a reasonable prospect of success on appeal: in other words, whether there is a reasonable prospect </w:t>
      </w:r>
      <w:r w:rsidR="00A574DA">
        <w:rPr>
          <w:rFonts w:ascii="Arial" w:hAnsi="Arial"/>
          <w:sz w:val="22"/>
          <w:szCs w:val="22"/>
        </w:rPr>
        <w:t>that the court of appeal may take a different view . . . But, it must be remembered “the mere possibility that another Court might come to a different conclusion is not sufficient to justify the grant of leave to appeal’”.</w:t>
      </w:r>
    </w:p>
    <w:p w14:paraId="190A5D08" w14:textId="77777777" w:rsidR="00A574DA" w:rsidRDefault="00A574DA" w:rsidP="00C20F5D">
      <w:pPr>
        <w:spacing w:line="360" w:lineRule="auto"/>
        <w:jc w:val="both"/>
        <w:rPr>
          <w:rFonts w:ascii="Arial" w:hAnsi="Arial"/>
          <w:sz w:val="22"/>
          <w:szCs w:val="22"/>
        </w:rPr>
      </w:pPr>
    </w:p>
    <w:p w14:paraId="7BB432C1" w14:textId="77777777" w:rsidR="00C20F5D" w:rsidRDefault="00A574DA"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Armed with the guidance quoted above, I now proceed to make </w:t>
      </w:r>
      <w:r w:rsidR="0065158B" w:rsidRPr="00C20F5D">
        <w:rPr>
          <w:rFonts w:ascii="Arial" w:hAnsi="Arial"/>
        </w:rPr>
        <w:t xml:space="preserve">a </w:t>
      </w:r>
      <w:r w:rsidRPr="00C20F5D">
        <w:rPr>
          <w:rFonts w:ascii="Arial" w:hAnsi="Arial"/>
        </w:rPr>
        <w:t xml:space="preserve">decision in the instant case </w:t>
      </w:r>
      <w:r w:rsidR="0065158B" w:rsidRPr="00C20F5D">
        <w:rPr>
          <w:rFonts w:ascii="Arial" w:hAnsi="Arial"/>
        </w:rPr>
        <w:t xml:space="preserve">as to </w:t>
      </w:r>
      <w:r w:rsidRPr="00C20F5D">
        <w:rPr>
          <w:rFonts w:ascii="Arial" w:hAnsi="Arial"/>
        </w:rPr>
        <w:t>whether the applicant has met the threshold required.</w:t>
      </w:r>
    </w:p>
    <w:p w14:paraId="2B701FC6" w14:textId="77777777" w:rsidR="00C20F5D" w:rsidRDefault="00C20F5D" w:rsidP="00C20F5D">
      <w:pPr>
        <w:pStyle w:val="ListParagraph"/>
        <w:spacing w:line="360" w:lineRule="auto"/>
        <w:ind w:left="0"/>
        <w:jc w:val="both"/>
        <w:rPr>
          <w:rFonts w:ascii="Arial" w:hAnsi="Arial"/>
        </w:rPr>
      </w:pPr>
    </w:p>
    <w:p w14:paraId="4C995B7D" w14:textId="77777777" w:rsidR="00C20F5D" w:rsidRDefault="00C20F5D" w:rsidP="00C20F5D">
      <w:pPr>
        <w:spacing w:line="360" w:lineRule="auto"/>
        <w:jc w:val="both"/>
        <w:rPr>
          <w:rFonts w:ascii="Arial" w:hAnsi="Arial"/>
          <w:u w:val="single"/>
        </w:rPr>
      </w:pPr>
      <w:r>
        <w:rPr>
          <w:rFonts w:ascii="Arial" w:hAnsi="Arial"/>
          <w:u w:val="single"/>
        </w:rPr>
        <w:t>Determination</w:t>
      </w:r>
    </w:p>
    <w:p w14:paraId="077FCAF2" w14:textId="77777777" w:rsidR="00C20F5D" w:rsidRDefault="00C20F5D" w:rsidP="00C20F5D">
      <w:pPr>
        <w:pStyle w:val="ListParagraph"/>
        <w:spacing w:line="360" w:lineRule="auto"/>
        <w:ind w:left="0"/>
        <w:jc w:val="both"/>
        <w:rPr>
          <w:rFonts w:ascii="Arial" w:hAnsi="Arial"/>
        </w:rPr>
      </w:pPr>
    </w:p>
    <w:p w14:paraId="57D85E86" w14:textId="77777777" w:rsidR="00C20F5D" w:rsidRDefault="00A574DA"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What is plain, from the cases quoted above, especially </w:t>
      </w:r>
      <w:proofErr w:type="spellStart"/>
      <w:r w:rsidRPr="00C20F5D">
        <w:rPr>
          <w:rFonts w:ascii="Arial" w:hAnsi="Arial"/>
          <w:i/>
        </w:rPr>
        <w:t>Shilongo</w:t>
      </w:r>
      <w:proofErr w:type="spellEnd"/>
      <w:r w:rsidRPr="00C20F5D">
        <w:rPr>
          <w:rFonts w:ascii="Arial" w:hAnsi="Arial"/>
        </w:rPr>
        <w:t xml:space="preserve">, </w:t>
      </w:r>
      <w:proofErr w:type="gramStart"/>
      <w:r w:rsidRPr="00C20F5D">
        <w:rPr>
          <w:rFonts w:ascii="Arial" w:hAnsi="Arial"/>
        </w:rPr>
        <w:t>is</w:t>
      </w:r>
      <w:proofErr w:type="gramEnd"/>
      <w:r w:rsidRPr="00C20F5D">
        <w:rPr>
          <w:rFonts w:ascii="Arial" w:hAnsi="Arial"/>
        </w:rPr>
        <w:t xml:space="preserve"> that the grounds of appeal play a pivotal role in assisting the court </w:t>
      </w:r>
      <w:r w:rsidR="0065158B" w:rsidRPr="00C20F5D">
        <w:rPr>
          <w:rFonts w:ascii="Arial" w:hAnsi="Arial"/>
        </w:rPr>
        <w:t xml:space="preserve">to </w:t>
      </w:r>
      <w:r w:rsidRPr="00C20F5D">
        <w:rPr>
          <w:rFonts w:ascii="Arial" w:hAnsi="Arial"/>
        </w:rPr>
        <w:t xml:space="preserve">come to </w:t>
      </w:r>
      <w:r w:rsidR="007159E3" w:rsidRPr="00C20F5D">
        <w:rPr>
          <w:rFonts w:ascii="Arial" w:hAnsi="Arial"/>
        </w:rPr>
        <w:t>a proper decision on whether reasonable</w:t>
      </w:r>
      <w:r w:rsidRPr="00C20F5D">
        <w:rPr>
          <w:rFonts w:ascii="Arial" w:hAnsi="Arial"/>
        </w:rPr>
        <w:t xml:space="preserve"> prospects of success </w:t>
      </w:r>
      <w:r w:rsidR="007159E3" w:rsidRPr="00C20F5D">
        <w:rPr>
          <w:rFonts w:ascii="Arial" w:hAnsi="Arial"/>
        </w:rPr>
        <w:t>exist in any</w:t>
      </w:r>
      <w:r w:rsidRPr="00C20F5D">
        <w:rPr>
          <w:rFonts w:ascii="Arial" w:hAnsi="Arial"/>
        </w:rPr>
        <w:t xml:space="preserve"> case</w:t>
      </w:r>
      <w:r w:rsidR="007159E3" w:rsidRPr="00C20F5D">
        <w:rPr>
          <w:rFonts w:ascii="Arial" w:hAnsi="Arial"/>
        </w:rPr>
        <w:t xml:space="preserve"> for the court to grant leave as prayed</w:t>
      </w:r>
      <w:r w:rsidRPr="00C20F5D">
        <w:rPr>
          <w:rFonts w:ascii="Arial" w:hAnsi="Arial"/>
        </w:rPr>
        <w:t>.</w:t>
      </w:r>
      <w:r w:rsidR="007159E3" w:rsidRPr="00C20F5D">
        <w:rPr>
          <w:rFonts w:ascii="Arial" w:hAnsi="Arial"/>
        </w:rPr>
        <w:t xml:space="preserve"> I am in full agreement with the criticisms laid by Mr </w:t>
      </w:r>
      <w:proofErr w:type="spellStart"/>
      <w:r w:rsidR="007159E3" w:rsidRPr="00C20F5D">
        <w:rPr>
          <w:rFonts w:ascii="Arial" w:hAnsi="Arial"/>
        </w:rPr>
        <w:t>Quickfall</w:t>
      </w:r>
      <w:proofErr w:type="spellEnd"/>
      <w:r w:rsidR="007159E3" w:rsidRPr="00C20F5D">
        <w:rPr>
          <w:rFonts w:ascii="Arial" w:hAnsi="Arial"/>
        </w:rPr>
        <w:t xml:space="preserve"> on the grounds of appeal filed on the applicant’s behalf in this matter. They are recorded above.</w:t>
      </w:r>
    </w:p>
    <w:p w14:paraId="33ACED3A" w14:textId="77777777" w:rsidR="00C20F5D" w:rsidRDefault="00C20F5D" w:rsidP="00C20F5D">
      <w:pPr>
        <w:pStyle w:val="ListParagraph"/>
        <w:spacing w:line="360" w:lineRule="auto"/>
        <w:ind w:left="0"/>
        <w:jc w:val="both"/>
        <w:rPr>
          <w:rFonts w:ascii="Arial" w:hAnsi="Arial"/>
        </w:rPr>
      </w:pPr>
    </w:p>
    <w:p w14:paraId="1B5DE54B" w14:textId="77777777" w:rsidR="00C20F5D" w:rsidRDefault="007159E3" w:rsidP="00C20F5D">
      <w:pPr>
        <w:pStyle w:val="ListParagraph"/>
        <w:numPr>
          <w:ilvl w:val="0"/>
          <w:numId w:val="2"/>
        </w:numPr>
        <w:spacing w:line="360" w:lineRule="auto"/>
        <w:ind w:left="0" w:firstLine="0"/>
        <w:jc w:val="both"/>
        <w:rPr>
          <w:rFonts w:ascii="Arial" w:hAnsi="Arial"/>
        </w:rPr>
      </w:pPr>
      <w:r w:rsidRPr="00C20F5D">
        <w:rPr>
          <w:rFonts w:ascii="Arial" w:hAnsi="Arial"/>
        </w:rPr>
        <w:t>What grounds of appeal should do, is to inform the court fully, of the bases upon which it is alleged or argued that the Supreme Court may com</w:t>
      </w:r>
      <w:r w:rsidR="0065158B" w:rsidRPr="00C20F5D">
        <w:rPr>
          <w:rFonts w:ascii="Arial" w:hAnsi="Arial"/>
        </w:rPr>
        <w:t>e to a different conclusion than</w:t>
      </w:r>
      <w:r w:rsidRPr="00C20F5D">
        <w:rPr>
          <w:rFonts w:ascii="Arial" w:hAnsi="Arial"/>
        </w:rPr>
        <w:t xml:space="preserve"> this court. In this connection, the manner in which this court is alleged to have erred must be manifest from the grounds of appeal. So critical are these grounds that they should be detailed </w:t>
      </w:r>
      <w:r w:rsidRPr="00C20F5D">
        <w:rPr>
          <w:rFonts w:ascii="Arial" w:hAnsi="Arial"/>
        </w:rPr>
        <w:lastRenderedPageBreak/>
        <w:t>in such a way that the trial court can, merely from reading them be able, in some cases</w:t>
      </w:r>
      <w:r w:rsidR="00472BC7" w:rsidRPr="00C20F5D">
        <w:rPr>
          <w:rFonts w:ascii="Arial" w:hAnsi="Arial"/>
        </w:rPr>
        <w:t>, without more,</w:t>
      </w:r>
      <w:r w:rsidRPr="00C20F5D">
        <w:rPr>
          <w:rFonts w:ascii="Arial" w:hAnsi="Arial"/>
        </w:rPr>
        <w:t xml:space="preserve"> to</w:t>
      </w:r>
      <w:r w:rsidR="00472BC7" w:rsidRPr="00C20F5D">
        <w:rPr>
          <w:rFonts w:ascii="Arial" w:hAnsi="Arial"/>
        </w:rPr>
        <w:t xml:space="preserve"> decide whether the application has merit.</w:t>
      </w:r>
    </w:p>
    <w:p w14:paraId="2ADA0128" w14:textId="77777777" w:rsidR="00C20F5D" w:rsidRDefault="00C20F5D" w:rsidP="00C20F5D">
      <w:pPr>
        <w:pStyle w:val="ListParagraph"/>
        <w:spacing w:line="360" w:lineRule="auto"/>
        <w:ind w:left="0"/>
        <w:jc w:val="both"/>
        <w:rPr>
          <w:rFonts w:ascii="Arial" w:hAnsi="Arial"/>
        </w:rPr>
      </w:pPr>
    </w:p>
    <w:p w14:paraId="64168693" w14:textId="77777777" w:rsidR="00C20F5D" w:rsidRDefault="00472BC7" w:rsidP="00C20F5D">
      <w:pPr>
        <w:pStyle w:val="ListParagraph"/>
        <w:numPr>
          <w:ilvl w:val="0"/>
          <w:numId w:val="2"/>
        </w:numPr>
        <w:spacing w:line="360" w:lineRule="auto"/>
        <w:ind w:left="0" w:firstLine="0"/>
        <w:jc w:val="both"/>
        <w:rPr>
          <w:rFonts w:ascii="Arial" w:hAnsi="Arial"/>
        </w:rPr>
      </w:pPr>
      <w:r w:rsidRPr="00C20F5D">
        <w:rPr>
          <w:rFonts w:ascii="Arial" w:hAnsi="Arial"/>
        </w:rPr>
        <w:t>In drafting the grounds of appeal, the applicant must be careful not to draw conclusions of law and then argue that those conclusions are the bases upon which another court may come to a different conclusion.</w:t>
      </w:r>
      <w:r w:rsidR="007159E3" w:rsidRPr="00C20F5D">
        <w:rPr>
          <w:rFonts w:ascii="Arial" w:hAnsi="Arial"/>
        </w:rPr>
        <w:t xml:space="preserve"> </w:t>
      </w:r>
      <w:r w:rsidRPr="00C20F5D">
        <w:rPr>
          <w:rFonts w:ascii="Arial" w:hAnsi="Arial"/>
        </w:rPr>
        <w:t xml:space="preserve">When regard is had to the applicant’s grounds of appeal as recorded in his founding affidavit, it becomes clear that </w:t>
      </w:r>
      <w:r w:rsidR="005D2D33" w:rsidRPr="00C20F5D">
        <w:rPr>
          <w:rFonts w:ascii="Arial" w:hAnsi="Arial"/>
        </w:rPr>
        <w:t xml:space="preserve">the applicant does not detail the particular respects in which the court is alleged to have erred. Wide and generalised allegations, devoid of the necessary detail will not do in such cases. </w:t>
      </w:r>
      <w:r w:rsidR="00AF39E2" w:rsidRPr="00C20F5D">
        <w:rPr>
          <w:rFonts w:ascii="Arial" w:hAnsi="Arial"/>
        </w:rPr>
        <w:t>Maudlin sympathy for the applicant’s case by the court does not suffice either.</w:t>
      </w:r>
    </w:p>
    <w:p w14:paraId="5679FB89" w14:textId="77777777" w:rsidR="00C20F5D" w:rsidRDefault="00C20F5D" w:rsidP="00C20F5D">
      <w:pPr>
        <w:pStyle w:val="ListParagraph"/>
        <w:spacing w:line="360" w:lineRule="auto"/>
        <w:ind w:left="0"/>
        <w:jc w:val="both"/>
        <w:rPr>
          <w:rFonts w:ascii="Arial" w:hAnsi="Arial"/>
        </w:rPr>
      </w:pPr>
    </w:p>
    <w:p w14:paraId="3FFA8120" w14:textId="43427202" w:rsidR="00C20F5D" w:rsidRDefault="005D2D33"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As </w:t>
      </w:r>
      <w:r w:rsidR="00201F62" w:rsidRPr="00C20F5D">
        <w:rPr>
          <w:rFonts w:ascii="Arial" w:hAnsi="Arial"/>
        </w:rPr>
        <w:t>a</w:t>
      </w:r>
      <w:r w:rsidRPr="00C20F5D">
        <w:rPr>
          <w:rFonts w:ascii="Arial" w:hAnsi="Arial"/>
        </w:rPr>
        <w:t xml:space="preserve"> result, and proper regard had to the grounds of appeal advanced by the applicant, the court is not placed in a situation whe</w:t>
      </w:r>
      <w:r w:rsidR="00AF39E2" w:rsidRPr="00C20F5D">
        <w:rPr>
          <w:rFonts w:ascii="Arial" w:hAnsi="Arial"/>
        </w:rPr>
        <w:t>re it can</w:t>
      </w:r>
      <w:r w:rsidRPr="00C20F5D">
        <w:rPr>
          <w:rFonts w:ascii="Arial" w:hAnsi="Arial"/>
        </w:rPr>
        <w:t xml:space="preserve"> come to a concl</w:t>
      </w:r>
      <w:r w:rsidR="0046554C">
        <w:rPr>
          <w:rFonts w:ascii="Arial" w:hAnsi="Arial"/>
        </w:rPr>
        <w:t>usion that the Supreme Court</w:t>
      </w:r>
      <w:r w:rsidRPr="00C20F5D">
        <w:rPr>
          <w:rFonts w:ascii="Arial" w:hAnsi="Arial"/>
        </w:rPr>
        <w:t xml:space="preserve"> might </w:t>
      </w:r>
      <w:r w:rsidR="00AF39E2" w:rsidRPr="00C20F5D">
        <w:rPr>
          <w:rFonts w:ascii="Arial" w:hAnsi="Arial"/>
        </w:rPr>
        <w:t>hold differently from this court. For example, it is alleged</w:t>
      </w:r>
      <w:r w:rsidRPr="00C20F5D">
        <w:rPr>
          <w:rFonts w:ascii="Arial" w:hAnsi="Arial"/>
        </w:rPr>
        <w:t xml:space="preserve"> in the grounds of appeal that, ‘His Honourable Justice Masuku erred in law by upholding the appeal</w:t>
      </w:r>
      <w:r w:rsidR="00201F62" w:rsidRPr="00C20F5D">
        <w:rPr>
          <w:rFonts w:ascii="Arial" w:hAnsi="Arial"/>
        </w:rPr>
        <w:t xml:space="preserve"> against the arbitration award.’ Elsewhere, it is stated ‘That His Honourable Justice Masuku erred in law by setting aside the arbitration award’.  The question that immediately springs to mind, is how? No answers are provided in the instant case</w:t>
      </w:r>
      <w:r w:rsidR="00AF39E2" w:rsidRPr="00C20F5D">
        <w:rPr>
          <w:rFonts w:ascii="Arial" w:hAnsi="Arial"/>
        </w:rPr>
        <w:t xml:space="preserve"> and remain nagging in a reader’s enquiring mind</w:t>
      </w:r>
      <w:r w:rsidR="00201F62" w:rsidRPr="00C20F5D">
        <w:rPr>
          <w:rFonts w:ascii="Arial" w:hAnsi="Arial"/>
        </w:rPr>
        <w:t>.</w:t>
      </w:r>
    </w:p>
    <w:p w14:paraId="7B6D7B57" w14:textId="77777777" w:rsidR="00C20F5D" w:rsidRDefault="00C20F5D" w:rsidP="00C20F5D">
      <w:pPr>
        <w:pStyle w:val="ListParagraph"/>
        <w:spacing w:line="360" w:lineRule="auto"/>
        <w:ind w:left="0"/>
        <w:jc w:val="both"/>
        <w:rPr>
          <w:rFonts w:ascii="Arial" w:hAnsi="Arial"/>
        </w:rPr>
      </w:pPr>
    </w:p>
    <w:p w14:paraId="1EB3B697" w14:textId="083885B1" w:rsidR="00201F62" w:rsidRPr="00C20F5D" w:rsidRDefault="00201F62" w:rsidP="00C20F5D">
      <w:pPr>
        <w:pStyle w:val="ListParagraph"/>
        <w:numPr>
          <w:ilvl w:val="0"/>
          <w:numId w:val="2"/>
        </w:numPr>
        <w:spacing w:line="360" w:lineRule="auto"/>
        <w:ind w:left="0" w:firstLine="0"/>
        <w:jc w:val="both"/>
        <w:rPr>
          <w:rFonts w:ascii="Arial" w:hAnsi="Arial"/>
        </w:rPr>
      </w:pPr>
      <w:r w:rsidRPr="00C20F5D">
        <w:rPr>
          <w:rFonts w:ascii="Arial" w:hAnsi="Arial"/>
        </w:rPr>
        <w:t xml:space="preserve">It bears repeating that grounds of appeal must be just that and not conclusions of law. In </w:t>
      </w:r>
      <w:r w:rsidRPr="00C20F5D">
        <w:rPr>
          <w:rFonts w:ascii="Arial" w:hAnsi="Arial"/>
          <w:i/>
        </w:rPr>
        <w:t xml:space="preserve">S v </w:t>
      </w:r>
      <w:proofErr w:type="spellStart"/>
      <w:r w:rsidRPr="00C20F5D">
        <w:rPr>
          <w:rFonts w:ascii="Arial" w:hAnsi="Arial"/>
          <w:i/>
        </w:rPr>
        <w:t>Gey</w:t>
      </w:r>
      <w:proofErr w:type="spellEnd"/>
      <w:r w:rsidRPr="00C20F5D">
        <w:rPr>
          <w:rFonts w:ascii="Arial" w:hAnsi="Arial"/>
          <w:i/>
        </w:rPr>
        <w:t xml:space="preserve"> van </w:t>
      </w:r>
      <w:proofErr w:type="spellStart"/>
      <w:r w:rsidRPr="00C20F5D">
        <w:rPr>
          <w:rFonts w:ascii="Arial" w:hAnsi="Arial"/>
          <w:i/>
        </w:rPr>
        <w:t>Pi</w:t>
      </w:r>
      <w:r w:rsidR="00E6087A" w:rsidRPr="00C20F5D">
        <w:rPr>
          <w:rFonts w:ascii="Arial" w:hAnsi="Arial"/>
          <w:i/>
        </w:rPr>
        <w:t>ttius</w:t>
      </w:r>
      <w:proofErr w:type="spellEnd"/>
      <w:r w:rsidR="00E6087A" w:rsidRPr="00C20F5D">
        <w:rPr>
          <w:rFonts w:ascii="Arial" w:hAnsi="Arial"/>
          <w:i/>
        </w:rPr>
        <w:t xml:space="preserve"> and A</w:t>
      </w:r>
      <w:r w:rsidRPr="00C20F5D">
        <w:rPr>
          <w:rFonts w:ascii="Arial" w:hAnsi="Arial"/>
          <w:i/>
        </w:rPr>
        <w:t>nother</w:t>
      </w:r>
      <w:r w:rsidR="00AD5CE9" w:rsidRPr="00C20F5D">
        <w:rPr>
          <w:rFonts w:ascii="Arial" w:hAnsi="Arial"/>
        </w:rPr>
        <w:t>,</w:t>
      </w:r>
      <w:r>
        <w:rPr>
          <w:rStyle w:val="FootnoteReference"/>
          <w:rFonts w:ascii="Arial" w:hAnsi="Arial"/>
          <w:i/>
        </w:rPr>
        <w:footnoteReference w:id="3"/>
      </w:r>
      <w:r w:rsidR="00AD5CE9" w:rsidRPr="00C20F5D">
        <w:rPr>
          <w:rFonts w:ascii="Arial" w:hAnsi="Arial"/>
        </w:rPr>
        <w:t xml:space="preserve"> the following was stated:</w:t>
      </w:r>
    </w:p>
    <w:p w14:paraId="6BE8E4C0" w14:textId="77777777" w:rsidR="003B23C3" w:rsidRDefault="003B23C3" w:rsidP="00C20F5D">
      <w:pPr>
        <w:spacing w:line="360" w:lineRule="auto"/>
        <w:jc w:val="both"/>
        <w:rPr>
          <w:rFonts w:ascii="Arial" w:hAnsi="Arial"/>
        </w:rPr>
      </w:pPr>
    </w:p>
    <w:p w14:paraId="068B5E27" w14:textId="77777777" w:rsidR="00C20F5D" w:rsidRDefault="003B23C3" w:rsidP="00C20F5D">
      <w:pPr>
        <w:spacing w:line="360" w:lineRule="auto"/>
        <w:jc w:val="both"/>
        <w:rPr>
          <w:rFonts w:ascii="Arial" w:hAnsi="Arial"/>
          <w:sz w:val="22"/>
          <w:szCs w:val="22"/>
        </w:rPr>
      </w:pPr>
      <w:r>
        <w:rPr>
          <w:rFonts w:ascii="Arial" w:hAnsi="Arial"/>
        </w:rPr>
        <w:tab/>
        <w:t>‘</w:t>
      </w:r>
      <w:r>
        <w:rPr>
          <w:rFonts w:ascii="Arial" w:hAnsi="Arial"/>
          <w:sz w:val="22"/>
          <w:szCs w:val="22"/>
        </w:rPr>
        <w:t>In my opinion these are not grounds of appeal at all but are conclusions drawn by the draftsman of the notice of appeal without setting out the grounds therefor. Such grounds do not inform either the State, the magistrate or this Court the grounds on which the judgment is attacked</w:t>
      </w:r>
      <w:r w:rsidR="00F86EAF">
        <w:rPr>
          <w:rFonts w:ascii="Arial" w:hAnsi="Arial"/>
          <w:sz w:val="22"/>
          <w:szCs w:val="22"/>
        </w:rPr>
        <w:t xml:space="preserve"> </w:t>
      </w:r>
      <w:r>
        <w:rPr>
          <w:rFonts w:ascii="Arial" w:hAnsi="Arial"/>
          <w:sz w:val="22"/>
          <w:szCs w:val="22"/>
        </w:rPr>
        <w:t>. . . The purpose of grounds of appeal as required by the Rules is to apprise all interested parties as fully as possible of what is in issue and to bind the parties to those issues.’</w:t>
      </w:r>
    </w:p>
    <w:p w14:paraId="5CF7A5DC" w14:textId="77777777" w:rsidR="00C20F5D" w:rsidRDefault="00C20F5D" w:rsidP="00C20F5D">
      <w:pPr>
        <w:spacing w:line="360" w:lineRule="auto"/>
        <w:jc w:val="both"/>
        <w:rPr>
          <w:rFonts w:ascii="Arial" w:hAnsi="Arial"/>
          <w:sz w:val="22"/>
          <w:szCs w:val="22"/>
        </w:rPr>
      </w:pPr>
    </w:p>
    <w:p w14:paraId="1BA84920" w14:textId="77777777" w:rsidR="00C20F5D" w:rsidRPr="00C20F5D" w:rsidRDefault="00F86EAF" w:rsidP="00C20F5D">
      <w:pPr>
        <w:pStyle w:val="ListParagraph"/>
        <w:numPr>
          <w:ilvl w:val="0"/>
          <w:numId w:val="2"/>
        </w:numPr>
        <w:spacing w:line="360" w:lineRule="auto"/>
        <w:ind w:left="0" w:firstLine="0"/>
        <w:jc w:val="both"/>
        <w:rPr>
          <w:rFonts w:ascii="Arial" w:hAnsi="Arial"/>
          <w:sz w:val="22"/>
          <w:szCs w:val="22"/>
        </w:rPr>
      </w:pPr>
      <w:r w:rsidRPr="00C20F5D">
        <w:rPr>
          <w:rFonts w:ascii="Arial" w:hAnsi="Arial"/>
        </w:rPr>
        <w:t xml:space="preserve">Further reference can helpfully be made to the case of </w:t>
      </w:r>
      <w:proofErr w:type="spellStart"/>
      <w:r w:rsidRPr="00C20F5D">
        <w:rPr>
          <w:rFonts w:ascii="Arial" w:hAnsi="Arial"/>
          <w:i/>
        </w:rPr>
        <w:t>Songono</w:t>
      </w:r>
      <w:proofErr w:type="spellEnd"/>
      <w:r w:rsidRPr="00C20F5D">
        <w:rPr>
          <w:rFonts w:ascii="Arial" w:hAnsi="Arial"/>
          <w:i/>
        </w:rPr>
        <w:t xml:space="preserve"> v Minister of Law and Order</w:t>
      </w:r>
      <w:r w:rsidR="00AF39E2" w:rsidRPr="00C20F5D">
        <w:rPr>
          <w:rFonts w:ascii="Arial" w:hAnsi="Arial"/>
        </w:rPr>
        <w:t>.</w:t>
      </w:r>
      <w:r>
        <w:rPr>
          <w:rStyle w:val="FootnoteReference"/>
          <w:rFonts w:ascii="Arial" w:hAnsi="Arial"/>
          <w:i/>
        </w:rPr>
        <w:footnoteReference w:id="4"/>
      </w:r>
      <w:r w:rsidR="00AF39E2" w:rsidRPr="00C20F5D">
        <w:rPr>
          <w:rFonts w:ascii="Arial" w:hAnsi="Arial"/>
        </w:rPr>
        <w:t xml:space="preserve"> I</w:t>
      </w:r>
      <w:r w:rsidR="00680457" w:rsidRPr="00C20F5D">
        <w:rPr>
          <w:rFonts w:ascii="Arial" w:hAnsi="Arial"/>
        </w:rPr>
        <w:t xml:space="preserve">t was recorded </w:t>
      </w:r>
      <w:r w:rsidR="00AF39E2" w:rsidRPr="00C20F5D">
        <w:rPr>
          <w:rFonts w:ascii="Arial" w:hAnsi="Arial"/>
        </w:rPr>
        <w:t xml:space="preserve">in that case </w:t>
      </w:r>
      <w:r w:rsidR="00680457" w:rsidRPr="00C20F5D">
        <w:rPr>
          <w:rFonts w:ascii="Arial" w:hAnsi="Arial"/>
        </w:rPr>
        <w:t>that grounds of appeal are designed ‘to give the respondent an opportunity of abandoning the judgment, to inform the respondent of the case he has to meet and to notify the court of the points raised. Accordingly . . .</w:t>
      </w:r>
      <w:r w:rsidR="00AD5CE9" w:rsidRPr="00C20F5D">
        <w:rPr>
          <w:rFonts w:ascii="Arial" w:hAnsi="Arial"/>
        </w:rPr>
        <w:tab/>
      </w:r>
      <w:r w:rsidR="00680457" w:rsidRPr="00C20F5D">
        <w:rPr>
          <w:rFonts w:ascii="Arial" w:hAnsi="Arial"/>
        </w:rPr>
        <w:t xml:space="preserve">grounds of appeal are bad if they are so widely expressed that </w:t>
      </w:r>
      <w:r w:rsidR="009455B2" w:rsidRPr="00C20F5D">
        <w:rPr>
          <w:rFonts w:ascii="Arial" w:hAnsi="Arial"/>
        </w:rPr>
        <w:t>i</w:t>
      </w:r>
      <w:r w:rsidR="00680457" w:rsidRPr="00C20F5D">
        <w:rPr>
          <w:rFonts w:ascii="Arial" w:hAnsi="Arial"/>
        </w:rPr>
        <w:t xml:space="preserve">t leaves the appellant free to canvass every finding of fact or every rule of law made by the court, a quo, or if they specify the finding of fact </w:t>
      </w:r>
      <w:r w:rsidR="00680457" w:rsidRPr="00C20F5D">
        <w:rPr>
          <w:rFonts w:ascii="Arial" w:hAnsi="Arial"/>
        </w:rPr>
        <w:lastRenderedPageBreak/>
        <w:t>or rulings of law appealed against</w:t>
      </w:r>
      <w:r w:rsidR="008448E3" w:rsidRPr="00C20F5D">
        <w:rPr>
          <w:rFonts w:ascii="Arial" w:hAnsi="Arial"/>
        </w:rPr>
        <w:t xml:space="preserve"> so vaguely as </w:t>
      </w:r>
      <w:r w:rsidR="00680457" w:rsidRPr="00C20F5D">
        <w:rPr>
          <w:rFonts w:ascii="Arial" w:hAnsi="Arial"/>
        </w:rPr>
        <w:t>to</w:t>
      </w:r>
      <w:r w:rsidR="008448E3" w:rsidRPr="00C20F5D">
        <w:rPr>
          <w:rFonts w:ascii="Arial" w:hAnsi="Arial"/>
        </w:rPr>
        <w:t xml:space="preserve"> be of no value either to the court or to the respondent, or if they, in general, fail to specify clearly and in unambiguous terms exactly what case the respondent must be prepared to meet.’</w:t>
      </w:r>
      <w:r w:rsidR="00680457" w:rsidRPr="00C20F5D">
        <w:rPr>
          <w:rFonts w:ascii="Arial" w:hAnsi="Arial"/>
        </w:rPr>
        <w:t xml:space="preserve"> </w:t>
      </w:r>
    </w:p>
    <w:p w14:paraId="795F9C2B" w14:textId="77777777" w:rsidR="00C20F5D" w:rsidRPr="00C20F5D" w:rsidRDefault="00C20F5D" w:rsidP="00C20F5D">
      <w:pPr>
        <w:pStyle w:val="ListParagraph"/>
        <w:spacing w:line="360" w:lineRule="auto"/>
        <w:ind w:left="0"/>
        <w:jc w:val="both"/>
        <w:rPr>
          <w:rFonts w:ascii="Arial" w:hAnsi="Arial"/>
          <w:sz w:val="22"/>
          <w:szCs w:val="22"/>
        </w:rPr>
      </w:pPr>
    </w:p>
    <w:p w14:paraId="427977BF" w14:textId="4EA9336C" w:rsidR="00C20F5D" w:rsidRPr="00C20F5D" w:rsidRDefault="008448E3" w:rsidP="00C20F5D">
      <w:pPr>
        <w:pStyle w:val="ListParagraph"/>
        <w:numPr>
          <w:ilvl w:val="0"/>
          <w:numId w:val="2"/>
        </w:numPr>
        <w:spacing w:line="360" w:lineRule="auto"/>
        <w:ind w:left="0" w:firstLine="0"/>
        <w:jc w:val="both"/>
        <w:rPr>
          <w:rFonts w:ascii="Arial" w:hAnsi="Arial"/>
          <w:sz w:val="22"/>
          <w:szCs w:val="22"/>
        </w:rPr>
      </w:pPr>
      <w:r w:rsidRPr="00C20F5D">
        <w:rPr>
          <w:rFonts w:ascii="Arial" w:hAnsi="Arial"/>
        </w:rPr>
        <w:t>I</w:t>
      </w:r>
      <w:r w:rsidR="00C344BF" w:rsidRPr="00C20F5D">
        <w:rPr>
          <w:rFonts w:ascii="Arial" w:hAnsi="Arial"/>
        </w:rPr>
        <w:t xml:space="preserve">n </w:t>
      </w:r>
      <w:proofErr w:type="spellStart"/>
      <w:r w:rsidR="00C344BF" w:rsidRPr="00C20F5D">
        <w:rPr>
          <w:rFonts w:ascii="Arial" w:hAnsi="Arial"/>
          <w:i/>
        </w:rPr>
        <w:t>Songono</w:t>
      </w:r>
      <w:proofErr w:type="spellEnd"/>
      <w:r w:rsidR="00C344BF" w:rsidRPr="00C20F5D">
        <w:rPr>
          <w:rFonts w:ascii="Arial" w:hAnsi="Arial"/>
          <w:i/>
        </w:rPr>
        <w:t xml:space="preserve">, </w:t>
      </w:r>
      <w:r w:rsidR="00C344BF" w:rsidRPr="00C20F5D">
        <w:rPr>
          <w:rFonts w:ascii="Arial" w:hAnsi="Arial"/>
        </w:rPr>
        <w:t>the court held the view that where grounds of appeal are not clearly stated in the appli</w:t>
      </w:r>
      <w:r w:rsidR="0046554C">
        <w:rPr>
          <w:rFonts w:ascii="Arial" w:hAnsi="Arial"/>
        </w:rPr>
        <w:t>cation for leave to appeal, the</w:t>
      </w:r>
      <w:r w:rsidR="00C344BF" w:rsidRPr="00C20F5D">
        <w:rPr>
          <w:rFonts w:ascii="Arial" w:hAnsi="Arial"/>
        </w:rPr>
        <w:t xml:space="preserve"> said grounds are fatally defective and must be dismissed. I agree and</w:t>
      </w:r>
      <w:r w:rsidRPr="00C20F5D">
        <w:rPr>
          <w:rFonts w:ascii="Arial" w:hAnsi="Arial"/>
        </w:rPr>
        <w:t xml:space="preserve"> am of the considered view that when proper regard is had to the applicant’s grounds of appeal</w:t>
      </w:r>
      <w:r w:rsidR="009455B2" w:rsidRPr="00C20F5D">
        <w:rPr>
          <w:rFonts w:ascii="Arial" w:hAnsi="Arial"/>
        </w:rPr>
        <w:t xml:space="preserve"> articulated above</w:t>
      </w:r>
      <w:r w:rsidRPr="00C20F5D">
        <w:rPr>
          <w:rFonts w:ascii="Arial" w:hAnsi="Arial"/>
        </w:rPr>
        <w:t xml:space="preserve">, they seem to </w:t>
      </w:r>
      <w:r w:rsidR="002176E0" w:rsidRPr="00C20F5D">
        <w:rPr>
          <w:rFonts w:ascii="Arial" w:hAnsi="Arial"/>
        </w:rPr>
        <w:t xml:space="preserve">violate the prescripts mentioned above </w:t>
      </w:r>
      <w:r w:rsidR="009455B2" w:rsidRPr="00C20F5D">
        <w:rPr>
          <w:rFonts w:ascii="Arial" w:hAnsi="Arial"/>
        </w:rPr>
        <w:t xml:space="preserve">and </w:t>
      </w:r>
      <w:r w:rsidR="002176E0" w:rsidRPr="00C20F5D">
        <w:rPr>
          <w:rFonts w:ascii="Arial" w:hAnsi="Arial"/>
        </w:rPr>
        <w:t>at every turn.</w:t>
      </w:r>
    </w:p>
    <w:p w14:paraId="47C62D35" w14:textId="77777777" w:rsidR="00C20F5D" w:rsidRPr="00C20F5D" w:rsidRDefault="00C20F5D" w:rsidP="00C20F5D">
      <w:pPr>
        <w:pStyle w:val="ListParagraph"/>
        <w:spacing w:line="360" w:lineRule="auto"/>
        <w:ind w:left="0"/>
        <w:jc w:val="both"/>
        <w:rPr>
          <w:rFonts w:ascii="Arial" w:hAnsi="Arial"/>
          <w:sz w:val="22"/>
          <w:szCs w:val="22"/>
        </w:rPr>
      </w:pPr>
    </w:p>
    <w:p w14:paraId="5B680AE1" w14:textId="77777777" w:rsidR="00C20F5D" w:rsidRDefault="00CF7D5C" w:rsidP="00C20F5D">
      <w:pPr>
        <w:pStyle w:val="ListParagraph"/>
        <w:numPr>
          <w:ilvl w:val="0"/>
          <w:numId w:val="2"/>
        </w:numPr>
        <w:spacing w:line="360" w:lineRule="auto"/>
        <w:ind w:left="0" w:firstLine="0"/>
        <w:jc w:val="both"/>
        <w:rPr>
          <w:rFonts w:ascii="Arial" w:hAnsi="Arial"/>
          <w:sz w:val="22"/>
          <w:szCs w:val="22"/>
        </w:rPr>
      </w:pPr>
      <w:r w:rsidRPr="00C20F5D">
        <w:rPr>
          <w:rFonts w:ascii="Arial" w:hAnsi="Arial"/>
        </w:rPr>
        <w:t>For starters, t</w:t>
      </w:r>
      <w:r w:rsidR="002176E0" w:rsidRPr="00C20F5D">
        <w:rPr>
          <w:rFonts w:ascii="Arial" w:hAnsi="Arial"/>
        </w:rPr>
        <w:t xml:space="preserve">hey are framed in such a </w:t>
      </w:r>
      <w:r w:rsidR="00C502D4" w:rsidRPr="00C20F5D">
        <w:rPr>
          <w:rFonts w:ascii="Arial" w:hAnsi="Arial"/>
        </w:rPr>
        <w:t xml:space="preserve">wide and broad </w:t>
      </w:r>
      <w:r w:rsidR="002176E0" w:rsidRPr="00C20F5D">
        <w:rPr>
          <w:rFonts w:ascii="Arial" w:hAnsi="Arial"/>
        </w:rPr>
        <w:t xml:space="preserve">manner as to afford the applicant an open sesame to canvass </w:t>
      </w:r>
      <w:r w:rsidRPr="00C20F5D">
        <w:rPr>
          <w:rFonts w:ascii="Arial" w:hAnsi="Arial"/>
        </w:rPr>
        <w:t xml:space="preserve">any and </w:t>
      </w:r>
      <w:r w:rsidR="002176E0" w:rsidRPr="00C20F5D">
        <w:rPr>
          <w:rFonts w:ascii="Arial" w:hAnsi="Arial"/>
        </w:rPr>
        <w:t>every conceivable attack on the judgment under the sun, which is not the intention that should attach to</w:t>
      </w:r>
      <w:r w:rsidR="00C502D4" w:rsidRPr="00C20F5D">
        <w:rPr>
          <w:rFonts w:ascii="Arial" w:hAnsi="Arial"/>
        </w:rPr>
        <w:t xml:space="preserve"> proper</w:t>
      </w:r>
      <w:r w:rsidR="002176E0" w:rsidRPr="00C20F5D">
        <w:rPr>
          <w:rFonts w:ascii="Arial" w:hAnsi="Arial"/>
        </w:rPr>
        <w:t xml:space="preserve"> grounds of appeal. Specificity and directness, a</w:t>
      </w:r>
      <w:r w:rsidR="00C502D4" w:rsidRPr="00C20F5D">
        <w:rPr>
          <w:rFonts w:ascii="Arial" w:hAnsi="Arial"/>
        </w:rPr>
        <w:t>s well as precision are the hallmarks of</w:t>
      </w:r>
      <w:r w:rsidR="002176E0" w:rsidRPr="00C20F5D">
        <w:rPr>
          <w:rFonts w:ascii="Arial" w:hAnsi="Arial"/>
        </w:rPr>
        <w:t xml:space="preserve"> proper ground</w:t>
      </w:r>
      <w:r w:rsidR="00C502D4" w:rsidRPr="00C20F5D">
        <w:rPr>
          <w:rFonts w:ascii="Arial" w:hAnsi="Arial"/>
        </w:rPr>
        <w:t>s of appeal. This is so as to leave</w:t>
      </w:r>
      <w:r w:rsidR="002176E0" w:rsidRPr="00C20F5D">
        <w:rPr>
          <w:rFonts w:ascii="Arial" w:hAnsi="Arial"/>
        </w:rPr>
        <w:t xml:space="preserve"> the respondent and the court under no illusion or fumes of confusion</w:t>
      </w:r>
      <w:r w:rsidR="009455B2" w:rsidRPr="00C20F5D">
        <w:rPr>
          <w:rFonts w:ascii="Arial" w:hAnsi="Arial"/>
        </w:rPr>
        <w:t>,</w:t>
      </w:r>
      <w:r w:rsidR="002176E0" w:rsidRPr="00C20F5D">
        <w:rPr>
          <w:rFonts w:ascii="Arial" w:hAnsi="Arial"/>
        </w:rPr>
        <w:t xml:space="preserve"> as to the exact </w:t>
      </w:r>
      <w:r w:rsidR="00C502D4" w:rsidRPr="00C20F5D">
        <w:rPr>
          <w:rFonts w:ascii="Arial" w:hAnsi="Arial"/>
        </w:rPr>
        <w:t xml:space="preserve">nature, </w:t>
      </w:r>
      <w:r w:rsidR="002176E0" w:rsidRPr="00C20F5D">
        <w:rPr>
          <w:rFonts w:ascii="Arial" w:hAnsi="Arial"/>
        </w:rPr>
        <w:t xml:space="preserve">import and </w:t>
      </w:r>
      <w:r w:rsidR="00C502D4" w:rsidRPr="00C20F5D">
        <w:rPr>
          <w:rFonts w:ascii="Arial" w:hAnsi="Arial"/>
        </w:rPr>
        <w:t xml:space="preserve">precinct of the argument sought to be advanced in support of the proposed appeal. </w:t>
      </w:r>
    </w:p>
    <w:p w14:paraId="70603285" w14:textId="77777777" w:rsidR="00C20F5D" w:rsidRDefault="00C20F5D" w:rsidP="00C20F5D">
      <w:pPr>
        <w:pStyle w:val="ListParagraph"/>
        <w:spacing w:line="360" w:lineRule="auto"/>
        <w:ind w:left="0"/>
        <w:jc w:val="both"/>
        <w:rPr>
          <w:rFonts w:ascii="Arial" w:hAnsi="Arial"/>
          <w:sz w:val="22"/>
          <w:szCs w:val="22"/>
        </w:rPr>
      </w:pPr>
    </w:p>
    <w:p w14:paraId="1FA29447" w14:textId="77777777" w:rsidR="00C20F5D" w:rsidRDefault="00AD5CE9" w:rsidP="00C20F5D">
      <w:pPr>
        <w:pStyle w:val="ListParagraph"/>
        <w:numPr>
          <w:ilvl w:val="0"/>
          <w:numId w:val="2"/>
        </w:numPr>
        <w:spacing w:line="360" w:lineRule="auto"/>
        <w:ind w:left="0" w:firstLine="0"/>
        <w:jc w:val="both"/>
        <w:rPr>
          <w:rFonts w:ascii="Arial" w:hAnsi="Arial"/>
          <w:sz w:val="22"/>
          <w:szCs w:val="22"/>
        </w:rPr>
      </w:pPr>
      <w:r w:rsidRPr="00C20F5D">
        <w:rPr>
          <w:rFonts w:ascii="Arial" w:hAnsi="Arial"/>
        </w:rPr>
        <w:t xml:space="preserve">With these remarks in mind, with which I fully associate myself, </w:t>
      </w:r>
      <w:r w:rsidR="00C502D4" w:rsidRPr="00C20F5D">
        <w:rPr>
          <w:rFonts w:ascii="Arial" w:hAnsi="Arial"/>
        </w:rPr>
        <w:t xml:space="preserve">and the commentary thereon recorded above, </w:t>
      </w:r>
      <w:r w:rsidRPr="00C20F5D">
        <w:rPr>
          <w:rFonts w:ascii="Arial" w:hAnsi="Arial"/>
        </w:rPr>
        <w:t xml:space="preserve">I am of the considered opinion that the </w:t>
      </w:r>
      <w:r w:rsidR="00C502D4" w:rsidRPr="00C20F5D">
        <w:rPr>
          <w:rFonts w:ascii="Arial" w:hAnsi="Arial"/>
        </w:rPr>
        <w:t xml:space="preserve">applicant’s proposed </w:t>
      </w:r>
      <w:r w:rsidRPr="00C20F5D">
        <w:rPr>
          <w:rFonts w:ascii="Arial" w:hAnsi="Arial"/>
        </w:rPr>
        <w:t>gro</w:t>
      </w:r>
      <w:r w:rsidR="00161E5A" w:rsidRPr="00C20F5D">
        <w:rPr>
          <w:rFonts w:ascii="Arial" w:hAnsi="Arial"/>
        </w:rPr>
        <w:t>unds of appeal are defective. A</w:t>
      </w:r>
      <w:r w:rsidRPr="00C20F5D">
        <w:rPr>
          <w:rFonts w:ascii="Arial" w:hAnsi="Arial"/>
        </w:rPr>
        <w:t>s such, the applicant’s case does not move e</w:t>
      </w:r>
      <w:r w:rsidR="00161E5A" w:rsidRPr="00C20F5D">
        <w:rPr>
          <w:rFonts w:ascii="Arial" w:hAnsi="Arial"/>
        </w:rPr>
        <w:t>ve</w:t>
      </w:r>
      <w:r w:rsidRPr="00C20F5D">
        <w:rPr>
          <w:rFonts w:ascii="Arial" w:hAnsi="Arial"/>
        </w:rPr>
        <w:t>n</w:t>
      </w:r>
      <w:r w:rsidR="00161E5A" w:rsidRPr="00C20F5D">
        <w:rPr>
          <w:rFonts w:ascii="Arial" w:hAnsi="Arial"/>
        </w:rPr>
        <w:t xml:space="preserve"> one</w:t>
      </w:r>
      <w:r w:rsidRPr="00C20F5D">
        <w:rPr>
          <w:rFonts w:ascii="Arial" w:hAnsi="Arial"/>
        </w:rPr>
        <w:t xml:space="preserve"> inch from the starting blocks. There is, accordingly, no </w:t>
      </w:r>
      <w:r w:rsidR="00161E5A" w:rsidRPr="00C20F5D">
        <w:rPr>
          <w:rFonts w:ascii="Arial" w:hAnsi="Arial"/>
        </w:rPr>
        <w:t xml:space="preserve">useful </w:t>
      </w:r>
      <w:r w:rsidRPr="00C20F5D">
        <w:rPr>
          <w:rFonts w:ascii="Arial" w:hAnsi="Arial"/>
        </w:rPr>
        <w:t>information placed before this court upon which the exercise of deciding whether there is a reasonable prospect that the Supreme Court might come to a different conclusion can be properly made. On this basis alone, I am of the considered opinion that this application should fail.</w:t>
      </w:r>
    </w:p>
    <w:p w14:paraId="34E72669" w14:textId="77777777" w:rsidR="00C20F5D" w:rsidRDefault="00C20F5D" w:rsidP="00C20F5D">
      <w:pPr>
        <w:pStyle w:val="ListParagraph"/>
        <w:spacing w:line="360" w:lineRule="auto"/>
        <w:ind w:left="0"/>
        <w:jc w:val="both"/>
        <w:rPr>
          <w:rFonts w:ascii="Arial" w:hAnsi="Arial"/>
          <w:sz w:val="22"/>
          <w:szCs w:val="22"/>
        </w:rPr>
      </w:pPr>
    </w:p>
    <w:p w14:paraId="3C7D2FEB" w14:textId="77777777" w:rsidR="00C20F5D" w:rsidRPr="00C20F5D" w:rsidRDefault="00485F0E" w:rsidP="00C20F5D">
      <w:pPr>
        <w:pStyle w:val="ListParagraph"/>
        <w:numPr>
          <w:ilvl w:val="0"/>
          <w:numId w:val="2"/>
        </w:numPr>
        <w:spacing w:line="360" w:lineRule="auto"/>
        <w:ind w:left="0" w:firstLine="0"/>
        <w:jc w:val="both"/>
        <w:rPr>
          <w:rFonts w:ascii="Arial" w:hAnsi="Arial"/>
          <w:sz w:val="22"/>
          <w:szCs w:val="22"/>
        </w:rPr>
      </w:pPr>
      <w:r w:rsidRPr="00C20F5D">
        <w:rPr>
          <w:rFonts w:ascii="Arial" w:hAnsi="Arial"/>
        </w:rPr>
        <w:t xml:space="preserve">Another issue that hangs like an Albatross around the applicant’s </w:t>
      </w:r>
      <w:r w:rsidR="00161E5A" w:rsidRPr="00C20F5D">
        <w:rPr>
          <w:rFonts w:ascii="Arial" w:hAnsi="Arial"/>
        </w:rPr>
        <w:t xml:space="preserve">proverbial </w:t>
      </w:r>
      <w:r w:rsidRPr="00C20F5D">
        <w:rPr>
          <w:rFonts w:ascii="Arial" w:hAnsi="Arial"/>
        </w:rPr>
        <w:t>neck</w:t>
      </w:r>
      <w:r w:rsidR="00161E5A" w:rsidRPr="00C20F5D">
        <w:rPr>
          <w:rFonts w:ascii="Arial" w:hAnsi="Arial"/>
        </w:rPr>
        <w:t>,</w:t>
      </w:r>
      <w:r w:rsidRPr="00C20F5D">
        <w:rPr>
          <w:rFonts w:ascii="Arial" w:hAnsi="Arial"/>
        </w:rPr>
        <w:t xml:space="preserve"> is a finding by the arbitrator that the applicant was properly found guilty</w:t>
      </w:r>
      <w:r w:rsidR="00161E5A" w:rsidRPr="00C20F5D">
        <w:rPr>
          <w:rFonts w:ascii="Arial" w:hAnsi="Arial"/>
        </w:rPr>
        <w:t xml:space="preserve"> by the disciplinary committee</w:t>
      </w:r>
      <w:r w:rsidRPr="00C20F5D">
        <w:rPr>
          <w:rFonts w:ascii="Arial" w:hAnsi="Arial"/>
        </w:rPr>
        <w:t xml:space="preserve"> on the first count of dishonesty. This is a finding that the ap</w:t>
      </w:r>
      <w:r w:rsidR="009455B2" w:rsidRPr="00C20F5D">
        <w:rPr>
          <w:rFonts w:ascii="Arial" w:hAnsi="Arial"/>
        </w:rPr>
        <w:t>plicant did not challenge</w:t>
      </w:r>
      <w:r w:rsidR="00161E5A" w:rsidRPr="00C20F5D">
        <w:rPr>
          <w:rFonts w:ascii="Arial" w:hAnsi="Arial"/>
        </w:rPr>
        <w:t>. T</w:t>
      </w:r>
      <w:r w:rsidRPr="00C20F5D">
        <w:rPr>
          <w:rFonts w:ascii="Arial" w:hAnsi="Arial"/>
        </w:rPr>
        <w:t>here was</w:t>
      </w:r>
      <w:r w:rsidR="009455B2" w:rsidRPr="00C20F5D">
        <w:rPr>
          <w:rFonts w:ascii="Arial" w:hAnsi="Arial"/>
        </w:rPr>
        <w:t>,</w:t>
      </w:r>
      <w:r w:rsidR="00161E5A" w:rsidRPr="00C20F5D">
        <w:rPr>
          <w:rFonts w:ascii="Arial" w:hAnsi="Arial"/>
        </w:rPr>
        <w:t xml:space="preserve"> </w:t>
      </w:r>
      <w:r w:rsidR="009455B2" w:rsidRPr="00C20F5D">
        <w:rPr>
          <w:rFonts w:ascii="Arial" w:hAnsi="Arial"/>
        </w:rPr>
        <w:t xml:space="preserve">accordingly </w:t>
      </w:r>
      <w:r w:rsidR="00161E5A" w:rsidRPr="00C20F5D">
        <w:rPr>
          <w:rFonts w:ascii="Arial" w:hAnsi="Arial"/>
        </w:rPr>
        <w:t>no cross-appeal on it before this court</w:t>
      </w:r>
      <w:r w:rsidRPr="00C20F5D">
        <w:rPr>
          <w:rFonts w:ascii="Arial" w:hAnsi="Arial"/>
        </w:rPr>
        <w:t xml:space="preserve">. </w:t>
      </w:r>
      <w:r w:rsidR="00751B2D" w:rsidRPr="00C20F5D">
        <w:rPr>
          <w:rFonts w:ascii="Arial" w:hAnsi="Arial"/>
        </w:rPr>
        <w:t>It thus stands as a huge stumbling block in the applicant’s way on any argument advanced that there can be said to prosp</w:t>
      </w:r>
      <w:r w:rsidR="00013828" w:rsidRPr="00C20F5D">
        <w:rPr>
          <w:rFonts w:ascii="Arial" w:hAnsi="Arial"/>
        </w:rPr>
        <w:t>e</w:t>
      </w:r>
      <w:r w:rsidR="00751B2D" w:rsidRPr="00C20F5D">
        <w:rPr>
          <w:rFonts w:ascii="Arial" w:hAnsi="Arial"/>
        </w:rPr>
        <w:t xml:space="preserve">cts that the Supreme Court </w:t>
      </w:r>
      <w:r w:rsidR="00013828" w:rsidRPr="00C20F5D">
        <w:rPr>
          <w:rFonts w:ascii="Arial" w:hAnsi="Arial"/>
        </w:rPr>
        <w:t xml:space="preserve">might find differently from this court. </w:t>
      </w:r>
    </w:p>
    <w:p w14:paraId="19C03546" w14:textId="77777777" w:rsidR="00C20F5D" w:rsidRPr="00C20F5D" w:rsidRDefault="00C20F5D" w:rsidP="00C20F5D">
      <w:pPr>
        <w:pStyle w:val="ListParagraph"/>
        <w:spacing w:line="360" w:lineRule="auto"/>
        <w:ind w:left="0"/>
        <w:jc w:val="both"/>
        <w:rPr>
          <w:rFonts w:ascii="Arial" w:hAnsi="Arial"/>
          <w:sz w:val="22"/>
          <w:szCs w:val="22"/>
        </w:rPr>
      </w:pPr>
    </w:p>
    <w:p w14:paraId="1B63CAF6" w14:textId="77777777" w:rsidR="00C20F5D" w:rsidRPr="00C20F5D" w:rsidRDefault="00485F0E" w:rsidP="00C20F5D">
      <w:pPr>
        <w:pStyle w:val="ListParagraph"/>
        <w:numPr>
          <w:ilvl w:val="0"/>
          <w:numId w:val="2"/>
        </w:numPr>
        <w:spacing w:line="360" w:lineRule="auto"/>
        <w:ind w:left="0" w:firstLine="0"/>
        <w:jc w:val="both"/>
        <w:rPr>
          <w:rFonts w:ascii="Arial" w:hAnsi="Arial"/>
          <w:sz w:val="22"/>
          <w:szCs w:val="22"/>
        </w:rPr>
      </w:pPr>
      <w:r w:rsidRPr="00C20F5D">
        <w:rPr>
          <w:rFonts w:ascii="Arial" w:hAnsi="Arial"/>
        </w:rPr>
        <w:t>On its own, and standing as one</w:t>
      </w:r>
      <w:r w:rsidR="00013828" w:rsidRPr="00C20F5D">
        <w:rPr>
          <w:rFonts w:ascii="Arial" w:hAnsi="Arial"/>
        </w:rPr>
        <w:t xml:space="preserve"> finding</w:t>
      </w:r>
      <w:r w:rsidRPr="00C20F5D">
        <w:rPr>
          <w:rFonts w:ascii="Arial" w:hAnsi="Arial"/>
        </w:rPr>
        <w:t xml:space="preserve"> that the applicant accepts, it immed</w:t>
      </w:r>
      <w:r w:rsidR="00013828" w:rsidRPr="00C20F5D">
        <w:rPr>
          <w:rFonts w:ascii="Arial" w:hAnsi="Arial"/>
        </w:rPr>
        <w:t>iately suggests</w:t>
      </w:r>
      <w:r w:rsidRPr="00C20F5D">
        <w:rPr>
          <w:rFonts w:ascii="Arial" w:hAnsi="Arial"/>
        </w:rPr>
        <w:t xml:space="preserve"> that the </w:t>
      </w:r>
      <w:r w:rsidR="00013828" w:rsidRPr="00C20F5D">
        <w:rPr>
          <w:rFonts w:ascii="Arial" w:hAnsi="Arial"/>
        </w:rPr>
        <w:t xml:space="preserve">upholding of the </w:t>
      </w:r>
      <w:r w:rsidRPr="00C20F5D">
        <w:rPr>
          <w:rFonts w:ascii="Arial" w:hAnsi="Arial"/>
        </w:rPr>
        <w:t>applicant’s dismissal,</w:t>
      </w:r>
      <w:r w:rsidR="00161E5A" w:rsidRPr="00C20F5D">
        <w:rPr>
          <w:rFonts w:ascii="Arial" w:hAnsi="Arial"/>
        </w:rPr>
        <w:t xml:space="preserve"> by this court</w:t>
      </w:r>
      <w:r w:rsidRPr="00C20F5D">
        <w:rPr>
          <w:rFonts w:ascii="Arial" w:hAnsi="Arial"/>
        </w:rPr>
        <w:t xml:space="preserve"> is unimpeachable. This is because there is plenty of authority for the proposition that </w:t>
      </w:r>
      <w:r w:rsidR="00161E5A" w:rsidRPr="00C20F5D">
        <w:rPr>
          <w:rFonts w:ascii="Arial" w:hAnsi="Arial"/>
        </w:rPr>
        <w:t xml:space="preserve">even one act of </w:t>
      </w:r>
      <w:r w:rsidRPr="00C20F5D">
        <w:rPr>
          <w:rFonts w:ascii="Arial" w:hAnsi="Arial"/>
        </w:rPr>
        <w:t>dishonesty, whenever proved, is not to be taken lightly</w:t>
      </w:r>
      <w:r w:rsidR="00161E5A" w:rsidRPr="00C20F5D">
        <w:rPr>
          <w:rFonts w:ascii="Arial" w:hAnsi="Arial"/>
        </w:rPr>
        <w:t>. This is so</w:t>
      </w:r>
      <w:r w:rsidR="00C344BF" w:rsidRPr="00C20F5D">
        <w:rPr>
          <w:rFonts w:ascii="Arial" w:hAnsi="Arial"/>
        </w:rPr>
        <w:t xml:space="preserve"> for the reason that dishonesty, whatever </w:t>
      </w:r>
      <w:r w:rsidR="00C344BF" w:rsidRPr="00C20F5D">
        <w:rPr>
          <w:rFonts w:ascii="Arial" w:hAnsi="Arial"/>
        </w:rPr>
        <w:lastRenderedPageBreak/>
        <w:t>its nature and character,</w:t>
      </w:r>
      <w:r w:rsidRPr="00C20F5D">
        <w:rPr>
          <w:rFonts w:ascii="Arial" w:hAnsi="Arial"/>
        </w:rPr>
        <w:t xml:space="preserve"> tends to destroy or rupture</w:t>
      </w:r>
      <w:r w:rsidR="00C344BF" w:rsidRPr="00C20F5D">
        <w:rPr>
          <w:rFonts w:ascii="Arial" w:hAnsi="Arial"/>
        </w:rPr>
        <w:t xml:space="preserve"> irretrievably</w:t>
      </w:r>
      <w:r w:rsidRPr="00C20F5D">
        <w:rPr>
          <w:rFonts w:ascii="Arial" w:hAnsi="Arial"/>
        </w:rPr>
        <w:t xml:space="preserve"> the </w:t>
      </w:r>
      <w:r w:rsidR="009455B2" w:rsidRPr="00C20F5D">
        <w:rPr>
          <w:rFonts w:ascii="Arial" w:hAnsi="Arial"/>
        </w:rPr>
        <w:t>employment relationship</w:t>
      </w:r>
      <w:r w:rsidR="00C344BF" w:rsidRPr="00C20F5D">
        <w:rPr>
          <w:rFonts w:ascii="Arial" w:hAnsi="Arial"/>
        </w:rPr>
        <w:t xml:space="preserve"> i</w:t>
      </w:r>
      <w:r w:rsidR="00751B2D" w:rsidRPr="00C20F5D">
        <w:rPr>
          <w:rFonts w:ascii="Arial" w:hAnsi="Arial"/>
        </w:rPr>
        <w:t>n which honesty and integrity are the foundational pillars.</w:t>
      </w:r>
    </w:p>
    <w:p w14:paraId="3F908606" w14:textId="77777777" w:rsidR="00C20F5D" w:rsidRPr="00C20F5D" w:rsidRDefault="00C20F5D" w:rsidP="00C20F5D">
      <w:pPr>
        <w:pStyle w:val="ListParagraph"/>
        <w:spacing w:line="360" w:lineRule="auto"/>
        <w:ind w:left="0"/>
        <w:jc w:val="both"/>
        <w:rPr>
          <w:rFonts w:ascii="Arial" w:hAnsi="Arial"/>
          <w:sz w:val="22"/>
          <w:szCs w:val="22"/>
        </w:rPr>
      </w:pPr>
    </w:p>
    <w:p w14:paraId="33054D8C" w14:textId="741612E9" w:rsidR="00C20F5D" w:rsidRPr="00C20F5D" w:rsidRDefault="00792640" w:rsidP="00C20F5D">
      <w:pPr>
        <w:pStyle w:val="ListParagraph"/>
        <w:numPr>
          <w:ilvl w:val="0"/>
          <w:numId w:val="2"/>
        </w:numPr>
        <w:spacing w:line="360" w:lineRule="auto"/>
        <w:ind w:left="0" w:firstLine="0"/>
        <w:jc w:val="both"/>
        <w:rPr>
          <w:rFonts w:ascii="Arial" w:hAnsi="Arial"/>
          <w:sz w:val="22"/>
          <w:szCs w:val="22"/>
        </w:rPr>
      </w:pPr>
      <w:r w:rsidRPr="00C20F5D">
        <w:rPr>
          <w:rFonts w:ascii="Arial" w:hAnsi="Arial"/>
        </w:rPr>
        <w:t xml:space="preserve">In </w:t>
      </w:r>
      <w:r w:rsidR="002601C1">
        <w:rPr>
          <w:rFonts w:ascii="Arial" w:hAnsi="Arial"/>
          <w:i/>
        </w:rPr>
        <w:t>Model Pick ‘n</w:t>
      </w:r>
      <w:r w:rsidR="00C344BF" w:rsidRPr="00C20F5D">
        <w:rPr>
          <w:rFonts w:ascii="Arial" w:hAnsi="Arial"/>
          <w:i/>
        </w:rPr>
        <w:t xml:space="preserve"> Pay Family Sup</w:t>
      </w:r>
      <w:r w:rsidRPr="00C20F5D">
        <w:rPr>
          <w:rFonts w:ascii="Arial" w:hAnsi="Arial"/>
          <w:i/>
        </w:rPr>
        <w:t>e</w:t>
      </w:r>
      <w:r w:rsidR="00C344BF" w:rsidRPr="00C20F5D">
        <w:rPr>
          <w:rFonts w:ascii="Arial" w:hAnsi="Arial"/>
          <w:i/>
        </w:rPr>
        <w:t>r</w:t>
      </w:r>
      <w:r w:rsidRPr="00C20F5D">
        <w:rPr>
          <w:rFonts w:ascii="Arial" w:hAnsi="Arial"/>
          <w:i/>
        </w:rPr>
        <w:t xml:space="preserve">market v </w:t>
      </w:r>
      <w:proofErr w:type="spellStart"/>
      <w:r w:rsidRPr="00C20F5D">
        <w:rPr>
          <w:rFonts w:ascii="Arial" w:hAnsi="Arial"/>
          <w:i/>
        </w:rPr>
        <w:t>Mwaala</w:t>
      </w:r>
      <w:proofErr w:type="spellEnd"/>
      <w:r w:rsidRPr="00C20F5D">
        <w:rPr>
          <w:rFonts w:ascii="Arial" w:hAnsi="Arial"/>
        </w:rPr>
        <w:t>,</w:t>
      </w:r>
      <w:r w:rsidR="00751B2D">
        <w:rPr>
          <w:rStyle w:val="FootnoteReference"/>
          <w:rFonts w:ascii="Arial" w:hAnsi="Arial"/>
        </w:rPr>
        <w:footnoteReference w:id="5"/>
      </w:r>
      <w:r w:rsidRPr="00C20F5D">
        <w:rPr>
          <w:rFonts w:ascii="Arial" w:hAnsi="Arial"/>
        </w:rPr>
        <w:t xml:space="preserve"> it was stated that ‘Dismissal is no doubt an </w:t>
      </w:r>
      <w:r w:rsidR="00C344BF" w:rsidRPr="00C20F5D">
        <w:rPr>
          <w:rFonts w:ascii="Arial" w:hAnsi="Arial"/>
        </w:rPr>
        <w:t>extreme sanction, but the Courts</w:t>
      </w:r>
      <w:r w:rsidRPr="00C20F5D">
        <w:rPr>
          <w:rFonts w:ascii="Arial" w:hAnsi="Arial"/>
        </w:rPr>
        <w:t xml:space="preserve"> have not been shy to condone dismissal even for a single or trivial act of theft or dishonesty. . . The serious light in which this Court ho</w:t>
      </w:r>
      <w:r w:rsidR="00A64B1A" w:rsidRPr="00C20F5D">
        <w:rPr>
          <w:rFonts w:ascii="Arial" w:hAnsi="Arial"/>
        </w:rPr>
        <w:t>lds dishonesty and theft is app</w:t>
      </w:r>
      <w:r w:rsidRPr="00C20F5D">
        <w:rPr>
          <w:rFonts w:ascii="Arial" w:hAnsi="Arial"/>
        </w:rPr>
        <w:t>arent from two Namibian decisions</w:t>
      </w:r>
      <w:r w:rsidR="00A64B1A" w:rsidRPr="00C20F5D">
        <w:rPr>
          <w:rFonts w:ascii="Arial" w:hAnsi="Arial"/>
        </w:rPr>
        <w:t xml:space="preserve"> referred to by counsel: . . .’</w:t>
      </w:r>
    </w:p>
    <w:p w14:paraId="647C8545" w14:textId="77777777" w:rsidR="00C20F5D" w:rsidRPr="00C20F5D" w:rsidRDefault="00C20F5D" w:rsidP="00C20F5D">
      <w:pPr>
        <w:pStyle w:val="ListParagraph"/>
        <w:spacing w:line="360" w:lineRule="auto"/>
        <w:ind w:left="0"/>
        <w:jc w:val="both"/>
        <w:rPr>
          <w:rFonts w:ascii="Arial" w:hAnsi="Arial"/>
          <w:sz w:val="22"/>
          <w:szCs w:val="22"/>
        </w:rPr>
      </w:pPr>
    </w:p>
    <w:p w14:paraId="128ED674" w14:textId="6D7CB6C5" w:rsidR="00CF7D5C" w:rsidRPr="00C20F5D" w:rsidRDefault="00CF7D5C" w:rsidP="00C20F5D">
      <w:pPr>
        <w:pStyle w:val="ListParagraph"/>
        <w:numPr>
          <w:ilvl w:val="0"/>
          <w:numId w:val="2"/>
        </w:numPr>
        <w:spacing w:line="360" w:lineRule="auto"/>
        <w:ind w:left="0" w:firstLine="0"/>
        <w:jc w:val="both"/>
        <w:rPr>
          <w:rFonts w:ascii="Arial" w:hAnsi="Arial"/>
          <w:sz w:val="22"/>
          <w:szCs w:val="22"/>
        </w:rPr>
      </w:pPr>
      <w:r w:rsidRPr="00C20F5D">
        <w:rPr>
          <w:rFonts w:ascii="Arial" w:hAnsi="Arial"/>
        </w:rPr>
        <w:t>If any further autho</w:t>
      </w:r>
      <w:r w:rsidR="00341C56" w:rsidRPr="00C20F5D">
        <w:rPr>
          <w:rFonts w:ascii="Arial" w:hAnsi="Arial"/>
        </w:rPr>
        <w:t>rity on this proposition is requir</w:t>
      </w:r>
      <w:r w:rsidRPr="00C20F5D">
        <w:rPr>
          <w:rFonts w:ascii="Arial" w:hAnsi="Arial"/>
        </w:rPr>
        <w:t>ed, one need not go furt</w:t>
      </w:r>
      <w:r w:rsidR="00341C56" w:rsidRPr="00C20F5D">
        <w:rPr>
          <w:rFonts w:ascii="Arial" w:hAnsi="Arial"/>
        </w:rPr>
        <w:t>her than to quote from the lapid</w:t>
      </w:r>
      <w:r w:rsidRPr="00C20F5D">
        <w:rPr>
          <w:rFonts w:ascii="Arial" w:hAnsi="Arial"/>
        </w:rPr>
        <w:t xml:space="preserve">ary remarks that fell from the lips of </w:t>
      </w:r>
      <w:proofErr w:type="spellStart"/>
      <w:r w:rsidRPr="00C20F5D">
        <w:rPr>
          <w:rFonts w:ascii="Arial" w:hAnsi="Arial"/>
        </w:rPr>
        <w:t>Sibeya</w:t>
      </w:r>
      <w:proofErr w:type="spellEnd"/>
      <w:r w:rsidRPr="00C20F5D">
        <w:rPr>
          <w:rFonts w:ascii="Arial" w:hAnsi="Arial"/>
        </w:rPr>
        <w:t xml:space="preserve"> J</w:t>
      </w:r>
      <w:r w:rsidR="00035391" w:rsidRPr="00C20F5D">
        <w:rPr>
          <w:rFonts w:ascii="Arial" w:hAnsi="Arial"/>
        </w:rPr>
        <w:t xml:space="preserve"> in </w:t>
      </w:r>
      <w:r w:rsidR="00035391" w:rsidRPr="00C20F5D">
        <w:rPr>
          <w:rFonts w:ascii="Arial" w:hAnsi="Arial"/>
          <w:i/>
        </w:rPr>
        <w:t xml:space="preserve">Telecom Namibia v </w:t>
      </w:r>
      <w:proofErr w:type="spellStart"/>
      <w:r w:rsidR="00035391" w:rsidRPr="00C20F5D">
        <w:rPr>
          <w:rFonts w:ascii="Arial" w:hAnsi="Arial"/>
          <w:i/>
        </w:rPr>
        <w:t>Mandjolo</w:t>
      </w:r>
      <w:proofErr w:type="spellEnd"/>
      <w:r w:rsidR="00B63BD8" w:rsidRPr="00C20F5D">
        <w:rPr>
          <w:rFonts w:ascii="Arial" w:hAnsi="Arial"/>
        </w:rPr>
        <w:t>.</w:t>
      </w:r>
      <w:r w:rsidR="00035391">
        <w:rPr>
          <w:rStyle w:val="FootnoteReference"/>
          <w:rFonts w:ascii="Arial" w:hAnsi="Arial"/>
          <w:i/>
        </w:rPr>
        <w:footnoteReference w:id="6"/>
      </w:r>
      <w:r w:rsidR="00B63BD8" w:rsidRPr="00C20F5D">
        <w:rPr>
          <w:rFonts w:ascii="Arial" w:hAnsi="Arial"/>
        </w:rPr>
        <w:t xml:space="preserve"> In his usual eloquence</w:t>
      </w:r>
      <w:r w:rsidR="007F2060" w:rsidRPr="00C20F5D">
        <w:rPr>
          <w:rFonts w:ascii="Arial" w:hAnsi="Arial"/>
        </w:rPr>
        <w:t xml:space="preserve"> and witty turn of phrase</w:t>
      </w:r>
      <w:r w:rsidR="00B63BD8" w:rsidRPr="00C20F5D">
        <w:rPr>
          <w:rFonts w:ascii="Arial" w:hAnsi="Arial"/>
        </w:rPr>
        <w:t xml:space="preserve">, the </w:t>
      </w:r>
      <w:r w:rsidR="007F2060" w:rsidRPr="00C20F5D">
        <w:rPr>
          <w:rFonts w:ascii="Arial" w:hAnsi="Arial"/>
        </w:rPr>
        <w:t xml:space="preserve">learned Judge </w:t>
      </w:r>
      <w:r w:rsidR="00B63BD8" w:rsidRPr="00C20F5D">
        <w:rPr>
          <w:rFonts w:ascii="Arial" w:hAnsi="Arial"/>
        </w:rPr>
        <w:t>expressed</w:t>
      </w:r>
      <w:r w:rsidR="007F2060" w:rsidRPr="00C20F5D">
        <w:rPr>
          <w:rFonts w:ascii="Arial" w:hAnsi="Arial"/>
        </w:rPr>
        <w:t xml:space="preserve"> himself as follows on the issue of dishonesty and its deleterious impact on the employment relationship and pact:</w:t>
      </w:r>
    </w:p>
    <w:p w14:paraId="7AC1DF26" w14:textId="77777777" w:rsidR="007F2060" w:rsidRDefault="007F2060" w:rsidP="00C20F5D">
      <w:pPr>
        <w:spacing w:line="360" w:lineRule="auto"/>
        <w:jc w:val="both"/>
        <w:rPr>
          <w:rFonts w:ascii="Arial" w:hAnsi="Arial"/>
        </w:rPr>
      </w:pPr>
    </w:p>
    <w:p w14:paraId="193660E6" w14:textId="05F3D667" w:rsidR="007F2060" w:rsidRPr="007F2060" w:rsidRDefault="007F2060" w:rsidP="00C20F5D">
      <w:pPr>
        <w:spacing w:line="360" w:lineRule="auto"/>
        <w:jc w:val="both"/>
        <w:rPr>
          <w:rFonts w:ascii="Arial" w:hAnsi="Arial"/>
          <w:sz w:val="22"/>
          <w:szCs w:val="22"/>
        </w:rPr>
      </w:pPr>
      <w:r>
        <w:rPr>
          <w:rFonts w:ascii="Arial" w:hAnsi="Arial"/>
        </w:rPr>
        <w:tab/>
        <w:t>‘</w:t>
      </w:r>
      <w:r>
        <w:rPr>
          <w:rFonts w:ascii="Arial" w:hAnsi="Arial"/>
          <w:sz w:val="22"/>
          <w:szCs w:val="22"/>
        </w:rPr>
        <w:t>Dishonesty has the capacity to break a relationship, and an employment relationship is built on honesty and trust. Employees and employers are expected to act honestly towards each other in order to</w:t>
      </w:r>
      <w:r w:rsidR="00394613">
        <w:rPr>
          <w:rFonts w:ascii="Arial" w:hAnsi="Arial"/>
          <w:sz w:val="22"/>
          <w:szCs w:val="22"/>
        </w:rPr>
        <w:t xml:space="preserve"> advance thei</w:t>
      </w:r>
      <w:r>
        <w:rPr>
          <w:rFonts w:ascii="Arial" w:hAnsi="Arial"/>
          <w:sz w:val="22"/>
          <w:szCs w:val="22"/>
        </w:rPr>
        <w:t>r relationship. Dishonesty is hardly tolerated as it has a sharp edge capable of cutting through the bone of an employment agreement and break it to pieces</w:t>
      </w:r>
      <w:r w:rsidR="00394613">
        <w:rPr>
          <w:rFonts w:ascii="Arial" w:hAnsi="Arial"/>
          <w:sz w:val="22"/>
          <w:szCs w:val="22"/>
        </w:rPr>
        <w:t>.’</w:t>
      </w:r>
    </w:p>
    <w:p w14:paraId="02D19AC6" w14:textId="77777777" w:rsidR="00013828" w:rsidRDefault="00013828" w:rsidP="00C20F5D">
      <w:pPr>
        <w:spacing w:line="360" w:lineRule="auto"/>
        <w:jc w:val="both"/>
        <w:rPr>
          <w:rFonts w:ascii="Arial" w:hAnsi="Arial"/>
        </w:rPr>
      </w:pPr>
    </w:p>
    <w:p w14:paraId="4187B3CB" w14:textId="33D1E060" w:rsidR="00CA3B0B" w:rsidRDefault="00F54337" w:rsidP="00CA3B0B">
      <w:pPr>
        <w:pStyle w:val="ListParagraph"/>
        <w:numPr>
          <w:ilvl w:val="0"/>
          <w:numId w:val="2"/>
        </w:numPr>
        <w:spacing w:line="360" w:lineRule="auto"/>
        <w:ind w:left="0" w:firstLine="0"/>
        <w:jc w:val="both"/>
        <w:rPr>
          <w:rFonts w:ascii="Arial" w:hAnsi="Arial"/>
        </w:rPr>
      </w:pPr>
      <w:r w:rsidRPr="00C20F5D">
        <w:rPr>
          <w:rFonts w:ascii="Arial" w:hAnsi="Arial"/>
        </w:rPr>
        <w:t xml:space="preserve">There is no ground of appeal advanced by the applicant, with the necessary material that deals with the effect of a finding of dishonesty. In this connection, the finding of the court that the disciplinary code was not cast in stone, as the law of </w:t>
      </w:r>
      <w:r w:rsidR="00CA3B0B" w:rsidRPr="00C20F5D">
        <w:rPr>
          <w:rFonts w:ascii="Arial" w:hAnsi="Arial"/>
        </w:rPr>
        <w:t>the</w:t>
      </w:r>
      <w:r w:rsidRPr="00C20F5D">
        <w:rPr>
          <w:rFonts w:ascii="Arial" w:hAnsi="Arial"/>
        </w:rPr>
        <w:t xml:space="preserve"> Medes and the Persians, has not been </w:t>
      </w:r>
      <w:r w:rsidR="00CA3B0B" w:rsidRPr="00C20F5D">
        <w:rPr>
          <w:rFonts w:ascii="Arial" w:hAnsi="Arial"/>
        </w:rPr>
        <w:t>specifically challenged</w:t>
      </w:r>
      <w:r w:rsidRPr="00C20F5D">
        <w:rPr>
          <w:rFonts w:ascii="Arial" w:hAnsi="Arial"/>
        </w:rPr>
        <w:t xml:space="preserve"> in the applicant’s grounds of appeal. </w:t>
      </w:r>
      <w:r w:rsidR="003A5A54" w:rsidRPr="00C20F5D">
        <w:rPr>
          <w:rFonts w:ascii="Arial" w:hAnsi="Arial"/>
        </w:rPr>
        <w:t xml:space="preserve">It thus stands and suggests that there is no reasonable prospect that </w:t>
      </w:r>
      <w:r w:rsidR="0013714E">
        <w:rPr>
          <w:rFonts w:ascii="Arial" w:hAnsi="Arial"/>
        </w:rPr>
        <w:t xml:space="preserve">the </w:t>
      </w:r>
      <w:r w:rsidR="003A5A54" w:rsidRPr="00C20F5D">
        <w:rPr>
          <w:rFonts w:ascii="Arial" w:hAnsi="Arial"/>
        </w:rPr>
        <w:t>Supreme Court might arrive at a diffe</w:t>
      </w:r>
      <w:r w:rsidR="00CA3B0B">
        <w:rPr>
          <w:rFonts w:ascii="Arial" w:hAnsi="Arial"/>
        </w:rPr>
        <w:t>rent conclusion on this aspect.</w:t>
      </w:r>
    </w:p>
    <w:p w14:paraId="1838CC3B" w14:textId="77777777" w:rsidR="00CA3B0B" w:rsidRDefault="00CA3B0B" w:rsidP="00CA3B0B">
      <w:pPr>
        <w:pStyle w:val="ListParagraph"/>
        <w:spacing w:line="360" w:lineRule="auto"/>
        <w:ind w:left="0"/>
        <w:jc w:val="both"/>
        <w:rPr>
          <w:rFonts w:ascii="Arial" w:hAnsi="Arial"/>
        </w:rPr>
      </w:pPr>
    </w:p>
    <w:p w14:paraId="7EEB5788" w14:textId="7D60B237" w:rsidR="00274761" w:rsidRPr="00DE33C4" w:rsidRDefault="00394613" w:rsidP="00274761">
      <w:pPr>
        <w:pStyle w:val="ListParagraph"/>
        <w:numPr>
          <w:ilvl w:val="0"/>
          <w:numId w:val="2"/>
        </w:numPr>
        <w:spacing w:line="360" w:lineRule="auto"/>
        <w:ind w:left="0" w:firstLine="0"/>
        <w:jc w:val="both"/>
        <w:rPr>
          <w:rFonts w:ascii="Arial" w:hAnsi="Arial"/>
        </w:rPr>
      </w:pPr>
      <w:r w:rsidRPr="00CA3B0B">
        <w:rPr>
          <w:rFonts w:ascii="Arial" w:hAnsi="Arial"/>
        </w:rPr>
        <w:t xml:space="preserve">Having regard to all the foregoing discussions, </w:t>
      </w:r>
      <w:r w:rsidR="00013828" w:rsidRPr="00CA3B0B">
        <w:rPr>
          <w:rFonts w:ascii="Arial" w:hAnsi="Arial"/>
        </w:rPr>
        <w:t>I find it unnecessary to deal with any further matters that the respondent raised. It is useful</w:t>
      </w:r>
      <w:r w:rsidR="001817B0" w:rsidRPr="00CA3B0B">
        <w:rPr>
          <w:rFonts w:ascii="Arial" w:hAnsi="Arial"/>
        </w:rPr>
        <w:t>, however,</w:t>
      </w:r>
      <w:r w:rsidR="00013828" w:rsidRPr="00CA3B0B">
        <w:rPr>
          <w:rFonts w:ascii="Arial" w:hAnsi="Arial"/>
        </w:rPr>
        <w:t xml:space="preserve"> to observe that this application has been approached </w:t>
      </w:r>
      <w:r w:rsidR="001817B0" w:rsidRPr="00CA3B0B">
        <w:rPr>
          <w:rFonts w:ascii="Arial" w:hAnsi="Arial"/>
        </w:rPr>
        <w:t>by the applicant</w:t>
      </w:r>
      <w:r w:rsidRPr="00CA3B0B">
        <w:rPr>
          <w:rFonts w:ascii="Arial" w:hAnsi="Arial"/>
        </w:rPr>
        <w:t xml:space="preserve"> </w:t>
      </w:r>
      <w:r w:rsidR="003A5A54" w:rsidRPr="00CA3B0B">
        <w:rPr>
          <w:rFonts w:ascii="Arial" w:hAnsi="Arial"/>
        </w:rPr>
        <w:t>with an apparent</w:t>
      </w:r>
      <w:r w:rsidRPr="00CA3B0B">
        <w:rPr>
          <w:rFonts w:ascii="Arial" w:hAnsi="Arial"/>
        </w:rPr>
        <w:t xml:space="preserve"> lack of enthusiasm. The impression that I gained </w:t>
      </w:r>
      <w:r w:rsidR="00BE314F" w:rsidRPr="00CA3B0B">
        <w:rPr>
          <w:rFonts w:ascii="Arial" w:hAnsi="Arial"/>
        </w:rPr>
        <w:t xml:space="preserve">as I read the </w:t>
      </w:r>
      <w:r w:rsidR="001817B0" w:rsidRPr="00CA3B0B">
        <w:rPr>
          <w:rFonts w:ascii="Arial" w:hAnsi="Arial"/>
        </w:rPr>
        <w:t xml:space="preserve">applicant’s </w:t>
      </w:r>
      <w:r w:rsidR="00BE314F" w:rsidRPr="00CA3B0B">
        <w:rPr>
          <w:rFonts w:ascii="Arial" w:hAnsi="Arial"/>
        </w:rPr>
        <w:t xml:space="preserve">papers and listened to the argument, </w:t>
      </w:r>
      <w:r w:rsidR="001817B0" w:rsidRPr="00CA3B0B">
        <w:rPr>
          <w:rFonts w:ascii="Arial" w:hAnsi="Arial"/>
        </w:rPr>
        <w:t>was that</w:t>
      </w:r>
      <w:r w:rsidR="00013828" w:rsidRPr="00CA3B0B">
        <w:rPr>
          <w:rFonts w:ascii="Arial" w:hAnsi="Arial"/>
        </w:rPr>
        <w:t xml:space="preserve"> the applicant was merely going through the motions. In such instances, the court is confined to the material the applicant places before it to decide whether a proper case for the granting of the application for leave has been made. In this </w:t>
      </w:r>
      <w:r w:rsidR="001817B0" w:rsidRPr="00CA3B0B">
        <w:rPr>
          <w:rFonts w:ascii="Arial" w:hAnsi="Arial"/>
        </w:rPr>
        <w:t>instant matter, no proper case has</w:t>
      </w:r>
      <w:r w:rsidR="00013828" w:rsidRPr="00CA3B0B">
        <w:rPr>
          <w:rFonts w:ascii="Arial" w:hAnsi="Arial"/>
        </w:rPr>
        <w:t xml:space="preserve"> been so </w:t>
      </w:r>
      <w:r w:rsidR="009053F8" w:rsidRPr="00CA3B0B">
        <w:rPr>
          <w:rFonts w:ascii="Arial" w:hAnsi="Arial"/>
        </w:rPr>
        <w:t>made. T</w:t>
      </w:r>
      <w:r w:rsidR="00013828" w:rsidRPr="00CA3B0B">
        <w:rPr>
          <w:rFonts w:ascii="Arial" w:hAnsi="Arial"/>
        </w:rPr>
        <w:t>here can, for that reason</w:t>
      </w:r>
      <w:r w:rsidR="009053F8" w:rsidRPr="00CA3B0B">
        <w:rPr>
          <w:rFonts w:ascii="Arial" w:hAnsi="Arial"/>
        </w:rPr>
        <w:t>,</w:t>
      </w:r>
      <w:r w:rsidR="00013828" w:rsidRPr="00CA3B0B">
        <w:rPr>
          <w:rFonts w:ascii="Arial" w:hAnsi="Arial"/>
        </w:rPr>
        <w:t xml:space="preserve"> be no other </w:t>
      </w:r>
      <w:r w:rsidRPr="00CA3B0B">
        <w:rPr>
          <w:rFonts w:ascii="Arial" w:hAnsi="Arial"/>
        </w:rPr>
        <w:t xml:space="preserve">proper or condign </w:t>
      </w:r>
      <w:r w:rsidR="00013828" w:rsidRPr="00CA3B0B">
        <w:rPr>
          <w:rFonts w:ascii="Arial" w:hAnsi="Arial"/>
        </w:rPr>
        <w:t>conclusion than for this court to dismiss the application.</w:t>
      </w:r>
    </w:p>
    <w:p w14:paraId="0BAC1375" w14:textId="08A602B0" w:rsidR="002601C1" w:rsidRDefault="002601C1" w:rsidP="002601C1">
      <w:pPr>
        <w:spacing w:line="360" w:lineRule="auto"/>
        <w:jc w:val="both"/>
        <w:rPr>
          <w:rFonts w:ascii="Arial" w:hAnsi="Arial"/>
          <w:u w:val="single"/>
        </w:rPr>
      </w:pPr>
      <w:r>
        <w:rPr>
          <w:rFonts w:ascii="Arial" w:hAnsi="Arial"/>
          <w:u w:val="single"/>
        </w:rPr>
        <w:lastRenderedPageBreak/>
        <w:t>The twist in the tail</w:t>
      </w:r>
    </w:p>
    <w:p w14:paraId="2C7B1374" w14:textId="77777777" w:rsidR="002601C1" w:rsidRPr="002601C1" w:rsidRDefault="002601C1" w:rsidP="002601C1">
      <w:pPr>
        <w:spacing w:line="360" w:lineRule="auto"/>
        <w:jc w:val="both"/>
        <w:rPr>
          <w:rFonts w:ascii="Arial" w:hAnsi="Arial"/>
          <w:u w:val="single"/>
        </w:rPr>
      </w:pPr>
    </w:p>
    <w:p w14:paraId="7354C42A" w14:textId="57D35AEF" w:rsidR="002601C1" w:rsidRDefault="00601212" w:rsidP="00C20F5D">
      <w:pPr>
        <w:pStyle w:val="ListParagraph"/>
        <w:numPr>
          <w:ilvl w:val="0"/>
          <w:numId w:val="2"/>
        </w:numPr>
        <w:spacing w:line="360" w:lineRule="auto"/>
        <w:ind w:left="0" w:firstLine="0"/>
        <w:jc w:val="both"/>
        <w:rPr>
          <w:rFonts w:ascii="Arial" w:hAnsi="Arial"/>
        </w:rPr>
      </w:pPr>
      <w:r>
        <w:rPr>
          <w:rFonts w:ascii="Arial" w:hAnsi="Arial"/>
        </w:rPr>
        <w:t>After this ruling</w:t>
      </w:r>
      <w:r w:rsidR="002601C1">
        <w:rPr>
          <w:rFonts w:ascii="Arial" w:hAnsi="Arial"/>
        </w:rPr>
        <w:t xml:space="preserve"> had been drafted and was ready for d</w:t>
      </w:r>
      <w:r w:rsidR="00DE1E6E">
        <w:rPr>
          <w:rFonts w:ascii="Arial" w:hAnsi="Arial"/>
        </w:rPr>
        <w:t>elivery, a new development came to my attention</w:t>
      </w:r>
      <w:r>
        <w:rPr>
          <w:rFonts w:ascii="Arial" w:hAnsi="Arial"/>
        </w:rPr>
        <w:t>. It came to light that t</w:t>
      </w:r>
      <w:r w:rsidR="002601C1">
        <w:rPr>
          <w:rFonts w:ascii="Arial" w:hAnsi="Arial"/>
        </w:rPr>
        <w:t>he Supreme Court</w:t>
      </w:r>
      <w:r>
        <w:rPr>
          <w:rFonts w:ascii="Arial" w:hAnsi="Arial"/>
        </w:rPr>
        <w:t>,</w:t>
      </w:r>
      <w:r w:rsidR="002601C1">
        <w:rPr>
          <w:rFonts w:ascii="Arial" w:hAnsi="Arial"/>
        </w:rPr>
        <w:t xml:space="preserve"> on 28 July 2023, the very day this matter</w:t>
      </w:r>
      <w:r w:rsidR="00DE1E6E">
        <w:rPr>
          <w:rFonts w:ascii="Arial" w:hAnsi="Arial"/>
        </w:rPr>
        <w:t xml:space="preserve"> was heard, issued judgment in </w:t>
      </w:r>
      <w:r w:rsidR="007815EC">
        <w:rPr>
          <w:rFonts w:ascii="Arial" w:hAnsi="Arial"/>
          <w:i/>
        </w:rPr>
        <w:t>Desert Fruit (Pty) Ltd v Smith and Others</w:t>
      </w:r>
      <w:r w:rsidR="00DE1E6E">
        <w:rPr>
          <w:rFonts w:ascii="Arial" w:hAnsi="Arial"/>
        </w:rPr>
        <w:t>.</w:t>
      </w:r>
      <w:r w:rsidR="007815EC">
        <w:rPr>
          <w:rStyle w:val="FootnoteReference"/>
          <w:rFonts w:ascii="Arial" w:hAnsi="Arial"/>
          <w:i/>
        </w:rPr>
        <w:footnoteReference w:id="7"/>
      </w:r>
      <w:r w:rsidR="00DE1E6E">
        <w:rPr>
          <w:rFonts w:ascii="Arial" w:hAnsi="Arial"/>
        </w:rPr>
        <w:t xml:space="preserve"> This judgment appears to fundamentally alter the terrain in so far as</w:t>
      </w:r>
      <w:r>
        <w:rPr>
          <w:rFonts w:ascii="Arial" w:hAnsi="Arial"/>
        </w:rPr>
        <w:t xml:space="preserve"> applications for</w:t>
      </w:r>
      <w:r w:rsidR="00DE1E6E">
        <w:rPr>
          <w:rFonts w:ascii="Arial" w:hAnsi="Arial"/>
        </w:rPr>
        <w:t xml:space="preserve"> leave to appeal in respect of appeals and reviews from this court are concerned. The judgment, in my view impacted the conclusion that I have reached above.</w:t>
      </w:r>
    </w:p>
    <w:p w14:paraId="4744C04F" w14:textId="77777777" w:rsidR="00DE1E6E" w:rsidRPr="00DE1E6E" w:rsidRDefault="00DE1E6E" w:rsidP="00DE1E6E">
      <w:pPr>
        <w:spacing w:line="360" w:lineRule="auto"/>
        <w:jc w:val="both"/>
        <w:rPr>
          <w:rFonts w:ascii="Arial" w:hAnsi="Arial"/>
        </w:rPr>
      </w:pPr>
    </w:p>
    <w:p w14:paraId="2AE5C07E" w14:textId="1BB026FC" w:rsidR="00CA3B0B" w:rsidRDefault="00DE1E6E" w:rsidP="00CA3B0B">
      <w:pPr>
        <w:pStyle w:val="ListParagraph"/>
        <w:spacing w:line="360" w:lineRule="auto"/>
        <w:ind w:left="0"/>
        <w:jc w:val="both"/>
        <w:rPr>
          <w:rFonts w:ascii="Arial" w:hAnsi="Arial"/>
        </w:rPr>
      </w:pPr>
      <w:r>
        <w:rPr>
          <w:rFonts w:ascii="Arial" w:hAnsi="Arial"/>
        </w:rPr>
        <w:t>[36]</w:t>
      </w:r>
      <w:r>
        <w:rPr>
          <w:rFonts w:ascii="Arial" w:hAnsi="Arial"/>
        </w:rPr>
        <w:tab/>
        <w:t xml:space="preserve">I accordingly invited the parties to make further submissions regarding the question whether parties are required, in the light of the </w:t>
      </w:r>
      <w:r>
        <w:rPr>
          <w:rFonts w:ascii="Arial" w:hAnsi="Arial"/>
          <w:i/>
        </w:rPr>
        <w:t xml:space="preserve">Desert Fruit </w:t>
      </w:r>
      <w:r>
        <w:rPr>
          <w:rFonts w:ascii="Arial" w:hAnsi="Arial"/>
        </w:rPr>
        <w:t>judgment, to file an application for leave to appeal to this court. I have considered the further argument presented by the parties and for which I am grateful.</w:t>
      </w:r>
    </w:p>
    <w:p w14:paraId="6DCAE495" w14:textId="77777777" w:rsidR="00DE1E6E" w:rsidRDefault="00DE1E6E" w:rsidP="00CA3B0B">
      <w:pPr>
        <w:pStyle w:val="ListParagraph"/>
        <w:spacing w:line="360" w:lineRule="auto"/>
        <w:ind w:left="0"/>
        <w:jc w:val="both"/>
        <w:rPr>
          <w:rFonts w:ascii="Arial" w:hAnsi="Arial"/>
        </w:rPr>
      </w:pPr>
    </w:p>
    <w:p w14:paraId="4FD458F4" w14:textId="4468618A" w:rsidR="00DE1E6E" w:rsidRDefault="00DE1E6E" w:rsidP="00CA3B0B">
      <w:pPr>
        <w:pStyle w:val="ListParagraph"/>
        <w:spacing w:line="360" w:lineRule="auto"/>
        <w:ind w:left="0"/>
        <w:jc w:val="both"/>
        <w:rPr>
          <w:rFonts w:ascii="Arial" w:hAnsi="Arial"/>
        </w:rPr>
      </w:pPr>
      <w:r>
        <w:rPr>
          <w:rFonts w:ascii="Arial" w:hAnsi="Arial"/>
        </w:rPr>
        <w:t>[37]</w:t>
      </w:r>
      <w:r>
        <w:rPr>
          <w:rFonts w:ascii="Arial" w:hAnsi="Arial"/>
        </w:rPr>
        <w:tab/>
        <w:t xml:space="preserve">In </w:t>
      </w:r>
      <w:r w:rsidR="0017547B">
        <w:rPr>
          <w:rFonts w:ascii="Arial" w:hAnsi="Arial"/>
        </w:rPr>
        <w:t xml:space="preserve">my considered view, there are two paragraphs in </w:t>
      </w:r>
      <w:r w:rsidR="0017547B">
        <w:rPr>
          <w:rFonts w:ascii="Arial" w:hAnsi="Arial"/>
          <w:i/>
        </w:rPr>
        <w:t>Desert Fruit</w:t>
      </w:r>
      <w:r w:rsidR="0017547B">
        <w:rPr>
          <w:rFonts w:ascii="Arial" w:hAnsi="Arial"/>
        </w:rPr>
        <w:t>, which are dispositive of the question. Smuts JA, writing for the majority of the court stated the following at para [44] of the judgment:</w:t>
      </w:r>
    </w:p>
    <w:p w14:paraId="7C7C3774" w14:textId="77777777" w:rsidR="0017547B" w:rsidRDefault="0017547B" w:rsidP="00CA3B0B">
      <w:pPr>
        <w:pStyle w:val="ListParagraph"/>
        <w:spacing w:line="360" w:lineRule="auto"/>
        <w:ind w:left="0"/>
        <w:jc w:val="both"/>
        <w:rPr>
          <w:rFonts w:ascii="Arial" w:hAnsi="Arial"/>
        </w:rPr>
      </w:pPr>
    </w:p>
    <w:p w14:paraId="7372C378" w14:textId="209DB797" w:rsidR="0017547B" w:rsidRDefault="0017547B" w:rsidP="00CA3B0B">
      <w:pPr>
        <w:pStyle w:val="ListParagraph"/>
        <w:spacing w:line="360" w:lineRule="auto"/>
        <w:ind w:left="0"/>
        <w:jc w:val="both"/>
        <w:rPr>
          <w:rFonts w:ascii="Arial" w:hAnsi="Arial"/>
          <w:sz w:val="22"/>
          <w:szCs w:val="22"/>
        </w:rPr>
      </w:pPr>
      <w:r>
        <w:rPr>
          <w:rFonts w:ascii="Arial" w:hAnsi="Arial"/>
        </w:rPr>
        <w:tab/>
        <w:t>‘</w:t>
      </w:r>
      <w:r>
        <w:rPr>
          <w:rFonts w:ascii="Arial" w:hAnsi="Arial"/>
          <w:sz w:val="22"/>
          <w:szCs w:val="22"/>
        </w:rPr>
        <w:t>It would follow that appeals from arbitration tribunals established under the Act would likewise not amount to the Labour Court sitting as a court of appeal for the purpose of s 18(2)(</w:t>
      </w:r>
      <w:r>
        <w:rPr>
          <w:rFonts w:ascii="Arial" w:hAnsi="Arial"/>
          <w:i/>
          <w:sz w:val="22"/>
          <w:szCs w:val="22"/>
        </w:rPr>
        <w:t>b</w:t>
      </w:r>
      <w:r>
        <w:rPr>
          <w:rFonts w:ascii="Arial" w:hAnsi="Arial"/>
          <w:sz w:val="22"/>
          <w:szCs w:val="22"/>
        </w:rPr>
        <w:t>) of the High Court Act. A decision reached by the Labour Court in those circumstances would be as a court of first instance and not one on appeal for the purpose of s 18(2), even though this Court had previously accepted the position to be to the contrary but without the point ever being argued and determined.’</w:t>
      </w:r>
    </w:p>
    <w:p w14:paraId="362784F6" w14:textId="77777777" w:rsidR="00984BD7" w:rsidRDefault="00984BD7" w:rsidP="00CA3B0B">
      <w:pPr>
        <w:pStyle w:val="ListParagraph"/>
        <w:spacing w:line="360" w:lineRule="auto"/>
        <w:ind w:left="0"/>
        <w:jc w:val="both"/>
        <w:rPr>
          <w:rFonts w:ascii="Arial" w:hAnsi="Arial"/>
          <w:sz w:val="22"/>
          <w:szCs w:val="22"/>
        </w:rPr>
      </w:pPr>
    </w:p>
    <w:p w14:paraId="2524AB6F" w14:textId="5B56A1B4" w:rsidR="00984BD7" w:rsidRDefault="00984BD7" w:rsidP="00CA3B0B">
      <w:pPr>
        <w:pStyle w:val="ListParagraph"/>
        <w:spacing w:line="360" w:lineRule="auto"/>
        <w:ind w:left="0"/>
        <w:jc w:val="both"/>
        <w:rPr>
          <w:rFonts w:ascii="Arial" w:hAnsi="Arial"/>
        </w:rPr>
      </w:pPr>
      <w:r>
        <w:rPr>
          <w:rFonts w:ascii="Arial" w:hAnsi="Arial"/>
        </w:rPr>
        <w:t>[38]</w:t>
      </w:r>
      <w:r>
        <w:rPr>
          <w:rFonts w:ascii="Arial" w:hAnsi="Arial"/>
        </w:rPr>
        <w:tab/>
        <w:t>At para [46], the Supreme Court proceed</w:t>
      </w:r>
      <w:r w:rsidR="00601212">
        <w:rPr>
          <w:rFonts w:ascii="Arial" w:hAnsi="Arial"/>
        </w:rPr>
        <w:t>ed to make the following finding</w:t>
      </w:r>
      <w:r>
        <w:rPr>
          <w:rFonts w:ascii="Arial" w:hAnsi="Arial"/>
        </w:rPr>
        <w:t>:</w:t>
      </w:r>
    </w:p>
    <w:p w14:paraId="0AD1818B" w14:textId="77777777" w:rsidR="00984BD7" w:rsidRDefault="00984BD7" w:rsidP="00CA3B0B">
      <w:pPr>
        <w:pStyle w:val="ListParagraph"/>
        <w:spacing w:line="360" w:lineRule="auto"/>
        <w:ind w:left="0"/>
        <w:jc w:val="both"/>
        <w:rPr>
          <w:rFonts w:ascii="Arial" w:hAnsi="Arial"/>
        </w:rPr>
      </w:pPr>
    </w:p>
    <w:p w14:paraId="5839EC3E" w14:textId="1E7792C1" w:rsidR="00984BD7" w:rsidRDefault="00984BD7" w:rsidP="00CA3B0B">
      <w:pPr>
        <w:pStyle w:val="ListParagraph"/>
        <w:spacing w:line="360" w:lineRule="auto"/>
        <w:ind w:left="0"/>
        <w:jc w:val="both"/>
        <w:rPr>
          <w:rFonts w:ascii="Arial" w:hAnsi="Arial"/>
        </w:rPr>
      </w:pPr>
      <w:r>
        <w:rPr>
          <w:rFonts w:ascii="Arial" w:hAnsi="Arial"/>
        </w:rPr>
        <w:tab/>
      </w:r>
      <w:r>
        <w:rPr>
          <w:rFonts w:ascii="Arial" w:hAnsi="Arial"/>
          <w:sz w:val="22"/>
          <w:szCs w:val="22"/>
        </w:rPr>
        <w:t xml:space="preserve">‘It follows that s 18(2) is not applicable to proceedings where the Labour Court determines an application for review from an arbitration tribunal established under the Act. </w:t>
      </w:r>
      <w:r w:rsidRPr="00984BD7">
        <w:rPr>
          <w:rFonts w:ascii="Arial" w:hAnsi="Arial"/>
          <w:sz w:val="22"/>
          <w:szCs w:val="22"/>
          <w:u w:val="single"/>
        </w:rPr>
        <w:t>The Labour Court sat as a court of first instance and leave to appeal is thus not required under s 18(2) of the High Court Act.’</w:t>
      </w:r>
      <w:r>
        <w:rPr>
          <w:rFonts w:ascii="Arial" w:hAnsi="Arial"/>
          <w:sz w:val="22"/>
          <w:szCs w:val="22"/>
          <w:u w:val="single"/>
        </w:rPr>
        <w:t xml:space="preserve"> </w:t>
      </w:r>
      <w:r>
        <w:rPr>
          <w:rFonts w:ascii="Arial" w:hAnsi="Arial"/>
        </w:rPr>
        <w:t>(Emphasis added).</w:t>
      </w:r>
    </w:p>
    <w:p w14:paraId="21ED0F7A" w14:textId="77777777" w:rsidR="00984BD7" w:rsidRDefault="00984BD7" w:rsidP="00CA3B0B">
      <w:pPr>
        <w:pStyle w:val="ListParagraph"/>
        <w:spacing w:line="360" w:lineRule="auto"/>
        <w:ind w:left="0"/>
        <w:jc w:val="both"/>
        <w:rPr>
          <w:rFonts w:ascii="Arial" w:hAnsi="Arial"/>
        </w:rPr>
      </w:pPr>
    </w:p>
    <w:p w14:paraId="6C45BFBA" w14:textId="0C49B17B" w:rsidR="00984BD7" w:rsidRDefault="00984BD7" w:rsidP="00CA3B0B">
      <w:pPr>
        <w:pStyle w:val="ListParagraph"/>
        <w:spacing w:line="360" w:lineRule="auto"/>
        <w:ind w:left="0"/>
        <w:jc w:val="both"/>
        <w:rPr>
          <w:rFonts w:ascii="Arial" w:hAnsi="Arial"/>
        </w:rPr>
      </w:pPr>
      <w:r>
        <w:rPr>
          <w:rFonts w:ascii="Arial" w:hAnsi="Arial"/>
        </w:rPr>
        <w:t>[39]</w:t>
      </w:r>
      <w:r>
        <w:rPr>
          <w:rFonts w:ascii="Arial" w:hAnsi="Arial"/>
        </w:rPr>
        <w:tab/>
        <w:t>What is plain from the two paragraphs quoted above is that whether leave to appeal from a judgment of this court</w:t>
      </w:r>
      <w:r w:rsidR="00601212">
        <w:rPr>
          <w:rFonts w:ascii="Arial" w:hAnsi="Arial"/>
        </w:rPr>
        <w:t xml:space="preserve"> is necessary</w:t>
      </w:r>
      <w:r>
        <w:rPr>
          <w:rFonts w:ascii="Arial" w:hAnsi="Arial"/>
        </w:rPr>
        <w:t>, dep</w:t>
      </w:r>
      <w:r w:rsidR="00601212">
        <w:rPr>
          <w:rFonts w:ascii="Arial" w:hAnsi="Arial"/>
        </w:rPr>
        <w:t>ends on the capacity in which this court</w:t>
      </w:r>
      <w:r>
        <w:rPr>
          <w:rFonts w:ascii="Arial" w:hAnsi="Arial"/>
        </w:rPr>
        <w:t xml:space="preserve"> sat. If it sat an appellate court, leave to appeal to the Supreme Court is necessary. Where, however, it sits as a court of first instance, leave is not required and this is governed by the provisions of s 18(2) of the High Court Act.</w:t>
      </w:r>
    </w:p>
    <w:p w14:paraId="29B87D7F" w14:textId="77777777" w:rsidR="00356F0E" w:rsidRDefault="00356F0E" w:rsidP="00CA3B0B">
      <w:pPr>
        <w:pStyle w:val="ListParagraph"/>
        <w:spacing w:line="360" w:lineRule="auto"/>
        <w:ind w:left="0"/>
        <w:jc w:val="both"/>
        <w:rPr>
          <w:rFonts w:ascii="Arial" w:hAnsi="Arial"/>
        </w:rPr>
      </w:pPr>
    </w:p>
    <w:p w14:paraId="25B327E9" w14:textId="42E1C179" w:rsidR="00356F0E" w:rsidRDefault="00356F0E" w:rsidP="00CA3B0B">
      <w:pPr>
        <w:pStyle w:val="ListParagraph"/>
        <w:spacing w:line="360" w:lineRule="auto"/>
        <w:ind w:left="0"/>
        <w:jc w:val="both"/>
        <w:rPr>
          <w:rFonts w:ascii="Arial" w:hAnsi="Arial"/>
        </w:rPr>
      </w:pPr>
      <w:r>
        <w:rPr>
          <w:rFonts w:ascii="Arial" w:hAnsi="Arial"/>
        </w:rPr>
        <w:t>[40]</w:t>
      </w:r>
      <w:r>
        <w:rPr>
          <w:rFonts w:ascii="Arial" w:hAnsi="Arial"/>
        </w:rPr>
        <w:tab/>
        <w:t xml:space="preserve">The Supreme Court, relying on the South African judgment of </w:t>
      </w:r>
      <w:r>
        <w:rPr>
          <w:rFonts w:ascii="Arial" w:hAnsi="Arial"/>
          <w:i/>
        </w:rPr>
        <w:t>NCR</w:t>
      </w:r>
      <w:r w:rsidR="00601212">
        <w:rPr>
          <w:rFonts w:ascii="Arial" w:hAnsi="Arial"/>
        </w:rPr>
        <w:t>,</w:t>
      </w:r>
      <w:r>
        <w:rPr>
          <w:rStyle w:val="FootnoteReference"/>
          <w:rFonts w:ascii="Arial" w:hAnsi="Arial"/>
          <w:i/>
        </w:rPr>
        <w:footnoteReference w:id="8"/>
      </w:r>
      <w:r>
        <w:rPr>
          <w:rFonts w:ascii="Arial" w:hAnsi="Arial"/>
          <w:i/>
        </w:rPr>
        <w:t xml:space="preserve"> </w:t>
      </w:r>
      <w:r>
        <w:rPr>
          <w:rFonts w:ascii="Arial" w:hAnsi="Arial"/>
        </w:rPr>
        <w:t>reasoned that tribunals set up</w:t>
      </w:r>
      <w:r w:rsidR="00601212">
        <w:rPr>
          <w:rFonts w:ascii="Arial" w:hAnsi="Arial"/>
        </w:rPr>
        <w:t xml:space="preserve"> under the Labour Act, are not</w:t>
      </w:r>
      <w:r>
        <w:rPr>
          <w:rFonts w:ascii="Arial" w:hAnsi="Arial"/>
        </w:rPr>
        <w:t xml:space="preserve"> court</w:t>
      </w:r>
      <w:r w:rsidR="00601212">
        <w:rPr>
          <w:rFonts w:ascii="Arial" w:hAnsi="Arial"/>
        </w:rPr>
        <w:t>s, strictly speaking</w:t>
      </w:r>
      <w:r>
        <w:rPr>
          <w:rFonts w:ascii="Arial" w:hAnsi="Arial"/>
        </w:rPr>
        <w:t xml:space="preserve"> and</w:t>
      </w:r>
      <w:r w:rsidR="00D24845">
        <w:rPr>
          <w:rFonts w:ascii="Arial" w:hAnsi="Arial"/>
        </w:rPr>
        <w:t xml:space="preserve"> they</w:t>
      </w:r>
      <w:r>
        <w:rPr>
          <w:rFonts w:ascii="Arial" w:hAnsi="Arial"/>
        </w:rPr>
        <w:t xml:space="preserve"> are also not part of the judicial system.</w:t>
      </w:r>
      <w:r>
        <w:rPr>
          <w:rStyle w:val="FootnoteReference"/>
          <w:rFonts w:ascii="Arial" w:hAnsi="Arial"/>
        </w:rPr>
        <w:footnoteReference w:id="9"/>
      </w:r>
      <w:r>
        <w:rPr>
          <w:rFonts w:ascii="Arial" w:hAnsi="Arial"/>
        </w:rPr>
        <w:t xml:space="preserve"> This accordingly renders this court, when it sits in those matters, a court of first instance. For that reason, leave to appeal a judgment of this court to the Supreme Court, is not required in terms of s 18(2) of the High Court Act.</w:t>
      </w:r>
    </w:p>
    <w:p w14:paraId="1B5A43E5" w14:textId="77777777" w:rsidR="006E0C54" w:rsidRDefault="006E0C54" w:rsidP="00CA3B0B">
      <w:pPr>
        <w:pStyle w:val="ListParagraph"/>
        <w:spacing w:line="360" w:lineRule="auto"/>
        <w:ind w:left="0"/>
        <w:jc w:val="both"/>
        <w:rPr>
          <w:rFonts w:ascii="Arial" w:hAnsi="Arial"/>
        </w:rPr>
      </w:pPr>
    </w:p>
    <w:p w14:paraId="65B573D8" w14:textId="3DFC73E3" w:rsidR="006E0C54" w:rsidRDefault="006E0C54" w:rsidP="00CA3B0B">
      <w:pPr>
        <w:pStyle w:val="ListParagraph"/>
        <w:spacing w:line="360" w:lineRule="auto"/>
        <w:ind w:left="0"/>
        <w:jc w:val="both"/>
        <w:rPr>
          <w:rFonts w:ascii="Arial" w:hAnsi="Arial"/>
        </w:rPr>
      </w:pPr>
      <w:r>
        <w:rPr>
          <w:rFonts w:ascii="Arial" w:hAnsi="Arial"/>
        </w:rPr>
        <w:t>[41]</w:t>
      </w:r>
      <w:r>
        <w:rPr>
          <w:rFonts w:ascii="Arial" w:hAnsi="Arial"/>
        </w:rPr>
        <w:tab/>
        <w:t xml:space="preserve">It is worth noting that the </w:t>
      </w:r>
      <w:r>
        <w:rPr>
          <w:rFonts w:ascii="Arial" w:hAnsi="Arial"/>
          <w:i/>
        </w:rPr>
        <w:t xml:space="preserve">Desert Fruit </w:t>
      </w:r>
      <w:r>
        <w:rPr>
          <w:rFonts w:ascii="Arial" w:hAnsi="Arial"/>
        </w:rPr>
        <w:t xml:space="preserve">case involved a review and in respect of which the question of whether leave was required loomed large. That finding, as seen elsewhere above, includes matters, which served before this court on appeal. The sum total of the </w:t>
      </w:r>
      <w:r>
        <w:rPr>
          <w:rFonts w:ascii="Arial" w:hAnsi="Arial"/>
          <w:i/>
        </w:rPr>
        <w:t xml:space="preserve">Desert Fruit </w:t>
      </w:r>
      <w:r>
        <w:rPr>
          <w:rFonts w:ascii="Arial" w:hAnsi="Arial"/>
        </w:rPr>
        <w:t>judgment, as I understand it, is that proceedings before this court, whether appeals or reviews, emanate from tribunals which are not court</w:t>
      </w:r>
      <w:r w:rsidR="00D24845">
        <w:rPr>
          <w:rFonts w:ascii="Arial" w:hAnsi="Arial"/>
        </w:rPr>
        <w:t>s</w:t>
      </w:r>
      <w:r>
        <w:rPr>
          <w:rFonts w:ascii="Arial" w:hAnsi="Arial"/>
        </w:rPr>
        <w:t xml:space="preserve"> for purposes of the High Court Act. Further, they are also not part of the judiciary. As such, this court, in those matters, sits as a court of first instance and not as a court of appeal. For that reason, leave to appeal to the Supreme Court</w:t>
      </w:r>
      <w:r w:rsidR="00D24845">
        <w:rPr>
          <w:rFonts w:ascii="Arial" w:hAnsi="Arial"/>
        </w:rPr>
        <w:t>,</w:t>
      </w:r>
      <w:r>
        <w:rPr>
          <w:rFonts w:ascii="Arial" w:hAnsi="Arial"/>
        </w:rPr>
        <w:t xml:space="preserve"> </w:t>
      </w:r>
      <w:r w:rsidR="00D24845">
        <w:rPr>
          <w:rFonts w:ascii="Arial" w:hAnsi="Arial"/>
        </w:rPr>
        <w:t xml:space="preserve">in respect of appeals and reviews which serve before this court emanating from the Office of the Labour Commissioner, </w:t>
      </w:r>
      <w:r>
        <w:rPr>
          <w:rFonts w:ascii="Arial" w:hAnsi="Arial"/>
        </w:rPr>
        <w:t>is not required in terms of s 18(2) of the High Court Act.</w:t>
      </w:r>
    </w:p>
    <w:p w14:paraId="70EB5E23" w14:textId="7D2A05E6" w:rsidR="006E0C54" w:rsidRPr="006E0C54" w:rsidRDefault="006E0C54" w:rsidP="00CA3B0B">
      <w:pPr>
        <w:pStyle w:val="ListParagraph"/>
        <w:spacing w:line="360" w:lineRule="auto"/>
        <w:ind w:left="0"/>
        <w:jc w:val="both"/>
        <w:rPr>
          <w:rFonts w:ascii="Arial" w:hAnsi="Arial"/>
        </w:rPr>
      </w:pPr>
      <w:r>
        <w:rPr>
          <w:rFonts w:ascii="Arial" w:hAnsi="Arial"/>
        </w:rPr>
        <w:t xml:space="preserve">  </w:t>
      </w:r>
    </w:p>
    <w:p w14:paraId="35D0C765" w14:textId="77777777" w:rsidR="00CA3B0B" w:rsidRDefault="00CA3B0B" w:rsidP="00CA3B0B">
      <w:pPr>
        <w:spacing w:line="360" w:lineRule="auto"/>
        <w:jc w:val="both"/>
        <w:rPr>
          <w:rFonts w:ascii="Arial" w:hAnsi="Arial"/>
          <w:u w:val="single"/>
        </w:rPr>
      </w:pPr>
      <w:r>
        <w:rPr>
          <w:rFonts w:ascii="Arial" w:hAnsi="Arial"/>
          <w:u w:val="single"/>
        </w:rPr>
        <w:t>Conclusion</w:t>
      </w:r>
    </w:p>
    <w:p w14:paraId="4B166941" w14:textId="77777777" w:rsidR="00CA3B0B" w:rsidRDefault="00CA3B0B" w:rsidP="00CA3B0B">
      <w:pPr>
        <w:pStyle w:val="ListParagraph"/>
        <w:spacing w:line="360" w:lineRule="auto"/>
        <w:ind w:left="0"/>
        <w:jc w:val="both"/>
        <w:rPr>
          <w:rFonts w:ascii="Arial" w:hAnsi="Arial"/>
        </w:rPr>
      </w:pPr>
    </w:p>
    <w:p w14:paraId="503BD52D" w14:textId="77777777" w:rsidR="0030676A" w:rsidRDefault="0030676A" w:rsidP="0030676A">
      <w:pPr>
        <w:spacing w:line="360" w:lineRule="auto"/>
        <w:jc w:val="both"/>
        <w:rPr>
          <w:rFonts w:ascii="Arial" w:hAnsi="Arial"/>
        </w:rPr>
      </w:pPr>
      <w:r>
        <w:rPr>
          <w:rFonts w:ascii="Arial" w:hAnsi="Arial"/>
        </w:rPr>
        <w:t>[42]</w:t>
      </w:r>
      <w:r>
        <w:rPr>
          <w:rFonts w:ascii="Arial" w:hAnsi="Arial"/>
        </w:rPr>
        <w:tab/>
      </w:r>
      <w:r w:rsidR="009053F8" w:rsidRPr="0030676A">
        <w:rPr>
          <w:rFonts w:ascii="Arial" w:hAnsi="Arial"/>
        </w:rPr>
        <w:t>In view of the discussion</w:t>
      </w:r>
      <w:r w:rsidR="00705BD2" w:rsidRPr="0030676A">
        <w:rPr>
          <w:rFonts w:ascii="Arial" w:hAnsi="Arial"/>
        </w:rPr>
        <w:t xml:space="preserve"> above, it becomes clear that in terms of the old dispensation, the applicant had dismally failed to make out a case for an order for leave to appeal to be granted. The ground has however fun</w:t>
      </w:r>
      <w:r>
        <w:rPr>
          <w:rFonts w:ascii="Arial" w:hAnsi="Arial"/>
        </w:rPr>
        <w:t>d</w:t>
      </w:r>
      <w:r w:rsidR="00705BD2" w:rsidRPr="0030676A">
        <w:rPr>
          <w:rFonts w:ascii="Arial" w:hAnsi="Arial"/>
        </w:rPr>
        <w:t xml:space="preserve">amentally shifted with the advent of </w:t>
      </w:r>
      <w:r w:rsidR="00705BD2" w:rsidRPr="0030676A">
        <w:rPr>
          <w:rFonts w:ascii="Arial" w:hAnsi="Arial"/>
          <w:i/>
        </w:rPr>
        <w:t xml:space="preserve">Desert Fruit. </w:t>
      </w:r>
      <w:r w:rsidR="00705BD2" w:rsidRPr="0030676A">
        <w:rPr>
          <w:rFonts w:ascii="Arial" w:hAnsi="Arial"/>
        </w:rPr>
        <w:t xml:space="preserve">The correct decision to return, in the circumstances, and under the new interpretational regime, is that the applicant was not required to seek leave, considering that this court, in dealing with the appeal, sat as a court of first instance. As such leave </w:t>
      </w:r>
      <w:r>
        <w:rPr>
          <w:rFonts w:ascii="Arial" w:hAnsi="Arial"/>
        </w:rPr>
        <w:t xml:space="preserve">to appeal </w:t>
      </w:r>
      <w:r w:rsidR="00705BD2" w:rsidRPr="0030676A">
        <w:rPr>
          <w:rFonts w:ascii="Arial" w:hAnsi="Arial"/>
        </w:rPr>
        <w:t xml:space="preserve">was not necessary. </w:t>
      </w:r>
    </w:p>
    <w:p w14:paraId="701FF68E" w14:textId="77777777" w:rsidR="0030676A" w:rsidRDefault="0030676A" w:rsidP="0030676A">
      <w:pPr>
        <w:spacing w:line="360" w:lineRule="auto"/>
        <w:jc w:val="both"/>
        <w:rPr>
          <w:rFonts w:ascii="Arial" w:hAnsi="Arial"/>
        </w:rPr>
      </w:pPr>
    </w:p>
    <w:p w14:paraId="1E437824" w14:textId="15429A41" w:rsidR="00CA3B0B" w:rsidRDefault="0030676A" w:rsidP="0030676A">
      <w:pPr>
        <w:spacing w:line="360" w:lineRule="auto"/>
        <w:jc w:val="both"/>
        <w:rPr>
          <w:rFonts w:ascii="Arial" w:hAnsi="Arial"/>
        </w:rPr>
      </w:pPr>
      <w:r>
        <w:rPr>
          <w:rFonts w:ascii="Arial" w:hAnsi="Arial"/>
        </w:rPr>
        <w:t>[43]</w:t>
      </w:r>
      <w:r>
        <w:rPr>
          <w:rFonts w:ascii="Arial" w:hAnsi="Arial"/>
        </w:rPr>
        <w:tab/>
      </w:r>
      <w:r w:rsidR="00705BD2" w:rsidRPr="0030676A">
        <w:rPr>
          <w:rFonts w:ascii="Arial" w:hAnsi="Arial"/>
        </w:rPr>
        <w:t xml:space="preserve">I accordingly </w:t>
      </w:r>
      <w:r w:rsidR="00DB3507" w:rsidRPr="0030676A">
        <w:rPr>
          <w:rFonts w:ascii="Arial" w:hAnsi="Arial"/>
        </w:rPr>
        <w:t>come to the conclusion</w:t>
      </w:r>
      <w:r w:rsidR="003A5A54" w:rsidRPr="0030676A">
        <w:rPr>
          <w:rFonts w:ascii="Arial" w:hAnsi="Arial"/>
        </w:rPr>
        <w:t>,</w:t>
      </w:r>
      <w:r w:rsidR="009053F8" w:rsidRPr="0030676A">
        <w:rPr>
          <w:rFonts w:ascii="Arial" w:hAnsi="Arial"/>
        </w:rPr>
        <w:t xml:space="preserve"> which I consider inexorable</w:t>
      </w:r>
      <w:r w:rsidR="002D2200" w:rsidRPr="0030676A">
        <w:rPr>
          <w:rFonts w:ascii="Arial" w:hAnsi="Arial"/>
        </w:rPr>
        <w:t xml:space="preserve"> in the circumstances</w:t>
      </w:r>
      <w:r w:rsidR="009053F8" w:rsidRPr="0030676A">
        <w:rPr>
          <w:rFonts w:ascii="Arial" w:hAnsi="Arial"/>
        </w:rPr>
        <w:t>, namely,</w:t>
      </w:r>
      <w:r w:rsidR="00DB3507" w:rsidRPr="0030676A">
        <w:rPr>
          <w:rFonts w:ascii="Arial" w:hAnsi="Arial"/>
        </w:rPr>
        <w:t xml:space="preserve"> that the applicant </w:t>
      </w:r>
      <w:r w:rsidR="00705BD2" w:rsidRPr="0030676A">
        <w:rPr>
          <w:rFonts w:ascii="Arial" w:hAnsi="Arial"/>
        </w:rPr>
        <w:t>did not have to file an application for leave to appeal.</w:t>
      </w:r>
      <w:r w:rsidR="00DB3507" w:rsidRPr="0030676A">
        <w:rPr>
          <w:rFonts w:ascii="Arial" w:hAnsi="Arial"/>
        </w:rPr>
        <w:t xml:space="preserve"> In the premises, there is only o</w:t>
      </w:r>
      <w:r w:rsidR="00BE314F" w:rsidRPr="0030676A">
        <w:rPr>
          <w:rFonts w:ascii="Arial" w:hAnsi="Arial"/>
        </w:rPr>
        <w:t>ne possible fate that can meet</w:t>
      </w:r>
      <w:r w:rsidRPr="0030676A">
        <w:rPr>
          <w:rFonts w:ascii="Arial" w:hAnsi="Arial"/>
        </w:rPr>
        <w:t xml:space="preserve"> the application, namely, the application is struck from the roll</w:t>
      </w:r>
      <w:r w:rsidR="00DB3507" w:rsidRPr="0030676A">
        <w:rPr>
          <w:rFonts w:ascii="Arial" w:hAnsi="Arial"/>
        </w:rPr>
        <w:t>.</w:t>
      </w:r>
    </w:p>
    <w:p w14:paraId="3F063905" w14:textId="77777777" w:rsidR="00CA3B0B" w:rsidRDefault="00CA3B0B" w:rsidP="00CA3B0B">
      <w:pPr>
        <w:pStyle w:val="ListParagraph"/>
        <w:spacing w:line="360" w:lineRule="auto"/>
        <w:ind w:left="0"/>
        <w:jc w:val="both"/>
        <w:rPr>
          <w:rFonts w:ascii="Arial" w:hAnsi="Arial"/>
        </w:rPr>
      </w:pPr>
    </w:p>
    <w:p w14:paraId="01A1DF7F" w14:textId="77777777" w:rsidR="00DE33C4" w:rsidRDefault="00DE33C4" w:rsidP="00CA3B0B">
      <w:pPr>
        <w:pStyle w:val="ListParagraph"/>
        <w:spacing w:line="360" w:lineRule="auto"/>
        <w:ind w:left="0"/>
        <w:jc w:val="both"/>
        <w:rPr>
          <w:rFonts w:ascii="Arial" w:hAnsi="Arial"/>
        </w:rPr>
      </w:pPr>
    </w:p>
    <w:p w14:paraId="548A7155" w14:textId="77777777" w:rsidR="00DE33C4" w:rsidRDefault="00DE33C4" w:rsidP="00CA3B0B">
      <w:pPr>
        <w:pStyle w:val="ListParagraph"/>
        <w:spacing w:line="360" w:lineRule="auto"/>
        <w:ind w:left="0"/>
        <w:jc w:val="both"/>
        <w:rPr>
          <w:rFonts w:ascii="Arial" w:hAnsi="Arial"/>
        </w:rPr>
      </w:pPr>
      <w:bookmarkStart w:id="0" w:name="_GoBack"/>
      <w:bookmarkEnd w:id="0"/>
    </w:p>
    <w:p w14:paraId="0E4E7A02" w14:textId="77777777" w:rsidR="00CA3B0B" w:rsidRDefault="00CA3B0B" w:rsidP="00CA3B0B">
      <w:pPr>
        <w:spacing w:line="360" w:lineRule="auto"/>
        <w:jc w:val="both"/>
        <w:rPr>
          <w:rFonts w:ascii="Arial" w:hAnsi="Arial"/>
          <w:u w:val="single"/>
        </w:rPr>
      </w:pPr>
      <w:r>
        <w:rPr>
          <w:rFonts w:ascii="Arial" w:hAnsi="Arial"/>
          <w:u w:val="single"/>
        </w:rPr>
        <w:lastRenderedPageBreak/>
        <w:t>Order</w:t>
      </w:r>
    </w:p>
    <w:p w14:paraId="6CC64B95" w14:textId="77777777" w:rsidR="00CA3B0B" w:rsidRDefault="00CA3B0B" w:rsidP="00CA3B0B">
      <w:pPr>
        <w:pStyle w:val="ListParagraph"/>
        <w:spacing w:line="360" w:lineRule="auto"/>
        <w:ind w:left="0"/>
        <w:jc w:val="both"/>
        <w:rPr>
          <w:rFonts w:ascii="Arial" w:hAnsi="Arial"/>
        </w:rPr>
      </w:pPr>
    </w:p>
    <w:p w14:paraId="759A302D" w14:textId="08EC0730" w:rsidR="00DB3507" w:rsidRPr="0030676A" w:rsidRDefault="0030676A" w:rsidP="0030676A">
      <w:pPr>
        <w:spacing w:line="360" w:lineRule="auto"/>
        <w:jc w:val="both"/>
        <w:rPr>
          <w:rFonts w:ascii="Arial" w:hAnsi="Arial"/>
        </w:rPr>
      </w:pPr>
      <w:r>
        <w:rPr>
          <w:rFonts w:ascii="Arial" w:hAnsi="Arial"/>
        </w:rPr>
        <w:t>[44]</w:t>
      </w:r>
      <w:r>
        <w:rPr>
          <w:rFonts w:ascii="Arial" w:hAnsi="Arial"/>
        </w:rPr>
        <w:tab/>
      </w:r>
      <w:r w:rsidR="00DB3507" w:rsidRPr="0030676A">
        <w:rPr>
          <w:rFonts w:ascii="Arial" w:hAnsi="Arial"/>
        </w:rPr>
        <w:t>After due considera</w:t>
      </w:r>
      <w:r w:rsidR="00481AD3" w:rsidRPr="0030676A">
        <w:rPr>
          <w:rFonts w:ascii="Arial" w:hAnsi="Arial"/>
        </w:rPr>
        <w:t>tion of the papers filed and</w:t>
      </w:r>
      <w:r w:rsidR="00DB3507" w:rsidRPr="0030676A">
        <w:rPr>
          <w:rFonts w:ascii="Arial" w:hAnsi="Arial"/>
        </w:rPr>
        <w:t xml:space="preserve"> the argument advanced in this matter, the proper order to issue, regard had to the conclusion </w:t>
      </w:r>
      <w:r w:rsidR="00276812" w:rsidRPr="0030676A">
        <w:rPr>
          <w:rFonts w:ascii="Arial" w:hAnsi="Arial"/>
        </w:rPr>
        <w:t xml:space="preserve">drawn </w:t>
      </w:r>
      <w:r w:rsidR="00DB3507" w:rsidRPr="0030676A">
        <w:rPr>
          <w:rFonts w:ascii="Arial" w:hAnsi="Arial"/>
        </w:rPr>
        <w:t>immediately is above</w:t>
      </w:r>
      <w:r w:rsidR="00276812" w:rsidRPr="0030676A">
        <w:rPr>
          <w:rFonts w:ascii="Arial" w:hAnsi="Arial"/>
        </w:rPr>
        <w:t>,</w:t>
      </w:r>
      <w:r w:rsidR="00DB3507" w:rsidRPr="0030676A">
        <w:rPr>
          <w:rFonts w:ascii="Arial" w:hAnsi="Arial"/>
        </w:rPr>
        <w:t xml:space="preserve"> is the following:</w:t>
      </w:r>
    </w:p>
    <w:p w14:paraId="373713CD" w14:textId="77777777" w:rsidR="00DB3507" w:rsidRDefault="00DB3507" w:rsidP="00C20F5D">
      <w:pPr>
        <w:spacing w:line="360" w:lineRule="auto"/>
        <w:jc w:val="both"/>
        <w:rPr>
          <w:rFonts w:ascii="Arial" w:hAnsi="Arial"/>
        </w:rPr>
      </w:pPr>
    </w:p>
    <w:p w14:paraId="1F6E8406" w14:textId="7C7846A7" w:rsidR="00CA3B0B" w:rsidRDefault="00DB3507" w:rsidP="00CA3B0B">
      <w:pPr>
        <w:pStyle w:val="ListParagraph"/>
        <w:numPr>
          <w:ilvl w:val="0"/>
          <w:numId w:val="3"/>
        </w:numPr>
        <w:spacing w:line="360" w:lineRule="auto"/>
        <w:jc w:val="both"/>
        <w:rPr>
          <w:rFonts w:ascii="Arial" w:hAnsi="Arial"/>
        </w:rPr>
      </w:pPr>
      <w:r w:rsidRPr="00CA3B0B">
        <w:rPr>
          <w:rFonts w:ascii="Arial" w:hAnsi="Arial"/>
        </w:rPr>
        <w:t xml:space="preserve">The applicant’s </w:t>
      </w:r>
      <w:r w:rsidR="001817B0" w:rsidRPr="00CA3B0B">
        <w:rPr>
          <w:rFonts w:ascii="Arial" w:hAnsi="Arial"/>
        </w:rPr>
        <w:t>application for leave to appeal</w:t>
      </w:r>
      <w:r w:rsidR="0030676A">
        <w:rPr>
          <w:rFonts w:ascii="Arial" w:hAnsi="Arial"/>
        </w:rPr>
        <w:t xml:space="preserve"> is struck from the roll</w:t>
      </w:r>
      <w:r w:rsidRPr="00CA3B0B">
        <w:rPr>
          <w:rFonts w:ascii="Arial" w:hAnsi="Arial"/>
        </w:rPr>
        <w:t>.</w:t>
      </w:r>
    </w:p>
    <w:p w14:paraId="0BFE03F8" w14:textId="77777777" w:rsidR="00CA3B0B" w:rsidRDefault="00DB3507" w:rsidP="00CA3B0B">
      <w:pPr>
        <w:pStyle w:val="ListParagraph"/>
        <w:numPr>
          <w:ilvl w:val="0"/>
          <w:numId w:val="3"/>
        </w:numPr>
        <w:spacing w:line="360" w:lineRule="auto"/>
        <w:jc w:val="both"/>
        <w:rPr>
          <w:rFonts w:ascii="Arial" w:hAnsi="Arial"/>
        </w:rPr>
      </w:pPr>
      <w:r w:rsidRPr="00CA3B0B">
        <w:rPr>
          <w:rFonts w:ascii="Arial" w:hAnsi="Arial"/>
        </w:rPr>
        <w:t>There is no order as to costs.</w:t>
      </w:r>
    </w:p>
    <w:p w14:paraId="43F747BF" w14:textId="2AEAFC4A" w:rsidR="00DB3507" w:rsidRPr="00CA3B0B" w:rsidRDefault="00DB3507" w:rsidP="00CA3B0B">
      <w:pPr>
        <w:pStyle w:val="ListParagraph"/>
        <w:numPr>
          <w:ilvl w:val="0"/>
          <w:numId w:val="3"/>
        </w:numPr>
        <w:spacing w:line="360" w:lineRule="auto"/>
        <w:jc w:val="both"/>
        <w:rPr>
          <w:rFonts w:ascii="Arial" w:hAnsi="Arial"/>
        </w:rPr>
      </w:pPr>
      <w:r w:rsidRPr="00CA3B0B">
        <w:rPr>
          <w:rFonts w:ascii="Arial" w:hAnsi="Arial"/>
        </w:rPr>
        <w:t xml:space="preserve">The matter is removed from the roll and is regarded as finalised. </w:t>
      </w:r>
    </w:p>
    <w:p w14:paraId="4F2DE2D1" w14:textId="77777777" w:rsidR="00CA3B0B" w:rsidRDefault="00CA3B0B" w:rsidP="00CA3B0B">
      <w:pPr>
        <w:spacing w:line="360" w:lineRule="auto"/>
        <w:jc w:val="both"/>
        <w:rPr>
          <w:rFonts w:ascii="Arial" w:hAnsi="Arial"/>
        </w:rPr>
      </w:pPr>
    </w:p>
    <w:p w14:paraId="2E633EDF" w14:textId="77777777" w:rsidR="00CA3B0B" w:rsidRPr="00CA3B0B" w:rsidRDefault="00CA3B0B" w:rsidP="00CA3B0B">
      <w:pPr>
        <w:spacing w:line="360" w:lineRule="auto"/>
        <w:jc w:val="both"/>
        <w:rPr>
          <w:rFonts w:ascii="Arial" w:hAnsi="Arial"/>
        </w:rPr>
      </w:pPr>
    </w:p>
    <w:p w14:paraId="0088547D" w14:textId="77777777" w:rsidR="007A3763" w:rsidRPr="00193158" w:rsidRDefault="00193158" w:rsidP="00C20F5D">
      <w:pPr>
        <w:spacing w:line="360" w:lineRule="auto"/>
        <w:jc w:val="both"/>
        <w:rPr>
          <w:rFonts w:ascii="Arial" w:hAnsi="Arial"/>
        </w:rPr>
      </w:pPr>
      <w:r>
        <w:rPr>
          <w:rFonts w:ascii="Arial" w:hAnsi="Arial"/>
        </w:rPr>
        <w:t xml:space="preserve"> </w:t>
      </w:r>
    </w:p>
    <w:p w14:paraId="6458CA5C" w14:textId="77777777" w:rsidR="00CA3B0B" w:rsidRPr="008D43A2" w:rsidRDefault="00CA3B0B" w:rsidP="00CA3B0B">
      <w:pPr>
        <w:pStyle w:val="ListParagraph"/>
        <w:spacing w:line="360" w:lineRule="auto"/>
        <w:jc w:val="right"/>
        <w:rPr>
          <w:rFonts w:ascii="Arial" w:hAnsi="Arial" w:cs="Arial"/>
        </w:rPr>
      </w:pPr>
      <w:r w:rsidRPr="008D43A2">
        <w:rPr>
          <w:rFonts w:ascii="Arial" w:hAnsi="Arial" w:cs="Arial"/>
        </w:rPr>
        <w:t>_</w:t>
      </w:r>
      <w:r>
        <w:rPr>
          <w:rFonts w:ascii="Arial" w:hAnsi="Arial" w:cs="Arial"/>
        </w:rPr>
        <w:t>___________</w:t>
      </w:r>
    </w:p>
    <w:p w14:paraId="3D580CAE" w14:textId="77777777" w:rsidR="00CA3B0B" w:rsidRPr="008D43A2" w:rsidRDefault="00CA3B0B" w:rsidP="00CA3B0B">
      <w:pPr>
        <w:pStyle w:val="ListParagraph"/>
        <w:spacing w:line="360" w:lineRule="auto"/>
        <w:jc w:val="right"/>
        <w:rPr>
          <w:rFonts w:ascii="Arial" w:hAnsi="Arial" w:cs="Arial"/>
        </w:rPr>
      </w:pPr>
      <w:r w:rsidRPr="008D43A2">
        <w:rPr>
          <w:rFonts w:ascii="Arial" w:hAnsi="Arial" w:cs="Arial"/>
        </w:rPr>
        <w:t>T.S. Masuku</w:t>
      </w:r>
    </w:p>
    <w:p w14:paraId="12DC83AF" w14:textId="13F9F37C" w:rsidR="00CA3B0B" w:rsidRDefault="00CA3B0B" w:rsidP="00CA3B0B">
      <w:pPr>
        <w:pStyle w:val="ListParagraph"/>
        <w:spacing w:line="360" w:lineRule="auto"/>
        <w:jc w:val="right"/>
        <w:rPr>
          <w:rFonts w:ascii="Arial" w:hAnsi="Arial" w:cs="Arial"/>
        </w:rPr>
      </w:pPr>
      <w:r>
        <w:rPr>
          <w:rFonts w:ascii="Arial" w:hAnsi="Arial" w:cs="Arial"/>
        </w:rPr>
        <w:t>Judge</w:t>
      </w:r>
    </w:p>
    <w:p w14:paraId="7C93AD04" w14:textId="35C17A31" w:rsidR="00CA3B0B" w:rsidRDefault="00CA3B0B">
      <w:pPr>
        <w:rPr>
          <w:rFonts w:ascii="Arial" w:hAnsi="Arial" w:cs="Arial"/>
        </w:rPr>
      </w:pPr>
      <w:r>
        <w:rPr>
          <w:rFonts w:ascii="Arial" w:hAnsi="Arial" w:cs="Arial"/>
        </w:rPr>
        <w:br w:type="page"/>
      </w:r>
    </w:p>
    <w:p w14:paraId="5A798057" w14:textId="77777777" w:rsidR="00CA3B0B" w:rsidRPr="00CA3B0B" w:rsidRDefault="00CA3B0B" w:rsidP="00CA3B0B">
      <w:pPr>
        <w:spacing w:line="360" w:lineRule="auto"/>
        <w:rPr>
          <w:rFonts w:ascii="Arial" w:hAnsi="Arial" w:cs="Arial"/>
        </w:rPr>
        <w:sectPr w:rsidR="00CA3B0B" w:rsidRPr="00CA3B0B" w:rsidSect="0046554C">
          <w:headerReference w:type="default" r:id="rId8"/>
          <w:pgSz w:w="11910" w:h="16840"/>
          <w:pgMar w:top="1020" w:right="1020" w:bottom="280" w:left="1020" w:header="702" w:footer="0" w:gutter="0"/>
          <w:cols w:space="720"/>
          <w:noEndnote/>
          <w:titlePg/>
          <w:docGrid w:linePitch="326"/>
        </w:sectPr>
      </w:pPr>
    </w:p>
    <w:p w14:paraId="7E848797" w14:textId="77777777" w:rsidR="00CA3B0B" w:rsidRPr="008D43A2" w:rsidRDefault="00CA3B0B" w:rsidP="00CA3B0B">
      <w:pPr>
        <w:spacing w:line="360" w:lineRule="auto"/>
        <w:jc w:val="both"/>
        <w:rPr>
          <w:rFonts w:ascii="Arial" w:hAnsi="Arial" w:cs="Arial"/>
        </w:rPr>
      </w:pPr>
      <w:r w:rsidRPr="008D43A2">
        <w:rPr>
          <w:rFonts w:ascii="Arial" w:hAnsi="Arial" w:cs="Arial"/>
        </w:rPr>
        <w:lastRenderedPageBreak/>
        <w:t>APPEARANCES:</w:t>
      </w:r>
    </w:p>
    <w:p w14:paraId="3D52A457" w14:textId="77777777" w:rsidR="00CA3B0B" w:rsidRPr="008D43A2" w:rsidRDefault="00CA3B0B" w:rsidP="00CA3B0B">
      <w:pPr>
        <w:spacing w:line="360" w:lineRule="auto"/>
        <w:jc w:val="both"/>
        <w:rPr>
          <w:rFonts w:ascii="Arial" w:hAnsi="Arial" w:cs="Arial"/>
        </w:rPr>
      </w:pPr>
    </w:p>
    <w:p w14:paraId="26777A72" w14:textId="77777777" w:rsidR="00CA3B0B" w:rsidRPr="008D43A2" w:rsidRDefault="00CA3B0B" w:rsidP="00CA3B0B">
      <w:pPr>
        <w:spacing w:line="360" w:lineRule="auto"/>
        <w:jc w:val="both"/>
        <w:rPr>
          <w:rFonts w:ascii="Arial" w:hAnsi="Arial" w:cs="Arial"/>
        </w:rPr>
      </w:pPr>
    </w:p>
    <w:p w14:paraId="50A11CEA" w14:textId="01D4A756" w:rsidR="00CA3B0B" w:rsidRDefault="00CA3B0B" w:rsidP="00CA3B0B">
      <w:pPr>
        <w:spacing w:line="360" w:lineRule="auto"/>
        <w:jc w:val="both"/>
        <w:rPr>
          <w:rFonts w:ascii="Arial" w:hAnsi="Arial" w:cs="Arial"/>
        </w:rPr>
      </w:pPr>
      <w:r>
        <w:rPr>
          <w:rFonts w:ascii="Arial" w:hAnsi="Arial" w:cs="Arial"/>
        </w:rPr>
        <w:t>APPLICANT:</w:t>
      </w:r>
      <w:r>
        <w:rPr>
          <w:rFonts w:ascii="Arial" w:hAnsi="Arial" w:cs="Arial"/>
        </w:rPr>
        <w:tab/>
      </w:r>
      <w:r>
        <w:rPr>
          <w:rFonts w:ascii="Arial" w:hAnsi="Arial" w:cs="Arial"/>
        </w:rPr>
        <w:tab/>
      </w:r>
      <w:r>
        <w:rPr>
          <w:rFonts w:ascii="Arial" w:hAnsi="Arial" w:cs="Arial"/>
        </w:rPr>
        <w:tab/>
        <w:t xml:space="preserve">M </w:t>
      </w:r>
      <w:proofErr w:type="spellStart"/>
      <w:r>
        <w:rPr>
          <w:rFonts w:ascii="Arial" w:hAnsi="Arial" w:cs="Arial"/>
        </w:rPr>
        <w:t>Ikanga</w:t>
      </w:r>
      <w:proofErr w:type="spellEnd"/>
    </w:p>
    <w:p w14:paraId="073FDB02" w14:textId="791DAA79" w:rsidR="00CA3B0B" w:rsidRPr="008D43A2" w:rsidRDefault="00CA3B0B" w:rsidP="00CA3B0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Of M </w:t>
      </w:r>
      <w:proofErr w:type="spellStart"/>
      <w:r>
        <w:rPr>
          <w:rFonts w:ascii="Arial" w:hAnsi="Arial" w:cs="Arial"/>
        </w:rPr>
        <w:t>Ikanga</w:t>
      </w:r>
      <w:proofErr w:type="spellEnd"/>
      <w:r>
        <w:rPr>
          <w:rFonts w:ascii="Arial" w:hAnsi="Arial" w:cs="Arial"/>
        </w:rPr>
        <w:t xml:space="preserve"> &amp; Associates Inc., Windhoek</w:t>
      </w:r>
    </w:p>
    <w:p w14:paraId="4FDF0B02" w14:textId="5624362E" w:rsidR="00CA3B0B" w:rsidRPr="008D43A2" w:rsidRDefault="00CA3B0B" w:rsidP="00CA3B0B">
      <w:pPr>
        <w:spacing w:line="360" w:lineRule="auto"/>
        <w:jc w:val="both"/>
        <w:rPr>
          <w:rFonts w:ascii="Arial" w:hAnsi="Arial" w:cs="Arial"/>
        </w:rPr>
      </w:pPr>
      <w:r w:rsidRPr="008D43A2">
        <w:rPr>
          <w:rFonts w:ascii="Arial" w:hAnsi="Arial" w:cs="Arial"/>
        </w:rPr>
        <w:tab/>
      </w:r>
    </w:p>
    <w:p w14:paraId="3AB628F0" w14:textId="77777777" w:rsidR="00CA3B0B" w:rsidRPr="008D43A2" w:rsidRDefault="00CA3B0B" w:rsidP="00CA3B0B">
      <w:pPr>
        <w:spacing w:line="360" w:lineRule="auto"/>
        <w:jc w:val="both"/>
        <w:rPr>
          <w:rFonts w:ascii="Arial" w:hAnsi="Arial" w:cs="Arial"/>
        </w:rPr>
      </w:pPr>
    </w:p>
    <w:p w14:paraId="794D5786" w14:textId="664F6C44" w:rsidR="00CA3B0B" w:rsidRDefault="00CA3B0B" w:rsidP="00CA3B0B">
      <w:pPr>
        <w:spacing w:line="360" w:lineRule="auto"/>
        <w:jc w:val="both"/>
        <w:rPr>
          <w:rFonts w:ascii="Arial" w:hAnsi="Arial" w:cs="Arial"/>
        </w:rPr>
      </w:pPr>
      <w:r>
        <w:rPr>
          <w:rFonts w:ascii="Arial" w:hAnsi="Arial" w:cs="Arial"/>
        </w:rPr>
        <w:t xml:space="preserve">RESPONDENT:   </w:t>
      </w:r>
      <w:r>
        <w:rPr>
          <w:rFonts w:ascii="Arial" w:hAnsi="Arial" w:cs="Arial"/>
        </w:rPr>
        <w:tab/>
      </w:r>
      <w:r>
        <w:rPr>
          <w:rFonts w:ascii="Arial" w:hAnsi="Arial" w:cs="Arial"/>
        </w:rPr>
        <w:tab/>
        <w:t xml:space="preserve">D </w:t>
      </w:r>
      <w:proofErr w:type="spellStart"/>
      <w:r>
        <w:rPr>
          <w:rFonts w:ascii="Arial" w:hAnsi="Arial" w:cs="Arial"/>
        </w:rPr>
        <w:t>Quickfall</w:t>
      </w:r>
      <w:proofErr w:type="spellEnd"/>
    </w:p>
    <w:p w14:paraId="2723B5CE" w14:textId="745E2B16" w:rsidR="00CA3B0B" w:rsidRPr="008D43A2" w:rsidRDefault="00CA3B0B" w:rsidP="00CA3B0B">
      <w:pPr>
        <w:spacing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proofErr w:type="spellStart"/>
      <w:r>
        <w:rPr>
          <w:rFonts w:ascii="Arial" w:hAnsi="Arial" w:cs="Arial"/>
        </w:rPr>
        <w:t>Kӧpplinger-Boltman</w:t>
      </w:r>
      <w:proofErr w:type="spellEnd"/>
      <w:r>
        <w:rPr>
          <w:rFonts w:ascii="Arial" w:hAnsi="Arial" w:cs="Arial"/>
        </w:rPr>
        <w:t xml:space="preserve"> Legal Practitioners, Windhoek</w:t>
      </w:r>
    </w:p>
    <w:p w14:paraId="200258B5" w14:textId="77777777" w:rsidR="00CA3B0B" w:rsidRPr="00E803E0" w:rsidRDefault="00CA3B0B" w:rsidP="00CA3B0B">
      <w:pPr>
        <w:spacing w:line="360" w:lineRule="auto"/>
        <w:jc w:val="both"/>
        <w:rPr>
          <w:rFonts w:ascii="Arial" w:hAnsi="Arial" w:cs="Arial"/>
        </w:rPr>
      </w:pPr>
    </w:p>
    <w:p w14:paraId="091DFAAF" w14:textId="77777777" w:rsidR="00B65BD9" w:rsidRPr="00B65BD9" w:rsidRDefault="00B65BD9" w:rsidP="00CA3B0B">
      <w:pPr>
        <w:spacing w:line="360" w:lineRule="auto"/>
        <w:rPr>
          <w:rFonts w:ascii="Arial" w:hAnsi="Arial"/>
        </w:rPr>
      </w:pPr>
    </w:p>
    <w:sectPr w:rsidR="00B65BD9" w:rsidRPr="00B65BD9" w:rsidSect="00C20F5D">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BDF0E" w14:textId="77777777" w:rsidR="008B7381" w:rsidRDefault="008B7381" w:rsidP="00E6758C">
      <w:r>
        <w:separator/>
      </w:r>
    </w:p>
  </w:endnote>
  <w:endnote w:type="continuationSeparator" w:id="0">
    <w:p w14:paraId="4644E6C0" w14:textId="77777777" w:rsidR="008B7381" w:rsidRDefault="008B7381" w:rsidP="00E6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46FC" w14:textId="77777777" w:rsidR="008B7381" w:rsidRDefault="008B7381" w:rsidP="00E6758C">
      <w:r>
        <w:separator/>
      </w:r>
    </w:p>
  </w:footnote>
  <w:footnote w:type="continuationSeparator" w:id="0">
    <w:p w14:paraId="4C84E3FB" w14:textId="77777777" w:rsidR="008B7381" w:rsidRDefault="008B7381" w:rsidP="00E6758C">
      <w:r>
        <w:continuationSeparator/>
      </w:r>
    </w:p>
  </w:footnote>
  <w:footnote w:id="1">
    <w:p w14:paraId="3EFF4DCD" w14:textId="75C8BF7C" w:rsidR="00601212" w:rsidRPr="00E6758C" w:rsidRDefault="00601212">
      <w:pPr>
        <w:pStyle w:val="FootnoteText"/>
        <w:rPr>
          <w:lang w:val="en-US"/>
        </w:rPr>
      </w:pPr>
      <w:r>
        <w:rPr>
          <w:rStyle w:val="FootnoteReference"/>
        </w:rPr>
        <w:footnoteRef/>
      </w:r>
      <w:r>
        <w:t xml:space="preserve"> </w:t>
      </w:r>
      <w:r w:rsidRPr="001763F7">
        <w:rPr>
          <w:rFonts w:ascii="Arial" w:hAnsi="Arial"/>
          <w:i/>
          <w:sz w:val="20"/>
          <w:szCs w:val="20"/>
        </w:rPr>
        <w:t xml:space="preserve">Minister of Finance v </w:t>
      </w:r>
      <w:proofErr w:type="spellStart"/>
      <w:r w:rsidRPr="001763F7">
        <w:rPr>
          <w:rFonts w:ascii="Arial" w:hAnsi="Arial"/>
          <w:i/>
          <w:sz w:val="20"/>
          <w:szCs w:val="20"/>
        </w:rPr>
        <w:t>Hollard</w:t>
      </w:r>
      <w:proofErr w:type="spellEnd"/>
      <w:r w:rsidRPr="001763F7">
        <w:rPr>
          <w:rFonts w:ascii="Arial" w:hAnsi="Arial"/>
          <w:i/>
          <w:sz w:val="20"/>
          <w:szCs w:val="20"/>
        </w:rPr>
        <w:t xml:space="preserve"> Insurance Company of Namibia Ltd</w:t>
      </w:r>
      <w:r w:rsidRPr="00F86EAF">
        <w:rPr>
          <w:rFonts w:ascii="Arial" w:hAnsi="Arial"/>
          <w:sz w:val="20"/>
          <w:szCs w:val="20"/>
        </w:rPr>
        <w:t xml:space="preserve"> Case No: P8/2018 </w:t>
      </w:r>
      <w:r w:rsidRPr="00F86EAF">
        <w:rPr>
          <w:rFonts w:ascii="Arial" w:hAnsi="Arial"/>
          <w:sz w:val="20"/>
          <w:szCs w:val="20"/>
          <w:lang w:val="en-US"/>
        </w:rPr>
        <w:t>[2019] NASC 28 May 2019, para 109.</w:t>
      </w:r>
    </w:p>
  </w:footnote>
  <w:footnote w:id="2">
    <w:p w14:paraId="635879ED" w14:textId="52D3A412" w:rsidR="00601212" w:rsidRPr="00DE6D9B" w:rsidRDefault="00601212">
      <w:pPr>
        <w:pStyle w:val="FootnoteText"/>
        <w:rPr>
          <w:lang w:val="en-US"/>
        </w:rPr>
      </w:pPr>
      <w:r>
        <w:rPr>
          <w:rStyle w:val="FootnoteReference"/>
        </w:rPr>
        <w:footnoteRef/>
      </w:r>
      <w:proofErr w:type="spellStart"/>
      <w:r w:rsidRPr="001763F7">
        <w:rPr>
          <w:rFonts w:ascii="Arial" w:hAnsi="Arial"/>
          <w:i/>
          <w:sz w:val="20"/>
          <w:szCs w:val="20"/>
        </w:rPr>
        <w:t>Shilongo</w:t>
      </w:r>
      <w:proofErr w:type="spellEnd"/>
      <w:r w:rsidRPr="001763F7">
        <w:rPr>
          <w:rFonts w:ascii="Arial" w:hAnsi="Arial"/>
          <w:i/>
          <w:sz w:val="20"/>
          <w:szCs w:val="20"/>
        </w:rPr>
        <w:t xml:space="preserve"> v Vector Logistics (Pty) Ltd</w:t>
      </w:r>
      <w:r>
        <w:t xml:space="preserve"> </w:t>
      </w:r>
      <w:r w:rsidRPr="00F86EAF">
        <w:rPr>
          <w:rFonts w:ascii="Arial" w:hAnsi="Arial"/>
          <w:sz w:val="20"/>
          <w:szCs w:val="20"/>
          <w:lang w:val="en-US"/>
        </w:rPr>
        <w:t>(27 of 2012) [2014] NALCMD 33 (7 August 2014), para 4.</w:t>
      </w:r>
    </w:p>
  </w:footnote>
  <w:footnote w:id="3">
    <w:p w14:paraId="544A6BBD" w14:textId="103B0BDC" w:rsidR="00601212" w:rsidRPr="00F86EAF" w:rsidRDefault="00601212">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S v </w:t>
      </w:r>
      <w:proofErr w:type="spellStart"/>
      <w:r>
        <w:rPr>
          <w:rFonts w:ascii="Arial" w:hAnsi="Arial"/>
          <w:i/>
          <w:sz w:val="20"/>
          <w:szCs w:val="20"/>
          <w:lang w:val="en-US"/>
        </w:rPr>
        <w:t>Gey</w:t>
      </w:r>
      <w:proofErr w:type="spellEnd"/>
      <w:r>
        <w:rPr>
          <w:rFonts w:ascii="Arial" w:hAnsi="Arial"/>
          <w:i/>
          <w:sz w:val="20"/>
          <w:szCs w:val="20"/>
          <w:lang w:val="en-US"/>
        </w:rPr>
        <w:t xml:space="preserve"> van </w:t>
      </w:r>
      <w:proofErr w:type="spellStart"/>
      <w:r>
        <w:rPr>
          <w:rFonts w:ascii="Arial" w:hAnsi="Arial"/>
          <w:i/>
          <w:sz w:val="20"/>
          <w:szCs w:val="20"/>
          <w:lang w:val="en-US"/>
        </w:rPr>
        <w:t>Pittius</w:t>
      </w:r>
      <w:proofErr w:type="spellEnd"/>
      <w:r>
        <w:rPr>
          <w:rFonts w:ascii="Arial" w:hAnsi="Arial"/>
          <w:i/>
          <w:sz w:val="20"/>
          <w:szCs w:val="20"/>
          <w:lang w:val="en-US"/>
        </w:rPr>
        <w:t xml:space="preserve"> and </w:t>
      </w:r>
      <w:proofErr w:type="gramStart"/>
      <w:r>
        <w:rPr>
          <w:rFonts w:ascii="Arial" w:hAnsi="Arial"/>
          <w:i/>
          <w:sz w:val="20"/>
          <w:szCs w:val="20"/>
          <w:lang w:val="en-US"/>
        </w:rPr>
        <w:t>Another</w:t>
      </w:r>
      <w:proofErr w:type="gramEnd"/>
      <w:r>
        <w:rPr>
          <w:rFonts w:ascii="Arial" w:hAnsi="Arial"/>
          <w:i/>
          <w:sz w:val="20"/>
          <w:szCs w:val="20"/>
          <w:lang w:val="en-US"/>
        </w:rPr>
        <w:t xml:space="preserve"> </w:t>
      </w:r>
      <w:r>
        <w:rPr>
          <w:rFonts w:ascii="Arial" w:hAnsi="Arial"/>
          <w:sz w:val="20"/>
          <w:szCs w:val="20"/>
          <w:lang w:val="en-US"/>
        </w:rPr>
        <w:t>1</w:t>
      </w:r>
      <w:r w:rsidRPr="00F86EAF">
        <w:rPr>
          <w:rFonts w:ascii="Arial" w:hAnsi="Arial"/>
          <w:sz w:val="20"/>
          <w:szCs w:val="20"/>
          <w:lang w:val="en-US"/>
        </w:rPr>
        <w:t>990 NR 35 (HC) at 36 E-H.</w:t>
      </w:r>
    </w:p>
  </w:footnote>
  <w:footnote w:id="4">
    <w:p w14:paraId="5166E808" w14:textId="3813C494" w:rsidR="00601212" w:rsidRPr="00F86EAF" w:rsidRDefault="00601212">
      <w:pPr>
        <w:pStyle w:val="FootnoteText"/>
        <w:rPr>
          <w:rFonts w:ascii="Arial" w:hAnsi="Arial"/>
          <w:i/>
          <w:sz w:val="20"/>
          <w:szCs w:val="20"/>
          <w:lang w:val="en-US"/>
        </w:rPr>
      </w:pPr>
      <w:r>
        <w:rPr>
          <w:rStyle w:val="FootnoteReference"/>
        </w:rPr>
        <w:footnoteRef/>
      </w:r>
      <w:r>
        <w:t xml:space="preserve"> </w:t>
      </w:r>
      <w:proofErr w:type="spellStart"/>
      <w:r w:rsidRPr="009053F8">
        <w:rPr>
          <w:rFonts w:ascii="Arial" w:hAnsi="Arial"/>
          <w:i/>
          <w:sz w:val="20"/>
          <w:szCs w:val="20"/>
          <w:lang w:val="en-US"/>
        </w:rPr>
        <w:t>Songono</w:t>
      </w:r>
      <w:proofErr w:type="spellEnd"/>
      <w:r w:rsidRPr="009053F8">
        <w:rPr>
          <w:rFonts w:ascii="Arial" w:hAnsi="Arial"/>
          <w:i/>
          <w:sz w:val="20"/>
          <w:szCs w:val="20"/>
          <w:lang w:val="en-US"/>
        </w:rPr>
        <w:t xml:space="preserve"> v Minister of Law and Order</w:t>
      </w:r>
      <w:r>
        <w:rPr>
          <w:rFonts w:ascii="Arial" w:hAnsi="Arial"/>
          <w:sz w:val="20"/>
          <w:szCs w:val="20"/>
          <w:lang w:val="en-US"/>
        </w:rPr>
        <w:t xml:space="preserve"> 1996 (4) SA 384 (E) and Petrus T. Damaseb, </w:t>
      </w:r>
      <w:r>
        <w:rPr>
          <w:rFonts w:ascii="Arial" w:hAnsi="Arial"/>
          <w:i/>
          <w:sz w:val="20"/>
          <w:szCs w:val="20"/>
          <w:lang w:val="en-US"/>
        </w:rPr>
        <w:t xml:space="preserve">The Supreme Court of Namibia Law and Practice, </w:t>
      </w:r>
      <w:proofErr w:type="spellStart"/>
      <w:r>
        <w:rPr>
          <w:rFonts w:ascii="Arial" w:hAnsi="Arial"/>
          <w:sz w:val="20"/>
          <w:szCs w:val="20"/>
          <w:lang w:val="en-US"/>
        </w:rPr>
        <w:t>Juta</w:t>
      </w:r>
      <w:proofErr w:type="spellEnd"/>
      <w:r>
        <w:rPr>
          <w:rFonts w:ascii="Arial" w:hAnsi="Arial"/>
          <w:sz w:val="20"/>
          <w:szCs w:val="20"/>
          <w:lang w:val="en-US"/>
        </w:rPr>
        <w:t xml:space="preserve"> &amp; Co, 1</w:t>
      </w:r>
      <w:r w:rsidRPr="00F86EAF">
        <w:rPr>
          <w:rFonts w:ascii="Arial" w:hAnsi="Arial"/>
          <w:sz w:val="20"/>
          <w:szCs w:val="20"/>
          <w:vertAlign w:val="superscript"/>
          <w:lang w:val="en-US"/>
        </w:rPr>
        <w:t>st</w:t>
      </w:r>
      <w:r>
        <w:rPr>
          <w:rFonts w:ascii="Arial" w:hAnsi="Arial"/>
          <w:sz w:val="20"/>
          <w:szCs w:val="20"/>
          <w:lang w:val="en-US"/>
        </w:rPr>
        <w:t xml:space="preserve"> </w:t>
      </w:r>
      <w:proofErr w:type="spellStart"/>
      <w:r>
        <w:rPr>
          <w:rFonts w:ascii="Arial" w:hAnsi="Arial"/>
          <w:sz w:val="20"/>
          <w:szCs w:val="20"/>
          <w:lang w:val="en-US"/>
        </w:rPr>
        <w:t>ed</w:t>
      </w:r>
      <w:proofErr w:type="spellEnd"/>
      <w:r>
        <w:rPr>
          <w:rFonts w:ascii="Arial" w:hAnsi="Arial"/>
          <w:sz w:val="20"/>
          <w:szCs w:val="20"/>
          <w:lang w:val="en-US"/>
        </w:rPr>
        <w:t>, 2021, p103.</w:t>
      </w:r>
      <w:r>
        <w:rPr>
          <w:rFonts w:ascii="Arial" w:hAnsi="Arial"/>
          <w:i/>
          <w:sz w:val="20"/>
          <w:szCs w:val="20"/>
          <w:lang w:val="en-US"/>
        </w:rPr>
        <w:t xml:space="preserve"> </w:t>
      </w:r>
    </w:p>
  </w:footnote>
  <w:footnote w:id="5">
    <w:p w14:paraId="4614080D" w14:textId="75A548A6" w:rsidR="00601212" w:rsidRPr="00751B2D" w:rsidRDefault="00601212">
      <w:pPr>
        <w:pStyle w:val="FootnoteText"/>
        <w:rPr>
          <w:rFonts w:ascii="Arial" w:hAnsi="Arial"/>
          <w:sz w:val="20"/>
          <w:szCs w:val="20"/>
          <w:lang w:val="en-US"/>
        </w:rPr>
      </w:pPr>
      <w:r>
        <w:rPr>
          <w:rStyle w:val="FootnoteReference"/>
        </w:rPr>
        <w:footnoteRef/>
      </w:r>
      <w:r>
        <w:t xml:space="preserve"> </w:t>
      </w:r>
      <w:r w:rsidRPr="009053F8">
        <w:rPr>
          <w:rFonts w:ascii="Arial" w:hAnsi="Arial"/>
          <w:i/>
          <w:sz w:val="20"/>
          <w:szCs w:val="20"/>
          <w:lang w:val="en-US"/>
        </w:rPr>
        <w:t xml:space="preserve">Model Pick ’n Pay Family Supermarket v </w:t>
      </w:r>
      <w:proofErr w:type="spellStart"/>
      <w:r w:rsidRPr="009053F8">
        <w:rPr>
          <w:rFonts w:ascii="Arial" w:hAnsi="Arial"/>
          <w:i/>
          <w:sz w:val="20"/>
          <w:szCs w:val="20"/>
          <w:lang w:val="en-US"/>
        </w:rPr>
        <w:t>Mwaala</w:t>
      </w:r>
      <w:proofErr w:type="spellEnd"/>
      <w:r>
        <w:rPr>
          <w:rFonts w:ascii="Arial" w:hAnsi="Arial"/>
          <w:sz w:val="20"/>
          <w:szCs w:val="20"/>
          <w:lang w:val="en-US"/>
        </w:rPr>
        <w:t xml:space="preserve"> 2003 NR 175 (LC), p 181J-182B.</w:t>
      </w:r>
    </w:p>
  </w:footnote>
  <w:footnote w:id="6">
    <w:p w14:paraId="4753EA9C" w14:textId="21B61238" w:rsidR="00601212" w:rsidRPr="00B63BD8" w:rsidRDefault="00601212" w:rsidP="00B63BD8">
      <w:pPr>
        <w:pStyle w:val="FootnoteText"/>
        <w:jc w:val="both"/>
        <w:rPr>
          <w:rFonts w:ascii="Arial" w:hAnsi="Arial"/>
          <w:sz w:val="20"/>
          <w:szCs w:val="20"/>
          <w:lang w:val="en-US"/>
        </w:rPr>
      </w:pPr>
      <w:r>
        <w:rPr>
          <w:rStyle w:val="FootnoteReference"/>
        </w:rPr>
        <w:footnoteRef/>
      </w:r>
      <w:r>
        <w:t xml:space="preserve"> </w:t>
      </w:r>
      <w:r>
        <w:rPr>
          <w:rFonts w:ascii="Arial" w:hAnsi="Arial"/>
          <w:i/>
          <w:sz w:val="20"/>
          <w:szCs w:val="20"/>
        </w:rPr>
        <w:t xml:space="preserve">Telecom Namibia v </w:t>
      </w:r>
      <w:proofErr w:type="spellStart"/>
      <w:r>
        <w:rPr>
          <w:rFonts w:ascii="Arial" w:hAnsi="Arial"/>
          <w:i/>
          <w:sz w:val="20"/>
          <w:szCs w:val="20"/>
        </w:rPr>
        <w:t>Mandjolo</w:t>
      </w:r>
      <w:proofErr w:type="spellEnd"/>
      <w:r>
        <w:rPr>
          <w:rFonts w:ascii="Arial" w:hAnsi="Arial"/>
          <w:i/>
          <w:sz w:val="20"/>
          <w:szCs w:val="20"/>
        </w:rPr>
        <w:t xml:space="preserve"> </w:t>
      </w:r>
      <w:r>
        <w:rPr>
          <w:rFonts w:ascii="Arial" w:hAnsi="Arial"/>
          <w:sz w:val="20"/>
          <w:szCs w:val="20"/>
        </w:rPr>
        <w:t>(HC-MD-LAB-APP-AAA-2022/00076) NALCMD 20 (12 May 2023), para 76.</w:t>
      </w:r>
    </w:p>
  </w:footnote>
  <w:footnote w:id="7">
    <w:p w14:paraId="513AAFDB" w14:textId="53FD1252" w:rsidR="00601212" w:rsidRPr="00DE1E6E" w:rsidRDefault="00601212">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Desert Fruit (Pty) Ltd v Smith </w:t>
      </w:r>
      <w:r>
        <w:rPr>
          <w:rFonts w:ascii="Arial" w:hAnsi="Arial"/>
          <w:sz w:val="20"/>
          <w:szCs w:val="20"/>
          <w:lang w:val="en-US"/>
        </w:rPr>
        <w:t>Case (SA 34/2021) [2023] NASC (28 July 2023).</w:t>
      </w:r>
    </w:p>
  </w:footnote>
  <w:footnote w:id="8">
    <w:p w14:paraId="1B9A9242" w14:textId="3EE14A21" w:rsidR="00601212" w:rsidRPr="004E0957" w:rsidRDefault="00601212">
      <w:pPr>
        <w:pStyle w:val="FootnoteText"/>
        <w:rPr>
          <w:rFonts w:ascii="Arial" w:hAnsi="Arial"/>
          <w:i/>
          <w:sz w:val="20"/>
          <w:szCs w:val="20"/>
          <w:lang w:val="en-US"/>
        </w:rPr>
      </w:pPr>
      <w:r>
        <w:rPr>
          <w:rStyle w:val="FootnoteReference"/>
        </w:rPr>
        <w:footnoteRef/>
      </w:r>
      <w:r>
        <w:t xml:space="preserve"> </w:t>
      </w:r>
      <w:r>
        <w:rPr>
          <w:rFonts w:ascii="Arial" w:hAnsi="Arial"/>
          <w:i/>
          <w:sz w:val="20"/>
          <w:szCs w:val="20"/>
        </w:rPr>
        <w:t>N</w:t>
      </w:r>
      <w:r w:rsidR="00785943">
        <w:rPr>
          <w:rFonts w:ascii="Arial" w:hAnsi="Arial"/>
          <w:i/>
          <w:sz w:val="20"/>
          <w:szCs w:val="20"/>
        </w:rPr>
        <w:t xml:space="preserve">ational </w:t>
      </w:r>
      <w:r>
        <w:rPr>
          <w:rFonts w:ascii="Arial" w:hAnsi="Arial"/>
          <w:i/>
          <w:sz w:val="20"/>
          <w:szCs w:val="20"/>
        </w:rPr>
        <w:t>C</w:t>
      </w:r>
      <w:r w:rsidR="00785943">
        <w:rPr>
          <w:rFonts w:ascii="Arial" w:hAnsi="Arial"/>
          <w:i/>
          <w:sz w:val="20"/>
          <w:szCs w:val="20"/>
        </w:rPr>
        <w:t xml:space="preserve">redit </w:t>
      </w:r>
      <w:r>
        <w:rPr>
          <w:rFonts w:ascii="Arial" w:hAnsi="Arial"/>
          <w:i/>
          <w:sz w:val="20"/>
          <w:szCs w:val="20"/>
        </w:rPr>
        <w:t>R</w:t>
      </w:r>
      <w:r w:rsidR="00785943">
        <w:rPr>
          <w:rFonts w:ascii="Arial" w:hAnsi="Arial"/>
          <w:i/>
          <w:sz w:val="20"/>
          <w:szCs w:val="20"/>
        </w:rPr>
        <w:t xml:space="preserve">egulator v Lewis Stores (Pty) Ltd </w:t>
      </w:r>
      <w:r w:rsidR="00785943">
        <w:rPr>
          <w:rFonts w:ascii="Arial" w:hAnsi="Arial"/>
          <w:sz w:val="20"/>
          <w:szCs w:val="20"/>
        </w:rPr>
        <w:t>2020 (2) SA 390 (SCA).</w:t>
      </w:r>
      <w:r>
        <w:rPr>
          <w:rFonts w:ascii="Arial" w:hAnsi="Arial"/>
          <w:i/>
          <w:sz w:val="20"/>
          <w:szCs w:val="20"/>
        </w:rPr>
        <w:t xml:space="preserve"> </w:t>
      </w:r>
    </w:p>
  </w:footnote>
  <w:footnote w:id="9">
    <w:p w14:paraId="19E80FD4" w14:textId="0B9F11DC" w:rsidR="00601212" w:rsidRPr="00356F0E" w:rsidRDefault="00601212">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Ibid </w:t>
      </w:r>
      <w:r>
        <w:rPr>
          <w:rFonts w:ascii="Arial" w:hAnsi="Arial"/>
          <w:sz w:val="20"/>
          <w:szCs w:val="20"/>
          <w:lang w:val="en-US"/>
        </w:rPr>
        <w:t>para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68947"/>
      <w:docPartObj>
        <w:docPartGallery w:val="Page Numbers (Top of Page)"/>
        <w:docPartUnique/>
      </w:docPartObj>
    </w:sdtPr>
    <w:sdtEndPr>
      <w:rPr>
        <w:rFonts w:ascii="Arial" w:hAnsi="Arial" w:cs="Arial"/>
        <w:noProof/>
      </w:rPr>
    </w:sdtEndPr>
    <w:sdtContent>
      <w:p w14:paraId="5D0B18A7" w14:textId="77777777" w:rsidR="00601212" w:rsidRPr="00274761" w:rsidRDefault="00601212">
        <w:pPr>
          <w:pStyle w:val="Header"/>
          <w:jc w:val="right"/>
          <w:rPr>
            <w:rFonts w:ascii="Arial" w:hAnsi="Arial" w:cs="Arial"/>
          </w:rPr>
        </w:pPr>
        <w:r w:rsidRPr="00274761">
          <w:rPr>
            <w:rFonts w:ascii="Arial" w:hAnsi="Arial" w:cs="Arial"/>
          </w:rPr>
          <w:fldChar w:fldCharType="begin"/>
        </w:r>
        <w:r w:rsidRPr="00274761">
          <w:rPr>
            <w:rFonts w:ascii="Arial" w:hAnsi="Arial" w:cs="Arial"/>
          </w:rPr>
          <w:instrText xml:space="preserve"> PAGE   \* MERGEFORMAT </w:instrText>
        </w:r>
        <w:r w:rsidRPr="00274761">
          <w:rPr>
            <w:rFonts w:ascii="Arial" w:hAnsi="Arial" w:cs="Arial"/>
          </w:rPr>
          <w:fldChar w:fldCharType="separate"/>
        </w:r>
        <w:r w:rsidR="002F4845">
          <w:rPr>
            <w:rFonts w:ascii="Arial" w:hAnsi="Arial" w:cs="Arial"/>
            <w:noProof/>
          </w:rPr>
          <w:t>13</w:t>
        </w:r>
        <w:r w:rsidRPr="00274761">
          <w:rPr>
            <w:rFonts w:ascii="Arial" w:hAnsi="Arial" w:cs="Arial"/>
            <w:noProof/>
          </w:rPr>
          <w:fldChar w:fldCharType="end"/>
        </w:r>
      </w:p>
    </w:sdtContent>
  </w:sdt>
  <w:p w14:paraId="0DBDB1FC" w14:textId="77777777" w:rsidR="00601212" w:rsidRDefault="00601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56BC" w14:textId="77777777" w:rsidR="00601212" w:rsidRDefault="00601212" w:rsidP="003B23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92C02" w14:textId="77777777" w:rsidR="00601212" w:rsidRDefault="00601212" w:rsidP="00F74E8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B290" w14:textId="77777777" w:rsidR="00601212" w:rsidRDefault="00601212" w:rsidP="003B23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10306FE" w14:textId="77777777" w:rsidR="00601212" w:rsidRDefault="00601212" w:rsidP="00F74E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A64"/>
    <w:multiLevelType w:val="hybridMultilevel"/>
    <w:tmpl w:val="4B3232C6"/>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90B7B"/>
    <w:multiLevelType w:val="hybridMultilevel"/>
    <w:tmpl w:val="1D6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37A71"/>
    <w:multiLevelType w:val="hybridMultilevel"/>
    <w:tmpl w:val="BFAE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DF"/>
    <w:rsid w:val="00013828"/>
    <w:rsid w:val="00022BFA"/>
    <w:rsid w:val="00035391"/>
    <w:rsid w:val="00055C43"/>
    <w:rsid w:val="000D4DA0"/>
    <w:rsid w:val="0013714E"/>
    <w:rsid w:val="00161E5A"/>
    <w:rsid w:val="0017547B"/>
    <w:rsid w:val="001763F7"/>
    <w:rsid w:val="001817B0"/>
    <w:rsid w:val="00193158"/>
    <w:rsid w:val="001A00DD"/>
    <w:rsid w:val="00201F62"/>
    <w:rsid w:val="00212137"/>
    <w:rsid w:val="002176E0"/>
    <w:rsid w:val="00235F5E"/>
    <w:rsid w:val="00241616"/>
    <w:rsid w:val="002601C1"/>
    <w:rsid w:val="00264459"/>
    <w:rsid w:val="00274761"/>
    <w:rsid w:val="00276812"/>
    <w:rsid w:val="002A073B"/>
    <w:rsid w:val="002D2200"/>
    <w:rsid w:val="002E1CDF"/>
    <w:rsid w:val="002F4845"/>
    <w:rsid w:val="0030676A"/>
    <w:rsid w:val="00341C56"/>
    <w:rsid w:val="00356F0E"/>
    <w:rsid w:val="00394613"/>
    <w:rsid w:val="0039603E"/>
    <w:rsid w:val="003A5A54"/>
    <w:rsid w:val="003B1753"/>
    <w:rsid w:val="003B23C3"/>
    <w:rsid w:val="00403629"/>
    <w:rsid w:val="00434912"/>
    <w:rsid w:val="00442C43"/>
    <w:rsid w:val="0046554C"/>
    <w:rsid w:val="00472BC7"/>
    <w:rsid w:val="00481AD3"/>
    <w:rsid w:val="00485F0E"/>
    <w:rsid w:val="004B734A"/>
    <w:rsid w:val="004C1460"/>
    <w:rsid w:val="004E0957"/>
    <w:rsid w:val="00523CB4"/>
    <w:rsid w:val="00583351"/>
    <w:rsid w:val="00593EF9"/>
    <w:rsid w:val="005D2D33"/>
    <w:rsid w:val="00601212"/>
    <w:rsid w:val="0063365F"/>
    <w:rsid w:val="0065158B"/>
    <w:rsid w:val="00680457"/>
    <w:rsid w:val="006E0C54"/>
    <w:rsid w:val="006E486A"/>
    <w:rsid w:val="00705BD2"/>
    <w:rsid w:val="00715202"/>
    <w:rsid w:val="007159E3"/>
    <w:rsid w:val="00751B2D"/>
    <w:rsid w:val="007815EC"/>
    <w:rsid w:val="00785943"/>
    <w:rsid w:val="00792640"/>
    <w:rsid w:val="007A1AEF"/>
    <w:rsid w:val="007A3763"/>
    <w:rsid w:val="007F2060"/>
    <w:rsid w:val="00812393"/>
    <w:rsid w:val="008448E3"/>
    <w:rsid w:val="008577B8"/>
    <w:rsid w:val="008B1102"/>
    <w:rsid w:val="008B7381"/>
    <w:rsid w:val="009053F8"/>
    <w:rsid w:val="0091542C"/>
    <w:rsid w:val="009455B2"/>
    <w:rsid w:val="00984BD7"/>
    <w:rsid w:val="009930AA"/>
    <w:rsid w:val="009C41C9"/>
    <w:rsid w:val="00A0425E"/>
    <w:rsid w:val="00A574DA"/>
    <w:rsid w:val="00A64B1A"/>
    <w:rsid w:val="00A8601E"/>
    <w:rsid w:val="00AB7591"/>
    <w:rsid w:val="00AD5CE9"/>
    <w:rsid w:val="00AE438D"/>
    <w:rsid w:val="00AF39E2"/>
    <w:rsid w:val="00B374FC"/>
    <w:rsid w:val="00B63BD8"/>
    <w:rsid w:val="00B65BD9"/>
    <w:rsid w:val="00BE314F"/>
    <w:rsid w:val="00C20F5D"/>
    <w:rsid w:val="00C344BF"/>
    <w:rsid w:val="00C502D4"/>
    <w:rsid w:val="00CA13BC"/>
    <w:rsid w:val="00CA3B0B"/>
    <w:rsid w:val="00CA72DE"/>
    <w:rsid w:val="00CF7D5C"/>
    <w:rsid w:val="00D24845"/>
    <w:rsid w:val="00D35C1F"/>
    <w:rsid w:val="00DA6B9D"/>
    <w:rsid w:val="00DB3507"/>
    <w:rsid w:val="00DE1E6E"/>
    <w:rsid w:val="00DE33C4"/>
    <w:rsid w:val="00DE6D9B"/>
    <w:rsid w:val="00E6087A"/>
    <w:rsid w:val="00E67465"/>
    <w:rsid w:val="00E6758C"/>
    <w:rsid w:val="00EA01E0"/>
    <w:rsid w:val="00EA4B27"/>
    <w:rsid w:val="00EB7B4B"/>
    <w:rsid w:val="00F54337"/>
    <w:rsid w:val="00F5635E"/>
    <w:rsid w:val="00F74E80"/>
    <w:rsid w:val="00F8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70BC6"/>
  <w14:defaultImageDpi w14:val="300"/>
  <w15:docId w15:val="{C7C06083-951D-4EEB-8EC3-A540B170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758C"/>
  </w:style>
  <w:style w:type="character" w:customStyle="1" w:styleId="FootnoteTextChar">
    <w:name w:val="Footnote Text Char"/>
    <w:basedOn w:val="DefaultParagraphFont"/>
    <w:link w:val="FootnoteText"/>
    <w:uiPriority w:val="99"/>
    <w:rsid w:val="00E6758C"/>
  </w:style>
  <w:style w:type="character" w:styleId="FootnoteReference">
    <w:name w:val="footnote reference"/>
    <w:basedOn w:val="DefaultParagraphFont"/>
    <w:uiPriority w:val="99"/>
    <w:unhideWhenUsed/>
    <w:rsid w:val="00E6758C"/>
    <w:rPr>
      <w:vertAlign w:val="superscript"/>
    </w:rPr>
  </w:style>
  <w:style w:type="paragraph" w:styleId="ListParagraph">
    <w:name w:val="List Paragraph"/>
    <w:basedOn w:val="Normal"/>
    <w:uiPriority w:val="1"/>
    <w:qFormat/>
    <w:rsid w:val="00DB3507"/>
    <w:pPr>
      <w:ind w:left="720"/>
      <w:contextualSpacing/>
    </w:pPr>
  </w:style>
  <w:style w:type="paragraph" w:styleId="Header">
    <w:name w:val="header"/>
    <w:basedOn w:val="Normal"/>
    <w:link w:val="HeaderChar"/>
    <w:uiPriority w:val="99"/>
    <w:unhideWhenUsed/>
    <w:rsid w:val="00F74E80"/>
    <w:pPr>
      <w:tabs>
        <w:tab w:val="center" w:pos="4320"/>
        <w:tab w:val="right" w:pos="8640"/>
      </w:tabs>
    </w:pPr>
  </w:style>
  <w:style w:type="character" w:customStyle="1" w:styleId="HeaderChar">
    <w:name w:val="Header Char"/>
    <w:basedOn w:val="DefaultParagraphFont"/>
    <w:link w:val="Header"/>
    <w:uiPriority w:val="99"/>
    <w:rsid w:val="00F74E80"/>
  </w:style>
  <w:style w:type="character" w:styleId="PageNumber">
    <w:name w:val="page number"/>
    <w:basedOn w:val="DefaultParagraphFont"/>
    <w:uiPriority w:val="99"/>
    <w:semiHidden/>
    <w:unhideWhenUsed/>
    <w:rsid w:val="00F74E80"/>
  </w:style>
  <w:style w:type="paragraph" w:styleId="Footer">
    <w:name w:val="footer"/>
    <w:basedOn w:val="Normal"/>
    <w:link w:val="FooterChar"/>
    <w:uiPriority w:val="99"/>
    <w:unhideWhenUsed/>
    <w:rsid w:val="00C20F5D"/>
    <w:pPr>
      <w:tabs>
        <w:tab w:val="center" w:pos="4680"/>
        <w:tab w:val="right" w:pos="9360"/>
      </w:tabs>
    </w:pPr>
  </w:style>
  <w:style w:type="character" w:customStyle="1" w:styleId="FooterChar">
    <w:name w:val="Footer Char"/>
    <w:basedOn w:val="DefaultParagraphFont"/>
    <w:link w:val="Footer"/>
    <w:uiPriority w:val="99"/>
    <w:rsid w:val="00C20F5D"/>
  </w:style>
  <w:style w:type="paragraph" w:styleId="BalloonText">
    <w:name w:val="Balloon Text"/>
    <w:basedOn w:val="Normal"/>
    <w:link w:val="BalloonTextChar"/>
    <w:uiPriority w:val="99"/>
    <w:semiHidden/>
    <w:unhideWhenUsed/>
    <w:rsid w:val="007A1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2023-08-23T18:30:00+00:00</Judgment_x0020_Date>
    <Year xmlns="aec0a7e9-5f5c-4ba9-87b2-85cfc8a38b86">2023</Year>
  </documentManagement>
</p:properties>
</file>

<file path=customXml/itemProps1.xml><?xml version="1.0" encoding="utf-8"?>
<ds:datastoreItem xmlns:ds="http://schemas.openxmlformats.org/officeDocument/2006/customXml" ds:itemID="{EB720459-E21C-4E63-AAA1-3F97AF237EAB}"/>
</file>

<file path=customXml/itemProps2.xml><?xml version="1.0" encoding="utf-8"?>
<ds:datastoreItem xmlns:ds="http://schemas.openxmlformats.org/officeDocument/2006/customXml" ds:itemID="{4AE8B0FF-566E-4C8D-9046-928A472E2664}"/>
</file>

<file path=customXml/itemProps3.xml><?xml version="1.0" encoding="utf-8"?>
<ds:datastoreItem xmlns:ds="http://schemas.openxmlformats.org/officeDocument/2006/customXml" ds:itemID="{1FFBDDFA-292A-4DDC-9F08-E5D1E5224EC5}"/>
</file>

<file path=docProps/app.xml><?xml version="1.0" encoding="utf-8"?>
<Properties xmlns="http://schemas.openxmlformats.org/officeDocument/2006/extended-properties" xmlns:vt="http://schemas.openxmlformats.org/officeDocument/2006/docPropsVTypes">
  <Template>Normal</Template>
  <TotalTime>2</TotalTime>
  <Pages>14</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Iipinge v Indongo Auto (Pty) Ltd ta Indongo Toyota (HC- MD-LAB-APP-AAA-2021-00068) [2023] NALCMD 38 (24 August 2023)</dc:title>
  <dc:subject/>
  <dc:creator>Thomas Masuku</dc:creator>
  <cp:keywords/>
  <dc:description/>
  <cp:lastModifiedBy>Aune Victor</cp:lastModifiedBy>
  <cp:revision>4</cp:revision>
  <cp:lastPrinted>2023-08-09T08:26:00Z</cp:lastPrinted>
  <dcterms:created xsi:type="dcterms:W3CDTF">2023-08-25T09:02:00Z</dcterms:created>
  <dcterms:modified xsi:type="dcterms:W3CDTF">2023-08-25T09:06:00Z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