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1370" w14:textId="77777777" w:rsidR="00070C61" w:rsidRPr="002B5C37" w:rsidRDefault="00070C61" w:rsidP="009D0925">
      <w:pPr>
        <w:jc w:val="center"/>
        <w:rPr>
          <w:rFonts w:cs="Arial"/>
          <w:b/>
        </w:rPr>
      </w:pPr>
      <w:r w:rsidRPr="002B5C37">
        <w:rPr>
          <w:rFonts w:cs="Arial"/>
          <w:b/>
        </w:rPr>
        <w:t>REPUBLIC OF NAMIBIA</w:t>
      </w:r>
    </w:p>
    <w:p w14:paraId="18D6AC4C" w14:textId="77777777" w:rsidR="00070C61" w:rsidRPr="002B5C37" w:rsidRDefault="00070C61" w:rsidP="009D0925">
      <w:pPr>
        <w:jc w:val="center"/>
        <w:rPr>
          <w:rFonts w:cs="Arial"/>
          <w:b/>
        </w:rPr>
      </w:pPr>
      <w:r w:rsidRPr="002B5C37">
        <w:rPr>
          <w:rFonts w:cs="Arial"/>
          <w:b/>
          <w:noProof/>
          <w:lang w:val="en-ZA" w:eastAsia="en-ZA"/>
        </w:rPr>
        <w:drawing>
          <wp:inline distT="0" distB="0" distL="0" distR="0" wp14:anchorId="6FBFEBC6" wp14:editId="583696AF">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7E9C95C7" w14:textId="77777777" w:rsidR="00070C61" w:rsidRPr="002B5C37" w:rsidRDefault="00070C61" w:rsidP="009D0925">
      <w:pPr>
        <w:jc w:val="center"/>
        <w:rPr>
          <w:rFonts w:cs="Arial"/>
          <w:b/>
        </w:rPr>
      </w:pPr>
      <w:r w:rsidRPr="002B5C37">
        <w:rPr>
          <w:rFonts w:cs="Arial"/>
          <w:b/>
        </w:rPr>
        <w:t>IN THE LABOUR COURT OF NAMIBIA, MAIN DIVISION, WINDHOEK</w:t>
      </w:r>
    </w:p>
    <w:p w14:paraId="582B0002" w14:textId="77777777" w:rsidR="00070C61" w:rsidRPr="002B5C37" w:rsidRDefault="00070C61" w:rsidP="009D0925">
      <w:pPr>
        <w:jc w:val="center"/>
        <w:rPr>
          <w:rFonts w:cs="Arial"/>
          <w:b/>
        </w:rPr>
      </w:pPr>
      <w:r w:rsidRPr="002B5C37">
        <w:rPr>
          <w:rFonts w:cs="Arial"/>
          <w:b/>
        </w:rPr>
        <w:t>JUDGMENT</w:t>
      </w:r>
    </w:p>
    <w:p w14:paraId="04AC2B5D" w14:textId="77777777" w:rsidR="00070C61" w:rsidRPr="002B5C37" w:rsidRDefault="00070C61" w:rsidP="009D0925">
      <w:pPr>
        <w:jc w:val="center"/>
        <w:rPr>
          <w:rFonts w:cs="Arial"/>
          <w:b/>
        </w:rPr>
      </w:pPr>
    </w:p>
    <w:p w14:paraId="5C085212" w14:textId="77777777" w:rsidR="00070C61" w:rsidRPr="002B5C37" w:rsidRDefault="00070C61" w:rsidP="009D0925">
      <w:pPr>
        <w:jc w:val="right"/>
        <w:rPr>
          <w:rFonts w:cs="Arial"/>
          <w:b/>
        </w:rPr>
      </w:pPr>
      <w:r w:rsidRPr="002B5C37">
        <w:rPr>
          <w:rFonts w:cs="Arial"/>
        </w:rPr>
        <w:t>CASE NO.:</w:t>
      </w:r>
      <w:r w:rsidRPr="002B5C37">
        <w:rPr>
          <w:rFonts w:cs="Arial"/>
          <w:b/>
        </w:rPr>
        <w:t xml:space="preserve"> </w:t>
      </w:r>
      <w:r w:rsidRPr="002B5C37">
        <w:rPr>
          <w:rFonts w:cs="Arial"/>
        </w:rPr>
        <w:t>HC-MD-LAB-APP-AAA-2023/00020</w:t>
      </w:r>
    </w:p>
    <w:p w14:paraId="46415AB9" w14:textId="77777777" w:rsidR="00070C61" w:rsidRPr="002B5C37" w:rsidRDefault="00070C61" w:rsidP="009D0925"/>
    <w:p w14:paraId="54425169" w14:textId="77777777" w:rsidR="0087784D" w:rsidRPr="002B5C37" w:rsidRDefault="0087784D" w:rsidP="009D0925">
      <w:pPr>
        <w:rPr>
          <w:rFonts w:cs="Arial"/>
        </w:rPr>
      </w:pPr>
      <w:r w:rsidRPr="002B5C37">
        <w:rPr>
          <w:rFonts w:cs="Arial"/>
        </w:rPr>
        <w:t>In the matter between:</w:t>
      </w:r>
    </w:p>
    <w:p w14:paraId="0F39F9B2" w14:textId="77777777" w:rsidR="00070C61" w:rsidRPr="002B5C37" w:rsidRDefault="00070C61" w:rsidP="009D0925">
      <w:pPr>
        <w:rPr>
          <w:rFonts w:cs="Arial"/>
        </w:rPr>
      </w:pPr>
    </w:p>
    <w:p w14:paraId="3E2CDF41" w14:textId="496B9F94" w:rsidR="0087784D" w:rsidRPr="002B5C37" w:rsidRDefault="0087784D" w:rsidP="009D0925">
      <w:pPr>
        <w:rPr>
          <w:rFonts w:cs="Arial"/>
          <w:b/>
        </w:rPr>
      </w:pPr>
      <w:r w:rsidRPr="002B5C37">
        <w:rPr>
          <w:rFonts w:cs="Arial"/>
          <w:b/>
        </w:rPr>
        <w:t>HELENA TOBIA KRUGER</w:t>
      </w:r>
      <w:r w:rsidR="00070C61" w:rsidRPr="002B5C37">
        <w:rPr>
          <w:rFonts w:cs="Arial"/>
          <w:b/>
        </w:rPr>
        <w:tab/>
      </w:r>
      <w:r w:rsidRPr="002B5C37">
        <w:rPr>
          <w:rFonts w:cs="Arial"/>
          <w:b/>
        </w:rPr>
        <w:tab/>
      </w:r>
      <w:r w:rsidRPr="002B5C37">
        <w:rPr>
          <w:rFonts w:cs="Arial"/>
          <w:b/>
        </w:rPr>
        <w:tab/>
      </w:r>
      <w:r w:rsidRPr="002B5C37">
        <w:rPr>
          <w:rFonts w:cs="Arial"/>
          <w:b/>
        </w:rPr>
        <w:tab/>
      </w:r>
      <w:r w:rsidRPr="002B5C37">
        <w:rPr>
          <w:rFonts w:cs="Arial"/>
          <w:b/>
        </w:rPr>
        <w:tab/>
        <w:t xml:space="preserve">    </w:t>
      </w:r>
      <w:r w:rsidR="00485ED1">
        <w:rPr>
          <w:rFonts w:cs="Arial"/>
          <w:b/>
        </w:rPr>
        <w:t xml:space="preserve"> </w:t>
      </w:r>
      <w:r w:rsidRPr="002B5C37">
        <w:rPr>
          <w:rFonts w:cs="Arial"/>
          <w:b/>
        </w:rPr>
        <w:t>APPELLANT</w:t>
      </w:r>
    </w:p>
    <w:p w14:paraId="671E7811" w14:textId="77777777" w:rsidR="004054EC" w:rsidRPr="002B5C37" w:rsidRDefault="004054EC" w:rsidP="009D0925">
      <w:pPr>
        <w:rPr>
          <w:rFonts w:cs="Arial"/>
          <w:bCs/>
        </w:rPr>
      </w:pPr>
    </w:p>
    <w:p w14:paraId="21615162" w14:textId="10B411E0" w:rsidR="0087784D" w:rsidRPr="002B5C37" w:rsidRDefault="00070C61" w:rsidP="009D0925">
      <w:pPr>
        <w:rPr>
          <w:rFonts w:cs="Arial"/>
          <w:bCs/>
        </w:rPr>
      </w:pPr>
      <w:r w:rsidRPr="002B5C37">
        <w:rPr>
          <w:rFonts w:cs="Arial"/>
          <w:bCs/>
        </w:rPr>
        <w:t>a</w:t>
      </w:r>
      <w:r w:rsidR="0087784D" w:rsidRPr="002B5C37">
        <w:rPr>
          <w:rFonts w:cs="Arial"/>
          <w:bCs/>
        </w:rPr>
        <w:t>nd</w:t>
      </w:r>
    </w:p>
    <w:p w14:paraId="3B4437F7" w14:textId="77777777" w:rsidR="004054EC" w:rsidRPr="002B5C37" w:rsidRDefault="004054EC" w:rsidP="009D0925">
      <w:pPr>
        <w:rPr>
          <w:rFonts w:cs="Arial"/>
          <w:b/>
        </w:rPr>
      </w:pPr>
    </w:p>
    <w:p w14:paraId="02015FE8" w14:textId="16F11F23" w:rsidR="0014008B" w:rsidRPr="002B5C37" w:rsidRDefault="0087784D" w:rsidP="009D0925">
      <w:pPr>
        <w:rPr>
          <w:rFonts w:cs="Arial"/>
          <w:b/>
        </w:rPr>
      </w:pPr>
      <w:r w:rsidRPr="002B5C37">
        <w:rPr>
          <w:rFonts w:cs="Arial"/>
          <w:b/>
        </w:rPr>
        <w:t>MIRIAM GOAGOSES</w:t>
      </w:r>
      <w:r w:rsidR="00070C61" w:rsidRPr="002B5C37">
        <w:rPr>
          <w:rFonts w:cs="Arial"/>
          <w:b/>
        </w:rPr>
        <w:tab/>
      </w:r>
      <w:r w:rsidR="00070C61" w:rsidRPr="002B5C37">
        <w:rPr>
          <w:rFonts w:cs="Arial"/>
          <w:b/>
        </w:rPr>
        <w:tab/>
      </w:r>
      <w:r w:rsidR="00070C61" w:rsidRPr="002B5C37">
        <w:rPr>
          <w:rFonts w:cs="Arial"/>
          <w:b/>
        </w:rPr>
        <w:tab/>
      </w:r>
      <w:r w:rsidRPr="002B5C37">
        <w:rPr>
          <w:rFonts w:cs="Arial"/>
          <w:b/>
        </w:rPr>
        <w:tab/>
      </w:r>
      <w:r w:rsidRPr="002B5C37">
        <w:rPr>
          <w:rFonts w:cs="Arial"/>
          <w:b/>
        </w:rPr>
        <w:tab/>
      </w:r>
      <w:r w:rsidRPr="002B5C37">
        <w:rPr>
          <w:rFonts w:cs="Arial"/>
          <w:b/>
        </w:rPr>
        <w:tab/>
        <w:t xml:space="preserve">  RESPONDENT</w:t>
      </w:r>
    </w:p>
    <w:p w14:paraId="09C8FFB5" w14:textId="77777777" w:rsidR="00070C61" w:rsidRPr="002B5C37" w:rsidRDefault="00070C61" w:rsidP="009D0925">
      <w:pPr>
        <w:rPr>
          <w:rFonts w:cs="Arial"/>
        </w:rPr>
      </w:pPr>
    </w:p>
    <w:p w14:paraId="7F066D9D" w14:textId="7984812C" w:rsidR="00070C61" w:rsidRPr="002B5C37" w:rsidRDefault="00C512D7" w:rsidP="009D0925">
      <w:pPr>
        <w:rPr>
          <w:rFonts w:eastAsia="Calibri" w:cs="Arial"/>
        </w:rPr>
      </w:pPr>
      <w:r w:rsidRPr="002B5C37">
        <w:rPr>
          <w:rFonts w:eastAsia="Calibri" w:cs="Arial"/>
          <w:b/>
        </w:rPr>
        <w:t>Neutral c</w:t>
      </w:r>
      <w:r w:rsidR="00070C61" w:rsidRPr="002B5C37">
        <w:rPr>
          <w:rFonts w:eastAsia="Calibri" w:cs="Arial"/>
          <w:b/>
        </w:rPr>
        <w:t>itation</w:t>
      </w:r>
      <w:r w:rsidR="00070C61" w:rsidRPr="002B5C37">
        <w:rPr>
          <w:rFonts w:eastAsia="Calibri" w:cs="Arial"/>
        </w:rPr>
        <w:t xml:space="preserve">: </w:t>
      </w:r>
      <w:r w:rsidR="00070C61" w:rsidRPr="002B5C37">
        <w:rPr>
          <w:rFonts w:eastAsia="Calibri" w:cs="Arial"/>
          <w:i/>
        </w:rPr>
        <w:t xml:space="preserve">Kruger v Goagoses </w:t>
      </w:r>
      <w:r w:rsidR="00070C61" w:rsidRPr="002B5C37">
        <w:rPr>
          <w:rFonts w:eastAsia="Calibri" w:cs="Arial"/>
        </w:rPr>
        <w:t>(HC-MD-LAB-APP-AAA-2023/00020) [2023]</w:t>
      </w:r>
      <w:r w:rsidR="00F372D2" w:rsidRPr="002B5C37">
        <w:rPr>
          <w:rFonts w:eastAsia="Calibri" w:cs="Arial"/>
        </w:rPr>
        <w:t xml:space="preserve"> </w:t>
      </w:r>
      <w:r w:rsidR="00070C61" w:rsidRPr="002B5C37">
        <w:rPr>
          <w:rFonts w:eastAsia="Calibri" w:cs="Arial"/>
        </w:rPr>
        <w:t xml:space="preserve">NALCMD </w:t>
      </w:r>
      <w:r w:rsidR="00485ED1">
        <w:rPr>
          <w:rFonts w:eastAsia="Calibri" w:cs="Arial"/>
        </w:rPr>
        <w:t>46</w:t>
      </w:r>
      <w:r w:rsidR="00070C61" w:rsidRPr="002B5C37">
        <w:rPr>
          <w:rFonts w:eastAsia="Calibri" w:cs="Arial"/>
        </w:rPr>
        <w:t xml:space="preserve"> (18 September 2023)</w:t>
      </w:r>
    </w:p>
    <w:p w14:paraId="34A80CF9" w14:textId="77777777" w:rsidR="00070C61" w:rsidRPr="002B5C37" w:rsidRDefault="00070C61" w:rsidP="009D0925">
      <w:pPr>
        <w:rPr>
          <w:rFonts w:eastAsia="Calibri" w:cs="Arial"/>
          <w:b/>
        </w:rPr>
      </w:pPr>
    </w:p>
    <w:p w14:paraId="2E067B35" w14:textId="77777777" w:rsidR="00070C61" w:rsidRPr="002B5C37" w:rsidRDefault="00070C61" w:rsidP="009D0925">
      <w:pPr>
        <w:rPr>
          <w:rFonts w:eastAsia="Calibri" w:cs="Arial"/>
          <w:b/>
        </w:rPr>
      </w:pPr>
      <w:r w:rsidRPr="002B5C37">
        <w:rPr>
          <w:rFonts w:eastAsia="Calibri" w:cs="Arial"/>
          <w:b/>
        </w:rPr>
        <w:t>Coram:</w:t>
      </w:r>
      <w:r w:rsidRPr="002B5C37">
        <w:rPr>
          <w:rFonts w:eastAsia="Calibri" w:cs="Arial"/>
          <w:b/>
        </w:rPr>
        <w:tab/>
      </w:r>
      <w:r w:rsidRPr="002B5C37">
        <w:rPr>
          <w:rFonts w:eastAsia="Calibri" w:cs="Arial"/>
          <w:b/>
        </w:rPr>
        <w:tab/>
      </w:r>
      <w:r w:rsidRPr="002B5C37">
        <w:rPr>
          <w:rFonts w:eastAsia="Calibri" w:cs="Arial"/>
        </w:rPr>
        <w:t>Schimming-Chase J</w:t>
      </w:r>
    </w:p>
    <w:p w14:paraId="49B1766C" w14:textId="77777777" w:rsidR="00070C61" w:rsidRPr="00485ED1" w:rsidRDefault="00070C61" w:rsidP="009D0925">
      <w:pPr>
        <w:rPr>
          <w:rFonts w:eastAsia="Calibri" w:cs="Arial"/>
          <w:b/>
        </w:rPr>
      </w:pPr>
      <w:r w:rsidRPr="002B5C37">
        <w:rPr>
          <w:rFonts w:eastAsia="Calibri" w:cs="Arial"/>
          <w:b/>
        </w:rPr>
        <w:t>Heard:</w:t>
      </w:r>
      <w:r w:rsidRPr="002B5C37">
        <w:rPr>
          <w:rFonts w:eastAsia="Calibri" w:cs="Arial"/>
          <w:b/>
        </w:rPr>
        <w:tab/>
      </w:r>
      <w:r w:rsidRPr="002B5C37">
        <w:rPr>
          <w:rFonts w:eastAsia="Calibri" w:cs="Arial"/>
          <w:b/>
        </w:rPr>
        <w:tab/>
      </w:r>
      <w:r w:rsidRPr="00485ED1">
        <w:rPr>
          <w:rFonts w:eastAsia="Calibri" w:cs="Arial"/>
          <w:b/>
        </w:rPr>
        <w:t>15 June 2023</w:t>
      </w:r>
    </w:p>
    <w:p w14:paraId="3818E2BA" w14:textId="77777777" w:rsidR="00070C61" w:rsidRPr="00485ED1" w:rsidRDefault="00070C61" w:rsidP="009D0925">
      <w:pPr>
        <w:rPr>
          <w:rFonts w:eastAsia="Calibri" w:cs="Arial"/>
          <w:b/>
        </w:rPr>
      </w:pPr>
      <w:r w:rsidRPr="00485ED1">
        <w:rPr>
          <w:rFonts w:eastAsia="Calibri" w:cs="Arial"/>
          <w:b/>
        </w:rPr>
        <w:t>Delivered:</w:t>
      </w:r>
      <w:r w:rsidRPr="00485ED1">
        <w:rPr>
          <w:rFonts w:eastAsia="Calibri" w:cs="Arial"/>
          <w:b/>
        </w:rPr>
        <w:tab/>
      </w:r>
      <w:r w:rsidRPr="00485ED1">
        <w:rPr>
          <w:rFonts w:eastAsia="Calibri" w:cs="Arial"/>
          <w:b/>
        </w:rPr>
        <w:tab/>
        <w:t>18 September 2023</w:t>
      </w:r>
    </w:p>
    <w:p w14:paraId="2DBEDD14" w14:textId="77777777" w:rsidR="00070C61" w:rsidRPr="002B5C37" w:rsidRDefault="00070C61" w:rsidP="009D0925">
      <w:pPr>
        <w:rPr>
          <w:rFonts w:cs="Arial"/>
        </w:rPr>
      </w:pPr>
    </w:p>
    <w:p w14:paraId="0E340423" w14:textId="40D5CDE7" w:rsidR="001D7AC1" w:rsidRPr="002B5C37" w:rsidRDefault="001D7AC1" w:rsidP="009D0925">
      <w:pPr>
        <w:rPr>
          <w:rFonts w:cs="Arial"/>
        </w:rPr>
      </w:pPr>
      <w:r w:rsidRPr="002B5C37">
        <w:rPr>
          <w:rFonts w:cs="Arial"/>
          <w:b/>
        </w:rPr>
        <w:t>Flynote:</w:t>
      </w:r>
      <w:r w:rsidR="00A73F1F" w:rsidRPr="002B5C37">
        <w:rPr>
          <w:rFonts w:cs="Arial"/>
        </w:rPr>
        <w:t xml:space="preserve"> </w:t>
      </w:r>
      <w:r w:rsidR="00BC1790" w:rsidRPr="002B5C37">
        <w:rPr>
          <w:rFonts w:cs="Arial"/>
        </w:rPr>
        <w:t xml:space="preserve">Labour </w:t>
      </w:r>
      <w:r w:rsidR="009D5CA8" w:rsidRPr="002B5C37">
        <w:rPr>
          <w:rFonts w:cs="Arial"/>
        </w:rPr>
        <w:t>a</w:t>
      </w:r>
      <w:r w:rsidR="001E37D5" w:rsidRPr="002B5C37">
        <w:rPr>
          <w:rFonts w:cs="Arial"/>
        </w:rPr>
        <w:t>ppeal — Labour Act 11 of 2007 —</w:t>
      </w:r>
      <w:r w:rsidR="00BC1790" w:rsidRPr="002B5C37">
        <w:rPr>
          <w:rFonts w:cs="Arial"/>
        </w:rPr>
        <w:t xml:space="preserve"> Appeal agains</w:t>
      </w:r>
      <w:r w:rsidR="001E37D5" w:rsidRPr="002B5C37">
        <w:rPr>
          <w:rFonts w:cs="Arial"/>
        </w:rPr>
        <w:t>t arbitration award — Section 33</w:t>
      </w:r>
      <w:r w:rsidR="00BC1790" w:rsidRPr="002B5C37">
        <w:rPr>
          <w:rFonts w:cs="Arial"/>
        </w:rPr>
        <w:t xml:space="preserve"> of the Labour Act — Dismissal —</w:t>
      </w:r>
      <w:r w:rsidR="001E37D5" w:rsidRPr="002B5C37">
        <w:rPr>
          <w:rFonts w:cs="Arial"/>
        </w:rPr>
        <w:t xml:space="preserve"> </w:t>
      </w:r>
      <w:r w:rsidR="009033F2" w:rsidRPr="002B5C37">
        <w:rPr>
          <w:rFonts w:cs="Arial"/>
        </w:rPr>
        <w:t>Whether</w:t>
      </w:r>
      <w:r w:rsidR="001E37D5" w:rsidRPr="002B5C37">
        <w:rPr>
          <w:rFonts w:cs="Arial"/>
        </w:rPr>
        <w:t xml:space="preserve"> dismissal was substantively and procedurally unfair</w:t>
      </w:r>
      <w:r w:rsidR="00CF4113" w:rsidRPr="002B5C37">
        <w:rPr>
          <w:rFonts w:cs="Arial"/>
        </w:rPr>
        <w:t xml:space="preserve"> </w:t>
      </w:r>
      <w:r w:rsidR="00B46B59" w:rsidRPr="002B5C37">
        <w:rPr>
          <w:rFonts w:cs="Arial"/>
        </w:rPr>
        <w:t>—</w:t>
      </w:r>
      <w:r w:rsidR="001E37D5" w:rsidRPr="002B5C37">
        <w:rPr>
          <w:rFonts w:cs="Arial"/>
        </w:rPr>
        <w:t xml:space="preserve"> Appell</w:t>
      </w:r>
      <w:r w:rsidR="00BC1790" w:rsidRPr="002B5C37">
        <w:rPr>
          <w:rFonts w:cs="Arial"/>
        </w:rPr>
        <w:t>ant bears the onus to prove reasonable prospects of success on appeal</w:t>
      </w:r>
      <w:r w:rsidR="009D5CA8" w:rsidRPr="002B5C37">
        <w:rPr>
          <w:rFonts w:cs="Arial"/>
        </w:rPr>
        <w:t xml:space="preserve">.  </w:t>
      </w:r>
    </w:p>
    <w:p w14:paraId="3161AE30" w14:textId="77777777" w:rsidR="009D5CA8" w:rsidRPr="002B5C37" w:rsidRDefault="009D5CA8" w:rsidP="009D0925">
      <w:pPr>
        <w:rPr>
          <w:rFonts w:cs="Arial"/>
        </w:rPr>
      </w:pPr>
    </w:p>
    <w:p w14:paraId="1EB92305" w14:textId="221FC7E6" w:rsidR="009D5CA8" w:rsidRPr="002B5C37" w:rsidRDefault="009D5CA8" w:rsidP="009D0925">
      <w:pPr>
        <w:rPr>
          <w:rFonts w:cs="Arial"/>
        </w:rPr>
      </w:pPr>
      <w:r w:rsidRPr="002B5C37">
        <w:rPr>
          <w:rFonts w:cs="Arial"/>
        </w:rPr>
        <w:lastRenderedPageBreak/>
        <w:t xml:space="preserve">Labour appeal – Dismissal – On appeal finding that dismissal was substantially and procedurally unfair – Appellant assumed that employee absconded and dismissed her.  </w:t>
      </w:r>
    </w:p>
    <w:p w14:paraId="7C8F6B35" w14:textId="77777777" w:rsidR="001D7AC1" w:rsidRPr="002B5C37" w:rsidRDefault="001D7AC1" w:rsidP="009D0925">
      <w:pPr>
        <w:rPr>
          <w:rFonts w:cs="Arial"/>
        </w:rPr>
      </w:pPr>
    </w:p>
    <w:p w14:paraId="10DAAD19" w14:textId="390442C3" w:rsidR="00CF4113" w:rsidRPr="002B5C37" w:rsidRDefault="001D7AC1" w:rsidP="009D0925">
      <w:pPr>
        <w:rPr>
          <w:rFonts w:cs="Arial"/>
        </w:rPr>
      </w:pPr>
      <w:r w:rsidRPr="002B5C37">
        <w:rPr>
          <w:rFonts w:cs="Arial"/>
          <w:b/>
        </w:rPr>
        <w:t>Summary:</w:t>
      </w:r>
      <w:r w:rsidR="00BC0624" w:rsidRPr="002B5C37">
        <w:rPr>
          <w:rFonts w:cs="Arial"/>
        </w:rPr>
        <w:t xml:space="preserve"> </w:t>
      </w:r>
      <w:r w:rsidR="003F2D56" w:rsidRPr="002B5C37">
        <w:rPr>
          <w:rFonts w:cs="Arial"/>
        </w:rPr>
        <w:t xml:space="preserve">The appellant lodged an appeal against </w:t>
      </w:r>
      <w:r w:rsidR="0091015D" w:rsidRPr="002B5C37">
        <w:rPr>
          <w:rFonts w:cs="Arial"/>
        </w:rPr>
        <w:t xml:space="preserve">an </w:t>
      </w:r>
      <w:r w:rsidR="003F2D56" w:rsidRPr="002B5C37">
        <w:rPr>
          <w:rFonts w:cs="Arial"/>
        </w:rPr>
        <w:t xml:space="preserve">arbitration award </w:t>
      </w:r>
      <w:r w:rsidR="00525422" w:rsidRPr="002B5C37">
        <w:rPr>
          <w:rFonts w:cs="Arial"/>
        </w:rPr>
        <w:t xml:space="preserve">that found that the appellant had unfairly dismissed the respondent. </w:t>
      </w:r>
      <w:r w:rsidR="003B369E" w:rsidRPr="002B5C37">
        <w:rPr>
          <w:rFonts w:cs="Arial"/>
        </w:rPr>
        <w:t>The respondent was employed by the appellant and her husband since 2006. On 19 August 2020,</w:t>
      </w:r>
      <w:r w:rsidR="00004AAE" w:rsidRPr="002B5C37">
        <w:rPr>
          <w:rFonts w:cs="Arial"/>
        </w:rPr>
        <w:t xml:space="preserve"> the respondent</w:t>
      </w:r>
      <w:r w:rsidR="003B369E" w:rsidRPr="002B5C37">
        <w:rPr>
          <w:rFonts w:cs="Arial"/>
        </w:rPr>
        <w:t xml:space="preserve"> moved to the</w:t>
      </w:r>
      <w:r w:rsidR="00004AAE" w:rsidRPr="002B5C37">
        <w:rPr>
          <w:rFonts w:cs="Arial"/>
        </w:rPr>
        <w:t xml:space="preserve"> appellant’s farm</w:t>
      </w:r>
      <w:r w:rsidR="00525422" w:rsidRPr="002B5C37">
        <w:rPr>
          <w:rFonts w:cs="Arial"/>
        </w:rPr>
        <w:t xml:space="preserve"> in Keetmanshoop</w:t>
      </w:r>
      <w:r w:rsidR="00004AAE" w:rsidRPr="002B5C37">
        <w:rPr>
          <w:rFonts w:cs="Arial"/>
        </w:rPr>
        <w:t>. On 2 August 2021, the respondent went to town from the farm and did not return</w:t>
      </w:r>
      <w:r w:rsidR="00525422" w:rsidRPr="002B5C37">
        <w:rPr>
          <w:rFonts w:cs="Arial"/>
        </w:rPr>
        <w:t xml:space="preserve">.  After an exchange of SMS messages, and on </w:t>
      </w:r>
      <w:r w:rsidR="00004AAE" w:rsidRPr="002B5C37">
        <w:rPr>
          <w:rFonts w:cs="Arial"/>
        </w:rPr>
        <w:t>17 August 2021, the appellant sent a</w:t>
      </w:r>
      <w:r w:rsidR="0088200F" w:rsidRPr="002B5C37">
        <w:rPr>
          <w:rFonts w:cs="Arial"/>
        </w:rPr>
        <w:t>n</w:t>
      </w:r>
      <w:r w:rsidR="00004AAE" w:rsidRPr="002B5C37">
        <w:rPr>
          <w:rFonts w:cs="Arial"/>
        </w:rPr>
        <w:t xml:space="preserve"> </w:t>
      </w:r>
      <w:r w:rsidR="001F5F47" w:rsidRPr="002B5C37">
        <w:rPr>
          <w:rFonts w:cs="Arial"/>
        </w:rPr>
        <w:t xml:space="preserve">SMS </w:t>
      </w:r>
      <w:r w:rsidR="00004AAE" w:rsidRPr="002B5C37">
        <w:rPr>
          <w:rFonts w:cs="Arial"/>
        </w:rPr>
        <w:t>to the respondent</w:t>
      </w:r>
      <w:r w:rsidR="00B46B59" w:rsidRPr="002B5C37">
        <w:rPr>
          <w:rFonts w:cs="Arial"/>
        </w:rPr>
        <w:t xml:space="preserve"> which was understood by the respondent as a termination of her employment</w:t>
      </w:r>
      <w:r w:rsidR="0088200F" w:rsidRPr="002B5C37">
        <w:rPr>
          <w:rFonts w:cs="Arial"/>
        </w:rPr>
        <w:t>. O</w:t>
      </w:r>
      <w:r w:rsidR="0091118C" w:rsidRPr="002B5C37">
        <w:rPr>
          <w:rFonts w:cs="Arial"/>
        </w:rPr>
        <w:t>n the following</w:t>
      </w:r>
      <w:r w:rsidR="00004AAE" w:rsidRPr="002B5C37">
        <w:rPr>
          <w:rFonts w:cs="Arial"/>
        </w:rPr>
        <w:t xml:space="preserve"> day the respondent </w:t>
      </w:r>
      <w:r w:rsidR="00E4469F" w:rsidRPr="002B5C37">
        <w:rPr>
          <w:rFonts w:cs="Arial"/>
        </w:rPr>
        <w:t xml:space="preserve">approached </w:t>
      </w:r>
      <w:r w:rsidR="00004AAE" w:rsidRPr="002B5C37">
        <w:rPr>
          <w:rFonts w:cs="Arial"/>
        </w:rPr>
        <w:t xml:space="preserve">the </w:t>
      </w:r>
      <w:r w:rsidR="0091118C" w:rsidRPr="002B5C37">
        <w:rPr>
          <w:rFonts w:cs="Arial"/>
        </w:rPr>
        <w:t xml:space="preserve">Office of the Labour </w:t>
      </w:r>
      <w:r w:rsidR="00E4469F" w:rsidRPr="002B5C37">
        <w:rPr>
          <w:rFonts w:cs="Arial"/>
        </w:rPr>
        <w:t xml:space="preserve">Commissioner and obtained a calculation of </w:t>
      </w:r>
      <w:r w:rsidR="0091118C" w:rsidRPr="002B5C37">
        <w:rPr>
          <w:rFonts w:cs="Arial"/>
        </w:rPr>
        <w:t>the mon</w:t>
      </w:r>
      <w:r w:rsidR="00E4469F" w:rsidRPr="002B5C37">
        <w:rPr>
          <w:rFonts w:cs="Arial"/>
        </w:rPr>
        <w:t>ies</w:t>
      </w:r>
      <w:r w:rsidR="00B46B59" w:rsidRPr="002B5C37">
        <w:rPr>
          <w:rFonts w:cs="Arial"/>
        </w:rPr>
        <w:t xml:space="preserve"> due to her.</w:t>
      </w:r>
      <w:r w:rsidR="003B369E" w:rsidRPr="002B5C37">
        <w:rPr>
          <w:rFonts w:cs="Arial"/>
        </w:rPr>
        <w:t xml:space="preserve"> </w:t>
      </w:r>
      <w:r w:rsidR="00CF4113" w:rsidRPr="002B5C37">
        <w:rPr>
          <w:rFonts w:cs="Arial"/>
        </w:rPr>
        <w:t xml:space="preserve">The respondent lodged a </w:t>
      </w:r>
      <w:r w:rsidR="00E4469F" w:rsidRPr="002B5C37">
        <w:rPr>
          <w:rFonts w:cs="Arial"/>
        </w:rPr>
        <w:t xml:space="preserve">complaint </w:t>
      </w:r>
      <w:r w:rsidR="00CF4113" w:rsidRPr="002B5C37">
        <w:rPr>
          <w:rFonts w:cs="Arial"/>
        </w:rPr>
        <w:t>of unfair dismissal.</w:t>
      </w:r>
      <w:r w:rsidR="0091118C" w:rsidRPr="002B5C37">
        <w:rPr>
          <w:rFonts w:cs="Arial"/>
        </w:rPr>
        <w:t xml:space="preserve"> The appellant</w:t>
      </w:r>
      <w:r w:rsidR="00C512D7" w:rsidRPr="002B5C37">
        <w:rPr>
          <w:rFonts w:cs="Arial"/>
        </w:rPr>
        <w:t xml:space="preserve"> maintained that </w:t>
      </w:r>
      <w:r w:rsidR="00E4469F" w:rsidRPr="002B5C37">
        <w:rPr>
          <w:rFonts w:cs="Arial"/>
        </w:rPr>
        <w:t xml:space="preserve">she did not </w:t>
      </w:r>
      <w:r w:rsidR="00C512D7" w:rsidRPr="002B5C37">
        <w:rPr>
          <w:rFonts w:cs="Arial"/>
        </w:rPr>
        <w:t>dismiss</w:t>
      </w:r>
      <w:r w:rsidR="00E4469F" w:rsidRPr="002B5C37">
        <w:rPr>
          <w:rFonts w:cs="Arial"/>
        </w:rPr>
        <w:t xml:space="preserve"> </w:t>
      </w:r>
      <w:r w:rsidR="00C512D7" w:rsidRPr="002B5C37">
        <w:rPr>
          <w:rFonts w:cs="Arial"/>
        </w:rPr>
        <w:t>the respondent</w:t>
      </w:r>
      <w:r w:rsidR="003E720F" w:rsidRPr="002B5C37">
        <w:rPr>
          <w:rFonts w:cs="Arial"/>
        </w:rPr>
        <w:t>, she</w:t>
      </w:r>
      <w:r w:rsidR="00C512D7" w:rsidRPr="002B5C37">
        <w:rPr>
          <w:rFonts w:cs="Arial"/>
        </w:rPr>
        <w:t xml:space="preserve"> terminate</w:t>
      </w:r>
      <w:r w:rsidR="0091118C" w:rsidRPr="002B5C37">
        <w:rPr>
          <w:rFonts w:cs="Arial"/>
        </w:rPr>
        <w:t>d her employment</w:t>
      </w:r>
      <w:r w:rsidR="00C512D7" w:rsidRPr="002B5C37">
        <w:rPr>
          <w:rFonts w:cs="Arial"/>
        </w:rPr>
        <w:t xml:space="preserve"> by absconding.</w:t>
      </w:r>
      <w:r w:rsidR="00CF4113" w:rsidRPr="002B5C37">
        <w:rPr>
          <w:rFonts w:cs="Arial"/>
        </w:rPr>
        <w:t xml:space="preserve"> The arbitrator heard the evidence of both the appellant and respondent and in conclusion found the dismissal of the respondent to be substantially and procedurally unfair</w:t>
      </w:r>
      <w:r w:rsidR="0091118C" w:rsidRPr="002B5C37">
        <w:rPr>
          <w:rFonts w:cs="Arial"/>
        </w:rPr>
        <w:t xml:space="preserve">. </w:t>
      </w:r>
      <w:r w:rsidR="003E720F" w:rsidRPr="002B5C37">
        <w:rPr>
          <w:rFonts w:cs="Arial"/>
        </w:rPr>
        <w:t xml:space="preserve">The arbitrator found on the facts that the respondent did not abscond and that in any event, no disciplinary proceedings were undertaken.  </w:t>
      </w:r>
      <w:r w:rsidR="0091118C" w:rsidRPr="002B5C37">
        <w:rPr>
          <w:rFonts w:cs="Arial"/>
        </w:rPr>
        <w:t>The arbitrator ordered that the appellant</w:t>
      </w:r>
      <w:r w:rsidR="00CF4113" w:rsidRPr="002B5C37">
        <w:rPr>
          <w:rFonts w:cs="Arial"/>
        </w:rPr>
        <w:t xml:space="preserve"> pay the respondent </w:t>
      </w:r>
      <w:r w:rsidR="004054EC" w:rsidRPr="002B5C37">
        <w:rPr>
          <w:rFonts w:cs="Arial"/>
        </w:rPr>
        <w:t>one-month</w:t>
      </w:r>
      <w:r w:rsidR="00CF4113" w:rsidRPr="002B5C37">
        <w:rPr>
          <w:rFonts w:cs="Arial"/>
        </w:rPr>
        <w:t xml:space="preserve"> notice, leave accrued, severance and loss of income for two months, in the amount of N$27</w:t>
      </w:r>
      <w:r w:rsidR="001F5F47" w:rsidRPr="002B5C37">
        <w:rPr>
          <w:rFonts w:cs="Arial"/>
        </w:rPr>
        <w:t>,</w:t>
      </w:r>
      <w:r w:rsidR="00CF4113" w:rsidRPr="002B5C37">
        <w:rPr>
          <w:rFonts w:cs="Arial"/>
        </w:rPr>
        <w:t>116</w:t>
      </w:r>
      <w:r w:rsidR="001F5F47" w:rsidRPr="002B5C37">
        <w:rPr>
          <w:rFonts w:cs="Arial"/>
        </w:rPr>
        <w:t>.</w:t>
      </w:r>
      <w:r w:rsidR="00CF4113" w:rsidRPr="002B5C37">
        <w:rPr>
          <w:rFonts w:cs="Arial"/>
        </w:rPr>
        <w:t>58.</w:t>
      </w:r>
    </w:p>
    <w:p w14:paraId="302F6004" w14:textId="77777777" w:rsidR="00C512D7" w:rsidRPr="002B5C37" w:rsidRDefault="00C512D7" w:rsidP="009D0925">
      <w:pPr>
        <w:pStyle w:val="ListParagraph"/>
        <w:ind w:left="0"/>
        <w:contextualSpacing w:val="0"/>
        <w:rPr>
          <w:rFonts w:cs="Arial"/>
          <w:i/>
        </w:rPr>
      </w:pPr>
    </w:p>
    <w:p w14:paraId="24833B51" w14:textId="7BAFD1A7" w:rsidR="0047733A" w:rsidRPr="002B5C37" w:rsidRDefault="0047733A" w:rsidP="009D0925">
      <w:pPr>
        <w:pStyle w:val="ListParagraph"/>
        <w:ind w:left="0"/>
        <w:contextualSpacing w:val="0"/>
        <w:rPr>
          <w:rFonts w:cs="Arial"/>
        </w:rPr>
      </w:pPr>
      <w:r w:rsidRPr="002B5C37">
        <w:rPr>
          <w:rFonts w:cs="Arial"/>
          <w:i/>
        </w:rPr>
        <w:t>Held</w:t>
      </w:r>
      <w:r w:rsidRPr="002B5C37">
        <w:rPr>
          <w:rFonts w:cs="Arial"/>
        </w:rPr>
        <w:t xml:space="preserve"> that</w:t>
      </w:r>
      <w:r w:rsidRPr="002B5C37">
        <w:rPr>
          <w:rFonts w:cs="Arial"/>
          <w:i/>
        </w:rPr>
        <w:t xml:space="preserve"> </w:t>
      </w:r>
      <w:r w:rsidR="003E720F" w:rsidRPr="002B5C37">
        <w:rPr>
          <w:rFonts w:cs="Arial"/>
          <w:iCs/>
        </w:rPr>
        <w:t>on inter</w:t>
      </w:r>
      <w:r w:rsidR="003E720F" w:rsidRPr="002B5C37">
        <w:rPr>
          <w:rFonts w:cs="Arial"/>
        </w:rPr>
        <w:t xml:space="preserve">pretation of the appellant’s SMS message, </w:t>
      </w:r>
      <w:r w:rsidR="003F2D56" w:rsidRPr="002B5C37">
        <w:rPr>
          <w:rFonts w:cs="Arial"/>
        </w:rPr>
        <w:t xml:space="preserve">the appellant terminated the employment agreement with the respondent </w:t>
      </w:r>
      <w:r w:rsidR="006255DE" w:rsidRPr="002B5C37">
        <w:rPr>
          <w:rFonts w:cs="Arial"/>
        </w:rPr>
        <w:t xml:space="preserve">on </w:t>
      </w:r>
      <w:r w:rsidR="003F2D56" w:rsidRPr="002B5C37">
        <w:rPr>
          <w:rFonts w:cs="Arial"/>
        </w:rPr>
        <w:t>17 August 2021.</w:t>
      </w:r>
    </w:p>
    <w:p w14:paraId="7742F7DC" w14:textId="77777777" w:rsidR="006255DE" w:rsidRPr="002B5C37" w:rsidRDefault="006255DE" w:rsidP="009D0925">
      <w:pPr>
        <w:pStyle w:val="ListParagraph"/>
        <w:ind w:left="0"/>
        <w:contextualSpacing w:val="0"/>
        <w:rPr>
          <w:rFonts w:cs="Arial"/>
        </w:rPr>
      </w:pPr>
    </w:p>
    <w:p w14:paraId="266A73A7" w14:textId="6C84B35D" w:rsidR="006255DE" w:rsidRPr="002B5C37" w:rsidRDefault="006255DE" w:rsidP="009D0925">
      <w:pPr>
        <w:pStyle w:val="ListParagraph"/>
        <w:ind w:left="0"/>
        <w:contextualSpacing w:val="0"/>
        <w:rPr>
          <w:rFonts w:cs="Arial"/>
        </w:rPr>
      </w:pPr>
      <w:r w:rsidRPr="002B5C37">
        <w:rPr>
          <w:rFonts w:cs="Arial"/>
          <w:i/>
          <w:iCs/>
        </w:rPr>
        <w:t>Held</w:t>
      </w:r>
      <w:r w:rsidRPr="002B5C37">
        <w:rPr>
          <w:rFonts w:cs="Arial"/>
        </w:rPr>
        <w:t xml:space="preserve"> on the facts, the respondent did not abscond from work.  </w:t>
      </w:r>
    </w:p>
    <w:p w14:paraId="59875F4D" w14:textId="77777777" w:rsidR="003F2D56" w:rsidRPr="002B5C37" w:rsidRDefault="003F2D56" w:rsidP="009D0925">
      <w:pPr>
        <w:pStyle w:val="ListParagraph"/>
        <w:ind w:left="0"/>
        <w:contextualSpacing w:val="0"/>
        <w:rPr>
          <w:rFonts w:cs="Arial"/>
        </w:rPr>
      </w:pPr>
    </w:p>
    <w:p w14:paraId="13E145DA" w14:textId="1D17D293" w:rsidR="00540A70" w:rsidRPr="002B5C37" w:rsidRDefault="00540A70" w:rsidP="009D0925">
      <w:pPr>
        <w:pStyle w:val="ListParagraph"/>
        <w:ind w:left="0"/>
        <w:contextualSpacing w:val="0"/>
        <w:rPr>
          <w:rFonts w:cs="Arial"/>
        </w:rPr>
      </w:pPr>
      <w:r w:rsidRPr="002B5C37">
        <w:rPr>
          <w:rFonts w:cs="Arial"/>
          <w:i/>
        </w:rPr>
        <w:t xml:space="preserve">Held </w:t>
      </w:r>
      <w:r w:rsidRPr="002B5C37">
        <w:rPr>
          <w:rFonts w:cs="Arial"/>
        </w:rPr>
        <w:t>that there are two requirements of establishing unfair dismissal</w:t>
      </w:r>
      <w:r w:rsidR="006255DE" w:rsidRPr="002B5C37">
        <w:rPr>
          <w:rFonts w:cs="Arial"/>
        </w:rPr>
        <w:t xml:space="preserve">. Firstly, </w:t>
      </w:r>
      <w:r w:rsidRPr="002B5C37">
        <w:rPr>
          <w:rFonts w:cs="Arial"/>
        </w:rPr>
        <w:t xml:space="preserve">the employee must establish whether there was dismissal, </w:t>
      </w:r>
      <w:r w:rsidR="00842BDB" w:rsidRPr="002B5C37">
        <w:rPr>
          <w:rFonts w:cs="Arial"/>
        </w:rPr>
        <w:t xml:space="preserve">and </w:t>
      </w:r>
      <w:r w:rsidR="006255DE" w:rsidRPr="002B5C37">
        <w:rPr>
          <w:rFonts w:cs="Arial"/>
        </w:rPr>
        <w:t xml:space="preserve">secondly, </w:t>
      </w:r>
      <w:r w:rsidRPr="002B5C37">
        <w:rPr>
          <w:rFonts w:cs="Arial"/>
        </w:rPr>
        <w:t>if it is established that such dismissal too</w:t>
      </w:r>
      <w:r w:rsidR="00842BDB" w:rsidRPr="002B5C37">
        <w:rPr>
          <w:rFonts w:cs="Arial"/>
        </w:rPr>
        <w:t>k</w:t>
      </w:r>
      <w:r w:rsidRPr="002B5C37">
        <w:rPr>
          <w:rFonts w:cs="Arial"/>
        </w:rPr>
        <w:t xml:space="preserve"> place, then it is presumed to be unfair and the employer must </w:t>
      </w:r>
      <w:r w:rsidR="009D0925" w:rsidRPr="002B5C37">
        <w:rPr>
          <w:rFonts w:cs="Arial"/>
        </w:rPr>
        <w:t xml:space="preserve">prove </w:t>
      </w:r>
      <w:r w:rsidRPr="002B5C37">
        <w:rPr>
          <w:rFonts w:cs="Arial"/>
        </w:rPr>
        <w:t>that it was valid and fair and that a fair procedure was followed.</w:t>
      </w:r>
      <w:r w:rsidR="0034250F">
        <w:rPr>
          <w:rFonts w:cs="Arial"/>
        </w:rPr>
        <w:t xml:space="preserve"> T</w:t>
      </w:r>
      <w:r w:rsidRPr="002B5C37">
        <w:rPr>
          <w:rFonts w:cs="Arial"/>
        </w:rPr>
        <w:t>he test for fair dismissal is two-fold</w:t>
      </w:r>
      <w:r w:rsidR="00842BDB" w:rsidRPr="002B5C37">
        <w:rPr>
          <w:rFonts w:cs="Arial"/>
        </w:rPr>
        <w:t>,</w:t>
      </w:r>
      <w:r w:rsidRPr="002B5C37">
        <w:rPr>
          <w:rFonts w:cs="Arial"/>
        </w:rPr>
        <w:t xml:space="preserve"> i</w:t>
      </w:r>
      <w:r w:rsidR="009D0925" w:rsidRPr="002B5C37">
        <w:rPr>
          <w:rFonts w:cs="Arial"/>
        </w:rPr>
        <w:t>.</w:t>
      </w:r>
      <w:r w:rsidRPr="002B5C37">
        <w:rPr>
          <w:rFonts w:cs="Arial"/>
        </w:rPr>
        <w:t>e</w:t>
      </w:r>
      <w:r w:rsidR="009D0925" w:rsidRPr="002B5C37">
        <w:rPr>
          <w:rFonts w:cs="Arial"/>
        </w:rPr>
        <w:t>.</w:t>
      </w:r>
      <w:r w:rsidRPr="002B5C37">
        <w:rPr>
          <w:rFonts w:cs="Arial"/>
        </w:rPr>
        <w:t xml:space="preserve"> substantive fairness and procedural fairness</w:t>
      </w:r>
      <w:r w:rsidR="00842BDB" w:rsidRPr="002B5C37">
        <w:rPr>
          <w:rFonts w:cs="Arial"/>
        </w:rPr>
        <w:t>,</w:t>
      </w:r>
      <w:r w:rsidRPr="002B5C37">
        <w:rPr>
          <w:rFonts w:cs="Arial"/>
        </w:rPr>
        <w:t xml:space="preserve"> and the two are cumulative and not separate.</w:t>
      </w:r>
    </w:p>
    <w:p w14:paraId="44418361" w14:textId="77777777" w:rsidR="00540A70" w:rsidRPr="002B5C37" w:rsidRDefault="00540A70" w:rsidP="009D0925">
      <w:pPr>
        <w:rPr>
          <w:rFonts w:cs="Arial"/>
        </w:rPr>
      </w:pPr>
    </w:p>
    <w:p w14:paraId="385C8571" w14:textId="7382118C" w:rsidR="009D0925" w:rsidRPr="00485ED1" w:rsidRDefault="00540A70" w:rsidP="009D0925">
      <w:pPr>
        <w:rPr>
          <w:rFonts w:cs="Arial"/>
        </w:rPr>
      </w:pPr>
      <w:r w:rsidRPr="002B5C37">
        <w:rPr>
          <w:rFonts w:cs="Arial"/>
          <w:i/>
        </w:rPr>
        <w:t>Held</w:t>
      </w:r>
      <w:r w:rsidRPr="002B5C37">
        <w:rPr>
          <w:rFonts w:cs="Arial"/>
        </w:rPr>
        <w:t xml:space="preserve"> further that the appellant has not discharged the onus of proving that there was no dismiss</w:t>
      </w:r>
      <w:r w:rsidR="00634237" w:rsidRPr="002B5C37">
        <w:rPr>
          <w:rFonts w:cs="Arial"/>
        </w:rPr>
        <w:t>al</w:t>
      </w:r>
      <w:r w:rsidR="009D0925" w:rsidRPr="002B5C37">
        <w:rPr>
          <w:rFonts w:cs="Arial"/>
        </w:rPr>
        <w:t>,</w:t>
      </w:r>
      <w:r w:rsidR="00634237" w:rsidRPr="002B5C37">
        <w:rPr>
          <w:rFonts w:cs="Arial"/>
        </w:rPr>
        <w:t xml:space="preserve"> and that there was a valid or</w:t>
      </w:r>
      <w:r w:rsidRPr="002B5C37">
        <w:rPr>
          <w:rFonts w:cs="Arial"/>
        </w:rPr>
        <w:t xml:space="preserve"> fair reason for dismissing the respondent.</w:t>
      </w:r>
    </w:p>
    <w:p w14:paraId="507823A1" w14:textId="77777777" w:rsidR="009D0925" w:rsidRPr="002B5C37" w:rsidRDefault="00000000" w:rsidP="009D0925">
      <w:pPr>
        <w:rPr>
          <w:bCs/>
        </w:rPr>
      </w:pPr>
      <w:r>
        <w:rPr>
          <w:bCs/>
        </w:rPr>
        <w:pict w14:anchorId="07F8A52B">
          <v:rect id="_x0000_i1025" style="width:0;height:1.5pt" o:hralign="center" o:hrstd="t" o:hr="t" fillcolor="#a0a0a0" stroked="f"/>
        </w:pict>
      </w:r>
    </w:p>
    <w:p w14:paraId="2BFBC0B0" w14:textId="77777777" w:rsidR="009D0925" w:rsidRPr="002B5C37" w:rsidRDefault="009D0925" w:rsidP="009D0925">
      <w:pPr>
        <w:jc w:val="center"/>
        <w:rPr>
          <w:b/>
          <w:bCs/>
        </w:rPr>
      </w:pPr>
      <w:r w:rsidRPr="002B5C37">
        <w:rPr>
          <w:b/>
          <w:bCs/>
        </w:rPr>
        <w:t>ORDER</w:t>
      </w:r>
    </w:p>
    <w:p w14:paraId="741BFAAC" w14:textId="77777777" w:rsidR="009D0925" w:rsidRPr="002B5C37" w:rsidRDefault="00000000" w:rsidP="009D0925">
      <w:pPr>
        <w:jc w:val="center"/>
        <w:rPr>
          <w:b/>
          <w:bCs/>
        </w:rPr>
      </w:pPr>
      <w:r>
        <w:rPr>
          <w:bCs/>
        </w:rPr>
        <w:pict w14:anchorId="68E51B7D">
          <v:rect id="_x0000_i1026" style="width:0;height:1.5pt" o:hralign="center" o:hrstd="t" o:hr="t" fillcolor="#a0a0a0" stroked="f"/>
        </w:pict>
      </w:r>
    </w:p>
    <w:p w14:paraId="706C9769" w14:textId="77777777" w:rsidR="009D0925" w:rsidRPr="002B5C37" w:rsidRDefault="009D0925" w:rsidP="009D0925">
      <w:pPr>
        <w:rPr>
          <w:bCs/>
        </w:rPr>
      </w:pPr>
    </w:p>
    <w:p w14:paraId="0C930CB2" w14:textId="6F2A2771" w:rsidR="001F6CD1" w:rsidRPr="00B6197E" w:rsidRDefault="00B6197E" w:rsidP="00B6197E">
      <w:pPr>
        <w:rPr>
          <w:rFonts w:eastAsia="Calibri" w:cs="Arial"/>
        </w:rPr>
      </w:pPr>
      <w:r w:rsidRPr="002B5C37">
        <w:rPr>
          <w:rFonts w:eastAsia="Calibri" w:cs="Arial"/>
        </w:rPr>
        <w:t>1.</w:t>
      </w:r>
      <w:r w:rsidRPr="002B5C37">
        <w:rPr>
          <w:rFonts w:eastAsia="Calibri" w:cs="Arial"/>
        </w:rPr>
        <w:tab/>
      </w:r>
      <w:r w:rsidR="00AC76B2" w:rsidRPr="00B6197E">
        <w:rPr>
          <w:rFonts w:eastAsia="Calibri" w:cs="Arial"/>
        </w:rPr>
        <w:t>The appeal</w:t>
      </w:r>
      <w:r w:rsidR="001D7AC1" w:rsidRPr="00B6197E">
        <w:rPr>
          <w:rFonts w:eastAsia="Calibri" w:cs="Arial"/>
        </w:rPr>
        <w:t xml:space="preserve"> is dismissed.</w:t>
      </w:r>
    </w:p>
    <w:p w14:paraId="005ACD01" w14:textId="77777777" w:rsidR="001D7AC1" w:rsidRPr="002B5C37" w:rsidRDefault="001D7AC1" w:rsidP="009D0925">
      <w:pPr>
        <w:rPr>
          <w:rFonts w:eastAsia="Calibri" w:cs="Arial"/>
        </w:rPr>
      </w:pPr>
    </w:p>
    <w:p w14:paraId="367745A7" w14:textId="2849642D" w:rsidR="001D7AC1" w:rsidRPr="00B6197E" w:rsidRDefault="00B6197E" w:rsidP="00B6197E">
      <w:pPr>
        <w:rPr>
          <w:rFonts w:eastAsia="Calibri" w:cs="Arial"/>
        </w:rPr>
      </w:pPr>
      <w:r w:rsidRPr="002B5C37">
        <w:rPr>
          <w:rFonts w:eastAsia="Calibri" w:cs="Arial"/>
        </w:rPr>
        <w:t>2.</w:t>
      </w:r>
      <w:r w:rsidRPr="002B5C37">
        <w:rPr>
          <w:rFonts w:eastAsia="Calibri" w:cs="Arial"/>
        </w:rPr>
        <w:tab/>
      </w:r>
      <w:r w:rsidR="001F6CD1" w:rsidRPr="00B6197E">
        <w:rPr>
          <w:rFonts w:eastAsia="Calibri" w:cs="Arial"/>
        </w:rPr>
        <w:t>There shall be n</w:t>
      </w:r>
      <w:r w:rsidR="001D7AC1" w:rsidRPr="00B6197E">
        <w:rPr>
          <w:rFonts w:eastAsia="Calibri" w:cs="Arial"/>
        </w:rPr>
        <w:t>o order as to costs.</w:t>
      </w:r>
    </w:p>
    <w:p w14:paraId="18B7EA8B" w14:textId="77777777" w:rsidR="001D7AC1" w:rsidRPr="002B5C37" w:rsidRDefault="001D7AC1" w:rsidP="009D0925">
      <w:pPr>
        <w:rPr>
          <w:rFonts w:eastAsia="Calibri" w:cs="Arial"/>
        </w:rPr>
      </w:pPr>
    </w:p>
    <w:p w14:paraId="62AD944F" w14:textId="2A4F5CE1" w:rsidR="001D7AC1" w:rsidRPr="00B6197E" w:rsidRDefault="00B6197E" w:rsidP="00B6197E">
      <w:pPr>
        <w:rPr>
          <w:rFonts w:eastAsia="Calibri" w:cs="Arial"/>
        </w:rPr>
      </w:pPr>
      <w:r w:rsidRPr="002B5C37">
        <w:rPr>
          <w:rFonts w:eastAsia="Calibri" w:cs="Arial"/>
        </w:rPr>
        <w:t>3.</w:t>
      </w:r>
      <w:r w:rsidRPr="002B5C37">
        <w:rPr>
          <w:rFonts w:eastAsia="Calibri" w:cs="Arial"/>
        </w:rPr>
        <w:tab/>
      </w:r>
      <w:r w:rsidR="001F6CD1" w:rsidRPr="00B6197E">
        <w:rPr>
          <w:rFonts w:eastAsia="Calibri" w:cs="Arial"/>
        </w:rPr>
        <w:t>The matter is finalis</w:t>
      </w:r>
      <w:r w:rsidR="001D7AC1" w:rsidRPr="00B6197E">
        <w:rPr>
          <w:rFonts w:eastAsia="Calibri" w:cs="Arial"/>
        </w:rPr>
        <w:t>ed and removed from the roll.</w:t>
      </w:r>
    </w:p>
    <w:p w14:paraId="383E298B" w14:textId="77777777" w:rsidR="009D0925" w:rsidRPr="002B5C37" w:rsidRDefault="009D0925" w:rsidP="009D0925">
      <w:pPr>
        <w:pStyle w:val="NormalWeb"/>
        <w:rPr>
          <w:rFonts w:ascii="Arial" w:hAnsi="Arial" w:cs="Arial"/>
        </w:rPr>
      </w:pPr>
    </w:p>
    <w:p w14:paraId="43CC8819" w14:textId="77777777" w:rsidR="009D0925" w:rsidRPr="002B5C37" w:rsidRDefault="00000000" w:rsidP="009D0925">
      <w:pPr>
        <w:rPr>
          <w:bCs/>
        </w:rPr>
      </w:pPr>
      <w:r>
        <w:rPr>
          <w:bCs/>
        </w:rPr>
        <w:pict w14:anchorId="30A87422">
          <v:rect id="_x0000_i1027" style="width:0;height:1.5pt" o:hralign="center" o:hrstd="t" o:hr="t" fillcolor="#a0a0a0" stroked="f"/>
        </w:pict>
      </w:r>
    </w:p>
    <w:p w14:paraId="188DEF51" w14:textId="77777777" w:rsidR="009D0925" w:rsidRPr="002B5C37" w:rsidRDefault="009D0925" w:rsidP="009D0925">
      <w:pPr>
        <w:jc w:val="center"/>
        <w:rPr>
          <w:b/>
        </w:rPr>
      </w:pPr>
      <w:r w:rsidRPr="002B5C37">
        <w:rPr>
          <w:b/>
        </w:rPr>
        <w:t>JUDGMENT</w:t>
      </w:r>
    </w:p>
    <w:p w14:paraId="1822ADCD" w14:textId="77777777" w:rsidR="009D0925" w:rsidRPr="002B5C37" w:rsidRDefault="00000000" w:rsidP="009D0925">
      <w:pPr>
        <w:jc w:val="center"/>
        <w:rPr>
          <w:b/>
        </w:rPr>
      </w:pPr>
      <w:r>
        <w:rPr>
          <w:bCs/>
        </w:rPr>
        <w:pict w14:anchorId="497C14FE">
          <v:rect id="_x0000_i1028" style="width:0;height:1.5pt" o:hralign="center" o:hrstd="t" o:hr="t" fillcolor="#a0a0a0" stroked="f"/>
        </w:pict>
      </w:r>
    </w:p>
    <w:p w14:paraId="05724DDE" w14:textId="77777777" w:rsidR="009D0925" w:rsidRPr="002B5C37" w:rsidRDefault="009D0925" w:rsidP="009D0925"/>
    <w:p w14:paraId="426C7DE1" w14:textId="77777777" w:rsidR="001D7AC1" w:rsidRPr="002B5C37" w:rsidRDefault="001D7AC1" w:rsidP="009D0925">
      <w:pPr>
        <w:rPr>
          <w:rFonts w:cs="Arial"/>
        </w:rPr>
      </w:pPr>
      <w:r w:rsidRPr="002B5C37">
        <w:rPr>
          <w:rFonts w:cs="Arial"/>
        </w:rPr>
        <w:t>SCHIMMING-CHASE J:</w:t>
      </w:r>
    </w:p>
    <w:p w14:paraId="57260584" w14:textId="77777777" w:rsidR="001D7AC1" w:rsidRPr="002B5C37" w:rsidRDefault="001D7AC1" w:rsidP="009D0925">
      <w:pPr>
        <w:rPr>
          <w:rFonts w:cs="Arial"/>
        </w:rPr>
      </w:pPr>
    </w:p>
    <w:p w14:paraId="68AE7E8E" w14:textId="77777777" w:rsidR="001D7AC1" w:rsidRPr="002B5C37" w:rsidRDefault="001D7AC1" w:rsidP="009D0925">
      <w:pPr>
        <w:rPr>
          <w:rFonts w:cs="Arial"/>
          <w:u w:val="single"/>
        </w:rPr>
      </w:pPr>
      <w:r w:rsidRPr="002B5C37">
        <w:rPr>
          <w:rFonts w:cs="Arial"/>
          <w:u w:val="single"/>
        </w:rPr>
        <w:t>Introduction</w:t>
      </w:r>
    </w:p>
    <w:p w14:paraId="0939F31E" w14:textId="77777777" w:rsidR="001F6CD1" w:rsidRPr="002B5C37" w:rsidRDefault="001F6CD1" w:rsidP="009D0925">
      <w:pPr>
        <w:rPr>
          <w:rFonts w:cs="Arial"/>
          <w:u w:val="single"/>
        </w:rPr>
      </w:pPr>
    </w:p>
    <w:p w14:paraId="0F307E19" w14:textId="4A6B9316" w:rsidR="00BD7728" w:rsidRPr="002B5C37" w:rsidRDefault="00B6197E" w:rsidP="00B6197E">
      <w:pPr>
        <w:pStyle w:val="Heading1"/>
        <w:numPr>
          <w:ilvl w:val="0"/>
          <w:numId w:val="0"/>
        </w:numPr>
      </w:pPr>
      <w:r w:rsidRPr="002B5C37">
        <w:t>[1]</w:t>
      </w:r>
      <w:r w:rsidRPr="002B5C37">
        <w:tab/>
      </w:r>
      <w:r w:rsidR="00C35FE7" w:rsidRPr="002B5C37">
        <w:t>This is an appeal noted against the arbitration awar</w:t>
      </w:r>
      <w:r w:rsidR="00634237" w:rsidRPr="002B5C37">
        <w:t>d dated 25 January 2023 in</w:t>
      </w:r>
      <w:r w:rsidR="00C35FE7" w:rsidRPr="002B5C37">
        <w:t xml:space="preserve"> case numb</w:t>
      </w:r>
      <w:r w:rsidR="00634237" w:rsidRPr="002B5C37">
        <w:t>er SRKE 7-22 in terms of s</w:t>
      </w:r>
      <w:r w:rsidR="00C35FE7" w:rsidRPr="002B5C37">
        <w:t xml:space="preserve"> 89 of the Labour Act</w:t>
      </w:r>
      <w:r w:rsidR="00485ED1">
        <w:t xml:space="preserve"> </w:t>
      </w:r>
      <w:r w:rsidR="00C35FE7" w:rsidRPr="002B5C37">
        <w:t>11 of 2007</w:t>
      </w:r>
      <w:r w:rsidR="00B307CD" w:rsidRPr="002B5C37">
        <w:t xml:space="preserve"> </w:t>
      </w:r>
      <w:r w:rsidR="0034250F">
        <w:t xml:space="preserve">(“the Labour Act”), </w:t>
      </w:r>
      <w:r w:rsidR="00B307CD" w:rsidRPr="002B5C37">
        <w:t>in terms of which the appellant was found to have unfairly dismissed the respondent.  Reinstatement was not ordered, and the appellant was ordered to pay compensation in the amount of N$27,116</w:t>
      </w:r>
      <w:r w:rsidR="00485ED1">
        <w:t>,</w:t>
      </w:r>
      <w:r w:rsidR="00B307CD" w:rsidRPr="002B5C37">
        <w:t xml:space="preserve">58.  </w:t>
      </w:r>
    </w:p>
    <w:p w14:paraId="52624166" w14:textId="77777777" w:rsidR="00BD7728" w:rsidRPr="002B5C37" w:rsidRDefault="00BD7728" w:rsidP="009D0925">
      <w:pPr>
        <w:pStyle w:val="ListParagraph"/>
        <w:ind w:left="0"/>
        <w:contextualSpacing w:val="0"/>
        <w:rPr>
          <w:rFonts w:cs="Arial"/>
        </w:rPr>
      </w:pPr>
    </w:p>
    <w:p w14:paraId="1E73C85D" w14:textId="5BD6619C" w:rsidR="00BD7728" w:rsidRPr="002B5C37" w:rsidRDefault="00B6197E" w:rsidP="00B6197E">
      <w:pPr>
        <w:pStyle w:val="Heading1"/>
        <w:numPr>
          <w:ilvl w:val="0"/>
          <w:numId w:val="0"/>
        </w:numPr>
      </w:pPr>
      <w:r w:rsidRPr="002B5C37">
        <w:t>[2]</w:t>
      </w:r>
      <w:r w:rsidRPr="002B5C37">
        <w:tab/>
      </w:r>
      <w:r w:rsidR="00C35FE7" w:rsidRPr="002B5C37">
        <w:t xml:space="preserve">The appellant in this matter is Helena Tobia Kruger </w:t>
      </w:r>
      <w:r w:rsidR="00765A03" w:rsidRPr="002B5C37">
        <w:t xml:space="preserve">(“Mrs Kruger”) </w:t>
      </w:r>
      <w:r w:rsidR="00C35FE7" w:rsidRPr="002B5C37">
        <w:t>who was the employer of the respondent.</w:t>
      </w:r>
      <w:r w:rsidR="00825C1E" w:rsidRPr="002B5C37">
        <w:t xml:space="preserve"> </w:t>
      </w:r>
      <w:r w:rsidR="000A7074" w:rsidRPr="002B5C37">
        <w:t xml:space="preserve">The respondent is Miriam </w:t>
      </w:r>
      <w:r w:rsidR="00997D41" w:rsidRPr="002B5C37">
        <w:t>G</w:t>
      </w:r>
      <w:r w:rsidR="000A7074" w:rsidRPr="002B5C37">
        <w:t xml:space="preserve">oagoses </w:t>
      </w:r>
      <w:r w:rsidR="00765A03" w:rsidRPr="002B5C37">
        <w:t xml:space="preserve">(“Ms Goagoses”) </w:t>
      </w:r>
      <w:r w:rsidR="000A7074" w:rsidRPr="002B5C37">
        <w:t>who was employed as a</w:t>
      </w:r>
      <w:r w:rsidR="00997D41" w:rsidRPr="002B5C37">
        <w:t xml:space="preserve"> general</w:t>
      </w:r>
      <w:r w:rsidR="000A7074" w:rsidRPr="002B5C37">
        <w:t xml:space="preserve"> domestic worker.</w:t>
      </w:r>
      <w:r w:rsidR="00502C52" w:rsidRPr="002B5C37">
        <w:t xml:space="preserve"> </w:t>
      </w:r>
    </w:p>
    <w:p w14:paraId="5ADA5740" w14:textId="77777777" w:rsidR="006F0261" w:rsidRPr="002B5C37" w:rsidRDefault="006F0261" w:rsidP="009D0925">
      <w:pPr>
        <w:pStyle w:val="ListParagraph"/>
        <w:ind w:left="0"/>
        <w:contextualSpacing w:val="0"/>
        <w:rPr>
          <w:rFonts w:cs="Arial"/>
        </w:rPr>
      </w:pPr>
    </w:p>
    <w:p w14:paraId="05520653" w14:textId="335EEDD2" w:rsidR="001F6CD1" w:rsidRPr="002B5C37" w:rsidRDefault="00B6197E" w:rsidP="00B6197E">
      <w:pPr>
        <w:pStyle w:val="Heading1"/>
        <w:numPr>
          <w:ilvl w:val="0"/>
          <w:numId w:val="0"/>
        </w:numPr>
      </w:pPr>
      <w:r w:rsidRPr="002B5C37">
        <w:t>[3]</w:t>
      </w:r>
      <w:r w:rsidRPr="002B5C37">
        <w:tab/>
      </w:r>
      <w:r w:rsidR="00A463E1" w:rsidRPr="002B5C37">
        <w:t xml:space="preserve">Mr </w:t>
      </w:r>
      <w:r w:rsidR="00765A03" w:rsidRPr="002B5C37">
        <w:t>v</w:t>
      </w:r>
      <w:r w:rsidR="00A463E1" w:rsidRPr="002B5C37">
        <w:t xml:space="preserve">an </w:t>
      </w:r>
      <w:r w:rsidR="00765A03" w:rsidRPr="002B5C37">
        <w:t>d</w:t>
      </w:r>
      <w:r w:rsidR="00A463E1" w:rsidRPr="002B5C37">
        <w:t xml:space="preserve">en Heever appears for </w:t>
      </w:r>
      <w:r w:rsidR="00765A03" w:rsidRPr="002B5C37">
        <w:t xml:space="preserve">Mrs Kruger </w:t>
      </w:r>
      <w:r w:rsidR="00A463E1" w:rsidRPr="002B5C37">
        <w:t xml:space="preserve">and Mr Ikanga appears for </w:t>
      </w:r>
      <w:r w:rsidR="00765A03" w:rsidRPr="002B5C37">
        <w:t>Ms Goagoses</w:t>
      </w:r>
      <w:r w:rsidR="00A463E1" w:rsidRPr="002B5C37">
        <w:t>.</w:t>
      </w:r>
    </w:p>
    <w:p w14:paraId="36C949FC" w14:textId="77777777" w:rsidR="00637BB2" w:rsidRPr="002B5C37" w:rsidRDefault="00637BB2" w:rsidP="009D0925">
      <w:pPr>
        <w:pStyle w:val="ListParagraph"/>
        <w:contextualSpacing w:val="0"/>
        <w:rPr>
          <w:rFonts w:cs="Arial"/>
        </w:rPr>
      </w:pPr>
    </w:p>
    <w:p w14:paraId="63282C59" w14:textId="77777777" w:rsidR="00637BB2" w:rsidRPr="002B5C37" w:rsidRDefault="00637BB2" w:rsidP="009D0925">
      <w:pPr>
        <w:pStyle w:val="ListParagraph"/>
        <w:ind w:left="0"/>
        <w:contextualSpacing w:val="0"/>
        <w:rPr>
          <w:rFonts w:cs="Arial"/>
          <w:u w:val="single"/>
        </w:rPr>
      </w:pPr>
      <w:r w:rsidRPr="002B5C37">
        <w:rPr>
          <w:rFonts w:cs="Arial"/>
          <w:u w:val="single"/>
        </w:rPr>
        <w:t>Background</w:t>
      </w:r>
    </w:p>
    <w:p w14:paraId="173A5070" w14:textId="77777777" w:rsidR="00637BB2" w:rsidRPr="002B5C37" w:rsidRDefault="00637BB2" w:rsidP="009D0925">
      <w:pPr>
        <w:pStyle w:val="ListParagraph"/>
        <w:ind w:left="0"/>
        <w:contextualSpacing w:val="0"/>
        <w:rPr>
          <w:rFonts w:cs="Arial"/>
        </w:rPr>
      </w:pPr>
    </w:p>
    <w:p w14:paraId="332CA710" w14:textId="1974DD6A" w:rsidR="00637BB2" w:rsidRPr="002B5C37" w:rsidRDefault="00B6197E" w:rsidP="00B6197E">
      <w:pPr>
        <w:pStyle w:val="Heading1"/>
        <w:numPr>
          <w:ilvl w:val="0"/>
          <w:numId w:val="0"/>
        </w:numPr>
      </w:pPr>
      <w:r w:rsidRPr="002B5C37">
        <w:t>[4]</w:t>
      </w:r>
      <w:r w:rsidRPr="002B5C37">
        <w:tab/>
      </w:r>
      <w:r w:rsidR="00765A03" w:rsidRPr="002B5C37">
        <w:t xml:space="preserve">Ms Goagoses </w:t>
      </w:r>
      <w:r w:rsidR="00DF1327" w:rsidRPr="002B5C37">
        <w:t>was employed at</w:t>
      </w:r>
      <w:r w:rsidR="00637BB2" w:rsidRPr="002B5C37">
        <w:t xml:space="preserve"> </w:t>
      </w:r>
      <w:r w:rsidR="00765A03" w:rsidRPr="002B5C37">
        <w:t xml:space="preserve">Mrs Kruger </w:t>
      </w:r>
      <w:r w:rsidR="00637BB2" w:rsidRPr="002B5C37">
        <w:t>and her husband’s farm as an employee</w:t>
      </w:r>
      <w:r w:rsidR="00DF1327" w:rsidRPr="002B5C37">
        <w:t xml:space="preserve"> since 2006 and</w:t>
      </w:r>
      <w:r w:rsidR="003820F6" w:rsidRPr="002B5C37">
        <w:t xml:space="preserve"> moved to the farm on 19 August 2020</w:t>
      </w:r>
      <w:r w:rsidR="0034250F">
        <w:t xml:space="preserve"> where she resided. </w:t>
      </w:r>
      <w:r w:rsidR="00DF1327" w:rsidRPr="002B5C37">
        <w:t xml:space="preserve"> On</w:t>
      </w:r>
      <w:r w:rsidR="00637BB2" w:rsidRPr="002B5C37">
        <w:t xml:space="preserve"> 2 August 2021, </w:t>
      </w:r>
      <w:r w:rsidR="00765A03" w:rsidRPr="002B5C37">
        <w:t xml:space="preserve">Ms Goagoses </w:t>
      </w:r>
      <w:r w:rsidR="00637BB2" w:rsidRPr="002B5C37">
        <w:t>left the farm</w:t>
      </w:r>
      <w:r w:rsidR="0034250F">
        <w:t xml:space="preserve">, with leave, </w:t>
      </w:r>
      <w:r w:rsidR="00637BB2" w:rsidRPr="002B5C37">
        <w:t xml:space="preserve"> and should have returned the next day on 3 August 2021 with </w:t>
      </w:r>
      <w:r w:rsidR="00B0356C" w:rsidRPr="002B5C37">
        <w:t xml:space="preserve">Mrs Kruger’s </w:t>
      </w:r>
      <w:r w:rsidR="00637BB2" w:rsidRPr="002B5C37">
        <w:t xml:space="preserve">daughter. </w:t>
      </w:r>
      <w:r w:rsidR="00B0356C" w:rsidRPr="002B5C37">
        <w:t xml:space="preserve">Ms Goagoses </w:t>
      </w:r>
      <w:r w:rsidR="00637BB2" w:rsidRPr="002B5C37">
        <w:t xml:space="preserve">did not return to the farm on the said date. </w:t>
      </w:r>
      <w:r w:rsidR="00B0356C" w:rsidRPr="002B5C37">
        <w:t xml:space="preserve">Mrs Kruger </w:t>
      </w:r>
      <w:r w:rsidR="003820F6" w:rsidRPr="002B5C37">
        <w:t xml:space="preserve">made further arrangements for </w:t>
      </w:r>
      <w:r w:rsidR="00B0356C" w:rsidRPr="002B5C37">
        <w:t xml:space="preserve">Ms Goagoses </w:t>
      </w:r>
      <w:r w:rsidR="003820F6" w:rsidRPr="002B5C37">
        <w:t xml:space="preserve">to return to the farm, however, </w:t>
      </w:r>
      <w:r w:rsidR="00B0356C" w:rsidRPr="002B5C37">
        <w:t xml:space="preserve">she </w:t>
      </w:r>
      <w:r w:rsidR="003820F6" w:rsidRPr="002B5C37">
        <w:t>did not return</w:t>
      </w:r>
      <w:r w:rsidR="00637BB2" w:rsidRPr="002B5C37">
        <w:t>.</w:t>
      </w:r>
    </w:p>
    <w:p w14:paraId="5311EA80" w14:textId="77777777" w:rsidR="00640406" w:rsidRPr="002B5C37" w:rsidRDefault="00640406" w:rsidP="009D0925">
      <w:pPr>
        <w:pStyle w:val="ListParagraph"/>
        <w:ind w:left="0"/>
        <w:contextualSpacing w:val="0"/>
        <w:rPr>
          <w:rFonts w:cs="Arial"/>
        </w:rPr>
      </w:pPr>
    </w:p>
    <w:p w14:paraId="00BC8DE5" w14:textId="693E6350" w:rsidR="0034250F" w:rsidRDefault="00B6197E" w:rsidP="00B6197E">
      <w:pPr>
        <w:pStyle w:val="Heading1"/>
        <w:numPr>
          <w:ilvl w:val="0"/>
          <w:numId w:val="0"/>
        </w:numPr>
      </w:pPr>
      <w:r>
        <w:t>[5]</w:t>
      </w:r>
      <w:r>
        <w:tab/>
      </w:r>
      <w:r w:rsidR="00B0356C" w:rsidRPr="002B5C37">
        <w:t xml:space="preserve">Mrs Kruger and Ms Goagoses </w:t>
      </w:r>
      <w:r w:rsidR="00640406" w:rsidRPr="002B5C37">
        <w:t xml:space="preserve">remained in contact telephonically during the time that </w:t>
      </w:r>
      <w:r w:rsidR="00B0356C" w:rsidRPr="002B5C37">
        <w:t xml:space="preserve">Ms Goagoses </w:t>
      </w:r>
      <w:r w:rsidR="00640406" w:rsidRPr="002B5C37">
        <w:t xml:space="preserve">did not return </w:t>
      </w:r>
      <w:r w:rsidR="006E379D" w:rsidRPr="002B5C37">
        <w:t xml:space="preserve">to or report </w:t>
      </w:r>
      <w:r w:rsidR="00640406" w:rsidRPr="002B5C37">
        <w:t>for work. This was evident from the call log and the messages that were handed up as evidence and marked as exhibit</w:t>
      </w:r>
      <w:r w:rsidR="00DF1327" w:rsidRPr="002B5C37">
        <w:t>s</w:t>
      </w:r>
      <w:r w:rsidR="00640406" w:rsidRPr="002B5C37">
        <w:t xml:space="preserve"> </w:t>
      </w:r>
      <w:r w:rsidR="0045346A" w:rsidRPr="002B5C37">
        <w:t>‘</w:t>
      </w:r>
      <w:r w:rsidR="00DF1327" w:rsidRPr="002B5C37">
        <w:t>A</w:t>
      </w:r>
      <w:r w:rsidR="0045346A" w:rsidRPr="002B5C37">
        <w:t>’</w:t>
      </w:r>
      <w:r w:rsidR="00DF1327" w:rsidRPr="002B5C37">
        <w:t xml:space="preserve"> and </w:t>
      </w:r>
      <w:r w:rsidR="0045346A" w:rsidRPr="002B5C37">
        <w:t>‘</w:t>
      </w:r>
      <w:r w:rsidR="00DF1327" w:rsidRPr="002B5C37">
        <w:t>B</w:t>
      </w:r>
      <w:r w:rsidR="0045346A" w:rsidRPr="002B5C37">
        <w:t>’</w:t>
      </w:r>
      <w:r w:rsidR="00640406" w:rsidRPr="002B5C37">
        <w:t xml:space="preserve"> during the arbitration proceedings. </w:t>
      </w:r>
    </w:p>
    <w:p w14:paraId="705E41A5" w14:textId="77777777" w:rsidR="0034250F" w:rsidRPr="0034250F" w:rsidRDefault="0034250F" w:rsidP="0034250F"/>
    <w:p w14:paraId="715E1A99" w14:textId="0F346CCB" w:rsidR="00587F2E" w:rsidRPr="002B5C37" w:rsidRDefault="00B6197E" w:rsidP="00B6197E">
      <w:pPr>
        <w:pStyle w:val="Heading1"/>
        <w:numPr>
          <w:ilvl w:val="0"/>
          <w:numId w:val="0"/>
        </w:numPr>
      </w:pPr>
      <w:r w:rsidRPr="002B5C37">
        <w:t>[6]</w:t>
      </w:r>
      <w:r w:rsidRPr="002B5C37">
        <w:tab/>
      </w:r>
      <w:r w:rsidR="00640406" w:rsidRPr="002B5C37">
        <w:t xml:space="preserve">On 4 August 2021, </w:t>
      </w:r>
      <w:r w:rsidR="006E379D" w:rsidRPr="002B5C37">
        <w:t xml:space="preserve">Ms Goagoses </w:t>
      </w:r>
      <w:r w:rsidR="00640406" w:rsidRPr="002B5C37">
        <w:t xml:space="preserve">contacted </w:t>
      </w:r>
      <w:r w:rsidR="006E379D" w:rsidRPr="002B5C37">
        <w:t xml:space="preserve">Mrs Kruger </w:t>
      </w:r>
      <w:r w:rsidR="00640406" w:rsidRPr="002B5C37">
        <w:t xml:space="preserve">and asked for money. Between the period of 5 August 2021 and 17 August 2021, there were further back and forth </w:t>
      </w:r>
      <w:r w:rsidR="0034250F">
        <w:t xml:space="preserve">SMS </w:t>
      </w:r>
      <w:r w:rsidR="00640406" w:rsidRPr="002B5C37">
        <w:t xml:space="preserve">messages between the </w:t>
      </w:r>
      <w:r w:rsidR="006E379D" w:rsidRPr="002B5C37">
        <w:t>parties</w:t>
      </w:r>
      <w:r w:rsidR="00640406" w:rsidRPr="002B5C37">
        <w:t>.</w:t>
      </w:r>
    </w:p>
    <w:p w14:paraId="422F4137" w14:textId="77777777" w:rsidR="00587F2E" w:rsidRPr="002B5C37" w:rsidRDefault="00587F2E" w:rsidP="009D0925">
      <w:pPr>
        <w:pStyle w:val="ListParagraph"/>
        <w:contextualSpacing w:val="0"/>
        <w:rPr>
          <w:rFonts w:cs="Arial"/>
        </w:rPr>
      </w:pPr>
    </w:p>
    <w:p w14:paraId="422A80C4" w14:textId="12DBA422" w:rsidR="006E379D" w:rsidRPr="002B5C37" w:rsidRDefault="00B6197E" w:rsidP="00B6197E">
      <w:pPr>
        <w:pStyle w:val="Heading1"/>
        <w:numPr>
          <w:ilvl w:val="0"/>
          <w:numId w:val="0"/>
        </w:numPr>
      </w:pPr>
      <w:r w:rsidRPr="002B5C37">
        <w:t>[7]</w:t>
      </w:r>
      <w:r w:rsidRPr="002B5C37">
        <w:tab/>
      </w:r>
      <w:r w:rsidR="00637BB2" w:rsidRPr="002B5C37">
        <w:t>On 17 A</w:t>
      </w:r>
      <w:r w:rsidR="00640406" w:rsidRPr="002B5C37">
        <w:t xml:space="preserve">ugust 2023, </w:t>
      </w:r>
      <w:r w:rsidR="006E379D" w:rsidRPr="002B5C37">
        <w:t xml:space="preserve">Mrs Kruger </w:t>
      </w:r>
      <w:r w:rsidR="00640406" w:rsidRPr="002B5C37">
        <w:t xml:space="preserve">sent </w:t>
      </w:r>
      <w:r w:rsidR="00637BB2" w:rsidRPr="002B5C37">
        <w:t xml:space="preserve">a </w:t>
      </w:r>
      <w:r w:rsidR="006E379D" w:rsidRPr="002B5C37">
        <w:t xml:space="preserve">SMS message </w:t>
      </w:r>
      <w:r w:rsidR="00637BB2" w:rsidRPr="002B5C37">
        <w:t xml:space="preserve">to </w:t>
      </w:r>
      <w:r w:rsidR="006E379D" w:rsidRPr="002B5C37">
        <w:t>Ms Goagoses.  It stated the following</w:t>
      </w:r>
      <w:r w:rsidR="003716AC" w:rsidRPr="002B5C37">
        <w:t>:</w:t>
      </w:r>
    </w:p>
    <w:p w14:paraId="1004C054" w14:textId="77777777" w:rsidR="006E379D" w:rsidRPr="002B5C37" w:rsidRDefault="006E379D" w:rsidP="006E379D">
      <w:pPr>
        <w:pStyle w:val="Heading1"/>
        <w:numPr>
          <w:ilvl w:val="0"/>
          <w:numId w:val="0"/>
        </w:numPr>
      </w:pPr>
    </w:p>
    <w:p w14:paraId="30F8E27F" w14:textId="4BDA5E84" w:rsidR="003716AC" w:rsidRPr="002B5C37" w:rsidRDefault="003716AC" w:rsidP="003716AC">
      <w:pPr>
        <w:ind w:left="720"/>
        <w:rPr>
          <w:sz w:val="22"/>
          <w:szCs w:val="22"/>
        </w:rPr>
      </w:pPr>
      <w:bookmarkStart w:id="0" w:name="_Hlk145572456"/>
      <w:r w:rsidRPr="002B5C37">
        <w:rPr>
          <w:sz w:val="22"/>
          <w:szCs w:val="22"/>
        </w:rPr>
        <w:t>‘Jy het nie meer nodig on vir my enige antwoorde te gee nie.  Ek het genoeg gehad van leuns BV ‘n foon wat op “silent” was.  Ek het jou nie eens gebel nie.  Jy het nie verlof ingesit nie.  Jy het nie menslikheid verlof ingesit nie.  Jy het nie bedank nie.  Jy het gedros.  Ek het jou wa</w:t>
      </w:r>
      <w:r w:rsidR="00F66434" w:rsidRPr="002B5C37">
        <w:rPr>
          <w:sz w:val="22"/>
          <w:szCs w:val="22"/>
        </w:rPr>
        <w:t xml:space="preserve">ter berad.  Jy skuld my niks nie en as jy dink ek skuld jou, kan jy dit op skrif sit.  Gee die sleutel af by Annamarie by Kaap Agri.  Ek sal jou goed pak as ek weer ingaan.  Dankie vir alles en dat jy bereid was om op die plaas te bly.  Jy het gekies om vir my te </w:t>
      </w:r>
      <w:r w:rsidR="00C03BD9" w:rsidRPr="002B5C37">
        <w:rPr>
          <w:sz w:val="22"/>
          <w:szCs w:val="22"/>
        </w:rPr>
        <w:t xml:space="preserve">jok dat jy saam met Joamnie sou terug kom.’ </w:t>
      </w:r>
      <w:bookmarkEnd w:id="0"/>
      <w:r w:rsidR="00C03BD9" w:rsidRPr="002B5C37">
        <w:rPr>
          <w:rStyle w:val="FootnoteReference"/>
          <w:sz w:val="22"/>
          <w:szCs w:val="22"/>
        </w:rPr>
        <w:footnoteReference w:id="1"/>
      </w:r>
    </w:p>
    <w:p w14:paraId="1A89D403" w14:textId="77777777" w:rsidR="003716AC" w:rsidRPr="002B5C37" w:rsidRDefault="003716AC" w:rsidP="003716AC">
      <w:pPr>
        <w:pStyle w:val="Heading1"/>
        <w:numPr>
          <w:ilvl w:val="0"/>
          <w:numId w:val="0"/>
        </w:numPr>
      </w:pPr>
    </w:p>
    <w:p w14:paraId="49ACE056" w14:textId="32C6E212" w:rsidR="00C03BD9" w:rsidRPr="002B5C37" w:rsidRDefault="00B6197E" w:rsidP="00B6197E">
      <w:pPr>
        <w:pStyle w:val="Heading1"/>
        <w:numPr>
          <w:ilvl w:val="0"/>
          <w:numId w:val="0"/>
        </w:numPr>
      </w:pPr>
      <w:r w:rsidRPr="002B5C37">
        <w:t>[8]</w:t>
      </w:r>
      <w:r w:rsidRPr="002B5C37">
        <w:tab/>
      </w:r>
      <w:r w:rsidR="00C03BD9" w:rsidRPr="002B5C37">
        <w:t xml:space="preserve">In response, Ms Goagoses said:  </w:t>
      </w:r>
    </w:p>
    <w:p w14:paraId="51F6060A" w14:textId="77777777" w:rsidR="00C03BD9" w:rsidRPr="002B5C37" w:rsidRDefault="00C03BD9" w:rsidP="00C03BD9"/>
    <w:p w14:paraId="5D4EDA6C" w14:textId="28068E9C" w:rsidR="00C03BD9" w:rsidRPr="00485ED1" w:rsidRDefault="00C03BD9" w:rsidP="00485ED1">
      <w:pPr>
        <w:ind w:left="720"/>
        <w:rPr>
          <w:sz w:val="22"/>
          <w:szCs w:val="22"/>
        </w:rPr>
      </w:pPr>
      <w:bookmarkStart w:id="1" w:name="_Hlk145572472"/>
      <w:r w:rsidRPr="002B5C37">
        <w:rPr>
          <w:sz w:val="22"/>
          <w:szCs w:val="22"/>
        </w:rPr>
        <w:t>‘Is reg</w:t>
      </w:r>
      <w:r w:rsidR="00501122" w:rsidRPr="002B5C37">
        <w:rPr>
          <w:sz w:val="22"/>
          <w:szCs w:val="22"/>
        </w:rPr>
        <w:t>, … nou is ek die slegste mens na al die jare</w:t>
      </w:r>
      <w:r w:rsidR="0034250F">
        <w:rPr>
          <w:sz w:val="22"/>
          <w:szCs w:val="22"/>
        </w:rPr>
        <w:t xml:space="preserve"> se harde werk</w:t>
      </w:r>
      <w:r w:rsidR="00501122" w:rsidRPr="002B5C37">
        <w:rPr>
          <w:sz w:val="22"/>
          <w:szCs w:val="22"/>
        </w:rPr>
        <w:t xml:space="preserve">.’ </w:t>
      </w:r>
      <w:bookmarkEnd w:id="1"/>
      <w:r w:rsidR="00501122" w:rsidRPr="002B5C37">
        <w:rPr>
          <w:rStyle w:val="FootnoteReference"/>
          <w:sz w:val="22"/>
          <w:szCs w:val="22"/>
        </w:rPr>
        <w:footnoteReference w:id="2"/>
      </w:r>
    </w:p>
    <w:p w14:paraId="6A7F432B" w14:textId="77777777" w:rsidR="00587F2E" w:rsidRPr="002B5C37" w:rsidRDefault="00587F2E" w:rsidP="009D0925">
      <w:pPr>
        <w:pStyle w:val="ListParagraph"/>
        <w:contextualSpacing w:val="0"/>
        <w:rPr>
          <w:rFonts w:cs="Arial"/>
        </w:rPr>
      </w:pPr>
    </w:p>
    <w:p w14:paraId="4090A96F" w14:textId="04F12937" w:rsidR="007676CF" w:rsidRDefault="00B6197E" w:rsidP="00B6197E">
      <w:pPr>
        <w:pStyle w:val="Heading1"/>
        <w:numPr>
          <w:ilvl w:val="0"/>
          <w:numId w:val="0"/>
        </w:numPr>
      </w:pPr>
      <w:r>
        <w:t>[9]</w:t>
      </w:r>
      <w:r>
        <w:tab/>
      </w:r>
      <w:r w:rsidR="0034250F">
        <w:t xml:space="preserve">It is apparent from the exchanges preceding </w:t>
      </w:r>
      <w:r w:rsidR="007676CF">
        <w:t xml:space="preserve">above </w:t>
      </w:r>
      <w:r w:rsidR="0034250F">
        <w:t xml:space="preserve">the SMS message of Mrs Kruger, that she experienced justifiable frustration </w:t>
      </w:r>
      <w:r w:rsidR="007676CF">
        <w:t>with Ms Goagoses who did not return to the farm or respond to messages on 3 August 2021 wh</w:t>
      </w:r>
      <w:r w:rsidR="0083513B">
        <w:t>ilst</w:t>
      </w:r>
      <w:r w:rsidR="007676CF">
        <w:t xml:space="preserve"> Mrs Kruger was waiting for her to arrive in order to return to the farm. Mrs Kruger returned without Ms Goagoses. </w:t>
      </w:r>
    </w:p>
    <w:p w14:paraId="69CA4298" w14:textId="77777777" w:rsidR="007676CF" w:rsidRPr="007676CF" w:rsidRDefault="007676CF" w:rsidP="007676CF"/>
    <w:p w14:paraId="2F8FFBDF" w14:textId="42C46F5D" w:rsidR="0083513B" w:rsidRDefault="00B6197E" w:rsidP="00B6197E">
      <w:pPr>
        <w:pStyle w:val="Heading1"/>
        <w:numPr>
          <w:ilvl w:val="0"/>
          <w:numId w:val="0"/>
        </w:numPr>
      </w:pPr>
      <w:r>
        <w:t>[10]</w:t>
      </w:r>
      <w:r>
        <w:tab/>
      </w:r>
      <w:r w:rsidR="007676CF">
        <w:t xml:space="preserve">On 5 August 2021, Ms Goagoses sent an SMS message to Mrs </w:t>
      </w:r>
      <w:r w:rsidR="001B3464">
        <w:t>K</w:t>
      </w:r>
      <w:r w:rsidR="007676CF">
        <w:t xml:space="preserve">ruger requesting money </w:t>
      </w:r>
      <w:r w:rsidR="0083513B">
        <w:t xml:space="preserve">in order to purchase school shoes and socks. When queried about monies Mrs Kruger had previously advanced, Ms Goagoses explained that she had to buy food and pay off a debt. On 6 August Mrs Kruger informed Ms Goagoses that someone was coming into town, and </w:t>
      </w:r>
      <w:r w:rsidR="00DC7EFA">
        <w:t>t</w:t>
      </w:r>
      <w:r w:rsidR="0083513B">
        <w:t>hat she could take a lift back to the farm with him. There was no response from Ms Goagoses,  either to the aforementioned message or to a follow up message on the same day lamenting the lack of a response.</w:t>
      </w:r>
    </w:p>
    <w:p w14:paraId="4B4D2B8F" w14:textId="77777777" w:rsidR="00637C46" w:rsidRPr="00637C46" w:rsidRDefault="00637C46" w:rsidP="00637C46"/>
    <w:p w14:paraId="46A0003C" w14:textId="67EE79D3" w:rsidR="00637C46" w:rsidRDefault="00B6197E" w:rsidP="00B6197E">
      <w:pPr>
        <w:pStyle w:val="Heading1"/>
        <w:numPr>
          <w:ilvl w:val="0"/>
          <w:numId w:val="0"/>
        </w:numPr>
      </w:pPr>
      <w:r>
        <w:t>[11]</w:t>
      </w:r>
      <w:r>
        <w:tab/>
      </w:r>
      <w:r w:rsidR="0083513B">
        <w:t>Ms Goagoses only communicated with Mrs Kruger again on 12 August 2021</w:t>
      </w:r>
      <w:r w:rsidR="00637C46">
        <w:t xml:space="preserve"> via SMS message</w:t>
      </w:r>
      <w:r w:rsidR="0083513B">
        <w:t xml:space="preserve">, which </w:t>
      </w:r>
      <w:r w:rsidR="00637C46">
        <w:t>informed</w:t>
      </w:r>
      <w:r w:rsidR="0083513B">
        <w:t>, amongst others, tha</w:t>
      </w:r>
      <w:r w:rsidR="00637C46">
        <w:t xml:space="preserve">t </w:t>
      </w:r>
      <w:r w:rsidR="0083513B">
        <w:t>her phone was on silent and that she did not hear when Mrs Kruger called her</w:t>
      </w:r>
      <w:r w:rsidR="00637C46">
        <w:t xml:space="preserve">. Mrs Kruger did not respond to this message. On 16 August 2021, Ms Goagoses informed that she was undergoing medical treatment which Mrs Kruger knew about, that she had some days without it, and asked what she should now do. On 17 August 2021, Mrs Kruger responded and indicated to Ms Goagoses that her treatment was no longer her (Mrs Kruger’s) responsibility, and that the responsibility lay </w:t>
      </w:r>
      <w:r w:rsidR="00637C46">
        <w:lastRenderedPageBreak/>
        <w:t>with Ms Goagoses and her children. M</w:t>
      </w:r>
      <w:r w:rsidR="00DC7EFA">
        <w:t>s</w:t>
      </w:r>
      <w:r w:rsidR="00637C46">
        <w:t xml:space="preserve"> Goagoses responded that she </w:t>
      </w:r>
      <w:r w:rsidR="00F43D6B">
        <w:t>was at the hospital at the time.</w:t>
      </w:r>
      <w:r w:rsidR="00637C46">
        <w:t xml:space="preserve"> The response to this message is the one mentioned in paragraph [7</w:t>
      </w:r>
      <w:r w:rsidR="00F43D6B">
        <w:t>] of this judgment</w:t>
      </w:r>
      <w:r w:rsidR="00637C46">
        <w:t xml:space="preserve">, on which the appeal is based. </w:t>
      </w:r>
    </w:p>
    <w:p w14:paraId="43CC57D1" w14:textId="77777777" w:rsidR="00637C46" w:rsidRPr="00637C46" w:rsidRDefault="00637C46" w:rsidP="00637C46"/>
    <w:p w14:paraId="584D3D14" w14:textId="137AC544" w:rsidR="00862B82" w:rsidRPr="002B5C37" w:rsidRDefault="00B6197E" w:rsidP="00B6197E">
      <w:pPr>
        <w:pStyle w:val="Heading1"/>
        <w:numPr>
          <w:ilvl w:val="0"/>
          <w:numId w:val="0"/>
        </w:numPr>
      </w:pPr>
      <w:r w:rsidRPr="002B5C37">
        <w:t>[12]</w:t>
      </w:r>
      <w:r w:rsidRPr="002B5C37">
        <w:tab/>
      </w:r>
      <w:r w:rsidR="00BE2208" w:rsidRPr="002B5C37">
        <w:t xml:space="preserve">On 18 August 2021, </w:t>
      </w:r>
      <w:r w:rsidR="00862B82" w:rsidRPr="002B5C37">
        <w:t xml:space="preserve">Ms Goagoses </w:t>
      </w:r>
      <w:r w:rsidR="00F43D6B">
        <w:t>approached</w:t>
      </w:r>
      <w:r w:rsidR="00BE2208" w:rsidRPr="002B5C37">
        <w:t xml:space="preserve"> </w:t>
      </w:r>
      <w:r w:rsidR="00DC7EFA">
        <w:t xml:space="preserve">the </w:t>
      </w:r>
      <w:r w:rsidR="001E4562" w:rsidRPr="002B5C37">
        <w:t>Office of the Labour Commissioner</w:t>
      </w:r>
      <w:r w:rsidR="00CB04C0" w:rsidRPr="002B5C37">
        <w:t xml:space="preserve"> and the </w:t>
      </w:r>
      <w:r w:rsidR="00862B82" w:rsidRPr="002B5C37">
        <w:t>L</w:t>
      </w:r>
      <w:r w:rsidR="00CB04C0" w:rsidRPr="002B5C37">
        <w:t xml:space="preserve">abour </w:t>
      </w:r>
      <w:r w:rsidR="00862B82" w:rsidRPr="002B5C37">
        <w:t>I</w:t>
      </w:r>
      <w:r w:rsidR="00CB04C0" w:rsidRPr="002B5C37">
        <w:t xml:space="preserve">nspector </w:t>
      </w:r>
      <w:r w:rsidR="00BE2208" w:rsidRPr="002B5C37">
        <w:t>calculate</w:t>
      </w:r>
      <w:r w:rsidR="00CB04C0" w:rsidRPr="002B5C37">
        <w:t>d</w:t>
      </w:r>
      <w:r w:rsidR="00BE2208" w:rsidRPr="002B5C37">
        <w:t xml:space="preserve"> </w:t>
      </w:r>
      <w:r w:rsidR="00F43D6B">
        <w:t>an</w:t>
      </w:r>
      <w:r w:rsidR="00BE2208" w:rsidRPr="002B5C37">
        <w:t xml:space="preserve"> amount due to her. </w:t>
      </w:r>
      <w:r w:rsidR="00862B82" w:rsidRPr="002B5C37">
        <w:t xml:space="preserve">On the same date, Ms Goagoses sent an SMS to Mrs Kruger informing that she had attended the Office of the Labour Commissioner and that a certain amount had been calculated as due to her.  </w:t>
      </w:r>
    </w:p>
    <w:p w14:paraId="61207272" w14:textId="77777777" w:rsidR="00587F2E" w:rsidRPr="002B5C37" w:rsidRDefault="00587F2E" w:rsidP="009D0925">
      <w:pPr>
        <w:pStyle w:val="ListParagraph"/>
        <w:contextualSpacing w:val="0"/>
        <w:rPr>
          <w:rFonts w:cs="Arial"/>
        </w:rPr>
      </w:pPr>
    </w:p>
    <w:p w14:paraId="05921A18" w14:textId="105E79FE" w:rsidR="00862B82" w:rsidRPr="002B5C37" w:rsidRDefault="00B6197E" w:rsidP="00B6197E">
      <w:pPr>
        <w:pStyle w:val="Heading1"/>
        <w:numPr>
          <w:ilvl w:val="0"/>
          <w:numId w:val="0"/>
        </w:numPr>
      </w:pPr>
      <w:r w:rsidRPr="002B5C37">
        <w:t>[13]</w:t>
      </w:r>
      <w:r w:rsidRPr="002B5C37">
        <w:tab/>
      </w:r>
      <w:r w:rsidR="00F43D6B">
        <w:t xml:space="preserve">Ms Goagoses instituted a labour complaint. </w:t>
      </w:r>
      <w:r w:rsidR="00862B82" w:rsidRPr="002B5C37">
        <w:t xml:space="preserve">The matter then proceeded for conciliation and then to arbitration at the Labour Commissioner.  </w:t>
      </w:r>
    </w:p>
    <w:p w14:paraId="7D364115" w14:textId="77777777" w:rsidR="00862B82" w:rsidRPr="002B5C37" w:rsidRDefault="00862B82" w:rsidP="00862B82">
      <w:pPr>
        <w:pStyle w:val="Heading1"/>
        <w:numPr>
          <w:ilvl w:val="0"/>
          <w:numId w:val="0"/>
        </w:numPr>
      </w:pPr>
    </w:p>
    <w:p w14:paraId="34D373A1" w14:textId="3AFCD404" w:rsidR="009B72DD" w:rsidRPr="002B5C37" w:rsidRDefault="00B6197E" w:rsidP="00B6197E">
      <w:pPr>
        <w:pStyle w:val="Heading1"/>
        <w:numPr>
          <w:ilvl w:val="0"/>
          <w:numId w:val="0"/>
        </w:numPr>
      </w:pPr>
      <w:r w:rsidRPr="002B5C37">
        <w:t>[14]</w:t>
      </w:r>
      <w:r w:rsidRPr="002B5C37">
        <w:tab/>
      </w:r>
      <w:r w:rsidR="00637BB2" w:rsidRPr="002B5C37">
        <w:t>During the arbitration proceedings</w:t>
      </w:r>
      <w:r w:rsidR="001E4562" w:rsidRPr="002B5C37">
        <w:t>,</w:t>
      </w:r>
      <w:r w:rsidR="00637BB2" w:rsidRPr="002B5C37">
        <w:t xml:space="preserve"> </w:t>
      </w:r>
      <w:r w:rsidR="00862B82" w:rsidRPr="002B5C37">
        <w:t xml:space="preserve">Mrs Kruger </w:t>
      </w:r>
      <w:r w:rsidR="00637BB2" w:rsidRPr="002B5C37">
        <w:t xml:space="preserve">testified that she never dismissed </w:t>
      </w:r>
      <w:r w:rsidR="00BD0FB2" w:rsidRPr="002B5C37">
        <w:t xml:space="preserve">Ms Goagoses </w:t>
      </w:r>
      <w:r w:rsidR="00637BB2" w:rsidRPr="002B5C37">
        <w:t xml:space="preserve">and that </w:t>
      </w:r>
      <w:r w:rsidR="00BD0FB2" w:rsidRPr="002B5C37">
        <w:t xml:space="preserve">the </w:t>
      </w:r>
      <w:r w:rsidR="00637BB2" w:rsidRPr="002B5C37">
        <w:t xml:space="preserve">intention </w:t>
      </w:r>
      <w:r w:rsidR="00BD0FB2" w:rsidRPr="002B5C37">
        <w:t>of Mrs Kruger</w:t>
      </w:r>
      <w:r w:rsidR="007A1B1C" w:rsidRPr="002B5C37">
        <w:t xml:space="preserve">, set out in the </w:t>
      </w:r>
      <w:r w:rsidR="00BD0FB2" w:rsidRPr="002B5C37">
        <w:t xml:space="preserve">SMS </w:t>
      </w:r>
      <w:r w:rsidR="001E4562" w:rsidRPr="002B5C37">
        <w:t>dated</w:t>
      </w:r>
      <w:r w:rsidR="00637BB2" w:rsidRPr="002B5C37">
        <w:t xml:space="preserve"> 17 August 2021</w:t>
      </w:r>
      <w:r w:rsidR="001E4562" w:rsidRPr="002B5C37">
        <w:t xml:space="preserve">, </w:t>
      </w:r>
      <w:r w:rsidR="009B72DD" w:rsidRPr="002B5C37">
        <w:t xml:space="preserve">was not to dismiss </w:t>
      </w:r>
      <w:r w:rsidR="00BD0FB2" w:rsidRPr="002B5C37">
        <w:t>Ms Goagoses.  Instead it was Ms Goagoses</w:t>
      </w:r>
      <w:r w:rsidR="007A1B1C" w:rsidRPr="002B5C37">
        <w:t xml:space="preserve"> that </w:t>
      </w:r>
      <w:r w:rsidR="008C7E9F" w:rsidRPr="002B5C37">
        <w:t>terminated her</w:t>
      </w:r>
      <w:r w:rsidR="00DD17A7" w:rsidRPr="002B5C37">
        <w:t xml:space="preserve"> services </w:t>
      </w:r>
      <w:r w:rsidR="007A1B1C" w:rsidRPr="002B5C37">
        <w:t xml:space="preserve">as she </w:t>
      </w:r>
      <w:r w:rsidR="00DD17A7" w:rsidRPr="002B5C37">
        <w:t>abscond</w:t>
      </w:r>
      <w:r w:rsidR="007A1B1C" w:rsidRPr="002B5C37">
        <w:t>ed from work</w:t>
      </w:r>
      <w:r w:rsidR="009B72DD" w:rsidRPr="002B5C37">
        <w:t>.</w:t>
      </w:r>
      <w:r w:rsidR="00587F2E" w:rsidRPr="002B5C37">
        <w:t xml:space="preserve"> </w:t>
      </w:r>
      <w:r w:rsidR="007775A4" w:rsidRPr="002B5C37">
        <w:t xml:space="preserve">Mrs Kruger testified </w:t>
      </w:r>
      <w:r w:rsidR="001E4562" w:rsidRPr="002B5C37">
        <w:t>that</w:t>
      </w:r>
      <w:r w:rsidR="00DD17A7" w:rsidRPr="002B5C37">
        <w:t xml:space="preserve"> she did not </w:t>
      </w:r>
      <w:r w:rsidR="007775A4" w:rsidRPr="002B5C37">
        <w:t xml:space="preserve">know why </w:t>
      </w:r>
      <w:r w:rsidR="003A181F" w:rsidRPr="002B5C37">
        <w:t xml:space="preserve">Ms Goagoses </w:t>
      </w:r>
      <w:r w:rsidR="00DD17A7" w:rsidRPr="002B5C37">
        <w:t xml:space="preserve">did not </w:t>
      </w:r>
      <w:r w:rsidR="0000222C" w:rsidRPr="002B5C37">
        <w:t xml:space="preserve">return to the farm, and that she did not ask why, as Ms Goagoses did not </w:t>
      </w:r>
      <w:r w:rsidR="00DD17A7" w:rsidRPr="002B5C37">
        <w:t xml:space="preserve">answer </w:t>
      </w:r>
      <w:r w:rsidR="0000222C" w:rsidRPr="002B5C37">
        <w:t xml:space="preserve">her cellphone. Mrs Kruger then </w:t>
      </w:r>
      <w:r w:rsidR="009B72DD" w:rsidRPr="002B5C37">
        <w:t xml:space="preserve">loaded </w:t>
      </w:r>
      <w:r w:rsidR="0000222C" w:rsidRPr="002B5C37">
        <w:t xml:space="preserve">Ms Goagoses’ belongings </w:t>
      </w:r>
      <w:r w:rsidR="009B72DD" w:rsidRPr="002B5C37">
        <w:t xml:space="preserve">because she </w:t>
      </w:r>
      <w:r w:rsidR="00612AE1" w:rsidRPr="002B5C37">
        <w:t xml:space="preserve">was aware that Ms Goagoses </w:t>
      </w:r>
      <w:r w:rsidR="009B72DD" w:rsidRPr="002B5C37">
        <w:t>had noth</w:t>
      </w:r>
      <w:r w:rsidR="00587F2E" w:rsidRPr="002B5C37">
        <w:t xml:space="preserve">ing when she left and </w:t>
      </w:r>
      <w:r w:rsidR="00DD17A7" w:rsidRPr="002B5C37">
        <w:t xml:space="preserve">that she knew </w:t>
      </w:r>
      <w:r w:rsidR="00612AE1" w:rsidRPr="002B5C37">
        <w:t xml:space="preserve">Ms Goagoses </w:t>
      </w:r>
      <w:r w:rsidR="00587F2E" w:rsidRPr="002B5C37">
        <w:t>needed her</w:t>
      </w:r>
      <w:r w:rsidR="009B72DD" w:rsidRPr="002B5C37">
        <w:t xml:space="preserve"> </w:t>
      </w:r>
      <w:r w:rsidR="00612AE1" w:rsidRPr="002B5C37">
        <w:t>belongings</w:t>
      </w:r>
      <w:r w:rsidR="009B72DD" w:rsidRPr="002B5C37">
        <w:t>.</w:t>
      </w:r>
      <w:r w:rsidR="00C32DE7" w:rsidRPr="002B5C37">
        <w:t xml:space="preserve"> </w:t>
      </w:r>
    </w:p>
    <w:p w14:paraId="759681FC" w14:textId="77777777" w:rsidR="00612AE1" w:rsidRPr="002B5C37" w:rsidRDefault="00612AE1" w:rsidP="00612AE1"/>
    <w:p w14:paraId="31AD5D43" w14:textId="7BC7CC7D" w:rsidR="00612AE1" w:rsidRPr="002B5C37" w:rsidRDefault="00B6197E" w:rsidP="00B6197E">
      <w:pPr>
        <w:pStyle w:val="Heading1"/>
        <w:numPr>
          <w:ilvl w:val="0"/>
          <w:numId w:val="0"/>
        </w:numPr>
      </w:pPr>
      <w:r w:rsidRPr="002B5C37">
        <w:t>[15]</w:t>
      </w:r>
      <w:r w:rsidRPr="002B5C37">
        <w:tab/>
      </w:r>
      <w:r w:rsidR="00612AE1" w:rsidRPr="002B5C37">
        <w:t>Ms Goagoses testified that she was to return to work on 3 August 2021.  She was not supposed to go to Keetmanshoop, but Mrs Kruger requested that she accompany her for the purchase of certain goods.  According to Ms Goagoses, Mrs Kruger requested her to stay the night and return to the farm the next day with Mrs Kruger’s daughter.</w:t>
      </w:r>
      <w:r w:rsidR="00485ED1">
        <w:t xml:space="preserve"> </w:t>
      </w:r>
      <w:r w:rsidR="00612AE1" w:rsidRPr="002B5C37">
        <w:t xml:space="preserve">She testified that she called Mrs Kruger on her cellphone on the morning of 4 August 2021 but there was no reply. She also called Mrs Kruger’s husband and her daughter but there was no response from anyone. On that day her services were terminated via SMS message. She then went to the Labour Inspector’s office for the calculation of her ‘dues’ by the Inspector which she later sent to Mrs Kruger.  </w:t>
      </w:r>
    </w:p>
    <w:p w14:paraId="101E620E" w14:textId="77777777" w:rsidR="00F43D6B" w:rsidRDefault="00F43D6B" w:rsidP="00F43D6B">
      <w:pPr>
        <w:pStyle w:val="Heading1"/>
        <w:numPr>
          <w:ilvl w:val="0"/>
          <w:numId w:val="0"/>
        </w:numPr>
      </w:pPr>
    </w:p>
    <w:p w14:paraId="479175A7" w14:textId="4129CDC5" w:rsidR="00825C1E" w:rsidRPr="002B5C37" w:rsidRDefault="00B6197E" w:rsidP="00B6197E">
      <w:pPr>
        <w:pStyle w:val="Heading1"/>
        <w:numPr>
          <w:ilvl w:val="0"/>
          <w:numId w:val="0"/>
        </w:numPr>
      </w:pPr>
      <w:r w:rsidRPr="002B5C37">
        <w:lastRenderedPageBreak/>
        <w:t>[16]</w:t>
      </w:r>
      <w:r w:rsidRPr="002B5C37">
        <w:tab/>
      </w:r>
      <w:r w:rsidR="00502C52" w:rsidRPr="002B5C37">
        <w:t xml:space="preserve">Before I proceed with the appeal, </w:t>
      </w:r>
      <w:r w:rsidR="001E7E42" w:rsidRPr="002B5C37">
        <w:t>M</w:t>
      </w:r>
      <w:r w:rsidR="00F43D6B">
        <w:t>r Ikanga</w:t>
      </w:r>
      <w:r w:rsidR="001E7E42" w:rsidRPr="002B5C37">
        <w:t xml:space="preserve"> </w:t>
      </w:r>
      <w:r w:rsidR="00E24F38" w:rsidRPr="002B5C37">
        <w:t xml:space="preserve">raised two points </w:t>
      </w:r>
      <w:r w:rsidR="00E24F38" w:rsidRPr="002B5C37">
        <w:rPr>
          <w:i/>
        </w:rPr>
        <w:t xml:space="preserve">in limine </w:t>
      </w:r>
      <w:r w:rsidR="00E24F38" w:rsidRPr="002B5C37">
        <w:t>which I will deal with in brief.</w:t>
      </w:r>
    </w:p>
    <w:p w14:paraId="325B5140" w14:textId="77777777" w:rsidR="00825C1E" w:rsidRPr="002B5C37" w:rsidRDefault="00825C1E" w:rsidP="009D0925">
      <w:pPr>
        <w:pStyle w:val="ListParagraph"/>
        <w:contextualSpacing w:val="0"/>
        <w:rPr>
          <w:rFonts w:cs="Arial"/>
        </w:rPr>
      </w:pPr>
    </w:p>
    <w:p w14:paraId="7448C5F6" w14:textId="77777777" w:rsidR="00825C1E" w:rsidRPr="00485ED1" w:rsidRDefault="00825C1E" w:rsidP="009D0925">
      <w:pPr>
        <w:pStyle w:val="ListParagraph"/>
        <w:ind w:left="0"/>
        <w:contextualSpacing w:val="0"/>
        <w:rPr>
          <w:rFonts w:cs="Arial"/>
          <w:iCs/>
          <w:u w:val="single"/>
        </w:rPr>
      </w:pPr>
      <w:r w:rsidRPr="00485ED1">
        <w:rPr>
          <w:rFonts w:cs="Arial"/>
          <w:iCs/>
          <w:u w:val="single"/>
        </w:rPr>
        <w:t>The points in limine</w:t>
      </w:r>
    </w:p>
    <w:p w14:paraId="26DF53AC" w14:textId="77777777" w:rsidR="00825C1E" w:rsidRPr="002B5C37" w:rsidRDefault="00825C1E" w:rsidP="009D0925">
      <w:pPr>
        <w:pStyle w:val="ListParagraph"/>
        <w:contextualSpacing w:val="0"/>
        <w:rPr>
          <w:rFonts w:cs="Arial"/>
        </w:rPr>
      </w:pPr>
    </w:p>
    <w:p w14:paraId="6099B723" w14:textId="2846DA1A" w:rsidR="00502C52" w:rsidRPr="002B5C37" w:rsidRDefault="00B6197E" w:rsidP="00B6197E">
      <w:pPr>
        <w:pStyle w:val="Heading1"/>
        <w:numPr>
          <w:ilvl w:val="0"/>
          <w:numId w:val="0"/>
        </w:numPr>
      </w:pPr>
      <w:r w:rsidRPr="002B5C37">
        <w:t>[17]</w:t>
      </w:r>
      <w:r w:rsidRPr="002B5C37">
        <w:tab/>
      </w:r>
      <w:r w:rsidR="001E7E42" w:rsidRPr="002B5C37">
        <w:t xml:space="preserve">The </w:t>
      </w:r>
      <w:r w:rsidR="00825C1E" w:rsidRPr="002B5C37">
        <w:t xml:space="preserve">points </w:t>
      </w:r>
      <w:r w:rsidR="00825C1E" w:rsidRPr="002B5C37">
        <w:rPr>
          <w:i/>
        </w:rPr>
        <w:t>in limine</w:t>
      </w:r>
      <w:r w:rsidR="00825C1E" w:rsidRPr="002B5C37">
        <w:t xml:space="preserve"> were</w:t>
      </w:r>
      <w:r w:rsidR="00502C52" w:rsidRPr="002B5C37">
        <w:t xml:space="preserve">: </w:t>
      </w:r>
    </w:p>
    <w:p w14:paraId="0413A8C3" w14:textId="77777777" w:rsidR="00502C52" w:rsidRPr="002B5C37" w:rsidRDefault="00502C52" w:rsidP="009D0925">
      <w:pPr>
        <w:pStyle w:val="ListParagraph"/>
        <w:ind w:left="0"/>
        <w:contextualSpacing w:val="0"/>
        <w:rPr>
          <w:rFonts w:cs="Arial"/>
        </w:rPr>
      </w:pPr>
    </w:p>
    <w:p w14:paraId="013DFBAA" w14:textId="67A2E237" w:rsidR="00502C52" w:rsidRPr="002B5C37" w:rsidRDefault="001E7E42" w:rsidP="001E7E42">
      <w:pPr>
        <w:pStyle w:val="ListParagraph"/>
        <w:contextualSpacing w:val="0"/>
        <w:rPr>
          <w:rFonts w:cs="Arial"/>
        </w:rPr>
      </w:pPr>
      <w:r w:rsidRPr="002B5C37">
        <w:rPr>
          <w:rFonts w:cs="Arial"/>
        </w:rPr>
        <w:t>(a)</w:t>
      </w:r>
      <w:r w:rsidRPr="002B5C37">
        <w:rPr>
          <w:rFonts w:cs="Arial"/>
        </w:rPr>
        <w:tab/>
        <w:t>n</w:t>
      </w:r>
      <w:r w:rsidR="00502C52" w:rsidRPr="002B5C37">
        <w:rPr>
          <w:rFonts w:cs="Arial"/>
        </w:rPr>
        <w:t>on</w:t>
      </w:r>
      <w:r w:rsidRPr="002B5C37">
        <w:rPr>
          <w:rFonts w:cs="Arial"/>
        </w:rPr>
        <w:t>-</w:t>
      </w:r>
      <w:r w:rsidR="00502C52" w:rsidRPr="002B5C37">
        <w:rPr>
          <w:rFonts w:cs="Arial"/>
        </w:rPr>
        <w:t>citation, or misjoi</w:t>
      </w:r>
      <w:r w:rsidR="00DF1327" w:rsidRPr="002B5C37">
        <w:rPr>
          <w:rFonts w:cs="Arial"/>
        </w:rPr>
        <w:t>nder and/or non-joinder of the a</w:t>
      </w:r>
      <w:r w:rsidR="00502C52" w:rsidRPr="002B5C37">
        <w:rPr>
          <w:rFonts w:cs="Arial"/>
        </w:rPr>
        <w:t xml:space="preserve">rbitrator and Labour Commissioner </w:t>
      </w:r>
      <w:r w:rsidRPr="002B5C37">
        <w:rPr>
          <w:rFonts w:cs="Arial"/>
        </w:rPr>
        <w:t xml:space="preserve">which apparently </w:t>
      </w:r>
      <w:r w:rsidR="00502C52" w:rsidRPr="002B5C37">
        <w:rPr>
          <w:rFonts w:cs="Arial"/>
        </w:rPr>
        <w:t>renders the entire purported notice of appeal defective, and void in law; and</w:t>
      </w:r>
    </w:p>
    <w:p w14:paraId="551EE75E" w14:textId="77777777" w:rsidR="001E7E42" w:rsidRPr="002B5C37" w:rsidRDefault="001E7E42" w:rsidP="001E7E42">
      <w:pPr>
        <w:pStyle w:val="ListParagraph"/>
        <w:contextualSpacing w:val="0"/>
        <w:rPr>
          <w:rFonts w:cs="Arial"/>
        </w:rPr>
      </w:pPr>
    </w:p>
    <w:p w14:paraId="41EC4C6D" w14:textId="3109CFB7" w:rsidR="00502C52" w:rsidRPr="002B5C37" w:rsidRDefault="001E7E42" w:rsidP="001E7E42">
      <w:pPr>
        <w:pStyle w:val="ListParagraph"/>
        <w:contextualSpacing w:val="0"/>
        <w:rPr>
          <w:rFonts w:cs="Arial"/>
        </w:rPr>
      </w:pPr>
      <w:r w:rsidRPr="002B5C37">
        <w:rPr>
          <w:rFonts w:cs="Arial"/>
        </w:rPr>
        <w:t>(b)</w:t>
      </w:r>
      <w:r w:rsidRPr="002B5C37">
        <w:rPr>
          <w:rFonts w:cs="Arial"/>
        </w:rPr>
        <w:tab/>
        <w:t>t</w:t>
      </w:r>
      <w:r w:rsidR="00502C52" w:rsidRPr="002B5C37">
        <w:rPr>
          <w:rFonts w:cs="Arial"/>
        </w:rPr>
        <w:t xml:space="preserve">he </w:t>
      </w:r>
      <w:r w:rsidRPr="002B5C37">
        <w:rPr>
          <w:rFonts w:cs="Arial"/>
        </w:rPr>
        <w:t>‘</w:t>
      </w:r>
      <w:r w:rsidR="00502C52" w:rsidRPr="002B5C37">
        <w:rPr>
          <w:rFonts w:cs="Arial"/>
        </w:rPr>
        <w:t>purported</w:t>
      </w:r>
      <w:r w:rsidRPr="002B5C37">
        <w:rPr>
          <w:rFonts w:cs="Arial"/>
        </w:rPr>
        <w:t>’</w:t>
      </w:r>
      <w:r w:rsidR="00502C52" w:rsidRPr="002B5C37">
        <w:rPr>
          <w:rFonts w:cs="Arial"/>
        </w:rPr>
        <w:t xml:space="preserve"> notice of appeal </w:t>
      </w:r>
      <w:r w:rsidRPr="002B5C37">
        <w:rPr>
          <w:rFonts w:cs="Arial"/>
        </w:rPr>
        <w:t>wa</w:t>
      </w:r>
      <w:r w:rsidR="00502C52" w:rsidRPr="002B5C37">
        <w:rPr>
          <w:rFonts w:cs="Arial"/>
        </w:rPr>
        <w:t xml:space="preserve">s only filed </w:t>
      </w:r>
      <w:r w:rsidRPr="002B5C37">
        <w:rPr>
          <w:rFonts w:cs="Arial"/>
        </w:rPr>
        <w:t xml:space="preserve">to </w:t>
      </w:r>
      <w:r w:rsidR="00502C52" w:rsidRPr="002B5C37">
        <w:rPr>
          <w:rFonts w:cs="Arial"/>
        </w:rPr>
        <w:t>delay enforce</w:t>
      </w:r>
      <w:r w:rsidR="002B5C37" w:rsidRPr="002B5C37">
        <w:rPr>
          <w:rFonts w:cs="Arial"/>
        </w:rPr>
        <w:t xml:space="preserve">ment of the </w:t>
      </w:r>
      <w:r w:rsidR="00502C52" w:rsidRPr="002B5C37">
        <w:rPr>
          <w:rFonts w:cs="Arial"/>
        </w:rPr>
        <w:t xml:space="preserve">arbitration award. </w:t>
      </w:r>
    </w:p>
    <w:p w14:paraId="213CB6C3" w14:textId="77777777" w:rsidR="00502C52" w:rsidRPr="002B5C37" w:rsidRDefault="00502C52" w:rsidP="009D0925">
      <w:pPr>
        <w:pStyle w:val="ListParagraph"/>
        <w:contextualSpacing w:val="0"/>
        <w:rPr>
          <w:rFonts w:cs="Arial"/>
        </w:rPr>
      </w:pPr>
    </w:p>
    <w:p w14:paraId="313C0885" w14:textId="0BD29265" w:rsidR="00825C1E" w:rsidRPr="002B5C37" w:rsidRDefault="00B6197E" w:rsidP="00B6197E">
      <w:pPr>
        <w:pStyle w:val="Heading1"/>
        <w:numPr>
          <w:ilvl w:val="0"/>
          <w:numId w:val="0"/>
        </w:numPr>
      </w:pPr>
      <w:r w:rsidRPr="002B5C37">
        <w:t>[18]</w:t>
      </w:r>
      <w:r w:rsidRPr="002B5C37">
        <w:tab/>
      </w:r>
      <w:r w:rsidR="002B5C37">
        <w:t>T</w:t>
      </w:r>
      <w:r w:rsidR="00825C1E" w:rsidRPr="002B5C37">
        <w:t xml:space="preserve">he first point </w:t>
      </w:r>
      <w:r w:rsidR="00502C52" w:rsidRPr="002B5C37">
        <w:rPr>
          <w:i/>
        </w:rPr>
        <w:t>in limine</w:t>
      </w:r>
      <w:r w:rsidR="002B5C37">
        <w:t xml:space="preserve"> was correctly not persisted with.</w:t>
      </w:r>
      <w:r w:rsidR="00502C52" w:rsidRPr="002B5C37">
        <w:t xml:space="preserve"> </w:t>
      </w:r>
      <w:r w:rsidR="00825C1E" w:rsidRPr="002B5C37">
        <w:t xml:space="preserve">On the second point </w:t>
      </w:r>
      <w:r w:rsidR="00825C1E" w:rsidRPr="002B5C37">
        <w:rPr>
          <w:i/>
        </w:rPr>
        <w:t>in limine</w:t>
      </w:r>
      <w:r w:rsidR="00A42C13" w:rsidRPr="002B5C37">
        <w:rPr>
          <w:i/>
        </w:rPr>
        <w:t>,</w:t>
      </w:r>
      <w:r w:rsidR="00502C52" w:rsidRPr="002B5C37">
        <w:t xml:space="preserve"> Mr Ikanga</w:t>
      </w:r>
      <w:r w:rsidR="00825C1E" w:rsidRPr="002B5C37">
        <w:t xml:space="preserve"> argued that </w:t>
      </w:r>
      <w:r w:rsidR="002B5C37">
        <w:t xml:space="preserve">Mrs Kruger </w:t>
      </w:r>
      <w:r w:rsidR="00E24F38" w:rsidRPr="002B5C37">
        <w:t>failed to comply with the arbitration award</w:t>
      </w:r>
      <w:r w:rsidR="002B5C37">
        <w:t xml:space="preserve">. </w:t>
      </w:r>
      <w:r w:rsidR="00F43D6B">
        <w:t>However</w:t>
      </w:r>
      <w:r w:rsidR="00485ED1">
        <w:t>,</w:t>
      </w:r>
      <w:r w:rsidR="00F43D6B">
        <w:t xml:space="preserve"> he</w:t>
      </w:r>
      <w:r w:rsidR="00050D83">
        <w:t xml:space="preserve"> </w:t>
      </w:r>
      <w:r w:rsidR="002B5C37">
        <w:t xml:space="preserve">conceded that </w:t>
      </w:r>
      <w:r w:rsidR="00E24F38" w:rsidRPr="002B5C37">
        <w:t>the</w:t>
      </w:r>
      <w:r w:rsidR="00825C1E" w:rsidRPr="002B5C37">
        <w:t xml:space="preserve"> award was not registered </w:t>
      </w:r>
      <w:r w:rsidR="002B5C37">
        <w:t xml:space="preserve">as </w:t>
      </w:r>
      <w:r w:rsidR="00825C1E" w:rsidRPr="002B5C37">
        <w:t xml:space="preserve">an order of court. </w:t>
      </w:r>
      <w:r w:rsidR="002B5C37">
        <w:t xml:space="preserve">This point is devoid of merit. </w:t>
      </w:r>
      <w:r w:rsidR="00502C52" w:rsidRPr="002B5C37">
        <w:t>I</w:t>
      </w:r>
      <w:r w:rsidR="00825C1E" w:rsidRPr="002B5C37">
        <w:t>f no award is registered</w:t>
      </w:r>
      <w:r w:rsidR="00050D83">
        <w:t xml:space="preserve"> with this court in terms of the applicable rules</w:t>
      </w:r>
      <w:r w:rsidR="00825C1E" w:rsidRPr="002B5C37">
        <w:t xml:space="preserve">, it cannot be argued that </w:t>
      </w:r>
      <w:r w:rsidR="008A15DF">
        <w:t xml:space="preserve">Mrs Kruger </w:t>
      </w:r>
      <w:r w:rsidR="00825C1E" w:rsidRPr="002B5C37">
        <w:t>has not complied with the arbitration award.</w:t>
      </w:r>
    </w:p>
    <w:p w14:paraId="671F9A33" w14:textId="77777777" w:rsidR="00756E9A" w:rsidRPr="002B5C37" w:rsidRDefault="00756E9A" w:rsidP="009D0925">
      <w:pPr>
        <w:pStyle w:val="ListParagraph"/>
        <w:ind w:left="0"/>
        <w:contextualSpacing w:val="0"/>
        <w:rPr>
          <w:rFonts w:cs="Arial"/>
          <w:u w:val="single"/>
        </w:rPr>
      </w:pPr>
    </w:p>
    <w:p w14:paraId="426B8619" w14:textId="77777777" w:rsidR="00597E74" w:rsidRPr="002B5C37" w:rsidRDefault="00597E74" w:rsidP="009D0925">
      <w:pPr>
        <w:pStyle w:val="ListParagraph"/>
        <w:ind w:left="0"/>
        <w:contextualSpacing w:val="0"/>
        <w:rPr>
          <w:rFonts w:cs="Arial"/>
          <w:u w:val="single"/>
        </w:rPr>
      </w:pPr>
      <w:r w:rsidRPr="002B5C37">
        <w:rPr>
          <w:rFonts w:cs="Arial"/>
          <w:u w:val="single"/>
        </w:rPr>
        <w:t>Arguments on the grounds of appeal</w:t>
      </w:r>
    </w:p>
    <w:p w14:paraId="32043251" w14:textId="77777777" w:rsidR="00AE544D" w:rsidRPr="002B5C37" w:rsidRDefault="00AE544D" w:rsidP="009D0925">
      <w:pPr>
        <w:pStyle w:val="ListParagraph"/>
        <w:ind w:left="0"/>
        <w:contextualSpacing w:val="0"/>
        <w:rPr>
          <w:rFonts w:cs="Arial"/>
          <w:u w:val="single"/>
        </w:rPr>
      </w:pPr>
    </w:p>
    <w:p w14:paraId="660B20F8" w14:textId="610EB214" w:rsidR="00502C52" w:rsidRPr="002B5C37" w:rsidRDefault="00B6197E" w:rsidP="00B6197E">
      <w:pPr>
        <w:pStyle w:val="Heading1"/>
        <w:numPr>
          <w:ilvl w:val="0"/>
          <w:numId w:val="0"/>
        </w:numPr>
      </w:pPr>
      <w:r w:rsidRPr="002B5C37">
        <w:t>[19]</w:t>
      </w:r>
      <w:r w:rsidRPr="002B5C37">
        <w:tab/>
      </w:r>
      <w:r w:rsidR="00E738DC" w:rsidRPr="002B5C37">
        <w:t>The grounds of</w:t>
      </w:r>
      <w:r w:rsidR="00502C52" w:rsidRPr="002B5C37">
        <w:t xml:space="preserve"> appeal raised by </w:t>
      </w:r>
      <w:r w:rsidR="008A15DF">
        <w:t xml:space="preserve">Mrs Kruger </w:t>
      </w:r>
      <w:r w:rsidR="00502C52" w:rsidRPr="002B5C37">
        <w:t>against the arbitrator</w:t>
      </w:r>
      <w:r w:rsidR="008A15DF">
        <w:t>’</w:t>
      </w:r>
      <w:r w:rsidR="00502C52" w:rsidRPr="002B5C37">
        <w:t>s award are as follows</w:t>
      </w:r>
      <w:r w:rsidR="008A15DF">
        <w:t>:</w:t>
      </w:r>
    </w:p>
    <w:p w14:paraId="53FCB83D" w14:textId="77777777" w:rsidR="00502C52" w:rsidRPr="002B5C37" w:rsidRDefault="00502C52" w:rsidP="009D0925">
      <w:pPr>
        <w:pStyle w:val="ListParagraph"/>
        <w:contextualSpacing w:val="0"/>
        <w:rPr>
          <w:rFonts w:cs="Arial"/>
        </w:rPr>
      </w:pPr>
    </w:p>
    <w:p w14:paraId="2134D673" w14:textId="060EE297" w:rsidR="00502C52" w:rsidRDefault="008A15DF" w:rsidP="008A15DF">
      <w:pPr>
        <w:pStyle w:val="ListParagraph"/>
        <w:contextualSpacing w:val="0"/>
        <w:rPr>
          <w:rFonts w:cs="Arial"/>
        </w:rPr>
      </w:pPr>
      <w:r>
        <w:rPr>
          <w:rFonts w:cs="Arial"/>
        </w:rPr>
        <w:t>(a)</w:t>
      </w:r>
      <w:r>
        <w:rPr>
          <w:rFonts w:cs="Arial"/>
        </w:rPr>
        <w:tab/>
        <w:t>t</w:t>
      </w:r>
      <w:r w:rsidR="00502C52" w:rsidRPr="002B5C37">
        <w:rPr>
          <w:rFonts w:cs="Arial"/>
        </w:rPr>
        <w:t xml:space="preserve">he arbitrator erred in law in deciding that </w:t>
      </w:r>
      <w:r>
        <w:rPr>
          <w:rFonts w:cs="Arial"/>
        </w:rPr>
        <w:t xml:space="preserve">she was </w:t>
      </w:r>
      <w:r w:rsidR="00502C52" w:rsidRPr="002B5C37">
        <w:rPr>
          <w:rFonts w:cs="Arial"/>
        </w:rPr>
        <w:t xml:space="preserve">required to give evidence before </w:t>
      </w:r>
      <w:r>
        <w:t>Ms Goagoses</w:t>
      </w:r>
      <w:r w:rsidR="00502C52" w:rsidRPr="002B5C37">
        <w:rPr>
          <w:rFonts w:cs="Arial"/>
        </w:rPr>
        <w:t>, in a dispute for unfair dismissal</w:t>
      </w:r>
      <w:r>
        <w:rPr>
          <w:rFonts w:cs="Arial"/>
        </w:rPr>
        <w:t xml:space="preserve">, such </w:t>
      </w:r>
      <w:r w:rsidR="00502C52" w:rsidRPr="002B5C37">
        <w:rPr>
          <w:rFonts w:cs="Arial"/>
        </w:rPr>
        <w:t>finding being a gross irregularity in terms of s 33(4)</w:t>
      </w:r>
      <w:r w:rsidR="00502C52" w:rsidRPr="002B5C37">
        <w:rPr>
          <w:rFonts w:cs="Arial"/>
          <w:i/>
        </w:rPr>
        <w:t xml:space="preserve">(a) </w:t>
      </w:r>
      <w:r w:rsidR="00502C52" w:rsidRPr="002B5C37">
        <w:rPr>
          <w:rFonts w:cs="Arial"/>
        </w:rPr>
        <w:t>of the Labour Act;</w:t>
      </w:r>
    </w:p>
    <w:p w14:paraId="0FB47E4A" w14:textId="77777777" w:rsidR="008A15DF" w:rsidRDefault="008A15DF" w:rsidP="008A15DF">
      <w:pPr>
        <w:pStyle w:val="ListParagraph"/>
        <w:contextualSpacing w:val="0"/>
        <w:rPr>
          <w:rFonts w:cs="Arial"/>
        </w:rPr>
      </w:pPr>
    </w:p>
    <w:p w14:paraId="0313CEE6" w14:textId="5E2E7EF6" w:rsidR="00502C52" w:rsidRPr="002B5C37" w:rsidRDefault="008A15DF" w:rsidP="008A15DF">
      <w:pPr>
        <w:pStyle w:val="ListParagraph"/>
        <w:contextualSpacing w:val="0"/>
        <w:rPr>
          <w:rFonts w:cs="Arial"/>
        </w:rPr>
      </w:pPr>
      <w:r>
        <w:rPr>
          <w:rFonts w:cs="Arial"/>
        </w:rPr>
        <w:t>(b)</w:t>
      </w:r>
      <w:r>
        <w:rPr>
          <w:rFonts w:cs="Arial"/>
        </w:rPr>
        <w:tab/>
      </w:r>
      <w:r w:rsidR="00502C52" w:rsidRPr="002B5C37">
        <w:rPr>
          <w:rFonts w:cs="Arial"/>
        </w:rPr>
        <w:t xml:space="preserve">the arbitrator erred in law in deciding that </w:t>
      </w:r>
      <w:r>
        <w:rPr>
          <w:rFonts w:cs="Arial"/>
        </w:rPr>
        <w:t xml:space="preserve">Mrs Kruger </w:t>
      </w:r>
      <w:r w:rsidR="00502C52" w:rsidRPr="002B5C37">
        <w:rPr>
          <w:rFonts w:cs="Arial"/>
        </w:rPr>
        <w:t xml:space="preserve">had to prove her case prior </w:t>
      </w:r>
      <w:r w:rsidR="00DC7EFA">
        <w:rPr>
          <w:rFonts w:cs="Arial"/>
        </w:rPr>
        <w:t xml:space="preserve">to </w:t>
      </w:r>
      <w:r w:rsidR="00502C52" w:rsidRPr="002B5C37">
        <w:rPr>
          <w:rFonts w:cs="Arial"/>
        </w:rPr>
        <w:t xml:space="preserve">the arbitrator making a finding whether </w:t>
      </w:r>
      <w:r>
        <w:t>Ms Goagoses</w:t>
      </w:r>
      <w:r w:rsidRPr="002B5C37">
        <w:rPr>
          <w:rFonts w:cs="Arial"/>
        </w:rPr>
        <w:t xml:space="preserve"> </w:t>
      </w:r>
      <w:r w:rsidR="00502C52" w:rsidRPr="002B5C37">
        <w:rPr>
          <w:rFonts w:cs="Arial"/>
        </w:rPr>
        <w:t xml:space="preserve">proved </w:t>
      </w:r>
      <w:r>
        <w:rPr>
          <w:rFonts w:cs="Arial"/>
        </w:rPr>
        <w:t xml:space="preserve">her </w:t>
      </w:r>
      <w:r w:rsidR="00502C52" w:rsidRPr="002B5C37">
        <w:rPr>
          <w:rFonts w:cs="Arial"/>
        </w:rPr>
        <w:t>dismissal on a balance of probabilities;</w:t>
      </w:r>
    </w:p>
    <w:p w14:paraId="1C157E0F" w14:textId="77777777" w:rsidR="00B30CDE" w:rsidRDefault="00B30CDE" w:rsidP="00B30CDE">
      <w:pPr>
        <w:pStyle w:val="ListParagraph"/>
        <w:contextualSpacing w:val="0"/>
        <w:rPr>
          <w:rFonts w:cs="Arial"/>
        </w:rPr>
      </w:pPr>
    </w:p>
    <w:p w14:paraId="29F50E38" w14:textId="3DA748DE" w:rsidR="00502C52" w:rsidRPr="002B5C37" w:rsidRDefault="00B30CDE" w:rsidP="00B30CDE">
      <w:pPr>
        <w:pStyle w:val="ListParagraph"/>
        <w:contextualSpacing w:val="0"/>
        <w:rPr>
          <w:rFonts w:cs="Arial"/>
        </w:rPr>
      </w:pPr>
      <w:r>
        <w:rPr>
          <w:rFonts w:cs="Arial"/>
        </w:rPr>
        <w:lastRenderedPageBreak/>
        <w:t>(c)</w:t>
      </w:r>
      <w:r>
        <w:rPr>
          <w:rFonts w:cs="Arial"/>
        </w:rPr>
        <w:tab/>
      </w:r>
      <w:r w:rsidR="00502C52" w:rsidRPr="002B5C37">
        <w:rPr>
          <w:rFonts w:cs="Arial"/>
        </w:rPr>
        <w:t xml:space="preserve">the arbitrator erred in law in failing to make a finding whether </w:t>
      </w:r>
      <w:r>
        <w:t>Ms Goagoses</w:t>
      </w:r>
      <w:r w:rsidRPr="002B5C37">
        <w:rPr>
          <w:rFonts w:cs="Arial"/>
        </w:rPr>
        <w:t xml:space="preserve"> </w:t>
      </w:r>
      <w:r w:rsidR="00502C52" w:rsidRPr="002B5C37">
        <w:rPr>
          <w:rFonts w:cs="Arial"/>
        </w:rPr>
        <w:t>proved a dismissal and to provide reasons for such a finding;</w:t>
      </w:r>
    </w:p>
    <w:p w14:paraId="2B82C5E7" w14:textId="77777777" w:rsidR="00B30CDE" w:rsidRDefault="00B30CDE" w:rsidP="00B30CDE">
      <w:pPr>
        <w:pStyle w:val="ListParagraph"/>
        <w:contextualSpacing w:val="0"/>
        <w:rPr>
          <w:rFonts w:cs="Arial"/>
        </w:rPr>
      </w:pPr>
    </w:p>
    <w:p w14:paraId="392F4AD2" w14:textId="16DE5D05" w:rsidR="00502C52" w:rsidRDefault="00B30CDE" w:rsidP="00B30CDE">
      <w:pPr>
        <w:pStyle w:val="ListParagraph"/>
        <w:contextualSpacing w:val="0"/>
        <w:rPr>
          <w:rFonts w:cs="Arial"/>
        </w:rPr>
      </w:pPr>
      <w:r>
        <w:rPr>
          <w:rFonts w:cs="Arial"/>
        </w:rPr>
        <w:t>(d)</w:t>
      </w:r>
      <w:r>
        <w:rPr>
          <w:rFonts w:cs="Arial"/>
        </w:rPr>
        <w:tab/>
      </w:r>
      <w:r w:rsidR="00502C52" w:rsidRPr="002B5C37">
        <w:rPr>
          <w:rFonts w:cs="Arial"/>
        </w:rPr>
        <w:t xml:space="preserve">the arbitrator erred in law in finding that </w:t>
      </w:r>
      <w:r>
        <w:rPr>
          <w:rFonts w:cs="Arial"/>
        </w:rPr>
        <w:t xml:space="preserve">Mrs Kruger </w:t>
      </w:r>
      <w:r w:rsidR="00502C52" w:rsidRPr="002B5C37">
        <w:rPr>
          <w:rFonts w:cs="Arial"/>
        </w:rPr>
        <w:t xml:space="preserve">should have a disciplinary hearing for </w:t>
      </w:r>
      <w:r>
        <w:t>Ms Goagoses</w:t>
      </w:r>
      <w:r w:rsidRPr="002B5C37">
        <w:rPr>
          <w:rFonts w:cs="Arial"/>
        </w:rPr>
        <w:t xml:space="preserve"> </w:t>
      </w:r>
      <w:r w:rsidR="00502C52" w:rsidRPr="002B5C37">
        <w:rPr>
          <w:rFonts w:cs="Arial"/>
        </w:rPr>
        <w:t xml:space="preserve">after </w:t>
      </w:r>
      <w:r>
        <w:rPr>
          <w:rFonts w:cs="Arial"/>
        </w:rPr>
        <w:t xml:space="preserve">she </w:t>
      </w:r>
      <w:r w:rsidR="00502C52" w:rsidRPr="002B5C37">
        <w:rPr>
          <w:rFonts w:cs="Arial"/>
        </w:rPr>
        <w:t>absconded;</w:t>
      </w:r>
    </w:p>
    <w:p w14:paraId="70865854" w14:textId="77777777" w:rsidR="00B30CDE" w:rsidRDefault="00B30CDE" w:rsidP="00B30CDE">
      <w:pPr>
        <w:pStyle w:val="ListParagraph"/>
        <w:contextualSpacing w:val="0"/>
        <w:rPr>
          <w:rFonts w:cs="Arial"/>
        </w:rPr>
      </w:pPr>
    </w:p>
    <w:p w14:paraId="665627EA" w14:textId="25FD3E9B" w:rsidR="00502C52" w:rsidRDefault="00B30CDE" w:rsidP="00B30CDE">
      <w:pPr>
        <w:pStyle w:val="ListParagraph"/>
        <w:contextualSpacing w:val="0"/>
        <w:rPr>
          <w:rFonts w:cs="Arial"/>
        </w:rPr>
      </w:pPr>
      <w:r>
        <w:rPr>
          <w:rFonts w:cs="Arial"/>
        </w:rPr>
        <w:t>(e)</w:t>
      </w:r>
      <w:r>
        <w:rPr>
          <w:rFonts w:cs="Arial"/>
        </w:rPr>
        <w:tab/>
      </w:r>
      <w:r w:rsidR="00502C52" w:rsidRPr="002B5C37">
        <w:rPr>
          <w:rFonts w:cs="Arial"/>
        </w:rPr>
        <w:t xml:space="preserve">the arbitrator erred in law in finding that </w:t>
      </w:r>
      <w:r>
        <w:rPr>
          <w:rFonts w:cs="Arial"/>
        </w:rPr>
        <w:t xml:space="preserve">Mrs Kruger </w:t>
      </w:r>
      <w:r w:rsidR="00502C52" w:rsidRPr="002B5C37">
        <w:rPr>
          <w:rFonts w:cs="Arial"/>
        </w:rPr>
        <w:t xml:space="preserve">did not want </w:t>
      </w:r>
      <w:r w:rsidR="00DC7EFA">
        <w:rPr>
          <w:rFonts w:cs="Arial"/>
        </w:rPr>
        <w:t>to</w:t>
      </w:r>
      <w:r w:rsidR="00502C52" w:rsidRPr="002B5C37">
        <w:rPr>
          <w:rFonts w:cs="Arial"/>
        </w:rPr>
        <w:t xml:space="preserve">proceed with the employment relationship with </w:t>
      </w:r>
      <w:r>
        <w:t>Ms Goagoses</w:t>
      </w:r>
      <w:r w:rsidR="00502C52" w:rsidRPr="002B5C37">
        <w:rPr>
          <w:rFonts w:cs="Arial"/>
        </w:rPr>
        <w:t>;</w:t>
      </w:r>
    </w:p>
    <w:p w14:paraId="6A1F1A74" w14:textId="77777777" w:rsidR="00B30CDE" w:rsidRDefault="00B30CDE" w:rsidP="00B30CDE">
      <w:pPr>
        <w:pStyle w:val="ListParagraph"/>
        <w:contextualSpacing w:val="0"/>
        <w:rPr>
          <w:rFonts w:cs="Arial"/>
        </w:rPr>
      </w:pPr>
    </w:p>
    <w:p w14:paraId="12461CBE" w14:textId="2A59CC06" w:rsidR="00502C52" w:rsidRPr="002B5C37" w:rsidRDefault="00B30CDE" w:rsidP="00B30CDE">
      <w:pPr>
        <w:pStyle w:val="ListParagraph"/>
        <w:contextualSpacing w:val="0"/>
        <w:rPr>
          <w:rFonts w:cs="Arial"/>
        </w:rPr>
      </w:pPr>
      <w:r>
        <w:rPr>
          <w:rFonts w:cs="Arial"/>
        </w:rPr>
        <w:t>(f)</w:t>
      </w:r>
      <w:r>
        <w:rPr>
          <w:rFonts w:cs="Arial"/>
        </w:rPr>
        <w:tab/>
      </w:r>
      <w:r w:rsidR="00502C52" w:rsidRPr="002B5C37">
        <w:rPr>
          <w:rFonts w:cs="Arial"/>
        </w:rPr>
        <w:t xml:space="preserve">the arbitrator erred in law in finding that </w:t>
      </w:r>
      <w:r>
        <w:t>Ms Goagoses</w:t>
      </w:r>
      <w:r w:rsidRPr="002B5C37">
        <w:rPr>
          <w:rFonts w:cs="Arial"/>
        </w:rPr>
        <w:t xml:space="preserve"> </w:t>
      </w:r>
      <w:r w:rsidR="00502C52" w:rsidRPr="002B5C37">
        <w:rPr>
          <w:rFonts w:cs="Arial"/>
        </w:rPr>
        <w:t>was unfairly dismissed.</w:t>
      </w:r>
    </w:p>
    <w:p w14:paraId="26C96B9C" w14:textId="77777777" w:rsidR="00502C52" w:rsidRPr="002B5C37" w:rsidRDefault="00502C52" w:rsidP="009D0925">
      <w:pPr>
        <w:pStyle w:val="ListParagraph"/>
        <w:contextualSpacing w:val="0"/>
        <w:rPr>
          <w:rFonts w:cs="Arial"/>
        </w:rPr>
      </w:pPr>
    </w:p>
    <w:p w14:paraId="1831F732" w14:textId="6A552F91" w:rsidR="00BF20CE" w:rsidRPr="002B5C37" w:rsidRDefault="00B6197E" w:rsidP="00B6197E">
      <w:pPr>
        <w:pStyle w:val="Heading1"/>
        <w:numPr>
          <w:ilvl w:val="0"/>
          <w:numId w:val="0"/>
        </w:numPr>
      </w:pPr>
      <w:r w:rsidRPr="002B5C37">
        <w:t>[20]</w:t>
      </w:r>
      <w:r w:rsidRPr="002B5C37">
        <w:tab/>
      </w:r>
      <w:r w:rsidR="00B30CDE">
        <w:t xml:space="preserve">Mr van den Heever </w:t>
      </w:r>
      <w:r w:rsidR="00050D83">
        <w:t>submitted</w:t>
      </w:r>
      <w:r w:rsidR="00AE544D" w:rsidRPr="002B5C37">
        <w:t xml:space="preserve"> that the arbitrator failed to indicate </w:t>
      </w:r>
      <w:r w:rsidR="00E93E2C">
        <w:t xml:space="preserve">exactly </w:t>
      </w:r>
      <w:r w:rsidR="00AE544D" w:rsidRPr="002B5C37">
        <w:t xml:space="preserve">how </w:t>
      </w:r>
      <w:r w:rsidR="00E93E2C">
        <w:t>Ms Goagoses</w:t>
      </w:r>
      <w:r w:rsidR="00E93E2C" w:rsidRPr="002B5C37">
        <w:t xml:space="preserve"> </w:t>
      </w:r>
      <w:r w:rsidR="00025BE2" w:rsidRPr="002B5C37">
        <w:t xml:space="preserve">was dismissed and based the dismissal on the ground that </w:t>
      </w:r>
      <w:r w:rsidR="00E93E2C">
        <w:t>Ms Goagoses</w:t>
      </w:r>
      <w:r w:rsidR="00E93E2C" w:rsidRPr="002B5C37">
        <w:t xml:space="preserve"> </w:t>
      </w:r>
      <w:r w:rsidR="00025BE2" w:rsidRPr="002B5C37">
        <w:t xml:space="preserve">approached the </w:t>
      </w:r>
      <w:r w:rsidR="00A42C13" w:rsidRPr="002B5C37">
        <w:t>Office of the Labour Commissioner</w:t>
      </w:r>
      <w:r w:rsidR="00025BE2" w:rsidRPr="002B5C37">
        <w:t>.</w:t>
      </w:r>
      <w:r w:rsidR="00050D83">
        <w:t xml:space="preserve"> On this basis an irregularity occurred because the arbitrator ruled that Mrs Kruger should testify first when in fact Ms Goagoses had the onus in terms of the Labour Act to prove that she had been dismissed. </w:t>
      </w:r>
    </w:p>
    <w:p w14:paraId="4FE5037E" w14:textId="77777777" w:rsidR="0038778E" w:rsidRPr="002B5C37" w:rsidRDefault="0038778E" w:rsidP="009D0925">
      <w:pPr>
        <w:pStyle w:val="ListParagraph"/>
        <w:ind w:left="0"/>
        <w:contextualSpacing w:val="0"/>
        <w:rPr>
          <w:rFonts w:cs="Arial"/>
        </w:rPr>
      </w:pPr>
    </w:p>
    <w:p w14:paraId="1FC3D9CF" w14:textId="4FAAE662" w:rsidR="0038778E" w:rsidRPr="002B5C37" w:rsidRDefault="00B6197E" w:rsidP="00B6197E">
      <w:pPr>
        <w:pStyle w:val="Heading1"/>
        <w:numPr>
          <w:ilvl w:val="0"/>
          <w:numId w:val="0"/>
        </w:numPr>
      </w:pPr>
      <w:r w:rsidRPr="002B5C37">
        <w:t>[21]</w:t>
      </w:r>
      <w:r w:rsidRPr="002B5C37">
        <w:tab/>
      </w:r>
      <w:r w:rsidR="0038778E" w:rsidRPr="002B5C37">
        <w:t xml:space="preserve">Mr </w:t>
      </w:r>
      <w:r w:rsidR="00E93E2C">
        <w:t>v</w:t>
      </w:r>
      <w:r w:rsidR="0038778E" w:rsidRPr="002B5C37">
        <w:t xml:space="preserve">an den Heever argued that the </w:t>
      </w:r>
      <w:r w:rsidR="00E93E2C">
        <w:t xml:space="preserve">SMS message </w:t>
      </w:r>
      <w:r w:rsidR="0038778E" w:rsidRPr="002B5C37">
        <w:t>of 17 August 2021 was as a result of occurrences that happened before</w:t>
      </w:r>
      <w:r w:rsidR="00E93E2C">
        <w:t xml:space="preserve"> relating to Ms Goagoses not responding to messages and not attending work</w:t>
      </w:r>
      <w:r w:rsidR="0038778E" w:rsidRPr="002B5C37">
        <w:t>. He further argued that there was no dismissal</w:t>
      </w:r>
      <w:r w:rsidR="0041061E" w:rsidRPr="002B5C37">
        <w:t>,</w:t>
      </w:r>
      <w:r w:rsidR="0038778E" w:rsidRPr="002B5C37">
        <w:t xml:space="preserve"> as there were further messages wherein </w:t>
      </w:r>
      <w:r w:rsidR="00E354CF">
        <w:t xml:space="preserve">Mrs Kruger </w:t>
      </w:r>
      <w:r w:rsidR="0038778E" w:rsidRPr="002B5C37">
        <w:t xml:space="preserve">made arrangements for the neighbours to </w:t>
      </w:r>
      <w:r w:rsidR="00E354CF">
        <w:t>collect Ms Goagoses</w:t>
      </w:r>
      <w:r w:rsidR="00E354CF" w:rsidRPr="002B5C37">
        <w:t xml:space="preserve"> </w:t>
      </w:r>
      <w:r w:rsidR="0038778E" w:rsidRPr="002B5C37">
        <w:t xml:space="preserve">and </w:t>
      </w:r>
      <w:r w:rsidR="00E354CF">
        <w:t xml:space="preserve">she </w:t>
      </w:r>
      <w:r w:rsidR="0038778E" w:rsidRPr="002B5C37">
        <w:t xml:space="preserve">did not </w:t>
      </w:r>
      <w:r w:rsidR="00E354CF">
        <w:t xml:space="preserve">manifest </w:t>
      </w:r>
      <w:r w:rsidR="0038778E" w:rsidRPr="002B5C37">
        <w:t xml:space="preserve">any intention to return to the farm. </w:t>
      </w:r>
      <w:r w:rsidR="00050D83">
        <w:t xml:space="preserve">She </w:t>
      </w:r>
      <w:r w:rsidR="002743EA" w:rsidRPr="002B5C37">
        <w:t xml:space="preserve">further did not </w:t>
      </w:r>
      <w:r w:rsidR="00E354CF">
        <w:t xml:space="preserve">provide </w:t>
      </w:r>
      <w:r w:rsidR="002743EA" w:rsidRPr="002B5C37">
        <w:t>a</w:t>
      </w:r>
      <w:r w:rsidR="00050D83">
        <w:t xml:space="preserve"> valid</w:t>
      </w:r>
      <w:r w:rsidR="002743EA" w:rsidRPr="002B5C37">
        <w:t xml:space="preserve"> excuse as to why she was not returning to the farm, but she kept on requesting for money</w:t>
      </w:r>
      <w:r w:rsidR="00F61549" w:rsidRPr="002B5C37">
        <w:t xml:space="preserve"> from </w:t>
      </w:r>
      <w:r w:rsidR="00E354CF">
        <w:t>Mrs Kruger</w:t>
      </w:r>
      <w:r w:rsidR="002743EA" w:rsidRPr="002B5C37">
        <w:t>.</w:t>
      </w:r>
      <w:r w:rsidR="0038778E" w:rsidRPr="002B5C37">
        <w:t xml:space="preserve"> </w:t>
      </w:r>
    </w:p>
    <w:p w14:paraId="3787964B" w14:textId="77777777" w:rsidR="002743EA" w:rsidRPr="002B5C37" w:rsidRDefault="002743EA" w:rsidP="009D0925">
      <w:pPr>
        <w:pStyle w:val="ListParagraph"/>
        <w:contextualSpacing w:val="0"/>
        <w:rPr>
          <w:rFonts w:cs="Arial"/>
        </w:rPr>
      </w:pPr>
    </w:p>
    <w:p w14:paraId="679D88A5" w14:textId="16DDA25F" w:rsidR="002743EA" w:rsidRPr="002B5C37" w:rsidRDefault="00B6197E" w:rsidP="00B6197E">
      <w:pPr>
        <w:pStyle w:val="Heading1"/>
        <w:numPr>
          <w:ilvl w:val="0"/>
          <w:numId w:val="0"/>
        </w:numPr>
      </w:pPr>
      <w:r w:rsidRPr="002B5C37">
        <w:t>[22]</w:t>
      </w:r>
      <w:r w:rsidRPr="002B5C37">
        <w:tab/>
      </w:r>
      <w:r w:rsidR="002743EA" w:rsidRPr="002B5C37">
        <w:t xml:space="preserve">Mr </w:t>
      </w:r>
      <w:r w:rsidR="00E354CF">
        <w:t>v</w:t>
      </w:r>
      <w:r w:rsidR="002743EA" w:rsidRPr="002B5C37">
        <w:t xml:space="preserve">an den Heever maintained the argument that </w:t>
      </w:r>
      <w:r w:rsidR="00F8464C">
        <w:t>Ms Goagoses</w:t>
      </w:r>
      <w:r w:rsidR="00F8464C" w:rsidRPr="002B5C37">
        <w:t xml:space="preserve"> </w:t>
      </w:r>
      <w:r w:rsidR="002743EA" w:rsidRPr="002B5C37">
        <w:t xml:space="preserve">absconded, </w:t>
      </w:r>
      <w:r w:rsidR="00F61549" w:rsidRPr="002B5C37">
        <w:t xml:space="preserve">and that is why the </w:t>
      </w:r>
      <w:r w:rsidR="00E354CF">
        <w:t xml:space="preserve">SMS </w:t>
      </w:r>
      <w:r w:rsidR="002743EA" w:rsidRPr="002B5C37">
        <w:t xml:space="preserve">was sent. He further argued that </w:t>
      </w:r>
      <w:r w:rsidR="003470DE">
        <w:t>Ms Goagoses</w:t>
      </w:r>
      <w:r w:rsidR="00F8464C" w:rsidRPr="002B5C37">
        <w:t xml:space="preserve"> </w:t>
      </w:r>
      <w:r w:rsidR="002743EA" w:rsidRPr="002B5C37">
        <w:t>did not put in any leave</w:t>
      </w:r>
      <w:r w:rsidR="00F61549" w:rsidRPr="002B5C37">
        <w:t>,</w:t>
      </w:r>
      <w:r w:rsidR="002743EA" w:rsidRPr="002B5C37">
        <w:t xml:space="preserve"> and that the </w:t>
      </w:r>
      <w:r w:rsidR="00F8464C">
        <w:t xml:space="preserve">SMS </w:t>
      </w:r>
      <w:r w:rsidR="00050D83">
        <w:t xml:space="preserve">from Mrs Kruger </w:t>
      </w:r>
      <w:r w:rsidR="002743EA" w:rsidRPr="002B5C37">
        <w:t xml:space="preserve">was to make her </w:t>
      </w:r>
      <w:r w:rsidR="00F61549" w:rsidRPr="002B5C37">
        <w:t>a</w:t>
      </w:r>
      <w:r w:rsidR="002743EA" w:rsidRPr="002B5C37">
        <w:t xml:space="preserve">ware that she is not dismissed. He further stressed that </w:t>
      </w:r>
      <w:r w:rsidR="00F8464C">
        <w:t xml:space="preserve">Mrs </w:t>
      </w:r>
      <w:r w:rsidR="00050D83">
        <w:t>Goagoses</w:t>
      </w:r>
      <w:r w:rsidR="00F8464C">
        <w:t xml:space="preserve"> </w:t>
      </w:r>
      <w:r w:rsidR="002743EA" w:rsidRPr="002B5C37">
        <w:t>did not make any attempt to return to the fa</w:t>
      </w:r>
      <w:r w:rsidR="00F61549" w:rsidRPr="002B5C37">
        <w:t>rm, but rather approached the Office of the Labour Commissioner</w:t>
      </w:r>
      <w:r w:rsidR="002743EA" w:rsidRPr="002B5C37">
        <w:t xml:space="preserve">. The </w:t>
      </w:r>
      <w:r w:rsidR="00F8464C">
        <w:t>L</w:t>
      </w:r>
      <w:r w:rsidR="002743EA" w:rsidRPr="002B5C37">
        <w:t xml:space="preserve">abour </w:t>
      </w:r>
      <w:r w:rsidR="00F8464C">
        <w:t>I</w:t>
      </w:r>
      <w:r w:rsidR="002743EA" w:rsidRPr="002B5C37">
        <w:t xml:space="preserve">nspector </w:t>
      </w:r>
      <w:r w:rsidR="002743EA" w:rsidRPr="002B5C37">
        <w:lastRenderedPageBreak/>
        <w:t xml:space="preserve">arranged a meeting </w:t>
      </w:r>
      <w:r w:rsidR="00F61549" w:rsidRPr="002B5C37">
        <w:t>between the parties</w:t>
      </w:r>
      <w:r w:rsidR="00F8464C">
        <w:t xml:space="preserve">, and </w:t>
      </w:r>
      <w:r w:rsidR="003470DE">
        <w:t>Ms Goagoses</w:t>
      </w:r>
      <w:r w:rsidR="00F8464C">
        <w:t xml:space="preserve"> </w:t>
      </w:r>
      <w:r w:rsidR="002743EA" w:rsidRPr="002B5C37">
        <w:t>only insisted on the money and was not interested in reinstatement.</w:t>
      </w:r>
    </w:p>
    <w:p w14:paraId="21901422" w14:textId="77777777" w:rsidR="00A72F34" w:rsidRPr="002B5C37" w:rsidRDefault="00A72F34" w:rsidP="009D0925">
      <w:pPr>
        <w:pStyle w:val="ListParagraph"/>
        <w:contextualSpacing w:val="0"/>
        <w:rPr>
          <w:rFonts w:cs="Arial"/>
        </w:rPr>
      </w:pPr>
    </w:p>
    <w:p w14:paraId="2F612F4C" w14:textId="4786BBC0" w:rsidR="00025BE2" w:rsidRPr="002B5C37" w:rsidRDefault="00B6197E" w:rsidP="00B6197E">
      <w:pPr>
        <w:pStyle w:val="Heading1"/>
        <w:numPr>
          <w:ilvl w:val="0"/>
          <w:numId w:val="0"/>
        </w:numPr>
      </w:pPr>
      <w:r w:rsidRPr="002B5C37">
        <w:t>[23]</w:t>
      </w:r>
      <w:r w:rsidRPr="002B5C37">
        <w:tab/>
      </w:r>
      <w:r w:rsidR="00050D83">
        <w:t xml:space="preserve">He further </w:t>
      </w:r>
      <w:r w:rsidR="00F61549" w:rsidRPr="002B5C37">
        <w:t>submitte</w:t>
      </w:r>
      <w:r w:rsidR="00A72F34" w:rsidRPr="002B5C37">
        <w:t xml:space="preserve">d that </w:t>
      </w:r>
      <w:r w:rsidR="00547311" w:rsidRPr="002B5C37">
        <w:t xml:space="preserve">when the key was taken and </w:t>
      </w:r>
      <w:r w:rsidR="003470DE">
        <w:t>Ms Goagoses’</w:t>
      </w:r>
      <w:r w:rsidR="00F8464C" w:rsidRPr="002B5C37">
        <w:t xml:space="preserve"> </w:t>
      </w:r>
      <w:r w:rsidR="00547311" w:rsidRPr="002B5C37">
        <w:t xml:space="preserve">belongings </w:t>
      </w:r>
      <w:r w:rsidR="00F61549" w:rsidRPr="002B5C37">
        <w:t xml:space="preserve">were returned, </w:t>
      </w:r>
      <w:r w:rsidR="003470DE">
        <w:t>this was apparently not an issue of dismissal.  When Ms Goagoses</w:t>
      </w:r>
      <w:r w:rsidR="003470DE" w:rsidRPr="002B5C37">
        <w:t xml:space="preserve"> </w:t>
      </w:r>
      <w:r w:rsidR="00547311" w:rsidRPr="002B5C37">
        <w:t xml:space="preserve">left the farm she only had her handbag and </w:t>
      </w:r>
      <w:r w:rsidR="00F61549" w:rsidRPr="002B5C37">
        <w:t>her belongings</w:t>
      </w:r>
      <w:r w:rsidR="00547311" w:rsidRPr="002B5C37">
        <w:t xml:space="preserve"> </w:t>
      </w:r>
      <w:r w:rsidR="00050D83">
        <w:t xml:space="preserve">which she returned to </w:t>
      </w:r>
      <w:r w:rsidR="003470DE">
        <w:t>Ms Goagoses</w:t>
      </w:r>
      <w:r w:rsidR="00050D83">
        <w:t>,</w:t>
      </w:r>
      <w:r w:rsidR="003470DE" w:rsidRPr="002B5C37">
        <w:t xml:space="preserve"> </w:t>
      </w:r>
      <w:r w:rsidR="003470DE">
        <w:t xml:space="preserve">because Mrs Kruger was aware that </w:t>
      </w:r>
      <w:r w:rsidR="00547311" w:rsidRPr="002B5C37">
        <w:t xml:space="preserve">she had nothing </w:t>
      </w:r>
      <w:r w:rsidR="00F61549" w:rsidRPr="002B5C37">
        <w:t>apart from her handbag</w:t>
      </w:r>
      <w:r w:rsidR="00547311" w:rsidRPr="002B5C37">
        <w:t xml:space="preserve">. </w:t>
      </w:r>
      <w:r w:rsidR="00F61549" w:rsidRPr="002B5C37">
        <w:t>He further argued t</w:t>
      </w:r>
      <w:r w:rsidR="00547311" w:rsidRPr="002B5C37">
        <w:t xml:space="preserve">hat not everything was taken to </w:t>
      </w:r>
      <w:r w:rsidR="009F119D">
        <w:t>Ms Goagoses</w:t>
      </w:r>
      <w:r w:rsidR="009F119D" w:rsidRPr="002B5C37">
        <w:t xml:space="preserve"> </w:t>
      </w:r>
      <w:r w:rsidR="00F61549" w:rsidRPr="002B5C37">
        <w:t>on the first occasion</w:t>
      </w:r>
      <w:r w:rsidR="00547311" w:rsidRPr="002B5C37">
        <w:t>, as her belongings were taken on two occasions.</w:t>
      </w:r>
    </w:p>
    <w:p w14:paraId="3E60535F" w14:textId="77777777" w:rsidR="00547311" w:rsidRPr="002B5C37" w:rsidRDefault="00547311" w:rsidP="009D0925">
      <w:pPr>
        <w:pStyle w:val="ListParagraph"/>
        <w:contextualSpacing w:val="0"/>
        <w:rPr>
          <w:rFonts w:cs="Arial"/>
        </w:rPr>
      </w:pPr>
    </w:p>
    <w:p w14:paraId="1D2A2B9B" w14:textId="7A667440" w:rsidR="00D352FA" w:rsidRDefault="00B6197E" w:rsidP="00B6197E">
      <w:pPr>
        <w:pStyle w:val="Heading1"/>
        <w:numPr>
          <w:ilvl w:val="0"/>
          <w:numId w:val="0"/>
        </w:numPr>
      </w:pPr>
      <w:r>
        <w:t>[24]</w:t>
      </w:r>
      <w:r>
        <w:tab/>
      </w:r>
      <w:r w:rsidR="00547311" w:rsidRPr="002B5C37">
        <w:t>Mr I</w:t>
      </w:r>
      <w:r w:rsidR="00435175" w:rsidRPr="002B5C37">
        <w:t xml:space="preserve">kanga </w:t>
      </w:r>
      <w:r w:rsidR="00F61549" w:rsidRPr="002B5C37">
        <w:t>argued</w:t>
      </w:r>
      <w:r w:rsidR="00435175" w:rsidRPr="002B5C37">
        <w:t xml:space="preserve"> that the </w:t>
      </w:r>
      <w:r w:rsidR="009F119D">
        <w:t xml:space="preserve">SMS </w:t>
      </w:r>
      <w:r w:rsidR="00435175" w:rsidRPr="002B5C37">
        <w:t>of 17 August 2021</w:t>
      </w:r>
      <w:r w:rsidR="009F119D">
        <w:t xml:space="preserve"> was clear in its terms that Ms Goagoses was dismissed, therefore, Mrs Kruger drew the onus to prove that the dismissal was fair</w:t>
      </w:r>
      <w:r w:rsidR="00050D83">
        <w:t>, and the arbitrator could not be faulted for the ruling</w:t>
      </w:r>
      <w:r w:rsidR="009F119D">
        <w:t xml:space="preserve">. </w:t>
      </w:r>
      <w:r w:rsidR="00521631">
        <w:t>Ms Goagoses</w:t>
      </w:r>
      <w:r w:rsidR="00521631" w:rsidRPr="002B5C37">
        <w:t xml:space="preserve"> </w:t>
      </w:r>
      <w:r w:rsidR="009F119D">
        <w:t xml:space="preserve">approached </w:t>
      </w:r>
      <w:r w:rsidR="00F61549" w:rsidRPr="002B5C37">
        <w:t xml:space="preserve">the </w:t>
      </w:r>
      <w:r w:rsidR="009F119D">
        <w:t>L</w:t>
      </w:r>
      <w:r w:rsidR="00F61549" w:rsidRPr="002B5C37">
        <w:t xml:space="preserve">abour </w:t>
      </w:r>
      <w:r w:rsidR="009F119D">
        <w:t>I</w:t>
      </w:r>
      <w:r w:rsidR="00F61549" w:rsidRPr="002B5C37">
        <w:t>nspector</w:t>
      </w:r>
      <w:r w:rsidR="00435175" w:rsidRPr="002B5C37">
        <w:t xml:space="preserve"> because she understoo</w:t>
      </w:r>
      <w:r w:rsidR="00F61549" w:rsidRPr="002B5C37">
        <w:t>d that she was dismissed. T</w:t>
      </w:r>
      <w:r w:rsidR="00435175" w:rsidRPr="002B5C37">
        <w:t xml:space="preserve">he act of going to the </w:t>
      </w:r>
      <w:r w:rsidR="00485ED1">
        <w:t>Labour I</w:t>
      </w:r>
      <w:r w:rsidR="00435175" w:rsidRPr="002B5C37">
        <w:t xml:space="preserve">nspector was not an express intention not to return to work, but a step </w:t>
      </w:r>
      <w:r w:rsidR="00521631">
        <w:t xml:space="preserve">taken subsequent to her dismissal via text message. </w:t>
      </w:r>
      <w:r w:rsidR="00435175" w:rsidRPr="002B5C37">
        <w:t>He further argued that there was not a long perio</w:t>
      </w:r>
      <w:r w:rsidR="00C56E5C" w:rsidRPr="002B5C37">
        <w:t>d of absence</w:t>
      </w:r>
      <w:r w:rsidR="00521631">
        <w:t xml:space="preserve">, and </w:t>
      </w:r>
      <w:r w:rsidR="00435175" w:rsidRPr="002B5C37">
        <w:t xml:space="preserve">that from the communications it </w:t>
      </w:r>
      <w:r w:rsidR="00521631">
        <w:t xml:space="preserve">was </w:t>
      </w:r>
      <w:r w:rsidR="00435175" w:rsidRPr="002B5C37">
        <w:t xml:space="preserve">clear that </w:t>
      </w:r>
      <w:r w:rsidR="00D352FA">
        <w:t>Ms Goagoses</w:t>
      </w:r>
      <w:r w:rsidR="00D352FA" w:rsidRPr="002B5C37">
        <w:t xml:space="preserve"> </w:t>
      </w:r>
      <w:r w:rsidR="00435175" w:rsidRPr="002B5C37">
        <w:t>was hospitali</w:t>
      </w:r>
      <w:r w:rsidR="00D352FA">
        <w:t>s</w:t>
      </w:r>
      <w:r w:rsidR="00435175" w:rsidRPr="002B5C37">
        <w:t>ed</w:t>
      </w:r>
      <w:r w:rsidR="00D352FA">
        <w:t xml:space="preserve"> during her absence</w:t>
      </w:r>
      <w:r w:rsidR="00435175" w:rsidRPr="002B5C37">
        <w:t xml:space="preserve">. </w:t>
      </w:r>
    </w:p>
    <w:p w14:paraId="6C7CA771" w14:textId="77777777" w:rsidR="00D352FA" w:rsidRDefault="00D352FA" w:rsidP="00D352FA">
      <w:pPr>
        <w:pStyle w:val="Heading1"/>
        <w:numPr>
          <w:ilvl w:val="0"/>
          <w:numId w:val="0"/>
        </w:numPr>
      </w:pPr>
    </w:p>
    <w:p w14:paraId="106B3869" w14:textId="35BBA2EF" w:rsidR="00547311" w:rsidRPr="002B5C37" w:rsidRDefault="00B6197E" w:rsidP="00B6197E">
      <w:pPr>
        <w:pStyle w:val="Heading1"/>
        <w:numPr>
          <w:ilvl w:val="0"/>
          <w:numId w:val="0"/>
        </w:numPr>
      </w:pPr>
      <w:r w:rsidRPr="002B5C37">
        <w:t>[25]</w:t>
      </w:r>
      <w:r w:rsidRPr="002B5C37">
        <w:tab/>
      </w:r>
      <w:r w:rsidR="00D352FA">
        <w:t xml:space="preserve">Mr Ikanga argued </w:t>
      </w:r>
      <w:r w:rsidR="00435175" w:rsidRPr="002B5C37">
        <w:t xml:space="preserve">that a disciplinary hearing </w:t>
      </w:r>
      <w:r w:rsidR="003B487A" w:rsidRPr="002B5C37">
        <w:t xml:space="preserve">should have been held </w:t>
      </w:r>
      <w:r w:rsidR="00D352FA">
        <w:t xml:space="preserve">for the alleged abscondment </w:t>
      </w:r>
      <w:r w:rsidR="003B487A" w:rsidRPr="002B5C37">
        <w:t xml:space="preserve">and </w:t>
      </w:r>
      <w:r w:rsidR="00D352FA">
        <w:t xml:space="preserve">Mrs Kruger </w:t>
      </w:r>
      <w:r w:rsidR="003B487A" w:rsidRPr="002B5C37">
        <w:t xml:space="preserve">would have determined the reasons for </w:t>
      </w:r>
      <w:r w:rsidR="00B86633">
        <w:t>Ms Goagoses’</w:t>
      </w:r>
      <w:r w:rsidR="00B86633" w:rsidRPr="002B5C37">
        <w:t xml:space="preserve"> </w:t>
      </w:r>
      <w:r w:rsidR="00B86633">
        <w:t>absence</w:t>
      </w:r>
      <w:r w:rsidR="003B487A" w:rsidRPr="002B5C37">
        <w:t xml:space="preserve">, </w:t>
      </w:r>
      <w:r w:rsidR="00050D83">
        <w:t>as it did not appear from the record that this was a usual occurrence. Further, the fact that M</w:t>
      </w:r>
      <w:r w:rsidR="00B86633">
        <w:t xml:space="preserve">rs Kruger </w:t>
      </w:r>
      <w:r w:rsidR="003B487A" w:rsidRPr="002B5C37">
        <w:t>return</w:t>
      </w:r>
      <w:r w:rsidR="00050D83">
        <w:t>ed</w:t>
      </w:r>
      <w:r w:rsidR="003B487A" w:rsidRPr="002B5C37">
        <w:t xml:space="preserve"> </w:t>
      </w:r>
      <w:r w:rsidR="00B86633">
        <w:t>Ms Goagoses’</w:t>
      </w:r>
      <w:r w:rsidR="00B86633" w:rsidRPr="002B5C37">
        <w:t xml:space="preserve"> </w:t>
      </w:r>
      <w:r w:rsidR="00C56E5C" w:rsidRPr="002B5C37">
        <w:t>belongings</w:t>
      </w:r>
      <w:r w:rsidR="003B487A" w:rsidRPr="002B5C37">
        <w:t xml:space="preserve"> </w:t>
      </w:r>
      <w:r w:rsidR="00050D83">
        <w:t>was clear evidence of her dismissal, as opposed to the version presented by Mrs Kruger.</w:t>
      </w:r>
      <w:r w:rsidR="008C5AAF">
        <w:t xml:space="preserve">  </w:t>
      </w:r>
    </w:p>
    <w:p w14:paraId="7C5FBFE6" w14:textId="77777777" w:rsidR="003B487A" w:rsidRPr="002B5C37" w:rsidRDefault="003B487A" w:rsidP="009D0925">
      <w:pPr>
        <w:pStyle w:val="ListParagraph"/>
        <w:contextualSpacing w:val="0"/>
        <w:rPr>
          <w:rFonts w:cs="Arial"/>
        </w:rPr>
      </w:pPr>
    </w:p>
    <w:p w14:paraId="0051DDC2" w14:textId="56F2A548" w:rsidR="003B487A" w:rsidRPr="002B5C37" w:rsidRDefault="00B6197E" w:rsidP="00B6197E">
      <w:pPr>
        <w:pStyle w:val="Heading1"/>
        <w:numPr>
          <w:ilvl w:val="0"/>
          <w:numId w:val="0"/>
        </w:numPr>
      </w:pPr>
      <w:r w:rsidRPr="002B5C37">
        <w:t>[26]</w:t>
      </w:r>
      <w:r w:rsidRPr="002B5C37">
        <w:tab/>
      </w:r>
      <w:r w:rsidR="003B487A" w:rsidRPr="002B5C37">
        <w:t xml:space="preserve">In reply Mr </w:t>
      </w:r>
      <w:r w:rsidR="008C5AAF">
        <w:t>v</w:t>
      </w:r>
      <w:r w:rsidR="003B487A" w:rsidRPr="002B5C37">
        <w:t xml:space="preserve">an den Heever argued that </w:t>
      </w:r>
      <w:r w:rsidR="008C5AAF">
        <w:t>Ms Goagoses</w:t>
      </w:r>
      <w:r w:rsidR="008C5AAF" w:rsidRPr="002B5C37">
        <w:t xml:space="preserve"> </w:t>
      </w:r>
      <w:r w:rsidR="00C56E5C" w:rsidRPr="002B5C37">
        <w:t>failed to indicate to</w:t>
      </w:r>
      <w:r w:rsidR="003B487A" w:rsidRPr="002B5C37">
        <w:t xml:space="preserve"> the </w:t>
      </w:r>
      <w:r w:rsidR="008C5AAF">
        <w:t>L</w:t>
      </w:r>
      <w:r w:rsidR="003B487A" w:rsidRPr="002B5C37">
        <w:t xml:space="preserve">abour </w:t>
      </w:r>
      <w:r w:rsidR="008C5AAF">
        <w:t>I</w:t>
      </w:r>
      <w:r w:rsidR="003B487A" w:rsidRPr="002B5C37">
        <w:t>nspector that she was absent because she was hospitali</w:t>
      </w:r>
      <w:r w:rsidR="008C5AAF">
        <w:t>s</w:t>
      </w:r>
      <w:r w:rsidR="003B487A" w:rsidRPr="002B5C37">
        <w:t>ed and</w:t>
      </w:r>
      <w:r w:rsidR="00C56E5C" w:rsidRPr="002B5C37">
        <w:t xml:space="preserve"> </w:t>
      </w:r>
      <w:r w:rsidR="008C5AAF">
        <w:t xml:space="preserve">further </w:t>
      </w:r>
      <w:r w:rsidR="00C56E5C" w:rsidRPr="002B5C37">
        <w:t xml:space="preserve">that </w:t>
      </w:r>
      <w:r w:rsidR="008C5AAF">
        <w:t xml:space="preserve">she </w:t>
      </w:r>
      <w:r w:rsidR="003B487A" w:rsidRPr="002B5C37">
        <w:t xml:space="preserve">did not provide proof </w:t>
      </w:r>
      <w:r w:rsidR="00BF7FF6" w:rsidRPr="002B5C37">
        <w:t xml:space="preserve">at the arbitration proceedings </w:t>
      </w:r>
      <w:r w:rsidR="00C56E5C" w:rsidRPr="002B5C37">
        <w:t>that she was  hospitalis</w:t>
      </w:r>
      <w:r w:rsidR="003B487A" w:rsidRPr="002B5C37">
        <w:t>ed.</w:t>
      </w:r>
      <w:r w:rsidR="008C5AAF">
        <w:t xml:space="preserve">  </w:t>
      </w:r>
      <w:r w:rsidR="00AB1E68">
        <w:t xml:space="preserve"> </w:t>
      </w:r>
      <w:r w:rsidR="008C5AAF">
        <w:t xml:space="preserve">  </w:t>
      </w:r>
    </w:p>
    <w:p w14:paraId="5FB5110C" w14:textId="77777777" w:rsidR="00BF7FF6" w:rsidRPr="002B5C37" w:rsidRDefault="00BF7FF6" w:rsidP="009D0925">
      <w:pPr>
        <w:pStyle w:val="ListParagraph"/>
        <w:ind w:left="0"/>
        <w:contextualSpacing w:val="0"/>
        <w:rPr>
          <w:rFonts w:cs="Arial"/>
        </w:rPr>
      </w:pPr>
    </w:p>
    <w:p w14:paraId="405BF4B1" w14:textId="77777777" w:rsidR="00BF20CE" w:rsidRPr="002B5C37" w:rsidRDefault="00BF20CE" w:rsidP="009D0925">
      <w:pPr>
        <w:pStyle w:val="ListParagraph"/>
        <w:ind w:left="0"/>
        <w:contextualSpacing w:val="0"/>
        <w:rPr>
          <w:rFonts w:cs="Arial"/>
          <w:u w:val="single"/>
        </w:rPr>
      </w:pPr>
      <w:r w:rsidRPr="002B5C37">
        <w:rPr>
          <w:rFonts w:cs="Arial"/>
          <w:u w:val="single"/>
        </w:rPr>
        <w:t>Discussion</w:t>
      </w:r>
    </w:p>
    <w:p w14:paraId="22C711C7" w14:textId="77777777" w:rsidR="00BF20CE" w:rsidRPr="002B5C37" w:rsidRDefault="00BF20CE" w:rsidP="009D0925">
      <w:pPr>
        <w:pStyle w:val="ListParagraph"/>
        <w:contextualSpacing w:val="0"/>
        <w:rPr>
          <w:rFonts w:cs="Arial"/>
        </w:rPr>
      </w:pPr>
    </w:p>
    <w:p w14:paraId="71397534" w14:textId="2A31E388" w:rsidR="00012663" w:rsidRPr="002B5C37" w:rsidRDefault="00B6197E" w:rsidP="00B6197E">
      <w:pPr>
        <w:pStyle w:val="Heading1"/>
        <w:numPr>
          <w:ilvl w:val="0"/>
          <w:numId w:val="0"/>
        </w:numPr>
      </w:pPr>
      <w:r w:rsidRPr="002B5C37">
        <w:t>[27]</w:t>
      </w:r>
      <w:r w:rsidRPr="002B5C37">
        <w:tab/>
      </w:r>
      <w:r w:rsidR="00012663" w:rsidRPr="002B5C37">
        <w:t>Section 33 of the Labour Act 11 of 2007 provides that:</w:t>
      </w:r>
    </w:p>
    <w:p w14:paraId="4452493F" w14:textId="77777777" w:rsidR="00012663" w:rsidRPr="002B5C37" w:rsidRDefault="00012663" w:rsidP="009D0925">
      <w:pPr>
        <w:pStyle w:val="ListParagraph"/>
        <w:contextualSpacing w:val="0"/>
        <w:rPr>
          <w:rFonts w:cs="Arial"/>
        </w:rPr>
      </w:pPr>
    </w:p>
    <w:p w14:paraId="23D0CB62" w14:textId="2ED98E47" w:rsidR="00012663" w:rsidRPr="00733CDD" w:rsidRDefault="00012663" w:rsidP="00733CDD">
      <w:pPr>
        <w:pStyle w:val="ListParagraph"/>
        <w:contextualSpacing w:val="0"/>
        <w:rPr>
          <w:rFonts w:cs="Arial"/>
          <w:sz w:val="22"/>
          <w:szCs w:val="22"/>
        </w:rPr>
      </w:pPr>
      <w:r w:rsidRPr="00733CDD">
        <w:rPr>
          <w:rFonts w:cs="Arial"/>
          <w:sz w:val="22"/>
          <w:szCs w:val="22"/>
        </w:rPr>
        <w:t xml:space="preserve">‘(1) </w:t>
      </w:r>
      <w:r w:rsidR="00733CDD">
        <w:rPr>
          <w:rFonts w:cs="Arial"/>
          <w:sz w:val="22"/>
          <w:szCs w:val="22"/>
        </w:rPr>
        <w:tab/>
      </w:r>
      <w:r w:rsidRPr="00733CDD">
        <w:rPr>
          <w:rFonts w:cs="Arial"/>
          <w:sz w:val="22"/>
          <w:szCs w:val="22"/>
        </w:rPr>
        <w:t xml:space="preserve">An employer must not, whether notice is given or not, dismiss an employee – </w:t>
      </w:r>
    </w:p>
    <w:p w14:paraId="35D282BE" w14:textId="77777777" w:rsidR="00733CDD" w:rsidRDefault="00733CDD" w:rsidP="00733CDD">
      <w:pPr>
        <w:rPr>
          <w:rFonts w:cs="Arial"/>
          <w:sz w:val="22"/>
          <w:szCs w:val="22"/>
        </w:rPr>
      </w:pPr>
    </w:p>
    <w:p w14:paraId="1C172BBF" w14:textId="67EE715D" w:rsidR="00012663" w:rsidRPr="00733CDD" w:rsidRDefault="00012663" w:rsidP="00733CDD">
      <w:pPr>
        <w:ind w:firstLine="720"/>
        <w:rPr>
          <w:rFonts w:cs="Arial"/>
          <w:sz w:val="22"/>
          <w:szCs w:val="22"/>
        </w:rPr>
      </w:pPr>
      <w:r w:rsidRPr="00733CDD">
        <w:rPr>
          <w:rFonts w:cs="Arial"/>
          <w:sz w:val="22"/>
          <w:szCs w:val="22"/>
        </w:rPr>
        <w:t xml:space="preserve">(a) </w:t>
      </w:r>
      <w:r w:rsidR="00733CDD">
        <w:rPr>
          <w:rFonts w:cs="Arial"/>
          <w:sz w:val="22"/>
          <w:szCs w:val="22"/>
        </w:rPr>
        <w:tab/>
      </w:r>
      <w:r w:rsidRPr="00733CDD">
        <w:rPr>
          <w:rFonts w:cs="Arial"/>
          <w:sz w:val="22"/>
          <w:szCs w:val="22"/>
        </w:rPr>
        <w:t xml:space="preserve">without a valid and fair reason; and </w:t>
      </w:r>
    </w:p>
    <w:p w14:paraId="360107C2" w14:textId="77777777" w:rsidR="00733CDD" w:rsidRDefault="00733CDD" w:rsidP="00733CDD">
      <w:pPr>
        <w:ind w:firstLine="720"/>
        <w:rPr>
          <w:rFonts w:cs="Arial"/>
          <w:sz w:val="22"/>
          <w:szCs w:val="22"/>
        </w:rPr>
      </w:pPr>
    </w:p>
    <w:p w14:paraId="3FF5FA41" w14:textId="609363AF" w:rsidR="00012663" w:rsidRPr="00733CDD" w:rsidRDefault="00012663" w:rsidP="00733CDD">
      <w:pPr>
        <w:ind w:firstLine="720"/>
        <w:rPr>
          <w:rFonts w:cs="Arial"/>
          <w:sz w:val="22"/>
          <w:szCs w:val="22"/>
        </w:rPr>
      </w:pPr>
      <w:r w:rsidRPr="00733CDD">
        <w:rPr>
          <w:rFonts w:cs="Arial"/>
          <w:sz w:val="22"/>
          <w:szCs w:val="22"/>
        </w:rPr>
        <w:t xml:space="preserve">(b) </w:t>
      </w:r>
      <w:r w:rsidR="00733CDD">
        <w:rPr>
          <w:rFonts w:cs="Arial"/>
          <w:sz w:val="22"/>
          <w:szCs w:val="22"/>
        </w:rPr>
        <w:tab/>
      </w:r>
      <w:r w:rsidRPr="00733CDD">
        <w:rPr>
          <w:rFonts w:cs="Arial"/>
          <w:sz w:val="22"/>
          <w:szCs w:val="22"/>
        </w:rPr>
        <w:t xml:space="preserve">without following – </w:t>
      </w:r>
    </w:p>
    <w:p w14:paraId="174FFC33" w14:textId="77777777" w:rsidR="00733CDD" w:rsidRDefault="00733CDD" w:rsidP="00733CDD">
      <w:pPr>
        <w:rPr>
          <w:rFonts w:cs="Arial"/>
          <w:sz w:val="22"/>
          <w:szCs w:val="22"/>
        </w:rPr>
      </w:pPr>
    </w:p>
    <w:p w14:paraId="5A8E6E79" w14:textId="728AF77B" w:rsidR="00012663" w:rsidRPr="00733CDD" w:rsidRDefault="00012663" w:rsidP="00733CDD">
      <w:pPr>
        <w:ind w:left="720"/>
        <w:rPr>
          <w:rFonts w:cs="Arial"/>
          <w:sz w:val="22"/>
          <w:szCs w:val="22"/>
        </w:rPr>
      </w:pPr>
      <w:r w:rsidRPr="00733CDD">
        <w:rPr>
          <w:rFonts w:cs="Arial"/>
          <w:sz w:val="22"/>
          <w:szCs w:val="22"/>
        </w:rPr>
        <w:t xml:space="preserve">(i) </w:t>
      </w:r>
      <w:r w:rsidR="00733CDD">
        <w:rPr>
          <w:rFonts w:cs="Arial"/>
          <w:sz w:val="22"/>
          <w:szCs w:val="22"/>
        </w:rPr>
        <w:tab/>
      </w:r>
      <w:r w:rsidRPr="00733CDD">
        <w:rPr>
          <w:rFonts w:cs="Arial"/>
          <w:sz w:val="22"/>
          <w:szCs w:val="22"/>
        </w:rPr>
        <w:t xml:space="preserve">the procedures set out in section 34, if the dismissal arises from a reason set out in section 34 (1); or </w:t>
      </w:r>
    </w:p>
    <w:p w14:paraId="1881F6B7" w14:textId="77777777" w:rsidR="00733CDD" w:rsidRDefault="00733CDD" w:rsidP="00733CDD">
      <w:pPr>
        <w:rPr>
          <w:rFonts w:cs="Arial"/>
          <w:sz w:val="22"/>
          <w:szCs w:val="22"/>
        </w:rPr>
      </w:pPr>
    </w:p>
    <w:p w14:paraId="2530F026" w14:textId="4CE29389" w:rsidR="00012663" w:rsidRPr="00733CDD" w:rsidRDefault="00012663" w:rsidP="00733CDD">
      <w:pPr>
        <w:ind w:left="720"/>
        <w:rPr>
          <w:rFonts w:cs="Arial"/>
          <w:sz w:val="22"/>
          <w:szCs w:val="22"/>
        </w:rPr>
      </w:pPr>
      <w:r w:rsidRPr="00733CDD">
        <w:rPr>
          <w:rFonts w:cs="Arial"/>
          <w:sz w:val="22"/>
          <w:szCs w:val="22"/>
        </w:rPr>
        <w:t xml:space="preserve">(ii) </w:t>
      </w:r>
      <w:r w:rsidR="00733CDD">
        <w:rPr>
          <w:rFonts w:cs="Arial"/>
          <w:sz w:val="22"/>
          <w:szCs w:val="22"/>
        </w:rPr>
        <w:tab/>
      </w:r>
      <w:r w:rsidRPr="00733CDD">
        <w:rPr>
          <w:rFonts w:cs="Arial"/>
          <w:sz w:val="22"/>
          <w:szCs w:val="22"/>
        </w:rPr>
        <w:t>subject to any code of good practice issued under section 137, a fair procedure, in any other case.’</w:t>
      </w:r>
    </w:p>
    <w:p w14:paraId="6179B3A0" w14:textId="77777777" w:rsidR="00012663" w:rsidRDefault="00012663" w:rsidP="00733CDD">
      <w:pPr>
        <w:rPr>
          <w:rFonts w:cs="Arial"/>
        </w:rPr>
      </w:pPr>
    </w:p>
    <w:p w14:paraId="3685A75C" w14:textId="14E4D7A7" w:rsidR="00733CDD" w:rsidRDefault="00B6197E" w:rsidP="00B6197E">
      <w:pPr>
        <w:pStyle w:val="Heading1"/>
        <w:numPr>
          <w:ilvl w:val="0"/>
          <w:numId w:val="0"/>
        </w:numPr>
      </w:pPr>
      <w:r>
        <w:t>[28]</w:t>
      </w:r>
      <w:r>
        <w:tab/>
      </w:r>
      <w:r w:rsidR="00C57DB4">
        <w:t>Section 33(4)(</w:t>
      </w:r>
      <w:r w:rsidR="00C57DB4" w:rsidRPr="00485ED1">
        <w:rPr>
          <w:i/>
          <w:iCs/>
        </w:rPr>
        <w:t>a</w:t>
      </w:r>
      <w:r w:rsidR="00C57DB4">
        <w:t>) of the Labour Act</w:t>
      </w:r>
      <w:r w:rsidR="00AB1E68">
        <w:t xml:space="preserve"> provides that</w:t>
      </w:r>
      <w:r w:rsidR="00C57DB4">
        <w:t xml:space="preserve"> in any proceedings concerning a dismissal, if the employee establishes the existence of a dismissal, it is presumed, unless the contrary is proved by the employer, that the dismissal is unfair.  </w:t>
      </w:r>
    </w:p>
    <w:p w14:paraId="790C5638" w14:textId="77777777" w:rsidR="00733CDD" w:rsidRPr="00733CDD" w:rsidRDefault="00733CDD" w:rsidP="00733CDD">
      <w:pPr>
        <w:rPr>
          <w:rFonts w:cs="Arial"/>
        </w:rPr>
      </w:pPr>
    </w:p>
    <w:p w14:paraId="14ECE874" w14:textId="1A10E318" w:rsidR="009E4C21" w:rsidRPr="002B5C37" w:rsidRDefault="00B6197E" w:rsidP="00B6197E">
      <w:pPr>
        <w:pStyle w:val="Heading1"/>
        <w:numPr>
          <w:ilvl w:val="0"/>
          <w:numId w:val="0"/>
        </w:numPr>
      </w:pPr>
      <w:r w:rsidRPr="002B5C37">
        <w:t>[29]</w:t>
      </w:r>
      <w:r w:rsidRPr="002B5C37">
        <w:tab/>
      </w:r>
      <w:r w:rsidR="002B1C46" w:rsidRPr="002B5C37">
        <w:t xml:space="preserve">Collins </w:t>
      </w:r>
      <w:r w:rsidR="00612844" w:rsidRPr="002B5C37">
        <w:t>Parker</w:t>
      </w:r>
      <w:r w:rsidR="00C33830">
        <w:t>,</w:t>
      </w:r>
      <w:r w:rsidR="00C57DB4">
        <w:t xml:space="preserve"> </w:t>
      </w:r>
      <w:r w:rsidR="000D029B">
        <w:t xml:space="preserve">in his seminal work </w:t>
      </w:r>
      <w:r w:rsidR="000D029B">
        <w:rPr>
          <w:i/>
          <w:iCs/>
        </w:rPr>
        <w:t xml:space="preserve">Labour Law in </w:t>
      </w:r>
      <w:r w:rsidR="000D029B" w:rsidRPr="000D029B">
        <w:rPr>
          <w:i/>
          <w:iCs/>
        </w:rPr>
        <w:t>Namibia</w:t>
      </w:r>
      <w:r w:rsidR="00485ED1">
        <w:rPr>
          <w:rStyle w:val="FootnoteReference"/>
          <w:i/>
          <w:iCs/>
        </w:rPr>
        <w:footnoteReference w:id="3"/>
      </w:r>
      <w:r w:rsidR="00C33830">
        <w:t xml:space="preserve"> mentioned </w:t>
      </w:r>
      <w:r w:rsidR="00612844" w:rsidRPr="002B5C37">
        <w:t>that there are two requirements of establishing unfair dismissal</w:t>
      </w:r>
      <w:r w:rsidR="000D029B">
        <w:t>.  F</w:t>
      </w:r>
      <w:r w:rsidR="00612844" w:rsidRPr="002B5C37">
        <w:t>irstly</w:t>
      </w:r>
      <w:r w:rsidR="000D029B">
        <w:t>,</w:t>
      </w:r>
      <w:r w:rsidR="00612844" w:rsidRPr="002B5C37">
        <w:t xml:space="preserve"> the employee must establish whether there was dismissal,</w:t>
      </w:r>
      <w:r w:rsidR="002B1C46" w:rsidRPr="002B5C37">
        <w:t xml:space="preserve"> and</w:t>
      </w:r>
      <w:r w:rsidR="00612844" w:rsidRPr="002B5C37">
        <w:t xml:space="preserve"> </w:t>
      </w:r>
      <w:r w:rsidR="00C33830">
        <w:t>secondly,</w:t>
      </w:r>
      <w:r w:rsidR="00612844" w:rsidRPr="002B5C37">
        <w:t xml:space="preserve"> if it is established that such dismiss</w:t>
      </w:r>
      <w:r w:rsidR="00BF138D" w:rsidRPr="002B5C37">
        <w:t>al too</w:t>
      </w:r>
      <w:r w:rsidR="00C33830">
        <w:t>k</w:t>
      </w:r>
      <w:r w:rsidR="00BF138D" w:rsidRPr="002B5C37">
        <w:t xml:space="preserve"> place, then it is presumed to be unfair and the employer must </w:t>
      </w:r>
      <w:r w:rsidR="00C33830">
        <w:t xml:space="preserve">prove </w:t>
      </w:r>
      <w:r w:rsidR="00BF138D" w:rsidRPr="002B5C37">
        <w:t>that it was valid and fair</w:t>
      </w:r>
      <w:r w:rsidR="00AB1E68">
        <w:t>,</w:t>
      </w:r>
      <w:r w:rsidR="00BF138D" w:rsidRPr="002B5C37">
        <w:t xml:space="preserve"> and that a fair procedure was followed.</w:t>
      </w:r>
      <w:r w:rsidR="00C33830">
        <w:t xml:space="preserve"> </w:t>
      </w:r>
      <w:r w:rsidR="00BF138D" w:rsidRPr="002B5C37">
        <w:rPr>
          <w:rStyle w:val="FootnoteReference"/>
          <w:rFonts w:cs="Arial"/>
        </w:rPr>
        <w:footnoteReference w:id="4"/>
      </w:r>
      <w:r w:rsidR="00BF138D" w:rsidRPr="002B5C37">
        <w:t xml:space="preserve"> The test for fair dismissal is two-fold i</w:t>
      </w:r>
      <w:r w:rsidR="00C33830">
        <w:t>.</w:t>
      </w:r>
      <w:r w:rsidR="00BF138D" w:rsidRPr="002B5C37">
        <w:t>e</w:t>
      </w:r>
      <w:r w:rsidR="00C33830">
        <w:t>.</w:t>
      </w:r>
      <w:r w:rsidR="00BF138D" w:rsidRPr="002B5C37">
        <w:t xml:space="preserve"> substantive fairness and procedural fairness and the two are cumulative and not separate.</w:t>
      </w:r>
      <w:r w:rsidR="00BF138D" w:rsidRPr="002B5C37">
        <w:rPr>
          <w:rStyle w:val="FootnoteReference"/>
          <w:rFonts w:cs="Arial"/>
        </w:rPr>
        <w:footnoteReference w:id="5"/>
      </w:r>
    </w:p>
    <w:p w14:paraId="5F9E701F" w14:textId="77777777" w:rsidR="00F67B87" w:rsidRPr="002B5C37" w:rsidRDefault="00F67B87" w:rsidP="009D0925">
      <w:pPr>
        <w:pStyle w:val="ListParagraph"/>
        <w:ind w:left="0"/>
        <w:contextualSpacing w:val="0"/>
        <w:rPr>
          <w:rFonts w:cs="Arial"/>
        </w:rPr>
      </w:pPr>
    </w:p>
    <w:p w14:paraId="2D43E1C5" w14:textId="64AE9ED9" w:rsidR="009E4C21" w:rsidRPr="002B5C37" w:rsidRDefault="00B6197E" w:rsidP="00B6197E">
      <w:pPr>
        <w:pStyle w:val="Heading1"/>
        <w:numPr>
          <w:ilvl w:val="0"/>
          <w:numId w:val="0"/>
        </w:numPr>
      </w:pPr>
      <w:r w:rsidRPr="002B5C37">
        <w:lastRenderedPageBreak/>
        <w:t>[30]</w:t>
      </w:r>
      <w:r w:rsidRPr="002B5C37">
        <w:tab/>
      </w:r>
      <w:r w:rsidR="009E4C21" w:rsidRPr="002B5C37">
        <w:t xml:space="preserve">In </w:t>
      </w:r>
      <w:r w:rsidR="009E4C21" w:rsidRPr="002B5C37">
        <w:rPr>
          <w:i/>
        </w:rPr>
        <w:t>Tow in Specialist CC v Urinavi</w:t>
      </w:r>
      <w:r w:rsidR="00C33830">
        <w:rPr>
          <w:i/>
        </w:rPr>
        <w:t xml:space="preserve"> </w:t>
      </w:r>
      <w:r w:rsidR="009E4C21" w:rsidRPr="002B5C37">
        <w:rPr>
          <w:rStyle w:val="FootnoteReference"/>
          <w:rFonts w:cs="Arial"/>
        </w:rPr>
        <w:footnoteReference w:id="6"/>
      </w:r>
      <w:r w:rsidR="002B1C46" w:rsidRPr="002B5C37">
        <w:t xml:space="preserve"> Ueitele</w:t>
      </w:r>
      <w:r w:rsidR="009E4C21" w:rsidRPr="002B5C37">
        <w:t xml:space="preserve"> J discussed what dismissal means in terms of the Labour Act: </w:t>
      </w:r>
    </w:p>
    <w:p w14:paraId="20391AD6" w14:textId="77777777" w:rsidR="009E4C21" w:rsidRPr="002B5C37" w:rsidRDefault="009E4C21" w:rsidP="009D0925">
      <w:pPr>
        <w:pStyle w:val="ListParagraph"/>
        <w:ind w:left="0"/>
        <w:contextualSpacing w:val="0"/>
        <w:rPr>
          <w:rFonts w:cs="Arial"/>
        </w:rPr>
      </w:pPr>
    </w:p>
    <w:p w14:paraId="49C7362B" w14:textId="3AFFF274" w:rsidR="009E4C21" w:rsidRPr="002B5C37" w:rsidRDefault="009E4C21" w:rsidP="00C33830">
      <w:pPr>
        <w:pStyle w:val="BodyText"/>
        <w:autoSpaceDE w:val="0"/>
        <w:autoSpaceDN w:val="0"/>
        <w:adjustRightInd w:val="0"/>
        <w:spacing w:line="360" w:lineRule="auto"/>
        <w:ind w:left="720"/>
        <w:jc w:val="both"/>
        <w:rPr>
          <w:rFonts w:ascii="Arial" w:hAnsi="Arial" w:cs="Arial"/>
          <w:sz w:val="22"/>
          <w:szCs w:val="22"/>
        </w:rPr>
      </w:pPr>
      <w:r w:rsidRPr="002B5C37">
        <w:rPr>
          <w:rFonts w:ascii="Arial" w:hAnsi="Arial" w:cs="Arial"/>
          <w:sz w:val="22"/>
          <w:szCs w:val="22"/>
        </w:rPr>
        <w:t>‘[20]</w:t>
      </w:r>
      <w:r w:rsidRPr="002B5C37">
        <w:rPr>
          <w:rFonts w:ascii="Arial" w:hAnsi="Arial" w:cs="Arial"/>
          <w:sz w:val="22"/>
          <w:szCs w:val="22"/>
        </w:rPr>
        <w:tab/>
        <w:t xml:space="preserve">The Labour Act, 2007 does, however, not define the term 'dismissal'; it follows that I have to turn to the common law or other legal instruments defining dismissal to ascertain the meaning of the term 'dismissal'. At common law dismissal is equated with the termination of the contract of employment by the employer with or without notice. </w:t>
      </w:r>
      <w:r w:rsidRPr="002B5C37">
        <w:rPr>
          <w:rFonts w:ascii="Arial" w:hAnsi="Arial" w:cs="Arial"/>
          <w:i/>
          <w:sz w:val="22"/>
          <w:szCs w:val="22"/>
        </w:rPr>
        <w:t>Grogan</w:t>
      </w:r>
      <w:r w:rsidR="00380EEB">
        <w:rPr>
          <w:rFonts w:ascii="Arial" w:hAnsi="Arial" w:cs="Arial"/>
          <w:i/>
          <w:sz w:val="22"/>
          <w:szCs w:val="22"/>
        </w:rPr>
        <w:t xml:space="preserve"> </w:t>
      </w:r>
      <w:r w:rsidRPr="002B5C37">
        <w:rPr>
          <w:rStyle w:val="FootnoteReference"/>
          <w:rFonts w:ascii="Arial" w:hAnsi="Arial" w:cs="Arial"/>
          <w:i/>
          <w:sz w:val="22"/>
          <w:szCs w:val="22"/>
        </w:rPr>
        <w:footnoteReference w:id="7"/>
      </w:r>
      <w:r w:rsidRPr="002B5C37">
        <w:rPr>
          <w:rFonts w:ascii="Arial" w:hAnsi="Arial" w:cs="Arial"/>
          <w:sz w:val="22"/>
          <w:szCs w:val="22"/>
        </w:rPr>
        <w:t xml:space="preserve"> thus argues that at common law a 'dismissal' is deemed to have taken place if the employer gave the required notice; the employee would however have no legal remedy if the termination was by notice, because one of the implied terms of common-law contracts of service is that such a contract may be terminated by either party on agreed notice. In the matter </w:t>
      </w:r>
      <w:r w:rsidRPr="002B5C37">
        <w:rPr>
          <w:rFonts w:ascii="Arial" w:hAnsi="Arial" w:cs="Arial"/>
          <w:i/>
          <w:sz w:val="22"/>
          <w:szCs w:val="22"/>
        </w:rPr>
        <w:t>Meintjies v Joe Gross t/a Joe's Beerhouse</w:t>
      </w:r>
      <w:r w:rsidR="00380EEB">
        <w:rPr>
          <w:rFonts w:ascii="Arial" w:hAnsi="Arial" w:cs="Arial"/>
          <w:i/>
          <w:sz w:val="22"/>
          <w:szCs w:val="22"/>
        </w:rPr>
        <w:t xml:space="preserve"> </w:t>
      </w:r>
      <w:r w:rsidRPr="002B5C37">
        <w:rPr>
          <w:rStyle w:val="FootnoteReference"/>
          <w:rFonts w:ascii="Arial" w:hAnsi="Arial" w:cs="Arial"/>
          <w:i/>
          <w:sz w:val="22"/>
          <w:szCs w:val="22"/>
        </w:rPr>
        <w:footnoteReference w:id="8"/>
      </w:r>
      <w:r w:rsidRPr="002B5C37">
        <w:rPr>
          <w:rFonts w:ascii="Arial" w:hAnsi="Arial" w:cs="Arial"/>
          <w:sz w:val="22"/>
          <w:szCs w:val="22"/>
        </w:rPr>
        <w:t xml:space="preserve"> this court held that the word 'dismiss', where it is used in ss 45 and 46 of the Act, means the termination of a contract of employment by or at the behest of an employer. In </w:t>
      </w:r>
      <w:r w:rsidRPr="002B5C37">
        <w:rPr>
          <w:rFonts w:ascii="Arial" w:hAnsi="Arial" w:cs="Arial"/>
          <w:i/>
          <w:sz w:val="22"/>
          <w:szCs w:val="22"/>
        </w:rPr>
        <w:t>Benz Building Suppliers</w:t>
      </w:r>
      <w:r w:rsidR="00380EEB">
        <w:rPr>
          <w:rFonts w:ascii="Arial" w:hAnsi="Arial" w:cs="Arial"/>
          <w:i/>
          <w:sz w:val="22"/>
          <w:szCs w:val="22"/>
        </w:rPr>
        <w:t xml:space="preserve"> </w:t>
      </w:r>
      <w:r w:rsidRPr="002B5C37">
        <w:rPr>
          <w:rStyle w:val="FootnoteReference"/>
          <w:rFonts w:ascii="Arial" w:hAnsi="Arial" w:cs="Arial"/>
          <w:i/>
          <w:sz w:val="22"/>
          <w:szCs w:val="22"/>
        </w:rPr>
        <w:footnoteReference w:id="9"/>
      </w:r>
      <w:r w:rsidRPr="002B5C37">
        <w:rPr>
          <w:rFonts w:ascii="Arial" w:hAnsi="Arial" w:cs="Arial"/>
          <w:sz w:val="22"/>
          <w:szCs w:val="22"/>
        </w:rPr>
        <w:t xml:space="preserve"> (supra) Parker AJ stated that 'at somebody's behest' means because somebody has ordered or requested an act or a thing. Thus 'behest' as a noun means 'command' and so, a thing done at the behest of someone would mean that that someone commanded, requested or ordered the act.’</w:t>
      </w:r>
    </w:p>
    <w:p w14:paraId="7A75F2D3" w14:textId="77777777" w:rsidR="00534302" w:rsidRDefault="00534302" w:rsidP="009D0925">
      <w:pPr>
        <w:rPr>
          <w:rFonts w:cs="Arial"/>
        </w:rPr>
      </w:pPr>
    </w:p>
    <w:p w14:paraId="002BB5AD" w14:textId="2905F5AC" w:rsidR="00AB1E68" w:rsidRDefault="00B6197E" w:rsidP="00B6197E">
      <w:pPr>
        <w:pStyle w:val="Heading1"/>
        <w:numPr>
          <w:ilvl w:val="0"/>
          <w:numId w:val="0"/>
        </w:numPr>
      </w:pPr>
      <w:r>
        <w:t>[31]</w:t>
      </w:r>
      <w:r>
        <w:tab/>
      </w:r>
      <w:r w:rsidR="00380EEB">
        <w:t xml:space="preserve">A consideration of the SMS message from Mrs Kruger </w:t>
      </w:r>
      <w:r w:rsidR="00EA3683">
        <w:t xml:space="preserve">to Ms Goagoses </w:t>
      </w:r>
      <w:r w:rsidR="00AB1E68">
        <w:t xml:space="preserve">dated 17 August 2021, </w:t>
      </w:r>
      <w:r w:rsidR="00EA3683">
        <w:t xml:space="preserve">as well as her response thereto, makes it apparent that the intention of Mrs Kruger was not to </w:t>
      </w:r>
      <w:r w:rsidR="00AB1E68">
        <w:t xml:space="preserve">receive </w:t>
      </w:r>
      <w:r w:rsidR="00EA3683">
        <w:t>Ms Goagoses</w:t>
      </w:r>
      <w:r w:rsidR="00AB1E68">
        <w:t xml:space="preserve"> for work duties, and to terminate the employment, on the grounds of absconding.</w:t>
      </w:r>
      <w:r w:rsidR="00EA3683">
        <w:t xml:space="preserve"> </w:t>
      </w:r>
      <w:r w:rsidR="00AB1E68">
        <w:t xml:space="preserve">She made it clear that Ms Goagoses was no longer her responsibility, that she was tired of her lies that she had absconded, and that she would arrange for her belongings to be brought to her. She even thanked Ms Goagoses for everything. The response by Ms Goagoses was: ‘Its fine, after all the years </w:t>
      </w:r>
      <w:r w:rsidR="00DC7EFA">
        <w:t>of hard work’</w:t>
      </w:r>
      <w:r w:rsidR="00AB1E68">
        <w:t xml:space="preserve">. Mrs Kruger did not respond to this message. I don’t believe that Ms Goagoses could have interpreted this message as anything else than a termination of her </w:t>
      </w:r>
      <w:r w:rsidR="00AB1E68">
        <w:lastRenderedPageBreak/>
        <w:t xml:space="preserve">employment, hence her attendance at the Labour Commissioner.  I hold the view that the arbitrator was accordingly correct in </w:t>
      </w:r>
      <w:r w:rsidR="00E24BBF">
        <w:t xml:space="preserve">requiring Mrs Kruger to commence with her evidence. </w:t>
      </w:r>
    </w:p>
    <w:p w14:paraId="751367E3" w14:textId="77777777" w:rsidR="00E24BBF" w:rsidRPr="00E24BBF" w:rsidRDefault="00E24BBF" w:rsidP="00E24BBF"/>
    <w:p w14:paraId="5F30ACEE" w14:textId="62170ACB" w:rsidR="00F67B87" w:rsidRDefault="00B6197E" w:rsidP="00B6197E">
      <w:pPr>
        <w:pStyle w:val="Heading1"/>
        <w:numPr>
          <w:ilvl w:val="0"/>
          <w:numId w:val="0"/>
        </w:numPr>
      </w:pPr>
      <w:r>
        <w:t>[32]</w:t>
      </w:r>
      <w:r>
        <w:tab/>
      </w:r>
      <w:r w:rsidR="00E24BBF">
        <w:t xml:space="preserve">I am satisfied that </w:t>
      </w:r>
      <w:r w:rsidR="00EA3683">
        <w:t xml:space="preserve">Mrs Kruger </w:t>
      </w:r>
      <w:r w:rsidR="00534302" w:rsidRPr="002B5C37">
        <w:t xml:space="preserve">terminated the employment agreement with </w:t>
      </w:r>
      <w:r w:rsidR="00EB72F8">
        <w:t xml:space="preserve">Ms Goagoses. </w:t>
      </w:r>
      <w:r w:rsidR="00E24BBF">
        <w:t xml:space="preserve">The next question to be determined is whether the dismissal fell </w:t>
      </w:r>
      <w:r w:rsidR="00DC7EFA">
        <w:t xml:space="preserve">foul of </w:t>
      </w:r>
      <w:r w:rsidR="00E24BBF">
        <w:t xml:space="preserve">the provisions of the Labour Act. </w:t>
      </w:r>
    </w:p>
    <w:p w14:paraId="05FABABA" w14:textId="77777777" w:rsidR="00E24BBF" w:rsidRPr="00E24BBF" w:rsidRDefault="00E24BBF" w:rsidP="00E24BBF"/>
    <w:p w14:paraId="5566BAC1" w14:textId="70CC20E6" w:rsidR="00D42348" w:rsidRPr="002B5C37" w:rsidRDefault="00B6197E" w:rsidP="00B6197E">
      <w:pPr>
        <w:pStyle w:val="Heading1"/>
        <w:numPr>
          <w:ilvl w:val="0"/>
          <w:numId w:val="0"/>
        </w:numPr>
      </w:pPr>
      <w:r w:rsidRPr="002B5C37">
        <w:t>[33]</w:t>
      </w:r>
      <w:r w:rsidRPr="002B5C37">
        <w:tab/>
      </w:r>
      <w:r w:rsidR="001E1048">
        <w:t xml:space="preserve">On the requirement of </w:t>
      </w:r>
      <w:r w:rsidR="00BF7FF6" w:rsidRPr="002B5C37">
        <w:t>substantive fairness,</w:t>
      </w:r>
      <w:r w:rsidR="00D42348" w:rsidRPr="002B5C37">
        <w:t xml:space="preserve"> </w:t>
      </w:r>
      <w:r w:rsidR="00E24BBF">
        <w:t xml:space="preserve">Mr van den Heever submitted that Ms Goagoses terminated her employment by absconding, and that absenteeism is a form of misconduct. Reliance was placed on the decision </w:t>
      </w:r>
      <w:r w:rsidR="00D42348" w:rsidRPr="002B5C37">
        <w:t xml:space="preserve">of </w:t>
      </w:r>
      <w:r w:rsidR="00415C85" w:rsidRPr="002B5C37">
        <w:rPr>
          <w:rFonts w:eastAsia="Arial"/>
          <w:i/>
          <w:color w:val="000000"/>
          <w:lang w:eastAsia="en-ZA"/>
        </w:rPr>
        <w:t>B2Gold Namibia (Pty) Ltd v PF Hoase</w:t>
      </w:r>
      <w:r w:rsidR="00DC7EFA">
        <w:rPr>
          <w:rFonts w:eastAsia="Arial"/>
          <w:i/>
          <w:color w:val="000000"/>
          <w:lang w:eastAsia="en-ZA"/>
        </w:rPr>
        <w:t>b</w:t>
      </w:r>
      <w:r w:rsidR="00415C85" w:rsidRPr="002B5C37">
        <w:rPr>
          <w:rStyle w:val="FootnoteReference"/>
          <w:rFonts w:eastAsia="Arial" w:cs="Arial"/>
          <w:color w:val="000000"/>
          <w:lang w:eastAsia="en-ZA"/>
        </w:rPr>
        <w:footnoteReference w:id="10"/>
      </w:r>
      <w:r w:rsidR="00415C85" w:rsidRPr="002B5C37">
        <w:rPr>
          <w:rFonts w:eastAsia="Arial"/>
          <w:color w:val="000000"/>
          <w:lang w:eastAsia="en-ZA"/>
        </w:rPr>
        <w:t xml:space="preserve"> </w:t>
      </w:r>
      <w:r w:rsidR="00E24BBF">
        <w:rPr>
          <w:rFonts w:eastAsia="Arial"/>
          <w:color w:val="000000"/>
          <w:lang w:eastAsia="en-ZA"/>
        </w:rPr>
        <w:t>where Angula DJP made the following remarks</w:t>
      </w:r>
      <w:r w:rsidR="00FF1021">
        <w:rPr>
          <w:rFonts w:eastAsia="Arial"/>
          <w:color w:val="000000"/>
          <w:lang w:eastAsia="en-ZA"/>
        </w:rPr>
        <w:t xml:space="preserve"> </w:t>
      </w:r>
      <w:r w:rsidR="00D42348" w:rsidRPr="002B5C37">
        <w:t>as follows:</w:t>
      </w:r>
    </w:p>
    <w:p w14:paraId="61175F72" w14:textId="77777777" w:rsidR="00415C85" w:rsidRPr="002B5C37" w:rsidRDefault="00415C85" w:rsidP="009D0925">
      <w:pPr>
        <w:pStyle w:val="ListParagraph"/>
        <w:contextualSpacing w:val="0"/>
        <w:rPr>
          <w:rFonts w:cs="Arial"/>
        </w:rPr>
      </w:pPr>
    </w:p>
    <w:p w14:paraId="58B57061" w14:textId="57FC121C" w:rsidR="00415C85" w:rsidRPr="001E1048" w:rsidRDefault="00415C85" w:rsidP="001E1048">
      <w:pPr>
        <w:ind w:left="720"/>
        <w:rPr>
          <w:rFonts w:eastAsia="Arial" w:cs="Arial"/>
          <w:color w:val="000000"/>
          <w:sz w:val="22"/>
          <w:szCs w:val="22"/>
          <w:lang w:eastAsia="en-ZA"/>
        </w:rPr>
      </w:pPr>
      <w:r w:rsidRPr="001E1048">
        <w:rPr>
          <w:rFonts w:eastAsia="Arial" w:cs="Arial"/>
          <w:color w:val="000000"/>
          <w:sz w:val="22"/>
          <w:szCs w:val="22"/>
          <w:lang w:eastAsia="en-ZA"/>
        </w:rPr>
        <w:t>‘[24]</w:t>
      </w:r>
      <w:r w:rsidRPr="001E1048">
        <w:rPr>
          <w:rFonts w:eastAsia="Arial" w:cs="Arial"/>
          <w:color w:val="000000"/>
          <w:sz w:val="22"/>
          <w:szCs w:val="22"/>
          <w:lang w:eastAsia="en-ZA"/>
        </w:rPr>
        <w:tab/>
        <w:t>The learned author Grogan, J in his work has outlined the legal position with regard to desertion as follows:</w:t>
      </w:r>
    </w:p>
    <w:p w14:paraId="43A51C85" w14:textId="77777777" w:rsidR="00415C85" w:rsidRPr="001E1048" w:rsidRDefault="00415C85" w:rsidP="009D0925">
      <w:pPr>
        <w:rPr>
          <w:rFonts w:eastAsia="Arial" w:cs="Arial"/>
          <w:color w:val="000000"/>
          <w:sz w:val="22"/>
          <w:szCs w:val="22"/>
          <w:lang w:eastAsia="en-ZA"/>
        </w:rPr>
      </w:pPr>
    </w:p>
    <w:p w14:paraId="3043E7A5" w14:textId="7092A390" w:rsidR="00415C85" w:rsidRPr="002B5C37" w:rsidRDefault="00415C85" w:rsidP="001E1048">
      <w:pPr>
        <w:ind w:left="1440"/>
        <w:rPr>
          <w:rFonts w:eastAsia="Arial" w:cs="Arial"/>
          <w:color w:val="000000"/>
          <w:lang w:eastAsia="en-ZA"/>
        </w:rPr>
      </w:pPr>
      <w:r w:rsidRPr="001E1048">
        <w:rPr>
          <w:rFonts w:eastAsia="Arial" w:cs="Arial"/>
          <w:color w:val="000000"/>
          <w:sz w:val="22"/>
          <w:szCs w:val="22"/>
          <w:lang w:eastAsia="en-ZA"/>
        </w:rPr>
        <w:t xml:space="preserve">‘Desertion is deemed to take place when the employee has actually intimated expressly </w:t>
      </w:r>
      <w:r w:rsidRPr="00FF1021">
        <w:rPr>
          <w:rFonts w:eastAsia="Arial" w:cs="Arial"/>
          <w:color w:val="000000"/>
          <w:sz w:val="22"/>
          <w:szCs w:val="22"/>
          <w:lang w:eastAsia="en-ZA"/>
        </w:rPr>
        <w:t>or by implication that he</w:t>
      </w:r>
      <w:r w:rsidRPr="001E1048">
        <w:rPr>
          <w:rFonts w:eastAsia="Arial" w:cs="Arial"/>
          <w:color w:val="000000"/>
          <w:sz w:val="22"/>
          <w:szCs w:val="22"/>
          <w:lang w:eastAsia="en-ZA"/>
        </w:rPr>
        <w:t xml:space="preserve"> or she does not intend to return to work. Other things being equal, the longer the period of absence, more justified the employer will be in terminating the contract. Brief absence from work rarely warrants dismissal at first instance, unless the employee has by absenting him or herself committed some other act of misconduct, such as insubordination or participation in an unlawful strike, or where there is no pattern indicating that the employee is suffering from a chronic illness.  </w:t>
      </w:r>
      <w:r w:rsidRPr="00FF1021">
        <w:rPr>
          <w:rFonts w:eastAsia="Arial" w:cs="Arial"/>
          <w:color w:val="000000"/>
          <w:sz w:val="22"/>
          <w:szCs w:val="22"/>
          <w:u w:val="single"/>
          <w:lang w:eastAsia="en-ZA"/>
        </w:rPr>
        <w:t xml:space="preserve">Employees who fail to contact their employers during their absence, if they can do so, may find it difficult to persuade their employers – or arbitrators – that they had good reason to be away. </w:t>
      </w:r>
      <w:r w:rsidRPr="001E1048">
        <w:rPr>
          <w:rFonts w:eastAsia="Arial" w:cs="Arial"/>
          <w:color w:val="000000"/>
          <w:sz w:val="22"/>
          <w:szCs w:val="22"/>
          <w:u w:val="single"/>
          <w:lang w:eastAsia="en-ZA"/>
        </w:rPr>
        <w:t>Employees who stay away from work in spite of an express instruction</w:t>
      </w:r>
      <w:r w:rsidRPr="001E1048">
        <w:rPr>
          <w:rFonts w:eastAsia="Arial" w:cs="Arial"/>
          <w:color w:val="000000"/>
          <w:sz w:val="22"/>
          <w:szCs w:val="22"/>
          <w:lang w:eastAsia="en-ZA"/>
        </w:rPr>
        <w:t xml:space="preserve"> </w:t>
      </w:r>
      <w:r w:rsidRPr="001E1048">
        <w:rPr>
          <w:rFonts w:eastAsia="Arial" w:cs="Arial"/>
          <w:color w:val="000000"/>
          <w:sz w:val="22"/>
          <w:szCs w:val="22"/>
          <w:u w:val="single"/>
          <w:lang w:eastAsia="en-ZA"/>
        </w:rPr>
        <w:t>to report to duty, may find it even more difficult to justify their absence</w:t>
      </w:r>
      <w:r w:rsidRPr="001E1048">
        <w:rPr>
          <w:rFonts w:eastAsia="Arial" w:cs="Arial"/>
          <w:color w:val="000000"/>
          <w:sz w:val="22"/>
          <w:szCs w:val="22"/>
          <w:lang w:eastAsia="en-ZA"/>
        </w:rPr>
        <w:t xml:space="preserve">.  [The] onus rests on an employee to provide an explanation for his or her absence and that generally an explanation will be </w:t>
      </w:r>
      <w:r w:rsidRPr="001E1048">
        <w:rPr>
          <w:rFonts w:eastAsia="Arial" w:cs="Arial"/>
          <w:color w:val="000000"/>
          <w:sz w:val="22"/>
          <w:szCs w:val="22"/>
          <w:lang w:eastAsia="en-ZA"/>
        </w:rPr>
        <w:lastRenderedPageBreak/>
        <w:t>adequate if an employee can prove that the reason was beyond his or her control.</w:t>
      </w:r>
    </w:p>
    <w:p w14:paraId="381A69CD" w14:textId="77777777" w:rsidR="00415C85" w:rsidRPr="002B5C37" w:rsidRDefault="00415C85" w:rsidP="009D0925">
      <w:pPr>
        <w:rPr>
          <w:rFonts w:eastAsia="Arial" w:cs="Arial"/>
          <w:color w:val="000000"/>
          <w:lang w:eastAsia="en-ZA"/>
        </w:rPr>
      </w:pPr>
    </w:p>
    <w:p w14:paraId="6859B48A" w14:textId="46E01977" w:rsidR="00415C85" w:rsidRPr="008D23D8" w:rsidRDefault="008D23D8" w:rsidP="008D23D8">
      <w:pPr>
        <w:pStyle w:val="Heading1"/>
        <w:numPr>
          <w:ilvl w:val="0"/>
          <w:numId w:val="0"/>
        </w:numPr>
        <w:ind w:left="720"/>
        <w:rPr>
          <w:sz w:val="22"/>
          <w:szCs w:val="22"/>
        </w:rPr>
      </w:pPr>
      <w:r w:rsidRPr="008D23D8">
        <w:rPr>
          <w:sz w:val="22"/>
          <w:szCs w:val="22"/>
          <w:lang w:eastAsia="en-ZA"/>
        </w:rPr>
        <w:t>[25]</w:t>
      </w:r>
      <w:r w:rsidRPr="008D23D8">
        <w:rPr>
          <w:sz w:val="22"/>
          <w:szCs w:val="22"/>
          <w:lang w:eastAsia="en-ZA"/>
        </w:rPr>
        <w:tab/>
      </w:r>
      <w:r w:rsidR="00415C85" w:rsidRPr="008D23D8">
        <w:rPr>
          <w:sz w:val="22"/>
          <w:szCs w:val="22"/>
          <w:lang w:eastAsia="en-ZA"/>
        </w:rPr>
        <w:t xml:space="preserve">I am of the view that the above statement of law is applicable to the facts of this matter. </w:t>
      </w:r>
      <w:r w:rsidR="00415C85" w:rsidRPr="008D23D8">
        <w:rPr>
          <w:sz w:val="22"/>
          <w:szCs w:val="22"/>
          <w:u w:val="single"/>
          <w:lang w:eastAsia="en-ZA"/>
        </w:rPr>
        <w:t>It is not always a requirement that the intention not to return to work must be communicated unequivocally, but it can also be communicated by implication that the employee does not intend to return to work.</w:t>
      </w:r>
      <w:r w:rsidR="00415C85" w:rsidRPr="008D23D8">
        <w:rPr>
          <w:sz w:val="22"/>
          <w:szCs w:val="22"/>
          <w:lang w:eastAsia="en-ZA"/>
        </w:rPr>
        <w:t>’</w:t>
      </w:r>
      <w:r>
        <w:rPr>
          <w:sz w:val="22"/>
          <w:szCs w:val="22"/>
          <w:lang w:eastAsia="en-ZA"/>
        </w:rPr>
        <w:t xml:space="preserve"> (emphasis supplied)</w:t>
      </w:r>
    </w:p>
    <w:p w14:paraId="546FEE85" w14:textId="77777777" w:rsidR="00415C85" w:rsidRPr="002B5C37" w:rsidRDefault="00415C85" w:rsidP="009D0925">
      <w:pPr>
        <w:pStyle w:val="ListParagraph"/>
        <w:contextualSpacing w:val="0"/>
        <w:rPr>
          <w:rFonts w:cs="Arial"/>
        </w:rPr>
      </w:pPr>
    </w:p>
    <w:p w14:paraId="465C7BAB" w14:textId="261B3F00" w:rsidR="00D575D4" w:rsidRDefault="00B6197E" w:rsidP="00B6197E">
      <w:pPr>
        <w:pStyle w:val="Heading1"/>
        <w:numPr>
          <w:ilvl w:val="0"/>
          <w:numId w:val="0"/>
        </w:numPr>
      </w:pPr>
      <w:r>
        <w:t>[34]</w:t>
      </w:r>
      <w:r>
        <w:tab/>
      </w:r>
      <w:r w:rsidR="008D23D8">
        <w:t>To my mind, w</w:t>
      </w:r>
      <w:r w:rsidR="00F76AE2" w:rsidRPr="002B5C37">
        <w:t>hat is distinguishable</w:t>
      </w:r>
      <w:r w:rsidR="00415C85" w:rsidRPr="002B5C37">
        <w:t xml:space="preserve"> between t</w:t>
      </w:r>
      <w:r w:rsidR="00F76AE2" w:rsidRPr="002B5C37">
        <w:t xml:space="preserve">he </w:t>
      </w:r>
      <w:r w:rsidR="00F76AE2" w:rsidRPr="002B5C37">
        <w:rPr>
          <w:i/>
        </w:rPr>
        <w:t>B2Gold</w:t>
      </w:r>
      <w:r w:rsidR="00F76AE2" w:rsidRPr="002B5C37">
        <w:t xml:space="preserve"> matter and the </w:t>
      </w:r>
      <w:r w:rsidR="00991C16" w:rsidRPr="002B5C37">
        <w:t>c</w:t>
      </w:r>
      <w:r w:rsidR="008D23D8">
        <w:t xml:space="preserve">ase before me, </w:t>
      </w:r>
      <w:r w:rsidR="00991C16" w:rsidRPr="002B5C37">
        <w:t xml:space="preserve">is that at no point did </w:t>
      </w:r>
      <w:r w:rsidR="007F4BE2">
        <w:t>Ms Goagoses</w:t>
      </w:r>
      <w:r w:rsidR="00991C16" w:rsidRPr="002B5C37">
        <w:t>, although absent from work</w:t>
      </w:r>
      <w:r w:rsidR="008D23D8">
        <w:t xml:space="preserve"> without leave</w:t>
      </w:r>
      <w:r w:rsidR="00991C16" w:rsidRPr="002B5C37">
        <w:t xml:space="preserve">, give an indication that she </w:t>
      </w:r>
      <w:r w:rsidR="007F4BE2">
        <w:t xml:space="preserve">did not want to, or had no intention to return to work. </w:t>
      </w:r>
      <w:r w:rsidR="007638B9">
        <w:t>It is</w:t>
      </w:r>
      <w:r w:rsidR="008D23D8">
        <w:t xml:space="preserve"> true</w:t>
      </w:r>
      <w:r w:rsidR="007638B9">
        <w:t xml:space="preserve"> that Ms Goagoses did not reply to attempts to organise transport back to the farm, and </w:t>
      </w:r>
      <w:r w:rsidR="008D23D8">
        <w:t xml:space="preserve">I </w:t>
      </w:r>
      <w:r w:rsidR="007638B9">
        <w:t>accept that this was frustrating</w:t>
      </w:r>
      <w:r w:rsidR="004E62B4">
        <w:t xml:space="preserve">, and </w:t>
      </w:r>
      <w:r w:rsidR="004E62B4" w:rsidRPr="004E62B4">
        <w:rPr>
          <w:i/>
          <w:iCs/>
        </w:rPr>
        <w:t>prima facie</w:t>
      </w:r>
      <w:r w:rsidR="004E62B4">
        <w:t xml:space="preserve"> misconduct</w:t>
      </w:r>
      <w:r w:rsidR="007638B9">
        <w:t>. However, on 16 August 2021</w:t>
      </w:r>
      <w:r w:rsidR="00570ED0">
        <w:t>,</w:t>
      </w:r>
      <w:r w:rsidR="00570ED0" w:rsidRPr="00570ED0">
        <w:t xml:space="preserve"> </w:t>
      </w:r>
      <w:r w:rsidR="00570ED0">
        <w:t>Ms Goagoses</w:t>
      </w:r>
      <w:r w:rsidR="007638B9">
        <w:t xml:space="preserve"> </w:t>
      </w:r>
      <w:r w:rsidR="00570ED0">
        <w:t>sent a</w:t>
      </w:r>
      <w:r w:rsidR="00485ED1">
        <w:t>n SMS</w:t>
      </w:r>
      <w:r w:rsidR="00570ED0">
        <w:t xml:space="preserve"> message where she mentioned that she was undergoing </w:t>
      </w:r>
      <w:r w:rsidR="004E62B4">
        <w:t xml:space="preserve">medical </w:t>
      </w:r>
      <w:r w:rsidR="00570ED0">
        <w:t xml:space="preserve">treatment which Mrs Kruger was </w:t>
      </w:r>
      <w:r w:rsidR="004E62B4">
        <w:t xml:space="preserve">apparently </w:t>
      </w:r>
      <w:r w:rsidR="00570ED0">
        <w:t xml:space="preserve">aware of.  In response Mrs Kruger, on 17 August 2021, informed </w:t>
      </w:r>
      <w:r w:rsidR="00D575D4">
        <w:t>that her treatment was now her and her children’s responsibility</w:t>
      </w:r>
      <w:r w:rsidR="004E62B4">
        <w:t>.</w:t>
      </w:r>
      <w:r w:rsidR="00D575D4">
        <w:t xml:space="preserve">  </w:t>
      </w:r>
    </w:p>
    <w:p w14:paraId="781D1C14" w14:textId="77777777" w:rsidR="00D575D4" w:rsidRDefault="00D575D4" w:rsidP="00D575D4">
      <w:pPr>
        <w:pStyle w:val="Heading1"/>
        <w:numPr>
          <w:ilvl w:val="0"/>
          <w:numId w:val="0"/>
        </w:numPr>
      </w:pPr>
    </w:p>
    <w:p w14:paraId="389A7D2E" w14:textId="027037D9" w:rsidR="004E62B4" w:rsidRDefault="00B6197E" w:rsidP="00B6197E">
      <w:pPr>
        <w:pStyle w:val="Heading1"/>
        <w:numPr>
          <w:ilvl w:val="0"/>
          <w:numId w:val="0"/>
        </w:numPr>
      </w:pPr>
      <w:r>
        <w:t>[35]</w:t>
      </w:r>
      <w:r>
        <w:tab/>
      </w:r>
      <w:r w:rsidR="004E62B4">
        <w:t xml:space="preserve">Furthermore, in </w:t>
      </w:r>
      <w:r w:rsidR="00991C16" w:rsidRPr="002B5C37">
        <w:t xml:space="preserve">the </w:t>
      </w:r>
      <w:r w:rsidR="00991C16" w:rsidRPr="002B5C37">
        <w:rPr>
          <w:i/>
        </w:rPr>
        <w:t xml:space="preserve">B2Gold </w:t>
      </w:r>
      <w:r w:rsidR="00485ED1">
        <w:rPr>
          <w:iCs/>
        </w:rPr>
        <w:t>matter</w:t>
      </w:r>
      <w:r w:rsidR="00C84FD6" w:rsidRPr="002B5C37">
        <w:t>,</w:t>
      </w:r>
      <w:r w:rsidR="00073B8F" w:rsidRPr="002B5C37">
        <w:t xml:space="preserve"> </w:t>
      </w:r>
      <w:r w:rsidR="00757F43">
        <w:t xml:space="preserve">the employee </w:t>
      </w:r>
      <w:r w:rsidR="00073B8F" w:rsidRPr="002B5C37">
        <w:t xml:space="preserve">did not return to work after he was </w:t>
      </w:r>
      <w:r w:rsidR="00757F43">
        <w:t xml:space="preserve">warned in writing, that </w:t>
      </w:r>
      <w:r w:rsidR="00073B8F" w:rsidRPr="002B5C37">
        <w:t xml:space="preserve">if he </w:t>
      </w:r>
      <w:r w:rsidR="00757F43">
        <w:t xml:space="preserve">did </w:t>
      </w:r>
      <w:r w:rsidR="00073B8F" w:rsidRPr="002B5C37">
        <w:t xml:space="preserve">not return to </w:t>
      </w:r>
      <w:r w:rsidR="00A84D0B" w:rsidRPr="002B5C37">
        <w:t>work,</w:t>
      </w:r>
      <w:r w:rsidR="00073B8F" w:rsidRPr="002B5C37">
        <w:t xml:space="preserve"> he </w:t>
      </w:r>
      <w:r w:rsidR="00757F43">
        <w:t xml:space="preserve">would </w:t>
      </w:r>
      <w:r w:rsidR="00073B8F" w:rsidRPr="002B5C37">
        <w:t>be dismissed</w:t>
      </w:r>
      <w:r w:rsidR="00757F43">
        <w:t xml:space="preserve">. This </w:t>
      </w:r>
      <w:r w:rsidR="00073B8F" w:rsidRPr="002B5C37">
        <w:t xml:space="preserve">was a clear indication that </w:t>
      </w:r>
      <w:r w:rsidR="00757F43">
        <w:t xml:space="preserve">the employee had no intention of returning </w:t>
      </w:r>
      <w:r w:rsidR="00073B8F" w:rsidRPr="002B5C37">
        <w:t>to work</w:t>
      </w:r>
      <w:r w:rsidR="004E62B4">
        <w:t>. Th</w:t>
      </w:r>
      <w:r w:rsidR="00C41456" w:rsidRPr="002B5C37">
        <w:t xml:space="preserve">e </w:t>
      </w:r>
      <w:r w:rsidR="00A84D0B">
        <w:t xml:space="preserve">employee </w:t>
      </w:r>
      <w:r w:rsidR="00C41456" w:rsidRPr="002B5C37">
        <w:t>was</w:t>
      </w:r>
      <w:r w:rsidR="00037049" w:rsidRPr="002B5C37">
        <w:t xml:space="preserve"> charged with absenteeism </w:t>
      </w:r>
      <w:r w:rsidR="004E62B4">
        <w:t xml:space="preserve">and a disciplinary hearing was held. He </w:t>
      </w:r>
      <w:r w:rsidR="00A84D0B">
        <w:t xml:space="preserve">was </w:t>
      </w:r>
      <w:r w:rsidR="00C41456" w:rsidRPr="002B5C37">
        <w:t>found guilty of desertion</w:t>
      </w:r>
      <w:r w:rsidR="00A84D0B">
        <w:t xml:space="preserve"> and dismissed</w:t>
      </w:r>
      <w:r w:rsidR="00073B8F" w:rsidRPr="002B5C37">
        <w:t>.</w:t>
      </w:r>
    </w:p>
    <w:p w14:paraId="21762524" w14:textId="77777777" w:rsidR="004E62B4" w:rsidRPr="004E62B4" w:rsidRDefault="004E62B4" w:rsidP="004E62B4"/>
    <w:p w14:paraId="73AD24E2" w14:textId="128B3B57" w:rsidR="00A84D0B" w:rsidRDefault="00B6197E" w:rsidP="00B6197E">
      <w:pPr>
        <w:pStyle w:val="Heading1"/>
        <w:numPr>
          <w:ilvl w:val="0"/>
          <w:numId w:val="0"/>
        </w:numPr>
      </w:pPr>
      <w:r>
        <w:t>[36]</w:t>
      </w:r>
      <w:r>
        <w:tab/>
      </w:r>
      <w:r w:rsidR="0016603C" w:rsidRPr="002B5C37">
        <w:t xml:space="preserve"> </w:t>
      </w:r>
      <w:r w:rsidR="00CB18AD">
        <w:t xml:space="preserve"> In this matter, although Ms Goagoses did not return to work where she was expected to carry out her duties, there appeared to be an explanation, and to my mind, there was no intention not to return to work. In fact, Ms Goagoses</w:t>
      </w:r>
      <w:r w:rsidR="005611AE">
        <w:t xml:space="preserve">’ disappointment was evident from the response to Mrs Kruger.  It is not in dispute that Ms Goagoses was employed </w:t>
      </w:r>
      <w:r w:rsidR="004E62B4">
        <w:t>since</w:t>
      </w:r>
      <w:r w:rsidR="005611AE">
        <w:t xml:space="preserve"> 20</w:t>
      </w:r>
      <w:r w:rsidR="004E62B4">
        <w:t>0</w:t>
      </w:r>
      <w:r w:rsidR="005611AE">
        <w:t xml:space="preserve">6.  </w:t>
      </w:r>
    </w:p>
    <w:p w14:paraId="295E9372" w14:textId="77777777" w:rsidR="00086E54" w:rsidRDefault="00086E54" w:rsidP="00086E54"/>
    <w:p w14:paraId="5CFD1E0A" w14:textId="5D5149DB" w:rsidR="00086E54" w:rsidRDefault="00B6197E" w:rsidP="00B6197E">
      <w:pPr>
        <w:pStyle w:val="Heading1"/>
        <w:numPr>
          <w:ilvl w:val="0"/>
          <w:numId w:val="0"/>
        </w:numPr>
      </w:pPr>
      <w:r>
        <w:t>[37]</w:t>
      </w:r>
      <w:r>
        <w:tab/>
      </w:r>
      <w:r w:rsidR="00086E54">
        <w:t>There was also no disciplinary proceeding</w:t>
      </w:r>
      <w:r w:rsidR="004E62B4">
        <w:t xml:space="preserve"> or hearing for Ms Goagoses</w:t>
      </w:r>
      <w:r w:rsidR="00086E54">
        <w:t>.  In saying this</w:t>
      </w:r>
      <w:r w:rsidR="004E62B4">
        <w:t xml:space="preserve">, I bear in mind that </w:t>
      </w:r>
      <w:r w:rsidR="00086E54">
        <w:t xml:space="preserve">one would not expect a full disciplinary </w:t>
      </w:r>
      <w:r w:rsidR="00086E54">
        <w:lastRenderedPageBreak/>
        <w:t xml:space="preserve">procedure, as was undertaken in </w:t>
      </w:r>
      <w:r w:rsidR="00086E54">
        <w:rPr>
          <w:i/>
          <w:iCs/>
        </w:rPr>
        <w:t>B2Gold</w:t>
      </w:r>
      <w:r w:rsidR="00086E54">
        <w:t xml:space="preserve">. But some form of informal enquiry should have taken place, given Ms Goagoses’ position and length of tenure.  </w:t>
      </w:r>
    </w:p>
    <w:p w14:paraId="3F895A08" w14:textId="77777777" w:rsidR="002F696B" w:rsidRDefault="002F696B" w:rsidP="002F696B"/>
    <w:p w14:paraId="0715065C" w14:textId="467DA5E0" w:rsidR="00974B9C" w:rsidRPr="002B5C37" w:rsidRDefault="00B6197E" w:rsidP="00B6197E">
      <w:pPr>
        <w:pStyle w:val="Heading1"/>
        <w:numPr>
          <w:ilvl w:val="0"/>
          <w:numId w:val="0"/>
        </w:numPr>
      </w:pPr>
      <w:r w:rsidRPr="002B5C37">
        <w:t>[38]</w:t>
      </w:r>
      <w:r w:rsidRPr="002B5C37">
        <w:tab/>
      </w:r>
      <w:r w:rsidR="002F696B">
        <w:t xml:space="preserve">Mrs Kruger stated that she could not reach Ms Goagoses </w:t>
      </w:r>
      <w:r w:rsidR="00857D54" w:rsidRPr="002B5C37">
        <w:t>to enquire why she did not return to the farm</w:t>
      </w:r>
      <w:r w:rsidR="002F696B">
        <w:t>. On the record there is a clear trail of text communication between the parties. Mrs Kruger had opp</w:t>
      </w:r>
      <w:r w:rsidR="00523B99">
        <w:t>ortunity to inform Ms Goagoses that a disciplinary hearing would be held</w:t>
      </w:r>
      <w:r w:rsidR="004E62B4">
        <w:t>, and that she would be charged for misconduct</w:t>
      </w:r>
      <w:r w:rsidR="00523B99">
        <w:t>. Moreover, Mrs Kruger knew where Ms Goagoses</w:t>
      </w:r>
      <w:r w:rsidR="00523B99" w:rsidRPr="002B5C37">
        <w:t xml:space="preserve"> </w:t>
      </w:r>
      <w:r w:rsidR="00974B9C" w:rsidRPr="002B5C37">
        <w:t xml:space="preserve">resided and could have made an attempt to </w:t>
      </w:r>
      <w:r w:rsidR="004E62B4">
        <w:t>approach her at her home and commence with or arrange some form of disciplinary hearing</w:t>
      </w:r>
      <w:r w:rsidR="00567B5C">
        <w:t>.</w:t>
      </w:r>
      <w:r w:rsidR="00974B9C" w:rsidRPr="002B5C37">
        <w:t xml:space="preserve"> No such attempt was made. </w:t>
      </w:r>
    </w:p>
    <w:p w14:paraId="4CA1BE87" w14:textId="77777777" w:rsidR="00857D54" w:rsidRDefault="00857D54" w:rsidP="009D0925">
      <w:pPr>
        <w:pStyle w:val="ListParagraph"/>
        <w:ind w:left="0"/>
        <w:contextualSpacing w:val="0"/>
        <w:rPr>
          <w:rFonts w:cs="Arial"/>
        </w:rPr>
      </w:pPr>
    </w:p>
    <w:p w14:paraId="2685574B" w14:textId="03B80AA9" w:rsidR="00974B9C" w:rsidRPr="002B5C37" w:rsidRDefault="00B6197E" w:rsidP="00B6197E">
      <w:pPr>
        <w:pStyle w:val="Heading1"/>
        <w:numPr>
          <w:ilvl w:val="0"/>
          <w:numId w:val="0"/>
        </w:numPr>
      </w:pPr>
      <w:r w:rsidRPr="002B5C37">
        <w:t>[39]</w:t>
      </w:r>
      <w:r w:rsidRPr="002B5C37">
        <w:tab/>
      </w:r>
      <w:r w:rsidR="00354E9F">
        <w:t xml:space="preserve">Having considered the arbitrator’s ruling and award, Mrs Kruger </w:t>
      </w:r>
      <w:r w:rsidR="00157CF5" w:rsidRPr="002B5C37">
        <w:t xml:space="preserve">has not discharged the onus of proving </w:t>
      </w:r>
      <w:r w:rsidR="00007611" w:rsidRPr="002B5C37">
        <w:t xml:space="preserve">that </w:t>
      </w:r>
      <w:r w:rsidR="00737E38" w:rsidRPr="002B5C37">
        <w:t>there was no dismissal and</w:t>
      </w:r>
      <w:r w:rsidR="00354E9F">
        <w:t>/or</w:t>
      </w:r>
      <w:r w:rsidR="00737E38" w:rsidRPr="002B5C37">
        <w:t xml:space="preserve"> that there </w:t>
      </w:r>
      <w:r w:rsidR="00157CF5" w:rsidRPr="002B5C37">
        <w:t xml:space="preserve">was a valid or fair reason for dismissing </w:t>
      </w:r>
      <w:r w:rsidR="00354E9F">
        <w:t>Ms Goagoses</w:t>
      </w:r>
      <w:r w:rsidR="00157CF5" w:rsidRPr="002B5C37">
        <w:t xml:space="preserve">. </w:t>
      </w:r>
      <w:r w:rsidR="004B1A1D">
        <w:t xml:space="preserve">She may or may not have committed some form of misconduct, but </w:t>
      </w:r>
      <w:r w:rsidR="00567B5C">
        <w:t xml:space="preserve">on a balance of probability, </w:t>
      </w:r>
      <w:r w:rsidR="004B1A1D">
        <w:t>she did not abscond, and Mrs Kruger’s messages made it clear that she should not return to work, therefore Ms Goagoses</w:t>
      </w:r>
      <w:r w:rsidR="004B1A1D" w:rsidRPr="002B5C37">
        <w:t xml:space="preserve"> </w:t>
      </w:r>
      <w:r w:rsidR="004B1A1D">
        <w:t xml:space="preserve"> was effectively dismissed.  Her dismissal was accordingly both procedurally </w:t>
      </w:r>
      <w:r w:rsidR="00CF08B9">
        <w:t xml:space="preserve">and substantially unfair and the arbitrator’s conduct, ruling and award cannot be faulted. </w:t>
      </w:r>
      <w:r w:rsidR="0047733A" w:rsidRPr="00354E9F">
        <w:rPr>
          <w:rFonts w:eastAsia="Calibri"/>
        </w:rPr>
        <w:t>This matter does not warrant the interference</w:t>
      </w:r>
      <w:r w:rsidR="0047733A" w:rsidRPr="00354E9F">
        <w:rPr>
          <w:rFonts w:eastAsia="Calibri"/>
          <w:color w:val="FF0000"/>
        </w:rPr>
        <w:t xml:space="preserve"> </w:t>
      </w:r>
      <w:r w:rsidR="0047733A" w:rsidRPr="00354E9F">
        <w:rPr>
          <w:rFonts w:eastAsia="Calibri"/>
        </w:rPr>
        <w:t xml:space="preserve">of the Labour Court and the appellant’s appeal must fail.  </w:t>
      </w:r>
    </w:p>
    <w:p w14:paraId="6472A904" w14:textId="77777777" w:rsidR="0016603C" w:rsidRPr="002B5C37" w:rsidRDefault="0016603C" w:rsidP="009D0925">
      <w:pPr>
        <w:pStyle w:val="ListParagraph"/>
        <w:contextualSpacing w:val="0"/>
        <w:rPr>
          <w:rFonts w:cs="Arial"/>
        </w:rPr>
      </w:pPr>
    </w:p>
    <w:p w14:paraId="1DCAF751" w14:textId="19F9156F" w:rsidR="0016603C" w:rsidRPr="002B5C37" w:rsidRDefault="00B6197E" w:rsidP="00B6197E">
      <w:pPr>
        <w:pStyle w:val="Heading1"/>
        <w:numPr>
          <w:ilvl w:val="0"/>
          <w:numId w:val="0"/>
        </w:numPr>
      </w:pPr>
      <w:r w:rsidRPr="002B5C37">
        <w:t>[40]</w:t>
      </w:r>
      <w:r w:rsidRPr="002B5C37">
        <w:tab/>
      </w:r>
      <w:r w:rsidR="0016603C" w:rsidRPr="002B5C37">
        <w:t>In the result I make the following order</w:t>
      </w:r>
      <w:r w:rsidR="00CF08B9">
        <w:t>:</w:t>
      </w:r>
    </w:p>
    <w:p w14:paraId="0E7E9161" w14:textId="77777777" w:rsidR="0016603C" w:rsidRPr="002B5C37" w:rsidRDefault="0016603C" w:rsidP="009D0925">
      <w:pPr>
        <w:pStyle w:val="ListParagraph"/>
        <w:contextualSpacing w:val="0"/>
        <w:rPr>
          <w:rFonts w:cs="Arial"/>
        </w:rPr>
      </w:pPr>
    </w:p>
    <w:p w14:paraId="7EF15BB0" w14:textId="1B835FA6" w:rsidR="0016603C" w:rsidRPr="00B6197E" w:rsidRDefault="00B6197E" w:rsidP="00B6197E">
      <w:pPr>
        <w:ind w:left="720"/>
        <w:rPr>
          <w:rFonts w:eastAsia="Calibri" w:cs="Arial"/>
        </w:rPr>
      </w:pPr>
      <w:r w:rsidRPr="002B5C37">
        <w:rPr>
          <w:rFonts w:eastAsia="Calibri" w:cs="Arial"/>
        </w:rPr>
        <w:t>1.</w:t>
      </w:r>
      <w:r w:rsidRPr="002B5C37">
        <w:rPr>
          <w:rFonts w:eastAsia="Calibri" w:cs="Arial"/>
        </w:rPr>
        <w:tab/>
      </w:r>
      <w:r w:rsidR="00AC76B2" w:rsidRPr="00B6197E">
        <w:rPr>
          <w:rFonts w:eastAsia="Calibri" w:cs="Arial"/>
        </w:rPr>
        <w:t>The appeal</w:t>
      </w:r>
      <w:r w:rsidR="0016603C" w:rsidRPr="00B6197E">
        <w:rPr>
          <w:rFonts w:eastAsia="Calibri" w:cs="Arial"/>
        </w:rPr>
        <w:t xml:space="preserve"> is dismissed.</w:t>
      </w:r>
    </w:p>
    <w:p w14:paraId="0C5779B5" w14:textId="77777777" w:rsidR="00D77B8F" w:rsidRPr="002B5C37" w:rsidRDefault="00D77B8F" w:rsidP="00CF08B9">
      <w:pPr>
        <w:ind w:left="720"/>
        <w:rPr>
          <w:rFonts w:eastAsia="Calibri" w:cs="Arial"/>
        </w:rPr>
      </w:pPr>
    </w:p>
    <w:p w14:paraId="12E4D785" w14:textId="72F32E21" w:rsidR="0016603C" w:rsidRPr="00B6197E" w:rsidRDefault="00B6197E" w:rsidP="00B6197E">
      <w:pPr>
        <w:ind w:left="720"/>
        <w:rPr>
          <w:rFonts w:eastAsia="Calibri" w:cs="Arial"/>
        </w:rPr>
      </w:pPr>
      <w:r w:rsidRPr="002B5C37">
        <w:rPr>
          <w:rFonts w:eastAsia="Calibri" w:cs="Arial"/>
        </w:rPr>
        <w:t>2.</w:t>
      </w:r>
      <w:r w:rsidRPr="002B5C37">
        <w:rPr>
          <w:rFonts w:eastAsia="Calibri" w:cs="Arial"/>
        </w:rPr>
        <w:tab/>
      </w:r>
      <w:r w:rsidR="0016603C" w:rsidRPr="00B6197E">
        <w:rPr>
          <w:rFonts w:eastAsia="Calibri" w:cs="Arial"/>
        </w:rPr>
        <w:t>There shall be no order as to costs.</w:t>
      </w:r>
    </w:p>
    <w:p w14:paraId="702CB6B8" w14:textId="77777777" w:rsidR="00D77B8F" w:rsidRPr="002B5C37" w:rsidRDefault="00D77B8F" w:rsidP="00CF08B9">
      <w:pPr>
        <w:ind w:left="720"/>
        <w:rPr>
          <w:rFonts w:eastAsia="Calibri" w:cs="Arial"/>
        </w:rPr>
      </w:pPr>
    </w:p>
    <w:p w14:paraId="7E6AB3E4" w14:textId="1DD04FB1" w:rsidR="0016603C" w:rsidRPr="00B6197E" w:rsidRDefault="00B6197E" w:rsidP="00B6197E">
      <w:pPr>
        <w:ind w:left="720"/>
        <w:rPr>
          <w:rFonts w:eastAsia="Calibri" w:cs="Arial"/>
        </w:rPr>
      </w:pPr>
      <w:r w:rsidRPr="002B5C37">
        <w:rPr>
          <w:rFonts w:eastAsia="Calibri" w:cs="Arial"/>
        </w:rPr>
        <w:t>3.</w:t>
      </w:r>
      <w:r w:rsidRPr="002B5C37">
        <w:rPr>
          <w:rFonts w:eastAsia="Calibri" w:cs="Arial"/>
        </w:rPr>
        <w:tab/>
      </w:r>
      <w:r w:rsidR="0016603C" w:rsidRPr="00B6197E">
        <w:rPr>
          <w:rFonts w:eastAsia="Calibri" w:cs="Arial"/>
        </w:rPr>
        <w:t>The matter is finalised and removed from the roll.</w:t>
      </w:r>
    </w:p>
    <w:p w14:paraId="5E842631" w14:textId="77777777" w:rsidR="0016603C" w:rsidRPr="002B5C37" w:rsidRDefault="0016603C" w:rsidP="009D0925">
      <w:pPr>
        <w:ind w:left="360"/>
        <w:rPr>
          <w:rFonts w:cs="Arial"/>
        </w:rPr>
      </w:pPr>
    </w:p>
    <w:p w14:paraId="0EBA0317" w14:textId="77777777" w:rsidR="00865588" w:rsidRPr="002B5C37" w:rsidRDefault="00865588" w:rsidP="009D0925">
      <w:pPr>
        <w:pStyle w:val="ListParagraph"/>
        <w:ind w:left="0"/>
        <w:contextualSpacing w:val="0"/>
        <w:rPr>
          <w:rFonts w:cs="Arial"/>
        </w:rPr>
      </w:pPr>
    </w:p>
    <w:p w14:paraId="1115424E" w14:textId="77777777" w:rsidR="0016603C" w:rsidRPr="002B5C37" w:rsidRDefault="0016603C" w:rsidP="00CF08B9">
      <w:pPr>
        <w:ind w:left="5040"/>
        <w:rPr>
          <w:rFonts w:cs="Arial"/>
        </w:rPr>
      </w:pPr>
      <w:r w:rsidRPr="002B5C37">
        <w:rPr>
          <w:rFonts w:cs="Arial"/>
        </w:rPr>
        <w:t>___________</w:t>
      </w:r>
      <w:r w:rsidR="000666D2" w:rsidRPr="002B5C37">
        <w:rPr>
          <w:rFonts w:cs="Arial"/>
        </w:rPr>
        <w:t>__</w:t>
      </w:r>
      <w:r w:rsidRPr="002B5C37">
        <w:rPr>
          <w:rFonts w:cs="Arial"/>
        </w:rPr>
        <w:t>__</w:t>
      </w:r>
      <w:r w:rsidR="0069439E" w:rsidRPr="002B5C37">
        <w:rPr>
          <w:rFonts w:cs="Arial"/>
        </w:rPr>
        <w:t>__</w:t>
      </w:r>
      <w:r w:rsidRPr="002B5C37">
        <w:rPr>
          <w:rFonts w:cs="Arial"/>
        </w:rPr>
        <w:t>__</w:t>
      </w:r>
    </w:p>
    <w:p w14:paraId="779D5F9B" w14:textId="4ED736A2" w:rsidR="0016603C" w:rsidRDefault="000666D2" w:rsidP="00CF08B9">
      <w:pPr>
        <w:ind w:left="5040"/>
        <w:rPr>
          <w:rFonts w:cs="Arial"/>
        </w:rPr>
      </w:pPr>
      <w:r w:rsidRPr="002B5C37">
        <w:rPr>
          <w:rFonts w:cs="Arial"/>
        </w:rPr>
        <w:t>E</w:t>
      </w:r>
      <w:r w:rsidR="0069439E" w:rsidRPr="002B5C37">
        <w:rPr>
          <w:rFonts w:cs="Arial"/>
        </w:rPr>
        <w:t>M</w:t>
      </w:r>
      <w:r w:rsidRPr="002B5C37">
        <w:rPr>
          <w:rFonts w:cs="Arial"/>
        </w:rPr>
        <w:t xml:space="preserve"> </w:t>
      </w:r>
      <w:r w:rsidR="0016603C" w:rsidRPr="002B5C37">
        <w:rPr>
          <w:rFonts w:cs="Arial"/>
        </w:rPr>
        <w:t>S</w:t>
      </w:r>
      <w:r w:rsidR="00E405A1">
        <w:rPr>
          <w:rFonts w:cs="Arial"/>
        </w:rPr>
        <w:t>CHIMMING-CHASE</w:t>
      </w:r>
      <w:r w:rsidR="0016603C" w:rsidRPr="002B5C37">
        <w:rPr>
          <w:rFonts w:cs="Arial"/>
        </w:rPr>
        <w:t xml:space="preserve"> </w:t>
      </w:r>
    </w:p>
    <w:p w14:paraId="2E4BE480" w14:textId="126325E2" w:rsidR="00CF08B9" w:rsidRPr="002B5C37" w:rsidRDefault="00CF08B9" w:rsidP="00CF08B9">
      <w:pPr>
        <w:ind w:left="5040"/>
        <w:rPr>
          <w:rFonts w:cs="Arial"/>
        </w:rPr>
      </w:pPr>
      <w:r>
        <w:rPr>
          <w:rFonts w:cs="Arial"/>
        </w:rPr>
        <w:lastRenderedPageBreak/>
        <w:t>Judge</w:t>
      </w:r>
    </w:p>
    <w:p w14:paraId="6B69C321" w14:textId="77777777" w:rsidR="0016603C" w:rsidRPr="002B5C37" w:rsidRDefault="0016603C" w:rsidP="009D0925">
      <w:pPr>
        <w:jc w:val="right"/>
        <w:rPr>
          <w:rFonts w:cs="Arial"/>
        </w:rPr>
      </w:pPr>
    </w:p>
    <w:p w14:paraId="536FB2B6" w14:textId="77777777" w:rsidR="0016603C" w:rsidRPr="002B5C37" w:rsidRDefault="0016603C" w:rsidP="009D0925">
      <w:pPr>
        <w:rPr>
          <w:rFonts w:cs="Arial"/>
        </w:rPr>
      </w:pPr>
    </w:p>
    <w:p w14:paraId="170BB8ED" w14:textId="77777777" w:rsidR="00CF08B9" w:rsidRDefault="00CF08B9">
      <w:pPr>
        <w:spacing w:after="160" w:line="259" w:lineRule="auto"/>
        <w:jc w:val="left"/>
        <w:rPr>
          <w:rFonts w:cs="Arial"/>
        </w:rPr>
      </w:pPr>
      <w:r>
        <w:rPr>
          <w:rFonts w:cs="Arial"/>
        </w:rPr>
        <w:br w:type="page"/>
      </w:r>
    </w:p>
    <w:p w14:paraId="7F27D557" w14:textId="12F33382" w:rsidR="0016603C" w:rsidRPr="002B5C37" w:rsidRDefault="0016603C" w:rsidP="009D0925">
      <w:pPr>
        <w:rPr>
          <w:rFonts w:cs="Arial"/>
        </w:rPr>
      </w:pPr>
      <w:r w:rsidRPr="002B5C37">
        <w:rPr>
          <w:rFonts w:cs="Arial"/>
        </w:rPr>
        <w:lastRenderedPageBreak/>
        <w:t>APPEARANCES</w:t>
      </w:r>
    </w:p>
    <w:p w14:paraId="36307A05" w14:textId="77777777" w:rsidR="0016603C" w:rsidRPr="002B5C37" w:rsidRDefault="0016603C" w:rsidP="009D0925">
      <w:pPr>
        <w:rPr>
          <w:rFonts w:cs="Arial"/>
        </w:rPr>
      </w:pPr>
    </w:p>
    <w:p w14:paraId="7CC5DEC4" w14:textId="1DE3EC0E" w:rsidR="009424A9" w:rsidRPr="002B5C37" w:rsidRDefault="0016603C" w:rsidP="009D0925">
      <w:pPr>
        <w:rPr>
          <w:rFonts w:cs="Arial"/>
        </w:rPr>
      </w:pPr>
      <w:r w:rsidRPr="002B5C37">
        <w:rPr>
          <w:rFonts w:cs="Arial"/>
        </w:rPr>
        <w:t xml:space="preserve">APPELLANT: </w:t>
      </w:r>
      <w:r w:rsidR="009424A9" w:rsidRPr="002B5C37">
        <w:rPr>
          <w:rFonts w:cs="Arial"/>
        </w:rPr>
        <w:tab/>
      </w:r>
      <w:r w:rsidR="009424A9" w:rsidRPr="002B5C37">
        <w:rPr>
          <w:rFonts w:cs="Arial"/>
        </w:rPr>
        <w:tab/>
        <w:t xml:space="preserve">G </w:t>
      </w:r>
      <w:r w:rsidR="00567B5C">
        <w:rPr>
          <w:rFonts w:cs="Arial"/>
        </w:rPr>
        <w:t>v</w:t>
      </w:r>
      <w:r w:rsidRPr="002B5C37">
        <w:rPr>
          <w:rFonts w:cs="Arial"/>
        </w:rPr>
        <w:t xml:space="preserve">an den </w:t>
      </w:r>
      <w:r w:rsidR="00567B5C">
        <w:rPr>
          <w:rFonts w:cs="Arial"/>
        </w:rPr>
        <w:t>Heever</w:t>
      </w:r>
    </w:p>
    <w:p w14:paraId="4DFFF3F2" w14:textId="4036BC3A" w:rsidR="0016603C" w:rsidRPr="002B5C37" w:rsidRDefault="009424A9" w:rsidP="009D0925">
      <w:pPr>
        <w:ind w:left="2160" w:firstLine="720"/>
        <w:rPr>
          <w:rFonts w:cs="Arial"/>
        </w:rPr>
      </w:pPr>
      <w:r w:rsidRPr="002B5C37">
        <w:rPr>
          <w:rFonts w:cs="Arial"/>
        </w:rPr>
        <w:t xml:space="preserve">Lentin, Botma &amp; Van den Heever, </w:t>
      </w:r>
      <w:r w:rsidRPr="002B5C37">
        <w:rPr>
          <w:rFonts w:cs="Arial"/>
        </w:rPr>
        <w:tab/>
      </w:r>
      <w:r w:rsidRPr="002B5C37">
        <w:rPr>
          <w:rFonts w:cs="Arial"/>
        </w:rPr>
        <w:tab/>
      </w:r>
      <w:r w:rsidRPr="002B5C37">
        <w:rPr>
          <w:rFonts w:cs="Arial"/>
        </w:rPr>
        <w:tab/>
      </w:r>
      <w:r w:rsidR="00CF08B9">
        <w:rPr>
          <w:rFonts w:cs="Arial"/>
        </w:rPr>
        <w:t>c</w:t>
      </w:r>
      <w:r w:rsidRPr="002B5C37">
        <w:rPr>
          <w:rFonts w:cs="Arial"/>
        </w:rPr>
        <w:t>/</w:t>
      </w:r>
      <w:r w:rsidR="00CF08B9">
        <w:rPr>
          <w:rFonts w:cs="Arial"/>
        </w:rPr>
        <w:t>o</w:t>
      </w:r>
      <w:r w:rsidRPr="002B5C37">
        <w:rPr>
          <w:rFonts w:cs="Arial"/>
        </w:rPr>
        <w:t xml:space="preserve"> Delport Legal Practitioners, Windhoek</w:t>
      </w:r>
    </w:p>
    <w:p w14:paraId="6F3E76BC" w14:textId="77777777" w:rsidR="009424A9" w:rsidRPr="002B5C37" w:rsidRDefault="009424A9" w:rsidP="009D0925">
      <w:pPr>
        <w:ind w:left="2160" w:firstLine="720"/>
        <w:rPr>
          <w:rFonts w:cs="Arial"/>
        </w:rPr>
      </w:pPr>
    </w:p>
    <w:p w14:paraId="4A5DF2BF" w14:textId="77777777" w:rsidR="0016603C" w:rsidRPr="002B5C37" w:rsidRDefault="0016603C" w:rsidP="009D0925">
      <w:pPr>
        <w:rPr>
          <w:rFonts w:cs="Arial"/>
        </w:rPr>
      </w:pPr>
      <w:r w:rsidRPr="002B5C37">
        <w:rPr>
          <w:rFonts w:cs="Arial"/>
        </w:rPr>
        <w:t>RESPONDENT:</w:t>
      </w:r>
      <w:r w:rsidR="009424A9" w:rsidRPr="002B5C37">
        <w:rPr>
          <w:rFonts w:cs="Arial"/>
        </w:rPr>
        <w:tab/>
      </w:r>
      <w:r w:rsidR="009424A9" w:rsidRPr="002B5C37">
        <w:rPr>
          <w:rFonts w:cs="Arial"/>
        </w:rPr>
        <w:tab/>
        <w:t>M Ikanga</w:t>
      </w:r>
    </w:p>
    <w:p w14:paraId="11366B52" w14:textId="0EDFD603" w:rsidR="009424A9" w:rsidRPr="002B5C37" w:rsidRDefault="009424A9" w:rsidP="009D0925">
      <w:pPr>
        <w:rPr>
          <w:rFonts w:cs="Arial"/>
        </w:rPr>
      </w:pPr>
      <w:r w:rsidRPr="002B5C37">
        <w:rPr>
          <w:rFonts w:cs="Arial"/>
        </w:rPr>
        <w:tab/>
      </w:r>
      <w:r w:rsidRPr="002B5C37">
        <w:rPr>
          <w:rFonts w:cs="Arial"/>
        </w:rPr>
        <w:tab/>
      </w:r>
      <w:r w:rsidRPr="002B5C37">
        <w:rPr>
          <w:rFonts w:cs="Arial"/>
        </w:rPr>
        <w:tab/>
      </w:r>
      <w:r w:rsidRPr="002B5C37">
        <w:rPr>
          <w:rFonts w:cs="Arial"/>
        </w:rPr>
        <w:tab/>
      </w:r>
      <w:r w:rsidR="00AF4C0B" w:rsidRPr="002B5C37">
        <w:rPr>
          <w:rFonts w:cs="Arial"/>
        </w:rPr>
        <w:t>M</w:t>
      </w:r>
      <w:r w:rsidRPr="002B5C37">
        <w:rPr>
          <w:rFonts w:cs="Arial"/>
        </w:rPr>
        <w:t xml:space="preserve"> Ikanga &amp; Associates Incorporated, Windhoek</w:t>
      </w:r>
    </w:p>
    <w:sectPr w:rsidR="009424A9" w:rsidRPr="002B5C37" w:rsidSect="0091015D">
      <w:headerReference w:type="default" r:id="rId12"/>
      <w:pgSz w:w="11907" w:h="16839" w:code="9"/>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27273" w14:textId="77777777" w:rsidR="005734FA" w:rsidRPr="002B5C37" w:rsidRDefault="005734FA" w:rsidP="00633F48">
      <w:pPr>
        <w:spacing w:line="240" w:lineRule="auto"/>
      </w:pPr>
      <w:r w:rsidRPr="002B5C37">
        <w:separator/>
      </w:r>
    </w:p>
  </w:endnote>
  <w:endnote w:type="continuationSeparator" w:id="0">
    <w:p w14:paraId="6A82651A" w14:textId="77777777" w:rsidR="005734FA" w:rsidRPr="002B5C37" w:rsidRDefault="005734FA" w:rsidP="00633F48">
      <w:pPr>
        <w:spacing w:line="240" w:lineRule="auto"/>
      </w:pPr>
      <w:r w:rsidRPr="002B5C3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5970" w14:textId="77777777" w:rsidR="005734FA" w:rsidRPr="002B5C37" w:rsidRDefault="005734FA" w:rsidP="00633F48">
      <w:pPr>
        <w:spacing w:line="240" w:lineRule="auto"/>
      </w:pPr>
      <w:r w:rsidRPr="002B5C37">
        <w:separator/>
      </w:r>
    </w:p>
  </w:footnote>
  <w:footnote w:type="continuationSeparator" w:id="0">
    <w:p w14:paraId="29067F11" w14:textId="77777777" w:rsidR="005734FA" w:rsidRPr="002B5C37" w:rsidRDefault="005734FA" w:rsidP="00633F48">
      <w:pPr>
        <w:spacing w:line="240" w:lineRule="auto"/>
      </w:pPr>
      <w:r w:rsidRPr="002B5C37">
        <w:continuationSeparator/>
      </w:r>
    </w:p>
  </w:footnote>
  <w:footnote w:id="1">
    <w:p w14:paraId="1368D701" w14:textId="0B4EDAA6" w:rsidR="00C03BD9" w:rsidRPr="00294B88" w:rsidRDefault="00C03BD9" w:rsidP="00501122">
      <w:pPr>
        <w:pStyle w:val="FootnoteText"/>
        <w:rPr>
          <w:rFonts w:cs="Arial"/>
        </w:rPr>
      </w:pPr>
      <w:r w:rsidRPr="00294B88">
        <w:rPr>
          <w:rStyle w:val="FootnoteReference"/>
          <w:rFonts w:cs="Arial"/>
        </w:rPr>
        <w:footnoteRef/>
      </w:r>
      <w:r w:rsidRPr="00294B88">
        <w:rPr>
          <w:rFonts w:cs="Arial"/>
        </w:rPr>
        <w:t xml:space="preserve"> </w:t>
      </w:r>
      <w:r w:rsidR="0034250F">
        <w:rPr>
          <w:rFonts w:cs="Arial"/>
        </w:rPr>
        <w:t>Loosely translated – ‘</w:t>
      </w:r>
      <w:r w:rsidR="00F2782D" w:rsidRPr="00294B88">
        <w:rPr>
          <w:rFonts w:cs="Arial"/>
        </w:rPr>
        <w:t>You don't need to give me any more answers.  I had enough of lie</w:t>
      </w:r>
      <w:r w:rsidR="00DC7EFA">
        <w:rPr>
          <w:rFonts w:cs="Arial"/>
        </w:rPr>
        <w:t>s</w:t>
      </w:r>
      <w:r w:rsidR="0034250F">
        <w:rPr>
          <w:rFonts w:cs="Arial"/>
        </w:rPr>
        <w:t>, for example</w:t>
      </w:r>
      <w:r w:rsidR="00F2782D" w:rsidRPr="00294B88">
        <w:rPr>
          <w:rFonts w:cs="Arial"/>
        </w:rPr>
        <w:t xml:space="preserve"> a phone that was on “silent".  I didn't even call you.  You </w:t>
      </w:r>
      <w:r w:rsidR="0034250F">
        <w:rPr>
          <w:rFonts w:cs="Arial"/>
        </w:rPr>
        <w:t xml:space="preserve">did not apply for leave. </w:t>
      </w:r>
      <w:r w:rsidR="00F2782D" w:rsidRPr="00294B88">
        <w:rPr>
          <w:rFonts w:cs="Arial"/>
        </w:rPr>
        <w:t xml:space="preserve">You have not taken </w:t>
      </w:r>
      <w:r w:rsidR="00D04DB6" w:rsidRPr="00294B88">
        <w:rPr>
          <w:rFonts w:cs="Arial"/>
        </w:rPr>
        <w:t xml:space="preserve">compassionate </w:t>
      </w:r>
      <w:r w:rsidR="00F2782D" w:rsidRPr="00294B88">
        <w:rPr>
          <w:rFonts w:cs="Arial"/>
        </w:rPr>
        <w:t xml:space="preserve">leave.  You have not resigned.  You </w:t>
      </w:r>
      <w:r w:rsidR="0034250F">
        <w:rPr>
          <w:rFonts w:cs="Arial"/>
        </w:rPr>
        <w:t>absconded.</w:t>
      </w:r>
      <w:r w:rsidR="00F2782D" w:rsidRPr="00294B88">
        <w:rPr>
          <w:rFonts w:cs="Arial"/>
        </w:rPr>
        <w:t xml:space="preserve">  I </w:t>
      </w:r>
      <w:r w:rsidR="0034250F">
        <w:rPr>
          <w:rFonts w:cs="Arial"/>
        </w:rPr>
        <w:t xml:space="preserve">paid your water bill. </w:t>
      </w:r>
      <w:r w:rsidR="00F2782D" w:rsidRPr="00294B88">
        <w:rPr>
          <w:rFonts w:cs="Arial"/>
        </w:rPr>
        <w:t xml:space="preserve">  You don't owe me anything and if you think I owe you, you can put it in writing.  Drop off the key at Annamarie at </w:t>
      </w:r>
      <w:r w:rsidR="00294B88" w:rsidRPr="00294B88">
        <w:rPr>
          <w:rFonts w:cs="Arial"/>
        </w:rPr>
        <w:t xml:space="preserve">Kaap </w:t>
      </w:r>
      <w:r w:rsidR="00F2782D" w:rsidRPr="00294B88">
        <w:rPr>
          <w:rFonts w:cs="Arial"/>
        </w:rPr>
        <w:t xml:space="preserve">Agri.  I'll pack your stuff when I go back in.  Thank you for everything and for being willing to stay on the farm.  You chose to lie to me that you would come back with </w:t>
      </w:r>
      <w:r w:rsidR="0034250F">
        <w:rPr>
          <w:rFonts w:cs="Arial"/>
        </w:rPr>
        <w:t>Loammie</w:t>
      </w:r>
      <w:r w:rsidR="00F2782D" w:rsidRPr="00294B88">
        <w:rPr>
          <w:rFonts w:cs="Arial"/>
        </w:rPr>
        <w:t>.</w:t>
      </w:r>
    </w:p>
  </w:footnote>
  <w:footnote w:id="2">
    <w:p w14:paraId="4195EEBC" w14:textId="6C46F9C4" w:rsidR="00501122" w:rsidRPr="00294B88" w:rsidRDefault="00501122">
      <w:pPr>
        <w:pStyle w:val="FootnoteText"/>
        <w:rPr>
          <w:rFonts w:cs="Arial"/>
        </w:rPr>
      </w:pPr>
      <w:r w:rsidRPr="00294B88">
        <w:rPr>
          <w:rStyle w:val="FootnoteReference"/>
          <w:rFonts w:cs="Arial"/>
        </w:rPr>
        <w:footnoteRef/>
      </w:r>
      <w:r w:rsidRPr="00294B88">
        <w:rPr>
          <w:rFonts w:cs="Arial"/>
        </w:rPr>
        <w:t xml:space="preserve"> </w:t>
      </w:r>
      <w:r w:rsidR="0034250F">
        <w:rPr>
          <w:rFonts w:cs="Arial"/>
        </w:rPr>
        <w:t>Loosely translated – ‘</w:t>
      </w:r>
      <w:r w:rsidR="00DC7EFA">
        <w:rPr>
          <w:rFonts w:cs="Arial"/>
        </w:rPr>
        <w:t>I</w:t>
      </w:r>
      <w:r w:rsidR="00294B88" w:rsidRPr="00294B88">
        <w:rPr>
          <w:rFonts w:cs="Arial"/>
        </w:rPr>
        <w:t>t</w:t>
      </w:r>
      <w:r w:rsidR="00DC7EFA">
        <w:rPr>
          <w:rFonts w:cs="Arial"/>
        </w:rPr>
        <w:t>’s fine</w:t>
      </w:r>
      <w:r w:rsidR="00294B88" w:rsidRPr="00294B88">
        <w:rPr>
          <w:rFonts w:cs="Arial"/>
        </w:rPr>
        <w:t>, ... now I'm the worst person after all these years</w:t>
      </w:r>
      <w:r w:rsidR="0034250F">
        <w:rPr>
          <w:rFonts w:cs="Arial"/>
        </w:rPr>
        <w:t xml:space="preserve"> of hard work.</w:t>
      </w:r>
    </w:p>
  </w:footnote>
  <w:footnote w:id="3">
    <w:p w14:paraId="58527482" w14:textId="7F269DBF" w:rsidR="00485ED1" w:rsidRPr="00485ED1" w:rsidRDefault="00485ED1">
      <w:pPr>
        <w:pStyle w:val="FootnoteText"/>
      </w:pPr>
      <w:r>
        <w:rPr>
          <w:rStyle w:val="FootnoteReference"/>
        </w:rPr>
        <w:footnoteRef/>
      </w:r>
      <w:r>
        <w:t xml:space="preserve"> </w:t>
      </w:r>
      <w:r>
        <w:rPr>
          <w:i/>
          <w:iCs/>
        </w:rPr>
        <w:t xml:space="preserve">Collins Parker, Labour Law in Namibia </w:t>
      </w:r>
      <w:r>
        <w:t>UNAM Press 2012.</w:t>
      </w:r>
    </w:p>
  </w:footnote>
  <w:footnote w:id="4">
    <w:p w14:paraId="0C21386A" w14:textId="77777777" w:rsidR="00BC0624" w:rsidRPr="00294B88" w:rsidRDefault="00BC0624" w:rsidP="00BF138D">
      <w:pPr>
        <w:pStyle w:val="FootnoteText"/>
        <w:rPr>
          <w:rFonts w:cs="Arial"/>
        </w:rPr>
      </w:pPr>
      <w:r w:rsidRPr="00294B88">
        <w:rPr>
          <w:rStyle w:val="FootnoteReference"/>
          <w:rFonts w:cs="Arial"/>
        </w:rPr>
        <w:footnoteRef/>
      </w:r>
      <w:r w:rsidRPr="00294B88">
        <w:rPr>
          <w:rFonts w:cs="Arial"/>
        </w:rPr>
        <w:t xml:space="preserve"> </w:t>
      </w:r>
      <w:r w:rsidR="002B1C46" w:rsidRPr="00294B88">
        <w:rPr>
          <w:rFonts w:cs="Arial"/>
        </w:rPr>
        <w:t>Ibid.</w:t>
      </w:r>
    </w:p>
  </w:footnote>
  <w:footnote w:id="5">
    <w:p w14:paraId="717DEAFC" w14:textId="77777777" w:rsidR="00BC0624" w:rsidRPr="00294B88" w:rsidRDefault="00BC0624">
      <w:pPr>
        <w:pStyle w:val="FootnoteText"/>
        <w:rPr>
          <w:rFonts w:cs="Arial"/>
        </w:rPr>
      </w:pPr>
      <w:r w:rsidRPr="00294B88">
        <w:rPr>
          <w:rStyle w:val="FootnoteReference"/>
          <w:rFonts w:cs="Arial"/>
        </w:rPr>
        <w:footnoteRef/>
      </w:r>
      <w:r w:rsidRPr="00294B88">
        <w:rPr>
          <w:rFonts w:cs="Arial"/>
        </w:rPr>
        <w:t xml:space="preserve"> Ibid.</w:t>
      </w:r>
    </w:p>
  </w:footnote>
  <w:footnote w:id="6">
    <w:p w14:paraId="06ACB365" w14:textId="77777777" w:rsidR="009E4C21" w:rsidRPr="00294B88" w:rsidRDefault="009E4C21" w:rsidP="009E4C21">
      <w:pPr>
        <w:pStyle w:val="FootnoteText"/>
        <w:rPr>
          <w:rFonts w:cs="Arial"/>
        </w:rPr>
      </w:pPr>
      <w:r w:rsidRPr="00294B88">
        <w:rPr>
          <w:rStyle w:val="FootnoteReference"/>
          <w:rFonts w:cs="Arial"/>
        </w:rPr>
        <w:footnoteRef/>
      </w:r>
      <w:r w:rsidRPr="00294B88">
        <w:rPr>
          <w:rFonts w:cs="Arial"/>
        </w:rPr>
        <w:t xml:space="preserve"> </w:t>
      </w:r>
      <w:r w:rsidRPr="00294B88">
        <w:rPr>
          <w:rFonts w:cs="Arial"/>
          <w:i/>
        </w:rPr>
        <w:t>Tow in Specialist CC v Urinavi</w:t>
      </w:r>
      <w:r w:rsidRPr="00294B88">
        <w:rPr>
          <w:rFonts w:cs="Arial"/>
        </w:rPr>
        <w:t xml:space="preserve"> (LCA 55-2014) [2016] NALCMD 3 (20 January 2016)</w:t>
      </w:r>
      <w:r w:rsidR="001559F8" w:rsidRPr="00294B88">
        <w:rPr>
          <w:rFonts w:cs="Arial"/>
        </w:rPr>
        <w:t>.</w:t>
      </w:r>
    </w:p>
  </w:footnote>
  <w:footnote w:id="7">
    <w:p w14:paraId="2A6AE842" w14:textId="456A0411" w:rsidR="009E4C21" w:rsidRPr="00294B88" w:rsidRDefault="009E4C21" w:rsidP="009E4C21">
      <w:pPr>
        <w:pStyle w:val="FootnoteText"/>
        <w:rPr>
          <w:rFonts w:cs="Arial"/>
        </w:rPr>
      </w:pPr>
      <w:r w:rsidRPr="00294B88">
        <w:rPr>
          <w:rStyle w:val="FootnoteReference"/>
          <w:rFonts w:cs="Arial"/>
        </w:rPr>
        <w:footnoteRef/>
      </w:r>
      <w:r w:rsidRPr="00294B88">
        <w:rPr>
          <w:rFonts w:cs="Arial"/>
        </w:rPr>
        <w:t xml:space="preserve"> John Grogan </w:t>
      </w:r>
      <w:r w:rsidRPr="00380EEB">
        <w:rPr>
          <w:rFonts w:cs="Arial"/>
          <w:i/>
          <w:iCs/>
        </w:rPr>
        <w:t>Dismissal, Discrimination &amp; Unfair Labour Practices</w:t>
      </w:r>
      <w:r w:rsidRPr="00294B88">
        <w:rPr>
          <w:rFonts w:cs="Arial"/>
        </w:rPr>
        <w:t xml:space="preserve"> 2</w:t>
      </w:r>
      <w:r w:rsidRPr="00380EEB">
        <w:rPr>
          <w:rFonts w:cs="Arial"/>
          <w:vertAlign w:val="superscript"/>
        </w:rPr>
        <w:t>nd</w:t>
      </w:r>
      <w:r w:rsidR="00380EEB">
        <w:rPr>
          <w:rFonts w:cs="Arial"/>
        </w:rPr>
        <w:t xml:space="preserve"> </w:t>
      </w:r>
      <w:r w:rsidRPr="00294B88">
        <w:rPr>
          <w:rFonts w:cs="Arial"/>
        </w:rPr>
        <w:t xml:space="preserve"> Ed, 2007 Juta at 180.</w:t>
      </w:r>
    </w:p>
  </w:footnote>
  <w:footnote w:id="8">
    <w:p w14:paraId="625CF927" w14:textId="77777777" w:rsidR="009E4C21" w:rsidRPr="00294B88" w:rsidRDefault="009E4C21" w:rsidP="009E4C21">
      <w:pPr>
        <w:pStyle w:val="FootnoteText"/>
        <w:rPr>
          <w:rFonts w:cs="Arial"/>
        </w:rPr>
      </w:pPr>
      <w:r w:rsidRPr="00294B88">
        <w:rPr>
          <w:rStyle w:val="FootnoteReference"/>
          <w:rFonts w:cs="Arial"/>
        </w:rPr>
        <w:footnoteRef/>
      </w:r>
      <w:r w:rsidRPr="00294B88">
        <w:rPr>
          <w:rFonts w:cs="Arial"/>
        </w:rPr>
        <w:t xml:space="preserve"> </w:t>
      </w:r>
      <w:r w:rsidRPr="00294B88">
        <w:rPr>
          <w:rFonts w:cs="Arial"/>
          <w:i/>
        </w:rPr>
        <w:t>Meintjies v Joe Gross t/a Joe's Beerhouse</w:t>
      </w:r>
      <w:r w:rsidRPr="00294B88">
        <w:rPr>
          <w:rFonts w:cs="Arial"/>
        </w:rPr>
        <w:t xml:space="preserve"> 2003 NR 221 (LC) (NLLP 2004 (4) 227 NLC).</w:t>
      </w:r>
    </w:p>
  </w:footnote>
  <w:footnote w:id="9">
    <w:p w14:paraId="23CF2A75" w14:textId="77777777" w:rsidR="009E4C21" w:rsidRPr="00294B88" w:rsidRDefault="009E4C21" w:rsidP="009E4C21">
      <w:pPr>
        <w:pStyle w:val="FootnoteText"/>
        <w:rPr>
          <w:rFonts w:cs="Arial"/>
        </w:rPr>
      </w:pPr>
      <w:r w:rsidRPr="00294B88">
        <w:rPr>
          <w:rStyle w:val="FootnoteReference"/>
          <w:rFonts w:cs="Arial"/>
        </w:rPr>
        <w:footnoteRef/>
      </w:r>
      <w:r w:rsidRPr="00294B88">
        <w:rPr>
          <w:rFonts w:cs="Arial"/>
        </w:rPr>
        <w:t xml:space="preserve"> </w:t>
      </w:r>
      <w:r w:rsidRPr="00294B88">
        <w:rPr>
          <w:rFonts w:cs="Arial"/>
          <w:i/>
        </w:rPr>
        <w:t>Benz Building Suppliers v Stephanus and Others</w:t>
      </w:r>
      <w:r w:rsidRPr="00294B88">
        <w:rPr>
          <w:rFonts w:cs="Arial"/>
        </w:rPr>
        <w:t xml:space="preserve"> 2014 (1) NR 283 (LC)</w:t>
      </w:r>
      <w:r w:rsidR="001559F8" w:rsidRPr="00294B88">
        <w:rPr>
          <w:rFonts w:cs="Arial"/>
        </w:rPr>
        <w:t>.</w:t>
      </w:r>
    </w:p>
  </w:footnote>
  <w:footnote w:id="10">
    <w:p w14:paraId="5D9C8373" w14:textId="77777777" w:rsidR="00BC0624" w:rsidRPr="00294B88" w:rsidRDefault="00BC0624">
      <w:pPr>
        <w:pStyle w:val="FootnoteText"/>
        <w:rPr>
          <w:rFonts w:cs="Arial"/>
        </w:rPr>
      </w:pPr>
      <w:r w:rsidRPr="00294B88">
        <w:rPr>
          <w:rStyle w:val="FootnoteReference"/>
          <w:rFonts w:cs="Arial"/>
        </w:rPr>
        <w:footnoteRef/>
      </w:r>
      <w:r w:rsidRPr="00294B88">
        <w:rPr>
          <w:rFonts w:cs="Arial"/>
        </w:rPr>
        <w:t xml:space="preserve"> </w:t>
      </w:r>
      <w:r w:rsidRPr="00294B88">
        <w:rPr>
          <w:rFonts w:cs="Arial"/>
          <w:i/>
        </w:rPr>
        <w:t xml:space="preserve">B2Gold Namibia (Pty) Ltd v PF Hoaseb </w:t>
      </w:r>
      <w:r w:rsidRPr="00294B88">
        <w:rPr>
          <w:rFonts w:cs="Arial"/>
        </w:rPr>
        <w:t>(LCA 16/2016) [2017] NALCMD 10 (17 March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779868"/>
      <w:docPartObj>
        <w:docPartGallery w:val="Page Numbers (Top of Page)"/>
        <w:docPartUnique/>
      </w:docPartObj>
    </w:sdtPr>
    <w:sdtContent>
      <w:p w14:paraId="7FAB0CCB" w14:textId="77777777" w:rsidR="00BC0624" w:rsidRPr="002B5C37" w:rsidRDefault="00BC0624">
        <w:pPr>
          <w:pStyle w:val="Header"/>
          <w:jc w:val="right"/>
        </w:pPr>
        <w:r w:rsidRPr="002B5C37">
          <w:fldChar w:fldCharType="begin"/>
        </w:r>
        <w:r w:rsidRPr="002B5C37">
          <w:instrText xml:space="preserve"> PAGE   \* MERGEFORMAT </w:instrText>
        </w:r>
        <w:r w:rsidRPr="002B5C37">
          <w:fldChar w:fldCharType="separate"/>
        </w:r>
        <w:r w:rsidR="00AB4B50">
          <w:rPr>
            <w:noProof/>
          </w:rPr>
          <w:t>2</w:t>
        </w:r>
        <w:r w:rsidRPr="002B5C37">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3B4691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39C6A7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18582D8A"/>
    <w:lvl w:ilvl="0">
      <w:start w:val="1"/>
      <w:numFmt w:val="decimal"/>
      <w:pStyle w:val="Heading1"/>
      <w:lvlText w:val="[%1]"/>
      <w:lvlJc w:val="left"/>
      <w:pPr>
        <w:ind w:left="360" w:hanging="360"/>
      </w:pPr>
      <w:rPr>
        <w:rFonts w:ascii="Arial" w:hAnsi="Arial" w:hint="default"/>
        <w:sz w:val="24"/>
      </w:rPr>
    </w:lvl>
    <w:lvl w:ilvl="1">
      <w:start w:val="1"/>
      <w:numFmt w:val="decimal"/>
      <w:pStyle w:val="Heading2"/>
      <w:lvlText w:val="%1.%2."/>
      <w:legacy w:legacy="1" w:legacySpace="0" w:legacyIndent="720"/>
      <w:lvlJc w:val="left"/>
      <w:pPr>
        <w:ind w:left="1457" w:hanging="720"/>
      </w:pPr>
    </w:lvl>
    <w:lvl w:ilvl="2">
      <w:start w:val="1"/>
      <w:numFmt w:val="decimal"/>
      <w:pStyle w:val="Heading3"/>
      <w:lvlText w:val="%1.%2.%3."/>
      <w:legacy w:legacy="1" w:legacySpace="0" w:legacyIndent="720"/>
      <w:lvlJc w:val="left"/>
      <w:pPr>
        <w:ind w:left="2177" w:hanging="720"/>
      </w:pPr>
    </w:lvl>
    <w:lvl w:ilvl="3">
      <w:start w:val="1"/>
      <w:numFmt w:val="decimal"/>
      <w:pStyle w:val="Heading4"/>
      <w:lvlText w:val="%1.%2.%3.%4."/>
      <w:legacy w:legacy="1" w:legacySpace="0" w:legacyIndent="720"/>
      <w:lvlJc w:val="left"/>
      <w:pPr>
        <w:ind w:left="2897" w:hanging="720"/>
      </w:pPr>
    </w:lvl>
    <w:lvl w:ilvl="4">
      <w:start w:val="1"/>
      <w:numFmt w:val="decimal"/>
      <w:pStyle w:val="Heading5"/>
      <w:lvlText w:val="%1.%2.%3.%4.%5."/>
      <w:legacy w:legacy="1" w:legacySpace="0" w:legacyIndent="720"/>
      <w:lvlJc w:val="left"/>
      <w:pPr>
        <w:ind w:left="3617" w:hanging="720"/>
      </w:pPr>
    </w:lvl>
    <w:lvl w:ilvl="5">
      <w:start w:val="1"/>
      <w:numFmt w:val="decimal"/>
      <w:pStyle w:val="Heading6"/>
      <w:lvlText w:val="%1.%2.%3.%4.%5.%6."/>
      <w:legacy w:legacy="1" w:legacySpace="0" w:legacyIndent="720"/>
      <w:lvlJc w:val="left"/>
      <w:pPr>
        <w:ind w:left="4337" w:hanging="720"/>
      </w:pPr>
    </w:lvl>
    <w:lvl w:ilvl="6">
      <w:start w:val="1"/>
      <w:numFmt w:val="decimal"/>
      <w:pStyle w:val="Heading7"/>
      <w:lvlText w:val="%1.%2.%3.%4.%5.%6.%7."/>
      <w:legacy w:legacy="1" w:legacySpace="0" w:legacyIndent="720"/>
      <w:lvlJc w:val="left"/>
      <w:pPr>
        <w:ind w:left="5057" w:hanging="720"/>
      </w:pPr>
    </w:lvl>
    <w:lvl w:ilvl="7">
      <w:start w:val="1"/>
      <w:numFmt w:val="decimal"/>
      <w:pStyle w:val="Heading8"/>
      <w:lvlText w:val="%1.%2.%3.%4.%5.%6.%7.%8."/>
      <w:legacy w:legacy="1" w:legacySpace="0" w:legacyIndent="720"/>
      <w:lvlJc w:val="left"/>
      <w:pPr>
        <w:ind w:left="5777" w:hanging="720"/>
      </w:pPr>
    </w:lvl>
    <w:lvl w:ilvl="8">
      <w:start w:val="1"/>
      <w:numFmt w:val="decimal"/>
      <w:pStyle w:val="Heading9"/>
      <w:lvlText w:val="%1.%2.%3.%4.%5.%6.%7.%8.%9."/>
      <w:legacy w:legacy="1" w:legacySpace="0" w:legacyIndent="720"/>
      <w:lvlJc w:val="left"/>
      <w:pPr>
        <w:ind w:left="6497" w:hanging="720"/>
      </w:pPr>
    </w:lvl>
  </w:abstractNum>
  <w:abstractNum w:abstractNumId="3" w15:restartNumberingAfterBreak="0">
    <w:nsid w:val="15660C6B"/>
    <w:multiLevelType w:val="hybridMultilevel"/>
    <w:tmpl w:val="E85A8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15C94"/>
    <w:multiLevelType w:val="hybridMultilevel"/>
    <w:tmpl w:val="316C4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8128D"/>
    <w:multiLevelType w:val="hybridMultilevel"/>
    <w:tmpl w:val="E85A8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EF4254"/>
    <w:multiLevelType w:val="hybridMultilevel"/>
    <w:tmpl w:val="C41E67F0"/>
    <w:lvl w:ilvl="0" w:tplc="F53CA3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5D2913"/>
    <w:multiLevelType w:val="hybridMultilevel"/>
    <w:tmpl w:val="0E66D5D2"/>
    <w:lvl w:ilvl="0" w:tplc="F53CA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F44A1"/>
    <w:multiLevelType w:val="hybridMultilevel"/>
    <w:tmpl w:val="25885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66CB2"/>
    <w:multiLevelType w:val="hybridMultilevel"/>
    <w:tmpl w:val="E85A8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8E1EEE"/>
    <w:multiLevelType w:val="hybridMultilevel"/>
    <w:tmpl w:val="E85A89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0F713A"/>
    <w:multiLevelType w:val="hybridMultilevel"/>
    <w:tmpl w:val="0E66D5D2"/>
    <w:lvl w:ilvl="0" w:tplc="F53CA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07C40"/>
    <w:multiLevelType w:val="hybridMultilevel"/>
    <w:tmpl w:val="FB76A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62011B"/>
    <w:multiLevelType w:val="hybridMultilevel"/>
    <w:tmpl w:val="16A65E8C"/>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7A363E38"/>
    <w:multiLevelType w:val="hybridMultilevel"/>
    <w:tmpl w:val="4B80CF34"/>
    <w:lvl w:ilvl="0" w:tplc="F53CA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C02AF6"/>
    <w:multiLevelType w:val="hybridMultilevel"/>
    <w:tmpl w:val="98741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1774521">
    <w:abstractNumId w:val="11"/>
  </w:num>
  <w:num w:numId="2" w16cid:durableId="1353847764">
    <w:abstractNumId w:val="12"/>
  </w:num>
  <w:num w:numId="3" w16cid:durableId="1333026656">
    <w:abstractNumId w:val="8"/>
  </w:num>
  <w:num w:numId="4" w16cid:durableId="2130009108">
    <w:abstractNumId w:val="13"/>
  </w:num>
  <w:num w:numId="5" w16cid:durableId="1406730360">
    <w:abstractNumId w:val="6"/>
  </w:num>
  <w:num w:numId="6" w16cid:durableId="4289461">
    <w:abstractNumId w:val="14"/>
  </w:num>
  <w:num w:numId="7" w16cid:durableId="708606813">
    <w:abstractNumId w:val="7"/>
  </w:num>
  <w:num w:numId="8" w16cid:durableId="606695756">
    <w:abstractNumId w:val="15"/>
  </w:num>
  <w:num w:numId="9" w16cid:durableId="308439773">
    <w:abstractNumId w:val="4"/>
  </w:num>
  <w:num w:numId="10" w16cid:durableId="1171800666">
    <w:abstractNumId w:val="3"/>
  </w:num>
  <w:num w:numId="11" w16cid:durableId="35744809">
    <w:abstractNumId w:val="9"/>
  </w:num>
  <w:num w:numId="12" w16cid:durableId="1509364186">
    <w:abstractNumId w:val="10"/>
  </w:num>
  <w:num w:numId="13" w16cid:durableId="1305235898">
    <w:abstractNumId w:val="5"/>
  </w:num>
  <w:num w:numId="14" w16cid:durableId="184173050">
    <w:abstractNumId w:val="2"/>
  </w:num>
  <w:num w:numId="15" w16cid:durableId="575941442">
    <w:abstractNumId w:val="2"/>
  </w:num>
  <w:num w:numId="16" w16cid:durableId="871109978">
    <w:abstractNumId w:val="2"/>
  </w:num>
  <w:num w:numId="17" w16cid:durableId="1365910220">
    <w:abstractNumId w:val="2"/>
  </w:num>
  <w:num w:numId="18" w16cid:durableId="1416436713">
    <w:abstractNumId w:val="2"/>
  </w:num>
  <w:num w:numId="19" w16cid:durableId="1392994674">
    <w:abstractNumId w:val="2"/>
  </w:num>
  <w:num w:numId="20" w16cid:durableId="935868922">
    <w:abstractNumId w:val="2"/>
  </w:num>
  <w:num w:numId="21" w16cid:durableId="183054269">
    <w:abstractNumId w:val="2"/>
  </w:num>
  <w:num w:numId="22" w16cid:durableId="43604247">
    <w:abstractNumId w:val="2"/>
  </w:num>
  <w:num w:numId="23" w16cid:durableId="1007052762">
    <w:abstractNumId w:val="1"/>
  </w:num>
  <w:num w:numId="24" w16cid:durableId="1230651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84D"/>
    <w:rsid w:val="0000222C"/>
    <w:rsid w:val="00004AAE"/>
    <w:rsid w:val="00007611"/>
    <w:rsid w:val="00012663"/>
    <w:rsid w:val="00020B3E"/>
    <w:rsid w:val="00025BE2"/>
    <w:rsid w:val="00037049"/>
    <w:rsid w:val="00050D83"/>
    <w:rsid w:val="000666D2"/>
    <w:rsid w:val="00070C61"/>
    <w:rsid w:val="00073B8F"/>
    <w:rsid w:val="0007689B"/>
    <w:rsid w:val="0008554B"/>
    <w:rsid w:val="00086E54"/>
    <w:rsid w:val="000A7074"/>
    <w:rsid w:val="000D029B"/>
    <w:rsid w:val="000D69F9"/>
    <w:rsid w:val="00102406"/>
    <w:rsid w:val="001059E7"/>
    <w:rsid w:val="00111340"/>
    <w:rsid w:val="00133A18"/>
    <w:rsid w:val="00136190"/>
    <w:rsid w:val="0014008B"/>
    <w:rsid w:val="001559F8"/>
    <w:rsid w:val="00157CF5"/>
    <w:rsid w:val="001625A6"/>
    <w:rsid w:val="0016603C"/>
    <w:rsid w:val="001B3464"/>
    <w:rsid w:val="001D7AC1"/>
    <w:rsid w:val="001E1048"/>
    <w:rsid w:val="001E2B6B"/>
    <w:rsid w:val="001E37D5"/>
    <w:rsid w:val="001E4562"/>
    <w:rsid w:val="001E7E42"/>
    <w:rsid w:val="001F5F47"/>
    <w:rsid w:val="001F6CD1"/>
    <w:rsid w:val="00200C73"/>
    <w:rsid w:val="00214283"/>
    <w:rsid w:val="002743EA"/>
    <w:rsid w:val="00294B88"/>
    <w:rsid w:val="002A298B"/>
    <w:rsid w:val="002B1C46"/>
    <w:rsid w:val="002B5C37"/>
    <w:rsid w:val="002F696B"/>
    <w:rsid w:val="00330154"/>
    <w:rsid w:val="0034250F"/>
    <w:rsid w:val="003470DE"/>
    <w:rsid w:val="00352642"/>
    <w:rsid w:val="00354E9F"/>
    <w:rsid w:val="00361EBA"/>
    <w:rsid w:val="003716AC"/>
    <w:rsid w:val="00376E7F"/>
    <w:rsid w:val="003771E8"/>
    <w:rsid w:val="00380EEB"/>
    <w:rsid w:val="003820F6"/>
    <w:rsid w:val="0038778E"/>
    <w:rsid w:val="003A181F"/>
    <w:rsid w:val="003B369E"/>
    <w:rsid w:val="003B487A"/>
    <w:rsid w:val="003E4B89"/>
    <w:rsid w:val="003E720F"/>
    <w:rsid w:val="003F2D56"/>
    <w:rsid w:val="004054EC"/>
    <w:rsid w:val="0041061E"/>
    <w:rsid w:val="00415C85"/>
    <w:rsid w:val="004320DF"/>
    <w:rsid w:val="00435175"/>
    <w:rsid w:val="0045346A"/>
    <w:rsid w:val="0047733A"/>
    <w:rsid w:val="00485ED1"/>
    <w:rsid w:val="00495484"/>
    <w:rsid w:val="004A6077"/>
    <w:rsid w:val="004B1A1D"/>
    <w:rsid w:val="004D4E03"/>
    <w:rsid w:val="004E62B4"/>
    <w:rsid w:val="004F1AE3"/>
    <w:rsid w:val="00501122"/>
    <w:rsid w:val="00502C52"/>
    <w:rsid w:val="00510AC9"/>
    <w:rsid w:val="00521631"/>
    <w:rsid w:val="00523B99"/>
    <w:rsid w:val="00525422"/>
    <w:rsid w:val="00534302"/>
    <w:rsid w:val="00540A70"/>
    <w:rsid w:val="00547311"/>
    <w:rsid w:val="005611AE"/>
    <w:rsid w:val="00567B5C"/>
    <w:rsid w:val="00570ED0"/>
    <w:rsid w:val="005734FA"/>
    <w:rsid w:val="00587F2E"/>
    <w:rsid w:val="0059240B"/>
    <w:rsid w:val="00592ADA"/>
    <w:rsid w:val="00597E74"/>
    <w:rsid w:val="005A59EB"/>
    <w:rsid w:val="005C7029"/>
    <w:rsid w:val="005C7940"/>
    <w:rsid w:val="005E0B19"/>
    <w:rsid w:val="00612844"/>
    <w:rsid w:val="00612AE1"/>
    <w:rsid w:val="006255DE"/>
    <w:rsid w:val="00633F48"/>
    <w:rsid w:val="00634237"/>
    <w:rsid w:val="00637BB2"/>
    <w:rsid w:val="00637C46"/>
    <w:rsid w:val="00640406"/>
    <w:rsid w:val="00655079"/>
    <w:rsid w:val="00670424"/>
    <w:rsid w:val="00672305"/>
    <w:rsid w:val="0069439E"/>
    <w:rsid w:val="006A57E0"/>
    <w:rsid w:val="006E379D"/>
    <w:rsid w:val="006F0261"/>
    <w:rsid w:val="006F3C17"/>
    <w:rsid w:val="00733CDD"/>
    <w:rsid w:val="00737E38"/>
    <w:rsid w:val="00756E9A"/>
    <w:rsid w:val="00757F43"/>
    <w:rsid w:val="007638B9"/>
    <w:rsid w:val="00765A03"/>
    <w:rsid w:val="007676CF"/>
    <w:rsid w:val="007775A4"/>
    <w:rsid w:val="007A1B1C"/>
    <w:rsid w:val="007C0918"/>
    <w:rsid w:val="007F4BE2"/>
    <w:rsid w:val="007F5063"/>
    <w:rsid w:val="007F7F8C"/>
    <w:rsid w:val="00822169"/>
    <w:rsid w:val="00825C1E"/>
    <w:rsid w:val="0083513B"/>
    <w:rsid w:val="00842BDB"/>
    <w:rsid w:val="0085419C"/>
    <w:rsid w:val="00857D54"/>
    <w:rsid w:val="00862B82"/>
    <w:rsid w:val="00865588"/>
    <w:rsid w:val="0087784D"/>
    <w:rsid w:val="0088200F"/>
    <w:rsid w:val="008905ED"/>
    <w:rsid w:val="008A0819"/>
    <w:rsid w:val="008A15DF"/>
    <w:rsid w:val="008C5AAF"/>
    <w:rsid w:val="008C7E9F"/>
    <w:rsid w:val="008D23D8"/>
    <w:rsid w:val="008D348C"/>
    <w:rsid w:val="009033F2"/>
    <w:rsid w:val="0091015D"/>
    <w:rsid w:val="0091118C"/>
    <w:rsid w:val="009424A9"/>
    <w:rsid w:val="00974B9C"/>
    <w:rsid w:val="00991C16"/>
    <w:rsid w:val="00997D41"/>
    <w:rsid w:val="009B189B"/>
    <w:rsid w:val="009B72DD"/>
    <w:rsid w:val="009D0925"/>
    <w:rsid w:val="009D5CA8"/>
    <w:rsid w:val="009E4C21"/>
    <w:rsid w:val="009F119D"/>
    <w:rsid w:val="00A37EE6"/>
    <w:rsid w:val="00A42C13"/>
    <w:rsid w:val="00A463E1"/>
    <w:rsid w:val="00A55C6F"/>
    <w:rsid w:val="00A6758D"/>
    <w:rsid w:val="00A72F34"/>
    <w:rsid w:val="00A73F1F"/>
    <w:rsid w:val="00A84D0B"/>
    <w:rsid w:val="00AA570C"/>
    <w:rsid w:val="00AB15FE"/>
    <w:rsid w:val="00AB1E68"/>
    <w:rsid w:val="00AB4B50"/>
    <w:rsid w:val="00AB568F"/>
    <w:rsid w:val="00AC76B2"/>
    <w:rsid w:val="00AE1BB6"/>
    <w:rsid w:val="00AE544D"/>
    <w:rsid w:val="00AF4C0B"/>
    <w:rsid w:val="00B0356C"/>
    <w:rsid w:val="00B052BB"/>
    <w:rsid w:val="00B2417D"/>
    <w:rsid w:val="00B307CD"/>
    <w:rsid w:val="00B30CDE"/>
    <w:rsid w:val="00B46B59"/>
    <w:rsid w:val="00B6197E"/>
    <w:rsid w:val="00B70117"/>
    <w:rsid w:val="00B86633"/>
    <w:rsid w:val="00BB1DAC"/>
    <w:rsid w:val="00BC0624"/>
    <w:rsid w:val="00BC1790"/>
    <w:rsid w:val="00BD0FB2"/>
    <w:rsid w:val="00BD7728"/>
    <w:rsid w:val="00BE2208"/>
    <w:rsid w:val="00BF138D"/>
    <w:rsid w:val="00BF20CE"/>
    <w:rsid w:val="00BF7FF6"/>
    <w:rsid w:val="00C03BD9"/>
    <w:rsid w:val="00C32DE7"/>
    <w:rsid w:val="00C33830"/>
    <w:rsid w:val="00C35FE7"/>
    <w:rsid w:val="00C37389"/>
    <w:rsid w:val="00C41456"/>
    <w:rsid w:val="00C512D7"/>
    <w:rsid w:val="00C56E5C"/>
    <w:rsid w:val="00C57DB4"/>
    <w:rsid w:val="00C75BDD"/>
    <w:rsid w:val="00C84FD6"/>
    <w:rsid w:val="00C8745D"/>
    <w:rsid w:val="00C96C1C"/>
    <w:rsid w:val="00CB04C0"/>
    <w:rsid w:val="00CB18AD"/>
    <w:rsid w:val="00CB373A"/>
    <w:rsid w:val="00CB48CD"/>
    <w:rsid w:val="00CD7CEE"/>
    <w:rsid w:val="00CF08B9"/>
    <w:rsid w:val="00CF4113"/>
    <w:rsid w:val="00D04DB6"/>
    <w:rsid w:val="00D12C61"/>
    <w:rsid w:val="00D34C03"/>
    <w:rsid w:val="00D352FA"/>
    <w:rsid w:val="00D42348"/>
    <w:rsid w:val="00D575D4"/>
    <w:rsid w:val="00D64E9F"/>
    <w:rsid w:val="00D77B8F"/>
    <w:rsid w:val="00DC38AA"/>
    <w:rsid w:val="00DC7EFA"/>
    <w:rsid w:val="00DD17A7"/>
    <w:rsid w:val="00DF1327"/>
    <w:rsid w:val="00E24BBF"/>
    <w:rsid w:val="00E24F38"/>
    <w:rsid w:val="00E354CF"/>
    <w:rsid w:val="00E405A1"/>
    <w:rsid w:val="00E4469F"/>
    <w:rsid w:val="00E627B6"/>
    <w:rsid w:val="00E738DC"/>
    <w:rsid w:val="00E93E2C"/>
    <w:rsid w:val="00EA3683"/>
    <w:rsid w:val="00EB72F8"/>
    <w:rsid w:val="00EC6C19"/>
    <w:rsid w:val="00F2782D"/>
    <w:rsid w:val="00F33620"/>
    <w:rsid w:val="00F372D2"/>
    <w:rsid w:val="00F43D6B"/>
    <w:rsid w:val="00F46BC4"/>
    <w:rsid w:val="00F61549"/>
    <w:rsid w:val="00F65143"/>
    <w:rsid w:val="00F66434"/>
    <w:rsid w:val="00F67B87"/>
    <w:rsid w:val="00F76AE2"/>
    <w:rsid w:val="00F76B03"/>
    <w:rsid w:val="00F8464C"/>
    <w:rsid w:val="00F90023"/>
    <w:rsid w:val="00FB0C60"/>
    <w:rsid w:val="00FC3C52"/>
    <w:rsid w:val="00FE5C3C"/>
    <w:rsid w:val="00FF1021"/>
    <w:rsid w:val="00FF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A84D"/>
  <w15:chartTrackingRefBased/>
  <w15:docId w15:val="{7FB030F2-4A1D-433A-8361-DF0F67E8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F47"/>
    <w:pPr>
      <w:spacing w:after="0" w:line="360" w:lineRule="auto"/>
      <w:jc w:val="both"/>
    </w:pPr>
    <w:rPr>
      <w:rFonts w:ascii="Arial" w:hAnsi="Arial" w:cs="Times New Roman"/>
      <w:kern w:val="2"/>
      <w:sz w:val="24"/>
      <w:szCs w:val="24"/>
      <w:lang w:val="en-GB"/>
      <w14:ligatures w14:val="standardContextual"/>
    </w:rPr>
  </w:style>
  <w:style w:type="paragraph" w:styleId="Heading1">
    <w:name w:val="heading 1"/>
    <w:basedOn w:val="Normal"/>
    <w:next w:val="Normal"/>
    <w:link w:val="Heading1Char"/>
    <w:qFormat/>
    <w:rsid w:val="001F5F47"/>
    <w:pPr>
      <w:numPr>
        <w:numId w:val="22"/>
      </w:numPr>
      <w:ind w:left="0" w:firstLine="0"/>
      <w:outlineLvl w:val="0"/>
    </w:pPr>
  </w:style>
  <w:style w:type="paragraph" w:styleId="Heading2">
    <w:name w:val="heading 2"/>
    <w:basedOn w:val="Normal"/>
    <w:next w:val="Normal"/>
    <w:link w:val="Heading2Char"/>
    <w:autoRedefine/>
    <w:qFormat/>
    <w:rsid w:val="001F5F47"/>
    <w:pPr>
      <w:numPr>
        <w:ilvl w:val="1"/>
        <w:numId w:val="22"/>
      </w:numPr>
      <w:outlineLvl w:val="1"/>
    </w:pPr>
    <w:rPr>
      <w:rFonts w:cs="Arial"/>
    </w:rPr>
  </w:style>
  <w:style w:type="paragraph" w:styleId="Heading3">
    <w:name w:val="heading 3"/>
    <w:basedOn w:val="Normal"/>
    <w:next w:val="Normal"/>
    <w:link w:val="Heading3Char"/>
    <w:qFormat/>
    <w:rsid w:val="001F5F47"/>
    <w:pPr>
      <w:numPr>
        <w:ilvl w:val="2"/>
        <w:numId w:val="22"/>
      </w:numPr>
      <w:outlineLvl w:val="2"/>
    </w:pPr>
  </w:style>
  <w:style w:type="paragraph" w:styleId="Heading4">
    <w:name w:val="heading 4"/>
    <w:basedOn w:val="Normal"/>
    <w:next w:val="Normal"/>
    <w:link w:val="Heading4Char"/>
    <w:qFormat/>
    <w:rsid w:val="001F5F47"/>
    <w:pPr>
      <w:numPr>
        <w:ilvl w:val="3"/>
        <w:numId w:val="22"/>
      </w:numPr>
      <w:outlineLvl w:val="3"/>
    </w:pPr>
  </w:style>
  <w:style w:type="paragraph" w:styleId="Heading5">
    <w:name w:val="heading 5"/>
    <w:basedOn w:val="Normal"/>
    <w:next w:val="Normal"/>
    <w:link w:val="Heading5Char"/>
    <w:qFormat/>
    <w:rsid w:val="001F5F47"/>
    <w:pPr>
      <w:numPr>
        <w:ilvl w:val="4"/>
        <w:numId w:val="22"/>
      </w:numPr>
      <w:outlineLvl w:val="4"/>
    </w:pPr>
  </w:style>
  <w:style w:type="paragraph" w:styleId="Heading6">
    <w:name w:val="heading 6"/>
    <w:basedOn w:val="Normal"/>
    <w:next w:val="Normal"/>
    <w:link w:val="Heading6Char"/>
    <w:qFormat/>
    <w:rsid w:val="001F5F47"/>
    <w:pPr>
      <w:numPr>
        <w:ilvl w:val="5"/>
        <w:numId w:val="22"/>
      </w:numPr>
      <w:outlineLvl w:val="5"/>
    </w:pPr>
  </w:style>
  <w:style w:type="paragraph" w:styleId="Heading7">
    <w:name w:val="heading 7"/>
    <w:basedOn w:val="Normal"/>
    <w:next w:val="Normal"/>
    <w:link w:val="Heading7Char"/>
    <w:qFormat/>
    <w:rsid w:val="001F5F47"/>
    <w:pPr>
      <w:numPr>
        <w:ilvl w:val="6"/>
        <w:numId w:val="22"/>
      </w:numPr>
      <w:outlineLvl w:val="6"/>
    </w:pPr>
  </w:style>
  <w:style w:type="paragraph" w:styleId="Heading8">
    <w:name w:val="heading 8"/>
    <w:basedOn w:val="Normal"/>
    <w:next w:val="Normal"/>
    <w:link w:val="Heading8Char"/>
    <w:qFormat/>
    <w:rsid w:val="001F5F47"/>
    <w:pPr>
      <w:numPr>
        <w:ilvl w:val="7"/>
        <w:numId w:val="22"/>
      </w:numPr>
      <w:outlineLvl w:val="7"/>
    </w:pPr>
  </w:style>
  <w:style w:type="paragraph" w:styleId="Heading9">
    <w:name w:val="heading 9"/>
    <w:basedOn w:val="Normal"/>
    <w:next w:val="Normal"/>
    <w:link w:val="Heading9Char"/>
    <w:qFormat/>
    <w:rsid w:val="001F5F47"/>
    <w:pPr>
      <w:numPr>
        <w:ilvl w:val="8"/>
        <w:numId w:val="22"/>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FE7"/>
    <w:pPr>
      <w:ind w:left="720"/>
      <w:contextualSpacing/>
    </w:pPr>
  </w:style>
  <w:style w:type="paragraph" w:styleId="Header">
    <w:name w:val="header"/>
    <w:basedOn w:val="Normal"/>
    <w:link w:val="HeaderChar"/>
    <w:rsid w:val="001F5F47"/>
    <w:pPr>
      <w:tabs>
        <w:tab w:val="center" w:pos="4320"/>
        <w:tab w:val="right" w:pos="8640"/>
      </w:tabs>
    </w:pPr>
  </w:style>
  <w:style w:type="character" w:customStyle="1" w:styleId="HeaderChar">
    <w:name w:val="Header Char"/>
    <w:basedOn w:val="DefaultParagraphFont"/>
    <w:link w:val="Header"/>
    <w:rsid w:val="00633F48"/>
    <w:rPr>
      <w:rFonts w:ascii="Arial" w:hAnsi="Arial" w:cs="Times New Roman"/>
      <w:kern w:val="2"/>
      <w:sz w:val="24"/>
      <w:szCs w:val="24"/>
      <w:lang w:val="en-GB"/>
      <w14:ligatures w14:val="standardContextual"/>
    </w:rPr>
  </w:style>
  <w:style w:type="paragraph" w:styleId="Footer">
    <w:name w:val="footer"/>
    <w:basedOn w:val="Normal"/>
    <w:link w:val="FooterChar"/>
    <w:rsid w:val="001F5F47"/>
    <w:pPr>
      <w:tabs>
        <w:tab w:val="center" w:pos="4320"/>
        <w:tab w:val="right" w:pos="8640"/>
      </w:tabs>
    </w:pPr>
  </w:style>
  <w:style w:type="character" w:customStyle="1" w:styleId="FooterChar">
    <w:name w:val="Footer Char"/>
    <w:basedOn w:val="DefaultParagraphFont"/>
    <w:link w:val="Footer"/>
    <w:rsid w:val="00633F48"/>
    <w:rPr>
      <w:rFonts w:ascii="Arial" w:hAnsi="Arial" w:cs="Times New Roman"/>
      <w:kern w:val="2"/>
      <w:sz w:val="24"/>
      <w:szCs w:val="24"/>
      <w:lang w:val="en-GB"/>
      <w14:ligatures w14:val="standardContextual"/>
    </w:rPr>
  </w:style>
  <w:style w:type="paragraph" w:styleId="FootnoteText">
    <w:name w:val="footnote text"/>
    <w:aliases w:val="Char Char Char,Char Char Char Char Char,Char Char Char Char Char Char,Char Char Char Char Char Char Char,Char Char Char Char Char Char Char Char Char Char Char,Footnote Text Char Char,Footnote Text Char Char Char,HCR: - Footnote text"/>
    <w:basedOn w:val="Normal"/>
    <w:link w:val="FootnoteTextChar"/>
    <w:uiPriority w:val="99"/>
    <w:unhideWhenUsed/>
    <w:qFormat/>
    <w:rsid w:val="00501122"/>
    <w:rPr>
      <w:sz w:val="20"/>
      <w:szCs w:val="20"/>
    </w:rPr>
  </w:style>
  <w:style w:type="character" w:customStyle="1" w:styleId="FootnoteTextChar">
    <w:name w:val="Footnote Text Char"/>
    <w:aliases w:val="Char Char Char Char,Char Char Char Char Char Char1,Char Char Char Char Char Char Char1,Char Char Char Char Char Char Char Char,Char Char Char Char Char Char Char Char Char Char Char Char,Footnote Text Char Char Char1"/>
    <w:basedOn w:val="DefaultParagraphFont"/>
    <w:link w:val="FootnoteText"/>
    <w:uiPriority w:val="99"/>
    <w:rsid w:val="00501122"/>
    <w:rPr>
      <w:rFonts w:ascii="Arial" w:hAnsi="Arial" w:cs="Times New Roman"/>
      <w:kern w:val="2"/>
      <w:sz w:val="20"/>
      <w:szCs w:val="20"/>
      <w:lang w:val="en-GB"/>
      <w14:ligatures w14:val="standardContextual"/>
    </w:rPr>
  </w:style>
  <w:style w:type="character" w:styleId="FootnoteReference">
    <w:name w:val="footnote reference"/>
    <w:aliases w:val="(NECG) Footnote Reference,Appel note de bas de page,Footnote Reference + Superscript,Footnotes refss,Ref,de nota al pie,註腳內容"/>
    <w:basedOn w:val="DefaultParagraphFont"/>
    <w:uiPriority w:val="99"/>
    <w:unhideWhenUsed/>
    <w:rsid w:val="00BF138D"/>
    <w:rPr>
      <w:vertAlign w:val="superscript"/>
    </w:rPr>
  </w:style>
  <w:style w:type="paragraph" w:styleId="NormalWeb">
    <w:name w:val="Normal (Web)"/>
    <w:basedOn w:val="Normal"/>
    <w:uiPriority w:val="99"/>
    <w:unhideWhenUsed/>
    <w:rsid w:val="00415C85"/>
    <w:rPr>
      <w:rFonts w:ascii="Times New Roman" w:hAnsi="Times New Roman"/>
    </w:rPr>
  </w:style>
  <w:style w:type="paragraph" w:styleId="BalloonText">
    <w:name w:val="Balloon Text"/>
    <w:basedOn w:val="Normal"/>
    <w:link w:val="BalloonTextChar"/>
    <w:uiPriority w:val="99"/>
    <w:semiHidden/>
    <w:unhideWhenUsed/>
    <w:rsid w:val="00A55C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C6F"/>
    <w:rPr>
      <w:rFonts w:ascii="Segoe UI" w:hAnsi="Segoe UI" w:cs="Segoe UI"/>
      <w:sz w:val="18"/>
      <w:szCs w:val="18"/>
    </w:rPr>
  </w:style>
  <w:style w:type="paragraph" w:styleId="BodyText">
    <w:name w:val="Body Text"/>
    <w:basedOn w:val="Normal"/>
    <w:link w:val="BodyTextChar"/>
    <w:rsid w:val="009E4C21"/>
    <w:pPr>
      <w:spacing w:line="240" w:lineRule="auto"/>
      <w:jc w:val="center"/>
    </w:pPr>
    <w:rPr>
      <w:rFonts w:ascii="Times New Roman" w:eastAsia="Times New Roman" w:hAnsi="Times New Roman"/>
    </w:rPr>
  </w:style>
  <w:style w:type="character" w:customStyle="1" w:styleId="BodyTextChar">
    <w:name w:val="Body Text Char"/>
    <w:basedOn w:val="DefaultParagraphFont"/>
    <w:link w:val="BodyText"/>
    <w:rsid w:val="009E4C21"/>
    <w:rPr>
      <w:rFonts w:ascii="Times New Roman" w:eastAsia="Times New Roman" w:hAnsi="Times New Roman" w:cs="Times New Roman"/>
      <w:sz w:val="24"/>
      <w:szCs w:val="24"/>
      <w:lang w:val="en-GB"/>
    </w:rPr>
  </w:style>
  <w:style w:type="character" w:customStyle="1" w:styleId="EquationCaption">
    <w:name w:val="_Equation Caption"/>
    <w:rsid w:val="001F5F47"/>
  </w:style>
  <w:style w:type="paragraph" w:styleId="EnvelopeReturn">
    <w:name w:val="envelope return"/>
    <w:basedOn w:val="Normal"/>
    <w:rsid w:val="001F5F47"/>
    <w:rPr>
      <w:sz w:val="16"/>
    </w:rPr>
  </w:style>
  <w:style w:type="character" w:customStyle="1" w:styleId="Heading1Char">
    <w:name w:val="Heading 1 Char"/>
    <w:basedOn w:val="DefaultParagraphFont"/>
    <w:link w:val="Heading1"/>
    <w:rsid w:val="001F5F47"/>
    <w:rPr>
      <w:rFonts w:ascii="Arial" w:hAnsi="Arial" w:cs="Times New Roman"/>
      <w:kern w:val="2"/>
      <w:sz w:val="24"/>
      <w:szCs w:val="24"/>
      <w:lang w:val="en-GB"/>
      <w14:ligatures w14:val="standardContextual"/>
    </w:rPr>
  </w:style>
  <w:style w:type="character" w:customStyle="1" w:styleId="Heading2Char">
    <w:name w:val="Heading 2 Char"/>
    <w:basedOn w:val="DefaultParagraphFont"/>
    <w:link w:val="Heading2"/>
    <w:rsid w:val="001F5F47"/>
    <w:rPr>
      <w:rFonts w:ascii="Arial" w:hAnsi="Arial" w:cs="Arial"/>
      <w:kern w:val="2"/>
      <w:sz w:val="24"/>
      <w:szCs w:val="24"/>
      <w:lang w:val="en-GB"/>
      <w14:ligatures w14:val="standardContextual"/>
    </w:rPr>
  </w:style>
  <w:style w:type="character" w:customStyle="1" w:styleId="Heading3Char">
    <w:name w:val="Heading 3 Char"/>
    <w:basedOn w:val="DefaultParagraphFont"/>
    <w:link w:val="Heading3"/>
    <w:rsid w:val="001F5F47"/>
    <w:rPr>
      <w:rFonts w:ascii="Arial" w:hAnsi="Arial" w:cs="Times New Roman"/>
      <w:kern w:val="2"/>
      <w:sz w:val="24"/>
      <w:szCs w:val="24"/>
      <w:lang w:val="en-GB"/>
      <w14:ligatures w14:val="standardContextual"/>
    </w:rPr>
  </w:style>
  <w:style w:type="character" w:customStyle="1" w:styleId="Heading4Char">
    <w:name w:val="Heading 4 Char"/>
    <w:basedOn w:val="DefaultParagraphFont"/>
    <w:link w:val="Heading4"/>
    <w:rsid w:val="001F5F47"/>
    <w:rPr>
      <w:rFonts w:ascii="Arial" w:hAnsi="Arial" w:cs="Times New Roman"/>
      <w:kern w:val="2"/>
      <w:sz w:val="24"/>
      <w:szCs w:val="24"/>
      <w:lang w:val="en-GB"/>
      <w14:ligatures w14:val="standardContextual"/>
    </w:rPr>
  </w:style>
  <w:style w:type="character" w:customStyle="1" w:styleId="Heading5Char">
    <w:name w:val="Heading 5 Char"/>
    <w:basedOn w:val="DefaultParagraphFont"/>
    <w:link w:val="Heading5"/>
    <w:rsid w:val="001F5F47"/>
    <w:rPr>
      <w:rFonts w:ascii="Arial" w:hAnsi="Arial" w:cs="Times New Roman"/>
      <w:kern w:val="2"/>
      <w:sz w:val="24"/>
      <w:szCs w:val="24"/>
      <w:lang w:val="en-GB"/>
      <w14:ligatures w14:val="standardContextual"/>
    </w:rPr>
  </w:style>
  <w:style w:type="character" w:customStyle="1" w:styleId="Heading6Char">
    <w:name w:val="Heading 6 Char"/>
    <w:basedOn w:val="DefaultParagraphFont"/>
    <w:link w:val="Heading6"/>
    <w:rsid w:val="001F5F47"/>
    <w:rPr>
      <w:rFonts w:ascii="Arial" w:hAnsi="Arial" w:cs="Times New Roman"/>
      <w:kern w:val="2"/>
      <w:sz w:val="24"/>
      <w:szCs w:val="24"/>
      <w:lang w:val="en-GB"/>
      <w14:ligatures w14:val="standardContextual"/>
    </w:rPr>
  </w:style>
  <w:style w:type="character" w:customStyle="1" w:styleId="Heading7Char">
    <w:name w:val="Heading 7 Char"/>
    <w:basedOn w:val="DefaultParagraphFont"/>
    <w:link w:val="Heading7"/>
    <w:rsid w:val="001F5F47"/>
    <w:rPr>
      <w:rFonts w:ascii="Arial" w:hAnsi="Arial" w:cs="Times New Roman"/>
      <w:kern w:val="2"/>
      <w:sz w:val="24"/>
      <w:szCs w:val="24"/>
      <w:lang w:val="en-GB"/>
      <w14:ligatures w14:val="standardContextual"/>
    </w:rPr>
  </w:style>
  <w:style w:type="character" w:customStyle="1" w:styleId="Heading8Char">
    <w:name w:val="Heading 8 Char"/>
    <w:basedOn w:val="DefaultParagraphFont"/>
    <w:link w:val="Heading8"/>
    <w:rsid w:val="001F5F47"/>
    <w:rPr>
      <w:rFonts w:ascii="Arial" w:hAnsi="Arial" w:cs="Times New Roman"/>
      <w:kern w:val="2"/>
      <w:sz w:val="24"/>
      <w:szCs w:val="24"/>
      <w:lang w:val="en-GB"/>
      <w14:ligatures w14:val="standardContextual"/>
    </w:rPr>
  </w:style>
  <w:style w:type="character" w:customStyle="1" w:styleId="Heading9Char">
    <w:name w:val="Heading 9 Char"/>
    <w:basedOn w:val="DefaultParagraphFont"/>
    <w:link w:val="Heading9"/>
    <w:rsid w:val="001F5F47"/>
    <w:rPr>
      <w:rFonts w:ascii="Arial" w:hAnsi="Arial" w:cs="Times New Roman"/>
      <w:i/>
      <w:kern w:val="2"/>
      <w:sz w:val="18"/>
      <w:szCs w:val="24"/>
      <w:lang w:val="en-GB"/>
      <w14:ligatures w14:val="standardContextual"/>
    </w:rPr>
  </w:style>
  <w:style w:type="paragraph" w:styleId="ListBullet">
    <w:name w:val="List Bullet"/>
    <w:basedOn w:val="Normal"/>
    <w:next w:val="Normal"/>
    <w:autoRedefine/>
    <w:rsid w:val="001F5F47"/>
    <w:pPr>
      <w:spacing w:after="360"/>
      <w:ind w:left="357" w:hanging="357"/>
    </w:pPr>
  </w:style>
  <w:style w:type="paragraph" w:styleId="ListNumber">
    <w:name w:val="List Number"/>
    <w:basedOn w:val="Normal"/>
    <w:rsid w:val="001F5F47"/>
    <w:pPr>
      <w:ind w:left="360" w:hanging="360"/>
    </w:pPr>
  </w:style>
  <w:style w:type="character" w:styleId="PageNumber">
    <w:name w:val="page number"/>
    <w:basedOn w:val="DefaultParagraphFont"/>
    <w:rsid w:val="001F5F47"/>
    <w:rPr>
      <w:rFonts w:ascii="Arial" w:hAnsi="Arial"/>
    </w:rPr>
  </w:style>
  <w:style w:type="paragraph" w:styleId="Subtitle">
    <w:name w:val="Subtitle"/>
    <w:basedOn w:val="Normal"/>
    <w:link w:val="SubtitleChar"/>
    <w:qFormat/>
    <w:rsid w:val="001F5F47"/>
    <w:pPr>
      <w:spacing w:after="60"/>
      <w:jc w:val="center"/>
    </w:pPr>
    <w:rPr>
      <w:i/>
    </w:rPr>
  </w:style>
  <w:style w:type="character" w:customStyle="1" w:styleId="SubtitleChar">
    <w:name w:val="Subtitle Char"/>
    <w:basedOn w:val="DefaultParagraphFont"/>
    <w:link w:val="Subtitle"/>
    <w:rsid w:val="001F5F47"/>
    <w:rPr>
      <w:rFonts w:ascii="Arial" w:hAnsi="Arial" w:cs="Times New Roman"/>
      <w:i/>
      <w:kern w:val="2"/>
      <w:sz w:val="24"/>
      <w:szCs w:val="24"/>
      <w:lang w:val="en-GB"/>
      <w14:ligatures w14:val="standardContextual"/>
    </w:rPr>
  </w:style>
  <w:style w:type="paragraph" w:styleId="Title">
    <w:name w:val="Title"/>
    <w:basedOn w:val="Normal"/>
    <w:link w:val="TitleChar"/>
    <w:qFormat/>
    <w:rsid w:val="001F5F47"/>
    <w:pPr>
      <w:jc w:val="center"/>
    </w:pPr>
    <w:rPr>
      <w:b/>
      <w:bCs/>
    </w:rPr>
  </w:style>
  <w:style w:type="character" w:customStyle="1" w:styleId="TitleChar">
    <w:name w:val="Title Char"/>
    <w:basedOn w:val="DefaultParagraphFont"/>
    <w:link w:val="Title"/>
    <w:rsid w:val="001F5F47"/>
    <w:rPr>
      <w:rFonts w:ascii="Arial" w:hAnsi="Arial" w:cs="Times New Roman"/>
      <w:b/>
      <w:bCs/>
      <w:kern w:val="2"/>
      <w:sz w:val="24"/>
      <w:szCs w:val="24"/>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2023-09-17T18:30:00+00:00</Judgment_x0020_Date>
    <Year xmlns="aec0a7e9-5f5c-4ba9-87b2-85cfc8a38b86">2023</Yea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1696F5-240F-4C46-9D65-5DBEF3A4E055}">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2.xml><?xml version="1.0" encoding="utf-8"?>
<ds:datastoreItem xmlns:ds="http://schemas.openxmlformats.org/officeDocument/2006/customXml" ds:itemID="{0BDC8473-9DE2-4E4A-8D05-902798682D6B}">
  <ds:schemaRefs>
    <ds:schemaRef ds:uri="http://schemas.openxmlformats.org/officeDocument/2006/bibliography"/>
  </ds:schemaRefs>
</ds:datastoreItem>
</file>

<file path=customXml/itemProps3.xml><?xml version="1.0" encoding="utf-8"?>
<ds:datastoreItem xmlns:ds="http://schemas.openxmlformats.org/officeDocument/2006/customXml" ds:itemID="{A0C0C126-B2DF-4C26-BF46-67A628DEB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8B6E9B-D155-4CB5-9FB4-A9E3BBC58E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3503</Words>
  <Characters>19972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Kruger v Goagoses (HC-MD-LAB-APP-AAA-2023-00020) [2023] NALCMD 46 (18 September 2023)</dc:title>
  <dc:subject/>
  <dc:creator>Michelle M. Jagger</dc:creator>
  <cp:keywords/>
  <dc:description/>
  <cp:lastModifiedBy>Mariana Anguelov</cp:lastModifiedBy>
  <cp:revision>3</cp:revision>
  <cp:lastPrinted>2023-09-18T13:22:00Z</cp:lastPrinted>
  <dcterms:created xsi:type="dcterms:W3CDTF">2023-09-18T14:34:00Z</dcterms:created>
  <dcterms:modified xsi:type="dcterms:W3CDTF">2023-09-25T08:16:00Z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