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US"/>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2B51F523" w:rsidR="00B40844" w:rsidRPr="004A5618" w:rsidRDefault="0053496C" w:rsidP="00B40844">
      <w:pPr>
        <w:spacing w:after="0" w:line="360" w:lineRule="auto"/>
        <w:jc w:val="center"/>
        <w:rPr>
          <w:rFonts w:ascii="Arial" w:hAnsi="Arial" w:cs="Arial"/>
          <w:bCs/>
          <w:sz w:val="24"/>
          <w:szCs w:val="24"/>
        </w:rPr>
      </w:pPr>
      <w:r>
        <w:rPr>
          <w:rFonts w:ascii="Arial" w:hAnsi="Arial" w:cs="Arial"/>
          <w:b/>
          <w:sz w:val="24"/>
          <w:szCs w:val="24"/>
        </w:rPr>
        <w:t>LABOUR</w:t>
      </w:r>
      <w:r w:rsidR="00B40844" w:rsidRPr="004A5618">
        <w:rPr>
          <w:rFonts w:ascii="Arial" w:hAnsi="Arial" w:cs="Arial"/>
          <w:b/>
          <w:sz w:val="24"/>
          <w:szCs w:val="24"/>
        </w:rPr>
        <w:t xml:space="preserve">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0283C01" w:rsidR="00B40844" w:rsidRDefault="00DC3FD1" w:rsidP="00B40844">
      <w:pPr>
        <w:spacing w:after="0" w:line="360" w:lineRule="auto"/>
        <w:jc w:val="center"/>
        <w:rPr>
          <w:rFonts w:ascii="Arial" w:hAnsi="Arial" w:cs="Arial"/>
          <w:b/>
          <w:sz w:val="24"/>
          <w:szCs w:val="24"/>
        </w:rPr>
      </w:pPr>
      <w:r>
        <w:rPr>
          <w:rFonts w:ascii="Arial" w:hAnsi="Arial" w:cs="Arial"/>
          <w:b/>
          <w:sz w:val="24"/>
          <w:szCs w:val="24"/>
        </w:rPr>
        <w:t>JUDGMENT</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0CD012CE" w:rsidR="00B40844" w:rsidRPr="00C7517F" w:rsidRDefault="0053496C" w:rsidP="00122070">
            <w:pPr>
              <w:jc w:val="both"/>
              <w:rPr>
                <w:rFonts w:ascii="Arial" w:hAnsi="Arial" w:cs="Arial"/>
                <w:sz w:val="24"/>
                <w:szCs w:val="24"/>
              </w:rPr>
            </w:pPr>
            <w:r w:rsidRPr="0053496C">
              <w:rPr>
                <w:rFonts w:ascii="Arial" w:hAnsi="Arial" w:cs="Arial"/>
                <w:sz w:val="24"/>
                <w:szCs w:val="24"/>
              </w:rPr>
              <w:t>FP DU TOIT TRANSPORT (PTY) LTD</w:t>
            </w:r>
            <w:r w:rsidR="00602C25" w:rsidRPr="00333796">
              <w:rPr>
                <w:rFonts w:ascii="Arial" w:hAnsi="Arial" w:cs="Arial"/>
                <w:sz w:val="24"/>
                <w:szCs w:val="24"/>
                <w:shd w:val="clear" w:color="auto" w:fill="FFFFFF"/>
              </w:rPr>
              <w:t xml:space="preserve"> </w:t>
            </w:r>
            <w:r w:rsidR="00136505" w:rsidRPr="00C7517F">
              <w:rPr>
                <w:rFonts w:ascii="Arial" w:hAnsi="Arial" w:cs="Arial"/>
                <w:sz w:val="24"/>
                <w:szCs w:val="24"/>
                <w:shd w:val="clear" w:color="auto" w:fill="FFFFFF"/>
              </w:rPr>
              <w:t xml:space="preserve">// </w:t>
            </w:r>
            <w:r w:rsidRPr="0053496C">
              <w:rPr>
                <w:rFonts w:ascii="Arial" w:hAnsi="Arial" w:cs="Arial"/>
                <w:sz w:val="24"/>
                <w:szCs w:val="24"/>
              </w:rPr>
              <w:t>NICHOL VAN WYK</w:t>
            </w:r>
            <w:r w:rsidR="00FE0A83" w:rsidRPr="0053496C">
              <w:rPr>
                <w:rFonts w:ascii="Arial" w:hAnsi="Arial" w:cs="Arial"/>
                <w:sz w:val="24"/>
                <w:szCs w:val="24"/>
              </w:rPr>
              <w:t xml:space="preserve"> </w:t>
            </w:r>
            <w:r w:rsidR="00FE0A83" w:rsidRPr="00C7517F">
              <w:rPr>
                <w:rFonts w:ascii="Arial" w:hAnsi="Arial" w:cs="Arial"/>
                <w:sz w:val="24"/>
                <w:szCs w:val="24"/>
              </w:rPr>
              <w:t xml:space="preserve">&amp; </w:t>
            </w:r>
            <w:r w:rsidR="00122070">
              <w:rPr>
                <w:rFonts w:ascii="Arial" w:hAnsi="Arial" w:cs="Arial"/>
                <w:sz w:val="24"/>
                <w:szCs w:val="24"/>
              </w:rPr>
              <w:t>2</w:t>
            </w:r>
            <w:r w:rsidR="00FE0A83" w:rsidRPr="00C7517F">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036F7543" w:rsidR="00865F37" w:rsidRPr="0053496C" w:rsidRDefault="0053496C" w:rsidP="00937C89">
            <w:pPr>
              <w:spacing w:line="360" w:lineRule="auto"/>
              <w:jc w:val="both"/>
              <w:rPr>
                <w:rFonts w:ascii="Arial" w:hAnsi="Arial" w:cs="Arial"/>
                <w:sz w:val="24"/>
                <w:szCs w:val="24"/>
              </w:rPr>
            </w:pPr>
            <w:r w:rsidRPr="0053496C">
              <w:rPr>
                <w:rFonts w:ascii="Arial" w:hAnsi="Arial" w:cs="Arial"/>
                <w:sz w:val="24"/>
                <w:szCs w:val="24"/>
              </w:rPr>
              <w:t>HC-MD-LAB-MOT-GEN-2023/00179</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FC2E2B8" w:rsidR="00B40844" w:rsidRPr="004A5618" w:rsidRDefault="00136505" w:rsidP="00E60E31">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E60E31">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2F825412" w:rsidR="00B40844" w:rsidRPr="004A5618" w:rsidRDefault="0053496C" w:rsidP="0053496C">
            <w:pPr>
              <w:spacing w:line="360" w:lineRule="auto"/>
              <w:jc w:val="both"/>
              <w:rPr>
                <w:rFonts w:ascii="Arial" w:hAnsi="Arial" w:cs="Arial"/>
                <w:sz w:val="24"/>
                <w:szCs w:val="24"/>
              </w:rPr>
            </w:pPr>
            <w:r>
              <w:rPr>
                <w:rFonts w:ascii="Arial" w:hAnsi="Arial" w:cs="Arial"/>
                <w:sz w:val="24"/>
                <w:szCs w:val="24"/>
              </w:rPr>
              <w:t>8</w:t>
            </w:r>
            <w:r w:rsidR="00C2633E" w:rsidRPr="004A5618">
              <w:rPr>
                <w:rFonts w:ascii="Arial" w:hAnsi="Arial" w:cs="Arial"/>
                <w:sz w:val="24"/>
                <w:szCs w:val="24"/>
              </w:rPr>
              <w:t xml:space="preserve"> </w:t>
            </w:r>
            <w:r>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74734558" w:rsidR="00B40844" w:rsidRPr="004A5618" w:rsidRDefault="0053496C" w:rsidP="0053496C">
            <w:pPr>
              <w:spacing w:line="360" w:lineRule="auto"/>
              <w:jc w:val="both"/>
              <w:rPr>
                <w:rFonts w:ascii="Arial" w:hAnsi="Arial" w:cs="Arial"/>
                <w:b/>
                <w:sz w:val="24"/>
                <w:szCs w:val="24"/>
              </w:rPr>
            </w:pPr>
            <w:r>
              <w:rPr>
                <w:rFonts w:ascii="Arial" w:hAnsi="Arial" w:cs="Arial"/>
                <w:sz w:val="24"/>
                <w:szCs w:val="24"/>
              </w:rPr>
              <w:t>22</w:t>
            </w:r>
            <w:r w:rsidR="00136505" w:rsidRPr="004A5618">
              <w:rPr>
                <w:rFonts w:ascii="Arial" w:hAnsi="Arial" w:cs="Arial"/>
                <w:sz w:val="24"/>
                <w:szCs w:val="24"/>
              </w:rPr>
              <w:t xml:space="preserve"> </w:t>
            </w:r>
            <w:r>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531ADE13" w:rsidR="00B40844" w:rsidRPr="004A5618" w:rsidRDefault="00B40844" w:rsidP="00DF1D2A">
            <w:pPr>
              <w:spacing w:line="360" w:lineRule="auto"/>
              <w:ind w:left="2019" w:hanging="2019"/>
              <w:jc w:val="both"/>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r w:rsidR="00C10CAA">
              <w:rPr>
                <w:rFonts w:ascii="Arial" w:hAnsi="Arial" w:cs="Arial"/>
                <w:i/>
                <w:sz w:val="24"/>
                <w:szCs w:val="24"/>
              </w:rPr>
              <w:t>FP</w:t>
            </w:r>
            <w:r w:rsidR="00C10CAA" w:rsidRPr="00C10CAA">
              <w:rPr>
                <w:rFonts w:ascii="Arial" w:hAnsi="Arial" w:cs="Arial"/>
                <w:i/>
                <w:sz w:val="24"/>
                <w:szCs w:val="24"/>
              </w:rPr>
              <w:t xml:space="preserve"> du </w:t>
            </w:r>
            <w:r w:rsidR="00C10CAA">
              <w:rPr>
                <w:rFonts w:ascii="Arial" w:hAnsi="Arial" w:cs="Arial"/>
                <w:i/>
                <w:sz w:val="24"/>
                <w:szCs w:val="24"/>
              </w:rPr>
              <w:t>T</w:t>
            </w:r>
            <w:r w:rsidR="00C10CAA" w:rsidRPr="00C10CAA">
              <w:rPr>
                <w:rFonts w:ascii="Arial" w:hAnsi="Arial" w:cs="Arial"/>
                <w:i/>
                <w:sz w:val="24"/>
                <w:szCs w:val="24"/>
              </w:rPr>
              <w:t xml:space="preserve">oit </w:t>
            </w:r>
            <w:r w:rsidR="00C10CAA">
              <w:rPr>
                <w:rFonts w:ascii="Arial" w:hAnsi="Arial" w:cs="Arial"/>
                <w:i/>
                <w:sz w:val="24"/>
                <w:szCs w:val="24"/>
              </w:rPr>
              <w:t>T</w:t>
            </w:r>
            <w:r w:rsidR="00C10CAA" w:rsidRPr="00C10CAA">
              <w:rPr>
                <w:rFonts w:ascii="Arial" w:hAnsi="Arial" w:cs="Arial"/>
                <w:i/>
                <w:sz w:val="24"/>
                <w:szCs w:val="24"/>
              </w:rPr>
              <w:t>ransport (</w:t>
            </w:r>
            <w:r w:rsidR="00C10CAA">
              <w:rPr>
                <w:rFonts w:ascii="Arial" w:hAnsi="Arial" w:cs="Arial"/>
                <w:i/>
                <w:sz w:val="24"/>
                <w:szCs w:val="24"/>
              </w:rPr>
              <w:t>P</w:t>
            </w:r>
            <w:r w:rsidR="00C10CAA" w:rsidRPr="00C10CAA">
              <w:rPr>
                <w:rFonts w:ascii="Arial" w:hAnsi="Arial" w:cs="Arial"/>
                <w:i/>
                <w:sz w:val="24"/>
                <w:szCs w:val="24"/>
              </w:rPr>
              <w:t xml:space="preserve">ty) </w:t>
            </w:r>
            <w:r w:rsidR="00C10CAA">
              <w:rPr>
                <w:rFonts w:ascii="Arial" w:hAnsi="Arial" w:cs="Arial"/>
                <w:i/>
                <w:sz w:val="24"/>
                <w:szCs w:val="24"/>
              </w:rPr>
              <w:t>L</w:t>
            </w:r>
            <w:r w:rsidR="00C10CAA" w:rsidRPr="00C10CAA">
              <w:rPr>
                <w:rFonts w:ascii="Arial" w:hAnsi="Arial" w:cs="Arial"/>
                <w:i/>
                <w:sz w:val="24"/>
                <w:szCs w:val="24"/>
              </w:rPr>
              <w:t>td</w:t>
            </w:r>
            <w:r w:rsidR="00C7517F" w:rsidRPr="000B6579">
              <w:rPr>
                <w:rFonts w:ascii="Arial" w:hAnsi="Arial" w:cs="Arial"/>
                <w:i/>
                <w:sz w:val="24"/>
                <w:szCs w:val="24"/>
              </w:rPr>
              <w:t xml:space="preserve"> </w:t>
            </w:r>
            <w:r w:rsidR="00EE3808">
              <w:rPr>
                <w:rFonts w:ascii="Arial" w:hAnsi="Arial" w:cs="Arial"/>
                <w:i/>
                <w:sz w:val="24"/>
                <w:szCs w:val="24"/>
                <w:shd w:val="clear" w:color="auto" w:fill="FFFFFF"/>
              </w:rPr>
              <w:t>v</w:t>
            </w:r>
            <w:bookmarkStart w:id="0" w:name="_GoBack"/>
            <w:bookmarkEnd w:id="0"/>
            <w:r w:rsidR="00C7517F" w:rsidRPr="000B6579">
              <w:rPr>
                <w:rFonts w:ascii="Arial" w:hAnsi="Arial" w:cs="Arial"/>
                <w:i/>
                <w:sz w:val="24"/>
                <w:szCs w:val="24"/>
                <w:shd w:val="clear" w:color="auto" w:fill="FFFFFF"/>
              </w:rPr>
              <w:t xml:space="preserve"> </w:t>
            </w:r>
            <w:r w:rsidR="00C10CAA">
              <w:rPr>
                <w:rFonts w:ascii="Arial" w:hAnsi="Arial" w:cs="Arial"/>
                <w:i/>
                <w:sz w:val="24"/>
                <w:szCs w:val="24"/>
              </w:rPr>
              <w:t>V</w:t>
            </w:r>
            <w:r w:rsidR="00C10CAA" w:rsidRPr="00C10CAA">
              <w:rPr>
                <w:rFonts w:ascii="Arial" w:hAnsi="Arial" w:cs="Arial"/>
                <w:i/>
                <w:sz w:val="24"/>
                <w:szCs w:val="24"/>
              </w:rPr>
              <w:t xml:space="preserve">an </w:t>
            </w:r>
            <w:r w:rsidR="00C10CAA">
              <w:rPr>
                <w:rFonts w:ascii="Arial" w:hAnsi="Arial" w:cs="Arial"/>
                <w:i/>
                <w:sz w:val="24"/>
                <w:szCs w:val="24"/>
              </w:rPr>
              <w:t>W</w:t>
            </w:r>
            <w:r w:rsidR="00C10CAA" w:rsidRPr="00C10CAA">
              <w:rPr>
                <w:rFonts w:ascii="Arial" w:hAnsi="Arial" w:cs="Arial"/>
                <w:i/>
                <w:sz w:val="24"/>
                <w:szCs w:val="24"/>
              </w:rPr>
              <w:t>yk</w:t>
            </w:r>
            <w:r w:rsidRPr="004A5618">
              <w:rPr>
                <w:rFonts w:ascii="Arial" w:hAnsi="Arial" w:cs="Arial"/>
                <w:sz w:val="24"/>
                <w:szCs w:val="24"/>
              </w:rPr>
              <w:t xml:space="preserve"> (</w:t>
            </w:r>
            <w:r w:rsidR="00C10CAA" w:rsidRPr="0053496C">
              <w:rPr>
                <w:rFonts w:ascii="Arial" w:hAnsi="Arial" w:cs="Arial"/>
                <w:sz w:val="24"/>
                <w:szCs w:val="24"/>
              </w:rPr>
              <w:t>HC-MD-LAB-MOT-GEN-2023/00179</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NA</w:t>
            </w:r>
            <w:r w:rsidR="00C10CAA">
              <w:rPr>
                <w:rFonts w:ascii="Arial" w:hAnsi="Arial" w:cs="Arial"/>
                <w:sz w:val="24"/>
                <w:szCs w:val="24"/>
              </w:rPr>
              <w:t>L</w:t>
            </w:r>
            <w:r w:rsidRPr="004A5618">
              <w:rPr>
                <w:rFonts w:ascii="Arial" w:hAnsi="Arial" w:cs="Arial"/>
                <w:sz w:val="24"/>
                <w:szCs w:val="24"/>
              </w:rPr>
              <w:t xml:space="preserve">CMD </w:t>
            </w:r>
            <w:r w:rsidR="00DF1D2A">
              <w:rPr>
                <w:rFonts w:ascii="Arial" w:hAnsi="Arial" w:cs="Arial"/>
                <w:sz w:val="24"/>
                <w:szCs w:val="24"/>
              </w:rPr>
              <w:t>55</w:t>
            </w:r>
            <w:r w:rsidRPr="004A5618">
              <w:rPr>
                <w:rFonts w:ascii="Arial" w:hAnsi="Arial" w:cs="Arial"/>
                <w:sz w:val="24"/>
                <w:szCs w:val="24"/>
              </w:rPr>
              <w:t xml:space="preserve"> (</w:t>
            </w:r>
            <w:r w:rsidR="00C10CAA">
              <w:rPr>
                <w:rFonts w:ascii="Arial" w:hAnsi="Arial" w:cs="Arial"/>
                <w:sz w:val="24"/>
                <w:szCs w:val="24"/>
              </w:rPr>
              <w:t>22</w:t>
            </w:r>
            <w:r w:rsidR="00136505" w:rsidRPr="004A5618">
              <w:rPr>
                <w:rFonts w:ascii="Arial" w:hAnsi="Arial" w:cs="Arial"/>
                <w:sz w:val="24"/>
                <w:szCs w:val="24"/>
              </w:rPr>
              <w:t xml:space="preserve"> </w:t>
            </w:r>
            <w:r w:rsidR="00C10CAA">
              <w:rPr>
                <w:rFonts w:ascii="Arial" w:hAnsi="Arial" w:cs="Arial"/>
                <w:sz w:val="24"/>
                <w:szCs w:val="24"/>
              </w:rPr>
              <w:t>November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6CAAE0BF" w14:textId="7A93E6BE" w:rsidR="001D7162" w:rsidRDefault="001D7162" w:rsidP="001D7162">
            <w:pPr>
              <w:pStyle w:val="ListParagraph"/>
              <w:numPr>
                <w:ilvl w:val="0"/>
                <w:numId w:val="28"/>
              </w:numPr>
              <w:spacing w:line="360" w:lineRule="auto"/>
              <w:ind w:left="743" w:hanging="710"/>
              <w:jc w:val="both"/>
              <w:rPr>
                <w:rFonts w:ascii="Arial" w:hAnsi="Arial" w:cs="Arial"/>
                <w:sz w:val="24"/>
                <w:szCs w:val="24"/>
              </w:rPr>
            </w:pPr>
            <w:r w:rsidRPr="0022676A">
              <w:rPr>
                <w:rFonts w:ascii="Arial" w:hAnsi="Arial" w:cs="Arial"/>
                <w:sz w:val="24"/>
                <w:szCs w:val="24"/>
              </w:rPr>
              <w:t>The application is dismissed.</w:t>
            </w:r>
          </w:p>
          <w:p w14:paraId="727CF7A5" w14:textId="77777777" w:rsidR="001D7162" w:rsidRPr="0022676A" w:rsidRDefault="001D7162" w:rsidP="001D7162">
            <w:pPr>
              <w:pStyle w:val="ListParagraph"/>
              <w:spacing w:line="360" w:lineRule="auto"/>
              <w:ind w:left="743"/>
              <w:jc w:val="both"/>
              <w:rPr>
                <w:rFonts w:ascii="Arial" w:hAnsi="Arial" w:cs="Arial"/>
                <w:sz w:val="24"/>
                <w:szCs w:val="24"/>
              </w:rPr>
            </w:pPr>
          </w:p>
          <w:p w14:paraId="3F356350" w14:textId="77777777" w:rsidR="001D7162" w:rsidRDefault="001D7162" w:rsidP="001D7162">
            <w:pPr>
              <w:pStyle w:val="ListParagraph"/>
              <w:numPr>
                <w:ilvl w:val="0"/>
                <w:numId w:val="28"/>
              </w:numPr>
              <w:spacing w:line="360" w:lineRule="auto"/>
              <w:ind w:left="743" w:hanging="710"/>
              <w:jc w:val="both"/>
              <w:rPr>
                <w:rFonts w:ascii="Arial" w:hAnsi="Arial" w:cs="Arial"/>
                <w:sz w:val="24"/>
                <w:szCs w:val="24"/>
              </w:rPr>
            </w:pPr>
            <w:r w:rsidRPr="0022676A">
              <w:rPr>
                <w:rFonts w:ascii="Arial" w:hAnsi="Arial" w:cs="Arial"/>
                <w:sz w:val="24"/>
                <w:szCs w:val="24"/>
              </w:rPr>
              <w:t>There is no order as to costs.</w:t>
            </w:r>
          </w:p>
          <w:p w14:paraId="7E2FBCF7" w14:textId="77777777" w:rsidR="001D7162" w:rsidRDefault="001D7162" w:rsidP="001D7162">
            <w:pPr>
              <w:pStyle w:val="ListParagraph"/>
              <w:spacing w:line="360" w:lineRule="auto"/>
              <w:ind w:left="743"/>
              <w:jc w:val="both"/>
              <w:rPr>
                <w:rFonts w:ascii="Arial" w:hAnsi="Arial" w:cs="Arial"/>
                <w:sz w:val="24"/>
                <w:szCs w:val="24"/>
              </w:rPr>
            </w:pPr>
          </w:p>
          <w:p w14:paraId="087145D2" w14:textId="77777777" w:rsidR="001D7162" w:rsidRPr="0022676A" w:rsidRDefault="001D7162" w:rsidP="001D7162">
            <w:pPr>
              <w:pStyle w:val="ListParagraph"/>
              <w:numPr>
                <w:ilvl w:val="0"/>
                <w:numId w:val="28"/>
              </w:numPr>
              <w:spacing w:line="360" w:lineRule="auto"/>
              <w:ind w:left="743" w:hanging="710"/>
              <w:jc w:val="both"/>
              <w:rPr>
                <w:rFonts w:ascii="Arial" w:hAnsi="Arial" w:cs="Arial"/>
                <w:sz w:val="24"/>
                <w:szCs w:val="24"/>
              </w:rPr>
            </w:pPr>
            <w:r w:rsidRPr="0022676A">
              <w:rPr>
                <w:rFonts w:ascii="Arial" w:hAnsi="Arial" w:cs="Arial"/>
                <w:sz w:val="24"/>
                <w:szCs w:val="24"/>
              </w:rPr>
              <w:t>The matter is finalised and removed from the roll.</w:t>
            </w:r>
          </w:p>
          <w:p w14:paraId="1D7360B2" w14:textId="0F7A94CB"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28BCF87C"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19F2A3C1" w14:textId="4891E249" w:rsidR="004232DF" w:rsidRDefault="00B32493" w:rsidP="00333796">
            <w:pPr>
              <w:spacing w:line="360" w:lineRule="auto"/>
              <w:jc w:val="both"/>
              <w:rPr>
                <w:rFonts w:ascii="Arial" w:hAnsi="Arial" w:cs="Arial"/>
                <w:sz w:val="24"/>
                <w:szCs w:val="24"/>
              </w:rPr>
            </w:pPr>
            <w:r w:rsidRPr="004A5618">
              <w:rPr>
                <w:rFonts w:ascii="Arial" w:hAnsi="Arial" w:cs="Arial"/>
                <w:sz w:val="24"/>
                <w:szCs w:val="24"/>
              </w:rPr>
              <w:t>[1]</w:t>
            </w:r>
            <w:r w:rsidRPr="004A5618">
              <w:rPr>
                <w:rFonts w:ascii="Arial" w:hAnsi="Arial" w:cs="Arial"/>
                <w:sz w:val="24"/>
                <w:szCs w:val="24"/>
              </w:rPr>
              <w:tab/>
            </w:r>
            <w:r w:rsidR="00710E0D">
              <w:rPr>
                <w:rFonts w:ascii="Arial" w:hAnsi="Arial" w:cs="Arial"/>
                <w:sz w:val="24"/>
                <w:szCs w:val="24"/>
              </w:rPr>
              <w:t>Before the court is an application to-</w:t>
            </w:r>
          </w:p>
          <w:p w14:paraId="1FA2EFFA" w14:textId="77777777" w:rsidR="00710E0D" w:rsidRDefault="00710E0D" w:rsidP="00333796">
            <w:pPr>
              <w:spacing w:line="360" w:lineRule="auto"/>
              <w:jc w:val="both"/>
              <w:rPr>
                <w:rFonts w:ascii="Arial" w:hAnsi="Arial" w:cs="Arial"/>
                <w:sz w:val="24"/>
                <w:szCs w:val="24"/>
              </w:rPr>
            </w:pPr>
          </w:p>
          <w:p w14:paraId="6097E229" w14:textId="28047A56" w:rsidR="00710E0D" w:rsidRDefault="00710E0D" w:rsidP="00710E0D">
            <w:pPr>
              <w:pStyle w:val="ListParagraph"/>
              <w:numPr>
                <w:ilvl w:val="0"/>
                <w:numId w:val="27"/>
              </w:numPr>
              <w:spacing w:line="360" w:lineRule="auto"/>
              <w:ind w:left="33" w:firstLine="0"/>
              <w:jc w:val="both"/>
              <w:rPr>
                <w:rFonts w:ascii="Arial" w:hAnsi="Arial" w:cs="Arial"/>
                <w:sz w:val="24"/>
                <w:szCs w:val="24"/>
              </w:rPr>
            </w:pPr>
            <w:r w:rsidRPr="00710E0D">
              <w:rPr>
                <w:rFonts w:ascii="Arial" w:hAnsi="Arial" w:cs="Arial"/>
                <w:sz w:val="24"/>
                <w:szCs w:val="24"/>
              </w:rPr>
              <w:t>condone the applicant’s late filing of its appeal registered under Case No. MD-LAB-AP</w:t>
            </w:r>
            <w:r w:rsidR="00993F7F">
              <w:rPr>
                <w:rFonts w:ascii="Arial" w:hAnsi="Arial" w:cs="Arial"/>
                <w:sz w:val="24"/>
                <w:szCs w:val="24"/>
              </w:rPr>
              <w:t>P</w:t>
            </w:r>
            <w:r w:rsidRPr="00710E0D">
              <w:rPr>
                <w:rFonts w:ascii="Arial" w:hAnsi="Arial" w:cs="Arial"/>
                <w:sz w:val="24"/>
                <w:szCs w:val="24"/>
              </w:rPr>
              <w:t>-AAA-2023/00026;</w:t>
            </w:r>
          </w:p>
          <w:p w14:paraId="4ED60B2F" w14:textId="77777777" w:rsidR="00993F7F" w:rsidRPr="00710E0D" w:rsidRDefault="00993F7F" w:rsidP="00993F7F">
            <w:pPr>
              <w:pStyle w:val="ListParagraph"/>
              <w:spacing w:line="360" w:lineRule="auto"/>
              <w:ind w:left="33"/>
              <w:jc w:val="both"/>
              <w:rPr>
                <w:rFonts w:ascii="Arial" w:hAnsi="Arial" w:cs="Arial"/>
                <w:sz w:val="24"/>
                <w:szCs w:val="24"/>
              </w:rPr>
            </w:pPr>
          </w:p>
          <w:p w14:paraId="0E1D709D" w14:textId="0477F108" w:rsidR="00710E0D" w:rsidRDefault="00710E0D" w:rsidP="00710E0D">
            <w:pPr>
              <w:pStyle w:val="ListParagraph"/>
              <w:numPr>
                <w:ilvl w:val="0"/>
                <w:numId w:val="27"/>
              </w:numPr>
              <w:spacing w:line="360" w:lineRule="auto"/>
              <w:ind w:left="33" w:firstLine="0"/>
              <w:jc w:val="both"/>
              <w:rPr>
                <w:rFonts w:ascii="Arial" w:hAnsi="Arial" w:cs="Arial"/>
                <w:sz w:val="24"/>
                <w:szCs w:val="24"/>
              </w:rPr>
            </w:pPr>
            <w:r>
              <w:rPr>
                <w:rFonts w:ascii="Arial" w:hAnsi="Arial" w:cs="Arial"/>
                <w:sz w:val="24"/>
                <w:szCs w:val="24"/>
              </w:rPr>
              <w:t xml:space="preserve">reinstate the appeal lodged under Case No. </w:t>
            </w:r>
            <w:r w:rsidRPr="00710E0D">
              <w:rPr>
                <w:rFonts w:ascii="Arial" w:hAnsi="Arial" w:cs="Arial"/>
                <w:sz w:val="24"/>
                <w:szCs w:val="24"/>
              </w:rPr>
              <w:t>MD-LAB-AP</w:t>
            </w:r>
            <w:r w:rsidR="00993F7F">
              <w:rPr>
                <w:rFonts w:ascii="Arial" w:hAnsi="Arial" w:cs="Arial"/>
                <w:sz w:val="24"/>
                <w:szCs w:val="24"/>
              </w:rPr>
              <w:t>P</w:t>
            </w:r>
            <w:r w:rsidRPr="00710E0D">
              <w:rPr>
                <w:rFonts w:ascii="Arial" w:hAnsi="Arial" w:cs="Arial"/>
                <w:sz w:val="24"/>
                <w:szCs w:val="24"/>
              </w:rPr>
              <w:t>-AAA-2023/00026</w:t>
            </w:r>
            <w:r>
              <w:rPr>
                <w:rFonts w:ascii="Arial" w:hAnsi="Arial" w:cs="Arial"/>
                <w:sz w:val="24"/>
                <w:szCs w:val="24"/>
              </w:rPr>
              <w:t>;</w:t>
            </w:r>
          </w:p>
          <w:p w14:paraId="0866630D" w14:textId="77777777" w:rsidR="00993F7F" w:rsidRDefault="00993F7F" w:rsidP="00993F7F">
            <w:pPr>
              <w:pStyle w:val="ListParagraph"/>
              <w:spacing w:line="360" w:lineRule="auto"/>
              <w:ind w:left="33"/>
              <w:jc w:val="both"/>
              <w:rPr>
                <w:rFonts w:ascii="Arial" w:hAnsi="Arial" w:cs="Arial"/>
                <w:sz w:val="24"/>
                <w:szCs w:val="24"/>
              </w:rPr>
            </w:pPr>
          </w:p>
          <w:p w14:paraId="775DC1FB" w14:textId="6F1CD754" w:rsidR="00710E0D" w:rsidRPr="00710E0D" w:rsidRDefault="00710E0D" w:rsidP="00710E0D">
            <w:pPr>
              <w:pStyle w:val="ListParagraph"/>
              <w:numPr>
                <w:ilvl w:val="0"/>
                <w:numId w:val="27"/>
              </w:numPr>
              <w:spacing w:line="360" w:lineRule="auto"/>
              <w:ind w:left="33" w:firstLine="0"/>
              <w:jc w:val="both"/>
              <w:rPr>
                <w:rFonts w:ascii="Arial" w:hAnsi="Arial" w:cs="Arial"/>
                <w:sz w:val="24"/>
                <w:szCs w:val="24"/>
              </w:rPr>
            </w:pPr>
            <w:r>
              <w:rPr>
                <w:rFonts w:ascii="Arial" w:hAnsi="Arial" w:cs="Arial"/>
                <w:sz w:val="24"/>
                <w:szCs w:val="24"/>
              </w:rPr>
              <w:t>extend the prescribed 90 days to prosecute the appeal.</w:t>
            </w:r>
          </w:p>
          <w:p w14:paraId="03FEB3BA" w14:textId="42637263" w:rsidR="00B45E7F" w:rsidRPr="004A2855" w:rsidRDefault="007204DC" w:rsidP="00B32493">
            <w:pPr>
              <w:spacing w:line="360" w:lineRule="auto"/>
              <w:jc w:val="both"/>
              <w:rPr>
                <w:rFonts w:ascii="Arial" w:hAnsi="Arial" w:cs="Arial"/>
              </w:rPr>
            </w:pPr>
            <w:r w:rsidRPr="00EE4364">
              <w:rPr>
                <w:rFonts w:ascii="Arial" w:hAnsi="Arial" w:cs="Arial"/>
              </w:rPr>
              <w:tab/>
            </w:r>
          </w:p>
          <w:p w14:paraId="1045FEE1" w14:textId="0DE00B1A" w:rsidR="00E847D9" w:rsidRPr="009222E7" w:rsidRDefault="00B32493" w:rsidP="00333796">
            <w:pPr>
              <w:spacing w:line="360" w:lineRule="auto"/>
              <w:jc w:val="both"/>
              <w:rPr>
                <w:rFonts w:ascii="Arial" w:hAnsi="Arial" w:cs="Arial"/>
              </w:rPr>
            </w:pPr>
            <w:r w:rsidRPr="004A5618">
              <w:rPr>
                <w:rFonts w:ascii="Arial" w:hAnsi="Arial" w:cs="Arial"/>
                <w:sz w:val="24"/>
                <w:szCs w:val="24"/>
              </w:rPr>
              <w:t>[2]</w:t>
            </w:r>
            <w:r w:rsidRPr="004A5618">
              <w:rPr>
                <w:rFonts w:ascii="Arial" w:hAnsi="Arial" w:cs="Arial"/>
                <w:sz w:val="24"/>
                <w:szCs w:val="24"/>
              </w:rPr>
              <w:tab/>
            </w:r>
            <w:r w:rsidR="00710E0D">
              <w:rPr>
                <w:rFonts w:ascii="Arial" w:hAnsi="Arial" w:cs="Arial"/>
                <w:sz w:val="24"/>
                <w:szCs w:val="24"/>
              </w:rPr>
              <w:t>The applicant (the employer) is represented by Mr Horn. The first respondent, represented by Mr Ikanga, has moved to reject the application.</w:t>
            </w:r>
          </w:p>
          <w:p w14:paraId="18DB7461" w14:textId="77777777" w:rsidR="001011B6" w:rsidRDefault="001011B6" w:rsidP="00B32493">
            <w:pPr>
              <w:spacing w:line="360" w:lineRule="auto"/>
              <w:jc w:val="both"/>
              <w:rPr>
                <w:rFonts w:ascii="Arial" w:hAnsi="Arial" w:cs="Arial"/>
                <w:sz w:val="24"/>
                <w:szCs w:val="24"/>
              </w:rPr>
            </w:pPr>
          </w:p>
          <w:p w14:paraId="6C463DEA" w14:textId="1649B08B" w:rsidR="001011B6" w:rsidRDefault="001011B6" w:rsidP="00C834FA">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00354AF8">
              <w:rPr>
                <w:rFonts w:ascii="Arial" w:hAnsi="Arial" w:cs="Arial"/>
                <w:sz w:val="24"/>
                <w:szCs w:val="24"/>
              </w:rPr>
              <w:t xml:space="preserve">For such application, I cannot do any better than to rehearse what the Supreme Court stated in </w:t>
            </w:r>
            <w:r w:rsidR="00354AF8" w:rsidRPr="00993F7F">
              <w:rPr>
                <w:rFonts w:ascii="Arial" w:hAnsi="Arial" w:cs="Arial"/>
                <w:i/>
                <w:sz w:val="24"/>
                <w:szCs w:val="24"/>
              </w:rPr>
              <w:t>Balzer v Vries</w:t>
            </w:r>
            <w:r w:rsidR="00354AF8">
              <w:rPr>
                <w:rFonts w:ascii="Arial" w:hAnsi="Arial" w:cs="Arial"/>
                <w:sz w:val="24"/>
                <w:szCs w:val="24"/>
              </w:rPr>
              <w:t>:</w:t>
            </w:r>
          </w:p>
          <w:p w14:paraId="24067E31" w14:textId="77777777" w:rsidR="00354AF8" w:rsidRDefault="00354AF8" w:rsidP="00C834FA">
            <w:pPr>
              <w:spacing w:line="360" w:lineRule="auto"/>
              <w:jc w:val="both"/>
              <w:rPr>
                <w:rFonts w:ascii="Arial" w:hAnsi="Arial" w:cs="Arial"/>
                <w:sz w:val="24"/>
                <w:szCs w:val="24"/>
              </w:rPr>
            </w:pPr>
          </w:p>
          <w:p w14:paraId="6283D75C" w14:textId="77777777" w:rsidR="00354AF8" w:rsidRPr="003E29B3" w:rsidRDefault="00354AF8" w:rsidP="00C834FA">
            <w:pPr>
              <w:spacing w:line="360" w:lineRule="auto"/>
              <w:jc w:val="both"/>
              <w:rPr>
                <w:rFonts w:ascii="Arial" w:hAnsi="Arial" w:cs="Arial"/>
              </w:rPr>
            </w:pPr>
            <w:r w:rsidRPr="004A5618">
              <w:rPr>
                <w:rFonts w:ascii="Arial" w:hAnsi="Arial" w:cs="Arial"/>
                <w:sz w:val="24"/>
                <w:szCs w:val="24"/>
              </w:rPr>
              <w:tab/>
            </w:r>
            <w:r w:rsidRPr="003E29B3">
              <w:rPr>
                <w:rFonts w:ascii="Arial" w:hAnsi="Arial" w:cs="Arial"/>
              </w:rPr>
              <w:t xml:space="preserve">‘[20] </w:t>
            </w:r>
            <w:r w:rsidRPr="003E29B3">
              <w:rPr>
                <w:rFonts w:ascii="Arial" w:hAnsi="Arial" w:cs="Arial"/>
              </w:rPr>
              <w:tab/>
              <w:t>It is well settled that an application for condonation is required to meet the two requisites of good cause before he or she can succeed in such an application.  These entail firstly establishing a reasonable and acceptable explanation for the delay and secondly satisfying the court that there are reasonable prospects of success on appeal.</w:t>
            </w:r>
          </w:p>
          <w:p w14:paraId="00154370" w14:textId="77777777" w:rsidR="00354AF8" w:rsidRPr="003E29B3" w:rsidRDefault="00354AF8" w:rsidP="00C834FA">
            <w:pPr>
              <w:spacing w:line="360" w:lineRule="auto"/>
              <w:jc w:val="both"/>
              <w:rPr>
                <w:rFonts w:ascii="Arial" w:hAnsi="Arial" w:cs="Arial"/>
              </w:rPr>
            </w:pPr>
          </w:p>
          <w:p w14:paraId="58F6E5BA" w14:textId="77777777" w:rsidR="00354AF8" w:rsidRPr="003E29B3" w:rsidRDefault="00354AF8" w:rsidP="00C834FA">
            <w:pPr>
              <w:spacing w:line="360" w:lineRule="auto"/>
              <w:jc w:val="both"/>
              <w:rPr>
                <w:rFonts w:ascii="Arial" w:hAnsi="Arial" w:cs="Arial"/>
              </w:rPr>
            </w:pPr>
            <w:r w:rsidRPr="003E29B3">
              <w:rPr>
                <w:rFonts w:ascii="Arial" w:hAnsi="Arial" w:cs="Arial"/>
              </w:rPr>
              <w:t xml:space="preserve">[21] </w:t>
            </w:r>
            <w:r w:rsidRPr="003E29B3">
              <w:rPr>
                <w:rFonts w:ascii="Arial" w:hAnsi="Arial" w:cs="Arial"/>
              </w:rPr>
              <w:tab/>
              <w:t>This court recently usefully summarised the jurisprudence of this court on the subject of condonation applications in the following way:</w:t>
            </w:r>
          </w:p>
          <w:p w14:paraId="004E4F90" w14:textId="77777777" w:rsidR="00354AF8" w:rsidRPr="003E29B3" w:rsidRDefault="00354AF8" w:rsidP="00C834FA">
            <w:pPr>
              <w:spacing w:line="360" w:lineRule="auto"/>
              <w:jc w:val="both"/>
              <w:rPr>
                <w:rFonts w:ascii="Arial" w:hAnsi="Arial" w:cs="Arial"/>
              </w:rPr>
            </w:pPr>
          </w:p>
          <w:p w14:paraId="1BD84FE0" w14:textId="450041C7" w:rsidR="00354AF8" w:rsidRPr="003E29B3" w:rsidRDefault="00354AF8" w:rsidP="007E2F91">
            <w:pPr>
              <w:spacing w:line="360" w:lineRule="auto"/>
              <w:ind w:left="33" w:firstLine="710"/>
              <w:jc w:val="both"/>
              <w:rPr>
                <w:rFonts w:ascii="Arial" w:hAnsi="Arial" w:cs="Arial"/>
              </w:rPr>
            </w:pPr>
            <w:r w:rsidRPr="003E29B3">
              <w:rPr>
                <w:rFonts w:ascii="Arial" w:hAnsi="Arial" w:cs="Arial"/>
              </w:rPr>
              <w:t>“The application for condonation must thus be lodged without delay, and must provide a full, detailed and accurate explanation for it.  This court has also recently considered the range of factors relevant to determining whether an application for condonation for the late filing of an appeal should be granted.  They include-</w:t>
            </w:r>
          </w:p>
          <w:p w14:paraId="59AD52D2" w14:textId="77777777" w:rsidR="00354AF8" w:rsidRPr="003E29B3" w:rsidRDefault="00354AF8" w:rsidP="00C834FA">
            <w:pPr>
              <w:spacing w:line="360" w:lineRule="auto"/>
              <w:jc w:val="both"/>
              <w:rPr>
                <w:rFonts w:ascii="Arial" w:hAnsi="Arial" w:cs="Arial"/>
              </w:rPr>
            </w:pPr>
          </w:p>
          <w:p w14:paraId="437B5432" w14:textId="5246A401" w:rsidR="00037236" w:rsidRPr="003E29B3" w:rsidRDefault="00354AF8" w:rsidP="007E2F91">
            <w:pPr>
              <w:spacing w:line="360" w:lineRule="auto"/>
              <w:ind w:left="743"/>
              <w:jc w:val="both"/>
              <w:rPr>
                <w:rFonts w:ascii="Arial" w:hAnsi="Arial" w:cs="Arial"/>
              </w:rPr>
            </w:pPr>
            <w:r w:rsidRPr="003E29B3">
              <w:rPr>
                <w:rFonts w:ascii="Arial" w:hAnsi="Arial" w:cs="Arial"/>
              </w:rPr>
              <w:t>the extent of the non-compliance with the rule in question, the reasonableness of the explanation offered for the non-compliance, the bona fides of the application, the prospects of success on the merits of t</w:t>
            </w:r>
            <w:r w:rsidR="00993F7F" w:rsidRPr="003E29B3">
              <w:rPr>
                <w:rFonts w:ascii="Arial" w:hAnsi="Arial" w:cs="Arial"/>
              </w:rPr>
              <w:t>h</w:t>
            </w:r>
            <w:r w:rsidRPr="003E29B3">
              <w:rPr>
                <w:rFonts w:ascii="Arial" w:hAnsi="Arial" w:cs="Arial"/>
              </w:rPr>
              <w:t>e case,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p>
          <w:p w14:paraId="294EBB93" w14:textId="77777777" w:rsidR="00037236" w:rsidRPr="003E29B3" w:rsidRDefault="00037236" w:rsidP="00C834FA">
            <w:pPr>
              <w:spacing w:line="360" w:lineRule="auto"/>
              <w:jc w:val="both"/>
              <w:rPr>
                <w:rFonts w:ascii="Arial" w:hAnsi="Arial" w:cs="Arial"/>
              </w:rPr>
            </w:pPr>
          </w:p>
          <w:p w14:paraId="0616E94E" w14:textId="24AAA2A8" w:rsidR="00354AF8" w:rsidRPr="003E29B3" w:rsidRDefault="00A7774E" w:rsidP="00993F7F">
            <w:pPr>
              <w:spacing w:line="360" w:lineRule="auto"/>
              <w:ind w:left="743"/>
              <w:jc w:val="both"/>
              <w:rPr>
                <w:rFonts w:ascii="Arial" w:hAnsi="Arial" w:cs="Arial"/>
              </w:rPr>
            </w:pPr>
            <w:r w:rsidRPr="003E29B3">
              <w:rPr>
                <w:rFonts w:ascii="Arial" w:hAnsi="Arial" w:cs="Arial"/>
              </w:rPr>
              <w:lastRenderedPageBreak/>
              <w:t xml:space="preserve">‘These factors are not individually determinative, but must be weighed, one against the other.  Nor will all the factors necessarily be considered in each case.  There are times, for example, where this court has held that it will not consider the prospects of success in determining the application because </w:t>
            </w:r>
            <w:r w:rsidR="00993F7F" w:rsidRPr="003E29B3">
              <w:rPr>
                <w:rFonts w:ascii="Arial" w:hAnsi="Arial" w:cs="Arial"/>
              </w:rPr>
              <w:t xml:space="preserve">the </w:t>
            </w:r>
            <w:r w:rsidRPr="003E29B3">
              <w:rPr>
                <w:rFonts w:ascii="Arial" w:hAnsi="Arial" w:cs="Arial"/>
              </w:rPr>
              <w:t>non-compliance with the rules has been glaring, flagrant and inexplicable.’</w:t>
            </w:r>
            <w:r w:rsidR="00693260" w:rsidRPr="003E29B3">
              <w:rPr>
                <w:rStyle w:val="FootnoteReference"/>
                <w:rFonts w:ascii="Arial" w:hAnsi="Arial" w:cs="Arial"/>
              </w:rPr>
              <w:footnoteReference w:id="1"/>
            </w:r>
            <w:r w:rsidR="00354AF8" w:rsidRPr="003E29B3">
              <w:rPr>
                <w:rFonts w:ascii="Arial" w:hAnsi="Arial" w:cs="Arial"/>
              </w:rPr>
              <w:t xml:space="preserve"> </w:t>
            </w:r>
          </w:p>
          <w:p w14:paraId="360C6150" w14:textId="746BF9BF" w:rsidR="001011B6" w:rsidRDefault="001011B6" w:rsidP="00B32493">
            <w:pPr>
              <w:spacing w:line="360" w:lineRule="auto"/>
              <w:jc w:val="both"/>
              <w:rPr>
                <w:rFonts w:ascii="Arial" w:hAnsi="Arial" w:cs="Arial"/>
                <w:sz w:val="24"/>
                <w:szCs w:val="24"/>
              </w:rPr>
            </w:pPr>
          </w:p>
          <w:p w14:paraId="57EE7A7F" w14:textId="2F2ED56D" w:rsidR="002850A3"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ab/>
            </w:r>
            <w:r w:rsidR="00C43E50">
              <w:rPr>
                <w:rFonts w:ascii="Arial" w:hAnsi="Arial" w:cs="Arial"/>
                <w:sz w:val="24"/>
                <w:szCs w:val="24"/>
              </w:rPr>
              <w:t>The overarching consideration which the court should not overlook when seized with an application to condone the non-compliance with a rule has been propound</w:t>
            </w:r>
            <w:r w:rsidR="005D4C34">
              <w:rPr>
                <w:rFonts w:ascii="Arial" w:hAnsi="Arial" w:cs="Arial"/>
                <w:sz w:val="24"/>
                <w:szCs w:val="24"/>
              </w:rPr>
              <w:t>e</w:t>
            </w:r>
            <w:r w:rsidR="00C43E50">
              <w:rPr>
                <w:rFonts w:ascii="Arial" w:hAnsi="Arial" w:cs="Arial"/>
                <w:sz w:val="24"/>
                <w:szCs w:val="24"/>
              </w:rPr>
              <w:t xml:space="preserve">d by the Supreme Court in the recent case of </w:t>
            </w:r>
            <w:r w:rsidR="00C43E50" w:rsidRPr="005D4C34">
              <w:rPr>
                <w:rFonts w:ascii="Arial" w:hAnsi="Arial" w:cs="Arial"/>
                <w:i/>
                <w:sz w:val="24"/>
                <w:szCs w:val="24"/>
              </w:rPr>
              <w:t>Solsquire Energy (Pty) Ltd v Luhl</w:t>
            </w:r>
            <w:r w:rsidR="00C43E50">
              <w:rPr>
                <w:rFonts w:ascii="Arial" w:hAnsi="Arial" w:cs="Arial"/>
                <w:sz w:val="24"/>
                <w:szCs w:val="24"/>
              </w:rPr>
              <w:t xml:space="preserve"> where the court stated:</w:t>
            </w:r>
          </w:p>
          <w:p w14:paraId="0C402A64" w14:textId="77777777" w:rsidR="00C43E50" w:rsidRDefault="00C43E50" w:rsidP="002850A3">
            <w:pPr>
              <w:spacing w:line="360" w:lineRule="auto"/>
              <w:jc w:val="both"/>
              <w:rPr>
                <w:rFonts w:ascii="Arial" w:hAnsi="Arial" w:cs="Arial"/>
                <w:sz w:val="24"/>
                <w:szCs w:val="24"/>
              </w:rPr>
            </w:pPr>
          </w:p>
          <w:p w14:paraId="64BC7051" w14:textId="5066C757" w:rsidR="00C43E50" w:rsidRPr="005D4C34" w:rsidRDefault="00C43E50" w:rsidP="002850A3">
            <w:pPr>
              <w:spacing w:line="360" w:lineRule="auto"/>
              <w:jc w:val="both"/>
              <w:rPr>
                <w:rFonts w:ascii="Arial" w:hAnsi="Arial" w:cs="Arial"/>
              </w:rPr>
            </w:pPr>
            <w:r w:rsidRPr="004A5618">
              <w:rPr>
                <w:rFonts w:ascii="Arial" w:hAnsi="Arial" w:cs="Arial"/>
                <w:sz w:val="24"/>
                <w:szCs w:val="24"/>
              </w:rPr>
              <w:tab/>
            </w:r>
            <w:r w:rsidRPr="005D4C34">
              <w:rPr>
                <w:rFonts w:ascii="Arial" w:hAnsi="Arial" w:cs="Arial"/>
              </w:rPr>
              <w:t xml:space="preserve">‘[68] </w:t>
            </w:r>
            <w:r w:rsidRPr="005D4C34">
              <w:rPr>
                <w:rFonts w:ascii="Arial" w:hAnsi="Arial" w:cs="Arial"/>
              </w:rPr>
              <w:tab/>
              <w:t>In the determination of what constitutes “good cause”, the court would consider the facts and circumstances of each particular application in the exercise of its judicial discretion.’</w:t>
            </w:r>
            <w:r w:rsidRPr="005D4C34">
              <w:rPr>
                <w:rStyle w:val="FootnoteReference"/>
                <w:rFonts w:ascii="Arial" w:hAnsi="Arial" w:cs="Arial"/>
              </w:rPr>
              <w:footnoteReference w:id="2"/>
            </w:r>
          </w:p>
          <w:p w14:paraId="40BBB4AA" w14:textId="77777777" w:rsidR="008E74B0" w:rsidRDefault="008E74B0" w:rsidP="002850A3">
            <w:pPr>
              <w:spacing w:line="360" w:lineRule="auto"/>
              <w:jc w:val="both"/>
              <w:rPr>
                <w:rFonts w:ascii="Arial" w:hAnsi="Arial" w:cs="Arial"/>
                <w:sz w:val="24"/>
                <w:szCs w:val="24"/>
              </w:rPr>
            </w:pPr>
          </w:p>
          <w:p w14:paraId="6D65038C" w14:textId="787782DC" w:rsidR="00BE4F57" w:rsidRPr="00663770" w:rsidRDefault="00B32493" w:rsidP="00DC6B2A">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1C44E2">
              <w:rPr>
                <w:rFonts w:ascii="Arial" w:hAnsi="Arial" w:cs="Arial"/>
                <w:sz w:val="24"/>
                <w:szCs w:val="24"/>
              </w:rPr>
              <w:t>Keeping the foregoing principles and approaches in my mind’s eye, I proceed to consider the application. In the instant application, two superlatively important aspects ought to carry great weight in weighing the considerations in paras 3 and 4 above, one against the other.  They are discussed in the succeeding para 6.</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1BE41B0C"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1C44E2">
              <w:rPr>
                <w:rFonts w:ascii="Arial" w:hAnsi="Arial" w:cs="Arial"/>
                <w:sz w:val="24"/>
                <w:szCs w:val="24"/>
              </w:rPr>
              <w:t>The respondent’s interest in the finality of the award and the avoidance of unnecessary delay are paramount.  The Supreme Court has stated categorically that labour disputes ought to be disposed of expeditiously.</w:t>
            </w:r>
            <w:r w:rsidR="001C44E2">
              <w:rPr>
                <w:rStyle w:val="FootnoteReference"/>
                <w:rFonts w:ascii="Arial" w:hAnsi="Arial" w:cs="Arial"/>
                <w:sz w:val="24"/>
                <w:szCs w:val="24"/>
              </w:rPr>
              <w:footnoteReference w:id="3"/>
            </w:r>
            <w:r w:rsidR="001C44E2">
              <w:rPr>
                <w:rFonts w:ascii="Arial" w:hAnsi="Arial" w:cs="Arial"/>
                <w:sz w:val="24"/>
                <w:szCs w:val="24"/>
              </w:rPr>
              <w:t xml:space="preserve">  In the instant matter, the award sought to be appealed from was granted on 6 March 2023 and it came to the attention of the applicant employer the same day.  The applicant noted its appeal on 6 April 2023.  I hold that the appeal was noted out of time in terms of s 89(2) of the Labour Act 11 of 2007 (‘the LA’), read with rule 1 of the Labour Court Rules (‘the rules’), as Mr Ikanga submitted.  The word ‘day’ in rule 1 of the rules means a ‘calendar’ day, and a ‘calendar day’ is reckoned according </w:t>
            </w:r>
            <w:r w:rsidR="00721F98">
              <w:rPr>
                <w:rFonts w:ascii="Arial" w:hAnsi="Arial" w:cs="Arial"/>
                <w:sz w:val="24"/>
                <w:szCs w:val="24"/>
              </w:rPr>
              <w:t xml:space="preserve">to </w:t>
            </w:r>
            <w:r w:rsidR="001C44E2">
              <w:rPr>
                <w:rFonts w:ascii="Arial" w:hAnsi="Arial" w:cs="Arial"/>
                <w:sz w:val="24"/>
                <w:szCs w:val="24"/>
              </w:rPr>
              <w:t>the calendar.</w:t>
            </w:r>
            <w:r w:rsidR="001C44E2">
              <w:rPr>
                <w:rStyle w:val="FootnoteReference"/>
                <w:rFonts w:ascii="Arial" w:hAnsi="Arial" w:cs="Arial"/>
                <w:sz w:val="24"/>
                <w:szCs w:val="24"/>
              </w:rPr>
              <w:footnoteReference w:id="4"/>
            </w:r>
          </w:p>
          <w:p w14:paraId="1682A39E" w14:textId="77777777" w:rsidR="00E53C47" w:rsidRDefault="00E53C47" w:rsidP="008E5E3D">
            <w:pPr>
              <w:spacing w:line="360" w:lineRule="auto"/>
              <w:jc w:val="both"/>
              <w:rPr>
                <w:rFonts w:ascii="Arial" w:hAnsi="Arial" w:cs="Arial"/>
                <w:sz w:val="24"/>
                <w:szCs w:val="24"/>
              </w:rPr>
            </w:pPr>
          </w:p>
          <w:p w14:paraId="4D437C49" w14:textId="18EE6F35"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B220E6">
              <w:rPr>
                <w:rFonts w:ascii="Arial" w:hAnsi="Arial" w:cs="Arial"/>
                <w:sz w:val="24"/>
                <w:szCs w:val="24"/>
              </w:rPr>
              <w:t>I have carefully pored over all the passages in the applicant’s founding affidavit aimed at satisfying the first requisite of good cause.</w:t>
            </w:r>
            <w:r w:rsidR="00B220E6">
              <w:rPr>
                <w:rStyle w:val="FootnoteReference"/>
                <w:rFonts w:ascii="Arial" w:hAnsi="Arial" w:cs="Arial"/>
                <w:sz w:val="24"/>
                <w:szCs w:val="24"/>
              </w:rPr>
              <w:footnoteReference w:id="5"/>
            </w:r>
            <w:r w:rsidR="00B220E6">
              <w:rPr>
                <w:rFonts w:ascii="Arial" w:hAnsi="Arial" w:cs="Arial"/>
                <w:sz w:val="24"/>
                <w:szCs w:val="24"/>
              </w:rPr>
              <w:t xml:space="preserve">  I find that not one iota of an acceptable explanation has been given to explain the applicant’s total inaction between 6 March 2023 (when the award was served on it) and 5 April 2023, that is, the last day of the aforesaid time limit within which the appeal ought to have been noted in terms of </w:t>
            </w:r>
            <w:r w:rsidR="00721F98">
              <w:rPr>
                <w:rFonts w:ascii="Arial" w:hAnsi="Arial" w:cs="Arial"/>
                <w:sz w:val="24"/>
                <w:szCs w:val="24"/>
              </w:rPr>
              <w:t xml:space="preserve">the </w:t>
            </w:r>
            <w:r w:rsidR="00B220E6">
              <w:rPr>
                <w:rFonts w:ascii="Arial" w:hAnsi="Arial" w:cs="Arial"/>
                <w:sz w:val="24"/>
                <w:szCs w:val="24"/>
              </w:rPr>
              <w:t>LA.</w:t>
            </w:r>
          </w:p>
          <w:p w14:paraId="3103EDE3" w14:textId="77777777" w:rsidR="00B32493" w:rsidRPr="004A5618" w:rsidRDefault="00B32493" w:rsidP="00B32493">
            <w:pPr>
              <w:spacing w:line="360" w:lineRule="auto"/>
              <w:jc w:val="both"/>
              <w:rPr>
                <w:rFonts w:ascii="Arial" w:hAnsi="Arial" w:cs="Arial"/>
                <w:sz w:val="24"/>
                <w:szCs w:val="24"/>
              </w:rPr>
            </w:pPr>
          </w:p>
          <w:p w14:paraId="4E2FC4CA" w14:textId="41319B6E" w:rsidR="00DC5666" w:rsidRDefault="00B32493" w:rsidP="003F053B">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00DC5666" w:rsidRPr="004A5618">
              <w:rPr>
                <w:rFonts w:ascii="Arial" w:hAnsi="Arial" w:cs="Arial"/>
                <w:sz w:val="24"/>
                <w:szCs w:val="24"/>
              </w:rPr>
              <w:tab/>
            </w:r>
            <w:r w:rsidR="00EF7A64">
              <w:rPr>
                <w:rFonts w:ascii="Arial" w:hAnsi="Arial" w:cs="Arial"/>
                <w:sz w:val="24"/>
                <w:szCs w:val="24"/>
              </w:rPr>
              <w:t xml:space="preserve">Thus, when the applicant allegedly made attempts to note the appeal on the ejustice system, the period for the noting of the appeal had already lapsed after the last minute of 5 April 2023, as aforesaid. Therefore, the explanation of delay relating to the applicant’s alleged attempts to note the appeal after the period </w:t>
            </w:r>
            <w:r w:rsidR="0080277A">
              <w:rPr>
                <w:rFonts w:ascii="Arial" w:hAnsi="Arial" w:cs="Arial"/>
                <w:sz w:val="24"/>
                <w:szCs w:val="24"/>
              </w:rPr>
              <w:t>for the noting of the appeal had lapsed is irrelevant.  What is relevant are the following:  First, the applicant has not given any explanation for the delay, none at all – acceptable or unacceptable – in respect of the period between 6 March 2023 and 5 April 2023, and yet the Supreme Court tells us that the application for condonation must provide a f</w:t>
            </w:r>
            <w:r w:rsidR="00C278BE">
              <w:rPr>
                <w:rFonts w:ascii="Arial" w:hAnsi="Arial" w:cs="Arial"/>
                <w:sz w:val="24"/>
                <w:szCs w:val="24"/>
              </w:rPr>
              <w:t>ull explanation for the delay.</w:t>
            </w:r>
            <w:r w:rsidR="00C278BE">
              <w:rPr>
                <w:rStyle w:val="FootnoteReference"/>
                <w:rFonts w:ascii="Arial" w:hAnsi="Arial" w:cs="Arial"/>
                <w:sz w:val="24"/>
                <w:szCs w:val="24"/>
              </w:rPr>
              <w:footnoteReference w:id="6"/>
            </w:r>
            <w:r w:rsidR="00C278BE">
              <w:rPr>
                <w:rFonts w:ascii="Arial" w:hAnsi="Arial" w:cs="Arial"/>
                <w:sz w:val="24"/>
                <w:szCs w:val="24"/>
              </w:rPr>
              <w:t xml:space="preserve"> Second, the noting of the appeal lapsed on 5 April 2023, and yet the instant condonation application was brought on 15 August 2023, that is, after a period of 131 days, and yet the Supreme Court tells us that the application for condonation must be lodged without delay.</w:t>
            </w:r>
            <w:r w:rsidR="00C278BE">
              <w:rPr>
                <w:rStyle w:val="FootnoteReference"/>
                <w:rFonts w:ascii="Arial" w:hAnsi="Arial" w:cs="Arial"/>
                <w:sz w:val="24"/>
                <w:szCs w:val="24"/>
              </w:rPr>
              <w:footnoteReference w:id="7"/>
            </w:r>
            <w:r w:rsidR="00C278BE">
              <w:rPr>
                <w:rFonts w:ascii="Arial" w:hAnsi="Arial" w:cs="Arial"/>
                <w:sz w:val="24"/>
                <w:szCs w:val="24"/>
              </w:rPr>
              <w:t xml:space="preserve"> That being the case, the applicant cannot be thankful of </w:t>
            </w:r>
            <w:r w:rsidR="00C278BE" w:rsidRPr="00D9720B">
              <w:rPr>
                <w:rFonts w:ascii="Arial" w:hAnsi="Arial" w:cs="Arial"/>
                <w:i/>
                <w:sz w:val="24"/>
                <w:szCs w:val="24"/>
              </w:rPr>
              <w:t>Namibia Power Corporation (Pty) Ltd v Michael Kaapehi</w:t>
            </w:r>
            <w:r w:rsidR="00C278BE">
              <w:rPr>
                <w:rFonts w:ascii="Arial" w:hAnsi="Arial" w:cs="Arial"/>
                <w:sz w:val="24"/>
                <w:szCs w:val="24"/>
              </w:rPr>
              <w:t xml:space="preserve"> where Shivute CJ observed that ‘good prospects of success may lead to a reinstatement application being granted even if the explanation is not entirely satisfactory.’</w:t>
            </w:r>
            <w:r w:rsidR="00C278BE">
              <w:rPr>
                <w:rStyle w:val="FootnoteReference"/>
                <w:rFonts w:ascii="Arial" w:hAnsi="Arial" w:cs="Arial"/>
                <w:sz w:val="24"/>
                <w:szCs w:val="24"/>
              </w:rPr>
              <w:footnoteReference w:id="8"/>
            </w:r>
            <w:r w:rsidR="00382B98">
              <w:rPr>
                <w:rFonts w:ascii="Arial" w:hAnsi="Arial" w:cs="Arial"/>
                <w:sz w:val="24"/>
                <w:szCs w:val="24"/>
              </w:rPr>
              <w:t xml:space="preserve">  In the instant proceeding, as I have found, there is simply no explanation at all, either satisfactory or ‘not entirely satisfactory’ for the late noting of the appeal.</w:t>
            </w:r>
          </w:p>
          <w:p w14:paraId="469F4013" w14:textId="77777777" w:rsidR="00DC5666" w:rsidRDefault="00DC5666" w:rsidP="008E5E3D">
            <w:pPr>
              <w:spacing w:line="360" w:lineRule="auto"/>
              <w:jc w:val="both"/>
              <w:rPr>
                <w:rFonts w:ascii="Arial" w:hAnsi="Arial" w:cs="Arial"/>
                <w:sz w:val="24"/>
                <w:szCs w:val="24"/>
              </w:rPr>
            </w:pPr>
          </w:p>
          <w:p w14:paraId="6A805D8A" w14:textId="4DB0C042" w:rsidR="00B32493" w:rsidRDefault="00DC5666" w:rsidP="008E5E3D">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 xml:space="preserve"> </w:t>
            </w:r>
            <w:r w:rsidRPr="004A5618">
              <w:rPr>
                <w:rFonts w:ascii="Arial" w:hAnsi="Arial" w:cs="Arial"/>
                <w:sz w:val="24"/>
                <w:szCs w:val="24"/>
              </w:rPr>
              <w:tab/>
            </w:r>
            <w:r w:rsidR="00382B98">
              <w:rPr>
                <w:rFonts w:ascii="Arial" w:hAnsi="Arial" w:cs="Arial"/>
                <w:sz w:val="24"/>
                <w:szCs w:val="24"/>
              </w:rPr>
              <w:t xml:space="preserve">Indeed, if the truth be told, </w:t>
            </w:r>
            <w:r w:rsidR="007C2BC3">
              <w:rPr>
                <w:rFonts w:ascii="Arial" w:hAnsi="Arial" w:cs="Arial"/>
                <w:sz w:val="24"/>
                <w:szCs w:val="24"/>
              </w:rPr>
              <w:t>t</w:t>
            </w:r>
            <w:r w:rsidR="00382B98">
              <w:rPr>
                <w:rFonts w:ascii="Arial" w:hAnsi="Arial" w:cs="Arial"/>
                <w:sz w:val="24"/>
                <w:szCs w:val="24"/>
              </w:rPr>
              <w:t>he applicant’s perception was that as on ‘6 April 2023 my legal practitioner had enough time and also intended to register the case on E-justice, after same has been served on the first respondent’.  That was the applicant’s perception of the law, and it acted in accordance with its own perception of the law regarding the interpretation of the provisions in s 89(2) of the LA on the ti</w:t>
            </w:r>
            <w:r w:rsidR="007C2BC3">
              <w:rPr>
                <w:rFonts w:ascii="Arial" w:hAnsi="Arial" w:cs="Arial"/>
                <w:sz w:val="24"/>
                <w:szCs w:val="24"/>
              </w:rPr>
              <w:t>m</w:t>
            </w:r>
            <w:r w:rsidR="00382B98">
              <w:rPr>
                <w:rFonts w:ascii="Arial" w:hAnsi="Arial" w:cs="Arial"/>
                <w:sz w:val="24"/>
                <w:szCs w:val="24"/>
              </w:rPr>
              <w:t>e limit for the noting of appeals.  Labouring under that wrong perception of the law, the applicant saw no need to give any explanation for the late noting of the appeal, because as far as it was concerned, there had not been a late noting of the appeal, within the meaning of s 89(2) of the LA. The applicant was palpably wrong, as I have demonstrated previously.</w:t>
            </w:r>
          </w:p>
          <w:p w14:paraId="5938B5F1" w14:textId="77777777" w:rsidR="00047BBE" w:rsidRDefault="00047BBE" w:rsidP="008E5E3D">
            <w:pPr>
              <w:spacing w:line="360" w:lineRule="auto"/>
              <w:jc w:val="both"/>
              <w:rPr>
                <w:rFonts w:ascii="Arial" w:hAnsi="Arial" w:cs="Arial"/>
                <w:sz w:val="24"/>
                <w:szCs w:val="24"/>
              </w:rPr>
            </w:pPr>
          </w:p>
          <w:p w14:paraId="2043B9EB" w14:textId="402DFEEC" w:rsidR="00B94288" w:rsidRPr="00B94288" w:rsidRDefault="002B44E0" w:rsidP="00C834FA">
            <w:pPr>
              <w:spacing w:line="360" w:lineRule="auto"/>
              <w:jc w:val="both"/>
              <w:rPr>
                <w:rFonts w:ascii="Arial" w:hAnsi="Arial" w:cs="Arial"/>
                <w:sz w:val="24"/>
                <w:szCs w:val="24"/>
              </w:rPr>
            </w:pPr>
            <w:r>
              <w:rPr>
                <w:rFonts w:ascii="Arial" w:hAnsi="Arial" w:cs="Arial"/>
                <w:sz w:val="24"/>
                <w:szCs w:val="24"/>
              </w:rPr>
              <w:t>[</w:t>
            </w:r>
            <w:r w:rsidR="00B30526">
              <w:rPr>
                <w:rFonts w:ascii="Arial" w:hAnsi="Arial" w:cs="Arial"/>
                <w:sz w:val="24"/>
                <w:szCs w:val="24"/>
              </w:rPr>
              <w:t>10</w:t>
            </w:r>
            <w:r>
              <w:rPr>
                <w:rFonts w:ascii="Arial" w:hAnsi="Arial" w:cs="Arial"/>
                <w:sz w:val="24"/>
                <w:szCs w:val="24"/>
              </w:rPr>
              <w:t>]</w:t>
            </w:r>
            <w:r w:rsidRPr="004A5618">
              <w:rPr>
                <w:rFonts w:ascii="Arial" w:hAnsi="Arial" w:cs="Arial"/>
                <w:sz w:val="24"/>
                <w:szCs w:val="24"/>
              </w:rPr>
              <w:tab/>
            </w:r>
            <w:r w:rsidR="004A0AE3">
              <w:rPr>
                <w:rFonts w:ascii="Arial" w:hAnsi="Arial" w:cs="Arial"/>
                <w:sz w:val="24"/>
                <w:szCs w:val="24"/>
              </w:rPr>
              <w:t>Consequently, I find that this is one of the times where the court should not consider the prospects of success in determining the condonation application</w:t>
            </w:r>
            <w:r w:rsidR="007C2BC3">
              <w:rPr>
                <w:rFonts w:ascii="Arial" w:hAnsi="Arial" w:cs="Arial"/>
                <w:sz w:val="24"/>
                <w:szCs w:val="24"/>
              </w:rPr>
              <w:t>,</w:t>
            </w:r>
            <w:r w:rsidR="004A0AE3">
              <w:rPr>
                <w:rFonts w:ascii="Arial" w:hAnsi="Arial" w:cs="Arial"/>
                <w:sz w:val="24"/>
                <w:szCs w:val="24"/>
              </w:rPr>
              <w:t xml:space="preserve"> because the non-compliance with a statutory provision in the LA has been ‘inexplicable’.</w:t>
            </w:r>
            <w:r w:rsidR="002B6C33">
              <w:rPr>
                <w:rStyle w:val="FootnoteReference"/>
                <w:rFonts w:ascii="Arial" w:hAnsi="Arial" w:cs="Arial"/>
                <w:sz w:val="24"/>
                <w:szCs w:val="24"/>
              </w:rPr>
              <w:footnoteReference w:id="9"/>
            </w:r>
            <w:r w:rsidR="007C2BC3">
              <w:rPr>
                <w:rFonts w:ascii="Arial" w:hAnsi="Arial" w:cs="Arial"/>
                <w:sz w:val="24"/>
                <w:szCs w:val="24"/>
              </w:rPr>
              <w:t xml:space="preserve">  </w:t>
            </w:r>
            <w:r w:rsidR="002B6C33">
              <w:rPr>
                <w:rFonts w:ascii="Arial" w:hAnsi="Arial" w:cs="Arial"/>
                <w:sz w:val="24"/>
                <w:szCs w:val="24"/>
              </w:rPr>
              <w:t xml:space="preserve">It follows inevitably that on the </w:t>
            </w:r>
            <w:r w:rsidR="002B6C33">
              <w:rPr>
                <w:rFonts w:ascii="Arial" w:hAnsi="Arial" w:cs="Arial"/>
                <w:sz w:val="24"/>
                <w:szCs w:val="24"/>
              </w:rPr>
              <w:lastRenderedPageBreak/>
              <w:t>facts and in the circumstances of the instant application,</w:t>
            </w:r>
            <w:r w:rsidR="002B6C33">
              <w:rPr>
                <w:rStyle w:val="FootnoteReference"/>
                <w:rFonts w:ascii="Arial" w:hAnsi="Arial" w:cs="Arial"/>
                <w:sz w:val="24"/>
                <w:szCs w:val="24"/>
              </w:rPr>
              <w:footnoteReference w:id="10"/>
            </w:r>
            <w:r w:rsidR="00C02EE4">
              <w:rPr>
                <w:rFonts w:ascii="Arial" w:hAnsi="Arial" w:cs="Arial"/>
                <w:sz w:val="24"/>
                <w:szCs w:val="24"/>
              </w:rPr>
              <w:t xml:space="preserve"> in the exercise of my discretion, I cannot grant the application without offending the aforementioned authorities.</w:t>
            </w:r>
          </w:p>
          <w:p w14:paraId="599172B0" w14:textId="25801079" w:rsidR="00B32493" w:rsidRPr="004A5618" w:rsidRDefault="00B32493" w:rsidP="00B32493">
            <w:pPr>
              <w:spacing w:line="360" w:lineRule="auto"/>
              <w:jc w:val="both"/>
              <w:rPr>
                <w:rFonts w:ascii="Arial" w:hAnsi="Arial" w:cs="Arial"/>
                <w:sz w:val="24"/>
                <w:szCs w:val="24"/>
              </w:rPr>
            </w:pPr>
          </w:p>
          <w:p w14:paraId="24ED82C7" w14:textId="18882F79" w:rsidR="008E74B0" w:rsidRDefault="00B32493" w:rsidP="008E74B0">
            <w:pPr>
              <w:spacing w:line="360" w:lineRule="auto"/>
              <w:jc w:val="both"/>
              <w:rPr>
                <w:rFonts w:ascii="Arial" w:hAnsi="Arial" w:cs="Arial"/>
                <w:sz w:val="24"/>
                <w:szCs w:val="24"/>
              </w:rPr>
            </w:pPr>
            <w:r w:rsidRPr="008E74B0">
              <w:rPr>
                <w:rFonts w:ascii="Arial" w:hAnsi="Arial" w:cs="Arial"/>
                <w:sz w:val="24"/>
                <w:szCs w:val="24"/>
              </w:rPr>
              <w:t>[</w:t>
            </w:r>
            <w:r w:rsidR="008E74B0">
              <w:rPr>
                <w:rFonts w:ascii="Arial" w:hAnsi="Arial" w:cs="Arial"/>
                <w:sz w:val="24"/>
                <w:szCs w:val="24"/>
              </w:rPr>
              <w:t>1</w:t>
            </w:r>
            <w:r w:rsidR="00B30526">
              <w:rPr>
                <w:rFonts w:ascii="Arial" w:hAnsi="Arial" w:cs="Arial"/>
                <w:sz w:val="24"/>
                <w:szCs w:val="24"/>
              </w:rPr>
              <w:t>1</w:t>
            </w:r>
            <w:r w:rsidRPr="008E74B0">
              <w:rPr>
                <w:rFonts w:ascii="Arial" w:hAnsi="Arial" w:cs="Arial"/>
                <w:sz w:val="24"/>
                <w:szCs w:val="24"/>
              </w:rPr>
              <w:t>]</w:t>
            </w:r>
            <w:r w:rsidRPr="004A5618">
              <w:rPr>
                <w:rFonts w:ascii="Arial" w:hAnsi="Arial" w:cs="Arial"/>
                <w:sz w:val="24"/>
                <w:szCs w:val="24"/>
              </w:rPr>
              <w:tab/>
            </w:r>
            <w:r w:rsidR="0022676A">
              <w:rPr>
                <w:rFonts w:ascii="Arial" w:hAnsi="Arial" w:cs="Arial"/>
                <w:sz w:val="24"/>
                <w:szCs w:val="24"/>
              </w:rPr>
              <w:t xml:space="preserve">One last point.  The payment of the award amount into the trust account of the applicant’s legal practitioners is of no moment in the instant proceedings.  It is </w:t>
            </w:r>
            <w:r w:rsidR="001D7162">
              <w:rPr>
                <w:rFonts w:ascii="Arial" w:hAnsi="Arial" w:cs="Arial"/>
                <w:sz w:val="24"/>
                <w:szCs w:val="24"/>
              </w:rPr>
              <w:t xml:space="preserve">a </w:t>
            </w:r>
            <w:r w:rsidR="0022676A">
              <w:rPr>
                <w:rFonts w:ascii="Arial" w:hAnsi="Arial" w:cs="Arial"/>
                <w:sz w:val="24"/>
                <w:szCs w:val="24"/>
              </w:rPr>
              <w:t>ruse.  It does not in any way benefit the first respondent who has the arbitral award standing in his favour since 6 March 2023.  He could not use any part of it, for instance, as transport money to travel in search of employment or to pay for accommodation or food.</w:t>
            </w:r>
          </w:p>
          <w:p w14:paraId="4A424627" w14:textId="77777777" w:rsidR="0022676A" w:rsidRDefault="0022676A" w:rsidP="008E74B0">
            <w:pPr>
              <w:spacing w:line="360" w:lineRule="auto"/>
              <w:jc w:val="both"/>
              <w:rPr>
                <w:rFonts w:ascii="Arial" w:hAnsi="Arial" w:cs="Arial"/>
                <w:sz w:val="24"/>
                <w:szCs w:val="24"/>
              </w:rPr>
            </w:pPr>
          </w:p>
          <w:p w14:paraId="2F53835F" w14:textId="3B91FCAA" w:rsidR="0022676A" w:rsidRPr="00220768" w:rsidRDefault="0022676A" w:rsidP="0022676A">
            <w:pPr>
              <w:spacing w:line="360" w:lineRule="auto"/>
              <w:jc w:val="both"/>
              <w:rPr>
                <w:rFonts w:ascii="Arial" w:hAnsi="Arial" w:cs="Arial"/>
                <w:sz w:val="24"/>
                <w:szCs w:val="24"/>
              </w:rPr>
            </w:pPr>
            <w:r>
              <w:rPr>
                <w:rFonts w:ascii="Arial" w:hAnsi="Arial" w:cs="Arial"/>
                <w:sz w:val="24"/>
                <w:szCs w:val="24"/>
              </w:rPr>
              <w:t>[12]</w:t>
            </w:r>
            <w:r w:rsidRPr="004A5618">
              <w:rPr>
                <w:rFonts w:ascii="Arial" w:hAnsi="Arial" w:cs="Arial"/>
                <w:sz w:val="24"/>
                <w:szCs w:val="24"/>
              </w:rPr>
              <w:tab/>
            </w:r>
            <w:r>
              <w:rPr>
                <w:rFonts w:ascii="Arial" w:hAnsi="Arial" w:cs="Arial"/>
                <w:sz w:val="24"/>
                <w:szCs w:val="24"/>
              </w:rPr>
              <w:t>In the result, I order as follows:</w:t>
            </w:r>
          </w:p>
          <w:p w14:paraId="52BAB822" w14:textId="77777777" w:rsidR="00A52F09" w:rsidRPr="00220768" w:rsidRDefault="00A52F09" w:rsidP="0022676A">
            <w:pPr>
              <w:spacing w:line="360" w:lineRule="auto"/>
              <w:jc w:val="both"/>
              <w:rPr>
                <w:rFonts w:ascii="Arial" w:hAnsi="Arial" w:cs="Arial"/>
                <w:sz w:val="24"/>
                <w:szCs w:val="24"/>
              </w:rPr>
            </w:pPr>
          </w:p>
          <w:p w14:paraId="3B3DA98C" w14:textId="38C8276F" w:rsidR="008E74B0" w:rsidRDefault="0022676A" w:rsidP="009D5376">
            <w:pPr>
              <w:pStyle w:val="ListParagraph"/>
              <w:numPr>
                <w:ilvl w:val="0"/>
                <w:numId w:val="29"/>
              </w:numPr>
              <w:spacing w:line="360" w:lineRule="auto"/>
              <w:ind w:left="743" w:hanging="710"/>
              <w:jc w:val="both"/>
              <w:rPr>
                <w:rFonts w:ascii="Arial" w:hAnsi="Arial" w:cs="Arial"/>
                <w:sz w:val="24"/>
                <w:szCs w:val="24"/>
              </w:rPr>
            </w:pPr>
            <w:r w:rsidRPr="0022676A">
              <w:rPr>
                <w:rFonts w:ascii="Arial" w:hAnsi="Arial" w:cs="Arial"/>
                <w:sz w:val="24"/>
                <w:szCs w:val="24"/>
              </w:rPr>
              <w:t>The application is dismissed.</w:t>
            </w:r>
          </w:p>
          <w:p w14:paraId="2065CDA2" w14:textId="77777777" w:rsidR="0022676A" w:rsidRPr="0022676A" w:rsidRDefault="0022676A" w:rsidP="0022676A">
            <w:pPr>
              <w:pStyle w:val="ListParagraph"/>
              <w:spacing w:line="360" w:lineRule="auto"/>
              <w:ind w:left="743"/>
              <w:jc w:val="both"/>
              <w:rPr>
                <w:rFonts w:ascii="Arial" w:hAnsi="Arial" w:cs="Arial"/>
                <w:sz w:val="24"/>
                <w:szCs w:val="24"/>
              </w:rPr>
            </w:pPr>
          </w:p>
          <w:p w14:paraId="479E2EFC" w14:textId="64A68A50" w:rsidR="008E74B0" w:rsidRDefault="0022676A" w:rsidP="009D5376">
            <w:pPr>
              <w:pStyle w:val="ListParagraph"/>
              <w:numPr>
                <w:ilvl w:val="0"/>
                <w:numId w:val="29"/>
              </w:numPr>
              <w:spacing w:line="360" w:lineRule="auto"/>
              <w:ind w:left="743" w:hanging="710"/>
              <w:jc w:val="both"/>
              <w:rPr>
                <w:rFonts w:ascii="Arial" w:hAnsi="Arial" w:cs="Arial"/>
                <w:sz w:val="24"/>
                <w:szCs w:val="24"/>
              </w:rPr>
            </w:pPr>
            <w:r w:rsidRPr="0022676A">
              <w:rPr>
                <w:rFonts w:ascii="Arial" w:hAnsi="Arial" w:cs="Arial"/>
                <w:sz w:val="24"/>
                <w:szCs w:val="24"/>
              </w:rPr>
              <w:t>There is no order as to costs.</w:t>
            </w:r>
          </w:p>
          <w:p w14:paraId="7C8E7D37" w14:textId="77777777" w:rsidR="0022676A" w:rsidRDefault="0022676A" w:rsidP="0022676A">
            <w:pPr>
              <w:pStyle w:val="ListParagraph"/>
              <w:spacing w:line="360" w:lineRule="auto"/>
              <w:ind w:left="743"/>
              <w:jc w:val="both"/>
              <w:rPr>
                <w:rFonts w:ascii="Arial" w:hAnsi="Arial" w:cs="Arial"/>
                <w:sz w:val="24"/>
                <w:szCs w:val="24"/>
              </w:rPr>
            </w:pPr>
          </w:p>
          <w:p w14:paraId="30EF2B40" w14:textId="199F787D" w:rsidR="0022676A" w:rsidRPr="0022676A" w:rsidRDefault="0022676A" w:rsidP="009D5376">
            <w:pPr>
              <w:pStyle w:val="ListParagraph"/>
              <w:numPr>
                <w:ilvl w:val="0"/>
                <w:numId w:val="29"/>
              </w:numPr>
              <w:spacing w:line="360" w:lineRule="auto"/>
              <w:ind w:left="743" w:hanging="710"/>
              <w:jc w:val="both"/>
              <w:rPr>
                <w:rFonts w:ascii="Arial" w:hAnsi="Arial" w:cs="Arial"/>
                <w:sz w:val="24"/>
                <w:szCs w:val="24"/>
              </w:rPr>
            </w:pPr>
            <w:r w:rsidRPr="0022676A">
              <w:rPr>
                <w:rFonts w:ascii="Arial" w:hAnsi="Arial" w:cs="Arial"/>
                <w:sz w:val="24"/>
                <w:szCs w:val="24"/>
              </w:rPr>
              <w:t>The matter is finalised and removed from the roll.</w:t>
            </w:r>
          </w:p>
          <w:p w14:paraId="7A937886" w14:textId="77777777" w:rsidR="007008BE" w:rsidRDefault="008E74B0" w:rsidP="007E2F91">
            <w:pPr>
              <w:spacing w:line="360" w:lineRule="auto"/>
              <w:ind w:left="743" w:hanging="743"/>
              <w:jc w:val="both"/>
              <w:rPr>
                <w:rFonts w:ascii="Arial" w:hAnsi="Arial" w:cs="Arial"/>
                <w:sz w:val="24"/>
                <w:szCs w:val="24"/>
              </w:rPr>
            </w:pPr>
            <w:r w:rsidRPr="00220768">
              <w:rPr>
                <w:rFonts w:ascii="Arial" w:hAnsi="Arial" w:cs="Arial"/>
                <w:sz w:val="24"/>
                <w:szCs w:val="24"/>
              </w:rPr>
              <w:tab/>
            </w:r>
          </w:p>
          <w:p w14:paraId="71D39DDF" w14:textId="1D56A977" w:rsidR="00B52418" w:rsidRPr="007E2F91" w:rsidRDefault="00B52418" w:rsidP="007E2F91">
            <w:pPr>
              <w:spacing w:line="360" w:lineRule="auto"/>
              <w:ind w:left="743" w:hanging="743"/>
              <w:jc w:val="both"/>
              <w:rPr>
                <w:rFonts w:ascii="Arial" w:hAnsi="Arial" w:cs="Arial"/>
                <w:sz w:val="24"/>
                <w:szCs w:val="24"/>
              </w:rPr>
            </w:pPr>
          </w:p>
        </w:tc>
      </w:tr>
      <w:tr w:rsidR="00CA7995" w:rsidRPr="004A5618" w14:paraId="569D7468" w14:textId="77777777" w:rsidTr="00136505">
        <w:tc>
          <w:tcPr>
            <w:tcW w:w="4770" w:type="dxa"/>
          </w:tcPr>
          <w:p w14:paraId="1CE02859" w14:textId="0EDC8D90" w:rsidR="00B40844" w:rsidRPr="004A5618" w:rsidRDefault="00DC6B2A"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D626231" w14:textId="77777777" w:rsidR="007008BE" w:rsidRPr="004A5618" w:rsidRDefault="007008BE" w:rsidP="003F053B">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52C9ABDE" w:rsidR="00B40844" w:rsidRPr="004A5618" w:rsidRDefault="00C834FA"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7DE51B85" w:rsidR="00B40844" w:rsidRPr="004A5618" w:rsidRDefault="00C834FA" w:rsidP="00C834FA">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4A5618" w14:paraId="7F6632AA" w14:textId="77777777" w:rsidTr="00136505">
        <w:tc>
          <w:tcPr>
            <w:tcW w:w="4770" w:type="dxa"/>
          </w:tcPr>
          <w:p w14:paraId="5BB6D0F8" w14:textId="004A8657" w:rsidR="003F053B" w:rsidRPr="003F053B" w:rsidRDefault="003F053B" w:rsidP="003F053B">
            <w:pPr>
              <w:spacing w:line="360" w:lineRule="auto"/>
              <w:jc w:val="center"/>
              <w:rPr>
                <w:rFonts w:ascii="Arial" w:hAnsi="Arial" w:cs="Arial"/>
                <w:sz w:val="24"/>
                <w:szCs w:val="24"/>
              </w:rPr>
            </w:pPr>
            <w:r w:rsidRPr="003F053B">
              <w:rPr>
                <w:rFonts w:ascii="Arial" w:hAnsi="Arial" w:cs="Arial"/>
                <w:sz w:val="24"/>
                <w:szCs w:val="24"/>
              </w:rPr>
              <w:t xml:space="preserve">S </w:t>
            </w:r>
            <w:r>
              <w:rPr>
                <w:rFonts w:ascii="Arial" w:hAnsi="Arial" w:cs="Arial"/>
                <w:sz w:val="24"/>
                <w:szCs w:val="24"/>
              </w:rPr>
              <w:t>H</w:t>
            </w:r>
            <w:r w:rsidRPr="003F053B">
              <w:rPr>
                <w:rFonts w:ascii="Arial" w:hAnsi="Arial" w:cs="Arial"/>
                <w:sz w:val="24"/>
                <w:szCs w:val="24"/>
              </w:rPr>
              <w:t>orn</w:t>
            </w:r>
          </w:p>
          <w:p w14:paraId="5821C7F1" w14:textId="258D4BF7" w:rsidR="00B40844" w:rsidRPr="00134E9F" w:rsidRDefault="00C834FA" w:rsidP="00937C89">
            <w:pPr>
              <w:spacing w:line="360" w:lineRule="auto"/>
              <w:jc w:val="center"/>
              <w:rPr>
                <w:rFonts w:ascii="Arial" w:hAnsi="Arial" w:cs="Arial"/>
                <w:sz w:val="24"/>
                <w:szCs w:val="24"/>
              </w:rPr>
            </w:pPr>
            <w:r>
              <w:rPr>
                <w:rFonts w:ascii="Arial" w:hAnsi="Arial" w:cs="Arial"/>
                <w:sz w:val="24"/>
                <w:szCs w:val="24"/>
              </w:rPr>
              <w:t>Of</w:t>
            </w:r>
          </w:p>
          <w:p w14:paraId="5DF3F17F" w14:textId="207CEEAA" w:rsidR="00B40844" w:rsidRPr="004A5618" w:rsidRDefault="003F053B" w:rsidP="00333796">
            <w:pPr>
              <w:spacing w:line="360" w:lineRule="auto"/>
              <w:jc w:val="center"/>
              <w:rPr>
                <w:rFonts w:ascii="Arial" w:hAnsi="Arial" w:cs="Arial"/>
                <w:sz w:val="24"/>
                <w:szCs w:val="24"/>
              </w:rPr>
            </w:pPr>
            <w:r w:rsidRPr="003F053B">
              <w:rPr>
                <w:rFonts w:ascii="Arial" w:hAnsi="Arial" w:cs="Arial"/>
                <w:sz w:val="24"/>
                <w:szCs w:val="24"/>
              </w:rPr>
              <w:t>Theunissen, Louw &amp; Partners</w:t>
            </w:r>
            <w:r w:rsidR="00136505" w:rsidRPr="004A5618">
              <w:rPr>
                <w:rFonts w:ascii="Arial" w:hAnsi="Arial" w:cs="Arial"/>
                <w:sz w:val="24"/>
                <w:szCs w:val="24"/>
              </w:rPr>
              <w:t>, Windhoek</w:t>
            </w:r>
          </w:p>
        </w:tc>
        <w:tc>
          <w:tcPr>
            <w:tcW w:w="5436" w:type="dxa"/>
            <w:gridSpan w:val="2"/>
          </w:tcPr>
          <w:p w14:paraId="3B612C6B" w14:textId="77777777" w:rsidR="003F053B" w:rsidRPr="00333796" w:rsidRDefault="003F053B" w:rsidP="003F053B">
            <w:pPr>
              <w:spacing w:line="360" w:lineRule="auto"/>
              <w:jc w:val="center"/>
              <w:rPr>
                <w:rFonts w:ascii="Arial" w:hAnsi="Arial" w:cs="Arial"/>
                <w:sz w:val="24"/>
                <w:szCs w:val="24"/>
              </w:rPr>
            </w:pPr>
            <w:r w:rsidRPr="00333796">
              <w:rPr>
                <w:rFonts w:ascii="Arial" w:hAnsi="Arial" w:cs="Arial"/>
                <w:sz w:val="24"/>
                <w:szCs w:val="24"/>
              </w:rPr>
              <w:t xml:space="preserve">M </w:t>
            </w:r>
            <w:r>
              <w:rPr>
                <w:rFonts w:ascii="Arial" w:hAnsi="Arial" w:cs="Arial"/>
                <w:sz w:val="24"/>
                <w:szCs w:val="24"/>
              </w:rPr>
              <w:t>I</w:t>
            </w:r>
            <w:r w:rsidRPr="00333796">
              <w:rPr>
                <w:rFonts w:ascii="Arial" w:hAnsi="Arial" w:cs="Arial"/>
                <w:sz w:val="24"/>
                <w:szCs w:val="24"/>
              </w:rPr>
              <w:t>kanga</w:t>
            </w:r>
          </w:p>
          <w:p w14:paraId="19F1D486" w14:textId="77777777" w:rsidR="003F053B" w:rsidRPr="00134E9F" w:rsidRDefault="003F053B" w:rsidP="003F053B">
            <w:pPr>
              <w:spacing w:line="360" w:lineRule="auto"/>
              <w:jc w:val="center"/>
              <w:rPr>
                <w:rFonts w:ascii="Arial" w:hAnsi="Arial" w:cs="Arial"/>
                <w:sz w:val="24"/>
                <w:szCs w:val="24"/>
              </w:rPr>
            </w:pPr>
            <w:r>
              <w:rPr>
                <w:rFonts w:ascii="Arial" w:hAnsi="Arial" w:cs="Arial"/>
                <w:sz w:val="24"/>
                <w:szCs w:val="24"/>
              </w:rPr>
              <w:t>Of</w:t>
            </w:r>
          </w:p>
          <w:p w14:paraId="2EDA150C" w14:textId="6D72CF60" w:rsidR="00B62F2B" w:rsidRPr="004A5618" w:rsidRDefault="003F053B" w:rsidP="003F053B">
            <w:pPr>
              <w:spacing w:line="360" w:lineRule="auto"/>
              <w:jc w:val="center"/>
              <w:rPr>
                <w:rFonts w:ascii="Arial" w:hAnsi="Arial" w:cs="Arial"/>
                <w:sz w:val="24"/>
                <w:szCs w:val="24"/>
              </w:rPr>
            </w:pPr>
            <w:r w:rsidRPr="00333796">
              <w:rPr>
                <w:rFonts w:ascii="Arial" w:hAnsi="Arial" w:cs="Arial"/>
                <w:sz w:val="24"/>
                <w:szCs w:val="24"/>
              </w:rPr>
              <w:t xml:space="preserve">M. Ikanga &amp; </w:t>
            </w:r>
            <w:r>
              <w:rPr>
                <w:rFonts w:ascii="Arial" w:hAnsi="Arial" w:cs="Arial"/>
                <w:sz w:val="24"/>
                <w:szCs w:val="24"/>
              </w:rPr>
              <w:t>A</w:t>
            </w:r>
            <w:r w:rsidRPr="00333796">
              <w:rPr>
                <w:rFonts w:ascii="Arial" w:hAnsi="Arial" w:cs="Arial"/>
                <w:sz w:val="24"/>
                <w:szCs w:val="24"/>
              </w:rPr>
              <w:t xml:space="preserve">ssociates </w:t>
            </w:r>
            <w:r>
              <w:rPr>
                <w:rFonts w:ascii="Arial" w:hAnsi="Arial" w:cs="Arial"/>
                <w:sz w:val="24"/>
                <w:szCs w:val="24"/>
              </w:rPr>
              <w:t>I</w:t>
            </w:r>
            <w:r w:rsidRPr="00333796">
              <w:rPr>
                <w:rFonts w:ascii="Arial" w:hAnsi="Arial" w:cs="Arial"/>
                <w:sz w:val="24"/>
                <w:szCs w:val="24"/>
              </w:rPr>
              <w:t>nc.</w:t>
            </w:r>
            <w:r w:rsidRPr="004A5618">
              <w:rPr>
                <w:rFonts w:ascii="Arial" w:hAnsi="Arial" w:cs="Arial"/>
                <w:sz w:val="24"/>
                <w:szCs w:val="24"/>
              </w:rPr>
              <w:t>, Windhoek</w:t>
            </w:r>
          </w:p>
        </w:tc>
      </w:tr>
    </w:tbl>
    <w:p w14:paraId="0EB2A4A3" w14:textId="390096CC" w:rsidR="00B845CF" w:rsidRDefault="00B845CF" w:rsidP="005145D9"/>
    <w:p w14:paraId="50B5640E" w14:textId="77777777" w:rsidR="0094041F" w:rsidRDefault="0094041F" w:rsidP="005145D9"/>
    <w:sectPr w:rsidR="0094041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C1A8B" w14:textId="77777777" w:rsidR="0059211E" w:rsidRPr="004A5618" w:rsidRDefault="0059211E" w:rsidP="00B40844">
      <w:pPr>
        <w:spacing w:after="0" w:line="240" w:lineRule="auto"/>
      </w:pPr>
      <w:r w:rsidRPr="004A5618">
        <w:separator/>
      </w:r>
    </w:p>
  </w:endnote>
  <w:endnote w:type="continuationSeparator" w:id="0">
    <w:p w14:paraId="6043A4BF" w14:textId="77777777" w:rsidR="0059211E" w:rsidRPr="004A5618" w:rsidRDefault="0059211E"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5E81" w14:textId="77777777" w:rsidR="0059211E" w:rsidRPr="004A5618" w:rsidRDefault="0059211E" w:rsidP="00B40844">
      <w:pPr>
        <w:spacing w:after="0" w:line="240" w:lineRule="auto"/>
      </w:pPr>
      <w:r w:rsidRPr="004A5618">
        <w:separator/>
      </w:r>
    </w:p>
  </w:footnote>
  <w:footnote w:type="continuationSeparator" w:id="0">
    <w:p w14:paraId="121C5326" w14:textId="77777777" w:rsidR="0059211E" w:rsidRPr="004A5618" w:rsidRDefault="0059211E" w:rsidP="00B40844">
      <w:pPr>
        <w:spacing w:after="0" w:line="240" w:lineRule="auto"/>
      </w:pPr>
      <w:r w:rsidRPr="004A5618">
        <w:continuationSeparator/>
      </w:r>
    </w:p>
  </w:footnote>
  <w:footnote w:id="1">
    <w:p w14:paraId="71C4F754" w14:textId="7C7F1A75" w:rsidR="00693260" w:rsidRPr="000F1438" w:rsidRDefault="00693260" w:rsidP="000F1438">
      <w:pPr>
        <w:pStyle w:val="FootnoteText"/>
        <w:jc w:val="both"/>
        <w:rPr>
          <w:rFonts w:ascii="Arial" w:hAnsi="Arial" w:cs="Arial"/>
          <w:lang w:val="en-ZA"/>
        </w:rPr>
      </w:pPr>
      <w:r w:rsidRPr="000F1438">
        <w:rPr>
          <w:rStyle w:val="FootnoteReference"/>
          <w:rFonts w:ascii="Arial" w:hAnsi="Arial" w:cs="Arial"/>
        </w:rPr>
        <w:footnoteRef/>
      </w:r>
      <w:r w:rsidRPr="000F1438">
        <w:rPr>
          <w:rFonts w:ascii="Arial" w:hAnsi="Arial" w:cs="Arial"/>
        </w:rPr>
        <w:t xml:space="preserve"> </w:t>
      </w:r>
      <w:r w:rsidRPr="000F1438">
        <w:rPr>
          <w:rFonts w:ascii="Arial" w:hAnsi="Arial" w:cs="Arial"/>
          <w:i/>
          <w:lang w:val="en-ZA"/>
        </w:rPr>
        <w:t>Balzer v Vries</w:t>
      </w:r>
      <w:r w:rsidRPr="000F1438">
        <w:rPr>
          <w:rFonts w:ascii="Arial" w:hAnsi="Arial" w:cs="Arial"/>
          <w:lang w:val="en-ZA"/>
        </w:rPr>
        <w:t xml:space="preserve"> 2015 (2) NR 547 (SC).</w:t>
      </w:r>
    </w:p>
  </w:footnote>
  <w:footnote w:id="2">
    <w:p w14:paraId="11FA37F7" w14:textId="672AFD93" w:rsidR="00C43E50" w:rsidRPr="005D4C34" w:rsidRDefault="00C43E50" w:rsidP="000F1438">
      <w:pPr>
        <w:pStyle w:val="FootnoteText"/>
        <w:jc w:val="both"/>
        <w:rPr>
          <w:rFonts w:ascii="Arial" w:hAnsi="Arial" w:cs="Arial"/>
          <w:i/>
          <w:lang w:val="en-ZA"/>
        </w:rPr>
      </w:pPr>
      <w:r w:rsidRPr="000F1438">
        <w:rPr>
          <w:rStyle w:val="FootnoteReference"/>
          <w:rFonts w:ascii="Arial" w:hAnsi="Arial" w:cs="Arial"/>
        </w:rPr>
        <w:footnoteRef/>
      </w:r>
      <w:r w:rsidRPr="000F1438">
        <w:rPr>
          <w:rFonts w:ascii="Arial" w:hAnsi="Arial" w:cs="Arial"/>
        </w:rPr>
        <w:t xml:space="preserve"> </w:t>
      </w:r>
      <w:r w:rsidRPr="005D4C34">
        <w:rPr>
          <w:rFonts w:ascii="Arial" w:hAnsi="Arial" w:cs="Arial"/>
          <w:i/>
          <w:lang w:val="en-ZA"/>
        </w:rPr>
        <w:t>Solsquire Energy (Pty) Ltd v Luhl</w:t>
      </w:r>
      <w:r w:rsidRPr="000F1438">
        <w:rPr>
          <w:rFonts w:ascii="Arial" w:hAnsi="Arial" w:cs="Arial"/>
          <w:lang w:val="en-ZA"/>
        </w:rPr>
        <w:t xml:space="preserve"> [2022] </w:t>
      </w:r>
      <w:r w:rsidRPr="007E2F91">
        <w:rPr>
          <w:rFonts w:ascii="Arial" w:hAnsi="Arial" w:cs="Arial"/>
          <w:lang w:val="en-ZA"/>
        </w:rPr>
        <w:t>NASC (25 August 2022).</w:t>
      </w:r>
    </w:p>
  </w:footnote>
  <w:footnote w:id="3">
    <w:p w14:paraId="01D0748C" w14:textId="4B156A5C" w:rsidR="001C44E2" w:rsidRPr="000F1438" w:rsidRDefault="001C44E2" w:rsidP="000F1438">
      <w:pPr>
        <w:pStyle w:val="FootnoteText"/>
        <w:jc w:val="both"/>
        <w:rPr>
          <w:rFonts w:ascii="Arial" w:hAnsi="Arial" w:cs="Arial"/>
          <w:lang w:val="en-ZA"/>
        </w:rPr>
      </w:pPr>
      <w:r w:rsidRPr="005D4C34">
        <w:rPr>
          <w:rStyle w:val="FootnoteReference"/>
          <w:rFonts w:ascii="Arial" w:hAnsi="Arial" w:cs="Arial"/>
          <w:i/>
        </w:rPr>
        <w:footnoteRef/>
      </w:r>
      <w:r w:rsidRPr="005D4C34">
        <w:rPr>
          <w:rFonts w:ascii="Arial" w:hAnsi="Arial" w:cs="Arial"/>
          <w:i/>
        </w:rPr>
        <w:t xml:space="preserve"> </w:t>
      </w:r>
      <w:r w:rsidRPr="005D4C34">
        <w:rPr>
          <w:rFonts w:ascii="Arial" w:hAnsi="Arial" w:cs="Arial"/>
          <w:i/>
          <w:lang w:val="en-ZA"/>
        </w:rPr>
        <w:t>National Housing Enterprise v Hinda-Mbazira</w:t>
      </w:r>
      <w:r w:rsidRPr="000F1438">
        <w:rPr>
          <w:rFonts w:ascii="Arial" w:hAnsi="Arial" w:cs="Arial"/>
          <w:lang w:val="en-ZA"/>
        </w:rPr>
        <w:t xml:space="preserve"> 2014 (4) NR 1046 (SC).</w:t>
      </w:r>
    </w:p>
  </w:footnote>
  <w:footnote w:id="4">
    <w:p w14:paraId="25854BC1" w14:textId="1369A49F" w:rsidR="001C44E2" w:rsidRPr="000F1438" w:rsidRDefault="001C44E2" w:rsidP="000F1438">
      <w:pPr>
        <w:pStyle w:val="FootnoteText"/>
        <w:jc w:val="both"/>
        <w:rPr>
          <w:rFonts w:ascii="Arial" w:hAnsi="Arial" w:cs="Arial"/>
          <w:lang w:val="en-ZA"/>
        </w:rPr>
      </w:pPr>
      <w:r w:rsidRPr="000F1438">
        <w:rPr>
          <w:rStyle w:val="FootnoteReference"/>
          <w:rFonts w:ascii="Arial" w:hAnsi="Arial" w:cs="Arial"/>
        </w:rPr>
        <w:footnoteRef/>
      </w:r>
      <w:r w:rsidRPr="000F1438">
        <w:rPr>
          <w:rFonts w:ascii="Arial" w:hAnsi="Arial" w:cs="Arial"/>
        </w:rPr>
        <w:t xml:space="preserve"> </w:t>
      </w:r>
      <w:r w:rsidR="005D4C34">
        <w:rPr>
          <w:rFonts w:ascii="Arial" w:hAnsi="Arial" w:cs="Arial"/>
          <w:lang w:val="en-ZA"/>
        </w:rPr>
        <w:t>G C Thorn</w:t>
      </w:r>
      <w:r w:rsidRPr="000F1438">
        <w:rPr>
          <w:rFonts w:ascii="Arial" w:hAnsi="Arial" w:cs="Arial"/>
          <w:lang w:val="en-ZA"/>
        </w:rPr>
        <w:t xml:space="preserve">ton </w:t>
      </w:r>
      <w:r w:rsidRPr="005D4C34">
        <w:rPr>
          <w:rFonts w:ascii="Arial" w:hAnsi="Arial" w:cs="Arial"/>
          <w:i/>
          <w:lang w:val="en-ZA"/>
        </w:rPr>
        <w:t>Legislative Drafting</w:t>
      </w:r>
      <w:r w:rsidRPr="000F1438">
        <w:rPr>
          <w:rFonts w:ascii="Arial" w:hAnsi="Arial" w:cs="Arial"/>
          <w:lang w:val="en-ZA"/>
        </w:rPr>
        <w:t xml:space="preserve"> 3ed (1987) at 108.</w:t>
      </w:r>
    </w:p>
  </w:footnote>
  <w:footnote w:id="5">
    <w:p w14:paraId="4F4C2920" w14:textId="309DA9D2" w:rsidR="00B220E6" w:rsidRPr="000F1438" w:rsidRDefault="00B220E6" w:rsidP="000F1438">
      <w:pPr>
        <w:pStyle w:val="FootnoteText"/>
        <w:jc w:val="both"/>
        <w:rPr>
          <w:rFonts w:ascii="Arial" w:hAnsi="Arial" w:cs="Arial"/>
          <w:lang w:val="en-ZA"/>
        </w:rPr>
      </w:pPr>
      <w:r w:rsidRPr="000F1438">
        <w:rPr>
          <w:rStyle w:val="FootnoteReference"/>
          <w:rFonts w:ascii="Arial" w:hAnsi="Arial" w:cs="Arial"/>
        </w:rPr>
        <w:footnoteRef/>
      </w:r>
      <w:r w:rsidRPr="000F1438">
        <w:rPr>
          <w:rFonts w:ascii="Arial" w:hAnsi="Arial" w:cs="Arial"/>
        </w:rPr>
        <w:t xml:space="preserve"> </w:t>
      </w:r>
      <w:r w:rsidRPr="00814ECC">
        <w:rPr>
          <w:rFonts w:ascii="Arial" w:hAnsi="Arial" w:cs="Arial"/>
          <w:i/>
          <w:lang w:val="en-ZA"/>
        </w:rPr>
        <w:t>Balzer v Vries</w:t>
      </w:r>
      <w:r w:rsidRPr="000F1438">
        <w:rPr>
          <w:rFonts w:ascii="Arial" w:hAnsi="Arial" w:cs="Arial"/>
          <w:lang w:val="en-ZA"/>
        </w:rPr>
        <w:t xml:space="preserve"> footnote 1 loc cit.</w:t>
      </w:r>
    </w:p>
  </w:footnote>
  <w:footnote w:id="6">
    <w:p w14:paraId="738FBFDD" w14:textId="79943AC4" w:rsidR="00C278BE" w:rsidRPr="00D9720B" w:rsidRDefault="00C278BE" w:rsidP="00D9720B">
      <w:pPr>
        <w:pStyle w:val="FootnoteText"/>
        <w:jc w:val="both"/>
        <w:rPr>
          <w:rFonts w:ascii="Arial" w:hAnsi="Arial" w:cs="Arial"/>
          <w:lang w:val="en-ZA"/>
        </w:rPr>
      </w:pPr>
      <w:r w:rsidRPr="00D9720B">
        <w:rPr>
          <w:rStyle w:val="FootnoteReference"/>
          <w:rFonts w:ascii="Arial" w:hAnsi="Arial" w:cs="Arial"/>
        </w:rPr>
        <w:footnoteRef/>
      </w:r>
      <w:r w:rsidRPr="00D9720B">
        <w:rPr>
          <w:rFonts w:ascii="Arial" w:hAnsi="Arial" w:cs="Arial"/>
        </w:rPr>
        <w:t xml:space="preserve"> </w:t>
      </w:r>
      <w:r w:rsidRPr="00D9720B">
        <w:rPr>
          <w:rFonts w:ascii="Arial" w:hAnsi="Arial" w:cs="Arial"/>
          <w:i/>
          <w:lang w:val="en-ZA"/>
        </w:rPr>
        <w:t>Balzer v Vries</w:t>
      </w:r>
      <w:r w:rsidRPr="00D9720B">
        <w:rPr>
          <w:rFonts w:ascii="Arial" w:hAnsi="Arial" w:cs="Arial"/>
          <w:lang w:val="en-ZA"/>
        </w:rPr>
        <w:t xml:space="preserve"> footnote 1 para 21</w:t>
      </w:r>
      <w:r w:rsidR="00D9720B">
        <w:rPr>
          <w:rFonts w:ascii="Arial" w:hAnsi="Arial" w:cs="Arial"/>
          <w:lang w:val="en-ZA"/>
        </w:rPr>
        <w:t>.</w:t>
      </w:r>
    </w:p>
  </w:footnote>
  <w:footnote w:id="7">
    <w:p w14:paraId="74B011CC" w14:textId="286E2497" w:rsidR="00C278BE" w:rsidRPr="00D9720B" w:rsidRDefault="00C278BE" w:rsidP="00D9720B">
      <w:pPr>
        <w:pStyle w:val="FootnoteText"/>
        <w:jc w:val="both"/>
        <w:rPr>
          <w:rFonts w:ascii="Arial" w:hAnsi="Arial" w:cs="Arial"/>
          <w:lang w:val="en-ZA"/>
        </w:rPr>
      </w:pPr>
      <w:r w:rsidRPr="00D9720B">
        <w:rPr>
          <w:rStyle w:val="FootnoteReference"/>
          <w:rFonts w:ascii="Arial" w:hAnsi="Arial" w:cs="Arial"/>
        </w:rPr>
        <w:footnoteRef/>
      </w:r>
      <w:r w:rsidRPr="00D9720B">
        <w:rPr>
          <w:rFonts w:ascii="Arial" w:hAnsi="Arial" w:cs="Arial"/>
        </w:rPr>
        <w:t xml:space="preserve"> </w:t>
      </w:r>
      <w:r w:rsidRPr="00D9720B">
        <w:rPr>
          <w:rFonts w:ascii="Arial" w:hAnsi="Arial" w:cs="Arial"/>
          <w:i/>
          <w:lang w:val="en-ZA"/>
        </w:rPr>
        <w:t>Balzer v Vries</w:t>
      </w:r>
      <w:r w:rsidRPr="00D9720B">
        <w:rPr>
          <w:rFonts w:ascii="Arial" w:hAnsi="Arial" w:cs="Arial"/>
          <w:lang w:val="en-ZA"/>
        </w:rPr>
        <w:t xml:space="preserve"> footnote 1 para 21.</w:t>
      </w:r>
    </w:p>
  </w:footnote>
  <w:footnote w:id="8">
    <w:p w14:paraId="685EFAA1" w14:textId="469F5887" w:rsidR="00C278BE" w:rsidRPr="00D9720B" w:rsidRDefault="00C278BE" w:rsidP="00D9720B">
      <w:pPr>
        <w:pStyle w:val="FootnoteText"/>
        <w:jc w:val="both"/>
        <w:rPr>
          <w:rFonts w:ascii="Arial" w:hAnsi="Arial" w:cs="Arial"/>
          <w:lang w:val="en-ZA"/>
        </w:rPr>
      </w:pPr>
      <w:r w:rsidRPr="00D9720B">
        <w:rPr>
          <w:rStyle w:val="FootnoteReference"/>
          <w:rFonts w:ascii="Arial" w:hAnsi="Arial" w:cs="Arial"/>
        </w:rPr>
        <w:footnoteRef/>
      </w:r>
      <w:r w:rsidRPr="00D9720B">
        <w:rPr>
          <w:rFonts w:ascii="Arial" w:hAnsi="Arial" w:cs="Arial"/>
        </w:rPr>
        <w:t xml:space="preserve"> </w:t>
      </w:r>
      <w:r w:rsidRPr="00D9720B">
        <w:rPr>
          <w:rFonts w:ascii="Arial" w:hAnsi="Arial" w:cs="Arial"/>
          <w:i/>
          <w:lang w:val="en-ZA"/>
        </w:rPr>
        <w:t>Namibia Power Corporation (Pty) Ltd v Michael Kaapehi</w:t>
      </w:r>
      <w:r w:rsidRPr="00D9720B">
        <w:rPr>
          <w:rFonts w:ascii="Arial" w:hAnsi="Arial" w:cs="Arial"/>
          <w:lang w:val="en-ZA"/>
        </w:rPr>
        <w:t xml:space="preserve"> Case No. SA 41/2019 (29 October 2020) para 19.</w:t>
      </w:r>
    </w:p>
  </w:footnote>
  <w:footnote w:id="9">
    <w:p w14:paraId="23AC36B3" w14:textId="3A7F7447" w:rsidR="002B6C33" w:rsidRPr="00D9720B" w:rsidRDefault="002B6C33" w:rsidP="00D9720B">
      <w:pPr>
        <w:pStyle w:val="FootnoteText"/>
        <w:jc w:val="both"/>
        <w:rPr>
          <w:rFonts w:ascii="Arial" w:hAnsi="Arial" w:cs="Arial"/>
          <w:lang w:val="en-ZA"/>
        </w:rPr>
      </w:pPr>
      <w:r w:rsidRPr="00D9720B">
        <w:rPr>
          <w:rStyle w:val="FootnoteReference"/>
          <w:rFonts w:ascii="Arial" w:hAnsi="Arial" w:cs="Arial"/>
        </w:rPr>
        <w:footnoteRef/>
      </w:r>
      <w:r w:rsidRPr="00D9720B">
        <w:rPr>
          <w:rFonts w:ascii="Arial" w:hAnsi="Arial" w:cs="Arial"/>
        </w:rPr>
        <w:t xml:space="preserve"> </w:t>
      </w:r>
      <w:r w:rsidRPr="007C2BC3">
        <w:rPr>
          <w:rFonts w:ascii="Arial" w:hAnsi="Arial" w:cs="Arial"/>
          <w:i/>
          <w:lang w:val="en-ZA"/>
        </w:rPr>
        <w:t>Balzer v Vries</w:t>
      </w:r>
      <w:r w:rsidRPr="00D9720B">
        <w:rPr>
          <w:rFonts w:ascii="Arial" w:hAnsi="Arial" w:cs="Arial"/>
          <w:lang w:val="en-ZA"/>
        </w:rPr>
        <w:t xml:space="preserve"> footnote 1 para 21.</w:t>
      </w:r>
    </w:p>
  </w:footnote>
  <w:footnote w:id="10">
    <w:p w14:paraId="2E656790" w14:textId="03CD47F0" w:rsidR="002B6C33" w:rsidRPr="007C2BC3" w:rsidRDefault="002B6C33" w:rsidP="007C2BC3">
      <w:pPr>
        <w:pStyle w:val="FootnoteText"/>
        <w:jc w:val="both"/>
        <w:rPr>
          <w:rFonts w:ascii="Arial" w:hAnsi="Arial" w:cs="Arial"/>
          <w:lang w:val="en-ZA"/>
        </w:rPr>
      </w:pPr>
      <w:r w:rsidRPr="007C2BC3">
        <w:rPr>
          <w:rStyle w:val="FootnoteReference"/>
          <w:rFonts w:ascii="Arial" w:hAnsi="Arial" w:cs="Arial"/>
        </w:rPr>
        <w:footnoteRef/>
      </w:r>
      <w:r w:rsidRPr="007C2BC3">
        <w:rPr>
          <w:rFonts w:ascii="Arial" w:hAnsi="Arial" w:cs="Arial"/>
        </w:rPr>
        <w:t xml:space="preserve"> </w:t>
      </w:r>
      <w:r w:rsidRPr="007C2BC3">
        <w:rPr>
          <w:rFonts w:ascii="Arial" w:hAnsi="Arial" w:cs="Arial"/>
          <w:i/>
          <w:lang w:val="en-ZA"/>
        </w:rPr>
        <w:t>Solsquire Energy (Pty) Ltd v Luhl</w:t>
      </w:r>
      <w:r w:rsidRPr="007C2BC3">
        <w:rPr>
          <w:rFonts w:ascii="Arial" w:hAnsi="Arial" w:cs="Arial"/>
          <w:lang w:val="en-ZA"/>
        </w:rPr>
        <w:t xml:space="preserve"> footnote 2 loc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EE3808">
          <w:rPr>
            <w:rFonts w:ascii="Arial" w:hAnsi="Arial" w:cs="Arial"/>
            <w:noProof/>
            <w:sz w:val="24"/>
            <w:szCs w:val="24"/>
          </w:rPr>
          <w:t>5</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986A2B"/>
    <w:multiLevelType w:val="hybridMultilevel"/>
    <w:tmpl w:val="04A80FD0"/>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1">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8F51BCE"/>
    <w:multiLevelType w:val="hybridMultilevel"/>
    <w:tmpl w:val="651410BA"/>
    <w:lvl w:ilvl="0" w:tplc="7624CE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7">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8">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19C48EE"/>
    <w:multiLevelType w:val="hybridMultilevel"/>
    <w:tmpl w:val="AC7A7672"/>
    <w:lvl w:ilvl="0" w:tplc="FED8668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4">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5">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7">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
  </w:num>
  <w:num w:numId="6">
    <w:abstractNumId w:val="12"/>
  </w:num>
  <w:num w:numId="7">
    <w:abstractNumId w:val="11"/>
  </w:num>
  <w:num w:numId="8">
    <w:abstractNumId w:val="26"/>
  </w:num>
  <w:num w:numId="9">
    <w:abstractNumId w:val="8"/>
  </w:num>
  <w:num w:numId="10">
    <w:abstractNumId w:val="4"/>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10"/>
  </w:num>
  <w:num w:numId="16">
    <w:abstractNumId w:val="24"/>
  </w:num>
  <w:num w:numId="17">
    <w:abstractNumId w:val="5"/>
  </w:num>
  <w:num w:numId="18">
    <w:abstractNumId w:val="22"/>
  </w:num>
  <w:num w:numId="19">
    <w:abstractNumId w:val="27"/>
  </w:num>
  <w:num w:numId="20">
    <w:abstractNumId w:val="16"/>
  </w:num>
  <w:num w:numId="21">
    <w:abstractNumId w:val="15"/>
  </w:num>
  <w:num w:numId="22">
    <w:abstractNumId w:val="17"/>
  </w:num>
  <w:num w:numId="23">
    <w:abstractNumId w:val="3"/>
  </w:num>
  <w:num w:numId="24">
    <w:abstractNumId w:val="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808"/>
    <w:rsid w:val="000200BD"/>
    <w:rsid w:val="00022A4B"/>
    <w:rsid w:val="00030A66"/>
    <w:rsid w:val="00031642"/>
    <w:rsid w:val="00037236"/>
    <w:rsid w:val="00042EFE"/>
    <w:rsid w:val="00043914"/>
    <w:rsid w:val="00047BBE"/>
    <w:rsid w:val="0005029C"/>
    <w:rsid w:val="00052806"/>
    <w:rsid w:val="00053646"/>
    <w:rsid w:val="0006006E"/>
    <w:rsid w:val="000650A0"/>
    <w:rsid w:val="00070995"/>
    <w:rsid w:val="00071E6A"/>
    <w:rsid w:val="00076184"/>
    <w:rsid w:val="00083F88"/>
    <w:rsid w:val="0009263E"/>
    <w:rsid w:val="000929C5"/>
    <w:rsid w:val="0009303D"/>
    <w:rsid w:val="000A6E7F"/>
    <w:rsid w:val="000B297E"/>
    <w:rsid w:val="000B6579"/>
    <w:rsid w:val="000D1E23"/>
    <w:rsid w:val="000E7C99"/>
    <w:rsid w:val="000F1438"/>
    <w:rsid w:val="000F2FD9"/>
    <w:rsid w:val="000F39A3"/>
    <w:rsid w:val="000F681E"/>
    <w:rsid w:val="00100870"/>
    <w:rsid w:val="001011B6"/>
    <w:rsid w:val="001032AE"/>
    <w:rsid w:val="00106AE7"/>
    <w:rsid w:val="00111C0D"/>
    <w:rsid w:val="00116AFB"/>
    <w:rsid w:val="00117280"/>
    <w:rsid w:val="00122070"/>
    <w:rsid w:val="001223B7"/>
    <w:rsid w:val="00124C63"/>
    <w:rsid w:val="00125676"/>
    <w:rsid w:val="00130339"/>
    <w:rsid w:val="0013117E"/>
    <w:rsid w:val="00131545"/>
    <w:rsid w:val="00134E9F"/>
    <w:rsid w:val="00136505"/>
    <w:rsid w:val="00144967"/>
    <w:rsid w:val="001470CE"/>
    <w:rsid w:val="00150B08"/>
    <w:rsid w:val="00152FEA"/>
    <w:rsid w:val="00153ED0"/>
    <w:rsid w:val="00157447"/>
    <w:rsid w:val="00163FB4"/>
    <w:rsid w:val="001721EB"/>
    <w:rsid w:val="0017433C"/>
    <w:rsid w:val="001822C1"/>
    <w:rsid w:val="0018718C"/>
    <w:rsid w:val="00191A61"/>
    <w:rsid w:val="001A13C3"/>
    <w:rsid w:val="001A2A21"/>
    <w:rsid w:val="001B2CA3"/>
    <w:rsid w:val="001B3825"/>
    <w:rsid w:val="001C1570"/>
    <w:rsid w:val="001C33C5"/>
    <w:rsid w:val="001C44E2"/>
    <w:rsid w:val="001D619B"/>
    <w:rsid w:val="001D7162"/>
    <w:rsid w:val="001D795C"/>
    <w:rsid w:val="001E097B"/>
    <w:rsid w:val="001E113F"/>
    <w:rsid w:val="001E192B"/>
    <w:rsid w:val="001E2A2D"/>
    <w:rsid w:val="001E47FA"/>
    <w:rsid w:val="002000BA"/>
    <w:rsid w:val="00204A1F"/>
    <w:rsid w:val="00210CE5"/>
    <w:rsid w:val="00217744"/>
    <w:rsid w:val="00222067"/>
    <w:rsid w:val="00224808"/>
    <w:rsid w:val="00225792"/>
    <w:rsid w:val="0022676A"/>
    <w:rsid w:val="002317B0"/>
    <w:rsid w:val="0023549A"/>
    <w:rsid w:val="00241D98"/>
    <w:rsid w:val="00244BAC"/>
    <w:rsid w:val="00244C17"/>
    <w:rsid w:val="00244F7C"/>
    <w:rsid w:val="00247485"/>
    <w:rsid w:val="0025219B"/>
    <w:rsid w:val="002536EA"/>
    <w:rsid w:val="00276736"/>
    <w:rsid w:val="0028119C"/>
    <w:rsid w:val="002850A3"/>
    <w:rsid w:val="002863C2"/>
    <w:rsid w:val="00287097"/>
    <w:rsid w:val="002873A9"/>
    <w:rsid w:val="002974FD"/>
    <w:rsid w:val="002A3C64"/>
    <w:rsid w:val="002A4AA3"/>
    <w:rsid w:val="002A7BF4"/>
    <w:rsid w:val="002B38E0"/>
    <w:rsid w:val="002B44E0"/>
    <w:rsid w:val="002B6C33"/>
    <w:rsid w:val="002C1EF6"/>
    <w:rsid w:val="002C7DA2"/>
    <w:rsid w:val="002D20C5"/>
    <w:rsid w:val="002D407B"/>
    <w:rsid w:val="002D633E"/>
    <w:rsid w:val="002E738E"/>
    <w:rsid w:val="002E769F"/>
    <w:rsid w:val="002F06E3"/>
    <w:rsid w:val="002F0BA9"/>
    <w:rsid w:val="00301CC7"/>
    <w:rsid w:val="00302F62"/>
    <w:rsid w:val="0030757C"/>
    <w:rsid w:val="00311DE0"/>
    <w:rsid w:val="0031523D"/>
    <w:rsid w:val="00315F4E"/>
    <w:rsid w:val="00316E0A"/>
    <w:rsid w:val="003206F3"/>
    <w:rsid w:val="00322F39"/>
    <w:rsid w:val="00323AAF"/>
    <w:rsid w:val="00323E22"/>
    <w:rsid w:val="00333796"/>
    <w:rsid w:val="00337423"/>
    <w:rsid w:val="00340EA6"/>
    <w:rsid w:val="003414A7"/>
    <w:rsid w:val="00344B76"/>
    <w:rsid w:val="00354AF8"/>
    <w:rsid w:val="0036327E"/>
    <w:rsid w:val="00371A8B"/>
    <w:rsid w:val="00371B8F"/>
    <w:rsid w:val="003759B3"/>
    <w:rsid w:val="00382B98"/>
    <w:rsid w:val="0038382D"/>
    <w:rsid w:val="00384F39"/>
    <w:rsid w:val="00390712"/>
    <w:rsid w:val="00390CB3"/>
    <w:rsid w:val="0039392B"/>
    <w:rsid w:val="00394797"/>
    <w:rsid w:val="00396707"/>
    <w:rsid w:val="003A1463"/>
    <w:rsid w:val="003A18AD"/>
    <w:rsid w:val="003A3390"/>
    <w:rsid w:val="003A43B2"/>
    <w:rsid w:val="003B03B0"/>
    <w:rsid w:val="003C0EA4"/>
    <w:rsid w:val="003C1FA6"/>
    <w:rsid w:val="003C2574"/>
    <w:rsid w:val="003D165C"/>
    <w:rsid w:val="003D3059"/>
    <w:rsid w:val="003D442D"/>
    <w:rsid w:val="003E29B3"/>
    <w:rsid w:val="003E6398"/>
    <w:rsid w:val="003E6669"/>
    <w:rsid w:val="003F053B"/>
    <w:rsid w:val="00404B70"/>
    <w:rsid w:val="00412278"/>
    <w:rsid w:val="00414B69"/>
    <w:rsid w:val="00415F4F"/>
    <w:rsid w:val="004232DF"/>
    <w:rsid w:val="00426C60"/>
    <w:rsid w:val="00431A65"/>
    <w:rsid w:val="004352E5"/>
    <w:rsid w:val="004358E2"/>
    <w:rsid w:val="00436B1E"/>
    <w:rsid w:val="00436C2B"/>
    <w:rsid w:val="00437666"/>
    <w:rsid w:val="004416D0"/>
    <w:rsid w:val="00443B14"/>
    <w:rsid w:val="00450650"/>
    <w:rsid w:val="00457D5C"/>
    <w:rsid w:val="00461F35"/>
    <w:rsid w:val="00463486"/>
    <w:rsid w:val="004665B1"/>
    <w:rsid w:val="00466B36"/>
    <w:rsid w:val="00472769"/>
    <w:rsid w:val="00474C2A"/>
    <w:rsid w:val="00475B7A"/>
    <w:rsid w:val="00475D2C"/>
    <w:rsid w:val="0048485D"/>
    <w:rsid w:val="00490505"/>
    <w:rsid w:val="004907E4"/>
    <w:rsid w:val="004936A7"/>
    <w:rsid w:val="004A0AE3"/>
    <w:rsid w:val="004A2855"/>
    <w:rsid w:val="004A2D48"/>
    <w:rsid w:val="004A325C"/>
    <w:rsid w:val="004A34A8"/>
    <w:rsid w:val="004A5618"/>
    <w:rsid w:val="004B337B"/>
    <w:rsid w:val="004B6FA1"/>
    <w:rsid w:val="004C5788"/>
    <w:rsid w:val="004C646F"/>
    <w:rsid w:val="004D4C39"/>
    <w:rsid w:val="004D7D3B"/>
    <w:rsid w:val="004E02A0"/>
    <w:rsid w:val="004E3BFB"/>
    <w:rsid w:val="004E6D2F"/>
    <w:rsid w:val="004F5C19"/>
    <w:rsid w:val="004F738D"/>
    <w:rsid w:val="00503F36"/>
    <w:rsid w:val="005111BA"/>
    <w:rsid w:val="00512AB9"/>
    <w:rsid w:val="005145D9"/>
    <w:rsid w:val="00522621"/>
    <w:rsid w:val="005233E6"/>
    <w:rsid w:val="00523D75"/>
    <w:rsid w:val="005327E0"/>
    <w:rsid w:val="005334B7"/>
    <w:rsid w:val="0053496C"/>
    <w:rsid w:val="00535F29"/>
    <w:rsid w:val="00536EFF"/>
    <w:rsid w:val="005629DA"/>
    <w:rsid w:val="0057484E"/>
    <w:rsid w:val="00580728"/>
    <w:rsid w:val="00586B27"/>
    <w:rsid w:val="0059211E"/>
    <w:rsid w:val="00594F6C"/>
    <w:rsid w:val="005952CE"/>
    <w:rsid w:val="005A0EBD"/>
    <w:rsid w:val="005A4D90"/>
    <w:rsid w:val="005B62A0"/>
    <w:rsid w:val="005B62C7"/>
    <w:rsid w:val="005B7449"/>
    <w:rsid w:val="005C0E24"/>
    <w:rsid w:val="005C21D7"/>
    <w:rsid w:val="005C3354"/>
    <w:rsid w:val="005C4157"/>
    <w:rsid w:val="005C715D"/>
    <w:rsid w:val="005C7D31"/>
    <w:rsid w:val="005D0D19"/>
    <w:rsid w:val="005D1FA8"/>
    <w:rsid w:val="005D4C34"/>
    <w:rsid w:val="005D6452"/>
    <w:rsid w:val="005E2DC4"/>
    <w:rsid w:val="005F325C"/>
    <w:rsid w:val="005F32EB"/>
    <w:rsid w:val="005F39EA"/>
    <w:rsid w:val="00602C25"/>
    <w:rsid w:val="00605348"/>
    <w:rsid w:val="00610BF1"/>
    <w:rsid w:val="006115E2"/>
    <w:rsid w:val="006144A8"/>
    <w:rsid w:val="0061537D"/>
    <w:rsid w:val="0062003A"/>
    <w:rsid w:val="00625A57"/>
    <w:rsid w:val="00631F48"/>
    <w:rsid w:val="00653784"/>
    <w:rsid w:val="00663770"/>
    <w:rsid w:val="00663C80"/>
    <w:rsid w:val="00667BF0"/>
    <w:rsid w:val="00672C76"/>
    <w:rsid w:val="006734C7"/>
    <w:rsid w:val="00676755"/>
    <w:rsid w:val="0069311C"/>
    <w:rsid w:val="00693260"/>
    <w:rsid w:val="00695745"/>
    <w:rsid w:val="006976D9"/>
    <w:rsid w:val="006A0BA4"/>
    <w:rsid w:val="006A1E08"/>
    <w:rsid w:val="006A3CBE"/>
    <w:rsid w:val="006B5854"/>
    <w:rsid w:val="006B7521"/>
    <w:rsid w:val="006C2FB6"/>
    <w:rsid w:val="006D0991"/>
    <w:rsid w:val="006D0E84"/>
    <w:rsid w:val="006D3438"/>
    <w:rsid w:val="006D3A0B"/>
    <w:rsid w:val="006D5AB1"/>
    <w:rsid w:val="006D6828"/>
    <w:rsid w:val="006D69E7"/>
    <w:rsid w:val="006D7450"/>
    <w:rsid w:val="006E014E"/>
    <w:rsid w:val="006E0FD4"/>
    <w:rsid w:val="006E13E5"/>
    <w:rsid w:val="006F07B3"/>
    <w:rsid w:val="006F1CCC"/>
    <w:rsid w:val="006F5B42"/>
    <w:rsid w:val="006F6DE3"/>
    <w:rsid w:val="007008BE"/>
    <w:rsid w:val="00700B1F"/>
    <w:rsid w:val="00702C62"/>
    <w:rsid w:val="00703171"/>
    <w:rsid w:val="00703917"/>
    <w:rsid w:val="00706F94"/>
    <w:rsid w:val="00710E0D"/>
    <w:rsid w:val="007204DC"/>
    <w:rsid w:val="00721F98"/>
    <w:rsid w:val="00734802"/>
    <w:rsid w:val="00735C39"/>
    <w:rsid w:val="00736DA4"/>
    <w:rsid w:val="007448FE"/>
    <w:rsid w:val="00746C0C"/>
    <w:rsid w:val="0075019C"/>
    <w:rsid w:val="00750F55"/>
    <w:rsid w:val="00752FAA"/>
    <w:rsid w:val="007600DB"/>
    <w:rsid w:val="00765AE4"/>
    <w:rsid w:val="00766C68"/>
    <w:rsid w:val="00772D17"/>
    <w:rsid w:val="00776163"/>
    <w:rsid w:val="0078274D"/>
    <w:rsid w:val="007853D8"/>
    <w:rsid w:val="00787EE4"/>
    <w:rsid w:val="0079505A"/>
    <w:rsid w:val="007950C8"/>
    <w:rsid w:val="007979CA"/>
    <w:rsid w:val="007B131C"/>
    <w:rsid w:val="007B2BC4"/>
    <w:rsid w:val="007C2B88"/>
    <w:rsid w:val="007C2BC3"/>
    <w:rsid w:val="007D0792"/>
    <w:rsid w:val="007D6C74"/>
    <w:rsid w:val="007E19C1"/>
    <w:rsid w:val="007E2F91"/>
    <w:rsid w:val="007E43B6"/>
    <w:rsid w:val="007E594A"/>
    <w:rsid w:val="007F4E11"/>
    <w:rsid w:val="007F564C"/>
    <w:rsid w:val="007F68C4"/>
    <w:rsid w:val="008006A3"/>
    <w:rsid w:val="00802096"/>
    <w:rsid w:val="0080277A"/>
    <w:rsid w:val="0080318F"/>
    <w:rsid w:val="00812409"/>
    <w:rsid w:val="00812E19"/>
    <w:rsid w:val="008134AF"/>
    <w:rsid w:val="00814ECC"/>
    <w:rsid w:val="00816D5D"/>
    <w:rsid w:val="00821A0C"/>
    <w:rsid w:val="00822BEF"/>
    <w:rsid w:val="00824F3D"/>
    <w:rsid w:val="008275AC"/>
    <w:rsid w:val="00827F39"/>
    <w:rsid w:val="00835300"/>
    <w:rsid w:val="00840C06"/>
    <w:rsid w:val="00843040"/>
    <w:rsid w:val="00847C4B"/>
    <w:rsid w:val="00853833"/>
    <w:rsid w:val="008653EA"/>
    <w:rsid w:val="00865F37"/>
    <w:rsid w:val="008733EF"/>
    <w:rsid w:val="0087368D"/>
    <w:rsid w:val="00882F73"/>
    <w:rsid w:val="00883D7C"/>
    <w:rsid w:val="00886625"/>
    <w:rsid w:val="00890A20"/>
    <w:rsid w:val="00892219"/>
    <w:rsid w:val="00892D9A"/>
    <w:rsid w:val="008A1447"/>
    <w:rsid w:val="008A5AC1"/>
    <w:rsid w:val="008B5D68"/>
    <w:rsid w:val="008B6223"/>
    <w:rsid w:val="008C2200"/>
    <w:rsid w:val="008C39E9"/>
    <w:rsid w:val="008D54B2"/>
    <w:rsid w:val="008E0730"/>
    <w:rsid w:val="008E5E3D"/>
    <w:rsid w:val="008E74B0"/>
    <w:rsid w:val="008F59A0"/>
    <w:rsid w:val="00903F86"/>
    <w:rsid w:val="0090480D"/>
    <w:rsid w:val="00906AF6"/>
    <w:rsid w:val="009119B5"/>
    <w:rsid w:val="00912F74"/>
    <w:rsid w:val="009222E7"/>
    <w:rsid w:val="00923430"/>
    <w:rsid w:val="009279BE"/>
    <w:rsid w:val="00930F17"/>
    <w:rsid w:val="009327F0"/>
    <w:rsid w:val="00932F19"/>
    <w:rsid w:val="00933AC3"/>
    <w:rsid w:val="0093567D"/>
    <w:rsid w:val="00937C89"/>
    <w:rsid w:val="0094041F"/>
    <w:rsid w:val="00940E2D"/>
    <w:rsid w:val="00944CCD"/>
    <w:rsid w:val="0094588F"/>
    <w:rsid w:val="00946D90"/>
    <w:rsid w:val="009470F3"/>
    <w:rsid w:val="0095505F"/>
    <w:rsid w:val="00955095"/>
    <w:rsid w:val="0096420A"/>
    <w:rsid w:val="0096585C"/>
    <w:rsid w:val="009661E4"/>
    <w:rsid w:val="009733A9"/>
    <w:rsid w:val="009856AB"/>
    <w:rsid w:val="009919F6"/>
    <w:rsid w:val="00992A2F"/>
    <w:rsid w:val="00993F7F"/>
    <w:rsid w:val="00996760"/>
    <w:rsid w:val="00997C11"/>
    <w:rsid w:val="009A5AD1"/>
    <w:rsid w:val="009A7A59"/>
    <w:rsid w:val="009A7F13"/>
    <w:rsid w:val="009B41E2"/>
    <w:rsid w:val="009B4A62"/>
    <w:rsid w:val="009B600F"/>
    <w:rsid w:val="009C3275"/>
    <w:rsid w:val="009C35C9"/>
    <w:rsid w:val="009C62AE"/>
    <w:rsid w:val="009C6F3F"/>
    <w:rsid w:val="009D24DC"/>
    <w:rsid w:val="009D27E8"/>
    <w:rsid w:val="009D5376"/>
    <w:rsid w:val="009E730A"/>
    <w:rsid w:val="009F1FA2"/>
    <w:rsid w:val="009F2ADD"/>
    <w:rsid w:val="00A05FE8"/>
    <w:rsid w:val="00A10E40"/>
    <w:rsid w:val="00A13C7B"/>
    <w:rsid w:val="00A15CD1"/>
    <w:rsid w:val="00A168A5"/>
    <w:rsid w:val="00A22E0F"/>
    <w:rsid w:val="00A2391E"/>
    <w:rsid w:val="00A26B7B"/>
    <w:rsid w:val="00A31424"/>
    <w:rsid w:val="00A3327E"/>
    <w:rsid w:val="00A42469"/>
    <w:rsid w:val="00A45560"/>
    <w:rsid w:val="00A50F13"/>
    <w:rsid w:val="00A52F09"/>
    <w:rsid w:val="00A60965"/>
    <w:rsid w:val="00A66511"/>
    <w:rsid w:val="00A75ED6"/>
    <w:rsid w:val="00A7774E"/>
    <w:rsid w:val="00A80306"/>
    <w:rsid w:val="00A80BFC"/>
    <w:rsid w:val="00A82D44"/>
    <w:rsid w:val="00A85792"/>
    <w:rsid w:val="00A90F3E"/>
    <w:rsid w:val="00A91240"/>
    <w:rsid w:val="00A9498C"/>
    <w:rsid w:val="00AA2EFA"/>
    <w:rsid w:val="00AA3ECB"/>
    <w:rsid w:val="00AC4E79"/>
    <w:rsid w:val="00AD72DD"/>
    <w:rsid w:val="00AE0185"/>
    <w:rsid w:val="00AE08F0"/>
    <w:rsid w:val="00AE16BF"/>
    <w:rsid w:val="00AE2293"/>
    <w:rsid w:val="00AF4EDE"/>
    <w:rsid w:val="00B01B6C"/>
    <w:rsid w:val="00B050E7"/>
    <w:rsid w:val="00B119D6"/>
    <w:rsid w:val="00B121EA"/>
    <w:rsid w:val="00B220E6"/>
    <w:rsid w:val="00B30526"/>
    <w:rsid w:val="00B32493"/>
    <w:rsid w:val="00B40844"/>
    <w:rsid w:val="00B40E58"/>
    <w:rsid w:val="00B421C1"/>
    <w:rsid w:val="00B42F3B"/>
    <w:rsid w:val="00B45E7F"/>
    <w:rsid w:val="00B45F83"/>
    <w:rsid w:val="00B47800"/>
    <w:rsid w:val="00B50C99"/>
    <w:rsid w:val="00B52418"/>
    <w:rsid w:val="00B56E34"/>
    <w:rsid w:val="00B5737E"/>
    <w:rsid w:val="00B573A6"/>
    <w:rsid w:val="00B60287"/>
    <w:rsid w:val="00B61AC7"/>
    <w:rsid w:val="00B62F2B"/>
    <w:rsid w:val="00B72DF0"/>
    <w:rsid w:val="00B772F4"/>
    <w:rsid w:val="00B77777"/>
    <w:rsid w:val="00B808CB"/>
    <w:rsid w:val="00B845CF"/>
    <w:rsid w:val="00B84680"/>
    <w:rsid w:val="00B912B2"/>
    <w:rsid w:val="00B92DE7"/>
    <w:rsid w:val="00B93677"/>
    <w:rsid w:val="00B9407E"/>
    <w:rsid w:val="00B94288"/>
    <w:rsid w:val="00BA2C89"/>
    <w:rsid w:val="00BA4C8B"/>
    <w:rsid w:val="00BB13F4"/>
    <w:rsid w:val="00BB3273"/>
    <w:rsid w:val="00BB3C0C"/>
    <w:rsid w:val="00BC055D"/>
    <w:rsid w:val="00BC2C75"/>
    <w:rsid w:val="00BC5931"/>
    <w:rsid w:val="00BD61A4"/>
    <w:rsid w:val="00BD7103"/>
    <w:rsid w:val="00BE31AD"/>
    <w:rsid w:val="00BE3978"/>
    <w:rsid w:val="00BE4F57"/>
    <w:rsid w:val="00BF1AB4"/>
    <w:rsid w:val="00BF44EC"/>
    <w:rsid w:val="00BF7B15"/>
    <w:rsid w:val="00C02EE4"/>
    <w:rsid w:val="00C04F28"/>
    <w:rsid w:val="00C06EB4"/>
    <w:rsid w:val="00C10CAA"/>
    <w:rsid w:val="00C1368A"/>
    <w:rsid w:val="00C14AB5"/>
    <w:rsid w:val="00C2633E"/>
    <w:rsid w:val="00C278BE"/>
    <w:rsid w:val="00C3225B"/>
    <w:rsid w:val="00C360E9"/>
    <w:rsid w:val="00C43E50"/>
    <w:rsid w:val="00C45D36"/>
    <w:rsid w:val="00C47E3A"/>
    <w:rsid w:val="00C5200F"/>
    <w:rsid w:val="00C617C6"/>
    <w:rsid w:val="00C649D5"/>
    <w:rsid w:val="00C67D0C"/>
    <w:rsid w:val="00C72463"/>
    <w:rsid w:val="00C73D5D"/>
    <w:rsid w:val="00C7517F"/>
    <w:rsid w:val="00C834FA"/>
    <w:rsid w:val="00CA7995"/>
    <w:rsid w:val="00CB1183"/>
    <w:rsid w:val="00CB5862"/>
    <w:rsid w:val="00CC128D"/>
    <w:rsid w:val="00CC29CE"/>
    <w:rsid w:val="00CC4529"/>
    <w:rsid w:val="00CC7431"/>
    <w:rsid w:val="00CD5AE8"/>
    <w:rsid w:val="00CD62C0"/>
    <w:rsid w:val="00CE4631"/>
    <w:rsid w:val="00CF6440"/>
    <w:rsid w:val="00D03B96"/>
    <w:rsid w:val="00D04B6F"/>
    <w:rsid w:val="00D0732E"/>
    <w:rsid w:val="00D113DD"/>
    <w:rsid w:val="00D1307C"/>
    <w:rsid w:val="00D24453"/>
    <w:rsid w:val="00D25285"/>
    <w:rsid w:val="00D30D4D"/>
    <w:rsid w:val="00D32F8E"/>
    <w:rsid w:val="00D37DAA"/>
    <w:rsid w:val="00D5070E"/>
    <w:rsid w:val="00D547B6"/>
    <w:rsid w:val="00D61648"/>
    <w:rsid w:val="00D6224D"/>
    <w:rsid w:val="00D6655A"/>
    <w:rsid w:val="00D74C69"/>
    <w:rsid w:val="00D752D7"/>
    <w:rsid w:val="00D80947"/>
    <w:rsid w:val="00D82E99"/>
    <w:rsid w:val="00D86F11"/>
    <w:rsid w:val="00D87914"/>
    <w:rsid w:val="00D9282E"/>
    <w:rsid w:val="00D960EA"/>
    <w:rsid w:val="00D965B8"/>
    <w:rsid w:val="00D9720B"/>
    <w:rsid w:val="00D976B2"/>
    <w:rsid w:val="00DA1708"/>
    <w:rsid w:val="00DA2283"/>
    <w:rsid w:val="00DA5689"/>
    <w:rsid w:val="00DA58B4"/>
    <w:rsid w:val="00DA6C57"/>
    <w:rsid w:val="00DB5AA2"/>
    <w:rsid w:val="00DC3FD1"/>
    <w:rsid w:val="00DC5666"/>
    <w:rsid w:val="00DC6B2A"/>
    <w:rsid w:val="00DD5288"/>
    <w:rsid w:val="00DD614B"/>
    <w:rsid w:val="00DD76E7"/>
    <w:rsid w:val="00DE1990"/>
    <w:rsid w:val="00DE220E"/>
    <w:rsid w:val="00DF0F46"/>
    <w:rsid w:val="00DF1D2A"/>
    <w:rsid w:val="00DF5C98"/>
    <w:rsid w:val="00E03967"/>
    <w:rsid w:val="00E04664"/>
    <w:rsid w:val="00E0573A"/>
    <w:rsid w:val="00E07A3E"/>
    <w:rsid w:val="00E16A68"/>
    <w:rsid w:val="00E20030"/>
    <w:rsid w:val="00E2006F"/>
    <w:rsid w:val="00E221FD"/>
    <w:rsid w:val="00E2743C"/>
    <w:rsid w:val="00E41369"/>
    <w:rsid w:val="00E41BE5"/>
    <w:rsid w:val="00E42A4B"/>
    <w:rsid w:val="00E4469F"/>
    <w:rsid w:val="00E452F4"/>
    <w:rsid w:val="00E46B58"/>
    <w:rsid w:val="00E533BE"/>
    <w:rsid w:val="00E5361F"/>
    <w:rsid w:val="00E53C47"/>
    <w:rsid w:val="00E5507F"/>
    <w:rsid w:val="00E55FBE"/>
    <w:rsid w:val="00E60E31"/>
    <w:rsid w:val="00E62DB3"/>
    <w:rsid w:val="00E67680"/>
    <w:rsid w:val="00E73C41"/>
    <w:rsid w:val="00E778B9"/>
    <w:rsid w:val="00E847D9"/>
    <w:rsid w:val="00E911FB"/>
    <w:rsid w:val="00E96F9E"/>
    <w:rsid w:val="00E97512"/>
    <w:rsid w:val="00E97B9E"/>
    <w:rsid w:val="00EA2DE2"/>
    <w:rsid w:val="00EB1AE0"/>
    <w:rsid w:val="00EC1776"/>
    <w:rsid w:val="00EC7E83"/>
    <w:rsid w:val="00ED27EE"/>
    <w:rsid w:val="00ED2C7B"/>
    <w:rsid w:val="00ED5B76"/>
    <w:rsid w:val="00ED5E52"/>
    <w:rsid w:val="00ED7008"/>
    <w:rsid w:val="00ED76B2"/>
    <w:rsid w:val="00EE122C"/>
    <w:rsid w:val="00EE3808"/>
    <w:rsid w:val="00EE4268"/>
    <w:rsid w:val="00EE4364"/>
    <w:rsid w:val="00EE5473"/>
    <w:rsid w:val="00EF184A"/>
    <w:rsid w:val="00EF249A"/>
    <w:rsid w:val="00EF2FFD"/>
    <w:rsid w:val="00EF7A64"/>
    <w:rsid w:val="00F01B97"/>
    <w:rsid w:val="00F0235A"/>
    <w:rsid w:val="00F05B1C"/>
    <w:rsid w:val="00F05CAB"/>
    <w:rsid w:val="00F0783D"/>
    <w:rsid w:val="00F13D78"/>
    <w:rsid w:val="00F146F6"/>
    <w:rsid w:val="00F17E2E"/>
    <w:rsid w:val="00F21EDB"/>
    <w:rsid w:val="00F3779B"/>
    <w:rsid w:val="00F4176A"/>
    <w:rsid w:val="00F46AB5"/>
    <w:rsid w:val="00F4726A"/>
    <w:rsid w:val="00F47A1E"/>
    <w:rsid w:val="00F57D85"/>
    <w:rsid w:val="00F606E9"/>
    <w:rsid w:val="00F62189"/>
    <w:rsid w:val="00F65529"/>
    <w:rsid w:val="00F65903"/>
    <w:rsid w:val="00F66F79"/>
    <w:rsid w:val="00F72231"/>
    <w:rsid w:val="00F72FCD"/>
    <w:rsid w:val="00F7691A"/>
    <w:rsid w:val="00F82EDF"/>
    <w:rsid w:val="00F84868"/>
    <w:rsid w:val="00F92650"/>
    <w:rsid w:val="00F92D04"/>
    <w:rsid w:val="00F9481A"/>
    <w:rsid w:val="00F9509A"/>
    <w:rsid w:val="00FA2F85"/>
    <w:rsid w:val="00FB27BC"/>
    <w:rsid w:val="00FB2E9E"/>
    <w:rsid w:val="00FB5F14"/>
    <w:rsid w:val="00FC1CFF"/>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2023-11-21T18:30:00+00:00</Judgment_x0020_Date>
    <Year xmlns="aec0a7e9-5f5c-4ba9-87b2-85cfc8a38b86">2023</Year>
  </documentManagement>
</p:properties>
</file>

<file path=customXml/itemProps1.xml><?xml version="1.0" encoding="utf-8"?>
<ds:datastoreItem xmlns:ds="http://schemas.openxmlformats.org/officeDocument/2006/customXml" ds:itemID="{210B85ED-F065-495C-860F-A6DE0DFE5738}"/>
</file>

<file path=customXml/itemProps2.xml><?xml version="1.0" encoding="utf-8"?>
<ds:datastoreItem xmlns:ds="http://schemas.openxmlformats.org/officeDocument/2006/customXml" ds:itemID="{9CA09092-F7CB-4E34-B554-97E4BBD6CEEE}"/>
</file>

<file path=customXml/itemProps3.xml><?xml version="1.0" encoding="utf-8"?>
<ds:datastoreItem xmlns:ds="http://schemas.openxmlformats.org/officeDocument/2006/customXml" ds:itemID="{CABD2BF5-69E9-46A3-B343-48919469AD1E}"/>
</file>

<file path=customXml/itemProps4.xml><?xml version="1.0" encoding="utf-8"?>
<ds:datastoreItem xmlns:ds="http://schemas.openxmlformats.org/officeDocument/2006/customXml" ds:itemID="{159838E0-A284-4314-A03A-2367E9ED068B}"/>
</file>

<file path=docProps/app.xml><?xml version="1.0" encoding="utf-8"?>
<Properties xmlns="http://schemas.openxmlformats.org/officeDocument/2006/extended-properties" xmlns:vt="http://schemas.openxmlformats.org/officeDocument/2006/docPropsVTypes">
  <Template>Normal</Template>
  <TotalTime>6</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du Toit Transport (Pty) Ltd v Van Wyk (HC-MD-LAB-MOT-GEN-2023-00179) [2023] NALCMD 55 (22 November 2023)</dc:title>
  <dc:subject/>
  <dc:creator>shomany keister</dc:creator>
  <cp:keywords/>
  <dc:description/>
  <cp:lastModifiedBy>Bregitha Coetzee</cp:lastModifiedBy>
  <cp:revision>6</cp:revision>
  <cp:lastPrinted>2023-11-16T07:12:00Z</cp:lastPrinted>
  <dcterms:created xsi:type="dcterms:W3CDTF">2023-11-21T10:05:00Z</dcterms:created>
  <dcterms:modified xsi:type="dcterms:W3CDTF">2023-11-24T08:17:00Z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