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F4" w:rsidRPr="00EF442A" w:rsidRDefault="00622DF4" w:rsidP="00622DF4">
      <w:pPr>
        <w:spacing w:after="0" w:line="360" w:lineRule="auto"/>
        <w:jc w:val="center"/>
        <w:rPr>
          <w:rFonts w:ascii="Arial" w:hAnsi="Arial" w:cs="Arial"/>
          <w:b/>
          <w:sz w:val="24"/>
          <w:szCs w:val="24"/>
        </w:rPr>
      </w:pPr>
      <w:r w:rsidRPr="00EF442A">
        <w:rPr>
          <w:rFonts w:ascii="Arial" w:hAnsi="Arial" w:cs="Arial"/>
          <w:b/>
          <w:sz w:val="24"/>
          <w:szCs w:val="24"/>
        </w:rPr>
        <w:t>REPUBLIC OF NAMIBIA</w:t>
      </w:r>
    </w:p>
    <w:p w:rsidR="00622DF4" w:rsidRPr="00EF442A" w:rsidRDefault="00622DF4" w:rsidP="00622DF4">
      <w:pPr>
        <w:spacing w:after="0" w:line="360" w:lineRule="auto"/>
        <w:jc w:val="center"/>
        <w:rPr>
          <w:rFonts w:ascii="Arial" w:hAnsi="Arial" w:cs="Arial"/>
          <w:b/>
          <w:sz w:val="32"/>
          <w:szCs w:val="32"/>
        </w:rPr>
      </w:pPr>
      <w:r w:rsidRPr="00EF442A">
        <w:rPr>
          <w:rFonts w:ascii="Arial" w:hAnsi="Arial" w:cs="Arial"/>
          <w:b/>
          <w:noProof/>
          <w:sz w:val="32"/>
          <w:szCs w:val="32"/>
          <w:lang w:val="en-US"/>
        </w:rPr>
        <w:drawing>
          <wp:inline distT="0" distB="0" distL="0" distR="0" wp14:anchorId="0CAA76A5" wp14:editId="0296553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22DF4" w:rsidRPr="00EF442A" w:rsidRDefault="00E07796" w:rsidP="00622DF4">
      <w:pPr>
        <w:spacing w:after="0" w:line="360" w:lineRule="auto"/>
        <w:jc w:val="center"/>
        <w:rPr>
          <w:rFonts w:ascii="Arial" w:hAnsi="Arial" w:cs="Arial"/>
          <w:bCs/>
          <w:sz w:val="24"/>
          <w:szCs w:val="24"/>
        </w:rPr>
      </w:pPr>
      <w:r w:rsidRPr="00496B06">
        <w:rPr>
          <w:rFonts w:ascii="Arial" w:hAnsi="Arial" w:cs="Arial"/>
          <w:b/>
          <w:sz w:val="24"/>
          <w:szCs w:val="24"/>
        </w:rPr>
        <w:t xml:space="preserve">IN THE LABOUR </w:t>
      </w:r>
      <w:r w:rsidR="00622DF4" w:rsidRPr="00EF442A">
        <w:rPr>
          <w:rFonts w:ascii="Arial" w:hAnsi="Arial" w:cs="Arial"/>
          <w:b/>
          <w:sz w:val="24"/>
          <w:szCs w:val="24"/>
        </w:rPr>
        <w:t>COURT OF NAMIBIA</w:t>
      </w:r>
      <w:r w:rsidR="001A4318">
        <w:rPr>
          <w:rFonts w:ascii="Arial" w:hAnsi="Arial" w:cs="Arial"/>
          <w:b/>
          <w:sz w:val="24"/>
          <w:szCs w:val="24"/>
        </w:rPr>
        <w:t>,</w:t>
      </w:r>
      <w:r w:rsidR="00622DF4" w:rsidRPr="00EF442A">
        <w:rPr>
          <w:rFonts w:ascii="Arial" w:hAnsi="Arial" w:cs="Arial"/>
          <w:b/>
          <w:sz w:val="24"/>
          <w:szCs w:val="24"/>
        </w:rPr>
        <w:t xml:space="preserve"> MAIN DIVISION, WINDHOEK</w:t>
      </w:r>
    </w:p>
    <w:p w:rsidR="00622DF4" w:rsidRPr="00EF442A" w:rsidRDefault="00E20875" w:rsidP="00E20875">
      <w:pPr>
        <w:spacing w:after="0" w:line="360" w:lineRule="auto"/>
        <w:jc w:val="center"/>
        <w:rPr>
          <w:rFonts w:ascii="Arial" w:hAnsi="Arial" w:cs="Arial"/>
          <w:b/>
          <w:sz w:val="24"/>
          <w:szCs w:val="24"/>
        </w:rPr>
      </w:pPr>
      <w:r w:rsidRPr="00E20875">
        <w:rPr>
          <w:rFonts w:ascii="Arial" w:hAnsi="Arial" w:cs="Arial"/>
          <w:sz w:val="24"/>
          <w:szCs w:val="24"/>
          <w:lang w:val="en-ZA"/>
        </w:rPr>
        <w:t>RULING IN TERMS OF PRACTICE DIRECTION 61</w:t>
      </w:r>
    </w:p>
    <w:tbl>
      <w:tblPr>
        <w:tblStyle w:val="TableGrid"/>
        <w:tblW w:w="10080" w:type="dxa"/>
        <w:tblInd w:w="-275" w:type="dxa"/>
        <w:tblLook w:val="04A0" w:firstRow="1" w:lastRow="0" w:firstColumn="1" w:lastColumn="0" w:noHBand="0" w:noVBand="1"/>
      </w:tblPr>
      <w:tblGrid>
        <w:gridCol w:w="5515"/>
        <w:gridCol w:w="4565"/>
      </w:tblGrid>
      <w:tr w:rsidR="000C2F28" w:rsidRPr="00EF442A" w:rsidTr="00B446CF">
        <w:tc>
          <w:tcPr>
            <w:tcW w:w="5515" w:type="dxa"/>
            <w:vMerge w:val="restart"/>
          </w:tcPr>
          <w:p w:rsidR="000C2F28" w:rsidRPr="00EF442A" w:rsidRDefault="000C2F28" w:rsidP="00D14C6F">
            <w:pPr>
              <w:spacing w:line="360" w:lineRule="auto"/>
              <w:rPr>
                <w:rFonts w:ascii="Arial" w:hAnsi="Arial" w:cs="Arial"/>
                <w:b/>
                <w:sz w:val="24"/>
                <w:szCs w:val="24"/>
                <w:lang w:val="en-US"/>
              </w:rPr>
            </w:pPr>
            <w:r w:rsidRPr="00EF442A">
              <w:rPr>
                <w:rFonts w:ascii="Arial" w:hAnsi="Arial" w:cs="Arial"/>
                <w:b/>
                <w:sz w:val="24"/>
                <w:szCs w:val="24"/>
                <w:lang w:val="en-US"/>
              </w:rPr>
              <w:t>Case Title:</w:t>
            </w:r>
          </w:p>
          <w:p w:rsidR="000C2F28" w:rsidRDefault="000C2F28" w:rsidP="00D14C6F">
            <w:pPr>
              <w:spacing w:line="360" w:lineRule="auto"/>
              <w:rPr>
                <w:rFonts w:ascii="Arial" w:hAnsi="Arial" w:cs="Arial"/>
                <w:sz w:val="24"/>
                <w:szCs w:val="24"/>
                <w:lang w:val="en-US"/>
              </w:rPr>
            </w:pPr>
          </w:p>
          <w:p w:rsidR="000C2F28" w:rsidRDefault="00483FC4" w:rsidP="00D14C6F">
            <w:pPr>
              <w:spacing w:line="360" w:lineRule="auto"/>
              <w:rPr>
                <w:rFonts w:ascii="Arial" w:hAnsi="Arial" w:cs="Arial"/>
                <w:sz w:val="24"/>
                <w:szCs w:val="24"/>
                <w:lang w:val="en-US"/>
              </w:rPr>
            </w:pPr>
            <w:proofErr w:type="spellStart"/>
            <w:r w:rsidRPr="00FB1A97">
              <w:rPr>
                <w:rFonts w:ascii="Arial" w:hAnsi="Arial" w:cs="Arial"/>
                <w:sz w:val="24"/>
                <w:szCs w:val="24"/>
                <w:lang w:val="en-US"/>
              </w:rPr>
              <w:t>Lesilia</w:t>
            </w:r>
            <w:proofErr w:type="spellEnd"/>
            <w:r w:rsidRPr="00FB1A97">
              <w:rPr>
                <w:rFonts w:ascii="Arial" w:hAnsi="Arial" w:cs="Arial"/>
                <w:sz w:val="24"/>
                <w:szCs w:val="24"/>
                <w:lang w:val="en-US"/>
              </w:rPr>
              <w:t xml:space="preserve"> Elias</w:t>
            </w:r>
            <w:r w:rsidR="00D50693">
              <w:rPr>
                <w:rFonts w:ascii="Arial" w:hAnsi="Arial" w:cs="Arial"/>
                <w:sz w:val="24"/>
                <w:szCs w:val="24"/>
                <w:lang w:val="en-US"/>
              </w:rPr>
              <w:tab/>
            </w:r>
            <w:r w:rsidR="00D50693">
              <w:rPr>
                <w:rFonts w:ascii="Arial" w:hAnsi="Arial" w:cs="Arial"/>
                <w:sz w:val="24"/>
                <w:szCs w:val="24"/>
                <w:lang w:val="en-US"/>
              </w:rPr>
              <w:tab/>
            </w:r>
            <w:r>
              <w:rPr>
                <w:rFonts w:ascii="Arial" w:hAnsi="Arial" w:cs="Arial"/>
                <w:sz w:val="24"/>
                <w:szCs w:val="24"/>
                <w:lang w:val="en-US"/>
              </w:rPr>
              <w:tab/>
            </w:r>
            <w:r w:rsidR="00D50693">
              <w:rPr>
                <w:rFonts w:ascii="Arial" w:hAnsi="Arial" w:cs="Arial"/>
                <w:sz w:val="24"/>
                <w:szCs w:val="24"/>
                <w:lang w:val="en-US"/>
              </w:rPr>
              <w:tab/>
              <w:t xml:space="preserve">       </w:t>
            </w:r>
            <w:r w:rsidR="001A4318">
              <w:rPr>
                <w:rFonts w:ascii="Arial" w:hAnsi="Arial" w:cs="Arial"/>
                <w:sz w:val="24"/>
                <w:szCs w:val="24"/>
                <w:lang w:val="en-US"/>
              </w:rPr>
              <w:t xml:space="preserve"> </w:t>
            </w:r>
            <w:r w:rsidR="00D50693">
              <w:rPr>
                <w:rFonts w:ascii="Arial" w:hAnsi="Arial" w:cs="Arial"/>
                <w:sz w:val="24"/>
                <w:szCs w:val="24"/>
                <w:lang w:val="en-US"/>
              </w:rPr>
              <w:t xml:space="preserve">  </w:t>
            </w:r>
            <w:r w:rsidR="00D50693" w:rsidRPr="00D50693">
              <w:rPr>
                <w:rFonts w:ascii="Arial" w:hAnsi="Arial" w:cs="Arial"/>
                <w:sz w:val="24"/>
                <w:szCs w:val="24"/>
                <w:lang w:val="en-US"/>
              </w:rPr>
              <w:t>Applicant</w:t>
            </w:r>
          </w:p>
          <w:p w:rsidR="000C2F28" w:rsidRPr="00EF442A" w:rsidRDefault="000C2F28" w:rsidP="00D14C6F">
            <w:pPr>
              <w:spacing w:line="360" w:lineRule="auto"/>
              <w:rPr>
                <w:rFonts w:ascii="Arial" w:hAnsi="Arial" w:cs="Arial"/>
                <w:sz w:val="24"/>
                <w:szCs w:val="24"/>
                <w:lang w:val="en-US"/>
              </w:rPr>
            </w:pPr>
          </w:p>
          <w:p w:rsidR="000C2F28" w:rsidRDefault="00D63DD5" w:rsidP="00D14C6F">
            <w:pPr>
              <w:spacing w:line="360" w:lineRule="auto"/>
              <w:rPr>
                <w:rFonts w:ascii="Arial" w:hAnsi="Arial" w:cs="Arial"/>
                <w:sz w:val="24"/>
                <w:szCs w:val="24"/>
                <w:lang w:val="en-US"/>
              </w:rPr>
            </w:pPr>
            <w:r>
              <w:rPr>
                <w:rFonts w:ascii="Arial" w:hAnsi="Arial" w:cs="Arial"/>
                <w:sz w:val="24"/>
                <w:szCs w:val="24"/>
                <w:lang w:val="en-US"/>
              </w:rPr>
              <w:t xml:space="preserve">and </w:t>
            </w:r>
            <w:r w:rsidR="000C2F28" w:rsidRPr="00EF442A">
              <w:rPr>
                <w:rFonts w:ascii="Arial" w:hAnsi="Arial" w:cs="Arial"/>
                <w:sz w:val="24"/>
                <w:szCs w:val="24"/>
                <w:lang w:val="en-US"/>
              </w:rPr>
              <w:t xml:space="preserve"> </w:t>
            </w:r>
          </w:p>
          <w:p w:rsidR="000C2F28" w:rsidRPr="00EF442A" w:rsidRDefault="000C2F28" w:rsidP="00D14C6F">
            <w:pPr>
              <w:spacing w:line="360" w:lineRule="auto"/>
              <w:rPr>
                <w:rFonts w:ascii="Arial" w:hAnsi="Arial" w:cs="Arial"/>
                <w:sz w:val="24"/>
                <w:szCs w:val="24"/>
                <w:lang w:val="en-US"/>
              </w:rPr>
            </w:pPr>
          </w:p>
          <w:p w:rsidR="00496B06" w:rsidRPr="00496B06" w:rsidRDefault="00483FC4" w:rsidP="00496B06">
            <w:pPr>
              <w:spacing w:line="360" w:lineRule="auto"/>
              <w:rPr>
                <w:rFonts w:ascii="Arial" w:hAnsi="Arial" w:cs="Arial"/>
                <w:sz w:val="24"/>
                <w:szCs w:val="24"/>
                <w:lang w:val="en-US"/>
              </w:rPr>
            </w:pPr>
            <w:r w:rsidRPr="00EF442A">
              <w:rPr>
                <w:rFonts w:ascii="Arial" w:hAnsi="Arial" w:cs="Arial"/>
                <w:sz w:val="24"/>
                <w:szCs w:val="24"/>
                <w:lang w:val="en-US"/>
              </w:rPr>
              <w:t xml:space="preserve">Bank </w:t>
            </w:r>
            <w:r>
              <w:rPr>
                <w:rFonts w:ascii="Arial" w:hAnsi="Arial" w:cs="Arial"/>
                <w:sz w:val="24"/>
                <w:szCs w:val="24"/>
                <w:lang w:val="en-US"/>
              </w:rPr>
              <w:t>of Namibia</w:t>
            </w:r>
            <w:r w:rsidR="00496B06">
              <w:rPr>
                <w:rFonts w:ascii="Arial" w:hAnsi="Arial" w:cs="Arial"/>
              </w:rPr>
              <w:tab/>
            </w:r>
            <w:r w:rsidR="00496B06">
              <w:rPr>
                <w:rFonts w:ascii="Arial" w:hAnsi="Arial" w:cs="Arial"/>
              </w:rPr>
              <w:tab/>
            </w:r>
            <w:r w:rsidR="00496B06">
              <w:rPr>
                <w:rFonts w:ascii="Arial" w:hAnsi="Arial" w:cs="Arial"/>
              </w:rPr>
              <w:tab/>
            </w:r>
            <w:r w:rsidR="00496B06" w:rsidRPr="00496B06">
              <w:rPr>
                <w:rFonts w:ascii="Arial" w:hAnsi="Arial" w:cs="Arial"/>
                <w:sz w:val="24"/>
                <w:szCs w:val="24"/>
              </w:rPr>
              <w:t xml:space="preserve"> 1</w:t>
            </w:r>
            <w:r w:rsidR="00496B06" w:rsidRPr="00496B06">
              <w:rPr>
                <w:rFonts w:ascii="Arial" w:hAnsi="Arial" w:cs="Arial"/>
                <w:sz w:val="24"/>
                <w:szCs w:val="24"/>
                <w:vertAlign w:val="superscript"/>
              </w:rPr>
              <w:t>st</w:t>
            </w:r>
            <w:r w:rsidR="00496B06" w:rsidRPr="00496B06">
              <w:rPr>
                <w:rFonts w:ascii="Arial" w:hAnsi="Arial" w:cs="Arial"/>
                <w:sz w:val="24"/>
                <w:szCs w:val="24"/>
              </w:rPr>
              <w:t xml:space="preserve"> Respondent</w:t>
            </w:r>
          </w:p>
          <w:p w:rsidR="000C2F28" w:rsidRPr="00EF442A" w:rsidRDefault="00496B06" w:rsidP="00496B06">
            <w:pPr>
              <w:spacing w:line="360" w:lineRule="auto"/>
              <w:rPr>
                <w:rFonts w:ascii="Arial" w:hAnsi="Arial" w:cs="Arial"/>
                <w:sz w:val="24"/>
                <w:szCs w:val="24"/>
                <w:lang w:val="en-US"/>
              </w:rPr>
            </w:pPr>
            <w:r w:rsidRPr="00496B06">
              <w:rPr>
                <w:rFonts w:ascii="Arial" w:hAnsi="Arial" w:cs="Arial"/>
                <w:sz w:val="24"/>
                <w:szCs w:val="24"/>
              </w:rPr>
              <w:t>Labour Commissioner</w:t>
            </w:r>
            <w:r w:rsidRPr="00496B06">
              <w:rPr>
                <w:rFonts w:ascii="Arial" w:hAnsi="Arial" w:cs="Arial"/>
                <w:sz w:val="24"/>
                <w:szCs w:val="24"/>
              </w:rPr>
              <w:tab/>
            </w:r>
            <w:r w:rsidRPr="00496B06">
              <w:rPr>
                <w:rFonts w:ascii="Arial" w:hAnsi="Arial" w:cs="Arial"/>
                <w:sz w:val="24"/>
                <w:szCs w:val="24"/>
              </w:rPr>
              <w:tab/>
              <w:t>2</w:t>
            </w:r>
            <w:r w:rsidRPr="00496B06">
              <w:rPr>
                <w:rFonts w:ascii="Arial" w:hAnsi="Arial" w:cs="Arial"/>
                <w:sz w:val="24"/>
                <w:szCs w:val="24"/>
                <w:vertAlign w:val="superscript"/>
              </w:rPr>
              <w:t>nd</w:t>
            </w:r>
            <w:r w:rsidRPr="00496B06">
              <w:rPr>
                <w:rFonts w:ascii="Arial" w:hAnsi="Arial" w:cs="Arial"/>
                <w:sz w:val="24"/>
                <w:szCs w:val="24"/>
              </w:rPr>
              <w:t xml:space="preserve"> Respondent</w:t>
            </w:r>
          </w:p>
        </w:tc>
        <w:tc>
          <w:tcPr>
            <w:tcW w:w="4565" w:type="dxa"/>
          </w:tcPr>
          <w:p w:rsidR="000C2F28" w:rsidRPr="00EF442A" w:rsidRDefault="000C2F28" w:rsidP="00D14C6F">
            <w:pPr>
              <w:spacing w:line="360" w:lineRule="auto"/>
              <w:rPr>
                <w:rFonts w:ascii="Arial" w:hAnsi="Arial" w:cs="Arial"/>
                <w:b/>
                <w:sz w:val="24"/>
                <w:szCs w:val="24"/>
                <w:lang w:val="en-US"/>
              </w:rPr>
            </w:pPr>
            <w:r w:rsidRPr="00EF442A">
              <w:rPr>
                <w:rFonts w:ascii="Arial" w:hAnsi="Arial" w:cs="Arial"/>
                <w:b/>
                <w:sz w:val="24"/>
                <w:szCs w:val="24"/>
                <w:lang w:val="en-US"/>
              </w:rPr>
              <w:t>Case No.:</w:t>
            </w:r>
          </w:p>
          <w:p w:rsidR="000535A6" w:rsidRPr="000535A6" w:rsidRDefault="000535A6" w:rsidP="000535A6">
            <w:pPr>
              <w:spacing w:line="360" w:lineRule="auto"/>
              <w:rPr>
                <w:rFonts w:ascii="Arial" w:hAnsi="Arial" w:cs="Arial"/>
                <w:sz w:val="24"/>
                <w:szCs w:val="24"/>
                <w:lang w:val="en-US"/>
              </w:rPr>
            </w:pPr>
            <w:r w:rsidRPr="000535A6">
              <w:rPr>
                <w:rFonts w:ascii="Arial" w:hAnsi="Arial" w:cs="Arial"/>
                <w:sz w:val="24"/>
                <w:szCs w:val="24"/>
                <w:lang w:val="en-US"/>
              </w:rPr>
              <w:t>INT-HC-VARJDGORD-2023/00267</w:t>
            </w:r>
          </w:p>
          <w:p w:rsidR="000C2F28" w:rsidRPr="00EF442A" w:rsidRDefault="000535A6" w:rsidP="000535A6">
            <w:pPr>
              <w:spacing w:line="360" w:lineRule="auto"/>
              <w:rPr>
                <w:rFonts w:ascii="Arial" w:hAnsi="Arial" w:cs="Arial"/>
                <w:sz w:val="24"/>
                <w:szCs w:val="24"/>
                <w:lang w:val="en-US"/>
              </w:rPr>
            </w:pPr>
            <w:r w:rsidRPr="000535A6">
              <w:rPr>
                <w:rFonts w:ascii="Arial" w:hAnsi="Arial" w:cs="Arial"/>
                <w:sz w:val="24"/>
                <w:szCs w:val="24"/>
                <w:lang w:val="en-US"/>
              </w:rPr>
              <w:t>HC-MD-LAB-APP-AAA-2020/00043</w:t>
            </w:r>
          </w:p>
        </w:tc>
      </w:tr>
      <w:tr w:rsidR="000C2F28" w:rsidRPr="00EF442A" w:rsidTr="000C2F28">
        <w:trPr>
          <w:trHeight w:val="893"/>
        </w:trPr>
        <w:tc>
          <w:tcPr>
            <w:tcW w:w="5515" w:type="dxa"/>
            <w:vMerge/>
          </w:tcPr>
          <w:p w:rsidR="000C2F28" w:rsidRPr="00EF442A" w:rsidRDefault="000C2F28" w:rsidP="00D14C6F">
            <w:pPr>
              <w:spacing w:line="360" w:lineRule="auto"/>
              <w:rPr>
                <w:rFonts w:ascii="Arial" w:hAnsi="Arial" w:cs="Arial"/>
                <w:sz w:val="24"/>
                <w:szCs w:val="24"/>
                <w:lang w:val="en-US"/>
              </w:rPr>
            </w:pPr>
          </w:p>
        </w:tc>
        <w:tc>
          <w:tcPr>
            <w:tcW w:w="4565" w:type="dxa"/>
          </w:tcPr>
          <w:p w:rsidR="000C2F28" w:rsidRPr="00EF442A" w:rsidRDefault="000C2F28" w:rsidP="00D14C6F">
            <w:pPr>
              <w:spacing w:line="360" w:lineRule="auto"/>
              <w:rPr>
                <w:rFonts w:ascii="Arial" w:hAnsi="Arial" w:cs="Arial"/>
                <w:sz w:val="24"/>
                <w:szCs w:val="24"/>
                <w:lang w:val="en-US"/>
              </w:rPr>
            </w:pPr>
            <w:r w:rsidRPr="00EF442A">
              <w:rPr>
                <w:rFonts w:ascii="Arial" w:hAnsi="Arial" w:cs="Arial"/>
                <w:b/>
                <w:sz w:val="24"/>
                <w:szCs w:val="24"/>
                <w:lang w:val="en-US"/>
              </w:rPr>
              <w:t>Division of Court</w:t>
            </w:r>
            <w:r w:rsidRPr="00EF442A">
              <w:rPr>
                <w:rFonts w:ascii="Arial" w:hAnsi="Arial" w:cs="Arial"/>
                <w:sz w:val="24"/>
                <w:szCs w:val="24"/>
                <w:lang w:val="en-US"/>
              </w:rPr>
              <w:t>:</w:t>
            </w:r>
          </w:p>
          <w:p w:rsidR="000C2F28" w:rsidRPr="00EF442A" w:rsidRDefault="000C2F28" w:rsidP="00D14C6F">
            <w:pPr>
              <w:spacing w:line="360" w:lineRule="auto"/>
              <w:rPr>
                <w:rFonts w:ascii="Arial" w:hAnsi="Arial" w:cs="Arial"/>
                <w:sz w:val="24"/>
                <w:szCs w:val="24"/>
                <w:lang w:val="en-US"/>
              </w:rPr>
            </w:pPr>
            <w:r w:rsidRPr="00EF442A">
              <w:rPr>
                <w:rFonts w:ascii="Arial" w:hAnsi="Arial" w:cs="Arial"/>
                <w:sz w:val="24"/>
                <w:szCs w:val="24"/>
                <w:lang w:val="en-US"/>
              </w:rPr>
              <w:t>High Court (Main Division)</w:t>
            </w:r>
          </w:p>
        </w:tc>
      </w:tr>
      <w:tr w:rsidR="000C2F28" w:rsidRPr="00EF442A" w:rsidTr="00BA74CC">
        <w:trPr>
          <w:trHeight w:val="1247"/>
        </w:trPr>
        <w:tc>
          <w:tcPr>
            <w:tcW w:w="5515" w:type="dxa"/>
            <w:vMerge/>
          </w:tcPr>
          <w:p w:rsidR="000C2F28" w:rsidRPr="00EF442A" w:rsidRDefault="000C2F28" w:rsidP="00D14C6F">
            <w:pPr>
              <w:spacing w:line="360" w:lineRule="auto"/>
              <w:rPr>
                <w:rFonts w:ascii="Arial" w:hAnsi="Arial" w:cs="Arial"/>
                <w:sz w:val="24"/>
                <w:szCs w:val="24"/>
                <w:lang w:val="en-US"/>
              </w:rPr>
            </w:pPr>
          </w:p>
        </w:tc>
        <w:tc>
          <w:tcPr>
            <w:tcW w:w="4565" w:type="dxa"/>
          </w:tcPr>
          <w:p w:rsidR="000C2F28" w:rsidRPr="00EF442A" w:rsidRDefault="000C2F28" w:rsidP="00D14C6F">
            <w:pPr>
              <w:spacing w:line="360" w:lineRule="auto"/>
              <w:rPr>
                <w:rFonts w:ascii="Arial" w:hAnsi="Arial" w:cs="Arial"/>
                <w:b/>
                <w:sz w:val="24"/>
                <w:szCs w:val="24"/>
                <w:lang w:val="en-US"/>
              </w:rPr>
            </w:pPr>
            <w:r w:rsidRPr="00EF442A">
              <w:rPr>
                <w:rFonts w:ascii="Arial" w:hAnsi="Arial" w:cs="Arial"/>
                <w:b/>
                <w:sz w:val="24"/>
                <w:szCs w:val="24"/>
                <w:lang w:val="en-US"/>
              </w:rPr>
              <w:t>Date of hearing:</w:t>
            </w:r>
          </w:p>
          <w:p w:rsidR="000C2F28" w:rsidRDefault="000535A6" w:rsidP="00D14C6F">
            <w:pPr>
              <w:spacing w:line="360" w:lineRule="auto"/>
              <w:rPr>
                <w:rFonts w:ascii="Arial" w:hAnsi="Arial" w:cs="Arial"/>
                <w:sz w:val="24"/>
                <w:szCs w:val="24"/>
                <w:lang w:val="en-US"/>
              </w:rPr>
            </w:pPr>
            <w:r>
              <w:rPr>
                <w:rFonts w:ascii="Arial" w:hAnsi="Arial" w:cs="Arial"/>
                <w:sz w:val="24"/>
                <w:szCs w:val="24"/>
                <w:lang w:val="en-US"/>
              </w:rPr>
              <w:t>3 November 2023</w:t>
            </w:r>
          </w:p>
          <w:p w:rsidR="000C2F28" w:rsidRPr="00EF442A" w:rsidRDefault="000C2F28" w:rsidP="00D14C6F">
            <w:pPr>
              <w:spacing w:line="360" w:lineRule="auto"/>
              <w:rPr>
                <w:rFonts w:ascii="Arial" w:hAnsi="Arial" w:cs="Arial"/>
                <w:sz w:val="24"/>
                <w:szCs w:val="24"/>
                <w:lang w:val="en-US"/>
              </w:rPr>
            </w:pPr>
          </w:p>
        </w:tc>
      </w:tr>
      <w:tr w:rsidR="000C2F28" w:rsidRPr="00EF442A" w:rsidTr="00B446CF">
        <w:tc>
          <w:tcPr>
            <w:tcW w:w="5515" w:type="dxa"/>
          </w:tcPr>
          <w:p w:rsidR="000C2F28" w:rsidRPr="00EF442A" w:rsidRDefault="000C2F28" w:rsidP="000C2F28">
            <w:pPr>
              <w:spacing w:line="360" w:lineRule="auto"/>
              <w:rPr>
                <w:rFonts w:ascii="Arial" w:hAnsi="Arial" w:cs="Arial"/>
                <w:b/>
                <w:sz w:val="24"/>
                <w:szCs w:val="24"/>
                <w:lang w:val="en-US"/>
              </w:rPr>
            </w:pPr>
            <w:r w:rsidRPr="00EF442A">
              <w:rPr>
                <w:rFonts w:ascii="Arial" w:hAnsi="Arial" w:cs="Arial"/>
                <w:b/>
                <w:sz w:val="24"/>
                <w:szCs w:val="24"/>
                <w:lang w:val="en-US"/>
              </w:rPr>
              <w:t>Heard before:</w:t>
            </w:r>
          </w:p>
          <w:p w:rsidR="000C2F28" w:rsidRPr="00EF442A" w:rsidRDefault="000C2F28" w:rsidP="000C2F28">
            <w:pPr>
              <w:rPr>
                <w:rFonts w:ascii="Arial" w:hAnsi="Arial" w:cs="Arial"/>
                <w:b/>
                <w:sz w:val="24"/>
                <w:szCs w:val="24"/>
                <w:lang w:val="en-US"/>
              </w:rPr>
            </w:pPr>
            <w:proofErr w:type="spellStart"/>
            <w:r w:rsidRPr="00EF442A">
              <w:rPr>
                <w:rFonts w:ascii="Arial" w:hAnsi="Arial" w:cs="Arial"/>
                <w:sz w:val="24"/>
                <w:szCs w:val="24"/>
                <w:lang w:val="en-US"/>
              </w:rPr>
              <w:t>Honourable</w:t>
            </w:r>
            <w:proofErr w:type="spellEnd"/>
            <w:r w:rsidRPr="00EF442A">
              <w:rPr>
                <w:rFonts w:ascii="Arial" w:hAnsi="Arial" w:cs="Arial"/>
                <w:sz w:val="24"/>
                <w:szCs w:val="24"/>
                <w:lang w:val="en-US"/>
              </w:rPr>
              <w:t xml:space="preserve"> Lady Justice </w:t>
            </w:r>
            <w:proofErr w:type="spellStart"/>
            <w:r w:rsidRPr="00EF442A">
              <w:rPr>
                <w:rFonts w:ascii="Arial" w:hAnsi="Arial" w:cs="Arial"/>
                <w:sz w:val="24"/>
                <w:szCs w:val="24"/>
                <w:lang w:val="en-US"/>
              </w:rPr>
              <w:t>Rakow</w:t>
            </w:r>
            <w:proofErr w:type="spellEnd"/>
          </w:p>
        </w:tc>
        <w:tc>
          <w:tcPr>
            <w:tcW w:w="4565" w:type="dxa"/>
          </w:tcPr>
          <w:p w:rsidR="000C2F28" w:rsidRPr="00EF442A" w:rsidRDefault="000C2F28" w:rsidP="000C2F28">
            <w:pPr>
              <w:spacing w:line="360" w:lineRule="auto"/>
              <w:rPr>
                <w:rFonts w:ascii="Arial" w:hAnsi="Arial" w:cs="Arial"/>
                <w:b/>
                <w:sz w:val="24"/>
                <w:szCs w:val="24"/>
                <w:lang w:val="en-US"/>
              </w:rPr>
            </w:pPr>
            <w:r w:rsidRPr="00EF442A">
              <w:rPr>
                <w:rFonts w:ascii="Arial" w:hAnsi="Arial" w:cs="Arial"/>
                <w:b/>
                <w:sz w:val="24"/>
                <w:szCs w:val="24"/>
                <w:lang w:val="en-US"/>
              </w:rPr>
              <w:t>Delivered on:</w:t>
            </w:r>
          </w:p>
          <w:p w:rsidR="000C2F28" w:rsidRPr="000535A6" w:rsidRDefault="000535A6" w:rsidP="000535A6">
            <w:pPr>
              <w:spacing w:line="360" w:lineRule="auto"/>
              <w:rPr>
                <w:rFonts w:ascii="Arial" w:hAnsi="Arial" w:cs="Arial"/>
                <w:sz w:val="24"/>
                <w:szCs w:val="24"/>
                <w:lang w:val="en-US"/>
              </w:rPr>
            </w:pPr>
            <w:r>
              <w:rPr>
                <w:rFonts w:ascii="Arial" w:hAnsi="Arial" w:cs="Arial"/>
                <w:sz w:val="24"/>
                <w:szCs w:val="24"/>
                <w:lang w:val="en-US"/>
              </w:rPr>
              <w:t>24 November 2023</w:t>
            </w:r>
          </w:p>
        </w:tc>
      </w:tr>
      <w:tr w:rsidR="00622DF4" w:rsidRPr="00EF442A" w:rsidTr="00D14C6F">
        <w:tc>
          <w:tcPr>
            <w:tcW w:w="10080" w:type="dxa"/>
            <w:gridSpan w:val="2"/>
          </w:tcPr>
          <w:p w:rsidR="00B446CF" w:rsidRPr="00B446CF" w:rsidRDefault="00B446CF" w:rsidP="00A46667">
            <w:pPr>
              <w:spacing w:line="360" w:lineRule="auto"/>
              <w:rPr>
                <w:rFonts w:ascii="Arial" w:hAnsi="Arial" w:cs="Arial"/>
                <w:b/>
                <w:sz w:val="10"/>
                <w:szCs w:val="10"/>
                <w:lang w:val="en-US"/>
              </w:rPr>
            </w:pPr>
          </w:p>
          <w:p w:rsidR="000B0231" w:rsidRDefault="00B446CF" w:rsidP="001A4318">
            <w:pPr>
              <w:spacing w:line="360" w:lineRule="auto"/>
              <w:rPr>
                <w:rFonts w:ascii="Arial" w:hAnsi="Arial" w:cs="Arial"/>
                <w:sz w:val="24"/>
                <w:szCs w:val="24"/>
                <w:lang w:val="en-US"/>
              </w:rPr>
            </w:pPr>
            <w:r>
              <w:rPr>
                <w:rFonts w:ascii="Arial" w:hAnsi="Arial" w:cs="Arial"/>
                <w:b/>
                <w:sz w:val="24"/>
                <w:szCs w:val="24"/>
                <w:lang w:val="en-US"/>
              </w:rPr>
              <w:t>Neutral citation:</w:t>
            </w:r>
            <w:r>
              <w:rPr>
                <w:rFonts w:ascii="Arial" w:hAnsi="Arial" w:cs="Arial"/>
                <w:b/>
                <w:sz w:val="24"/>
                <w:szCs w:val="24"/>
                <w:lang w:val="en-US"/>
              </w:rPr>
              <w:tab/>
            </w:r>
            <w:r w:rsidR="005A5F6A" w:rsidRPr="00D63DD5">
              <w:rPr>
                <w:rFonts w:ascii="Arial" w:hAnsi="Arial" w:cs="Arial"/>
                <w:i/>
                <w:sz w:val="24"/>
                <w:szCs w:val="24"/>
                <w:lang w:val="en-US"/>
              </w:rPr>
              <w:t>Elias</w:t>
            </w:r>
            <w:r w:rsidR="000535A6" w:rsidRPr="00D63DD5">
              <w:rPr>
                <w:rFonts w:ascii="Arial" w:hAnsi="Arial" w:cs="Arial"/>
                <w:i/>
                <w:sz w:val="24"/>
                <w:szCs w:val="24"/>
                <w:lang w:val="en-US"/>
              </w:rPr>
              <w:t xml:space="preserve"> v Bank of Namibia </w:t>
            </w:r>
            <w:r w:rsidR="001A4318">
              <w:rPr>
                <w:rFonts w:ascii="Arial" w:hAnsi="Arial" w:cs="Arial"/>
                <w:sz w:val="24"/>
                <w:szCs w:val="24"/>
                <w:lang w:val="en-US"/>
              </w:rPr>
              <w:t>(</w:t>
            </w:r>
            <w:r w:rsidR="000535A6" w:rsidRPr="00D63DD5">
              <w:rPr>
                <w:rFonts w:ascii="Arial" w:hAnsi="Arial" w:cs="Arial"/>
                <w:sz w:val="24"/>
                <w:szCs w:val="24"/>
                <w:lang w:val="en-US"/>
              </w:rPr>
              <w:t>HC-MD-</w:t>
            </w:r>
            <w:r w:rsidR="00D63DD5" w:rsidRPr="00D63DD5">
              <w:rPr>
                <w:rFonts w:ascii="Arial" w:hAnsi="Arial" w:cs="Arial"/>
                <w:sz w:val="24"/>
                <w:szCs w:val="24"/>
                <w:lang w:val="en-US"/>
              </w:rPr>
              <w:t xml:space="preserve">LAB-APP-AAA-2020/00043) [2023] </w:t>
            </w:r>
          </w:p>
          <w:p w:rsidR="001A4318" w:rsidRDefault="001A4318" w:rsidP="001A4318">
            <w:pPr>
              <w:spacing w:line="360" w:lineRule="auto"/>
              <w:rPr>
                <w:rFonts w:ascii="Arial" w:hAnsi="Arial" w:cs="Arial"/>
                <w:sz w:val="24"/>
                <w:szCs w:val="24"/>
                <w:lang w:val="en-US"/>
              </w:rPr>
            </w:pPr>
            <w:r>
              <w:rPr>
                <w:rFonts w:ascii="Arial" w:hAnsi="Arial" w:cs="Arial"/>
                <w:sz w:val="24"/>
                <w:szCs w:val="24"/>
                <w:lang w:val="en-US"/>
              </w:rPr>
              <w:t xml:space="preserve">                                </w:t>
            </w:r>
            <w:r w:rsidRPr="00D63DD5">
              <w:rPr>
                <w:rFonts w:ascii="Arial" w:hAnsi="Arial" w:cs="Arial"/>
                <w:sz w:val="24"/>
                <w:szCs w:val="24"/>
                <w:lang w:val="en-US"/>
              </w:rPr>
              <w:t xml:space="preserve">NALCMD </w:t>
            </w:r>
            <w:r w:rsidR="00F805C3">
              <w:rPr>
                <w:rFonts w:ascii="Arial" w:hAnsi="Arial" w:cs="Arial"/>
                <w:sz w:val="24"/>
                <w:szCs w:val="24"/>
                <w:lang w:val="en-US"/>
              </w:rPr>
              <w:t>56</w:t>
            </w:r>
            <w:r w:rsidRPr="00D63DD5">
              <w:rPr>
                <w:rFonts w:ascii="Arial" w:hAnsi="Arial" w:cs="Arial"/>
                <w:sz w:val="24"/>
                <w:szCs w:val="24"/>
                <w:lang w:val="en-US"/>
              </w:rPr>
              <w:t xml:space="preserve"> (24 November 2023)</w:t>
            </w:r>
          </w:p>
          <w:p w:rsidR="001A4318" w:rsidRPr="00B446CF" w:rsidRDefault="001A4318" w:rsidP="001A4318">
            <w:pPr>
              <w:spacing w:line="360" w:lineRule="auto"/>
              <w:rPr>
                <w:rFonts w:ascii="Arial" w:hAnsi="Arial" w:cs="Arial"/>
                <w:sz w:val="10"/>
                <w:szCs w:val="10"/>
                <w:lang w:val="en-US"/>
              </w:rPr>
            </w:pPr>
          </w:p>
        </w:tc>
      </w:tr>
      <w:tr w:rsidR="00622DF4" w:rsidRPr="00EF442A" w:rsidTr="00D14C6F">
        <w:tc>
          <w:tcPr>
            <w:tcW w:w="10080" w:type="dxa"/>
            <w:gridSpan w:val="2"/>
          </w:tcPr>
          <w:p w:rsidR="00622DF4" w:rsidRDefault="00622DF4" w:rsidP="00D14C6F">
            <w:pPr>
              <w:spacing w:line="360" w:lineRule="auto"/>
              <w:jc w:val="both"/>
              <w:rPr>
                <w:rFonts w:ascii="Arial" w:hAnsi="Arial" w:cs="Arial"/>
                <w:b/>
                <w:sz w:val="24"/>
                <w:szCs w:val="24"/>
                <w:lang w:val="en-US"/>
              </w:rPr>
            </w:pPr>
            <w:r w:rsidRPr="00EF442A">
              <w:rPr>
                <w:rFonts w:ascii="Arial" w:hAnsi="Arial" w:cs="Arial"/>
                <w:b/>
                <w:sz w:val="24"/>
                <w:szCs w:val="24"/>
                <w:lang w:val="en-US"/>
              </w:rPr>
              <w:t>IT IS ORDERED THAT:</w:t>
            </w:r>
          </w:p>
          <w:p w:rsidR="00D63DD5" w:rsidRPr="00EF442A" w:rsidRDefault="00D63DD5" w:rsidP="00D14C6F">
            <w:pPr>
              <w:spacing w:line="360" w:lineRule="auto"/>
              <w:jc w:val="both"/>
              <w:rPr>
                <w:rFonts w:ascii="Arial" w:hAnsi="Arial" w:cs="Arial"/>
                <w:b/>
                <w:sz w:val="24"/>
                <w:szCs w:val="24"/>
                <w:lang w:val="en-US"/>
              </w:rPr>
            </w:pPr>
          </w:p>
          <w:p w:rsidR="00D63DD5" w:rsidRDefault="00D63DD5" w:rsidP="00D63DD5">
            <w:pPr>
              <w:pStyle w:val="ListParagraph"/>
              <w:numPr>
                <w:ilvl w:val="0"/>
                <w:numId w:val="11"/>
              </w:numPr>
              <w:spacing w:after="160" w:line="360" w:lineRule="auto"/>
              <w:jc w:val="both"/>
              <w:rPr>
                <w:rFonts w:ascii="Arial" w:hAnsi="Arial" w:cs="Arial"/>
                <w:sz w:val="24"/>
                <w:szCs w:val="24"/>
                <w:lang w:val="en-ZA"/>
              </w:rPr>
            </w:pPr>
            <w:r w:rsidRPr="00D63DD5">
              <w:rPr>
                <w:rFonts w:ascii="Arial" w:hAnsi="Arial" w:cs="Arial"/>
                <w:sz w:val="24"/>
                <w:szCs w:val="24"/>
                <w:lang w:val="en-ZA"/>
              </w:rPr>
              <w:t>The application is dismissed.</w:t>
            </w:r>
          </w:p>
          <w:p w:rsidR="00D63DD5" w:rsidRDefault="00D63DD5" w:rsidP="00D63DD5">
            <w:pPr>
              <w:pStyle w:val="ListParagraph"/>
              <w:numPr>
                <w:ilvl w:val="0"/>
                <w:numId w:val="11"/>
              </w:numPr>
              <w:spacing w:after="160" w:line="360" w:lineRule="auto"/>
              <w:jc w:val="both"/>
              <w:rPr>
                <w:rFonts w:ascii="Arial" w:hAnsi="Arial" w:cs="Arial"/>
                <w:sz w:val="24"/>
                <w:szCs w:val="24"/>
                <w:lang w:val="en-ZA"/>
              </w:rPr>
            </w:pPr>
            <w:r w:rsidRPr="00D63DD5">
              <w:rPr>
                <w:rFonts w:ascii="Arial" w:hAnsi="Arial" w:cs="Arial"/>
                <w:sz w:val="24"/>
                <w:szCs w:val="24"/>
                <w:lang w:val="en-ZA"/>
              </w:rPr>
              <w:t>There is no order as to costs</w:t>
            </w:r>
            <w:r>
              <w:rPr>
                <w:rFonts w:ascii="Arial" w:hAnsi="Arial" w:cs="Arial"/>
                <w:sz w:val="24"/>
                <w:szCs w:val="24"/>
                <w:lang w:val="en-ZA"/>
              </w:rPr>
              <w:t>.</w:t>
            </w:r>
          </w:p>
          <w:p w:rsidR="00D63DD5" w:rsidRPr="00D63DD5" w:rsidRDefault="00D63DD5" w:rsidP="00D63DD5">
            <w:pPr>
              <w:pStyle w:val="ListParagraph"/>
              <w:numPr>
                <w:ilvl w:val="0"/>
                <w:numId w:val="11"/>
              </w:numPr>
              <w:spacing w:line="360" w:lineRule="auto"/>
              <w:jc w:val="both"/>
              <w:rPr>
                <w:rFonts w:ascii="Arial" w:hAnsi="Arial" w:cs="Arial"/>
                <w:sz w:val="24"/>
                <w:szCs w:val="24"/>
                <w:lang w:val="en-ZA"/>
              </w:rPr>
            </w:pPr>
            <w:r w:rsidRPr="00D63DD5">
              <w:rPr>
                <w:rFonts w:ascii="Arial" w:hAnsi="Arial" w:cs="Arial"/>
                <w:sz w:val="24"/>
                <w:szCs w:val="24"/>
                <w:lang w:val="en-ZA"/>
              </w:rPr>
              <w:t>The matter is finalized and removed from the roll.</w:t>
            </w:r>
          </w:p>
          <w:p w:rsidR="00CD1053" w:rsidRPr="00EF442A" w:rsidRDefault="00CD1053" w:rsidP="00CD1053">
            <w:pPr>
              <w:pStyle w:val="NoSpacing"/>
              <w:spacing w:line="360" w:lineRule="auto"/>
              <w:jc w:val="both"/>
              <w:rPr>
                <w:rFonts w:ascii="Arial" w:hAnsi="Arial" w:cs="Arial"/>
                <w:sz w:val="24"/>
                <w:szCs w:val="24"/>
                <w:lang w:val="en-US"/>
              </w:rPr>
            </w:pPr>
          </w:p>
        </w:tc>
      </w:tr>
      <w:tr w:rsidR="00622DF4" w:rsidRPr="00EF442A" w:rsidTr="00D14C6F">
        <w:tc>
          <w:tcPr>
            <w:tcW w:w="10080" w:type="dxa"/>
            <w:gridSpan w:val="2"/>
          </w:tcPr>
          <w:p w:rsidR="00BA74CC" w:rsidRPr="00BA74CC" w:rsidRDefault="00BA74CC" w:rsidP="00D14C6F">
            <w:pPr>
              <w:rPr>
                <w:rFonts w:ascii="Arial" w:hAnsi="Arial" w:cs="Arial"/>
                <w:b/>
                <w:sz w:val="10"/>
                <w:szCs w:val="10"/>
                <w:lang w:val="en-US"/>
              </w:rPr>
            </w:pPr>
          </w:p>
          <w:p w:rsidR="00622DF4" w:rsidRDefault="00622DF4" w:rsidP="00D14C6F">
            <w:pPr>
              <w:rPr>
                <w:rFonts w:ascii="Arial" w:hAnsi="Arial" w:cs="Arial"/>
                <w:b/>
                <w:sz w:val="24"/>
                <w:szCs w:val="24"/>
                <w:lang w:val="en-US"/>
              </w:rPr>
            </w:pPr>
            <w:r w:rsidRPr="00EF442A">
              <w:rPr>
                <w:rFonts w:ascii="Arial" w:hAnsi="Arial" w:cs="Arial"/>
                <w:b/>
                <w:sz w:val="24"/>
                <w:szCs w:val="24"/>
                <w:lang w:val="en-US"/>
              </w:rPr>
              <w:t>Reasons for orders:</w:t>
            </w:r>
          </w:p>
          <w:p w:rsidR="00BA74CC" w:rsidRPr="00BA74CC" w:rsidRDefault="00BA74CC" w:rsidP="00D14C6F">
            <w:pPr>
              <w:rPr>
                <w:rFonts w:ascii="Arial" w:hAnsi="Arial" w:cs="Arial"/>
                <w:b/>
                <w:sz w:val="10"/>
                <w:szCs w:val="10"/>
                <w:lang w:val="en-US"/>
              </w:rPr>
            </w:pPr>
          </w:p>
        </w:tc>
      </w:tr>
      <w:tr w:rsidR="00622DF4" w:rsidRPr="00EF442A" w:rsidTr="00D14C6F">
        <w:tc>
          <w:tcPr>
            <w:tcW w:w="10080" w:type="dxa"/>
            <w:gridSpan w:val="2"/>
          </w:tcPr>
          <w:p w:rsidR="00CD1053" w:rsidRDefault="00CD1053" w:rsidP="000B0231">
            <w:pPr>
              <w:tabs>
                <w:tab w:val="left" w:pos="927"/>
              </w:tabs>
              <w:spacing w:line="360" w:lineRule="auto"/>
              <w:jc w:val="both"/>
              <w:rPr>
                <w:rFonts w:ascii="Arial" w:hAnsi="Arial" w:cs="Arial"/>
                <w:sz w:val="24"/>
                <w:szCs w:val="24"/>
                <w:lang w:val="en-US"/>
              </w:rPr>
            </w:pPr>
          </w:p>
          <w:p w:rsidR="0076555A" w:rsidRDefault="00BA74CC" w:rsidP="000B0231">
            <w:pPr>
              <w:tabs>
                <w:tab w:val="left" w:pos="927"/>
              </w:tabs>
              <w:spacing w:line="360" w:lineRule="auto"/>
              <w:jc w:val="both"/>
              <w:rPr>
                <w:rFonts w:ascii="Arial" w:hAnsi="Arial" w:cs="Arial"/>
                <w:sz w:val="24"/>
                <w:szCs w:val="24"/>
                <w:lang w:val="en-US"/>
              </w:rPr>
            </w:pPr>
            <w:r w:rsidRPr="00EF442A">
              <w:rPr>
                <w:rFonts w:ascii="Arial" w:hAnsi="Arial" w:cs="Arial"/>
                <w:sz w:val="24"/>
                <w:szCs w:val="24"/>
                <w:lang w:val="en-US"/>
              </w:rPr>
              <w:t>RAKOW</w:t>
            </w:r>
            <w:r>
              <w:rPr>
                <w:rFonts w:ascii="Arial" w:hAnsi="Arial" w:cs="Arial"/>
                <w:sz w:val="24"/>
                <w:szCs w:val="24"/>
                <w:lang w:val="en-US"/>
              </w:rPr>
              <w:t xml:space="preserve"> J</w:t>
            </w:r>
            <w:r w:rsidR="00CD1053">
              <w:rPr>
                <w:rFonts w:ascii="Arial" w:hAnsi="Arial" w:cs="Arial"/>
                <w:sz w:val="24"/>
                <w:szCs w:val="24"/>
                <w:lang w:val="en-US"/>
              </w:rPr>
              <w:t>:</w:t>
            </w:r>
          </w:p>
          <w:p w:rsidR="00D63DD5" w:rsidRDefault="00D63DD5" w:rsidP="000B0231">
            <w:pPr>
              <w:tabs>
                <w:tab w:val="left" w:pos="927"/>
              </w:tabs>
              <w:spacing w:line="360" w:lineRule="auto"/>
              <w:jc w:val="both"/>
              <w:rPr>
                <w:rFonts w:ascii="Arial" w:hAnsi="Arial" w:cs="Arial"/>
                <w:sz w:val="24"/>
                <w:szCs w:val="24"/>
                <w:lang w:val="en-US"/>
              </w:rPr>
            </w:pPr>
          </w:p>
          <w:p w:rsidR="00281560" w:rsidRPr="00EF442A" w:rsidRDefault="00E235B2" w:rsidP="000B0231">
            <w:pPr>
              <w:tabs>
                <w:tab w:val="left" w:pos="927"/>
              </w:tabs>
              <w:spacing w:line="360" w:lineRule="auto"/>
              <w:jc w:val="both"/>
              <w:rPr>
                <w:rFonts w:ascii="Arial" w:hAnsi="Arial" w:cs="Arial"/>
                <w:sz w:val="24"/>
                <w:szCs w:val="24"/>
                <w:u w:val="single"/>
                <w:lang w:val="en-US"/>
              </w:rPr>
            </w:pPr>
            <w:r>
              <w:rPr>
                <w:rFonts w:ascii="Arial" w:hAnsi="Arial" w:cs="Arial"/>
                <w:sz w:val="24"/>
                <w:szCs w:val="24"/>
                <w:u w:val="single"/>
                <w:lang w:val="en-US"/>
              </w:rPr>
              <w:t>Background</w:t>
            </w:r>
          </w:p>
          <w:p w:rsidR="00CD1053" w:rsidRPr="00CD1053" w:rsidRDefault="00CD1053" w:rsidP="00CD1053">
            <w:pPr>
              <w:spacing w:line="360" w:lineRule="auto"/>
              <w:jc w:val="both"/>
              <w:rPr>
                <w:rFonts w:ascii="Arial" w:hAnsi="Arial" w:cs="Arial"/>
                <w:sz w:val="24"/>
                <w:szCs w:val="24"/>
                <w:lang w:val="en-ZA"/>
              </w:rPr>
            </w:pPr>
          </w:p>
          <w:p w:rsidR="00C95337" w:rsidRPr="00C95337" w:rsidRDefault="007647F1" w:rsidP="00C95337">
            <w:pPr>
              <w:pStyle w:val="ListParagraph"/>
              <w:numPr>
                <w:ilvl w:val="0"/>
                <w:numId w:val="12"/>
              </w:numPr>
              <w:spacing w:line="360" w:lineRule="auto"/>
              <w:ind w:left="0" w:firstLine="0"/>
              <w:jc w:val="both"/>
              <w:rPr>
                <w:rFonts w:ascii="Arial" w:hAnsi="Arial" w:cs="Arial"/>
                <w:sz w:val="24"/>
                <w:szCs w:val="24"/>
                <w:lang w:val="en-ZA"/>
              </w:rPr>
            </w:pPr>
            <w:r w:rsidRPr="00905177">
              <w:rPr>
                <w:rFonts w:ascii="Arial" w:hAnsi="Arial" w:cs="Arial"/>
                <w:sz w:val="24"/>
                <w:szCs w:val="24"/>
              </w:rPr>
              <w:t>Ms</w:t>
            </w:r>
            <w:r w:rsidR="00E235B2" w:rsidRPr="00905177">
              <w:rPr>
                <w:rFonts w:ascii="Arial" w:hAnsi="Arial" w:cs="Arial"/>
                <w:sz w:val="24"/>
                <w:szCs w:val="24"/>
              </w:rPr>
              <w:t xml:space="preserve"> Elias</w:t>
            </w:r>
            <w:r w:rsidR="00905177">
              <w:rPr>
                <w:rFonts w:ascii="Arial" w:hAnsi="Arial" w:cs="Arial"/>
                <w:sz w:val="24"/>
                <w:szCs w:val="24"/>
              </w:rPr>
              <w:t>, the a</w:t>
            </w:r>
            <w:r w:rsidR="001E661F" w:rsidRPr="00905177">
              <w:rPr>
                <w:rFonts w:ascii="Arial" w:hAnsi="Arial" w:cs="Arial"/>
                <w:sz w:val="24"/>
                <w:szCs w:val="24"/>
              </w:rPr>
              <w:t>pplicant,</w:t>
            </w:r>
            <w:r w:rsidR="00AD5054">
              <w:rPr>
                <w:rFonts w:ascii="Arial" w:hAnsi="Arial" w:cs="Arial"/>
                <w:sz w:val="24"/>
                <w:szCs w:val="24"/>
              </w:rPr>
              <w:t xml:space="preserve"> was employed by </w:t>
            </w:r>
            <w:r w:rsidR="00905177">
              <w:rPr>
                <w:rFonts w:ascii="Arial" w:hAnsi="Arial" w:cs="Arial"/>
                <w:sz w:val="24"/>
                <w:szCs w:val="24"/>
              </w:rPr>
              <w:t>the first r</w:t>
            </w:r>
            <w:r w:rsidR="00E235B2" w:rsidRPr="00905177">
              <w:rPr>
                <w:rFonts w:ascii="Arial" w:hAnsi="Arial" w:cs="Arial"/>
                <w:sz w:val="24"/>
                <w:szCs w:val="24"/>
              </w:rPr>
              <w:t>espondent, Bank of Namibia. She started he</w:t>
            </w:r>
            <w:r w:rsidR="00905177">
              <w:rPr>
                <w:rFonts w:ascii="Arial" w:hAnsi="Arial" w:cs="Arial"/>
                <w:sz w:val="24"/>
                <w:szCs w:val="24"/>
              </w:rPr>
              <w:t xml:space="preserve">r employment on 15 April 2002 </w:t>
            </w:r>
            <w:r w:rsidRPr="00905177">
              <w:rPr>
                <w:rFonts w:ascii="Arial" w:hAnsi="Arial" w:cs="Arial"/>
                <w:sz w:val="24"/>
                <w:szCs w:val="24"/>
              </w:rPr>
              <w:t>and was</w:t>
            </w:r>
            <w:r w:rsidR="00905177">
              <w:rPr>
                <w:rFonts w:ascii="Arial" w:hAnsi="Arial" w:cs="Arial"/>
                <w:sz w:val="24"/>
                <w:szCs w:val="24"/>
              </w:rPr>
              <w:t xml:space="preserve"> dismissed by the f</w:t>
            </w:r>
            <w:r w:rsidR="00E235B2" w:rsidRPr="00905177">
              <w:rPr>
                <w:rFonts w:ascii="Arial" w:hAnsi="Arial" w:cs="Arial"/>
                <w:sz w:val="24"/>
                <w:szCs w:val="24"/>
              </w:rPr>
              <w:t>irs</w:t>
            </w:r>
            <w:r w:rsidR="00905177">
              <w:rPr>
                <w:rFonts w:ascii="Arial" w:hAnsi="Arial" w:cs="Arial"/>
                <w:sz w:val="24"/>
                <w:szCs w:val="24"/>
              </w:rPr>
              <w:t>t r</w:t>
            </w:r>
            <w:r w:rsidR="00E235B2" w:rsidRPr="00905177">
              <w:rPr>
                <w:rFonts w:ascii="Arial" w:hAnsi="Arial" w:cs="Arial"/>
                <w:sz w:val="24"/>
                <w:szCs w:val="24"/>
              </w:rPr>
              <w:t xml:space="preserve">espondent on 1 April 2016. She then, after her dismissal, referred </w:t>
            </w:r>
            <w:r w:rsidR="00D34B07">
              <w:rPr>
                <w:rFonts w:ascii="Arial" w:hAnsi="Arial" w:cs="Arial"/>
                <w:sz w:val="24"/>
                <w:szCs w:val="24"/>
              </w:rPr>
              <w:t xml:space="preserve">a claim of unfair dismissal on </w:t>
            </w:r>
            <w:r w:rsidR="00E235B2" w:rsidRPr="00905177">
              <w:rPr>
                <w:rFonts w:ascii="Arial" w:hAnsi="Arial" w:cs="Arial"/>
                <w:sz w:val="24"/>
                <w:szCs w:val="24"/>
              </w:rPr>
              <w:t xml:space="preserve">7 June 2016 to </w:t>
            </w:r>
            <w:r w:rsidR="00905177">
              <w:rPr>
                <w:rFonts w:ascii="Arial" w:hAnsi="Arial" w:cs="Arial"/>
                <w:sz w:val="24"/>
                <w:szCs w:val="24"/>
              </w:rPr>
              <w:t>the second r</w:t>
            </w:r>
            <w:r w:rsidR="00E235B2" w:rsidRPr="00905177">
              <w:rPr>
                <w:rFonts w:ascii="Arial" w:hAnsi="Arial" w:cs="Arial"/>
                <w:sz w:val="24"/>
                <w:szCs w:val="24"/>
              </w:rPr>
              <w:t>espondent for adjudication. She sought redress for c</w:t>
            </w:r>
            <w:r w:rsidR="00C95337">
              <w:rPr>
                <w:rFonts w:ascii="Arial" w:hAnsi="Arial" w:cs="Arial"/>
                <w:sz w:val="24"/>
                <w:szCs w:val="24"/>
              </w:rPr>
              <w:t xml:space="preserve">ompensation for loss of income </w:t>
            </w:r>
            <w:r w:rsidR="00E235B2" w:rsidRPr="00905177">
              <w:rPr>
                <w:rFonts w:ascii="Arial" w:hAnsi="Arial" w:cs="Arial"/>
                <w:sz w:val="24"/>
                <w:szCs w:val="24"/>
              </w:rPr>
              <w:t>and in addition</w:t>
            </w:r>
            <w:r w:rsidR="00AD5054">
              <w:rPr>
                <w:rFonts w:ascii="Arial" w:hAnsi="Arial" w:cs="Arial"/>
                <w:sz w:val="24"/>
                <w:szCs w:val="24"/>
              </w:rPr>
              <w:t>,</w:t>
            </w:r>
            <w:r w:rsidR="00E235B2" w:rsidRPr="00905177">
              <w:rPr>
                <w:rFonts w:ascii="Arial" w:hAnsi="Arial" w:cs="Arial"/>
                <w:sz w:val="24"/>
                <w:szCs w:val="24"/>
              </w:rPr>
              <w:t xml:space="preserve"> to be reinstated.</w:t>
            </w:r>
          </w:p>
          <w:p w:rsidR="00C95337" w:rsidRDefault="00C95337" w:rsidP="00C95337">
            <w:pPr>
              <w:pStyle w:val="ListParagraph"/>
              <w:spacing w:line="360" w:lineRule="auto"/>
              <w:ind w:left="0"/>
              <w:jc w:val="both"/>
              <w:rPr>
                <w:rFonts w:ascii="Arial" w:hAnsi="Arial" w:cs="Arial"/>
                <w:sz w:val="24"/>
                <w:szCs w:val="24"/>
                <w:lang w:val="en-ZA"/>
              </w:rPr>
            </w:pPr>
          </w:p>
          <w:p w:rsidR="00C95337" w:rsidRPr="00C95337" w:rsidRDefault="00E235B2" w:rsidP="001A4318">
            <w:pPr>
              <w:pStyle w:val="ListParagraph"/>
              <w:numPr>
                <w:ilvl w:val="0"/>
                <w:numId w:val="12"/>
              </w:numPr>
              <w:spacing w:line="360" w:lineRule="auto"/>
              <w:ind w:left="0" w:firstLine="0"/>
              <w:jc w:val="both"/>
              <w:rPr>
                <w:rFonts w:ascii="Arial" w:hAnsi="Arial" w:cs="Arial"/>
                <w:sz w:val="24"/>
                <w:szCs w:val="24"/>
                <w:lang w:val="en-ZA"/>
              </w:rPr>
            </w:pPr>
            <w:r w:rsidRPr="00C95337">
              <w:rPr>
                <w:rFonts w:ascii="Arial" w:hAnsi="Arial" w:cs="Arial"/>
                <w:sz w:val="24"/>
                <w:szCs w:val="24"/>
              </w:rPr>
              <w:t>On 28 April 2017, approximately 10 months after the referral of the dispute, the arbitrator issu</w:t>
            </w:r>
            <w:r w:rsidR="00C95337" w:rsidRPr="00C95337">
              <w:rPr>
                <w:rFonts w:ascii="Arial" w:hAnsi="Arial" w:cs="Arial"/>
                <w:sz w:val="24"/>
                <w:szCs w:val="24"/>
              </w:rPr>
              <w:t>ed her award on 28 April 2017. The arbitrator found that the first r</w:t>
            </w:r>
            <w:r w:rsidRPr="00C95337">
              <w:rPr>
                <w:rFonts w:ascii="Arial" w:hAnsi="Arial" w:cs="Arial"/>
                <w:sz w:val="24"/>
                <w:szCs w:val="24"/>
              </w:rPr>
              <w:t xml:space="preserve">espondent’s dismissal of </w:t>
            </w:r>
            <w:r w:rsidR="007647F1" w:rsidRPr="00C95337">
              <w:rPr>
                <w:rFonts w:ascii="Arial" w:hAnsi="Arial" w:cs="Arial"/>
                <w:sz w:val="24"/>
                <w:szCs w:val="24"/>
              </w:rPr>
              <w:t>Ms</w:t>
            </w:r>
            <w:r w:rsidRPr="00C95337">
              <w:rPr>
                <w:rFonts w:ascii="Arial" w:hAnsi="Arial" w:cs="Arial"/>
                <w:sz w:val="24"/>
                <w:szCs w:val="24"/>
              </w:rPr>
              <w:t xml:space="preserve"> Elias was substantively and procedurally fair. Ms</w:t>
            </w:r>
            <w:r w:rsidR="001E661F" w:rsidRPr="00C95337">
              <w:rPr>
                <w:rFonts w:ascii="Arial" w:hAnsi="Arial" w:cs="Arial"/>
                <w:sz w:val="24"/>
                <w:szCs w:val="24"/>
              </w:rPr>
              <w:t xml:space="preserve"> Elias</w:t>
            </w:r>
            <w:r w:rsidRPr="00C95337">
              <w:rPr>
                <w:rFonts w:ascii="Arial" w:hAnsi="Arial" w:cs="Arial"/>
                <w:sz w:val="24"/>
                <w:szCs w:val="24"/>
              </w:rPr>
              <w:t xml:space="preserve"> noted an app</w:t>
            </w:r>
            <w:r w:rsidR="001E661F" w:rsidRPr="00C95337">
              <w:rPr>
                <w:rFonts w:ascii="Arial" w:hAnsi="Arial" w:cs="Arial"/>
                <w:sz w:val="24"/>
                <w:szCs w:val="24"/>
              </w:rPr>
              <w:t>eal on 02 March 2018 against this</w:t>
            </w:r>
            <w:r w:rsidRPr="00C95337">
              <w:rPr>
                <w:rFonts w:ascii="Arial" w:hAnsi="Arial" w:cs="Arial"/>
                <w:sz w:val="24"/>
                <w:szCs w:val="24"/>
              </w:rPr>
              <w:t xml:space="preserve"> arbitration </w:t>
            </w:r>
            <w:r w:rsidR="001E661F" w:rsidRPr="00C95337">
              <w:rPr>
                <w:rFonts w:ascii="Arial" w:hAnsi="Arial" w:cs="Arial"/>
                <w:sz w:val="24"/>
                <w:szCs w:val="24"/>
              </w:rPr>
              <w:t>award. T</w:t>
            </w:r>
            <w:r w:rsidRPr="00C95337">
              <w:rPr>
                <w:rFonts w:ascii="Arial" w:hAnsi="Arial" w:cs="Arial"/>
                <w:sz w:val="24"/>
                <w:szCs w:val="24"/>
              </w:rPr>
              <w:t>he appeal was noted out of time, however, the Court on 15 August 2018, condoned the late noting of the appeal and reinstated her appeal.  The app</w:t>
            </w:r>
            <w:r w:rsidR="00C95337" w:rsidRPr="00C95337">
              <w:rPr>
                <w:rFonts w:ascii="Arial" w:hAnsi="Arial" w:cs="Arial"/>
                <w:sz w:val="24"/>
                <w:szCs w:val="24"/>
              </w:rPr>
              <w:t>eal was argued on 29 March 2019</w:t>
            </w:r>
            <w:r w:rsidRPr="00C95337">
              <w:rPr>
                <w:rFonts w:ascii="Arial" w:hAnsi="Arial" w:cs="Arial"/>
                <w:sz w:val="24"/>
                <w:szCs w:val="24"/>
              </w:rPr>
              <w:t xml:space="preserve"> and the Court upheld </w:t>
            </w:r>
            <w:r w:rsidR="007647F1" w:rsidRPr="00C95337">
              <w:rPr>
                <w:rFonts w:ascii="Arial" w:hAnsi="Arial" w:cs="Arial"/>
                <w:sz w:val="24"/>
                <w:szCs w:val="24"/>
              </w:rPr>
              <w:t>Ms</w:t>
            </w:r>
            <w:r w:rsidRPr="00C95337">
              <w:rPr>
                <w:rFonts w:ascii="Arial" w:hAnsi="Arial" w:cs="Arial"/>
                <w:sz w:val="24"/>
                <w:szCs w:val="24"/>
              </w:rPr>
              <w:t xml:space="preserve"> Elias appeal, </w:t>
            </w:r>
            <w:r w:rsidR="00C95337" w:rsidRPr="00C95337">
              <w:rPr>
                <w:rFonts w:ascii="Arial" w:hAnsi="Arial" w:cs="Arial"/>
                <w:sz w:val="24"/>
                <w:szCs w:val="24"/>
              </w:rPr>
              <w:t>set aside the arbitration award</w:t>
            </w:r>
            <w:r w:rsidRPr="00C95337">
              <w:rPr>
                <w:rFonts w:ascii="Arial" w:hAnsi="Arial" w:cs="Arial"/>
                <w:sz w:val="24"/>
                <w:szCs w:val="24"/>
              </w:rPr>
              <w:t xml:space="preserve"> </w:t>
            </w:r>
            <w:r w:rsidR="00C95337" w:rsidRPr="00C95337">
              <w:rPr>
                <w:rFonts w:ascii="Arial" w:hAnsi="Arial" w:cs="Arial"/>
                <w:sz w:val="24"/>
                <w:szCs w:val="24"/>
              </w:rPr>
              <w:t>and in addition found that the first r</w:t>
            </w:r>
            <w:r w:rsidRPr="00C95337">
              <w:rPr>
                <w:rFonts w:ascii="Arial" w:hAnsi="Arial" w:cs="Arial"/>
                <w:sz w:val="24"/>
                <w:szCs w:val="24"/>
              </w:rPr>
              <w:t>espondent unfairly dismissed her.</w:t>
            </w:r>
          </w:p>
          <w:p w:rsidR="00C95337" w:rsidRPr="00C95337" w:rsidRDefault="00C95337" w:rsidP="001A4318">
            <w:pPr>
              <w:pStyle w:val="ListParagraph"/>
              <w:spacing w:line="360" w:lineRule="auto"/>
              <w:rPr>
                <w:rFonts w:ascii="Arial" w:hAnsi="Arial" w:cs="Arial"/>
                <w:sz w:val="24"/>
                <w:szCs w:val="24"/>
              </w:rPr>
            </w:pPr>
          </w:p>
          <w:p w:rsidR="00D74AB2" w:rsidRPr="00D74AB2" w:rsidRDefault="00C95337" w:rsidP="001A4318">
            <w:pPr>
              <w:pStyle w:val="ListParagraph"/>
              <w:numPr>
                <w:ilvl w:val="0"/>
                <w:numId w:val="12"/>
              </w:numPr>
              <w:spacing w:line="360" w:lineRule="auto"/>
              <w:ind w:left="0" w:firstLine="0"/>
              <w:jc w:val="both"/>
              <w:rPr>
                <w:rFonts w:ascii="Arial" w:hAnsi="Arial" w:cs="Arial"/>
                <w:sz w:val="24"/>
                <w:szCs w:val="24"/>
                <w:lang w:val="en-ZA"/>
              </w:rPr>
            </w:pPr>
            <w:r>
              <w:rPr>
                <w:rFonts w:ascii="Arial" w:hAnsi="Arial" w:cs="Arial"/>
                <w:sz w:val="24"/>
                <w:szCs w:val="24"/>
              </w:rPr>
              <w:t>On 28 May 2019, the first r</w:t>
            </w:r>
            <w:r w:rsidR="00E235B2" w:rsidRPr="00C95337">
              <w:rPr>
                <w:rFonts w:ascii="Arial" w:hAnsi="Arial" w:cs="Arial"/>
                <w:sz w:val="24"/>
                <w:szCs w:val="24"/>
              </w:rPr>
              <w:t>espondent applied for leave to appeal to the Supreme Court. That application was however</w:t>
            </w:r>
            <w:r w:rsidR="00AD5054">
              <w:rPr>
                <w:rFonts w:ascii="Arial" w:hAnsi="Arial" w:cs="Arial"/>
                <w:sz w:val="24"/>
                <w:szCs w:val="24"/>
              </w:rPr>
              <w:t>,</w:t>
            </w:r>
            <w:r w:rsidR="00E235B2" w:rsidRPr="00C95337">
              <w:rPr>
                <w:rFonts w:ascii="Arial" w:hAnsi="Arial" w:cs="Arial"/>
                <w:sz w:val="24"/>
                <w:szCs w:val="24"/>
              </w:rPr>
              <w:t xml:space="preserve"> only heard during the following</w:t>
            </w:r>
            <w:r w:rsidR="00AD5054">
              <w:rPr>
                <w:rFonts w:ascii="Arial" w:hAnsi="Arial" w:cs="Arial"/>
                <w:sz w:val="24"/>
                <w:szCs w:val="24"/>
              </w:rPr>
              <w:t xml:space="preserve"> year,</w:t>
            </w:r>
            <w:r w:rsidR="00E235B2" w:rsidRPr="00C95337">
              <w:rPr>
                <w:rFonts w:ascii="Arial" w:hAnsi="Arial" w:cs="Arial"/>
                <w:sz w:val="24"/>
                <w:szCs w:val="24"/>
              </w:rPr>
              <w:t xml:space="preserve"> 2020</w:t>
            </w:r>
            <w:r>
              <w:rPr>
                <w:rFonts w:ascii="Arial" w:hAnsi="Arial" w:cs="Arial"/>
                <w:sz w:val="24"/>
                <w:szCs w:val="24"/>
              </w:rPr>
              <w:t xml:space="preserve">. </w:t>
            </w:r>
            <w:r w:rsidR="00E235B2" w:rsidRPr="00C95337">
              <w:rPr>
                <w:rFonts w:ascii="Arial" w:hAnsi="Arial" w:cs="Arial"/>
                <w:sz w:val="24"/>
                <w:szCs w:val="24"/>
              </w:rPr>
              <w:t>On 15 October 2020</w:t>
            </w:r>
            <w:r>
              <w:rPr>
                <w:rFonts w:ascii="Arial" w:hAnsi="Arial" w:cs="Arial"/>
                <w:sz w:val="24"/>
                <w:szCs w:val="24"/>
              </w:rPr>
              <w:t>, the first r</w:t>
            </w:r>
            <w:r w:rsidR="00E235B2" w:rsidRPr="00C95337">
              <w:rPr>
                <w:rFonts w:ascii="Arial" w:hAnsi="Arial" w:cs="Arial"/>
                <w:sz w:val="24"/>
                <w:szCs w:val="24"/>
              </w:rPr>
              <w:t>espondent was granted leave to appeal to the Supreme Court against the Cour</w:t>
            </w:r>
            <w:r>
              <w:rPr>
                <w:rFonts w:ascii="Arial" w:hAnsi="Arial" w:cs="Arial"/>
                <w:sz w:val="24"/>
                <w:szCs w:val="24"/>
              </w:rPr>
              <w:t>t’s order dated 19 May 2019. Ms</w:t>
            </w:r>
            <w:r w:rsidR="00E235B2" w:rsidRPr="00C95337">
              <w:rPr>
                <w:rFonts w:ascii="Arial" w:hAnsi="Arial" w:cs="Arial"/>
                <w:sz w:val="24"/>
                <w:szCs w:val="24"/>
              </w:rPr>
              <w:t xml:space="preserve"> Elias opposed the appeal.</w:t>
            </w:r>
          </w:p>
          <w:p w:rsidR="00D74AB2" w:rsidRPr="00D74AB2" w:rsidRDefault="00D74AB2" w:rsidP="001A4318">
            <w:pPr>
              <w:pStyle w:val="ListParagraph"/>
              <w:spacing w:line="360" w:lineRule="auto"/>
              <w:rPr>
                <w:rFonts w:ascii="Arial" w:hAnsi="Arial" w:cs="Arial"/>
                <w:sz w:val="24"/>
                <w:szCs w:val="24"/>
              </w:rPr>
            </w:pPr>
          </w:p>
          <w:p w:rsidR="00BF2ED3" w:rsidRPr="00BF2ED3" w:rsidRDefault="00D74AB2" w:rsidP="001A4318">
            <w:pPr>
              <w:pStyle w:val="ListParagraph"/>
              <w:numPr>
                <w:ilvl w:val="0"/>
                <w:numId w:val="12"/>
              </w:numPr>
              <w:spacing w:line="360" w:lineRule="auto"/>
              <w:ind w:left="0" w:firstLine="0"/>
              <w:jc w:val="both"/>
              <w:rPr>
                <w:rFonts w:ascii="Arial" w:hAnsi="Arial" w:cs="Arial"/>
                <w:sz w:val="24"/>
                <w:szCs w:val="24"/>
                <w:lang w:val="en-ZA"/>
              </w:rPr>
            </w:pPr>
            <w:r>
              <w:rPr>
                <w:rFonts w:ascii="Arial" w:hAnsi="Arial" w:cs="Arial"/>
                <w:sz w:val="24"/>
                <w:szCs w:val="24"/>
              </w:rPr>
              <w:t>The first r</w:t>
            </w:r>
            <w:r w:rsidR="00E235B2" w:rsidRPr="00D74AB2">
              <w:rPr>
                <w:rFonts w:ascii="Arial" w:hAnsi="Arial" w:cs="Arial"/>
                <w:sz w:val="24"/>
                <w:szCs w:val="24"/>
              </w:rPr>
              <w:t>espondent’s appeal then</w:t>
            </w:r>
            <w:r>
              <w:rPr>
                <w:rFonts w:ascii="Arial" w:hAnsi="Arial" w:cs="Arial"/>
                <w:sz w:val="24"/>
                <w:szCs w:val="24"/>
              </w:rPr>
              <w:t xml:space="preserve"> lapsed on 24 February 2021. Ms Elias thereafter</w:t>
            </w:r>
            <w:r w:rsidR="00E235B2" w:rsidRPr="00D74AB2">
              <w:rPr>
                <w:rFonts w:ascii="Arial" w:hAnsi="Arial" w:cs="Arial"/>
                <w:sz w:val="24"/>
                <w:szCs w:val="24"/>
              </w:rPr>
              <w:t xml:space="preserve"> approached the Registrar’s office, who issued out a writ of execution against the m</w:t>
            </w:r>
            <w:r>
              <w:rPr>
                <w:rFonts w:ascii="Arial" w:hAnsi="Arial" w:cs="Arial"/>
                <w:sz w:val="24"/>
                <w:szCs w:val="24"/>
              </w:rPr>
              <w:t>ovables of the first r</w:t>
            </w:r>
            <w:r w:rsidR="00E235B2" w:rsidRPr="00D74AB2">
              <w:rPr>
                <w:rFonts w:ascii="Arial" w:hAnsi="Arial" w:cs="Arial"/>
                <w:sz w:val="24"/>
                <w:szCs w:val="24"/>
              </w:rPr>
              <w:t xml:space="preserve">espondent. </w:t>
            </w:r>
            <w:r w:rsidR="00BF2ED3">
              <w:rPr>
                <w:rFonts w:ascii="Arial" w:hAnsi="Arial" w:cs="Arial"/>
                <w:sz w:val="24"/>
                <w:szCs w:val="24"/>
              </w:rPr>
              <w:t>The first r</w:t>
            </w:r>
            <w:r w:rsidR="00E235B2" w:rsidRPr="00D74AB2">
              <w:rPr>
                <w:rFonts w:ascii="Arial" w:hAnsi="Arial" w:cs="Arial"/>
                <w:sz w:val="24"/>
                <w:szCs w:val="24"/>
              </w:rPr>
              <w:t>espondent subsequently filed an application to this Court to set aside the writ of execution. Ms Elias did not oppose such application; the writ of e</w:t>
            </w:r>
            <w:r w:rsidR="00BF2ED3">
              <w:rPr>
                <w:rFonts w:ascii="Arial" w:hAnsi="Arial" w:cs="Arial"/>
                <w:sz w:val="24"/>
                <w:szCs w:val="24"/>
              </w:rPr>
              <w:t>xecution was set aside and the first r</w:t>
            </w:r>
            <w:r w:rsidR="00E235B2" w:rsidRPr="00D74AB2">
              <w:rPr>
                <w:rFonts w:ascii="Arial" w:hAnsi="Arial" w:cs="Arial"/>
                <w:sz w:val="24"/>
                <w:szCs w:val="24"/>
              </w:rPr>
              <w:t>espondent applied for condon</w:t>
            </w:r>
            <w:r w:rsidR="00AD5054">
              <w:rPr>
                <w:rFonts w:ascii="Arial" w:hAnsi="Arial" w:cs="Arial"/>
                <w:sz w:val="24"/>
                <w:szCs w:val="24"/>
              </w:rPr>
              <w:t>ation and reinstatement of its</w:t>
            </w:r>
            <w:r w:rsidR="00E235B2" w:rsidRPr="00D74AB2">
              <w:rPr>
                <w:rFonts w:ascii="Arial" w:hAnsi="Arial" w:cs="Arial"/>
                <w:sz w:val="24"/>
                <w:szCs w:val="24"/>
              </w:rPr>
              <w:t xml:space="preserve"> lapsed appeal in the Supreme Court. The condonation and reinstatement application</w:t>
            </w:r>
            <w:r w:rsidR="00D34B07">
              <w:rPr>
                <w:rFonts w:ascii="Arial" w:hAnsi="Arial" w:cs="Arial"/>
                <w:sz w:val="24"/>
                <w:szCs w:val="24"/>
              </w:rPr>
              <w:t xml:space="preserve"> were set down for argument on </w:t>
            </w:r>
            <w:r w:rsidR="00E235B2" w:rsidRPr="00D74AB2">
              <w:rPr>
                <w:rFonts w:ascii="Arial" w:hAnsi="Arial" w:cs="Arial"/>
                <w:sz w:val="24"/>
                <w:szCs w:val="24"/>
              </w:rPr>
              <w:t>8 May 2023</w:t>
            </w:r>
            <w:r w:rsidR="00BF2ED3">
              <w:rPr>
                <w:rFonts w:ascii="Arial" w:hAnsi="Arial" w:cs="Arial"/>
                <w:sz w:val="24"/>
                <w:szCs w:val="24"/>
              </w:rPr>
              <w:t>.</w:t>
            </w:r>
          </w:p>
          <w:p w:rsidR="00BF2ED3" w:rsidRPr="00BF2ED3" w:rsidRDefault="00BF2ED3" w:rsidP="00BF2ED3">
            <w:pPr>
              <w:pStyle w:val="ListParagraph"/>
              <w:rPr>
                <w:rFonts w:ascii="Arial" w:hAnsi="Arial" w:cs="Arial"/>
                <w:sz w:val="24"/>
                <w:szCs w:val="24"/>
              </w:rPr>
            </w:pPr>
          </w:p>
          <w:p w:rsidR="00CD1053" w:rsidRPr="00BF2ED3" w:rsidRDefault="00BF2ED3" w:rsidP="00CD1053">
            <w:pPr>
              <w:pStyle w:val="ListParagraph"/>
              <w:numPr>
                <w:ilvl w:val="0"/>
                <w:numId w:val="12"/>
              </w:numPr>
              <w:spacing w:line="360" w:lineRule="auto"/>
              <w:ind w:left="0" w:firstLine="0"/>
              <w:jc w:val="both"/>
              <w:rPr>
                <w:rFonts w:ascii="Arial" w:hAnsi="Arial" w:cs="Arial"/>
                <w:sz w:val="24"/>
                <w:szCs w:val="24"/>
                <w:lang w:val="en-ZA"/>
              </w:rPr>
            </w:pPr>
            <w:r>
              <w:rPr>
                <w:rFonts w:ascii="Arial" w:hAnsi="Arial" w:cs="Arial"/>
                <w:sz w:val="24"/>
                <w:szCs w:val="24"/>
              </w:rPr>
              <w:lastRenderedPageBreak/>
              <w:t>At the said hearing, the first r</w:t>
            </w:r>
            <w:r w:rsidR="00AD5054">
              <w:rPr>
                <w:rFonts w:ascii="Arial" w:hAnsi="Arial" w:cs="Arial"/>
                <w:sz w:val="24"/>
                <w:szCs w:val="24"/>
              </w:rPr>
              <w:t xml:space="preserve">espondent withdraw its </w:t>
            </w:r>
            <w:r w:rsidR="00E235B2" w:rsidRPr="00BF2ED3">
              <w:rPr>
                <w:rFonts w:ascii="Arial" w:hAnsi="Arial" w:cs="Arial"/>
                <w:sz w:val="24"/>
                <w:szCs w:val="24"/>
              </w:rPr>
              <w:t>application, and costs</w:t>
            </w:r>
            <w:r>
              <w:rPr>
                <w:rFonts w:ascii="Arial" w:hAnsi="Arial" w:cs="Arial"/>
                <w:sz w:val="24"/>
                <w:szCs w:val="24"/>
              </w:rPr>
              <w:t xml:space="preserve"> were awarded against</w:t>
            </w:r>
            <w:r w:rsidR="00AD5054">
              <w:rPr>
                <w:rFonts w:ascii="Arial" w:hAnsi="Arial" w:cs="Arial"/>
                <w:sz w:val="24"/>
                <w:szCs w:val="24"/>
              </w:rPr>
              <w:t xml:space="preserve"> it</w:t>
            </w:r>
            <w:r w:rsidR="00E235B2" w:rsidRPr="00BF2ED3">
              <w:rPr>
                <w:rFonts w:ascii="Arial" w:hAnsi="Arial" w:cs="Arial"/>
                <w:sz w:val="24"/>
                <w:szCs w:val="24"/>
              </w:rPr>
              <w:t>. Subsequent to the withdrawal of the appeal, M</w:t>
            </w:r>
            <w:r>
              <w:rPr>
                <w:rFonts w:ascii="Arial" w:hAnsi="Arial" w:cs="Arial"/>
                <w:sz w:val="24"/>
                <w:szCs w:val="24"/>
              </w:rPr>
              <w:t>s</w:t>
            </w:r>
            <w:r w:rsidR="00E235B2" w:rsidRPr="00BF2ED3">
              <w:rPr>
                <w:rFonts w:ascii="Arial" w:hAnsi="Arial" w:cs="Arial"/>
                <w:sz w:val="24"/>
                <w:szCs w:val="24"/>
              </w:rPr>
              <w:t xml:space="preserve"> Elias brought a rule 103(1</w:t>
            </w:r>
            <w:proofErr w:type="gramStart"/>
            <w:r w:rsidR="00E235B2" w:rsidRPr="00BF2ED3">
              <w:rPr>
                <w:rFonts w:ascii="Arial" w:hAnsi="Arial" w:cs="Arial"/>
                <w:sz w:val="24"/>
                <w:szCs w:val="24"/>
              </w:rPr>
              <w:t>)(</w:t>
            </w:r>
            <w:proofErr w:type="gramEnd"/>
            <w:r w:rsidR="00E235B2" w:rsidRPr="00BF2ED3">
              <w:rPr>
                <w:rFonts w:ascii="Arial" w:hAnsi="Arial" w:cs="Arial"/>
                <w:i/>
                <w:sz w:val="24"/>
                <w:szCs w:val="24"/>
              </w:rPr>
              <w:t>c</w:t>
            </w:r>
            <w:r w:rsidR="00E235B2" w:rsidRPr="00BF2ED3">
              <w:rPr>
                <w:rFonts w:ascii="Arial" w:hAnsi="Arial" w:cs="Arial"/>
                <w:sz w:val="24"/>
                <w:szCs w:val="24"/>
              </w:rPr>
              <w:t>) application to this Court in order for the Court to supplement the order of 19 May 2019.</w:t>
            </w:r>
          </w:p>
          <w:p w:rsidR="00CD1053" w:rsidRDefault="00CD1053" w:rsidP="00CD1053">
            <w:pPr>
              <w:spacing w:line="360" w:lineRule="auto"/>
              <w:jc w:val="both"/>
              <w:rPr>
                <w:rFonts w:ascii="Arial" w:hAnsi="Arial" w:cs="Arial"/>
                <w:sz w:val="24"/>
                <w:szCs w:val="24"/>
                <w:lang w:val="en-ZA"/>
              </w:rPr>
            </w:pPr>
          </w:p>
          <w:p w:rsidR="00E235B2" w:rsidRDefault="00E235B2" w:rsidP="00CD1053">
            <w:pPr>
              <w:spacing w:line="360" w:lineRule="auto"/>
              <w:jc w:val="both"/>
              <w:rPr>
                <w:rFonts w:ascii="Arial" w:hAnsi="Arial" w:cs="Arial"/>
                <w:sz w:val="24"/>
                <w:szCs w:val="24"/>
                <w:u w:val="single"/>
                <w:lang w:val="en-ZA"/>
              </w:rPr>
            </w:pPr>
            <w:r w:rsidRPr="00E235B2">
              <w:rPr>
                <w:rFonts w:ascii="Arial" w:hAnsi="Arial" w:cs="Arial"/>
                <w:sz w:val="24"/>
                <w:szCs w:val="24"/>
                <w:u w:val="single"/>
                <w:lang w:val="en-ZA"/>
              </w:rPr>
              <w:t>The court order</w:t>
            </w:r>
          </w:p>
          <w:p w:rsidR="00BF2ED3" w:rsidRPr="00E235B2" w:rsidRDefault="00BF2ED3" w:rsidP="00CD1053">
            <w:pPr>
              <w:spacing w:line="360" w:lineRule="auto"/>
              <w:jc w:val="both"/>
              <w:rPr>
                <w:rFonts w:ascii="Arial" w:hAnsi="Arial" w:cs="Arial"/>
                <w:sz w:val="24"/>
                <w:szCs w:val="24"/>
                <w:u w:val="single"/>
                <w:lang w:val="en-ZA"/>
              </w:rPr>
            </w:pPr>
          </w:p>
          <w:p w:rsidR="007647F1" w:rsidRPr="00BF2ED3" w:rsidRDefault="007647F1" w:rsidP="00BF2ED3">
            <w:pPr>
              <w:pStyle w:val="ListParagraph"/>
              <w:numPr>
                <w:ilvl w:val="0"/>
                <w:numId w:val="12"/>
              </w:numPr>
              <w:spacing w:line="360" w:lineRule="auto"/>
              <w:ind w:left="0" w:firstLine="0"/>
              <w:jc w:val="both"/>
              <w:rPr>
                <w:rFonts w:ascii="Arial" w:hAnsi="Arial" w:cs="Arial"/>
                <w:sz w:val="24"/>
                <w:szCs w:val="24"/>
              </w:rPr>
            </w:pPr>
            <w:r w:rsidRPr="00BF2ED3">
              <w:rPr>
                <w:rFonts w:ascii="Arial" w:hAnsi="Arial" w:cs="Arial"/>
                <w:sz w:val="24"/>
                <w:szCs w:val="24"/>
              </w:rPr>
              <w:t xml:space="preserve">on 13 May 2019 this Honourable Court ordered that: </w:t>
            </w:r>
          </w:p>
          <w:p w:rsidR="007647F1" w:rsidRDefault="007647F1" w:rsidP="00CD1053">
            <w:pPr>
              <w:spacing w:line="360" w:lineRule="auto"/>
              <w:jc w:val="both"/>
              <w:rPr>
                <w:rFonts w:ascii="Arial" w:hAnsi="Arial" w:cs="Arial"/>
                <w:sz w:val="24"/>
                <w:szCs w:val="24"/>
              </w:rPr>
            </w:pPr>
          </w:p>
          <w:p w:rsidR="007647F1" w:rsidRPr="00BF2ED3" w:rsidRDefault="00BF2ED3" w:rsidP="00CD1053">
            <w:pPr>
              <w:spacing w:line="360" w:lineRule="auto"/>
              <w:jc w:val="both"/>
              <w:rPr>
                <w:rFonts w:ascii="Arial" w:hAnsi="Arial" w:cs="Arial"/>
              </w:rPr>
            </w:pPr>
            <w:r>
              <w:rPr>
                <w:rFonts w:ascii="Arial" w:hAnsi="Arial" w:cs="Arial"/>
                <w:sz w:val="24"/>
                <w:szCs w:val="24"/>
              </w:rPr>
              <w:t xml:space="preserve">         ‘</w:t>
            </w:r>
            <w:r w:rsidR="007647F1" w:rsidRPr="00BF2ED3">
              <w:rPr>
                <w:rFonts w:ascii="Arial" w:hAnsi="Arial" w:cs="Arial"/>
              </w:rPr>
              <w:t xml:space="preserve">1. The Arbitration award issued by the arbitrator on 04 April 2017 is hereby set aside. </w:t>
            </w:r>
          </w:p>
          <w:p w:rsidR="00CD1053" w:rsidRPr="00BF2ED3" w:rsidRDefault="007647F1" w:rsidP="00CD1053">
            <w:pPr>
              <w:spacing w:line="360" w:lineRule="auto"/>
              <w:jc w:val="both"/>
              <w:rPr>
                <w:rFonts w:ascii="Arial" w:hAnsi="Arial" w:cs="Arial"/>
                <w:lang w:val="en-ZA"/>
              </w:rPr>
            </w:pPr>
            <w:r w:rsidRPr="00BF2ED3">
              <w:rPr>
                <w:rFonts w:ascii="Arial" w:hAnsi="Arial" w:cs="Arial"/>
              </w:rPr>
              <w:t>2. The appeal succeeds as the dismissal was un</w:t>
            </w:r>
            <w:r w:rsidR="00BF2ED3" w:rsidRPr="00BF2ED3">
              <w:rPr>
                <w:rFonts w:ascii="Arial" w:hAnsi="Arial" w:cs="Arial"/>
              </w:rPr>
              <w:t>fair and without valid reasons.’</w:t>
            </w:r>
          </w:p>
          <w:p w:rsidR="00CD1053" w:rsidRPr="00CD1053" w:rsidRDefault="00CD1053" w:rsidP="00CD1053">
            <w:pPr>
              <w:spacing w:line="360" w:lineRule="auto"/>
              <w:jc w:val="both"/>
              <w:rPr>
                <w:rFonts w:ascii="Arial" w:hAnsi="Arial" w:cs="Arial"/>
                <w:sz w:val="24"/>
                <w:szCs w:val="24"/>
                <w:lang w:val="en-ZA"/>
              </w:rPr>
            </w:pPr>
          </w:p>
          <w:p w:rsidR="00CD1053" w:rsidRPr="00BF2ED3" w:rsidRDefault="007647F1" w:rsidP="00BF2ED3">
            <w:pPr>
              <w:pStyle w:val="ListParagraph"/>
              <w:numPr>
                <w:ilvl w:val="0"/>
                <w:numId w:val="12"/>
              </w:numPr>
              <w:spacing w:line="360" w:lineRule="auto"/>
              <w:ind w:left="0" w:firstLine="0"/>
              <w:jc w:val="both"/>
              <w:rPr>
                <w:rFonts w:ascii="Arial" w:hAnsi="Arial" w:cs="Arial"/>
                <w:sz w:val="24"/>
                <w:szCs w:val="24"/>
                <w:lang w:val="en-ZA"/>
              </w:rPr>
            </w:pPr>
            <w:r w:rsidRPr="00BF2ED3">
              <w:rPr>
                <w:rFonts w:ascii="Arial" w:hAnsi="Arial" w:cs="Arial"/>
                <w:sz w:val="24"/>
                <w:szCs w:val="24"/>
                <w:lang w:val="en-ZA"/>
              </w:rPr>
              <w:t>The order that is now sought reads as follows:</w:t>
            </w:r>
          </w:p>
          <w:p w:rsidR="007647F1" w:rsidRDefault="007647F1" w:rsidP="00CD1053">
            <w:pPr>
              <w:spacing w:line="360" w:lineRule="auto"/>
              <w:jc w:val="both"/>
              <w:rPr>
                <w:rFonts w:ascii="Arial" w:hAnsi="Arial" w:cs="Arial"/>
                <w:sz w:val="24"/>
                <w:szCs w:val="24"/>
                <w:lang w:val="en-ZA"/>
              </w:rPr>
            </w:pPr>
          </w:p>
          <w:p w:rsidR="007647F1" w:rsidRPr="00BF2ED3" w:rsidRDefault="00BF2ED3" w:rsidP="00CD1053">
            <w:pPr>
              <w:spacing w:line="360" w:lineRule="auto"/>
              <w:jc w:val="both"/>
              <w:rPr>
                <w:rFonts w:ascii="Arial" w:hAnsi="Arial" w:cs="Arial"/>
              </w:rPr>
            </w:pPr>
            <w:r w:rsidRPr="00BF2ED3">
              <w:rPr>
                <w:rFonts w:ascii="Arial" w:hAnsi="Arial" w:cs="Arial"/>
              </w:rPr>
              <w:t xml:space="preserve">         ‘</w:t>
            </w:r>
            <w:r w:rsidR="007647F1" w:rsidRPr="00BF2ED3">
              <w:rPr>
                <w:rFonts w:ascii="Arial" w:hAnsi="Arial" w:cs="Arial"/>
              </w:rPr>
              <w:t xml:space="preserve">(a) That the order granted on 13 May 2019 by His Lordship </w:t>
            </w:r>
            <w:proofErr w:type="spellStart"/>
            <w:r w:rsidR="007647F1" w:rsidRPr="00BF2ED3">
              <w:rPr>
                <w:rFonts w:ascii="Arial" w:hAnsi="Arial" w:cs="Arial"/>
              </w:rPr>
              <w:t>Mr.</w:t>
            </w:r>
            <w:proofErr w:type="spellEnd"/>
            <w:r w:rsidR="007647F1" w:rsidRPr="00BF2ED3">
              <w:rPr>
                <w:rFonts w:ascii="Arial" w:hAnsi="Arial" w:cs="Arial"/>
              </w:rPr>
              <w:t xml:space="preserve"> Justice </w:t>
            </w:r>
            <w:proofErr w:type="spellStart"/>
            <w:r w:rsidR="007647F1" w:rsidRPr="00BF2ED3">
              <w:rPr>
                <w:rFonts w:ascii="Arial" w:hAnsi="Arial" w:cs="Arial"/>
              </w:rPr>
              <w:t>Cheda</w:t>
            </w:r>
            <w:proofErr w:type="spellEnd"/>
            <w:r w:rsidR="007647F1" w:rsidRPr="00BF2ED3">
              <w:rPr>
                <w:rFonts w:ascii="Arial" w:hAnsi="Arial" w:cs="Arial"/>
              </w:rPr>
              <w:t xml:space="preserve"> be amended with the insertion of the following order: ‘That the Applicant be compensated for loss of income as from date of dismissal to 28 April 2017, less any monies that the Applicant received from the First Respondent. </w:t>
            </w:r>
          </w:p>
          <w:p w:rsidR="007647F1" w:rsidRPr="00BF2ED3" w:rsidRDefault="007647F1" w:rsidP="00CD1053">
            <w:pPr>
              <w:spacing w:line="360" w:lineRule="auto"/>
              <w:jc w:val="both"/>
              <w:rPr>
                <w:rFonts w:ascii="Arial" w:hAnsi="Arial" w:cs="Arial"/>
              </w:rPr>
            </w:pPr>
          </w:p>
          <w:p w:rsidR="007647F1" w:rsidRPr="00BF2ED3" w:rsidRDefault="007647F1" w:rsidP="00CD1053">
            <w:pPr>
              <w:spacing w:line="360" w:lineRule="auto"/>
              <w:jc w:val="both"/>
              <w:rPr>
                <w:rFonts w:ascii="Arial" w:hAnsi="Arial" w:cs="Arial"/>
              </w:rPr>
            </w:pPr>
            <w:r w:rsidRPr="00BF2ED3">
              <w:rPr>
                <w:rFonts w:ascii="Arial" w:hAnsi="Arial" w:cs="Arial"/>
              </w:rPr>
              <w:t xml:space="preserve">(b) Alternatively, and in the event that the </w:t>
            </w:r>
            <w:proofErr w:type="spellStart"/>
            <w:r w:rsidRPr="00BF2ED3">
              <w:rPr>
                <w:rFonts w:ascii="Arial" w:hAnsi="Arial" w:cs="Arial"/>
              </w:rPr>
              <w:t>Honorable</w:t>
            </w:r>
            <w:proofErr w:type="spellEnd"/>
            <w:r w:rsidRPr="00BF2ED3">
              <w:rPr>
                <w:rFonts w:ascii="Arial" w:hAnsi="Arial" w:cs="Arial"/>
              </w:rPr>
              <w:t xml:space="preserve"> Court is not inclined to grant the Applicant compensation from date of dismissal to 28 April 2017, that the matter be referred back to the arbitrator, or alternatively that a new arbitrator be designated by the Second Respondent, to only arbitrate on the issue as to how much compensation the Applicant is entitled to rec</w:t>
            </w:r>
            <w:r w:rsidR="00BF2ED3" w:rsidRPr="00BF2ED3">
              <w:rPr>
                <w:rFonts w:ascii="Arial" w:hAnsi="Arial" w:cs="Arial"/>
              </w:rPr>
              <w:t>eive from the First Respondent.’</w:t>
            </w:r>
          </w:p>
          <w:p w:rsidR="00A64434" w:rsidRPr="001C6B82" w:rsidRDefault="00A64434" w:rsidP="00CD1053">
            <w:pPr>
              <w:spacing w:line="360" w:lineRule="auto"/>
              <w:jc w:val="both"/>
              <w:rPr>
                <w:rFonts w:ascii="Arial" w:hAnsi="Arial" w:cs="Arial"/>
                <w:sz w:val="24"/>
                <w:szCs w:val="24"/>
                <w:u w:val="single"/>
              </w:rPr>
            </w:pPr>
          </w:p>
          <w:p w:rsidR="001C6B82" w:rsidRDefault="001C6B82" w:rsidP="00CD1053">
            <w:pPr>
              <w:spacing w:line="360" w:lineRule="auto"/>
              <w:jc w:val="both"/>
              <w:rPr>
                <w:rFonts w:ascii="Arial" w:hAnsi="Arial" w:cs="Arial"/>
                <w:sz w:val="24"/>
                <w:szCs w:val="24"/>
                <w:u w:val="single"/>
              </w:rPr>
            </w:pPr>
            <w:r w:rsidRPr="001C6B82">
              <w:rPr>
                <w:rFonts w:ascii="Arial" w:hAnsi="Arial" w:cs="Arial"/>
                <w:sz w:val="24"/>
                <w:szCs w:val="24"/>
                <w:u w:val="single"/>
              </w:rPr>
              <w:t>Arguments by the parties</w:t>
            </w:r>
          </w:p>
          <w:p w:rsidR="00BF2ED3" w:rsidRPr="001C6B82" w:rsidRDefault="00BF2ED3" w:rsidP="00CD1053">
            <w:pPr>
              <w:spacing w:line="360" w:lineRule="auto"/>
              <w:jc w:val="both"/>
              <w:rPr>
                <w:rFonts w:ascii="Arial" w:hAnsi="Arial" w:cs="Arial"/>
                <w:sz w:val="24"/>
                <w:szCs w:val="24"/>
                <w:u w:val="single"/>
              </w:rPr>
            </w:pPr>
          </w:p>
          <w:p w:rsidR="00AB07C9" w:rsidRPr="00AB07C9" w:rsidRDefault="008079EF" w:rsidP="00CD1053">
            <w:pPr>
              <w:pStyle w:val="ListParagraph"/>
              <w:numPr>
                <w:ilvl w:val="0"/>
                <w:numId w:val="12"/>
              </w:numPr>
              <w:spacing w:line="360" w:lineRule="auto"/>
              <w:ind w:left="0" w:firstLine="0"/>
              <w:jc w:val="both"/>
              <w:rPr>
                <w:rFonts w:ascii="Arial" w:hAnsi="Arial" w:cs="Arial"/>
                <w:sz w:val="24"/>
                <w:szCs w:val="24"/>
                <w:lang w:val="en-ZA"/>
              </w:rPr>
            </w:pPr>
            <w:r w:rsidRPr="00BF2ED3">
              <w:rPr>
                <w:rFonts w:ascii="Arial" w:hAnsi="Arial" w:cs="Arial"/>
                <w:sz w:val="24"/>
                <w:szCs w:val="24"/>
              </w:rPr>
              <w:t>On behalf of the applicant</w:t>
            </w:r>
            <w:r w:rsidR="00BF2ED3">
              <w:rPr>
                <w:rFonts w:ascii="Arial" w:hAnsi="Arial" w:cs="Arial"/>
                <w:sz w:val="24"/>
                <w:szCs w:val="24"/>
              </w:rPr>
              <w:t>,</w:t>
            </w:r>
            <w:r w:rsidRPr="00BF2ED3">
              <w:rPr>
                <w:rFonts w:ascii="Arial" w:hAnsi="Arial" w:cs="Arial"/>
                <w:sz w:val="24"/>
                <w:szCs w:val="24"/>
              </w:rPr>
              <w:t xml:space="preserve"> the Court was requested to determine the dispute in a m</w:t>
            </w:r>
            <w:r w:rsidR="00BF2ED3">
              <w:rPr>
                <w:rFonts w:ascii="Arial" w:hAnsi="Arial" w:cs="Arial"/>
                <w:sz w:val="24"/>
                <w:szCs w:val="24"/>
              </w:rPr>
              <w:t>anner it considers appropriate and in this respect to award Ms Elias compensation</w:t>
            </w:r>
            <w:r w:rsidRPr="00BF2ED3">
              <w:rPr>
                <w:rFonts w:ascii="Arial" w:hAnsi="Arial" w:cs="Arial"/>
                <w:sz w:val="24"/>
                <w:szCs w:val="24"/>
              </w:rPr>
              <w:t xml:space="preserve"> for her loss of income from date of </w:t>
            </w:r>
            <w:r w:rsidR="00D34B07">
              <w:rPr>
                <w:rFonts w:ascii="Arial" w:hAnsi="Arial" w:cs="Arial"/>
                <w:sz w:val="24"/>
                <w:szCs w:val="24"/>
              </w:rPr>
              <w:t xml:space="preserve">dismissal, being </w:t>
            </w:r>
            <w:r w:rsidR="00BF2ED3">
              <w:rPr>
                <w:rFonts w:ascii="Arial" w:hAnsi="Arial" w:cs="Arial"/>
                <w:sz w:val="24"/>
                <w:szCs w:val="24"/>
              </w:rPr>
              <w:t xml:space="preserve">1 April 2016 to 28 April 2017, which is the </w:t>
            </w:r>
            <w:r w:rsidRPr="00BF2ED3">
              <w:rPr>
                <w:rFonts w:ascii="Arial" w:hAnsi="Arial" w:cs="Arial"/>
                <w:sz w:val="24"/>
                <w:szCs w:val="24"/>
              </w:rPr>
              <w:t>date of the arbitrati</w:t>
            </w:r>
            <w:r w:rsidR="00BF2ED3">
              <w:rPr>
                <w:rFonts w:ascii="Arial" w:hAnsi="Arial" w:cs="Arial"/>
                <w:sz w:val="24"/>
                <w:szCs w:val="24"/>
              </w:rPr>
              <w:t>on award. Annexure “LE 7” to Ms</w:t>
            </w:r>
            <w:r w:rsidRPr="00BF2ED3">
              <w:rPr>
                <w:rFonts w:ascii="Arial" w:hAnsi="Arial" w:cs="Arial"/>
                <w:sz w:val="24"/>
                <w:szCs w:val="24"/>
              </w:rPr>
              <w:t xml:space="preserve"> Elias’s replying affidavit sets out her monthly salary she received from </w:t>
            </w:r>
            <w:r w:rsidR="00BF2ED3">
              <w:rPr>
                <w:rFonts w:ascii="Arial" w:hAnsi="Arial" w:cs="Arial"/>
                <w:sz w:val="24"/>
                <w:szCs w:val="24"/>
              </w:rPr>
              <w:t>the first respondent, which is N$20 300.</w:t>
            </w:r>
          </w:p>
          <w:p w:rsidR="00AB07C9" w:rsidRPr="00AB07C9" w:rsidRDefault="00AB07C9" w:rsidP="00AB07C9">
            <w:pPr>
              <w:pStyle w:val="ListParagraph"/>
              <w:spacing w:line="360" w:lineRule="auto"/>
              <w:ind w:left="0"/>
              <w:jc w:val="both"/>
              <w:rPr>
                <w:rFonts w:ascii="Arial" w:hAnsi="Arial" w:cs="Arial"/>
                <w:sz w:val="24"/>
                <w:szCs w:val="24"/>
                <w:lang w:val="en-ZA"/>
              </w:rPr>
            </w:pPr>
          </w:p>
          <w:p w:rsidR="00AB07C9" w:rsidRPr="00AB07C9" w:rsidRDefault="00265869" w:rsidP="001A4318">
            <w:pPr>
              <w:pStyle w:val="ListParagraph"/>
              <w:numPr>
                <w:ilvl w:val="0"/>
                <w:numId w:val="12"/>
              </w:numPr>
              <w:spacing w:line="360" w:lineRule="auto"/>
              <w:ind w:left="0" w:firstLine="0"/>
              <w:jc w:val="both"/>
              <w:rPr>
                <w:rFonts w:ascii="Arial" w:hAnsi="Arial" w:cs="Arial"/>
                <w:sz w:val="24"/>
                <w:szCs w:val="24"/>
                <w:lang w:val="en-ZA"/>
              </w:rPr>
            </w:pPr>
            <w:r w:rsidRPr="00AB07C9">
              <w:rPr>
                <w:rFonts w:ascii="Arial" w:hAnsi="Arial" w:cs="Arial"/>
                <w:sz w:val="24"/>
                <w:szCs w:val="24"/>
              </w:rPr>
              <w:lastRenderedPageBreak/>
              <w:t xml:space="preserve">The only dispute between the parties relates to the issue as to whether the court did in fact exercise its powers in </w:t>
            </w:r>
            <w:r w:rsidR="00AB07C9">
              <w:rPr>
                <w:rFonts w:ascii="Arial" w:hAnsi="Arial" w:cs="Arial"/>
                <w:sz w:val="24"/>
                <w:szCs w:val="24"/>
              </w:rPr>
              <w:t xml:space="preserve">terms of s </w:t>
            </w:r>
            <w:r w:rsidRPr="00AB07C9">
              <w:rPr>
                <w:rFonts w:ascii="Arial" w:hAnsi="Arial" w:cs="Arial"/>
                <w:sz w:val="24"/>
                <w:szCs w:val="24"/>
              </w:rPr>
              <w:t xml:space="preserve">89(10) of the </w:t>
            </w:r>
            <w:r w:rsidR="00AD5054" w:rsidRPr="00551883">
              <w:rPr>
                <w:rFonts w:ascii="Arial" w:hAnsi="Arial" w:cs="Arial"/>
                <w:color w:val="000000" w:themeColor="text1"/>
                <w:sz w:val="24"/>
                <w:szCs w:val="24"/>
              </w:rPr>
              <w:t xml:space="preserve">Labour </w:t>
            </w:r>
            <w:r w:rsidRPr="00551883">
              <w:rPr>
                <w:rFonts w:ascii="Arial" w:hAnsi="Arial" w:cs="Arial"/>
                <w:color w:val="000000" w:themeColor="text1"/>
                <w:sz w:val="24"/>
                <w:szCs w:val="24"/>
              </w:rPr>
              <w:t>Act</w:t>
            </w:r>
            <w:r w:rsidR="00AD5054" w:rsidRPr="00551883">
              <w:rPr>
                <w:rFonts w:ascii="Arial" w:hAnsi="Arial" w:cs="Arial"/>
                <w:color w:val="000000" w:themeColor="text1"/>
                <w:sz w:val="24"/>
                <w:szCs w:val="24"/>
              </w:rPr>
              <w:t xml:space="preserve"> 11 of 2007 (the Act)</w:t>
            </w:r>
            <w:r w:rsidRPr="00551883">
              <w:rPr>
                <w:rFonts w:ascii="Arial" w:hAnsi="Arial" w:cs="Arial"/>
                <w:color w:val="000000" w:themeColor="text1"/>
                <w:sz w:val="24"/>
                <w:szCs w:val="24"/>
              </w:rPr>
              <w:t xml:space="preserve">. </w:t>
            </w:r>
            <w:r w:rsidRPr="00AB07C9">
              <w:rPr>
                <w:rFonts w:ascii="Arial" w:hAnsi="Arial" w:cs="Arial"/>
                <w:sz w:val="24"/>
                <w:szCs w:val="24"/>
              </w:rPr>
              <w:t xml:space="preserve">It is argued by the </w:t>
            </w:r>
            <w:r w:rsidR="005907C1" w:rsidRPr="00AB07C9">
              <w:rPr>
                <w:rFonts w:ascii="Arial" w:hAnsi="Arial" w:cs="Arial"/>
                <w:sz w:val="24"/>
                <w:szCs w:val="24"/>
              </w:rPr>
              <w:t>applicant</w:t>
            </w:r>
            <w:r w:rsidRPr="00AB07C9">
              <w:rPr>
                <w:rFonts w:ascii="Arial" w:hAnsi="Arial" w:cs="Arial"/>
                <w:sz w:val="24"/>
                <w:szCs w:val="24"/>
              </w:rPr>
              <w:t xml:space="preserve"> that the Court did not at all exercise any of the powers as set o</w:t>
            </w:r>
            <w:r w:rsidR="00AB07C9">
              <w:rPr>
                <w:rFonts w:ascii="Arial" w:hAnsi="Arial" w:cs="Arial"/>
                <w:sz w:val="24"/>
                <w:szCs w:val="24"/>
              </w:rPr>
              <w:t xml:space="preserve">ut in s 89(10) of the Act. </w:t>
            </w:r>
            <w:r w:rsidR="006056FC" w:rsidRPr="00AB07C9">
              <w:rPr>
                <w:rFonts w:ascii="Arial" w:hAnsi="Arial" w:cs="Arial"/>
                <w:sz w:val="24"/>
                <w:szCs w:val="24"/>
              </w:rPr>
              <w:t>The Court set aside the arbitration award on the basis that the arbitrator decision was based on the wrong facts, as the arbitrator failed to deal with the evide</w:t>
            </w:r>
            <w:r w:rsidR="00AB07C9">
              <w:rPr>
                <w:rFonts w:ascii="Arial" w:hAnsi="Arial" w:cs="Arial"/>
                <w:sz w:val="24"/>
                <w:szCs w:val="24"/>
              </w:rPr>
              <w:t>nce canvassed by the parties.</w:t>
            </w:r>
            <w:r w:rsidR="00AD5054">
              <w:rPr>
                <w:rFonts w:ascii="Arial" w:hAnsi="Arial" w:cs="Arial"/>
                <w:sz w:val="24"/>
                <w:szCs w:val="24"/>
              </w:rPr>
              <w:t xml:space="preserve"> </w:t>
            </w:r>
            <w:r w:rsidR="006056FC" w:rsidRPr="00AB07C9">
              <w:rPr>
                <w:rFonts w:ascii="Arial" w:hAnsi="Arial" w:cs="Arial"/>
                <w:sz w:val="24"/>
                <w:szCs w:val="24"/>
              </w:rPr>
              <w:t>In crux, the Court dealt with the grounds on whi</w:t>
            </w:r>
            <w:r w:rsidR="00AD5054">
              <w:rPr>
                <w:rFonts w:ascii="Arial" w:hAnsi="Arial" w:cs="Arial"/>
                <w:sz w:val="24"/>
                <w:szCs w:val="24"/>
              </w:rPr>
              <w:t>ch the appeal was based. H</w:t>
            </w:r>
            <w:r w:rsidR="006056FC" w:rsidRPr="00AB07C9">
              <w:rPr>
                <w:rFonts w:ascii="Arial" w:hAnsi="Arial" w:cs="Arial"/>
                <w:sz w:val="24"/>
                <w:szCs w:val="24"/>
              </w:rPr>
              <w:t xml:space="preserve">owever, </w:t>
            </w:r>
            <w:r w:rsidR="00AD5054">
              <w:rPr>
                <w:rFonts w:ascii="Arial" w:hAnsi="Arial" w:cs="Arial"/>
                <w:sz w:val="24"/>
                <w:szCs w:val="24"/>
              </w:rPr>
              <w:t>notwithstanding</w:t>
            </w:r>
            <w:r w:rsidR="00AD5054" w:rsidRPr="00AB07C9">
              <w:rPr>
                <w:rFonts w:ascii="Arial" w:hAnsi="Arial" w:cs="Arial"/>
                <w:sz w:val="24"/>
                <w:szCs w:val="24"/>
              </w:rPr>
              <w:t xml:space="preserve"> </w:t>
            </w:r>
            <w:r w:rsidR="006056FC" w:rsidRPr="00AB07C9">
              <w:rPr>
                <w:rFonts w:ascii="Arial" w:hAnsi="Arial" w:cs="Arial"/>
                <w:sz w:val="24"/>
                <w:szCs w:val="24"/>
              </w:rPr>
              <w:t>the appeal succeeding</w:t>
            </w:r>
            <w:r w:rsidR="00AB07C9">
              <w:rPr>
                <w:rFonts w:ascii="Arial" w:hAnsi="Arial" w:cs="Arial"/>
                <w:sz w:val="24"/>
                <w:szCs w:val="24"/>
              </w:rPr>
              <w:t>,</w:t>
            </w:r>
            <w:r w:rsidR="006056FC" w:rsidRPr="00AB07C9">
              <w:rPr>
                <w:rFonts w:ascii="Arial" w:hAnsi="Arial" w:cs="Arial"/>
                <w:sz w:val="24"/>
                <w:szCs w:val="24"/>
              </w:rPr>
              <w:t xml:space="preserve"> did the Court deal with any of the consequential reliefs as provided in the </w:t>
            </w:r>
            <w:proofErr w:type="gramStart"/>
            <w:r w:rsidR="006056FC" w:rsidRPr="00AB07C9">
              <w:rPr>
                <w:rFonts w:ascii="Arial" w:hAnsi="Arial" w:cs="Arial"/>
                <w:sz w:val="24"/>
                <w:szCs w:val="24"/>
              </w:rPr>
              <w:t>Act.</w:t>
            </w:r>
            <w:proofErr w:type="gramEnd"/>
          </w:p>
          <w:p w:rsidR="00AB07C9" w:rsidRPr="00AB07C9" w:rsidRDefault="00AB07C9" w:rsidP="001A4318">
            <w:pPr>
              <w:pStyle w:val="ListParagraph"/>
              <w:spacing w:line="360" w:lineRule="auto"/>
              <w:rPr>
                <w:rFonts w:ascii="Arial" w:hAnsi="Arial" w:cs="Arial"/>
                <w:sz w:val="24"/>
                <w:szCs w:val="24"/>
                <w:lang w:val="en-ZA"/>
              </w:rPr>
            </w:pPr>
          </w:p>
          <w:p w:rsidR="00081FF0" w:rsidRPr="00AB07C9" w:rsidRDefault="00081FF0" w:rsidP="001A4318">
            <w:pPr>
              <w:pStyle w:val="ListParagraph"/>
              <w:numPr>
                <w:ilvl w:val="0"/>
                <w:numId w:val="12"/>
              </w:numPr>
              <w:spacing w:line="360" w:lineRule="auto"/>
              <w:ind w:left="0" w:firstLine="0"/>
              <w:jc w:val="both"/>
              <w:rPr>
                <w:rFonts w:ascii="Arial" w:hAnsi="Arial" w:cs="Arial"/>
                <w:sz w:val="24"/>
                <w:szCs w:val="24"/>
                <w:lang w:val="en-ZA"/>
              </w:rPr>
            </w:pPr>
            <w:r w:rsidRPr="00AB07C9">
              <w:rPr>
                <w:rFonts w:ascii="Arial" w:hAnsi="Arial" w:cs="Arial"/>
                <w:sz w:val="24"/>
                <w:szCs w:val="24"/>
                <w:lang w:val="en-ZA"/>
              </w:rPr>
              <w:t xml:space="preserve">On behalf of the </w:t>
            </w:r>
            <w:r w:rsidR="005907C1" w:rsidRPr="00AB07C9">
              <w:rPr>
                <w:rFonts w:ascii="Arial" w:hAnsi="Arial" w:cs="Arial"/>
                <w:sz w:val="24"/>
                <w:szCs w:val="24"/>
                <w:lang w:val="en-ZA"/>
              </w:rPr>
              <w:t>first respondent</w:t>
            </w:r>
            <w:r w:rsidR="00AB07C9">
              <w:rPr>
                <w:rFonts w:ascii="Arial" w:hAnsi="Arial" w:cs="Arial"/>
                <w:sz w:val="24"/>
                <w:szCs w:val="24"/>
                <w:lang w:val="en-ZA"/>
              </w:rPr>
              <w:t>,</w:t>
            </w:r>
            <w:r w:rsidRPr="00AB07C9">
              <w:rPr>
                <w:rFonts w:ascii="Arial" w:hAnsi="Arial" w:cs="Arial"/>
                <w:sz w:val="24"/>
                <w:szCs w:val="24"/>
                <w:lang w:val="en-ZA"/>
              </w:rPr>
              <w:t xml:space="preserve"> it was argued that </w:t>
            </w:r>
            <w:r w:rsidRPr="00AB07C9">
              <w:rPr>
                <w:rFonts w:ascii="Arial" w:hAnsi="Arial" w:cs="Arial"/>
                <w:sz w:val="24"/>
                <w:szCs w:val="24"/>
              </w:rPr>
              <w:t xml:space="preserve">the applicant made the application for the variation of the order of this Honourable Court some 4 years after the initial order was issued. In paragraph 18 of her founding affidavit, the applicant explains that: </w:t>
            </w:r>
          </w:p>
          <w:p w:rsidR="00081FF0" w:rsidRPr="00081FF0" w:rsidRDefault="00081FF0" w:rsidP="00CD1053">
            <w:pPr>
              <w:spacing w:line="360" w:lineRule="auto"/>
              <w:jc w:val="both"/>
              <w:rPr>
                <w:rFonts w:ascii="Arial" w:hAnsi="Arial" w:cs="Arial"/>
              </w:rPr>
            </w:pPr>
          </w:p>
          <w:p w:rsidR="00CD1053" w:rsidRPr="00081FF0" w:rsidRDefault="005907C1" w:rsidP="00CD1053">
            <w:pPr>
              <w:spacing w:line="360" w:lineRule="auto"/>
              <w:jc w:val="both"/>
              <w:rPr>
                <w:rFonts w:ascii="Arial" w:hAnsi="Arial" w:cs="Arial"/>
                <w:lang w:val="en-ZA"/>
              </w:rPr>
            </w:pPr>
            <w:r>
              <w:rPr>
                <w:rFonts w:ascii="Arial" w:hAnsi="Arial" w:cs="Arial"/>
              </w:rPr>
              <w:tab/>
              <w:t>‘</w:t>
            </w:r>
            <w:r w:rsidR="00081FF0" w:rsidRPr="00081FF0">
              <w:rPr>
                <w:rFonts w:ascii="Arial" w:hAnsi="Arial" w:cs="Arial"/>
              </w:rPr>
              <w:t>The Supreme Court, however, intimated to my legal practitioner of record during his address, that the order of 13 May 2019 could not be enforced in its current form. This is the point in time I realized tha</w:t>
            </w:r>
            <w:r>
              <w:rPr>
                <w:rFonts w:ascii="Arial" w:hAnsi="Arial" w:cs="Arial"/>
              </w:rPr>
              <w:t>t the judgment is inexecutable</w:t>
            </w:r>
            <w:r w:rsidR="00AB07C9">
              <w:rPr>
                <w:rFonts w:ascii="Arial" w:hAnsi="Arial" w:cs="Arial"/>
              </w:rPr>
              <w:t>.</w:t>
            </w:r>
          </w:p>
          <w:p w:rsidR="00AB07C9" w:rsidRDefault="00AB07C9" w:rsidP="00CD1053">
            <w:pPr>
              <w:spacing w:line="360" w:lineRule="auto"/>
              <w:jc w:val="both"/>
              <w:rPr>
                <w:rFonts w:ascii="Arial" w:hAnsi="Arial" w:cs="Arial"/>
                <w:sz w:val="24"/>
                <w:szCs w:val="24"/>
                <w:lang w:val="en-ZA"/>
              </w:rPr>
            </w:pPr>
          </w:p>
          <w:p w:rsidR="00AB07C9" w:rsidRDefault="00AB07C9" w:rsidP="00CD1053">
            <w:pPr>
              <w:pStyle w:val="ListParagraph"/>
              <w:numPr>
                <w:ilvl w:val="0"/>
                <w:numId w:val="12"/>
              </w:numPr>
              <w:spacing w:line="360" w:lineRule="auto"/>
              <w:ind w:left="0" w:firstLine="0"/>
              <w:jc w:val="both"/>
              <w:rPr>
                <w:rFonts w:ascii="Arial" w:hAnsi="Arial" w:cs="Arial"/>
                <w:sz w:val="24"/>
                <w:szCs w:val="24"/>
                <w:lang w:val="en-ZA"/>
              </w:rPr>
            </w:pPr>
            <w:r>
              <w:rPr>
                <w:rFonts w:ascii="Arial" w:hAnsi="Arial" w:cs="Arial"/>
                <w:sz w:val="24"/>
                <w:szCs w:val="24"/>
                <w:lang w:val="en-ZA"/>
              </w:rPr>
              <w:t>This is the extent</w:t>
            </w:r>
            <w:r w:rsidR="00081FF0" w:rsidRPr="00AB07C9">
              <w:rPr>
                <w:rFonts w:ascii="Arial" w:hAnsi="Arial" w:cs="Arial"/>
                <w:sz w:val="24"/>
                <w:szCs w:val="24"/>
                <w:lang w:val="en-ZA"/>
              </w:rPr>
              <w:t xml:space="preserve"> of her explanation and according to the</w:t>
            </w:r>
            <w:r w:rsidR="005907C1" w:rsidRPr="00AB07C9">
              <w:rPr>
                <w:rFonts w:ascii="Arial" w:hAnsi="Arial" w:cs="Arial"/>
                <w:sz w:val="24"/>
                <w:szCs w:val="24"/>
                <w:lang w:val="en-ZA"/>
              </w:rPr>
              <w:t xml:space="preserve"> first respondent</w:t>
            </w:r>
            <w:r w:rsidR="00081FF0" w:rsidRPr="00AB07C9">
              <w:rPr>
                <w:rFonts w:ascii="Arial" w:hAnsi="Arial" w:cs="Arial"/>
                <w:sz w:val="24"/>
                <w:szCs w:val="24"/>
                <w:lang w:val="en-ZA"/>
              </w:rPr>
              <w:t>, not sufficient to explain the delay and the application was therefore</w:t>
            </w:r>
            <w:r w:rsidR="00ED55B1">
              <w:rPr>
                <w:rFonts w:ascii="Arial" w:hAnsi="Arial" w:cs="Arial"/>
                <w:sz w:val="24"/>
                <w:szCs w:val="24"/>
                <w:lang w:val="en-ZA"/>
              </w:rPr>
              <w:t>,</w:t>
            </w:r>
            <w:r w:rsidR="00081FF0" w:rsidRPr="00AB07C9">
              <w:rPr>
                <w:rFonts w:ascii="Arial" w:hAnsi="Arial" w:cs="Arial"/>
                <w:sz w:val="24"/>
                <w:szCs w:val="24"/>
                <w:lang w:val="en-ZA"/>
              </w:rPr>
              <w:t xml:space="preserve"> not made within a reasonable time. </w:t>
            </w:r>
          </w:p>
          <w:p w:rsidR="00AB07C9" w:rsidRDefault="00AB07C9" w:rsidP="00AB07C9">
            <w:pPr>
              <w:pStyle w:val="ListParagraph"/>
              <w:spacing w:line="360" w:lineRule="auto"/>
              <w:ind w:left="0"/>
              <w:jc w:val="both"/>
              <w:rPr>
                <w:rFonts w:ascii="Arial" w:hAnsi="Arial" w:cs="Arial"/>
                <w:sz w:val="24"/>
                <w:szCs w:val="24"/>
                <w:lang w:val="en-ZA"/>
              </w:rPr>
            </w:pPr>
          </w:p>
          <w:p w:rsidR="00081FF0" w:rsidRPr="00AB07C9" w:rsidRDefault="00081FF0" w:rsidP="00CD1053">
            <w:pPr>
              <w:pStyle w:val="ListParagraph"/>
              <w:numPr>
                <w:ilvl w:val="0"/>
                <w:numId w:val="12"/>
              </w:numPr>
              <w:spacing w:line="360" w:lineRule="auto"/>
              <w:ind w:left="0" w:firstLine="0"/>
              <w:jc w:val="both"/>
              <w:rPr>
                <w:rFonts w:ascii="Arial" w:hAnsi="Arial" w:cs="Arial"/>
                <w:sz w:val="24"/>
                <w:szCs w:val="24"/>
                <w:lang w:val="en-ZA"/>
              </w:rPr>
            </w:pPr>
            <w:r w:rsidRPr="00AB07C9">
              <w:rPr>
                <w:rFonts w:ascii="Arial" w:hAnsi="Arial" w:cs="Arial"/>
                <w:sz w:val="24"/>
                <w:szCs w:val="24"/>
              </w:rPr>
              <w:t>It is also pointed out by the first respondent that it is implausible that the applicant only knew that the order of 13 May 2019 is inexecutable at the date of the hearing of the a</w:t>
            </w:r>
            <w:r w:rsidR="00ED55B1">
              <w:rPr>
                <w:rFonts w:ascii="Arial" w:hAnsi="Arial" w:cs="Arial"/>
                <w:sz w:val="24"/>
                <w:szCs w:val="24"/>
              </w:rPr>
              <w:t>ppeal in the Supreme Court (i.e.</w:t>
            </w:r>
            <w:r w:rsidRPr="00AB07C9">
              <w:rPr>
                <w:rFonts w:ascii="Arial" w:hAnsi="Arial" w:cs="Arial"/>
                <w:sz w:val="24"/>
                <w:szCs w:val="24"/>
              </w:rPr>
              <w:t xml:space="preserve"> 8 March 2023). This is so because the first respondent precisely set that out in its application to set aside the writ of execution that the applicant inexplicably obtained. That was on 8 July 2021 – some two years prior to the launching of this application for the variation of the order. In that application, the first respondent’s deponent stated:</w:t>
            </w:r>
          </w:p>
          <w:p w:rsidR="00081FF0" w:rsidRPr="005907C1" w:rsidRDefault="00081FF0" w:rsidP="00CD1053">
            <w:pPr>
              <w:spacing w:line="360" w:lineRule="auto"/>
              <w:jc w:val="both"/>
              <w:rPr>
                <w:rFonts w:ascii="Arial" w:hAnsi="Arial" w:cs="Arial"/>
              </w:rPr>
            </w:pPr>
          </w:p>
          <w:p w:rsidR="00CD1053" w:rsidRPr="005907C1" w:rsidRDefault="005907C1" w:rsidP="00CD1053">
            <w:pPr>
              <w:spacing w:line="360" w:lineRule="auto"/>
              <w:jc w:val="both"/>
              <w:rPr>
                <w:rFonts w:ascii="Arial" w:hAnsi="Arial" w:cs="Arial"/>
                <w:lang w:val="en-ZA"/>
              </w:rPr>
            </w:pPr>
            <w:r>
              <w:rPr>
                <w:rFonts w:ascii="Arial" w:hAnsi="Arial" w:cs="Arial"/>
              </w:rPr>
              <w:t xml:space="preserve"> </w:t>
            </w:r>
            <w:r w:rsidR="00AB07C9">
              <w:rPr>
                <w:rFonts w:ascii="Arial" w:hAnsi="Arial" w:cs="Arial"/>
              </w:rPr>
              <w:t xml:space="preserve">        </w:t>
            </w:r>
            <w:r>
              <w:rPr>
                <w:rFonts w:ascii="Arial" w:hAnsi="Arial" w:cs="Arial"/>
              </w:rPr>
              <w:t>‘</w:t>
            </w:r>
            <w:r w:rsidR="00081FF0" w:rsidRPr="005907C1">
              <w:rPr>
                <w:rFonts w:ascii="Arial" w:hAnsi="Arial" w:cs="Arial"/>
              </w:rPr>
              <w:t>12. The Labour Court's order…is vague: it does not order the reinstatement, alternatively the re-employment of the first respondent or the payment of any compensation and or damages, to the first respondent</w:t>
            </w:r>
            <w:r w:rsidR="00ED55B1">
              <w:rPr>
                <w:rFonts w:ascii="Arial" w:hAnsi="Arial" w:cs="Arial"/>
              </w:rPr>
              <w:t>.</w:t>
            </w:r>
            <w:r>
              <w:rPr>
                <w:rFonts w:ascii="Arial" w:hAnsi="Arial" w:cs="Arial"/>
              </w:rPr>
              <w:t>’</w:t>
            </w:r>
          </w:p>
          <w:p w:rsidR="00CD1053" w:rsidRPr="00CD1053" w:rsidRDefault="00CD1053" w:rsidP="00CD1053">
            <w:pPr>
              <w:spacing w:line="360" w:lineRule="auto"/>
              <w:jc w:val="both"/>
              <w:rPr>
                <w:rFonts w:ascii="Arial" w:hAnsi="Arial" w:cs="Arial"/>
                <w:sz w:val="24"/>
                <w:szCs w:val="24"/>
                <w:lang w:val="en-ZA"/>
              </w:rPr>
            </w:pPr>
          </w:p>
          <w:p w:rsidR="00AB07C9" w:rsidRPr="00AB07C9" w:rsidRDefault="005907C1" w:rsidP="00CD1053">
            <w:pPr>
              <w:pStyle w:val="ListParagraph"/>
              <w:numPr>
                <w:ilvl w:val="0"/>
                <w:numId w:val="12"/>
              </w:numPr>
              <w:spacing w:line="360" w:lineRule="auto"/>
              <w:ind w:left="0" w:firstLine="0"/>
              <w:jc w:val="both"/>
              <w:rPr>
                <w:rFonts w:ascii="Arial" w:hAnsi="Arial" w:cs="Arial"/>
                <w:sz w:val="24"/>
                <w:szCs w:val="24"/>
                <w:lang w:val="en-ZA"/>
              </w:rPr>
            </w:pPr>
            <w:r w:rsidRPr="00AB07C9">
              <w:rPr>
                <w:rFonts w:ascii="Arial" w:hAnsi="Arial" w:cs="Arial"/>
                <w:sz w:val="24"/>
                <w:szCs w:val="24"/>
                <w:lang w:val="en-ZA"/>
              </w:rPr>
              <w:lastRenderedPageBreak/>
              <w:t xml:space="preserve">It was further argued that </w:t>
            </w:r>
            <w:r w:rsidRPr="00AB07C9">
              <w:rPr>
                <w:rFonts w:ascii="Arial" w:hAnsi="Arial" w:cs="Arial"/>
                <w:sz w:val="24"/>
                <w:szCs w:val="24"/>
              </w:rPr>
              <w:t>i</w:t>
            </w:r>
            <w:r w:rsidR="0085156F" w:rsidRPr="00AB07C9">
              <w:rPr>
                <w:rFonts w:ascii="Arial" w:hAnsi="Arial" w:cs="Arial"/>
                <w:sz w:val="24"/>
                <w:szCs w:val="24"/>
              </w:rPr>
              <w:t xml:space="preserve">n any event, the order of 13 May 2019 was not ambiguous. There was no compensation ordered. The applicant could have – and should have – taken further steps to protect her purported interest at the time when the order was issued or soon thereafter. She had the option to seek a review of the order, appeal or </w:t>
            </w:r>
            <w:r w:rsidR="00AB07C9">
              <w:rPr>
                <w:rFonts w:ascii="Arial" w:hAnsi="Arial" w:cs="Arial"/>
                <w:sz w:val="24"/>
                <w:szCs w:val="24"/>
              </w:rPr>
              <w:t>counter-</w:t>
            </w:r>
            <w:r w:rsidR="00AB07C9" w:rsidRPr="00AB07C9">
              <w:rPr>
                <w:rFonts w:ascii="Arial" w:hAnsi="Arial" w:cs="Arial"/>
                <w:sz w:val="24"/>
                <w:szCs w:val="24"/>
              </w:rPr>
              <w:t>appeal</w:t>
            </w:r>
            <w:r w:rsidR="0085156F" w:rsidRPr="00AB07C9">
              <w:rPr>
                <w:rFonts w:ascii="Arial" w:hAnsi="Arial" w:cs="Arial"/>
                <w:sz w:val="24"/>
                <w:szCs w:val="24"/>
              </w:rPr>
              <w:t xml:space="preserve"> on the back of the first respondent’s appeal to the Supreme Court, or she could have sought a variation of the order in the same court. She elected not to do so.</w:t>
            </w:r>
          </w:p>
          <w:p w:rsidR="00AB07C9" w:rsidRPr="00AB07C9" w:rsidRDefault="00AB07C9" w:rsidP="00AB07C9">
            <w:pPr>
              <w:pStyle w:val="ListParagraph"/>
              <w:spacing w:line="360" w:lineRule="auto"/>
              <w:ind w:left="0"/>
              <w:jc w:val="both"/>
              <w:rPr>
                <w:rFonts w:ascii="Arial" w:hAnsi="Arial" w:cs="Arial"/>
                <w:sz w:val="24"/>
                <w:szCs w:val="24"/>
                <w:lang w:val="en-ZA"/>
              </w:rPr>
            </w:pPr>
          </w:p>
          <w:p w:rsidR="00CD1053" w:rsidRPr="00AB07C9" w:rsidRDefault="005907C1" w:rsidP="00CD1053">
            <w:pPr>
              <w:pStyle w:val="ListParagraph"/>
              <w:numPr>
                <w:ilvl w:val="0"/>
                <w:numId w:val="12"/>
              </w:numPr>
              <w:spacing w:line="360" w:lineRule="auto"/>
              <w:ind w:left="0" w:firstLine="0"/>
              <w:jc w:val="both"/>
              <w:rPr>
                <w:rFonts w:ascii="Arial" w:hAnsi="Arial" w:cs="Arial"/>
                <w:sz w:val="24"/>
                <w:szCs w:val="24"/>
                <w:lang w:val="en-ZA"/>
              </w:rPr>
            </w:pPr>
            <w:r w:rsidRPr="00AB07C9">
              <w:rPr>
                <w:rFonts w:ascii="Arial" w:hAnsi="Arial" w:cs="Arial"/>
                <w:sz w:val="24"/>
                <w:szCs w:val="24"/>
                <w:lang w:val="en-ZA"/>
              </w:rPr>
              <w:t>On behalf of the first respondent</w:t>
            </w:r>
            <w:r w:rsidR="00ED55B1">
              <w:rPr>
                <w:rFonts w:ascii="Arial" w:hAnsi="Arial" w:cs="Arial"/>
                <w:sz w:val="24"/>
                <w:szCs w:val="24"/>
                <w:lang w:val="en-ZA"/>
              </w:rPr>
              <w:t>,</w:t>
            </w:r>
            <w:r w:rsidRPr="00AB07C9">
              <w:rPr>
                <w:rFonts w:ascii="Arial" w:hAnsi="Arial" w:cs="Arial"/>
                <w:sz w:val="24"/>
                <w:szCs w:val="24"/>
                <w:lang w:val="en-ZA"/>
              </w:rPr>
              <w:t xml:space="preserve"> </w:t>
            </w:r>
            <w:r w:rsidR="00AB07C9">
              <w:rPr>
                <w:rFonts w:ascii="Arial" w:hAnsi="Arial" w:cs="Arial"/>
                <w:sz w:val="24"/>
                <w:szCs w:val="24"/>
              </w:rPr>
              <w:t>r</w:t>
            </w:r>
            <w:r w:rsidRPr="00AB07C9">
              <w:rPr>
                <w:rFonts w:ascii="Arial" w:hAnsi="Arial" w:cs="Arial"/>
                <w:sz w:val="24"/>
                <w:szCs w:val="24"/>
              </w:rPr>
              <w:t>ule 103 of the Rules of the High Court, in terms of which this application is brought, requires that the application be brought within a reasonable time. In the circumstances of this matter, the application, which has been brought after the passing of more than 4 years since the order sought to be varied was granted, is not only unreasonable, bu</w:t>
            </w:r>
            <w:r w:rsidR="00AB07C9">
              <w:rPr>
                <w:rFonts w:ascii="Arial" w:hAnsi="Arial" w:cs="Arial"/>
                <w:sz w:val="24"/>
                <w:szCs w:val="24"/>
              </w:rPr>
              <w:t>t an abuse of the court process</w:t>
            </w:r>
            <w:r w:rsidRPr="00AB07C9">
              <w:rPr>
                <w:rFonts w:ascii="Arial" w:hAnsi="Arial" w:cs="Arial"/>
                <w:sz w:val="24"/>
                <w:szCs w:val="24"/>
              </w:rPr>
              <w:t xml:space="preserve"> and offensive to the rights of the first respondent.</w:t>
            </w:r>
          </w:p>
          <w:p w:rsidR="005907C1" w:rsidRPr="00CD1053" w:rsidRDefault="005907C1" w:rsidP="00CD1053">
            <w:pPr>
              <w:spacing w:line="360" w:lineRule="auto"/>
              <w:jc w:val="both"/>
              <w:rPr>
                <w:rFonts w:ascii="Arial" w:hAnsi="Arial" w:cs="Arial"/>
                <w:sz w:val="24"/>
                <w:szCs w:val="24"/>
                <w:lang w:val="en-ZA"/>
              </w:rPr>
            </w:pPr>
          </w:p>
          <w:p w:rsidR="00AB07C9" w:rsidRDefault="001C6B82" w:rsidP="00CD1053">
            <w:pPr>
              <w:spacing w:line="360" w:lineRule="auto"/>
              <w:jc w:val="both"/>
              <w:rPr>
                <w:rFonts w:ascii="Arial" w:hAnsi="Arial" w:cs="Arial"/>
                <w:sz w:val="24"/>
                <w:szCs w:val="24"/>
                <w:u w:val="single"/>
                <w:lang w:val="en-ZA"/>
              </w:rPr>
            </w:pPr>
            <w:r w:rsidRPr="001C6B82">
              <w:rPr>
                <w:rFonts w:ascii="Arial" w:hAnsi="Arial" w:cs="Arial"/>
                <w:sz w:val="24"/>
                <w:szCs w:val="24"/>
                <w:u w:val="single"/>
                <w:lang w:val="en-ZA"/>
              </w:rPr>
              <w:t>Legal considerations</w:t>
            </w:r>
          </w:p>
          <w:p w:rsidR="00AB07C9" w:rsidRPr="001C6B82" w:rsidRDefault="00AB07C9" w:rsidP="00CD1053">
            <w:pPr>
              <w:spacing w:line="360" w:lineRule="auto"/>
              <w:jc w:val="both"/>
              <w:rPr>
                <w:rFonts w:ascii="Arial" w:hAnsi="Arial" w:cs="Arial"/>
                <w:sz w:val="24"/>
                <w:szCs w:val="24"/>
                <w:u w:val="single"/>
                <w:lang w:val="en-ZA"/>
              </w:rPr>
            </w:pPr>
          </w:p>
          <w:p w:rsidR="00635E86" w:rsidRDefault="00C26D35" w:rsidP="00CD1053">
            <w:pPr>
              <w:spacing w:line="360" w:lineRule="auto"/>
              <w:jc w:val="both"/>
              <w:rPr>
                <w:rFonts w:ascii="Arial" w:hAnsi="Arial" w:cs="Arial"/>
                <w:sz w:val="24"/>
                <w:szCs w:val="24"/>
                <w:lang w:val="en-ZA"/>
              </w:rPr>
            </w:pPr>
            <w:r>
              <w:rPr>
                <w:rFonts w:ascii="Arial" w:hAnsi="Arial" w:cs="Arial"/>
                <w:sz w:val="24"/>
                <w:szCs w:val="24"/>
                <w:lang w:val="en-ZA"/>
              </w:rPr>
              <w:t>[15</w:t>
            </w:r>
            <w:r w:rsidR="00CD1053" w:rsidRPr="00CD1053">
              <w:rPr>
                <w:rFonts w:ascii="Arial" w:hAnsi="Arial" w:cs="Arial"/>
                <w:sz w:val="24"/>
                <w:szCs w:val="24"/>
                <w:lang w:val="en-ZA"/>
              </w:rPr>
              <w:t>]</w:t>
            </w:r>
            <w:r w:rsidR="00CD1053" w:rsidRPr="00CD1053">
              <w:rPr>
                <w:rFonts w:ascii="Arial" w:hAnsi="Arial" w:cs="Arial"/>
                <w:sz w:val="24"/>
                <w:szCs w:val="24"/>
                <w:lang w:val="en-ZA"/>
              </w:rPr>
              <w:tab/>
            </w:r>
            <w:r w:rsidR="00635E86">
              <w:rPr>
                <w:rFonts w:ascii="Arial" w:hAnsi="Arial" w:cs="Arial"/>
                <w:sz w:val="24"/>
                <w:szCs w:val="24"/>
                <w:lang w:val="en-ZA"/>
              </w:rPr>
              <w:t>Rule 103(c) reads as follows:</w:t>
            </w:r>
          </w:p>
          <w:p w:rsidR="00AB07C9" w:rsidRDefault="00AB07C9" w:rsidP="00CD1053">
            <w:pPr>
              <w:spacing w:line="360" w:lineRule="auto"/>
              <w:jc w:val="both"/>
              <w:rPr>
                <w:rFonts w:ascii="Arial" w:hAnsi="Arial" w:cs="Arial"/>
                <w:sz w:val="24"/>
                <w:szCs w:val="24"/>
                <w:lang w:val="en-ZA"/>
              </w:rPr>
            </w:pPr>
          </w:p>
          <w:p w:rsidR="001C6B82" w:rsidRPr="00AB07C9" w:rsidRDefault="00AB07C9" w:rsidP="00CD1053">
            <w:pPr>
              <w:spacing w:line="360" w:lineRule="auto"/>
              <w:jc w:val="both"/>
              <w:rPr>
                <w:rFonts w:ascii="Arial" w:hAnsi="Arial" w:cs="Arial"/>
              </w:rPr>
            </w:pPr>
            <w:r w:rsidRPr="00AB07C9">
              <w:rPr>
                <w:rFonts w:ascii="Arial" w:hAnsi="Arial" w:cs="Arial"/>
              </w:rPr>
              <w:t xml:space="preserve">          ‘</w:t>
            </w:r>
            <w:r w:rsidR="001C6B82" w:rsidRPr="00AB07C9">
              <w:rPr>
                <w:rFonts w:ascii="Arial" w:hAnsi="Arial" w:cs="Arial"/>
              </w:rPr>
              <w:t xml:space="preserve">103. (1) In addition to the powers it may have, the court may of its own initiative or on the application of any party affected brought within a reasonable time rescind or vary any order or judgment – </w:t>
            </w:r>
          </w:p>
          <w:p w:rsidR="001C6B82" w:rsidRPr="00AB07C9" w:rsidRDefault="001C6B82" w:rsidP="00CD1053">
            <w:pPr>
              <w:spacing w:line="360" w:lineRule="auto"/>
              <w:jc w:val="both"/>
              <w:rPr>
                <w:rFonts w:ascii="Arial" w:hAnsi="Arial" w:cs="Arial"/>
              </w:rPr>
            </w:pPr>
            <w:r w:rsidRPr="00AB07C9">
              <w:rPr>
                <w:rFonts w:ascii="Arial" w:hAnsi="Arial" w:cs="Arial"/>
              </w:rPr>
              <w:t xml:space="preserve">(a) </w:t>
            </w:r>
            <w:r w:rsidR="00ED55B1">
              <w:rPr>
                <w:rFonts w:ascii="Arial" w:hAnsi="Arial" w:cs="Arial"/>
              </w:rPr>
              <w:t>. . .</w:t>
            </w:r>
          </w:p>
          <w:p w:rsidR="001C6B82" w:rsidRPr="00AB07C9" w:rsidRDefault="00ED55B1" w:rsidP="00CD1053">
            <w:pPr>
              <w:spacing w:line="360" w:lineRule="auto"/>
              <w:jc w:val="both"/>
              <w:rPr>
                <w:rFonts w:ascii="Arial" w:hAnsi="Arial" w:cs="Arial"/>
              </w:rPr>
            </w:pPr>
            <w:r>
              <w:rPr>
                <w:rFonts w:ascii="Arial" w:hAnsi="Arial" w:cs="Arial"/>
              </w:rPr>
              <w:t>(b) . . .</w:t>
            </w:r>
          </w:p>
          <w:p w:rsidR="00CD1053" w:rsidRPr="00AB07C9" w:rsidRDefault="001C6B82" w:rsidP="00CD1053">
            <w:pPr>
              <w:spacing w:line="360" w:lineRule="auto"/>
              <w:jc w:val="both"/>
              <w:rPr>
                <w:rFonts w:ascii="Arial" w:hAnsi="Arial" w:cs="Arial"/>
                <w:lang w:val="en-ZA"/>
              </w:rPr>
            </w:pPr>
            <w:r w:rsidRPr="00AB07C9">
              <w:rPr>
                <w:rFonts w:ascii="Arial" w:hAnsi="Arial" w:cs="Arial"/>
              </w:rPr>
              <w:t>(c) in which there is an ambiguity or a patent error or omission, but only to the extent o</w:t>
            </w:r>
            <w:r w:rsidR="00AB07C9" w:rsidRPr="00AB07C9">
              <w:rPr>
                <w:rFonts w:ascii="Arial" w:hAnsi="Arial" w:cs="Arial"/>
              </w:rPr>
              <w:t>f that ambiguity or omission;’</w:t>
            </w:r>
          </w:p>
          <w:p w:rsidR="00CD1053" w:rsidRPr="00CD1053" w:rsidRDefault="00CD1053" w:rsidP="00CD1053">
            <w:pPr>
              <w:spacing w:line="360" w:lineRule="auto"/>
              <w:jc w:val="both"/>
              <w:rPr>
                <w:rFonts w:ascii="Arial" w:hAnsi="Arial" w:cs="Arial"/>
                <w:sz w:val="24"/>
                <w:szCs w:val="24"/>
                <w:u w:val="single"/>
                <w:lang w:val="en-ZA"/>
              </w:rPr>
            </w:pPr>
          </w:p>
          <w:p w:rsidR="00CD1053" w:rsidRPr="00C26D35" w:rsidRDefault="00635E86" w:rsidP="00C26D35">
            <w:pPr>
              <w:pStyle w:val="ListParagraph"/>
              <w:numPr>
                <w:ilvl w:val="0"/>
                <w:numId w:val="16"/>
              </w:numPr>
              <w:spacing w:line="360" w:lineRule="auto"/>
              <w:ind w:left="0" w:firstLine="0"/>
              <w:jc w:val="both"/>
              <w:rPr>
                <w:rFonts w:ascii="Arial" w:hAnsi="Arial" w:cs="Arial"/>
                <w:sz w:val="24"/>
                <w:szCs w:val="24"/>
                <w:lang w:val="en-ZA"/>
              </w:rPr>
            </w:pPr>
            <w:r w:rsidRPr="00C26D35">
              <w:rPr>
                <w:rFonts w:ascii="Arial" w:hAnsi="Arial" w:cs="Arial"/>
                <w:sz w:val="24"/>
                <w:szCs w:val="24"/>
                <w:lang w:val="en-ZA"/>
              </w:rPr>
              <w:t>Sectio</w:t>
            </w:r>
            <w:r w:rsidR="00AB07C9" w:rsidRPr="00C26D35">
              <w:rPr>
                <w:rFonts w:ascii="Arial" w:hAnsi="Arial" w:cs="Arial"/>
                <w:sz w:val="24"/>
                <w:szCs w:val="24"/>
                <w:lang w:val="en-ZA"/>
              </w:rPr>
              <w:t xml:space="preserve">n 89(10) of the Labour Act </w:t>
            </w:r>
            <w:r w:rsidRPr="00C26D35">
              <w:rPr>
                <w:rFonts w:ascii="Arial" w:hAnsi="Arial" w:cs="Arial"/>
                <w:sz w:val="24"/>
                <w:szCs w:val="24"/>
                <w:lang w:val="en-ZA"/>
              </w:rPr>
              <w:t>11 of 2007 says the following as to what needs to happen when a decision is set aside on appeal.  It reads as follows:</w:t>
            </w:r>
          </w:p>
          <w:p w:rsidR="00635E86" w:rsidRDefault="00635E86" w:rsidP="00CD1053">
            <w:pPr>
              <w:spacing w:line="360" w:lineRule="auto"/>
              <w:jc w:val="both"/>
              <w:rPr>
                <w:rFonts w:ascii="Arial" w:hAnsi="Arial" w:cs="Arial"/>
                <w:sz w:val="24"/>
                <w:szCs w:val="24"/>
              </w:rPr>
            </w:pPr>
          </w:p>
          <w:p w:rsidR="00635E86" w:rsidRDefault="00635E86" w:rsidP="00CD1053">
            <w:pPr>
              <w:spacing w:line="360" w:lineRule="auto"/>
              <w:jc w:val="both"/>
              <w:rPr>
                <w:rFonts w:ascii="Arial" w:hAnsi="Arial" w:cs="Arial"/>
              </w:rPr>
            </w:pPr>
            <w:r>
              <w:rPr>
                <w:rFonts w:ascii="Arial" w:hAnsi="Arial" w:cs="Arial"/>
                <w:sz w:val="24"/>
                <w:szCs w:val="24"/>
              </w:rPr>
              <w:tab/>
            </w:r>
            <w:r w:rsidRPr="00AB07C9">
              <w:rPr>
                <w:rFonts w:ascii="Arial" w:hAnsi="Arial" w:cs="Arial"/>
              </w:rPr>
              <w:t xml:space="preserve">‘(10) If the award is set aside, the Labour Court may – </w:t>
            </w:r>
          </w:p>
          <w:p w:rsidR="00AB07C9" w:rsidRPr="00AB07C9" w:rsidRDefault="00AB07C9" w:rsidP="00CD1053">
            <w:pPr>
              <w:spacing w:line="360" w:lineRule="auto"/>
              <w:jc w:val="both"/>
              <w:rPr>
                <w:rFonts w:ascii="Arial" w:hAnsi="Arial" w:cs="Arial"/>
              </w:rPr>
            </w:pPr>
          </w:p>
          <w:p w:rsidR="00635E86" w:rsidRPr="00AB07C9" w:rsidRDefault="00635E86" w:rsidP="00CD1053">
            <w:pPr>
              <w:spacing w:line="360" w:lineRule="auto"/>
              <w:jc w:val="both"/>
              <w:rPr>
                <w:rFonts w:ascii="Arial" w:hAnsi="Arial" w:cs="Arial"/>
              </w:rPr>
            </w:pPr>
            <w:r w:rsidRPr="00AB07C9">
              <w:rPr>
                <w:rFonts w:ascii="Arial" w:hAnsi="Arial" w:cs="Arial"/>
              </w:rPr>
              <w:t xml:space="preserve">(a) in the case of an appeal, determine the dispute in the manner it considers appropriate; </w:t>
            </w:r>
          </w:p>
          <w:p w:rsidR="00635E86" w:rsidRPr="00AB07C9" w:rsidRDefault="00635E86" w:rsidP="00CD1053">
            <w:pPr>
              <w:spacing w:line="360" w:lineRule="auto"/>
              <w:jc w:val="both"/>
              <w:rPr>
                <w:rFonts w:ascii="Arial" w:hAnsi="Arial" w:cs="Arial"/>
              </w:rPr>
            </w:pPr>
            <w:r w:rsidRPr="00AB07C9">
              <w:rPr>
                <w:rFonts w:ascii="Arial" w:hAnsi="Arial" w:cs="Arial"/>
              </w:rPr>
              <w:lastRenderedPageBreak/>
              <w:t xml:space="preserve">(b) refer it back to the arbitrator or direct that a new arbitrator be designated; or </w:t>
            </w:r>
          </w:p>
          <w:p w:rsidR="00635E86" w:rsidRPr="00AB07C9" w:rsidRDefault="00635E86" w:rsidP="001A4318">
            <w:pPr>
              <w:spacing w:line="360" w:lineRule="auto"/>
              <w:jc w:val="both"/>
              <w:rPr>
                <w:rFonts w:ascii="Arial" w:hAnsi="Arial" w:cs="Arial"/>
                <w:lang w:val="en-ZA"/>
              </w:rPr>
            </w:pPr>
            <w:r w:rsidRPr="00AB07C9">
              <w:rPr>
                <w:rFonts w:ascii="Arial" w:hAnsi="Arial" w:cs="Arial"/>
              </w:rPr>
              <w:t xml:space="preserve">(c) </w:t>
            </w:r>
            <w:proofErr w:type="gramStart"/>
            <w:r w:rsidRPr="00AB07C9">
              <w:rPr>
                <w:rFonts w:ascii="Arial" w:hAnsi="Arial" w:cs="Arial"/>
              </w:rPr>
              <w:t>make</w:t>
            </w:r>
            <w:proofErr w:type="gramEnd"/>
            <w:r w:rsidRPr="00AB07C9">
              <w:rPr>
                <w:rFonts w:ascii="Arial" w:hAnsi="Arial" w:cs="Arial"/>
              </w:rPr>
              <w:t xml:space="preserve"> any order it considers appropriate about the procedures to be followed to determine the dispute.</w:t>
            </w:r>
            <w:r w:rsidR="00AB07C9">
              <w:rPr>
                <w:rFonts w:ascii="Arial" w:hAnsi="Arial" w:cs="Arial"/>
              </w:rPr>
              <w:t>’</w:t>
            </w:r>
          </w:p>
          <w:p w:rsidR="00CD1053" w:rsidRPr="00CD1053" w:rsidRDefault="00CD1053" w:rsidP="001A4318">
            <w:pPr>
              <w:spacing w:line="360" w:lineRule="auto"/>
              <w:jc w:val="both"/>
              <w:rPr>
                <w:rFonts w:ascii="Arial" w:hAnsi="Arial" w:cs="Arial"/>
                <w:sz w:val="24"/>
                <w:szCs w:val="24"/>
                <w:lang w:val="en-ZA"/>
              </w:rPr>
            </w:pPr>
          </w:p>
          <w:p w:rsidR="00CD1053" w:rsidRPr="00C26D35" w:rsidRDefault="000511FE" w:rsidP="00C26D35">
            <w:pPr>
              <w:pStyle w:val="ListParagraph"/>
              <w:numPr>
                <w:ilvl w:val="0"/>
                <w:numId w:val="16"/>
              </w:numPr>
              <w:spacing w:line="360" w:lineRule="auto"/>
              <w:ind w:left="0" w:firstLine="0"/>
              <w:jc w:val="both"/>
              <w:rPr>
                <w:rFonts w:ascii="Arial" w:hAnsi="Arial" w:cs="Arial"/>
                <w:sz w:val="24"/>
                <w:szCs w:val="24"/>
              </w:rPr>
            </w:pPr>
            <w:r w:rsidRPr="00C26D35">
              <w:rPr>
                <w:rFonts w:ascii="Arial" w:hAnsi="Arial" w:cs="Arial"/>
                <w:sz w:val="24"/>
                <w:szCs w:val="24"/>
                <w:lang w:val="en-ZA"/>
              </w:rPr>
              <w:t xml:space="preserve">Parker AJ says the following in </w:t>
            </w:r>
            <w:r w:rsidR="00FE0065" w:rsidRPr="00C26D35">
              <w:rPr>
                <w:rFonts w:ascii="Arial" w:hAnsi="Arial" w:cs="Arial"/>
                <w:i/>
                <w:sz w:val="24"/>
                <w:szCs w:val="24"/>
              </w:rPr>
              <w:t>Gibeon Village Council v Development Bank of Namibia &amp; 3 Others</w:t>
            </w:r>
            <w:r w:rsidR="00FE0065">
              <w:rPr>
                <w:rStyle w:val="FootnoteReference"/>
                <w:rFonts w:ascii="Arial" w:hAnsi="Arial" w:cs="Arial"/>
                <w:sz w:val="24"/>
                <w:szCs w:val="24"/>
              </w:rPr>
              <w:footnoteReference w:id="1"/>
            </w:r>
            <w:r w:rsidRPr="00C26D35">
              <w:rPr>
                <w:rFonts w:ascii="Arial" w:hAnsi="Arial" w:cs="Arial"/>
                <w:sz w:val="24"/>
                <w:szCs w:val="24"/>
              </w:rPr>
              <w:t xml:space="preserve"> regarding the reasonable time requirement.  He explains that:</w:t>
            </w:r>
          </w:p>
          <w:p w:rsidR="00AB07C9" w:rsidRPr="00AB07C9" w:rsidRDefault="00AB07C9" w:rsidP="00AB07C9">
            <w:pPr>
              <w:pStyle w:val="ListParagraph"/>
              <w:spacing w:line="360" w:lineRule="auto"/>
              <w:ind w:left="0"/>
              <w:jc w:val="both"/>
              <w:rPr>
                <w:rFonts w:ascii="Arial" w:hAnsi="Arial" w:cs="Arial"/>
                <w:sz w:val="24"/>
                <w:szCs w:val="24"/>
              </w:rPr>
            </w:pPr>
          </w:p>
          <w:p w:rsidR="00C26D35" w:rsidRDefault="000511FE" w:rsidP="00C26D35">
            <w:pPr>
              <w:spacing w:line="360" w:lineRule="auto"/>
              <w:jc w:val="both"/>
              <w:rPr>
                <w:rFonts w:ascii="Arial" w:hAnsi="Arial" w:cs="Arial"/>
              </w:rPr>
            </w:pPr>
            <w:r>
              <w:rPr>
                <w:rFonts w:ascii="Arial" w:hAnsi="Arial" w:cs="Arial"/>
                <w:sz w:val="24"/>
                <w:szCs w:val="24"/>
                <w:lang w:val="en-ZA"/>
              </w:rPr>
              <w:tab/>
            </w:r>
            <w:r w:rsidRPr="000511FE">
              <w:rPr>
                <w:rFonts w:ascii="Arial" w:hAnsi="Arial" w:cs="Arial"/>
                <w:lang w:val="en-ZA"/>
              </w:rPr>
              <w:t>‘</w:t>
            </w:r>
            <w:r w:rsidRPr="000511FE">
              <w:rPr>
                <w:rFonts w:ascii="Arial" w:hAnsi="Arial" w:cs="Arial"/>
              </w:rPr>
              <w:t xml:space="preserve">(w)hen an enabling Act or a rule made thereunder prescribes that something may be done ‘within a reasonable time’, the rule does not give an interested person unbridled licence to act any </w:t>
            </w:r>
            <w:proofErr w:type="spellStart"/>
            <w:r w:rsidRPr="000511FE">
              <w:rPr>
                <w:rFonts w:ascii="Arial" w:hAnsi="Arial" w:cs="Arial"/>
              </w:rPr>
              <w:t>any</w:t>
            </w:r>
            <w:proofErr w:type="spellEnd"/>
            <w:r w:rsidRPr="000511FE">
              <w:rPr>
                <w:rFonts w:ascii="Arial" w:hAnsi="Arial" w:cs="Arial"/>
              </w:rPr>
              <w:t xml:space="preserve"> time that that person pleases. The words ‘within a reasonable time’ is meant to </w:t>
            </w:r>
            <w:proofErr w:type="spellStart"/>
            <w:r w:rsidRPr="000511FE">
              <w:rPr>
                <w:rFonts w:ascii="Arial" w:hAnsi="Arial" w:cs="Arial"/>
              </w:rPr>
              <w:t>instill</w:t>
            </w:r>
            <w:proofErr w:type="spellEnd"/>
            <w:r w:rsidRPr="000511FE">
              <w:rPr>
                <w:rFonts w:ascii="Arial" w:hAnsi="Arial" w:cs="Arial"/>
              </w:rPr>
              <w:t xml:space="preserve"> a sense of urgency in the person involved who wished to act. And whether an application in terms of rule 103(1) has been brought within ‘a reasonable time’ is a question of fact, and applicant bears the onus to place before the court cogent and sufficient evidence that the application has been brought within a reasonable time.’</w:t>
            </w:r>
          </w:p>
          <w:p w:rsidR="00C26D35" w:rsidRDefault="00C26D35" w:rsidP="00C26D35">
            <w:pPr>
              <w:spacing w:line="360" w:lineRule="auto"/>
              <w:jc w:val="both"/>
              <w:rPr>
                <w:rFonts w:ascii="Arial" w:hAnsi="Arial" w:cs="Arial"/>
              </w:rPr>
            </w:pPr>
          </w:p>
          <w:p w:rsidR="003B4B67" w:rsidRPr="00C26D35" w:rsidRDefault="003B4B67" w:rsidP="00C26D35">
            <w:pPr>
              <w:pStyle w:val="ListParagraph"/>
              <w:numPr>
                <w:ilvl w:val="0"/>
                <w:numId w:val="16"/>
              </w:numPr>
              <w:spacing w:line="360" w:lineRule="auto"/>
              <w:ind w:left="0" w:firstLine="0"/>
              <w:jc w:val="both"/>
              <w:rPr>
                <w:rFonts w:ascii="Arial" w:hAnsi="Arial" w:cs="Arial"/>
              </w:rPr>
            </w:pPr>
            <w:r w:rsidRPr="00C26D35">
              <w:rPr>
                <w:rFonts w:ascii="Arial" w:hAnsi="Arial" w:cs="Arial"/>
                <w:sz w:val="24"/>
                <w:szCs w:val="24"/>
                <w:lang w:val="en-ZA"/>
              </w:rPr>
              <w:t xml:space="preserve">In </w:t>
            </w:r>
            <w:proofErr w:type="spellStart"/>
            <w:r w:rsidRPr="00C26D35">
              <w:rPr>
                <w:rFonts w:ascii="Arial" w:hAnsi="Arial" w:cs="Arial"/>
                <w:i/>
                <w:sz w:val="24"/>
                <w:szCs w:val="24"/>
              </w:rPr>
              <w:t>Ledwaba</w:t>
            </w:r>
            <w:proofErr w:type="spellEnd"/>
            <w:r w:rsidRPr="00C26D35">
              <w:rPr>
                <w:rFonts w:ascii="Arial" w:hAnsi="Arial" w:cs="Arial"/>
                <w:i/>
                <w:sz w:val="24"/>
                <w:szCs w:val="24"/>
              </w:rPr>
              <w:t xml:space="preserve"> </w:t>
            </w:r>
            <w:proofErr w:type="spellStart"/>
            <w:r w:rsidRPr="00C26D35">
              <w:rPr>
                <w:rFonts w:ascii="Arial" w:hAnsi="Arial" w:cs="Arial"/>
                <w:i/>
                <w:sz w:val="24"/>
                <w:szCs w:val="24"/>
              </w:rPr>
              <w:t>n.o</w:t>
            </w:r>
            <w:proofErr w:type="spellEnd"/>
            <w:r w:rsidRPr="00C26D35">
              <w:rPr>
                <w:rFonts w:ascii="Arial" w:hAnsi="Arial" w:cs="Arial"/>
                <w:i/>
                <w:sz w:val="24"/>
                <w:szCs w:val="24"/>
              </w:rPr>
              <w:t xml:space="preserve">. v </w:t>
            </w:r>
            <w:proofErr w:type="spellStart"/>
            <w:r w:rsidRPr="00C26D35">
              <w:rPr>
                <w:rFonts w:ascii="Arial" w:hAnsi="Arial" w:cs="Arial"/>
                <w:i/>
                <w:sz w:val="24"/>
                <w:szCs w:val="24"/>
              </w:rPr>
              <w:t>Mthembu</w:t>
            </w:r>
            <w:proofErr w:type="spellEnd"/>
            <w:r w:rsidRPr="00C26D35">
              <w:rPr>
                <w:rFonts w:ascii="Arial" w:hAnsi="Arial" w:cs="Arial"/>
                <w:i/>
                <w:sz w:val="24"/>
                <w:szCs w:val="24"/>
              </w:rPr>
              <w:t xml:space="preserve"> and 5 Others: in re</w:t>
            </w:r>
            <w:r w:rsidRPr="00C26D35">
              <w:rPr>
                <w:i/>
              </w:rPr>
              <w:t xml:space="preserve"> </w:t>
            </w:r>
            <w:proofErr w:type="spellStart"/>
            <w:r w:rsidRPr="00C26D35">
              <w:rPr>
                <w:rFonts w:ascii="Arial" w:hAnsi="Arial" w:cs="Arial"/>
                <w:i/>
                <w:sz w:val="24"/>
                <w:szCs w:val="24"/>
              </w:rPr>
              <w:t>Mthembu</w:t>
            </w:r>
            <w:proofErr w:type="spellEnd"/>
            <w:r w:rsidRPr="00C26D35">
              <w:rPr>
                <w:rFonts w:ascii="Arial" w:hAnsi="Arial" w:cs="Arial"/>
                <w:i/>
                <w:sz w:val="24"/>
                <w:szCs w:val="24"/>
              </w:rPr>
              <w:t xml:space="preserve"> v </w:t>
            </w:r>
            <w:proofErr w:type="spellStart"/>
            <w:r w:rsidRPr="00C26D35">
              <w:rPr>
                <w:rFonts w:ascii="Arial" w:hAnsi="Arial" w:cs="Arial"/>
                <w:i/>
                <w:sz w:val="24"/>
                <w:szCs w:val="24"/>
              </w:rPr>
              <w:t>Makume</w:t>
            </w:r>
            <w:proofErr w:type="spellEnd"/>
            <w:r w:rsidRPr="00C26D35">
              <w:rPr>
                <w:rFonts w:ascii="Arial" w:hAnsi="Arial" w:cs="Arial"/>
                <w:i/>
                <w:sz w:val="24"/>
                <w:szCs w:val="24"/>
              </w:rPr>
              <w:t xml:space="preserve"> and 3 Others</w:t>
            </w:r>
            <w:r>
              <w:rPr>
                <w:rStyle w:val="FootnoteReference"/>
                <w:rFonts w:ascii="Arial" w:hAnsi="Arial" w:cs="Arial"/>
                <w:i/>
                <w:sz w:val="24"/>
                <w:szCs w:val="24"/>
              </w:rPr>
              <w:footnoteReference w:id="2"/>
            </w:r>
            <w:r w:rsidRPr="00C26D35">
              <w:rPr>
                <w:rFonts w:ascii="Arial" w:hAnsi="Arial" w:cs="Arial"/>
                <w:sz w:val="24"/>
                <w:szCs w:val="24"/>
              </w:rPr>
              <w:t xml:space="preserve"> the following w</w:t>
            </w:r>
            <w:r w:rsidR="00ED55B1" w:rsidRPr="00C26D35">
              <w:rPr>
                <w:rFonts w:ascii="Arial" w:hAnsi="Arial" w:cs="Arial"/>
                <w:sz w:val="24"/>
                <w:szCs w:val="24"/>
              </w:rPr>
              <w:t>as said regarding</w:t>
            </w:r>
            <w:r w:rsidRPr="00C26D35">
              <w:rPr>
                <w:rFonts w:ascii="Arial" w:hAnsi="Arial" w:cs="Arial"/>
                <w:sz w:val="24"/>
                <w:szCs w:val="24"/>
              </w:rPr>
              <w:t xml:space="preserve"> reasonable time:</w:t>
            </w:r>
          </w:p>
          <w:p w:rsidR="00AB07C9" w:rsidRPr="00AB07C9" w:rsidRDefault="00AB07C9" w:rsidP="00AB07C9">
            <w:pPr>
              <w:pStyle w:val="ListParagraph"/>
              <w:spacing w:line="360" w:lineRule="auto"/>
              <w:ind w:left="0"/>
              <w:jc w:val="both"/>
              <w:rPr>
                <w:rFonts w:ascii="Arial" w:hAnsi="Arial" w:cs="Arial"/>
              </w:rPr>
            </w:pPr>
          </w:p>
          <w:p w:rsidR="00CD1053" w:rsidRPr="00CD1053" w:rsidRDefault="003B4B67" w:rsidP="00CD1053">
            <w:pPr>
              <w:spacing w:line="360" w:lineRule="auto"/>
              <w:jc w:val="both"/>
              <w:rPr>
                <w:rFonts w:ascii="Arial" w:hAnsi="Arial" w:cs="Arial"/>
                <w:sz w:val="24"/>
                <w:szCs w:val="24"/>
                <w:lang w:val="en-ZA"/>
              </w:rPr>
            </w:pPr>
            <w:r>
              <w:rPr>
                <w:rFonts w:ascii="Arial" w:hAnsi="Arial" w:cs="Arial"/>
                <w:sz w:val="24"/>
                <w:szCs w:val="24"/>
              </w:rPr>
              <w:tab/>
              <w:t>‘</w:t>
            </w:r>
            <w:r w:rsidR="000511FE" w:rsidRPr="003B4B67">
              <w:rPr>
                <w:rFonts w:ascii="Arial" w:hAnsi="Arial" w:cs="Arial"/>
              </w:rPr>
              <w:t>Unlike rule 31(2</w:t>
            </w:r>
            <w:proofErr w:type="gramStart"/>
            <w:r w:rsidR="000511FE" w:rsidRPr="003B4B67">
              <w:rPr>
                <w:rFonts w:ascii="Arial" w:hAnsi="Arial" w:cs="Arial"/>
              </w:rPr>
              <w:t>)(</w:t>
            </w:r>
            <w:proofErr w:type="gramEnd"/>
            <w:r w:rsidR="000511FE" w:rsidRPr="003B4B67">
              <w:rPr>
                <w:rFonts w:ascii="Arial" w:hAnsi="Arial" w:cs="Arial"/>
              </w:rPr>
              <w:t>b), rule 42, similar to the common law, does not specify a period within which a rescission application in terms thereof should be launched. However, a rescission application in terms of rule 42 or the common law must be launched within a reasonable period. What is a reasonable period depen</w:t>
            </w:r>
            <w:r w:rsidRPr="003B4B67">
              <w:rPr>
                <w:rFonts w:ascii="Arial" w:hAnsi="Arial" w:cs="Arial"/>
              </w:rPr>
              <w:t>ds upon the facts of each case.</w:t>
            </w:r>
            <w:r w:rsidR="000511FE" w:rsidRPr="003B4B67">
              <w:rPr>
                <w:rFonts w:ascii="Arial" w:hAnsi="Arial" w:cs="Arial"/>
              </w:rPr>
              <w:t xml:space="preserve"> The purpose of rule 42 is to correct expeditiously an obviously wrong judgement or order</w:t>
            </w:r>
            <w:r w:rsidRPr="003B4B67">
              <w:rPr>
                <w:rFonts w:ascii="Arial" w:hAnsi="Arial" w:cs="Arial"/>
              </w:rPr>
              <w:t>.’</w:t>
            </w:r>
            <w:r>
              <w:rPr>
                <w:rFonts w:ascii="Arial" w:hAnsi="Arial" w:cs="Arial"/>
                <w:sz w:val="24"/>
                <w:szCs w:val="24"/>
              </w:rPr>
              <w:t xml:space="preserve"> (Rule 42 of the South African High Court rules reads similarly to our rule 103)</w:t>
            </w:r>
            <w:r w:rsidR="00AB07C9">
              <w:rPr>
                <w:rFonts w:ascii="Arial" w:hAnsi="Arial" w:cs="Arial"/>
                <w:sz w:val="24"/>
                <w:szCs w:val="24"/>
              </w:rPr>
              <w:t>.’</w:t>
            </w:r>
          </w:p>
          <w:p w:rsidR="00ED55B1" w:rsidRDefault="00C0555E" w:rsidP="00CD1053">
            <w:pPr>
              <w:spacing w:line="360" w:lineRule="auto"/>
              <w:jc w:val="both"/>
              <w:rPr>
                <w:rFonts w:ascii="Arial" w:hAnsi="Arial" w:cs="Arial"/>
                <w:sz w:val="24"/>
                <w:szCs w:val="24"/>
                <w:lang w:val="en-ZA"/>
              </w:rPr>
            </w:pPr>
            <w:r>
              <w:rPr>
                <w:rFonts w:ascii="Arial" w:hAnsi="Arial" w:cs="Arial"/>
                <w:sz w:val="24"/>
                <w:szCs w:val="24"/>
                <w:lang w:val="en-ZA"/>
              </w:rPr>
              <w:t xml:space="preserve"> </w:t>
            </w:r>
          </w:p>
          <w:p w:rsidR="00ED55B1" w:rsidRDefault="00ED55B1" w:rsidP="00CD1053">
            <w:pPr>
              <w:spacing w:line="360" w:lineRule="auto"/>
              <w:jc w:val="both"/>
              <w:rPr>
                <w:rFonts w:ascii="Arial" w:hAnsi="Arial" w:cs="Arial"/>
                <w:sz w:val="24"/>
                <w:szCs w:val="24"/>
                <w:lang w:val="en-ZA"/>
              </w:rPr>
            </w:pPr>
          </w:p>
          <w:p w:rsidR="00ED55B1" w:rsidRDefault="00ED55B1" w:rsidP="00CD1053">
            <w:pPr>
              <w:spacing w:line="360" w:lineRule="auto"/>
              <w:jc w:val="both"/>
              <w:rPr>
                <w:rFonts w:ascii="Arial" w:hAnsi="Arial" w:cs="Arial"/>
                <w:sz w:val="24"/>
                <w:szCs w:val="24"/>
                <w:lang w:val="en-ZA"/>
              </w:rPr>
            </w:pPr>
          </w:p>
          <w:p w:rsidR="00ED55B1" w:rsidRDefault="00ED55B1" w:rsidP="00CD1053">
            <w:pPr>
              <w:spacing w:line="360" w:lineRule="auto"/>
              <w:jc w:val="both"/>
              <w:rPr>
                <w:rFonts w:ascii="Arial" w:hAnsi="Arial" w:cs="Arial"/>
                <w:sz w:val="24"/>
                <w:szCs w:val="24"/>
                <w:lang w:val="en-ZA"/>
              </w:rPr>
            </w:pPr>
          </w:p>
          <w:p w:rsidR="00C34AE0" w:rsidRPr="00ED55B1" w:rsidRDefault="00C34AE0" w:rsidP="00CD1053">
            <w:pPr>
              <w:spacing w:line="360" w:lineRule="auto"/>
              <w:jc w:val="both"/>
              <w:rPr>
                <w:rFonts w:ascii="Arial" w:hAnsi="Arial" w:cs="Arial"/>
                <w:sz w:val="24"/>
                <w:szCs w:val="24"/>
                <w:lang w:val="en-ZA"/>
              </w:rPr>
            </w:pPr>
            <w:r w:rsidRPr="00C34AE0">
              <w:rPr>
                <w:rFonts w:ascii="Arial" w:hAnsi="Arial" w:cs="Arial"/>
                <w:sz w:val="24"/>
                <w:szCs w:val="24"/>
                <w:u w:val="single"/>
                <w:lang w:val="en-ZA"/>
              </w:rPr>
              <w:lastRenderedPageBreak/>
              <w:t>Conclusion</w:t>
            </w:r>
          </w:p>
          <w:p w:rsidR="00C26D35" w:rsidRDefault="00C26D35" w:rsidP="00C26D35">
            <w:pPr>
              <w:pStyle w:val="ListParagraph"/>
              <w:spacing w:line="360" w:lineRule="auto"/>
              <w:ind w:left="0"/>
              <w:jc w:val="both"/>
              <w:rPr>
                <w:rFonts w:ascii="Arial" w:hAnsi="Arial" w:cs="Arial"/>
                <w:sz w:val="24"/>
                <w:szCs w:val="24"/>
                <w:u w:val="single"/>
                <w:lang w:val="en-ZA"/>
              </w:rPr>
            </w:pPr>
          </w:p>
          <w:p w:rsidR="00C26D35" w:rsidRDefault="00C34AE0" w:rsidP="00C26D35">
            <w:pPr>
              <w:pStyle w:val="ListParagraph"/>
              <w:numPr>
                <w:ilvl w:val="0"/>
                <w:numId w:val="16"/>
              </w:numPr>
              <w:spacing w:line="360" w:lineRule="auto"/>
              <w:ind w:left="0" w:firstLine="0"/>
              <w:jc w:val="both"/>
              <w:rPr>
                <w:rFonts w:ascii="Arial" w:hAnsi="Arial" w:cs="Arial"/>
                <w:sz w:val="24"/>
                <w:szCs w:val="24"/>
                <w:lang w:val="en-ZA"/>
              </w:rPr>
            </w:pPr>
            <w:r w:rsidRPr="00AB07C9">
              <w:rPr>
                <w:rFonts w:ascii="Arial" w:hAnsi="Arial" w:cs="Arial"/>
                <w:sz w:val="24"/>
                <w:szCs w:val="24"/>
                <w:lang w:val="en-ZA"/>
              </w:rPr>
              <w:t xml:space="preserve">The applicant came to this court with an application under rule 103(2) for the amendment of an order of Justice </w:t>
            </w:r>
            <w:proofErr w:type="spellStart"/>
            <w:r w:rsidRPr="00AB07C9">
              <w:rPr>
                <w:rFonts w:ascii="Arial" w:hAnsi="Arial" w:cs="Arial"/>
                <w:sz w:val="24"/>
                <w:szCs w:val="24"/>
                <w:lang w:val="en-ZA"/>
              </w:rPr>
              <w:t>Cheda</w:t>
            </w:r>
            <w:proofErr w:type="spellEnd"/>
            <w:r w:rsidRPr="00AB07C9">
              <w:rPr>
                <w:rFonts w:ascii="Arial" w:hAnsi="Arial" w:cs="Arial"/>
                <w:sz w:val="24"/>
                <w:szCs w:val="24"/>
                <w:lang w:val="en-ZA"/>
              </w:rPr>
              <w:t xml:space="preserve"> given in 2019.  It is four years later and the court must come to a conclusion as to whether it is a reasonable time or not from when this order was granted until an application to correct the said order was brought.  It is clear from the papers that the applicant should at least by 2021 when the application for the cancellation of the warrant </w:t>
            </w:r>
            <w:r w:rsidR="00ED55B1">
              <w:rPr>
                <w:rFonts w:ascii="Arial" w:hAnsi="Arial" w:cs="Arial"/>
                <w:sz w:val="24"/>
                <w:szCs w:val="24"/>
                <w:lang w:val="en-ZA"/>
              </w:rPr>
              <w:t xml:space="preserve">of execution was brought, </w:t>
            </w:r>
            <w:r w:rsidRPr="00AB07C9">
              <w:rPr>
                <w:rFonts w:ascii="Arial" w:hAnsi="Arial" w:cs="Arial"/>
                <w:sz w:val="24"/>
                <w:szCs w:val="24"/>
                <w:lang w:val="en-ZA"/>
              </w:rPr>
              <w:t>have realised that the order lacks certain remedies which would have allowed her to enforce an award in her favour.  I am of the opinion that the long delay in bringing the rule 103(2) application was not sufficiently explained and for that reason the application will be dismissed.</w:t>
            </w:r>
          </w:p>
          <w:p w:rsidR="00C26D35" w:rsidRDefault="00C26D35" w:rsidP="00C26D35">
            <w:pPr>
              <w:pStyle w:val="ListParagraph"/>
              <w:spacing w:line="360" w:lineRule="auto"/>
              <w:ind w:left="0"/>
              <w:jc w:val="both"/>
              <w:rPr>
                <w:rFonts w:ascii="Arial" w:hAnsi="Arial" w:cs="Arial"/>
                <w:sz w:val="24"/>
                <w:szCs w:val="24"/>
                <w:lang w:val="en-ZA"/>
              </w:rPr>
            </w:pPr>
          </w:p>
          <w:p w:rsidR="00C26D35" w:rsidRDefault="00C34AE0" w:rsidP="00C26D35">
            <w:pPr>
              <w:pStyle w:val="ListParagraph"/>
              <w:numPr>
                <w:ilvl w:val="0"/>
                <w:numId w:val="16"/>
              </w:numPr>
              <w:spacing w:line="360" w:lineRule="auto"/>
              <w:ind w:left="0" w:firstLine="0"/>
              <w:jc w:val="both"/>
              <w:rPr>
                <w:rFonts w:ascii="Arial" w:hAnsi="Arial" w:cs="Arial"/>
                <w:sz w:val="24"/>
                <w:szCs w:val="24"/>
                <w:lang w:val="en-ZA"/>
              </w:rPr>
            </w:pPr>
            <w:r w:rsidRPr="00C26D35">
              <w:rPr>
                <w:rFonts w:ascii="Arial" w:hAnsi="Arial" w:cs="Arial"/>
                <w:sz w:val="24"/>
                <w:szCs w:val="24"/>
                <w:lang w:val="en-ZA"/>
              </w:rPr>
              <w:t>There will however</w:t>
            </w:r>
            <w:r w:rsidR="00ED55B1" w:rsidRPr="00C26D35">
              <w:rPr>
                <w:rFonts w:ascii="Arial" w:hAnsi="Arial" w:cs="Arial"/>
                <w:sz w:val="24"/>
                <w:szCs w:val="24"/>
                <w:lang w:val="en-ZA"/>
              </w:rPr>
              <w:t>,</w:t>
            </w:r>
            <w:r w:rsidRPr="00C26D35">
              <w:rPr>
                <w:rFonts w:ascii="Arial" w:hAnsi="Arial" w:cs="Arial"/>
                <w:sz w:val="24"/>
                <w:szCs w:val="24"/>
                <w:lang w:val="en-ZA"/>
              </w:rPr>
              <w:t xml:space="preserve"> be no order </w:t>
            </w:r>
            <w:r w:rsidR="00ED55B1" w:rsidRPr="00C26D35">
              <w:rPr>
                <w:rFonts w:ascii="Arial" w:hAnsi="Arial" w:cs="Arial"/>
                <w:sz w:val="24"/>
                <w:szCs w:val="24"/>
                <w:lang w:val="en-ZA"/>
              </w:rPr>
              <w:t xml:space="preserve">as </w:t>
            </w:r>
            <w:r w:rsidRPr="00C26D35">
              <w:rPr>
                <w:rFonts w:ascii="Arial" w:hAnsi="Arial" w:cs="Arial"/>
                <w:sz w:val="24"/>
                <w:szCs w:val="24"/>
                <w:lang w:val="en-ZA"/>
              </w:rPr>
              <w:t>to costs as this is essentially a labour matter.</w:t>
            </w:r>
          </w:p>
          <w:p w:rsidR="00C26D35" w:rsidRPr="00C26D35" w:rsidRDefault="00C26D35" w:rsidP="00C26D35">
            <w:pPr>
              <w:pStyle w:val="ListParagraph"/>
              <w:rPr>
                <w:rFonts w:ascii="Arial" w:hAnsi="Arial" w:cs="Arial"/>
                <w:sz w:val="24"/>
                <w:szCs w:val="24"/>
                <w:lang w:val="en-ZA"/>
              </w:rPr>
            </w:pPr>
          </w:p>
          <w:p w:rsidR="00CD1053" w:rsidRPr="00C26D35" w:rsidRDefault="00CD1053" w:rsidP="00C26D35">
            <w:pPr>
              <w:pStyle w:val="ListParagraph"/>
              <w:numPr>
                <w:ilvl w:val="0"/>
                <w:numId w:val="16"/>
              </w:numPr>
              <w:spacing w:line="360" w:lineRule="auto"/>
              <w:ind w:left="0" w:firstLine="0"/>
              <w:jc w:val="both"/>
              <w:rPr>
                <w:rFonts w:ascii="Arial" w:hAnsi="Arial" w:cs="Arial"/>
                <w:sz w:val="24"/>
                <w:szCs w:val="24"/>
                <w:lang w:val="en-ZA"/>
              </w:rPr>
            </w:pPr>
            <w:bookmarkStart w:id="0" w:name="_GoBack"/>
            <w:bookmarkEnd w:id="0"/>
            <w:r w:rsidRPr="00C26D35">
              <w:rPr>
                <w:rFonts w:ascii="Arial" w:hAnsi="Arial" w:cs="Arial"/>
                <w:sz w:val="24"/>
                <w:szCs w:val="24"/>
                <w:lang w:val="en-ZA"/>
              </w:rPr>
              <w:t>In the result, I make the following order:</w:t>
            </w:r>
          </w:p>
          <w:p w:rsidR="00D63DD5" w:rsidRDefault="00D63DD5" w:rsidP="00CD1053">
            <w:pPr>
              <w:spacing w:line="360" w:lineRule="auto"/>
              <w:jc w:val="both"/>
              <w:rPr>
                <w:rFonts w:ascii="Arial" w:hAnsi="Arial" w:cs="Arial"/>
                <w:sz w:val="24"/>
                <w:szCs w:val="24"/>
                <w:lang w:val="en-ZA"/>
              </w:rPr>
            </w:pPr>
          </w:p>
          <w:p w:rsidR="00D63DD5" w:rsidRDefault="00C34AE0" w:rsidP="00EC4F5E">
            <w:pPr>
              <w:pStyle w:val="ListParagraph"/>
              <w:numPr>
                <w:ilvl w:val="0"/>
                <w:numId w:val="13"/>
              </w:numPr>
              <w:spacing w:line="360" w:lineRule="auto"/>
              <w:jc w:val="both"/>
              <w:rPr>
                <w:rFonts w:ascii="Arial" w:hAnsi="Arial" w:cs="Arial"/>
                <w:sz w:val="24"/>
                <w:szCs w:val="24"/>
                <w:lang w:val="en-ZA"/>
              </w:rPr>
            </w:pPr>
            <w:r w:rsidRPr="00D63DD5">
              <w:rPr>
                <w:rFonts w:ascii="Arial" w:hAnsi="Arial" w:cs="Arial"/>
                <w:sz w:val="24"/>
                <w:szCs w:val="24"/>
                <w:lang w:val="en-ZA"/>
              </w:rPr>
              <w:t>The application is dismissed.</w:t>
            </w:r>
          </w:p>
          <w:p w:rsidR="00D63DD5" w:rsidRDefault="00C34AE0" w:rsidP="00EC4F5E">
            <w:pPr>
              <w:pStyle w:val="ListParagraph"/>
              <w:numPr>
                <w:ilvl w:val="0"/>
                <w:numId w:val="13"/>
              </w:numPr>
              <w:spacing w:line="360" w:lineRule="auto"/>
              <w:jc w:val="both"/>
              <w:rPr>
                <w:rFonts w:ascii="Arial" w:hAnsi="Arial" w:cs="Arial"/>
                <w:sz w:val="24"/>
                <w:szCs w:val="24"/>
                <w:lang w:val="en-ZA"/>
              </w:rPr>
            </w:pPr>
            <w:r w:rsidRPr="00D63DD5">
              <w:rPr>
                <w:rFonts w:ascii="Arial" w:hAnsi="Arial" w:cs="Arial"/>
                <w:sz w:val="24"/>
                <w:szCs w:val="24"/>
                <w:lang w:val="en-ZA"/>
              </w:rPr>
              <w:t>There is no order as to costs</w:t>
            </w:r>
            <w:r w:rsidR="00D63DD5">
              <w:rPr>
                <w:rFonts w:ascii="Arial" w:hAnsi="Arial" w:cs="Arial"/>
                <w:sz w:val="24"/>
                <w:szCs w:val="24"/>
                <w:lang w:val="en-ZA"/>
              </w:rPr>
              <w:t>.</w:t>
            </w:r>
          </w:p>
          <w:p w:rsidR="00C34AE0" w:rsidRPr="00D63DD5" w:rsidRDefault="00C34AE0" w:rsidP="00EC4F5E">
            <w:pPr>
              <w:pStyle w:val="ListParagraph"/>
              <w:numPr>
                <w:ilvl w:val="0"/>
                <w:numId w:val="13"/>
              </w:numPr>
              <w:spacing w:line="360" w:lineRule="auto"/>
              <w:jc w:val="both"/>
              <w:rPr>
                <w:rFonts w:ascii="Arial" w:hAnsi="Arial" w:cs="Arial"/>
                <w:sz w:val="24"/>
                <w:szCs w:val="24"/>
                <w:lang w:val="en-ZA"/>
              </w:rPr>
            </w:pPr>
            <w:r w:rsidRPr="00D63DD5">
              <w:rPr>
                <w:rFonts w:ascii="Arial" w:hAnsi="Arial" w:cs="Arial"/>
                <w:sz w:val="24"/>
                <w:szCs w:val="24"/>
                <w:lang w:val="en-ZA"/>
              </w:rPr>
              <w:t>The matter is finalized and removed from the roll.</w:t>
            </w:r>
          </w:p>
          <w:p w:rsidR="0076555A" w:rsidRPr="00EF442A" w:rsidRDefault="0076555A" w:rsidP="0076555A">
            <w:pPr>
              <w:tabs>
                <w:tab w:val="left" w:pos="927"/>
              </w:tabs>
              <w:spacing w:line="360" w:lineRule="auto"/>
              <w:jc w:val="both"/>
              <w:rPr>
                <w:rFonts w:ascii="Arial" w:hAnsi="Arial" w:cs="Arial"/>
                <w:sz w:val="24"/>
                <w:szCs w:val="24"/>
                <w:lang w:val="en-US"/>
              </w:rPr>
            </w:pPr>
          </w:p>
        </w:tc>
      </w:tr>
      <w:tr w:rsidR="00622DF4" w:rsidRPr="00EF442A" w:rsidTr="00B446CF">
        <w:tc>
          <w:tcPr>
            <w:tcW w:w="5515" w:type="dxa"/>
          </w:tcPr>
          <w:p w:rsidR="00622DF4" w:rsidRPr="00EF442A" w:rsidRDefault="00622DF4" w:rsidP="00D14C6F">
            <w:pPr>
              <w:rPr>
                <w:rFonts w:ascii="Arial" w:hAnsi="Arial" w:cs="Arial"/>
                <w:b/>
                <w:sz w:val="24"/>
                <w:szCs w:val="24"/>
                <w:lang w:val="en-US"/>
              </w:rPr>
            </w:pPr>
            <w:r w:rsidRPr="00EF442A">
              <w:rPr>
                <w:rFonts w:ascii="Arial" w:hAnsi="Arial" w:cs="Arial"/>
                <w:b/>
                <w:sz w:val="24"/>
                <w:szCs w:val="24"/>
                <w:lang w:val="en-US"/>
              </w:rPr>
              <w:lastRenderedPageBreak/>
              <w:tab/>
              <w:t>Judge’s signature</w:t>
            </w:r>
          </w:p>
          <w:p w:rsidR="00622DF4" w:rsidRPr="00EF442A" w:rsidRDefault="00622DF4" w:rsidP="00D14C6F">
            <w:pPr>
              <w:rPr>
                <w:rFonts w:ascii="Arial" w:hAnsi="Arial" w:cs="Arial"/>
                <w:b/>
                <w:sz w:val="24"/>
                <w:szCs w:val="24"/>
                <w:lang w:val="en-US"/>
              </w:rPr>
            </w:pPr>
          </w:p>
        </w:tc>
        <w:tc>
          <w:tcPr>
            <w:tcW w:w="4565" w:type="dxa"/>
          </w:tcPr>
          <w:p w:rsidR="00622DF4" w:rsidRPr="00EF442A" w:rsidRDefault="00622DF4" w:rsidP="00D14C6F">
            <w:pPr>
              <w:rPr>
                <w:rFonts w:ascii="Arial" w:hAnsi="Arial" w:cs="Arial"/>
                <w:b/>
                <w:sz w:val="24"/>
                <w:szCs w:val="24"/>
                <w:lang w:val="en-US"/>
              </w:rPr>
            </w:pPr>
            <w:r w:rsidRPr="00EF442A">
              <w:rPr>
                <w:rFonts w:ascii="Arial" w:hAnsi="Arial" w:cs="Arial"/>
                <w:b/>
                <w:sz w:val="24"/>
                <w:szCs w:val="24"/>
                <w:lang w:val="en-US"/>
              </w:rPr>
              <w:t>Note to the parties:</w:t>
            </w:r>
          </w:p>
        </w:tc>
      </w:tr>
      <w:tr w:rsidR="00622DF4" w:rsidRPr="00EF442A" w:rsidTr="00B446CF">
        <w:tc>
          <w:tcPr>
            <w:tcW w:w="5515" w:type="dxa"/>
          </w:tcPr>
          <w:p w:rsidR="00622DF4" w:rsidRPr="00EF442A" w:rsidRDefault="00622DF4" w:rsidP="00D14C6F">
            <w:pPr>
              <w:rPr>
                <w:rFonts w:ascii="Arial" w:hAnsi="Arial" w:cs="Arial"/>
                <w:sz w:val="24"/>
                <w:szCs w:val="24"/>
                <w:lang w:val="en-US"/>
              </w:rPr>
            </w:pPr>
          </w:p>
          <w:p w:rsidR="00622DF4" w:rsidRPr="00EF442A" w:rsidRDefault="00622DF4" w:rsidP="00D14C6F">
            <w:pPr>
              <w:rPr>
                <w:rFonts w:ascii="Arial" w:hAnsi="Arial" w:cs="Arial"/>
                <w:sz w:val="24"/>
                <w:szCs w:val="24"/>
                <w:lang w:val="en-US"/>
              </w:rPr>
            </w:pPr>
          </w:p>
          <w:p w:rsidR="00622DF4" w:rsidRPr="00EF442A" w:rsidRDefault="00622DF4" w:rsidP="00D14C6F">
            <w:pPr>
              <w:rPr>
                <w:rFonts w:ascii="Arial" w:hAnsi="Arial" w:cs="Arial"/>
                <w:sz w:val="24"/>
                <w:szCs w:val="24"/>
                <w:lang w:val="en-US"/>
              </w:rPr>
            </w:pPr>
          </w:p>
          <w:p w:rsidR="00622DF4" w:rsidRPr="00EF442A" w:rsidRDefault="00622DF4" w:rsidP="00D14C6F">
            <w:pPr>
              <w:rPr>
                <w:rFonts w:ascii="Arial" w:hAnsi="Arial" w:cs="Arial"/>
                <w:sz w:val="24"/>
                <w:szCs w:val="24"/>
                <w:lang w:val="en-US"/>
              </w:rPr>
            </w:pPr>
          </w:p>
        </w:tc>
        <w:tc>
          <w:tcPr>
            <w:tcW w:w="4565" w:type="dxa"/>
          </w:tcPr>
          <w:p w:rsidR="00622DF4" w:rsidRPr="00EF442A" w:rsidRDefault="00622DF4" w:rsidP="00D14C6F">
            <w:pPr>
              <w:rPr>
                <w:rFonts w:ascii="Arial" w:hAnsi="Arial" w:cs="Arial"/>
                <w:sz w:val="24"/>
                <w:szCs w:val="24"/>
                <w:lang w:val="en-US"/>
              </w:rPr>
            </w:pPr>
            <w:r w:rsidRPr="00EF442A">
              <w:rPr>
                <w:rFonts w:ascii="Arial" w:hAnsi="Arial" w:cs="Arial"/>
                <w:sz w:val="24"/>
                <w:szCs w:val="24"/>
                <w:lang w:val="en-US"/>
              </w:rPr>
              <w:t xml:space="preserve">Not applicable </w:t>
            </w:r>
          </w:p>
        </w:tc>
      </w:tr>
      <w:tr w:rsidR="00622DF4" w:rsidRPr="00EF442A" w:rsidTr="00D14C6F">
        <w:tc>
          <w:tcPr>
            <w:tcW w:w="10080" w:type="dxa"/>
            <w:gridSpan w:val="2"/>
          </w:tcPr>
          <w:p w:rsidR="00622DF4" w:rsidRPr="00EF442A" w:rsidRDefault="00622DF4" w:rsidP="00D14C6F">
            <w:pPr>
              <w:jc w:val="center"/>
              <w:rPr>
                <w:rFonts w:ascii="Arial" w:hAnsi="Arial" w:cs="Arial"/>
                <w:b/>
                <w:sz w:val="24"/>
                <w:szCs w:val="24"/>
                <w:lang w:val="en-US"/>
              </w:rPr>
            </w:pPr>
            <w:r w:rsidRPr="00EF442A">
              <w:rPr>
                <w:rFonts w:ascii="Arial" w:hAnsi="Arial" w:cs="Arial"/>
                <w:b/>
                <w:sz w:val="24"/>
                <w:szCs w:val="24"/>
                <w:lang w:val="en-US"/>
              </w:rPr>
              <w:t>Counsel:</w:t>
            </w:r>
          </w:p>
        </w:tc>
      </w:tr>
      <w:tr w:rsidR="00622DF4" w:rsidRPr="00EF442A" w:rsidTr="00B446CF">
        <w:tc>
          <w:tcPr>
            <w:tcW w:w="5515" w:type="dxa"/>
          </w:tcPr>
          <w:p w:rsidR="00622DF4" w:rsidRPr="00EF442A" w:rsidRDefault="00622DF4" w:rsidP="00EC4F5E">
            <w:pPr>
              <w:jc w:val="center"/>
              <w:rPr>
                <w:rFonts w:ascii="Arial" w:hAnsi="Arial" w:cs="Arial"/>
                <w:b/>
                <w:sz w:val="24"/>
                <w:szCs w:val="24"/>
                <w:lang w:val="en-US"/>
              </w:rPr>
            </w:pPr>
            <w:r w:rsidRPr="00EF442A">
              <w:rPr>
                <w:rFonts w:ascii="Arial" w:hAnsi="Arial" w:cs="Arial"/>
                <w:b/>
                <w:sz w:val="24"/>
                <w:szCs w:val="24"/>
                <w:lang w:val="en-US"/>
              </w:rPr>
              <w:t>Applicant</w:t>
            </w:r>
          </w:p>
        </w:tc>
        <w:tc>
          <w:tcPr>
            <w:tcW w:w="4565" w:type="dxa"/>
          </w:tcPr>
          <w:p w:rsidR="00622DF4" w:rsidRPr="00EF442A" w:rsidRDefault="000144B8" w:rsidP="00EC4F5E">
            <w:pPr>
              <w:jc w:val="center"/>
              <w:rPr>
                <w:rFonts w:ascii="Arial" w:hAnsi="Arial" w:cs="Arial"/>
                <w:b/>
                <w:sz w:val="24"/>
                <w:szCs w:val="24"/>
                <w:lang w:val="en-US"/>
              </w:rPr>
            </w:pPr>
            <w:r w:rsidRPr="00EF442A">
              <w:rPr>
                <w:rFonts w:ascii="Arial" w:hAnsi="Arial" w:cs="Arial"/>
                <w:b/>
                <w:sz w:val="24"/>
                <w:szCs w:val="24"/>
                <w:lang w:val="en-US"/>
              </w:rPr>
              <w:t>Respondent</w:t>
            </w:r>
            <w:r w:rsidR="00622DF4" w:rsidRPr="00EF442A">
              <w:rPr>
                <w:rFonts w:ascii="Arial" w:hAnsi="Arial" w:cs="Arial"/>
                <w:b/>
                <w:sz w:val="24"/>
                <w:szCs w:val="24"/>
                <w:lang w:val="en-US"/>
              </w:rPr>
              <w:t>s</w:t>
            </w:r>
          </w:p>
          <w:p w:rsidR="00622DF4" w:rsidRPr="00EF442A" w:rsidRDefault="00622DF4" w:rsidP="00D14C6F">
            <w:pPr>
              <w:rPr>
                <w:rFonts w:ascii="Arial" w:hAnsi="Arial" w:cs="Arial"/>
                <w:sz w:val="24"/>
                <w:szCs w:val="24"/>
                <w:lang w:val="en-US"/>
              </w:rPr>
            </w:pPr>
          </w:p>
        </w:tc>
      </w:tr>
      <w:tr w:rsidR="00622DF4" w:rsidRPr="00EF442A" w:rsidTr="00B446CF">
        <w:tc>
          <w:tcPr>
            <w:tcW w:w="5515" w:type="dxa"/>
          </w:tcPr>
          <w:p w:rsidR="00622DF4" w:rsidRPr="00483FC4" w:rsidRDefault="00CD1053" w:rsidP="00D63DD5">
            <w:pPr>
              <w:spacing w:line="360" w:lineRule="auto"/>
              <w:jc w:val="center"/>
              <w:rPr>
                <w:rFonts w:ascii="Arial" w:hAnsi="Arial" w:cs="Arial"/>
                <w:sz w:val="24"/>
                <w:szCs w:val="24"/>
                <w:lang w:val="en-US"/>
              </w:rPr>
            </w:pPr>
            <w:r w:rsidRPr="00483FC4">
              <w:rPr>
                <w:rFonts w:ascii="Arial" w:hAnsi="Arial" w:cs="Arial"/>
                <w:sz w:val="24"/>
                <w:szCs w:val="24"/>
              </w:rPr>
              <w:t xml:space="preserve">T </w:t>
            </w:r>
            <w:proofErr w:type="spellStart"/>
            <w:r w:rsidRPr="00483FC4">
              <w:rPr>
                <w:rFonts w:ascii="Arial" w:hAnsi="Arial" w:cs="Arial"/>
                <w:sz w:val="24"/>
                <w:szCs w:val="24"/>
              </w:rPr>
              <w:t>Kasita</w:t>
            </w:r>
            <w:proofErr w:type="spellEnd"/>
          </w:p>
          <w:p w:rsidR="00464601" w:rsidRPr="00EF442A" w:rsidRDefault="009D5693" w:rsidP="00D63DD5">
            <w:pPr>
              <w:spacing w:line="360" w:lineRule="auto"/>
              <w:jc w:val="center"/>
              <w:rPr>
                <w:rFonts w:ascii="Arial" w:hAnsi="Arial" w:cs="Arial"/>
                <w:sz w:val="24"/>
                <w:szCs w:val="24"/>
                <w:lang w:val="en-US"/>
              </w:rPr>
            </w:pPr>
            <w:r>
              <w:rPr>
                <w:rFonts w:ascii="Arial" w:hAnsi="Arial" w:cs="Arial"/>
                <w:sz w:val="24"/>
                <w:szCs w:val="24"/>
                <w:lang w:val="en-US"/>
              </w:rPr>
              <w:t xml:space="preserve">Instructed by </w:t>
            </w:r>
            <w:r w:rsidR="00CD1053">
              <w:rPr>
                <w:rFonts w:ascii="Arial" w:hAnsi="Arial" w:cs="Arial"/>
                <w:sz w:val="24"/>
                <w:szCs w:val="24"/>
                <w:lang w:val="en-US"/>
              </w:rPr>
              <w:t xml:space="preserve">T </w:t>
            </w:r>
            <w:proofErr w:type="spellStart"/>
            <w:r w:rsidR="00CD1053">
              <w:rPr>
                <w:rFonts w:ascii="Arial" w:hAnsi="Arial" w:cs="Arial"/>
                <w:sz w:val="24"/>
                <w:szCs w:val="24"/>
                <w:lang w:val="en-US"/>
              </w:rPr>
              <w:t>Nanhapo</w:t>
            </w:r>
            <w:proofErr w:type="spellEnd"/>
            <w:r w:rsidR="00CD1053">
              <w:rPr>
                <w:rFonts w:ascii="Arial" w:hAnsi="Arial" w:cs="Arial"/>
                <w:sz w:val="24"/>
                <w:szCs w:val="24"/>
                <w:lang w:val="en-US"/>
              </w:rPr>
              <w:t xml:space="preserve"> Incorporated, Windhoek</w:t>
            </w:r>
          </w:p>
        </w:tc>
        <w:tc>
          <w:tcPr>
            <w:tcW w:w="4565" w:type="dxa"/>
          </w:tcPr>
          <w:p w:rsidR="00CD1053" w:rsidRPr="00EF442A" w:rsidRDefault="00CD1053" w:rsidP="00D63DD5">
            <w:pPr>
              <w:spacing w:line="360" w:lineRule="auto"/>
              <w:jc w:val="center"/>
              <w:rPr>
                <w:rFonts w:ascii="Arial" w:hAnsi="Arial" w:cs="Arial"/>
                <w:sz w:val="24"/>
                <w:szCs w:val="24"/>
                <w:lang w:val="en-US"/>
              </w:rPr>
            </w:pPr>
            <w:r>
              <w:rPr>
                <w:rFonts w:ascii="Arial" w:hAnsi="Arial" w:cs="Arial"/>
                <w:sz w:val="24"/>
                <w:szCs w:val="24"/>
                <w:lang w:val="en-US"/>
              </w:rPr>
              <w:t>N</w:t>
            </w:r>
            <w:r w:rsidRPr="00EF442A">
              <w:rPr>
                <w:rFonts w:ascii="Arial" w:hAnsi="Arial" w:cs="Arial"/>
                <w:sz w:val="24"/>
                <w:szCs w:val="24"/>
                <w:lang w:val="en-US"/>
              </w:rPr>
              <w:t xml:space="preserve"> </w:t>
            </w:r>
            <w:proofErr w:type="spellStart"/>
            <w:r w:rsidRPr="00EF442A">
              <w:rPr>
                <w:rFonts w:ascii="Arial" w:hAnsi="Arial" w:cs="Arial"/>
                <w:sz w:val="24"/>
                <w:szCs w:val="24"/>
                <w:lang w:val="en-US"/>
              </w:rPr>
              <w:t>Tjombe</w:t>
            </w:r>
            <w:proofErr w:type="spellEnd"/>
          </w:p>
          <w:p w:rsidR="00622DF4" w:rsidRDefault="009D5693" w:rsidP="00D63DD5">
            <w:pPr>
              <w:spacing w:line="360" w:lineRule="auto"/>
              <w:jc w:val="center"/>
              <w:rPr>
                <w:rFonts w:ascii="Arial" w:hAnsi="Arial" w:cs="Arial"/>
                <w:sz w:val="24"/>
                <w:szCs w:val="24"/>
              </w:rPr>
            </w:pPr>
            <w:r>
              <w:rPr>
                <w:rFonts w:ascii="Arial" w:hAnsi="Arial" w:cs="Arial"/>
                <w:sz w:val="24"/>
                <w:szCs w:val="24"/>
              </w:rPr>
              <w:t xml:space="preserve">Of </w:t>
            </w:r>
            <w:proofErr w:type="spellStart"/>
            <w:r w:rsidR="00CD1053" w:rsidRPr="00464601">
              <w:rPr>
                <w:rFonts w:ascii="Arial" w:hAnsi="Arial" w:cs="Arial"/>
                <w:sz w:val="24"/>
                <w:szCs w:val="24"/>
              </w:rPr>
              <w:t>Tjombe</w:t>
            </w:r>
            <w:proofErr w:type="spellEnd"/>
            <w:r w:rsidR="00CD1053" w:rsidRPr="00464601">
              <w:rPr>
                <w:rFonts w:ascii="Arial" w:hAnsi="Arial" w:cs="Arial"/>
                <w:sz w:val="24"/>
                <w:szCs w:val="24"/>
              </w:rPr>
              <w:t>–</w:t>
            </w:r>
            <w:proofErr w:type="spellStart"/>
            <w:r w:rsidR="00CD1053" w:rsidRPr="00464601">
              <w:rPr>
                <w:rFonts w:ascii="Arial" w:hAnsi="Arial" w:cs="Arial"/>
                <w:sz w:val="24"/>
                <w:szCs w:val="24"/>
              </w:rPr>
              <w:t>Elago</w:t>
            </w:r>
            <w:proofErr w:type="spellEnd"/>
            <w:r w:rsidR="00CD1053" w:rsidRPr="00464601">
              <w:rPr>
                <w:rFonts w:ascii="Arial" w:hAnsi="Arial" w:cs="Arial"/>
                <w:sz w:val="24"/>
                <w:szCs w:val="24"/>
              </w:rPr>
              <w:t xml:space="preserve"> </w:t>
            </w:r>
            <w:proofErr w:type="spellStart"/>
            <w:r w:rsidR="00CD1053" w:rsidRPr="00464601">
              <w:rPr>
                <w:rFonts w:ascii="Arial" w:hAnsi="Arial" w:cs="Arial"/>
                <w:sz w:val="24"/>
                <w:szCs w:val="24"/>
              </w:rPr>
              <w:t>Inc</w:t>
            </w:r>
            <w:proofErr w:type="spellEnd"/>
            <w:r w:rsidR="00CD1053">
              <w:rPr>
                <w:rFonts w:ascii="Arial" w:hAnsi="Arial" w:cs="Arial"/>
                <w:sz w:val="24"/>
                <w:szCs w:val="24"/>
              </w:rPr>
              <w:t xml:space="preserve">, </w:t>
            </w:r>
            <w:r w:rsidR="00CD1053" w:rsidRPr="00464601">
              <w:rPr>
                <w:rFonts w:ascii="Arial" w:hAnsi="Arial" w:cs="Arial"/>
                <w:sz w:val="24"/>
                <w:szCs w:val="24"/>
              </w:rPr>
              <w:t>Windhoek</w:t>
            </w:r>
          </w:p>
          <w:p w:rsidR="00CD1053" w:rsidRPr="00EF442A" w:rsidRDefault="00CD1053" w:rsidP="00CD1053">
            <w:pPr>
              <w:rPr>
                <w:rFonts w:ascii="Arial" w:hAnsi="Arial" w:cs="Arial"/>
                <w:sz w:val="24"/>
                <w:szCs w:val="24"/>
                <w:lang w:val="en-US"/>
              </w:rPr>
            </w:pPr>
          </w:p>
        </w:tc>
      </w:tr>
    </w:tbl>
    <w:p w:rsidR="00856FBA" w:rsidRPr="00EF442A" w:rsidRDefault="0035763B">
      <w:pPr>
        <w:rPr>
          <w:rFonts w:ascii="Arial" w:hAnsi="Arial" w:cs="Arial"/>
        </w:rPr>
      </w:pPr>
    </w:p>
    <w:sectPr w:rsidR="00856FBA" w:rsidRPr="00EF442A" w:rsidSect="000F1496">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3B" w:rsidRDefault="0035763B" w:rsidP="00622DF4">
      <w:pPr>
        <w:spacing w:after="0" w:line="240" w:lineRule="auto"/>
      </w:pPr>
      <w:r>
        <w:separator/>
      </w:r>
    </w:p>
  </w:endnote>
  <w:endnote w:type="continuationSeparator" w:id="0">
    <w:p w:rsidR="0035763B" w:rsidRDefault="0035763B" w:rsidP="0062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3B" w:rsidRDefault="0035763B" w:rsidP="00622DF4">
      <w:pPr>
        <w:spacing w:after="0" w:line="240" w:lineRule="auto"/>
      </w:pPr>
      <w:r>
        <w:separator/>
      </w:r>
    </w:p>
  </w:footnote>
  <w:footnote w:type="continuationSeparator" w:id="0">
    <w:p w:rsidR="0035763B" w:rsidRDefault="0035763B" w:rsidP="00622DF4">
      <w:pPr>
        <w:spacing w:after="0" w:line="240" w:lineRule="auto"/>
      </w:pPr>
      <w:r>
        <w:continuationSeparator/>
      </w:r>
    </w:p>
  </w:footnote>
  <w:footnote w:id="1">
    <w:p w:rsidR="00FE0065" w:rsidRPr="00860A89" w:rsidRDefault="00FE0065" w:rsidP="00EC4F5E">
      <w:pPr>
        <w:pStyle w:val="FootnoteText"/>
        <w:jc w:val="both"/>
        <w:rPr>
          <w:rFonts w:ascii="Arial" w:hAnsi="Arial" w:cs="Arial"/>
          <w:lang w:val="en-US"/>
        </w:rPr>
      </w:pPr>
      <w:r>
        <w:rPr>
          <w:rStyle w:val="FootnoteReference"/>
        </w:rPr>
        <w:footnoteRef/>
      </w:r>
      <w:r>
        <w:t xml:space="preserve"> </w:t>
      </w:r>
      <w:r w:rsidRPr="00860A89">
        <w:rPr>
          <w:rFonts w:ascii="Arial" w:hAnsi="Arial" w:cs="Arial"/>
          <w:i/>
        </w:rPr>
        <w:t>Gibeon Village Council v Development Bank of Namibia &amp; 3 Others</w:t>
      </w:r>
      <w:r w:rsidRPr="00860A89">
        <w:rPr>
          <w:rFonts w:ascii="Arial" w:hAnsi="Arial" w:cs="Arial"/>
        </w:rPr>
        <w:t xml:space="preserve"> (HC-MD-CIV-MOT-GEN-2019/00329) NAHCMD 189 </w:t>
      </w:r>
      <w:r w:rsidR="00860A89">
        <w:rPr>
          <w:rFonts w:ascii="Arial" w:hAnsi="Arial" w:cs="Arial"/>
        </w:rPr>
        <w:t>(27 October 2020).</w:t>
      </w:r>
    </w:p>
  </w:footnote>
  <w:footnote w:id="2">
    <w:p w:rsidR="003B4B67" w:rsidRPr="00860A89" w:rsidRDefault="003B4B67" w:rsidP="00EC4F5E">
      <w:pPr>
        <w:pStyle w:val="FootnoteText"/>
        <w:jc w:val="both"/>
        <w:rPr>
          <w:rFonts w:ascii="Arial" w:hAnsi="Arial" w:cs="Arial"/>
        </w:rPr>
      </w:pPr>
      <w:r w:rsidRPr="00860A89">
        <w:rPr>
          <w:rStyle w:val="FootnoteReference"/>
          <w:rFonts w:ascii="Arial" w:hAnsi="Arial" w:cs="Arial"/>
        </w:rPr>
        <w:footnoteRef/>
      </w:r>
      <w:r w:rsidRPr="00860A89">
        <w:rPr>
          <w:rFonts w:ascii="Arial" w:hAnsi="Arial" w:cs="Arial"/>
        </w:rPr>
        <w:t xml:space="preserve"> </w:t>
      </w:r>
      <w:proofErr w:type="spellStart"/>
      <w:r w:rsidRPr="00860A89">
        <w:rPr>
          <w:rFonts w:ascii="Arial" w:hAnsi="Arial" w:cs="Arial"/>
          <w:i/>
        </w:rPr>
        <w:t>Ledwaba</w:t>
      </w:r>
      <w:proofErr w:type="spellEnd"/>
      <w:r w:rsidRPr="00860A89">
        <w:rPr>
          <w:rFonts w:ascii="Arial" w:hAnsi="Arial" w:cs="Arial"/>
          <w:i/>
        </w:rPr>
        <w:t xml:space="preserve"> </w:t>
      </w:r>
      <w:proofErr w:type="spellStart"/>
      <w:r w:rsidRPr="00860A89">
        <w:rPr>
          <w:rFonts w:ascii="Arial" w:hAnsi="Arial" w:cs="Arial"/>
          <w:i/>
        </w:rPr>
        <w:t>n.o</w:t>
      </w:r>
      <w:proofErr w:type="spellEnd"/>
      <w:r w:rsidRPr="00860A89">
        <w:rPr>
          <w:rFonts w:ascii="Arial" w:hAnsi="Arial" w:cs="Arial"/>
          <w:i/>
        </w:rPr>
        <w:t xml:space="preserve">. v </w:t>
      </w:r>
      <w:proofErr w:type="spellStart"/>
      <w:r w:rsidRPr="00860A89">
        <w:rPr>
          <w:rFonts w:ascii="Arial" w:hAnsi="Arial" w:cs="Arial"/>
          <w:i/>
        </w:rPr>
        <w:t>Mthembu</w:t>
      </w:r>
      <w:proofErr w:type="spellEnd"/>
      <w:r w:rsidRPr="00860A89">
        <w:rPr>
          <w:rFonts w:ascii="Arial" w:hAnsi="Arial" w:cs="Arial"/>
          <w:i/>
        </w:rPr>
        <w:t xml:space="preserve"> and 5 Others: in re </w:t>
      </w:r>
      <w:proofErr w:type="spellStart"/>
      <w:r w:rsidRPr="00860A89">
        <w:rPr>
          <w:rFonts w:ascii="Arial" w:hAnsi="Arial" w:cs="Arial"/>
          <w:i/>
        </w:rPr>
        <w:t>Mthembu</w:t>
      </w:r>
      <w:proofErr w:type="spellEnd"/>
      <w:r w:rsidRPr="00860A89">
        <w:rPr>
          <w:rFonts w:ascii="Arial" w:hAnsi="Arial" w:cs="Arial"/>
          <w:i/>
        </w:rPr>
        <w:t xml:space="preserve"> v </w:t>
      </w:r>
      <w:proofErr w:type="spellStart"/>
      <w:proofErr w:type="gramStart"/>
      <w:r w:rsidRPr="00860A89">
        <w:rPr>
          <w:rFonts w:ascii="Arial" w:hAnsi="Arial" w:cs="Arial"/>
          <w:i/>
        </w:rPr>
        <w:t>Makume</w:t>
      </w:r>
      <w:proofErr w:type="spellEnd"/>
      <w:r w:rsidRPr="00860A89">
        <w:rPr>
          <w:rFonts w:ascii="Arial" w:hAnsi="Arial" w:cs="Arial"/>
          <w:i/>
        </w:rPr>
        <w:t xml:space="preserve">  </w:t>
      </w:r>
      <w:r w:rsidRPr="00860A89">
        <w:rPr>
          <w:rFonts w:ascii="Arial" w:hAnsi="Arial" w:cs="Arial"/>
        </w:rPr>
        <w:t>Unreported</w:t>
      </w:r>
      <w:proofErr w:type="gramEnd"/>
      <w:r w:rsidRPr="00860A89">
        <w:rPr>
          <w:rFonts w:ascii="Arial" w:hAnsi="Arial" w:cs="Arial"/>
        </w:rPr>
        <w:t xml:space="preserve"> case in the High Court of South Africa Gauteng Local Division, Johannesburg Case no: 25312/2016 Handed down</w:t>
      </w:r>
      <w:r w:rsidRPr="00860A89">
        <w:rPr>
          <w:rFonts w:ascii="Arial" w:hAnsi="Arial" w:cs="Arial"/>
          <w:sz w:val="22"/>
          <w:szCs w:val="22"/>
        </w:rPr>
        <w:t xml:space="preserve"> </w:t>
      </w:r>
      <w:r w:rsidRPr="00860A89">
        <w:rPr>
          <w:rFonts w:ascii="Arial" w:hAnsi="Arial" w:cs="Arial"/>
        </w:rPr>
        <w:t>4 November 2021</w:t>
      </w:r>
      <w:r w:rsidR="00EC4F5E">
        <w:rPr>
          <w:rFonts w:ascii="Arial" w:hAnsi="Arial" w:cs="Arial"/>
        </w:rPr>
        <w:t>.</w:t>
      </w:r>
    </w:p>
    <w:p w:rsidR="003B4B67" w:rsidRPr="00860A89" w:rsidRDefault="003B4B67">
      <w:pPr>
        <w:pStyle w:val="FootnoteText"/>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073433"/>
      <w:docPartObj>
        <w:docPartGallery w:val="Page Numbers (Top of Page)"/>
        <w:docPartUnique/>
      </w:docPartObj>
    </w:sdtPr>
    <w:sdtEndPr>
      <w:rPr>
        <w:noProof/>
      </w:rPr>
    </w:sdtEndPr>
    <w:sdtContent>
      <w:p w:rsidR="00606C9B" w:rsidRDefault="00606C9B">
        <w:pPr>
          <w:pStyle w:val="Header"/>
          <w:jc w:val="right"/>
        </w:pPr>
        <w:r>
          <w:fldChar w:fldCharType="begin"/>
        </w:r>
        <w:r>
          <w:instrText xml:space="preserve"> PAGE   \* MERGEFORMAT </w:instrText>
        </w:r>
        <w:r>
          <w:fldChar w:fldCharType="separate"/>
        </w:r>
        <w:r w:rsidR="00C26D35">
          <w:rPr>
            <w:noProof/>
          </w:rPr>
          <w:t>2</w:t>
        </w:r>
        <w:r>
          <w:rPr>
            <w:noProof/>
          </w:rPr>
          <w:fldChar w:fldCharType="end"/>
        </w:r>
      </w:p>
    </w:sdtContent>
  </w:sdt>
  <w:p w:rsidR="005D23B0" w:rsidRDefault="0035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A0C"/>
    <w:multiLevelType w:val="hybridMultilevel"/>
    <w:tmpl w:val="D12AC4C2"/>
    <w:lvl w:ilvl="0" w:tplc="33F21F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3526A"/>
    <w:multiLevelType w:val="hybridMultilevel"/>
    <w:tmpl w:val="0EE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21E6E"/>
    <w:multiLevelType w:val="hybridMultilevel"/>
    <w:tmpl w:val="08E47014"/>
    <w:lvl w:ilvl="0" w:tplc="33F21F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F0400"/>
    <w:multiLevelType w:val="hybridMultilevel"/>
    <w:tmpl w:val="08E47014"/>
    <w:lvl w:ilvl="0" w:tplc="33F21F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462C"/>
    <w:multiLevelType w:val="hybridMultilevel"/>
    <w:tmpl w:val="B3FECA9C"/>
    <w:lvl w:ilvl="0" w:tplc="3D183F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38BB"/>
    <w:multiLevelType w:val="hybridMultilevel"/>
    <w:tmpl w:val="FAB490EA"/>
    <w:lvl w:ilvl="0" w:tplc="6288735C">
      <w:start w:val="1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3773A"/>
    <w:multiLevelType w:val="hybridMultilevel"/>
    <w:tmpl w:val="0506F680"/>
    <w:lvl w:ilvl="0" w:tplc="553EB90C">
      <w:start w:val="1"/>
      <w:numFmt w:val="decimal"/>
      <w:lvlText w:val="%1"/>
      <w:lvlJc w:val="left"/>
      <w:pPr>
        <w:ind w:left="720" w:hanging="360"/>
      </w:pPr>
      <w:rPr>
        <w:rFonts w:ascii="Arial" w:eastAsiaTheme="minorEastAsia"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94C55"/>
    <w:multiLevelType w:val="hybridMultilevel"/>
    <w:tmpl w:val="08E47014"/>
    <w:lvl w:ilvl="0" w:tplc="33F21F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26E2F"/>
    <w:multiLevelType w:val="hybridMultilevel"/>
    <w:tmpl w:val="80D2634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24BCB"/>
    <w:multiLevelType w:val="hybridMultilevel"/>
    <w:tmpl w:val="79DA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A1A50"/>
    <w:multiLevelType w:val="hybridMultilevel"/>
    <w:tmpl w:val="649A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35480"/>
    <w:multiLevelType w:val="hybridMultilevel"/>
    <w:tmpl w:val="0B3C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31904"/>
    <w:multiLevelType w:val="hybridMultilevel"/>
    <w:tmpl w:val="D31E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E1F63"/>
    <w:multiLevelType w:val="hybridMultilevel"/>
    <w:tmpl w:val="AA38D664"/>
    <w:lvl w:ilvl="0" w:tplc="33F21F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B7D3E"/>
    <w:multiLevelType w:val="hybridMultilevel"/>
    <w:tmpl w:val="1E10984C"/>
    <w:lvl w:ilvl="0" w:tplc="D168F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D1B32"/>
    <w:multiLevelType w:val="hybridMultilevel"/>
    <w:tmpl w:val="0EE0F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6"/>
  </w:num>
  <w:num w:numId="4">
    <w:abstractNumId w:val="3"/>
  </w:num>
  <w:num w:numId="5">
    <w:abstractNumId w:val="7"/>
  </w:num>
  <w:num w:numId="6">
    <w:abstractNumId w:val="2"/>
  </w:num>
  <w:num w:numId="7">
    <w:abstractNumId w:val="0"/>
  </w:num>
  <w:num w:numId="8">
    <w:abstractNumId w:val="13"/>
  </w:num>
  <w:num w:numId="9">
    <w:abstractNumId w:val="14"/>
  </w:num>
  <w:num w:numId="10">
    <w:abstractNumId w:val="12"/>
  </w:num>
  <w:num w:numId="11">
    <w:abstractNumId w:val="15"/>
  </w:num>
  <w:num w:numId="12">
    <w:abstractNumId w:val="4"/>
  </w:num>
  <w:num w:numId="13">
    <w:abstractNumId w:val="1"/>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F4"/>
    <w:rsid w:val="000117D2"/>
    <w:rsid w:val="000144B8"/>
    <w:rsid w:val="00032323"/>
    <w:rsid w:val="000374DF"/>
    <w:rsid w:val="00042D4E"/>
    <w:rsid w:val="00045318"/>
    <w:rsid w:val="000511FE"/>
    <w:rsid w:val="000535A6"/>
    <w:rsid w:val="00061370"/>
    <w:rsid w:val="00071DF0"/>
    <w:rsid w:val="00081FF0"/>
    <w:rsid w:val="00097D9E"/>
    <w:rsid w:val="000B0231"/>
    <w:rsid w:val="000C2F28"/>
    <w:rsid w:val="000E23D7"/>
    <w:rsid w:val="00164BBF"/>
    <w:rsid w:val="001A42D5"/>
    <w:rsid w:val="001A4318"/>
    <w:rsid w:val="001C6B82"/>
    <w:rsid w:val="001E661F"/>
    <w:rsid w:val="00265869"/>
    <w:rsid w:val="00281560"/>
    <w:rsid w:val="002A3DBD"/>
    <w:rsid w:val="002A73EE"/>
    <w:rsid w:val="002C0BA1"/>
    <w:rsid w:val="002E6B0C"/>
    <w:rsid w:val="002F5B62"/>
    <w:rsid w:val="00302C4A"/>
    <w:rsid w:val="0035763B"/>
    <w:rsid w:val="003A2F85"/>
    <w:rsid w:val="003B4B67"/>
    <w:rsid w:val="00422AB4"/>
    <w:rsid w:val="00464601"/>
    <w:rsid w:val="00483FC4"/>
    <w:rsid w:val="0048561F"/>
    <w:rsid w:val="00487404"/>
    <w:rsid w:val="00496B06"/>
    <w:rsid w:val="004B35E3"/>
    <w:rsid w:val="004B79EB"/>
    <w:rsid w:val="004F5D51"/>
    <w:rsid w:val="00510AD4"/>
    <w:rsid w:val="005261B8"/>
    <w:rsid w:val="005434C9"/>
    <w:rsid w:val="00551883"/>
    <w:rsid w:val="00560FDF"/>
    <w:rsid w:val="005907C1"/>
    <w:rsid w:val="005A5F6A"/>
    <w:rsid w:val="005F6117"/>
    <w:rsid w:val="00600269"/>
    <w:rsid w:val="00603E69"/>
    <w:rsid w:val="006056FC"/>
    <w:rsid w:val="00606C9B"/>
    <w:rsid w:val="00614F86"/>
    <w:rsid w:val="00622DF4"/>
    <w:rsid w:val="00635E86"/>
    <w:rsid w:val="006514EB"/>
    <w:rsid w:val="006B639A"/>
    <w:rsid w:val="006D04F4"/>
    <w:rsid w:val="006D28C8"/>
    <w:rsid w:val="00725E84"/>
    <w:rsid w:val="0074577D"/>
    <w:rsid w:val="0074667E"/>
    <w:rsid w:val="00747E56"/>
    <w:rsid w:val="007647F1"/>
    <w:rsid w:val="0076555A"/>
    <w:rsid w:val="007656AA"/>
    <w:rsid w:val="00780357"/>
    <w:rsid w:val="00794ED8"/>
    <w:rsid w:val="00796748"/>
    <w:rsid w:val="007C6D6C"/>
    <w:rsid w:val="007D3CAB"/>
    <w:rsid w:val="007E1831"/>
    <w:rsid w:val="007F2174"/>
    <w:rsid w:val="008079EF"/>
    <w:rsid w:val="00835D34"/>
    <w:rsid w:val="0085156F"/>
    <w:rsid w:val="00860A89"/>
    <w:rsid w:val="00870A2F"/>
    <w:rsid w:val="008A0792"/>
    <w:rsid w:val="008F454A"/>
    <w:rsid w:val="00905177"/>
    <w:rsid w:val="0092597D"/>
    <w:rsid w:val="00963403"/>
    <w:rsid w:val="00967F78"/>
    <w:rsid w:val="00973A7E"/>
    <w:rsid w:val="00984F90"/>
    <w:rsid w:val="00993C78"/>
    <w:rsid w:val="009B191D"/>
    <w:rsid w:val="009D5693"/>
    <w:rsid w:val="009D790C"/>
    <w:rsid w:val="00A005BC"/>
    <w:rsid w:val="00A34623"/>
    <w:rsid w:val="00A37E87"/>
    <w:rsid w:val="00A46667"/>
    <w:rsid w:val="00A64434"/>
    <w:rsid w:val="00AB07C9"/>
    <w:rsid w:val="00AB0A24"/>
    <w:rsid w:val="00AB2EE6"/>
    <w:rsid w:val="00AD1318"/>
    <w:rsid w:val="00AD5054"/>
    <w:rsid w:val="00AF48A5"/>
    <w:rsid w:val="00B446CF"/>
    <w:rsid w:val="00B63705"/>
    <w:rsid w:val="00B649E1"/>
    <w:rsid w:val="00BA74CC"/>
    <w:rsid w:val="00BB3137"/>
    <w:rsid w:val="00BC4F6B"/>
    <w:rsid w:val="00BF2ED3"/>
    <w:rsid w:val="00BF45CA"/>
    <w:rsid w:val="00BF552B"/>
    <w:rsid w:val="00C0555E"/>
    <w:rsid w:val="00C26D35"/>
    <w:rsid w:val="00C34AE0"/>
    <w:rsid w:val="00C95337"/>
    <w:rsid w:val="00CC2A9A"/>
    <w:rsid w:val="00CC7C31"/>
    <w:rsid w:val="00CD1053"/>
    <w:rsid w:val="00CD65EC"/>
    <w:rsid w:val="00CE4EEC"/>
    <w:rsid w:val="00CF7970"/>
    <w:rsid w:val="00D145BF"/>
    <w:rsid w:val="00D146CC"/>
    <w:rsid w:val="00D34B07"/>
    <w:rsid w:val="00D34B82"/>
    <w:rsid w:val="00D50693"/>
    <w:rsid w:val="00D63DD5"/>
    <w:rsid w:val="00D74AB2"/>
    <w:rsid w:val="00D914AE"/>
    <w:rsid w:val="00E04FF7"/>
    <w:rsid w:val="00E07796"/>
    <w:rsid w:val="00E1260F"/>
    <w:rsid w:val="00E20875"/>
    <w:rsid w:val="00E235B2"/>
    <w:rsid w:val="00E268ED"/>
    <w:rsid w:val="00E42718"/>
    <w:rsid w:val="00E66ADB"/>
    <w:rsid w:val="00EC4F5E"/>
    <w:rsid w:val="00ED55B1"/>
    <w:rsid w:val="00EF442A"/>
    <w:rsid w:val="00EF57D0"/>
    <w:rsid w:val="00F2430B"/>
    <w:rsid w:val="00F35BDA"/>
    <w:rsid w:val="00F5583D"/>
    <w:rsid w:val="00F67B19"/>
    <w:rsid w:val="00F74CB5"/>
    <w:rsid w:val="00F805C3"/>
    <w:rsid w:val="00F85889"/>
    <w:rsid w:val="00F94DEF"/>
    <w:rsid w:val="00FB1A97"/>
    <w:rsid w:val="00FD322E"/>
    <w:rsid w:val="00FE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EB608-A9FF-456D-AA27-4996011A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F4"/>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DF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22DF4"/>
  </w:style>
  <w:style w:type="paragraph" w:styleId="FootnoteText">
    <w:name w:val="footnote text"/>
    <w:basedOn w:val="Normal"/>
    <w:link w:val="FootnoteTextChar"/>
    <w:uiPriority w:val="99"/>
    <w:semiHidden/>
    <w:unhideWhenUsed/>
    <w:rsid w:val="00622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DF4"/>
    <w:rPr>
      <w:sz w:val="20"/>
      <w:szCs w:val="20"/>
      <w:lang w:val="en-GB"/>
    </w:rPr>
  </w:style>
  <w:style w:type="character" w:styleId="FootnoteReference">
    <w:name w:val="footnote reference"/>
    <w:basedOn w:val="DefaultParagraphFont"/>
    <w:uiPriority w:val="99"/>
    <w:unhideWhenUsed/>
    <w:rsid w:val="00622DF4"/>
    <w:rPr>
      <w:vertAlign w:val="superscript"/>
    </w:rPr>
  </w:style>
  <w:style w:type="paragraph" w:styleId="ListParagraph">
    <w:name w:val="List Paragraph"/>
    <w:basedOn w:val="Normal"/>
    <w:uiPriority w:val="34"/>
    <w:qFormat/>
    <w:rsid w:val="00622DF4"/>
    <w:pPr>
      <w:ind w:left="720"/>
      <w:contextualSpacing/>
    </w:pPr>
  </w:style>
  <w:style w:type="paragraph" w:styleId="NoSpacing">
    <w:name w:val="No Spacing"/>
    <w:uiPriority w:val="1"/>
    <w:qFormat/>
    <w:rsid w:val="00560FDF"/>
    <w:pPr>
      <w:spacing w:after="0" w:line="240" w:lineRule="auto"/>
    </w:pPr>
    <w:rPr>
      <w:lang w:val="en-GB"/>
    </w:rPr>
  </w:style>
  <w:style w:type="paragraph" w:styleId="Footer">
    <w:name w:val="footer"/>
    <w:basedOn w:val="Normal"/>
    <w:link w:val="FooterChar"/>
    <w:uiPriority w:val="99"/>
    <w:unhideWhenUsed/>
    <w:rsid w:val="00606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9B"/>
    <w:rPr>
      <w:lang w:val="en-GB"/>
    </w:rPr>
  </w:style>
  <w:style w:type="paragraph" w:styleId="BalloonText">
    <w:name w:val="Balloon Text"/>
    <w:basedOn w:val="Normal"/>
    <w:link w:val="BalloonTextChar"/>
    <w:uiPriority w:val="99"/>
    <w:semiHidden/>
    <w:unhideWhenUsed/>
    <w:rsid w:val="0052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2023-11-23T18:30:00+00:00</Judgment_x0020_Date>
    <Year xmlns="aec0a7e9-5f5c-4ba9-87b2-85cfc8a38b86">2023</Year>
  </documentManagement>
</p:properties>
</file>

<file path=customXml/itemProps1.xml><?xml version="1.0" encoding="utf-8"?>
<ds:datastoreItem xmlns:ds="http://schemas.openxmlformats.org/officeDocument/2006/customXml" ds:itemID="{439D08BD-3D4B-40DD-8C0B-0695D90B8946}"/>
</file>

<file path=customXml/itemProps2.xml><?xml version="1.0" encoding="utf-8"?>
<ds:datastoreItem xmlns:ds="http://schemas.openxmlformats.org/officeDocument/2006/customXml" ds:itemID="{DF2A42DD-46D0-43B0-9672-68BB803BAF6B}"/>
</file>

<file path=customXml/itemProps3.xml><?xml version="1.0" encoding="utf-8"?>
<ds:datastoreItem xmlns:ds="http://schemas.openxmlformats.org/officeDocument/2006/customXml" ds:itemID="{D5C6CAFA-F805-4289-98BD-8D6C85CDEEA7}"/>
</file>

<file path=customXml/itemProps4.xml><?xml version="1.0" encoding="utf-8"?>
<ds:datastoreItem xmlns:ds="http://schemas.openxmlformats.org/officeDocument/2006/customXml" ds:itemID="{604326A9-BC6B-4AD3-8C6D-B61B29A1886C}"/>
</file>

<file path=docProps/app.xml><?xml version="1.0" encoding="utf-8"?>
<Properties xmlns="http://schemas.openxmlformats.org/officeDocument/2006/extended-properties" xmlns:vt="http://schemas.openxmlformats.org/officeDocument/2006/docPropsVTypes">
  <Template>Normal</Template>
  <TotalTime>4</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Elias v Bank of Namibia (HC-MD-LAB-APP-AAA-2020-00043) [2023] NALCMD 56 (24 November 2023)</dc:title>
  <dc:creator>Mbeurora Karamata</dc:creator>
  <cp:lastModifiedBy>Hazel Davids</cp:lastModifiedBy>
  <cp:revision>3</cp:revision>
  <cp:lastPrinted>2023-11-24T06:45:00Z</cp:lastPrinted>
  <dcterms:created xsi:type="dcterms:W3CDTF">2024-01-16T06:29:00Z</dcterms:created>
  <dcterms:modified xsi:type="dcterms:W3CDTF">2024-01-16T06:33:00Z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