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07F0C02" w:rsidR="00DC489D" w:rsidRPr="001D6B3F" w:rsidRDefault="00155CE9" w:rsidP="007A6C9F">
      <w:pPr>
        <w:spacing w:after="0" w:line="360" w:lineRule="auto"/>
        <w:jc w:val="center"/>
        <w:rPr>
          <w:b/>
          <w:bCs/>
          <w:lang w:val="en-ZA"/>
        </w:rPr>
      </w:pPr>
      <w:r>
        <w:rPr>
          <w:b/>
          <w:bCs/>
        </w:rPr>
        <w:t>0</w:t>
      </w:r>
      <w:r w:rsidR="00DC489D"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458E6C2E" w14:textId="655E9CF3" w:rsidR="00DC489D" w:rsidRPr="00931E2D" w:rsidRDefault="00AD53BA" w:rsidP="00931E2D">
      <w:pPr>
        <w:spacing w:after="0" w:line="360" w:lineRule="auto"/>
        <w:jc w:val="center"/>
        <w:rPr>
          <w:lang w:val="en-ZA"/>
        </w:rPr>
      </w:pPr>
      <w:r>
        <w:rPr>
          <w:b/>
          <w:bCs/>
        </w:rPr>
        <w:t>LABOUR COURT</w:t>
      </w:r>
      <w:r w:rsidR="00DC489D" w:rsidRPr="001D6B3F">
        <w:rPr>
          <w:b/>
          <w:bCs/>
        </w:rPr>
        <w:t xml:space="preserve"> OF NAMIBIA MAIN DIVISION, WINDHOEK</w:t>
      </w:r>
    </w:p>
    <w:p w14:paraId="34B7D46A" w14:textId="77777777" w:rsidR="000519A2" w:rsidRPr="001D6B3F" w:rsidRDefault="000519A2" w:rsidP="007A6C9F">
      <w:pPr>
        <w:spacing w:after="0" w:line="360" w:lineRule="auto"/>
        <w:jc w:val="center"/>
      </w:pPr>
    </w:p>
    <w:p w14:paraId="7F99B005" w14:textId="7FEE09E5" w:rsidR="00DC489D" w:rsidRPr="00AD53BA" w:rsidRDefault="00AD53BA" w:rsidP="007A6C9F">
      <w:pPr>
        <w:spacing w:after="0" w:line="360" w:lineRule="auto"/>
        <w:jc w:val="center"/>
        <w:rPr>
          <w:b/>
        </w:rPr>
      </w:pPr>
      <w:r>
        <w:rPr>
          <w:b/>
          <w:i/>
        </w:rPr>
        <w:t xml:space="preserve">EX TEMPORE </w:t>
      </w:r>
      <w:r>
        <w:rPr>
          <w:b/>
        </w:rPr>
        <w:t>RULING</w:t>
      </w:r>
    </w:p>
    <w:p w14:paraId="37927C61" w14:textId="5E505633" w:rsidR="00931E2D" w:rsidRPr="001D6B3F" w:rsidRDefault="00931E2D" w:rsidP="00AD53BA">
      <w:pPr>
        <w:spacing w:after="0" w:line="360" w:lineRule="auto"/>
      </w:pP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CF08331" w14:textId="49AD0A65" w:rsidR="00931E2D" w:rsidRDefault="009C2E53" w:rsidP="00931E2D">
            <w:pPr>
              <w:spacing w:line="360" w:lineRule="auto"/>
              <w:jc w:val="both"/>
              <w:rPr>
                <w:rFonts w:ascii="Arial" w:hAnsi="Arial" w:cs="Arial"/>
                <w:b/>
                <w:sz w:val="24"/>
                <w:szCs w:val="24"/>
              </w:rPr>
            </w:pPr>
            <w:r w:rsidRPr="001D6B3F">
              <w:rPr>
                <w:rFonts w:ascii="Arial" w:hAnsi="Arial" w:cs="Arial"/>
                <w:b/>
                <w:sz w:val="24"/>
                <w:szCs w:val="24"/>
              </w:rPr>
              <w:t>Case Title:</w:t>
            </w:r>
          </w:p>
          <w:p w14:paraId="7649C982" w14:textId="77777777" w:rsidR="00B94A6E" w:rsidRDefault="00B94A6E" w:rsidP="00931E2D">
            <w:pPr>
              <w:spacing w:line="360" w:lineRule="auto"/>
              <w:jc w:val="both"/>
              <w:rPr>
                <w:rFonts w:ascii="Arial" w:hAnsi="Arial" w:cs="Arial"/>
                <w:b/>
                <w:sz w:val="24"/>
                <w:szCs w:val="24"/>
              </w:rPr>
            </w:pPr>
          </w:p>
          <w:p w14:paraId="1B7596F3" w14:textId="305F5476" w:rsidR="00B94A6E" w:rsidRDefault="00AD53BA" w:rsidP="00931E2D">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Desmond Nicodemus Basson                              Applicant</w:t>
            </w:r>
          </w:p>
          <w:p w14:paraId="107C9FFC" w14:textId="77777777" w:rsidR="00BF46CD" w:rsidRDefault="00BF46CD" w:rsidP="00931E2D">
            <w:pPr>
              <w:pStyle w:val="Body"/>
              <w:keepNext/>
              <w:tabs>
                <w:tab w:val="right" w:pos="9000"/>
              </w:tabs>
              <w:spacing w:line="360" w:lineRule="auto"/>
              <w:jc w:val="both"/>
              <w:outlineLvl w:val="3"/>
              <w:rPr>
                <w:rFonts w:ascii="Arial" w:hAnsi="Arial"/>
                <w:bCs/>
                <w:color w:val="auto"/>
                <w:sz w:val="24"/>
                <w:szCs w:val="24"/>
                <w:lang w:val="en-US"/>
              </w:rPr>
            </w:pPr>
          </w:p>
          <w:p w14:paraId="02607675" w14:textId="36B92816" w:rsidR="00BF46CD" w:rsidRDefault="00BF46CD" w:rsidP="00931E2D">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and</w:t>
            </w:r>
          </w:p>
          <w:p w14:paraId="062D23A1" w14:textId="77777777" w:rsidR="00BF46CD" w:rsidRDefault="00BF46CD" w:rsidP="00931E2D">
            <w:pPr>
              <w:pStyle w:val="Body"/>
              <w:keepNext/>
              <w:tabs>
                <w:tab w:val="right" w:pos="9000"/>
              </w:tabs>
              <w:spacing w:line="360" w:lineRule="auto"/>
              <w:jc w:val="both"/>
              <w:outlineLvl w:val="3"/>
              <w:rPr>
                <w:rFonts w:ascii="Arial" w:hAnsi="Arial"/>
                <w:bCs/>
                <w:color w:val="auto"/>
                <w:sz w:val="24"/>
                <w:szCs w:val="24"/>
                <w:lang w:val="en-US"/>
              </w:rPr>
            </w:pPr>
          </w:p>
          <w:p w14:paraId="59C53507" w14:textId="77777777" w:rsidR="00BF46CD" w:rsidRDefault="00AD53BA" w:rsidP="00931E2D">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Keetmanshoop Municipality                    First Respondent</w:t>
            </w:r>
          </w:p>
          <w:p w14:paraId="3A7B993E" w14:textId="1ECB6B7B" w:rsidR="00AD53BA" w:rsidRPr="00BF46CD" w:rsidRDefault="00AD53BA" w:rsidP="00931E2D">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Joseph Windstaand                            Second Respondent</w:t>
            </w: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0A03A0AF" w:rsidR="009C2E53" w:rsidRPr="001D6B3F" w:rsidRDefault="00AD53BA" w:rsidP="00BF46CD">
            <w:pPr>
              <w:spacing w:line="360" w:lineRule="auto"/>
              <w:jc w:val="both"/>
              <w:rPr>
                <w:rFonts w:ascii="Arial" w:hAnsi="Arial" w:cs="Arial"/>
                <w:b/>
                <w:sz w:val="24"/>
                <w:szCs w:val="24"/>
              </w:rPr>
            </w:pPr>
            <w:r>
              <w:rPr>
                <w:rFonts w:ascii="Arial" w:eastAsia="Arial" w:hAnsi="Arial" w:cs="Arial"/>
                <w:sz w:val="24"/>
                <w:szCs w:val="24"/>
                <w:lang w:val="en-US"/>
              </w:rPr>
              <w:t>HC-MD-LAB-APP-AAA-2023/00055</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C809184" w:rsidR="009C2E53" w:rsidRPr="001D6B3F" w:rsidRDefault="00AD53BA" w:rsidP="007A6C9F">
            <w:pPr>
              <w:spacing w:line="360" w:lineRule="auto"/>
              <w:jc w:val="both"/>
              <w:rPr>
                <w:rFonts w:ascii="Arial" w:hAnsi="Arial" w:cs="Arial"/>
                <w:sz w:val="24"/>
                <w:szCs w:val="24"/>
              </w:rPr>
            </w:pPr>
            <w:r>
              <w:rPr>
                <w:rFonts w:ascii="Arial" w:hAnsi="Arial" w:cs="Arial"/>
                <w:sz w:val="24"/>
                <w:szCs w:val="24"/>
              </w:rPr>
              <w:t>Labour Court</w:t>
            </w:r>
            <w:r w:rsidR="005C2B5B" w:rsidRPr="001D6B3F">
              <w:rPr>
                <w:rFonts w:ascii="Arial" w:hAnsi="Arial" w:cs="Arial"/>
                <w:sz w:val="24"/>
                <w:szCs w:val="24"/>
              </w:rPr>
              <w: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5F8D69EF" w:rsidR="009C2E53" w:rsidRPr="001D6B3F" w:rsidRDefault="00931E2D" w:rsidP="00B94A6E">
            <w:pPr>
              <w:spacing w:line="360" w:lineRule="auto"/>
              <w:jc w:val="both"/>
              <w:rPr>
                <w:rFonts w:ascii="Arial" w:hAnsi="Arial" w:cs="Arial"/>
                <w:sz w:val="24"/>
                <w:szCs w:val="24"/>
              </w:rPr>
            </w:pPr>
            <w:r>
              <w:rPr>
                <w:rFonts w:ascii="Arial" w:hAnsi="Arial" w:cs="Arial"/>
                <w:sz w:val="24"/>
                <w:szCs w:val="24"/>
                <w:lang w:val="en-US"/>
              </w:rPr>
              <w:t xml:space="preserve">Honourable Justice </w:t>
            </w:r>
            <w:r w:rsidR="00B94A6E">
              <w:rPr>
                <w:rFonts w:ascii="Arial" w:hAnsi="Arial" w:cs="Arial"/>
                <w:sz w:val="24"/>
                <w:szCs w:val="24"/>
                <w:lang w:val="en-US"/>
              </w:rPr>
              <w:t>Schimming-Chase</w:t>
            </w:r>
          </w:p>
        </w:tc>
        <w:tc>
          <w:tcPr>
            <w:tcW w:w="4110" w:type="dxa"/>
          </w:tcPr>
          <w:p w14:paraId="43F0084B" w14:textId="77777777" w:rsidR="00BF46CD" w:rsidRDefault="00827401" w:rsidP="00BF46CD">
            <w:pPr>
              <w:spacing w:line="360" w:lineRule="auto"/>
              <w:jc w:val="both"/>
              <w:rPr>
                <w:rFonts w:ascii="Arial" w:hAnsi="Arial" w:cs="Arial"/>
                <w:b/>
                <w:sz w:val="24"/>
                <w:szCs w:val="24"/>
              </w:rPr>
            </w:pPr>
            <w:r w:rsidRPr="001D6B3F">
              <w:rPr>
                <w:rFonts w:ascii="Arial" w:hAnsi="Arial" w:cs="Arial"/>
                <w:b/>
                <w:sz w:val="24"/>
                <w:szCs w:val="24"/>
              </w:rPr>
              <w:t>Heard</w:t>
            </w:r>
            <w:r w:rsidR="003D2D8A">
              <w:rPr>
                <w:rFonts w:ascii="Arial" w:hAnsi="Arial" w:cs="Arial"/>
                <w:b/>
                <w:sz w:val="24"/>
                <w:szCs w:val="24"/>
              </w:rPr>
              <w:t xml:space="preserve"> </w:t>
            </w:r>
            <w:r w:rsidR="00BF46CD">
              <w:rPr>
                <w:rFonts w:ascii="Arial" w:hAnsi="Arial" w:cs="Arial"/>
                <w:b/>
                <w:sz w:val="24"/>
                <w:szCs w:val="24"/>
              </w:rPr>
              <w:t>on:</w:t>
            </w:r>
          </w:p>
          <w:p w14:paraId="0830B477" w14:textId="497777F6" w:rsidR="009C2E53" w:rsidRPr="001D6B3F" w:rsidRDefault="00AD53BA" w:rsidP="00BF46CD">
            <w:pPr>
              <w:spacing w:line="360" w:lineRule="auto"/>
              <w:jc w:val="both"/>
              <w:rPr>
                <w:rFonts w:ascii="Arial" w:hAnsi="Arial" w:cs="Arial"/>
                <w:sz w:val="24"/>
                <w:szCs w:val="24"/>
              </w:rPr>
            </w:pPr>
            <w:r>
              <w:rPr>
                <w:rFonts w:ascii="Arial" w:hAnsi="Arial" w:cs="Arial"/>
                <w:sz w:val="24"/>
                <w:szCs w:val="24"/>
              </w:rPr>
              <w:t>12 April 2024</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0365C1C7" w:rsidR="00EF5666" w:rsidRPr="001D6B3F" w:rsidRDefault="00BF46CD" w:rsidP="007A6C9F">
            <w:pPr>
              <w:spacing w:line="360" w:lineRule="auto"/>
              <w:jc w:val="both"/>
              <w:rPr>
                <w:rFonts w:ascii="Arial" w:hAnsi="Arial" w:cs="Arial"/>
                <w:b/>
                <w:sz w:val="24"/>
                <w:szCs w:val="24"/>
              </w:rPr>
            </w:pPr>
            <w:r>
              <w:rPr>
                <w:rFonts w:ascii="Arial" w:hAnsi="Arial" w:cs="Arial"/>
                <w:b/>
                <w:sz w:val="24"/>
                <w:szCs w:val="24"/>
              </w:rPr>
              <w:t>Delivered on:</w:t>
            </w:r>
          </w:p>
          <w:p w14:paraId="0A7821C1" w14:textId="1C93EE11" w:rsidR="00CC0F00" w:rsidRPr="001D6B3F" w:rsidRDefault="00AD53BA" w:rsidP="007A6C9F">
            <w:pPr>
              <w:spacing w:line="360" w:lineRule="auto"/>
              <w:jc w:val="both"/>
              <w:rPr>
                <w:rFonts w:ascii="Arial" w:hAnsi="Arial"/>
                <w:bCs/>
                <w:sz w:val="24"/>
                <w:szCs w:val="24"/>
                <w:lang w:val="en-US"/>
              </w:rPr>
            </w:pPr>
            <w:r>
              <w:rPr>
                <w:rFonts w:ascii="Arial" w:hAnsi="Arial"/>
                <w:bCs/>
                <w:sz w:val="24"/>
                <w:szCs w:val="24"/>
                <w:lang w:val="en-US"/>
              </w:rPr>
              <w:t>12 April 2024</w:t>
            </w:r>
          </w:p>
        </w:tc>
      </w:tr>
      <w:tr w:rsidR="001D6B3F" w:rsidRPr="001D6B3F" w14:paraId="1BD5D522" w14:textId="77777777" w:rsidTr="00004108">
        <w:trPr>
          <w:trHeight w:val="710"/>
        </w:trPr>
        <w:tc>
          <w:tcPr>
            <w:tcW w:w="10476" w:type="dxa"/>
            <w:gridSpan w:val="3"/>
          </w:tcPr>
          <w:p w14:paraId="318D7BDF" w14:textId="296D83ED" w:rsidR="009C2E53" w:rsidRPr="0081422B" w:rsidRDefault="0081422B" w:rsidP="0081422B">
            <w:pPr>
              <w:spacing w:line="360" w:lineRule="auto"/>
              <w:ind w:left="2160" w:hanging="2160"/>
              <w:jc w:val="both"/>
              <w:rPr>
                <w:rFonts w:ascii="Arial" w:hAnsi="Arial" w:cs="Arial"/>
                <w:sz w:val="24"/>
                <w:lang w:val="en-US"/>
              </w:rPr>
            </w:pPr>
            <w:r>
              <w:rPr>
                <w:rFonts w:ascii="Arial" w:hAnsi="Arial" w:cs="Arial"/>
                <w:b/>
                <w:sz w:val="24"/>
                <w:lang w:val="en-US"/>
              </w:rPr>
              <w:t>Neutral citation:</w:t>
            </w:r>
            <w:r>
              <w:rPr>
                <w:rFonts w:ascii="Arial" w:hAnsi="Arial" w:cs="Arial"/>
                <w:b/>
                <w:sz w:val="24"/>
                <w:lang w:val="en-US"/>
              </w:rPr>
              <w:tab/>
            </w:r>
            <w:r>
              <w:rPr>
                <w:rFonts w:ascii="Arial" w:hAnsi="Arial" w:cs="Arial"/>
                <w:i/>
                <w:sz w:val="24"/>
                <w:lang w:val="en-US"/>
              </w:rPr>
              <w:t>Basson v Keetmanshoop Municipality</w:t>
            </w:r>
            <w:r>
              <w:rPr>
                <w:rFonts w:ascii="Arial" w:hAnsi="Arial" w:cs="Arial"/>
                <w:sz w:val="24"/>
                <w:lang w:val="en-US"/>
              </w:rPr>
              <w:t xml:space="preserve"> (HC-MD-LAB-APP-AAA-2023/00055) [2024] NALCMD </w:t>
            </w:r>
            <w:r w:rsidR="00770213" w:rsidRPr="00770213">
              <w:rPr>
                <w:rFonts w:ascii="Arial" w:hAnsi="Arial" w:cs="Arial"/>
                <w:sz w:val="24"/>
                <w:lang w:val="en-US"/>
              </w:rPr>
              <w:t>12</w:t>
            </w:r>
            <w:r>
              <w:rPr>
                <w:rFonts w:ascii="Arial" w:hAnsi="Arial" w:cs="Arial"/>
                <w:sz w:val="24"/>
                <w:lang w:val="en-US"/>
              </w:rPr>
              <w:t xml:space="preserve"> (12 April 2024)</w:t>
            </w:r>
          </w:p>
        </w:tc>
      </w:tr>
      <w:tr w:rsidR="001D6B3F" w:rsidRPr="001D6B3F" w14:paraId="542E1039" w14:textId="77777777" w:rsidTr="00B94A6E">
        <w:trPr>
          <w:trHeight w:val="432"/>
        </w:trPr>
        <w:tc>
          <w:tcPr>
            <w:tcW w:w="10476" w:type="dxa"/>
            <w:gridSpan w:val="3"/>
          </w:tcPr>
          <w:p w14:paraId="29C70C42" w14:textId="74CB9CFB" w:rsidR="002524E6" w:rsidRPr="00B94A6E" w:rsidRDefault="002150D0" w:rsidP="007A6C9F">
            <w:pPr>
              <w:tabs>
                <w:tab w:val="left" w:pos="2100"/>
              </w:tabs>
              <w:spacing w:line="360" w:lineRule="auto"/>
              <w:jc w:val="both"/>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tc>
      </w:tr>
      <w:tr w:rsidR="00B94A6E" w:rsidRPr="001D6B3F" w14:paraId="00C1BB9F" w14:textId="77777777" w:rsidTr="00004108">
        <w:trPr>
          <w:trHeight w:val="1200"/>
        </w:trPr>
        <w:tc>
          <w:tcPr>
            <w:tcW w:w="10476" w:type="dxa"/>
            <w:gridSpan w:val="3"/>
          </w:tcPr>
          <w:p w14:paraId="08D3761F" w14:textId="77777777" w:rsidR="00B94A6E" w:rsidRDefault="00B94A6E" w:rsidP="00BF46CD">
            <w:pPr>
              <w:pBdr>
                <w:top w:val="nil"/>
                <w:left w:val="nil"/>
                <w:bottom w:val="nil"/>
                <w:right w:val="nil"/>
                <w:between w:val="nil"/>
                <w:bar w:val="nil"/>
              </w:pBdr>
              <w:spacing w:line="360" w:lineRule="auto"/>
              <w:jc w:val="both"/>
              <w:rPr>
                <w:b/>
              </w:rPr>
            </w:pPr>
          </w:p>
          <w:p w14:paraId="33672CD0" w14:textId="77777777" w:rsidR="00AD53BA" w:rsidRDefault="00AD53BA" w:rsidP="00AD53BA">
            <w:pPr>
              <w:pStyle w:val="ListParagraph"/>
              <w:numPr>
                <w:ilvl w:val="0"/>
                <w:numId w:val="37"/>
              </w:numPr>
              <w:spacing w:line="360" w:lineRule="auto"/>
              <w:ind w:left="1134" w:hanging="567"/>
              <w:jc w:val="both"/>
              <w:rPr>
                <w:rFonts w:ascii="Arial" w:hAnsi="Arial" w:cs="Arial"/>
                <w:sz w:val="24"/>
              </w:rPr>
            </w:pPr>
            <w:r>
              <w:rPr>
                <w:rFonts w:ascii="Arial" w:hAnsi="Arial" w:cs="Arial"/>
                <w:sz w:val="24"/>
              </w:rPr>
              <w:t>The applicant’s late noting of the appeal against the arbitration award SRKE 106-2022 under case number HC-MD-LAB-APP-AAA-2023/00055 as provided for in section 89(2) of the Labour Act, 2007 read with rule 17(4) of the Labour Court Rules is hereby condoned.</w:t>
            </w:r>
          </w:p>
          <w:p w14:paraId="182EE378" w14:textId="77777777" w:rsidR="00AD53BA" w:rsidRDefault="00AD53BA" w:rsidP="00AD53BA">
            <w:pPr>
              <w:pStyle w:val="ListParagraph"/>
              <w:spacing w:line="360" w:lineRule="auto"/>
              <w:ind w:left="1134"/>
              <w:jc w:val="both"/>
              <w:rPr>
                <w:rFonts w:ascii="Arial" w:hAnsi="Arial" w:cs="Arial"/>
                <w:sz w:val="24"/>
              </w:rPr>
            </w:pPr>
          </w:p>
          <w:p w14:paraId="59D941C1" w14:textId="77777777" w:rsidR="00AD53BA" w:rsidRDefault="00AD53BA" w:rsidP="00AD53BA">
            <w:pPr>
              <w:pStyle w:val="ListParagraph"/>
              <w:numPr>
                <w:ilvl w:val="0"/>
                <w:numId w:val="37"/>
              </w:numPr>
              <w:spacing w:line="360" w:lineRule="auto"/>
              <w:ind w:left="1134" w:hanging="567"/>
              <w:jc w:val="both"/>
              <w:rPr>
                <w:rFonts w:ascii="Arial" w:hAnsi="Arial" w:cs="Arial"/>
                <w:sz w:val="24"/>
              </w:rPr>
            </w:pPr>
            <w:r>
              <w:rPr>
                <w:rFonts w:ascii="Arial" w:hAnsi="Arial" w:cs="Arial"/>
                <w:sz w:val="24"/>
              </w:rPr>
              <w:t>As far as it may be necessary, the appeal under case number HC-MD-LAB-APP-AAA-2023/00055 is hereby reinstated with the effect from this order.</w:t>
            </w:r>
          </w:p>
          <w:p w14:paraId="7EBC726C" w14:textId="77777777" w:rsidR="00AD53BA" w:rsidRPr="00606127" w:rsidRDefault="00AD53BA" w:rsidP="00AD53BA">
            <w:pPr>
              <w:pStyle w:val="ListParagraph"/>
              <w:rPr>
                <w:rFonts w:ascii="Arial" w:hAnsi="Arial" w:cs="Arial"/>
                <w:sz w:val="24"/>
              </w:rPr>
            </w:pPr>
          </w:p>
          <w:p w14:paraId="1E7E9192" w14:textId="77777777" w:rsidR="00AD53BA" w:rsidRDefault="00AD53BA" w:rsidP="00AD53BA">
            <w:pPr>
              <w:pStyle w:val="ListParagraph"/>
              <w:numPr>
                <w:ilvl w:val="0"/>
                <w:numId w:val="37"/>
              </w:numPr>
              <w:spacing w:line="360" w:lineRule="auto"/>
              <w:ind w:left="1134" w:hanging="567"/>
              <w:jc w:val="both"/>
              <w:rPr>
                <w:rFonts w:ascii="Arial" w:hAnsi="Arial" w:cs="Arial"/>
                <w:sz w:val="24"/>
              </w:rPr>
            </w:pPr>
            <w:r>
              <w:rPr>
                <w:rFonts w:ascii="Arial" w:hAnsi="Arial" w:cs="Arial"/>
                <w:sz w:val="24"/>
              </w:rPr>
              <w:t>As far as it may be necessary, the period within which the applicant may prosecute this appeal under case number HC-MD-LAB-APP-AAA-2023/00055 is extended for a further period of 90 days from the date of this order.</w:t>
            </w:r>
          </w:p>
          <w:p w14:paraId="78A35D16" w14:textId="77777777" w:rsidR="00AD53BA" w:rsidRPr="00606127" w:rsidRDefault="00AD53BA" w:rsidP="00AD53BA">
            <w:pPr>
              <w:pStyle w:val="ListParagraph"/>
              <w:rPr>
                <w:rFonts w:ascii="Arial" w:hAnsi="Arial" w:cs="Arial"/>
                <w:sz w:val="24"/>
              </w:rPr>
            </w:pPr>
          </w:p>
          <w:p w14:paraId="2E370709" w14:textId="77777777" w:rsidR="00AD53BA" w:rsidRDefault="00AD53BA" w:rsidP="00AD53BA">
            <w:pPr>
              <w:pStyle w:val="ListParagraph"/>
              <w:numPr>
                <w:ilvl w:val="0"/>
                <w:numId w:val="37"/>
              </w:numPr>
              <w:spacing w:line="360" w:lineRule="auto"/>
              <w:ind w:left="1134" w:hanging="567"/>
              <w:jc w:val="both"/>
              <w:rPr>
                <w:rFonts w:ascii="Arial" w:hAnsi="Arial" w:cs="Arial"/>
                <w:sz w:val="24"/>
              </w:rPr>
            </w:pPr>
            <w:r>
              <w:rPr>
                <w:rFonts w:ascii="Arial" w:hAnsi="Arial" w:cs="Arial"/>
                <w:sz w:val="24"/>
              </w:rPr>
              <w:t>There is no order as to costs.</w:t>
            </w:r>
          </w:p>
          <w:p w14:paraId="1015A96E" w14:textId="77777777" w:rsidR="00AD53BA" w:rsidRPr="00606127" w:rsidRDefault="00AD53BA" w:rsidP="00AD53BA">
            <w:pPr>
              <w:pStyle w:val="ListParagraph"/>
              <w:rPr>
                <w:rFonts w:ascii="Arial" w:hAnsi="Arial" w:cs="Arial"/>
                <w:sz w:val="24"/>
              </w:rPr>
            </w:pPr>
          </w:p>
          <w:p w14:paraId="37BA9B6B" w14:textId="711FBD03" w:rsidR="00AD53BA" w:rsidRPr="00AD53BA" w:rsidRDefault="00AD53BA" w:rsidP="00AD53BA">
            <w:pPr>
              <w:pStyle w:val="ListParagraph"/>
              <w:numPr>
                <w:ilvl w:val="0"/>
                <w:numId w:val="37"/>
              </w:numPr>
              <w:spacing w:line="360" w:lineRule="auto"/>
              <w:ind w:left="1134" w:hanging="567"/>
              <w:jc w:val="both"/>
              <w:rPr>
                <w:rFonts w:ascii="Arial" w:hAnsi="Arial" w:cs="Arial"/>
                <w:sz w:val="24"/>
              </w:rPr>
            </w:pPr>
            <w:r>
              <w:rPr>
                <w:rFonts w:ascii="Arial" w:hAnsi="Arial" w:cs="Arial"/>
                <w:sz w:val="24"/>
              </w:rPr>
              <w:t>The matter is regarded as finalised and removed from the roll.</w:t>
            </w:r>
          </w:p>
          <w:p w14:paraId="47E3946C" w14:textId="3CEDF75C" w:rsidR="00AD53BA" w:rsidRPr="00AD53BA" w:rsidRDefault="00AD53BA" w:rsidP="00AD53BA">
            <w:pPr>
              <w:pStyle w:val="ListParagraph"/>
              <w:spacing w:line="360" w:lineRule="auto"/>
              <w:ind w:left="1134"/>
              <w:jc w:val="both"/>
              <w:rPr>
                <w:rFonts w:ascii="Arial" w:hAnsi="Arial" w:cs="Arial"/>
                <w:sz w:val="24"/>
              </w:rPr>
            </w:pPr>
          </w:p>
        </w:tc>
      </w:tr>
      <w:tr w:rsidR="001D6B3F" w:rsidRPr="001D6B3F" w14:paraId="2BD02CF8" w14:textId="77777777" w:rsidTr="00004108">
        <w:tc>
          <w:tcPr>
            <w:tcW w:w="10476" w:type="dxa"/>
            <w:gridSpan w:val="3"/>
          </w:tcPr>
          <w:p w14:paraId="06314928" w14:textId="314A4661"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lastRenderedPageBreak/>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3CD1EDFE" w14:textId="77777777" w:rsidR="00931E2D" w:rsidRDefault="00931E2D" w:rsidP="00931E2D">
            <w:pPr>
              <w:spacing w:line="360" w:lineRule="auto"/>
              <w:jc w:val="both"/>
              <w:rPr>
                <w:rFonts w:ascii="Arial" w:hAnsi="Arial" w:cs="Arial"/>
                <w:sz w:val="24"/>
                <w:szCs w:val="24"/>
                <w:lang w:val="af-ZA"/>
              </w:rPr>
            </w:pPr>
          </w:p>
          <w:p w14:paraId="145A95D8" w14:textId="77777777" w:rsidR="00097233" w:rsidRDefault="00B94A6E" w:rsidP="00BF46CD">
            <w:pPr>
              <w:spacing w:line="360" w:lineRule="auto"/>
              <w:jc w:val="both"/>
              <w:rPr>
                <w:rFonts w:ascii="Arial" w:hAnsi="Arial" w:cs="Arial"/>
                <w:sz w:val="24"/>
                <w:szCs w:val="24"/>
                <w:lang w:val="af-ZA"/>
              </w:rPr>
            </w:pPr>
            <w:r>
              <w:rPr>
                <w:rFonts w:ascii="Arial" w:hAnsi="Arial" w:cs="Arial"/>
                <w:sz w:val="24"/>
                <w:szCs w:val="24"/>
                <w:lang w:val="af-ZA"/>
              </w:rPr>
              <w:t>SCHIMMING-CHASE J:</w:t>
            </w:r>
          </w:p>
          <w:p w14:paraId="1A936FFB" w14:textId="77777777" w:rsidR="00E404A3" w:rsidRDefault="00E404A3" w:rsidP="00BF46CD">
            <w:pPr>
              <w:spacing w:line="360" w:lineRule="auto"/>
              <w:jc w:val="both"/>
              <w:rPr>
                <w:lang w:val="af-ZA"/>
              </w:rPr>
            </w:pPr>
          </w:p>
          <w:p w14:paraId="7B478478" w14:textId="68B38681" w:rsidR="00AD53BA" w:rsidRPr="002A7F6C"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lang w:val="en-US"/>
              </w:rPr>
              <w:t>The court is seized with an application for condonation for the late noting of the applicant’s appeal and reinstatement of the appeal</w:t>
            </w:r>
            <w:r w:rsidR="0081422B">
              <w:rPr>
                <w:rFonts w:ascii="Arial" w:hAnsi="Arial" w:cs="Arial"/>
                <w:sz w:val="24"/>
                <w:lang w:val="en-US"/>
              </w:rPr>
              <w:t xml:space="preserve"> by the applicant</w:t>
            </w:r>
            <w:r>
              <w:rPr>
                <w:rFonts w:ascii="Arial" w:hAnsi="Arial" w:cs="Arial"/>
                <w:sz w:val="24"/>
                <w:lang w:val="en-US"/>
              </w:rPr>
              <w:t>. The</w:t>
            </w:r>
            <w:r w:rsidR="0081422B">
              <w:rPr>
                <w:rFonts w:ascii="Arial" w:hAnsi="Arial" w:cs="Arial"/>
                <w:sz w:val="24"/>
                <w:lang w:val="en-US"/>
              </w:rPr>
              <w:t xml:space="preserve"> first</w:t>
            </w:r>
            <w:r>
              <w:rPr>
                <w:rFonts w:ascii="Arial" w:hAnsi="Arial" w:cs="Arial"/>
                <w:sz w:val="24"/>
                <w:lang w:val="en-US"/>
              </w:rPr>
              <w:t xml:space="preserve"> respondent opposes this application.</w:t>
            </w:r>
          </w:p>
          <w:p w14:paraId="01B1EEAD" w14:textId="77777777" w:rsidR="00AD53BA" w:rsidRPr="002A7F6C" w:rsidRDefault="00AD53BA" w:rsidP="00AD53BA">
            <w:pPr>
              <w:pStyle w:val="ListParagraph"/>
              <w:spacing w:line="360" w:lineRule="auto"/>
              <w:ind w:left="0"/>
              <w:jc w:val="both"/>
              <w:rPr>
                <w:rFonts w:ascii="Arial" w:hAnsi="Arial" w:cs="Arial"/>
                <w:sz w:val="24"/>
              </w:rPr>
            </w:pPr>
          </w:p>
          <w:p w14:paraId="221E18B9" w14:textId="7420B8D6"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The applicant is Desmond Nicodemus Basson, a major male residing at Erf 28, Noord Street, Keetmanshoop. The first respondent is the Keetmanshoop Municipality, a local authority </w:t>
            </w:r>
            <w:r w:rsidR="000C246D">
              <w:rPr>
                <w:rFonts w:ascii="Arial" w:hAnsi="Arial" w:cs="Arial"/>
                <w:sz w:val="24"/>
              </w:rPr>
              <w:t xml:space="preserve">as defined </w:t>
            </w:r>
            <w:r>
              <w:rPr>
                <w:rFonts w:ascii="Arial" w:hAnsi="Arial" w:cs="Arial"/>
                <w:sz w:val="24"/>
              </w:rPr>
              <w:t xml:space="preserve">in </w:t>
            </w:r>
            <w:r w:rsidR="000C246D">
              <w:rPr>
                <w:rFonts w:ascii="Arial" w:hAnsi="Arial" w:cs="Arial"/>
                <w:sz w:val="24"/>
              </w:rPr>
              <w:t>th</w:t>
            </w:r>
            <w:r>
              <w:rPr>
                <w:rFonts w:ascii="Arial" w:hAnsi="Arial" w:cs="Arial"/>
                <w:sz w:val="24"/>
              </w:rPr>
              <w:t>e Local Authorities Act 23 of 1992 (‘the Act’). The second resp</w:t>
            </w:r>
            <w:r w:rsidR="000C246D">
              <w:rPr>
                <w:rFonts w:ascii="Arial" w:hAnsi="Arial" w:cs="Arial"/>
                <w:sz w:val="24"/>
              </w:rPr>
              <w:t>ondent is Joseph Windstaand, an</w:t>
            </w:r>
            <w:r>
              <w:rPr>
                <w:rFonts w:ascii="Arial" w:hAnsi="Arial" w:cs="Arial"/>
                <w:sz w:val="24"/>
              </w:rPr>
              <w:t xml:space="preserve"> arbitrator employed at the Office of the Labour Commissioner. The only participating parties are the applicant and the first respondent. For ease of reference, I will refer to the applicant as he is cited and the first respondent as ‘the respondent’.</w:t>
            </w:r>
          </w:p>
          <w:p w14:paraId="77A73BAF" w14:textId="77777777" w:rsidR="00AD53BA" w:rsidRPr="002A7F6C" w:rsidRDefault="00AD53BA" w:rsidP="00AD53BA">
            <w:pPr>
              <w:pStyle w:val="ListParagraph"/>
              <w:rPr>
                <w:rFonts w:ascii="Arial" w:hAnsi="Arial" w:cs="Arial"/>
                <w:sz w:val="24"/>
              </w:rPr>
            </w:pPr>
          </w:p>
          <w:p w14:paraId="65A9AE8B" w14:textId="04DC5EE9" w:rsidR="00AD53BA" w:rsidRDefault="00016B7B"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In</w:t>
            </w:r>
            <w:r w:rsidR="000C246D">
              <w:rPr>
                <w:rFonts w:ascii="Arial" w:hAnsi="Arial" w:cs="Arial"/>
                <w:sz w:val="24"/>
              </w:rPr>
              <w:t xml:space="preserve"> support of his</w:t>
            </w:r>
            <w:r w:rsidR="00AD53BA">
              <w:rPr>
                <w:rFonts w:ascii="Arial" w:hAnsi="Arial" w:cs="Arial"/>
                <w:sz w:val="24"/>
              </w:rPr>
              <w:t xml:space="preserve"> application, </w:t>
            </w:r>
            <w:r>
              <w:rPr>
                <w:rFonts w:ascii="Arial" w:hAnsi="Arial" w:cs="Arial"/>
                <w:sz w:val="24"/>
              </w:rPr>
              <w:t>the applicant avers</w:t>
            </w:r>
            <w:bookmarkStart w:id="0" w:name="_GoBack"/>
            <w:bookmarkEnd w:id="0"/>
            <w:r w:rsidR="00AD53BA">
              <w:rPr>
                <w:rFonts w:ascii="Arial" w:hAnsi="Arial" w:cs="Arial"/>
                <w:sz w:val="24"/>
              </w:rPr>
              <w:t xml:space="preserve"> that he was previously employed as the chief executive officer of the respondent duly appointed under s 27 of the Act. He states that on 11 July 2022, he received a letter dated 8 July 2022 fr</w:t>
            </w:r>
            <w:r w:rsidR="009C5F29">
              <w:rPr>
                <w:rFonts w:ascii="Arial" w:hAnsi="Arial" w:cs="Arial"/>
                <w:sz w:val="24"/>
              </w:rPr>
              <w:t>om the respondent in which he was</w:t>
            </w:r>
            <w:r w:rsidR="00AD53BA">
              <w:rPr>
                <w:rFonts w:ascii="Arial" w:hAnsi="Arial" w:cs="Arial"/>
                <w:sz w:val="24"/>
              </w:rPr>
              <w:t xml:space="preserve"> informed that the respondent</w:t>
            </w:r>
            <w:r w:rsidR="0081422B">
              <w:rPr>
                <w:rFonts w:ascii="Arial" w:hAnsi="Arial" w:cs="Arial"/>
                <w:sz w:val="24"/>
              </w:rPr>
              <w:t>’s council had resolved at</w:t>
            </w:r>
            <w:r w:rsidR="00AD53BA">
              <w:rPr>
                <w:rFonts w:ascii="Arial" w:hAnsi="Arial" w:cs="Arial"/>
                <w:sz w:val="24"/>
              </w:rPr>
              <w:t xml:space="preserve"> ‘its first ordinary meeting’ held on 8 July 2022 that the council’s decision of October 2019 would be rescinded. Consequently, the </w:t>
            </w:r>
            <w:r w:rsidR="00AD53BA">
              <w:rPr>
                <w:rFonts w:ascii="Arial" w:hAnsi="Arial" w:cs="Arial"/>
                <w:sz w:val="24"/>
              </w:rPr>
              <w:lastRenderedPageBreak/>
              <w:t>applicant’s employment was terminated with ‘immediate effect’ as ‘no service contract exists between the Keeptmanshoop Municipality and Mr Desmond Nicodemus Basson’.</w:t>
            </w:r>
          </w:p>
          <w:p w14:paraId="399A0202" w14:textId="77777777" w:rsidR="00AD53BA" w:rsidRPr="00FD1B26" w:rsidRDefault="00AD53BA" w:rsidP="00AD53BA">
            <w:pPr>
              <w:pStyle w:val="ListParagraph"/>
              <w:rPr>
                <w:rFonts w:ascii="Arial" w:hAnsi="Arial" w:cs="Arial"/>
                <w:sz w:val="24"/>
              </w:rPr>
            </w:pPr>
          </w:p>
          <w:p w14:paraId="644BD5B3" w14:textId="7777777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It is asserted by the applicant that upon receipt of the termination letter and on 12 September 2022, he referred a dispute of unfair dismissal and unfair labour practice to the Office of the Labour Commissioner. The applicant states that in the LC21, he indicated that the dispute arose on 11 July 2022 given that it was the date that he received the termination letter from the respondent. Prior to this letter, he was unaware that his employment was terminated.</w:t>
            </w:r>
          </w:p>
          <w:p w14:paraId="4C521F19" w14:textId="77777777" w:rsidR="00AD53BA" w:rsidRPr="00FD1B26" w:rsidRDefault="00AD53BA" w:rsidP="00AD53BA">
            <w:pPr>
              <w:pStyle w:val="ListParagraph"/>
              <w:rPr>
                <w:rFonts w:ascii="Arial" w:hAnsi="Arial" w:cs="Arial"/>
                <w:sz w:val="24"/>
              </w:rPr>
            </w:pPr>
          </w:p>
          <w:p w14:paraId="057FF194" w14:textId="0E139C2F"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According to the applicant, the arbitrator delivered his ruling on 15 June 2023, which the applicant only received via email on 11 July 2023. In his ruling, the arbitrator found that the applicant failed to allege the respondent’s apparent unfair labour practice as envisaged under s 50(1) of the Labour Act 11 of 2007 (‘the Labour Act’). The arbitrator further found that there was no dismissal on 11 July 2022 as reflected in the LC21 given that the respondent’s decision </w:t>
            </w:r>
            <w:r w:rsidR="0081422B">
              <w:rPr>
                <w:rFonts w:ascii="Arial" w:hAnsi="Arial" w:cs="Arial"/>
                <w:sz w:val="24"/>
              </w:rPr>
              <w:t>was taken on 8 July</w:t>
            </w:r>
            <w:r>
              <w:rPr>
                <w:rFonts w:ascii="Arial" w:hAnsi="Arial" w:cs="Arial"/>
                <w:sz w:val="24"/>
              </w:rPr>
              <w:t xml:space="preserve"> 2022. It is this ruling that the applicant i</w:t>
            </w:r>
            <w:r w:rsidR="000C246D">
              <w:rPr>
                <w:rFonts w:ascii="Arial" w:hAnsi="Arial" w:cs="Arial"/>
                <w:sz w:val="24"/>
              </w:rPr>
              <w:t>ntends to appeal against.</w:t>
            </w:r>
          </w:p>
          <w:p w14:paraId="18637909" w14:textId="77777777" w:rsidR="00AD53BA" w:rsidRPr="00FD1B26" w:rsidRDefault="00AD53BA" w:rsidP="00AD53BA">
            <w:pPr>
              <w:pStyle w:val="ListParagraph"/>
              <w:rPr>
                <w:rFonts w:ascii="Arial" w:hAnsi="Arial" w:cs="Arial"/>
                <w:sz w:val="24"/>
              </w:rPr>
            </w:pPr>
          </w:p>
          <w:p w14:paraId="3B26FF93" w14:textId="1E08A2AC"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The applicant states that when his legal practitioner, Mr Jerhome Tjizo, attended to the registrar’s office </w:t>
            </w:r>
            <w:r w:rsidR="000C246D">
              <w:rPr>
                <w:rFonts w:ascii="Arial" w:hAnsi="Arial" w:cs="Arial"/>
                <w:sz w:val="24"/>
              </w:rPr>
              <w:t xml:space="preserve">on 1 November 2023 </w:t>
            </w:r>
            <w:r>
              <w:rPr>
                <w:rFonts w:ascii="Arial" w:hAnsi="Arial" w:cs="Arial"/>
                <w:sz w:val="24"/>
              </w:rPr>
              <w:t xml:space="preserve">to obtain hearing dates, </w:t>
            </w:r>
            <w:r w:rsidR="000C246D">
              <w:rPr>
                <w:rFonts w:ascii="Arial" w:hAnsi="Arial" w:cs="Arial"/>
                <w:sz w:val="24"/>
              </w:rPr>
              <w:t>he (</w:t>
            </w:r>
            <w:r>
              <w:rPr>
                <w:rFonts w:ascii="Arial" w:hAnsi="Arial" w:cs="Arial"/>
                <w:sz w:val="24"/>
              </w:rPr>
              <w:t>Mr Tjizo</w:t>
            </w:r>
            <w:r w:rsidR="000C246D">
              <w:rPr>
                <w:rFonts w:ascii="Arial" w:hAnsi="Arial" w:cs="Arial"/>
                <w:sz w:val="24"/>
              </w:rPr>
              <w:t>)</w:t>
            </w:r>
            <w:r>
              <w:rPr>
                <w:rFonts w:ascii="Arial" w:hAnsi="Arial" w:cs="Arial"/>
                <w:sz w:val="24"/>
              </w:rPr>
              <w:t xml:space="preserve"> was informed that the appeal had lapsed. Mr Tjizo confirms this assertion. Consequently, the applicant lodged this application.</w:t>
            </w:r>
          </w:p>
          <w:p w14:paraId="622771CF" w14:textId="77777777" w:rsidR="00AD53BA" w:rsidRPr="00806190" w:rsidRDefault="00AD53BA" w:rsidP="00AD53BA">
            <w:pPr>
              <w:pStyle w:val="ListParagraph"/>
              <w:rPr>
                <w:rFonts w:ascii="Arial" w:hAnsi="Arial" w:cs="Arial"/>
                <w:sz w:val="24"/>
              </w:rPr>
            </w:pPr>
          </w:p>
          <w:p w14:paraId="1E45F003" w14:textId="7777777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At the onset, it is the applicant’s evidence that he noted his appeal on 11 August 2023. Strictly speaking, the applicant’s appeal was noted a day late. This is because s 89(2) of the Labour Act prescribes that an appeal must be noted within 30 days after the award is served on the party. Given that the applicant was served with the award on 11 July 2023, the appeal should have been noted on 10 August 2023.</w:t>
            </w:r>
          </w:p>
          <w:p w14:paraId="7C156672" w14:textId="77777777" w:rsidR="00AD53BA" w:rsidRPr="00806190" w:rsidRDefault="00AD53BA" w:rsidP="00AD53BA">
            <w:pPr>
              <w:pStyle w:val="ListParagraph"/>
              <w:rPr>
                <w:rFonts w:ascii="Arial" w:hAnsi="Arial" w:cs="Arial"/>
                <w:sz w:val="24"/>
              </w:rPr>
            </w:pPr>
          </w:p>
          <w:p w14:paraId="5C082EEE" w14:textId="02FE415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The applicant’s reason for his non-compliance with s 89(2) of the Labour Act is as follows. He states that after r</w:t>
            </w:r>
            <w:r w:rsidR="000C246D">
              <w:rPr>
                <w:rFonts w:ascii="Arial" w:hAnsi="Arial" w:cs="Arial"/>
                <w:sz w:val="24"/>
              </w:rPr>
              <w:t>eceiving the arbitration award</w:t>
            </w:r>
            <w:r>
              <w:rPr>
                <w:rFonts w:ascii="Arial" w:hAnsi="Arial" w:cs="Arial"/>
                <w:sz w:val="24"/>
              </w:rPr>
              <w:t xml:space="preserve"> on 11 July 2023, he emailed</w:t>
            </w:r>
            <w:r w:rsidR="0081422B">
              <w:rPr>
                <w:rFonts w:ascii="Arial" w:hAnsi="Arial" w:cs="Arial"/>
                <w:sz w:val="24"/>
              </w:rPr>
              <w:t xml:space="preserve"> the same to this legal insurer</w:t>
            </w:r>
            <w:r w:rsidR="000C246D">
              <w:rPr>
                <w:rFonts w:ascii="Arial" w:hAnsi="Arial" w:cs="Arial"/>
                <w:sz w:val="24"/>
              </w:rPr>
              <w:t xml:space="preserve"> on 12 July 2023 to obtain</w:t>
            </w:r>
            <w:r>
              <w:rPr>
                <w:rFonts w:ascii="Arial" w:hAnsi="Arial" w:cs="Arial"/>
                <w:sz w:val="24"/>
              </w:rPr>
              <w:t xml:space="preserve"> legal assistance. On 1 August 2023, the applicant’s legal insurer appointed Mr Tjizo as his legal practitioner. The applicant and Mr Tjizo only consulted telephonically on 8 August 2023 owing to the applicant being resident in Keetmanshoop. </w:t>
            </w:r>
            <w:r w:rsidRPr="00582D3D">
              <w:rPr>
                <w:rFonts w:ascii="Arial" w:hAnsi="Arial" w:cs="Arial"/>
                <w:sz w:val="24"/>
              </w:rPr>
              <w:t xml:space="preserve">The </w:t>
            </w:r>
            <w:r>
              <w:rPr>
                <w:rFonts w:ascii="Arial" w:hAnsi="Arial" w:cs="Arial"/>
                <w:sz w:val="24"/>
              </w:rPr>
              <w:lastRenderedPageBreak/>
              <w:t>appeal was then noted on 11 August 2023.</w:t>
            </w:r>
          </w:p>
          <w:p w14:paraId="40FD42B1" w14:textId="77777777" w:rsidR="00AD53BA" w:rsidRPr="00582D3D" w:rsidRDefault="00AD53BA" w:rsidP="00AD53BA">
            <w:pPr>
              <w:pStyle w:val="ListParagraph"/>
              <w:rPr>
                <w:rFonts w:ascii="Arial" w:hAnsi="Arial" w:cs="Arial"/>
                <w:sz w:val="24"/>
              </w:rPr>
            </w:pPr>
          </w:p>
          <w:p w14:paraId="4EF45F29" w14:textId="7777777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As I mentioned before, on 1 November 2023, the registrar’s office declined assigning hearing dates for the appeal on the premise that the appeal has lapsed. Thus, giving rise to this application.</w:t>
            </w:r>
          </w:p>
          <w:p w14:paraId="0FF38017" w14:textId="77777777" w:rsidR="00AD53BA" w:rsidRPr="00582D3D" w:rsidRDefault="00AD53BA" w:rsidP="00AD53BA">
            <w:pPr>
              <w:pStyle w:val="ListParagraph"/>
              <w:rPr>
                <w:rFonts w:ascii="Arial" w:hAnsi="Arial" w:cs="Arial"/>
                <w:sz w:val="24"/>
              </w:rPr>
            </w:pPr>
          </w:p>
          <w:p w14:paraId="0B859DD1" w14:textId="7777777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On the prospects, the applicant asserts that the arbitrator was wrong in finding that the dismissal took place on 8 July 2022 as he only learned of the termination on 11 July 2022, which is when the cause of action supposedly arose, and which was reflected in the LC21. The applicant further asserts that the arbitrator, on his own version, acknowledges the existence of the dismissal as required under s 33(4)(</w:t>
            </w:r>
            <w:r>
              <w:rPr>
                <w:rFonts w:ascii="Arial" w:hAnsi="Arial" w:cs="Arial"/>
                <w:i/>
                <w:sz w:val="24"/>
              </w:rPr>
              <w:t>a</w:t>
            </w:r>
            <w:r>
              <w:rPr>
                <w:rFonts w:ascii="Arial" w:hAnsi="Arial" w:cs="Arial"/>
                <w:sz w:val="24"/>
              </w:rPr>
              <w:t>) of the Labour Act and should have invoked s 33(4)(</w:t>
            </w:r>
            <w:r>
              <w:rPr>
                <w:rFonts w:ascii="Arial" w:hAnsi="Arial" w:cs="Arial"/>
                <w:i/>
                <w:sz w:val="24"/>
              </w:rPr>
              <w:t>b</w:t>
            </w:r>
            <w:r>
              <w:rPr>
                <w:rFonts w:ascii="Arial" w:hAnsi="Arial" w:cs="Arial"/>
                <w:sz w:val="24"/>
              </w:rPr>
              <w:t>).</w:t>
            </w:r>
            <w:r>
              <w:rPr>
                <w:rStyle w:val="FootnoteReference"/>
                <w:rFonts w:ascii="Arial" w:hAnsi="Arial" w:cs="Arial"/>
                <w:sz w:val="24"/>
              </w:rPr>
              <w:footnoteReference w:id="1"/>
            </w:r>
          </w:p>
          <w:p w14:paraId="20041BE4" w14:textId="77777777" w:rsidR="00AD53BA" w:rsidRPr="000908DA" w:rsidRDefault="00AD53BA" w:rsidP="00AD53BA">
            <w:pPr>
              <w:pStyle w:val="ListParagraph"/>
              <w:rPr>
                <w:rFonts w:ascii="Arial" w:hAnsi="Arial" w:cs="Arial"/>
                <w:sz w:val="24"/>
              </w:rPr>
            </w:pPr>
          </w:p>
          <w:p w14:paraId="58AEBFCF" w14:textId="5A0AB398"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The acting chief executive officer of the respondent, Mr Gregorius Donovan Andries, deposes to the answering affidavit and s</w:t>
            </w:r>
            <w:r w:rsidR="009C5F29">
              <w:rPr>
                <w:rFonts w:ascii="Arial" w:hAnsi="Arial" w:cs="Arial"/>
                <w:sz w:val="24"/>
              </w:rPr>
              <w:t>tates that the applicant’s five-</w:t>
            </w:r>
            <w:r>
              <w:rPr>
                <w:rFonts w:ascii="Arial" w:hAnsi="Arial" w:cs="Arial"/>
                <w:sz w:val="24"/>
              </w:rPr>
              <w:t>year period as chief executive office</w:t>
            </w:r>
            <w:r w:rsidR="000C246D">
              <w:rPr>
                <w:rFonts w:ascii="Arial" w:hAnsi="Arial" w:cs="Arial"/>
                <w:sz w:val="24"/>
              </w:rPr>
              <w:t>r</w:t>
            </w:r>
            <w:r>
              <w:rPr>
                <w:rFonts w:ascii="Arial" w:hAnsi="Arial" w:cs="Arial"/>
                <w:sz w:val="24"/>
              </w:rPr>
              <w:t xml:space="preserve"> terminated on 31 December 2019. Thus, Mr Andries denies that the applicant’s services were terminated on 11 July 2022.</w:t>
            </w:r>
          </w:p>
          <w:p w14:paraId="43015B10" w14:textId="77777777" w:rsidR="00AD53BA" w:rsidRPr="000908DA" w:rsidRDefault="00AD53BA" w:rsidP="00AD53BA">
            <w:pPr>
              <w:pStyle w:val="ListParagraph"/>
              <w:rPr>
                <w:rFonts w:ascii="Arial" w:hAnsi="Arial" w:cs="Arial"/>
                <w:sz w:val="24"/>
              </w:rPr>
            </w:pPr>
          </w:p>
          <w:p w14:paraId="260F601D" w14:textId="09AEE2CC"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As I have it, in October 2019, the respondent supposedly took a decision to extend the applicant’s employment contract contrary to s 27(3)(</w:t>
            </w:r>
            <w:r>
              <w:rPr>
                <w:rFonts w:ascii="Arial" w:hAnsi="Arial" w:cs="Arial"/>
                <w:i/>
                <w:sz w:val="24"/>
              </w:rPr>
              <w:t>b</w:t>
            </w:r>
            <w:r>
              <w:rPr>
                <w:rFonts w:ascii="Arial" w:hAnsi="Arial" w:cs="Arial"/>
                <w:sz w:val="24"/>
              </w:rPr>
              <w:t>) of the Act. This provision sets out the process which must be followed for the extension of the chief executive officer’s employment contract. Mr Andries thus asserts that the applicant’s services were terminated on 31 Dece</w:t>
            </w:r>
            <w:r w:rsidR="009C5F29">
              <w:rPr>
                <w:rFonts w:ascii="Arial" w:hAnsi="Arial" w:cs="Arial"/>
                <w:sz w:val="24"/>
              </w:rPr>
              <w:t>mber 2019, when his five-</w:t>
            </w:r>
            <w:r>
              <w:rPr>
                <w:rFonts w:ascii="Arial" w:hAnsi="Arial" w:cs="Arial"/>
                <w:sz w:val="24"/>
              </w:rPr>
              <w:t>year period lapsed. Mr Andries, however, correctly concedes that the respondent’s decision taken in October 2019 constitutes an administrative decision which can only be set aside by a competent court.</w:t>
            </w:r>
          </w:p>
          <w:p w14:paraId="36E6F035" w14:textId="77777777" w:rsidR="00AD53BA" w:rsidRPr="00BA4652" w:rsidRDefault="00AD53BA" w:rsidP="00AD53BA">
            <w:pPr>
              <w:pStyle w:val="ListParagraph"/>
              <w:rPr>
                <w:rFonts w:ascii="Arial" w:hAnsi="Arial" w:cs="Arial"/>
                <w:sz w:val="24"/>
              </w:rPr>
            </w:pPr>
          </w:p>
          <w:p w14:paraId="5499F985" w14:textId="4D76682D"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Mr Andries further states that the decision of 11 July 2022 is an administrative decision and not a disciplinary action ‘as it does not relate to the [applicant’s] misconduct’. It is Mr Andries’ assertion that the applicant’s employment was not terminated on the basis of misconduct but rather that no employment contract existed since 31 December 2019 as a matter </w:t>
            </w:r>
            <w:r>
              <w:rPr>
                <w:rFonts w:ascii="Arial" w:hAnsi="Arial" w:cs="Arial"/>
                <w:sz w:val="24"/>
              </w:rPr>
              <w:lastRenderedPageBreak/>
              <w:t>of law. Thus, Mr Andries disputes that the applicant enjoys prospects of success.</w:t>
            </w:r>
          </w:p>
          <w:p w14:paraId="32063C1C" w14:textId="77777777" w:rsidR="00AD53BA" w:rsidRPr="00BA4652" w:rsidRDefault="00AD53BA" w:rsidP="00AD53BA">
            <w:pPr>
              <w:pStyle w:val="ListParagraph"/>
              <w:rPr>
                <w:rFonts w:ascii="Arial" w:hAnsi="Arial" w:cs="Arial"/>
                <w:sz w:val="24"/>
              </w:rPr>
            </w:pPr>
          </w:p>
          <w:p w14:paraId="343CBB04" w14:textId="08C2994C"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Turning to the arguments and legal principles, it is a well-established principle of our law that in </w:t>
            </w:r>
            <w:r w:rsidR="000C246D">
              <w:rPr>
                <w:rFonts w:ascii="Arial" w:hAnsi="Arial" w:cs="Arial"/>
                <w:sz w:val="24"/>
              </w:rPr>
              <w:t xml:space="preserve">an </w:t>
            </w:r>
            <w:r>
              <w:rPr>
                <w:rFonts w:ascii="Arial" w:hAnsi="Arial" w:cs="Arial"/>
                <w:sz w:val="24"/>
              </w:rPr>
              <w:t>a</w:t>
            </w:r>
            <w:r w:rsidR="000C246D">
              <w:rPr>
                <w:rFonts w:ascii="Arial" w:hAnsi="Arial" w:cs="Arial"/>
                <w:sz w:val="24"/>
              </w:rPr>
              <w:t>pplication</w:t>
            </w:r>
            <w:r>
              <w:rPr>
                <w:rFonts w:ascii="Arial" w:hAnsi="Arial" w:cs="Arial"/>
                <w:sz w:val="24"/>
              </w:rPr>
              <w:t xml:space="preserve"> for condonation, as in this instance, the applicant is burdened to show good cause. This is a two-prong test, whereby the applicant must satisfy the court that he has a reasonable, acceptable and satisfactory explanation for his non-compliance, and that he enjoys prospects of success</w:t>
            </w:r>
            <w:r w:rsidR="000C246D">
              <w:rPr>
                <w:rFonts w:ascii="Arial" w:hAnsi="Arial" w:cs="Arial"/>
                <w:sz w:val="24"/>
              </w:rPr>
              <w:t xml:space="preserve"> on appeal</w:t>
            </w:r>
            <w:r>
              <w:rPr>
                <w:rFonts w:ascii="Arial" w:hAnsi="Arial" w:cs="Arial"/>
                <w:sz w:val="24"/>
              </w:rPr>
              <w:t>.</w:t>
            </w:r>
            <w:r>
              <w:rPr>
                <w:rStyle w:val="FootnoteReference"/>
                <w:rFonts w:ascii="Arial" w:hAnsi="Arial" w:cs="Arial"/>
                <w:sz w:val="24"/>
              </w:rPr>
              <w:footnoteReference w:id="2"/>
            </w:r>
          </w:p>
          <w:p w14:paraId="18DF4ED0" w14:textId="77777777" w:rsidR="00AD53BA" w:rsidRPr="00D47649" w:rsidRDefault="00AD53BA" w:rsidP="00AD53BA">
            <w:pPr>
              <w:pStyle w:val="ListParagraph"/>
              <w:rPr>
                <w:rFonts w:ascii="Arial" w:hAnsi="Arial" w:cs="Arial"/>
                <w:sz w:val="24"/>
              </w:rPr>
            </w:pPr>
          </w:p>
          <w:p w14:paraId="49DF4A8B" w14:textId="7777777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It was submitted on behalf of the applicant that the arbitration award was dated 15 June 2023 but only received by the applicant on 11 July 2023. The arbitration award was then sent to the legal insurer by the applicant on 12 July 2023. A legal practitioner was appointed by the applicant’s legal insurer on 1 August 2023. A consultation was held on 8 August 2023 between the applicant and Mr Tjizo, and the appeal was noted one day late on 11 August 2023. To my mind, it is clear that any delay cannot be attributed to the applicant. It is clear, </w:t>
            </w:r>
            <w:r w:rsidRPr="009C5F29">
              <w:rPr>
                <w:rFonts w:ascii="Arial" w:hAnsi="Arial" w:cs="Arial"/>
                <w:i/>
                <w:sz w:val="24"/>
              </w:rPr>
              <w:t>ex facie</w:t>
            </w:r>
            <w:r>
              <w:rPr>
                <w:rFonts w:ascii="Arial" w:hAnsi="Arial" w:cs="Arial"/>
                <w:sz w:val="24"/>
              </w:rPr>
              <w:t xml:space="preserve"> the papers, that the applicant acted with haste in prosecuting this appeal. It is my view that any delay in noting the appeal must be attributed to the legal insurer.</w:t>
            </w:r>
            <w:r>
              <w:rPr>
                <w:rStyle w:val="FootnoteReference"/>
                <w:rFonts w:ascii="Arial" w:hAnsi="Arial" w:cs="Arial"/>
                <w:sz w:val="24"/>
              </w:rPr>
              <w:footnoteReference w:id="3"/>
            </w:r>
          </w:p>
          <w:p w14:paraId="163B8D31" w14:textId="77777777" w:rsidR="00AD53BA" w:rsidRPr="00263767" w:rsidRDefault="00AD53BA" w:rsidP="00AD53BA">
            <w:pPr>
              <w:pStyle w:val="ListParagraph"/>
              <w:rPr>
                <w:rFonts w:ascii="Arial" w:hAnsi="Arial" w:cs="Arial"/>
                <w:sz w:val="24"/>
              </w:rPr>
            </w:pPr>
          </w:p>
          <w:p w14:paraId="05A44A59" w14:textId="644297A4"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I am of the considered view that the explanation by the applicant is reasonable, acceptable and satisfactory. </w:t>
            </w:r>
            <w:r w:rsidR="0081422B">
              <w:rPr>
                <w:rFonts w:ascii="Arial" w:hAnsi="Arial" w:cs="Arial"/>
                <w:sz w:val="24"/>
              </w:rPr>
              <w:t>In any event,</w:t>
            </w:r>
            <w:r>
              <w:rPr>
                <w:rFonts w:ascii="Arial" w:hAnsi="Arial" w:cs="Arial"/>
                <w:sz w:val="24"/>
              </w:rPr>
              <w:t xml:space="preserve"> I do not see any prejudice suffered by the respondent and the court in this regard, which is a factor to be taken into consideration</w:t>
            </w:r>
            <w:r>
              <w:rPr>
                <w:rStyle w:val="FootnoteReference"/>
                <w:rFonts w:ascii="Arial" w:hAnsi="Arial" w:cs="Arial"/>
                <w:sz w:val="24"/>
              </w:rPr>
              <w:footnoteReference w:id="4"/>
            </w:r>
            <w:r>
              <w:rPr>
                <w:rFonts w:ascii="Arial" w:hAnsi="Arial" w:cs="Arial"/>
                <w:sz w:val="24"/>
              </w:rPr>
              <w:t xml:space="preserve"> – after all, the appeal was noted merely a day late.</w:t>
            </w:r>
          </w:p>
          <w:p w14:paraId="0AC4FEFE" w14:textId="77777777" w:rsidR="00AD53BA" w:rsidRPr="00263767" w:rsidRDefault="00AD53BA" w:rsidP="00AD53BA">
            <w:pPr>
              <w:pStyle w:val="ListParagraph"/>
              <w:rPr>
                <w:rFonts w:ascii="Arial" w:hAnsi="Arial" w:cs="Arial"/>
                <w:sz w:val="24"/>
              </w:rPr>
            </w:pPr>
          </w:p>
          <w:p w14:paraId="427714C4" w14:textId="2C7FAFFC"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In respect of prospects, it was argued on behalf of the respondent that s 27 of the Act prescribes that a chief executive officer’s term of office is only for five years and may be extended at the expiry of the term. According to counsel’s written arguments, the respondent merely rescinded its decision of October 2019 to the effect that the applicant’s employment contract ended on 30 December 2019, when his five-year term ended. Thus, counsel submits that</w:t>
            </w:r>
            <w:r w:rsidR="000C246D">
              <w:rPr>
                <w:rFonts w:ascii="Arial" w:hAnsi="Arial" w:cs="Arial"/>
                <w:sz w:val="24"/>
              </w:rPr>
              <w:t xml:space="preserve"> in</w:t>
            </w:r>
            <w:r>
              <w:rPr>
                <w:rFonts w:ascii="Arial" w:hAnsi="Arial" w:cs="Arial"/>
                <w:sz w:val="24"/>
              </w:rPr>
              <w:t xml:space="preserve"> contextualising the decision of 8 July 2022, communicated to the applicant on 11 July 2022, the resolution taken states that no employment contract existed between the parties.</w:t>
            </w:r>
          </w:p>
          <w:p w14:paraId="6D646969" w14:textId="77777777" w:rsidR="00AD53BA" w:rsidRPr="009D7302" w:rsidRDefault="00AD53BA" w:rsidP="00AD53BA">
            <w:pPr>
              <w:pStyle w:val="ListParagraph"/>
              <w:rPr>
                <w:rFonts w:ascii="Arial" w:hAnsi="Arial" w:cs="Arial"/>
                <w:sz w:val="24"/>
              </w:rPr>
            </w:pPr>
          </w:p>
          <w:p w14:paraId="402CC28D" w14:textId="63C51EA5"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In this regard, counsel submits that the applicant was not dismissed ‘but that his contract expired by effluxion of time’ in terms of the legislation. Counsel placed reliance on the decision of </w:t>
            </w:r>
            <w:r>
              <w:rPr>
                <w:rFonts w:ascii="Arial" w:hAnsi="Arial" w:cs="Arial"/>
                <w:i/>
                <w:sz w:val="24"/>
              </w:rPr>
              <w:t>Goseb v Usakos Town Council</w:t>
            </w:r>
            <w:r>
              <w:rPr>
                <w:rStyle w:val="FootnoteReference"/>
                <w:rFonts w:ascii="Arial" w:hAnsi="Arial" w:cs="Arial"/>
                <w:i/>
                <w:sz w:val="24"/>
              </w:rPr>
              <w:footnoteReference w:id="5"/>
            </w:r>
            <w:r>
              <w:rPr>
                <w:rFonts w:ascii="Arial" w:hAnsi="Arial" w:cs="Arial"/>
                <w:i/>
                <w:sz w:val="24"/>
              </w:rPr>
              <w:t xml:space="preserve"> </w:t>
            </w:r>
            <w:r>
              <w:rPr>
                <w:rFonts w:ascii="Arial" w:hAnsi="Arial" w:cs="Arial"/>
                <w:sz w:val="24"/>
              </w:rPr>
              <w:t xml:space="preserve">wherein Angula DJP dismissed a labour appeal on the premise that the appellant’s contract had terminated in terms of the legislation. I find the facts in </w:t>
            </w:r>
            <w:r>
              <w:rPr>
                <w:rFonts w:ascii="Arial" w:hAnsi="Arial" w:cs="Arial"/>
                <w:i/>
                <w:sz w:val="24"/>
              </w:rPr>
              <w:t>Goseb</w:t>
            </w:r>
            <w:r>
              <w:rPr>
                <w:rFonts w:ascii="Arial" w:hAnsi="Arial" w:cs="Arial"/>
                <w:sz w:val="24"/>
              </w:rPr>
              <w:t xml:space="preserve"> distinguishable to the present instance.</w:t>
            </w:r>
          </w:p>
          <w:p w14:paraId="10307A29" w14:textId="77777777" w:rsidR="00AD53BA" w:rsidRPr="00DA2435" w:rsidRDefault="00AD53BA" w:rsidP="00AD53BA">
            <w:pPr>
              <w:pStyle w:val="ListParagraph"/>
              <w:rPr>
                <w:rFonts w:ascii="Arial" w:hAnsi="Arial" w:cs="Arial"/>
                <w:sz w:val="24"/>
              </w:rPr>
            </w:pPr>
          </w:p>
          <w:p w14:paraId="497BB9EA" w14:textId="1E27475B"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 xml:space="preserve">In </w:t>
            </w:r>
            <w:r>
              <w:rPr>
                <w:rFonts w:ascii="Arial" w:hAnsi="Arial" w:cs="Arial"/>
                <w:i/>
                <w:sz w:val="24"/>
              </w:rPr>
              <w:t>Goseb</w:t>
            </w:r>
            <w:r>
              <w:rPr>
                <w:rFonts w:ascii="Arial" w:hAnsi="Arial" w:cs="Arial"/>
                <w:sz w:val="24"/>
              </w:rPr>
              <w:t xml:space="preserve">, the appellant had been employed on a fixed term of five years and upon receiving a letter by the respondent that the contract would come to an </w:t>
            </w:r>
            <w:r w:rsidR="0081422B">
              <w:rPr>
                <w:rFonts w:ascii="Arial" w:hAnsi="Arial" w:cs="Arial"/>
                <w:sz w:val="24"/>
              </w:rPr>
              <w:t>end</w:t>
            </w:r>
            <w:r w:rsidR="002E1314">
              <w:rPr>
                <w:rFonts w:ascii="Arial" w:hAnsi="Arial" w:cs="Arial"/>
                <w:sz w:val="24"/>
              </w:rPr>
              <w:t xml:space="preserve"> after the five-year period ended with no renewal of the employment contract</w:t>
            </w:r>
            <w:r w:rsidR="0081422B">
              <w:rPr>
                <w:rFonts w:ascii="Arial" w:hAnsi="Arial" w:cs="Arial"/>
                <w:sz w:val="24"/>
              </w:rPr>
              <w:t>;</w:t>
            </w:r>
            <w:r>
              <w:rPr>
                <w:rFonts w:ascii="Arial" w:hAnsi="Arial" w:cs="Arial"/>
                <w:sz w:val="24"/>
              </w:rPr>
              <w:t xml:space="preserve"> the appellant approached the Office of the Labour Commissioner for a dispute on unfair dismissal and labour practice. </w:t>
            </w:r>
            <w:r w:rsidR="002E1314">
              <w:rPr>
                <w:rFonts w:ascii="Arial" w:hAnsi="Arial" w:cs="Arial"/>
                <w:sz w:val="24"/>
              </w:rPr>
              <w:t>Presently</w:t>
            </w:r>
            <w:r>
              <w:rPr>
                <w:rFonts w:ascii="Arial" w:hAnsi="Arial" w:cs="Arial"/>
                <w:sz w:val="24"/>
              </w:rPr>
              <w:t>, it seems that a decision was taken in October 2019 that would renew the applicant’s employment agreement; this decision was rescinded by the respondent on 8 July 2022 (and communicated to the applicant on 11 July 2022). It seems common cause that the decision of October 2019 is administrative in nature and</w:t>
            </w:r>
            <w:r w:rsidR="002E1314">
              <w:rPr>
                <w:rFonts w:ascii="Arial" w:hAnsi="Arial" w:cs="Arial"/>
                <w:sz w:val="24"/>
              </w:rPr>
              <w:t>, thus,</w:t>
            </w:r>
            <w:r>
              <w:rPr>
                <w:rFonts w:ascii="Arial" w:hAnsi="Arial" w:cs="Arial"/>
                <w:sz w:val="24"/>
              </w:rPr>
              <w:t xml:space="preserve"> the </w:t>
            </w:r>
            <w:r>
              <w:rPr>
                <w:rFonts w:ascii="Arial" w:hAnsi="Arial" w:cs="Arial"/>
                <w:i/>
                <w:sz w:val="24"/>
              </w:rPr>
              <w:t>Oudekraal</w:t>
            </w:r>
            <w:r>
              <w:rPr>
                <w:rFonts w:ascii="Arial" w:hAnsi="Arial" w:cs="Arial"/>
                <w:sz w:val="24"/>
              </w:rPr>
              <w:t xml:space="preserve"> principle</w:t>
            </w:r>
            <w:r>
              <w:rPr>
                <w:rStyle w:val="FootnoteReference"/>
                <w:rFonts w:ascii="Arial" w:hAnsi="Arial" w:cs="Arial"/>
                <w:sz w:val="24"/>
              </w:rPr>
              <w:footnoteReference w:id="6"/>
            </w:r>
            <w:r>
              <w:rPr>
                <w:rFonts w:ascii="Arial" w:hAnsi="Arial" w:cs="Arial"/>
                <w:sz w:val="24"/>
              </w:rPr>
              <w:t xml:space="preserve"> dictates that an administrative decision shall remain extant until set aside by a competent court of law. To my mind, the respondent acted </w:t>
            </w:r>
            <w:r>
              <w:rPr>
                <w:rFonts w:ascii="Arial" w:hAnsi="Arial" w:cs="Arial"/>
                <w:i/>
                <w:sz w:val="24"/>
              </w:rPr>
              <w:t>ultra vires</w:t>
            </w:r>
            <w:r>
              <w:rPr>
                <w:rFonts w:ascii="Arial" w:hAnsi="Arial" w:cs="Arial"/>
                <w:sz w:val="24"/>
              </w:rPr>
              <w:t xml:space="preserve"> the law when it took the decision of 8 July 2022 to rescind the decision of October 2019. It is my considered view that the decision of October 2019 remains extant. Therefore, the argument on behalf of the respondent cannot stand.</w:t>
            </w:r>
          </w:p>
          <w:p w14:paraId="2941370C" w14:textId="77777777" w:rsidR="00AD53BA" w:rsidRPr="00AD53BA" w:rsidRDefault="00AD53BA" w:rsidP="00AD53BA">
            <w:pPr>
              <w:pStyle w:val="ListParagraph"/>
            </w:pPr>
          </w:p>
          <w:p w14:paraId="1F0952B4" w14:textId="776EA80A" w:rsidR="00AD53BA" w:rsidRPr="00AD53BA" w:rsidRDefault="00AD53BA" w:rsidP="00AD53BA">
            <w:pPr>
              <w:pStyle w:val="ListParagraph"/>
              <w:numPr>
                <w:ilvl w:val="0"/>
                <w:numId w:val="35"/>
              </w:numPr>
              <w:spacing w:line="360" w:lineRule="auto"/>
              <w:ind w:left="0" w:firstLine="0"/>
              <w:jc w:val="both"/>
              <w:rPr>
                <w:rFonts w:ascii="Arial" w:hAnsi="Arial" w:cs="Arial"/>
                <w:sz w:val="24"/>
                <w:szCs w:val="24"/>
              </w:rPr>
            </w:pPr>
            <w:r w:rsidRPr="00AD53BA">
              <w:rPr>
                <w:rFonts w:ascii="Arial" w:hAnsi="Arial" w:cs="Arial"/>
                <w:sz w:val="24"/>
                <w:szCs w:val="24"/>
              </w:rPr>
              <w:t xml:space="preserve">As I have it, the applicant’s appeal is premised on the fact that the arbitrator allegedly erred in finding that the cause of action arose on 8 July 2022 – when the decision was taken – rather than 11 July 2023 – when the applicant gained knowledge of the respondent’s decision. The court in </w:t>
            </w:r>
            <w:r w:rsidRPr="00AD53BA">
              <w:rPr>
                <w:rFonts w:ascii="Arial" w:hAnsi="Arial" w:cs="Arial"/>
                <w:i/>
                <w:sz w:val="24"/>
                <w:szCs w:val="24"/>
              </w:rPr>
              <w:t>Abrahamse &amp; Sons v SA Railways and Harbours</w:t>
            </w:r>
            <w:r w:rsidRPr="00AD53BA">
              <w:rPr>
                <w:rStyle w:val="FootnoteReference"/>
                <w:rFonts w:ascii="Arial" w:hAnsi="Arial" w:cs="Arial"/>
                <w:sz w:val="24"/>
                <w:szCs w:val="24"/>
              </w:rPr>
              <w:footnoteReference w:id="7"/>
            </w:r>
            <w:r w:rsidRPr="00AD53BA">
              <w:rPr>
                <w:rFonts w:ascii="Arial" w:hAnsi="Arial" w:cs="Arial"/>
                <w:sz w:val="24"/>
                <w:szCs w:val="24"/>
              </w:rPr>
              <w:t xml:space="preserve"> where the meaning of ‘cause of action’ was examined</w:t>
            </w:r>
            <w:r w:rsidR="0081422B">
              <w:rPr>
                <w:rFonts w:ascii="Arial" w:hAnsi="Arial" w:cs="Arial"/>
                <w:sz w:val="24"/>
                <w:szCs w:val="24"/>
              </w:rPr>
              <w:t xml:space="preserve"> held as follows</w:t>
            </w:r>
            <w:r w:rsidRPr="00AD53BA">
              <w:rPr>
                <w:rFonts w:ascii="Arial" w:hAnsi="Arial" w:cs="Arial"/>
                <w:sz w:val="24"/>
                <w:szCs w:val="24"/>
              </w:rPr>
              <w:t xml:space="preserve"> – </w:t>
            </w:r>
          </w:p>
          <w:p w14:paraId="43B685DA" w14:textId="77777777" w:rsidR="00AD53BA" w:rsidRPr="007D7C84" w:rsidRDefault="00AD53BA" w:rsidP="00AD53BA">
            <w:pPr>
              <w:pStyle w:val="ListParagraph"/>
              <w:rPr>
                <w:b/>
              </w:rPr>
            </w:pPr>
          </w:p>
          <w:p w14:paraId="4C39DA74" w14:textId="77777777" w:rsidR="00AD53BA" w:rsidRPr="00DA2435" w:rsidRDefault="00AD53BA" w:rsidP="00AD53BA">
            <w:pPr>
              <w:pStyle w:val="ListParagraph"/>
              <w:spacing w:line="360" w:lineRule="auto"/>
              <w:ind w:left="0" w:firstLine="720"/>
              <w:jc w:val="both"/>
              <w:rPr>
                <w:rFonts w:ascii="Arial" w:hAnsi="Arial" w:cs="Arial"/>
              </w:rPr>
            </w:pPr>
            <w:r w:rsidRPr="00DA2435">
              <w:rPr>
                <w:rFonts w:ascii="Arial" w:hAnsi="Arial" w:cs="Arial"/>
              </w:rPr>
              <w:t xml:space="preserve">‘The proper legal meaning of the expression of “cause of action” is the entire set of facts which gives rise to an enforceable claim and includes every fact which is material to be proved to entitle a plaintiff to succeed in his claim. </w:t>
            </w:r>
            <w:r w:rsidRPr="00DA2435">
              <w:rPr>
                <w:rFonts w:ascii="Arial" w:hAnsi="Arial" w:cs="Arial"/>
                <w:u w:val="single"/>
              </w:rPr>
              <w:t xml:space="preserve">It includes all that a plaintiff must set out in his declaration in order to </w:t>
            </w:r>
            <w:r w:rsidRPr="00DA2435">
              <w:rPr>
                <w:rFonts w:ascii="Arial" w:hAnsi="Arial" w:cs="Arial"/>
                <w:u w:val="single"/>
              </w:rPr>
              <w:lastRenderedPageBreak/>
              <w:t>disclose a cause of action. Such cause of action does not “arise” or “accrue” until the occurrence of the last of such facts and consequently the last of such facts is sometimes loosely spoken of as the cause of action.</w:t>
            </w:r>
            <w:r w:rsidRPr="00DA2435">
              <w:rPr>
                <w:rFonts w:ascii="Arial" w:hAnsi="Arial" w:cs="Arial"/>
              </w:rPr>
              <w:t xml:space="preserve">’ </w:t>
            </w:r>
            <w:r w:rsidRPr="00DA2435">
              <w:rPr>
                <w:rFonts w:ascii="Arial" w:hAnsi="Arial" w:cs="Arial"/>
                <w:sz w:val="24"/>
              </w:rPr>
              <w:t>(Emphasis supplied.)</w:t>
            </w:r>
          </w:p>
          <w:p w14:paraId="627E814F" w14:textId="77777777" w:rsidR="00AD53BA" w:rsidRPr="00DA2435" w:rsidRDefault="00AD53BA" w:rsidP="00AD53BA">
            <w:pPr>
              <w:pStyle w:val="ListParagraph"/>
              <w:spacing w:line="360" w:lineRule="auto"/>
              <w:ind w:left="0"/>
              <w:jc w:val="both"/>
              <w:rPr>
                <w:rFonts w:ascii="Arial" w:hAnsi="Arial" w:cs="Arial"/>
                <w:sz w:val="24"/>
              </w:rPr>
            </w:pPr>
          </w:p>
          <w:p w14:paraId="2A33A67E" w14:textId="7777777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I hold a prima facie view that the arbitrator erred in failing to take cognisance of the fact that the applicant only gained knowledge of the termination on 11 July 2022, and therefore, the cause of action only arose on 11 July 2022. I accordingly find that the applicant does enjoy prospects on appeal.</w:t>
            </w:r>
          </w:p>
          <w:p w14:paraId="02452E8D" w14:textId="77777777" w:rsidR="00AD53BA" w:rsidRDefault="00AD53BA" w:rsidP="00AD53BA">
            <w:pPr>
              <w:pStyle w:val="ListParagraph"/>
              <w:spacing w:line="360" w:lineRule="auto"/>
              <w:ind w:left="0"/>
              <w:jc w:val="both"/>
              <w:rPr>
                <w:rFonts w:ascii="Arial" w:hAnsi="Arial" w:cs="Arial"/>
                <w:sz w:val="24"/>
              </w:rPr>
            </w:pPr>
          </w:p>
          <w:p w14:paraId="1A86EDBE" w14:textId="7777777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Before I conclude, it is a general principle that costs shall only be ordered by court in exceptional circumstances where either of the parties acted vexatious. This is not the case in the present instance and I see no need to order costs in this instance.</w:t>
            </w:r>
          </w:p>
          <w:p w14:paraId="455B4DD1" w14:textId="77777777" w:rsidR="00AD53BA" w:rsidRDefault="00AD53BA" w:rsidP="00AD53BA">
            <w:pPr>
              <w:pStyle w:val="ListParagraph"/>
              <w:spacing w:line="360" w:lineRule="auto"/>
              <w:ind w:left="0"/>
              <w:jc w:val="both"/>
              <w:rPr>
                <w:rFonts w:ascii="Arial" w:hAnsi="Arial" w:cs="Arial"/>
                <w:sz w:val="24"/>
              </w:rPr>
            </w:pPr>
          </w:p>
          <w:p w14:paraId="5AC522D1" w14:textId="77777777" w:rsidR="00AD53BA" w:rsidRDefault="00AD53BA" w:rsidP="00AD53BA">
            <w:pPr>
              <w:pStyle w:val="ListParagraph"/>
              <w:numPr>
                <w:ilvl w:val="0"/>
                <w:numId w:val="35"/>
              </w:numPr>
              <w:spacing w:line="360" w:lineRule="auto"/>
              <w:ind w:left="0" w:firstLine="0"/>
              <w:jc w:val="both"/>
              <w:rPr>
                <w:rFonts w:ascii="Arial" w:hAnsi="Arial" w:cs="Arial"/>
                <w:sz w:val="24"/>
              </w:rPr>
            </w:pPr>
            <w:r>
              <w:rPr>
                <w:rFonts w:ascii="Arial" w:hAnsi="Arial" w:cs="Arial"/>
                <w:sz w:val="24"/>
              </w:rPr>
              <w:t>Having found that the applicant showed good cause in this application, I am of the view that the court should exercise discretion, as I hereby do, and condone the late noting of the appeal. In the end, the following order is made:</w:t>
            </w:r>
          </w:p>
          <w:p w14:paraId="57D5883C" w14:textId="77777777" w:rsidR="00AD53BA" w:rsidRPr="00606127" w:rsidRDefault="00AD53BA" w:rsidP="00AD53BA">
            <w:pPr>
              <w:pStyle w:val="ListParagraph"/>
              <w:rPr>
                <w:rFonts w:ascii="Arial" w:hAnsi="Arial" w:cs="Arial"/>
                <w:sz w:val="24"/>
              </w:rPr>
            </w:pPr>
          </w:p>
          <w:p w14:paraId="309CA67C" w14:textId="77777777" w:rsidR="00AD53BA" w:rsidRPr="00AD53BA" w:rsidRDefault="00AD53BA" w:rsidP="00AD53BA">
            <w:pPr>
              <w:pStyle w:val="ListParagraph"/>
              <w:numPr>
                <w:ilvl w:val="0"/>
                <w:numId w:val="38"/>
              </w:numPr>
              <w:spacing w:line="360" w:lineRule="auto"/>
              <w:ind w:left="1126" w:hanging="567"/>
              <w:jc w:val="both"/>
              <w:rPr>
                <w:rFonts w:ascii="Arial" w:hAnsi="Arial" w:cs="Arial"/>
                <w:sz w:val="24"/>
              </w:rPr>
            </w:pPr>
            <w:r w:rsidRPr="00AD53BA">
              <w:rPr>
                <w:rFonts w:ascii="Arial" w:hAnsi="Arial" w:cs="Arial"/>
                <w:sz w:val="24"/>
              </w:rPr>
              <w:t>The applicant’s late noting of the appeal against the arbitration award SRKE 106-2022 under case number HC-MD-LAB-APP-AAA-2023/00055 as provided for in section 89(2) of the Labour Act, 2007 read with rule 17(4) of the Labour Court Rules is hereby condoned.</w:t>
            </w:r>
          </w:p>
          <w:p w14:paraId="6C63D379" w14:textId="77777777" w:rsidR="00AD53BA" w:rsidRPr="00AD53BA" w:rsidRDefault="00AD53BA" w:rsidP="00AD53BA">
            <w:pPr>
              <w:pStyle w:val="ListParagraph"/>
              <w:spacing w:line="360" w:lineRule="auto"/>
              <w:ind w:left="1126" w:hanging="567"/>
              <w:jc w:val="both"/>
              <w:rPr>
                <w:rFonts w:ascii="Arial" w:hAnsi="Arial" w:cs="Arial"/>
                <w:sz w:val="24"/>
              </w:rPr>
            </w:pPr>
          </w:p>
          <w:p w14:paraId="28B77C60" w14:textId="77777777" w:rsidR="00AD53BA" w:rsidRPr="00AD53BA" w:rsidRDefault="00AD53BA" w:rsidP="00AD53BA">
            <w:pPr>
              <w:pStyle w:val="ListParagraph"/>
              <w:numPr>
                <w:ilvl w:val="0"/>
                <w:numId w:val="38"/>
              </w:numPr>
              <w:spacing w:line="360" w:lineRule="auto"/>
              <w:ind w:left="1126" w:hanging="567"/>
              <w:jc w:val="both"/>
              <w:rPr>
                <w:rFonts w:ascii="Arial" w:hAnsi="Arial" w:cs="Arial"/>
                <w:sz w:val="24"/>
              </w:rPr>
            </w:pPr>
            <w:r w:rsidRPr="00AD53BA">
              <w:rPr>
                <w:rFonts w:ascii="Arial" w:hAnsi="Arial" w:cs="Arial"/>
                <w:sz w:val="24"/>
              </w:rPr>
              <w:t>As far as it may be necessary, the appeal under case number HC-MD-LAB-APP-AAA-2023/00055 is hereby reinstated with the effect from this order.</w:t>
            </w:r>
          </w:p>
          <w:p w14:paraId="4CB4B17B" w14:textId="77777777" w:rsidR="00AD53BA" w:rsidRPr="00AD53BA" w:rsidRDefault="00AD53BA" w:rsidP="00AD53BA">
            <w:pPr>
              <w:pStyle w:val="ListParagraph"/>
              <w:spacing w:line="360" w:lineRule="auto"/>
              <w:ind w:left="1126" w:hanging="567"/>
              <w:jc w:val="both"/>
              <w:rPr>
                <w:rFonts w:ascii="Arial" w:hAnsi="Arial" w:cs="Arial"/>
                <w:sz w:val="24"/>
              </w:rPr>
            </w:pPr>
          </w:p>
          <w:p w14:paraId="43C1B6F4" w14:textId="57306D95" w:rsidR="00AD53BA" w:rsidRPr="00AD53BA" w:rsidRDefault="00AD53BA" w:rsidP="00AD53BA">
            <w:pPr>
              <w:pStyle w:val="ListParagraph"/>
              <w:numPr>
                <w:ilvl w:val="0"/>
                <w:numId w:val="38"/>
              </w:numPr>
              <w:spacing w:line="360" w:lineRule="auto"/>
              <w:ind w:left="1126" w:hanging="567"/>
              <w:jc w:val="both"/>
              <w:rPr>
                <w:rFonts w:ascii="Arial" w:hAnsi="Arial" w:cs="Arial"/>
                <w:sz w:val="24"/>
              </w:rPr>
            </w:pPr>
            <w:r w:rsidRPr="00AD53BA">
              <w:rPr>
                <w:rFonts w:ascii="Arial" w:hAnsi="Arial" w:cs="Arial"/>
                <w:sz w:val="24"/>
              </w:rPr>
              <w:t>As far as it may be necessary, the period within which the applicant may prosecute this appeal under case number HC-MD-LAB-APP-AAA-2023</w:t>
            </w:r>
            <w:r>
              <w:rPr>
                <w:rFonts w:ascii="Arial" w:hAnsi="Arial" w:cs="Arial"/>
                <w:sz w:val="24"/>
              </w:rPr>
              <w:t xml:space="preserve">/00055 is extended for a </w:t>
            </w:r>
            <w:r w:rsidRPr="00AD53BA">
              <w:rPr>
                <w:rFonts w:ascii="Arial" w:hAnsi="Arial" w:cs="Arial"/>
                <w:sz w:val="24"/>
              </w:rPr>
              <w:t>period of 90 days from the date of this order.</w:t>
            </w:r>
          </w:p>
          <w:p w14:paraId="4B09A482" w14:textId="77777777" w:rsidR="00AD53BA" w:rsidRPr="00AD53BA" w:rsidRDefault="00AD53BA" w:rsidP="00AD53BA">
            <w:pPr>
              <w:pStyle w:val="ListParagraph"/>
              <w:spacing w:line="360" w:lineRule="auto"/>
              <w:ind w:left="1126" w:hanging="567"/>
              <w:jc w:val="both"/>
              <w:rPr>
                <w:rFonts w:ascii="Arial" w:hAnsi="Arial" w:cs="Arial"/>
                <w:sz w:val="24"/>
              </w:rPr>
            </w:pPr>
          </w:p>
          <w:p w14:paraId="190F4482" w14:textId="77777777" w:rsidR="00AD53BA" w:rsidRPr="00AD53BA" w:rsidRDefault="00AD53BA" w:rsidP="00AD53BA">
            <w:pPr>
              <w:pStyle w:val="ListParagraph"/>
              <w:numPr>
                <w:ilvl w:val="0"/>
                <w:numId w:val="38"/>
              </w:numPr>
              <w:spacing w:line="360" w:lineRule="auto"/>
              <w:ind w:left="1126" w:hanging="567"/>
              <w:jc w:val="both"/>
              <w:rPr>
                <w:rFonts w:ascii="Arial" w:hAnsi="Arial" w:cs="Arial"/>
                <w:sz w:val="24"/>
              </w:rPr>
            </w:pPr>
            <w:r w:rsidRPr="00AD53BA">
              <w:rPr>
                <w:rFonts w:ascii="Arial" w:hAnsi="Arial" w:cs="Arial"/>
                <w:sz w:val="24"/>
              </w:rPr>
              <w:t>There is no order as to costs.</w:t>
            </w:r>
          </w:p>
          <w:p w14:paraId="4BF8ED7C" w14:textId="77777777" w:rsidR="00AD53BA" w:rsidRPr="00AD53BA" w:rsidRDefault="00AD53BA" w:rsidP="00AD53BA">
            <w:pPr>
              <w:pStyle w:val="ListParagraph"/>
              <w:spacing w:line="360" w:lineRule="auto"/>
              <w:ind w:left="1126" w:hanging="567"/>
              <w:jc w:val="both"/>
              <w:rPr>
                <w:rFonts w:ascii="Arial" w:hAnsi="Arial" w:cs="Arial"/>
                <w:sz w:val="24"/>
              </w:rPr>
            </w:pPr>
          </w:p>
          <w:p w14:paraId="30462D48" w14:textId="79C3ECE4" w:rsidR="00AD53BA" w:rsidRPr="00AD53BA" w:rsidRDefault="00AD53BA" w:rsidP="00AD53BA">
            <w:pPr>
              <w:pStyle w:val="ListParagraph"/>
              <w:numPr>
                <w:ilvl w:val="0"/>
                <w:numId w:val="38"/>
              </w:numPr>
              <w:spacing w:line="360" w:lineRule="auto"/>
              <w:ind w:left="1126" w:hanging="567"/>
              <w:jc w:val="both"/>
              <w:rPr>
                <w:rFonts w:ascii="Arial" w:hAnsi="Arial" w:cs="Arial"/>
                <w:sz w:val="24"/>
              </w:rPr>
            </w:pPr>
            <w:r w:rsidRPr="00AD53BA">
              <w:rPr>
                <w:rFonts w:ascii="Arial" w:hAnsi="Arial" w:cs="Arial"/>
                <w:sz w:val="24"/>
              </w:rPr>
              <w:lastRenderedPageBreak/>
              <w:t>The matter is regarded as finalised and removed from the roll.</w:t>
            </w:r>
          </w:p>
          <w:p w14:paraId="50881B48" w14:textId="2FFF96FF" w:rsidR="00AD53BA" w:rsidRPr="00BF46CD" w:rsidRDefault="00AD53BA" w:rsidP="00BF46CD">
            <w:pPr>
              <w:spacing w:line="360" w:lineRule="auto"/>
              <w:jc w:val="both"/>
              <w:rPr>
                <w:lang w:val="af-ZA"/>
              </w:rPr>
            </w:pPr>
          </w:p>
        </w:tc>
      </w:tr>
      <w:tr w:rsidR="001D6B3F" w:rsidRPr="001D6B3F" w14:paraId="669CD305" w14:textId="77777777" w:rsidTr="00004108">
        <w:tc>
          <w:tcPr>
            <w:tcW w:w="4770" w:type="dxa"/>
          </w:tcPr>
          <w:p w14:paraId="52935D9E" w14:textId="77777777" w:rsidR="009C2E53" w:rsidRPr="001D6B3F" w:rsidRDefault="003E7B95" w:rsidP="007A6C9F">
            <w:pPr>
              <w:spacing w:line="360" w:lineRule="auto"/>
              <w:jc w:val="center"/>
              <w:rPr>
                <w:rFonts w:ascii="Arial" w:hAnsi="Arial" w:cs="Arial"/>
                <w:b/>
                <w:sz w:val="24"/>
                <w:szCs w:val="24"/>
              </w:rPr>
            </w:pPr>
            <w:r w:rsidRPr="001D6B3F">
              <w:rPr>
                <w:rFonts w:ascii="Arial" w:hAnsi="Arial" w:cs="Arial"/>
                <w:b/>
                <w:sz w:val="24"/>
                <w:szCs w:val="24"/>
                <w:lang w:val="en-US"/>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147BDE73" w14:textId="21D08B7B" w:rsidR="009C2E53" w:rsidRPr="001D6B3F" w:rsidRDefault="009C2E53" w:rsidP="007A6C9F">
            <w:pPr>
              <w:spacing w:line="360" w:lineRule="auto"/>
              <w:jc w:val="both"/>
              <w:rPr>
                <w:rFonts w:ascii="Arial" w:hAnsi="Arial" w:cs="Arial"/>
                <w:sz w:val="24"/>
                <w:szCs w:val="24"/>
              </w:rPr>
            </w:pP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096D0CDF" w:rsidR="009C2E53" w:rsidRPr="001D6B3F" w:rsidRDefault="00BF46CD" w:rsidP="007A6C9F">
            <w:pPr>
              <w:spacing w:line="360" w:lineRule="auto"/>
              <w:jc w:val="center"/>
              <w:rPr>
                <w:rFonts w:ascii="Arial" w:hAnsi="Arial" w:cs="Arial"/>
                <w:b/>
                <w:sz w:val="24"/>
                <w:szCs w:val="24"/>
              </w:rPr>
            </w:pPr>
            <w:r>
              <w:rPr>
                <w:rFonts w:ascii="Arial" w:hAnsi="Arial" w:cs="Arial"/>
                <w:b/>
                <w:sz w:val="24"/>
                <w:szCs w:val="24"/>
              </w:rPr>
              <w:t>Applicant</w:t>
            </w:r>
          </w:p>
        </w:tc>
        <w:tc>
          <w:tcPr>
            <w:tcW w:w="5706" w:type="dxa"/>
            <w:gridSpan w:val="2"/>
          </w:tcPr>
          <w:p w14:paraId="208DE7F5" w14:textId="1071C8D6"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BF46CD">
              <w:rPr>
                <w:rFonts w:ascii="Arial" w:hAnsi="Arial" w:cs="Arial"/>
                <w:b/>
                <w:sz w:val="24"/>
                <w:szCs w:val="24"/>
              </w:rPr>
              <w:t>Respondent</w:t>
            </w:r>
          </w:p>
        </w:tc>
      </w:tr>
      <w:tr w:rsidR="001D6B3F" w:rsidRPr="001D6B3F" w14:paraId="4A32A77D" w14:textId="77777777" w:rsidTr="00143B2D">
        <w:trPr>
          <w:trHeight w:val="989"/>
        </w:trPr>
        <w:tc>
          <w:tcPr>
            <w:tcW w:w="4770" w:type="dxa"/>
          </w:tcPr>
          <w:p w14:paraId="020B5016" w14:textId="285E1B9D"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300E1C3D" w14:textId="77777777" w:rsidR="00AB71DC" w:rsidRDefault="00AD53BA" w:rsidP="00535D15">
            <w:pPr>
              <w:pStyle w:val="Body"/>
              <w:spacing w:line="360" w:lineRule="auto"/>
              <w:jc w:val="center"/>
              <w:rPr>
                <w:rFonts w:ascii="Arial" w:hAnsi="Arial" w:cs="Arial"/>
                <w:sz w:val="24"/>
                <w:szCs w:val="24"/>
              </w:rPr>
            </w:pPr>
            <w:r>
              <w:rPr>
                <w:rFonts w:ascii="Arial" w:hAnsi="Arial" w:cs="Arial"/>
                <w:sz w:val="24"/>
                <w:szCs w:val="24"/>
              </w:rPr>
              <w:t>J Tjizo</w:t>
            </w:r>
          </w:p>
          <w:p w14:paraId="710D9D96" w14:textId="31698C2F" w:rsidR="00AD53BA" w:rsidRPr="001D6B3F" w:rsidRDefault="00AD53BA" w:rsidP="00535D15">
            <w:pPr>
              <w:pStyle w:val="Body"/>
              <w:spacing w:line="360" w:lineRule="auto"/>
              <w:jc w:val="center"/>
              <w:rPr>
                <w:rFonts w:ascii="Arial" w:hAnsi="Arial" w:cs="Arial"/>
                <w:sz w:val="24"/>
                <w:szCs w:val="24"/>
              </w:rPr>
            </w:pPr>
            <w:r>
              <w:rPr>
                <w:rFonts w:ascii="Arial" w:hAnsi="Arial" w:cs="Arial"/>
                <w:sz w:val="24"/>
                <w:szCs w:val="24"/>
              </w:rPr>
              <w:t>Of Jerhome Tjizo &amp; Company Incorporated, Windhoek</w:t>
            </w: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442FB103" w14:textId="77777777" w:rsidR="009C2E53" w:rsidRDefault="00AD53BA" w:rsidP="00535D15">
            <w:pPr>
              <w:spacing w:line="360" w:lineRule="auto"/>
              <w:jc w:val="center"/>
              <w:rPr>
                <w:rFonts w:ascii="Arial" w:hAnsi="Arial" w:cs="Arial"/>
                <w:sz w:val="24"/>
                <w:szCs w:val="24"/>
              </w:rPr>
            </w:pPr>
            <w:r>
              <w:rPr>
                <w:rFonts w:ascii="Arial" w:hAnsi="Arial" w:cs="Arial"/>
                <w:sz w:val="24"/>
                <w:szCs w:val="24"/>
              </w:rPr>
              <w:t>M Kuzeeko</w:t>
            </w:r>
          </w:p>
          <w:p w14:paraId="1E8AB446" w14:textId="7D0C83C3" w:rsidR="00AD53BA" w:rsidRPr="001D6B3F" w:rsidRDefault="00AD53BA" w:rsidP="00535D15">
            <w:pPr>
              <w:spacing w:line="360" w:lineRule="auto"/>
              <w:jc w:val="center"/>
              <w:rPr>
                <w:rFonts w:ascii="Arial" w:hAnsi="Arial" w:cs="Arial"/>
                <w:sz w:val="24"/>
                <w:szCs w:val="24"/>
              </w:rPr>
            </w:pPr>
            <w:r>
              <w:rPr>
                <w:rFonts w:ascii="Arial" w:hAnsi="Arial" w:cs="Arial"/>
                <w:sz w:val="24"/>
                <w:szCs w:val="24"/>
              </w:rPr>
              <w:t>Of Dr Weder, Kauta &amp; Hoveka Incorporated, Windhoek</w:t>
            </w:r>
          </w:p>
        </w:tc>
      </w:tr>
    </w:tbl>
    <w:p w14:paraId="145039E2" w14:textId="74A69CA0" w:rsidR="009C2E53" w:rsidRPr="001D6B3F" w:rsidRDefault="009C2E53" w:rsidP="00EF1256">
      <w:pPr>
        <w:spacing w:after="0" w:line="360" w:lineRule="auto"/>
        <w:jc w:val="both"/>
      </w:pPr>
    </w:p>
    <w:sectPr w:rsidR="009C2E53" w:rsidRPr="001D6B3F"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FB14C" w14:textId="77777777" w:rsidR="00052062" w:rsidRDefault="00052062" w:rsidP="009C2E53">
      <w:pPr>
        <w:spacing w:after="0" w:line="240" w:lineRule="auto"/>
      </w:pPr>
      <w:r>
        <w:separator/>
      </w:r>
    </w:p>
  </w:endnote>
  <w:endnote w:type="continuationSeparator" w:id="0">
    <w:p w14:paraId="2DF10E1E" w14:textId="77777777" w:rsidR="00052062" w:rsidRDefault="00052062"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2AF95" w14:textId="77777777" w:rsidR="00052062" w:rsidRDefault="00052062" w:rsidP="009C2E53">
      <w:pPr>
        <w:spacing w:after="0" w:line="240" w:lineRule="auto"/>
      </w:pPr>
      <w:r>
        <w:separator/>
      </w:r>
    </w:p>
  </w:footnote>
  <w:footnote w:type="continuationSeparator" w:id="0">
    <w:p w14:paraId="0C4DEF8E" w14:textId="77777777" w:rsidR="00052062" w:rsidRDefault="00052062" w:rsidP="009C2E53">
      <w:pPr>
        <w:spacing w:after="0" w:line="240" w:lineRule="auto"/>
      </w:pPr>
      <w:r>
        <w:continuationSeparator/>
      </w:r>
    </w:p>
  </w:footnote>
  <w:footnote w:id="1">
    <w:p w14:paraId="0F43F6B4" w14:textId="77777777" w:rsidR="00AD53BA" w:rsidRPr="000908DA" w:rsidRDefault="00AD53BA" w:rsidP="00AD53BA">
      <w:pPr>
        <w:pStyle w:val="FootnoteText"/>
        <w:jc w:val="both"/>
        <w:rPr>
          <w:rFonts w:ascii="Arial" w:hAnsi="Arial" w:cs="Arial"/>
          <w:lang w:val="en-US"/>
        </w:rPr>
      </w:pPr>
      <w:r>
        <w:rPr>
          <w:rStyle w:val="FootnoteReference"/>
        </w:rPr>
        <w:footnoteRef/>
      </w:r>
      <w:r>
        <w:t xml:space="preserve"> </w:t>
      </w:r>
      <w:r>
        <w:rPr>
          <w:rFonts w:ascii="Arial" w:hAnsi="Arial" w:cs="Arial"/>
          <w:lang w:val="en-US"/>
        </w:rPr>
        <w:t>Section 33(4) provides that ‘in any proceedings concerning a dismissal – (a) if the employee establishes the existence of the dismissal; (b) it is presumed, unless the contrary is proved by the employer, that the dismissal is unfair.’</w:t>
      </w:r>
    </w:p>
  </w:footnote>
  <w:footnote w:id="2">
    <w:p w14:paraId="3D5C1F2C" w14:textId="77777777" w:rsidR="00AD53BA" w:rsidRPr="00EE1D1F" w:rsidRDefault="00AD53BA" w:rsidP="00AD53BA">
      <w:pPr>
        <w:pStyle w:val="FootnoteText"/>
        <w:jc w:val="both"/>
        <w:rPr>
          <w:rFonts w:ascii="Arial" w:hAnsi="Arial" w:cs="Arial"/>
          <w:lang w:val="en-US"/>
        </w:rPr>
      </w:pPr>
      <w:r>
        <w:rPr>
          <w:rStyle w:val="FootnoteReference"/>
        </w:rPr>
        <w:footnoteRef/>
      </w:r>
      <w:r>
        <w:t xml:space="preserve"> </w:t>
      </w:r>
      <w:r>
        <w:rPr>
          <w:rFonts w:ascii="Arial" w:hAnsi="Arial" w:cs="Arial"/>
          <w:i/>
          <w:lang w:val="en-US"/>
        </w:rPr>
        <w:t xml:space="preserve">Telecom Namibia Limited v Nangolo and Others </w:t>
      </w:r>
      <w:r>
        <w:rPr>
          <w:rFonts w:ascii="Arial" w:hAnsi="Arial" w:cs="Arial"/>
          <w:lang w:val="en-US"/>
        </w:rPr>
        <w:t>(LC 33 of 2009) [2012] NALC 15 (28 May 2012).</w:t>
      </w:r>
    </w:p>
  </w:footnote>
  <w:footnote w:id="3">
    <w:p w14:paraId="1224B547" w14:textId="77777777" w:rsidR="00AD53BA" w:rsidRPr="00263767" w:rsidRDefault="00AD53BA" w:rsidP="00AD53BA">
      <w:pPr>
        <w:pStyle w:val="FootnoteText"/>
        <w:jc w:val="both"/>
        <w:rPr>
          <w:lang w:val="en-US"/>
        </w:rPr>
      </w:pPr>
      <w:r>
        <w:rPr>
          <w:rStyle w:val="FootnoteReference"/>
        </w:rPr>
        <w:footnoteRef/>
      </w:r>
      <w:r>
        <w:t xml:space="preserve"> </w:t>
      </w:r>
      <w:r w:rsidRPr="00263767">
        <w:rPr>
          <w:rFonts w:ascii="Arial" w:hAnsi="Arial" w:cs="Arial"/>
          <w:bCs/>
          <w:i/>
          <w:iCs/>
          <w:szCs w:val="24"/>
        </w:rPr>
        <w:t xml:space="preserve">Nekongo </w:t>
      </w:r>
      <w:r w:rsidRPr="00263767">
        <w:rPr>
          <w:rFonts w:ascii="Arial" w:hAnsi="Arial" w:cs="Arial"/>
          <w:i/>
          <w:szCs w:val="24"/>
        </w:rPr>
        <w:t>v First National Bank Limited (</w:t>
      </w:r>
      <w:r w:rsidRPr="00263767">
        <w:rPr>
          <w:rFonts w:ascii="Arial" w:hAnsi="Arial" w:cs="Arial"/>
          <w:szCs w:val="24"/>
          <w:shd w:val="clear" w:color="auto" w:fill="FFFFFF"/>
        </w:rPr>
        <w:t>HC-MD-CIV-ACT-CON-2019/03638</w:t>
      </w:r>
      <w:r w:rsidRPr="00263767">
        <w:rPr>
          <w:rFonts w:ascii="Arial" w:hAnsi="Arial" w:cs="Arial"/>
          <w:szCs w:val="24"/>
        </w:rPr>
        <w:t>) [2021] NAHCMD 397 (3 September 2021) paras 12-13.</w:t>
      </w:r>
    </w:p>
  </w:footnote>
  <w:footnote w:id="4">
    <w:p w14:paraId="254B138D" w14:textId="77777777" w:rsidR="00AD53BA" w:rsidRPr="00263767" w:rsidRDefault="00AD53BA" w:rsidP="00AD53BA">
      <w:pPr>
        <w:pStyle w:val="FootnoteText"/>
        <w:jc w:val="both"/>
        <w:rPr>
          <w:lang w:val="en-US"/>
        </w:rPr>
      </w:pPr>
      <w:r>
        <w:rPr>
          <w:rStyle w:val="FootnoteReference"/>
        </w:rPr>
        <w:footnoteRef/>
      </w:r>
      <w:r>
        <w:t xml:space="preserve"> </w:t>
      </w:r>
      <w:r w:rsidRPr="00263767">
        <w:rPr>
          <w:rFonts w:ascii="Arial" w:hAnsi="Arial" w:cs="Arial"/>
        </w:rPr>
        <w:t>Channel Life Namibia (Pty) Ltd v Otto 2008 (2) NR 432 (SC) at 445 para 45.</w:t>
      </w:r>
    </w:p>
  </w:footnote>
  <w:footnote w:id="5">
    <w:p w14:paraId="4C39C8E3" w14:textId="77777777" w:rsidR="00AD53BA" w:rsidRPr="009D7302" w:rsidRDefault="00AD53BA" w:rsidP="00AD53BA">
      <w:pPr>
        <w:pStyle w:val="FootnoteText"/>
        <w:rPr>
          <w:lang w:val="en-US"/>
        </w:rPr>
      </w:pPr>
      <w:r>
        <w:rPr>
          <w:rStyle w:val="FootnoteReference"/>
        </w:rPr>
        <w:footnoteRef/>
      </w:r>
      <w:r>
        <w:t xml:space="preserve"> </w:t>
      </w:r>
      <w:r w:rsidRPr="009D7302">
        <w:rPr>
          <w:rFonts w:ascii="Arial" w:hAnsi="Arial" w:cs="Arial"/>
          <w:i/>
        </w:rPr>
        <w:t>Goseb v Usakos Town Council</w:t>
      </w:r>
      <w:r w:rsidRPr="009D7302">
        <w:rPr>
          <w:rFonts w:ascii="Arial" w:hAnsi="Arial" w:cs="Arial"/>
        </w:rPr>
        <w:t xml:space="preserve"> (HC-MD-LAB-APP-AAA-2018/00036) [2019] NALCMD 12 (8 May 2019).</w:t>
      </w:r>
    </w:p>
  </w:footnote>
  <w:footnote w:id="6">
    <w:p w14:paraId="5FDC7CF0" w14:textId="77777777" w:rsidR="00AD53BA" w:rsidRPr="00DA2435" w:rsidRDefault="00AD53BA" w:rsidP="00AD53BA">
      <w:pPr>
        <w:pStyle w:val="FootnoteText"/>
        <w:jc w:val="both"/>
        <w:rPr>
          <w:lang w:val="en-US"/>
        </w:rPr>
      </w:pPr>
      <w:r>
        <w:rPr>
          <w:rStyle w:val="FootnoteReference"/>
        </w:rPr>
        <w:footnoteRef/>
      </w:r>
      <w:r>
        <w:t xml:space="preserve"> </w:t>
      </w:r>
      <w:r w:rsidRPr="00DA2435">
        <w:rPr>
          <w:rFonts w:ascii="Arial" w:hAnsi="Arial" w:cs="Arial"/>
          <w:i/>
        </w:rPr>
        <w:t xml:space="preserve">Oudekraal Estates (Pty) Ltd v City of Cape Town and Others </w:t>
      </w:r>
      <w:r w:rsidRPr="00DA2435">
        <w:rPr>
          <w:rFonts w:ascii="Arial" w:hAnsi="Arial" w:cs="Arial"/>
        </w:rPr>
        <w:t>2004 (6) SA 222 (SCA).</w:t>
      </w:r>
    </w:p>
  </w:footnote>
  <w:footnote w:id="7">
    <w:p w14:paraId="28B1E02D" w14:textId="77777777" w:rsidR="00AD53BA" w:rsidRPr="007D7C84" w:rsidRDefault="00AD53BA" w:rsidP="00AD53BA">
      <w:pPr>
        <w:pStyle w:val="FootnoteText"/>
        <w:jc w:val="both"/>
        <w:rPr>
          <w:lang w:val="en-US"/>
        </w:rPr>
      </w:pPr>
      <w:r>
        <w:rPr>
          <w:rStyle w:val="FootnoteReference"/>
        </w:rPr>
        <w:footnoteRef/>
      </w:r>
      <w:r>
        <w:t xml:space="preserve"> </w:t>
      </w:r>
      <w:r w:rsidRPr="00AD53BA">
        <w:rPr>
          <w:rFonts w:ascii="Arial" w:hAnsi="Arial" w:cs="Arial"/>
          <w:i/>
        </w:rPr>
        <w:t xml:space="preserve">Abrahamse &amp; Sons v SA Railways and Harbours </w:t>
      </w:r>
      <w:r w:rsidRPr="00AD53BA">
        <w:rPr>
          <w:rFonts w:ascii="Arial" w:hAnsi="Arial" w:cs="Arial"/>
        </w:rPr>
        <w:t xml:space="preserve">1993 CPD 626 cited with approval in </w:t>
      </w:r>
      <w:r w:rsidRPr="00AD53BA">
        <w:rPr>
          <w:rFonts w:ascii="Arial" w:hAnsi="Arial" w:cs="Arial"/>
          <w:i/>
        </w:rPr>
        <w:t xml:space="preserve">Namibia Breweries Ltd v Seelenbinder, Henning &amp; Partners </w:t>
      </w:r>
      <w:r w:rsidRPr="00AD53BA">
        <w:rPr>
          <w:rFonts w:ascii="Arial" w:hAnsi="Arial" w:cs="Arial"/>
        </w:rPr>
        <w:t>Case No (P) I 1606/1999 delivered on 12 February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rsidP="00BF46CD">
        <w:pPr>
          <w:pStyle w:val="Header"/>
          <w:tabs>
            <w:tab w:val="clear" w:pos="9360"/>
            <w:tab w:val="right" w:pos="10065"/>
          </w:tabs>
          <w:ind w:right="-705"/>
          <w:jc w:val="right"/>
        </w:pPr>
        <w:r w:rsidRPr="00186A43">
          <w:fldChar w:fldCharType="begin"/>
        </w:r>
        <w:r w:rsidRPr="00186A43">
          <w:instrText xml:space="preserve"> PAGE   \* MERGEFORMAT </w:instrText>
        </w:r>
        <w:r w:rsidRPr="00186A43">
          <w:fldChar w:fldCharType="separate"/>
        </w:r>
        <w:r w:rsidR="00D17FB6">
          <w:rPr>
            <w:noProof/>
          </w:rPr>
          <w:t>8</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2181FB4"/>
    <w:lvl w:ilvl="0">
      <w:start w:val="1"/>
      <w:numFmt w:val="decimal"/>
      <w:pStyle w:val="Heading1"/>
      <w:lvlText w:val="[%1]"/>
      <w:lvlJc w:val="left"/>
      <w:pPr>
        <w:ind w:left="502" w:hanging="360"/>
      </w:pPr>
      <w:rPr>
        <w:rFonts w:hint="default"/>
        <w:i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AE5231"/>
    <w:multiLevelType w:val="hybridMultilevel"/>
    <w:tmpl w:val="62023B62"/>
    <w:lvl w:ilvl="0" w:tplc="1F288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2F22D5"/>
    <w:multiLevelType w:val="hybridMultilevel"/>
    <w:tmpl w:val="2046A142"/>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C9066F8"/>
    <w:multiLevelType w:val="hybridMultilevel"/>
    <w:tmpl w:val="C1CAFA7A"/>
    <w:lvl w:ilvl="0" w:tplc="4B14C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8B5DE0"/>
    <w:multiLevelType w:val="multilevel"/>
    <w:tmpl w:val="0BFC282C"/>
    <w:numStyleLink w:val="ImportedStyle1"/>
  </w:abstractNum>
  <w:abstractNum w:abstractNumId="18">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F81C39"/>
    <w:multiLevelType w:val="hybridMultilevel"/>
    <w:tmpl w:val="5DCE1C6C"/>
    <w:lvl w:ilvl="0" w:tplc="8DA09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DF27EFC"/>
    <w:multiLevelType w:val="hybridMultilevel"/>
    <w:tmpl w:val="1D440512"/>
    <w:lvl w:ilvl="0" w:tplc="5AC01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C66"/>
    <w:multiLevelType w:val="hybridMultilevel"/>
    <w:tmpl w:val="36C0CF7C"/>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DBB7230"/>
    <w:multiLevelType w:val="hybridMultilevel"/>
    <w:tmpl w:val="99FE53F4"/>
    <w:lvl w:ilvl="0" w:tplc="4162A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05D6568"/>
    <w:multiLevelType w:val="hybridMultilevel"/>
    <w:tmpl w:val="E1F4E1EA"/>
    <w:lvl w:ilvl="0" w:tplc="EE5CC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7E61150"/>
    <w:multiLevelType w:val="hybridMultilevel"/>
    <w:tmpl w:val="7EB2D1D8"/>
    <w:lvl w:ilvl="0" w:tplc="CDE6AE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AD38BA"/>
    <w:multiLevelType w:val="hybridMultilevel"/>
    <w:tmpl w:val="F11C505E"/>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1"/>
  </w:num>
  <w:num w:numId="3">
    <w:abstractNumId w:val="5"/>
  </w:num>
  <w:num w:numId="4">
    <w:abstractNumId w:val="22"/>
  </w:num>
  <w:num w:numId="5">
    <w:abstractNumId w:val="21"/>
  </w:num>
  <w:num w:numId="6">
    <w:abstractNumId w:val="15"/>
  </w:num>
  <w:num w:numId="7">
    <w:abstractNumId w:val="12"/>
  </w:num>
  <w:num w:numId="8">
    <w:abstractNumId w:val="33"/>
  </w:num>
  <w:num w:numId="9">
    <w:abstractNumId w:val="14"/>
  </w:num>
  <w:num w:numId="10">
    <w:abstractNumId w:val="37"/>
  </w:num>
  <w:num w:numId="11">
    <w:abstractNumId w:val="27"/>
  </w:num>
  <w:num w:numId="12">
    <w:abstractNumId w:val="7"/>
  </w:num>
  <w:num w:numId="13">
    <w:abstractNumId w:val="20"/>
  </w:num>
  <w:num w:numId="14">
    <w:abstractNumId w:val="32"/>
  </w:num>
  <w:num w:numId="15">
    <w:abstractNumId w:val="36"/>
  </w:num>
  <w:num w:numId="16">
    <w:abstractNumId w:val="11"/>
  </w:num>
  <w:num w:numId="17">
    <w:abstractNumId w:val="9"/>
  </w:num>
  <w:num w:numId="18">
    <w:abstractNumId w:val="17"/>
  </w:num>
  <w:num w:numId="19">
    <w:abstractNumId w:val="16"/>
  </w:num>
  <w:num w:numId="20">
    <w:abstractNumId w:val="18"/>
  </w:num>
  <w:num w:numId="21">
    <w:abstractNumId w:val="6"/>
  </w:num>
  <w:num w:numId="22">
    <w:abstractNumId w:val="13"/>
  </w:num>
  <w:num w:numId="23">
    <w:abstractNumId w:val="30"/>
  </w:num>
  <w:num w:numId="24">
    <w:abstractNumId w:val="4"/>
  </w:num>
  <w:num w:numId="25">
    <w:abstractNumId w:val="26"/>
  </w:num>
  <w:num w:numId="26">
    <w:abstractNumId w:val="2"/>
  </w:num>
  <w:num w:numId="27">
    <w:abstractNumId w:val="28"/>
  </w:num>
  <w:num w:numId="28">
    <w:abstractNumId w:val="29"/>
  </w:num>
  <w:num w:numId="29">
    <w:abstractNumId w:val="24"/>
  </w:num>
  <w:num w:numId="30">
    <w:abstractNumId w:val="8"/>
  </w:num>
  <w:num w:numId="31">
    <w:abstractNumId w:val="3"/>
  </w:num>
  <w:num w:numId="32">
    <w:abstractNumId w:val="31"/>
  </w:num>
  <w:num w:numId="33">
    <w:abstractNumId w:val="34"/>
  </w:num>
  <w:num w:numId="34">
    <w:abstractNumId w:val="19"/>
  </w:num>
  <w:num w:numId="35">
    <w:abstractNumId w:val="35"/>
  </w:num>
  <w:num w:numId="36">
    <w:abstractNumId w:val="0"/>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4108"/>
    <w:rsid w:val="00004E1C"/>
    <w:rsid w:val="0001446E"/>
    <w:rsid w:val="000151DD"/>
    <w:rsid w:val="00016B7B"/>
    <w:rsid w:val="00017193"/>
    <w:rsid w:val="00025639"/>
    <w:rsid w:val="00025D47"/>
    <w:rsid w:val="00027317"/>
    <w:rsid w:val="00034287"/>
    <w:rsid w:val="000424AD"/>
    <w:rsid w:val="000517D9"/>
    <w:rsid w:val="000519A2"/>
    <w:rsid w:val="00052062"/>
    <w:rsid w:val="00060136"/>
    <w:rsid w:val="000672C0"/>
    <w:rsid w:val="000736B6"/>
    <w:rsid w:val="000742B3"/>
    <w:rsid w:val="000817FE"/>
    <w:rsid w:val="00093110"/>
    <w:rsid w:val="00094B6B"/>
    <w:rsid w:val="00096F9F"/>
    <w:rsid w:val="00097233"/>
    <w:rsid w:val="000A193C"/>
    <w:rsid w:val="000A2C5F"/>
    <w:rsid w:val="000B2A0C"/>
    <w:rsid w:val="000B2FEC"/>
    <w:rsid w:val="000B33EE"/>
    <w:rsid w:val="000C0916"/>
    <w:rsid w:val="000C246D"/>
    <w:rsid w:val="000C61B9"/>
    <w:rsid w:val="000C665C"/>
    <w:rsid w:val="000D0405"/>
    <w:rsid w:val="000D1FDC"/>
    <w:rsid w:val="000D239B"/>
    <w:rsid w:val="000D4D37"/>
    <w:rsid w:val="000E775F"/>
    <w:rsid w:val="000F6149"/>
    <w:rsid w:val="0010178E"/>
    <w:rsid w:val="0010758D"/>
    <w:rsid w:val="00107F84"/>
    <w:rsid w:val="00116A1A"/>
    <w:rsid w:val="00126DF2"/>
    <w:rsid w:val="0013278F"/>
    <w:rsid w:val="00137D18"/>
    <w:rsid w:val="00142FF4"/>
    <w:rsid w:val="00143B2D"/>
    <w:rsid w:val="0014516C"/>
    <w:rsid w:val="00154A5A"/>
    <w:rsid w:val="00155CE9"/>
    <w:rsid w:val="001624C1"/>
    <w:rsid w:val="001704E1"/>
    <w:rsid w:val="001779B3"/>
    <w:rsid w:val="001844BF"/>
    <w:rsid w:val="001852E3"/>
    <w:rsid w:val="00186A43"/>
    <w:rsid w:val="001A5C0F"/>
    <w:rsid w:val="001B0AC2"/>
    <w:rsid w:val="001B27F4"/>
    <w:rsid w:val="001C4DB1"/>
    <w:rsid w:val="001C7592"/>
    <w:rsid w:val="001D2A5E"/>
    <w:rsid w:val="001D51E3"/>
    <w:rsid w:val="001D6B3F"/>
    <w:rsid w:val="001E267B"/>
    <w:rsid w:val="001E704F"/>
    <w:rsid w:val="001F058C"/>
    <w:rsid w:val="00210099"/>
    <w:rsid w:val="002120B7"/>
    <w:rsid w:val="0021222B"/>
    <w:rsid w:val="002150D0"/>
    <w:rsid w:val="002158A2"/>
    <w:rsid w:val="00222BB5"/>
    <w:rsid w:val="00225D4A"/>
    <w:rsid w:val="0023037A"/>
    <w:rsid w:val="00236038"/>
    <w:rsid w:val="00241358"/>
    <w:rsid w:val="002478E9"/>
    <w:rsid w:val="002524E6"/>
    <w:rsid w:val="00257708"/>
    <w:rsid w:val="00267876"/>
    <w:rsid w:val="00280EA1"/>
    <w:rsid w:val="002828CA"/>
    <w:rsid w:val="00284B5E"/>
    <w:rsid w:val="00287260"/>
    <w:rsid w:val="00297DDA"/>
    <w:rsid w:val="002A1B18"/>
    <w:rsid w:val="002C7062"/>
    <w:rsid w:val="002D0858"/>
    <w:rsid w:val="002D15B0"/>
    <w:rsid w:val="002D1DC3"/>
    <w:rsid w:val="002D269C"/>
    <w:rsid w:val="002D5299"/>
    <w:rsid w:val="002D6C03"/>
    <w:rsid w:val="002E1314"/>
    <w:rsid w:val="002E3C26"/>
    <w:rsid w:val="002E66C4"/>
    <w:rsid w:val="002E779F"/>
    <w:rsid w:val="002F00E2"/>
    <w:rsid w:val="003058A9"/>
    <w:rsid w:val="00315844"/>
    <w:rsid w:val="00324AA6"/>
    <w:rsid w:val="00333FE2"/>
    <w:rsid w:val="0034027A"/>
    <w:rsid w:val="00341784"/>
    <w:rsid w:val="00342991"/>
    <w:rsid w:val="00351E67"/>
    <w:rsid w:val="00387CE2"/>
    <w:rsid w:val="00390CAF"/>
    <w:rsid w:val="0039792A"/>
    <w:rsid w:val="003B0C0D"/>
    <w:rsid w:val="003D2D8A"/>
    <w:rsid w:val="003D5992"/>
    <w:rsid w:val="003E72DC"/>
    <w:rsid w:val="003E7B95"/>
    <w:rsid w:val="00402207"/>
    <w:rsid w:val="004026D2"/>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7A3"/>
    <w:rsid w:val="004878D3"/>
    <w:rsid w:val="00487903"/>
    <w:rsid w:val="004907F9"/>
    <w:rsid w:val="00491EAE"/>
    <w:rsid w:val="004B2FE6"/>
    <w:rsid w:val="004B53A5"/>
    <w:rsid w:val="004F1FD3"/>
    <w:rsid w:val="00505F77"/>
    <w:rsid w:val="005078CC"/>
    <w:rsid w:val="005163E0"/>
    <w:rsid w:val="005216C7"/>
    <w:rsid w:val="00526AE0"/>
    <w:rsid w:val="00535D15"/>
    <w:rsid w:val="00545657"/>
    <w:rsid w:val="005508CE"/>
    <w:rsid w:val="00554726"/>
    <w:rsid w:val="00560147"/>
    <w:rsid w:val="00565BB8"/>
    <w:rsid w:val="0059672C"/>
    <w:rsid w:val="005A1127"/>
    <w:rsid w:val="005A563B"/>
    <w:rsid w:val="005A6186"/>
    <w:rsid w:val="005A6CAD"/>
    <w:rsid w:val="005B347B"/>
    <w:rsid w:val="005B6AF5"/>
    <w:rsid w:val="005B79AB"/>
    <w:rsid w:val="005C2B5B"/>
    <w:rsid w:val="005C6BBF"/>
    <w:rsid w:val="005C7CE9"/>
    <w:rsid w:val="005F15B0"/>
    <w:rsid w:val="0061062B"/>
    <w:rsid w:val="00610D63"/>
    <w:rsid w:val="00612016"/>
    <w:rsid w:val="00615C9E"/>
    <w:rsid w:val="00616BA6"/>
    <w:rsid w:val="00616F75"/>
    <w:rsid w:val="00620B70"/>
    <w:rsid w:val="00623D17"/>
    <w:rsid w:val="0062691A"/>
    <w:rsid w:val="006336AA"/>
    <w:rsid w:val="00635F3C"/>
    <w:rsid w:val="006412F6"/>
    <w:rsid w:val="00645A84"/>
    <w:rsid w:val="00651263"/>
    <w:rsid w:val="006541D3"/>
    <w:rsid w:val="00660E85"/>
    <w:rsid w:val="006647C4"/>
    <w:rsid w:val="00670308"/>
    <w:rsid w:val="00681908"/>
    <w:rsid w:val="0068252C"/>
    <w:rsid w:val="00690F37"/>
    <w:rsid w:val="00696D63"/>
    <w:rsid w:val="006A3ED5"/>
    <w:rsid w:val="006A70AE"/>
    <w:rsid w:val="006B1FAF"/>
    <w:rsid w:val="006D1B3B"/>
    <w:rsid w:val="006D4123"/>
    <w:rsid w:val="006D56F0"/>
    <w:rsid w:val="006E333C"/>
    <w:rsid w:val="006F061A"/>
    <w:rsid w:val="006F0D59"/>
    <w:rsid w:val="006F4187"/>
    <w:rsid w:val="006F46F0"/>
    <w:rsid w:val="006F59B4"/>
    <w:rsid w:val="0070040A"/>
    <w:rsid w:val="00702353"/>
    <w:rsid w:val="0071150C"/>
    <w:rsid w:val="00732ACD"/>
    <w:rsid w:val="00743DD5"/>
    <w:rsid w:val="00747D74"/>
    <w:rsid w:val="00757C37"/>
    <w:rsid w:val="00761719"/>
    <w:rsid w:val="00762FA5"/>
    <w:rsid w:val="00767C2D"/>
    <w:rsid w:val="00770213"/>
    <w:rsid w:val="007769C4"/>
    <w:rsid w:val="0078556A"/>
    <w:rsid w:val="00785A19"/>
    <w:rsid w:val="00786210"/>
    <w:rsid w:val="007869DA"/>
    <w:rsid w:val="00790EA0"/>
    <w:rsid w:val="007A0885"/>
    <w:rsid w:val="007A1297"/>
    <w:rsid w:val="007A47D1"/>
    <w:rsid w:val="007A6C9F"/>
    <w:rsid w:val="007B3B1A"/>
    <w:rsid w:val="007C269A"/>
    <w:rsid w:val="007C332D"/>
    <w:rsid w:val="007C3A10"/>
    <w:rsid w:val="007D16A2"/>
    <w:rsid w:val="007E02B3"/>
    <w:rsid w:val="007E07B7"/>
    <w:rsid w:val="007E4920"/>
    <w:rsid w:val="0080430F"/>
    <w:rsid w:val="00806035"/>
    <w:rsid w:val="00813AAD"/>
    <w:rsid w:val="0081422B"/>
    <w:rsid w:val="00816185"/>
    <w:rsid w:val="00827401"/>
    <w:rsid w:val="00830251"/>
    <w:rsid w:val="008305AC"/>
    <w:rsid w:val="0083558F"/>
    <w:rsid w:val="00836BD1"/>
    <w:rsid w:val="008423D7"/>
    <w:rsid w:val="00844048"/>
    <w:rsid w:val="008565EB"/>
    <w:rsid w:val="008606C6"/>
    <w:rsid w:val="00860CCB"/>
    <w:rsid w:val="00860DD8"/>
    <w:rsid w:val="008673E6"/>
    <w:rsid w:val="00892829"/>
    <w:rsid w:val="008967AD"/>
    <w:rsid w:val="008A0762"/>
    <w:rsid w:val="008A08AC"/>
    <w:rsid w:val="008A538A"/>
    <w:rsid w:val="008B4EEF"/>
    <w:rsid w:val="008B5105"/>
    <w:rsid w:val="008D19DA"/>
    <w:rsid w:val="008E45D1"/>
    <w:rsid w:val="008F25A9"/>
    <w:rsid w:val="008F5DB4"/>
    <w:rsid w:val="008F6970"/>
    <w:rsid w:val="00903018"/>
    <w:rsid w:val="0091528B"/>
    <w:rsid w:val="00915353"/>
    <w:rsid w:val="00921456"/>
    <w:rsid w:val="009263CF"/>
    <w:rsid w:val="00927307"/>
    <w:rsid w:val="00931E2D"/>
    <w:rsid w:val="00932CE7"/>
    <w:rsid w:val="0093629F"/>
    <w:rsid w:val="0094700D"/>
    <w:rsid w:val="00947477"/>
    <w:rsid w:val="00950801"/>
    <w:rsid w:val="009541BC"/>
    <w:rsid w:val="00955D5B"/>
    <w:rsid w:val="00960DF5"/>
    <w:rsid w:val="009709CA"/>
    <w:rsid w:val="00977B79"/>
    <w:rsid w:val="0098376D"/>
    <w:rsid w:val="00985AEF"/>
    <w:rsid w:val="009953E1"/>
    <w:rsid w:val="009A0698"/>
    <w:rsid w:val="009A546A"/>
    <w:rsid w:val="009B4064"/>
    <w:rsid w:val="009C0E21"/>
    <w:rsid w:val="009C2E53"/>
    <w:rsid w:val="009C5F29"/>
    <w:rsid w:val="009E14BF"/>
    <w:rsid w:val="009E2727"/>
    <w:rsid w:val="009E2E4C"/>
    <w:rsid w:val="009E5A4E"/>
    <w:rsid w:val="009F5E08"/>
    <w:rsid w:val="00A1092D"/>
    <w:rsid w:val="00A13E17"/>
    <w:rsid w:val="00A21FEC"/>
    <w:rsid w:val="00A23D7A"/>
    <w:rsid w:val="00A323D3"/>
    <w:rsid w:val="00A33F3A"/>
    <w:rsid w:val="00A4043F"/>
    <w:rsid w:val="00A425A3"/>
    <w:rsid w:val="00A42F85"/>
    <w:rsid w:val="00A439A4"/>
    <w:rsid w:val="00A6384C"/>
    <w:rsid w:val="00A64F72"/>
    <w:rsid w:val="00A67C72"/>
    <w:rsid w:val="00A71593"/>
    <w:rsid w:val="00A74743"/>
    <w:rsid w:val="00A74B21"/>
    <w:rsid w:val="00A84251"/>
    <w:rsid w:val="00A842FE"/>
    <w:rsid w:val="00A87B0D"/>
    <w:rsid w:val="00A91A42"/>
    <w:rsid w:val="00A97F7A"/>
    <w:rsid w:val="00AA273F"/>
    <w:rsid w:val="00AA5692"/>
    <w:rsid w:val="00AB05C3"/>
    <w:rsid w:val="00AB620F"/>
    <w:rsid w:val="00AB71DC"/>
    <w:rsid w:val="00AD0B95"/>
    <w:rsid w:val="00AD53BA"/>
    <w:rsid w:val="00AD7322"/>
    <w:rsid w:val="00AE74DE"/>
    <w:rsid w:val="00AF5CB7"/>
    <w:rsid w:val="00AF6F03"/>
    <w:rsid w:val="00AF7F00"/>
    <w:rsid w:val="00B00FB8"/>
    <w:rsid w:val="00B02BBA"/>
    <w:rsid w:val="00B054C7"/>
    <w:rsid w:val="00B100A9"/>
    <w:rsid w:val="00B10272"/>
    <w:rsid w:val="00B150A5"/>
    <w:rsid w:val="00B1705C"/>
    <w:rsid w:val="00B24EBD"/>
    <w:rsid w:val="00B250A0"/>
    <w:rsid w:val="00B34271"/>
    <w:rsid w:val="00B51EC6"/>
    <w:rsid w:val="00B70021"/>
    <w:rsid w:val="00B72EF0"/>
    <w:rsid w:val="00B83D2B"/>
    <w:rsid w:val="00B86B6C"/>
    <w:rsid w:val="00B9293D"/>
    <w:rsid w:val="00B94A6E"/>
    <w:rsid w:val="00B96167"/>
    <w:rsid w:val="00B977BB"/>
    <w:rsid w:val="00BA0064"/>
    <w:rsid w:val="00BA30AF"/>
    <w:rsid w:val="00BA5110"/>
    <w:rsid w:val="00BA589D"/>
    <w:rsid w:val="00BB389F"/>
    <w:rsid w:val="00BB4C55"/>
    <w:rsid w:val="00BC175B"/>
    <w:rsid w:val="00BC2182"/>
    <w:rsid w:val="00BD1D47"/>
    <w:rsid w:val="00BE2D9E"/>
    <w:rsid w:val="00BE4D00"/>
    <w:rsid w:val="00BE51C3"/>
    <w:rsid w:val="00BF01F9"/>
    <w:rsid w:val="00BF46CD"/>
    <w:rsid w:val="00C03CC7"/>
    <w:rsid w:val="00C04427"/>
    <w:rsid w:val="00C07E77"/>
    <w:rsid w:val="00C110A8"/>
    <w:rsid w:val="00C132D3"/>
    <w:rsid w:val="00C268A6"/>
    <w:rsid w:val="00C27546"/>
    <w:rsid w:val="00C566F1"/>
    <w:rsid w:val="00C82668"/>
    <w:rsid w:val="00C9626D"/>
    <w:rsid w:val="00CA686A"/>
    <w:rsid w:val="00CA718B"/>
    <w:rsid w:val="00CB18E2"/>
    <w:rsid w:val="00CB34EB"/>
    <w:rsid w:val="00CC0F00"/>
    <w:rsid w:val="00CC1C2A"/>
    <w:rsid w:val="00CE7562"/>
    <w:rsid w:val="00CF2C83"/>
    <w:rsid w:val="00CF776D"/>
    <w:rsid w:val="00D16B8B"/>
    <w:rsid w:val="00D17FB6"/>
    <w:rsid w:val="00D20765"/>
    <w:rsid w:val="00D27B89"/>
    <w:rsid w:val="00D3707E"/>
    <w:rsid w:val="00D40C32"/>
    <w:rsid w:val="00D40C34"/>
    <w:rsid w:val="00D41E73"/>
    <w:rsid w:val="00D54141"/>
    <w:rsid w:val="00D66539"/>
    <w:rsid w:val="00D70077"/>
    <w:rsid w:val="00D76531"/>
    <w:rsid w:val="00D824EC"/>
    <w:rsid w:val="00D9033A"/>
    <w:rsid w:val="00D9575E"/>
    <w:rsid w:val="00DA37E5"/>
    <w:rsid w:val="00DA5986"/>
    <w:rsid w:val="00DB74B4"/>
    <w:rsid w:val="00DC3422"/>
    <w:rsid w:val="00DC489D"/>
    <w:rsid w:val="00DC6364"/>
    <w:rsid w:val="00DD344A"/>
    <w:rsid w:val="00DE1496"/>
    <w:rsid w:val="00DE769E"/>
    <w:rsid w:val="00DF1513"/>
    <w:rsid w:val="00E148A8"/>
    <w:rsid w:val="00E3091C"/>
    <w:rsid w:val="00E404A3"/>
    <w:rsid w:val="00E42D42"/>
    <w:rsid w:val="00E51483"/>
    <w:rsid w:val="00E57EBA"/>
    <w:rsid w:val="00E644B8"/>
    <w:rsid w:val="00E6536C"/>
    <w:rsid w:val="00E65ECF"/>
    <w:rsid w:val="00E8057B"/>
    <w:rsid w:val="00E81E4F"/>
    <w:rsid w:val="00E96C11"/>
    <w:rsid w:val="00E97836"/>
    <w:rsid w:val="00EA38E7"/>
    <w:rsid w:val="00EA73CD"/>
    <w:rsid w:val="00EC1212"/>
    <w:rsid w:val="00ED3037"/>
    <w:rsid w:val="00ED65C4"/>
    <w:rsid w:val="00EE6EEE"/>
    <w:rsid w:val="00EF1256"/>
    <w:rsid w:val="00EF19BD"/>
    <w:rsid w:val="00EF4AE3"/>
    <w:rsid w:val="00EF5666"/>
    <w:rsid w:val="00EF706E"/>
    <w:rsid w:val="00F0028E"/>
    <w:rsid w:val="00F047A9"/>
    <w:rsid w:val="00F275ED"/>
    <w:rsid w:val="00F30215"/>
    <w:rsid w:val="00F32425"/>
    <w:rsid w:val="00F359A1"/>
    <w:rsid w:val="00F4643D"/>
    <w:rsid w:val="00F5745F"/>
    <w:rsid w:val="00F63DB3"/>
    <w:rsid w:val="00F70E67"/>
    <w:rsid w:val="00F7230F"/>
    <w:rsid w:val="00F771BA"/>
    <w:rsid w:val="00F779BA"/>
    <w:rsid w:val="00F80FED"/>
    <w:rsid w:val="00F82631"/>
    <w:rsid w:val="00F952CA"/>
    <w:rsid w:val="00F97DB8"/>
    <w:rsid w:val="00FC026A"/>
    <w:rsid w:val="00FC28F3"/>
    <w:rsid w:val="00FD659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paragraph" w:styleId="Heading1">
    <w:name w:val="heading 1"/>
    <w:basedOn w:val="Normal"/>
    <w:next w:val="Normal"/>
    <w:link w:val="Heading1Char"/>
    <w:uiPriority w:val="9"/>
    <w:qFormat/>
    <w:rsid w:val="00AD53BA"/>
    <w:pPr>
      <w:widowControl w:val="0"/>
      <w:numPr>
        <w:numId w:val="36"/>
      </w:numPr>
      <w:spacing w:after="0" w:line="360" w:lineRule="auto"/>
      <w:ind w:left="0" w:firstLine="0"/>
      <w:jc w:val="both"/>
      <w:outlineLvl w:val="0"/>
    </w:pPr>
    <w:rPr>
      <w:rFonts w:eastAsia="Times New Roman"/>
      <w:spacing w:val="-3"/>
      <w:lang w:val="en-ZA"/>
    </w:rPr>
  </w:style>
  <w:style w:type="paragraph" w:styleId="Heading4">
    <w:name w:val="heading 4"/>
    <w:basedOn w:val="Normal"/>
    <w:next w:val="Normal"/>
    <w:link w:val="Heading4Char"/>
    <w:qFormat/>
    <w:rsid w:val="00AD53BA"/>
    <w:pPr>
      <w:widowControl w:val="0"/>
      <w:numPr>
        <w:ilvl w:val="3"/>
        <w:numId w:val="36"/>
      </w:numPr>
      <w:spacing w:after="0" w:line="360" w:lineRule="auto"/>
      <w:jc w:val="both"/>
      <w:outlineLvl w:val="3"/>
    </w:pPr>
    <w:rPr>
      <w:rFonts w:eastAsia="Times New Roman"/>
      <w:spacing w:val="-3"/>
      <w:lang w:val="en-ZA"/>
    </w:rPr>
  </w:style>
  <w:style w:type="paragraph" w:styleId="Heading5">
    <w:name w:val="heading 5"/>
    <w:basedOn w:val="Normal"/>
    <w:next w:val="Normal"/>
    <w:link w:val="Heading5Char"/>
    <w:qFormat/>
    <w:rsid w:val="00AD53BA"/>
    <w:pPr>
      <w:widowControl w:val="0"/>
      <w:numPr>
        <w:ilvl w:val="4"/>
        <w:numId w:val="36"/>
      </w:numPr>
      <w:spacing w:after="0" w:line="360" w:lineRule="auto"/>
      <w:jc w:val="both"/>
      <w:outlineLvl w:val="4"/>
    </w:pPr>
    <w:rPr>
      <w:rFonts w:eastAsia="Times New Roman"/>
      <w:spacing w:val="-3"/>
      <w:lang w:val="en-ZA"/>
    </w:rPr>
  </w:style>
  <w:style w:type="paragraph" w:styleId="Heading6">
    <w:name w:val="heading 6"/>
    <w:basedOn w:val="Normal"/>
    <w:next w:val="Normal"/>
    <w:link w:val="Heading6Char"/>
    <w:qFormat/>
    <w:rsid w:val="00AD53BA"/>
    <w:pPr>
      <w:widowControl w:val="0"/>
      <w:numPr>
        <w:ilvl w:val="5"/>
        <w:numId w:val="36"/>
      </w:numPr>
      <w:spacing w:after="0" w:line="360" w:lineRule="auto"/>
      <w:jc w:val="both"/>
      <w:outlineLvl w:val="5"/>
    </w:pPr>
    <w:rPr>
      <w:rFonts w:eastAsia="Times New Roman"/>
      <w:i/>
      <w:spacing w:val="-3"/>
      <w:sz w:val="22"/>
      <w:lang w:val="en-ZA"/>
    </w:rPr>
  </w:style>
  <w:style w:type="paragraph" w:styleId="Heading7">
    <w:name w:val="heading 7"/>
    <w:basedOn w:val="Normal"/>
    <w:next w:val="Normal"/>
    <w:link w:val="Heading7Char"/>
    <w:qFormat/>
    <w:rsid w:val="00AD53BA"/>
    <w:pPr>
      <w:widowControl w:val="0"/>
      <w:numPr>
        <w:ilvl w:val="6"/>
        <w:numId w:val="36"/>
      </w:numPr>
      <w:spacing w:after="0" w:line="360" w:lineRule="auto"/>
      <w:jc w:val="both"/>
      <w:outlineLvl w:val="6"/>
    </w:pPr>
    <w:rPr>
      <w:rFonts w:eastAsia="Times New Roman"/>
      <w:spacing w:val="-3"/>
      <w:lang w:val="en-ZA"/>
    </w:rPr>
  </w:style>
  <w:style w:type="paragraph" w:styleId="Heading8">
    <w:name w:val="heading 8"/>
    <w:basedOn w:val="Normal"/>
    <w:next w:val="Normal"/>
    <w:link w:val="Heading8Char"/>
    <w:qFormat/>
    <w:rsid w:val="00AD53BA"/>
    <w:pPr>
      <w:widowControl w:val="0"/>
      <w:numPr>
        <w:ilvl w:val="7"/>
        <w:numId w:val="36"/>
      </w:numPr>
      <w:spacing w:after="0" w:line="360" w:lineRule="auto"/>
      <w:jc w:val="both"/>
      <w:outlineLvl w:val="7"/>
    </w:pPr>
    <w:rPr>
      <w:rFonts w:eastAsia="Times New Roman"/>
      <w:i/>
      <w:spacing w:val="-3"/>
      <w:lang w:val="en-ZA"/>
    </w:rPr>
  </w:style>
  <w:style w:type="paragraph" w:styleId="Heading9">
    <w:name w:val="heading 9"/>
    <w:basedOn w:val="Normal"/>
    <w:next w:val="Normal"/>
    <w:link w:val="Heading9Char"/>
    <w:qFormat/>
    <w:rsid w:val="00AD53BA"/>
    <w:pPr>
      <w:widowControl w:val="0"/>
      <w:numPr>
        <w:ilvl w:val="8"/>
        <w:numId w:val="36"/>
      </w:numPr>
      <w:spacing w:after="0" w:line="360" w:lineRule="auto"/>
      <w:jc w:val="both"/>
      <w:outlineLvl w:val="8"/>
    </w:pPr>
    <w:rPr>
      <w:rFonts w:eastAsia="Times New Roman"/>
      <w:i/>
      <w:spacing w:val="-3"/>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 w:type="character" w:customStyle="1" w:styleId="Heading1Char">
    <w:name w:val="Heading 1 Char"/>
    <w:basedOn w:val="DefaultParagraphFont"/>
    <w:link w:val="Heading1"/>
    <w:uiPriority w:val="9"/>
    <w:rsid w:val="00AD53BA"/>
    <w:rPr>
      <w:rFonts w:eastAsia="Times New Roman"/>
      <w:spacing w:val="-3"/>
      <w:lang w:val="en-ZA"/>
    </w:rPr>
  </w:style>
  <w:style w:type="character" w:customStyle="1" w:styleId="Heading4Char">
    <w:name w:val="Heading 4 Char"/>
    <w:basedOn w:val="DefaultParagraphFont"/>
    <w:link w:val="Heading4"/>
    <w:rsid w:val="00AD53BA"/>
    <w:rPr>
      <w:rFonts w:eastAsia="Times New Roman"/>
      <w:spacing w:val="-3"/>
      <w:lang w:val="en-ZA"/>
    </w:rPr>
  </w:style>
  <w:style w:type="character" w:customStyle="1" w:styleId="Heading5Char">
    <w:name w:val="Heading 5 Char"/>
    <w:basedOn w:val="DefaultParagraphFont"/>
    <w:link w:val="Heading5"/>
    <w:rsid w:val="00AD53BA"/>
    <w:rPr>
      <w:rFonts w:eastAsia="Times New Roman"/>
      <w:spacing w:val="-3"/>
      <w:lang w:val="en-ZA"/>
    </w:rPr>
  </w:style>
  <w:style w:type="character" w:customStyle="1" w:styleId="Heading6Char">
    <w:name w:val="Heading 6 Char"/>
    <w:basedOn w:val="DefaultParagraphFont"/>
    <w:link w:val="Heading6"/>
    <w:rsid w:val="00AD53BA"/>
    <w:rPr>
      <w:rFonts w:eastAsia="Times New Roman"/>
      <w:i/>
      <w:spacing w:val="-3"/>
      <w:sz w:val="22"/>
      <w:lang w:val="en-ZA"/>
    </w:rPr>
  </w:style>
  <w:style w:type="character" w:customStyle="1" w:styleId="Heading7Char">
    <w:name w:val="Heading 7 Char"/>
    <w:basedOn w:val="DefaultParagraphFont"/>
    <w:link w:val="Heading7"/>
    <w:rsid w:val="00AD53BA"/>
    <w:rPr>
      <w:rFonts w:eastAsia="Times New Roman"/>
      <w:spacing w:val="-3"/>
      <w:lang w:val="en-ZA"/>
    </w:rPr>
  </w:style>
  <w:style w:type="character" w:customStyle="1" w:styleId="Heading8Char">
    <w:name w:val="Heading 8 Char"/>
    <w:basedOn w:val="DefaultParagraphFont"/>
    <w:link w:val="Heading8"/>
    <w:rsid w:val="00AD53BA"/>
    <w:rPr>
      <w:rFonts w:eastAsia="Times New Roman"/>
      <w:i/>
      <w:spacing w:val="-3"/>
      <w:lang w:val="en-ZA"/>
    </w:rPr>
  </w:style>
  <w:style w:type="character" w:customStyle="1" w:styleId="Heading9Char">
    <w:name w:val="Heading 9 Char"/>
    <w:basedOn w:val="DefaultParagraphFont"/>
    <w:link w:val="Heading9"/>
    <w:rsid w:val="00AD53BA"/>
    <w:rPr>
      <w:rFonts w:eastAsia="Times New Roman"/>
      <w:i/>
      <w:spacing w:val="-3"/>
      <w:sz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paragraph" w:styleId="Heading1">
    <w:name w:val="heading 1"/>
    <w:basedOn w:val="Normal"/>
    <w:next w:val="Normal"/>
    <w:link w:val="Heading1Char"/>
    <w:uiPriority w:val="9"/>
    <w:qFormat/>
    <w:rsid w:val="00AD53BA"/>
    <w:pPr>
      <w:widowControl w:val="0"/>
      <w:numPr>
        <w:numId w:val="36"/>
      </w:numPr>
      <w:spacing w:after="0" w:line="360" w:lineRule="auto"/>
      <w:ind w:left="0" w:firstLine="0"/>
      <w:jc w:val="both"/>
      <w:outlineLvl w:val="0"/>
    </w:pPr>
    <w:rPr>
      <w:rFonts w:eastAsia="Times New Roman"/>
      <w:spacing w:val="-3"/>
      <w:lang w:val="en-ZA"/>
    </w:rPr>
  </w:style>
  <w:style w:type="paragraph" w:styleId="Heading4">
    <w:name w:val="heading 4"/>
    <w:basedOn w:val="Normal"/>
    <w:next w:val="Normal"/>
    <w:link w:val="Heading4Char"/>
    <w:qFormat/>
    <w:rsid w:val="00AD53BA"/>
    <w:pPr>
      <w:widowControl w:val="0"/>
      <w:numPr>
        <w:ilvl w:val="3"/>
        <w:numId w:val="36"/>
      </w:numPr>
      <w:spacing w:after="0" w:line="360" w:lineRule="auto"/>
      <w:jc w:val="both"/>
      <w:outlineLvl w:val="3"/>
    </w:pPr>
    <w:rPr>
      <w:rFonts w:eastAsia="Times New Roman"/>
      <w:spacing w:val="-3"/>
      <w:lang w:val="en-ZA"/>
    </w:rPr>
  </w:style>
  <w:style w:type="paragraph" w:styleId="Heading5">
    <w:name w:val="heading 5"/>
    <w:basedOn w:val="Normal"/>
    <w:next w:val="Normal"/>
    <w:link w:val="Heading5Char"/>
    <w:qFormat/>
    <w:rsid w:val="00AD53BA"/>
    <w:pPr>
      <w:widowControl w:val="0"/>
      <w:numPr>
        <w:ilvl w:val="4"/>
        <w:numId w:val="36"/>
      </w:numPr>
      <w:spacing w:after="0" w:line="360" w:lineRule="auto"/>
      <w:jc w:val="both"/>
      <w:outlineLvl w:val="4"/>
    </w:pPr>
    <w:rPr>
      <w:rFonts w:eastAsia="Times New Roman"/>
      <w:spacing w:val="-3"/>
      <w:lang w:val="en-ZA"/>
    </w:rPr>
  </w:style>
  <w:style w:type="paragraph" w:styleId="Heading6">
    <w:name w:val="heading 6"/>
    <w:basedOn w:val="Normal"/>
    <w:next w:val="Normal"/>
    <w:link w:val="Heading6Char"/>
    <w:qFormat/>
    <w:rsid w:val="00AD53BA"/>
    <w:pPr>
      <w:widowControl w:val="0"/>
      <w:numPr>
        <w:ilvl w:val="5"/>
        <w:numId w:val="36"/>
      </w:numPr>
      <w:spacing w:after="0" w:line="360" w:lineRule="auto"/>
      <w:jc w:val="both"/>
      <w:outlineLvl w:val="5"/>
    </w:pPr>
    <w:rPr>
      <w:rFonts w:eastAsia="Times New Roman"/>
      <w:i/>
      <w:spacing w:val="-3"/>
      <w:sz w:val="22"/>
      <w:lang w:val="en-ZA"/>
    </w:rPr>
  </w:style>
  <w:style w:type="paragraph" w:styleId="Heading7">
    <w:name w:val="heading 7"/>
    <w:basedOn w:val="Normal"/>
    <w:next w:val="Normal"/>
    <w:link w:val="Heading7Char"/>
    <w:qFormat/>
    <w:rsid w:val="00AD53BA"/>
    <w:pPr>
      <w:widowControl w:val="0"/>
      <w:numPr>
        <w:ilvl w:val="6"/>
        <w:numId w:val="36"/>
      </w:numPr>
      <w:spacing w:after="0" w:line="360" w:lineRule="auto"/>
      <w:jc w:val="both"/>
      <w:outlineLvl w:val="6"/>
    </w:pPr>
    <w:rPr>
      <w:rFonts w:eastAsia="Times New Roman"/>
      <w:spacing w:val="-3"/>
      <w:lang w:val="en-ZA"/>
    </w:rPr>
  </w:style>
  <w:style w:type="paragraph" w:styleId="Heading8">
    <w:name w:val="heading 8"/>
    <w:basedOn w:val="Normal"/>
    <w:next w:val="Normal"/>
    <w:link w:val="Heading8Char"/>
    <w:qFormat/>
    <w:rsid w:val="00AD53BA"/>
    <w:pPr>
      <w:widowControl w:val="0"/>
      <w:numPr>
        <w:ilvl w:val="7"/>
        <w:numId w:val="36"/>
      </w:numPr>
      <w:spacing w:after="0" w:line="360" w:lineRule="auto"/>
      <w:jc w:val="both"/>
      <w:outlineLvl w:val="7"/>
    </w:pPr>
    <w:rPr>
      <w:rFonts w:eastAsia="Times New Roman"/>
      <w:i/>
      <w:spacing w:val="-3"/>
      <w:lang w:val="en-ZA"/>
    </w:rPr>
  </w:style>
  <w:style w:type="paragraph" w:styleId="Heading9">
    <w:name w:val="heading 9"/>
    <w:basedOn w:val="Normal"/>
    <w:next w:val="Normal"/>
    <w:link w:val="Heading9Char"/>
    <w:qFormat/>
    <w:rsid w:val="00AD53BA"/>
    <w:pPr>
      <w:widowControl w:val="0"/>
      <w:numPr>
        <w:ilvl w:val="8"/>
        <w:numId w:val="36"/>
      </w:numPr>
      <w:spacing w:after="0" w:line="360" w:lineRule="auto"/>
      <w:jc w:val="both"/>
      <w:outlineLvl w:val="8"/>
    </w:pPr>
    <w:rPr>
      <w:rFonts w:eastAsia="Times New Roman"/>
      <w:i/>
      <w:spacing w:val="-3"/>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 w:type="character" w:customStyle="1" w:styleId="Heading1Char">
    <w:name w:val="Heading 1 Char"/>
    <w:basedOn w:val="DefaultParagraphFont"/>
    <w:link w:val="Heading1"/>
    <w:uiPriority w:val="9"/>
    <w:rsid w:val="00AD53BA"/>
    <w:rPr>
      <w:rFonts w:eastAsia="Times New Roman"/>
      <w:spacing w:val="-3"/>
      <w:lang w:val="en-ZA"/>
    </w:rPr>
  </w:style>
  <w:style w:type="character" w:customStyle="1" w:styleId="Heading4Char">
    <w:name w:val="Heading 4 Char"/>
    <w:basedOn w:val="DefaultParagraphFont"/>
    <w:link w:val="Heading4"/>
    <w:rsid w:val="00AD53BA"/>
    <w:rPr>
      <w:rFonts w:eastAsia="Times New Roman"/>
      <w:spacing w:val="-3"/>
      <w:lang w:val="en-ZA"/>
    </w:rPr>
  </w:style>
  <w:style w:type="character" w:customStyle="1" w:styleId="Heading5Char">
    <w:name w:val="Heading 5 Char"/>
    <w:basedOn w:val="DefaultParagraphFont"/>
    <w:link w:val="Heading5"/>
    <w:rsid w:val="00AD53BA"/>
    <w:rPr>
      <w:rFonts w:eastAsia="Times New Roman"/>
      <w:spacing w:val="-3"/>
      <w:lang w:val="en-ZA"/>
    </w:rPr>
  </w:style>
  <w:style w:type="character" w:customStyle="1" w:styleId="Heading6Char">
    <w:name w:val="Heading 6 Char"/>
    <w:basedOn w:val="DefaultParagraphFont"/>
    <w:link w:val="Heading6"/>
    <w:rsid w:val="00AD53BA"/>
    <w:rPr>
      <w:rFonts w:eastAsia="Times New Roman"/>
      <w:i/>
      <w:spacing w:val="-3"/>
      <w:sz w:val="22"/>
      <w:lang w:val="en-ZA"/>
    </w:rPr>
  </w:style>
  <w:style w:type="character" w:customStyle="1" w:styleId="Heading7Char">
    <w:name w:val="Heading 7 Char"/>
    <w:basedOn w:val="DefaultParagraphFont"/>
    <w:link w:val="Heading7"/>
    <w:rsid w:val="00AD53BA"/>
    <w:rPr>
      <w:rFonts w:eastAsia="Times New Roman"/>
      <w:spacing w:val="-3"/>
      <w:lang w:val="en-ZA"/>
    </w:rPr>
  </w:style>
  <w:style w:type="character" w:customStyle="1" w:styleId="Heading8Char">
    <w:name w:val="Heading 8 Char"/>
    <w:basedOn w:val="DefaultParagraphFont"/>
    <w:link w:val="Heading8"/>
    <w:rsid w:val="00AD53BA"/>
    <w:rPr>
      <w:rFonts w:eastAsia="Times New Roman"/>
      <w:i/>
      <w:spacing w:val="-3"/>
      <w:lang w:val="en-ZA"/>
    </w:rPr>
  </w:style>
  <w:style w:type="character" w:customStyle="1" w:styleId="Heading9Char">
    <w:name w:val="Heading 9 Char"/>
    <w:basedOn w:val="DefaultParagraphFont"/>
    <w:link w:val="Heading9"/>
    <w:rsid w:val="00AD53BA"/>
    <w:rPr>
      <w:rFonts w:eastAsia="Times New Roman"/>
      <w:i/>
      <w:spacing w:val="-3"/>
      <w:sz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2024-04-11T18:30:00+00:00</Judgment_x0020_Date>
    <Year xmlns="aec0a7e9-5f5c-4ba9-87b2-85cfc8a38b86">2024</Year>
  </documentManagement>
</p:properties>
</file>

<file path=customXml/itemProps1.xml><?xml version="1.0" encoding="utf-8"?>
<ds:datastoreItem xmlns:ds="http://schemas.openxmlformats.org/officeDocument/2006/customXml" ds:itemID="{8169F0FA-6DFB-4677-B73B-0DA7B84235F7}"/>
</file>

<file path=customXml/itemProps2.xml><?xml version="1.0" encoding="utf-8"?>
<ds:datastoreItem xmlns:ds="http://schemas.openxmlformats.org/officeDocument/2006/customXml" ds:itemID="{917AC49F-08F7-4412-B149-8C830DF19F4B}"/>
</file>

<file path=customXml/itemProps3.xml><?xml version="1.0" encoding="utf-8"?>
<ds:datastoreItem xmlns:ds="http://schemas.openxmlformats.org/officeDocument/2006/customXml" ds:itemID="{6E8F70D3-2AE0-4BE1-B9B7-1292AD8D3B7C}"/>
</file>

<file path=customXml/itemProps4.xml><?xml version="1.0" encoding="utf-8"?>
<ds:datastoreItem xmlns:ds="http://schemas.openxmlformats.org/officeDocument/2006/customXml" ds:itemID="{56839799-14FF-412F-8EF2-E0EE9824D586}"/>
</file>

<file path=docProps/app.xml><?xml version="1.0" encoding="utf-8"?>
<Properties xmlns="http://schemas.openxmlformats.org/officeDocument/2006/extended-properties" xmlns:vt="http://schemas.openxmlformats.org/officeDocument/2006/docPropsVTypes">
  <Template>Normal</Template>
  <TotalTime>26</TotalTime>
  <Pages>8</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Basson v Keetmanshoop Municipality (HC-MD-LAB-APP-AAA-2023-00055) [2024] NALCMD 12 (12 April 2024)</dc:title>
  <dc:creator>Prinsloo Hannelie</dc:creator>
  <cp:lastModifiedBy>Dean-Marlo Titus</cp:lastModifiedBy>
  <cp:revision>4</cp:revision>
  <cp:lastPrinted>2024-04-25T09:51:00Z</cp:lastPrinted>
  <dcterms:created xsi:type="dcterms:W3CDTF">2024-04-15T12:24:00Z</dcterms:created>
  <dcterms:modified xsi:type="dcterms:W3CDTF">2024-04-25T09:51:00Z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