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080E56"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92737A">
        <w:rPr>
          <w:rFonts w:ascii="Arial" w:hAnsi="Arial" w:cs="Arial"/>
          <w:b/>
          <w:sz w:val="24"/>
          <w:szCs w:val="24"/>
        </w:rPr>
        <w:t>LABOUR</w:t>
      </w:r>
      <w:r w:rsidR="00B40844" w:rsidRPr="006E026B">
        <w:rPr>
          <w:rFonts w:ascii="Arial" w:hAnsi="Arial" w:cs="Arial"/>
          <w:b/>
          <w:sz w:val="24"/>
          <w:szCs w:val="24"/>
        </w:rPr>
        <w:t xml:space="preserve"> COURT OF NAMIBIA MAIN DIVISION, WINDHOEK</w:t>
      </w:r>
    </w:p>
    <w:p w:rsidR="00B40844" w:rsidRPr="00842E36" w:rsidRDefault="00B40844" w:rsidP="00B40844">
      <w:pPr>
        <w:spacing w:after="0" w:line="360" w:lineRule="auto"/>
        <w:jc w:val="center"/>
        <w:rPr>
          <w:rFonts w:ascii="Arial" w:hAnsi="Arial" w:cs="Arial"/>
          <w:b/>
          <w:sz w:val="24"/>
          <w:szCs w:val="24"/>
        </w:rPr>
      </w:pPr>
    </w:p>
    <w:p w:rsidR="00B40844" w:rsidRPr="0093211F" w:rsidRDefault="008006A3" w:rsidP="0093211F">
      <w:pPr>
        <w:pStyle w:val="Heading3"/>
        <w:rPr>
          <w:rFonts w:eastAsiaTheme="minorHAnsi"/>
          <w:lang w:val="en-ZA"/>
        </w:rPr>
      </w:pPr>
      <w:r w:rsidRPr="0093211F">
        <w:rPr>
          <w:rFonts w:eastAsiaTheme="minorHAnsi"/>
          <w:lang w:val="en-ZA"/>
        </w:rPr>
        <w:t>RULING</w:t>
      </w:r>
    </w:p>
    <w:p w:rsidR="0093211F" w:rsidRDefault="0093211F" w:rsidP="00B40844">
      <w:pPr>
        <w:spacing w:after="0" w:line="360" w:lineRule="auto"/>
        <w:jc w:val="center"/>
        <w:rPr>
          <w:rFonts w:ascii="Arial" w:hAnsi="Arial" w:cs="Arial"/>
          <w:b/>
          <w:sz w:val="24"/>
          <w:szCs w:val="24"/>
        </w:rPr>
      </w:pPr>
    </w:p>
    <w:p w:rsidR="00002E9A" w:rsidRDefault="00002E9A" w:rsidP="0093211F">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B40844" w:rsidRDefault="00B40844" w:rsidP="00341C0F">
            <w:pPr>
              <w:tabs>
                <w:tab w:val="left" w:pos="3564"/>
                <w:tab w:val="left" w:pos="3706"/>
                <w:tab w:val="left" w:pos="4273"/>
              </w:tabs>
              <w:spacing w:line="360" w:lineRule="auto"/>
              <w:jc w:val="both"/>
              <w:rPr>
                <w:rFonts w:ascii="Arial" w:hAnsi="Arial" w:cs="Arial"/>
                <w:sz w:val="24"/>
                <w:szCs w:val="24"/>
              </w:rPr>
            </w:pPr>
          </w:p>
          <w:p w:rsidR="00002E9A" w:rsidRDefault="0092737A" w:rsidP="00C43F4A">
            <w:pPr>
              <w:spacing w:line="360" w:lineRule="auto"/>
              <w:rPr>
                <w:rFonts w:ascii="Arial" w:hAnsi="Arial" w:cs="Arial"/>
                <w:sz w:val="24"/>
                <w:szCs w:val="24"/>
              </w:rPr>
            </w:pPr>
            <w:r>
              <w:rPr>
                <w:rFonts w:ascii="Arial" w:hAnsi="Arial" w:cs="Arial"/>
                <w:sz w:val="24"/>
                <w:szCs w:val="24"/>
              </w:rPr>
              <w:t>SHOPRITE NAMIBIA (PTY) LTD</w:t>
            </w:r>
            <w:r w:rsidR="009401FC">
              <w:rPr>
                <w:rFonts w:ascii="Arial" w:hAnsi="Arial" w:cs="Arial"/>
                <w:sz w:val="24"/>
                <w:szCs w:val="24"/>
              </w:rPr>
              <w:t xml:space="preserve">                </w:t>
            </w:r>
            <w:r>
              <w:rPr>
                <w:rFonts w:ascii="Arial" w:hAnsi="Arial" w:cs="Arial"/>
                <w:sz w:val="24"/>
                <w:szCs w:val="24"/>
              </w:rPr>
              <w:t xml:space="preserve">   </w:t>
            </w:r>
            <w:r>
              <w:rPr>
                <w:rFonts w:ascii="Arial" w:eastAsia="Times New Roman" w:hAnsi="Arial" w:cs="Arial"/>
                <w:sz w:val="24"/>
                <w:szCs w:val="24"/>
              </w:rPr>
              <w:t>APPELLANT</w:t>
            </w:r>
            <w:r w:rsidR="00C43F4A">
              <w:rPr>
                <w:rFonts w:ascii="Arial" w:eastAsia="Times New Roman" w:hAnsi="Arial" w:cs="Arial"/>
                <w:sz w:val="24"/>
                <w:szCs w:val="24"/>
              </w:rPr>
              <w:t xml:space="preserve">    </w:t>
            </w:r>
            <w:r w:rsidR="00965C26">
              <w:rPr>
                <w:rFonts w:ascii="Arial" w:eastAsia="Times New Roman" w:hAnsi="Arial" w:cs="Arial"/>
                <w:sz w:val="24"/>
                <w:szCs w:val="24"/>
              </w:rPr>
              <w:t xml:space="preserve">              </w:t>
            </w:r>
            <w:r w:rsidR="00380DB3">
              <w:rPr>
                <w:rFonts w:ascii="Arial" w:eastAsia="Times New Roman" w:hAnsi="Arial" w:cs="Arial"/>
                <w:sz w:val="24"/>
                <w:szCs w:val="24"/>
              </w:rPr>
              <w:t xml:space="preserve"> </w:t>
            </w:r>
            <w:r w:rsidR="00965C26">
              <w:rPr>
                <w:rFonts w:ascii="Arial" w:eastAsia="Times New Roman" w:hAnsi="Arial" w:cs="Arial"/>
                <w:sz w:val="24"/>
                <w:szCs w:val="24"/>
              </w:rPr>
              <w:t xml:space="preserve"> </w:t>
            </w:r>
            <w:r w:rsidR="00965C26">
              <w:rPr>
                <w:rFonts w:ascii="Arial" w:hAnsi="Arial" w:cs="Arial"/>
                <w:sz w:val="24"/>
                <w:szCs w:val="24"/>
              </w:rPr>
              <w:t xml:space="preserve"> </w:t>
            </w:r>
          </w:p>
          <w:p w:rsidR="009F24BF" w:rsidRDefault="009F24BF" w:rsidP="00002E9A">
            <w:pPr>
              <w:spacing w:line="360" w:lineRule="auto"/>
              <w:jc w:val="both"/>
              <w:rPr>
                <w:rFonts w:ascii="Arial" w:hAnsi="Arial" w:cs="Arial"/>
                <w:sz w:val="24"/>
                <w:szCs w:val="24"/>
              </w:rPr>
            </w:pPr>
          </w:p>
          <w:p w:rsidR="00002E9A" w:rsidRDefault="0071022A" w:rsidP="00002E9A">
            <w:pPr>
              <w:spacing w:line="360" w:lineRule="auto"/>
              <w:jc w:val="both"/>
              <w:rPr>
                <w:rFonts w:ascii="Arial" w:hAnsi="Arial" w:cs="Arial"/>
                <w:sz w:val="24"/>
                <w:szCs w:val="24"/>
              </w:rPr>
            </w:pPr>
            <w:r>
              <w:rPr>
                <w:rFonts w:ascii="Arial" w:hAnsi="Arial" w:cs="Arial"/>
                <w:sz w:val="24"/>
                <w:szCs w:val="24"/>
              </w:rPr>
              <w:t>and</w:t>
            </w:r>
          </w:p>
          <w:p w:rsidR="00002E9A" w:rsidRDefault="00002E9A" w:rsidP="00002E9A">
            <w:pPr>
              <w:spacing w:line="360" w:lineRule="auto"/>
              <w:jc w:val="both"/>
              <w:rPr>
                <w:rFonts w:ascii="Arial" w:hAnsi="Arial" w:cs="Arial"/>
                <w:sz w:val="24"/>
                <w:szCs w:val="24"/>
              </w:rPr>
            </w:pPr>
          </w:p>
          <w:p w:rsidR="0092737A" w:rsidRDefault="0092737A" w:rsidP="00965C26">
            <w:pPr>
              <w:spacing w:line="360" w:lineRule="auto"/>
              <w:rPr>
                <w:rFonts w:ascii="Arial" w:eastAsia="Times New Roman" w:hAnsi="Arial" w:cs="Arial"/>
                <w:sz w:val="24"/>
                <w:szCs w:val="24"/>
              </w:rPr>
            </w:pPr>
            <w:r>
              <w:rPr>
                <w:rFonts w:ascii="Arial" w:eastAsia="Times New Roman" w:hAnsi="Arial" w:cs="Arial"/>
                <w:sz w:val="24"/>
                <w:szCs w:val="24"/>
              </w:rPr>
              <w:t xml:space="preserve">JUSTINA MARTIN                        </w:t>
            </w:r>
            <w:r w:rsidR="00D2398D" w:rsidRPr="00D2398D">
              <w:rPr>
                <w:rFonts w:ascii="Arial" w:eastAsia="Times New Roman" w:hAnsi="Arial" w:cs="Arial"/>
                <w:sz w:val="24"/>
                <w:szCs w:val="24"/>
              </w:rPr>
              <w:t xml:space="preserve">  </w:t>
            </w:r>
            <w:r w:rsidR="00662657" w:rsidRPr="00D2398D">
              <w:rPr>
                <w:rFonts w:ascii="Arial" w:eastAsia="Times New Roman" w:hAnsi="Arial" w:cs="Arial"/>
                <w:sz w:val="24"/>
                <w:szCs w:val="24"/>
              </w:rPr>
              <w:t xml:space="preserve"> </w:t>
            </w:r>
            <w:r>
              <w:rPr>
                <w:rFonts w:ascii="Arial" w:eastAsia="Times New Roman" w:hAnsi="Arial" w:cs="Arial"/>
                <w:sz w:val="24"/>
                <w:szCs w:val="24"/>
              </w:rPr>
              <w:t xml:space="preserve">      1</w:t>
            </w:r>
            <w:r w:rsidRPr="0092737A">
              <w:rPr>
                <w:rFonts w:ascii="Arial" w:eastAsia="Times New Roman" w:hAnsi="Arial" w:cs="Arial"/>
                <w:sz w:val="24"/>
                <w:szCs w:val="24"/>
                <w:vertAlign w:val="superscript"/>
              </w:rPr>
              <w:t>ST</w:t>
            </w:r>
            <w:r>
              <w:rPr>
                <w:rFonts w:ascii="Arial" w:eastAsia="Times New Roman" w:hAnsi="Arial" w:cs="Arial"/>
                <w:sz w:val="24"/>
                <w:szCs w:val="24"/>
              </w:rPr>
              <w:t xml:space="preserve"> REPONDENT</w:t>
            </w:r>
          </w:p>
          <w:p w:rsidR="0092737A" w:rsidRDefault="0092737A" w:rsidP="00965C26">
            <w:pPr>
              <w:spacing w:line="360" w:lineRule="auto"/>
              <w:rPr>
                <w:rFonts w:ascii="Arial" w:eastAsia="Times New Roman" w:hAnsi="Arial" w:cs="Arial"/>
                <w:sz w:val="24"/>
                <w:szCs w:val="24"/>
              </w:rPr>
            </w:pPr>
            <w:r>
              <w:rPr>
                <w:rFonts w:ascii="Arial" w:eastAsia="Times New Roman" w:hAnsi="Arial" w:cs="Arial"/>
                <w:sz w:val="24"/>
                <w:szCs w:val="24"/>
              </w:rPr>
              <w:t xml:space="preserve">KEOPAS GAINGOB                           </w:t>
            </w:r>
            <w:r w:rsidR="002D5EAD">
              <w:rPr>
                <w:rFonts w:ascii="Arial" w:eastAsia="Times New Roman" w:hAnsi="Arial" w:cs="Arial"/>
                <w:sz w:val="24"/>
                <w:szCs w:val="24"/>
              </w:rPr>
              <w:t xml:space="preserve"> </w:t>
            </w:r>
            <w:r>
              <w:rPr>
                <w:rFonts w:ascii="Arial" w:eastAsia="Times New Roman" w:hAnsi="Arial" w:cs="Arial"/>
                <w:sz w:val="24"/>
                <w:szCs w:val="24"/>
              </w:rPr>
              <w:t>2</w:t>
            </w:r>
            <w:r w:rsidRPr="0092737A">
              <w:rPr>
                <w:rFonts w:ascii="Arial" w:eastAsia="Times New Roman" w:hAnsi="Arial" w:cs="Arial"/>
                <w:sz w:val="24"/>
                <w:szCs w:val="24"/>
                <w:vertAlign w:val="superscript"/>
              </w:rPr>
              <w:t>ND</w:t>
            </w:r>
            <w:r>
              <w:rPr>
                <w:rFonts w:ascii="Arial" w:eastAsia="Times New Roman" w:hAnsi="Arial" w:cs="Arial"/>
                <w:sz w:val="24"/>
                <w:szCs w:val="24"/>
              </w:rPr>
              <w:t xml:space="preserve"> RESPONDENT</w:t>
            </w:r>
          </w:p>
          <w:p w:rsidR="006659A6" w:rsidRDefault="0092737A" w:rsidP="00842E36">
            <w:pPr>
              <w:spacing w:line="360" w:lineRule="auto"/>
              <w:rPr>
                <w:rFonts w:ascii="Arial" w:eastAsia="Times New Roman" w:hAnsi="Arial" w:cs="Arial"/>
                <w:sz w:val="24"/>
                <w:szCs w:val="24"/>
              </w:rPr>
            </w:pPr>
            <w:r>
              <w:rPr>
                <w:rFonts w:ascii="Arial" w:eastAsia="Times New Roman" w:hAnsi="Arial" w:cs="Arial"/>
                <w:sz w:val="24"/>
                <w:szCs w:val="24"/>
              </w:rPr>
              <w:t>OFFICE OF THE LABOUR COMMISSIONER</w:t>
            </w:r>
            <w:r w:rsidR="00A108E6">
              <w:rPr>
                <w:rFonts w:ascii="Arial" w:eastAsia="Times New Roman" w:hAnsi="Arial" w:cs="Arial"/>
                <w:sz w:val="24"/>
                <w:szCs w:val="24"/>
              </w:rPr>
              <w:t xml:space="preserve"> </w:t>
            </w:r>
          </w:p>
          <w:p w:rsidR="00080E56" w:rsidRDefault="006659A6" w:rsidP="00842E36">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0092737A">
              <w:rPr>
                <w:rFonts w:ascii="Arial" w:eastAsia="Times New Roman" w:hAnsi="Arial" w:cs="Arial"/>
                <w:sz w:val="24"/>
                <w:szCs w:val="24"/>
              </w:rPr>
              <w:t>3</w:t>
            </w:r>
            <w:r w:rsidR="0092737A" w:rsidRPr="0092737A">
              <w:rPr>
                <w:rFonts w:ascii="Arial" w:eastAsia="Times New Roman" w:hAnsi="Arial" w:cs="Arial"/>
                <w:sz w:val="24"/>
                <w:szCs w:val="24"/>
                <w:vertAlign w:val="superscript"/>
              </w:rPr>
              <w:t>RD</w:t>
            </w:r>
            <w:r w:rsidR="0092737A">
              <w:rPr>
                <w:rFonts w:ascii="Arial" w:eastAsia="Times New Roman" w:hAnsi="Arial" w:cs="Arial"/>
                <w:sz w:val="24"/>
                <w:szCs w:val="24"/>
              </w:rPr>
              <w:t xml:space="preserve"> </w:t>
            </w:r>
            <w:r>
              <w:rPr>
                <w:rFonts w:ascii="Arial" w:eastAsia="Times New Roman" w:hAnsi="Arial" w:cs="Arial"/>
                <w:sz w:val="24"/>
                <w:szCs w:val="24"/>
              </w:rPr>
              <w:t xml:space="preserve"> </w:t>
            </w:r>
            <w:r w:rsidR="0092737A">
              <w:rPr>
                <w:rFonts w:ascii="Arial" w:eastAsia="Times New Roman" w:hAnsi="Arial" w:cs="Arial"/>
                <w:sz w:val="24"/>
                <w:szCs w:val="24"/>
              </w:rPr>
              <w:t xml:space="preserve">RESPONDENT </w:t>
            </w:r>
          </w:p>
          <w:p w:rsidR="00002E9A" w:rsidRPr="00662657" w:rsidRDefault="00002E9A" w:rsidP="00662657">
            <w:pPr>
              <w:spacing w:line="360" w:lineRule="auto"/>
              <w:rPr>
                <w:rFonts w:ascii="Arial" w:eastAsia="Times New Roman"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93211F" w:rsidRPr="0093211F" w:rsidRDefault="0092737A" w:rsidP="00965C26">
            <w:pPr>
              <w:spacing w:line="360" w:lineRule="auto"/>
              <w:jc w:val="both"/>
              <w:rPr>
                <w:rFonts w:ascii="Arial" w:hAnsi="Arial" w:cs="Arial"/>
                <w:sz w:val="24"/>
                <w:szCs w:val="24"/>
                <w:shd w:val="clear" w:color="auto" w:fill="FFFFFF"/>
              </w:rPr>
            </w:pPr>
            <w:r w:rsidRPr="0092737A">
              <w:rPr>
                <w:rFonts w:ascii="Arial" w:hAnsi="Arial" w:cs="Arial"/>
                <w:sz w:val="24"/>
                <w:szCs w:val="24"/>
                <w:shd w:val="clear" w:color="auto" w:fill="FFFFFF"/>
              </w:rPr>
              <w:t>HC-MD-LAB-APP-AAA-2021/00041</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622394" w:rsidP="00C2633E">
            <w:pPr>
              <w:spacing w:line="360" w:lineRule="auto"/>
              <w:jc w:val="both"/>
              <w:rPr>
                <w:rFonts w:ascii="Arial" w:hAnsi="Arial" w:cs="Arial"/>
                <w:sz w:val="24"/>
                <w:szCs w:val="24"/>
              </w:rPr>
            </w:pPr>
            <w:r>
              <w:rPr>
                <w:rFonts w:ascii="Arial" w:hAnsi="Arial" w:cs="Arial"/>
                <w:sz w:val="24"/>
                <w:szCs w:val="24"/>
                <w:lang w:val="en-US"/>
              </w:rPr>
              <w:t>15</w:t>
            </w:r>
            <w:r w:rsidR="00A76107" w:rsidRPr="00E40ABB">
              <w:rPr>
                <w:rFonts w:ascii="Arial" w:hAnsi="Arial" w:cs="Arial"/>
                <w:sz w:val="24"/>
                <w:szCs w:val="24"/>
                <w:lang w:val="en-US"/>
              </w:rPr>
              <w:t xml:space="preserve"> March 2024</w:t>
            </w:r>
          </w:p>
        </w:tc>
      </w:tr>
      <w:tr w:rsidR="00CA7995" w:rsidRPr="00CA7995" w:rsidTr="00002E9A">
        <w:trPr>
          <w:trHeight w:val="991"/>
        </w:trPr>
        <w:tc>
          <w:tcPr>
            <w:tcW w:w="6366" w:type="dxa"/>
            <w:gridSpan w:val="2"/>
            <w:vMerge/>
          </w:tcPr>
          <w:p w:rsidR="00B40844" w:rsidRPr="00D2398D" w:rsidRDefault="00B40844" w:rsidP="00937C89">
            <w:pPr>
              <w:spacing w:line="360" w:lineRule="auto"/>
              <w:jc w:val="both"/>
              <w:rPr>
                <w:rFonts w:ascii="Arial" w:hAnsi="Arial" w:cs="Arial"/>
                <w:b/>
                <w:sz w:val="24"/>
                <w:szCs w:val="24"/>
              </w:rPr>
            </w:pPr>
          </w:p>
        </w:tc>
        <w:tc>
          <w:tcPr>
            <w:tcW w:w="4110" w:type="dxa"/>
          </w:tcPr>
          <w:p w:rsidR="00B40844" w:rsidRPr="00D2398D" w:rsidRDefault="00B40844" w:rsidP="00937C89">
            <w:pPr>
              <w:spacing w:line="360" w:lineRule="auto"/>
              <w:jc w:val="both"/>
              <w:rPr>
                <w:rFonts w:ascii="Arial" w:hAnsi="Arial" w:cs="Arial"/>
                <w:b/>
                <w:sz w:val="24"/>
                <w:szCs w:val="24"/>
              </w:rPr>
            </w:pPr>
            <w:r w:rsidRPr="00D2398D">
              <w:rPr>
                <w:rFonts w:ascii="Arial" w:hAnsi="Arial" w:cs="Arial"/>
                <w:b/>
                <w:sz w:val="24"/>
                <w:szCs w:val="24"/>
              </w:rPr>
              <w:t>Delivered on:</w:t>
            </w:r>
          </w:p>
          <w:p w:rsidR="00B40844" w:rsidRPr="00D2398D" w:rsidRDefault="00622394" w:rsidP="00C2633E">
            <w:pPr>
              <w:spacing w:line="360" w:lineRule="auto"/>
              <w:jc w:val="both"/>
              <w:rPr>
                <w:rFonts w:ascii="Arial" w:hAnsi="Arial" w:cs="Arial"/>
                <w:b/>
                <w:sz w:val="24"/>
                <w:szCs w:val="24"/>
              </w:rPr>
            </w:pPr>
            <w:r>
              <w:rPr>
                <w:rFonts w:ascii="Arial" w:hAnsi="Arial" w:cs="Arial"/>
                <w:sz w:val="24"/>
                <w:szCs w:val="24"/>
                <w:lang w:val="en-US"/>
              </w:rPr>
              <w:t>29</w:t>
            </w:r>
            <w:r w:rsidR="00965C26" w:rsidRPr="00D2398D">
              <w:rPr>
                <w:rFonts w:ascii="Arial" w:hAnsi="Arial" w:cs="Arial"/>
                <w:sz w:val="24"/>
                <w:szCs w:val="24"/>
                <w:lang w:val="en-US"/>
              </w:rPr>
              <w:t xml:space="preserve"> April</w:t>
            </w:r>
            <w:r w:rsidR="009F24BF" w:rsidRPr="00D2398D">
              <w:rPr>
                <w:rFonts w:ascii="Arial" w:hAnsi="Arial" w:cs="Arial"/>
                <w:sz w:val="24"/>
                <w:szCs w:val="24"/>
                <w:lang w:val="en-US"/>
              </w:rPr>
              <w:t xml:space="preserve"> </w:t>
            </w:r>
            <w:r w:rsidR="00080E56" w:rsidRPr="00D2398D">
              <w:rPr>
                <w:rFonts w:ascii="Arial" w:hAnsi="Arial" w:cs="Arial"/>
                <w:sz w:val="24"/>
                <w:szCs w:val="24"/>
                <w:lang w:val="en-US"/>
              </w:rPr>
              <w:t>2024</w:t>
            </w:r>
          </w:p>
        </w:tc>
      </w:tr>
      <w:tr w:rsidR="00CA7995" w:rsidRPr="00CA7995" w:rsidTr="00002E9A">
        <w:trPr>
          <w:trHeight w:val="876"/>
        </w:trPr>
        <w:tc>
          <w:tcPr>
            <w:tcW w:w="10476" w:type="dxa"/>
            <w:gridSpan w:val="3"/>
          </w:tcPr>
          <w:p w:rsidR="00B40844" w:rsidRPr="00D2398D" w:rsidRDefault="00B40844" w:rsidP="006659A6">
            <w:pPr>
              <w:spacing w:line="360" w:lineRule="auto"/>
              <w:jc w:val="both"/>
              <w:rPr>
                <w:rFonts w:ascii="Arial" w:hAnsi="Arial" w:cs="Arial"/>
                <w:sz w:val="24"/>
                <w:szCs w:val="24"/>
              </w:rPr>
            </w:pPr>
            <w:r w:rsidRPr="00D2398D">
              <w:rPr>
                <w:rFonts w:ascii="Arial" w:hAnsi="Arial" w:cs="Arial"/>
                <w:b/>
                <w:sz w:val="24"/>
                <w:szCs w:val="24"/>
              </w:rPr>
              <w:t xml:space="preserve">Neutral citation: </w:t>
            </w:r>
            <w:bookmarkStart w:id="0" w:name="_GoBack"/>
            <w:r w:rsidR="0092737A">
              <w:rPr>
                <w:rFonts w:ascii="Arial" w:eastAsia="Times New Roman" w:hAnsi="Arial" w:cs="Arial"/>
                <w:i/>
                <w:sz w:val="24"/>
                <w:szCs w:val="24"/>
              </w:rPr>
              <w:t>Shoprite Namibia (Pty) Ltd v Martin</w:t>
            </w:r>
            <w:r w:rsidR="00C43F4A" w:rsidRPr="00D2398D">
              <w:rPr>
                <w:rFonts w:ascii="Arial" w:eastAsia="Times New Roman" w:hAnsi="Arial" w:cs="Arial"/>
                <w:i/>
                <w:sz w:val="24"/>
                <w:szCs w:val="24"/>
              </w:rPr>
              <w:t xml:space="preserve"> </w:t>
            </w:r>
            <w:r w:rsidR="00002E9A" w:rsidRPr="00D2398D">
              <w:rPr>
                <w:rFonts w:ascii="Arial" w:eastAsia="Times New Roman" w:hAnsi="Arial" w:cs="Arial"/>
                <w:sz w:val="24"/>
                <w:szCs w:val="24"/>
              </w:rPr>
              <w:t>(</w:t>
            </w:r>
            <w:r w:rsidR="0092737A" w:rsidRPr="0092737A">
              <w:rPr>
                <w:rFonts w:ascii="Arial" w:eastAsia="Times New Roman" w:hAnsi="Arial" w:cs="Arial"/>
                <w:sz w:val="24"/>
                <w:szCs w:val="24"/>
              </w:rPr>
              <w:t>HC-MD-LAB-APP-AAA-2021/00041</w:t>
            </w:r>
            <w:r w:rsidR="00002E9A" w:rsidRPr="00D2398D">
              <w:rPr>
                <w:rFonts w:ascii="Arial" w:hAnsi="Arial" w:cs="Arial"/>
                <w:sz w:val="24"/>
                <w:szCs w:val="24"/>
              </w:rPr>
              <w:t>) [202</w:t>
            </w:r>
            <w:r w:rsidR="00080E56" w:rsidRPr="00D2398D">
              <w:rPr>
                <w:rFonts w:ascii="Arial" w:hAnsi="Arial" w:cs="Arial"/>
                <w:sz w:val="24"/>
                <w:szCs w:val="24"/>
              </w:rPr>
              <w:t>4</w:t>
            </w:r>
            <w:r w:rsidR="00002E9A" w:rsidRPr="00D2398D">
              <w:rPr>
                <w:rFonts w:ascii="Arial" w:hAnsi="Arial" w:cs="Arial"/>
                <w:sz w:val="24"/>
                <w:szCs w:val="24"/>
              </w:rPr>
              <w:t>]</w:t>
            </w:r>
            <w:r w:rsidR="00002E9A" w:rsidRPr="00D2398D">
              <w:rPr>
                <w:rFonts w:ascii="Arial" w:hAnsi="Arial" w:cs="Arial"/>
                <w:i/>
                <w:sz w:val="24"/>
                <w:szCs w:val="24"/>
              </w:rPr>
              <w:t xml:space="preserve"> </w:t>
            </w:r>
            <w:r w:rsidR="002D5EAD" w:rsidRPr="002D5EAD">
              <w:rPr>
                <w:rFonts w:ascii="Arial" w:hAnsi="Arial" w:cs="Arial"/>
                <w:i/>
                <w:sz w:val="24"/>
                <w:szCs w:val="24"/>
              </w:rPr>
              <w:tab/>
            </w:r>
            <w:r w:rsidR="002D5EAD">
              <w:rPr>
                <w:rFonts w:ascii="Arial" w:hAnsi="Arial" w:cs="Arial"/>
                <w:i/>
                <w:sz w:val="24"/>
                <w:szCs w:val="24"/>
              </w:rPr>
              <w:t xml:space="preserve">                 </w:t>
            </w:r>
            <w:r w:rsidR="0092737A">
              <w:rPr>
                <w:rFonts w:ascii="Arial" w:hAnsi="Arial" w:cs="Arial"/>
                <w:sz w:val="24"/>
                <w:szCs w:val="24"/>
              </w:rPr>
              <w:t>NAL</w:t>
            </w:r>
            <w:r w:rsidR="00002E9A" w:rsidRPr="00D2398D">
              <w:rPr>
                <w:rFonts w:ascii="Arial" w:hAnsi="Arial" w:cs="Arial"/>
                <w:sz w:val="24"/>
                <w:szCs w:val="24"/>
              </w:rPr>
              <w:t xml:space="preserve">CMD </w:t>
            </w:r>
            <w:r w:rsidR="006659A6">
              <w:rPr>
                <w:rFonts w:ascii="Arial" w:hAnsi="Arial" w:cs="Arial"/>
                <w:sz w:val="24"/>
                <w:szCs w:val="24"/>
              </w:rPr>
              <w:t>16</w:t>
            </w:r>
            <w:r w:rsidR="00D85FB1" w:rsidRPr="00D2398D">
              <w:rPr>
                <w:rFonts w:ascii="Arial" w:hAnsi="Arial" w:cs="Arial"/>
                <w:sz w:val="24"/>
                <w:szCs w:val="24"/>
              </w:rPr>
              <w:t xml:space="preserve"> </w:t>
            </w:r>
            <w:r w:rsidR="00080E56" w:rsidRPr="00D2398D">
              <w:rPr>
                <w:rFonts w:ascii="Arial" w:hAnsi="Arial" w:cs="Arial"/>
                <w:sz w:val="24"/>
                <w:szCs w:val="24"/>
              </w:rPr>
              <w:t>(</w:t>
            </w:r>
            <w:r w:rsidR="00622394">
              <w:rPr>
                <w:rFonts w:ascii="Arial" w:hAnsi="Arial" w:cs="Arial"/>
                <w:sz w:val="24"/>
                <w:szCs w:val="24"/>
              </w:rPr>
              <w:t>29</w:t>
            </w:r>
            <w:r w:rsidR="00965C26" w:rsidRPr="00D2398D">
              <w:rPr>
                <w:rFonts w:ascii="Arial" w:hAnsi="Arial" w:cs="Arial"/>
                <w:sz w:val="24"/>
                <w:szCs w:val="24"/>
              </w:rPr>
              <w:t xml:space="preserve"> April</w:t>
            </w:r>
            <w:r w:rsidR="009F24BF" w:rsidRPr="00D2398D">
              <w:rPr>
                <w:rFonts w:ascii="Arial" w:hAnsi="Arial" w:cs="Arial"/>
                <w:sz w:val="24"/>
                <w:szCs w:val="24"/>
              </w:rPr>
              <w:t xml:space="preserve"> </w:t>
            </w:r>
            <w:r w:rsidR="00080E56" w:rsidRPr="00D2398D">
              <w:rPr>
                <w:rFonts w:ascii="Arial" w:hAnsi="Arial" w:cs="Arial"/>
                <w:sz w:val="24"/>
                <w:szCs w:val="24"/>
              </w:rPr>
              <w:t>2024</w:t>
            </w:r>
            <w:r w:rsidR="00002E9A" w:rsidRPr="00D2398D">
              <w:rPr>
                <w:rFonts w:ascii="Arial" w:hAnsi="Arial" w:cs="Arial"/>
                <w:sz w:val="24"/>
                <w:szCs w:val="24"/>
              </w:rPr>
              <w:t>)</w:t>
            </w:r>
            <w:bookmarkEnd w:id="0"/>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AB75B6" w:rsidRPr="00AB75B6" w:rsidRDefault="006916C9" w:rsidP="00AB75B6">
            <w:pPr>
              <w:pStyle w:val="NormalWeb"/>
              <w:shd w:val="clear" w:color="auto" w:fill="FFFFFF"/>
              <w:spacing w:after="0" w:line="360" w:lineRule="auto"/>
              <w:jc w:val="both"/>
              <w:rPr>
                <w:rFonts w:ascii="Arial" w:hAnsi="Arial" w:cs="Arial"/>
              </w:rPr>
            </w:pPr>
            <w:r>
              <w:rPr>
                <w:rFonts w:ascii="Arial" w:hAnsi="Arial" w:cs="Arial"/>
              </w:rPr>
              <w:t>1.</w:t>
            </w:r>
            <w:r w:rsidRPr="006916C9">
              <w:rPr>
                <w:rFonts w:ascii="Arial" w:hAnsi="Arial" w:cs="Arial"/>
              </w:rPr>
              <w:tab/>
            </w:r>
            <w:r w:rsidR="00AB75B6">
              <w:rPr>
                <w:rFonts w:ascii="Arial" w:hAnsi="Arial" w:cs="Arial"/>
              </w:rPr>
              <w:t xml:space="preserve">The </w:t>
            </w:r>
            <w:r w:rsidR="00AB75B6" w:rsidRPr="00AB75B6">
              <w:rPr>
                <w:rFonts w:ascii="Arial" w:hAnsi="Arial" w:cs="Arial"/>
              </w:rPr>
              <w:t>appeal succeeds.</w:t>
            </w:r>
          </w:p>
          <w:p w:rsidR="00AB75B6" w:rsidRPr="00AB75B6" w:rsidRDefault="00AB75B6" w:rsidP="00AB75B6">
            <w:pPr>
              <w:pStyle w:val="NormalWeb"/>
              <w:shd w:val="clear" w:color="auto" w:fill="FFFFFF"/>
              <w:spacing w:after="0" w:line="360" w:lineRule="auto"/>
              <w:jc w:val="both"/>
              <w:rPr>
                <w:rFonts w:ascii="Arial" w:hAnsi="Arial" w:cs="Arial"/>
              </w:rPr>
            </w:pPr>
            <w:r w:rsidRPr="00AB75B6">
              <w:rPr>
                <w:rFonts w:ascii="Arial" w:hAnsi="Arial" w:cs="Arial"/>
              </w:rPr>
              <w:lastRenderedPageBreak/>
              <w:t>2.</w:t>
            </w:r>
            <w:r w:rsidRPr="00AB75B6">
              <w:rPr>
                <w:rFonts w:ascii="Arial" w:hAnsi="Arial" w:cs="Arial"/>
              </w:rPr>
              <w:tab/>
              <w:t>The arb</w:t>
            </w:r>
            <w:r>
              <w:rPr>
                <w:rFonts w:ascii="Arial" w:hAnsi="Arial" w:cs="Arial"/>
              </w:rPr>
              <w:t>itration award dated 1 June 2021</w:t>
            </w:r>
            <w:r w:rsidRPr="00AB75B6">
              <w:rPr>
                <w:rFonts w:ascii="Arial" w:hAnsi="Arial" w:cs="Arial"/>
              </w:rPr>
              <w:t xml:space="preserve"> is hereby set aside. </w:t>
            </w:r>
          </w:p>
          <w:p w:rsidR="00AB75B6" w:rsidRDefault="00AB75B6" w:rsidP="00AB75B6">
            <w:pPr>
              <w:pStyle w:val="NormalWeb"/>
              <w:shd w:val="clear" w:color="auto" w:fill="FFFFFF"/>
              <w:spacing w:after="0" w:line="360" w:lineRule="auto"/>
              <w:jc w:val="both"/>
              <w:rPr>
                <w:rFonts w:ascii="Arial" w:hAnsi="Arial" w:cs="Arial"/>
              </w:rPr>
            </w:pPr>
            <w:r>
              <w:rPr>
                <w:rFonts w:ascii="Arial" w:hAnsi="Arial" w:cs="Arial"/>
              </w:rPr>
              <w:t>3.</w:t>
            </w:r>
            <w:r>
              <w:rPr>
                <w:rFonts w:ascii="Arial" w:hAnsi="Arial" w:cs="Arial"/>
              </w:rPr>
              <w:tab/>
              <w:t>There is no order as to costs.</w:t>
            </w:r>
          </w:p>
          <w:p w:rsidR="006C7292" w:rsidRPr="00B47800" w:rsidRDefault="00AB75B6" w:rsidP="00D65FAA">
            <w:pPr>
              <w:pStyle w:val="NormalWeb"/>
              <w:shd w:val="clear" w:color="auto" w:fill="FFFFFF"/>
              <w:spacing w:after="0" w:line="360" w:lineRule="auto"/>
              <w:jc w:val="both"/>
              <w:rPr>
                <w:rFonts w:ascii="Arial" w:hAnsi="Arial" w:cs="Arial"/>
              </w:rPr>
            </w:pPr>
            <w:r>
              <w:rPr>
                <w:rFonts w:ascii="Arial" w:hAnsi="Arial" w:cs="Arial"/>
              </w:rPr>
              <w:t>4</w:t>
            </w:r>
            <w:r w:rsidRPr="00AB75B6">
              <w:rPr>
                <w:rFonts w:ascii="Arial" w:hAnsi="Arial" w:cs="Arial"/>
              </w:rPr>
              <w:t>.</w:t>
            </w:r>
            <w:r w:rsidRPr="00AB75B6">
              <w:rPr>
                <w:rFonts w:ascii="Arial" w:hAnsi="Arial" w:cs="Arial"/>
              </w:rPr>
              <w:tab/>
            </w:r>
            <w:r>
              <w:rPr>
                <w:rFonts w:ascii="Arial" w:hAnsi="Arial" w:cs="Arial"/>
              </w:rPr>
              <w:t>The matter is finalised and removed from the roll.</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CA32E6" w:rsidRDefault="00CA32E6" w:rsidP="00ED76B2">
            <w:pPr>
              <w:spacing w:line="360" w:lineRule="auto"/>
              <w:jc w:val="both"/>
              <w:rPr>
                <w:rFonts w:ascii="Arial" w:hAnsi="Arial" w:cs="Arial"/>
                <w:sz w:val="24"/>
                <w:szCs w:val="24"/>
              </w:rPr>
            </w:pPr>
          </w:p>
          <w:p w:rsidR="00CA32E6" w:rsidRDefault="00CA32E6" w:rsidP="00ED76B2">
            <w:pPr>
              <w:spacing w:line="360" w:lineRule="auto"/>
              <w:jc w:val="both"/>
              <w:rPr>
                <w:rFonts w:ascii="Arial" w:hAnsi="Arial" w:cs="Arial"/>
                <w:sz w:val="24"/>
                <w:szCs w:val="24"/>
              </w:rPr>
            </w:pPr>
            <w:r>
              <w:rPr>
                <w:rFonts w:ascii="Arial" w:hAnsi="Arial" w:cs="Arial"/>
                <w:sz w:val="24"/>
                <w:szCs w:val="24"/>
              </w:rPr>
              <w:t>Prinsloo J:</w:t>
            </w:r>
          </w:p>
          <w:p w:rsidR="00CA32E6" w:rsidRPr="00EA2DE2" w:rsidRDefault="00CA32E6"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D2398D">
              <w:rPr>
                <w:rFonts w:ascii="Arial" w:hAnsi="Arial" w:cs="Arial"/>
                <w:sz w:val="24"/>
                <w:szCs w:val="24"/>
                <w:u w:val="single"/>
              </w:rPr>
              <w:t>Introduction</w:t>
            </w:r>
          </w:p>
          <w:p w:rsidR="00B40844" w:rsidRDefault="00B40844" w:rsidP="00ED76B2">
            <w:pPr>
              <w:spacing w:line="360" w:lineRule="auto"/>
              <w:jc w:val="both"/>
              <w:rPr>
                <w:rFonts w:ascii="Arial" w:hAnsi="Arial" w:cs="Arial"/>
                <w:sz w:val="24"/>
                <w:szCs w:val="24"/>
              </w:rPr>
            </w:pPr>
          </w:p>
          <w:p w:rsidR="009401FC" w:rsidRDefault="00116107" w:rsidP="009401FC">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w:t>
            </w:r>
            <w:r w:rsidRPr="00116107">
              <w:rPr>
                <w:rFonts w:ascii="Arial" w:hAnsi="Arial" w:cs="Arial"/>
                <w:sz w:val="24"/>
                <w:szCs w:val="24"/>
              </w:rPr>
              <w:t>appeals against the entire awa</w:t>
            </w:r>
            <w:r w:rsidR="00A8091C">
              <w:rPr>
                <w:rFonts w:ascii="Arial" w:hAnsi="Arial" w:cs="Arial"/>
                <w:sz w:val="24"/>
                <w:szCs w:val="24"/>
              </w:rPr>
              <w:t>rd handed down</w:t>
            </w:r>
            <w:r w:rsidR="00F76054">
              <w:rPr>
                <w:rFonts w:ascii="Arial" w:hAnsi="Arial" w:cs="Arial"/>
                <w:sz w:val="24"/>
                <w:szCs w:val="24"/>
              </w:rPr>
              <w:t xml:space="preserve"> by the arbitrator, Mr</w:t>
            </w:r>
            <w:r w:rsidR="005828A5">
              <w:rPr>
                <w:rFonts w:ascii="Arial" w:hAnsi="Arial" w:cs="Arial"/>
                <w:sz w:val="24"/>
                <w:szCs w:val="24"/>
              </w:rPr>
              <w:t xml:space="preserve"> Kleofas Gaingob, on </w:t>
            </w:r>
            <w:r w:rsidR="005828A5" w:rsidRPr="005828A5">
              <w:rPr>
                <w:rFonts w:ascii="Arial" w:hAnsi="Arial" w:cs="Arial"/>
                <w:sz w:val="24"/>
                <w:szCs w:val="24"/>
              </w:rPr>
              <w:t>1 June 2021, under case number CROT 83-20.</w:t>
            </w:r>
            <w:r w:rsidR="005828A5">
              <w:rPr>
                <w:rFonts w:ascii="Arial" w:hAnsi="Arial" w:cs="Arial"/>
                <w:sz w:val="24"/>
                <w:szCs w:val="24"/>
              </w:rPr>
              <w:t xml:space="preserve"> </w:t>
            </w:r>
          </w:p>
          <w:p w:rsidR="005828A5" w:rsidRPr="009401FC" w:rsidRDefault="005828A5" w:rsidP="009401FC">
            <w:pPr>
              <w:spacing w:line="360" w:lineRule="auto"/>
              <w:jc w:val="both"/>
              <w:rPr>
                <w:rFonts w:ascii="Arial" w:hAnsi="Arial" w:cs="Arial"/>
                <w:sz w:val="24"/>
                <w:szCs w:val="24"/>
              </w:rPr>
            </w:pPr>
          </w:p>
          <w:p w:rsidR="00665BFC" w:rsidRDefault="009401FC" w:rsidP="009401FC">
            <w:pPr>
              <w:spacing w:line="360" w:lineRule="auto"/>
              <w:jc w:val="both"/>
              <w:rPr>
                <w:rFonts w:ascii="Arial" w:hAnsi="Arial" w:cs="Arial"/>
                <w:sz w:val="24"/>
                <w:szCs w:val="24"/>
              </w:rPr>
            </w:pPr>
            <w:r w:rsidRPr="009401FC">
              <w:rPr>
                <w:rFonts w:ascii="Arial" w:hAnsi="Arial" w:cs="Arial"/>
                <w:sz w:val="24"/>
                <w:szCs w:val="24"/>
              </w:rPr>
              <w:t>[2]</w:t>
            </w:r>
            <w:r w:rsidRPr="009401FC">
              <w:rPr>
                <w:rFonts w:ascii="Arial" w:hAnsi="Arial" w:cs="Arial"/>
                <w:sz w:val="24"/>
                <w:szCs w:val="24"/>
              </w:rPr>
              <w:tab/>
            </w:r>
            <w:r w:rsidR="00116107">
              <w:rPr>
                <w:rFonts w:ascii="Arial" w:hAnsi="Arial" w:cs="Arial"/>
                <w:sz w:val="24"/>
                <w:szCs w:val="24"/>
              </w:rPr>
              <w:t xml:space="preserve">The </w:t>
            </w:r>
            <w:r w:rsidR="00F76054">
              <w:rPr>
                <w:rFonts w:ascii="Arial" w:hAnsi="Arial" w:cs="Arial"/>
                <w:sz w:val="24"/>
                <w:szCs w:val="24"/>
              </w:rPr>
              <w:t>a</w:t>
            </w:r>
            <w:r w:rsidR="00116107" w:rsidRPr="00116107">
              <w:rPr>
                <w:rFonts w:ascii="Arial" w:hAnsi="Arial" w:cs="Arial"/>
                <w:sz w:val="24"/>
                <w:szCs w:val="24"/>
              </w:rPr>
              <w:t xml:space="preserve">ppellant is </w:t>
            </w:r>
            <w:r w:rsidR="00116107">
              <w:rPr>
                <w:rFonts w:ascii="Arial" w:hAnsi="Arial" w:cs="Arial"/>
                <w:sz w:val="24"/>
                <w:szCs w:val="24"/>
              </w:rPr>
              <w:t>Shoprite Namibia (Pty) Ltd</w:t>
            </w:r>
            <w:r w:rsidR="00A30890">
              <w:rPr>
                <w:rFonts w:ascii="Arial" w:hAnsi="Arial" w:cs="Arial"/>
                <w:sz w:val="24"/>
                <w:szCs w:val="24"/>
              </w:rPr>
              <w:t>,</w:t>
            </w:r>
            <w:r w:rsidR="00116107">
              <w:rPr>
                <w:rFonts w:ascii="Arial" w:hAnsi="Arial" w:cs="Arial"/>
                <w:sz w:val="24"/>
                <w:szCs w:val="24"/>
              </w:rPr>
              <w:t xml:space="preserve"> </w:t>
            </w:r>
            <w:r w:rsidR="00665BFC" w:rsidRPr="00665BFC">
              <w:rPr>
                <w:rFonts w:ascii="Arial" w:hAnsi="Arial" w:cs="Arial"/>
                <w:sz w:val="24"/>
                <w:szCs w:val="24"/>
              </w:rPr>
              <w:t>a company with limited liability incorporated in terms of the company laws of the Republic of Namibia, with its place of business located at No. 6 Diehl Street, Southern Industry, Windhoek, in the Republic of Namibia.</w:t>
            </w:r>
            <w:r w:rsidR="00665BFC">
              <w:rPr>
                <w:rFonts w:ascii="Arial" w:hAnsi="Arial" w:cs="Arial"/>
                <w:sz w:val="24"/>
                <w:szCs w:val="24"/>
              </w:rPr>
              <w:t xml:space="preserve"> </w:t>
            </w:r>
          </w:p>
          <w:p w:rsidR="00665BFC" w:rsidRDefault="00665BFC" w:rsidP="009401FC">
            <w:pPr>
              <w:spacing w:line="360" w:lineRule="auto"/>
              <w:jc w:val="both"/>
              <w:rPr>
                <w:rFonts w:ascii="Arial" w:hAnsi="Arial" w:cs="Arial"/>
                <w:sz w:val="24"/>
                <w:szCs w:val="24"/>
              </w:rPr>
            </w:pPr>
          </w:p>
          <w:p w:rsidR="009401FC" w:rsidRDefault="00665BFC" w:rsidP="009401FC">
            <w:pPr>
              <w:spacing w:line="360" w:lineRule="auto"/>
              <w:jc w:val="both"/>
              <w:rPr>
                <w:rFonts w:ascii="Arial" w:hAnsi="Arial" w:cs="Arial"/>
                <w:sz w:val="24"/>
                <w:szCs w:val="24"/>
              </w:rPr>
            </w:pPr>
            <w:r>
              <w:rPr>
                <w:rFonts w:ascii="Arial" w:hAnsi="Arial" w:cs="Arial"/>
                <w:sz w:val="24"/>
                <w:szCs w:val="24"/>
              </w:rPr>
              <w:t>[3]</w:t>
            </w:r>
            <w:r w:rsidRPr="00665BFC">
              <w:rPr>
                <w:rFonts w:ascii="Arial" w:hAnsi="Arial" w:cs="Arial"/>
                <w:sz w:val="24"/>
                <w:szCs w:val="24"/>
              </w:rPr>
              <w:tab/>
            </w:r>
            <w:r w:rsidR="00116107">
              <w:rPr>
                <w:rFonts w:ascii="Arial" w:hAnsi="Arial" w:cs="Arial"/>
                <w:sz w:val="24"/>
                <w:szCs w:val="24"/>
              </w:rPr>
              <w:t>The first respondent is Justina Martin</w:t>
            </w:r>
            <w:r w:rsidR="007F6946">
              <w:rPr>
                <w:rFonts w:ascii="Arial" w:hAnsi="Arial" w:cs="Arial"/>
                <w:sz w:val="24"/>
                <w:szCs w:val="24"/>
              </w:rPr>
              <w:t>,</w:t>
            </w:r>
            <w:r>
              <w:rPr>
                <w:rFonts w:ascii="Arial" w:hAnsi="Arial" w:cs="Arial"/>
                <w:sz w:val="24"/>
                <w:szCs w:val="24"/>
              </w:rPr>
              <w:t xml:space="preserve"> </w:t>
            </w:r>
            <w:r w:rsidRPr="00665BFC">
              <w:rPr>
                <w:rFonts w:ascii="Arial" w:hAnsi="Arial" w:cs="Arial"/>
                <w:sz w:val="24"/>
                <w:szCs w:val="24"/>
              </w:rPr>
              <w:t>a major female</w:t>
            </w:r>
            <w:r w:rsidR="006659A6">
              <w:rPr>
                <w:rFonts w:ascii="Arial" w:hAnsi="Arial" w:cs="Arial"/>
                <w:sz w:val="24"/>
                <w:szCs w:val="24"/>
              </w:rPr>
              <w:t>.</w:t>
            </w:r>
            <w:r w:rsidRPr="00665BFC">
              <w:rPr>
                <w:rFonts w:ascii="Arial" w:hAnsi="Arial" w:cs="Arial"/>
                <w:sz w:val="24"/>
                <w:szCs w:val="24"/>
              </w:rPr>
              <w:t xml:space="preserve"> </w:t>
            </w:r>
            <w:r w:rsidR="006659A6">
              <w:rPr>
                <w:rFonts w:ascii="Arial" w:hAnsi="Arial" w:cs="Arial"/>
                <w:sz w:val="24"/>
                <w:szCs w:val="24"/>
              </w:rPr>
              <w:t>A</w:t>
            </w:r>
            <w:r w:rsidRPr="00665BFC">
              <w:rPr>
                <w:rFonts w:ascii="Arial" w:hAnsi="Arial" w:cs="Arial"/>
                <w:sz w:val="24"/>
                <w:szCs w:val="24"/>
              </w:rPr>
              <w:t xml:space="preserve"> former employee of the ap</w:t>
            </w:r>
            <w:r w:rsidR="00F76054">
              <w:rPr>
                <w:rFonts w:ascii="Arial" w:hAnsi="Arial" w:cs="Arial"/>
                <w:sz w:val="24"/>
                <w:szCs w:val="24"/>
              </w:rPr>
              <w:t>pellant</w:t>
            </w:r>
            <w:r w:rsidRPr="00665BFC">
              <w:rPr>
                <w:rFonts w:ascii="Arial" w:hAnsi="Arial" w:cs="Arial"/>
                <w:sz w:val="24"/>
                <w:szCs w:val="24"/>
              </w:rPr>
              <w:t xml:space="preserve"> residing at No. 38, DRC 11002</w:t>
            </w:r>
            <w:r w:rsidR="00F76054">
              <w:rPr>
                <w:rFonts w:ascii="Arial" w:hAnsi="Arial" w:cs="Arial"/>
                <w:sz w:val="24"/>
                <w:szCs w:val="24"/>
              </w:rPr>
              <w:t>, Windhoek, in the Republic of Namibia</w:t>
            </w:r>
            <w:r w:rsidRPr="00665BFC">
              <w:rPr>
                <w:rFonts w:ascii="Arial" w:hAnsi="Arial" w:cs="Arial"/>
                <w:sz w:val="24"/>
                <w:szCs w:val="24"/>
              </w:rPr>
              <w:t>.</w:t>
            </w:r>
            <w:r>
              <w:rPr>
                <w:rFonts w:ascii="Arial" w:hAnsi="Arial" w:cs="Arial"/>
                <w:sz w:val="24"/>
                <w:szCs w:val="24"/>
              </w:rPr>
              <w:t xml:space="preserve"> Ms Martin </w:t>
            </w:r>
            <w:r w:rsidR="00116107">
              <w:rPr>
                <w:rFonts w:ascii="Arial" w:hAnsi="Arial" w:cs="Arial"/>
                <w:sz w:val="24"/>
                <w:szCs w:val="24"/>
              </w:rPr>
              <w:t xml:space="preserve">was previously employed by the appellant </w:t>
            </w:r>
            <w:r w:rsidR="00116107" w:rsidRPr="00116107">
              <w:rPr>
                <w:rFonts w:ascii="Arial" w:hAnsi="Arial" w:cs="Arial"/>
                <w:sz w:val="24"/>
                <w:szCs w:val="24"/>
              </w:rPr>
              <w:t>at its Checkers ou</w:t>
            </w:r>
            <w:r w:rsidR="00116107">
              <w:rPr>
                <w:rFonts w:ascii="Arial" w:hAnsi="Arial" w:cs="Arial"/>
                <w:sz w:val="24"/>
                <w:szCs w:val="24"/>
              </w:rPr>
              <w:t>tlet at the Dunes (Walvis</w:t>
            </w:r>
            <w:r w:rsidR="004A1573">
              <w:rPr>
                <w:rFonts w:ascii="Arial" w:hAnsi="Arial" w:cs="Arial"/>
                <w:sz w:val="24"/>
                <w:szCs w:val="24"/>
              </w:rPr>
              <w:t xml:space="preserve"> B</w:t>
            </w:r>
            <w:r w:rsidR="00116107">
              <w:rPr>
                <w:rFonts w:ascii="Arial" w:hAnsi="Arial" w:cs="Arial"/>
                <w:sz w:val="24"/>
                <w:szCs w:val="24"/>
              </w:rPr>
              <w:t>ay) in her capacity</w:t>
            </w:r>
            <w:r w:rsidR="00116107" w:rsidRPr="00116107">
              <w:rPr>
                <w:rFonts w:ascii="Arial" w:hAnsi="Arial" w:cs="Arial"/>
                <w:sz w:val="24"/>
                <w:szCs w:val="24"/>
              </w:rPr>
              <w:t xml:space="preserve"> a</w:t>
            </w:r>
            <w:r w:rsidR="00F76054">
              <w:rPr>
                <w:rFonts w:ascii="Arial" w:hAnsi="Arial" w:cs="Arial"/>
                <w:sz w:val="24"/>
                <w:szCs w:val="24"/>
              </w:rPr>
              <w:t>s</w:t>
            </w:r>
            <w:r w:rsidR="00116107" w:rsidRPr="00116107">
              <w:rPr>
                <w:rFonts w:ascii="Arial" w:hAnsi="Arial" w:cs="Arial"/>
                <w:sz w:val="24"/>
                <w:szCs w:val="24"/>
              </w:rPr>
              <w:t xml:space="preserve"> Non-Foods General Assistant.</w:t>
            </w:r>
          </w:p>
          <w:p w:rsidR="00F61583" w:rsidRDefault="00F61583" w:rsidP="009401FC">
            <w:pPr>
              <w:spacing w:line="360" w:lineRule="auto"/>
              <w:jc w:val="both"/>
              <w:rPr>
                <w:rFonts w:ascii="Arial" w:hAnsi="Arial" w:cs="Arial"/>
                <w:sz w:val="24"/>
                <w:szCs w:val="24"/>
              </w:rPr>
            </w:pPr>
          </w:p>
          <w:p w:rsidR="00F61583" w:rsidRPr="00F61583" w:rsidRDefault="00F61583" w:rsidP="00F6158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second respondent is Kleofas Gaingob</w:t>
            </w:r>
            <w:r w:rsidRPr="00F61583">
              <w:rPr>
                <w:rFonts w:ascii="Arial" w:hAnsi="Arial" w:cs="Arial"/>
                <w:sz w:val="24"/>
                <w:szCs w:val="24"/>
              </w:rPr>
              <w:t xml:space="preserve"> N.O. (the arbitrator), a major male person </w:t>
            </w:r>
            <w:r>
              <w:rPr>
                <w:rFonts w:ascii="Arial" w:hAnsi="Arial" w:cs="Arial"/>
                <w:sz w:val="24"/>
                <w:szCs w:val="24"/>
              </w:rPr>
              <w:t xml:space="preserve">with his place of business at the </w:t>
            </w:r>
            <w:r w:rsidR="00EF3200">
              <w:rPr>
                <w:rFonts w:ascii="Arial" w:hAnsi="Arial" w:cs="Arial"/>
                <w:sz w:val="24"/>
                <w:szCs w:val="24"/>
              </w:rPr>
              <w:t>c/o t</w:t>
            </w:r>
            <w:r w:rsidRPr="00F61583">
              <w:rPr>
                <w:rFonts w:ascii="Arial" w:hAnsi="Arial" w:cs="Arial"/>
                <w:sz w:val="24"/>
                <w:szCs w:val="24"/>
              </w:rPr>
              <w:t>he Office of The Labour Commissioner, 32 Mercedes Street, Khomasdal, in the Republic of Namibia.</w:t>
            </w:r>
          </w:p>
          <w:p w:rsidR="00F61583" w:rsidRPr="00F61583" w:rsidRDefault="00F61583" w:rsidP="00F61583">
            <w:pPr>
              <w:spacing w:line="360" w:lineRule="auto"/>
              <w:jc w:val="both"/>
              <w:rPr>
                <w:rFonts w:ascii="Arial" w:hAnsi="Arial" w:cs="Arial"/>
                <w:sz w:val="24"/>
                <w:szCs w:val="24"/>
              </w:rPr>
            </w:pPr>
          </w:p>
          <w:p w:rsidR="00F61583" w:rsidRPr="009401FC" w:rsidRDefault="00F61583" w:rsidP="00F6158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third respondent is the </w:t>
            </w:r>
            <w:r w:rsidR="00EF3200">
              <w:rPr>
                <w:rFonts w:ascii="Arial" w:hAnsi="Arial" w:cs="Arial"/>
                <w:sz w:val="24"/>
                <w:szCs w:val="24"/>
              </w:rPr>
              <w:t>Office of the Labour Commissioner situated at t</w:t>
            </w:r>
            <w:r w:rsidR="00EF3200" w:rsidRPr="00EF3200">
              <w:rPr>
                <w:rFonts w:ascii="Arial" w:hAnsi="Arial" w:cs="Arial"/>
                <w:sz w:val="24"/>
                <w:szCs w:val="24"/>
              </w:rPr>
              <w:t>he Office of The Labour Commissioner, 32 Mercedes Street, Khomasdal</w:t>
            </w:r>
            <w:r w:rsidR="00EF3200">
              <w:rPr>
                <w:rFonts w:ascii="Arial" w:hAnsi="Arial" w:cs="Arial"/>
                <w:sz w:val="24"/>
                <w:szCs w:val="24"/>
              </w:rPr>
              <w:t xml:space="preserve">, </w:t>
            </w:r>
            <w:r w:rsidRPr="00F61583">
              <w:rPr>
                <w:rFonts w:ascii="Arial" w:hAnsi="Arial" w:cs="Arial"/>
                <w:sz w:val="24"/>
                <w:szCs w:val="24"/>
              </w:rPr>
              <w:t>Republic of Namibia.</w:t>
            </w:r>
            <w:r w:rsidR="00A8091C">
              <w:rPr>
                <w:rFonts w:ascii="Arial" w:hAnsi="Arial" w:cs="Arial"/>
                <w:sz w:val="24"/>
                <w:szCs w:val="24"/>
              </w:rPr>
              <w:t xml:space="preserve"> In this judgment, I will refer to the parties as appellant and respondent/Ms Martin. </w:t>
            </w:r>
          </w:p>
          <w:p w:rsidR="009401FC" w:rsidRDefault="009401FC" w:rsidP="009401FC">
            <w:pPr>
              <w:spacing w:line="360" w:lineRule="auto"/>
              <w:jc w:val="both"/>
              <w:rPr>
                <w:rFonts w:ascii="Arial" w:hAnsi="Arial" w:cs="Arial"/>
                <w:sz w:val="24"/>
                <w:szCs w:val="24"/>
              </w:rPr>
            </w:pPr>
          </w:p>
          <w:p w:rsidR="00995E09" w:rsidRDefault="00995E09" w:rsidP="009401FC">
            <w:pPr>
              <w:spacing w:line="360" w:lineRule="auto"/>
              <w:jc w:val="both"/>
              <w:rPr>
                <w:rFonts w:ascii="Arial" w:hAnsi="Arial" w:cs="Arial"/>
                <w:sz w:val="24"/>
                <w:szCs w:val="24"/>
                <w:u w:val="single"/>
              </w:rPr>
            </w:pPr>
            <w:r w:rsidRPr="00995E09">
              <w:rPr>
                <w:rFonts w:ascii="Arial" w:hAnsi="Arial" w:cs="Arial"/>
                <w:sz w:val="24"/>
                <w:szCs w:val="24"/>
                <w:u w:val="single"/>
              </w:rPr>
              <w:t>Background facts</w:t>
            </w:r>
          </w:p>
          <w:p w:rsidR="00622394" w:rsidRPr="00995E09" w:rsidRDefault="00622394" w:rsidP="009401FC">
            <w:pPr>
              <w:spacing w:line="360" w:lineRule="auto"/>
              <w:jc w:val="both"/>
              <w:rPr>
                <w:rFonts w:ascii="Arial" w:hAnsi="Arial" w:cs="Arial"/>
                <w:sz w:val="24"/>
                <w:szCs w:val="24"/>
                <w:u w:val="single"/>
              </w:rPr>
            </w:pPr>
          </w:p>
          <w:p w:rsidR="00622394" w:rsidRPr="00622394" w:rsidRDefault="00175F5E" w:rsidP="00622394">
            <w:pPr>
              <w:spacing w:line="360" w:lineRule="auto"/>
              <w:jc w:val="both"/>
              <w:rPr>
                <w:rFonts w:ascii="Arial" w:hAnsi="Arial" w:cs="Arial"/>
                <w:sz w:val="24"/>
                <w:szCs w:val="24"/>
              </w:rPr>
            </w:pPr>
            <w:r>
              <w:rPr>
                <w:rFonts w:ascii="Arial" w:hAnsi="Arial" w:cs="Arial"/>
                <w:sz w:val="24"/>
                <w:szCs w:val="24"/>
              </w:rPr>
              <w:t>[6</w:t>
            </w:r>
            <w:r w:rsidR="009401FC" w:rsidRPr="009401FC">
              <w:rPr>
                <w:rFonts w:ascii="Arial" w:hAnsi="Arial" w:cs="Arial"/>
                <w:sz w:val="24"/>
                <w:szCs w:val="24"/>
              </w:rPr>
              <w:t>]</w:t>
            </w:r>
            <w:r w:rsidR="009401FC" w:rsidRPr="009401FC">
              <w:rPr>
                <w:rFonts w:ascii="Arial" w:hAnsi="Arial" w:cs="Arial"/>
                <w:sz w:val="24"/>
                <w:szCs w:val="24"/>
              </w:rPr>
              <w:tab/>
            </w:r>
            <w:r w:rsidR="00EF3200">
              <w:rPr>
                <w:rFonts w:ascii="Arial" w:hAnsi="Arial" w:cs="Arial"/>
                <w:sz w:val="24"/>
                <w:szCs w:val="24"/>
              </w:rPr>
              <w:t>The first r</w:t>
            </w:r>
            <w:r w:rsidR="00622394" w:rsidRPr="00622394">
              <w:rPr>
                <w:rFonts w:ascii="Arial" w:hAnsi="Arial" w:cs="Arial"/>
                <w:sz w:val="24"/>
                <w:szCs w:val="24"/>
              </w:rPr>
              <w:t>espondent requested to be transferred to Otjiwarongo and was</w:t>
            </w:r>
            <w:r>
              <w:rPr>
                <w:rFonts w:ascii="Arial" w:hAnsi="Arial" w:cs="Arial"/>
                <w:sz w:val="24"/>
                <w:szCs w:val="24"/>
              </w:rPr>
              <w:t xml:space="preserve"> so transferred</w:t>
            </w:r>
            <w:r w:rsidR="006659A6">
              <w:rPr>
                <w:rFonts w:ascii="Arial" w:hAnsi="Arial" w:cs="Arial"/>
                <w:sz w:val="24"/>
                <w:szCs w:val="24"/>
              </w:rPr>
              <w:t>.</w:t>
            </w:r>
            <w:r>
              <w:rPr>
                <w:rFonts w:ascii="Arial" w:hAnsi="Arial" w:cs="Arial"/>
                <w:sz w:val="24"/>
                <w:szCs w:val="24"/>
              </w:rPr>
              <w:t xml:space="preserve"> </w:t>
            </w:r>
            <w:r w:rsidR="006659A6">
              <w:rPr>
                <w:rFonts w:ascii="Arial" w:hAnsi="Arial" w:cs="Arial"/>
                <w:sz w:val="24"/>
                <w:szCs w:val="24"/>
              </w:rPr>
              <w:t>S</w:t>
            </w:r>
            <w:r>
              <w:rPr>
                <w:rFonts w:ascii="Arial" w:hAnsi="Arial" w:cs="Arial"/>
                <w:sz w:val="24"/>
                <w:szCs w:val="24"/>
              </w:rPr>
              <w:t>he was employed in</w:t>
            </w:r>
            <w:r w:rsidR="00622394" w:rsidRPr="00622394">
              <w:rPr>
                <w:rFonts w:ascii="Arial" w:hAnsi="Arial" w:cs="Arial"/>
                <w:sz w:val="24"/>
                <w:szCs w:val="24"/>
              </w:rPr>
              <w:t xml:space="preserve"> the position of Non-Foods Groceries Controller (Controller), a position more </w:t>
            </w:r>
            <w:r w:rsidR="00622394" w:rsidRPr="00622394">
              <w:rPr>
                <w:rFonts w:ascii="Arial" w:hAnsi="Arial" w:cs="Arial"/>
                <w:sz w:val="24"/>
                <w:szCs w:val="24"/>
              </w:rPr>
              <w:lastRenderedPageBreak/>
              <w:t xml:space="preserve">senior than the position of Non-Foods </w:t>
            </w:r>
            <w:r>
              <w:rPr>
                <w:rFonts w:ascii="Arial" w:hAnsi="Arial" w:cs="Arial"/>
                <w:sz w:val="24"/>
                <w:szCs w:val="24"/>
              </w:rPr>
              <w:t>General Assistant</w:t>
            </w:r>
            <w:r w:rsidR="0063620F">
              <w:rPr>
                <w:rFonts w:ascii="Arial" w:hAnsi="Arial" w:cs="Arial"/>
                <w:sz w:val="24"/>
                <w:szCs w:val="24"/>
              </w:rPr>
              <w:t>, this being her previously held position</w:t>
            </w:r>
            <w:r>
              <w:rPr>
                <w:rFonts w:ascii="Arial" w:hAnsi="Arial" w:cs="Arial"/>
                <w:sz w:val="24"/>
                <w:szCs w:val="24"/>
              </w:rPr>
              <w:t xml:space="preserve">. </w:t>
            </w:r>
            <w:r w:rsidR="009249B2">
              <w:rPr>
                <w:rFonts w:ascii="Arial" w:hAnsi="Arial" w:cs="Arial"/>
                <w:sz w:val="24"/>
                <w:szCs w:val="24"/>
              </w:rPr>
              <w:t>At the time when</w:t>
            </w:r>
            <w:r>
              <w:rPr>
                <w:rFonts w:ascii="Arial" w:hAnsi="Arial" w:cs="Arial"/>
                <w:sz w:val="24"/>
                <w:szCs w:val="24"/>
              </w:rPr>
              <w:t xml:space="preserve"> Ms Martin</w:t>
            </w:r>
            <w:r w:rsidR="00622394" w:rsidRPr="00622394">
              <w:rPr>
                <w:rFonts w:ascii="Arial" w:hAnsi="Arial" w:cs="Arial"/>
                <w:sz w:val="24"/>
                <w:szCs w:val="24"/>
              </w:rPr>
              <w:t xml:space="preserve"> was employed as a C</w:t>
            </w:r>
            <w:r w:rsidR="006659A6">
              <w:rPr>
                <w:rFonts w:ascii="Arial" w:hAnsi="Arial" w:cs="Arial"/>
                <w:sz w:val="24"/>
                <w:szCs w:val="24"/>
              </w:rPr>
              <w:t>ontroller, she earned N$</w:t>
            </w:r>
            <w:r>
              <w:rPr>
                <w:rFonts w:ascii="Arial" w:hAnsi="Arial" w:cs="Arial"/>
                <w:sz w:val="24"/>
                <w:szCs w:val="24"/>
              </w:rPr>
              <w:t>3 218</w:t>
            </w:r>
            <w:r w:rsidR="007F6946">
              <w:rPr>
                <w:rFonts w:ascii="Arial" w:hAnsi="Arial" w:cs="Arial"/>
                <w:sz w:val="24"/>
                <w:szCs w:val="24"/>
              </w:rPr>
              <w:t xml:space="preserve"> per month</w:t>
            </w:r>
            <w:r w:rsidR="00622394" w:rsidRPr="00622394">
              <w:rPr>
                <w:rFonts w:ascii="Arial" w:hAnsi="Arial" w:cs="Arial"/>
                <w:sz w:val="24"/>
                <w:szCs w:val="24"/>
              </w:rPr>
              <w:t xml:space="preserve">. </w:t>
            </w:r>
          </w:p>
          <w:p w:rsidR="00622394" w:rsidRPr="00622394" w:rsidRDefault="00622394" w:rsidP="00622394">
            <w:pPr>
              <w:spacing w:line="360" w:lineRule="auto"/>
              <w:jc w:val="both"/>
              <w:rPr>
                <w:rFonts w:ascii="Arial" w:hAnsi="Arial" w:cs="Arial"/>
                <w:sz w:val="24"/>
                <w:szCs w:val="24"/>
              </w:rPr>
            </w:pPr>
          </w:p>
          <w:p w:rsidR="00622394" w:rsidRPr="00622394" w:rsidRDefault="00175F5E" w:rsidP="00622394">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It became apparent that during the </w:t>
            </w:r>
            <w:r w:rsidR="003B1D21">
              <w:rPr>
                <w:rFonts w:ascii="Arial" w:hAnsi="Arial" w:cs="Arial"/>
                <w:sz w:val="24"/>
                <w:szCs w:val="24"/>
              </w:rPr>
              <w:t>course of Ms Martin’s employment as Controller, she failed to meet the standard of work required</w:t>
            </w:r>
            <w:r w:rsidR="00A82951">
              <w:rPr>
                <w:rFonts w:ascii="Arial" w:hAnsi="Arial" w:cs="Arial"/>
                <w:sz w:val="24"/>
                <w:szCs w:val="24"/>
              </w:rPr>
              <w:t xml:space="preserve"> for the position of Controller. Subsequently, Ms Martin, on 9 January </w:t>
            </w:r>
            <w:r w:rsidR="009249B2">
              <w:rPr>
                <w:rFonts w:ascii="Arial" w:hAnsi="Arial" w:cs="Arial"/>
                <w:sz w:val="24"/>
                <w:szCs w:val="24"/>
              </w:rPr>
              <w:t>2020</w:t>
            </w:r>
            <w:r w:rsidR="007F6946">
              <w:rPr>
                <w:rFonts w:ascii="Arial" w:hAnsi="Arial" w:cs="Arial"/>
                <w:sz w:val="24"/>
                <w:szCs w:val="24"/>
              </w:rPr>
              <w:t>, via correspondence to the appellant,</w:t>
            </w:r>
            <w:r w:rsidR="00A82951">
              <w:rPr>
                <w:rFonts w:ascii="Arial" w:hAnsi="Arial" w:cs="Arial"/>
                <w:sz w:val="24"/>
                <w:szCs w:val="24"/>
              </w:rPr>
              <w:t xml:space="preserve"> requested that she </w:t>
            </w:r>
            <w:r w:rsidR="00622394" w:rsidRPr="00622394">
              <w:rPr>
                <w:rFonts w:ascii="Arial" w:hAnsi="Arial" w:cs="Arial"/>
                <w:sz w:val="24"/>
                <w:szCs w:val="24"/>
              </w:rPr>
              <w:t xml:space="preserve">be </w:t>
            </w:r>
            <w:r w:rsidR="00DB7B55" w:rsidRPr="00622394">
              <w:rPr>
                <w:rFonts w:ascii="Arial" w:hAnsi="Arial" w:cs="Arial"/>
                <w:sz w:val="24"/>
                <w:szCs w:val="24"/>
              </w:rPr>
              <w:t>downgraded</w:t>
            </w:r>
            <w:r w:rsidR="00622394" w:rsidRPr="00622394">
              <w:rPr>
                <w:rFonts w:ascii="Arial" w:hAnsi="Arial" w:cs="Arial"/>
                <w:sz w:val="24"/>
                <w:szCs w:val="24"/>
              </w:rPr>
              <w:t xml:space="preserve"> from the position of Controller to </w:t>
            </w:r>
            <w:r w:rsidR="0063620F">
              <w:rPr>
                <w:rFonts w:ascii="Arial" w:hAnsi="Arial" w:cs="Arial"/>
                <w:sz w:val="24"/>
                <w:szCs w:val="24"/>
              </w:rPr>
              <w:t>that of normal staff as Shelf P</w:t>
            </w:r>
            <w:r w:rsidR="00A82951">
              <w:rPr>
                <w:rFonts w:ascii="Arial" w:hAnsi="Arial" w:cs="Arial"/>
                <w:sz w:val="24"/>
                <w:szCs w:val="24"/>
              </w:rPr>
              <w:t>acker</w:t>
            </w:r>
            <w:r w:rsidR="006659A6">
              <w:rPr>
                <w:rFonts w:ascii="Arial" w:hAnsi="Arial" w:cs="Arial"/>
                <w:sz w:val="24"/>
                <w:szCs w:val="24"/>
              </w:rPr>
              <w:t xml:space="preserve">. </w:t>
            </w:r>
            <w:r w:rsidR="00A82951">
              <w:rPr>
                <w:rFonts w:ascii="Arial" w:hAnsi="Arial" w:cs="Arial"/>
                <w:sz w:val="24"/>
                <w:szCs w:val="24"/>
              </w:rPr>
              <w:t>In principle</w:t>
            </w:r>
            <w:r w:rsidR="007F6946">
              <w:rPr>
                <w:rFonts w:ascii="Arial" w:hAnsi="Arial" w:cs="Arial"/>
                <w:sz w:val="24"/>
                <w:szCs w:val="24"/>
              </w:rPr>
              <w:t xml:space="preserve">, Ms Martin sought a </w:t>
            </w:r>
            <w:r w:rsidR="00A30890">
              <w:rPr>
                <w:rFonts w:ascii="Arial" w:hAnsi="Arial" w:cs="Arial"/>
                <w:sz w:val="24"/>
                <w:szCs w:val="24"/>
              </w:rPr>
              <w:t>demotion</w:t>
            </w:r>
            <w:r w:rsidR="007F6946">
              <w:rPr>
                <w:rFonts w:ascii="Arial" w:hAnsi="Arial" w:cs="Arial"/>
                <w:sz w:val="24"/>
                <w:szCs w:val="24"/>
              </w:rPr>
              <w:t xml:space="preserve"> in position and salary,</w:t>
            </w:r>
            <w:r w:rsidR="00622394" w:rsidRPr="00622394">
              <w:rPr>
                <w:rFonts w:ascii="Arial" w:hAnsi="Arial" w:cs="Arial"/>
                <w:sz w:val="24"/>
                <w:szCs w:val="24"/>
              </w:rPr>
              <w:t xml:space="preserve"> too. </w:t>
            </w:r>
          </w:p>
          <w:p w:rsidR="00622394" w:rsidRPr="00622394" w:rsidRDefault="00622394" w:rsidP="00622394">
            <w:pPr>
              <w:spacing w:line="360" w:lineRule="auto"/>
              <w:jc w:val="both"/>
              <w:rPr>
                <w:rFonts w:ascii="Arial" w:hAnsi="Arial" w:cs="Arial"/>
                <w:sz w:val="24"/>
                <w:szCs w:val="24"/>
              </w:rPr>
            </w:pPr>
          </w:p>
          <w:p w:rsidR="00622394" w:rsidRDefault="00A82951" w:rsidP="00622394">
            <w:pPr>
              <w:spacing w:line="360" w:lineRule="auto"/>
              <w:jc w:val="both"/>
              <w:rPr>
                <w:rFonts w:ascii="Arial" w:hAnsi="Arial" w:cs="Arial"/>
                <w:sz w:val="24"/>
                <w:szCs w:val="24"/>
              </w:rPr>
            </w:pPr>
            <w:r>
              <w:rPr>
                <w:rFonts w:ascii="Arial" w:hAnsi="Arial" w:cs="Arial"/>
                <w:sz w:val="24"/>
                <w:szCs w:val="24"/>
              </w:rPr>
              <w:t>[8]</w:t>
            </w:r>
            <w:r w:rsidR="00535756">
              <w:rPr>
                <w:rFonts w:ascii="Arial" w:hAnsi="Arial" w:cs="Arial"/>
                <w:sz w:val="24"/>
                <w:szCs w:val="24"/>
              </w:rPr>
              <w:tab/>
              <w:t xml:space="preserve">Following </w:t>
            </w:r>
            <w:r w:rsidR="0063620F">
              <w:rPr>
                <w:rFonts w:ascii="Arial" w:hAnsi="Arial" w:cs="Arial"/>
                <w:sz w:val="24"/>
                <w:szCs w:val="24"/>
              </w:rPr>
              <w:t>the correspondence by Ms Martin</w:t>
            </w:r>
            <w:r w:rsidR="00535756">
              <w:rPr>
                <w:rFonts w:ascii="Arial" w:hAnsi="Arial" w:cs="Arial"/>
                <w:sz w:val="24"/>
                <w:szCs w:val="24"/>
              </w:rPr>
              <w:t xml:space="preserve"> and at her instance</w:t>
            </w:r>
            <w:r w:rsidR="006659A6">
              <w:rPr>
                <w:rFonts w:ascii="Arial" w:hAnsi="Arial" w:cs="Arial"/>
                <w:sz w:val="24"/>
                <w:szCs w:val="24"/>
              </w:rPr>
              <w:t>,</w:t>
            </w:r>
            <w:r w:rsidR="00535756">
              <w:rPr>
                <w:rFonts w:ascii="Arial" w:hAnsi="Arial" w:cs="Arial"/>
                <w:sz w:val="24"/>
                <w:szCs w:val="24"/>
              </w:rPr>
              <w:t xml:space="preserve"> </w:t>
            </w:r>
            <w:r w:rsidR="009249B2">
              <w:rPr>
                <w:rFonts w:ascii="Arial" w:hAnsi="Arial" w:cs="Arial"/>
                <w:sz w:val="24"/>
                <w:szCs w:val="24"/>
              </w:rPr>
              <w:t>the a</w:t>
            </w:r>
            <w:r w:rsidR="00622394" w:rsidRPr="00622394">
              <w:rPr>
                <w:rFonts w:ascii="Arial" w:hAnsi="Arial" w:cs="Arial"/>
                <w:sz w:val="24"/>
                <w:szCs w:val="24"/>
              </w:rPr>
              <w:t>ppellant executed</w:t>
            </w:r>
            <w:r w:rsidR="00535756">
              <w:rPr>
                <w:rFonts w:ascii="Arial" w:hAnsi="Arial" w:cs="Arial"/>
                <w:sz w:val="24"/>
                <w:szCs w:val="24"/>
              </w:rPr>
              <w:t xml:space="preserve"> the </w:t>
            </w:r>
            <w:r w:rsidR="00A30890" w:rsidRPr="00733339">
              <w:rPr>
                <w:rFonts w:ascii="Arial" w:hAnsi="Arial" w:cs="Arial"/>
                <w:sz w:val="24"/>
                <w:szCs w:val="24"/>
              </w:rPr>
              <w:t>downgrading</w:t>
            </w:r>
            <w:r w:rsidR="00535756" w:rsidRPr="00733339">
              <w:rPr>
                <w:rFonts w:ascii="Arial" w:hAnsi="Arial" w:cs="Arial"/>
                <w:sz w:val="24"/>
                <w:szCs w:val="24"/>
              </w:rPr>
              <w:t xml:space="preserve"> </w:t>
            </w:r>
            <w:r w:rsidR="005D70F1" w:rsidRPr="00733339">
              <w:rPr>
                <w:rFonts w:ascii="Arial" w:hAnsi="Arial" w:cs="Arial"/>
                <w:sz w:val="24"/>
                <w:szCs w:val="24"/>
              </w:rPr>
              <w:t>in rank f</w:t>
            </w:r>
            <w:r w:rsidR="00622394" w:rsidRPr="00733339">
              <w:rPr>
                <w:rFonts w:ascii="Arial" w:hAnsi="Arial" w:cs="Arial"/>
                <w:sz w:val="24"/>
                <w:szCs w:val="24"/>
              </w:rPr>
              <w:t>rom</w:t>
            </w:r>
            <w:r w:rsidR="00622394" w:rsidRPr="00622394">
              <w:rPr>
                <w:rFonts w:ascii="Arial" w:hAnsi="Arial" w:cs="Arial"/>
                <w:sz w:val="24"/>
                <w:szCs w:val="24"/>
              </w:rPr>
              <w:t xml:space="preserve"> </w:t>
            </w:r>
            <w:r w:rsidR="00535756">
              <w:rPr>
                <w:rFonts w:ascii="Arial" w:hAnsi="Arial" w:cs="Arial"/>
                <w:sz w:val="24"/>
                <w:szCs w:val="24"/>
              </w:rPr>
              <w:t xml:space="preserve">that of </w:t>
            </w:r>
            <w:r w:rsidR="00622394" w:rsidRPr="00622394">
              <w:rPr>
                <w:rFonts w:ascii="Arial" w:hAnsi="Arial" w:cs="Arial"/>
                <w:sz w:val="24"/>
                <w:szCs w:val="24"/>
              </w:rPr>
              <w:t>Controller to Groceries Shelf Packer and accordingly also r</w:t>
            </w:r>
            <w:r w:rsidR="00535756">
              <w:rPr>
                <w:rFonts w:ascii="Arial" w:hAnsi="Arial" w:cs="Arial"/>
                <w:sz w:val="24"/>
                <w:szCs w:val="24"/>
              </w:rPr>
              <w:t xml:space="preserve">educed her salary </w:t>
            </w:r>
            <w:r w:rsidR="0063620F">
              <w:rPr>
                <w:rFonts w:ascii="Arial" w:hAnsi="Arial" w:cs="Arial"/>
                <w:sz w:val="24"/>
                <w:szCs w:val="24"/>
              </w:rPr>
              <w:t xml:space="preserve">from N$3 218 </w:t>
            </w:r>
            <w:r w:rsidR="00535756">
              <w:rPr>
                <w:rFonts w:ascii="Arial" w:hAnsi="Arial" w:cs="Arial"/>
                <w:sz w:val="24"/>
                <w:szCs w:val="24"/>
              </w:rPr>
              <w:t xml:space="preserve">to N$2 190. </w:t>
            </w:r>
          </w:p>
          <w:p w:rsidR="00535756" w:rsidRPr="00622394" w:rsidRDefault="00535756" w:rsidP="00622394">
            <w:pPr>
              <w:spacing w:line="360" w:lineRule="auto"/>
              <w:jc w:val="both"/>
              <w:rPr>
                <w:rFonts w:ascii="Arial" w:hAnsi="Arial" w:cs="Arial"/>
                <w:sz w:val="24"/>
                <w:szCs w:val="24"/>
              </w:rPr>
            </w:pPr>
          </w:p>
          <w:p w:rsidR="00622394" w:rsidRDefault="00D57B17" w:rsidP="00622394">
            <w:pPr>
              <w:spacing w:line="360" w:lineRule="auto"/>
              <w:jc w:val="both"/>
              <w:rPr>
                <w:rFonts w:ascii="Arial" w:hAnsi="Arial" w:cs="Arial"/>
                <w:sz w:val="24"/>
                <w:szCs w:val="24"/>
              </w:rPr>
            </w:pPr>
            <w:r>
              <w:rPr>
                <w:rFonts w:ascii="Arial" w:hAnsi="Arial" w:cs="Arial"/>
                <w:sz w:val="24"/>
                <w:szCs w:val="24"/>
              </w:rPr>
              <w:t>[9]</w:t>
            </w:r>
            <w:r w:rsidR="00622394" w:rsidRPr="00622394">
              <w:rPr>
                <w:rFonts w:ascii="Arial" w:hAnsi="Arial" w:cs="Arial"/>
                <w:sz w:val="24"/>
                <w:szCs w:val="24"/>
              </w:rPr>
              <w:tab/>
            </w:r>
            <w:r w:rsidR="00DB7B55">
              <w:rPr>
                <w:rFonts w:ascii="Arial" w:hAnsi="Arial" w:cs="Arial"/>
                <w:sz w:val="24"/>
                <w:szCs w:val="24"/>
              </w:rPr>
              <w:t>As a result of the aforesaid demotion</w:t>
            </w:r>
            <w:r w:rsidR="008E1143">
              <w:rPr>
                <w:rFonts w:ascii="Arial" w:hAnsi="Arial" w:cs="Arial"/>
                <w:sz w:val="24"/>
                <w:szCs w:val="24"/>
              </w:rPr>
              <w:t xml:space="preserve"> or </w:t>
            </w:r>
            <w:r w:rsidR="008E1143" w:rsidRPr="00733339">
              <w:rPr>
                <w:rFonts w:ascii="Arial" w:hAnsi="Arial" w:cs="Arial"/>
                <w:sz w:val="24"/>
                <w:szCs w:val="24"/>
              </w:rPr>
              <w:t>downgrading</w:t>
            </w:r>
            <w:r w:rsidR="005D70F1" w:rsidRPr="00733339">
              <w:rPr>
                <w:rFonts w:ascii="Arial" w:hAnsi="Arial" w:cs="Arial"/>
                <w:sz w:val="24"/>
                <w:szCs w:val="24"/>
              </w:rPr>
              <w:t xml:space="preserve"> in rank</w:t>
            </w:r>
            <w:r w:rsidR="00DB7B55" w:rsidRPr="00733339">
              <w:rPr>
                <w:rFonts w:ascii="Arial" w:hAnsi="Arial" w:cs="Arial"/>
                <w:sz w:val="24"/>
                <w:szCs w:val="24"/>
              </w:rPr>
              <w:t>,</w:t>
            </w:r>
            <w:r w:rsidR="00DB7B55">
              <w:rPr>
                <w:rFonts w:ascii="Arial" w:hAnsi="Arial" w:cs="Arial"/>
                <w:sz w:val="24"/>
                <w:szCs w:val="24"/>
              </w:rPr>
              <w:t xml:space="preserve"> on 10 June 2020,</w:t>
            </w:r>
            <w:r w:rsidR="009249B2">
              <w:rPr>
                <w:rFonts w:ascii="Arial" w:hAnsi="Arial" w:cs="Arial"/>
                <w:sz w:val="24"/>
                <w:szCs w:val="24"/>
              </w:rPr>
              <w:t xml:space="preserve"> the r</w:t>
            </w:r>
            <w:r w:rsidR="00622394" w:rsidRPr="00D57B17">
              <w:rPr>
                <w:rFonts w:ascii="Arial" w:hAnsi="Arial" w:cs="Arial"/>
                <w:sz w:val="24"/>
                <w:szCs w:val="24"/>
              </w:rPr>
              <w:t>espondent referred a dispute</w:t>
            </w:r>
            <w:r>
              <w:rPr>
                <w:rFonts w:ascii="Arial" w:hAnsi="Arial" w:cs="Arial"/>
                <w:sz w:val="24"/>
                <w:szCs w:val="24"/>
              </w:rPr>
              <w:t xml:space="preserve"> of unfair labour practice and </w:t>
            </w:r>
            <w:r w:rsidRPr="00D57B17">
              <w:rPr>
                <w:rFonts w:ascii="Arial" w:hAnsi="Arial" w:cs="Arial"/>
                <w:sz w:val="24"/>
                <w:szCs w:val="24"/>
              </w:rPr>
              <w:t xml:space="preserve">unilateral change of </w:t>
            </w:r>
            <w:r>
              <w:rPr>
                <w:rFonts w:ascii="Arial" w:hAnsi="Arial" w:cs="Arial"/>
                <w:sz w:val="24"/>
                <w:szCs w:val="24"/>
              </w:rPr>
              <w:t>the terms and c</w:t>
            </w:r>
            <w:r w:rsidRPr="00D57B17">
              <w:rPr>
                <w:rFonts w:ascii="Arial" w:hAnsi="Arial" w:cs="Arial"/>
                <w:sz w:val="24"/>
                <w:szCs w:val="24"/>
              </w:rPr>
              <w:t>onditions</w:t>
            </w:r>
            <w:r>
              <w:rPr>
                <w:rFonts w:ascii="Arial" w:hAnsi="Arial" w:cs="Arial"/>
                <w:sz w:val="24"/>
                <w:szCs w:val="24"/>
              </w:rPr>
              <w:t xml:space="preserve"> of the employment contract </w:t>
            </w:r>
            <w:r w:rsidR="00622394" w:rsidRPr="00D57B17">
              <w:rPr>
                <w:rFonts w:ascii="Arial" w:hAnsi="Arial" w:cs="Arial"/>
                <w:sz w:val="24"/>
                <w:szCs w:val="24"/>
              </w:rPr>
              <w:t>to the Of</w:t>
            </w:r>
            <w:r>
              <w:rPr>
                <w:rFonts w:ascii="Arial" w:hAnsi="Arial" w:cs="Arial"/>
                <w:sz w:val="24"/>
                <w:szCs w:val="24"/>
              </w:rPr>
              <w:t xml:space="preserve">fice of the Labour Commissioner. </w:t>
            </w:r>
          </w:p>
          <w:p w:rsidR="00D57B17" w:rsidRPr="00622394" w:rsidRDefault="00D57B17" w:rsidP="00622394">
            <w:pPr>
              <w:spacing w:line="360" w:lineRule="auto"/>
              <w:jc w:val="both"/>
              <w:rPr>
                <w:rFonts w:ascii="Arial" w:hAnsi="Arial" w:cs="Arial"/>
                <w:sz w:val="24"/>
                <w:szCs w:val="24"/>
              </w:rPr>
            </w:pPr>
          </w:p>
          <w:p w:rsidR="009401FC" w:rsidRDefault="00D57B17" w:rsidP="00622394">
            <w:pPr>
              <w:spacing w:line="360" w:lineRule="auto"/>
              <w:jc w:val="both"/>
              <w:rPr>
                <w:rFonts w:ascii="Arial" w:hAnsi="Arial" w:cs="Arial"/>
                <w:sz w:val="24"/>
                <w:szCs w:val="24"/>
              </w:rPr>
            </w:pPr>
            <w:r>
              <w:rPr>
                <w:rFonts w:ascii="Arial" w:hAnsi="Arial" w:cs="Arial"/>
                <w:sz w:val="24"/>
                <w:szCs w:val="24"/>
              </w:rPr>
              <w:t>[10]</w:t>
            </w:r>
            <w:r w:rsidR="00622394" w:rsidRPr="00622394">
              <w:rPr>
                <w:rFonts w:ascii="Arial" w:hAnsi="Arial" w:cs="Arial"/>
                <w:sz w:val="24"/>
                <w:szCs w:val="24"/>
              </w:rPr>
              <w:tab/>
              <w:t xml:space="preserve">The dispute </w:t>
            </w:r>
            <w:r w:rsidR="009249B2">
              <w:rPr>
                <w:rFonts w:ascii="Arial" w:hAnsi="Arial" w:cs="Arial"/>
                <w:sz w:val="24"/>
                <w:szCs w:val="24"/>
              </w:rPr>
              <w:t xml:space="preserve">lodged by Ms Martin </w:t>
            </w:r>
            <w:r>
              <w:rPr>
                <w:rFonts w:ascii="Arial" w:hAnsi="Arial" w:cs="Arial"/>
                <w:sz w:val="24"/>
                <w:szCs w:val="24"/>
              </w:rPr>
              <w:t xml:space="preserve">of </w:t>
            </w:r>
            <w:r w:rsidRPr="00D57B17">
              <w:rPr>
                <w:rFonts w:ascii="Arial" w:hAnsi="Arial" w:cs="Arial"/>
                <w:sz w:val="24"/>
                <w:szCs w:val="24"/>
              </w:rPr>
              <w:t xml:space="preserve">unfair labour practice and unilateral change of </w:t>
            </w:r>
            <w:r>
              <w:rPr>
                <w:rFonts w:ascii="Arial" w:hAnsi="Arial" w:cs="Arial"/>
                <w:sz w:val="24"/>
                <w:szCs w:val="24"/>
              </w:rPr>
              <w:t xml:space="preserve">the terms and conditions of </w:t>
            </w:r>
            <w:r w:rsidRPr="00D57B17">
              <w:rPr>
                <w:rFonts w:ascii="Arial" w:hAnsi="Arial" w:cs="Arial"/>
                <w:sz w:val="24"/>
                <w:szCs w:val="24"/>
              </w:rPr>
              <w:t xml:space="preserve">employment </w:t>
            </w:r>
            <w:r w:rsidR="009249B2">
              <w:rPr>
                <w:rFonts w:ascii="Arial" w:hAnsi="Arial" w:cs="Arial"/>
                <w:sz w:val="24"/>
                <w:szCs w:val="24"/>
              </w:rPr>
              <w:t xml:space="preserve">was heard on 3 February 2021, and </w:t>
            </w:r>
            <w:r w:rsidR="00622394" w:rsidRPr="00622394">
              <w:rPr>
                <w:rFonts w:ascii="Arial" w:hAnsi="Arial" w:cs="Arial"/>
                <w:sz w:val="24"/>
                <w:szCs w:val="24"/>
              </w:rPr>
              <w:t>on 1</w:t>
            </w:r>
            <w:r>
              <w:rPr>
                <w:rFonts w:ascii="Arial" w:hAnsi="Arial" w:cs="Arial"/>
                <w:sz w:val="24"/>
                <w:szCs w:val="24"/>
              </w:rPr>
              <w:t xml:space="preserve"> June 2021</w:t>
            </w:r>
            <w:r w:rsidR="003B1D21">
              <w:rPr>
                <w:rFonts w:ascii="Arial" w:hAnsi="Arial" w:cs="Arial"/>
                <w:sz w:val="24"/>
                <w:szCs w:val="24"/>
              </w:rPr>
              <w:t>,</w:t>
            </w:r>
            <w:r>
              <w:rPr>
                <w:rFonts w:ascii="Arial" w:hAnsi="Arial" w:cs="Arial"/>
                <w:sz w:val="24"/>
                <w:szCs w:val="24"/>
              </w:rPr>
              <w:t xml:space="preserve"> the arbitrator handed down</w:t>
            </w:r>
            <w:r w:rsidR="00622394" w:rsidRPr="00622394">
              <w:rPr>
                <w:rFonts w:ascii="Arial" w:hAnsi="Arial" w:cs="Arial"/>
                <w:sz w:val="24"/>
                <w:szCs w:val="24"/>
              </w:rPr>
              <w:t xml:space="preserve"> an arbitration a</w:t>
            </w:r>
            <w:r>
              <w:rPr>
                <w:rFonts w:ascii="Arial" w:hAnsi="Arial" w:cs="Arial"/>
                <w:sz w:val="24"/>
                <w:szCs w:val="24"/>
              </w:rPr>
              <w:t>ward in favour of Ms Martin</w:t>
            </w:r>
            <w:r w:rsidR="00622394" w:rsidRPr="00622394">
              <w:rPr>
                <w:rFonts w:ascii="Arial" w:hAnsi="Arial" w:cs="Arial"/>
                <w:sz w:val="24"/>
                <w:szCs w:val="24"/>
              </w:rPr>
              <w:t xml:space="preserve"> in the following terms</w:t>
            </w:r>
            <w:r>
              <w:rPr>
                <w:rFonts w:ascii="Arial" w:hAnsi="Arial" w:cs="Arial"/>
                <w:sz w:val="24"/>
                <w:szCs w:val="24"/>
              </w:rPr>
              <w:t xml:space="preserve">: I quote verbatim from the arbitration award. </w:t>
            </w:r>
          </w:p>
          <w:p w:rsidR="00116107" w:rsidRDefault="00116107" w:rsidP="009401FC">
            <w:pPr>
              <w:spacing w:line="360" w:lineRule="auto"/>
              <w:jc w:val="both"/>
              <w:rPr>
                <w:rFonts w:ascii="Arial" w:hAnsi="Arial" w:cs="Arial"/>
                <w:sz w:val="24"/>
                <w:szCs w:val="24"/>
              </w:rPr>
            </w:pPr>
          </w:p>
          <w:p w:rsidR="00D57B17" w:rsidRPr="00D57B17" w:rsidRDefault="00D57B17" w:rsidP="00D57B17">
            <w:pPr>
              <w:spacing w:line="360" w:lineRule="auto"/>
              <w:jc w:val="both"/>
              <w:rPr>
                <w:rFonts w:ascii="Arial" w:hAnsi="Arial" w:cs="Arial"/>
              </w:rPr>
            </w:pPr>
            <w:r w:rsidRPr="00D57B17">
              <w:rPr>
                <w:rFonts w:ascii="Arial" w:hAnsi="Arial" w:cs="Arial"/>
                <w:sz w:val="24"/>
                <w:szCs w:val="24"/>
              </w:rPr>
              <w:tab/>
            </w:r>
            <w:r>
              <w:rPr>
                <w:rFonts w:ascii="Arial" w:hAnsi="Arial" w:cs="Arial"/>
                <w:sz w:val="24"/>
                <w:szCs w:val="24"/>
              </w:rPr>
              <w:t>‘</w:t>
            </w:r>
            <w:r w:rsidRPr="00D57B17">
              <w:rPr>
                <w:rFonts w:ascii="Arial" w:hAnsi="Arial" w:cs="Arial"/>
              </w:rPr>
              <w:t>6. Order</w:t>
            </w:r>
          </w:p>
          <w:p w:rsidR="00D57B17" w:rsidRPr="006659A6" w:rsidRDefault="00D57B17" w:rsidP="006659A6">
            <w:pPr>
              <w:pStyle w:val="BodyText3"/>
              <w:rPr>
                <w:lang w:val="en-ZA"/>
              </w:rPr>
            </w:pPr>
            <w:r w:rsidRPr="006659A6">
              <w:rPr>
                <w:lang w:val="en-ZA"/>
              </w:rPr>
              <w:t xml:space="preserve">6.1. The respondent to this matter hereby ordered to effect the payment in lieu for unlawful deduction no later than 30th June 2021, calculated as follows: </w:t>
            </w:r>
          </w:p>
          <w:p w:rsidR="00D57B17" w:rsidRPr="00D57B17" w:rsidRDefault="00D57B17" w:rsidP="00D57B17">
            <w:pPr>
              <w:spacing w:line="360" w:lineRule="auto"/>
              <w:jc w:val="both"/>
              <w:rPr>
                <w:rFonts w:ascii="Arial" w:hAnsi="Arial" w:cs="Arial"/>
              </w:rPr>
            </w:pPr>
            <w:r w:rsidRPr="00D57B17">
              <w:rPr>
                <w:rFonts w:ascii="Arial" w:hAnsi="Arial" w:cs="Arial"/>
              </w:rPr>
              <w:t xml:space="preserve">N$ 3218-00, initial salary – N$ 2190-00 (reduced salary) </w:t>
            </w:r>
          </w:p>
          <w:p w:rsidR="00D57B17" w:rsidRPr="00D57B17" w:rsidRDefault="00D57B17" w:rsidP="00D57B17">
            <w:pPr>
              <w:spacing w:line="360" w:lineRule="auto"/>
              <w:jc w:val="both"/>
              <w:rPr>
                <w:rFonts w:ascii="Arial" w:hAnsi="Arial" w:cs="Arial"/>
              </w:rPr>
            </w:pPr>
            <w:r w:rsidRPr="00D57B17">
              <w:rPr>
                <w:rFonts w:ascii="Arial" w:hAnsi="Arial" w:cs="Arial"/>
              </w:rPr>
              <w:t xml:space="preserve">= N$ 1028-00 (difference) </w:t>
            </w:r>
          </w:p>
          <w:p w:rsidR="00D57B17" w:rsidRPr="00D57B17" w:rsidRDefault="00D57B17" w:rsidP="00D57B17">
            <w:pPr>
              <w:spacing w:line="360" w:lineRule="auto"/>
              <w:jc w:val="both"/>
              <w:rPr>
                <w:rFonts w:ascii="Arial" w:hAnsi="Arial" w:cs="Arial"/>
              </w:rPr>
            </w:pPr>
            <w:r w:rsidRPr="00D57B17">
              <w:rPr>
                <w:rFonts w:ascii="Arial" w:hAnsi="Arial" w:cs="Arial"/>
              </w:rPr>
              <w:t xml:space="preserve">February 2020 to June 2021 _ 17 Months </w:t>
            </w:r>
          </w:p>
          <w:p w:rsidR="00D57B17" w:rsidRDefault="00D57B17" w:rsidP="00D57B17">
            <w:pPr>
              <w:spacing w:line="360" w:lineRule="auto"/>
              <w:jc w:val="both"/>
              <w:rPr>
                <w:rFonts w:ascii="Arial" w:hAnsi="Arial" w:cs="Arial"/>
              </w:rPr>
            </w:pPr>
            <w:r w:rsidRPr="00D57B17">
              <w:rPr>
                <w:rFonts w:ascii="Arial" w:hAnsi="Arial" w:cs="Arial"/>
              </w:rPr>
              <w:t>N$ 1028-00 x 17 Months  = N$ 17,476.00</w:t>
            </w:r>
          </w:p>
          <w:p w:rsidR="006659A6" w:rsidRPr="00D57B17" w:rsidRDefault="006659A6" w:rsidP="00D57B17">
            <w:pPr>
              <w:spacing w:line="360" w:lineRule="auto"/>
              <w:jc w:val="both"/>
              <w:rPr>
                <w:rFonts w:ascii="Arial" w:hAnsi="Arial" w:cs="Arial"/>
              </w:rPr>
            </w:pPr>
          </w:p>
          <w:p w:rsidR="00D57B17" w:rsidRDefault="00D57B17" w:rsidP="00D57B17">
            <w:pPr>
              <w:spacing w:line="360" w:lineRule="auto"/>
              <w:jc w:val="both"/>
              <w:rPr>
                <w:rFonts w:ascii="Arial" w:hAnsi="Arial" w:cs="Arial"/>
              </w:rPr>
            </w:pPr>
            <w:r w:rsidRPr="00D57B17">
              <w:rPr>
                <w:rFonts w:ascii="Arial" w:hAnsi="Arial" w:cs="Arial"/>
              </w:rPr>
              <w:t>6.2. The respondent to this matter is also ordered to adjust the increment</w:t>
            </w:r>
            <w:r w:rsidR="003B1D21">
              <w:rPr>
                <w:rFonts w:ascii="Arial" w:hAnsi="Arial" w:cs="Arial"/>
              </w:rPr>
              <w:t xml:space="preserve"> based</w:t>
            </w:r>
            <w:r w:rsidRPr="00D57B17">
              <w:rPr>
                <w:rFonts w:ascii="Arial" w:hAnsi="Arial" w:cs="Arial"/>
              </w:rPr>
              <w:t xml:space="preserve"> on the maximum salary of N$ 3218-00. In case any increases took place during the period 1st February 2021 and 30th June 2021…’</w:t>
            </w:r>
          </w:p>
          <w:p w:rsidR="00D57B17" w:rsidRPr="00D57B17" w:rsidRDefault="00D57B17" w:rsidP="00D57B17">
            <w:pPr>
              <w:spacing w:line="360" w:lineRule="auto"/>
              <w:jc w:val="both"/>
              <w:rPr>
                <w:rFonts w:ascii="Arial" w:hAnsi="Arial" w:cs="Arial"/>
              </w:rPr>
            </w:pPr>
          </w:p>
          <w:p w:rsidR="009401FC" w:rsidRDefault="00D57B17" w:rsidP="00D2398D">
            <w:pPr>
              <w:pStyle w:val="BodyText"/>
              <w:tabs>
                <w:tab w:val="clear" w:pos="729"/>
              </w:tabs>
            </w:pPr>
            <w:r>
              <w:t>[11</w:t>
            </w:r>
            <w:r w:rsidR="009401FC" w:rsidRPr="009401FC">
              <w:t>]</w:t>
            </w:r>
            <w:r w:rsidR="009401FC" w:rsidRPr="009401FC">
              <w:tab/>
            </w:r>
            <w:r w:rsidR="00D30A95">
              <w:t>As I indicated earlier in this judgment</w:t>
            </w:r>
            <w:r w:rsidR="00DB7B55">
              <w:t>, the appellant is aggrieved by the arbitrator’s order dated 1 June 2021</w:t>
            </w:r>
            <w:r w:rsidR="00C338E1">
              <w:t xml:space="preserve"> </w:t>
            </w:r>
            <w:r w:rsidR="00D30A95">
              <w:t>and prays that this order be set aside</w:t>
            </w:r>
            <w:r w:rsidR="00C338E1">
              <w:t xml:space="preserve">. </w:t>
            </w:r>
          </w:p>
          <w:p w:rsidR="00C338E1" w:rsidRDefault="00C338E1" w:rsidP="00D2398D">
            <w:pPr>
              <w:pStyle w:val="BodyText"/>
              <w:tabs>
                <w:tab w:val="clear" w:pos="729"/>
              </w:tabs>
            </w:pPr>
          </w:p>
          <w:p w:rsidR="005828A5" w:rsidRDefault="005828A5" w:rsidP="00D2398D">
            <w:pPr>
              <w:pStyle w:val="BodyText"/>
              <w:tabs>
                <w:tab w:val="clear" w:pos="729"/>
              </w:tabs>
            </w:pPr>
          </w:p>
          <w:p w:rsidR="00C338E1" w:rsidRPr="00C338E1" w:rsidRDefault="00C338E1" w:rsidP="00D2398D">
            <w:pPr>
              <w:pStyle w:val="BodyText"/>
              <w:tabs>
                <w:tab w:val="clear" w:pos="729"/>
              </w:tabs>
              <w:rPr>
                <w:u w:val="single"/>
              </w:rPr>
            </w:pPr>
            <w:r w:rsidRPr="00C338E1">
              <w:rPr>
                <w:u w:val="single"/>
              </w:rPr>
              <w:t>Grounds of appeal</w:t>
            </w:r>
          </w:p>
          <w:p w:rsidR="00C338E1" w:rsidRDefault="00C338E1" w:rsidP="00D2398D">
            <w:pPr>
              <w:pStyle w:val="BodyText"/>
              <w:tabs>
                <w:tab w:val="clear" w:pos="729"/>
              </w:tabs>
            </w:pPr>
          </w:p>
          <w:p w:rsidR="00C338E1" w:rsidRDefault="00C338E1" w:rsidP="00C338E1">
            <w:pPr>
              <w:pStyle w:val="BodyText"/>
            </w:pPr>
            <w:r>
              <w:t>[12]</w:t>
            </w:r>
            <w:r>
              <w:tab/>
            </w:r>
            <w:r w:rsidR="009C744D">
              <w:t>The a</w:t>
            </w:r>
            <w:r>
              <w:t xml:space="preserve">ppellant ‘s grounds of appeal can be summarised as follows: </w:t>
            </w:r>
          </w:p>
          <w:p w:rsidR="00C338E1" w:rsidRDefault="00C338E1" w:rsidP="00C338E1">
            <w:pPr>
              <w:pStyle w:val="BodyText"/>
            </w:pPr>
          </w:p>
          <w:p w:rsidR="00C338E1" w:rsidRDefault="00C338E1" w:rsidP="00C338E1">
            <w:pPr>
              <w:pStyle w:val="BodyText"/>
            </w:pPr>
            <w:r>
              <w:t>12</w:t>
            </w:r>
            <w:r w:rsidR="000D094B">
              <w:t>.1</w:t>
            </w:r>
            <w:r w:rsidR="000D094B" w:rsidRPr="000D094B">
              <w:tab/>
            </w:r>
            <w:r w:rsidR="000D094B">
              <w:t xml:space="preserve"> </w:t>
            </w:r>
            <w:r>
              <w:t>Whether</w:t>
            </w:r>
            <w:r w:rsidR="003B1D21">
              <w:t>,</w:t>
            </w:r>
            <w:r>
              <w:t xml:space="preserve"> on the evidence adduced, the dispute constitutes an unfair Labour practice in terms of the Labour Act</w:t>
            </w:r>
            <w:r w:rsidR="009C744D">
              <w:t xml:space="preserve"> 11 of</w:t>
            </w:r>
            <w:r>
              <w:t xml:space="preserve"> 2007</w:t>
            </w:r>
            <w:r w:rsidR="006659A6">
              <w:t xml:space="preserve"> (the Act)</w:t>
            </w:r>
            <w:r w:rsidR="003B1D21">
              <w:t>.</w:t>
            </w:r>
          </w:p>
          <w:p w:rsidR="00C338E1" w:rsidRDefault="00C338E1" w:rsidP="00C338E1">
            <w:pPr>
              <w:pStyle w:val="BodyText"/>
            </w:pPr>
          </w:p>
          <w:p w:rsidR="00C338E1" w:rsidRDefault="00C338E1" w:rsidP="00C338E1">
            <w:pPr>
              <w:pStyle w:val="BodyText"/>
            </w:pPr>
            <w:r>
              <w:t>12</w:t>
            </w:r>
            <w:r w:rsidR="000D094B">
              <w:t>.2.</w:t>
            </w:r>
            <w:r w:rsidR="000D094B" w:rsidRPr="000D094B">
              <w:tab/>
            </w:r>
            <w:r>
              <w:t>Whether, on the evidence adduced, the dispute constitutes a unilateral change of terms and conditions of emplo</w:t>
            </w:r>
            <w:r w:rsidR="009C744D">
              <w:t>yment under the Act</w:t>
            </w:r>
            <w:r w:rsidR="003B1D21">
              <w:t>.</w:t>
            </w:r>
            <w:r w:rsidR="004310BB">
              <w:t xml:space="preserve"> </w:t>
            </w:r>
          </w:p>
          <w:p w:rsidR="00C338E1" w:rsidRDefault="00C338E1" w:rsidP="00C338E1">
            <w:pPr>
              <w:pStyle w:val="BodyText"/>
            </w:pPr>
          </w:p>
          <w:p w:rsidR="00C338E1" w:rsidRDefault="00C338E1" w:rsidP="00C338E1">
            <w:pPr>
              <w:pStyle w:val="BodyText"/>
            </w:pPr>
            <w:r>
              <w:t>12</w:t>
            </w:r>
            <w:r w:rsidR="00A76C36">
              <w:t>.3</w:t>
            </w:r>
            <w:r w:rsidR="000D094B" w:rsidRPr="000D094B">
              <w:tab/>
            </w:r>
            <w:r w:rsidR="009C744D">
              <w:t>Did the a</w:t>
            </w:r>
            <w:r>
              <w:t>ppellant commit an unfair labour practice as provided in terms of s</w:t>
            </w:r>
            <w:r w:rsidR="009C744D">
              <w:t xml:space="preserve"> 50 of the Act</w:t>
            </w:r>
            <w:r>
              <w:t xml:space="preserve">? </w:t>
            </w:r>
          </w:p>
          <w:p w:rsidR="00C338E1" w:rsidRDefault="00C338E1" w:rsidP="00C338E1">
            <w:pPr>
              <w:pStyle w:val="BodyText"/>
            </w:pPr>
          </w:p>
          <w:p w:rsidR="00C338E1" w:rsidRDefault="00C338E1" w:rsidP="00C338E1">
            <w:pPr>
              <w:pStyle w:val="BodyText"/>
            </w:pPr>
            <w:r>
              <w:t>12</w:t>
            </w:r>
            <w:r w:rsidR="00A76C36">
              <w:t>.4.</w:t>
            </w:r>
            <w:r w:rsidR="00A76C36" w:rsidRPr="00A76C36">
              <w:tab/>
            </w:r>
            <w:r>
              <w:t>Could the arbitrator</w:t>
            </w:r>
            <w:r w:rsidR="003B1D21">
              <w:t>,</w:t>
            </w:r>
            <w:r>
              <w:t xml:space="preserve"> on the whole of the evidence tendered and considered against the overall spectrum of the case, find that the sanction was so unreasonable that no reasonable employer would have imposed such sanction?</w:t>
            </w:r>
          </w:p>
          <w:p w:rsidR="00C338E1" w:rsidRDefault="00C338E1" w:rsidP="00C338E1">
            <w:pPr>
              <w:pStyle w:val="BodyText"/>
            </w:pPr>
          </w:p>
          <w:p w:rsidR="00C338E1" w:rsidRDefault="00C338E1" w:rsidP="00C338E1">
            <w:pPr>
              <w:pStyle w:val="BodyText"/>
            </w:pPr>
            <w:r>
              <w:t>12</w:t>
            </w:r>
            <w:r w:rsidR="00A76C36">
              <w:t>.5.</w:t>
            </w:r>
            <w:r w:rsidR="00A76C36" w:rsidRPr="00A76C36">
              <w:tab/>
            </w:r>
            <w:r>
              <w:t>Whether or not the relief granted by the arbitrator was substantively proven and appropriate in the circumstances</w:t>
            </w:r>
            <w:r w:rsidR="006659A6">
              <w:t>,</w:t>
            </w:r>
            <w:r>
              <w:t xml:space="preserve"> considering that the respondent had participated in a protected strike during the period 23 December 2020 until 25 January 2021 and was not entitled to any remuneration.</w:t>
            </w:r>
          </w:p>
          <w:p w:rsidR="00C338E1" w:rsidRDefault="00C338E1" w:rsidP="00C338E1">
            <w:pPr>
              <w:pStyle w:val="BodyText"/>
            </w:pPr>
          </w:p>
          <w:p w:rsidR="00C338E1" w:rsidRDefault="00C338E1" w:rsidP="00C338E1">
            <w:pPr>
              <w:pStyle w:val="BodyText"/>
            </w:pPr>
            <w:r>
              <w:t xml:space="preserve">12.6 </w:t>
            </w:r>
            <w:r w:rsidR="00A76C36" w:rsidRPr="00A76C36">
              <w:tab/>
            </w:r>
            <w:r w:rsidR="006B62C2">
              <w:t>Whether the r</w:t>
            </w:r>
            <w:r>
              <w:t>espondent has discharged t</w:t>
            </w:r>
            <w:r w:rsidR="006B62C2">
              <w:t>he onus in respect of</w:t>
            </w:r>
            <w:r>
              <w:t xml:space="preserve"> proving her damages and entitlement to compensation. </w:t>
            </w:r>
          </w:p>
          <w:p w:rsidR="006B62C2" w:rsidRDefault="006B62C2" w:rsidP="00C338E1">
            <w:pPr>
              <w:pStyle w:val="BodyText"/>
            </w:pPr>
          </w:p>
          <w:p w:rsidR="006B62C2" w:rsidRPr="006B62C2" w:rsidRDefault="006B62C2" w:rsidP="00C338E1">
            <w:pPr>
              <w:pStyle w:val="BodyText"/>
              <w:rPr>
                <w:u w:val="single"/>
              </w:rPr>
            </w:pPr>
            <w:r w:rsidRPr="006B62C2">
              <w:rPr>
                <w:u w:val="single"/>
              </w:rPr>
              <w:t>Opposition</w:t>
            </w:r>
          </w:p>
          <w:p w:rsidR="00C338E1" w:rsidRDefault="00C338E1" w:rsidP="00C338E1">
            <w:pPr>
              <w:pStyle w:val="BodyText"/>
            </w:pPr>
          </w:p>
          <w:p w:rsidR="00C338E1" w:rsidRDefault="00C338E1" w:rsidP="00C338E1">
            <w:pPr>
              <w:pStyle w:val="BodyText"/>
            </w:pPr>
            <w:r>
              <w:t>[13]</w:t>
            </w:r>
            <w:r w:rsidR="00A76C36">
              <w:tab/>
            </w:r>
            <w:r w:rsidR="009F3835">
              <w:t xml:space="preserve">On </w:t>
            </w:r>
            <w:r w:rsidRPr="00C338E1">
              <w:t>1 September 2023</w:t>
            </w:r>
            <w:r w:rsidR="006B62C2">
              <w:t>,</w:t>
            </w:r>
            <w:r>
              <w:t xml:space="preserve"> Mr Silungwe filed a notice of intention to oppose</w:t>
            </w:r>
            <w:r w:rsidR="00DB7B55">
              <w:t>; however, no grounds of opposition were filed as is required by the rules, more specifically,</w:t>
            </w:r>
            <w:r w:rsidR="00640913">
              <w:t xml:space="preserve"> </w:t>
            </w:r>
            <w:r w:rsidR="00640913" w:rsidRPr="00640913">
              <w:t>rule 17(16)(</w:t>
            </w:r>
            <w:r w:rsidR="00640913" w:rsidRPr="00640913">
              <w:rPr>
                <w:i/>
              </w:rPr>
              <w:t>a</w:t>
            </w:r>
            <w:r w:rsidR="00640913">
              <w:t>)</w:t>
            </w:r>
            <w:r w:rsidR="00615340">
              <w:t>, which is phrased in peremptory terms</w:t>
            </w:r>
            <w:r w:rsidR="00640913">
              <w:t xml:space="preserve">. </w:t>
            </w:r>
            <w:r w:rsidR="00D6507F">
              <w:t>On the date of the hearing</w:t>
            </w:r>
            <w:r w:rsidR="00DB7B55">
              <w:t>, Mr Silungwe did not offer the court the courtesy of appearing</w:t>
            </w:r>
            <w:r w:rsidR="00D6507F">
              <w:t xml:space="preserve">. </w:t>
            </w:r>
          </w:p>
          <w:p w:rsidR="00C21D3C" w:rsidRPr="009401FC" w:rsidRDefault="00C21D3C" w:rsidP="009401FC">
            <w:pPr>
              <w:spacing w:line="360" w:lineRule="auto"/>
              <w:jc w:val="both"/>
              <w:rPr>
                <w:rFonts w:ascii="Arial" w:hAnsi="Arial" w:cs="Arial"/>
                <w:sz w:val="24"/>
                <w:szCs w:val="24"/>
              </w:rPr>
            </w:pPr>
          </w:p>
          <w:p w:rsidR="009401FC" w:rsidRDefault="00C338E1" w:rsidP="00A74FFC">
            <w:pPr>
              <w:pStyle w:val="BodyText"/>
              <w:tabs>
                <w:tab w:val="clear" w:pos="729"/>
              </w:tabs>
            </w:pPr>
            <w:r>
              <w:t>[14</w:t>
            </w:r>
            <w:r w:rsidR="009401FC" w:rsidRPr="009401FC">
              <w:t>]</w:t>
            </w:r>
            <w:r w:rsidR="006B62C2">
              <w:tab/>
              <w:t xml:space="preserve">Consequent to Mr Silungwe’s </w:t>
            </w:r>
            <w:r w:rsidR="00E65F53">
              <w:t xml:space="preserve">non-appearance and his </w:t>
            </w:r>
            <w:r w:rsidR="006B62C2">
              <w:t xml:space="preserve">failure to file </w:t>
            </w:r>
            <w:r w:rsidR="00A74FFC">
              <w:t>the</w:t>
            </w:r>
            <w:r w:rsidR="00E65F53">
              <w:t xml:space="preserve"> grounds of opposition, t</w:t>
            </w:r>
            <w:r w:rsidR="006B62C2">
              <w:t>he a</w:t>
            </w:r>
            <w:r w:rsidR="00761AAC">
              <w:t>ppe</w:t>
            </w:r>
            <w:r w:rsidR="00E65F53">
              <w:t>llant requested that the respondent’s</w:t>
            </w:r>
            <w:r w:rsidR="00761AAC">
              <w:t xml:space="preserve"> opposition be struck and that the matter proceed on a</w:t>
            </w:r>
            <w:r w:rsidR="00C310E9">
              <w:t>n</w:t>
            </w:r>
            <w:r w:rsidR="00761AAC">
              <w:t xml:space="preserve"> unopposed basis</w:t>
            </w:r>
            <w:r w:rsidR="00DB7B55">
              <w:t>.</w:t>
            </w:r>
            <w:r w:rsidR="00761AAC">
              <w:t xml:space="preserve"> </w:t>
            </w:r>
            <w:r w:rsidR="00A74FFC">
              <w:t>The court acceded to the request</w:t>
            </w:r>
            <w:r w:rsidR="003B1D21">
              <w:t>, and after the respondent’s opposition was struck,</w:t>
            </w:r>
            <w:r w:rsidR="00A74FFC" w:rsidRPr="00A74FFC">
              <w:t xml:space="preserve"> the matter accordingly proceeded unopposed</w:t>
            </w:r>
            <w:r w:rsidR="00A74FFC">
              <w:t>.</w:t>
            </w:r>
          </w:p>
          <w:p w:rsidR="00EF6AD5" w:rsidRDefault="00EF6AD5" w:rsidP="00116107">
            <w:pPr>
              <w:spacing w:line="360" w:lineRule="auto"/>
              <w:jc w:val="both"/>
              <w:rPr>
                <w:rFonts w:ascii="Arial" w:hAnsi="Arial" w:cs="Arial"/>
                <w:sz w:val="24"/>
                <w:szCs w:val="24"/>
              </w:rPr>
            </w:pPr>
          </w:p>
          <w:p w:rsidR="00EF6AD5" w:rsidRPr="00EF6AD5" w:rsidRDefault="00EF6AD5" w:rsidP="00116107">
            <w:pPr>
              <w:spacing w:line="360" w:lineRule="auto"/>
              <w:jc w:val="both"/>
              <w:rPr>
                <w:rFonts w:ascii="Arial" w:hAnsi="Arial" w:cs="Arial"/>
                <w:sz w:val="24"/>
                <w:szCs w:val="24"/>
                <w:u w:val="single"/>
              </w:rPr>
            </w:pPr>
            <w:r w:rsidRPr="00EF6AD5">
              <w:rPr>
                <w:rFonts w:ascii="Arial" w:hAnsi="Arial" w:cs="Arial"/>
                <w:sz w:val="24"/>
                <w:szCs w:val="24"/>
                <w:u w:val="single"/>
              </w:rPr>
              <w:t>Questions for determination</w:t>
            </w:r>
          </w:p>
          <w:p w:rsidR="00EF6AD5" w:rsidRDefault="00EF6AD5" w:rsidP="00116107">
            <w:pPr>
              <w:spacing w:line="360" w:lineRule="auto"/>
              <w:jc w:val="both"/>
              <w:rPr>
                <w:rFonts w:ascii="Arial" w:hAnsi="Arial" w:cs="Arial"/>
                <w:sz w:val="24"/>
                <w:szCs w:val="24"/>
              </w:rPr>
            </w:pPr>
          </w:p>
          <w:p w:rsidR="00DB7B55" w:rsidRDefault="00EF6AD5" w:rsidP="00116107">
            <w:pPr>
              <w:spacing w:line="360" w:lineRule="auto"/>
              <w:jc w:val="both"/>
              <w:rPr>
                <w:rFonts w:ascii="Arial" w:hAnsi="Arial" w:cs="Arial"/>
                <w:sz w:val="24"/>
                <w:szCs w:val="24"/>
              </w:rPr>
            </w:pPr>
            <w:r>
              <w:rPr>
                <w:rFonts w:ascii="Arial" w:hAnsi="Arial" w:cs="Arial"/>
                <w:sz w:val="24"/>
                <w:szCs w:val="24"/>
              </w:rPr>
              <w:t>[15]</w:t>
            </w:r>
            <w:r w:rsidRPr="00EF6AD5">
              <w:rPr>
                <w:rFonts w:ascii="Arial" w:hAnsi="Arial" w:cs="Arial"/>
                <w:sz w:val="24"/>
                <w:szCs w:val="24"/>
              </w:rPr>
              <w:tab/>
            </w:r>
            <w:r w:rsidR="00DB7B55">
              <w:rPr>
                <w:rFonts w:ascii="Arial" w:hAnsi="Arial" w:cs="Arial"/>
                <w:sz w:val="24"/>
                <w:szCs w:val="24"/>
              </w:rPr>
              <w:t>The questions for determination are as follows:</w:t>
            </w:r>
          </w:p>
          <w:p w:rsidR="00DB7B55" w:rsidRDefault="00DB7B55" w:rsidP="00116107">
            <w:pPr>
              <w:spacing w:line="360" w:lineRule="auto"/>
              <w:jc w:val="both"/>
              <w:rPr>
                <w:rFonts w:ascii="Arial" w:hAnsi="Arial" w:cs="Arial"/>
                <w:sz w:val="24"/>
                <w:szCs w:val="24"/>
              </w:rPr>
            </w:pPr>
          </w:p>
          <w:p w:rsidR="00EF6AD5" w:rsidRDefault="00116C13" w:rsidP="00116107">
            <w:pPr>
              <w:spacing w:line="360" w:lineRule="auto"/>
              <w:jc w:val="both"/>
              <w:rPr>
                <w:rFonts w:ascii="Arial" w:hAnsi="Arial" w:cs="Arial"/>
                <w:sz w:val="24"/>
                <w:szCs w:val="24"/>
              </w:rPr>
            </w:pPr>
            <w:r>
              <w:rPr>
                <w:rFonts w:ascii="Arial" w:hAnsi="Arial" w:cs="Arial"/>
                <w:sz w:val="24"/>
                <w:szCs w:val="24"/>
              </w:rPr>
              <w:t>15.1</w:t>
            </w:r>
            <w:r w:rsidRPr="00116C13">
              <w:rPr>
                <w:rFonts w:ascii="Arial" w:hAnsi="Arial" w:cs="Arial"/>
                <w:sz w:val="24"/>
                <w:szCs w:val="24"/>
              </w:rPr>
              <w:tab/>
            </w:r>
            <w:r w:rsidR="00EF6AD5">
              <w:rPr>
                <w:rFonts w:ascii="Arial" w:hAnsi="Arial" w:cs="Arial"/>
                <w:sz w:val="24"/>
                <w:szCs w:val="24"/>
              </w:rPr>
              <w:t>W</w:t>
            </w:r>
            <w:r w:rsidR="00FC1C02">
              <w:rPr>
                <w:rFonts w:ascii="Arial" w:hAnsi="Arial" w:cs="Arial"/>
                <w:sz w:val="24"/>
                <w:szCs w:val="24"/>
              </w:rPr>
              <w:t>hether</w:t>
            </w:r>
            <w:r w:rsidR="00FC1C02" w:rsidRPr="00FC1C02">
              <w:rPr>
                <w:rFonts w:ascii="Arial" w:hAnsi="Arial" w:cs="Arial"/>
                <w:sz w:val="24"/>
                <w:szCs w:val="24"/>
              </w:rPr>
              <w:t xml:space="preserve"> or not the arbitrator erred in his finding that the actions of the appellant to demote the respondent </w:t>
            </w:r>
            <w:r w:rsidR="00EF6AD5" w:rsidRPr="00EF6AD5">
              <w:rPr>
                <w:rFonts w:ascii="Arial" w:hAnsi="Arial" w:cs="Arial"/>
                <w:sz w:val="24"/>
                <w:szCs w:val="24"/>
              </w:rPr>
              <w:t>amounts to a unilateral change of condition</w:t>
            </w:r>
            <w:r w:rsidR="00EF6AD5">
              <w:rPr>
                <w:rFonts w:ascii="Arial" w:hAnsi="Arial" w:cs="Arial"/>
                <w:sz w:val="24"/>
                <w:szCs w:val="24"/>
              </w:rPr>
              <w:t>s</w:t>
            </w:r>
            <w:r w:rsidR="00EF6AD5" w:rsidRPr="00EF6AD5">
              <w:rPr>
                <w:rFonts w:ascii="Arial" w:hAnsi="Arial" w:cs="Arial"/>
                <w:sz w:val="24"/>
                <w:szCs w:val="24"/>
              </w:rPr>
              <w:t xml:space="preserve"> of em</w:t>
            </w:r>
            <w:r w:rsidR="00EF6AD5">
              <w:rPr>
                <w:rFonts w:ascii="Arial" w:hAnsi="Arial" w:cs="Arial"/>
                <w:sz w:val="24"/>
                <w:szCs w:val="24"/>
              </w:rPr>
              <w:t>ployment in violation of s</w:t>
            </w:r>
            <w:r w:rsidR="00EF6AD5" w:rsidRPr="00EF6AD5">
              <w:rPr>
                <w:rFonts w:ascii="Arial" w:hAnsi="Arial" w:cs="Arial"/>
                <w:sz w:val="24"/>
                <w:szCs w:val="24"/>
              </w:rPr>
              <w:t xml:space="preserve"> 50 (1)(</w:t>
            </w:r>
            <w:r w:rsidR="00EF6AD5" w:rsidRPr="00EF6AD5">
              <w:rPr>
                <w:rFonts w:ascii="Arial" w:hAnsi="Arial" w:cs="Arial"/>
                <w:i/>
                <w:sz w:val="24"/>
                <w:szCs w:val="24"/>
              </w:rPr>
              <w:t>e</w:t>
            </w:r>
            <w:r w:rsidR="00EF6AD5" w:rsidRPr="00EF6AD5">
              <w:rPr>
                <w:rFonts w:ascii="Arial" w:hAnsi="Arial" w:cs="Arial"/>
                <w:sz w:val="24"/>
                <w:szCs w:val="24"/>
              </w:rPr>
              <w:t>) of</w:t>
            </w:r>
            <w:r>
              <w:rPr>
                <w:rFonts w:ascii="Arial" w:hAnsi="Arial" w:cs="Arial"/>
                <w:sz w:val="24"/>
                <w:szCs w:val="24"/>
              </w:rPr>
              <w:t xml:space="preserve"> the Act</w:t>
            </w:r>
            <w:r w:rsidR="003B1D21">
              <w:rPr>
                <w:rFonts w:ascii="Arial" w:hAnsi="Arial" w:cs="Arial"/>
                <w:sz w:val="24"/>
                <w:szCs w:val="24"/>
              </w:rPr>
              <w:t>.</w:t>
            </w:r>
          </w:p>
          <w:p w:rsidR="00116C13" w:rsidRDefault="00116C13" w:rsidP="00116107">
            <w:pPr>
              <w:spacing w:line="360" w:lineRule="auto"/>
              <w:jc w:val="both"/>
              <w:rPr>
                <w:rFonts w:ascii="Arial" w:hAnsi="Arial" w:cs="Arial"/>
                <w:sz w:val="24"/>
                <w:szCs w:val="24"/>
              </w:rPr>
            </w:pPr>
          </w:p>
          <w:p w:rsidR="00116C13" w:rsidRPr="00116C13" w:rsidRDefault="00116C13" w:rsidP="00116C13">
            <w:pPr>
              <w:spacing w:line="360" w:lineRule="auto"/>
              <w:jc w:val="both"/>
              <w:rPr>
                <w:rFonts w:ascii="Arial" w:hAnsi="Arial" w:cs="Arial"/>
                <w:sz w:val="24"/>
                <w:szCs w:val="24"/>
              </w:rPr>
            </w:pPr>
            <w:r>
              <w:rPr>
                <w:rFonts w:ascii="Arial" w:hAnsi="Arial" w:cs="Arial"/>
                <w:sz w:val="24"/>
                <w:szCs w:val="24"/>
              </w:rPr>
              <w:t>15.2</w:t>
            </w:r>
            <w:r w:rsidRPr="00116C13">
              <w:rPr>
                <w:rFonts w:ascii="Arial" w:hAnsi="Arial" w:cs="Arial"/>
                <w:sz w:val="24"/>
                <w:szCs w:val="24"/>
              </w:rPr>
              <w:tab/>
            </w:r>
            <w:r>
              <w:rPr>
                <w:rFonts w:ascii="Arial" w:hAnsi="Arial" w:cs="Arial"/>
                <w:sz w:val="24"/>
                <w:szCs w:val="24"/>
              </w:rPr>
              <w:t>Whether t</w:t>
            </w:r>
            <w:r w:rsidRPr="00116C13">
              <w:rPr>
                <w:rFonts w:ascii="Arial" w:hAnsi="Arial" w:cs="Arial"/>
                <w:sz w:val="24"/>
                <w:szCs w:val="24"/>
              </w:rPr>
              <w:t>he relief granted by the arbitrator was substantively proven and appropriate in the circumstances considering that the respondent had participated in a protected strike during the period 23 December 2020 until 25 January 2021 and was n</w:t>
            </w:r>
            <w:r w:rsidR="00946E22">
              <w:rPr>
                <w:rFonts w:ascii="Arial" w:hAnsi="Arial" w:cs="Arial"/>
                <w:sz w:val="24"/>
                <w:szCs w:val="24"/>
              </w:rPr>
              <w:t>ot entitled to any remuneration?</w:t>
            </w:r>
          </w:p>
          <w:p w:rsidR="00116C13" w:rsidRPr="00116C13" w:rsidRDefault="00116C13" w:rsidP="00116C13">
            <w:pPr>
              <w:spacing w:line="360" w:lineRule="auto"/>
              <w:jc w:val="both"/>
              <w:rPr>
                <w:rFonts w:ascii="Arial" w:hAnsi="Arial" w:cs="Arial"/>
                <w:sz w:val="24"/>
                <w:szCs w:val="24"/>
              </w:rPr>
            </w:pPr>
          </w:p>
          <w:p w:rsidR="00116C13" w:rsidRDefault="00116C13" w:rsidP="00116C13">
            <w:pPr>
              <w:spacing w:line="360" w:lineRule="auto"/>
              <w:jc w:val="both"/>
              <w:rPr>
                <w:rFonts w:ascii="Arial" w:hAnsi="Arial" w:cs="Arial"/>
                <w:sz w:val="24"/>
                <w:szCs w:val="24"/>
              </w:rPr>
            </w:pPr>
            <w:r>
              <w:rPr>
                <w:rFonts w:ascii="Arial" w:hAnsi="Arial" w:cs="Arial"/>
                <w:sz w:val="24"/>
                <w:szCs w:val="24"/>
              </w:rPr>
              <w:t>15.3</w:t>
            </w:r>
            <w:r w:rsidRPr="00116C13">
              <w:rPr>
                <w:rFonts w:ascii="Arial" w:hAnsi="Arial" w:cs="Arial"/>
                <w:sz w:val="24"/>
                <w:szCs w:val="24"/>
              </w:rPr>
              <w:t xml:space="preserve"> </w:t>
            </w:r>
            <w:r w:rsidRPr="00116C13">
              <w:rPr>
                <w:rFonts w:ascii="Arial" w:hAnsi="Arial" w:cs="Arial"/>
                <w:sz w:val="24"/>
                <w:szCs w:val="24"/>
              </w:rPr>
              <w:tab/>
              <w:t xml:space="preserve">Whether the respondent has discharged the onus in respect of proving her damages </w:t>
            </w:r>
            <w:r w:rsidR="00946E22">
              <w:rPr>
                <w:rFonts w:ascii="Arial" w:hAnsi="Arial" w:cs="Arial"/>
                <w:sz w:val="24"/>
                <w:szCs w:val="24"/>
              </w:rPr>
              <w:t>and entitlement to compensation?</w:t>
            </w:r>
          </w:p>
          <w:p w:rsidR="009401FC" w:rsidRPr="00116107" w:rsidRDefault="009401FC" w:rsidP="009401FC">
            <w:pPr>
              <w:spacing w:line="360" w:lineRule="auto"/>
              <w:jc w:val="both"/>
              <w:rPr>
                <w:rFonts w:ascii="Arial" w:hAnsi="Arial" w:cs="Arial"/>
                <w:sz w:val="24"/>
                <w:szCs w:val="24"/>
              </w:rPr>
            </w:pPr>
          </w:p>
          <w:p w:rsidR="009401FC" w:rsidRPr="00C310E9" w:rsidRDefault="00C310E9" w:rsidP="009401FC">
            <w:pPr>
              <w:spacing w:line="360" w:lineRule="auto"/>
              <w:jc w:val="both"/>
              <w:rPr>
                <w:rFonts w:ascii="Arial" w:hAnsi="Arial" w:cs="Arial"/>
                <w:sz w:val="24"/>
                <w:szCs w:val="24"/>
                <w:u w:val="single"/>
              </w:rPr>
            </w:pPr>
            <w:r w:rsidRPr="00C310E9">
              <w:rPr>
                <w:rFonts w:ascii="Arial" w:hAnsi="Arial" w:cs="Arial"/>
                <w:sz w:val="24"/>
                <w:szCs w:val="24"/>
                <w:u w:val="single"/>
              </w:rPr>
              <w:t>Appellant</w:t>
            </w:r>
            <w:r w:rsidR="002D7AE4">
              <w:rPr>
                <w:rFonts w:ascii="Arial" w:hAnsi="Arial" w:cs="Arial"/>
                <w:sz w:val="24"/>
                <w:szCs w:val="24"/>
                <w:u w:val="single"/>
              </w:rPr>
              <w:t>’</w:t>
            </w:r>
            <w:r w:rsidRPr="00C310E9">
              <w:rPr>
                <w:rFonts w:ascii="Arial" w:hAnsi="Arial" w:cs="Arial"/>
                <w:sz w:val="24"/>
                <w:szCs w:val="24"/>
                <w:u w:val="single"/>
              </w:rPr>
              <w:t>s submission</w:t>
            </w:r>
            <w:r w:rsidR="006B274C">
              <w:rPr>
                <w:rFonts w:ascii="Arial" w:hAnsi="Arial" w:cs="Arial"/>
                <w:sz w:val="24"/>
                <w:szCs w:val="24"/>
                <w:u w:val="single"/>
              </w:rPr>
              <w:t>s</w:t>
            </w:r>
          </w:p>
          <w:p w:rsidR="00C310E9" w:rsidRPr="009401FC" w:rsidRDefault="00C310E9" w:rsidP="009401FC">
            <w:pPr>
              <w:spacing w:line="360" w:lineRule="auto"/>
              <w:jc w:val="both"/>
              <w:rPr>
                <w:rFonts w:ascii="Arial" w:hAnsi="Arial" w:cs="Arial"/>
                <w:sz w:val="24"/>
                <w:szCs w:val="24"/>
              </w:rPr>
            </w:pPr>
          </w:p>
          <w:p w:rsidR="00116107" w:rsidRDefault="009401FC" w:rsidP="002D7AE4">
            <w:pPr>
              <w:spacing w:line="360" w:lineRule="auto"/>
              <w:jc w:val="both"/>
              <w:rPr>
                <w:rFonts w:ascii="Arial" w:hAnsi="Arial" w:cs="Arial"/>
                <w:sz w:val="24"/>
                <w:szCs w:val="24"/>
              </w:rPr>
            </w:pPr>
            <w:r w:rsidRPr="009401FC">
              <w:rPr>
                <w:rFonts w:ascii="Arial" w:hAnsi="Arial" w:cs="Arial"/>
                <w:sz w:val="24"/>
                <w:szCs w:val="24"/>
              </w:rPr>
              <w:t>[</w:t>
            </w:r>
            <w:r w:rsidR="00FE4A9F">
              <w:rPr>
                <w:rFonts w:ascii="Arial" w:hAnsi="Arial" w:cs="Arial"/>
                <w:sz w:val="24"/>
                <w:szCs w:val="24"/>
              </w:rPr>
              <w:t>1</w:t>
            </w:r>
            <w:r w:rsidRPr="009401FC">
              <w:rPr>
                <w:rFonts w:ascii="Arial" w:hAnsi="Arial" w:cs="Arial"/>
                <w:sz w:val="24"/>
                <w:szCs w:val="24"/>
              </w:rPr>
              <w:t>6]</w:t>
            </w:r>
            <w:r w:rsidRPr="009401FC">
              <w:rPr>
                <w:rFonts w:ascii="Arial" w:hAnsi="Arial" w:cs="Arial"/>
                <w:sz w:val="24"/>
                <w:szCs w:val="24"/>
              </w:rPr>
              <w:tab/>
            </w:r>
            <w:r w:rsidR="002D7AE4">
              <w:rPr>
                <w:rFonts w:ascii="Arial" w:hAnsi="Arial" w:cs="Arial"/>
                <w:sz w:val="24"/>
                <w:szCs w:val="24"/>
              </w:rPr>
              <w:t>Ms Ihalwa submitted that a</w:t>
            </w:r>
            <w:r w:rsidR="002D7AE4" w:rsidRPr="002D7AE4">
              <w:rPr>
                <w:rFonts w:ascii="Arial" w:hAnsi="Arial" w:cs="Arial"/>
                <w:sz w:val="24"/>
                <w:szCs w:val="24"/>
              </w:rPr>
              <w:t xml:space="preserve"> litigant who intends to oppose an appeal must comply with the relevant rules, and when there is non-compliance, an appl</w:t>
            </w:r>
            <w:r w:rsidR="002D7AE4">
              <w:rPr>
                <w:rFonts w:ascii="Arial" w:hAnsi="Arial" w:cs="Arial"/>
                <w:sz w:val="24"/>
                <w:szCs w:val="24"/>
              </w:rPr>
              <w:t xml:space="preserve">ication for condonation </w:t>
            </w:r>
            <w:r w:rsidR="002D7AE4" w:rsidRPr="002D7AE4">
              <w:rPr>
                <w:rFonts w:ascii="Arial" w:hAnsi="Arial" w:cs="Arial"/>
                <w:sz w:val="24"/>
                <w:szCs w:val="24"/>
              </w:rPr>
              <w:t>must be broug</w:t>
            </w:r>
            <w:r w:rsidR="002D7AE4">
              <w:rPr>
                <w:rFonts w:ascii="Arial" w:hAnsi="Arial" w:cs="Arial"/>
                <w:sz w:val="24"/>
                <w:szCs w:val="24"/>
              </w:rPr>
              <w:t>ht without delay. In the current circumstances</w:t>
            </w:r>
            <w:r w:rsidR="00DB7B55">
              <w:rPr>
                <w:rFonts w:ascii="Arial" w:hAnsi="Arial" w:cs="Arial"/>
                <w:sz w:val="24"/>
                <w:szCs w:val="24"/>
              </w:rPr>
              <w:t>, where a notice of intention was filed but no grounds of opposition, she submits that the respondent’s notice of intention to oppose must be struck,</w:t>
            </w:r>
            <w:r w:rsidR="002D7AE4">
              <w:rPr>
                <w:rFonts w:ascii="Arial" w:hAnsi="Arial" w:cs="Arial"/>
                <w:sz w:val="24"/>
                <w:szCs w:val="24"/>
              </w:rPr>
              <w:t xml:space="preserve"> and the appeal must be</w:t>
            </w:r>
            <w:r w:rsidR="005D70F1">
              <w:rPr>
                <w:rFonts w:ascii="Arial" w:hAnsi="Arial" w:cs="Arial"/>
                <w:sz w:val="24"/>
                <w:szCs w:val="24"/>
              </w:rPr>
              <w:t xml:space="preserve"> determined without </w:t>
            </w:r>
            <w:r w:rsidR="005D70F1" w:rsidRPr="00733339">
              <w:rPr>
                <w:rFonts w:ascii="Arial" w:hAnsi="Arial" w:cs="Arial"/>
                <w:sz w:val="24"/>
                <w:szCs w:val="24"/>
              </w:rPr>
              <w:t>opposition or as if it is unopposed.</w:t>
            </w:r>
          </w:p>
          <w:p w:rsidR="002D7AE4" w:rsidRDefault="002D7AE4" w:rsidP="002D7AE4">
            <w:pPr>
              <w:spacing w:line="360" w:lineRule="auto"/>
              <w:jc w:val="both"/>
              <w:rPr>
                <w:rFonts w:ascii="Arial" w:hAnsi="Arial" w:cs="Arial"/>
                <w:sz w:val="24"/>
                <w:szCs w:val="24"/>
              </w:rPr>
            </w:pPr>
          </w:p>
          <w:p w:rsidR="002D7AE4" w:rsidRDefault="009401FC" w:rsidP="009401FC">
            <w:pPr>
              <w:spacing w:line="360" w:lineRule="auto"/>
              <w:jc w:val="both"/>
              <w:rPr>
                <w:rFonts w:ascii="Arial" w:hAnsi="Arial" w:cs="Arial"/>
                <w:sz w:val="24"/>
                <w:szCs w:val="24"/>
              </w:rPr>
            </w:pPr>
            <w:r w:rsidRPr="009401FC">
              <w:rPr>
                <w:rFonts w:ascii="Arial" w:hAnsi="Arial" w:cs="Arial"/>
                <w:sz w:val="24"/>
                <w:szCs w:val="24"/>
              </w:rPr>
              <w:t>[</w:t>
            </w:r>
            <w:r w:rsidR="00FE4A9F">
              <w:rPr>
                <w:rFonts w:ascii="Arial" w:hAnsi="Arial" w:cs="Arial"/>
                <w:sz w:val="24"/>
                <w:szCs w:val="24"/>
              </w:rPr>
              <w:t>1</w:t>
            </w:r>
            <w:r w:rsidRPr="009401FC">
              <w:rPr>
                <w:rFonts w:ascii="Arial" w:hAnsi="Arial" w:cs="Arial"/>
                <w:sz w:val="24"/>
                <w:szCs w:val="24"/>
              </w:rPr>
              <w:t>7]</w:t>
            </w:r>
            <w:r w:rsidRPr="009401FC">
              <w:rPr>
                <w:rFonts w:ascii="Arial" w:hAnsi="Arial" w:cs="Arial"/>
                <w:sz w:val="24"/>
                <w:szCs w:val="24"/>
              </w:rPr>
              <w:tab/>
            </w:r>
            <w:r w:rsidR="0048400B">
              <w:rPr>
                <w:rFonts w:ascii="Arial" w:hAnsi="Arial" w:cs="Arial"/>
                <w:sz w:val="24"/>
                <w:szCs w:val="24"/>
              </w:rPr>
              <w:t>It is further Ms Ihalwa’s submission that</w:t>
            </w:r>
            <w:r w:rsidR="0048400B" w:rsidRPr="0048400B">
              <w:rPr>
                <w:rFonts w:ascii="Arial" w:hAnsi="Arial" w:cs="Arial"/>
                <w:sz w:val="24"/>
                <w:szCs w:val="24"/>
              </w:rPr>
              <w:t xml:space="preserve"> </w:t>
            </w:r>
            <w:r w:rsidR="006B274C">
              <w:rPr>
                <w:rFonts w:ascii="Arial" w:hAnsi="Arial" w:cs="Arial"/>
                <w:sz w:val="24"/>
                <w:szCs w:val="24"/>
              </w:rPr>
              <w:t xml:space="preserve">the </w:t>
            </w:r>
            <w:r w:rsidR="0048400B" w:rsidRPr="0048400B">
              <w:rPr>
                <w:rFonts w:ascii="Arial" w:hAnsi="Arial" w:cs="Arial"/>
                <w:sz w:val="24"/>
                <w:szCs w:val="24"/>
              </w:rPr>
              <w:t xml:space="preserve">appellant’s policy on disciplinary code and procedures does not make provision for a demotion initiated by an employee without </w:t>
            </w:r>
            <w:r w:rsidR="0048400B">
              <w:rPr>
                <w:rFonts w:ascii="Arial" w:hAnsi="Arial" w:cs="Arial"/>
                <w:sz w:val="24"/>
                <w:szCs w:val="24"/>
              </w:rPr>
              <w:t xml:space="preserve">such an employee </w:t>
            </w:r>
            <w:r w:rsidR="0048400B" w:rsidRPr="0048400B">
              <w:rPr>
                <w:rFonts w:ascii="Arial" w:hAnsi="Arial" w:cs="Arial"/>
                <w:sz w:val="24"/>
                <w:szCs w:val="24"/>
              </w:rPr>
              <w:t>going through disciplinary proceedings but rather for demotion as an alternative to dismissal fo</w:t>
            </w:r>
            <w:r w:rsidR="0048400B">
              <w:rPr>
                <w:rFonts w:ascii="Arial" w:hAnsi="Arial" w:cs="Arial"/>
                <w:sz w:val="24"/>
                <w:szCs w:val="24"/>
              </w:rPr>
              <w:t xml:space="preserve">r </w:t>
            </w:r>
            <w:r w:rsidR="00615340">
              <w:rPr>
                <w:rFonts w:ascii="Arial" w:hAnsi="Arial" w:cs="Arial"/>
                <w:sz w:val="24"/>
                <w:szCs w:val="24"/>
              </w:rPr>
              <w:t>performance-related</w:t>
            </w:r>
            <w:r w:rsidR="0048400B">
              <w:rPr>
                <w:rFonts w:ascii="Arial" w:hAnsi="Arial" w:cs="Arial"/>
                <w:sz w:val="24"/>
                <w:szCs w:val="24"/>
              </w:rPr>
              <w:t xml:space="preserve"> offence</w:t>
            </w:r>
            <w:r w:rsidR="006B274C">
              <w:rPr>
                <w:rFonts w:ascii="Arial" w:hAnsi="Arial" w:cs="Arial"/>
                <w:sz w:val="24"/>
                <w:szCs w:val="24"/>
              </w:rPr>
              <w:t>s</w:t>
            </w:r>
            <w:r w:rsidR="0048400B">
              <w:rPr>
                <w:rFonts w:ascii="Arial" w:hAnsi="Arial" w:cs="Arial"/>
                <w:sz w:val="24"/>
                <w:szCs w:val="24"/>
              </w:rPr>
              <w:t>. According to her, the respondent</w:t>
            </w:r>
            <w:r w:rsidR="0048400B" w:rsidRPr="0048400B">
              <w:rPr>
                <w:rFonts w:ascii="Arial" w:hAnsi="Arial" w:cs="Arial"/>
                <w:sz w:val="24"/>
                <w:szCs w:val="24"/>
              </w:rPr>
              <w:t xml:space="preserve"> did not go through</w:t>
            </w:r>
            <w:r w:rsidR="0048400B">
              <w:rPr>
                <w:rFonts w:ascii="Arial" w:hAnsi="Arial" w:cs="Arial"/>
                <w:sz w:val="24"/>
                <w:szCs w:val="24"/>
              </w:rPr>
              <w:t xml:space="preserve"> a</w:t>
            </w:r>
            <w:r w:rsidR="0048400B" w:rsidRPr="0048400B">
              <w:rPr>
                <w:rFonts w:ascii="Arial" w:hAnsi="Arial" w:cs="Arial"/>
                <w:sz w:val="24"/>
                <w:szCs w:val="24"/>
              </w:rPr>
              <w:t xml:space="preserve"> disciplinary heari</w:t>
            </w:r>
            <w:r w:rsidR="0048400B">
              <w:rPr>
                <w:rFonts w:ascii="Arial" w:hAnsi="Arial" w:cs="Arial"/>
                <w:sz w:val="24"/>
                <w:szCs w:val="24"/>
              </w:rPr>
              <w:t>ng, she opted for a demotion out of her own accord</w:t>
            </w:r>
            <w:r w:rsidR="0048400B" w:rsidRPr="0048400B">
              <w:rPr>
                <w:rFonts w:ascii="Arial" w:hAnsi="Arial" w:cs="Arial"/>
                <w:sz w:val="24"/>
                <w:szCs w:val="24"/>
              </w:rPr>
              <w:t xml:space="preserve">. The reduction in salary is a consequence of the demotion. The consequences </w:t>
            </w:r>
            <w:r w:rsidR="006B274C">
              <w:rPr>
                <w:rFonts w:ascii="Arial" w:hAnsi="Arial" w:cs="Arial"/>
                <w:sz w:val="24"/>
                <w:szCs w:val="24"/>
              </w:rPr>
              <w:t>of the demotion were</w:t>
            </w:r>
            <w:r w:rsidR="0048400B" w:rsidRPr="0048400B">
              <w:rPr>
                <w:rFonts w:ascii="Arial" w:hAnsi="Arial" w:cs="Arial"/>
                <w:sz w:val="24"/>
                <w:szCs w:val="24"/>
              </w:rPr>
              <w:t xml:space="preserve"> explained to </w:t>
            </w:r>
            <w:r w:rsidR="005D70F1">
              <w:rPr>
                <w:rFonts w:ascii="Arial" w:hAnsi="Arial" w:cs="Arial"/>
                <w:sz w:val="24"/>
                <w:szCs w:val="24"/>
              </w:rPr>
              <w:t xml:space="preserve">the </w:t>
            </w:r>
            <w:r w:rsidR="005D70F1" w:rsidRPr="00733339">
              <w:rPr>
                <w:rFonts w:ascii="Arial" w:hAnsi="Arial" w:cs="Arial"/>
                <w:sz w:val="24"/>
                <w:szCs w:val="24"/>
              </w:rPr>
              <w:t>respon</w:t>
            </w:r>
            <w:r w:rsidR="00913204" w:rsidRPr="00733339">
              <w:rPr>
                <w:rFonts w:ascii="Arial" w:hAnsi="Arial" w:cs="Arial"/>
                <w:sz w:val="24"/>
                <w:szCs w:val="24"/>
              </w:rPr>
              <w:t>dent</w:t>
            </w:r>
            <w:r w:rsidR="003B1D21" w:rsidRPr="00733339">
              <w:rPr>
                <w:rFonts w:ascii="Arial" w:hAnsi="Arial" w:cs="Arial"/>
                <w:sz w:val="24"/>
                <w:szCs w:val="24"/>
              </w:rPr>
              <w:t>,</w:t>
            </w:r>
            <w:r w:rsidR="0048400B" w:rsidRPr="00733339">
              <w:rPr>
                <w:rFonts w:ascii="Arial" w:hAnsi="Arial" w:cs="Arial"/>
                <w:sz w:val="24"/>
                <w:szCs w:val="24"/>
              </w:rPr>
              <w:t xml:space="preserve"> and</w:t>
            </w:r>
            <w:r w:rsidR="0048400B" w:rsidRPr="0048400B">
              <w:rPr>
                <w:rFonts w:ascii="Arial" w:hAnsi="Arial" w:cs="Arial"/>
                <w:sz w:val="24"/>
                <w:szCs w:val="24"/>
              </w:rPr>
              <w:t xml:space="preserve"> she accepted</w:t>
            </w:r>
            <w:r w:rsidR="0048400B">
              <w:rPr>
                <w:rFonts w:ascii="Arial" w:hAnsi="Arial" w:cs="Arial"/>
                <w:sz w:val="24"/>
                <w:szCs w:val="24"/>
              </w:rPr>
              <w:t xml:space="preserve"> it.</w:t>
            </w:r>
          </w:p>
          <w:p w:rsidR="008E1143" w:rsidRPr="009401FC" w:rsidRDefault="008E1143" w:rsidP="009401FC">
            <w:pPr>
              <w:spacing w:line="360" w:lineRule="auto"/>
              <w:jc w:val="both"/>
              <w:rPr>
                <w:rFonts w:ascii="Arial" w:hAnsi="Arial" w:cs="Arial"/>
                <w:sz w:val="24"/>
                <w:szCs w:val="24"/>
              </w:rPr>
            </w:pPr>
          </w:p>
          <w:p w:rsidR="00004C49" w:rsidRPr="00004C49" w:rsidRDefault="009401FC" w:rsidP="00004C49">
            <w:pPr>
              <w:spacing w:line="360" w:lineRule="auto"/>
              <w:jc w:val="both"/>
              <w:rPr>
                <w:rFonts w:ascii="Arial" w:hAnsi="Arial" w:cs="Arial"/>
                <w:sz w:val="24"/>
                <w:szCs w:val="24"/>
              </w:rPr>
            </w:pPr>
            <w:r w:rsidRPr="009401FC">
              <w:rPr>
                <w:rFonts w:ascii="Arial" w:hAnsi="Arial" w:cs="Arial"/>
                <w:sz w:val="24"/>
                <w:szCs w:val="24"/>
              </w:rPr>
              <w:t>[</w:t>
            </w:r>
            <w:r w:rsidR="00FE4A9F">
              <w:rPr>
                <w:rFonts w:ascii="Arial" w:hAnsi="Arial" w:cs="Arial"/>
                <w:sz w:val="24"/>
                <w:szCs w:val="24"/>
              </w:rPr>
              <w:t>1</w:t>
            </w:r>
            <w:r w:rsidRPr="009401FC">
              <w:rPr>
                <w:rFonts w:ascii="Arial" w:hAnsi="Arial" w:cs="Arial"/>
                <w:sz w:val="24"/>
                <w:szCs w:val="24"/>
              </w:rPr>
              <w:t>8]</w:t>
            </w:r>
            <w:r w:rsidRPr="009401FC">
              <w:rPr>
                <w:rFonts w:ascii="Arial" w:hAnsi="Arial" w:cs="Arial"/>
                <w:sz w:val="24"/>
                <w:szCs w:val="24"/>
              </w:rPr>
              <w:tab/>
            </w:r>
            <w:r w:rsidR="00004C49">
              <w:rPr>
                <w:rFonts w:ascii="Arial" w:hAnsi="Arial" w:cs="Arial"/>
                <w:sz w:val="24"/>
                <w:szCs w:val="24"/>
              </w:rPr>
              <w:t xml:space="preserve">Ms Ihalwa </w:t>
            </w:r>
            <w:r w:rsidR="008E1143" w:rsidRPr="00733339">
              <w:rPr>
                <w:rFonts w:ascii="Arial" w:hAnsi="Arial" w:cs="Arial"/>
                <w:sz w:val="24"/>
                <w:szCs w:val="24"/>
              </w:rPr>
              <w:t>submitted</w:t>
            </w:r>
            <w:r w:rsidR="00004C49" w:rsidRPr="00733339">
              <w:rPr>
                <w:rFonts w:ascii="Arial" w:hAnsi="Arial" w:cs="Arial"/>
                <w:sz w:val="24"/>
                <w:szCs w:val="24"/>
              </w:rPr>
              <w:t xml:space="preserve"> that it is clear that the respondent </w:t>
            </w:r>
            <w:r w:rsidR="008E1143" w:rsidRPr="00733339">
              <w:rPr>
                <w:rFonts w:ascii="Arial" w:hAnsi="Arial" w:cs="Arial"/>
                <w:sz w:val="24"/>
                <w:szCs w:val="24"/>
              </w:rPr>
              <w:t>requested</w:t>
            </w:r>
            <w:r w:rsidR="00004C49" w:rsidRPr="00733339">
              <w:rPr>
                <w:rFonts w:ascii="Arial" w:hAnsi="Arial" w:cs="Arial"/>
                <w:sz w:val="24"/>
                <w:szCs w:val="24"/>
              </w:rPr>
              <w:t xml:space="preserve"> the demotion after failing to perform</w:t>
            </w:r>
            <w:r w:rsidR="005D70F1" w:rsidRPr="00733339">
              <w:rPr>
                <w:rFonts w:ascii="Arial" w:hAnsi="Arial" w:cs="Arial"/>
                <w:sz w:val="24"/>
                <w:szCs w:val="24"/>
              </w:rPr>
              <w:t xml:space="preserve"> her duties as a C</w:t>
            </w:r>
            <w:r w:rsidR="00004C49" w:rsidRPr="00733339">
              <w:rPr>
                <w:rFonts w:ascii="Arial" w:hAnsi="Arial" w:cs="Arial"/>
                <w:sz w:val="24"/>
                <w:szCs w:val="24"/>
              </w:rPr>
              <w:t>ontroller with</w:t>
            </w:r>
            <w:r w:rsidR="00004C49">
              <w:rPr>
                <w:rFonts w:ascii="Arial" w:hAnsi="Arial" w:cs="Arial"/>
                <w:sz w:val="24"/>
                <w:szCs w:val="24"/>
              </w:rPr>
              <w:t xml:space="preserve"> the standard required by the a</w:t>
            </w:r>
            <w:r w:rsidR="00004C49" w:rsidRPr="00004C49">
              <w:rPr>
                <w:rFonts w:ascii="Arial" w:hAnsi="Arial" w:cs="Arial"/>
                <w:sz w:val="24"/>
                <w:szCs w:val="24"/>
              </w:rPr>
              <w:t>ppellant. The</w:t>
            </w:r>
            <w:r w:rsidR="008E1143">
              <w:rPr>
                <w:rFonts w:ascii="Arial" w:hAnsi="Arial" w:cs="Arial"/>
                <w:sz w:val="24"/>
                <w:szCs w:val="24"/>
              </w:rPr>
              <w:t xml:space="preserve"> court was referred to the</w:t>
            </w:r>
            <w:r w:rsidR="00004C49" w:rsidRPr="00004C49">
              <w:rPr>
                <w:rFonts w:ascii="Arial" w:hAnsi="Arial" w:cs="Arial"/>
                <w:sz w:val="24"/>
                <w:szCs w:val="24"/>
              </w:rPr>
              <w:t xml:space="preserve"> respondent</w:t>
            </w:r>
            <w:r w:rsidR="008E1143">
              <w:rPr>
                <w:rFonts w:ascii="Arial" w:hAnsi="Arial" w:cs="Arial"/>
                <w:sz w:val="24"/>
                <w:szCs w:val="24"/>
              </w:rPr>
              <w:t>’s</w:t>
            </w:r>
            <w:r w:rsidR="00004C49" w:rsidRPr="00004C49">
              <w:rPr>
                <w:rFonts w:ascii="Arial" w:hAnsi="Arial" w:cs="Arial"/>
                <w:sz w:val="24"/>
                <w:szCs w:val="24"/>
              </w:rPr>
              <w:t xml:space="preserve"> letter dated 9 January 2020, </w:t>
            </w:r>
            <w:r w:rsidR="008E1143">
              <w:rPr>
                <w:rFonts w:ascii="Arial" w:hAnsi="Arial" w:cs="Arial"/>
                <w:sz w:val="24"/>
                <w:szCs w:val="24"/>
              </w:rPr>
              <w:t xml:space="preserve">wherein she </w:t>
            </w:r>
            <w:r w:rsidR="00004C49" w:rsidRPr="00004C49">
              <w:rPr>
                <w:rFonts w:ascii="Arial" w:hAnsi="Arial" w:cs="Arial"/>
                <w:sz w:val="24"/>
                <w:szCs w:val="24"/>
              </w:rPr>
              <w:t>ex</w:t>
            </w:r>
            <w:r w:rsidR="00004C49">
              <w:rPr>
                <w:rFonts w:ascii="Arial" w:hAnsi="Arial" w:cs="Arial"/>
                <w:sz w:val="24"/>
                <w:szCs w:val="24"/>
              </w:rPr>
              <w:t xml:space="preserve">pressly requested </w:t>
            </w:r>
            <w:r w:rsidR="00B948A7">
              <w:rPr>
                <w:rFonts w:ascii="Arial" w:hAnsi="Arial" w:cs="Arial"/>
                <w:sz w:val="24"/>
                <w:szCs w:val="24"/>
              </w:rPr>
              <w:t xml:space="preserve">a </w:t>
            </w:r>
            <w:r w:rsidR="00004C49">
              <w:rPr>
                <w:rFonts w:ascii="Arial" w:hAnsi="Arial" w:cs="Arial"/>
                <w:sz w:val="24"/>
                <w:szCs w:val="24"/>
              </w:rPr>
              <w:lastRenderedPageBreak/>
              <w:t>demotion.</w:t>
            </w:r>
            <w:r w:rsidR="00004C49" w:rsidRPr="00004C49">
              <w:rPr>
                <w:rFonts w:ascii="Arial" w:hAnsi="Arial" w:cs="Arial"/>
                <w:sz w:val="24"/>
                <w:szCs w:val="24"/>
              </w:rPr>
              <w:t xml:space="preserve"> </w:t>
            </w:r>
            <w:r w:rsidR="00B948A7">
              <w:rPr>
                <w:rFonts w:ascii="Arial" w:hAnsi="Arial" w:cs="Arial"/>
                <w:sz w:val="24"/>
                <w:szCs w:val="24"/>
              </w:rPr>
              <w:t>According to the appellant, the respondent</w:t>
            </w:r>
            <w:r w:rsidR="00004C49" w:rsidRPr="00004C49">
              <w:rPr>
                <w:rFonts w:ascii="Arial" w:hAnsi="Arial" w:cs="Arial"/>
                <w:sz w:val="24"/>
                <w:szCs w:val="24"/>
              </w:rPr>
              <w:t xml:space="preserve"> further</w:t>
            </w:r>
            <w:r w:rsidR="00DB7B55">
              <w:rPr>
                <w:rFonts w:ascii="Arial" w:hAnsi="Arial" w:cs="Arial"/>
                <w:sz w:val="24"/>
                <w:szCs w:val="24"/>
              </w:rPr>
              <w:t>, during cross-examination at the arbitration proceedings,</w:t>
            </w:r>
            <w:r w:rsidR="00B948A7">
              <w:rPr>
                <w:rFonts w:ascii="Arial" w:hAnsi="Arial" w:cs="Arial"/>
                <w:sz w:val="24"/>
                <w:szCs w:val="24"/>
              </w:rPr>
              <w:t xml:space="preserve"> </w:t>
            </w:r>
            <w:r w:rsidR="00004C49">
              <w:rPr>
                <w:rFonts w:ascii="Arial" w:hAnsi="Arial" w:cs="Arial"/>
                <w:sz w:val="24"/>
                <w:szCs w:val="24"/>
              </w:rPr>
              <w:t>confirmed</w:t>
            </w:r>
            <w:r w:rsidR="00004C49" w:rsidRPr="00004C49">
              <w:rPr>
                <w:rFonts w:ascii="Arial" w:hAnsi="Arial" w:cs="Arial"/>
                <w:sz w:val="24"/>
                <w:szCs w:val="24"/>
              </w:rPr>
              <w:t xml:space="preserve"> that she</w:t>
            </w:r>
            <w:r w:rsidR="008E1143">
              <w:rPr>
                <w:rFonts w:ascii="Arial" w:hAnsi="Arial" w:cs="Arial"/>
                <w:sz w:val="24"/>
                <w:szCs w:val="24"/>
              </w:rPr>
              <w:t>, out of her own volition,</w:t>
            </w:r>
            <w:r w:rsidR="00004C49" w:rsidRPr="00004C49">
              <w:rPr>
                <w:rFonts w:ascii="Arial" w:hAnsi="Arial" w:cs="Arial"/>
                <w:sz w:val="24"/>
                <w:szCs w:val="24"/>
              </w:rPr>
              <w:t xml:space="preserve"> consented to the demotion as set out in the letter. </w:t>
            </w:r>
          </w:p>
          <w:p w:rsidR="00004C49" w:rsidRPr="00004C49" w:rsidRDefault="00004C49" w:rsidP="00004C49">
            <w:pPr>
              <w:spacing w:line="360" w:lineRule="auto"/>
              <w:jc w:val="both"/>
              <w:rPr>
                <w:rFonts w:ascii="Arial" w:hAnsi="Arial" w:cs="Arial"/>
                <w:sz w:val="24"/>
                <w:szCs w:val="24"/>
              </w:rPr>
            </w:pPr>
          </w:p>
          <w:p w:rsidR="009401FC" w:rsidRPr="009401FC" w:rsidRDefault="00FE4A9F" w:rsidP="00004C49">
            <w:pPr>
              <w:spacing w:line="360" w:lineRule="auto"/>
              <w:jc w:val="both"/>
              <w:rPr>
                <w:rFonts w:ascii="Arial" w:hAnsi="Arial" w:cs="Arial"/>
                <w:sz w:val="24"/>
                <w:szCs w:val="24"/>
              </w:rPr>
            </w:pPr>
            <w:r>
              <w:rPr>
                <w:rFonts w:ascii="Arial" w:hAnsi="Arial" w:cs="Arial"/>
                <w:sz w:val="24"/>
                <w:szCs w:val="24"/>
              </w:rPr>
              <w:t>[19]</w:t>
            </w:r>
            <w:r w:rsidR="00B948A7">
              <w:rPr>
                <w:rFonts w:ascii="Arial" w:hAnsi="Arial" w:cs="Arial"/>
                <w:sz w:val="24"/>
                <w:szCs w:val="24"/>
              </w:rPr>
              <w:tab/>
              <w:t>In bolstering her argument</w:t>
            </w:r>
            <w:r w:rsidR="008E1143">
              <w:rPr>
                <w:rFonts w:ascii="Arial" w:hAnsi="Arial" w:cs="Arial"/>
                <w:sz w:val="24"/>
                <w:szCs w:val="24"/>
              </w:rPr>
              <w:t>, Ms Ihalwa submitted that the sanction is fair and reasonable under the circumstances, and the downgrading</w:t>
            </w:r>
            <w:r w:rsidR="005D70F1">
              <w:rPr>
                <w:rFonts w:ascii="Arial" w:hAnsi="Arial" w:cs="Arial"/>
                <w:sz w:val="24"/>
                <w:szCs w:val="24"/>
              </w:rPr>
              <w:t xml:space="preserve"> </w:t>
            </w:r>
            <w:r w:rsidR="005D70F1" w:rsidRPr="00733339">
              <w:rPr>
                <w:rFonts w:ascii="Arial" w:hAnsi="Arial" w:cs="Arial"/>
                <w:sz w:val="24"/>
                <w:szCs w:val="24"/>
              </w:rPr>
              <w:t>in rank</w:t>
            </w:r>
            <w:r w:rsidR="008E1143" w:rsidRPr="00733339">
              <w:rPr>
                <w:rFonts w:ascii="Arial" w:hAnsi="Arial" w:cs="Arial"/>
                <w:sz w:val="24"/>
                <w:szCs w:val="24"/>
              </w:rPr>
              <w:t>, therefore</w:t>
            </w:r>
            <w:r w:rsidR="008E1143">
              <w:rPr>
                <w:rFonts w:ascii="Arial" w:hAnsi="Arial" w:cs="Arial"/>
                <w:sz w:val="24"/>
                <w:szCs w:val="24"/>
              </w:rPr>
              <w:t>,</w:t>
            </w:r>
            <w:r w:rsidR="00004C49" w:rsidRPr="00004C49">
              <w:rPr>
                <w:rFonts w:ascii="Arial" w:hAnsi="Arial" w:cs="Arial"/>
                <w:sz w:val="24"/>
                <w:szCs w:val="24"/>
              </w:rPr>
              <w:t xml:space="preserve"> does not </w:t>
            </w:r>
            <w:r w:rsidR="00004C49">
              <w:rPr>
                <w:rFonts w:ascii="Arial" w:hAnsi="Arial" w:cs="Arial"/>
                <w:sz w:val="24"/>
                <w:szCs w:val="24"/>
              </w:rPr>
              <w:t>fall within the ambit of s</w:t>
            </w:r>
            <w:r w:rsidR="00004C49" w:rsidRPr="00004C49">
              <w:rPr>
                <w:rFonts w:ascii="Arial" w:hAnsi="Arial" w:cs="Arial"/>
                <w:sz w:val="24"/>
                <w:szCs w:val="24"/>
              </w:rPr>
              <w:t xml:space="preserve"> 50 (1)(</w:t>
            </w:r>
            <w:r w:rsidR="00004C49" w:rsidRPr="00004C49">
              <w:rPr>
                <w:rFonts w:ascii="Arial" w:hAnsi="Arial" w:cs="Arial"/>
                <w:i/>
                <w:sz w:val="24"/>
                <w:szCs w:val="24"/>
              </w:rPr>
              <w:t>e</w:t>
            </w:r>
            <w:r w:rsidR="00004C49" w:rsidRPr="00004C49">
              <w:rPr>
                <w:rFonts w:ascii="Arial" w:hAnsi="Arial" w:cs="Arial"/>
                <w:sz w:val="24"/>
                <w:szCs w:val="24"/>
              </w:rPr>
              <w:t xml:space="preserve">) of the </w:t>
            </w:r>
            <w:r w:rsidR="00004C49">
              <w:rPr>
                <w:rFonts w:ascii="Arial" w:hAnsi="Arial" w:cs="Arial"/>
                <w:sz w:val="24"/>
                <w:szCs w:val="24"/>
              </w:rPr>
              <w:t>Act</w:t>
            </w:r>
            <w:r w:rsidR="008E1143">
              <w:rPr>
                <w:rFonts w:ascii="Arial" w:hAnsi="Arial" w:cs="Arial"/>
                <w:sz w:val="24"/>
                <w:szCs w:val="24"/>
              </w:rPr>
              <w:t xml:space="preserve">. She contended that </w:t>
            </w:r>
            <w:r w:rsidR="00004C49">
              <w:rPr>
                <w:rFonts w:ascii="Arial" w:hAnsi="Arial" w:cs="Arial"/>
                <w:sz w:val="24"/>
                <w:szCs w:val="24"/>
              </w:rPr>
              <w:t xml:space="preserve">the </w:t>
            </w:r>
            <w:r w:rsidR="008E1143" w:rsidRPr="008E1143">
              <w:rPr>
                <w:rFonts w:ascii="Arial" w:hAnsi="Arial" w:cs="Arial"/>
                <w:sz w:val="24"/>
                <w:szCs w:val="24"/>
              </w:rPr>
              <w:t>change in the contract of employment between the applicant and the respondent was by way of negotiation and mutual agreement</w:t>
            </w:r>
            <w:r w:rsidR="008E1143">
              <w:rPr>
                <w:rFonts w:ascii="Arial" w:hAnsi="Arial" w:cs="Arial"/>
                <w:sz w:val="24"/>
                <w:szCs w:val="24"/>
              </w:rPr>
              <w:t xml:space="preserve"> and that the </w:t>
            </w:r>
            <w:r w:rsidR="00004C49">
              <w:rPr>
                <w:rFonts w:ascii="Arial" w:hAnsi="Arial" w:cs="Arial"/>
                <w:sz w:val="24"/>
                <w:szCs w:val="24"/>
              </w:rPr>
              <w:t>r</w:t>
            </w:r>
            <w:r w:rsidR="00004C49" w:rsidRPr="00004C49">
              <w:rPr>
                <w:rFonts w:ascii="Arial" w:hAnsi="Arial" w:cs="Arial"/>
                <w:sz w:val="24"/>
                <w:szCs w:val="24"/>
              </w:rPr>
              <w:t>espon</w:t>
            </w:r>
            <w:r w:rsidR="00004C49">
              <w:rPr>
                <w:rFonts w:ascii="Arial" w:hAnsi="Arial" w:cs="Arial"/>
                <w:sz w:val="24"/>
                <w:szCs w:val="24"/>
              </w:rPr>
              <w:t>dent agreed to the changes effected</w:t>
            </w:r>
            <w:r w:rsidR="00004C49" w:rsidRPr="00004C49">
              <w:rPr>
                <w:rFonts w:ascii="Arial" w:hAnsi="Arial" w:cs="Arial"/>
                <w:sz w:val="24"/>
                <w:szCs w:val="24"/>
              </w:rPr>
              <w:t xml:space="preserve"> to her employment conditions – particularl</w:t>
            </w:r>
            <w:r w:rsidR="00004C49">
              <w:rPr>
                <w:rFonts w:ascii="Arial" w:hAnsi="Arial" w:cs="Arial"/>
                <w:sz w:val="24"/>
                <w:szCs w:val="24"/>
              </w:rPr>
              <w:t xml:space="preserve">y </w:t>
            </w:r>
            <w:r w:rsidR="00B948A7">
              <w:rPr>
                <w:rFonts w:ascii="Arial" w:hAnsi="Arial" w:cs="Arial"/>
                <w:sz w:val="24"/>
                <w:szCs w:val="24"/>
              </w:rPr>
              <w:t xml:space="preserve">to </w:t>
            </w:r>
            <w:r w:rsidR="00004C49">
              <w:rPr>
                <w:rFonts w:ascii="Arial" w:hAnsi="Arial" w:cs="Arial"/>
                <w:sz w:val="24"/>
                <w:szCs w:val="24"/>
              </w:rPr>
              <w:t xml:space="preserve">the position and salary. </w:t>
            </w:r>
            <w:r w:rsidR="008E1143">
              <w:rPr>
                <w:rFonts w:ascii="Arial" w:hAnsi="Arial" w:cs="Arial"/>
                <w:sz w:val="24"/>
                <w:szCs w:val="24"/>
              </w:rPr>
              <w:t>It can thus not be said that t</w:t>
            </w:r>
            <w:r w:rsidR="00004C49">
              <w:rPr>
                <w:rFonts w:ascii="Arial" w:hAnsi="Arial" w:cs="Arial"/>
                <w:sz w:val="24"/>
                <w:szCs w:val="24"/>
              </w:rPr>
              <w:t>he a</w:t>
            </w:r>
            <w:r w:rsidR="00004C49" w:rsidRPr="00004C49">
              <w:rPr>
                <w:rFonts w:ascii="Arial" w:hAnsi="Arial" w:cs="Arial"/>
                <w:sz w:val="24"/>
                <w:szCs w:val="24"/>
              </w:rPr>
              <w:t xml:space="preserve">ppellant unilaterally </w:t>
            </w:r>
            <w:r w:rsidR="009220D7">
              <w:rPr>
                <w:rFonts w:ascii="Arial" w:hAnsi="Arial" w:cs="Arial"/>
                <w:sz w:val="24"/>
                <w:szCs w:val="24"/>
              </w:rPr>
              <w:t>changed</w:t>
            </w:r>
            <w:r w:rsidR="00004C49" w:rsidRPr="00004C49">
              <w:rPr>
                <w:rFonts w:ascii="Arial" w:hAnsi="Arial" w:cs="Arial"/>
                <w:sz w:val="24"/>
                <w:szCs w:val="24"/>
              </w:rPr>
              <w:t xml:space="preserve"> those conditions as the respon</w:t>
            </w:r>
            <w:r w:rsidR="000902BA">
              <w:rPr>
                <w:rFonts w:ascii="Arial" w:hAnsi="Arial" w:cs="Arial"/>
                <w:sz w:val="24"/>
                <w:szCs w:val="24"/>
              </w:rPr>
              <w:t xml:space="preserve">dent signed the demotion letter. </w:t>
            </w:r>
          </w:p>
          <w:p w:rsidR="009401FC" w:rsidRPr="009401FC" w:rsidRDefault="009401FC" w:rsidP="009401FC">
            <w:pPr>
              <w:spacing w:line="360" w:lineRule="auto"/>
              <w:jc w:val="both"/>
              <w:rPr>
                <w:rFonts w:ascii="Arial" w:hAnsi="Arial" w:cs="Arial"/>
                <w:sz w:val="24"/>
                <w:szCs w:val="24"/>
              </w:rPr>
            </w:pPr>
          </w:p>
          <w:p w:rsidR="000902BA" w:rsidRDefault="00FE4A9F" w:rsidP="009401FC">
            <w:pPr>
              <w:spacing w:line="360" w:lineRule="auto"/>
              <w:jc w:val="both"/>
              <w:rPr>
                <w:rFonts w:ascii="Arial" w:hAnsi="Arial" w:cs="Arial"/>
                <w:sz w:val="24"/>
                <w:szCs w:val="24"/>
              </w:rPr>
            </w:pPr>
            <w:r>
              <w:rPr>
                <w:rFonts w:ascii="Arial" w:hAnsi="Arial" w:cs="Arial"/>
                <w:sz w:val="24"/>
                <w:szCs w:val="24"/>
              </w:rPr>
              <w:t>[20</w:t>
            </w:r>
            <w:r w:rsidR="009401FC" w:rsidRPr="009401FC">
              <w:rPr>
                <w:rFonts w:ascii="Arial" w:hAnsi="Arial" w:cs="Arial"/>
                <w:sz w:val="24"/>
                <w:szCs w:val="24"/>
              </w:rPr>
              <w:t>]</w:t>
            </w:r>
            <w:r w:rsidR="009401FC" w:rsidRPr="009401FC">
              <w:rPr>
                <w:rFonts w:ascii="Arial" w:hAnsi="Arial" w:cs="Arial"/>
                <w:sz w:val="24"/>
                <w:szCs w:val="24"/>
              </w:rPr>
              <w:tab/>
            </w:r>
            <w:r w:rsidR="000902BA">
              <w:rPr>
                <w:rFonts w:ascii="Arial" w:hAnsi="Arial" w:cs="Arial"/>
                <w:sz w:val="24"/>
                <w:szCs w:val="24"/>
              </w:rPr>
              <w:t>Ms Ihalwa further submitted with respect to the compensatory relief awarded to the respondent</w:t>
            </w:r>
            <w:r w:rsidR="003B1D21">
              <w:rPr>
                <w:rFonts w:ascii="Arial" w:hAnsi="Arial" w:cs="Arial"/>
                <w:sz w:val="24"/>
                <w:szCs w:val="24"/>
              </w:rPr>
              <w:t>, stating</w:t>
            </w:r>
            <w:r w:rsidR="00A74FFC">
              <w:rPr>
                <w:rFonts w:ascii="Arial" w:hAnsi="Arial" w:cs="Arial"/>
                <w:sz w:val="24"/>
                <w:szCs w:val="24"/>
              </w:rPr>
              <w:t xml:space="preserve"> that </w:t>
            </w:r>
            <w:r w:rsidR="000902BA" w:rsidRPr="000902BA">
              <w:rPr>
                <w:rFonts w:ascii="Arial" w:hAnsi="Arial" w:cs="Arial"/>
                <w:sz w:val="24"/>
                <w:szCs w:val="24"/>
              </w:rPr>
              <w:t xml:space="preserve">the arbitrator erred in computing </w:t>
            </w:r>
            <w:r w:rsidR="000902BA">
              <w:rPr>
                <w:rFonts w:ascii="Arial" w:hAnsi="Arial" w:cs="Arial"/>
                <w:sz w:val="24"/>
                <w:szCs w:val="24"/>
              </w:rPr>
              <w:t xml:space="preserve">and granting an </w:t>
            </w:r>
            <w:r w:rsidR="000902BA" w:rsidRPr="000902BA">
              <w:rPr>
                <w:rFonts w:ascii="Arial" w:hAnsi="Arial" w:cs="Arial"/>
                <w:sz w:val="24"/>
                <w:szCs w:val="24"/>
              </w:rPr>
              <w:t xml:space="preserve">amount due to the respondent. </w:t>
            </w:r>
            <w:r w:rsidR="000902BA">
              <w:rPr>
                <w:rFonts w:ascii="Arial" w:hAnsi="Arial" w:cs="Arial"/>
                <w:sz w:val="24"/>
                <w:szCs w:val="24"/>
              </w:rPr>
              <w:t>According to t</w:t>
            </w:r>
            <w:r w:rsidR="000902BA" w:rsidRPr="000902BA">
              <w:rPr>
                <w:rFonts w:ascii="Arial" w:hAnsi="Arial" w:cs="Arial"/>
                <w:sz w:val="24"/>
                <w:szCs w:val="24"/>
              </w:rPr>
              <w:t xml:space="preserve">he </w:t>
            </w:r>
            <w:r w:rsidR="000902BA">
              <w:rPr>
                <w:rFonts w:ascii="Arial" w:hAnsi="Arial" w:cs="Arial"/>
                <w:sz w:val="24"/>
                <w:szCs w:val="24"/>
              </w:rPr>
              <w:t>appellant, the r</w:t>
            </w:r>
            <w:r w:rsidR="000902BA" w:rsidRPr="000902BA">
              <w:rPr>
                <w:rFonts w:ascii="Arial" w:hAnsi="Arial" w:cs="Arial"/>
                <w:sz w:val="24"/>
                <w:szCs w:val="24"/>
              </w:rPr>
              <w:t>espondent participated in a protected strike during the period 23 December 2020 to 25 January 2021</w:t>
            </w:r>
            <w:r w:rsidR="00B948A7">
              <w:rPr>
                <w:rFonts w:ascii="Arial" w:hAnsi="Arial" w:cs="Arial"/>
                <w:sz w:val="24"/>
                <w:szCs w:val="24"/>
              </w:rPr>
              <w:t xml:space="preserve">. The rule of ‘no work, no pay’ </w:t>
            </w:r>
            <w:r w:rsidR="000902BA" w:rsidRPr="000902BA">
              <w:rPr>
                <w:rFonts w:ascii="Arial" w:hAnsi="Arial" w:cs="Arial"/>
                <w:sz w:val="24"/>
                <w:szCs w:val="24"/>
              </w:rPr>
              <w:t>applied to the strike</w:t>
            </w:r>
            <w:r w:rsidR="003B1D21">
              <w:rPr>
                <w:rFonts w:ascii="Arial" w:hAnsi="Arial" w:cs="Arial"/>
                <w:sz w:val="24"/>
                <w:szCs w:val="24"/>
              </w:rPr>
              <w:t>, and no staff member, including the respondent, was entitled to receive payment of remuneration for</w:t>
            </w:r>
            <w:r w:rsidR="000902BA">
              <w:rPr>
                <w:rFonts w:ascii="Arial" w:hAnsi="Arial" w:cs="Arial"/>
                <w:sz w:val="24"/>
                <w:szCs w:val="24"/>
              </w:rPr>
              <w:t xml:space="preserve"> th</w:t>
            </w:r>
            <w:r w:rsidR="00A74FFC">
              <w:rPr>
                <w:rFonts w:ascii="Arial" w:hAnsi="Arial" w:cs="Arial"/>
                <w:sz w:val="24"/>
                <w:szCs w:val="24"/>
              </w:rPr>
              <w:t>at</w:t>
            </w:r>
            <w:r w:rsidR="000902BA">
              <w:rPr>
                <w:rFonts w:ascii="Arial" w:hAnsi="Arial" w:cs="Arial"/>
                <w:sz w:val="24"/>
                <w:szCs w:val="24"/>
              </w:rPr>
              <w:t xml:space="preserve"> particular period. For this reason</w:t>
            </w:r>
            <w:r w:rsidR="00DB7B55">
              <w:rPr>
                <w:rFonts w:ascii="Arial" w:hAnsi="Arial" w:cs="Arial"/>
                <w:sz w:val="24"/>
                <w:szCs w:val="24"/>
              </w:rPr>
              <w:t>,</w:t>
            </w:r>
            <w:r w:rsidR="000902BA">
              <w:rPr>
                <w:rFonts w:ascii="Arial" w:hAnsi="Arial" w:cs="Arial"/>
                <w:sz w:val="24"/>
                <w:szCs w:val="24"/>
              </w:rPr>
              <w:t xml:space="preserve"> the r</w:t>
            </w:r>
            <w:r w:rsidR="000902BA" w:rsidRPr="000902BA">
              <w:rPr>
                <w:rFonts w:ascii="Arial" w:hAnsi="Arial" w:cs="Arial"/>
                <w:sz w:val="24"/>
                <w:szCs w:val="24"/>
              </w:rPr>
              <w:t>espondent is not entitled to remuneration for that particular period</w:t>
            </w:r>
            <w:r w:rsidR="003B1D21">
              <w:rPr>
                <w:rFonts w:ascii="Arial" w:hAnsi="Arial" w:cs="Arial"/>
                <w:sz w:val="24"/>
                <w:szCs w:val="24"/>
              </w:rPr>
              <w:t>,</w:t>
            </w:r>
            <w:r w:rsidR="000902BA" w:rsidRPr="000902BA">
              <w:rPr>
                <w:rFonts w:ascii="Arial" w:hAnsi="Arial" w:cs="Arial"/>
                <w:sz w:val="24"/>
                <w:szCs w:val="24"/>
              </w:rPr>
              <w:t xml:space="preserve"> as the </w:t>
            </w:r>
            <w:r w:rsidR="000902BA" w:rsidRPr="00733339">
              <w:rPr>
                <w:rFonts w:ascii="Arial" w:hAnsi="Arial" w:cs="Arial"/>
                <w:sz w:val="24"/>
                <w:szCs w:val="24"/>
              </w:rPr>
              <w:t xml:space="preserve">arbitrator </w:t>
            </w:r>
            <w:r w:rsidR="005D70F1" w:rsidRPr="00733339">
              <w:rPr>
                <w:rFonts w:ascii="Arial" w:hAnsi="Arial" w:cs="Arial"/>
                <w:sz w:val="24"/>
                <w:szCs w:val="24"/>
              </w:rPr>
              <w:t xml:space="preserve">wrongly </w:t>
            </w:r>
            <w:r w:rsidR="000902BA" w:rsidRPr="00733339">
              <w:rPr>
                <w:rFonts w:ascii="Arial" w:hAnsi="Arial" w:cs="Arial"/>
                <w:sz w:val="24"/>
                <w:szCs w:val="24"/>
              </w:rPr>
              <w:t>concluded</w:t>
            </w:r>
            <w:r w:rsidR="000902BA">
              <w:rPr>
                <w:rFonts w:ascii="Arial" w:hAnsi="Arial" w:cs="Arial"/>
                <w:sz w:val="24"/>
                <w:szCs w:val="24"/>
              </w:rPr>
              <w:t>.</w:t>
            </w:r>
          </w:p>
          <w:p w:rsidR="000902BA" w:rsidRDefault="000902BA" w:rsidP="009401FC">
            <w:pPr>
              <w:spacing w:line="360" w:lineRule="auto"/>
              <w:jc w:val="both"/>
              <w:rPr>
                <w:rFonts w:ascii="Arial" w:hAnsi="Arial" w:cs="Arial"/>
                <w:sz w:val="24"/>
                <w:szCs w:val="24"/>
              </w:rPr>
            </w:pPr>
          </w:p>
          <w:p w:rsidR="00116107" w:rsidRDefault="00FE4A9F" w:rsidP="009401FC">
            <w:pPr>
              <w:spacing w:line="360" w:lineRule="auto"/>
              <w:jc w:val="both"/>
              <w:rPr>
                <w:rFonts w:ascii="Arial" w:hAnsi="Arial" w:cs="Arial"/>
                <w:sz w:val="24"/>
                <w:szCs w:val="24"/>
              </w:rPr>
            </w:pPr>
            <w:r>
              <w:rPr>
                <w:rFonts w:ascii="Arial" w:hAnsi="Arial" w:cs="Arial"/>
                <w:sz w:val="24"/>
                <w:szCs w:val="24"/>
              </w:rPr>
              <w:t>[21</w:t>
            </w:r>
            <w:r w:rsidR="009401FC" w:rsidRPr="009401FC">
              <w:rPr>
                <w:rFonts w:ascii="Arial" w:hAnsi="Arial" w:cs="Arial"/>
                <w:sz w:val="24"/>
                <w:szCs w:val="24"/>
              </w:rPr>
              <w:t>]</w:t>
            </w:r>
            <w:r w:rsidR="009401FC" w:rsidRPr="009401FC">
              <w:rPr>
                <w:rFonts w:ascii="Arial" w:hAnsi="Arial" w:cs="Arial"/>
                <w:sz w:val="24"/>
                <w:szCs w:val="24"/>
              </w:rPr>
              <w:tab/>
            </w:r>
            <w:r w:rsidR="000902BA">
              <w:rPr>
                <w:rFonts w:ascii="Arial" w:hAnsi="Arial" w:cs="Arial"/>
                <w:sz w:val="24"/>
                <w:szCs w:val="24"/>
              </w:rPr>
              <w:t>Having briefly set out the submission</w:t>
            </w:r>
            <w:r w:rsidR="00273F7C">
              <w:rPr>
                <w:rFonts w:ascii="Arial" w:hAnsi="Arial" w:cs="Arial"/>
                <w:sz w:val="24"/>
                <w:szCs w:val="24"/>
              </w:rPr>
              <w:t>s</w:t>
            </w:r>
            <w:r w:rsidR="000902BA">
              <w:rPr>
                <w:rFonts w:ascii="Arial" w:hAnsi="Arial" w:cs="Arial"/>
                <w:sz w:val="24"/>
                <w:szCs w:val="24"/>
              </w:rPr>
              <w:t xml:space="preserve"> advanced by the appellant, I now turn to the applicable legal principles and discussion. </w:t>
            </w:r>
          </w:p>
          <w:p w:rsidR="00116107" w:rsidRDefault="00116107" w:rsidP="009401FC">
            <w:pPr>
              <w:spacing w:line="360" w:lineRule="auto"/>
              <w:jc w:val="both"/>
              <w:rPr>
                <w:rFonts w:ascii="Arial" w:hAnsi="Arial" w:cs="Arial"/>
                <w:sz w:val="24"/>
                <w:szCs w:val="24"/>
              </w:rPr>
            </w:pPr>
          </w:p>
          <w:p w:rsidR="009401FC" w:rsidRPr="00B43D40" w:rsidRDefault="00C310E9" w:rsidP="009401FC">
            <w:pPr>
              <w:spacing w:line="360" w:lineRule="auto"/>
              <w:jc w:val="both"/>
              <w:rPr>
                <w:rFonts w:ascii="Arial" w:hAnsi="Arial" w:cs="Arial"/>
                <w:sz w:val="24"/>
                <w:szCs w:val="24"/>
                <w:u w:val="single"/>
              </w:rPr>
            </w:pPr>
            <w:r>
              <w:rPr>
                <w:rFonts w:ascii="Arial" w:hAnsi="Arial" w:cs="Arial"/>
                <w:sz w:val="24"/>
                <w:szCs w:val="24"/>
                <w:u w:val="single"/>
              </w:rPr>
              <w:t>A</w:t>
            </w:r>
            <w:r w:rsidR="009401FC" w:rsidRPr="00B43D40">
              <w:rPr>
                <w:rFonts w:ascii="Arial" w:hAnsi="Arial" w:cs="Arial"/>
                <w:sz w:val="24"/>
                <w:szCs w:val="24"/>
                <w:u w:val="single"/>
              </w:rPr>
              <w:t>pplicable</w:t>
            </w:r>
            <w:r>
              <w:rPr>
                <w:rFonts w:ascii="Arial" w:hAnsi="Arial" w:cs="Arial"/>
                <w:sz w:val="24"/>
                <w:szCs w:val="24"/>
                <w:u w:val="single"/>
              </w:rPr>
              <w:t xml:space="preserve"> legal principles</w:t>
            </w:r>
            <w:r w:rsidR="009401FC" w:rsidRPr="00B43D40">
              <w:rPr>
                <w:rFonts w:ascii="Arial" w:hAnsi="Arial" w:cs="Arial"/>
                <w:sz w:val="24"/>
                <w:szCs w:val="24"/>
                <w:u w:val="single"/>
              </w:rPr>
              <w:t xml:space="preserve"> and discussion</w:t>
            </w:r>
          </w:p>
          <w:p w:rsidR="00B43D40" w:rsidRPr="009401FC" w:rsidRDefault="00B43D40" w:rsidP="009401FC">
            <w:pPr>
              <w:spacing w:line="360" w:lineRule="auto"/>
              <w:jc w:val="both"/>
              <w:rPr>
                <w:rFonts w:ascii="Arial" w:hAnsi="Arial" w:cs="Arial"/>
                <w:sz w:val="24"/>
                <w:szCs w:val="24"/>
              </w:rPr>
            </w:pPr>
          </w:p>
          <w:p w:rsidR="00FC1C02" w:rsidRDefault="00FE4A9F" w:rsidP="00FC1C02">
            <w:pPr>
              <w:pStyle w:val="BodyText"/>
            </w:pPr>
            <w:r>
              <w:t>[22</w:t>
            </w:r>
            <w:r w:rsidR="009401FC" w:rsidRPr="009401FC">
              <w:t>]</w:t>
            </w:r>
            <w:r w:rsidR="009401FC" w:rsidRPr="009401FC">
              <w:tab/>
            </w:r>
            <w:r w:rsidR="00FC1C02">
              <w:t>T</w:t>
            </w:r>
            <w:r w:rsidR="00A120B3">
              <w:t>he relevant</w:t>
            </w:r>
            <w:r w:rsidR="00FC1C02">
              <w:t xml:space="preserve"> section in the Act</w:t>
            </w:r>
            <w:r w:rsidR="00A74FFC">
              <w:t>,</w:t>
            </w:r>
            <w:r w:rsidR="00FC1C02">
              <w:t xml:space="preserve"> which deals with </w:t>
            </w:r>
            <w:r w:rsidR="00DB7B55">
              <w:t xml:space="preserve">the </w:t>
            </w:r>
            <w:r w:rsidR="00FC1C02">
              <w:t>unilateral change of employment conditions</w:t>
            </w:r>
            <w:r w:rsidR="003B1D21">
              <w:t>,</w:t>
            </w:r>
            <w:r w:rsidR="00FC1C02">
              <w:t xml:space="preserve"> is s 50(1)(</w:t>
            </w:r>
            <w:r w:rsidR="00FC1C02" w:rsidRPr="00FC1C02">
              <w:rPr>
                <w:i/>
              </w:rPr>
              <w:t>e</w:t>
            </w:r>
            <w:r w:rsidR="00FC1C02">
              <w:t>)</w:t>
            </w:r>
            <w:r w:rsidR="003B1D21">
              <w:t>,</w:t>
            </w:r>
            <w:r w:rsidR="00FC1C02">
              <w:t xml:space="preserve"> which provides as follows:</w:t>
            </w:r>
          </w:p>
          <w:p w:rsidR="00FC1C02" w:rsidRDefault="00FC1C02" w:rsidP="00FC1C02">
            <w:pPr>
              <w:pStyle w:val="BodyText"/>
            </w:pPr>
          </w:p>
          <w:p w:rsidR="00FC1C02" w:rsidRPr="00FC1C02" w:rsidRDefault="00FC1C02" w:rsidP="00FC1C02">
            <w:pPr>
              <w:pStyle w:val="BodyText"/>
              <w:rPr>
                <w:sz w:val="22"/>
                <w:szCs w:val="22"/>
              </w:rPr>
            </w:pPr>
            <w:r>
              <w:tab/>
            </w:r>
            <w:r w:rsidRPr="00FC1C02">
              <w:rPr>
                <w:sz w:val="22"/>
                <w:szCs w:val="22"/>
              </w:rPr>
              <w:t>‘It is unfair labour practice for an employer or an employers’ organisation (e) to unilaterally alter any term or condition of employment.’</w:t>
            </w:r>
          </w:p>
          <w:p w:rsidR="009401FC" w:rsidRDefault="009401FC" w:rsidP="00116107">
            <w:pPr>
              <w:pStyle w:val="BodyText"/>
              <w:tabs>
                <w:tab w:val="clear" w:pos="729"/>
              </w:tabs>
            </w:pPr>
          </w:p>
          <w:p w:rsidR="003F199A" w:rsidRDefault="00FE4A9F" w:rsidP="003F199A">
            <w:pPr>
              <w:pStyle w:val="BodyText"/>
            </w:pPr>
            <w:r>
              <w:t>[23]</w:t>
            </w:r>
            <w:r w:rsidRPr="00FE4A9F">
              <w:tab/>
            </w:r>
            <w:r w:rsidR="003F199A">
              <w:t xml:space="preserve">Shivute CJ in </w:t>
            </w:r>
            <w:r w:rsidR="003F199A" w:rsidRPr="003F199A">
              <w:rPr>
                <w:i/>
              </w:rPr>
              <w:t>Hugo v Council of Municipality of Grootfontein</w:t>
            </w:r>
            <w:r w:rsidR="003F199A">
              <w:rPr>
                <w:rStyle w:val="FootnoteReference"/>
              </w:rPr>
              <w:footnoteReference w:id="1"/>
            </w:r>
            <w:r w:rsidR="003F199A">
              <w:t xml:space="preserve"> stated the following:</w:t>
            </w:r>
          </w:p>
          <w:p w:rsidR="003F199A" w:rsidRDefault="003F199A" w:rsidP="003F199A">
            <w:pPr>
              <w:pStyle w:val="BodyText"/>
            </w:pPr>
          </w:p>
          <w:p w:rsidR="003F199A" w:rsidRPr="003F199A" w:rsidRDefault="003F199A" w:rsidP="003F199A">
            <w:pPr>
              <w:pStyle w:val="BodyText"/>
              <w:rPr>
                <w:sz w:val="22"/>
                <w:szCs w:val="22"/>
              </w:rPr>
            </w:pPr>
            <w:r>
              <w:lastRenderedPageBreak/>
              <w:tab/>
            </w:r>
            <w:r w:rsidRPr="003F199A">
              <w:rPr>
                <w:sz w:val="22"/>
                <w:szCs w:val="22"/>
              </w:rPr>
              <w:t xml:space="preserve">‘It is a trite principle of law of contract that a person who has signed a contractual document thereby signifies his assent to the contents of the document.’ </w:t>
            </w:r>
          </w:p>
          <w:p w:rsidR="003F199A" w:rsidRPr="009401FC" w:rsidRDefault="003F199A" w:rsidP="00116107">
            <w:pPr>
              <w:pStyle w:val="BodyText"/>
              <w:tabs>
                <w:tab w:val="clear" w:pos="729"/>
              </w:tabs>
            </w:pPr>
          </w:p>
          <w:p w:rsidR="00EE1C30" w:rsidRPr="00EE1C30" w:rsidRDefault="00FE4A9F" w:rsidP="00EE1C30">
            <w:pPr>
              <w:spacing w:line="360" w:lineRule="auto"/>
              <w:jc w:val="both"/>
              <w:rPr>
                <w:rFonts w:ascii="Arial" w:hAnsi="Arial" w:cs="Arial"/>
                <w:sz w:val="24"/>
                <w:szCs w:val="24"/>
              </w:rPr>
            </w:pPr>
            <w:r>
              <w:rPr>
                <w:rFonts w:ascii="Arial" w:hAnsi="Arial" w:cs="Arial"/>
                <w:sz w:val="24"/>
                <w:szCs w:val="24"/>
              </w:rPr>
              <w:t>[24</w:t>
            </w:r>
            <w:r w:rsidR="009401FC" w:rsidRPr="009401FC">
              <w:rPr>
                <w:rFonts w:ascii="Arial" w:hAnsi="Arial" w:cs="Arial"/>
                <w:sz w:val="24"/>
                <w:szCs w:val="24"/>
              </w:rPr>
              <w:t>]</w:t>
            </w:r>
            <w:r w:rsidR="009401FC" w:rsidRPr="009401FC">
              <w:rPr>
                <w:rFonts w:ascii="Arial" w:hAnsi="Arial" w:cs="Arial"/>
                <w:sz w:val="24"/>
                <w:szCs w:val="24"/>
              </w:rPr>
              <w:tab/>
            </w:r>
            <w:r w:rsidR="00EE1C30" w:rsidRPr="00EE1C30">
              <w:rPr>
                <w:rFonts w:ascii="Arial" w:hAnsi="Arial" w:cs="Arial"/>
                <w:sz w:val="24"/>
                <w:szCs w:val="24"/>
              </w:rPr>
              <w:t xml:space="preserve">Further, Maritz JA in </w:t>
            </w:r>
            <w:r w:rsidR="00EE1C30" w:rsidRPr="00EE1C30">
              <w:rPr>
                <w:rFonts w:ascii="Arial" w:hAnsi="Arial" w:cs="Arial"/>
                <w:i/>
                <w:sz w:val="24"/>
                <w:szCs w:val="24"/>
              </w:rPr>
              <w:t>Namibia Broadcasting Corporation v Kruger and others</w:t>
            </w:r>
            <w:r w:rsidR="00EE1C30">
              <w:rPr>
                <w:rStyle w:val="FootnoteReference"/>
                <w:rFonts w:ascii="Arial" w:hAnsi="Arial" w:cs="Arial"/>
                <w:sz w:val="24"/>
                <w:szCs w:val="24"/>
              </w:rPr>
              <w:footnoteReference w:id="2"/>
            </w:r>
            <w:r w:rsidR="00EE1C30">
              <w:rPr>
                <w:rFonts w:ascii="Arial" w:hAnsi="Arial" w:cs="Arial"/>
                <w:sz w:val="24"/>
                <w:szCs w:val="24"/>
              </w:rPr>
              <w:t xml:space="preserve"> </w:t>
            </w:r>
            <w:r w:rsidR="00EE1C30" w:rsidRPr="00EE1C30">
              <w:rPr>
                <w:rFonts w:ascii="Arial" w:hAnsi="Arial" w:cs="Arial"/>
                <w:sz w:val="24"/>
                <w:szCs w:val="24"/>
              </w:rPr>
              <w:t>said the following about signing documentation:</w:t>
            </w:r>
          </w:p>
          <w:p w:rsidR="00EE1C30" w:rsidRPr="00EE1C30" w:rsidRDefault="00EE1C30" w:rsidP="00EE1C30">
            <w:pPr>
              <w:spacing w:line="360" w:lineRule="auto"/>
              <w:jc w:val="both"/>
              <w:rPr>
                <w:rFonts w:ascii="Arial" w:hAnsi="Arial" w:cs="Arial"/>
                <w:sz w:val="24"/>
                <w:szCs w:val="24"/>
              </w:rPr>
            </w:pPr>
          </w:p>
          <w:p w:rsidR="00EE1C30" w:rsidRPr="00EE1C30" w:rsidRDefault="00EE1C30" w:rsidP="00EE1C30">
            <w:pPr>
              <w:spacing w:line="360" w:lineRule="auto"/>
              <w:jc w:val="both"/>
              <w:rPr>
                <w:rFonts w:ascii="Arial" w:hAnsi="Arial" w:cs="Arial"/>
              </w:rPr>
            </w:pPr>
            <w:r w:rsidRPr="00EE1C30">
              <w:rPr>
                <w:rFonts w:ascii="Arial" w:hAnsi="Arial" w:cs="Arial"/>
                <w:sz w:val="24"/>
                <w:szCs w:val="24"/>
              </w:rPr>
              <w:tab/>
            </w:r>
            <w:r w:rsidRPr="00EE1C30">
              <w:rPr>
                <w:rFonts w:ascii="Arial" w:hAnsi="Arial" w:cs="Arial"/>
              </w:rPr>
              <w:t xml:space="preserve">‘9. … Fagan CJ remarked in </w:t>
            </w:r>
            <w:r w:rsidRPr="00EE1C30">
              <w:rPr>
                <w:rFonts w:ascii="Arial" w:hAnsi="Arial" w:cs="Arial"/>
                <w:i/>
              </w:rPr>
              <w:t>George v Fairmead (Pty) Ltd</w:t>
            </w:r>
            <w:r w:rsidR="00B948A7">
              <w:rPr>
                <w:rFonts w:ascii="Arial" w:hAnsi="Arial" w:cs="Arial"/>
              </w:rPr>
              <w:t xml:space="preserve"> ‘w</w:t>
            </w:r>
            <w:r w:rsidRPr="00EE1C30">
              <w:rPr>
                <w:rFonts w:ascii="Arial" w:hAnsi="Arial" w:cs="Arial"/>
              </w:rPr>
              <w:t>hen a man is asked to put his signature to a document he cannot fail to realise that he is called upon to signify, by doing so, his assent to whatever words above his signature.’</w:t>
            </w:r>
          </w:p>
          <w:p w:rsidR="00EE1C30" w:rsidRPr="00EE1C30" w:rsidRDefault="00EE1C30" w:rsidP="00EE1C30">
            <w:pPr>
              <w:spacing w:line="360" w:lineRule="auto"/>
              <w:jc w:val="both"/>
              <w:rPr>
                <w:rFonts w:ascii="Arial" w:hAnsi="Arial" w:cs="Arial"/>
                <w:sz w:val="24"/>
                <w:szCs w:val="24"/>
              </w:rPr>
            </w:pPr>
          </w:p>
          <w:p w:rsidR="009401FC" w:rsidRPr="00116107" w:rsidRDefault="00352603" w:rsidP="00EE1C30">
            <w:pPr>
              <w:spacing w:line="360" w:lineRule="auto"/>
              <w:jc w:val="both"/>
              <w:rPr>
                <w:rFonts w:ascii="Arial" w:hAnsi="Arial" w:cs="Arial"/>
                <w:sz w:val="24"/>
                <w:szCs w:val="24"/>
              </w:rPr>
            </w:pPr>
            <w:r>
              <w:rPr>
                <w:rFonts w:ascii="Arial" w:hAnsi="Arial" w:cs="Arial"/>
              </w:rPr>
              <w:t>10.</w:t>
            </w:r>
            <w:r w:rsidR="00EE1C30" w:rsidRPr="00EE1C30">
              <w:rPr>
                <w:rFonts w:ascii="Arial" w:hAnsi="Arial" w:cs="Arial"/>
              </w:rPr>
              <w:tab/>
              <w:t xml:space="preserve">Absent credible allegation of misrepresentation, subterfuge, dishonest concealment, duress, fraud or the other exceptions to the general rule, the second to 22nd respondents are bound by qualification of the severance payments reflected in their respective deeds of settlement with the appellant. </w:t>
            </w:r>
            <w:r w:rsidR="00EE1C30" w:rsidRPr="00EE1C30">
              <w:rPr>
                <w:rFonts w:ascii="Arial" w:hAnsi="Arial" w:cs="Arial"/>
                <w:u w:val="single"/>
              </w:rPr>
              <w:t>They agreed to receive them in full and final settlement of their respective claims and, in that sense, their signatures not only sealed the quantum of their severance entitlements but also the fate of their application</w:t>
            </w:r>
            <w:r w:rsidR="00EE1C30" w:rsidRPr="00EE1C30">
              <w:rPr>
                <w:rFonts w:ascii="Arial" w:hAnsi="Arial" w:cs="Arial"/>
              </w:rPr>
              <w:t>.’</w:t>
            </w:r>
            <w:r w:rsidR="00EE1C30">
              <w:rPr>
                <w:rFonts w:ascii="Arial" w:hAnsi="Arial" w:cs="Arial"/>
                <w:sz w:val="24"/>
                <w:szCs w:val="24"/>
              </w:rPr>
              <w:t xml:space="preserve"> (my</w:t>
            </w:r>
            <w:r w:rsidR="00EE1C30" w:rsidRPr="00EE1C30">
              <w:rPr>
                <w:rFonts w:ascii="Arial" w:hAnsi="Arial" w:cs="Arial"/>
                <w:sz w:val="24"/>
                <w:szCs w:val="24"/>
              </w:rPr>
              <w:t xml:space="preserve"> emphasis)</w:t>
            </w:r>
          </w:p>
          <w:p w:rsidR="009401FC" w:rsidRPr="00116107" w:rsidRDefault="009401FC" w:rsidP="009401FC">
            <w:pPr>
              <w:spacing w:line="360" w:lineRule="auto"/>
              <w:jc w:val="both"/>
              <w:rPr>
                <w:rFonts w:ascii="Arial" w:hAnsi="Arial" w:cs="Arial"/>
              </w:rPr>
            </w:pPr>
          </w:p>
          <w:p w:rsidR="00A120B3" w:rsidRDefault="00FE4A9F" w:rsidP="00A120B3">
            <w:pPr>
              <w:spacing w:line="360" w:lineRule="auto"/>
              <w:jc w:val="both"/>
              <w:rPr>
                <w:rFonts w:ascii="Arial" w:hAnsi="Arial" w:cs="Arial"/>
                <w:sz w:val="24"/>
                <w:szCs w:val="24"/>
              </w:rPr>
            </w:pPr>
            <w:r>
              <w:rPr>
                <w:rFonts w:ascii="Arial" w:hAnsi="Arial" w:cs="Arial"/>
                <w:sz w:val="24"/>
                <w:szCs w:val="24"/>
              </w:rPr>
              <w:t>[25</w:t>
            </w:r>
            <w:r w:rsidR="009401FC" w:rsidRPr="009401FC">
              <w:rPr>
                <w:rFonts w:ascii="Arial" w:hAnsi="Arial" w:cs="Arial"/>
                <w:sz w:val="24"/>
                <w:szCs w:val="24"/>
              </w:rPr>
              <w:t>]</w:t>
            </w:r>
            <w:r w:rsidR="009401FC" w:rsidRPr="009401FC">
              <w:rPr>
                <w:rFonts w:ascii="Arial" w:hAnsi="Arial" w:cs="Arial"/>
                <w:sz w:val="24"/>
                <w:szCs w:val="24"/>
              </w:rPr>
              <w:tab/>
            </w:r>
            <w:r w:rsidR="00A120B3" w:rsidRPr="00A120B3">
              <w:rPr>
                <w:rFonts w:ascii="Arial" w:hAnsi="Arial" w:cs="Arial"/>
                <w:sz w:val="24"/>
                <w:szCs w:val="24"/>
              </w:rPr>
              <w:t>Parker</w:t>
            </w:r>
            <w:r w:rsidR="00A74FFC">
              <w:rPr>
                <w:rFonts w:ascii="Arial" w:hAnsi="Arial" w:cs="Arial"/>
                <w:sz w:val="24"/>
                <w:szCs w:val="24"/>
              </w:rPr>
              <w:t>,</w:t>
            </w:r>
            <w:r w:rsidR="00A120B3" w:rsidRPr="00A120B3">
              <w:rPr>
                <w:rFonts w:ascii="Arial" w:hAnsi="Arial" w:cs="Arial"/>
                <w:sz w:val="24"/>
                <w:szCs w:val="24"/>
              </w:rPr>
              <w:t xml:space="preserve"> in h</w:t>
            </w:r>
            <w:r w:rsidR="00B948A7">
              <w:rPr>
                <w:rFonts w:ascii="Arial" w:hAnsi="Arial" w:cs="Arial"/>
                <w:sz w:val="24"/>
                <w:szCs w:val="24"/>
              </w:rPr>
              <w:t>is book</w:t>
            </w:r>
            <w:r w:rsidR="00A120B3">
              <w:rPr>
                <w:rFonts w:ascii="Arial" w:hAnsi="Arial" w:cs="Arial"/>
                <w:sz w:val="24"/>
                <w:szCs w:val="24"/>
              </w:rPr>
              <w:t xml:space="preserve"> </w:t>
            </w:r>
            <w:r w:rsidR="00A120B3" w:rsidRPr="000B1350">
              <w:rPr>
                <w:rFonts w:ascii="Arial" w:hAnsi="Arial" w:cs="Arial"/>
                <w:i/>
                <w:sz w:val="24"/>
                <w:szCs w:val="24"/>
              </w:rPr>
              <w:t>Labour Law in Namibia</w:t>
            </w:r>
            <w:r w:rsidR="00A74FFC">
              <w:rPr>
                <w:rFonts w:ascii="Arial" w:hAnsi="Arial" w:cs="Arial"/>
                <w:i/>
                <w:sz w:val="24"/>
                <w:szCs w:val="24"/>
              </w:rPr>
              <w:t>,</w:t>
            </w:r>
            <w:r w:rsidR="00A120B3">
              <w:rPr>
                <w:rStyle w:val="FootnoteReference"/>
                <w:rFonts w:ascii="Arial" w:hAnsi="Arial" w:cs="Arial"/>
                <w:sz w:val="24"/>
                <w:szCs w:val="24"/>
              </w:rPr>
              <w:footnoteReference w:id="3"/>
            </w:r>
            <w:r w:rsidR="00A120B3" w:rsidRPr="00A120B3">
              <w:rPr>
                <w:rFonts w:ascii="Arial" w:hAnsi="Arial" w:cs="Arial"/>
                <w:sz w:val="24"/>
                <w:szCs w:val="24"/>
              </w:rPr>
              <w:t xml:space="preserve"> states that there is generally only one lawful way in which terms of a contract of employment may be varied and that is through agreement between the employer and employee. In </w:t>
            </w:r>
            <w:r w:rsidR="00A120B3" w:rsidRPr="00A120B3">
              <w:rPr>
                <w:rFonts w:ascii="Arial" w:hAnsi="Arial" w:cs="Arial"/>
                <w:i/>
                <w:sz w:val="24"/>
                <w:szCs w:val="24"/>
              </w:rPr>
              <w:t>Smith v Standard Bank Namibia</w:t>
            </w:r>
            <w:r w:rsidR="009220D7">
              <w:rPr>
                <w:rFonts w:ascii="Arial" w:hAnsi="Arial" w:cs="Arial"/>
                <w:i/>
                <w:sz w:val="24"/>
                <w:szCs w:val="24"/>
              </w:rPr>
              <w:t>,</w:t>
            </w:r>
            <w:r w:rsidR="00A120B3">
              <w:rPr>
                <w:rStyle w:val="FootnoteReference"/>
                <w:rFonts w:ascii="Arial" w:hAnsi="Arial" w:cs="Arial"/>
                <w:i/>
                <w:sz w:val="24"/>
                <w:szCs w:val="24"/>
              </w:rPr>
              <w:footnoteReference w:id="4"/>
            </w:r>
            <w:r w:rsidR="00A120B3">
              <w:rPr>
                <w:rFonts w:ascii="Arial" w:hAnsi="Arial" w:cs="Arial"/>
                <w:sz w:val="24"/>
                <w:szCs w:val="24"/>
              </w:rPr>
              <w:t xml:space="preserve"> </w:t>
            </w:r>
            <w:r w:rsidR="00A120B3" w:rsidRPr="00A120B3">
              <w:rPr>
                <w:rFonts w:ascii="Arial" w:hAnsi="Arial" w:cs="Arial"/>
                <w:sz w:val="24"/>
                <w:szCs w:val="24"/>
              </w:rPr>
              <w:t>the Labour Court held that:</w:t>
            </w:r>
          </w:p>
          <w:p w:rsidR="005D70F1" w:rsidRPr="00A120B3" w:rsidRDefault="005D70F1" w:rsidP="00A120B3">
            <w:pPr>
              <w:spacing w:line="360" w:lineRule="auto"/>
              <w:jc w:val="both"/>
              <w:rPr>
                <w:rFonts w:ascii="Arial" w:hAnsi="Arial" w:cs="Arial"/>
                <w:sz w:val="24"/>
                <w:szCs w:val="24"/>
              </w:rPr>
            </w:pPr>
          </w:p>
          <w:p w:rsidR="009401FC" w:rsidRDefault="00A120B3" w:rsidP="00A120B3">
            <w:pPr>
              <w:spacing w:line="360" w:lineRule="auto"/>
              <w:jc w:val="both"/>
              <w:rPr>
                <w:rFonts w:ascii="Arial" w:hAnsi="Arial" w:cs="Arial"/>
              </w:rPr>
            </w:pPr>
            <w:r w:rsidRPr="00A120B3">
              <w:rPr>
                <w:rFonts w:ascii="Arial" w:hAnsi="Arial" w:cs="Arial"/>
                <w:sz w:val="24"/>
                <w:szCs w:val="24"/>
              </w:rPr>
              <w:tab/>
              <w:t>‘</w:t>
            </w:r>
            <w:r w:rsidRPr="00A120B3">
              <w:rPr>
                <w:rFonts w:ascii="Arial" w:hAnsi="Arial" w:cs="Arial"/>
              </w:rPr>
              <w:t xml:space="preserve">The only way in which a change in the contract of employment between the applicant and the respondent could be effected lawfully was </w:t>
            </w:r>
            <w:r w:rsidRPr="007561EB">
              <w:rPr>
                <w:rFonts w:ascii="Arial" w:hAnsi="Arial" w:cs="Arial"/>
                <w:u w:val="single"/>
              </w:rPr>
              <w:t>by way of negotiation and mutual agreement’</w:t>
            </w:r>
            <w:r w:rsidRPr="00A120B3">
              <w:rPr>
                <w:rFonts w:ascii="Arial" w:hAnsi="Arial" w:cs="Arial"/>
              </w:rPr>
              <w:t>.</w:t>
            </w:r>
            <w:r w:rsidR="007561EB">
              <w:rPr>
                <w:rFonts w:ascii="Arial" w:hAnsi="Arial" w:cs="Arial"/>
              </w:rPr>
              <w:t xml:space="preserve"> </w:t>
            </w:r>
            <w:r w:rsidR="007561EB" w:rsidRPr="008724EA">
              <w:rPr>
                <w:rFonts w:ascii="Arial" w:hAnsi="Arial" w:cs="Arial"/>
                <w:sz w:val="24"/>
                <w:szCs w:val="24"/>
              </w:rPr>
              <w:t>(my emphasis)</w:t>
            </w:r>
          </w:p>
          <w:p w:rsidR="00A120B3" w:rsidRPr="00A120B3" w:rsidRDefault="00A120B3" w:rsidP="00A120B3">
            <w:pPr>
              <w:spacing w:line="360" w:lineRule="auto"/>
              <w:jc w:val="both"/>
              <w:rPr>
                <w:rFonts w:ascii="Arial" w:hAnsi="Arial" w:cs="Arial"/>
              </w:rPr>
            </w:pPr>
          </w:p>
          <w:p w:rsidR="00053CBC" w:rsidRDefault="00FE4A9F" w:rsidP="00913204">
            <w:pPr>
              <w:pStyle w:val="BodyText"/>
              <w:tabs>
                <w:tab w:val="clear" w:pos="729"/>
              </w:tabs>
            </w:pPr>
            <w:r>
              <w:t>[26</w:t>
            </w:r>
            <w:r w:rsidR="009401FC" w:rsidRPr="009401FC">
              <w:t>]</w:t>
            </w:r>
            <w:r w:rsidR="009401FC" w:rsidRPr="009401FC">
              <w:tab/>
            </w:r>
            <w:r w:rsidR="000B1350">
              <w:t xml:space="preserve">After careful consideration of the legal principles postulated above and applying </w:t>
            </w:r>
            <w:r w:rsidR="007E16E1">
              <w:t xml:space="preserve">same to the facts before the </w:t>
            </w:r>
            <w:r w:rsidR="000B1350">
              <w:t>court</w:t>
            </w:r>
            <w:r w:rsidR="005B59E6">
              <w:t>,</w:t>
            </w:r>
            <w:r w:rsidR="000B1350">
              <w:t xml:space="preserve"> </w:t>
            </w:r>
            <w:r w:rsidR="005B59E6">
              <w:t>i</w:t>
            </w:r>
            <w:r w:rsidR="000B1350" w:rsidRPr="000B1350">
              <w:t>t can be accepted that the parties were ad idem as to the terms of the demotion</w:t>
            </w:r>
            <w:r w:rsidR="005B59E6">
              <w:t>.</w:t>
            </w:r>
            <w:r w:rsidR="000B1350" w:rsidRPr="000B1350">
              <w:t xml:space="preserve"> </w:t>
            </w:r>
            <w:r w:rsidR="005B59E6">
              <w:t>T</w:t>
            </w:r>
            <w:r w:rsidR="000B1350" w:rsidRPr="000B1350">
              <w:t xml:space="preserve">he respondent was </w:t>
            </w:r>
            <w:r w:rsidR="000B1350">
              <w:t>well aware of her</w:t>
            </w:r>
            <w:r w:rsidR="000B1350" w:rsidRPr="000B1350">
              <w:t xml:space="preserve"> rights and</w:t>
            </w:r>
            <w:r w:rsidR="000B1350">
              <w:t xml:space="preserve"> obligations at the time of signing </w:t>
            </w:r>
            <w:r w:rsidR="009220D7">
              <w:t>the letter</w:t>
            </w:r>
            <w:r w:rsidR="003B1D21">
              <w:t xml:space="preserve"> when</w:t>
            </w:r>
            <w:r w:rsidR="009220D7">
              <w:t xml:space="preserve"> she applied for a demotion</w:t>
            </w:r>
            <w:r w:rsidR="000B1350" w:rsidRPr="000B1350">
              <w:t xml:space="preserve">. </w:t>
            </w:r>
            <w:r w:rsidR="005D70F1" w:rsidRPr="00733339">
              <w:t>Consequently,</w:t>
            </w:r>
            <w:r w:rsidR="000B1350" w:rsidRPr="00733339">
              <w:t xml:space="preserve"> she intended</w:t>
            </w:r>
            <w:r w:rsidR="000B1350" w:rsidRPr="000B1350">
              <w:t xml:space="preserve"> to be bound by the</w:t>
            </w:r>
            <w:r w:rsidR="000B1350">
              <w:t xml:space="preserve"> terms of the demotion letter. </w:t>
            </w:r>
          </w:p>
          <w:p w:rsidR="000B1350" w:rsidRPr="00D2398D" w:rsidRDefault="000B1350" w:rsidP="009401FC">
            <w:pPr>
              <w:spacing w:line="360" w:lineRule="auto"/>
              <w:jc w:val="both"/>
              <w:rPr>
                <w:rFonts w:ascii="Arial" w:hAnsi="Arial" w:cs="Arial"/>
                <w:sz w:val="24"/>
                <w:szCs w:val="24"/>
              </w:rPr>
            </w:pPr>
          </w:p>
          <w:p w:rsidR="00D96A60" w:rsidRPr="00121D8A" w:rsidRDefault="008724EA" w:rsidP="00D96A60">
            <w:pPr>
              <w:spacing w:line="360" w:lineRule="auto"/>
              <w:jc w:val="both"/>
              <w:rPr>
                <w:rFonts w:ascii="Arial" w:hAnsi="Arial" w:cs="Arial"/>
                <w:sz w:val="24"/>
                <w:szCs w:val="24"/>
              </w:rPr>
            </w:pPr>
            <w:r>
              <w:rPr>
                <w:rFonts w:ascii="Arial" w:hAnsi="Arial" w:cs="Arial"/>
                <w:sz w:val="24"/>
                <w:szCs w:val="24"/>
              </w:rPr>
              <w:lastRenderedPageBreak/>
              <w:t>[27</w:t>
            </w:r>
            <w:r w:rsidR="009401FC" w:rsidRPr="00D2398D">
              <w:rPr>
                <w:rFonts w:ascii="Arial" w:hAnsi="Arial" w:cs="Arial"/>
                <w:sz w:val="24"/>
                <w:szCs w:val="24"/>
              </w:rPr>
              <w:t>]</w:t>
            </w:r>
            <w:r w:rsidR="009401FC" w:rsidRPr="00D2398D">
              <w:rPr>
                <w:rFonts w:ascii="Arial" w:hAnsi="Arial" w:cs="Arial"/>
                <w:sz w:val="24"/>
                <w:szCs w:val="24"/>
              </w:rPr>
              <w:tab/>
            </w:r>
            <w:r w:rsidR="00D96A60" w:rsidRPr="00D96A60">
              <w:rPr>
                <w:rFonts w:ascii="Arial" w:hAnsi="Arial" w:cs="Arial"/>
                <w:sz w:val="24"/>
                <w:szCs w:val="24"/>
              </w:rPr>
              <w:t xml:space="preserve">In </w:t>
            </w:r>
            <w:r w:rsidR="00D96A60" w:rsidRPr="00010551">
              <w:rPr>
                <w:rFonts w:ascii="Arial" w:hAnsi="Arial" w:cs="Arial"/>
                <w:i/>
                <w:sz w:val="24"/>
                <w:szCs w:val="24"/>
              </w:rPr>
              <w:t>Country Fair Foods (Pty) Ltd v CCMA &amp; Others</w:t>
            </w:r>
            <w:r w:rsidR="00121D8A">
              <w:rPr>
                <w:rFonts w:ascii="Arial" w:hAnsi="Arial" w:cs="Arial"/>
                <w:i/>
                <w:sz w:val="24"/>
                <w:szCs w:val="24"/>
              </w:rPr>
              <w:t>,</w:t>
            </w:r>
            <w:r w:rsidR="00010551">
              <w:rPr>
                <w:rStyle w:val="FootnoteReference"/>
                <w:rFonts w:ascii="Arial" w:hAnsi="Arial" w:cs="Arial"/>
                <w:sz w:val="24"/>
                <w:szCs w:val="24"/>
              </w:rPr>
              <w:footnoteReference w:id="5"/>
            </w:r>
            <w:r w:rsidR="00010551">
              <w:rPr>
                <w:rFonts w:ascii="Arial" w:hAnsi="Arial" w:cs="Arial"/>
                <w:sz w:val="24"/>
                <w:szCs w:val="24"/>
              </w:rPr>
              <w:t xml:space="preserve"> </w:t>
            </w:r>
            <w:r w:rsidR="00010551" w:rsidRPr="00121D8A">
              <w:rPr>
                <w:rFonts w:ascii="Arial" w:hAnsi="Arial" w:cs="Arial"/>
                <w:sz w:val="24"/>
                <w:szCs w:val="24"/>
              </w:rPr>
              <w:t>the court stated that</w:t>
            </w:r>
            <w:r w:rsidR="00121D8A" w:rsidRPr="00121D8A">
              <w:rPr>
                <w:rFonts w:ascii="Arial" w:hAnsi="Arial" w:cs="Arial"/>
                <w:sz w:val="24"/>
                <w:szCs w:val="24"/>
              </w:rPr>
              <w:t xml:space="preserve"> ‘i</w:t>
            </w:r>
            <w:r w:rsidR="00D96A60" w:rsidRPr="00121D8A">
              <w:rPr>
                <w:rFonts w:ascii="Arial" w:hAnsi="Arial" w:cs="Arial"/>
                <w:sz w:val="24"/>
                <w:szCs w:val="24"/>
              </w:rPr>
              <w:t xml:space="preserve">t remains part of our law that it lies within the province of the employer to determine sanctions in relation to </w:t>
            </w:r>
            <w:r w:rsidR="005B59E6" w:rsidRPr="00121D8A">
              <w:rPr>
                <w:rFonts w:ascii="Arial" w:hAnsi="Arial" w:cs="Arial"/>
                <w:sz w:val="24"/>
                <w:szCs w:val="24"/>
              </w:rPr>
              <w:t>non-compliance</w:t>
            </w:r>
            <w:r w:rsidR="00D96A60" w:rsidRPr="00121D8A">
              <w:rPr>
                <w:rFonts w:ascii="Arial" w:hAnsi="Arial" w:cs="Arial"/>
                <w:sz w:val="24"/>
                <w:szCs w:val="24"/>
              </w:rPr>
              <w:t xml:space="preserve"> with standards set by the employer</w:t>
            </w:r>
            <w:r w:rsidR="00121D8A">
              <w:rPr>
                <w:rFonts w:ascii="Arial" w:hAnsi="Arial" w:cs="Arial"/>
                <w:sz w:val="24"/>
                <w:szCs w:val="24"/>
              </w:rPr>
              <w:t>.</w:t>
            </w:r>
            <w:r w:rsidR="00D96A60" w:rsidRPr="00121D8A">
              <w:rPr>
                <w:rFonts w:ascii="Arial" w:hAnsi="Arial" w:cs="Arial"/>
                <w:sz w:val="24"/>
                <w:szCs w:val="24"/>
              </w:rPr>
              <w:t xml:space="preserve"> The court further stated that</w:t>
            </w:r>
            <w:r w:rsidR="00493AE8" w:rsidRPr="00121D8A">
              <w:rPr>
                <w:rFonts w:ascii="Arial" w:hAnsi="Arial" w:cs="Arial"/>
                <w:sz w:val="24"/>
                <w:szCs w:val="24"/>
              </w:rPr>
              <w:t xml:space="preserve"> ‘</w:t>
            </w:r>
            <w:r w:rsidR="00D96A60" w:rsidRPr="00121D8A">
              <w:rPr>
                <w:rFonts w:ascii="Arial" w:hAnsi="Arial" w:cs="Arial"/>
                <w:sz w:val="24"/>
                <w:szCs w:val="24"/>
              </w:rPr>
              <w:t>interference with such sanctions is only justified in cases of unreasonableness and unfairness.’ The court went on to state that “interference would only be justified if the sanction is so excessive or lenient that in all good conscience it cannot be allowed to stand.’</w:t>
            </w:r>
            <w:r w:rsidR="00E14F9F">
              <w:rPr>
                <w:rStyle w:val="FootnoteReference"/>
                <w:rFonts w:ascii="Arial" w:hAnsi="Arial" w:cs="Arial"/>
                <w:sz w:val="24"/>
                <w:szCs w:val="24"/>
              </w:rPr>
              <w:t xml:space="preserve"> </w:t>
            </w:r>
            <w:r w:rsidR="00E14F9F">
              <w:rPr>
                <w:rStyle w:val="FootnoteReference"/>
                <w:rFonts w:ascii="Arial" w:hAnsi="Arial" w:cs="Arial"/>
                <w:sz w:val="24"/>
                <w:szCs w:val="24"/>
              </w:rPr>
              <w:footnoteReference w:id="6"/>
            </w:r>
          </w:p>
          <w:p w:rsidR="008724EA" w:rsidRDefault="008724EA" w:rsidP="00D96A60">
            <w:pPr>
              <w:spacing w:line="360" w:lineRule="auto"/>
              <w:jc w:val="both"/>
              <w:rPr>
                <w:rFonts w:ascii="Arial" w:hAnsi="Arial" w:cs="Arial"/>
                <w:sz w:val="24"/>
                <w:szCs w:val="24"/>
              </w:rPr>
            </w:pPr>
          </w:p>
          <w:p w:rsidR="000D0236" w:rsidRDefault="008724EA" w:rsidP="00D96A60">
            <w:pPr>
              <w:spacing w:line="360" w:lineRule="auto"/>
              <w:jc w:val="both"/>
              <w:rPr>
                <w:rFonts w:ascii="Arial" w:hAnsi="Arial" w:cs="Arial"/>
                <w:sz w:val="24"/>
                <w:szCs w:val="24"/>
              </w:rPr>
            </w:pPr>
            <w:r w:rsidRPr="008724EA">
              <w:rPr>
                <w:rFonts w:ascii="Arial" w:hAnsi="Arial" w:cs="Arial"/>
                <w:sz w:val="24"/>
                <w:szCs w:val="24"/>
              </w:rPr>
              <w:t>[28]</w:t>
            </w:r>
            <w:r w:rsidRPr="008724EA">
              <w:rPr>
                <w:rFonts w:ascii="Arial" w:hAnsi="Arial" w:cs="Arial"/>
                <w:sz w:val="24"/>
                <w:szCs w:val="24"/>
              </w:rPr>
              <w:tab/>
              <w:t>The contention that the respondent’s demotion amounted to a unilateral change of terms of employment is misplaced</w:t>
            </w:r>
            <w:r w:rsidR="005B59E6">
              <w:rPr>
                <w:rFonts w:ascii="Arial" w:hAnsi="Arial" w:cs="Arial"/>
                <w:sz w:val="24"/>
                <w:szCs w:val="24"/>
              </w:rPr>
              <w:t>.</w:t>
            </w:r>
            <w:r w:rsidRPr="008724EA">
              <w:rPr>
                <w:rFonts w:ascii="Arial" w:hAnsi="Arial" w:cs="Arial"/>
                <w:sz w:val="24"/>
                <w:szCs w:val="24"/>
              </w:rPr>
              <w:t xml:space="preserve"> I say so because the respondent </w:t>
            </w:r>
            <w:r w:rsidR="000D0236">
              <w:rPr>
                <w:rFonts w:ascii="Arial" w:hAnsi="Arial" w:cs="Arial"/>
                <w:sz w:val="24"/>
                <w:szCs w:val="24"/>
              </w:rPr>
              <w:t xml:space="preserve">requested and </w:t>
            </w:r>
            <w:r w:rsidRPr="008724EA">
              <w:rPr>
                <w:rFonts w:ascii="Arial" w:hAnsi="Arial" w:cs="Arial"/>
                <w:sz w:val="24"/>
                <w:szCs w:val="24"/>
              </w:rPr>
              <w:t xml:space="preserve">signed the demotion letter on 9 January 2020. </w:t>
            </w:r>
            <w:r w:rsidR="000D0236">
              <w:rPr>
                <w:rFonts w:ascii="Arial" w:hAnsi="Arial" w:cs="Arial"/>
                <w:sz w:val="24"/>
                <w:szCs w:val="24"/>
              </w:rPr>
              <w:t xml:space="preserve">For purposes of completeness, the contents of the letter </w:t>
            </w:r>
            <w:r w:rsidR="003B1D21">
              <w:rPr>
                <w:rFonts w:ascii="Arial" w:hAnsi="Arial" w:cs="Arial"/>
                <w:sz w:val="24"/>
                <w:szCs w:val="24"/>
              </w:rPr>
              <w:t>read</w:t>
            </w:r>
            <w:r w:rsidR="000D0236">
              <w:rPr>
                <w:rFonts w:ascii="Arial" w:hAnsi="Arial" w:cs="Arial"/>
                <w:sz w:val="24"/>
                <w:szCs w:val="24"/>
              </w:rPr>
              <w:t>, I quote verbatim:</w:t>
            </w:r>
          </w:p>
          <w:p w:rsidR="000D0236" w:rsidRPr="00352603" w:rsidRDefault="000D0236" w:rsidP="00D96A60">
            <w:pPr>
              <w:spacing w:line="360" w:lineRule="auto"/>
              <w:jc w:val="both"/>
              <w:rPr>
                <w:rFonts w:ascii="Arial" w:hAnsi="Arial" w:cs="Arial"/>
              </w:rPr>
            </w:pPr>
          </w:p>
          <w:p w:rsidR="000D0236" w:rsidRPr="00352603" w:rsidRDefault="000D0236" w:rsidP="00D96A60">
            <w:pPr>
              <w:spacing w:line="360" w:lineRule="auto"/>
              <w:jc w:val="both"/>
              <w:rPr>
                <w:rFonts w:ascii="Arial" w:hAnsi="Arial" w:cs="Arial"/>
              </w:rPr>
            </w:pPr>
            <w:r w:rsidRPr="00352603">
              <w:rPr>
                <w:rFonts w:ascii="Arial" w:hAnsi="Arial" w:cs="Arial"/>
              </w:rPr>
              <w:tab/>
              <w:t>‘9 January 2020</w:t>
            </w:r>
          </w:p>
          <w:p w:rsidR="000D0236" w:rsidRPr="00352603" w:rsidRDefault="000D0236" w:rsidP="00D96A60">
            <w:pPr>
              <w:spacing w:line="360" w:lineRule="auto"/>
              <w:jc w:val="both"/>
              <w:rPr>
                <w:rFonts w:ascii="Arial" w:hAnsi="Arial" w:cs="Arial"/>
              </w:rPr>
            </w:pPr>
          </w:p>
          <w:p w:rsidR="000D0236" w:rsidRPr="00352603" w:rsidRDefault="000D0236" w:rsidP="00D96A60">
            <w:pPr>
              <w:spacing w:line="360" w:lineRule="auto"/>
              <w:jc w:val="both"/>
              <w:rPr>
                <w:rFonts w:ascii="Arial" w:hAnsi="Arial" w:cs="Arial"/>
              </w:rPr>
            </w:pPr>
            <w:r w:rsidRPr="00352603">
              <w:rPr>
                <w:rFonts w:ascii="Arial" w:hAnsi="Arial" w:cs="Arial"/>
              </w:rPr>
              <w:t>Dear Sir/madam</w:t>
            </w:r>
          </w:p>
          <w:p w:rsidR="000D0236" w:rsidRPr="00352603" w:rsidRDefault="000D0236" w:rsidP="00D96A60">
            <w:pPr>
              <w:spacing w:line="360" w:lineRule="auto"/>
              <w:jc w:val="both"/>
              <w:rPr>
                <w:rFonts w:ascii="Arial" w:hAnsi="Arial" w:cs="Arial"/>
              </w:rPr>
            </w:pPr>
          </w:p>
          <w:p w:rsidR="000D0236" w:rsidRPr="00352603" w:rsidRDefault="000D0236" w:rsidP="00D96A60">
            <w:pPr>
              <w:spacing w:line="360" w:lineRule="auto"/>
              <w:jc w:val="both"/>
              <w:rPr>
                <w:rFonts w:ascii="Arial" w:hAnsi="Arial" w:cs="Arial"/>
              </w:rPr>
            </w:pPr>
            <w:r w:rsidRPr="00352603">
              <w:rPr>
                <w:rFonts w:ascii="Arial" w:hAnsi="Arial" w:cs="Arial"/>
              </w:rPr>
              <w:t xml:space="preserve">I am Justina Nangula Martin 1401211, Shoprite Otjiwarongo. The aims of this letter I am requesting the Company to Demotion position as non-food controller and demotion salary too. To become a normal staff as shelf packer. </w:t>
            </w:r>
          </w:p>
          <w:p w:rsidR="000D0236" w:rsidRPr="00352603" w:rsidRDefault="000D0236" w:rsidP="00D96A60">
            <w:pPr>
              <w:spacing w:line="360" w:lineRule="auto"/>
              <w:jc w:val="both"/>
              <w:rPr>
                <w:rFonts w:ascii="Arial" w:hAnsi="Arial" w:cs="Arial"/>
              </w:rPr>
            </w:pPr>
          </w:p>
          <w:p w:rsidR="000D0236" w:rsidRPr="00352603" w:rsidRDefault="000D0236" w:rsidP="00D96A60">
            <w:pPr>
              <w:spacing w:line="360" w:lineRule="auto"/>
              <w:jc w:val="both"/>
              <w:rPr>
                <w:rFonts w:ascii="Arial" w:hAnsi="Arial" w:cs="Arial"/>
              </w:rPr>
            </w:pPr>
            <w:r w:rsidRPr="00352603">
              <w:rPr>
                <w:rFonts w:ascii="Arial" w:hAnsi="Arial" w:cs="Arial"/>
              </w:rPr>
              <w:t>Thank you</w:t>
            </w:r>
          </w:p>
          <w:p w:rsidR="000D0236" w:rsidRPr="00352603" w:rsidRDefault="000D0236" w:rsidP="00D96A60">
            <w:pPr>
              <w:spacing w:line="360" w:lineRule="auto"/>
              <w:jc w:val="both"/>
              <w:rPr>
                <w:rFonts w:ascii="Arial" w:hAnsi="Arial" w:cs="Arial"/>
              </w:rPr>
            </w:pPr>
            <w:r w:rsidRPr="00352603">
              <w:rPr>
                <w:rFonts w:ascii="Arial" w:hAnsi="Arial" w:cs="Arial"/>
              </w:rPr>
              <w:t>Justina Nangula Martin</w:t>
            </w:r>
          </w:p>
          <w:p w:rsidR="000D0236" w:rsidRPr="004310BB" w:rsidRDefault="000D0236" w:rsidP="00D96A60">
            <w:pPr>
              <w:spacing w:line="360" w:lineRule="auto"/>
              <w:jc w:val="both"/>
              <w:rPr>
                <w:rFonts w:ascii="Arial" w:hAnsi="Arial" w:cs="Arial"/>
                <w:sz w:val="24"/>
                <w:szCs w:val="24"/>
              </w:rPr>
            </w:pPr>
            <w:r w:rsidRPr="00352603">
              <w:rPr>
                <w:rFonts w:ascii="Arial" w:hAnsi="Arial" w:cs="Arial"/>
              </w:rPr>
              <w:t xml:space="preserve">Signed’ </w:t>
            </w:r>
            <w:r w:rsidR="00A30890" w:rsidRPr="004310BB">
              <w:rPr>
                <w:rFonts w:ascii="Arial" w:hAnsi="Arial" w:cs="Arial"/>
                <w:sz w:val="24"/>
                <w:szCs w:val="24"/>
              </w:rPr>
              <w:t>(</w:t>
            </w:r>
            <w:r w:rsidRPr="004310BB">
              <w:rPr>
                <w:rFonts w:ascii="Arial" w:hAnsi="Arial" w:cs="Arial"/>
                <w:sz w:val="24"/>
                <w:szCs w:val="24"/>
              </w:rPr>
              <w:t>sic</w:t>
            </w:r>
            <w:r w:rsidR="00A30890" w:rsidRPr="004310BB">
              <w:rPr>
                <w:rFonts w:ascii="Arial" w:hAnsi="Arial" w:cs="Arial"/>
                <w:sz w:val="24"/>
                <w:szCs w:val="24"/>
              </w:rPr>
              <w:t>)</w:t>
            </w:r>
          </w:p>
          <w:p w:rsidR="000D0236" w:rsidRDefault="000D0236" w:rsidP="00D96A60">
            <w:pPr>
              <w:spacing w:line="360" w:lineRule="auto"/>
              <w:jc w:val="both"/>
              <w:rPr>
                <w:rFonts w:ascii="Arial" w:hAnsi="Arial" w:cs="Arial"/>
                <w:sz w:val="24"/>
                <w:szCs w:val="24"/>
              </w:rPr>
            </w:pPr>
          </w:p>
          <w:p w:rsidR="00D96A60" w:rsidRDefault="000D0236" w:rsidP="00D96A60">
            <w:pPr>
              <w:spacing w:line="360" w:lineRule="auto"/>
              <w:jc w:val="both"/>
              <w:rPr>
                <w:rFonts w:ascii="Arial" w:hAnsi="Arial" w:cs="Arial"/>
                <w:sz w:val="24"/>
                <w:szCs w:val="24"/>
              </w:rPr>
            </w:pPr>
            <w:r w:rsidRPr="000D0236">
              <w:rPr>
                <w:rFonts w:ascii="Arial" w:hAnsi="Arial" w:cs="Arial"/>
                <w:sz w:val="24"/>
                <w:szCs w:val="24"/>
              </w:rPr>
              <w:t>[29]</w:t>
            </w:r>
            <w:r w:rsidRPr="000D0236">
              <w:rPr>
                <w:rFonts w:ascii="Arial" w:hAnsi="Arial" w:cs="Arial"/>
                <w:sz w:val="24"/>
                <w:szCs w:val="24"/>
              </w:rPr>
              <w:tab/>
            </w:r>
            <w:r w:rsidR="00842E36">
              <w:rPr>
                <w:rFonts w:ascii="Arial" w:hAnsi="Arial" w:cs="Arial"/>
                <w:sz w:val="24"/>
                <w:szCs w:val="24"/>
              </w:rPr>
              <w:t>As I indicated earlier in this judgment</w:t>
            </w:r>
            <w:r w:rsidR="007E16E1">
              <w:rPr>
                <w:rFonts w:ascii="Arial" w:hAnsi="Arial" w:cs="Arial"/>
                <w:sz w:val="24"/>
                <w:szCs w:val="24"/>
              </w:rPr>
              <w:t xml:space="preserve">, the appellant accepted the respondent’s request for a demotion. </w:t>
            </w:r>
            <w:r w:rsidR="00A30890">
              <w:rPr>
                <w:rFonts w:ascii="Arial" w:hAnsi="Arial" w:cs="Arial"/>
                <w:sz w:val="24"/>
                <w:szCs w:val="24"/>
              </w:rPr>
              <w:t>S</w:t>
            </w:r>
            <w:r w:rsidR="007E16E1">
              <w:rPr>
                <w:rFonts w:ascii="Arial" w:hAnsi="Arial" w:cs="Arial"/>
                <w:sz w:val="24"/>
                <w:szCs w:val="24"/>
              </w:rPr>
              <w:t>ubsequently, after the demotion was effected,</w:t>
            </w:r>
            <w:r w:rsidR="008724EA" w:rsidRPr="008724EA">
              <w:rPr>
                <w:rFonts w:ascii="Arial" w:hAnsi="Arial" w:cs="Arial"/>
                <w:sz w:val="24"/>
                <w:szCs w:val="24"/>
              </w:rPr>
              <w:t xml:space="preserve"> </w:t>
            </w:r>
            <w:r>
              <w:rPr>
                <w:rFonts w:ascii="Arial" w:hAnsi="Arial" w:cs="Arial"/>
                <w:sz w:val="24"/>
                <w:szCs w:val="24"/>
              </w:rPr>
              <w:t xml:space="preserve">Ms Martin </w:t>
            </w:r>
            <w:r w:rsidR="008724EA" w:rsidRPr="008724EA">
              <w:rPr>
                <w:rFonts w:ascii="Arial" w:hAnsi="Arial" w:cs="Arial"/>
                <w:sz w:val="24"/>
                <w:szCs w:val="24"/>
              </w:rPr>
              <w:t>referred a dispute of unfair labour practice and unilatera</w:t>
            </w:r>
            <w:r>
              <w:rPr>
                <w:rFonts w:ascii="Arial" w:hAnsi="Arial" w:cs="Arial"/>
                <w:sz w:val="24"/>
                <w:szCs w:val="24"/>
              </w:rPr>
              <w:t>l change of terms of employment</w:t>
            </w:r>
            <w:r w:rsidR="008724EA" w:rsidRPr="008724EA">
              <w:rPr>
                <w:rFonts w:ascii="Arial" w:hAnsi="Arial" w:cs="Arial"/>
                <w:sz w:val="24"/>
                <w:szCs w:val="24"/>
              </w:rPr>
              <w:t xml:space="preserve"> to the office of the Labour Commissioner.</w:t>
            </w:r>
          </w:p>
          <w:p w:rsidR="008724EA" w:rsidRPr="00D96A60" w:rsidRDefault="008724EA" w:rsidP="00D96A60">
            <w:pPr>
              <w:spacing w:line="360" w:lineRule="auto"/>
              <w:jc w:val="both"/>
              <w:rPr>
                <w:rFonts w:ascii="Arial" w:hAnsi="Arial" w:cs="Arial"/>
                <w:sz w:val="24"/>
                <w:szCs w:val="24"/>
              </w:rPr>
            </w:pPr>
          </w:p>
          <w:p w:rsidR="00D96A60" w:rsidRDefault="000D0236" w:rsidP="00D96A60">
            <w:pPr>
              <w:spacing w:line="360" w:lineRule="auto"/>
              <w:jc w:val="both"/>
              <w:rPr>
                <w:rFonts w:ascii="Arial" w:hAnsi="Arial" w:cs="Arial"/>
                <w:sz w:val="24"/>
                <w:szCs w:val="24"/>
              </w:rPr>
            </w:pPr>
            <w:r>
              <w:rPr>
                <w:rFonts w:ascii="Arial" w:hAnsi="Arial" w:cs="Arial"/>
                <w:sz w:val="24"/>
                <w:szCs w:val="24"/>
              </w:rPr>
              <w:t>[30</w:t>
            </w:r>
            <w:r w:rsidR="00D96A60">
              <w:rPr>
                <w:rFonts w:ascii="Arial" w:hAnsi="Arial" w:cs="Arial"/>
                <w:sz w:val="24"/>
                <w:szCs w:val="24"/>
              </w:rPr>
              <w:t>]</w:t>
            </w:r>
            <w:r w:rsidR="00D96A60">
              <w:rPr>
                <w:rFonts w:ascii="Arial" w:hAnsi="Arial" w:cs="Arial"/>
                <w:sz w:val="24"/>
                <w:szCs w:val="24"/>
              </w:rPr>
              <w:tab/>
              <w:t xml:space="preserve">I am of the view </w:t>
            </w:r>
            <w:r w:rsidR="00D96A60" w:rsidRPr="00D96A60">
              <w:rPr>
                <w:rFonts w:ascii="Arial" w:hAnsi="Arial" w:cs="Arial"/>
                <w:sz w:val="24"/>
                <w:szCs w:val="24"/>
              </w:rPr>
              <w:t xml:space="preserve">that </w:t>
            </w:r>
            <w:r w:rsidR="009220D7">
              <w:rPr>
                <w:rFonts w:ascii="Arial" w:hAnsi="Arial" w:cs="Arial"/>
                <w:sz w:val="24"/>
                <w:szCs w:val="24"/>
              </w:rPr>
              <w:t>‘</w:t>
            </w:r>
            <w:r w:rsidR="00D96A60" w:rsidRPr="00D96A60">
              <w:rPr>
                <w:rFonts w:ascii="Arial" w:hAnsi="Arial" w:cs="Arial"/>
                <w:sz w:val="24"/>
                <w:szCs w:val="24"/>
              </w:rPr>
              <w:t>the sanction</w:t>
            </w:r>
            <w:r w:rsidR="009220D7">
              <w:rPr>
                <w:rFonts w:ascii="Arial" w:hAnsi="Arial" w:cs="Arial"/>
                <w:sz w:val="24"/>
                <w:szCs w:val="24"/>
              </w:rPr>
              <w:t>’, if one can call it that,</w:t>
            </w:r>
            <w:r w:rsidR="00D96A60" w:rsidRPr="00D96A60">
              <w:rPr>
                <w:rFonts w:ascii="Arial" w:hAnsi="Arial" w:cs="Arial"/>
                <w:sz w:val="24"/>
                <w:szCs w:val="24"/>
              </w:rPr>
              <w:t xml:space="preserve"> is fair and reasonable under the circumstances and</w:t>
            </w:r>
            <w:r w:rsidR="007E16E1">
              <w:rPr>
                <w:rFonts w:ascii="Arial" w:hAnsi="Arial" w:cs="Arial"/>
                <w:sz w:val="24"/>
                <w:szCs w:val="24"/>
              </w:rPr>
              <w:t>, therefore,</w:t>
            </w:r>
            <w:r w:rsidR="00D96A60" w:rsidRPr="00D96A60">
              <w:rPr>
                <w:rFonts w:ascii="Arial" w:hAnsi="Arial" w:cs="Arial"/>
                <w:sz w:val="24"/>
                <w:szCs w:val="24"/>
              </w:rPr>
              <w:t xml:space="preserve"> does not </w:t>
            </w:r>
            <w:r w:rsidR="00010551">
              <w:rPr>
                <w:rFonts w:ascii="Arial" w:hAnsi="Arial" w:cs="Arial"/>
                <w:sz w:val="24"/>
                <w:szCs w:val="24"/>
              </w:rPr>
              <w:t>fall within the ambit of s</w:t>
            </w:r>
            <w:r w:rsidR="00D96A60" w:rsidRPr="00D96A60">
              <w:rPr>
                <w:rFonts w:ascii="Arial" w:hAnsi="Arial" w:cs="Arial"/>
                <w:sz w:val="24"/>
                <w:szCs w:val="24"/>
              </w:rPr>
              <w:t xml:space="preserve"> 50(1)(</w:t>
            </w:r>
            <w:r w:rsidR="00D96A60" w:rsidRPr="00D96A60">
              <w:rPr>
                <w:rFonts w:ascii="Arial" w:hAnsi="Arial" w:cs="Arial"/>
                <w:i/>
                <w:sz w:val="24"/>
                <w:szCs w:val="24"/>
              </w:rPr>
              <w:t>e</w:t>
            </w:r>
            <w:r w:rsidR="00D96A60">
              <w:rPr>
                <w:rFonts w:ascii="Arial" w:hAnsi="Arial" w:cs="Arial"/>
                <w:sz w:val="24"/>
                <w:szCs w:val="24"/>
              </w:rPr>
              <w:t>) of the Act</w:t>
            </w:r>
            <w:r w:rsidR="00D96A60" w:rsidRPr="00D96A60">
              <w:rPr>
                <w:rFonts w:ascii="Arial" w:hAnsi="Arial" w:cs="Arial"/>
                <w:sz w:val="24"/>
                <w:szCs w:val="24"/>
              </w:rPr>
              <w:t xml:space="preserve"> in that the respondent agreed </w:t>
            </w:r>
            <w:r w:rsidR="00CD320F">
              <w:rPr>
                <w:rFonts w:ascii="Arial" w:hAnsi="Arial" w:cs="Arial"/>
                <w:sz w:val="24"/>
                <w:szCs w:val="24"/>
              </w:rPr>
              <w:t>to the changes being made to her</w:t>
            </w:r>
            <w:r w:rsidR="00D96A60" w:rsidRPr="00D96A60">
              <w:rPr>
                <w:rFonts w:ascii="Arial" w:hAnsi="Arial" w:cs="Arial"/>
                <w:sz w:val="24"/>
                <w:szCs w:val="24"/>
              </w:rPr>
              <w:t xml:space="preserve"> employment conditions. The appellant did not unilaterally</w:t>
            </w:r>
            <w:r w:rsidR="00CD320F">
              <w:rPr>
                <w:rFonts w:ascii="Arial" w:hAnsi="Arial" w:cs="Arial"/>
                <w:sz w:val="24"/>
                <w:szCs w:val="24"/>
              </w:rPr>
              <w:t xml:space="preserve"> change those conditions as alleged by the </w:t>
            </w:r>
            <w:r w:rsidR="00D96A60" w:rsidRPr="00D96A60">
              <w:rPr>
                <w:rFonts w:ascii="Arial" w:hAnsi="Arial" w:cs="Arial"/>
                <w:sz w:val="24"/>
                <w:szCs w:val="24"/>
              </w:rPr>
              <w:t xml:space="preserve">respondent </w:t>
            </w:r>
            <w:r w:rsidR="00CD320F">
              <w:rPr>
                <w:rFonts w:ascii="Arial" w:hAnsi="Arial" w:cs="Arial"/>
                <w:sz w:val="24"/>
                <w:szCs w:val="24"/>
              </w:rPr>
              <w:t>because she</w:t>
            </w:r>
            <w:r w:rsidR="007E16E1">
              <w:rPr>
                <w:rFonts w:ascii="Arial" w:hAnsi="Arial" w:cs="Arial"/>
                <w:sz w:val="24"/>
                <w:szCs w:val="24"/>
              </w:rPr>
              <w:t>, out of her own accord and at her own instance,</w:t>
            </w:r>
            <w:r w:rsidR="00842E36">
              <w:rPr>
                <w:rFonts w:ascii="Arial" w:hAnsi="Arial" w:cs="Arial"/>
                <w:sz w:val="24"/>
                <w:szCs w:val="24"/>
              </w:rPr>
              <w:t xml:space="preserve"> </w:t>
            </w:r>
            <w:r w:rsidR="00E14F9F">
              <w:rPr>
                <w:rFonts w:ascii="Arial" w:hAnsi="Arial" w:cs="Arial"/>
                <w:sz w:val="24"/>
                <w:szCs w:val="24"/>
              </w:rPr>
              <w:t xml:space="preserve">drafted and </w:t>
            </w:r>
            <w:r w:rsidR="00D96A60" w:rsidRPr="00D96A60">
              <w:rPr>
                <w:rFonts w:ascii="Arial" w:hAnsi="Arial" w:cs="Arial"/>
                <w:sz w:val="24"/>
                <w:szCs w:val="24"/>
              </w:rPr>
              <w:t>signe</w:t>
            </w:r>
            <w:r w:rsidR="00842E36">
              <w:rPr>
                <w:rFonts w:ascii="Arial" w:hAnsi="Arial" w:cs="Arial"/>
                <w:sz w:val="24"/>
                <w:szCs w:val="24"/>
              </w:rPr>
              <w:t xml:space="preserve">d the demotion </w:t>
            </w:r>
            <w:r w:rsidR="00D96A60">
              <w:rPr>
                <w:rFonts w:ascii="Arial" w:hAnsi="Arial" w:cs="Arial"/>
                <w:sz w:val="24"/>
                <w:szCs w:val="24"/>
              </w:rPr>
              <w:t>letter.</w:t>
            </w:r>
          </w:p>
          <w:p w:rsidR="008724EA" w:rsidRPr="00D96A60" w:rsidRDefault="008724EA" w:rsidP="00D96A60">
            <w:pPr>
              <w:spacing w:line="360" w:lineRule="auto"/>
              <w:jc w:val="both"/>
              <w:rPr>
                <w:rFonts w:ascii="Arial" w:hAnsi="Arial" w:cs="Arial"/>
                <w:sz w:val="24"/>
                <w:szCs w:val="24"/>
              </w:rPr>
            </w:pPr>
          </w:p>
          <w:p w:rsidR="00B91011" w:rsidRDefault="00B91011" w:rsidP="00D96A60">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D96A60" w:rsidRPr="00D96A60">
              <w:rPr>
                <w:rFonts w:ascii="Arial" w:hAnsi="Arial" w:cs="Arial"/>
                <w:sz w:val="24"/>
                <w:szCs w:val="24"/>
              </w:rPr>
              <w:t>In light of the above</w:t>
            </w:r>
            <w:r w:rsidR="007E16E1">
              <w:rPr>
                <w:rFonts w:ascii="Arial" w:hAnsi="Arial" w:cs="Arial"/>
                <w:sz w:val="24"/>
                <w:szCs w:val="24"/>
              </w:rPr>
              <w:t xml:space="preserve">, the court finds that no reasonable arbitrator could have found that the actions of the appellant amounted to a </w:t>
            </w:r>
            <w:r w:rsidR="00D96A60" w:rsidRPr="00D96A60">
              <w:rPr>
                <w:rFonts w:ascii="Arial" w:hAnsi="Arial" w:cs="Arial"/>
                <w:sz w:val="24"/>
                <w:szCs w:val="24"/>
              </w:rPr>
              <w:t>unilateral change of conditions of em</w:t>
            </w:r>
            <w:r w:rsidR="00CD320F">
              <w:rPr>
                <w:rFonts w:ascii="Arial" w:hAnsi="Arial" w:cs="Arial"/>
                <w:sz w:val="24"/>
                <w:szCs w:val="24"/>
              </w:rPr>
              <w:t>ployment in violation of s</w:t>
            </w:r>
            <w:r w:rsidR="00D96A60" w:rsidRPr="00D96A60">
              <w:rPr>
                <w:rFonts w:ascii="Arial" w:hAnsi="Arial" w:cs="Arial"/>
                <w:sz w:val="24"/>
                <w:szCs w:val="24"/>
              </w:rPr>
              <w:t xml:space="preserve"> 50(1)(</w:t>
            </w:r>
            <w:r w:rsidR="00D96A60" w:rsidRPr="00D96A60">
              <w:rPr>
                <w:rFonts w:ascii="Arial" w:hAnsi="Arial" w:cs="Arial"/>
                <w:i/>
                <w:sz w:val="24"/>
                <w:szCs w:val="24"/>
              </w:rPr>
              <w:t>e</w:t>
            </w:r>
            <w:r w:rsidR="00D96A60" w:rsidRPr="00D96A60">
              <w:rPr>
                <w:rFonts w:ascii="Arial" w:hAnsi="Arial" w:cs="Arial"/>
                <w:sz w:val="24"/>
                <w:szCs w:val="24"/>
              </w:rPr>
              <w:t>)</w:t>
            </w:r>
            <w:r w:rsidR="003B1D21">
              <w:rPr>
                <w:rFonts w:ascii="Arial" w:hAnsi="Arial" w:cs="Arial"/>
                <w:sz w:val="24"/>
                <w:szCs w:val="24"/>
              </w:rPr>
              <w:t xml:space="preserve"> of the</w:t>
            </w:r>
            <w:r w:rsidR="004310BB">
              <w:rPr>
                <w:rFonts w:ascii="Arial" w:hAnsi="Arial" w:cs="Arial"/>
                <w:sz w:val="24"/>
                <w:szCs w:val="24"/>
              </w:rPr>
              <w:t xml:space="preserve"> </w:t>
            </w:r>
            <w:r w:rsidR="00D96A60">
              <w:rPr>
                <w:rFonts w:ascii="Arial" w:hAnsi="Arial" w:cs="Arial"/>
                <w:sz w:val="24"/>
                <w:szCs w:val="24"/>
              </w:rPr>
              <w:t>Act.</w:t>
            </w:r>
          </w:p>
          <w:p w:rsidR="00B91011" w:rsidRDefault="00B91011" w:rsidP="00D96A60">
            <w:pPr>
              <w:spacing w:line="360" w:lineRule="auto"/>
              <w:jc w:val="both"/>
              <w:rPr>
                <w:rFonts w:ascii="Arial" w:hAnsi="Arial" w:cs="Arial"/>
                <w:sz w:val="24"/>
                <w:szCs w:val="24"/>
              </w:rPr>
            </w:pPr>
          </w:p>
          <w:p w:rsidR="00B91011" w:rsidRPr="00D96A60" w:rsidRDefault="00B91011" w:rsidP="00D96A60">
            <w:pPr>
              <w:spacing w:line="360" w:lineRule="auto"/>
              <w:jc w:val="both"/>
              <w:rPr>
                <w:rFonts w:ascii="Arial" w:hAnsi="Arial" w:cs="Arial"/>
                <w:sz w:val="24"/>
                <w:szCs w:val="24"/>
              </w:rPr>
            </w:pPr>
            <w:r>
              <w:rPr>
                <w:rFonts w:ascii="Arial" w:hAnsi="Arial" w:cs="Arial"/>
                <w:sz w:val="24"/>
                <w:szCs w:val="24"/>
              </w:rPr>
              <w:t>[32</w:t>
            </w:r>
            <w:r w:rsidRPr="00B91011">
              <w:rPr>
                <w:rFonts w:ascii="Arial" w:hAnsi="Arial" w:cs="Arial"/>
                <w:sz w:val="24"/>
                <w:szCs w:val="24"/>
              </w:rPr>
              <w:t>]</w:t>
            </w:r>
            <w:r w:rsidRPr="00B91011">
              <w:rPr>
                <w:rFonts w:ascii="Arial" w:hAnsi="Arial" w:cs="Arial"/>
                <w:sz w:val="24"/>
                <w:szCs w:val="24"/>
              </w:rPr>
              <w:tab/>
            </w:r>
            <w:r>
              <w:rPr>
                <w:rFonts w:ascii="Arial" w:hAnsi="Arial" w:cs="Arial"/>
                <w:sz w:val="24"/>
                <w:szCs w:val="24"/>
              </w:rPr>
              <w:t xml:space="preserve">With </w:t>
            </w:r>
            <w:r w:rsidRPr="00B91011">
              <w:rPr>
                <w:rFonts w:ascii="Arial" w:hAnsi="Arial" w:cs="Arial"/>
                <w:sz w:val="24"/>
                <w:szCs w:val="24"/>
              </w:rPr>
              <w:t>respect to the compensatory relief awarded to the r</w:t>
            </w:r>
            <w:r w:rsidR="001C6754">
              <w:rPr>
                <w:rFonts w:ascii="Arial" w:hAnsi="Arial" w:cs="Arial"/>
                <w:sz w:val="24"/>
                <w:szCs w:val="24"/>
              </w:rPr>
              <w:t>espondent by the arbitrator</w:t>
            </w:r>
            <w:r w:rsidR="009220D7">
              <w:rPr>
                <w:rFonts w:ascii="Arial" w:hAnsi="Arial" w:cs="Arial"/>
                <w:sz w:val="24"/>
                <w:szCs w:val="24"/>
              </w:rPr>
              <w:t>, which,</w:t>
            </w:r>
            <w:r w:rsidRPr="00B91011">
              <w:rPr>
                <w:rFonts w:ascii="Arial" w:hAnsi="Arial" w:cs="Arial"/>
                <w:sz w:val="24"/>
                <w:szCs w:val="24"/>
              </w:rPr>
              <w:t xml:space="preserve"> </w:t>
            </w:r>
            <w:r>
              <w:rPr>
                <w:rFonts w:ascii="Arial" w:hAnsi="Arial" w:cs="Arial"/>
                <w:sz w:val="24"/>
                <w:szCs w:val="24"/>
              </w:rPr>
              <w:t xml:space="preserve">on the appellant’s version, </w:t>
            </w:r>
            <w:r w:rsidRPr="00B91011">
              <w:rPr>
                <w:rFonts w:ascii="Arial" w:hAnsi="Arial" w:cs="Arial"/>
                <w:sz w:val="24"/>
                <w:szCs w:val="24"/>
              </w:rPr>
              <w:t>the arbitrator erred in computing and granting an amount due to the respondent. According to the appellant, the respondent participated in a protected strike during the period 23 December 2020 to 25 January 2021.</w:t>
            </w:r>
            <w:r>
              <w:rPr>
                <w:rFonts w:ascii="Arial" w:hAnsi="Arial" w:cs="Arial"/>
                <w:sz w:val="24"/>
                <w:szCs w:val="24"/>
              </w:rPr>
              <w:t xml:space="preserve"> </w:t>
            </w:r>
            <w:r w:rsidR="00064139">
              <w:rPr>
                <w:rFonts w:ascii="Arial" w:hAnsi="Arial" w:cs="Arial"/>
                <w:sz w:val="24"/>
                <w:szCs w:val="24"/>
              </w:rPr>
              <w:t xml:space="preserve">From the perusal of the arbitration record, </w:t>
            </w:r>
            <w:r>
              <w:rPr>
                <w:rFonts w:ascii="Arial" w:hAnsi="Arial" w:cs="Arial"/>
                <w:sz w:val="24"/>
                <w:szCs w:val="24"/>
              </w:rPr>
              <w:t>I do not see that this evidence was canvassed or dealt with at the arbitration proceedings</w:t>
            </w:r>
            <w:r w:rsidR="00E14F9F">
              <w:rPr>
                <w:rFonts w:ascii="Arial" w:hAnsi="Arial" w:cs="Arial"/>
                <w:sz w:val="24"/>
                <w:szCs w:val="24"/>
              </w:rPr>
              <w:t>.</w:t>
            </w:r>
            <w:r>
              <w:rPr>
                <w:rFonts w:ascii="Arial" w:hAnsi="Arial" w:cs="Arial"/>
                <w:sz w:val="24"/>
                <w:szCs w:val="24"/>
              </w:rPr>
              <w:t xml:space="preserve"> </w:t>
            </w:r>
            <w:r w:rsidR="00E14F9F">
              <w:rPr>
                <w:rFonts w:ascii="Arial" w:hAnsi="Arial" w:cs="Arial"/>
                <w:sz w:val="24"/>
                <w:szCs w:val="24"/>
              </w:rPr>
              <w:t>I</w:t>
            </w:r>
            <w:r>
              <w:rPr>
                <w:rFonts w:ascii="Arial" w:hAnsi="Arial" w:cs="Arial"/>
                <w:sz w:val="24"/>
                <w:szCs w:val="24"/>
              </w:rPr>
              <w:t xml:space="preserve">n the absence of that, I </w:t>
            </w:r>
            <w:r w:rsidR="00E14F9F">
              <w:rPr>
                <w:rFonts w:ascii="Arial" w:hAnsi="Arial" w:cs="Arial"/>
                <w:sz w:val="24"/>
                <w:szCs w:val="24"/>
              </w:rPr>
              <w:t>do not intend</w:t>
            </w:r>
            <w:r>
              <w:rPr>
                <w:rFonts w:ascii="Arial" w:hAnsi="Arial" w:cs="Arial"/>
                <w:sz w:val="24"/>
                <w:szCs w:val="24"/>
              </w:rPr>
              <w:t xml:space="preserve"> to </w:t>
            </w:r>
            <w:r w:rsidR="00E14F9F">
              <w:rPr>
                <w:rFonts w:ascii="Arial" w:hAnsi="Arial" w:cs="Arial"/>
                <w:sz w:val="24"/>
                <w:szCs w:val="24"/>
              </w:rPr>
              <w:t>address the</w:t>
            </w:r>
            <w:r>
              <w:rPr>
                <w:rFonts w:ascii="Arial" w:hAnsi="Arial" w:cs="Arial"/>
                <w:sz w:val="24"/>
                <w:szCs w:val="24"/>
              </w:rPr>
              <w:t xml:space="preserve"> issue. </w:t>
            </w:r>
          </w:p>
          <w:p w:rsidR="00D96A60" w:rsidRPr="00D96A60" w:rsidRDefault="00D96A60" w:rsidP="00D96A60">
            <w:pPr>
              <w:spacing w:line="360" w:lineRule="auto"/>
              <w:jc w:val="both"/>
              <w:rPr>
                <w:rFonts w:ascii="Arial" w:hAnsi="Arial" w:cs="Arial"/>
                <w:sz w:val="24"/>
                <w:szCs w:val="24"/>
              </w:rPr>
            </w:pPr>
          </w:p>
          <w:p w:rsidR="009401FC" w:rsidRDefault="00B91011" w:rsidP="00D96A60">
            <w:pPr>
              <w:spacing w:line="360" w:lineRule="auto"/>
              <w:jc w:val="both"/>
              <w:rPr>
                <w:rFonts w:ascii="Arial" w:hAnsi="Arial" w:cs="Arial"/>
                <w:sz w:val="24"/>
                <w:szCs w:val="24"/>
              </w:rPr>
            </w:pPr>
            <w:r>
              <w:rPr>
                <w:rFonts w:ascii="Arial" w:hAnsi="Arial" w:cs="Arial"/>
                <w:sz w:val="24"/>
                <w:szCs w:val="24"/>
              </w:rPr>
              <w:t>[33</w:t>
            </w:r>
            <w:r w:rsidR="00D96A60" w:rsidRPr="00D96A60">
              <w:rPr>
                <w:rFonts w:ascii="Arial" w:hAnsi="Arial" w:cs="Arial"/>
                <w:sz w:val="24"/>
                <w:szCs w:val="24"/>
              </w:rPr>
              <w:t>]</w:t>
            </w:r>
            <w:r w:rsidR="00D96A60" w:rsidRPr="00D96A60">
              <w:rPr>
                <w:rFonts w:ascii="Arial" w:hAnsi="Arial" w:cs="Arial"/>
                <w:sz w:val="24"/>
                <w:szCs w:val="24"/>
              </w:rPr>
              <w:tab/>
            </w:r>
            <w:r w:rsidR="00D96A60">
              <w:rPr>
                <w:rFonts w:ascii="Arial" w:hAnsi="Arial" w:cs="Arial"/>
                <w:sz w:val="24"/>
                <w:szCs w:val="24"/>
              </w:rPr>
              <w:t xml:space="preserve">For the </w:t>
            </w:r>
            <w:r w:rsidR="009220D7">
              <w:rPr>
                <w:rFonts w:ascii="Arial" w:hAnsi="Arial" w:cs="Arial"/>
                <w:sz w:val="24"/>
                <w:szCs w:val="24"/>
              </w:rPr>
              <w:t>above-stated reasons, the appeal succeeds,</w:t>
            </w:r>
            <w:r w:rsidR="00D96A60" w:rsidRPr="00D96A60">
              <w:rPr>
                <w:rFonts w:ascii="Arial" w:hAnsi="Arial" w:cs="Arial"/>
                <w:sz w:val="24"/>
                <w:szCs w:val="24"/>
              </w:rPr>
              <w:t xml:space="preserve"> </w:t>
            </w:r>
            <w:r w:rsidR="00D96A60">
              <w:rPr>
                <w:rFonts w:ascii="Arial" w:hAnsi="Arial" w:cs="Arial"/>
                <w:sz w:val="24"/>
                <w:szCs w:val="24"/>
              </w:rPr>
              <w:t xml:space="preserve">and </w:t>
            </w:r>
            <w:r w:rsidR="00D96A60" w:rsidRPr="00D96A60">
              <w:rPr>
                <w:rFonts w:ascii="Arial" w:hAnsi="Arial" w:cs="Arial"/>
                <w:sz w:val="24"/>
                <w:szCs w:val="24"/>
              </w:rPr>
              <w:t xml:space="preserve">the Arbitrator’s award dated </w:t>
            </w:r>
            <w:r w:rsidR="00FE4A9F" w:rsidRPr="00FE4A9F">
              <w:rPr>
                <w:rFonts w:ascii="Arial" w:hAnsi="Arial" w:cs="Arial"/>
                <w:sz w:val="24"/>
                <w:szCs w:val="24"/>
              </w:rPr>
              <w:t>1 June 2021</w:t>
            </w:r>
            <w:r w:rsidR="00D96A60">
              <w:rPr>
                <w:rFonts w:ascii="Arial" w:hAnsi="Arial" w:cs="Arial"/>
                <w:sz w:val="24"/>
                <w:szCs w:val="24"/>
              </w:rPr>
              <w:t xml:space="preserve"> is set aside</w:t>
            </w:r>
            <w:r w:rsidR="00D96A60" w:rsidRPr="00D96A60">
              <w:rPr>
                <w:rFonts w:ascii="Arial" w:hAnsi="Arial" w:cs="Arial"/>
                <w:sz w:val="24"/>
                <w:szCs w:val="24"/>
              </w:rPr>
              <w:t xml:space="preserve">. </w:t>
            </w:r>
          </w:p>
          <w:p w:rsidR="006C7292" w:rsidRPr="009401FC" w:rsidRDefault="006C7292" w:rsidP="009401FC">
            <w:pPr>
              <w:spacing w:line="360" w:lineRule="auto"/>
              <w:jc w:val="both"/>
              <w:rPr>
                <w:rFonts w:ascii="Arial" w:hAnsi="Arial" w:cs="Arial"/>
                <w:sz w:val="24"/>
                <w:szCs w:val="24"/>
              </w:rPr>
            </w:pPr>
          </w:p>
          <w:p w:rsidR="009401FC" w:rsidRDefault="006C7292" w:rsidP="009401FC">
            <w:pPr>
              <w:spacing w:line="360" w:lineRule="auto"/>
              <w:jc w:val="both"/>
              <w:rPr>
                <w:rFonts w:ascii="Arial" w:hAnsi="Arial" w:cs="Arial"/>
                <w:sz w:val="24"/>
                <w:szCs w:val="24"/>
                <w:u w:val="single"/>
              </w:rPr>
            </w:pPr>
            <w:r w:rsidRPr="006C7292">
              <w:rPr>
                <w:rFonts w:ascii="Arial" w:hAnsi="Arial" w:cs="Arial"/>
                <w:sz w:val="24"/>
                <w:szCs w:val="24"/>
                <w:u w:val="single"/>
              </w:rPr>
              <w:t>Order</w:t>
            </w:r>
          </w:p>
          <w:p w:rsidR="006C7292" w:rsidRPr="006C7292" w:rsidRDefault="006C7292" w:rsidP="009401FC">
            <w:pPr>
              <w:spacing w:line="360" w:lineRule="auto"/>
              <w:jc w:val="both"/>
              <w:rPr>
                <w:rFonts w:ascii="Arial" w:hAnsi="Arial" w:cs="Arial"/>
                <w:sz w:val="24"/>
                <w:szCs w:val="24"/>
                <w:u w:val="single"/>
              </w:rPr>
            </w:pPr>
          </w:p>
          <w:p w:rsidR="009401FC" w:rsidRDefault="00FE4A9F" w:rsidP="009401FC">
            <w:pPr>
              <w:spacing w:line="360" w:lineRule="auto"/>
              <w:jc w:val="both"/>
              <w:rPr>
                <w:rFonts w:ascii="Arial" w:hAnsi="Arial" w:cs="Arial"/>
                <w:sz w:val="24"/>
                <w:szCs w:val="24"/>
              </w:rPr>
            </w:pPr>
            <w:r>
              <w:rPr>
                <w:rFonts w:ascii="Arial" w:hAnsi="Arial" w:cs="Arial"/>
                <w:sz w:val="24"/>
                <w:szCs w:val="24"/>
              </w:rPr>
              <w:t>[</w:t>
            </w:r>
            <w:r w:rsidR="005D6B45">
              <w:rPr>
                <w:rFonts w:ascii="Arial" w:hAnsi="Arial" w:cs="Arial"/>
                <w:sz w:val="24"/>
                <w:szCs w:val="24"/>
              </w:rPr>
              <w:t>3</w:t>
            </w:r>
            <w:r w:rsidR="00B91011">
              <w:rPr>
                <w:rFonts w:ascii="Arial" w:hAnsi="Arial" w:cs="Arial"/>
                <w:sz w:val="24"/>
                <w:szCs w:val="24"/>
              </w:rPr>
              <w:t>4</w:t>
            </w:r>
            <w:r w:rsidR="009401FC" w:rsidRPr="009401FC">
              <w:rPr>
                <w:rFonts w:ascii="Arial" w:hAnsi="Arial" w:cs="Arial"/>
                <w:sz w:val="24"/>
                <w:szCs w:val="24"/>
              </w:rPr>
              <w:t>]</w:t>
            </w:r>
            <w:r w:rsidR="009401FC" w:rsidRPr="009401FC">
              <w:rPr>
                <w:rFonts w:ascii="Arial" w:hAnsi="Arial" w:cs="Arial"/>
                <w:sz w:val="24"/>
                <w:szCs w:val="24"/>
              </w:rPr>
              <w:tab/>
              <w:t>My order is set out above.</w:t>
            </w:r>
          </w:p>
          <w:p w:rsidR="00C04F28" w:rsidRPr="00CA7995" w:rsidRDefault="00C04F28" w:rsidP="006C7292">
            <w:pPr>
              <w:pStyle w:val="ListParagraph"/>
              <w:spacing w:line="360" w:lineRule="auto"/>
              <w:ind w:left="0"/>
              <w:jc w:val="both"/>
            </w:pPr>
          </w:p>
        </w:tc>
      </w:tr>
      <w:tr w:rsidR="00CA7995" w:rsidRPr="00CA7995" w:rsidTr="0000513F">
        <w:tc>
          <w:tcPr>
            <w:tcW w:w="5232" w:type="dxa"/>
          </w:tcPr>
          <w:p w:rsidR="00B40844" w:rsidRPr="00CA7995" w:rsidRDefault="005A127F" w:rsidP="00ED76B2">
            <w:pPr>
              <w:spacing w:line="360" w:lineRule="auto"/>
              <w:jc w:val="center"/>
              <w:rPr>
                <w:rFonts w:ascii="Arial" w:hAnsi="Arial" w:cs="Arial"/>
                <w:b/>
                <w:sz w:val="24"/>
                <w:szCs w:val="24"/>
              </w:rPr>
            </w:pPr>
            <w:r>
              <w:rPr>
                <w:rFonts w:ascii="Arial" w:hAnsi="Arial" w:cs="Arial"/>
                <w:b/>
                <w:sz w:val="24"/>
                <w:szCs w:val="24"/>
              </w:rPr>
              <w:lastRenderedPageBreak/>
              <w:t xml:space="preserve"> </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A00487" w:rsidP="00937C89">
            <w:pPr>
              <w:spacing w:line="360" w:lineRule="auto"/>
              <w:jc w:val="center"/>
              <w:rPr>
                <w:rFonts w:ascii="Arial" w:hAnsi="Arial" w:cs="Arial"/>
                <w:b/>
                <w:sz w:val="24"/>
                <w:szCs w:val="24"/>
              </w:rPr>
            </w:pPr>
            <w:r>
              <w:rPr>
                <w:rFonts w:ascii="Arial" w:hAnsi="Arial" w:cs="Arial"/>
                <w:b/>
                <w:sz w:val="24"/>
                <w:szCs w:val="24"/>
              </w:rPr>
              <w:t>Appellant</w:t>
            </w:r>
          </w:p>
        </w:tc>
        <w:tc>
          <w:tcPr>
            <w:tcW w:w="5244" w:type="dxa"/>
            <w:gridSpan w:val="2"/>
          </w:tcPr>
          <w:p w:rsidR="00B40844" w:rsidRPr="00CA7995" w:rsidRDefault="00A00487" w:rsidP="00937C89">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CA7995" w:rsidTr="0000513F">
        <w:tc>
          <w:tcPr>
            <w:tcW w:w="5232" w:type="dxa"/>
          </w:tcPr>
          <w:p w:rsidR="006761B0" w:rsidRPr="00D2398D" w:rsidRDefault="00A00487" w:rsidP="00937C89">
            <w:pPr>
              <w:spacing w:line="360" w:lineRule="auto"/>
              <w:jc w:val="center"/>
              <w:rPr>
                <w:rFonts w:ascii="Arial" w:hAnsi="Arial" w:cs="Arial"/>
                <w:sz w:val="24"/>
                <w:szCs w:val="24"/>
              </w:rPr>
            </w:pPr>
            <w:r>
              <w:rPr>
                <w:rFonts w:ascii="Arial" w:hAnsi="Arial" w:cs="Arial"/>
                <w:sz w:val="24"/>
                <w:szCs w:val="24"/>
              </w:rPr>
              <w:t>L</w:t>
            </w:r>
            <w:r w:rsidRPr="00A00487">
              <w:rPr>
                <w:rFonts w:ascii="Arial" w:hAnsi="Arial" w:cs="Arial"/>
                <w:sz w:val="24"/>
                <w:szCs w:val="24"/>
              </w:rPr>
              <w:t xml:space="preserve"> I</w:t>
            </w:r>
            <w:r>
              <w:rPr>
                <w:rFonts w:ascii="Arial" w:hAnsi="Arial" w:cs="Arial"/>
                <w:sz w:val="24"/>
                <w:szCs w:val="24"/>
              </w:rPr>
              <w:t>halwa (assisted by K Haraseb</w:t>
            </w:r>
            <w:r w:rsidR="006C7292" w:rsidRPr="00D2398D">
              <w:rPr>
                <w:rFonts w:ascii="Arial" w:hAnsi="Arial" w:cs="Arial"/>
                <w:sz w:val="24"/>
                <w:szCs w:val="24"/>
              </w:rPr>
              <w:t>)</w:t>
            </w:r>
          </w:p>
          <w:p w:rsidR="00A00487" w:rsidRPr="00D2398D" w:rsidRDefault="004310BB" w:rsidP="00A00487">
            <w:pPr>
              <w:spacing w:line="360" w:lineRule="auto"/>
              <w:jc w:val="center"/>
              <w:rPr>
                <w:rFonts w:ascii="Arial" w:hAnsi="Arial" w:cs="Arial"/>
                <w:sz w:val="24"/>
                <w:szCs w:val="24"/>
              </w:rPr>
            </w:pPr>
            <w:r w:rsidRPr="00733339">
              <w:rPr>
                <w:rFonts w:ascii="Arial" w:hAnsi="Arial" w:cs="Arial"/>
                <w:sz w:val="24"/>
                <w:szCs w:val="24"/>
              </w:rPr>
              <w:t>Instructed by</w:t>
            </w:r>
            <w:r w:rsidR="00A00487" w:rsidRPr="00733339">
              <w:rPr>
                <w:rFonts w:ascii="Arial" w:hAnsi="Arial" w:cs="Arial"/>
                <w:sz w:val="24"/>
                <w:szCs w:val="24"/>
              </w:rPr>
              <w:t xml:space="preserve"> ENS Africa</w:t>
            </w:r>
          </w:p>
          <w:p w:rsidR="00B40844" w:rsidRPr="00D2398D" w:rsidRDefault="0078733C" w:rsidP="00937C89">
            <w:pPr>
              <w:spacing w:line="360" w:lineRule="auto"/>
              <w:jc w:val="center"/>
              <w:rPr>
                <w:rFonts w:ascii="Arial" w:hAnsi="Arial" w:cs="Arial"/>
                <w:sz w:val="24"/>
                <w:szCs w:val="24"/>
              </w:rPr>
            </w:pPr>
            <w:r w:rsidRPr="00D2398D">
              <w:rPr>
                <w:rFonts w:ascii="Arial" w:hAnsi="Arial" w:cs="Arial"/>
                <w:sz w:val="24"/>
                <w:szCs w:val="24"/>
              </w:rPr>
              <w:t xml:space="preserve">Windhoek </w:t>
            </w:r>
          </w:p>
          <w:p w:rsidR="00B40844" w:rsidRPr="00D2398D" w:rsidRDefault="00B40844" w:rsidP="00937C89">
            <w:pPr>
              <w:spacing w:line="360" w:lineRule="auto"/>
              <w:jc w:val="center"/>
              <w:rPr>
                <w:rFonts w:ascii="Arial" w:hAnsi="Arial" w:cs="Arial"/>
                <w:sz w:val="24"/>
                <w:szCs w:val="24"/>
              </w:rPr>
            </w:pPr>
          </w:p>
        </w:tc>
        <w:tc>
          <w:tcPr>
            <w:tcW w:w="5244" w:type="dxa"/>
            <w:gridSpan w:val="2"/>
          </w:tcPr>
          <w:p w:rsidR="009608C5" w:rsidRPr="00D2398D" w:rsidRDefault="00A00487" w:rsidP="009608C5">
            <w:pPr>
              <w:spacing w:line="360" w:lineRule="auto"/>
              <w:jc w:val="center"/>
              <w:rPr>
                <w:rFonts w:ascii="Arial" w:hAnsi="Arial" w:cs="Arial"/>
                <w:sz w:val="24"/>
                <w:szCs w:val="24"/>
              </w:rPr>
            </w:pPr>
            <w:r>
              <w:rPr>
                <w:rFonts w:ascii="Arial" w:hAnsi="Arial" w:cs="Arial"/>
                <w:sz w:val="24"/>
                <w:szCs w:val="24"/>
              </w:rPr>
              <w:t xml:space="preserve">No appearance </w:t>
            </w:r>
          </w:p>
          <w:p w:rsidR="0000513F" w:rsidRPr="00D2398D" w:rsidRDefault="0000513F" w:rsidP="00734146">
            <w:pPr>
              <w:pStyle w:val="BodyText2"/>
              <w:jc w:val="center"/>
              <w:rPr>
                <w:i/>
                <w:color w:val="auto"/>
              </w:rPr>
            </w:pPr>
          </w:p>
        </w:tc>
      </w:tr>
    </w:tbl>
    <w:p w:rsidR="00B845CF" w:rsidRDefault="00B845CF"/>
    <w:sectPr w:rsidR="00B845CF" w:rsidSect="00002E9A">
      <w:head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C2" w:rsidRDefault="00C75CC2" w:rsidP="00B40844">
      <w:pPr>
        <w:spacing w:after="0" w:line="240" w:lineRule="auto"/>
      </w:pPr>
      <w:r>
        <w:separator/>
      </w:r>
    </w:p>
  </w:endnote>
  <w:endnote w:type="continuationSeparator" w:id="0">
    <w:p w:rsidR="00C75CC2" w:rsidRDefault="00C75CC2"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C2" w:rsidRDefault="00C75CC2" w:rsidP="00B40844">
      <w:pPr>
        <w:spacing w:after="0" w:line="240" w:lineRule="auto"/>
      </w:pPr>
      <w:r>
        <w:separator/>
      </w:r>
    </w:p>
  </w:footnote>
  <w:footnote w:type="continuationSeparator" w:id="0">
    <w:p w:rsidR="00C75CC2" w:rsidRDefault="00C75CC2" w:rsidP="00B40844">
      <w:pPr>
        <w:spacing w:after="0" w:line="240" w:lineRule="auto"/>
      </w:pPr>
      <w:r>
        <w:continuationSeparator/>
      </w:r>
    </w:p>
  </w:footnote>
  <w:footnote w:id="1">
    <w:p w:rsidR="003F199A" w:rsidRPr="003F199A" w:rsidRDefault="003F199A" w:rsidP="00EE1C30">
      <w:pPr>
        <w:pStyle w:val="FootnoteText"/>
        <w:spacing w:line="360" w:lineRule="auto"/>
        <w:rPr>
          <w:rFonts w:ascii="Arial" w:hAnsi="Arial" w:cs="Arial"/>
          <w:lang w:val="en-US"/>
        </w:rPr>
      </w:pPr>
      <w:r w:rsidRPr="003F199A">
        <w:rPr>
          <w:rStyle w:val="FootnoteReference"/>
          <w:i/>
        </w:rPr>
        <w:footnoteRef/>
      </w:r>
      <w:r w:rsidRPr="003F199A">
        <w:rPr>
          <w:i/>
        </w:rPr>
        <w:t xml:space="preserve"> </w:t>
      </w:r>
      <w:r w:rsidRPr="003F199A">
        <w:rPr>
          <w:rFonts w:ascii="Arial" w:hAnsi="Arial" w:cs="Arial"/>
          <w:i/>
        </w:rPr>
        <w:t>Hugo v Council of Municipality of Grootfontein</w:t>
      </w:r>
      <w:r w:rsidRPr="003F199A">
        <w:rPr>
          <w:rFonts w:ascii="Arial" w:hAnsi="Arial" w:cs="Arial"/>
        </w:rPr>
        <w:t xml:space="preserve"> </w:t>
      </w:r>
      <w:r w:rsidRPr="003F199A">
        <w:rPr>
          <w:rFonts w:ascii="Arial" w:hAnsi="Arial" w:cs="Arial"/>
          <w:lang w:val="en-US"/>
        </w:rPr>
        <w:t>(SA 68/2012) [2014] NASC (27 October 2014).</w:t>
      </w:r>
    </w:p>
  </w:footnote>
  <w:footnote w:id="2">
    <w:p w:rsidR="00EE1C30" w:rsidRPr="00913204" w:rsidRDefault="00EE1C30" w:rsidP="00EE1C30">
      <w:pPr>
        <w:pStyle w:val="FootnoteText"/>
        <w:tabs>
          <w:tab w:val="left" w:pos="7720"/>
        </w:tabs>
        <w:spacing w:line="360" w:lineRule="auto"/>
        <w:rPr>
          <w:rFonts w:ascii="Arial" w:hAnsi="Arial" w:cs="Arial"/>
          <w:lang w:val="en-US"/>
        </w:rPr>
      </w:pPr>
      <w:r>
        <w:rPr>
          <w:rStyle w:val="FootnoteReference"/>
        </w:rPr>
        <w:footnoteRef/>
      </w:r>
      <w:r w:rsidR="00B948A7">
        <w:t xml:space="preserve"> </w:t>
      </w:r>
      <w:r w:rsidRPr="00913204">
        <w:rPr>
          <w:rFonts w:ascii="Arial" w:hAnsi="Arial" w:cs="Arial"/>
          <w:i/>
        </w:rPr>
        <w:t>Namibia Broadcasting Corporation v Kruger and others</w:t>
      </w:r>
      <w:r w:rsidRPr="00913204">
        <w:rPr>
          <w:rFonts w:ascii="Arial" w:hAnsi="Arial" w:cs="Arial"/>
        </w:rPr>
        <w:t xml:space="preserve"> 2009 (1) NR 196 (SC) paras 9-10.</w:t>
      </w:r>
    </w:p>
  </w:footnote>
  <w:footnote w:id="3">
    <w:p w:rsidR="00A120B3" w:rsidRPr="00913204" w:rsidRDefault="00A120B3" w:rsidP="008577B7">
      <w:pPr>
        <w:pStyle w:val="FootnoteText"/>
        <w:spacing w:line="360" w:lineRule="auto"/>
        <w:rPr>
          <w:rFonts w:ascii="Arial" w:hAnsi="Arial" w:cs="Arial"/>
          <w:lang w:val="en-US"/>
        </w:rPr>
      </w:pPr>
      <w:r w:rsidRPr="00913204">
        <w:rPr>
          <w:rStyle w:val="FootnoteReference"/>
          <w:rFonts w:ascii="Arial" w:hAnsi="Arial" w:cs="Arial"/>
        </w:rPr>
        <w:footnoteRef/>
      </w:r>
      <w:r w:rsidRPr="00913204">
        <w:rPr>
          <w:rFonts w:ascii="Arial" w:hAnsi="Arial" w:cs="Arial"/>
        </w:rPr>
        <w:t xml:space="preserve"> </w:t>
      </w:r>
      <w:r w:rsidR="00913204">
        <w:rPr>
          <w:rFonts w:ascii="Arial" w:hAnsi="Arial" w:cs="Arial"/>
        </w:rPr>
        <w:t xml:space="preserve">C </w:t>
      </w:r>
      <w:r w:rsidRPr="00913204">
        <w:rPr>
          <w:rFonts w:ascii="Arial" w:hAnsi="Arial" w:cs="Arial"/>
        </w:rPr>
        <w:t xml:space="preserve">Parker: </w:t>
      </w:r>
      <w:r w:rsidRPr="00913204">
        <w:rPr>
          <w:rFonts w:ascii="Arial" w:hAnsi="Arial" w:cs="Arial"/>
          <w:i/>
        </w:rPr>
        <w:t>Labour Law in Namibia</w:t>
      </w:r>
      <w:r w:rsidR="00913204">
        <w:rPr>
          <w:rFonts w:ascii="Arial" w:hAnsi="Arial" w:cs="Arial"/>
          <w:i/>
        </w:rPr>
        <w:t xml:space="preserve"> </w:t>
      </w:r>
      <w:r w:rsidR="00913204" w:rsidRPr="00913204">
        <w:rPr>
          <w:rFonts w:ascii="Arial" w:hAnsi="Arial" w:cs="Arial"/>
        </w:rPr>
        <w:t>1</w:t>
      </w:r>
      <w:r w:rsidR="00913204" w:rsidRPr="00913204">
        <w:rPr>
          <w:rFonts w:ascii="Arial" w:hAnsi="Arial" w:cs="Arial"/>
          <w:vertAlign w:val="superscript"/>
        </w:rPr>
        <w:t>st</w:t>
      </w:r>
      <w:r w:rsidR="00913204" w:rsidRPr="00913204">
        <w:rPr>
          <w:rFonts w:ascii="Arial" w:hAnsi="Arial" w:cs="Arial"/>
        </w:rPr>
        <w:t xml:space="preserve"> Ed</w:t>
      </w:r>
      <w:r w:rsidRPr="00913204">
        <w:rPr>
          <w:rFonts w:ascii="Arial" w:hAnsi="Arial" w:cs="Arial"/>
        </w:rPr>
        <w:t xml:space="preserve"> </w:t>
      </w:r>
      <w:r w:rsidR="00913204">
        <w:rPr>
          <w:rFonts w:ascii="Arial" w:hAnsi="Arial" w:cs="Arial"/>
        </w:rPr>
        <w:t xml:space="preserve">Unam Press, </w:t>
      </w:r>
      <w:r w:rsidRPr="00913204">
        <w:rPr>
          <w:rFonts w:ascii="Arial" w:hAnsi="Arial" w:cs="Arial"/>
        </w:rPr>
        <w:t>at p 3</w:t>
      </w:r>
      <w:r w:rsidR="00913204">
        <w:rPr>
          <w:rFonts w:ascii="Arial" w:hAnsi="Arial" w:cs="Arial"/>
        </w:rPr>
        <w:t>2</w:t>
      </w:r>
      <w:r w:rsidRPr="00913204">
        <w:rPr>
          <w:rFonts w:ascii="Arial" w:hAnsi="Arial" w:cs="Arial"/>
        </w:rPr>
        <w:t>.</w:t>
      </w:r>
    </w:p>
  </w:footnote>
  <w:footnote w:id="4">
    <w:p w:rsidR="00A120B3" w:rsidRPr="00913204" w:rsidRDefault="00A120B3" w:rsidP="008577B7">
      <w:pPr>
        <w:pStyle w:val="FootnoteText"/>
        <w:spacing w:line="360" w:lineRule="auto"/>
        <w:rPr>
          <w:rFonts w:ascii="Arial" w:hAnsi="Arial" w:cs="Arial"/>
          <w:lang w:val="en-US"/>
        </w:rPr>
      </w:pPr>
      <w:r w:rsidRPr="00913204">
        <w:rPr>
          <w:rStyle w:val="FootnoteReference"/>
          <w:rFonts w:ascii="Arial" w:hAnsi="Arial" w:cs="Arial"/>
        </w:rPr>
        <w:footnoteRef/>
      </w:r>
      <w:r w:rsidRPr="00913204">
        <w:rPr>
          <w:rFonts w:ascii="Arial" w:hAnsi="Arial" w:cs="Arial"/>
        </w:rPr>
        <w:t xml:space="preserve"> </w:t>
      </w:r>
      <w:r w:rsidRPr="00913204">
        <w:rPr>
          <w:rFonts w:ascii="Arial" w:hAnsi="Arial" w:cs="Arial"/>
          <w:i/>
        </w:rPr>
        <w:t>Smith v Standard Bank Namibia</w:t>
      </w:r>
      <w:r w:rsidRPr="00913204">
        <w:rPr>
          <w:rFonts w:ascii="Arial" w:hAnsi="Arial" w:cs="Arial"/>
        </w:rPr>
        <w:t xml:space="preserve"> 1994 NR 366 (LC)</w:t>
      </w:r>
      <w:r w:rsidR="001D1864">
        <w:rPr>
          <w:rFonts w:ascii="Arial" w:hAnsi="Arial" w:cs="Arial"/>
        </w:rPr>
        <w:t xml:space="preserve"> at 371 A-B</w:t>
      </w:r>
      <w:r w:rsidRPr="00913204">
        <w:rPr>
          <w:rFonts w:ascii="Arial" w:hAnsi="Arial" w:cs="Arial"/>
        </w:rPr>
        <w:t>.</w:t>
      </w:r>
    </w:p>
  </w:footnote>
  <w:footnote w:id="5">
    <w:p w:rsidR="00010551" w:rsidRPr="004310BB" w:rsidRDefault="00010551" w:rsidP="008577B7">
      <w:pPr>
        <w:pStyle w:val="FootnoteText"/>
        <w:spacing w:line="360" w:lineRule="auto"/>
        <w:rPr>
          <w:rFonts w:ascii="Arial" w:hAnsi="Arial" w:cs="Arial"/>
          <w:lang w:val="en-US"/>
        </w:rPr>
      </w:pPr>
      <w:r w:rsidRPr="00913204">
        <w:rPr>
          <w:rStyle w:val="FootnoteReference"/>
          <w:rFonts w:ascii="Arial" w:hAnsi="Arial" w:cs="Arial"/>
        </w:rPr>
        <w:footnoteRef/>
      </w:r>
      <w:r w:rsidRPr="00913204">
        <w:rPr>
          <w:rFonts w:ascii="Arial" w:hAnsi="Arial" w:cs="Arial"/>
        </w:rPr>
        <w:t xml:space="preserve"> </w:t>
      </w:r>
      <w:r w:rsidRPr="004310BB">
        <w:rPr>
          <w:rFonts w:ascii="Arial" w:hAnsi="Arial" w:cs="Arial"/>
          <w:i/>
        </w:rPr>
        <w:t>Country Fair Foods (Pty) Ltd v CCMA &amp; Others</w:t>
      </w:r>
      <w:r w:rsidRPr="004310BB">
        <w:rPr>
          <w:rFonts w:ascii="Arial" w:hAnsi="Arial" w:cs="Arial"/>
        </w:rPr>
        <w:t xml:space="preserve"> (1999) 20 ILJ 1701 (LAC).</w:t>
      </w:r>
    </w:p>
  </w:footnote>
  <w:footnote w:id="6">
    <w:p w:rsidR="00E14F9F" w:rsidRPr="004310BB" w:rsidRDefault="00E14F9F" w:rsidP="00E14F9F">
      <w:pPr>
        <w:pStyle w:val="FootnoteText"/>
        <w:rPr>
          <w:rFonts w:ascii="Arial" w:hAnsi="Arial" w:cs="Arial"/>
          <w:lang w:val="en-US"/>
        </w:rPr>
      </w:pPr>
      <w:r w:rsidRPr="004310BB">
        <w:rPr>
          <w:rStyle w:val="FootnoteReference"/>
          <w:rFonts w:ascii="Arial" w:hAnsi="Arial" w:cs="Arial"/>
        </w:rPr>
        <w:footnoteRef/>
      </w:r>
      <w:r w:rsidRPr="004310BB">
        <w:rPr>
          <w:rFonts w:ascii="Arial" w:hAnsi="Arial" w:cs="Arial"/>
        </w:rPr>
        <w:t xml:space="preserve"> Supra at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noProof/>
      </w:rPr>
    </w:sdtEndPr>
    <w:sdtContent>
      <w:p w:rsidR="00965C26" w:rsidRDefault="00965C26">
        <w:pPr>
          <w:pStyle w:val="Header"/>
          <w:jc w:val="right"/>
        </w:pPr>
        <w:r>
          <w:fldChar w:fldCharType="begin"/>
        </w:r>
        <w:r>
          <w:instrText xml:space="preserve"> PAGE   \* MERGEFORMAT </w:instrText>
        </w:r>
        <w:r>
          <w:fldChar w:fldCharType="separate"/>
        </w:r>
        <w:r w:rsidR="003B15A8">
          <w:rPr>
            <w:noProof/>
          </w:rPr>
          <w:t>9</w:t>
        </w:r>
        <w:r>
          <w:rPr>
            <w:noProof/>
          </w:rPr>
          <w:fldChar w:fldCharType="end"/>
        </w:r>
      </w:p>
    </w:sdtContent>
  </w:sdt>
  <w:p w:rsidR="00965C26" w:rsidRDefault="0096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7FB4E9B"/>
    <w:multiLevelType w:val="hybridMultilevel"/>
    <w:tmpl w:val="A43051AC"/>
    <w:lvl w:ilvl="0" w:tplc="B31CC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E3DB1"/>
    <w:multiLevelType w:val="hybridMultilevel"/>
    <w:tmpl w:val="97AC1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BBA"/>
    <w:multiLevelType w:val="hybridMultilevel"/>
    <w:tmpl w:val="8EB64BCA"/>
    <w:lvl w:ilvl="0" w:tplc="D95642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70443"/>
    <w:multiLevelType w:val="hybridMultilevel"/>
    <w:tmpl w:val="65A6F596"/>
    <w:lvl w:ilvl="0" w:tplc="5808A720">
      <w:start w:val="17"/>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F4420"/>
    <w:multiLevelType w:val="hybridMultilevel"/>
    <w:tmpl w:val="1EA270EA"/>
    <w:lvl w:ilvl="0" w:tplc="7980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558A"/>
    <w:multiLevelType w:val="hybridMultilevel"/>
    <w:tmpl w:val="F864C16A"/>
    <w:lvl w:ilvl="0" w:tplc="31666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4B802CA4"/>
    <w:multiLevelType w:val="hybridMultilevel"/>
    <w:tmpl w:val="9E7A5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845E0"/>
    <w:multiLevelType w:val="hybridMultilevel"/>
    <w:tmpl w:val="B0D467CA"/>
    <w:lvl w:ilvl="0" w:tplc="B3461F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C52CC"/>
    <w:multiLevelType w:val="hybridMultilevel"/>
    <w:tmpl w:val="A9547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C535B"/>
    <w:multiLevelType w:val="hybridMultilevel"/>
    <w:tmpl w:val="E06ACA5A"/>
    <w:lvl w:ilvl="0" w:tplc="8DEADEFE">
      <w:start w:val="1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8"/>
  </w:num>
  <w:num w:numId="4">
    <w:abstractNumId w:val="3"/>
  </w:num>
  <w:num w:numId="5">
    <w:abstractNumId w:val="1"/>
  </w:num>
  <w:num w:numId="6">
    <w:abstractNumId w:val="16"/>
  </w:num>
  <w:num w:numId="7">
    <w:abstractNumId w:val="14"/>
  </w:num>
  <w:num w:numId="8">
    <w:abstractNumId w:val="17"/>
  </w:num>
  <w:num w:numId="9">
    <w:abstractNumId w:val="9"/>
  </w:num>
  <w:num w:numId="10">
    <w:abstractNumId w:val="2"/>
  </w:num>
  <w:num w:numId="11">
    <w:abstractNumId w:val="25"/>
  </w:num>
  <w:num w:numId="12">
    <w:abstractNumId w:val="15"/>
  </w:num>
  <w:num w:numId="13">
    <w:abstractNumId w:val="5"/>
  </w:num>
  <w:num w:numId="14">
    <w:abstractNumId w:val="12"/>
  </w:num>
  <w:num w:numId="15">
    <w:abstractNumId w:val="11"/>
  </w:num>
  <w:num w:numId="16">
    <w:abstractNumId w:val="21"/>
  </w:num>
  <w:num w:numId="17">
    <w:abstractNumId w:val="10"/>
  </w:num>
  <w:num w:numId="18">
    <w:abstractNumId w:val="6"/>
  </w:num>
  <w:num w:numId="19">
    <w:abstractNumId w:val="19"/>
  </w:num>
  <w:num w:numId="20">
    <w:abstractNumId w:val="13"/>
  </w:num>
  <w:num w:numId="21">
    <w:abstractNumId w:val="4"/>
  </w:num>
  <w:num w:numId="22">
    <w:abstractNumId w:val="22"/>
  </w:num>
  <w:num w:numId="23">
    <w:abstractNumId w:val="24"/>
  </w:num>
  <w:num w:numId="24">
    <w:abstractNumId w:val="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467D"/>
    <w:rsid w:val="00004C49"/>
    <w:rsid w:val="0000513F"/>
    <w:rsid w:val="00006D05"/>
    <w:rsid w:val="00007B32"/>
    <w:rsid w:val="00010551"/>
    <w:rsid w:val="000142CE"/>
    <w:rsid w:val="00014EDF"/>
    <w:rsid w:val="00015808"/>
    <w:rsid w:val="00025869"/>
    <w:rsid w:val="00027162"/>
    <w:rsid w:val="0002753F"/>
    <w:rsid w:val="00030A66"/>
    <w:rsid w:val="00032152"/>
    <w:rsid w:val="00051C0E"/>
    <w:rsid w:val="00052806"/>
    <w:rsid w:val="00052A0F"/>
    <w:rsid w:val="00053646"/>
    <w:rsid w:val="00053CBC"/>
    <w:rsid w:val="00064139"/>
    <w:rsid w:val="00067499"/>
    <w:rsid w:val="000675FE"/>
    <w:rsid w:val="00074F29"/>
    <w:rsid w:val="00080C9B"/>
    <w:rsid w:val="00080E56"/>
    <w:rsid w:val="000862C9"/>
    <w:rsid w:val="000902BA"/>
    <w:rsid w:val="000929C5"/>
    <w:rsid w:val="00093454"/>
    <w:rsid w:val="000979F3"/>
    <w:rsid w:val="000A3004"/>
    <w:rsid w:val="000A358F"/>
    <w:rsid w:val="000A4391"/>
    <w:rsid w:val="000A6E7F"/>
    <w:rsid w:val="000B07EA"/>
    <w:rsid w:val="000B1350"/>
    <w:rsid w:val="000B55BA"/>
    <w:rsid w:val="000C03BB"/>
    <w:rsid w:val="000C3FEC"/>
    <w:rsid w:val="000C57B4"/>
    <w:rsid w:val="000D00E4"/>
    <w:rsid w:val="000D0236"/>
    <w:rsid w:val="000D094B"/>
    <w:rsid w:val="000D3BDD"/>
    <w:rsid w:val="000D3C9C"/>
    <w:rsid w:val="000D732A"/>
    <w:rsid w:val="000E05A2"/>
    <w:rsid w:val="000E2366"/>
    <w:rsid w:val="000F1377"/>
    <w:rsid w:val="000F287A"/>
    <w:rsid w:val="000F3512"/>
    <w:rsid w:val="000F39A3"/>
    <w:rsid w:val="000F40F8"/>
    <w:rsid w:val="000F681E"/>
    <w:rsid w:val="00101BD9"/>
    <w:rsid w:val="001112BA"/>
    <w:rsid w:val="00113CEA"/>
    <w:rsid w:val="00116107"/>
    <w:rsid w:val="00116AFB"/>
    <w:rsid w:val="00116C13"/>
    <w:rsid w:val="00121D8A"/>
    <w:rsid w:val="001223B7"/>
    <w:rsid w:val="00124C63"/>
    <w:rsid w:val="00127D04"/>
    <w:rsid w:val="001327E5"/>
    <w:rsid w:val="0013587A"/>
    <w:rsid w:val="00141F58"/>
    <w:rsid w:val="00152FEA"/>
    <w:rsid w:val="00155AA0"/>
    <w:rsid w:val="00156C35"/>
    <w:rsid w:val="00167649"/>
    <w:rsid w:val="001676F3"/>
    <w:rsid w:val="001744E0"/>
    <w:rsid w:val="00175F5E"/>
    <w:rsid w:val="001823E1"/>
    <w:rsid w:val="0018718C"/>
    <w:rsid w:val="001905B2"/>
    <w:rsid w:val="001B155E"/>
    <w:rsid w:val="001B3825"/>
    <w:rsid w:val="001C3B87"/>
    <w:rsid w:val="001C5EDB"/>
    <w:rsid w:val="001C6754"/>
    <w:rsid w:val="001D1864"/>
    <w:rsid w:val="001D34F1"/>
    <w:rsid w:val="001E00B8"/>
    <w:rsid w:val="001E097B"/>
    <w:rsid w:val="001E0CEE"/>
    <w:rsid w:val="001E12B3"/>
    <w:rsid w:val="001E6D6B"/>
    <w:rsid w:val="001F1138"/>
    <w:rsid w:val="001F2886"/>
    <w:rsid w:val="0020219D"/>
    <w:rsid w:val="00204DCA"/>
    <w:rsid w:val="002065A1"/>
    <w:rsid w:val="002123CA"/>
    <w:rsid w:val="00212D37"/>
    <w:rsid w:val="00217744"/>
    <w:rsid w:val="00217821"/>
    <w:rsid w:val="00224808"/>
    <w:rsid w:val="002317B0"/>
    <w:rsid w:val="002346D4"/>
    <w:rsid w:val="0023549A"/>
    <w:rsid w:val="00235A79"/>
    <w:rsid w:val="00236FFD"/>
    <w:rsid w:val="00241219"/>
    <w:rsid w:val="002457E7"/>
    <w:rsid w:val="002536EA"/>
    <w:rsid w:val="00263E30"/>
    <w:rsid w:val="0026588D"/>
    <w:rsid w:val="00266C6D"/>
    <w:rsid w:val="00272F4E"/>
    <w:rsid w:val="00273F7C"/>
    <w:rsid w:val="00276736"/>
    <w:rsid w:val="00280EB1"/>
    <w:rsid w:val="002A4AA3"/>
    <w:rsid w:val="002A4D60"/>
    <w:rsid w:val="002B0E84"/>
    <w:rsid w:val="002B0FE5"/>
    <w:rsid w:val="002B38E0"/>
    <w:rsid w:val="002C1EF6"/>
    <w:rsid w:val="002D20C5"/>
    <w:rsid w:val="002D3B08"/>
    <w:rsid w:val="002D5EAD"/>
    <w:rsid w:val="002D7AE4"/>
    <w:rsid w:val="002E738E"/>
    <w:rsid w:val="002F5CEB"/>
    <w:rsid w:val="0031179F"/>
    <w:rsid w:val="00311D3E"/>
    <w:rsid w:val="0031523D"/>
    <w:rsid w:val="0031547D"/>
    <w:rsid w:val="00322F39"/>
    <w:rsid w:val="00323AAF"/>
    <w:rsid w:val="00323E22"/>
    <w:rsid w:val="0032410B"/>
    <w:rsid w:val="00326B51"/>
    <w:rsid w:val="00331313"/>
    <w:rsid w:val="00335443"/>
    <w:rsid w:val="00340EA6"/>
    <w:rsid w:val="003413C7"/>
    <w:rsid w:val="00341C0F"/>
    <w:rsid w:val="00344AA0"/>
    <w:rsid w:val="00352603"/>
    <w:rsid w:val="0035617B"/>
    <w:rsid w:val="00357914"/>
    <w:rsid w:val="00366466"/>
    <w:rsid w:val="00371B8F"/>
    <w:rsid w:val="00380DB3"/>
    <w:rsid w:val="0038382D"/>
    <w:rsid w:val="00384B95"/>
    <w:rsid w:val="0038750B"/>
    <w:rsid w:val="0039196F"/>
    <w:rsid w:val="00391CC7"/>
    <w:rsid w:val="00391DE0"/>
    <w:rsid w:val="00394F42"/>
    <w:rsid w:val="003A0634"/>
    <w:rsid w:val="003A18AD"/>
    <w:rsid w:val="003A49EA"/>
    <w:rsid w:val="003B15A8"/>
    <w:rsid w:val="003B1871"/>
    <w:rsid w:val="003B1D21"/>
    <w:rsid w:val="003B5557"/>
    <w:rsid w:val="003C2574"/>
    <w:rsid w:val="003C4613"/>
    <w:rsid w:val="003D165C"/>
    <w:rsid w:val="003D3059"/>
    <w:rsid w:val="003D36B2"/>
    <w:rsid w:val="003D517E"/>
    <w:rsid w:val="003D7D94"/>
    <w:rsid w:val="003E1B3E"/>
    <w:rsid w:val="003F199A"/>
    <w:rsid w:val="003F4BD4"/>
    <w:rsid w:val="00404B70"/>
    <w:rsid w:val="0041133A"/>
    <w:rsid w:val="00412278"/>
    <w:rsid w:val="004169A8"/>
    <w:rsid w:val="004200FD"/>
    <w:rsid w:val="00426C60"/>
    <w:rsid w:val="004310BB"/>
    <w:rsid w:val="00431A65"/>
    <w:rsid w:val="004352E5"/>
    <w:rsid w:val="004358E2"/>
    <w:rsid w:val="00435953"/>
    <w:rsid w:val="00436C2B"/>
    <w:rsid w:val="00437201"/>
    <w:rsid w:val="00441476"/>
    <w:rsid w:val="0044191C"/>
    <w:rsid w:val="00442AD9"/>
    <w:rsid w:val="00445FA5"/>
    <w:rsid w:val="004531EB"/>
    <w:rsid w:val="0046239D"/>
    <w:rsid w:val="00463486"/>
    <w:rsid w:val="00464D0A"/>
    <w:rsid w:val="004665B1"/>
    <w:rsid w:val="00466B36"/>
    <w:rsid w:val="00473F96"/>
    <w:rsid w:val="00474C2A"/>
    <w:rsid w:val="00475B7A"/>
    <w:rsid w:val="0048400B"/>
    <w:rsid w:val="004907E4"/>
    <w:rsid w:val="004936A7"/>
    <w:rsid w:val="00493AE8"/>
    <w:rsid w:val="004A1573"/>
    <w:rsid w:val="004A1B08"/>
    <w:rsid w:val="004A2D48"/>
    <w:rsid w:val="004A52A8"/>
    <w:rsid w:val="004B4D93"/>
    <w:rsid w:val="004C25B3"/>
    <w:rsid w:val="004C485D"/>
    <w:rsid w:val="004C4CC9"/>
    <w:rsid w:val="004C646F"/>
    <w:rsid w:val="004D18F4"/>
    <w:rsid w:val="004E0908"/>
    <w:rsid w:val="004E1437"/>
    <w:rsid w:val="004E6D55"/>
    <w:rsid w:val="004F0805"/>
    <w:rsid w:val="004F3089"/>
    <w:rsid w:val="004F4FAF"/>
    <w:rsid w:val="004F6A2A"/>
    <w:rsid w:val="004F6C92"/>
    <w:rsid w:val="00503F36"/>
    <w:rsid w:val="00505444"/>
    <w:rsid w:val="005114E6"/>
    <w:rsid w:val="00514B48"/>
    <w:rsid w:val="0052038B"/>
    <w:rsid w:val="005224F4"/>
    <w:rsid w:val="00531A71"/>
    <w:rsid w:val="00535756"/>
    <w:rsid w:val="00535F29"/>
    <w:rsid w:val="00536EFF"/>
    <w:rsid w:val="00543CE0"/>
    <w:rsid w:val="005466E7"/>
    <w:rsid w:val="0054734C"/>
    <w:rsid w:val="00550465"/>
    <w:rsid w:val="00552964"/>
    <w:rsid w:val="00553B2A"/>
    <w:rsid w:val="00560068"/>
    <w:rsid w:val="00562322"/>
    <w:rsid w:val="005629DA"/>
    <w:rsid w:val="005642CA"/>
    <w:rsid w:val="005676AD"/>
    <w:rsid w:val="005828A5"/>
    <w:rsid w:val="00587422"/>
    <w:rsid w:val="00594F6C"/>
    <w:rsid w:val="00595374"/>
    <w:rsid w:val="005A127F"/>
    <w:rsid w:val="005A3876"/>
    <w:rsid w:val="005A4D90"/>
    <w:rsid w:val="005A5672"/>
    <w:rsid w:val="005A7852"/>
    <w:rsid w:val="005A7989"/>
    <w:rsid w:val="005B4EA0"/>
    <w:rsid w:val="005B59E6"/>
    <w:rsid w:val="005B62A0"/>
    <w:rsid w:val="005C0E24"/>
    <w:rsid w:val="005C21D7"/>
    <w:rsid w:val="005C3354"/>
    <w:rsid w:val="005C3525"/>
    <w:rsid w:val="005C3ABD"/>
    <w:rsid w:val="005C5AB4"/>
    <w:rsid w:val="005C7050"/>
    <w:rsid w:val="005C7608"/>
    <w:rsid w:val="005D6B45"/>
    <w:rsid w:val="005D70F1"/>
    <w:rsid w:val="005D7BD0"/>
    <w:rsid w:val="005F033D"/>
    <w:rsid w:val="005F325C"/>
    <w:rsid w:val="005F32EB"/>
    <w:rsid w:val="00601890"/>
    <w:rsid w:val="00603F88"/>
    <w:rsid w:val="006056FB"/>
    <w:rsid w:val="00610BF1"/>
    <w:rsid w:val="006115E2"/>
    <w:rsid w:val="00615340"/>
    <w:rsid w:val="006160F2"/>
    <w:rsid w:val="00622394"/>
    <w:rsid w:val="006277B4"/>
    <w:rsid w:val="00633B86"/>
    <w:rsid w:val="0063620F"/>
    <w:rsid w:val="00640913"/>
    <w:rsid w:val="00641030"/>
    <w:rsid w:val="00645F86"/>
    <w:rsid w:val="00662657"/>
    <w:rsid w:val="0066520E"/>
    <w:rsid w:val="006659A6"/>
    <w:rsid w:val="00665BFC"/>
    <w:rsid w:val="00672C76"/>
    <w:rsid w:val="0067606C"/>
    <w:rsid w:val="006761B0"/>
    <w:rsid w:val="006771F2"/>
    <w:rsid w:val="00684AAE"/>
    <w:rsid w:val="00686886"/>
    <w:rsid w:val="006916C9"/>
    <w:rsid w:val="00692710"/>
    <w:rsid w:val="0069318B"/>
    <w:rsid w:val="00695745"/>
    <w:rsid w:val="006976D9"/>
    <w:rsid w:val="006A0BA4"/>
    <w:rsid w:val="006A5064"/>
    <w:rsid w:val="006B274C"/>
    <w:rsid w:val="006B62C2"/>
    <w:rsid w:val="006B7210"/>
    <w:rsid w:val="006B7521"/>
    <w:rsid w:val="006C313B"/>
    <w:rsid w:val="006C39B0"/>
    <w:rsid w:val="006C7292"/>
    <w:rsid w:val="006D0991"/>
    <w:rsid w:val="006D1814"/>
    <w:rsid w:val="006D7450"/>
    <w:rsid w:val="006E0FD4"/>
    <w:rsid w:val="006E4C31"/>
    <w:rsid w:val="006E610D"/>
    <w:rsid w:val="006F0A4C"/>
    <w:rsid w:val="006F1B9B"/>
    <w:rsid w:val="006F641D"/>
    <w:rsid w:val="00702C62"/>
    <w:rsid w:val="00703171"/>
    <w:rsid w:val="0071022A"/>
    <w:rsid w:val="007107D5"/>
    <w:rsid w:val="00710D39"/>
    <w:rsid w:val="007261C4"/>
    <w:rsid w:val="00733339"/>
    <w:rsid w:val="00734146"/>
    <w:rsid w:val="00736DA4"/>
    <w:rsid w:val="00737C3D"/>
    <w:rsid w:val="00742FDE"/>
    <w:rsid w:val="00746C0C"/>
    <w:rsid w:val="00746F26"/>
    <w:rsid w:val="00750584"/>
    <w:rsid w:val="0075246F"/>
    <w:rsid w:val="007561EB"/>
    <w:rsid w:val="00761AAC"/>
    <w:rsid w:val="00766C68"/>
    <w:rsid w:val="0078274D"/>
    <w:rsid w:val="00784253"/>
    <w:rsid w:val="007853D8"/>
    <w:rsid w:val="0078733C"/>
    <w:rsid w:val="00791F57"/>
    <w:rsid w:val="00793238"/>
    <w:rsid w:val="007950C8"/>
    <w:rsid w:val="00796B9C"/>
    <w:rsid w:val="007B774E"/>
    <w:rsid w:val="007D0792"/>
    <w:rsid w:val="007D18AE"/>
    <w:rsid w:val="007D6C74"/>
    <w:rsid w:val="007E0B2C"/>
    <w:rsid w:val="007E16E1"/>
    <w:rsid w:val="007E28C5"/>
    <w:rsid w:val="007E4B40"/>
    <w:rsid w:val="007F397E"/>
    <w:rsid w:val="007F4D99"/>
    <w:rsid w:val="007F68C4"/>
    <w:rsid w:val="007F6946"/>
    <w:rsid w:val="008006A3"/>
    <w:rsid w:val="00805692"/>
    <w:rsid w:val="00812409"/>
    <w:rsid w:val="00815969"/>
    <w:rsid w:val="00816D5D"/>
    <w:rsid w:val="00821A0C"/>
    <w:rsid w:val="0082316B"/>
    <w:rsid w:val="008275AC"/>
    <w:rsid w:val="00835300"/>
    <w:rsid w:val="008365E9"/>
    <w:rsid w:val="00842E36"/>
    <w:rsid w:val="0084650C"/>
    <w:rsid w:val="008473F9"/>
    <w:rsid w:val="008577B7"/>
    <w:rsid w:val="008604EF"/>
    <w:rsid w:val="00862380"/>
    <w:rsid w:val="008724EA"/>
    <w:rsid w:val="0088263D"/>
    <w:rsid w:val="00882F73"/>
    <w:rsid w:val="008873A0"/>
    <w:rsid w:val="00887BFA"/>
    <w:rsid w:val="00890A20"/>
    <w:rsid w:val="00890C38"/>
    <w:rsid w:val="00892D9A"/>
    <w:rsid w:val="008943D8"/>
    <w:rsid w:val="008A1447"/>
    <w:rsid w:val="008B171D"/>
    <w:rsid w:val="008C2200"/>
    <w:rsid w:val="008C3F75"/>
    <w:rsid w:val="008C74AA"/>
    <w:rsid w:val="008D59FE"/>
    <w:rsid w:val="008E0730"/>
    <w:rsid w:val="008E1143"/>
    <w:rsid w:val="008E14E7"/>
    <w:rsid w:val="008F3CA2"/>
    <w:rsid w:val="008F5871"/>
    <w:rsid w:val="008F59A0"/>
    <w:rsid w:val="00904635"/>
    <w:rsid w:val="00905337"/>
    <w:rsid w:val="0091061F"/>
    <w:rsid w:val="00913204"/>
    <w:rsid w:val="00916D1F"/>
    <w:rsid w:val="009220D7"/>
    <w:rsid w:val="009249B2"/>
    <w:rsid w:val="0092737A"/>
    <w:rsid w:val="009279BE"/>
    <w:rsid w:val="0093211F"/>
    <w:rsid w:val="00937C89"/>
    <w:rsid w:val="009401FC"/>
    <w:rsid w:val="00943501"/>
    <w:rsid w:val="0094364A"/>
    <w:rsid w:val="00946E22"/>
    <w:rsid w:val="009608C5"/>
    <w:rsid w:val="009617AA"/>
    <w:rsid w:val="00965C26"/>
    <w:rsid w:val="00972F1D"/>
    <w:rsid w:val="00972FA6"/>
    <w:rsid w:val="009733A9"/>
    <w:rsid w:val="009765E1"/>
    <w:rsid w:val="00987ED8"/>
    <w:rsid w:val="009919F6"/>
    <w:rsid w:val="00993484"/>
    <w:rsid w:val="00993B3A"/>
    <w:rsid w:val="00995E09"/>
    <w:rsid w:val="00997C11"/>
    <w:rsid w:val="00997C83"/>
    <w:rsid w:val="009A4BA3"/>
    <w:rsid w:val="009A7A59"/>
    <w:rsid w:val="009A7ECE"/>
    <w:rsid w:val="009C35C9"/>
    <w:rsid w:val="009C4903"/>
    <w:rsid w:val="009C4BD7"/>
    <w:rsid w:val="009C6F3F"/>
    <w:rsid w:val="009C744D"/>
    <w:rsid w:val="009D27E8"/>
    <w:rsid w:val="009D2C2F"/>
    <w:rsid w:val="009E6375"/>
    <w:rsid w:val="009F24BF"/>
    <w:rsid w:val="009F3835"/>
    <w:rsid w:val="00A00487"/>
    <w:rsid w:val="00A03231"/>
    <w:rsid w:val="00A0402C"/>
    <w:rsid w:val="00A04E1C"/>
    <w:rsid w:val="00A108E6"/>
    <w:rsid w:val="00A10E40"/>
    <w:rsid w:val="00A120B3"/>
    <w:rsid w:val="00A15288"/>
    <w:rsid w:val="00A15CD1"/>
    <w:rsid w:val="00A16D7F"/>
    <w:rsid w:val="00A22E0F"/>
    <w:rsid w:val="00A26B7B"/>
    <w:rsid w:val="00A30890"/>
    <w:rsid w:val="00A3327E"/>
    <w:rsid w:val="00A33C3D"/>
    <w:rsid w:val="00A410D0"/>
    <w:rsid w:val="00A50F13"/>
    <w:rsid w:val="00A531DB"/>
    <w:rsid w:val="00A561D3"/>
    <w:rsid w:val="00A6176B"/>
    <w:rsid w:val="00A61F12"/>
    <w:rsid w:val="00A66511"/>
    <w:rsid w:val="00A71C58"/>
    <w:rsid w:val="00A72713"/>
    <w:rsid w:val="00A74FFC"/>
    <w:rsid w:val="00A75ED6"/>
    <w:rsid w:val="00A76107"/>
    <w:rsid w:val="00A76C36"/>
    <w:rsid w:val="00A8091C"/>
    <w:rsid w:val="00A8203A"/>
    <w:rsid w:val="00A82951"/>
    <w:rsid w:val="00A900F4"/>
    <w:rsid w:val="00AA2ED1"/>
    <w:rsid w:val="00AA3ECB"/>
    <w:rsid w:val="00AA5FD6"/>
    <w:rsid w:val="00AA6DF3"/>
    <w:rsid w:val="00AB04B8"/>
    <w:rsid w:val="00AB75B6"/>
    <w:rsid w:val="00AC6531"/>
    <w:rsid w:val="00AC7F32"/>
    <w:rsid w:val="00AD0B9B"/>
    <w:rsid w:val="00AD344A"/>
    <w:rsid w:val="00AD72DD"/>
    <w:rsid w:val="00AE4E72"/>
    <w:rsid w:val="00AF482A"/>
    <w:rsid w:val="00B01B6C"/>
    <w:rsid w:val="00B11B99"/>
    <w:rsid w:val="00B121EA"/>
    <w:rsid w:val="00B13154"/>
    <w:rsid w:val="00B228C7"/>
    <w:rsid w:val="00B27B81"/>
    <w:rsid w:val="00B40844"/>
    <w:rsid w:val="00B42982"/>
    <w:rsid w:val="00B43D40"/>
    <w:rsid w:val="00B44025"/>
    <w:rsid w:val="00B44C2B"/>
    <w:rsid w:val="00B45E94"/>
    <w:rsid w:val="00B463CA"/>
    <w:rsid w:val="00B47800"/>
    <w:rsid w:val="00B50C99"/>
    <w:rsid w:val="00B51514"/>
    <w:rsid w:val="00B56E34"/>
    <w:rsid w:val="00B5737E"/>
    <w:rsid w:val="00B57DF2"/>
    <w:rsid w:val="00B601AD"/>
    <w:rsid w:val="00B61AC7"/>
    <w:rsid w:val="00B66380"/>
    <w:rsid w:val="00B76012"/>
    <w:rsid w:val="00B808CB"/>
    <w:rsid w:val="00B845CF"/>
    <w:rsid w:val="00B91011"/>
    <w:rsid w:val="00B92DE7"/>
    <w:rsid w:val="00B9407E"/>
    <w:rsid w:val="00B948A7"/>
    <w:rsid w:val="00B949DE"/>
    <w:rsid w:val="00BA0BCC"/>
    <w:rsid w:val="00BA2576"/>
    <w:rsid w:val="00BA31AF"/>
    <w:rsid w:val="00BB13F4"/>
    <w:rsid w:val="00BB277C"/>
    <w:rsid w:val="00BB3273"/>
    <w:rsid w:val="00BB51A9"/>
    <w:rsid w:val="00BC5503"/>
    <w:rsid w:val="00BC5931"/>
    <w:rsid w:val="00BC593B"/>
    <w:rsid w:val="00BE2BD2"/>
    <w:rsid w:val="00BE30F8"/>
    <w:rsid w:val="00BE31AD"/>
    <w:rsid w:val="00BE5BCF"/>
    <w:rsid w:val="00BE75B6"/>
    <w:rsid w:val="00BF4F06"/>
    <w:rsid w:val="00C0210B"/>
    <w:rsid w:val="00C04F28"/>
    <w:rsid w:val="00C06EB4"/>
    <w:rsid w:val="00C073D6"/>
    <w:rsid w:val="00C07922"/>
    <w:rsid w:val="00C21D3C"/>
    <w:rsid w:val="00C25477"/>
    <w:rsid w:val="00C2633E"/>
    <w:rsid w:val="00C310E9"/>
    <w:rsid w:val="00C3264E"/>
    <w:rsid w:val="00C333CC"/>
    <w:rsid w:val="00C338E1"/>
    <w:rsid w:val="00C40252"/>
    <w:rsid w:val="00C42987"/>
    <w:rsid w:val="00C42B6D"/>
    <w:rsid w:val="00C43F4A"/>
    <w:rsid w:val="00C545FA"/>
    <w:rsid w:val="00C7285A"/>
    <w:rsid w:val="00C73D5D"/>
    <w:rsid w:val="00C75CC2"/>
    <w:rsid w:val="00C77314"/>
    <w:rsid w:val="00C92B3B"/>
    <w:rsid w:val="00C9305A"/>
    <w:rsid w:val="00C96890"/>
    <w:rsid w:val="00CA32E6"/>
    <w:rsid w:val="00CA7995"/>
    <w:rsid w:val="00CB5856"/>
    <w:rsid w:val="00CC7431"/>
    <w:rsid w:val="00CD0FB3"/>
    <w:rsid w:val="00CD320F"/>
    <w:rsid w:val="00CD62C0"/>
    <w:rsid w:val="00CE0873"/>
    <w:rsid w:val="00CE5E5B"/>
    <w:rsid w:val="00CF00D3"/>
    <w:rsid w:val="00CF413C"/>
    <w:rsid w:val="00CF6E4B"/>
    <w:rsid w:val="00D01723"/>
    <w:rsid w:val="00D0174E"/>
    <w:rsid w:val="00D072F5"/>
    <w:rsid w:val="00D07B3B"/>
    <w:rsid w:val="00D113DD"/>
    <w:rsid w:val="00D12350"/>
    <w:rsid w:val="00D12B62"/>
    <w:rsid w:val="00D14EF6"/>
    <w:rsid w:val="00D157F0"/>
    <w:rsid w:val="00D15A0A"/>
    <w:rsid w:val="00D2398D"/>
    <w:rsid w:val="00D24453"/>
    <w:rsid w:val="00D25285"/>
    <w:rsid w:val="00D26255"/>
    <w:rsid w:val="00D30A95"/>
    <w:rsid w:val="00D30D4D"/>
    <w:rsid w:val="00D34FA4"/>
    <w:rsid w:val="00D3724C"/>
    <w:rsid w:val="00D3760D"/>
    <w:rsid w:val="00D37DAA"/>
    <w:rsid w:val="00D5070E"/>
    <w:rsid w:val="00D535DC"/>
    <w:rsid w:val="00D547B6"/>
    <w:rsid w:val="00D57B17"/>
    <w:rsid w:val="00D60BAB"/>
    <w:rsid w:val="00D6224D"/>
    <w:rsid w:val="00D63ED9"/>
    <w:rsid w:val="00D647CD"/>
    <w:rsid w:val="00D6507F"/>
    <w:rsid w:val="00D65FAA"/>
    <w:rsid w:val="00D7272F"/>
    <w:rsid w:val="00D76A2A"/>
    <w:rsid w:val="00D80947"/>
    <w:rsid w:val="00D82604"/>
    <w:rsid w:val="00D837ED"/>
    <w:rsid w:val="00D83BAD"/>
    <w:rsid w:val="00D8568E"/>
    <w:rsid w:val="00D85FB1"/>
    <w:rsid w:val="00D913E4"/>
    <w:rsid w:val="00D91FF4"/>
    <w:rsid w:val="00D92090"/>
    <w:rsid w:val="00D923E9"/>
    <w:rsid w:val="00D95D97"/>
    <w:rsid w:val="00D960EA"/>
    <w:rsid w:val="00D96A60"/>
    <w:rsid w:val="00DA1C85"/>
    <w:rsid w:val="00DA29C9"/>
    <w:rsid w:val="00DA3571"/>
    <w:rsid w:val="00DB4660"/>
    <w:rsid w:val="00DB4719"/>
    <w:rsid w:val="00DB4EF4"/>
    <w:rsid w:val="00DB5AA2"/>
    <w:rsid w:val="00DB7193"/>
    <w:rsid w:val="00DB7B55"/>
    <w:rsid w:val="00DB7C86"/>
    <w:rsid w:val="00DD40DA"/>
    <w:rsid w:val="00DD76E7"/>
    <w:rsid w:val="00DE2F19"/>
    <w:rsid w:val="00DF340A"/>
    <w:rsid w:val="00DF367C"/>
    <w:rsid w:val="00DF5778"/>
    <w:rsid w:val="00E0573A"/>
    <w:rsid w:val="00E06755"/>
    <w:rsid w:val="00E11E88"/>
    <w:rsid w:val="00E14D47"/>
    <w:rsid w:val="00E14F9F"/>
    <w:rsid w:val="00E17AC2"/>
    <w:rsid w:val="00E221FD"/>
    <w:rsid w:val="00E27101"/>
    <w:rsid w:val="00E2753C"/>
    <w:rsid w:val="00E31489"/>
    <w:rsid w:val="00E31539"/>
    <w:rsid w:val="00E33022"/>
    <w:rsid w:val="00E34C26"/>
    <w:rsid w:val="00E37BD0"/>
    <w:rsid w:val="00E40778"/>
    <w:rsid w:val="00E40ABB"/>
    <w:rsid w:val="00E41BE5"/>
    <w:rsid w:val="00E42540"/>
    <w:rsid w:val="00E47852"/>
    <w:rsid w:val="00E533BE"/>
    <w:rsid w:val="00E540B7"/>
    <w:rsid w:val="00E60B90"/>
    <w:rsid w:val="00E62DB3"/>
    <w:rsid w:val="00E6481E"/>
    <w:rsid w:val="00E65F53"/>
    <w:rsid w:val="00E70A30"/>
    <w:rsid w:val="00E71FD9"/>
    <w:rsid w:val="00E74D53"/>
    <w:rsid w:val="00E83C8A"/>
    <w:rsid w:val="00E96F9E"/>
    <w:rsid w:val="00EA2DE2"/>
    <w:rsid w:val="00EA5A80"/>
    <w:rsid w:val="00EB1AE0"/>
    <w:rsid w:val="00EC29B1"/>
    <w:rsid w:val="00EC4F7C"/>
    <w:rsid w:val="00ED5B76"/>
    <w:rsid w:val="00ED7008"/>
    <w:rsid w:val="00ED76B2"/>
    <w:rsid w:val="00EE1C30"/>
    <w:rsid w:val="00EF184A"/>
    <w:rsid w:val="00EF2FFD"/>
    <w:rsid w:val="00EF3200"/>
    <w:rsid w:val="00EF32EA"/>
    <w:rsid w:val="00EF6AD5"/>
    <w:rsid w:val="00F0045A"/>
    <w:rsid w:val="00F0235A"/>
    <w:rsid w:val="00F02767"/>
    <w:rsid w:val="00F0488E"/>
    <w:rsid w:val="00F05CAB"/>
    <w:rsid w:val="00F0783D"/>
    <w:rsid w:val="00F17BE3"/>
    <w:rsid w:val="00F2124C"/>
    <w:rsid w:val="00F258A0"/>
    <w:rsid w:val="00F26CEA"/>
    <w:rsid w:val="00F2784F"/>
    <w:rsid w:val="00F33468"/>
    <w:rsid w:val="00F437B9"/>
    <w:rsid w:val="00F450F5"/>
    <w:rsid w:val="00F502F0"/>
    <w:rsid w:val="00F51335"/>
    <w:rsid w:val="00F52EEA"/>
    <w:rsid w:val="00F5775E"/>
    <w:rsid w:val="00F61583"/>
    <w:rsid w:val="00F62BCA"/>
    <w:rsid w:val="00F632B5"/>
    <w:rsid w:val="00F64D44"/>
    <w:rsid w:val="00F65529"/>
    <w:rsid w:val="00F65903"/>
    <w:rsid w:val="00F65A80"/>
    <w:rsid w:val="00F72231"/>
    <w:rsid w:val="00F758E9"/>
    <w:rsid w:val="00F76054"/>
    <w:rsid w:val="00F7691A"/>
    <w:rsid w:val="00F81CC9"/>
    <w:rsid w:val="00F82EDF"/>
    <w:rsid w:val="00F8480F"/>
    <w:rsid w:val="00F92D04"/>
    <w:rsid w:val="00F95E5F"/>
    <w:rsid w:val="00FA07D9"/>
    <w:rsid w:val="00FA45D6"/>
    <w:rsid w:val="00FB2E9E"/>
    <w:rsid w:val="00FB5F14"/>
    <w:rsid w:val="00FB7918"/>
    <w:rsid w:val="00FC1C02"/>
    <w:rsid w:val="00FC2237"/>
    <w:rsid w:val="00FC6F2E"/>
    <w:rsid w:val="00FC7060"/>
    <w:rsid w:val="00FD180D"/>
    <w:rsid w:val="00FD3799"/>
    <w:rsid w:val="00FD68B7"/>
    <w:rsid w:val="00FE4A9F"/>
    <w:rsid w:val="00FE4B59"/>
    <w:rsid w:val="00FE64B9"/>
    <w:rsid w:val="00FE66D0"/>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C92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B3B"/>
    <w:rPr>
      <w:sz w:val="20"/>
      <w:szCs w:val="20"/>
      <w:lang w:val="en-ZA"/>
    </w:rPr>
  </w:style>
  <w:style w:type="character" w:styleId="EndnoteReference">
    <w:name w:val="endnote reference"/>
    <w:basedOn w:val="DefaultParagraphFont"/>
    <w:uiPriority w:val="99"/>
    <w:semiHidden/>
    <w:unhideWhenUsed/>
    <w:rsid w:val="00C92B3B"/>
    <w:rPr>
      <w:vertAlign w:val="superscript"/>
    </w:rPr>
  </w:style>
  <w:style w:type="paragraph" w:styleId="NoSpacing">
    <w:name w:val="No Spacing"/>
    <w:uiPriority w:val="1"/>
    <w:qFormat/>
    <w:rsid w:val="00965C26"/>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2024-04-28T18:30:00+00:00</Judgment_x0020_Date>
    <Year xmlns="aec0a7e9-5f5c-4ba9-87b2-85cfc8a38b86">2024</Year>
  </documentManagement>
</p:properties>
</file>

<file path=customXml/itemProps1.xml><?xml version="1.0" encoding="utf-8"?>
<ds:datastoreItem xmlns:ds="http://schemas.openxmlformats.org/officeDocument/2006/customXml" ds:itemID="{CA25DBAE-D654-4E27-9B39-6C1F9BC6B8AC}"/>
</file>

<file path=customXml/itemProps2.xml><?xml version="1.0" encoding="utf-8"?>
<ds:datastoreItem xmlns:ds="http://schemas.openxmlformats.org/officeDocument/2006/customXml" ds:itemID="{6ED311BB-38CD-4DAA-A78F-DF15715BBF5C}"/>
</file>

<file path=customXml/itemProps3.xml><?xml version="1.0" encoding="utf-8"?>
<ds:datastoreItem xmlns:ds="http://schemas.openxmlformats.org/officeDocument/2006/customXml" ds:itemID="{1CAF1BFE-356C-4D09-8CCD-F6B56BBE1F84}"/>
</file>

<file path=customXml/itemProps4.xml><?xml version="1.0" encoding="utf-8"?>
<ds:datastoreItem xmlns:ds="http://schemas.openxmlformats.org/officeDocument/2006/customXml" ds:itemID="{E510AD1C-FCD8-43C1-AF7F-D8A444ABEF2E}"/>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Shoprite Namibia (Pty) Ltd v Martin (HC-MD-LAB-APP-AAA-2021-00041) [2024] NALCMD 16 (29 April 2024)</dc:title>
  <dc:subject/>
  <dc:creator>shomany keister</dc:creator>
  <cp:keywords/>
  <dc:description/>
  <cp:lastModifiedBy>Charlet Mokomele</cp:lastModifiedBy>
  <cp:revision>2</cp:revision>
  <cp:lastPrinted>2024-04-29T12:11:00Z</cp:lastPrinted>
  <dcterms:created xsi:type="dcterms:W3CDTF">2024-04-30T07:21:00Z</dcterms:created>
  <dcterms:modified xsi:type="dcterms:W3CDTF">2024-04-30T07:21:00Z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0x0101008CCF6D66F229EE4D8B714E6AF2A2557D</vt:lpwstr>
  </property>
</Properties>
</file>