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E6" w:rsidRPr="009A6784" w:rsidRDefault="00343FE6" w:rsidP="003A4756">
      <w:pPr>
        <w:spacing w:line="360" w:lineRule="auto"/>
        <w:rPr>
          <w:b/>
        </w:rPr>
      </w:pPr>
      <w:r w:rsidRPr="009A6784">
        <w:rPr>
          <w:b/>
          <w:noProof/>
          <w:lang w:eastAsia="en-ZA"/>
        </w:rPr>
        <w:drawing>
          <wp:anchor distT="0" distB="0" distL="114300" distR="114300" simplePos="0" relativeHeight="251659264" behindDoc="0" locked="0" layoutInCell="1" allowOverlap="1">
            <wp:simplePos x="0" y="0"/>
            <wp:positionH relativeFrom="margin">
              <wp:posOffset>2038350</wp:posOffset>
            </wp:positionH>
            <wp:positionV relativeFrom="margin">
              <wp:posOffset>-723900</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343FE6" w:rsidRPr="009A6784" w:rsidRDefault="00343FE6" w:rsidP="001D20F2">
      <w:pPr>
        <w:spacing w:line="360" w:lineRule="auto"/>
        <w:ind w:left="1701"/>
        <w:rPr>
          <w:b/>
        </w:rPr>
      </w:pPr>
    </w:p>
    <w:p w:rsidR="00343FE6" w:rsidRPr="009A6784" w:rsidRDefault="00343FE6" w:rsidP="001D20F2">
      <w:pPr>
        <w:spacing w:line="360" w:lineRule="auto"/>
        <w:ind w:left="1701"/>
        <w:rPr>
          <w:b/>
        </w:rPr>
      </w:pPr>
    </w:p>
    <w:p w:rsidR="00165A46" w:rsidRPr="009A6784" w:rsidRDefault="00165A46" w:rsidP="001D20F2">
      <w:pPr>
        <w:spacing w:line="360" w:lineRule="auto"/>
        <w:ind w:left="1701"/>
        <w:rPr>
          <w:b/>
        </w:rPr>
      </w:pPr>
    </w:p>
    <w:p w:rsidR="00343FE6" w:rsidRPr="009A6784" w:rsidRDefault="00343FE6" w:rsidP="001D20F2">
      <w:pPr>
        <w:spacing w:line="360" w:lineRule="auto"/>
        <w:ind w:left="1701"/>
        <w:jc w:val="right"/>
        <w:rPr>
          <w:b/>
        </w:rPr>
      </w:pPr>
      <w:r w:rsidRPr="009A6784">
        <w:rPr>
          <w:b/>
        </w:rPr>
        <w:t>REPORTABLE</w:t>
      </w:r>
    </w:p>
    <w:p w:rsidR="00FA4FE3" w:rsidRPr="009A6784" w:rsidRDefault="00343FE6" w:rsidP="001D20F2">
      <w:pPr>
        <w:spacing w:line="360" w:lineRule="auto"/>
        <w:ind w:left="5760"/>
        <w:jc w:val="right"/>
      </w:pPr>
      <w:r w:rsidRPr="009A6784">
        <w:t>CASE NO</w:t>
      </w:r>
      <w:r w:rsidR="00F75D93">
        <w:t>:</w:t>
      </w:r>
      <w:r w:rsidR="00FA4FE3" w:rsidRPr="009A6784">
        <w:t xml:space="preserve"> SA 24/2015</w:t>
      </w:r>
    </w:p>
    <w:p w:rsidR="00F75D93" w:rsidRDefault="00F75D93" w:rsidP="001D20F2">
      <w:pPr>
        <w:spacing w:line="360" w:lineRule="auto"/>
        <w:rPr>
          <w:b/>
        </w:rPr>
      </w:pPr>
    </w:p>
    <w:p w:rsidR="00FA4FE3" w:rsidRPr="009A6784" w:rsidRDefault="00FA4FE3" w:rsidP="001D20F2">
      <w:pPr>
        <w:spacing w:line="360" w:lineRule="auto"/>
        <w:rPr>
          <w:b/>
        </w:rPr>
      </w:pPr>
      <w:r w:rsidRPr="009A6784">
        <w:rPr>
          <w:b/>
        </w:rPr>
        <w:t>IN THE SUPREME COURT OF NAMIBIA</w:t>
      </w:r>
    </w:p>
    <w:p w:rsidR="00FA4FE3" w:rsidRPr="009A6784" w:rsidRDefault="00FA4FE3" w:rsidP="001D20F2">
      <w:pPr>
        <w:spacing w:line="360" w:lineRule="auto"/>
      </w:pPr>
    </w:p>
    <w:p w:rsidR="00FA4FE3" w:rsidRPr="009A6784" w:rsidRDefault="00FA4FE3" w:rsidP="001D20F2">
      <w:pPr>
        <w:spacing w:line="360" w:lineRule="auto"/>
      </w:pPr>
      <w:r w:rsidRPr="009A6784">
        <w:t>In the matter between:</w:t>
      </w:r>
    </w:p>
    <w:p w:rsidR="00FA4FE3" w:rsidRPr="009A6784" w:rsidRDefault="00FA4FE3" w:rsidP="001D20F2">
      <w:pPr>
        <w:spacing w:line="360" w:lineRule="auto"/>
      </w:pPr>
    </w:p>
    <w:p w:rsidR="00343FE6" w:rsidRPr="009A6784" w:rsidRDefault="00343FE6" w:rsidP="001D20F2">
      <w:pPr>
        <w:spacing w:line="360" w:lineRule="auto"/>
        <w:rPr>
          <w:b/>
        </w:rPr>
      </w:pPr>
    </w:p>
    <w:p w:rsidR="00FA4FE3" w:rsidRPr="009A6784" w:rsidRDefault="00087DC7" w:rsidP="001D20F2">
      <w:pPr>
        <w:spacing w:line="360" w:lineRule="auto"/>
        <w:rPr>
          <w:b/>
        </w:rPr>
      </w:pPr>
      <w:r w:rsidRPr="009A6784">
        <w:rPr>
          <w:b/>
        </w:rPr>
        <w:t xml:space="preserve">CHARMAIN THERESIA MENTOOR </w:t>
      </w:r>
      <w:r w:rsidRPr="009A6784">
        <w:rPr>
          <w:b/>
        </w:rPr>
        <w:tab/>
      </w:r>
      <w:r w:rsidRPr="009A6784">
        <w:rPr>
          <w:b/>
        </w:rPr>
        <w:tab/>
      </w:r>
      <w:r w:rsidRPr="009A6784">
        <w:rPr>
          <w:b/>
        </w:rPr>
        <w:tab/>
      </w:r>
      <w:r w:rsidR="00FA4FE3" w:rsidRPr="009A6784">
        <w:rPr>
          <w:b/>
        </w:rPr>
        <w:tab/>
      </w:r>
      <w:r w:rsidR="00FA4FE3" w:rsidRPr="009A6784">
        <w:rPr>
          <w:b/>
        </w:rPr>
        <w:tab/>
        <w:t>Appellant</w:t>
      </w:r>
    </w:p>
    <w:p w:rsidR="00FA4FE3" w:rsidRPr="009A6784" w:rsidRDefault="00087DC7" w:rsidP="001D20F2">
      <w:pPr>
        <w:spacing w:line="360" w:lineRule="auto"/>
      </w:pPr>
      <w:r w:rsidRPr="009A6784">
        <w:t xml:space="preserve"> </w:t>
      </w:r>
    </w:p>
    <w:p w:rsidR="00FA4FE3" w:rsidRPr="009A6784" w:rsidRDefault="00E058AD" w:rsidP="001D20F2">
      <w:pPr>
        <w:spacing w:line="360" w:lineRule="auto"/>
      </w:pPr>
      <w:r w:rsidRPr="009A6784">
        <w:t>a</w:t>
      </w:r>
      <w:r w:rsidR="00FA4FE3" w:rsidRPr="009A6784">
        <w:t>nd</w:t>
      </w:r>
    </w:p>
    <w:p w:rsidR="00087DC7" w:rsidRPr="009A6784" w:rsidRDefault="00087DC7" w:rsidP="001D20F2">
      <w:pPr>
        <w:spacing w:line="360" w:lineRule="auto"/>
      </w:pPr>
    </w:p>
    <w:p w:rsidR="00FA4FE3" w:rsidRPr="009A6784" w:rsidRDefault="00087DC7" w:rsidP="001D20F2">
      <w:pPr>
        <w:spacing w:line="360" w:lineRule="auto"/>
      </w:pPr>
      <w:r w:rsidRPr="009A6784">
        <w:rPr>
          <w:b/>
        </w:rPr>
        <w:t>NAIROBI LUKAS USEBIU</w:t>
      </w:r>
      <w:r w:rsidR="00FA4FE3" w:rsidRPr="009A6784">
        <w:rPr>
          <w:b/>
        </w:rPr>
        <w:tab/>
      </w:r>
      <w:r w:rsidR="00FA4FE3" w:rsidRPr="009A6784">
        <w:rPr>
          <w:b/>
        </w:rPr>
        <w:tab/>
      </w:r>
      <w:r w:rsidR="00FA4FE3" w:rsidRPr="009A6784">
        <w:rPr>
          <w:b/>
        </w:rPr>
        <w:tab/>
      </w:r>
      <w:r w:rsidR="00FA4FE3" w:rsidRPr="009A6784">
        <w:rPr>
          <w:b/>
        </w:rPr>
        <w:tab/>
      </w:r>
      <w:r w:rsidR="00F75D93">
        <w:rPr>
          <w:b/>
        </w:rPr>
        <w:tab/>
      </w:r>
      <w:r w:rsidR="00780C27">
        <w:rPr>
          <w:b/>
        </w:rPr>
        <w:tab/>
      </w:r>
      <w:r w:rsidR="00FA4FE3" w:rsidRPr="009A6784">
        <w:rPr>
          <w:b/>
        </w:rPr>
        <w:t xml:space="preserve">Respondent </w:t>
      </w:r>
    </w:p>
    <w:p w:rsidR="00FA4FE3" w:rsidRPr="009A6784" w:rsidRDefault="00FA4FE3" w:rsidP="001D20F2">
      <w:pPr>
        <w:spacing w:line="360" w:lineRule="auto"/>
        <w:rPr>
          <w:b/>
          <w:lang w:val="en-US"/>
        </w:rPr>
      </w:pPr>
    </w:p>
    <w:p w:rsidR="00FA4FE3" w:rsidRPr="009A6784" w:rsidRDefault="00FA4FE3" w:rsidP="001D20F2">
      <w:pPr>
        <w:spacing w:line="360" w:lineRule="auto"/>
        <w:rPr>
          <w:b/>
          <w:lang w:val="en-US"/>
        </w:rPr>
      </w:pPr>
      <w:r w:rsidRPr="009A6784">
        <w:rPr>
          <w:b/>
          <w:lang w:val="en-US"/>
        </w:rPr>
        <w:t>Coram:</w:t>
      </w:r>
      <w:r w:rsidRPr="009A6784">
        <w:rPr>
          <w:b/>
          <w:lang w:val="en-US"/>
        </w:rPr>
        <w:tab/>
      </w:r>
      <w:r w:rsidRPr="009A6784">
        <w:rPr>
          <w:b/>
          <w:lang w:val="en-US"/>
        </w:rPr>
        <w:tab/>
      </w:r>
      <w:r w:rsidRPr="009A6784">
        <w:rPr>
          <w:lang w:val="en-US"/>
        </w:rPr>
        <w:t xml:space="preserve">SHIVUTE CJ, </w:t>
      </w:r>
      <w:r w:rsidR="00087DC7" w:rsidRPr="009A6784">
        <w:rPr>
          <w:lang w:val="en-US"/>
        </w:rPr>
        <w:t>MAINGA</w:t>
      </w:r>
      <w:r w:rsidRPr="009A6784">
        <w:rPr>
          <w:lang w:val="en-US"/>
        </w:rPr>
        <w:t xml:space="preserve"> JA and S</w:t>
      </w:r>
      <w:r w:rsidR="00087DC7" w:rsidRPr="009A6784">
        <w:rPr>
          <w:lang w:val="en-US"/>
        </w:rPr>
        <w:t xml:space="preserve">MUTS </w:t>
      </w:r>
      <w:r w:rsidRPr="009A6784">
        <w:rPr>
          <w:lang w:val="en-US"/>
        </w:rPr>
        <w:t>JA</w:t>
      </w:r>
    </w:p>
    <w:p w:rsidR="00FA4FE3" w:rsidRPr="009A6784" w:rsidRDefault="00087DC7" w:rsidP="001D20F2">
      <w:pPr>
        <w:spacing w:line="360" w:lineRule="auto"/>
        <w:rPr>
          <w:b/>
          <w:lang w:val="en-ZW"/>
        </w:rPr>
      </w:pPr>
      <w:r w:rsidRPr="009A6784">
        <w:rPr>
          <w:b/>
          <w:lang w:val="en-ZW"/>
        </w:rPr>
        <w:t>Heard:</w:t>
      </w:r>
      <w:r w:rsidRPr="009A6784">
        <w:rPr>
          <w:b/>
          <w:lang w:val="en-ZW"/>
        </w:rPr>
        <w:tab/>
      </w:r>
      <w:r w:rsidRPr="009A6784">
        <w:rPr>
          <w:b/>
          <w:lang w:val="en-ZW"/>
        </w:rPr>
        <w:tab/>
        <w:t>31 March</w:t>
      </w:r>
      <w:r w:rsidR="00FA4FE3" w:rsidRPr="009A6784">
        <w:rPr>
          <w:b/>
          <w:lang w:val="en-ZW"/>
        </w:rPr>
        <w:t xml:space="preserve"> 20</w:t>
      </w:r>
      <w:r w:rsidR="00151CEF">
        <w:rPr>
          <w:b/>
          <w:lang w:val="en-ZW"/>
        </w:rPr>
        <w:t>1</w:t>
      </w:r>
      <w:r w:rsidR="00FA4FE3" w:rsidRPr="009A6784">
        <w:rPr>
          <w:b/>
          <w:lang w:val="en-ZW"/>
        </w:rPr>
        <w:t>7</w:t>
      </w:r>
    </w:p>
    <w:p w:rsidR="00FA4FE3" w:rsidRPr="009A6784" w:rsidRDefault="00FA4FE3" w:rsidP="001D20F2">
      <w:pPr>
        <w:spacing w:line="360" w:lineRule="auto"/>
        <w:rPr>
          <w:b/>
          <w:lang w:val="en-ZW"/>
        </w:rPr>
      </w:pPr>
      <w:r w:rsidRPr="009A6784">
        <w:rPr>
          <w:b/>
          <w:lang w:val="en-ZW"/>
        </w:rPr>
        <w:t>Delivered:</w:t>
      </w:r>
      <w:r w:rsidRPr="009A6784">
        <w:rPr>
          <w:b/>
          <w:lang w:val="en-ZW"/>
        </w:rPr>
        <w:tab/>
      </w:r>
      <w:r w:rsidRPr="009A6784">
        <w:rPr>
          <w:b/>
          <w:lang w:val="en-ZW"/>
        </w:rPr>
        <w:tab/>
      </w:r>
      <w:r w:rsidR="00043B4B">
        <w:rPr>
          <w:b/>
          <w:lang w:val="en-ZW"/>
        </w:rPr>
        <w:t xml:space="preserve">19 </w:t>
      </w:r>
      <w:r w:rsidR="00087DC7" w:rsidRPr="009A6784">
        <w:rPr>
          <w:b/>
          <w:lang w:val="en-ZW"/>
        </w:rPr>
        <w:t xml:space="preserve">April </w:t>
      </w:r>
      <w:r w:rsidRPr="009A6784">
        <w:rPr>
          <w:b/>
          <w:lang w:val="en-ZW"/>
        </w:rPr>
        <w:t>2017</w:t>
      </w:r>
    </w:p>
    <w:p w:rsidR="000D6D1F" w:rsidRDefault="000D6D1F" w:rsidP="001D20F2">
      <w:pPr>
        <w:spacing w:line="360" w:lineRule="auto"/>
        <w:rPr>
          <w:b/>
        </w:rPr>
      </w:pPr>
    </w:p>
    <w:p w:rsidR="000D6D1F" w:rsidRDefault="000D6D1F" w:rsidP="003A4756">
      <w:pPr>
        <w:spacing w:line="360" w:lineRule="auto"/>
        <w:rPr>
          <w:rFonts w:eastAsia="Calibri"/>
          <w:color w:val="000000" w:themeColor="text1"/>
          <w:lang w:val="en-US"/>
        </w:rPr>
      </w:pPr>
      <w:r w:rsidRPr="00B94203">
        <w:rPr>
          <w:b/>
        </w:rPr>
        <w:t>Summary:</w:t>
      </w:r>
      <w:r>
        <w:rPr>
          <w:b/>
        </w:rPr>
        <w:t xml:space="preserve"> </w:t>
      </w:r>
      <w:r w:rsidR="00151CEF" w:rsidRPr="00151CEF">
        <w:t>In this matter a</w:t>
      </w:r>
      <w:r w:rsidR="007155B4">
        <w:rPr>
          <w:color w:val="000000" w:themeColor="text1"/>
        </w:rPr>
        <w:t xml:space="preserve">n appeal </w:t>
      </w:r>
      <w:r w:rsidR="00151CEF">
        <w:rPr>
          <w:color w:val="000000" w:themeColor="text1"/>
        </w:rPr>
        <w:t xml:space="preserve">was </w:t>
      </w:r>
      <w:r w:rsidR="007155B4">
        <w:rPr>
          <w:color w:val="000000" w:themeColor="text1"/>
        </w:rPr>
        <w:t xml:space="preserve">noted against </w:t>
      </w:r>
      <w:r w:rsidR="00B33F5D">
        <w:t xml:space="preserve">the judgment and order of the High Court dismissing </w:t>
      </w:r>
      <w:r w:rsidR="00BB4A6E">
        <w:t xml:space="preserve">an application </w:t>
      </w:r>
      <w:r w:rsidR="00B33F5D" w:rsidRPr="009A6784">
        <w:t xml:space="preserve">for condonation for the late delivery of </w:t>
      </w:r>
      <w:r w:rsidR="003D64F5">
        <w:t xml:space="preserve">the appellant’s </w:t>
      </w:r>
      <w:r w:rsidR="00B33F5D" w:rsidRPr="009A6784">
        <w:t>heads of argument</w:t>
      </w:r>
      <w:r w:rsidR="00B33F5D">
        <w:t xml:space="preserve"> and striking</w:t>
      </w:r>
      <w:r w:rsidR="00B33F5D" w:rsidRPr="009A6784">
        <w:t xml:space="preserve"> the </w:t>
      </w:r>
      <w:r w:rsidR="009F3874">
        <w:t xml:space="preserve">appeal </w:t>
      </w:r>
      <w:r w:rsidR="00B33F5D">
        <w:t>off</w:t>
      </w:r>
      <w:r w:rsidR="00B33F5D" w:rsidRPr="009A6784">
        <w:t xml:space="preserve"> the roll.</w:t>
      </w:r>
      <w:r w:rsidR="00BC225D">
        <w:t xml:space="preserve"> The application for condonation was made in the course of an appeal </w:t>
      </w:r>
      <w:r w:rsidR="006777DE">
        <w:t xml:space="preserve">in a civil case </w:t>
      </w:r>
      <w:r w:rsidR="00BC225D">
        <w:t>in that</w:t>
      </w:r>
      <w:r w:rsidR="00F75D93">
        <w:t xml:space="preserve"> court against a decision of a m</w:t>
      </w:r>
      <w:r w:rsidR="00C247EC">
        <w:t xml:space="preserve">agistrate’s </w:t>
      </w:r>
      <w:r w:rsidR="00F75D93">
        <w:t>court.</w:t>
      </w:r>
    </w:p>
    <w:p w:rsidR="007155B4" w:rsidRDefault="007155B4" w:rsidP="003A4756">
      <w:pPr>
        <w:spacing w:line="360" w:lineRule="auto"/>
        <w:rPr>
          <w:rFonts w:eastAsia="Calibri"/>
          <w:color w:val="000000" w:themeColor="text1"/>
          <w:lang w:val="en-US"/>
        </w:rPr>
      </w:pPr>
    </w:p>
    <w:p w:rsidR="007155B4" w:rsidRDefault="007155B4" w:rsidP="003A4756">
      <w:pPr>
        <w:spacing w:line="360" w:lineRule="auto"/>
        <w:rPr>
          <w:rFonts w:eastAsia="Calibri"/>
          <w:color w:val="000000" w:themeColor="text1"/>
          <w:lang w:val="en-US"/>
        </w:rPr>
      </w:pPr>
      <w:r>
        <w:rPr>
          <w:rFonts w:eastAsia="Calibri"/>
          <w:color w:val="000000" w:themeColor="text1"/>
          <w:lang w:val="en-US"/>
        </w:rPr>
        <w:t>Without obtaining leave from th</w:t>
      </w:r>
      <w:r w:rsidR="00463EA9">
        <w:rPr>
          <w:rFonts w:eastAsia="Calibri"/>
          <w:color w:val="000000" w:themeColor="text1"/>
          <w:lang w:val="en-US"/>
        </w:rPr>
        <w:t>e High Court</w:t>
      </w:r>
      <w:r>
        <w:rPr>
          <w:rFonts w:eastAsia="Calibri"/>
          <w:color w:val="000000" w:themeColor="text1"/>
          <w:lang w:val="en-US"/>
        </w:rPr>
        <w:t xml:space="preserve">, the appellant </w:t>
      </w:r>
      <w:r w:rsidR="00151CEF">
        <w:rPr>
          <w:rFonts w:eastAsia="Calibri"/>
          <w:color w:val="000000" w:themeColor="text1"/>
          <w:lang w:val="en-US"/>
        </w:rPr>
        <w:t>lodged the appeal in th</w:t>
      </w:r>
      <w:r w:rsidR="00BC225D">
        <w:rPr>
          <w:rFonts w:eastAsia="Calibri"/>
          <w:color w:val="000000" w:themeColor="text1"/>
          <w:lang w:val="en-US"/>
        </w:rPr>
        <w:t xml:space="preserve">e Supreme Court </w:t>
      </w:r>
      <w:r>
        <w:rPr>
          <w:rFonts w:eastAsia="Calibri"/>
          <w:color w:val="000000" w:themeColor="text1"/>
          <w:lang w:val="en-US"/>
        </w:rPr>
        <w:t xml:space="preserve">seeking to </w:t>
      </w:r>
      <w:r w:rsidR="00BC225D">
        <w:rPr>
          <w:rFonts w:eastAsia="Calibri"/>
          <w:color w:val="000000" w:themeColor="text1"/>
          <w:lang w:val="en-US"/>
        </w:rPr>
        <w:t xml:space="preserve">overturn </w:t>
      </w:r>
      <w:r>
        <w:rPr>
          <w:rFonts w:eastAsia="Calibri"/>
          <w:color w:val="000000" w:themeColor="text1"/>
          <w:lang w:val="en-US"/>
        </w:rPr>
        <w:t xml:space="preserve">the decision of the </w:t>
      </w:r>
      <w:r w:rsidR="00463EA9">
        <w:rPr>
          <w:rFonts w:eastAsia="Calibri"/>
          <w:color w:val="000000" w:themeColor="text1"/>
          <w:lang w:val="en-US"/>
        </w:rPr>
        <w:t>High C</w:t>
      </w:r>
      <w:r>
        <w:rPr>
          <w:rFonts w:eastAsia="Calibri"/>
          <w:color w:val="000000" w:themeColor="text1"/>
          <w:lang w:val="en-US"/>
        </w:rPr>
        <w:t>ourt</w:t>
      </w:r>
      <w:r>
        <w:rPr>
          <w:rFonts w:eastAsia="Calibri"/>
          <w:i/>
          <w:color w:val="000000" w:themeColor="text1"/>
          <w:lang w:val="en-US"/>
        </w:rPr>
        <w:t>.</w:t>
      </w:r>
      <w:r>
        <w:rPr>
          <w:rFonts w:eastAsia="Calibri"/>
          <w:color w:val="000000" w:themeColor="text1"/>
          <w:lang w:val="en-US"/>
        </w:rPr>
        <w:t xml:space="preserve"> </w:t>
      </w:r>
    </w:p>
    <w:p w:rsidR="007155B4" w:rsidRDefault="007155B4" w:rsidP="003A4756">
      <w:pPr>
        <w:spacing w:line="360" w:lineRule="auto"/>
        <w:rPr>
          <w:rFonts w:eastAsia="Calibri"/>
          <w:color w:val="000000" w:themeColor="text1"/>
          <w:lang w:val="en-US"/>
        </w:rPr>
      </w:pPr>
    </w:p>
    <w:p w:rsidR="00C46909" w:rsidRPr="00C46909" w:rsidRDefault="007155B4" w:rsidP="003A4756">
      <w:pPr>
        <w:pStyle w:val="BodyText"/>
        <w:spacing w:line="360" w:lineRule="auto"/>
        <w:rPr>
          <w:rFonts w:ascii="Arial" w:hAnsi="Arial" w:cs="Arial"/>
          <w:sz w:val="22"/>
          <w:szCs w:val="22"/>
        </w:rPr>
      </w:pPr>
      <w:r w:rsidRPr="00C46909">
        <w:rPr>
          <w:rFonts w:ascii="Arial" w:hAnsi="Arial" w:cs="Arial"/>
        </w:rPr>
        <w:t xml:space="preserve">Section 18(2)(b) of the High Court Act </w:t>
      </w:r>
      <w:r w:rsidR="00463EA9">
        <w:rPr>
          <w:rFonts w:ascii="Arial" w:hAnsi="Arial" w:cs="Arial"/>
        </w:rPr>
        <w:t xml:space="preserve">16 of 1990 </w:t>
      </w:r>
      <w:r w:rsidRPr="00C46909">
        <w:rPr>
          <w:rFonts w:ascii="Arial" w:hAnsi="Arial" w:cs="Arial"/>
        </w:rPr>
        <w:t xml:space="preserve">provides </w:t>
      </w:r>
      <w:r w:rsidR="00463EA9">
        <w:rPr>
          <w:rFonts w:ascii="Arial" w:hAnsi="Arial" w:cs="Arial"/>
        </w:rPr>
        <w:t xml:space="preserve">in effect </w:t>
      </w:r>
      <w:r w:rsidRPr="00C46909">
        <w:rPr>
          <w:rFonts w:ascii="Arial" w:hAnsi="Arial" w:cs="Arial"/>
        </w:rPr>
        <w:t xml:space="preserve">that </w:t>
      </w:r>
      <w:r w:rsidR="00C46909" w:rsidRPr="00C46909">
        <w:rPr>
          <w:rFonts w:ascii="Arial" w:hAnsi="Arial" w:cs="Arial"/>
        </w:rPr>
        <w:t xml:space="preserve">a </w:t>
      </w:r>
      <w:r w:rsidRPr="00C46909">
        <w:rPr>
          <w:rFonts w:ascii="Arial" w:hAnsi="Arial" w:cs="Arial"/>
        </w:rPr>
        <w:t xml:space="preserve">judgment or order of the High Court </w:t>
      </w:r>
      <w:r w:rsidR="00C46909">
        <w:rPr>
          <w:rFonts w:ascii="Arial" w:hAnsi="Arial" w:cs="Arial"/>
        </w:rPr>
        <w:t xml:space="preserve">sitting as a court of appeal </w:t>
      </w:r>
      <w:r w:rsidR="006777DE">
        <w:rPr>
          <w:rFonts w:ascii="Arial" w:hAnsi="Arial" w:cs="Arial"/>
        </w:rPr>
        <w:t xml:space="preserve">in a civil case </w:t>
      </w:r>
      <w:r w:rsidR="00C46909" w:rsidRPr="00C46909">
        <w:rPr>
          <w:rFonts w:ascii="Arial" w:hAnsi="Arial" w:cs="Arial"/>
        </w:rPr>
        <w:t xml:space="preserve">is </w:t>
      </w:r>
      <w:r w:rsidRPr="00C46909">
        <w:rPr>
          <w:rFonts w:ascii="Arial" w:hAnsi="Arial" w:cs="Arial"/>
        </w:rPr>
        <w:t xml:space="preserve">not appealable </w:t>
      </w:r>
      <w:r w:rsidRPr="00C46909">
        <w:rPr>
          <w:rFonts w:ascii="Arial" w:hAnsi="Arial" w:cs="Arial"/>
        </w:rPr>
        <w:lastRenderedPageBreak/>
        <w:t xml:space="preserve">as of right. </w:t>
      </w:r>
      <w:r w:rsidR="00C46909" w:rsidRPr="00C46909">
        <w:rPr>
          <w:rFonts w:ascii="Arial" w:hAnsi="Arial" w:cs="Arial"/>
        </w:rPr>
        <w:t xml:space="preserve">Leave to appeal </w:t>
      </w:r>
      <w:r w:rsidRPr="00C46909">
        <w:rPr>
          <w:rFonts w:ascii="Arial" w:hAnsi="Arial" w:cs="Arial"/>
        </w:rPr>
        <w:t xml:space="preserve">must first be sought and obtained </w:t>
      </w:r>
      <w:r w:rsidR="00C46909" w:rsidRPr="00C46909">
        <w:rPr>
          <w:rFonts w:ascii="Arial" w:hAnsi="Arial" w:cs="Arial"/>
        </w:rPr>
        <w:t>from th</w:t>
      </w:r>
      <w:r w:rsidR="00463EA9">
        <w:rPr>
          <w:rFonts w:ascii="Arial" w:hAnsi="Arial" w:cs="Arial"/>
        </w:rPr>
        <w:t>e High C</w:t>
      </w:r>
      <w:r w:rsidRPr="00C46909">
        <w:rPr>
          <w:rFonts w:ascii="Arial" w:hAnsi="Arial" w:cs="Arial"/>
        </w:rPr>
        <w:t>ourt</w:t>
      </w:r>
      <w:r w:rsidR="00C46909">
        <w:rPr>
          <w:rFonts w:ascii="Arial" w:hAnsi="Arial" w:cs="Arial"/>
        </w:rPr>
        <w:t xml:space="preserve">. If </w:t>
      </w:r>
      <w:r w:rsidR="00C46909" w:rsidRPr="00C46909">
        <w:rPr>
          <w:rFonts w:ascii="Arial" w:hAnsi="Arial" w:cs="Arial"/>
        </w:rPr>
        <w:t xml:space="preserve">such leave </w:t>
      </w:r>
      <w:r w:rsidR="00463EA9">
        <w:rPr>
          <w:rFonts w:ascii="Arial" w:hAnsi="Arial" w:cs="Arial"/>
        </w:rPr>
        <w:t xml:space="preserve">is </w:t>
      </w:r>
      <w:r w:rsidR="00C46909" w:rsidRPr="00C46909">
        <w:rPr>
          <w:rFonts w:ascii="Arial" w:hAnsi="Arial" w:cs="Arial"/>
        </w:rPr>
        <w:t>refused</w:t>
      </w:r>
      <w:r w:rsidR="00463EA9">
        <w:rPr>
          <w:rFonts w:ascii="Arial" w:hAnsi="Arial" w:cs="Arial"/>
        </w:rPr>
        <w:t xml:space="preserve"> an appeal to</w:t>
      </w:r>
      <w:r w:rsidR="00C46909" w:rsidRPr="00C46909">
        <w:rPr>
          <w:rFonts w:ascii="Arial" w:hAnsi="Arial" w:cs="Arial"/>
        </w:rPr>
        <w:t xml:space="preserve"> the Supreme Court </w:t>
      </w:r>
      <w:r w:rsidR="00463EA9">
        <w:rPr>
          <w:rFonts w:ascii="Arial" w:hAnsi="Arial" w:cs="Arial"/>
        </w:rPr>
        <w:t xml:space="preserve">is possible only once leave to appeal is </w:t>
      </w:r>
      <w:r w:rsidR="00C46909" w:rsidRPr="00C46909">
        <w:rPr>
          <w:rFonts w:ascii="Arial" w:hAnsi="Arial" w:cs="Arial"/>
        </w:rPr>
        <w:t>grant</w:t>
      </w:r>
      <w:r w:rsidR="00463EA9">
        <w:rPr>
          <w:rFonts w:ascii="Arial" w:hAnsi="Arial" w:cs="Arial"/>
        </w:rPr>
        <w:t>ed by the Supreme Court itself</w:t>
      </w:r>
      <w:r w:rsidR="00C46909" w:rsidRPr="00C46909">
        <w:rPr>
          <w:rFonts w:ascii="Arial" w:hAnsi="Arial" w:cs="Arial"/>
        </w:rPr>
        <w:t>.</w:t>
      </w:r>
      <w:r w:rsidR="00C46909">
        <w:rPr>
          <w:rFonts w:ascii="Arial" w:hAnsi="Arial" w:cs="Arial"/>
          <w:sz w:val="22"/>
          <w:szCs w:val="22"/>
        </w:rPr>
        <w:t xml:space="preserve"> </w:t>
      </w:r>
    </w:p>
    <w:p w:rsidR="00C46909" w:rsidRDefault="00C46909" w:rsidP="001D20F2">
      <w:pPr>
        <w:spacing w:line="360" w:lineRule="auto"/>
      </w:pPr>
    </w:p>
    <w:p w:rsidR="007155B4" w:rsidRPr="00C16B9F" w:rsidRDefault="00BC225D" w:rsidP="001D20F2">
      <w:pPr>
        <w:spacing w:line="360" w:lineRule="auto"/>
        <w:rPr>
          <w:rFonts w:eastAsia="Calibri"/>
          <w:color w:val="000000" w:themeColor="text1"/>
          <w:lang w:val="en-US"/>
        </w:rPr>
      </w:pPr>
      <w:r>
        <w:t>It was argued on behalf of the appellant that the appellant did not require leave to appeal to the Supreme Court</w:t>
      </w:r>
      <w:r w:rsidR="009F3874">
        <w:t xml:space="preserve"> as the High Court had decided the condonation application as a court of first instance</w:t>
      </w:r>
      <w:r>
        <w:t xml:space="preserve">. </w:t>
      </w:r>
      <w:r w:rsidR="00C16B9F">
        <w:t xml:space="preserve">The </w:t>
      </w:r>
      <w:r>
        <w:t xml:space="preserve">Court </w:t>
      </w:r>
      <w:r w:rsidR="00C16B9F">
        <w:t xml:space="preserve">held that </w:t>
      </w:r>
      <w:r>
        <w:t xml:space="preserve">the appellant indeed required leave to appeal and that </w:t>
      </w:r>
      <w:r w:rsidR="00151CEF">
        <w:t>in the absence of th</w:t>
      </w:r>
      <w:r>
        <w:t>e High C</w:t>
      </w:r>
      <w:r w:rsidR="00151CEF">
        <w:t>ourt granting such leave</w:t>
      </w:r>
      <w:r w:rsidR="00463EA9">
        <w:t xml:space="preserve"> or the Supreme Court granting it in case the High Court refuses to do so</w:t>
      </w:r>
      <w:r w:rsidR="00C16B9F">
        <w:t>, the appeal is not proper</w:t>
      </w:r>
      <w:r w:rsidR="00716145">
        <w:t>ly</w:t>
      </w:r>
      <w:r w:rsidR="00C16B9F">
        <w:t xml:space="preserve"> before this court</w:t>
      </w:r>
      <w:r w:rsidR="0023009C">
        <w:t xml:space="preserve">. The matter was accordingly </w:t>
      </w:r>
      <w:r w:rsidR="00C16B9F">
        <w:t xml:space="preserve">struck off the roll. </w:t>
      </w:r>
    </w:p>
    <w:p w:rsidR="007155B4" w:rsidRDefault="007155B4" w:rsidP="001D20F2">
      <w:pPr>
        <w:spacing w:line="360" w:lineRule="auto"/>
      </w:pPr>
    </w:p>
    <w:p w:rsidR="0023009C" w:rsidRPr="007155B4" w:rsidRDefault="0023009C" w:rsidP="001D20F2">
      <w:pPr>
        <w:spacing w:line="360" w:lineRule="auto"/>
      </w:pPr>
      <w:r>
        <w:t>As the appeal was prosecuted with the assistance of the Directorate of Legal Aid, no order as to costs was made.</w:t>
      </w:r>
    </w:p>
    <w:p w:rsidR="0023009C" w:rsidRPr="009A6784" w:rsidRDefault="0023009C" w:rsidP="001D20F2">
      <w:pPr>
        <w:pBdr>
          <w:bottom w:val="single" w:sz="4" w:space="1" w:color="auto"/>
        </w:pBdr>
        <w:rPr>
          <w:b/>
          <w:u w:val="single"/>
        </w:rPr>
      </w:pPr>
    </w:p>
    <w:p w:rsidR="00087DC7" w:rsidRPr="009A6784" w:rsidRDefault="00087DC7" w:rsidP="001D20F2">
      <w:pPr>
        <w:rPr>
          <w:b/>
        </w:rPr>
      </w:pPr>
    </w:p>
    <w:p w:rsidR="00FA4FE3" w:rsidRPr="009A6784" w:rsidRDefault="00C247EC" w:rsidP="001D20F2">
      <w:pPr>
        <w:jc w:val="center"/>
        <w:rPr>
          <w:b/>
        </w:rPr>
      </w:pPr>
      <w:r>
        <w:rPr>
          <w:b/>
        </w:rPr>
        <w:t>APPEAL</w:t>
      </w:r>
      <w:r w:rsidR="00FA4FE3" w:rsidRPr="009A6784">
        <w:rPr>
          <w:b/>
        </w:rPr>
        <w:t xml:space="preserve"> JUDGMENT</w:t>
      </w:r>
    </w:p>
    <w:p w:rsidR="00FA4FE3" w:rsidRPr="009A6784" w:rsidRDefault="00FA4FE3" w:rsidP="001D20F2">
      <w:pPr>
        <w:pBdr>
          <w:bottom w:val="single" w:sz="4" w:space="1" w:color="auto"/>
        </w:pBdr>
        <w:rPr>
          <w:b/>
          <w:u w:val="single"/>
        </w:rPr>
      </w:pPr>
    </w:p>
    <w:p w:rsidR="00FA4FE3" w:rsidRDefault="00FA4FE3" w:rsidP="001D20F2">
      <w:pPr>
        <w:rPr>
          <w:u w:val="single"/>
        </w:rPr>
      </w:pPr>
    </w:p>
    <w:p w:rsidR="00FA4FE3" w:rsidRPr="009A6784" w:rsidRDefault="00FA4FE3" w:rsidP="001D20F2">
      <w:pPr>
        <w:spacing w:line="480" w:lineRule="auto"/>
      </w:pPr>
      <w:r w:rsidRPr="009A6784">
        <w:t>SHIVUTE CJ (</w:t>
      </w:r>
      <w:r w:rsidR="00124D2E" w:rsidRPr="009A6784">
        <w:t xml:space="preserve">MAINGA JA and SMUTS </w:t>
      </w:r>
      <w:r w:rsidRPr="009A6784">
        <w:t>JA concurring)</w:t>
      </w:r>
      <w:r w:rsidR="00E058AD" w:rsidRPr="009A6784">
        <w:t xml:space="preserve">: </w:t>
      </w:r>
    </w:p>
    <w:p w:rsidR="00FB1FB4" w:rsidRDefault="006F7C79" w:rsidP="001D20F2">
      <w:pPr>
        <w:pStyle w:val="ListParagraph"/>
        <w:numPr>
          <w:ilvl w:val="0"/>
          <w:numId w:val="10"/>
        </w:numPr>
        <w:spacing w:after="0" w:line="480" w:lineRule="auto"/>
        <w:ind w:left="0" w:firstLine="0"/>
        <w:jc w:val="both"/>
        <w:rPr>
          <w:rFonts w:ascii="Arial" w:hAnsi="Arial" w:cs="Arial"/>
          <w:sz w:val="24"/>
          <w:szCs w:val="24"/>
        </w:rPr>
      </w:pPr>
      <w:r w:rsidRPr="009A6784">
        <w:rPr>
          <w:rFonts w:ascii="Arial" w:hAnsi="Arial" w:cs="Arial"/>
          <w:sz w:val="24"/>
          <w:szCs w:val="24"/>
        </w:rPr>
        <w:t xml:space="preserve">This is an appeal against the judgment and order of </w:t>
      </w:r>
      <w:r w:rsidR="00C7349D">
        <w:rPr>
          <w:rFonts w:ascii="Arial" w:hAnsi="Arial" w:cs="Arial"/>
          <w:sz w:val="24"/>
          <w:szCs w:val="24"/>
        </w:rPr>
        <w:t xml:space="preserve">the High Court </w:t>
      </w:r>
      <w:r w:rsidR="00273862">
        <w:rPr>
          <w:rFonts w:ascii="Arial" w:hAnsi="Arial" w:cs="Arial"/>
          <w:sz w:val="24"/>
          <w:szCs w:val="24"/>
        </w:rPr>
        <w:t>refusing</w:t>
      </w:r>
      <w:r w:rsidR="00866D1C">
        <w:rPr>
          <w:rFonts w:ascii="Arial" w:hAnsi="Arial" w:cs="Arial"/>
          <w:sz w:val="24"/>
          <w:szCs w:val="24"/>
        </w:rPr>
        <w:t xml:space="preserve"> </w:t>
      </w:r>
      <w:r w:rsidR="00DD37B8">
        <w:rPr>
          <w:rFonts w:ascii="Arial" w:hAnsi="Arial" w:cs="Arial"/>
          <w:sz w:val="24"/>
          <w:szCs w:val="24"/>
        </w:rPr>
        <w:t>t</w:t>
      </w:r>
      <w:r w:rsidRPr="009A6784">
        <w:rPr>
          <w:rFonts w:ascii="Arial" w:hAnsi="Arial" w:cs="Arial"/>
          <w:sz w:val="24"/>
          <w:szCs w:val="24"/>
        </w:rPr>
        <w:t xml:space="preserve">he </w:t>
      </w:r>
      <w:r w:rsidR="009F3874">
        <w:rPr>
          <w:rFonts w:ascii="Arial" w:hAnsi="Arial" w:cs="Arial"/>
          <w:sz w:val="24"/>
          <w:szCs w:val="24"/>
        </w:rPr>
        <w:t xml:space="preserve">appellant’s </w:t>
      </w:r>
      <w:r w:rsidRPr="009A6784">
        <w:rPr>
          <w:rFonts w:ascii="Arial" w:hAnsi="Arial" w:cs="Arial"/>
          <w:sz w:val="24"/>
          <w:szCs w:val="24"/>
        </w:rPr>
        <w:t xml:space="preserve">application </w:t>
      </w:r>
      <w:r w:rsidR="0053523D" w:rsidRPr="009A6784">
        <w:rPr>
          <w:rFonts w:ascii="Arial" w:hAnsi="Arial" w:cs="Arial"/>
          <w:sz w:val="24"/>
          <w:szCs w:val="24"/>
        </w:rPr>
        <w:t>for</w:t>
      </w:r>
      <w:r w:rsidR="00516280" w:rsidRPr="009A6784">
        <w:rPr>
          <w:rFonts w:ascii="Arial" w:hAnsi="Arial" w:cs="Arial"/>
          <w:sz w:val="24"/>
          <w:szCs w:val="24"/>
        </w:rPr>
        <w:t xml:space="preserve"> </w:t>
      </w:r>
      <w:r w:rsidR="00165A46" w:rsidRPr="009A6784">
        <w:rPr>
          <w:rFonts w:ascii="Arial" w:hAnsi="Arial" w:cs="Arial"/>
          <w:sz w:val="24"/>
          <w:szCs w:val="24"/>
        </w:rPr>
        <w:t>condonation</w:t>
      </w:r>
      <w:r w:rsidRPr="009A6784">
        <w:rPr>
          <w:rFonts w:ascii="Arial" w:hAnsi="Arial" w:cs="Arial"/>
          <w:sz w:val="24"/>
          <w:szCs w:val="24"/>
        </w:rPr>
        <w:t xml:space="preserve"> </w:t>
      </w:r>
      <w:r w:rsidR="0077377A" w:rsidRPr="009A6784">
        <w:rPr>
          <w:rFonts w:ascii="Arial" w:hAnsi="Arial" w:cs="Arial"/>
          <w:sz w:val="24"/>
          <w:szCs w:val="24"/>
        </w:rPr>
        <w:t xml:space="preserve">for </w:t>
      </w:r>
      <w:r w:rsidRPr="009A6784">
        <w:rPr>
          <w:rFonts w:ascii="Arial" w:hAnsi="Arial" w:cs="Arial"/>
          <w:sz w:val="24"/>
          <w:szCs w:val="24"/>
        </w:rPr>
        <w:t>the late delivery of the</w:t>
      </w:r>
      <w:r w:rsidR="00165A46" w:rsidRPr="009A6784">
        <w:rPr>
          <w:rFonts w:ascii="Arial" w:hAnsi="Arial" w:cs="Arial"/>
          <w:sz w:val="24"/>
          <w:szCs w:val="24"/>
        </w:rPr>
        <w:t xml:space="preserve"> heads of argument</w:t>
      </w:r>
      <w:r w:rsidRPr="009A6784">
        <w:rPr>
          <w:rFonts w:ascii="Arial" w:hAnsi="Arial" w:cs="Arial"/>
          <w:sz w:val="24"/>
          <w:szCs w:val="24"/>
        </w:rPr>
        <w:t xml:space="preserve"> and str</w:t>
      </w:r>
      <w:r w:rsidR="00C7349D">
        <w:rPr>
          <w:rFonts w:ascii="Arial" w:hAnsi="Arial" w:cs="Arial"/>
          <w:sz w:val="24"/>
          <w:szCs w:val="24"/>
        </w:rPr>
        <w:t>i</w:t>
      </w:r>
      <w:r w:rsidRPr="009A6784">
        <w:rPr>
          <w:rFonts w:ascii="Arial" w:hAnsi="Arial" w:cs="Arial"/>
          <w:sz w:val="24"/>
          <w:szCs w:val="24"/>
        </w:rPr>
        <w:t>k</w:t>
      </w:r>
      <w:r w:rsidR="00C7349D">
        <w:rPr>
          <w:rFonts w:ascii="Arial" w:hAnsi="Arial" w:cs="Arial"/>
          <w:sz w:val="24"/>
          <w:szCs w:val="24"/>
        </w:rPr>
        <w:t>ing</w:t>
      </w:r>
      <w:r w:rsidR="00165A46" w:rsidRPr="009A6784">
        <w:rPr>
          <w:rFonts w:ascii="Arial" w:hAnsi="Arial" w:cs="Arial"/>
          <w:sz w:val="24"/>
          <w:szCs w:val="24"/>
        </w:rPr>
        <w:t xml:space="preserve"> the </w:t>
      </w:r>
      <w:r w:rsidR="000F04AE" w:rsidRPr="009A6784">
        <w:rPr>
          <w:rFonts w:ascii="Arial" w:hAnsi="Arial" w:cs="Arial"/>
          <w:sz w:val="24"/>
          <w:szCs w:val="24"/>
        </w:rPr>
        <w:t>matter</w:t>
      </w:r>
      <w:r w:rsidR="00165A46" w:rsidRPr="009A6784">
        <w:rPr>
          <w:rFonts w:ascii="Arial" w:hAnsi="Arial" w:cs="Arial"/>
          <w:sz w:val="24"/>
          <w:szCs w:val="24"/>
        </w:rPr>
        <w:t xml:space="preserve"> </w:t>
      </w:r>
      <w:r w:rsidR="00DD37B8">
        <w:rPr>
          <w:rFonts w:ascii="Arial" w:hAnsi="Arial" w:cs="Arial"/>
          <w:sz w:val="24"/>
          <w:szCs w:val="24"/>
        </w:rPr>
        <w:t>off</w:t>
      </w:r>
      <w:r w:rsidR="00165A46" w:rsidRPr="009A6784">
        <w:rPr>
          <w:rFonts w:ascii="Arial" w:hAnsi="Arial" w:cs="Arial"/>
          <w:sz w:val="24"/>
          <w:szCs w:val="24"/>
        </w:rPr>
        <w:t xml:space="preserve"> the roll. </w:t>
      </w:r>
    </w:p>
    <w:p w:rsidR="00FB1FB4" w:rsidRDefault="00FB1FB4" w:rsidP="001D20F2">
      <w:pPr>
        <w:pStyle w:val="ListParagraph"/>
        <w:spacing w:after="0" w:line="480" w:lineRule="auto"/>
        <w:ind w:left="0"/>
        <w:jc w:val="both"/>
        <w:rPr>
          <w:rFonts w:ascii="Arial" w:hAnsi="Arial" w:cs="Arial"/>
          <w:sz w:val="24"/>
          <w:szCs w:val="24"/>
        </w:rPr>
      </w:pPr>
    </w:p>
    <w:p w:rsidR="0077377A" w:rsidRPr="00FB1FB4" w:rsidRDefault="00866D1C" w:rsidP="001D20F2">
      <w:pPr>
        <w:pStyle w:val="ListParagraph"/>
        <w:numPr>
          <w:ilvl w:val="0"/>
          <w:numId w:val="10"/>
        </w:numPr>
        <w:spacing w:after="0" w:line="480" w:lineRule="auto"/>
        <w:ind w:left="0" w:firstLine="0"/>
        <w:jc w:val="both"/>
        <w:rPr>
          <w:rFonts w:ascii="Arial" w:hAnsi="Arial" w:cs="Arial"/>
          <w:sz w:val="24"/>
          <w:szCs w:val="24"/>
        </w:rPr>
      </w:pPr>
      <w:r w:rsidRPr="00FB1FB4">
        <w:rPr>
          <w:rFonts w:ascii="Arial" w:hAnsi="Arial" w:cs="Arial"/>
          <w:sz w:val="24"/>
          <w:szCs w:val="24"/>
        </w:rPr>
        <w:t xml:space="preserve">The facts </w:t>
      </w:r>
      <w:r w:rsidR="000B7308" w:rsidRPr="00FB1FB4">
        <w:rPr>
          <w:rFonts w:ascii="Arial" w:hAnsi="Arial" w:cs="Arial"/>
          <w:sz w:val="24"/>
          <w:szCs w:val="24"/>
        </w:rPr>
        <w:t xml:space="preserve">relevant </w:t>
      </w:r>
      <w:r w:rsidRPr="00FB1FB4">
        <w:rPr>
          <w:rFonts w:ascii="Arial" w:hAnsi="Arial" w:cs="Arial"/>
          <w:sz w:val="24"/>
          <w:szCs w:val="24"/>
        </w:rPr>
        <w:t xml:space="preserve">to the </w:t>
      </w:r>
      <w:r w:rsidR="009F3874" w:rsidRPr="00FB1FB4">
        <w:rPr>
          <w:rFonts w:ascii="Arial" w:hAnsi="Arial" w:cs="Arial"/>
          <w:sz w:val="24"/>
          <w:szCs w:val="24"/>
        </w:rPr>
        <w:t xml:space="preserve">present </w:t>
      </w:r>
      <w:r w:rsidR="000B7308" w:rsidRPr="00FB1FB4">
        <w:rPr>
          <w:rFonts w:ascii="Arial" w:hAnsi="Arial" w:cs="Arial"/>
          <w:sz w:val="24"/>
          <w:szCs w:val="24"/>
        </w:rPr>
        <w:t>appeal</w:t>
      </w:r>
      <w:r w:rsidRPr="00FB1FB4">
        <w:rPr>
          <w:rFonts w:ascii="Arial" w:hAnsi="Arial" w:cs="Arial"/>
          <w:sz w:val="24"/>
          <w:szCs w:val="24"/>
        </w:rPr>
        <w:t xml:space="preserve"> may be summarised as follows.</w:t>
      </w:r>
      <w:r w:rsidR="009F3874" w:rsidRPr="00FB1FB4">
        <w:rPr>
          <w:rFonts w:ascii="Arial" w:hAnsi="Arial" w:cs="Arial"/>
          <w:sz w:val="24"/>
          <w:szCs w:val="24"/>
        </w:rPr>
        <w:t xml:space="preserve"> </w:t>
      </w:r>
      <w:r w:rsidRPr="00FB1FB4">
        <w:rPr>
          <w:rFonts w:ascii="Arial" w:hAnsi="Arial" w:cs="Arial"/>
          <w:sz w:val="24"/>
          <w:szCs w:val="24"/>
        </w:rPr>
        <w:t xml:space="preserve">On 10 November 2014, </w:t>
      </w:r>
      <w:r w:rsidR="005C7CA8" w:rsidRPr="00FB1FB4">
        <w:rPr>
          <w:rFonts w:ascii="Arial" w:hAnsi="Arial" w:cs="Arial"/>
          <w:sz w:val="24"/>
          <w:szCs w:val="24"/>
        </w:rPr>
        <w:t xml:space="preserve">the </w:t>
      </w:r>
      <w:r w:rsidR="00F272B7" w:rsidRPr="00FB1FB4">
        <w:rPr>
          <w:rFonts w:ascii="Arial" w:hAnsi="Arial" w:cs="Arial"/>
          <w:sz w:val="24"/>
          <w:szCs w:val="24"/>
        </w:rPr>
        <w:t>appellant</w:t>
      </w:r>
      <w:r w:rsidR="00E50548" w:rsidRPr="00FB1FB4">
        <w:rPr>
          <w:rFonts w:ascii="Arial" w:hAnsi="Arial" w:cs="Arial"/>
          <w:sz w:val="24"/>
          <w:szCs w:val="24"/>
        </w:rPr>
        <w:t xml:space="preserve"> </w:t>
      </w:r>
      <w:r w:rsidR="00EA60D9" w:rsidRPr="00FB1FB4">
        <w:rPr>
          <w:rFonts w:ascii="Arial" w:hAnsi="Arial" w:cs="Arial"/>
          <w:sz w:val="24"/>
          <w:szCs w:val="24"/>
        </w:rPr>
        <w:t xml:space="preserve">noted </w:t>
      </w:r>
      <w:r w:rsidR="0077377A" w:rsidRPr="00FB1FB4">
        <w:rPr>
          <w:rFonts w:ascii="Arial" w:hAnsi="Arial" w:cs="Arial"/>
          <w:sz w:val="24"/>
          <w:szCs w:val="24"/>
        </w:rPr>
        <w:t xml:space="preserve">an </w:t>
      </w:r>
      <w:r w:rsidR="00EA60D9" w:rsidRPr="00FB1FB4">
        <w:rPr>
          <w:rFonts w:ascii="Arial" w:hAnsi="Arial" w:cs="Arial"/>
          <w:sz w:val="24"/>
          <w:szCs w:val="24"/>
        </w:rPr>
        <w:t xml:space="preserve">appeal </w:t>
      </w:r>
      <w:r w:rsidRPr="00FB1FB4">
        <w:rPr>
          <w:rFonts w:ascii="Arial" w:hAnsi="Arial" w:cs="Arial"/>
          <w:sz w:val="24"/>
          <w:szCs w:val="24"/>
        </w:rPr>
        <w:t xml:space="preserve">to the High Court </w:t>
      </w:r>
      <w:r w:rsidR="00EA60D9" w:rsidRPr="00FB1FB4">
        <w:rPr>
          <w:rFonts w:ascii="Arial" w:hAnsi="Arial" w:cs="Arial"/>
          <w:sz w:val="24"/>
          <w:szCs w:val="24"/>
        </w:rPr>
        <w:t>against</w:t>
      </w:r>
      <w:r w:rsidR="00413572" w:rsidRPr="00FB1FB4">
        <w:rPr>
          <w:rFonts w:ascii="Arial" w:hAnsi="Arial" w:cs="Arial"/>
          <w:sz w:val="24"/>
          <w:szCs w:val="24"/>
        </w:rPr>
        <w:t xml:space="preserve"> the judgment </w:t>
      </w:r>
      <w:r w:rsidR="00C55ABF" w:rsidRPr="00FB1FB4">
        <w:rPr>
          <w:rFonts w:ascii="Arial" w:hAnsi="Arial" w:cs="Arial"/>
          <w:sz w:val="24"/>
          <w:szCs w:val="24"/>
        </w:rPr>
        <w:t xml:space="preserve">and order </w:t>
      </w:r>
      <w:r w:rsidR="00F75D93">
        <w:rPr>
          <w:rFonts w:ascii="Arial" w:hAnsi="Arial" w:cs="Arial"/>
          <w:sz w:val="24"/>
          <w:szCs w:val="24"/>
        </w:rPr>
        <w:t>of the m</w:t>
      </w:r>
      <w:r w:rsidR="00413572" w:rsidRPr="00FB1FB4">
        <w:rPr>
          <w:rFonts w:ascii="Arial" w:hAnsi="Arial" w:cs="Arial"/>
          <w:sz w:val="24"/>
          <w:szCs w:val="24"/>
        </w:rPr>
        <w:t>agistrate</w:t>
      </w:r>
      <w:r w:rsidR="00233D11" w:rsidRPr="00FB1FB4">
        <w:rPr>
          <w:rFonts w:ascii="Arial" w:hAnsi="Arial" w:cs="Arial"/>
          <w:sz w:val="24"/>
          <w:szCs w:val="24"/>
        </w:rPr>
        <w:t>'s</w:t>
      </w:r>
      <w:r w:rsidR="00F75D93">
        <w:rPr>
          <w:rFonts w:ascii="Arial" w:hAnsi="Arial" w:cs="Arial"/>
          <w:sz w:val="24"/>
          <w:szCs w:val="24"/>
        </w:rPr>
        <w:t xml:space="preserve"> c</w:t>
      </w:r>
      <w:r w:rsidR="00413572" w:rsidRPr="00FB1FB4">
        <w:rPr>
          <w:rFonts w:ascii="Arial" w:hAnsi="Arial" w:cs="Arial"/>
          <w:sz w:val="24"/>
          <w:szCs w:val="24"/>
        </w:rPr>
        <w:t xml:space="preserve">ourt </w:t>
      </w:r>
      <w:r w:rsidR="00233D11" w:rsidRPr="00FB1FB4">
        <w:rPr>
          <w:rFonts w:ascii="Arial" w:hAnsi="Arial" w:cs="Arial"/>
          <w:sz w:val="24"/>
          <w:szCs w:val="24"/>
        </w:rPr>
        <w:t xml:space="preserve">for </w:t>
      </w:r>
      <w:r w:rsidR="00E50548" w:rsidRPr="00FB1FB4">
        <w:rPr>
          <w:rFonts w:ascii="Arial" w:hAnsi="Arial" w:cs="Arial"/>
          <w:sz w:val="24"/>
          <w:szCs w:val="24"/>
        </w:rPr>
        <w:t xml:space="preserve">the district of Windhoek </w:t>
      </w:r>
      <w:r w:rsidR="00413572" w:rsidRPr="00FB1FB4">
        <w:rPr>
          <w:rFonts w:ascii="Arial" w:hAnsi="Arial" w:cs="Arial"/>
          <w:sz w:val="24"/>
          <w:szCs w:val="24"/>
        </w:rPr>
        <w:t xml:space="preserve">in which it granted summary judgment </w:t>
      </w:r>
      <w:r w:rsidR="00D941F5" w:rsidRPr="00FB1FB4">
        <w:rPr>
          <w:rFonts w:ascii="Arial" w:hAnsi="Arial" w:cs="Arial"/>
          <w:sz w:val="24"/>
          <w:szCs w:val="24"/>
        </w:rPr>
        <w:t>in favour of the respondent</w:t>
      </w:r>
      <w:r w:rsidR="00FB1FB4" w:rsidRPr="00FB1FB4">
        <w:rPr>
          <w:rFonts w:ascii="Arial" w:hAnsi="Arial" w:cs="Arial"/>
          <w:sz w:val="24"/>
          <w:szCs w:val="24"/>
        </w:rPr>
        <w:t xml:space="preserve"> </w:t>
      </w:r>
      <w:r w:rsidR="00FB1FB4" w:rsidRPr="00AB31E1">
        <w:rPr>
          <w:rFonts w:ascii="Arial" w:hAnsi="Arial" w:cs="Arial"/>
          <w:color w:val="000000" w:themeColor="text1"/>
          <w:sz w:val="24"/>
          <w:szCs w:val="24"/>
        </w:rPr>
        <w:t xml:space="preserve">for the </w:t>
      </w:r>
      <w:r w:rsidR="00FB1FB4" w:rsidRPr="00AB31E1">
        <w:rPr>
          <w:rFonts w:ascii="Arial" w:hAnsi="Arial" w:cs="Arial"/>
          <w:color w:val="000000" w:themeColor="text1"/>
          <w:sz w:val="24"/>
          <w:szCs w:val="24"/>
          <w:lang w:val="en-ZA"/>
        </w:rPr>
        <w:t xml:space="preserve">eviction of the appellant and all other unlawful occupants from </w:t>
      </w:r>
      <w:r w:rsidR="005A2134" w:rsidRPr="00AB31E1">
        <w:rPr>
          <w:rFonts w:ascii="Arial" w:hAnsi="Arial" w:cs="Arial"/>
          <w:color w:val="000000" w:themeColor="text1"/>
          <w:sz w:val="24"/>
          <w:szCs w:val="24"/>
          <w:lang w:val="en-ZA"/>
        </w:rPr>
        <w:t>a house on</w:t>
      </w:r>
      <w:r w:rsidR="00FB1FB4" w:rsidRPr="00AB31E1">
        <w:rPr>
          <w:rFonts w:ascii="Arial" w:hAnsi="Arial" w:cs="Arial"/>
          <w:color w:val="000000" w:themeColor="text1"/>
          <w:sz w:val="24"/>
          <w:szCs w:val="24"/>
          <w:lang w:val="en-ZA"/>
        </w:rPr>
        <w:t xml:space="preserve"> Erf 2663 (a portion of Erf 114) Goreangab, Windhoek. </w:t>
      </w:r>
      <w:r w:rsidR="008546E0" w:rsidRPr="00AB31E1">
        <w:rPr>
          <w:rFonts w:ascii="Arial" w:hAnsi="Arial" w:cs="Arial"/>
          <w:color w:val="000000" w:themeColor="text1"/>
          <w:sz w:val="24"/>
          <w:szCs w:val="24"/>
        </w:rPr>
        <w:t>After the necessary procedur</w:t>
      </w:r>
      <w:r w:rsidR="00F75D93" w:rsidRPr="00AB31E1">
        <w:rPr>
          <w:rFonts w:ascii="Arial" w:hAnsi="Arial" w:cs="Arial"/>
          <w:color w:val="000000" w:themeColor="text1"/>
          <w:sz w:val="24"/>
          <w:szCs w:val="24"/>
        </w:rPr>
        <w:t>al steps</w:t>
      </w:r>
      <w:r w:rsidR="008546E0" w:rsidRPr="00AB31E1">
        <w:rPr>
          <w:rFonts w:ascii="Arial" w:hAnsi="Arial" w:cs="Arial"/>
          <w:color w:val="000000" w:themeColor="text1"/>
          <w:sz w:val="24"/>
          <w:szCs w:val="24"/>
        </w:rPr>
        <w:t xml:space="preserve"> </w:t>
      </w:r>
      <w:r w:rsidR="003C39A4" w:rsidRPr="00AB31E1">
        <w:rPr>
          <w:rFonts w:ascii="Arial" w:hAnsi="Arial" w:cs="Arial"/>
          <w:color w:val="000000" w:themeColor="text1"/>
          <w:sz w:val="24"/>
          <w:szCs w:val="24"/>
        </w:rPr>
        <w:t xml:space="preserve">were </w:t>
      </w:r>
      <w:r w:rsidR="003C39A4" w:rsidRPr="00FB1FB4">
        <w:rPr>
          <w:rFonts w:ascii="Arial" w:hAnsi="Arial" w:cs="Arial"/>
          <w:sz w:val="24"/>
          <w:szCs w:val="24"/>
        </w:rPr>
        <w:t>followed</w:t>
      </w:r>
      <w:r w:rsidR="00447437" w:rsidRPr="00FB1FB4">
        <w:rPr>
          <w:rFonts w:ascii="Arial" w:hAnsi="Arial" w:cs="Arial"/>
          <w:sz w:val="24"/>
          <w:szCs w:val="24"/>
        </w:rPr>
        <w:t>, the</w:t>
      </w:r>
      <w:r w:rsidR="000B7308" w:rsidRPr="00FB1FB4">
        <w:rPr>
          <w:rFonts w:ascii="Arial" w:hAnsi="Arial" w:cs="Arial"/>
          <w:sz w:val="24"/>
          <w:szCs w:val="24"/>
        </w:rPr>
        <w:t xml:space="preserve"> </w:t>
      </w:r>
      <w:r w:rsidR="00C55ABF" w:rsidRPr="00FB1FB4">
        <w:rPr>
          <w:rFonts w:ascii="Arial" w:hAnsi="Arial" w:cs="Arial"/>
          <w:sz w:val="24"/>
          <w:szCs w:val="24"/>
        </w:rPr>
        <w:t>High C</w:t>
      </w:r>
      <w:r w:rsidR="000B7308" w:rsidRPr="00FB1FB4">
        <w:rPr>
          <w:rFonts w:ascii="Arial" w:hAnsi="Arial" w:cs="Arial"/>
          <w:sz w:val="24"/>
          <w:szCs w:val="24"/>
        </w:rPr>
        <w:t xml:space="preserve">ourt </w:t>
      </w:r>
      <w:r w:rsidR="0077377A" w:rsidRPr="00FB1FB4">
        <w:rPr>
          <w:rFonts w:ascii="Arial" w:hAnsi="Arial" w:cs="Arial"/>
          <w:sz w:val="24"/>
          <w:szCs w:val="24"/>
        </w:rPr>
        <w:t xml:space="preserve">set down </w:t>
      </w:r>
      <w:r w:rsidR="00823F8C" w:rsidRPr="00FB1FB4">
        <w:rPr>
          <w:rFonts w:ascii="Arial" w:hAnsi="Arial" w:cs="Arial"/>
          <w:sz w:val="24"/>
          <w:szCs w:val="24"/>
          <w:lang w:val="en-ZW"/>
        </w:rPr>
        <w:t xml:space="preserve">the hearing of the appeal </w:t>
      </w:r>
      <w:r w:rsidR="0077377A" w:rsidRPr="00FB1FB4">
        <w:rPr>
          <w:rFonts w:ascii="Arial" w:hAnsi="Arial" w:cs="Arial"/>
          <w:sz w:val="24"/>
          <w:szCs w:val="24"/>
        </w:rPr>
        <w:t>on 18 May 2015.</w:t>
      </w:r>
      <w:r w:rsidR="008546E0" w:rsidRPr="00FB1FB4">
        <w:rPr>
          <w:rFonts w:ascii="Arial" w:hAnsi="Arial" w:cs="Arial"/>
          <w:sz w:val="24"/>
          <w:szCs w:val="24"/>
        </w:rPr>
        <w:t xml:space="preserve"> </w:t>
      </w:r>
    </w:p>
    <w:p w:rsidR="00126519" w:rsidRPr="003D64F5" w:rsidRDefault="00C55ABF" w:rsidP="001D20F2">
      <w:pPr>
        <w:pStyle w:val="ListParagraph"/>
        <w:numPr>
          <w:ilvl w:val="0"/>
          <w:numId w:val="10"/>
        </w:numPr>
        <w:autoSpaceDE w:val="0"/>
        <w:autoSpaceDN w:val="0"/>
        <w:adjustRightInd w:val="0"/>
        <w:spacing w:after="0" w:line="480" w:lineRule="auto"/>
        <w:ind w:left="0" w:firstLine="0"/>
        <w:jc w:val="both"/>
        <w:rPr>
          <w:rFonts w:ascii="Arial" w:hAnsi="Arial" w:cs="Arial"/>
          <w:sz w:val="24"/>
          <w:szCs w:val="24"/>
        </w:rPr>
      </w:pPr>
      <w:r w:rsidRPr="003D64F5">
        <w:rPr>
          <w:rFonts w:ascii="Arial" w:hAnsi="Arial" w:cs="Arial"/>
          <w:sz w:val="24"/>
          <w:szCs w:val="24"/>
        </w:rPr>
        <w:lastRenderedPageBreak/>
        <w:t>In terms of r</w:t>
      </w:r>
      <w:r w:rsidR="002059D4" w:rsidRPr="003D64F5">
        <w:rPr>
          <w:rFonts w:ascii="Arial" w:hAnsi="Arial" w:cs="Arial"/>
          <w:sz w:val="24"/>
          <w:szCs w:val="24"/>
        </w:rPr>
        <w:t>ule 116(13)</w:t>
      </w:r>
      <w:r w:rsidRPr="003D64F5">
        <w:rPr>
          <w:rFonts w:ascii="Arial" w:hAnsi="Arial" w:cs="Arial"/>
          <w:sz w:val="24"/>
          <w:szCs w:val="24"/>
        </w:rPr>
        <w:t xml:space="preserve"> of the Rules of the High Court</w:t>
      </w:r>
      <w:r w:rsidR="00242031" w:rsidRPr="003D64F5">
        <w:rPr>
          <w:rFonts w:ascii="Arial" w:hAnsi="Arial" w:cs="Arial"/>
          <w:sz w:val="24"/>
          <w:szCs w:val="24"/>
        </w:rPr>
        <w:t xml:space="preserve"> </w:t>
      </w:r>
      <w:r w:rsidR="008D0179" w:rsidRPr="003D64F5">
        <w:rPr>
          <w:rFonts w:ascii="Arial" w:hAnsi="Arial" w:cs="Arial"/>
          <w:sz w:val="24"/>
          <w:szCs w:val="24"/>
        </w:rPr>
        <w:t>t</w:t>
      </w:r>
      <w:r w:rsidR="001201B6" w:rsidRPr="003D64F5">
        <w:rPr>
          <w:rFonts w:ascii="Arial" w:hAnsi="Arial" w:cs="Arial"/>
          <w:sz w:val="24"/>
          <w:szCs w:val="24"/>
        </w:rPr>
        <w:t xml:space="preserve">he appellant </w:t>
      </w:r>
      <w:r w:rsidR="003D64F5" w:rsidRPr="003D64F5">
        <w:rPr>
          <w:rFonts w:ascii="Arial" w:hAnsi="Arial" w:cs="Arial"/>
          <w:sz w:val="24"/>
          <w:szCs w:val="24"/>
        </w:rPr>
        <w:t>was required to deliver heads of argument together with a list of the authorities to be relied upon in support of the points to be made in argument,</w:t>
      </w:r>
      <w:r w:rsidR="001201B6" w:rsidRPr="003D64F5">
        <w:rPr>
          <w:rFonts w:ascii="Arial" w:hAnsi="Arial" w:cs="Arial"/>
          <w:sz w:val="24"/>
          <w:szCs w:val="24"/>
        </w:rPr>
        <w:t xml:space="preserve"> not less than 15 days before the appeal </w:t>
      </w:r>
      <w:r w:rsidR="003D64F5" w:rsidRPr="003D64F5">
        <w:rPr>
          <w:rFonts w:ascii="Arial" w:hAnsi="Arial" w:cs="Arial"/>
          <w:sz w:val="24"/>
          <w:szCs w:val="24"/>
        </w:rPr>
        <w:t xml:space="preserve">was due to be </w:t>
      </w:r>
      <w:r w:rsidR="001201B6" w:rsidRPr="003D64F5">
        <w:rPr>
          <w:rFonts w:ascii="Arial" w:hAnsi="Arial" w:cs="Arial"/>
          <w:sz w:val="24"/>
          <w:szCs w:val="24"/>
        </w:rPr>
        <w:t>heard</w:t>
      </w:r>
      <w:r w:rsidR="003D64F5" w:rsidRPr="003D64F5">
        <w:rPr>
          <w:rFonts w:ascii="Arial" w:hAnsi="Arial" w:cs="Arial"/>
          <w:sz w:val="24"/>
          <w:szCs w:val="24"/>
        </w:rPr>
        <w:t xml:space="preserve">. </w:t>
      </w:r>
      <w:r w:rsidR="00EA11C7" w:rsidRPr="003D64F5">
        <w:rPr>
          <w:rFonts w:ascii="Arial" w:hAnsi="Arial" w:cs="Arial"/>
          <w:sz w:val="24"/>
          <w:szCs w:val="24"/>
        </w:rPr>
        <w:t>According</w:t>
      </w:r>
      <w:r w:rsidR="008546E0" w:rsidRPr="003D64F5">
        <w:rPr>
          <w:rFonts w:ascii="Arial" w:hAnsi="Arial" w:cs="Arial"/>
          <w:sz w:val="24"/>
          <w:szCs w:val="24"/>
        </w:rPr>
        <w:t xml:space="preserve"> to the</w:t>
      </w:r>
      <w:r w:rsidR="003B3224" w:rsidRPr="003D64F5">
        <w:rPr>
          <w:rFonts w:ascii="Arial" w:hAnsi="Arial" w:cs="Arial"/>
          <w:sz w:val="24"/>
          <w:szCs w:val="24"/>
        </w:rPr>
        <w:t xml:space="preserve"> </w:t>
      </w:r>
      <w:r w:rsidR="003C39A4" w:rsidRPr="003D64F5">
        <w:rPr>
          <w:rFonts w:ascii="Arial" w:hAnsi="Arial" w:cs="Arial"/>
          <w:sz w:val="24"/>
          <w:szCs w:val="24"/>
        </w:rPr>
        <w:t xml:space="preserve">rule </w:t>
      </w:r>
      <w:r w:rsidR="003D64F5">
        <w:rPr>
          <w:rFonts w:ascii="Arial" w:hAnsi="Arial" w:cs="Arial"/>
          <w:sz w:val="24"/>
          <w:szCs w:val="24"/>
        </w:rPr>
        <w:t xml:space="preserve">referred to </w:t>
      </w:r>
      <w:r w:rsidR="003C39A4" w:rsidRPr="003D64F5">
        <w:rPr>
          <w:rFonts w:ascii="Arial" w:hAnsi="Arial" w:cs="Arial"/>
          <w:sz w:val="24"/>
          <w:szCs w:val="24"/>
        </w:rPr>
        <w:t>above</w:t>
      </w:r>
      <w:r w:rsidR="00EA11C7" w:rsidRPr="003D64F5">
        <w:rPr>
          <w:rFonts w:ascii="Arial" w:hAnsi="Arial" w:cs="Arial"/>
          <w:sz w:val="24"/>
          <w:szCs w:val="24"/>
        </w:rPr>
        <w:t xml:space="preserve">, </w:t>
      </w:r>
      <w:r w:rsidR="004C622D" w:rsidRPr="003D64F5">
        <w:rPr>
          <w:rFonts w:ascii="Arial" w:hAnsi="Arial" w:cs="Arial"/>
          <w:sz w:val="24"/>
          <w:szCs w:val="24"/>
        </w:rPr>
        <w:t xml:space="preserve">the appellant </w:t>
      </w:r>
      <w:r w:rsidR="009C06FB" w:rsidRPr="003D64F5">
        <w:rPr>
          <w:rFonts w:ascii="Arial" w:hAnsi="Arial" w:cs="Arial"/>
          <w:sz w:val="24"/>
          <w:szCs w:val="24"/>
        </w:rPr>
        <w:t>was supposed to</w:t>
      </w:r>
      <w:r w:rsidR="004C622D" w:rsidRPr="003D64F5">
        <w:rPr>
          <w:rFonts w:ascii="Arial" w:hAnsi="Arial" w:cs="Arial"/>
          <w:sz w:val="24"/>
          <w:szCs w:val="24"/>
        </w:rPr>
        <w:t xml:space="preserve"> deliver </w:t>
      </w:r>
      <w:r w:rsidR="003B3224" w:rsidRPr="003D64F5">
        <w:rPr>
          <w:rFonts w:ascii="Arial" w:hAnsi="Arial" w:cs="Arial"/>
          <w:sz w:val="24"/>
          <w:szCs w:val="24"/>
        </w:rPr>
        <w:t>her</w:t>
      </w:r>
      <w:r w:rsidR="009C06FB" w:rsidRPr="003D64F5">
        <w:rPr>
          <w:rFonts w:ascii="Arial" w:hAnsi="Arial" w:cs="Arial"/>
          <w:sz w:val="24"/>
          <w:szCs w:val="24"/>
        </w:rPr>
        <w:t xml:space="preserve"> heads</w:t>
      </w:r>
      <w:r w:rsidR="004C622D" w:rsidRPr="003D64F5">
        <w:rPr>
          <w:rFonts w:ascii="Arial" w:hAnsi="Arial" w:cs="Arial"/>
          <w:sz w:val="24"/>
          <w:szCs w:val="24"/>
        </w:rPr>
        <w:t xml:space="preserve"> of </w:t>
      </w:r>
      <w:r w:rsidR="004C622D" w:rsidRPr="00F75D93">
        <w:rPr>
          <w:rFonts w:ascii="Arial" w:hAnsi="Arial" w:cs="Arial"/>
          <w:sz w:val="24"/>
          <w:szCs w:val="24"/>
          <w:lang w:val="en-GB"/>
        </w:rPr>
        <w:t>argu</w:t>
      </w:r>
      <w:r w:rsidR="00DA5580" w:rsidRPr="00F75D93">
        <w:rPr>
          <w:rFonts w:ascii="Arial" w:hAnsi="Arial" w:cs="Arial"/>
          <w:sz w:val="24"/>
          <w:szCs w:val="24"/>
          <w:lang w:val="en-GB"/>
        </w:rPr>
        <w:t>ment</w:t>
      </w:r>
      <w:r w:rsidR="00DA5580" w:rsidRPr="003D64F5">
        <w:rPr>
          <w:rFonts w:ascii="Arial" w:hAnsi="Arial" w:cs="Arial"/>
          <w:sz w:val="24"/>
          <w:szCs w:val="24"/>
        </w:rPr>
        <w:t xml:space="preserve"> on </w:t>
      </w:r>
      <w:r w:rsidR="00233D11" w:rsidRPr="003D64F5">
        <w:rPr>
          <w:rFonts w:ascii="Arial" w:hAnsi="Arial" w:cs="Arial"/>
          <w:sz w:val="24"/>
          <w:szCs w:val="24"/>
        </w:rPr>
        <w:t xml:space="preserve">or before </w:t>
      </w:r>
      <w:r w:rsidR="00DA5580" w:rsidRPr="003D64F5">
        <w:rPr>
          <w:rFonts w:ascii="Arial" w:hAnsi="Arial" w:cs="Arial"/>
          <w:sz w:val="24"/>
          <w:szCs w:val="24"/>
        </w:rPr>
        <w:t xml:space="preserve">24 April 2015. </w:t>
      </w:r>
      <w:r w:rsidR="003D64F5">
        <w:rPr>
          <w:rFonts w:ascii="Arial" w:hAnsi="Arial" w:cs="Arial"/>
          <w:sz w:val="24"/>
          <w:szCs w:val="24"/>
        </w:rPr>
        <w:t>Instead, t</w:t>
      </w:r>
      <w:r w:rsidR="004C622D" w:rsidRPr="003D64F5">
        <w:rPr>
          <w:rFonts w:ascii="Arial" w:hAnsi="Arial" w:cs="Arial"/>
          <w:sz w:val="24"/>
          <w:szCs w:val="24"/>
        </w:rPr>
        <w:t xml:space="preserve">he </w:t>
      </w:r>
      <w:r w:rsidR="00F84290" w:rsidRPr="003D64F5">
        <w:rPr>
          <w:rFonts w:ascii="Arial" w:hAnsi="Arial" w:cs="Arial"/>
          <w:sz w:val="24"/>
          <w:szCs w:val="24"/>
        </w:rPr>
        <w:t>appellant</w:t>
      </w:r>
      <w:r w:rsidR="008546E0" w:rsidRPr="003D64F5">
        <w:rPr>
          <w:rFonts w:ascii="Arial" w:hAnsi="Arial" w:cs="Arial"/>
          <w:sz w:val="24"/>
          <w:szCs w:val="24"/>
        </w:rPr>
        <w:t xml:space="preserve"> </w:t>
      </w:r>
      <w:r w:rsidR="009838BB" w:rsidRPr="003D64F5">
        <w:rPr>
          <w:rFonts w:ascii="Arial" w:hAnsi="Arial" w:cs="Arial"/>
          <w:sz w:val="24"/>
          <w:szCs w:val="24"/>
        </w:rPr>
        <w:t xml:space="preserve">delivered </w:t>
      </w:r>
      <w:r w:rsidR="003B3224" w:rsidRPr="003D64F5">
        <w:rPr>
          <w:rFonts w:ascii="Arial" w:hAnsi="Arial" w:cs="Arial"/>
          <w:sz w:val="24"/>
          <w:szCs w:val="24"/>
        </w:rPr>
        <w:t>her</w:t>
      </w:r>
      <w:r w:rsidR="009A6784" w:rsidRPr="003D64F5">
        <w:rPr>
          <w:rFonts w:ascii="Arial" w:hAnsi="Arial" w:cs="Arial"/>
          <w:sz w:val="24"/>
          <w:szCs w:val="24"/>
        </w:rPr>
        <w:t xml:space="preserve"> heads</w:t>
      </w:r>
      <w:r w:rsidR="00DA5580" w:rsidRPr="003D64F5">
        <w:rPr>
          <w:rFonts w:ascii="Arial" w:hAnsi="Arial" w:cs="Arial"/>
          <w:sz w:val="24"/>
          <w:szCs w:val="24"/>
        </w:rPr>
        <w:t xml:space="preserve"> </w:t>
      </w:r>
      <w:r w:rsidR="00242031" w:rsidRPr="003D64F5">
        <w:rPr>
          <w:rFonts w:ascii="Arial" w:hAnsi="Arial" w:cs="Arial"/>
          <w:sz w:val="24"/>
          <w:szCs w:val="24"/>
        </w:rPr>
        <w:t>on 5 May 2015</w:t>
      </w:r>
      <w:r w:rsidR="00F84290" w:rsidRPr="003D64F5">
        <w:rPr>
          <w:rFonts w:ascii="Arial" w:hAnsi="Arial" w:cs="Arial"/>
          <w:sz w:val="24"/>
          <w:szCs w:val="24"/>
        </w:rPr>
        <w:t xml:space="preserve"> </w:t>
      </w:r>
      <w:r w:rsidR="00372C47" w:rsidRPr="003D64F5">
        <w:rPr>
          <w:rFonts w:ascii="Arial" w:hAnsi="Arial" w:cs="Arial"/>
          <w:sz w:val="24"/>
          <w:szCs w:val="24"/>
          <w:lang w:val="en-ZA"/>
        </w:rPr>
        <w:t xml:space="preserve">resulting in the late filling of the heads </w:t>
      </w:r>
      <w:r w:rsidRPr="003D64F5">
        <w:rPr>
          <w:rFonts w:ascii="Arial" w:hAnsi="Arial" w:cs="Arial"/>
          <w:sz w:val="24"/>
          <w:szCs w:val="24"/>
          <w:lang w:val="en-ZA"/>
        </w:rPr>
        <w:t xml:space="preserve">by </w:t>
      </w:r>
      <w:r w:rsidR="00372C47" w:rsidRPr="003D64F5">
        <w:rPr>
          <w:rFonts w:ascii="Arial" w:hAnsi="Arial" w:cs="Arial"/>
          <w:sz w:val="24"/>
          <w:szCs w:val="24"/>
          <w:lang w:val="en-ZA"/>
        </w:rPr>
        <w:t>4 days</w:t>
      </w:r>
      <w:r w:rsidR="00DA5580" w:rsidRPr="003D64F5">
        <w:rPr>
          <w:rFonts w:ascii="Arial" w:hAnsi="Arial" w:cs="Arial"/>
          <w:sz w:val="24"/>
          <w:szCs w:val="24"/>
        </w:rPr>
        <w:t xml:space="preserve">. </w:t>
      </w:r>
    </w:p>
    <w:p w:rsidR="00233D11" w:rsidRPr="001D20F2" w:rsidRDefault="00233D11" w:rsidP="001D20F2">
      <w:pPr>
        <w:spacing w:line="480" w:lineRule="auto"/>
      </w:pPr>
    </w:p>
    <w:p w:rsidR="00063D81" w:rsidRPr="009A6784" w:rsidRDefault="003B3224" w:rsidP="001D20F2">
      <w:pPr>
        <w:pStyle w:val="ListParagraph"/>
        <w:numPr>
          <w:ilvl w:val="0"/>
          <w:numId w:val="10"/>
        </w:numPr>
        <w:spacing w:after="0" w:line="480" w:lineRule="auto"/>
        <w:ind w:left="0" w:firstLine="0"/>
        <w:jc w:val="both"/>
        <w:rPr>
          <w:rFonts w:ascii="Arial" w:hAnsi="Arial" w:cs="Arial"/>
          <w:sz w:val="24"/>
          <w:szCs w:val="24"/>
        </w:rPr>
      </w:pPr>
      <w:r>
        <w:rPr>
          <w:rFonts w:ascii="Arial" w:hAnsi="Arial" w:cs="Arial"/>
          <w:sz w:val="24"/>
          <w:szCs w:val="24"/>
        </w:rPr>
        <w:t xml:space="preserve">As </w:t>
      </w:r>
      <w:r w:rsidR="007B67D2">
        <w:rPr>
          <w:rFonts w:ascii="Arial" w:hAnsi="Arial" w:cs="Arial"/>
          <w:sz w:val="24"/>
          <w:szCs w:val="24"/>
        </w:rPr>
        <w:t>a result of this</w:t>
      </w:r>
      <w:r>
        <w:rPr>
          <w:rFonts w:ascii="Arial" w:hAnsi="Arial" w:cs="Arial"/>
          <w:sz w:val="24"/>
          <w:szCs w:val="24"/>
        </w:rPr>
        <w:t xml:space="preserve"> late </w:t>
      </w:r>
      <w:r w:rsidR="007B67D2">
        <w:rPr>
          <w:rFonts w:ascii="Arial" w:hAnsi="Arial" w:cs="Arial"/>
          <w:sz w:val="24"/>
          <w:szCs w:val="24"/>
        </w:rPr>
        <w:t>delivery</w:t>
      </w:r>
      <w:r w:rsidR="00361BF5" w:rsidRPr="009A6784">
        <w:rPr>
          <w:rFonts w:ascii="Arial" w:hAnsi="Arial" w:cs="Arial"/>
          <w:sz w:val="24"/>
          <w:szCs w:val="24"/>
        </w:rPr>
        <w:t>,</w:t>
      </w:r>
      <w:r w:rsidR="001D05E3">
        <w:rPr>
          <w:rFonts w:ascii="Arial" w:hAnsi="Arial" w:cs="Arial"/>
          <w:sz w:val="24"/>
          <w:szCs w:val="24"/>
        </w:rPr>
        <w:t xml:space="preserve"> </w:t>
      </w:r>
      <w:r w:rsidR="00361BF5" w:rsidRPr="009A6784">
        <w:rPr>
          <w:rFonts w:ascii="Arial" w:hAnsi="Arial" w:cs="Arial"/>
          <w:sz w:val="24"/>
          <w:szCs w:val="24"/>
        </w:rPr>
        <w:t>the</w:t>
      </w:r>
      <w:r w:rsidR="001D05E3">
        <w:rPr>
          <w:rFonts w:ascii="Arial" w:hAnsi="Arial" w:cs="Arial"/>
          <w:sz w:val="24"/>
          <w:szCs w:val="24"/>
        </w:rPr>
        <w:t xml:space="preserve"> </w:t>
      </w:r>
      <w:r w:rsidR="00361BF5" w:rsidRPr="009A6784">
        <w:rPr>
          <w:rFonts w:ascii="Arial" w:hAnsi="Arial" w:cs="Arial"/>
          <w:sz w:val="24"/>
          <w:szCs w:val="24"/>
        </w:rPr>
        <w:t>appellant</w:t>
      </w:r>
      <w:r w:rsidR="001D05E3">
        <w:rPr>
          <w:rFonts w:ascii="Arial" w:hAnsi="Arial" w:cs="Arial"/>
          <w:sz w:val="24"/>
          <w:szCs w:val="24"/>
        </w:rPr>
        <w:t xml:space="preserve"> </w:t>
      </w:r>
      <w:r w:rsidR="003C39A4">
        <w:rPr>
          <w:rFonts w:ascii="Arial" w:hAnsi="Arial" w:cs="Arial"/>
          <w:sz w:val="24"/>
          <w:szCs w:val="24"/>
        </w:rPr>
        <w:t xml:space="preserve">sought condonation at the hearing of the </w:t>
      </w:r>
      <w:r w:rsidR="009F3874">
        <w:rPr>
          <w:rFonts w:ascii="Arial" w:hAnsi="Arial" w:cs="Arial"/>
          <w:sz w:val="24"/>
          <w:szCs w:val="24"/>
        </w:rPr>
        <w:t>appeal</w:t>
      </w:r>
      <w:r w:rsidR="001D05E3">
        <w:rPr>
          <w:rFonts w:ascii="Arial" w:hAnsi="Arial" w:cs="Arial"/>
          <w:sz w:val="24"/>
          <w:szCs w:val="24"/>
        </w:rPr>
        <w:t xml:space="preserve">. </w:t>
      </w:r>
      <w:r w:rsidR="003A25A2" w:rsidRPr="009A6784">
        <w:rPr>
          <w:rFonts w:ascii="Arial" w:hAnsi="Arial" w:cs="Arial"/>
          <w:sz w:val="24"/>
          <w:szCs w:val="24"/>
        </w:rPr>
        <w:t xml:space="preserve">In support of the </w:t>
      </w:r>
      <w:r w:rsidR="001D05E3">
        <w:rPr>
          <w:rFonts w:ascii="Arial" w:hAnsi="Arial" w:cs="Arial"/>
          <w:sz w:val="24"/>
          <w:szCs w:val="24"/>
        </w:rPr>
        <w:t>condonation</w:t>
      </w:r>
      <w:r w:rsidR="00C55ABF">
        <w:rPr>
          <w:rFonts w:ascii="Arial" w:hAnsi="Arial" w:cs="Arial"/>
          <w:sz w:val="24"/>
          <w:szCs w:val="24"/>
        </w:rPr>
        <w:t xml:space="preserve"> application</w:t>
      </w:r>
      <w:r w:rsidR="003A25A2" w:rsidRPr="009A6784">
        <w:rPr>
          <w:rFonts w:ascii="Arial" w:hAnsi="Arial" w:cs="Arial"/>
          <w:sz w:val="24"/>
          <w:szCs w:val="24"/>
        </w:rPr>
        <w:t xml:space="preserve">, </w:t>
      </w:r>
      <w:r w:rsidR="008308AA">
        <w:rPr>
          <w:rFonts w:ascii="Arial" w:hAnsi="Arial" w:cs="Arial"/>
          <w:sz w:val="24"/>
          <w:szCs w:val="24"/>
        </w:rPr>
        <w:t xml:space="preserve">it was stated on behalf of the </w:t>
      </w:r>
      <w:r w:rsidR="001D05E3">
        <w:rPr>
          <w:rFonts w:ascii="Arial" w:hAnsi="Arial" w:cs="Arial"/>
          <w:sz w:val="24"/>
          <w:szCs w:val="24"/>
        </w:rPr>
        <w:t xml:space="preserve">appellant that her legal </w:t>
      </w:r>
      <w:r w:rsidR="00126519" w:rsidRPr="009A6784">
        <w:rPr>
          <w:rFonts w:ascii="Arial" w:hAnsi="Arial" w:cs="Arial"/>
          <w:sz w:val="24"/>
          <w:szCs w:val="24"/>
        </w:rPr>
        <w:t xml:space="preserve">practitioner miscalculated the </w:t>
      </w:r>
      <w:r w:rsidR="00126519" w:rsidRPr="009A6784">
        <w:rPr>
          <w:rFonts w:ascii="Arial" w:hAnsi="Arial" w:cs="Arial"/>
          <w:i/>
          <w:sz w:val="24"/>
          <w:szCs w:val="24"/>
        </w:rPr>
        <w:t xml:space="preserve">dies </w:t>
      </w:r>
      <w:r w:rsidR="00126519" w:rsidRPr="009A6784">
        <w:rPr>
          <w:rFonts w:ascii="Arial" w:hAnsi="Arial" w:cs="Arial"/>
          <w:sz w:val="24"/>
          <w:szCs w:val="24"/>
        </w:rPr>
        <w:t xml:space="preserve">for the filling of the heads of argument and counted 10 days </w:t>
      </w:r>
      <w:r w:rsidR="007B67D2">
        <w:rPr>
          <w:rFonts w:ascii="Arial" w:hAnsi="Arial" w:cs="Arial"/>
          <w:sz w:val="24"/>
          <w:szCs w:val="24"/>
        </w:rPr>
        <w:t xml:space="preserve">instead of the </w:t>
      </w:r>
      <w:r w:rsidR="00126519" w:rsidRPr="009A6784">
        <w:rPr>
          <w:rFonts w:ascii="Arial" w:hAnsi="Arial" w:cs="Arial"/>
          <w:sz w:val="24"/>
          <w:szCs w:val="24"/>
        </w:rPr>
        <w:t xml:space="preserve">15 days </w:t>
      </w:r>
      <w:r w:rsidR="007B67D2">
        <w:rPr>
          <w:rFonts w:ascii="Arial" w:hAnsi="Arial" w:cs="Arial"/>
          <w:sz w:val="24"/>
          <w:szCs w:val="24"/>
        </w:rPr>
        <w:t xml:space="preserve">prescribed </w:t>
      </w:r>
      <w:r w:rsidR="001D05E3">
        <w:rPr>
          <w:rFonts w:ascii="Arial" w:hAnsi="Arial" w:cs="Arial"/>
          <w:sz w:val="24"/>
          <w:szCs w:val="24"/>
        </w:rPr>
        <w:t xml:space="preserve">by </w:t>
      </w:r>
      <w:r w:rsidR="007B67D2">
        <w:rPr>
          <w:rFonts w:ascii="Arial" w:hAnsi="Arial" w:cs="Arial"/>
          <w:sz w:val="24"/>
          <w:szCs w:val="24"/>
        </w:rPr>
        <w:t xml:space="preserve">the applicable </w:t>
      </w:r>
      <w:r w:rsidR="003A25A2" w:rsidRPr="009A6784">
        <w:rPr>
          <w:rFonts w:ascii="Arial" w:hAnsi="Arial" w:cs="Arial"/>
          <w:sz w:val="24"/>
          <w:szCs w:val="24"/>
        </w:rPr>
        <w:t>rule</w:t>
      </w:r>
      <w:r w:rsidR="00372C47" w:rsidRPr="009A6784">
        <w:rPr>
          <w:rFonts w:ascii="Arial" w:hAnsi="Arial" w:cs="Arial"/>
          <w:sz w:val="24"/>
          <w:szCs w:val="24"/>
          <w:lang w:val="en-ZA"/>
        </w:rPr>
        <w:t>.</w:t>
      </w:r>
      <w:r w:rsidR="001D05E3">
        <w:rPr>
          <w:rFonts w:ascii="Arial" w:hAnsi="Arial" w:cs="Arial"/>
          <w:sz w:val="24"/>
          <w:szCs w:val="24"/>
          <w:lang w:val="en-ZA"/>
        </w:rPr>
        <w:t xml:space="preserve"> </w:t>
      </w:r>
      <w:r w:rsidR="008308AA">
        <w:rPr>
          <w:rFonts w:ascii="Arial" w:hAnsi="Arial" w:cs="Arial"/>
          <w:sz w:val="24"/>
          <w:szCs w:val="24"/>
          <w:lang w:val="en-ZA"/>
        </w:rPr>
        <w:t xml:space="preserve">It was </w:t>
      </w:r>
      <w:r w:rsidR="00372C47" w:rsidRPr="009A6784">
        <w:rPr>
          <w:rFonts w:ascii="Arial" w:hAnsi="Arial" w:cs="Arial"/>
          <w:sz w:val="24"/>
          <w:szCs w:val="24"/>
          <w:lang w:val="en-ZA"/>
        </w:rPr>
        <w:t>further</w:t>
      </w:r>
      <w:r w:rsidR="00401E7C">
        <w:rPr>
          <w:rFonts w:ascii="Arial" w:hAnsi="Arial" w:cs="Arial"/>
          <w:sz w:val="24"/>
          <w:szCs w:val="24"/>
          <w:lang w:val="en-ZA"/>
        </w:rPr>
        <w:t xml:space="preserve"> stated </w:t>
      </w:r>
      <w:r w:rsidR="009C6AC2">
        <w:rPr>
          <w:rFonts w:ascii="Arial" w:hAnsi="Arial" w:cs="Arial"/>
          <w:sz w:val="24"/>
          <w:szCs w:val="24"/>
          <w:lang w:val="en-ZA"/>
        </w:rPr>
        <w:t xml:space="preserve">rather sheepishly </w:t>
      </w:r>
      <w:r w:rsidR="00372C47" w:rsidRPr="009A6784">
        <w:rPr>
          <w:rFonts w:ascii="Arial" w:hAnsi="Arial" w:cs="Arial"/>
          <w:sz w:val="24"/>
          <w:szCs w:val="24"/>
          <w:lang w:val="en-ZA"/>
        </w:rPr>
        <w:t xml:space="preserve">that </w:t>
      </w:r>
      <w:r w:rsidR="00126519" w:rsidRPr="009A6784">
        <w:rPr>
          <w:rFonts w:ascii="Arial" w:hAnsi="Arial" w:cs="Arial"/>
          <w:sz w:val="24"/>
          <w:szCs w:val="24"/>
        </w:rPr>
        <w:t>the administrative assistan</w:t>
      </w:r>
      <w:r w:rsidR="0032358F" w:rsidRPr="009A6784">
        <w:rPr>
          <w:rFonts w:ascii="Arial" w:hAnsi="Arial" w:cs="Arial"/>
          <w:sz w:val="24"/>
          <w:szCs w:val="24"/>
        </w:rPr>
        <w:t>t</w:t>
      </w:r>
      <w:r w:rsidR="00126519" w:rsidRPr="009A6784">
        <w:rPr>
          <w:rFonts w:ascii="Arial" w:hAnsi="Arial" w:cs="Arial"/>
          <w:sz w:val="24"/>
          <w:szCs w:val="24"/>
        </w:rPr>
        <w:t xml:space="preserve"> of the legal practitioner </w:t>
      </w:r>
      <w:r w:rsidR="00273862">
        <w:rPr>
          <w:rFonts w:ascii="Arial" w:hAnsi="Arial" w:cs="Arial"/>
          <w:sz w:val="24"/>
          <w:szCs w:val="24"/>
        </w:rPr>
        <w:t xml:space="preserve">had been </w:t>
      </w:r>
      <w:r w:rsidR="00126519" w:rsidRPr="009A6784">
        <w:rPr>
          <w:rFonts w:ascii="Arial" w:hAnsi="Arial" w:cs="Arial"/>
          <w:sz w:val="24"/>
          <w:szCs w:val="24"/>
        </w:rPr>
        <w:t xml:space="preserve">on training </w:t>
      </w:r>
      <w:r w:rsidR="007B67D2">
        <w:rPr>
          <w:rFonts w:ascii="Arial" w:hAnsi="Arial" w:cs="Arial"/>
          <w:sz w:val="24"/>
          <w:szCs w:val="24"/>
        </w:rPr>
        <w:t xml:space="preserve">at </w:t>
      </w:r>
      <w:r w:rsidR="009C6AC2">
        <w:rPr>
          <w:rFonts w:ascii="Arial" w:hAnsi="Arial" w:cs="Arial"/>
          <w:sz w:val="24"/>
          <w:szCs w:val="24"/>
        </w:rPr>
        <w:t xml:space="preserve">the </w:t>
      </w:r>
      <w:r w:rsidR="007B67D2">
        <w:rPr>
          <w:rFonts w:ascii="Arial" w:hAnsi="Arial" w:cs="Arial"/>
          <w:sz w:val="24"/>
          <w:szCs w:val="24"/>
        </w:rPr>
        <w:t xml:space="preserve">particular time </w:t>
      </w:r>
      <w:r w:rsidR="00126519" w:rsidRPr="009A6784">
        <w:rPr>
          <w:rFonts w:ascii="Arial" w:hAnsi="Arial" w:cs="Arial"/>
          <w:sz w:val="24"/>
          <w:szCs w:val="24"/>
        </w:rPr>
        <w:t xml:space="preserve">and could </w:t>
      </w:r>
      <w:r w:rsidR="00372C47" w:rsidRPr="009A6784">
        <w:rPr>
          <w:rFonts w:ascii="Arial" w:hAnsi="Arial" w:cs="Arial"/>
          <w:sz w:val="24"/>
          <w:szCs w:val="24"/>
        </w:rPr>
        <w:t xml:space="preserve">therefore </w:t>
      </w:r>
      <w:r w:rsidR="00126519" w:rsidRPr="009A6784">
        <w:rPr>
          <w:rFonts w:ascii="Arial" w:hAnsi="Arial" w:cs="Arial"/>
          <w:sz w:val="24"/>
          <w:szCs w:val="24"/>
        </w:rPr>
        <w:t>not assist</w:t>
      </w:r>
      <w:r w:rsidR="00DF3233">
        <w:rPr>
          <w:rFonts w:ascii="Arial" w:hAnsi="Arial" w:cs="Arial"/>
          <w:sz w:val="24"/>
          <w:szCs w:val="24"/>
        </w:rPr>
        <w:t xml:space="preserve"> the</w:t>
      </w:r>
      <w:r w:rsidR="00BB1692">
        <w:rPr>
          <w:rFonts w:ascii="Arial" w:hAnsi="Arial" w:cs="Arial"/>
          <w:sz w:val="24"/>
          <w:szCs w:val="24"/>
        </w:rPr>
        <w:t xml:space="preserve"> </w:t>
      </w:r>
      <w:r w:rsidR="00126519" w:rsidRPr="009A6784">
        <w:rPr>
          <w:rFonts w:ascii="Arial" w:hAnsi="Arial" w:cs="Arial"/>
          <w:sz w:val="24"/>
          <w:szCs w:val="24"/>
        </w:rPr>
        <w:t xml:space="preserve">legal practitioner </w:t>
      </w:r>
      <w:r w:rsidR="00273862">
        <w:rPr>
          <w:rFonts w:ascii="Arial" w:hAnsi="Arial" w:cs="Arial"/>
          <w:sz w:val="24"/>
          <w:szCs w:val="24"/>
        </w:rPr>
        <w:t>t</w:t>
      </w:r>
      <w:r w:rsidR="008308AA">
        <w:rPr>
          <w:rFonts w:ascii="Arial" w:hAnsi="Arial" w:cs="Arial"/>
          <w:sz w:val="24"/>
          <w:szCs w:val="24"/>
        </w:rPr>
        <w:t>o diari</w:t>
      </w:r>
      <w:r w:rsidR="00F75D93">
        <w:rPr>
          <w:rFonts w:ascii="Arial" w:hAnsi="Arial" w:cs="Arial"/>
          <w:sz w:val="24"/>
          <w:szCs w:val="24"/>
        </w:rPr>
        <w:t>s</w:t>
      </w:r>
      <w:r w:rsidR="008308AA">
        <w:rPr>
          <w:rFonts w:ascii="Arial" w:hAnsi="Arial" w:cs="Arial"/>
          <w:sz w:val="24"/>
          <w:szCs w:val="24"/>
        </w:rPr>
        <w:t xml:space="preserve">e </w:t>
      </w:r>
      <w:r w:rsidR="00273862">
        <w:rPr>
          <w:rFonts w:ascii="Arial" w:hAnsi="Arial" w:cs="Arial"/>
          <w:sz w:val="24"/>
          <w:szCs w:val="24"/>
        </w:rPr>
        <w:t>court days</w:t>
      </w:r>
      <w:r w:rsidR="00126519" w:rsidRPr="009A6784">
        <w:rPr>
          <w:rFonts w:ascii="Arial" w:hAnsi="Arial" w:cs="Arial"/>
          <w:sz w:val="24"/>
          <w:szCs w:val="24"/>
        </w:rPr>
        <w:t>.</w:t>
      </w:r>
      <w:r w:rsidR="00273862">
        <w:rPr>
          <w:rFonts w:ascii="Arial" w:hAnsi="Arial" w:cs="Arial"/>
          <w:sz w:val="24"/>
          <w:szCs w:val="24"/>
        </w:rPr>
        <w:t xml:space="preserve"> Not surprisingly, the explanation was not well received</w:t>
      </w:r>
      <w:r w:rsidR="005A2134">
        <w:rPr>
          <w:rFonts w:ascii="Arial" w:hAnsi="Arial" w:cs="Arial"/>
          <w:sz w:val="24"/>
          <w:szCs w:val="24"/>
        </w:rPr>
        <w:t>.</w:t>
      </w:r>
    </w:p>
    <w:p w:rsidR="00063D81" w:rsidRPr="009A6784" w:rsidRDefault="00063D81" w:rsidP="001D20F2">
      <w:pPr>
        <w:spacing w:line="480" w:lineRule="auto"/>
      </w:pPr>
    </w:p>
    <w:p w:rsidR="0085682E" w:rsidRPr="009C6AC2" w:rsidRDefault="00242031" w:rsidP="001D20F2">
      <w:pPr>
        <w:pStyle w:val="ListParagraph"/>
        <w:numPr>
          <w:ilvl w:val="0"/>
          <w:numId w:val="10"/>
        </w:numPr>
        <w:spacing w:after="0" w:line="480" w:lineRule="auto"/>
        <w:ind w:left="0" w:firstLine="0"/>
        <w:jc w:val="both"/>
        <w:rPr>
          <w:rFonts w:ascii="Arial" w:hAnsi="Arial" w:cs="Arial"/>
          <w:sz w:val="24"/>
          <w:szCs w:val="24"/>
        </w:rPr>
      </w:pPr>
      <w:r w:rsidRPr="009C6AC2">
        <w:rPr>
          <w:rFonts w:ascii="Arial" w:hAnsi="Arial" w:cs="Arial"/>
          <w:sz w:val="24"/>
          <w:szCs w:val="24"/>
        </w:rPr>
        <w:t xml:space="preserve">The respondent opposed </w:t>
      </w:r>
      <w:r w:rsidR="004D08FE" w:rsidRPr="009C6AC2">
        <w:rPr>
          <w:rFonts w:ascii="Arial" w:hAnsi="Arial" w:cs="Arial"/>
          <w:sz w:val="24"/>
          <w:szCs w:val="24"/>
        </w:rPr>
        <w:t>the appeal</w:t>
      </w:r>
      <w:r w:rsidR="003D64F5">
        <w:rPr>
          <w:rFonts w:ascii="Arial" w:hAnsi="Arial" w:cs="Arial"/>
          <w:sz w:val="24"/>
          <w:szCs w:val="24"/>
        </w:rPr>
        <w:t>,</w:t>
      </w:r>
      <w:r w:rsidR="007D044D" w:rsidRPr="009C6AC2">
        <w:rPr>
          <w:rFonts w:ascii="Arial" w:hAnsi="Arial" w:cs="Arial"/>
          <w:sz w:val="24"/>
          <w:szCs w:val="24"/>
        </w:rPr>
        <w:t xml:space="preserve"> but not the </w:t>
      </w:r>
      <w:r w:rsidRPr="009C6AC2">
        <w:rPr>
          <w:rFonts w:ascii="Arial" w:hAnsi="Arial" w:cs="Arial"/>
          <w:sz w:val="24"/>
          <w:szCs w:val="24"/>
        </w:rPr>
        <w:t>condonation application.</w:t>
      </w:r>
      <w:r w:rsidR="00C55ABF" w:rsidRPr="009C6AC2">
        <w:rPr>
          <w:rFonts w:ascii="Arial" w:hAnsi="Arial" w:cs="Arial"/>
          <w:sz w:val="24"/>
          <w:szCs w:val="24"/>
        </w:rPr>
        <w:t xml:space="preserve"> </w:t>
      </w:r>
      <w:r w:rsidR="0008521D" w:rsidRPr="009C6AC2">
        <w:rPr>
          <w:rFonts w:ascii="Arial" w:hAnsi="Arial" w:cs="Arial"/>
          <w:sz w:val="24"/>
          <w:szCs w:val="24"/>
        </w:rPr>
        <w:t xml:space="preserve">On 18 May 2015 </w:t>
      </w:r>
      <w:r w:rsidR="00834C79" w:rsidRPr="009C6AC2">
        <w:rPr>
          <w:rFonts w:ascii="Arial" w:hAnsi="Arial" w:cs="Arial"/>
          <w:sz w:val="24"/>
          <w:szCs w:val="24"/>
        </w:rPr>
        <w:t xml:space="preserve">after hearing arguments in support of the </w:t>
      </w:r>
      <w:r w:rsidR="00C55ABF" w:rsidRPr="009C6AC2">
        <w:rPr>
          <w:rFonts w:ascii="Arial" w:hAnsi="Arial" w:cs="Arial"/>
          <w:sz w:val="24"/>
          <w:szCs w:val="24"/>
        </w:rPr>
        <w:t>application</w:t>
      </w:r>
      <w:r w:rsidR="00875E10" w:rsidRPr="009C6AC2">
        <w:rPr>
          <w:rFonts w:ascii="Arial" w:hAnsi="Arial" w:cs="Arial"/>
          <w:sz w:val="24"/>
          <w:szCs w:val="24"/>
        </w:rPr>
        <w:t xml:space="preserve">, </w:t>
      </w:r>
      <w:r w:rsidR="0008521D" w:rsidRPr="009C6AC2">
        <w:rPr>
          <w:rFonts w:ascii="Arial" w:hAnsi="Arial" w:cs="Arial"/>
          <w:sz w:val="24"/>
          <w:szCs w:val="24"/>
        </w:rPr>
        <w:t>the</w:t>
      </w:r>
      <w:r w:rsidR="00165A46" w:rsidRPr="009C6AC2">
        <w:rPr>
          <w:rFonts w:ascii="Arial" w:hAnsi="Arial" w:cs="Arial"/>
          <w:sz w:val="24"/>
          <w:szCs w:val="24"/>
        </w:rPr>
        <w:t xml:space="preserve"> </w:t>
      </w:r>
      <w:r w:rsidR="00875E10" w:rsidRPr="009C6AC2">
        <w:rPr>
          <w:rFonts w:ascii="Arial" w:hAnsi="Arial" w:cs="Arial"/>
          <w:sz w:val="24"/>
          <w:szCs w:val="24"/>
        </w:rPr>
        <w:t xml:space="preserve">court </w:t>
      </w:r>
      <w:r w:rsidR="00875E10" w:rsidRPr="009C6AC2">
        <w:rPr>
          <w:rFonts w:ascii="Arial" w:hAnsi="Arial" w:cs="Arial"/>
          <w:i/>
          <w:sz w:val="24"/>
          <w:szCs w:val="24"/>
        </w:rPr>
        <w:t>a quo</w:t>
      </w:r>
      <w:r w:rsidR="00165A46" w:rsidRPr="009C6AC2">
        <w:rPr>
          <w:rFonts w:ascii="Arial" w:hAnsi="Arial" w:cs="Arial"/>
          <w:sz w:val="24"/>
          <w:szCs w:val="24"/>
        </w:rPr>
        <w:t xml:space="preserve"> </w:t>
      </w:r>
      <w:r w:rsidR="00875E10" w:rsidRPr="009C6AC2">
        <w:rPr>
          <w:rFonts w:ascii="Arial" w:hAnsi="Arial" w:cs="Arial"/>
          <w:sz w:val="24"/>
          <w:szCs w:val="24"/>
        </w:rPr>
        <w:t xml:space="preserve">refused </w:t>
      </w:r>
      <w:r w:rsidR="003C39A4" w:rsidRPr="009C6AC2">
        <w:rPr>
          <w:rFonts w:ascii="Arial" w:hAnsi="Arial" w:cs="Arial"/>
          <w:sz w:val="24"/>
          <w:szCs w:val="24"/>
        </w:rPr>
        <w:t>the</w:t>
      </w:r>
      <w:r w:rsidR="00DF3233" w:rsidRPr="009C6AC2">
        <w:rPr>
          <w:rFonts w:ascii="Arial" w:hAnsi="Arial" w:cs="Arial"/>
          <w:sz w:val="24"/>
          <w:szCs w:val="24"/>
        </w:rPr>
        <w:t xml:space="preserve"> </w:t>
      </w:r>
      <w:r w:rsidR="0032358F" w:rsidRPr="009C6AC2">
        <w:rPr>
          <w:rFonts w:ascii="Arial" w:hAnsi="Arial" w:cs="Arial"/>
          <w:sz w:val="24"/>
          <w:szCs w:val="24"/>
        </w:rPr>
        <w:t>condonation</w:t>
      </w:r>
      <w:r w:rsidR="00165A46" w:rsidRPr="009C6AC2">
        <w:rPr>
          <w:rFonts w:ascii="Arial" w:hAnsi="Arial" w:cs="Arial"/>
          <w:sz w:val="24"/>
          <w:szCs w:val="24"/>
        </w:rPr>
        <w:t xml:space="preserve"> </w:t>
      </w:r>
      <w:r w:rsidR="003C39A4" w:rsidRPr="009C6AC2">
        <w:rPr>
          <w:rFonts w:ascii="Arial" w:hAnsi="Arial" w:cs="Arial"/>
          <w:sz w:val="24"/>
          <w:szCs w:val="24"/>
        </w:rPr>
        <w:t xml:space="preserve">application </w:t>
      </w:r>
      <w:r w:rsidR="00165A46" w:rsidRPr="009C6AC2">
        <w:rPr>
          <w:rFonts w:ascii="Arial" w:hAnsi="Arial" w:cs="Arial"/>
          <w:sz w:val="24"/>
          <w:szCs w:val="24"/>
        </w:rPr>
        <w:t>and struck the appeal</w:t>
      </w:r>
      <w:r w:rsidR="00875E10" w:rsidRPr="009C6AC2">
        <w:rPr>
          <w:rFonts w:ascii="Arial" w:hAnsi="Arial" w:cs="Arial"/>
          <w:sz w:val="24"/>
          <w:szCs w:val="24"/>
        </w:rPr>
        <w:t xml:space="preserve"> off </w:t>
      </w:r>
      <w:r w:rsidR="00165A46" w:rsidRPr="009C6AC2">
        <w:rPr>
          <w:rFonts w:ascii="Arial" w:hAnsi="Arial" w:cs="Arial"/>
          <w:sz w:val="24"/>
          <w:szCs w:val="24"/>
        </w:rPr>
        <w:t>the</w:t>
      </w:r>
      <w:r w:rsidR="0053523D" w:rsidRPr="009C6AC2">
        <w:rPr>
          <w:rFonts w:ascii="Arial" w:hAnsi="Arial" w:cs="Arial"/>
          <w:sz w:val="24"/>
          <w:szCs w:val="24"/>
        </w:rPr>
        <w:t xml:space="preserve"> roll.</w:t>
      </w:r>
      <w:r w:rsidR="009C6AC2" w:rsidRPr="009C6AC2">
        <w:rPr>
          <w:rFonts w:ascii="Arial" w:hAnsi="Arial" w:cs="Arial"/>
          <w:sz w:val="24"/>
          <w:szCs w:val="24"/>
        </w:rPr>
        <w:t xml:space="preserve"> </w:t>
      </w:r>
      <w:r w:rsidR="0021607D" w:rsidRPr="009C6AC2">
        <w:rPr>
          <w:rFonts w:ascii="Arial" w:hAnsi="Arial" w:cs="Arial"/>
          <w:sz w:val="24"/>
          <w:szCs w:val="24"/>
        </w:rPr>
        <w:t>Aggrieved by this decision</w:t>
      </w:r>
      <w:r w:rsidR="007B7408" w:rsidRPr="009C6AC2">
        <w:rPr>
          <w:rFonts w:ascii="Arial" w:hAnsi="Arial" w:cs="Arial"/>
          <w:sz w:val="24"/>
          <w:szCs w:val="24"/>
        </w:rPr>
        <w:t>, the appellant o</w:t>
      </w:r>
      <w:r w:rsidR="0008521D" w:rsidRPr="009C6AC2">
        <w:rPr>
          <w:rFonts w:ascii="Arial" w:hAnsi="Arial" w:cs="Arial"/>
          <w:sz w:val="24"/>
          <w:szCs w:val="24"/>
        </w:rPr>
        <w:t>n 20 May 2015 noted an appeal to this court</w:t>
      </w:r>
      <w:r w:rsidR="007B7408" w:rsidRPr="009C6AC2">
        <w:rPr>
          <w:rFonts w:ascii="Arial" w:hAnsi="Arial" w:cs="Arial"/>
          <w:sz w:val="24"/>
          <w:szCs w:val="24"/>
        </w:rPr>
        <w:t xml:space="preserve"> against that decision</w:t>
      </w:r>
      <w:r w:rsidR="0008521D" w:rsidRPr="009C6AC2">
        <w:rPr>
          <w:rFonts w:ascii="Arial" w:hAnsi="Arial" w:cs="Arial"/>
          <w:sz w:val="24"/>
          <w:szCs w:val="24"/>
        </w:rPr>
        <w:t xml:space="preserve">. </w:t>
      </w:r>
      <w:r w:rsidR="00C55ABF" w:rsidRPr="009C6AC2">
        <w:rPr>
          <w:rFonts w:ascii="Arial" w:hAnsi="Arial" w:cs="Arial"/>
          <w:sz w:val="24"/>
          <w:szCs w:val="24"/>
        </w:rPr>
        <w:t xml:space="preserve">This she did without first </w:t>
      </w:r>
      <w:r w:rsidR="0021607D" w:rsidRPr="009C6AC2">
        <w:rPr>
          <w:rFonts w:ascii="Arial" w:hAnsi="Arial" w:cs="Arial"/>
          <w:sz w:val="24"/>
          <w:szCs w:val="24"/>
        </w:rPr>
        <w:t xml:space="preserve">obtaining </w:t>
      </w:r>
      <w:r w:rsidR="0032358F" w:rsidRPr="009C6AC2">
        <w:rPr>
          <w:rFonts w:ascii="Arial" w:hAnsi="Arial" w:cs="Arial"/>
          <w:sz w:val="24"/>
          <w:szCs w:val="24"/>
        </w:rPr>
        <w:t xml:space="preserve">leave to appeal </w:t>
      </w:r>
      <w:r w:rsidR="0021607D" w:rsidRPr="009C6AC2">
        <w:rPr>
          <w:rFonts w:ascii="Arial" w:hAnsi="Arial" w:cs="Arial"/>
          <w:sz w:val="24"/>
          <w:szCs w:val="24"/>
        </w:rPr>
        <w:t>from the court that made the decision</w:t>
      </w:r>
      <w:r w:rsidR="00347E89" w:rsidRPr="009C6AC2">
        <w:rPr>
          <w:rFonts w:ascii="Arial" w:hAnsi="Arial" w:cs="Arial"/>
          <w:sz w:val="24"/>
          <w:szCs w:val="24"/>
        </w:rPr>
        <w:t xml:space="preserve">. </w:t>
      </w:r>
    </w:p>
    <w:p w:rsidR="0085682E" w:rsidRPr="0085682E" w:rsidRDefault="0085682E" w:rsidP="001D20F2">
      <w:pPr>
        <w:pStyle w:val="ListParagraph"/>
        <w:spacing w:after="0"/>
        <w:rPr>
          <w:rFonts w:ascii="Arial" w:hAnsi="Arial" w:cs="Arial"/>
          <w:sz w:val="24"/>
          <w:szCs w:val="24"/>
        </w:rPr>
      </w:pPr>
    </w:p>
    <w:p w:rsidR="00FB2B65" w:rsidRDefault="00C55ABF" w:rsidP="001D20F2">
      <w:pPr>
        <w:pStyle w:val="ListParagraph"/>
        <w:numPr>
          <w:ilvl w:val="0"/>
          <w:numId w:val="10"/>
        </w:numPr>
        <w:tabs>
          <w:tab w:val="left" w:pos="0"/>
        </w:tabs>
        <w:spacing w:after="0" w:line="480" w:lineRule="auto"/>
        <w:ind w:left="0" w:firstLine="0"/>
        <w:jc w:val="both"/>
        <w:rPr>
          <w:rFonts w:ascii="Arial" w:hAnsi="Arial" w:cs="Arial"/>
          <w:sz w:val="24"/>
          <w:szCs w:val="24"/>
        </w:rPr>
      </w:pPr>
      <w:r>
        <w:rPr>
          <w:rFonts w:ascii="Arial" w:hAnsi="Arial" w:cs="Arial"/>
          <w:sz w:val="24"/>
          <w:szCs w:val="24"/>
        </w:rPr>
        <w:lastRenderedPageBreak/>
        <w:t>A</w:t>
      </w:r>
      <w:r w:rsidR="00875E10" w:rsidRPr="0085682E">
        <w:rPr>
          <w:rFonts w:ascii="Arial" w:hAnsi="Arial" w:cs="Arial"/>
          <w:sz w:val="24"/>
          <w:szCs w:val="24"/>
        </w:rPr>
        <w:t xml:space="preserve">t issue in this appeal is </w:t>
      </w:r>
      <w:r>
        <w:rPr>
          <w:rFonts w:ascii="Arial" w:hAnsi="Arial" w:cs="Arial"/>
          <w:sz w:val="24"/>
          <w:szCs w:val="24"/>
        </w:rPr>
        <w:t xml:space="preserve">the question </w:t>
      </w:r>
      <w:r w:rsidR="00875E10" w:rsidRPr="0085682E">
        <w:rPr>
          <w:rFonts w:ascii="Arial" w:hAnsi="Arial" w:cs="Arial"/>
          <w:sz w:val="24"/>
          <w:szCs w:val="24"/>
        </w:rPr>
        <w:t xml:space="preserve">whether the </w:t>
      </w:r>
      <w:r w:rsidR="005F65A2" w:rsidRPr="0085682E">
        <w:rPr>
          <w:rFonts w:ascii="Arial" w:hAnsi="Arial" w:cs="Arial"/>
          <w:sz w:val="24"/>
          <w:szCs w:val="24"/>
        </w:rPr>
        <w:t xml:space="preserve">judgment and </w:t>
      </w:r>
      <w:r w:rsidR="00875E10" w:rsidRPr="0085682E">
        <w:rPr>
          <w:rFonts w:ascii="Arial" w:hAnsi="Arial" w:cs="Arial"/>
          <w:sz w:val="24"/>
          <w:szCs w:val="24"/>
        </w:rPr>
        <w:t xml:space="preserve">order </w:t>
      </w:r>
      <w:r w:rsidR="005F65A2" w:rsidRPr="0085682E">
        <w:rPr>
          <w:rFonts w:ascii="Arial" w:hAnsi="Arial" w:cs="Arial"/>
          <w:sz w:val="24"/>
          <w:szCs w:val="24"/>
        </w:rPr>
        <w:t xml:space="preserve">refusing the condonation application and </w:t>
      </w:r>
      <w:r w:rsidR="00875E10" w:rsidRPr="0085682E">
        <w:rPr>
          <w:rFonts w:ascii="Arial" w:hAnsi="Arial" w:cs="Arial"/>
          <w:sz w:val="24"/>
          <w:szCs w:val="24"/>
          <w:lang w:val="en-ZA"/>
        </w:rPr>
        <w:t xml:space="preserve">striking the matter </w:t>
      </w:r>
      <w:r w:rsidR="005F65A2" w:rsidRPr="0085682E">
        <w:rPr>
          <w:rFonts w:ascii="Arial" w:hAnsi="Arial" w:cs="Arial"/>
          <w:sz w:val="24"/>
          <w:szCs w:val="24"/>
          <w:lang w:val="en-ZA"/>
        </w:rPr>
        <w:t xml:space="preserve">off </w:t>
      </w:r>
      <w:r w:rsidR="00875E10" w:rsidRPr="0085682E">
        <w:rPr>
          <w:rFonts w:ascii="Arial" w:hAnsi="Arial" w:cs="Arial"/>
          <w:sz w:val="24"/>
          <w:szCs w:val="24"/>
          <w:lang w:val="en-ZA"/>
        </w:rPr>
        <w:t xml:space="preserve">the roll </w:t>
      </w:r>
      <w:r w:rsidR="00875E10" w:rsidRPr="0085682E">
        <w:rPr>
          <w:rFonts w:ascii="Arial" w:hAnsi="Arial" w:cs="Arial"/>
          <w:sz w:val="24"/>
          <w:szCs w:val="24"/>
        </w:rPr>
        <w:t xml:space="preserve">is appealable </w:t>
      </w:r>
      <w:r w:rsidR="009C6AC2">
        <w:rPr>
          <w:rFonts w:ascii="Arial" w:hAnsi="Arial" w:cs="Arial"/>
          <w:sz w:val="24"/>
          <w:szCs w:val="24"/>
        </w:rPr>
        <w:t xml:space="preserve">as </w:t>
      </w:r>
      <w:r w:rsidR="0021607D">
        <w:rPr>
          <w:rFonts w:ascii="Arial" w:hAnsi="Arial" w:cs="Arial"/>
          <w:sz w:val="24"/>
          <w:szCs w:val="24"/>
        </w:rPr>
        <w:t>of right</w:t>
      </w:r>
      <w:r w:rsidR="00875E10" w:rsidRPr="0085682E">
        <w:rPr>
          <w:rFonts w:ascii="Arial" w:hAnsi="Arial" w:cs="Arial"/>
          <w:sz w:val="24"/>
          <w:szCs w:val="24"/>
        </w:rPr>
        <w:t xml:space="preserve">. </w:t>
      </w:r>
    </w:p>
    <w:p w:rsidR="00FB2B65" w:rsidRPr="001D20F2" w:rsidRDefault="00FB2B65" w:rsidP="001D20F2">
      <w:pPr>
        <w:spacing w:line="480" w:lineRule="auto"/>
      </w:pPr>
    </w:p>
    <w:p w:rsidR="0085682E" w:rsidRPr="00FB2B65" w:rsidRDefault="00CD069B" w:rsidP="001D20F2">
      <w:pPr>
        <w:pStyle w:val="ListParagraph"/>
        <w:numPr>
          <w:ilvl w:val="0"/>
          <w:numId w:val="10"/>
        </w:numPr>
        <w:tabs>
          <w:tab w:val="left" w:pos="0"/>
        </w:tabs>
        <w:spacing w:after="0" w:line="480" w:lineRule="auto"/>
        <w:ind w:left="0" w:firstLine="0"/>
        <w:jc w:val="both"/>
        <w:rPr>
          <w:rFonts w:ascii="Arial" w:hAnsi="Arial" w:cs="Arial"/>
          <w:sz w:val="24"/>
          <w:szCs w:val="24"/>
        </w:rPr>
      </w:pPr>
      <w:r w:rsidRPr="00FB2B65">
        <w:rPr>
          <w:rFonts w:ascii="Arial" w:hAnsi="Arial" w:cs="Arial"/>
          <w:sz w:val="24"/>
          <w:szCs w:val="24"/>
        </w:rPr>
        <w:t xml:space="preserve">In </w:t>
      </w:r>
      <w:r w:rsidR="0085682E" w:rsidRPr="00FB2B65">
        <w:rPr>
          <w:rFonts w:ascii="Arial" w:hAnsi="Arial" w:cs="Arial"/>
          <w:sz w:val="24"/>
          <w:szCs w:val="24"/>
        </w:rPr>
        <w:t xml:space="preserve">deciding </w:t>
      </w:r>
      <w:r w:rsidRPr="00FB2B65">
        <w:rPr>
          <w:rFonts w:ascii="Arial" w:hAnsi="Arial" w:cs="Arial"/>
          <w:sz w:val="24"/>
          <w:szCs w:val="24"/>
        </w:rPr>
        <w:t>the issue stated above t</w:t>
      </w:r>
      <w:r w:rsidR="00DB2A13" w:rsidRPr="00FB2B65">
        <w:rPr>
          <w:rFonts w:ascii="Arial" w:hAnsi="Arial" w:cs="Arial"/>
          <w:sz w:val="24"/>
          <w:szCs w:val="24"/>
        </w:rPr>
        <w:t>he s</w:t>
      </w:r>
      <w:r w:rsidR="009A6784" w:rsidRPr="00FB2B65">
        <w:rPr>
          <w:rFonts w:ascii="Arial" w:hAnsi="Arial" w:cs="Arial"/>
          <w:sz w:val="24"/>
          <w:szCs w:val="24"/>
        </w:rPr>
        <w:t xml:space="preserve">tarting point is s </w:t>
      </w:r>
      <w:r w:rsidRPr="00FB2B65">
        <w:rPr>
          <w:rFonts w:ascii="Arial" w:hAnsi="Arial" w:cs="Arial"/>
          <w:sz w:val="24"/>
          <w:szCs w:val="24"/>
        </w:rPr>
        <w:t xml:space="preserve">18 of the </w:t>
      </w:r>
      <w:r w:rsidR="00DF3233" w:rsidRPr="00FB2B65">
        <w:rPr>
          <w:rFonts w:ascii="Arial" w:hAnsi="Arial" w:cs="Arial"/>
          <w:sz w:val="24"/>
          <w:szCs w:val="24"/>
        </w:rPr>
        <w:t>High Court Act</w:t>
      </w:r>
      <w:r w:rsidR="006777DE">
        <w:rPr>
          <w:rFonts w:ascii="Arial" w:hAnsi="Arial" w:cs="Arial"/>
          <w:sz w:val="24"/>
          <w:szCs w:val="24"/>
        </w:rPr>
        <w:t xml:space="preserve"> 16 of 1990</w:t>
      </w:r>
      <w:r w:rsidR="00DF3233" w:rsidRPr="00FB2B65">
        <w:rPr>
          <w:rFonts w:ascii="Arial" w:hAnsi="Arial" w:cs="Arial"/>
          <w:sz w:val="24"/>
          <w:szCs w:val="24"/>
        </w:rPr>
        <w:t xml:space="preserve"> (the Act</w:t>
      </w:r>
      <w:r w:rsidR="009A6784" w:rsidRPr="00FB2B65">
        <w:rPr>
          <w:rFonts w:ascii="Arial" w:hAnsi="Arial" w:cs="Arial"/>
          <w:sz w:val="24"/>
          <w:szCs w:val="24"/>
        </w:rPr>
        <w:t>)</w:t>
      </w:r>
      <w:r w:rsidR="00656C59" w:rsidRPr="00FB2B65">
        <w:rPr>
          <w:rFonts w:ascii="Arial" w:hAnsi="Arial" w:cs="Arial"/>
          <w:sz w:val="24"/>
          <w:szCs w:val="24"/>
        </w:rPr>
        <w:t xml:space="preserve">. </w:t>
      </w:r>
      <w:r w:rsidR="0085682E" w:rsidRPr="00FB2B65">
        <w:rPr>
          <w:rFonts w:ascii="Arial" w:hAnsi="Arial" w:cs="Arial"/>
          <w:sz w:val="24"/>
          <w:szCs w:val="24"/>
        </w:rPr>
        <w:t xml:space="preserve">Section 18(1) grants a right of appeal against </w:t>
      </w:r>
      <w:r w:rsidR="00817B2C">
        <w:rPr>
          <w:rFonts w:ascii="Arial" w:hAnsi="Arial" w:cs="Arial"/>
          <w:sz w:val="24"/>
          <w:szCs w:val="24"/>
        </w:rPr>
        <w:t xml:space="preserve">a </w:t>
      </w:r>
      <w:r w:rsidR="0085682E" w:rsidRPr="00FB2B65">
        <w:rPr>
          <w:rFonts w:ascii="Arial" w:hAnsi="Arial" w:cs="Arial"/>
          <w:sz w:val="24"/>
          <w:szCs w:val="24"/>
        </w:rPr>
        <w:t xml:space="preserve">judgment </w:t>
      </w:r>
      <w:r w:rsidR="00817B2C">
        <w:rPr>
          <w:rFonts w:ascii="Arial" w:hAnsi="Arial" w:cs="Arial"/>
          <w:sz w:val="24"/>
          <w:szCs w:val="24"/>
        </w:rPr>
        <w:t xml:space="preserve">or </w:t>
      </w:r>
      <w:r w:rsidR="0085682E" w:rsidRPr="00FB2B65">
        <w:rPr>
          <w:rFonts w:ascii="Arial" w:hAnsi="Arial" w:cs="Arial"/>
          <w:sz w:val="24"/>
          <w:szCs w:val="24"/>
        </w:rPr>
        <w:t xml:space="preserve">order </w:t>
      </w:r>
      <w:r w:rsidR="009F229F">
        <w:rPr>
          <w:rFonts w:ascii="Arial" w:hAnsi="Arial" w:cs="Arial"/>
          <w:sz w:val="24"/>
          <w:szCs w:val="24"/>
        </w:rPr>
        <w:t>given by</w:t>
      </w:r>
      <w:r w:rsidR="009F229F" w:rsidRPr="00FB2B65">
        <w:rPr>
          <w:rFonts w:ascii="Arial" w:hAnsi="Arial" w:cs="Arial"/>
          <w:sz w:val="24"/>
          <w:szCs w:val="24"/>
        </w:rPr>
        <w:t xml:space="preserve"> </w:t>
      </w:r>
      <w:r w:rsidR="0085682E" w:rsidRPr="00FB2B65">
        <w:rPr>
          <w:rFonts w:ascii="Arial" w:hAnsi="Arial" w:cs="Arial"/>
          <w:sz w:val="24"/>
          <w:szCs w:val="24"/>
        </w:rPr>
        <w:t xml:space="preserve">the High Court </w:t>
      </w:r>
      <w:r w:rsidR="00817B2C">
        <w:rPr>
          <w:rFonts w:ascii="Arial" w:hAnsi="Arial" w:cs="Arial"/>
          <w:sz w:val="24"/>
          <w:szCs w:val="24"/>
        </w:rPr>
        <w:t>in civil proceedings</w:t>
      </w:r>
      <w:r w:rsidR="009F229F">
        <w:rPr>
          <w:rFonts w:ascii="Arial" w:hAnsi="Arial" w:cs="Arial"/>
          <w:sz w:val="24"/>
          <w:szCs w:val="24"/>
        </w:rPr>
        <w:t xml:space="preserve"> whether sitting as a court of first instance or a court of appeal</w:t>
      </w:r>
      <w:r w:rsidR="00817B2C">
        <w:rPr>
          <w:rFonts w:ascii="Arial" w:hAnsi="Arial" w:cs="Arial"/>
          <w:sz w:val="24"/>
          <w:szCs w:val="24"/>
        </w:rPr>
        <w:t xml:space="preserve"> to the Supreme Court</w:t>
      </w:r>
      <w:r w:rsidR="009F229F">
        <w:rPr>
          <w:rFonts w:ascii="Arial" w:hAnsi="Arial" w:cs="Arial"/>
          <w:sz w:val="24"/>
          <w:szCs w:val="24"/>
        </w:rPr>
        <w:t xml:space="preserve"> </w:t>
      </w:r>
      <w:r w:rsidR="00817B2C">
        <w:rPr>
          <w:rFonts w:ascii="Arial" w:hAnsi="Arial" w:cs="Arial"/>
          <w:sz w:val="24"/>
          <w:szCs w:val="24"/>
        </w:rPr>
        <w:t>‘except in so far as this section otherwise provides’</w:t>
      </w:r>
      <w:r w:rsidR="00F75D93">
        <w:rPr>
          <w:rFonts w:ascii="Arial" w:hAnsi="Arial" w:cs="Arial"/>
          <w:sz w:val="24"/>
          <w:szCs w:val="24"/>
        </w:rPr>
        <w:t>.</w:t>
      </w:r>
    </w:p>
    <w:p w:rsidR="009A6784" w:rsidRPr="00A061BB" w:rsidRDefault="009A6784" w:rsidP="001D20F2">
      <w:pPr>
        <w:pStyle w:val="BodyText"/>
        <w:ind w:left="360"/>
        <w:rPr>
          <w:rFonts w:ascii="Arial" w:hAnsi="Arial" w:cs="Arial"/>
        </w:rPr>
      </w:pPr>
    </w:p>
    <w:p w:rsidR="00787CF8" w:rsidRPr="009A6784" w:rsidRDefault="0021607D" w:rsidP="001D20F2">
      <w:pPr>
        <w:pStyle w:val="BodyText"/>
        <w:numPr>
          <w:ilvl w:val="0"/>
          <w:numId w:val="10"/>
        </w:numPr>
        <w:ind w:left="0" w:firstLine="0"/>
        <w:rPr>
          <w:rFonts w:ascii="Arial" w:hAnsi="Arial" w:cs="Arial"/>
        </w:rPr>
      </w:pPr>
      <w:r>
        <w:rPr>
          <w:rFonts w:ascii="Arial" w:hAnsi="Arial" w:cs="Arial"/>
        </w:rPr>
        <w:t xml:space="preserve">Section </w:t>
      </w:r>
      <w:r w:rsidR="00787CF8" w:rsidRPr="009A6784">
        <w:rPr>
          <w:rFonts w:ascii="Arial" w:hAnsi="Arial" w:cs="Arial"/>
        </w:rPr>
        <w:t xml:space="preserve">18(2) of the Act </w:t>
      </w:r>
      <w:r w:rsidR="009C6AC2">
        <w:rPr>
          <w:rFonts w:ascii="Arial" w:hAnsi="Arial" w:cs="Arial"/>
        </w:rPr>
        <w:t xml:space="preserve">is of direct application to the facts of the case and </w:t>
      </w:r>
      <w:r w:rsidR="006777DE">
        <w:rPr>
          <w:rFonts w:ascii="Arial" w:hAnsi="Arial" w:cs="Arial"/>
        </w:rPr>
        <w:t xml:space="preserve">provides </w:t>
      </w:r>
      <w:r w:rsidR="0031174F">
        <w:rPr>
          <w:rFonts w:ascii="Arial" w:hAnsi="Arial" w:cs="Arial"/>
        </w:rPr>
        <w:t xml:space="preserve">‘otherwise’ </w:t>
      </w:r>
      <w:r w:rsidR="00787CF8" w:rsidRPr="009A6784">
        <w:rPr>
          <w:rFonts w:ascii="Arial" w:hAnsi="Arial" w:cs="Arial"/>
        </w:rPr>
        <w:t>as follows</w:t>
      </w:r>
      <w:r w:rsidR="006777DE">
        <w:rPr>
          <w:rFonts w:ascii="Arial" w:hAnsi="Arial" w:cs="Arial"/>
        </w:rPr>
        <w:t>:</w:t>
      </w:r>
      <w:r w:rsidR="00787CF8" w:rsidRPr="009A6784">
        <w:rPr>
          <w:rFonts w:ascii="Arial" w:hAnsi="Arial" w:cs="Arial"/>
        </w:rPr>
        <w:t xml:space="preserve"> </w:t>
      </w:r>
    </w:p>
    <w:p w:rsidR="00833796" w:rsidRPr="001D20F2" w:rsidRDefault="00833796" w:rsidP="001D20F2">
      <w:pPr>
        <w:spacing w:line="480" w:lineRule="auto"/>
      </w:pPr>
    </w:p>
    <w:p w:rsidR="00833796" w:rsidRPr="0085682E" w:rsidRDefault="00787CF8" w:rsidP="001D20F2">
      <w:pPr>
        <w:pStyle w:val="BodyText"/>
        <w:spacing w:line="360" w:lineRule="auto"/>
        <w:rPr>
          <w:rFonts w:ascii="Arial" w:hAnsi="Arial" w:cs="Arial"/>
          <w:sz w:val="22"/>
          <w:szCs w:val="22"/>
        </w:rPr>
      </w:pPr>
      <w:r w:rsidRPr="0085682E">
        <w:rPr>
          <w:rFonts w:ascii="Arial" w:hAnsi="Arial" w:cs="Arial"/>
          <w:sz w:val="22"/>
          <w:szCs w:val="22"/>
        </w:rPr>
        <w:tab/>
      </w:r>
      <w:r w:rsidR="0031174F" w:rsidRPr="00F75D93">
        <w:rPr>
          <w:rFonts w:ascii="Arial" w:hAnsi="Arial" w:cs="Arial"/>
          <w:sz w:val="22"/>
          <w:szCs w:val="22"/>
        </w:rPr>
        <w:t>‘</w:t>
      </w:r>
      <w:r w:rsidR="00833796" w:rsidRPr="00F75D93">
        <w:rPr>
          <w:rFonts w:ascii="Arial" w:hAnsi="Arial" w:cs="Arial"/>
          <w:sz w:val="22"/>
          <w:szCs w:val="22"/>
        </w:rPr>
        <w:t>(2)</w:t>
      </w:r>
      <w:r w:rsidR="00833796" w:rsidRPr="0085682E">
        <w:rPr>
          <w:rFonts w:ascii="Arial" w:hAnsi="Arial" w:cs="Arial"/>
          <w:sz w:val="22"/>
          <w:szCs w:val="22"/>
        </w:rPr>
        <w:t xml:space="preserve"> </w:t>
      </w:r>
      <w:r w:rsidRPr="0085682E">
        <w:rPr>
          <w:rFonts w:ascii="Arial" w:hAnsi="Arial" w:cs="Arial"/>
          <w:sz w:val="22"/>
          <w:szCs w:val="22"/>
        </w:rPr>
        <w:t xml:space="preserve">An appeal from any judgment or order of the High Court in civil </w:t>
      </w:r>
      <w:r w:rsidRPr="0085682E">
        <w:rPr>
          <w:rFonts w:ascii="Arial" w:hAnsi="Arial" w:cs="Arial"/>
          <w:sz w:val="22"/>
          <w:szCs w:val="22"/>
        </w:rPr>
        <w:tab/>
        <w:t>proceedings</w:t>
      </w:r>
      <w:r w:rsidR="00F75D93">
        <w:rPr>
          <w:rFonts w:ascii="Arial" w:hAnsi="Arial" w:cs="Arial"/>
          <w:sz w:val="22"/>
          <w:szCs w:val="22"/>
        </w:rPr>
        <w:t xml:space="preserve"> </w:t>
      </w:r>
      <w:r w:rsidRPr="0085682E">
        <w:rPr>
          <w:rFonts w:ascii="Arial" w:hAnsi="Arial" w:cs="Arial"/>
          <w:sz w:val="22"/>
          <w:szCs w:val="22"/>
        </w:rPr>
        <w:t>shall</w:t>
      </w:r>
      <w:r w:rsidR="00F75D93">
        <w:rPr>
          <w:rFonts w:ascii="Arial" w:hAnsi="Arial" w:cs="Arial"/>
          <w:sz w:val="22"/>
          <w:szCs w:val="22"/>
        </w:rPr>
        <w:t xml:space="preserve"> </w:t>
      </w:r>
      <w:r w:rsidRPr="0085682E">
        <w:rPr>
          <w:rFonts w:ascii="Arial" w:hAnsi="Arial" w:cs="Arial"/>
          <w:sz w:val="22"/>
          <w:szCs w:val="22"/>
        </w:rPr>
        <w:t>lie</w:t>
      </w:r>
      <w:r w:rsidR="00F75D93">
        <w:rPr>
          <w:rFonts w:ascii="Arial" w:hAnsi="Arial" w:cs="Arial"/>
          <w:sz w:val="22"/>
          <w:szCs w:val="22"/>
        </w:rPr>
        <w:t xml:space="preserve"> ˗</w:t>
      </w:r>
    </w:p>
    <w:p w:rsidR="00833796" w:rsidRPr="0085682E" w:rsidRDefault="00833796" w:rsidP="001D20F2">
      <w:pPr>
        <w:pStyle w:val="BodyText"/>
        <w:spacing w:line="360" w:lineRule="auto"/>
        <w:rPr>
          <w:rFonts w:ascii="Arial" w:hAnsi="Arial" w:cs="Arial"/>
          <w:sz w:val="22"/>
          <w:szCs w:val="22"/>
        </w:rPr>
      </w:pPr>
      <w:r w:rsidRPr="0085682E">
        <w:rPr>
          <w:rFonts w:ascii="Arial" w:hAnsi="Arial" w:cs="Arial"/>
          <w:sz w:val="22"/>
          <w:szCs w:val="22"/>
        </w:rPr>
        <w:tab/>
      </w:r>
    </w:p>
    <w:p w:rsidR="00833796" w:rsidRPr="0085682E" w:rsidRDefault="00787CF8" w:rsidP="001D20F2">
      <w:pPr>
        <w:pStyle w:val="BodyText"/>
        <w:spacing w:line="360" w:lineRule="auto"/>
        <w:ind w:left="1440" w:hanging="720"/>
        <w:rPr>
          <w:rFonts w:ascii="Arial" w:hAnsi="Arial" w:cs="Arial"/>
          <w:sz w:val="22"/>
          <w:szCs w:val="22"/>
        </w:rPr>
      </w:pPr>
      <w:r w:rsidRPr="0085682E">
        <w:rPr>
          <w:rFonts w:ascii="Arial" w:hAnsi="Arial" w:cs="Arial"/>
          <w:sz w:val="22"/>
          <w:szCs w:val="22"/>
        </w:rPr>
        <w:t>(a)</w:t>
      </w:r>
      <w:r w:rsidRPr="0085682E">
        <w:rPr>
          <w:rFonts w:ascii="Arial" w:hAnsi="Arial" w:cs="Arial"/>
          <w:sz w:val="22"/>
          <w:szCs w:val="22"/>
        </w:rPr>
        <w:tab/>
        <w:t>in the case of that court sitting as a court of first instance, whether the full court or otherwise, to the Supreme Court, as of right, and no leave to appeal shall be required;</w:t>
      </w:r>
      <w:r w:rsidR="00833796" w:rsidRPr="0085682E">
        <w:rPr>
          <w:rFonts w:ascii="Arial" w:hAnsi="Arial" w:cs="Arial"/>
          <w:sz w:val="22"/>
          <w:szCs w:val="22"/>
        </w:rPr>
        <w:t xml:space="preserve"> </w:t>
      </w:r>
    </w:p>
    <w:p w:rsidR="00833796" w:rsidRPr="0085682E" w:rsidRDefault="00833796" w:rsidP="001D20F2">
      <w:pPr>
        <w:pStyle w:val="BodyText"/>
        <w:spacing w:line="360" w:lineRule="auto"/>
        <w:rPr>
          <w:rFonts w:ascii="Arial" w:hAnsi="Arial" w:cs="Arial"/>
          <w:sz w:val="22"/>
          <w:szCs w:val="22"/>
        </w:rPr>
      </w:pPr>
    </w:p>
    <w:p w:rsidR="00787CF8" w:rsidRPr="0085682E" w:rsidRDefault="00787CF8" w:rsidP="001D20F2">
      <w:pPr>
        <w:pStyle w:val="BodyText"/>
        <w:spacing w:line="360" w:lineRule="auto"/>
        <w:ind w:left="1440" w:hanging="720"/>
        <w:rPr>
          <w:rFonts w:ascii="Arial" w:hAnsi="Arial" w:cs="Arial"/>
          <w:sz w:val="22"/>
          <w:szCs w:val="22"/>
        </w:rPr>
      </w:pPr>
      <w:r w:rsidRPr="0085682E">
        <w:rPr>
          <w:rFonts w:ascii="Arial" w:hAnsi="Arial" w:cs="Arial"/>
          <w:sz w:val="22"/>
          <w:szCs w:val="22"/>
        </w:rPr>
        <w:t>(b)</w:t>
      </w:r>
      <w:r w:rsidRPr="0085682E">
        <w:rPr>
          <w:rFonts w:ascii="Arial" w:hAnsi="Arial" w:cs="Arial"/>
          <w:sz w:val="22"/>
          <w:szCs w:val="22"/>
        </w:rPr>
        <w:tab/>
        <w:t>in the case of that court sitting as a court of appeal, whether the full court or otherwise, to the Supreme Court if leave to appeal is granted by the court which has given the judgment or has made the order or, i</w:t>
      </w:r>
      <w:r w:rsidR="0085682E">
        <w:rPr>
          <w:rFonts w:ascii="Arial" w:hAnsi="Arial" w:cs="Arial"/>
          <w:sz w:val="22"/>
          <w:szCs w:val="22"/>
        </w:rPr>
        <w:t xml:space="preserve">n the event of such leave being </w:t>
      </w:r>
      <w:r w:rsidRPr="0085682E">
        <w:rPr>
          <w:rFonts w:ascii="Arial" w:hAnsi="Arial" w:cs="Arial"/>
          <w:sz w:val="22"/>
          <w:szCs w:val="22"/>
        </w:rPr>
        <w:t>refused, leave to appeal is granted by the Supreme Court.</w:t>
      </w:r>
      <w:r w:rsidR="0031174F">
        <w:rPr>
          <w:rFonts w:ascii="Arial" w:hAnsi="Arial" w:cs="Arial"/>
          <w:sz w:val="22"/>
          <w:szCs w:val="22"/>
        </w:rPr>
        <w:t>’</w:t>
      </w:r>
    </w:p>
    <w:p w:rsidR="0086297D" w:rsidRPr="00F75D93" w:rsidRDefault="0086297D" w:rsidP="001D20F2">
      <w:pPr>
        <w:pStyle w:val="ListParagraph"/>
        <w:spacing w:after="0" w:line="480" w:lineRule="auto"/>
        <w:jc w:val="both"/>
        <w:rPr>
          <w:rFonts w:ascii="Arial" w:hAnsi="Arial" w:cs="Arial"/>
          <w:sz w:val="24"/>
          <w:szCs w:val="24"/>
        </w:rPr>
      </w:pPr>
    </w:p>
    <w:p w:rsidR="00F75D93" w:rsidRPr="00F75D93" w:rsidRDefault="00FB2B65" w:rsidP="001D20F2">
      <w:pPr>
        <w:pStyle w:val="FootnoteText"/>
        <w:numPr>
          <w:ilvl w:val="0"/>
          <w:numId w:val="10"/>
        </w:numPr>
        <w:spacing w:line="480" w:lineRule="auto"/>
        <w:ind w:left="0" w:firstLine="0"/>
        <w:jc w:val="both"/>
        <w:rPr>
          <w:sz w:val="24"/>
          <w:szCs w:val="24"/>
        </w:rPr>
      </w:pPr>
      <w:r w:rsidRPr="00F75D93">
        <w:rPr>
          <w:rFonts w:ascii="Arial" w:hAnsi="Arial" w:cs="Arial"/>
          <w:sz w:val="24"/>
          <w:szCs w:val="24"/>
        </w:rPr>
        <w:t>According to</w:t>
      </w:r>
      <w:r w:rsidR="0021607D" w:rsidRPr="00F75D93">
        <w:rPr>
          <w:rFonts w:ascii="Arial" w:hAnsi="Arial" w:cs="Arial"/>
          <w:sz w:val="24"/>
          <w:szCs w:val="24"/>
        </w:rPr>
        <w:t xml:space="preserve"> s 18(2)</w:t>
      </w:r>
      <w:r w:rsidR="006777DE" w:rsidRPr="00F75D93">
        <w:rPr>
          <w:rFonts w:ascii="Arial" w:hAnsi="Arial" w:cs="Arial"/>
          <w:i/>
          <w:sz w:val="24"/>
          <w:szCs w:val="24"/>
        </w:rPr>
        <w:t>(a)</w:t>
      </w:r>
      <w:r w:rsidR="003C4DE9" w:rsidRPr="00F75D93">
        <w:rPr>
          <w:rFonts w:ascii="Arial" w:hAnsi="Arial" w:cs="Arial"/>
          <w:sz w:val="24"/>
          <w:szCs w:val="24"/>
        </w:rPr>
        <w:t xml:space="preserve">, if the </w:t>
      </w:r>
      <w:r w:rsidR="006777DE" w:rsidRPr="00F75D93">
        <w:rPr>
          <w:rFonts w:ascii="Arial" w:hAnsi="Arial" w:cs="Arial"/>
          <w:sz w:val="24"/>
          <w:szCs w:val="24"/>
        </w:rPr>
        <w:t>High C</w:t>
      </w:r>
      <w:r w:rsidR="003C4DE9" w:rsidRPr="00F75D93">
        <w:rPr>
          <w:rFonts w:ascii="Arial" w:hAnsi="Arial" w:cs="Arial"/>
          <w:sz w:val="24"/>
          <w:szCs w:val="24"/>
        </w:rPr>
        <w:t>ourt s</w:t>
      </w:r>
      <w:r w:rsidR="006777DE" w:rsidRPr="00F75D93">
        <w:rPr>
          <w:rFonts w:ascii="Arial" w:hAnsi="Arial" w:cs="Arial"/>
          <w:sz w:val="24"/>
          <w:szCs w:val="24"/>
        </w:rPr>
        <w:t>i</w:t>
      </w:r>
      <w:r w:rsidR="003C4DE9" w:rsidRPr="00F75D93">
        <w:rPr>
          <w:rFonts w:ascii="Arial" w:hAnsi="Arial" w:cs="Arial"/>
          <w:sz w:val="24"/>
          <w:szCs w:val="24"/>
        </w:rPr>
        <w:t>t</w:t>
      </w:r>
      <w:r w:rsidR="006777DE" w:rsidRPr="00F75D93">
        <w:rPr>
          <w:rFonts w:ascii="Arial" w:hAnsi="Arial" w:cs="Arial"/>
          <w:sz w:val="24"/>
          <w:szCs w:val="24"/>
        </w:rPr>
        <w:t>s</w:t>
      </w:r>
      <w:r w:rsidR="003C4DE9" w:rsidRPr="00F75D93">
        <w:rPr>
          <w:rFonts w:ascii="Arial" w:hAnsi="Arial" w:cs="Arial"/>
          <w:sz w:val="24"/>
          <w:szCs w:val="24"/>
        </w:rPr>
        <w:t xml:space="preserve"> </w:t>
      </w:r>
      <w:r w:rsidR="006F3F43" w:rsidRPr="00F75D93">
        <w:rPr>
          <w:rFonts w:ascii="Arial" w:hAnsi="Arial" w:cs="Arial"/>
          <w:sz w:val="24"/>
          <w:szCs w:val="24"/>
        </w:rPr>
        <w:t xml:space="preserve">as a court of </w:t>
      </w:r>
      <w:r w:rsidR="003C4DE9" w:rsidRPr="00F75D93">
        <w:rPr>
          <w:rFonts w:ascii="Arial" w:hAnsi="Arial" w:cs="Arial"/>
          <w:sz w:val="24"/>
          <w:szCs w:val="24"/>
        </w:rPr>
        <w:t>first instance in civil proceedings</w:t>
      </w:r>
      <w:r w:rsidR="006F3F43" w:rsidRPr="00F75D93">
        <w:rPr>
          <w:rFonts w:ascii="Arial" w:hAnsi="Arial" w:cs="Arial"/>
          <w:sz w:val="24"/>
          <w:szCs w:val="24"/>
        </w:rPr>
        <w:t>, an appeal against a</w:t>
      </w:r>
      <w:r w:rsidR="0031174F" w:rsidRPr="00F75D93">
        <w:rPr>
          <w:rFonts w:ascii="Arial" w:hAnsi="Arial" w:cs="Arial"/>
          <w:sz w:val="24"/>
          <w:szCs w:val="24"/>
        </w:rPr>
        <w:t xml:space="preserve"> judgment or </w:t>
      </w:r>
      <w:r w:rsidR="006F3F43" w:rsidRPr="00F75D93">
        <w:rPr>
          <w:rFonts w:ascii="Arial" w:hAnsi="Arial" w:cs="Arial"/>
          <w:sz w:val="24"/>
          <w:szCs w:val="24"/>
        </w:rPr>
        <w:t xml:space="preserve">order of the High Court lies as of right to this court. This, however, is not the case where the High Court </w:t>
      </w:r>
      <w:r w:rsidR="009F229F" w:rsidRPr="00F75D93">
        <w:rPr>
          <w:rFonts w:ascii="Arial" w:hAnsi="Arial" w:cs="Arial"/>
          <w:sz w:val="24"/>
          <w:szCs w:val="24"/>
        </w:rPr>
        <w:t xml:space="preserve">has </w:t>
      </w:r>
      <w:r w:rsidR="003C4DE9" w:rsidRPr="00F75D93">
        <w:rPr>
          <w:rFonts w:ascii="Arial" w:hAnsi="Arial" w:cs="Arial"/>
          <w:sz w:val="24"/>
          <w:szCs w:val="24"/>
        </w:rPr>
        <w:t>s</w:t>
      </w:r>
      <w:r w:rsidR="006777DE" w:rsidRPr="00F75D93">
        <w:rPr>
          <w:rFonts w:ascii="Arial" w:hAnsi="Arial" w:cs="Arial"/>
          <w:sz w:val="24"/>
          <w:szCs w:val="24"/>
        </w:rPr>
        <w:t>a</w:t>
      </w:r>
      <w:r w:rsidR="003C4DE9" w:rsidRPr="00F75D93">
        <w:rPr>
          <w:rFonts w:ascii="Arial" w:hAnsi="Arial" w:cs="Arial"/>
          <w:sz w:val="24"/>
          <w:szCs w:val="24"/>
        </w:rPr>
        <w:t xml:space="preserve">t as a </w:t>
      </w:r>
      <w:r w:rsidR="003C4DE9" w:rsidRPr="00F75D93">
        <w:rPr>
          <w:rFonts w:ascii="Arial" w:hAnsi="Arial" w:cs="Arial"/>
          <w:sz w:val="24"/>
          <w:szCs w:val="24"/>
        </w:rPr>
        <w:lastRenderedPageBreak/>
        <w:t xml:space="preserve">court of appeal. In </w:t>
      </w:r>
      <w:r w:rsidR="006777DE" w:rsidRPr="00F75D93">
        <w:rPr>
          <w:rFonts w:ascii="Arial" w:hAnsi="Arial" w:cs="Arial"/>
          <w:sz w:val="24"/>
          <w:szCs w:val="24"/>
        </w:rPr>
        <w:t>such a circumstance</w:t>
      </w:r>
      <w:r w:rsidR="003C4DE9" w:rsidRPr="00F75D93">
        <w:rPr>
          <w:rFonts w:ascii="Arial" w:hAnsi="Arial" w:cs="Arial"/>
          <w:sz w:val="24"/>
          <w:szCs w:val="24"/>
        </w:rPr>
        <w:t xml:space="preserve">, </w:t>
      </w:r>
      <w:r w:rsidR="006777DE" w:rsidRPr="00F75D93">
        <w:rPr>
          <w:rFonts w:ascii="Arial" w:hAnsi="Arial" w:cs="Arial"/>
          <w:sz w:val="24"/>
          <w:szCs w:val="24"/>
        </w:rPr>
        <w:t xml:space="preserve">a </w:t>
      </w:r>
      <w:r w:rsidR="006F3F43" w:rsidRPr="00F75D93">
        <w:rPr>
          <w:rFonts w:ascii="Arial" w:hAnsi="Arial" w:cs="Arial"/>
          <w:sz w:val="24"/>
          <w:szCs w:val="24"/>
        </w:rPr>
        <w:t xml:space="preserve">judgment or order </w:t>
      </w:r>
      <w:r w:rsidR="003C4DE9" w:rsidRPr="00F75D93">
        <w:rPr>
          <w:rFonts w:ascii="Arial" w:hAnsi="Arial" w:cs="Arial"/>
          <w:sz w:val="24"/>
          <w:szCs w:val="24"/>
        </w:rPr>
        <w:t xml:space="preserve">of the High Court </w:t>
      </w:r>
      <w:r w:rsidR="006777DE" w:rsidRPr="00F75D93">
        <w:rPr>
          <w:rFonts w:ascii="Arial" w:hAnsi="Arial" w:cs="Arial"/>
          <w:sz w:val="24"/>
          <w:szCs w:val="24"/>
        </w:rPr>
        <w:t xml:space="preserve">is </w:t>
      </w:r>
      <w:r w:rsidR="006F3F43" w:rsidRPr="00F75D93">
        <w:rPr>
          <w:rFonts w:ascii="Arial" w:hAnsi="Arial" w:cs="Arial"/>
          <w:sz w:val="24"/>
          <w:szCs w:val="24"/>
        </w:rPr>
        <w:t xml:space="preserve">not appealable as of right. </w:t>
      </w:r>
      <w:r w:rsidR="006777DE" w:rsidRPr="00F75D93">
        <w:rPr>
          <w:rFonts w:ascii="Arial" w:hAnsi="Arial" w:cs="Arial"/>
          <w:sz w:val="24"/>
          <w:szCs w:val="24"/>
        </w:rPr>
        <w:t xml:space="preserve">Leave to appeal to the Supreme Court </w:t>
      </w:r>
      <w:r w:rsidR="006F3F43" w:rsidRPr="00F75D93">
        <w:rPr>
          <w:rFonts w:ascii="Arial" w:hAnsi="Arial" w:cs="Arial"/>
          <w:sz w:val="24"/>
          <w:szCs w:val="24"/>
        </w:rPr>
        <w:t xml:space="preserve">must first be sought and obtained </w:t>
      </w:r>
      <w:r w:rsidR="006777DE" w:rsidRPr="00F75D93">
        <w:rPr>
          <w:rFonts w:ascii="Arial" w:hAnsi="Arial" w:cs="Arial"/>
          <w:sz w:val="24"/>
          <w:szCs w:val="24"/>
        </w:rPr>
        <w:t xml:space="preserve">from </w:t>
      </w:r>
      <w:r w:rsidR="006F3F43" w:rsidRPr="00F75D93">
        <w:rPr>
          <w:rFonts w:ascii="Arial" w:hAnsi="Arial" w:cs="Arial"/>
          <w:sz w:val="24"/>
          <w:szCs w:val="24"/>
        </w:rPr>
        <w:t>the High Court.</w:t>
      </w:r>
      <w:r w:rsidR="009960A9" w:rsidRPr="00F75D93">
        <w:rPr>
          <w:rFonts w:ascii="Arial" w:hAnsi="Arial" w:cs="Arial"/>
          <w:sz w:val="24"/>
          <w:szCs w:val="24"/>
        </w:rPr>
        <w:t xml:space="preserve"> </w:t>
      </w:r>
      <w:r w:rsidR="008F708B" w:rsidRPr="00F75D93">
        <w:rPr>
          <w:rFonts w:ascii="Arial" w:hAnsi="Arial" w:cs="Arial"/>
          <w:sz w:val="24"/>
          <w:szCs w:val="24"/>
        </w:rPr>
        <w:t>H</w:t>
      </w:r>
      <w:r w:rsidR="006A4A7C" w:rsidRPr="00F75D93">
        <w:rPr>
          <w:rFonts w:ascii="Arial" w:hAnsi="Arial" w:cs="Arial"/>
          <w:sz w:val="24"/>
          <w:szCs w:val="24"/>
        </w:rPr>
        <w:t xml:space="preserve">owever, </w:t>
      </w:r>
      <w:r w:rsidR="008F708B" w:rsidRPr="00F75D93">
        <w:rPr>
          <w:rFonts w:ascii="Arial" w:hAnsi="Arial" w:cs="Arial"/>
          <w:sz w:val="24"/>
          <w:szCs w:val="24"/>
        </w:rPr>
        <w:t xml:space="preserve">if </w:t>
      </w:r>
      <w:r w:rsidR="006A4A7C" w:rsidRPr="00F75D93">
        <w:rPr>
          <w:rFonts w:ascii="Arial" w:hAnsi="Arial" w:cs="Arial"/>
          <w:sz w:val="24"/>
          <w:szCs w:val="24"/>
        </w:rPr>
        <w:t xml:space="preserve">leave to appeal is </w:t>
      </w:r>
      <w:r w:rsidR="0031174F" w:rsidRPr="00F75D93">
        <w:rPr>
          <w:rFonts w:ascii="Arial" w:hAnsi="Arial" w:cs="Arial"/>
          <w:sz w:val="24"/>
          <w:szCs w:val="24"/>
        </w:rPr>
        <w:t>refused</w:t>
      </w:r>
      <w:r w:rsidR="006A4A7C" w:rsidRPr="00F75D93">
        <w:rPr>
          <w:rFonts w:ascii="Arial" w:hAnsi="Arial" w:cs="Arial"/>
          <w:sz w:val="24"/>
          <w:szCs w:val="24"/>
        </w:rPr>
        <w:t xml:space="preserve"> by the High Court, then </w:t>
      </w:r>
      <w:r w:rsidR="008F708B" w:rsidRPr="00F75D93">
        <w:rPr>
          <w:rFonts w:ascii="Arial" w:hAnsi="Arial" w:cs="Arial"/>
          <w:sz w:val="24"/>
          <w:szCs w:val="24"/>
        </w:rPr>
        <w:t xml:space="preserve">the Supreme Court must be approached with a petition for </w:t>
      </w:r>
      <w:r w:rsidR="006A4A7C" w:rsidRPr="00F75D93">
        <w:rPr>
          <w:rFonts w:ascii="Arial" w:hAnsi="Arial" w:cs="Arial"/>
          <w:sz w:val="24"/>
          <w:szCs w:val="24"/>
        </w:rPr>
        <w:t>leave to appeal.</w:t>
      </w:r>
      <w:r w:rsidR="00F75D93" w:rsidRPr="00F75D93">
        <w:rPr>
          <w:rFonts w:ascii="Arial" w:hAnsi="Arial" w:cs="Arial"/>
          <w:sz w:val="24"/>
          <w:szCs w:val="24"/>
        </w:rPr>
        <w:t xml:space="preserve"> </w:t>
      </w:r>
      <w:r w:rsidR="00F75D93">
        <w:rPr>
          <w:rFonts w:ascii="Arial" w:hAnsi="Arial" w:cs="Arial"/>
          <w:sz w:val="24"/>
          <w:szCs w:val="24"/>
        </w:rPr>
        <w:t xml:space="preserve">See </w:t>
      </w:r>
      <w:r w:rsidR="00F75D93" w:rsidRPr="00F75D93">
        <w:rPr>
          <w:rFonts w:ascii="Arial" w:hAnsi="Arial" w:cs="Arial"/>
          <w:i/>
          <w:sz w:val="24"/>
          <w:szCs w:val="24"/>
        </w:rPr>
        <w:t xml:space="preserve">M Pupkewitz &amp; Sons (Pty) Ltd t/a Pupkewitz Megabuilt v Kurz </w:t>
      </w:r>
      <w:r w:rsidR="00F75D93" w:rsidRPr="00F75D93">
        <w:rPr>
          <w:rFonts w:ascii="Arial" w:hAnsi="Arial" w:cs="Arial"/>
          <w:sz w:val="24"/>
          <w:szCs w:val="24"/>
        </w:rPr>
        <w:t>2008 (2) NR 775 (SC). See also s 14 of the Supreme Court Act 15 of 1990.</w:t>
      </w:r>
    </w:p>
    <w:p w:rsidR="00DB2A13" w:rsidRPr="009A6784" w:rsidRDefault="00DB2A13" w:rsidP="001D20F2">
      <w:pPr>
        <w:pStyle w:val="BodyText"/>
        <w:rPr>
          <w:rFonts w:ascii="Arial" w:hAnsi="Arial" w:cs="Arial"/>
        </w:rPr>
      </w:pPr>
    </w:p>
    <w:p w:rsidR="00EA3136" w:rsidRDefault="00EA3136" w:rsidP="001D20F2">
      <w:pPr>
        <w:pStyle w:val="BodyText"/>
        <w:numPr>
          <w:ilvl w:val="0"/>
          <w:numId w:val="10"/>
        </w:numPr>
        <w:ind w:left="0" w:firstLine="0"/>
        <w:rPr>
          <w:rFonts w:ascii="Arial" w:hAnsi="Arial" w:cs="Arial"/>
        </w:rPr>
      </w:pPr>
      <w:r w:rsidRPr="00664AE4">
        <w:rPr>
          <w:rFonts w:ascii="Arial" w:hAnsi="Arial" w:cs="Arial"/>
        </w:rPr>
        <w:t xml:space="preserve">At the hearing of the matter, the court invited the parties to address </w:t>
      </w:r>
      <w:r w:rsidR="0031174F">
        <w:rPr>
          <w:rFonts w:ascii="Arial" w:hAnsi="Arial" w:cs="Arial"/>
        </w:rPr>
        <w:t xml:space="preserve">it on the question of whether or not </w:t>
      </w:r>
      <w:r w:rsidRPr="009A6784">
        <w:rPr>
          <w:rFonts w:ascii="Arial" w:hAnsi="Arial" w:cs="Arial"/>
        </w:rPr>
        <w:t>s 18(2)(</w:t>
      </w:r>
      <w:r w:rsidRPr="008F708B">
        <w:rPr>
          <w:rFonts w:ascii="Arial" w:hAnsi="Arial" w:cs="Arial"/>
          <w:i/>
        </w:rPr>
        <w:t>b</w:t>
      </w:r>
      <w:r>
        <w:rPr>
          <w:rFonts w:ascii="Arial" w:hAnsi="Arial" w:cs="Arial"/>
        </w:rPr>
        <w:t xml:space="preserve">) </w:t>
      </w:r>
      <w:r w:rsidR="0031174F">
        <w:rPr>
          <w:rFonts w:ascii="Arial" w:hAnsi="Arial" w:cs="Arial"/>
        </w:rPr>
        <w:t xml:space="preserve">of the Act </w:t>
      </w:r>
      <w:r w:rsidR="00664AE4">
        <w:rPr>
          <w:rFonts w:ascii="Arial" w:hAnsi="Arial" w:cs="Arial"/>
        </w:rPr>
        <w:t xml:space="preserve">is </w:t>
      </w:r>
      <w:r w:rsidR="008F708B">
        <w:rPr>
          <w:rFonts w:ascii="Arial" w:hAnsi="Arial" w:cs="Arial"/>
        </w:rPr>
        <w:t xml:space="preserve">of application </w:t>
      </w:r>
      <w:r w:rsidR="00664AE4">
        <w:rPr>
          <w:rFonts w:ascii="Arial" w:hAnsi="Arial" w:cs="Arial"/>
        </w:rPr>
        <w:t>to the present matter</w:t>
      </w:r>
      <w:r>
        <w:rPr>
          <w:rFonts w:ascii="Arial" w:hAnsi="Arial" w:cs="Arial"/>
        </w:rPr>
        <w:t>.</w:t>
      </w:r>
    </w:p>
    <w:p w:rsidR="00664AE4" w:rsidRPr="00664AE4" w:rsidRDefault="00664AE4" w:rsidP="001D20F2">
      <w:pPr>
        <w:pStyle w:val="BodyText"/>
        <w:rPr>
          <w:rFonts w:ascii="Arial" w:hAnsi="Arial" w:cs="Arial"/>
        </w:rPr>
      </w:pPr>
    </w:p>
    <w:p w:rsidR="00664AE4" w:rsidRPr="009A6784" w:rsidRDefault="00664AE4" w:rsidP="001D20F2">
      <w:pPr>
        <w:pStyle w:val="BodyText"/>
        <w:numPr>
          <w:ilvl w:val="0"/>
          <w:numId w:val="10"/>
        </w:numPr>
        <w:ind w:left="0" w:firstLine="0"/>
        <w:rPr>
          <w:rFonts w:ascii="Arial" w:hAnsi="Arial" w:cs="Arial"/>
        </w:rPr>
      </w:pPr>
      <w:r>
        <w:rPr>
          <w:rFonts w:ascii="Arial" w:hAnsi="Arial" w:cs="Arial"/>
        </w:rPr>
        <w:t>On behalf of the appellant, c</w:t>
      </w:r>
      <w:r w:rsidRPr="009A6784">
        <w:rPr>
          <w:rFonts w:ascii="Arial" w:hAnsi="Arial" w:cs="Arial"/>
        </w:rPr>
        <w:t xml:space="preserve">ounsel </w:t>
      </w:r>
      <w:r>
        <w:rPr>
          <w:rFonts w:ascii="Arial" w:hAnsi="Arial" w:cs="Arial"/>
        </w:rPr>
        <w:t>submitted that s 18(2)(</w:t>
      </w:r>
      <w:r w:rsidRPr="00EB6561">
        <w:rPr>
          <w:rFonts w:ascii="Arial" w:hAnsi="Arial" w:cs="Arial"/>
          <w:i/>
        </w:rPr>
        <w:t>b</w:t>
      </w:r>
      <w:r>
        <w:rPr>
          <w:rFonts w:ascii="Arial" w:hAnsi="Arial" w:cs="Arial"/>
        </w:rPr>
        <w:t xml:space="preserve">) is not </w:t>
      </w:r>
      <w:r w:rsidR="008F708B">
        <w:rPr>
          <w:rFonts w:ascii="Arial" w:hAnsi="Arial" w:cs="Arial"/>
        </w:rPr>
        <w:t xml:space="preserve">of </w:t>
      </w:r>
      <w:r>
        <w:rPr>
          <w:rFonts w:ascii="Arial" w:hAnsi="Arial" w:cs="Arial"/>
        </w:rPr>
        <w:t>applica</w:t>
      </w:r>
      <w:r w:rsidR="008F708B">
        <w:rPr>
          <w:rFonts w:ascii="Arial" w:hAnsi="Arial" w:cs="Arial"/>
        </w:rPr>
        <w:t>tion</w:t>
      </w:r>
      <w:r w:rsidRPr="009A6784">
        <w:rPr>
          <w:rFonts w:ascii="Arial" w:hAnsi="Arial" w:cs="Arial"/>
        </w:rPr>
        <w:t xml:space="preserve">. </w:t>
      </w:r>
      <w:r>
        <w:rPr>
          <w:rFonts w:ascii="Arial" w:hAnsi="Arial" w:cs="Arial"/>
        </w:rPr>
        <w:t xml:space="preserve">Counsel </w:t>
      </w:r>
      <w:r w:rsidR="008F708B">
        <w:rPr>
          <w:rFonts w:ascii="Arial" w:hAnsi="Arial" w:cs="Arial"/>
        </w:rPr>
        <w:t xml:space="preserve">contended </w:t>
      </w:r>
      <w:r w:rsidRPr="009A6784">
        <w:rPr>
          <w:rFonts w:ascii="Arial" w:hAnsi="Arial" w:cs="Arial"/>
        </w:rPr>
        <w:t xml:space="preserve">that although the appeal was noted against the judgment </w:t>
      </w:r>
      <w:r w:rsidR="008F708B">
        <w:rPr>
          <w:rFonts w:ascii="Arial" w:hAnsi="Arial" w:cs="Arial"/>
        </w:rPr>
        <w:t xml:space="preserve">and order </w:t>
      </w:r>
      <w:r w:rsidRPr="009A6784">
        <w:rPr>
          <w:rFonts w:ascii="Arial" w:hAnsi="Arial" w:cs="Arial"/>
        </w:rPr>
        <w:t xml:space="preserve">of the </w:t>
      </w:r>
      <w:r w:rsidR="00C7349D">
        <w:rPr>
          <w:rFonts w:ascii="Arial" w:hAnsi="Arial" w:cs="Arial"/>
        </w:rPr>
        <w:t>m</w:t>
      </w:r>
      <w:r w:rsidRPr="009A6784">
        <w:rPr>
          <w:rFonts w:ascii="Arial" w:hAnsi="Arial" w:cs="Arial"/>
        </w:rPr>
        <w:t xml:space="preserve">agistrate's </w:t>
      </w:r>
      <w:r w:rsidR="00C7349D">
        <w:rPr>
          <w:rFonts w:ascii="Arial" w:hAnsi="Arial" w:cs="Arial"/>
        </w:rPr>
        <w:t>c</w:t>
      </w:r>
      <w:r w:rsidRPr="009A6784">
        <w:rPr>
          <w:rFonts w:ascii="Arial" w:hAnsi="Arial" w:cs="Arial"/>
        </w:rPr>
        <w:t>ourt, the condonation</w:t>
      </w:r>
      <w:r>
        <w:rPr>
          <w:rFonts w:ascii="Arial" w:hAnsi="Arial" w:cs="Arial"/>
        </w:rPr>
        <w:t xml:space="preserve"> application moved by the appellant and </w:t>
      </w:r>
      <w:r w:rsidR="00273862">
        <w:rPr>
          <w:rFonts w:ascii="Arial" w:hAnsi="Arial" w:cs="Arial"/>
        </w:rPr>
        <w:t>refused</w:t>
      </w:r>
      <w:r w:rsidRPr="009A6784">
        <w:rPr>
          <w:rFonts w:ascii="Arial" w:hAnsi="Arial" w:cs="Arial"/>
        </w:rPr>
        <w:t xml:space="preserve"> by the</w:t>
      </w:r>
      <w:r>
        <w:rPr>
          <w:rFonts w:ascii="Arial" w:hAnsi="Arial" w:cs="Arial"/>
        </w:rPr>
        <w:t xml:space="preserve"> court </w:t>
      </w:r>
      <w:r>
        <w:rPr>
          <w:rFonts w:ascii="Arial" w:hAnsi="Arial" w:cs="Arial"/>
          <w:i/>
        </w:rPr>
        <w:t xml:space="preserve">a quo </w:t>
      </w:r>
      <w:r w:rsidRPr="009A6784">
        <w:rPr>
          <w:rFonts w:ascii="Arial" w:hAnsi="Arial" w:cs="Arial"/>
        </w:rPr>
        <w:t xml:space="preserve">did not originate from </w:t>
      </w:r>
      <w:r w:rsidR="00B83225">
        <w:rPr>
          <w:rFonts w:ascii="Arial" w:hAnsi="Arial" w:cs="Arial"/>
        </w:rPr>
        <w:t xml:space="preserve">the </w:t>
      </w:r>
      <w:r w:rsidR="00C7349D">
        <w:rPr>
          <w:rFonts w:ascii="Arial" w:hAnsi="Arial" w:cs="Arial"/>
        </w:rPr>
        <w:t>m</w:t>
      </w:r>
      <w:r w:rsidR="00B83225">
        <w:rPr>
          <w:rFonts w:ascii="Arial" w:hAnsi="Arial" w:cs="Arial"/>
        </w:rPr>
        <w:t>agistrate</w:t>
      </w:r>
      <w:r w:rsidR="00C7349D">
        <w:rPr>
          <w:rFonts w:ascii="Arial" w:hAnsi="Arial" w:cs="Arial"/>
        </w:rPr>
        <w:t>’</w:t>
      </w:r>
      <w:r w:rsidR="00B83225">
        <w:rPr>
          <w:rFonts w:ascii="Arial" w:hAnsi="Arial" w:cs="Arial"/>
        </w:rPr>
        <w:t xml:space="preserve">s </w:t>
      </w:r>
      <w:r w:rsidR="00C7349D">
        <w:rPr>
          <w:rFonts w:ascii="Arial" w:hAnsi="Arial" w:cs="Arial"/>
        </w:rPr>
        <w:t>c</w:t>
      </w:r>
      <w:r>
        <w:rPr>
          <w:rFonts w:ascii="Arial" w:hAnsi="Arial" w:cs="Arial"/>
        </w:rPr>
        <w:t xml:space="preserve">ourt </w:t>
      </w:r>
      <w:r w:rsidR="008F708B">
        <w:rPr>
          <w:rFonts w:ascii="Arial" w:hAnsi="Arial" w:cs="Arial"/>
        </w:rPr>
        <w:t xml:space="preserve">as it was </w:t>
      </w:r>
      <w:r w:rsidRPr="009A6784">
        <w:rPr>
          <w:rFonts w:ascii="Arial" w:hAnsi="Arial" w:cs="Arial"/>
        </w:rPr>
        <w:t xml:space="preserve">dealt with </w:t>
      </w:r>
      <w:r w:rsidR="008F708B">
        <w:rPr>
          <w:rFonts w:ascii="Arial" w:hAnsi="Arial" w:cs="Arial"/>
        </w:rPr>
        <w:t xml:space="preserve">by </w:t>
      </w:r>
      <w:r w:rsidRPr="009A6784">
        <w:rPr>
          <w:rFonts w:ascii="Arial" w:hAnsi="Arial" w:cs="Arial"/>
        </w:rPr>
        <w:t>the High Court</w:t>
      </w:r>
      <w:r w:rsidR="008F708B">
        <w:rPr>
          <w:rFonts w:ascii="Arial" w:hAnsi="Arial" w:cs="Arial"/>
        </w:rPr>
        <w:t xml:space="preserve"> sitting as a court of first instance </w:t>
      </w:r>
      <w:r w:rsidR="0031174F">
        <w:rPr>
          <w:rFonts w:ascii="Arial" w:hAnsi="Arial" w:cs="Arial"/>
        </w:rPr>
        <w:t xml:space="preserve">and not as </w:t>
      </w:r>
      <w:r w:rsidRPr="009A6784">
        <w:rPr>
          <w:rFonts w:ascii="Arial" w:hAnsi="Arial" w:cs="Arial"/>
        </w:rPr>
        <w:t>a court of appeal</w:t>
      </w:r>
      <w:r w:rsidR="006E70D6">
        <w:rPr>
          <w:rFonts w:ascii="Arial" w:hAnsi="Arial" w:cs="Arial"/>
        </w:rPr>
        <w:t xml:space="preserve">. Counsel therefore argued that </w:t>
      </w:r>
      <w:r w:rsidR="00E01F7D">
        <w:rPr>
          <w:rFonts w:ascii="Arial" w:hAnsi="Arial" w:cs="Arial"/>
        </w:rPr>
        <w:t>the applicable provision</w:t>
      </w:r>
      <w:r w:rsidR="006E70D6">
        <w:rPr>
          <w:rFonts w:ascii="Arial" w:hAnsi="Arial" w:cs="Arial"/>
        </w:rPr>
        <w:t xml:space="preserve"> </w:t>
      </w:r>
      <w:r w:rsidR="00E01F7D">
        <w:rPr>
          <w:rFonts w:ascii="Arial" w:hAnsi="Arial" w:cs="Arial"/>
        </w:rPr>
        <w:t>was s</w:t>
      </w:r>
      <w:r w:rsidR="00B83225">
        <w:rPr>
          <w:rFonts w:ascii="Arial" w:hAnsi="Arial" w:cs="Arial"/>
        </w:rPr>
        <w:t xml:space="preserve"> 18(2)(</w:t>
      </w:r>
      <w:r w:rsidR="00B83225" w:rsidRPr="008F708B">
        <w:rPr>
          <w:rFonts w:ascii="Arial" w:hAnsi="Arial" w:cs="Arial"/>
          <w:i/>
        </w:rPr>
        <w:t>a</w:t>
      </w:r>
      <w:r w:rsidR="00B83225">
        <w:rPr>
          <w:rFonts w:ascii="Arial" w:hAnsi="Arial" w:cs="Arial"/>
        </w:rPr>
        <w:t>)</w:t>
      </w:r>
      <w:r w:rsidR="00F75D93">
        <w:rPr>
          <w:rFonts w:ascii="Arial" w:hAnsi="Arial" w:cs="Arial"/>
        </w:rPr>
        <w:t>.</w:t>
      </w:r>
    </w:p>
    <w:p w:rsidR="00664AE4" w:rsidRDefault="00664AE4" w:rsidP="001D20F2">
      <w:pPr>
        <w:pStyle w:val="BodyText"/>
        <w:rPr>
          <w:rFonts w:ascii="Arial" w:hAnsi="Arial" w:cs="Arial"/>
        </w:rPr>
      </w:pPr>
    </w:p>
    <w:p w:rsidR="005E3978" w:rsidRDefault="00B83225" w:rsidP="001D20F2">
      <w:pPr>
        <w:pStyle w:val="BodyText"/>
        <w:numPr>
          <w:ilvl w:val="0"/>
          <w:numId w:val="10"/>
        </w:numPr>
        <w:ind w:left="0" w:firstLine="0"/>
        <w:rPr>
          <w:rFonts w:ascii="Arial" w:hAnsi="Arial" w:cs="Arial"/>
        </w:rPr>
      </w:pPr>
      <w:r w:rsidRPr="00B83225">
        <w:rPr>
          <w:rFonts w:ascii="Arial" w:hAnsi="Arial" w:cs="Arial"/>
        </w:rPr>
        <w:t>C</w:t>
      </w:r>
      <w:r w:rsidR="006F29B8" w:rsidRPr="00B83225">
        <w:rPr>
          <w:rFonts w:ascii="Arial" w:hAnsi="Arial" w:cs="Arial"/>
        </w:rPr>
        <w:t xml:space="preserve">ounsel </w:t>
      </w:r>
      <w:r w:rsidRPr="00B83225">
        <w:rPr>
          <w:rFonts w:ascii="Arial" w:hAnsi="Arial" w:cs="Arial"/>
        </w:rPr>
        <w:t xml:space="preserve">further </w:t>
      </w:r>
      <w:r w:rsidR="006F29B8" w:rsidRPr="00B83225">
        <w:rPr>
          <w:rFonts w:ascii="Arial" w:hAnsi="Arial" w:cs="Arial"/>
        </w:rPr>
        <w:t xml:space="preserve">submitted that </w:t>
      </w:r>
      <w:r w:rsidR="008F708B">
        <w:rPr>
          <w:rFonts w:ascii="Arial" w:hAnsi="Arial" w:cs="Arial"/>
        </w:rPr>
        <w:t>a</w:t>
      </w:r>
      <w:r w:rsidR="006F29B8" w:rsidRPr="00B83225">
        <w:rPr>
          <w:rFonts w:ascii="Arial" w:hAnsi="Arial" w:cs="Arial"/>
        </w:rPr>
        <w:t xml:space="preserve">s the court </w:t>
      </w:r>
      <w:r w:rsidR="006F29B8" w:rsidRPr="00B83225">
        <w:rPr>
          <w:rFonts w:ascii="Arial" w:hAnsi="Arial" w:cs="Arial"/>
          <w:i/>
        </w:rPr>
        <w:t xml:space="preserve">a quo </w:t>
      </w:r>
      <w:r w:rsidR="006F29B8" w:rsidRPr="00B83225">
        <w:rPr>
          <w:rFonts w:ascii="Arial" w:hAnsi="Arial" w:cs="Arial"/>
        </w:rPr>
        <w:t>considered the explanation for the late f</w:t>
      </w:r>
      <w:r w:rsidR="002E09EF" w:rsidRPr="00B83225">
        <w:rPr>
          <w:rFonts w:ascii="Arial" w:hAnsi="Arial" w:cs="Arial"/>
        </w:rPr>
        <w:t>iling of the heads of argument</w:t>
      </w:r>
      <w:r w:rsidR="006F29B8" w:rsidRPr="00B83225">
        <w:rPr>
          <w:rFonts w:ascii="Arial" w:hAnsi="Arial" w:cs="Arial"/>
        </w:rPr>
        <w:t xml:space="preserve"> and not the merits of the appeal, the appellant was </w:t>
      </w:r>
      <w:r w:rsidRPr="00B83225">
        <w:rPr>
          <w:rFonts w:ascii="Arial" w:hAnsi="Arial" w:cs="Arial"/>
        </w:rPr>
        <w:t>entitled to app</w:t>
      </w:r>
      <w:r w:rsidR="008B41A7">
        <w:rPr>
          <w:rFonts w:ascii="Arial" w:hAnsi="Arial" w:cs="Arial"/>
        </w:rPr>
        <w:t xml:space="preserve">eal to </w:t>
      </w:r>
      <w:r w:rsidR="003C4DE9" w:rsidRPr="00B83225">
        <w:rPr>
          <w:rFonts w:ascii="Arial" w:hAnsi="Arial" w:cs="Arial"/>
        </w:rPr>
        <w:t>the Supreme Court</w:t>
      </w:r>
      <w:r w:rsidR="00CE5B35" w:rsidRPr="00B83225">
        <w:rPr>
          <w:rFonts w:ascii="Arial" w:hAnsi="Arial" w:cs="Arial"/>
        </w:rPr>
        <w:t xml:space="preserve"> </w:t>
      </w:r>
      <w:r w:rsidR="008B41A7">
        <w:rPr>
          <w:rFonts w:ascii="Arial" w:hAnsi="Arial" w:cs="Arial"/>
        </w:rPr>
        <w:t xml:space="preserve">as of right. </w:t>
      </w:r>
      <w:r w:rsidR="00567A6B">
        <w:rPr>
          <w:rFonts w:ascii="Arial" w:hAnsi="Arial" w:cs="Arial"/>
        </w:rPr>
        <w:t>For this proposition co</w:t>
      </w:r>
      <w:r w:rsidR="00CE5B35" w:rsidRPr="00B83225">
        <w:rPr>
          <w:rFonts w:ascii="Arial" w:hAnsi="Arial" w:cs="Arial"/>
        </w:rPr>
        <w:t xml:space="preserve">unsel </w:t>
      </w:r>
      <w:r>
        <w:rPr>
          <w:rFonts w:ascii="Arial" w:hAnsi="Arial" w:cs="Arial"/>
        </w:rPr>
        <w:t xml:space="preserve">relied on </w:t>
      </w:r>
      <w:r w:rsidR="008B41A7" w:rsidRPr="00B83225">
        <w:rPr>
          <w:rFonts w:ascii="Arial" w:hAnsi="Arial" w:cs="Arial"/>
          <w:i/>
        </w:rPr>
        <w:t>S v Nakale</w:t>
      </w:r>
      <w:r w:rsidR="000E3BD6">
        <w:rPr>
          <w:rFonts w:ascii="Arial" w:hAnsi="Arial" w:cs="Arial"/>
          <w:i/>
        </w:rPr>
        <w:t xml:space="preserve"> </w:t>
      </w:r>
      <w:r w:rsidR="000E3BD6">
        <w:rPr>
          <w:rFonts w:ascii="Arial" w:hAnsi="Arial" w:cs="Arial"/>
        </w:rPr>
        <w:t>2011 (2) NR 599 (SC</w:t>
      </w:r>
      <w:r w:rsidR="000E3BD6" w:rsidRPr="000E3BD6">
        <w:rPr>
          <w:rFonts w:ascii="Arial" w:hAnsi="Arial" w:cs="Arial"/>
        </w:rPr>
        <w:t>)</w:t>
      </w:r>
      <w:r w:rsidR="000E3BD6">
        <w:rPr>
          <w:rFonts w:ascii="Arial" w:hAnsi="Arial" w:cs="Arial"/>
        </w:rPr>
        <w:t>,</w:t>
      </w:r>
      <w:r w:rsidR="008B41A7">
        <w:rPr>
          <w:rFonts w:ascii="Arial" w:hAnsi="Arial" w:cs="Arial"/>
          <w:i/>
        </w:rPr>
        <w:t xml:space="preserve"> </w:t>
      </w:r>
      <w:r w:rsidR="008B41A7" w:rsidRPr="008B41A7">
        <w:rPr>
          <w:rFonts w:ascii="Arial" w:hAnsi="Arial" w:cs="Arial"/>
        </w:rPr>
        <w:t>a</w:t>
      </w:r>
      <w:r w:rsidR="008B41A7">
        <w:rPr>
          <w:rFonts w:ascii="Arial" w:hAnsi="Arial" w:cs="Arial"/>
        </w:rPr>
        <w:t xml:space="preserve"> </w:t>
      </w:r>
      <w:r w:rsidR="009F5046" w:rsidRPr="00B83225">
        <w:rPr>
          <w:rFonts w:ascii="Arial" w:hAnsi="Arial" w:cs="Arial"/>
        </w:rPr>
        <w:t>criminal appeal</w:t>
      </w:r>
      <w:r w:rsidR="00CE5B35" w:rsidRPr="00B83225">
        <w:rPr>
          <w:rFonts w:ascii="Arial" w:hAnsi="Arial" w:cs="Arial"/>
        </w:rPr>
        <w:t xml:space="preserve"> case</w:t>
      </w:r>
      <w:r w:rsidR="005E3978">
        <w:rPr>
          <w:rFonts w:ascii="Arial" w:hAnsi="Arial" w:cs="Arial"/>
        </w:rPr>
        <w:t>.</w:t>
      </w:r>
    </w:p>
    <w:p w:rsidR="001D20F2" w:rsidRPr="001D20F2" w:rsidRDefault="001D20F2" w:rsidP="001D20F2">
      <w:pPr>
        <w:spacing w:line="480" w:lineRule="auto"/>
      </w:pPr>
    </w:p>
    <w:p w:rsidR="001D20F2" w:rsidRDefault="001D20F2" w:rsidP="001D20F2">
      <w:pPr>
        <w:pStyle w:val="BodyText"/>
        <w:rPr>
          <w:rFonts w:ascii="Arial" w:hAnsi="Arial" w:cs="Arial"/>
        </w:rPr>
      </w:pPr>
    </w:p>
    <w:p w:rsidR="003A0B75" w:rsidRDefault="00716A00" w:rsidP="001D20F2">
      <w:pPr>
        <w:pStyle w:val="BodyText"/>
        <w:numPr>
          <w:ilvl w:val="0"/>
          <w:numId w:val="10"/>
        </w:numPr>
        <w:ind w:left="0" w:firstLine="0"/>
        <w:rPr>
          <w:rFonts w:ascii="Arial" w:hAnsi="Arial" w:cs="Arial"/>
        </w:rPr>
      </w:pPr>
      <w:r>
        <w:rPr>
          <w:rFonts w:ascii="Arial" w:hAnsi="Arial" w:cs="Arial"/>
        </w:rPr>
        <w:lastRenderedPageBreak/>
        <w:t>C</w:t>
      </w:r>
      <w:r w:rsidR="00EA3136" w:rsidRPr="009A6784">
        <w:rPr>
          <w:rFonts w:ascii="Arial" w:hAnsi="Arial" w:cs="Arial"/>
        </w:rPr>
        <w:t>ounsel for the respondent, on th</w:t>
      </w:r>
      <w:r>
        <w:rPr>
          <w:rFonts w:ascii="Arial" w:hAnsi="Arial" w:cs="Arial"/>
        </w:rPr>
        <w:t xml:space="preserve">e other hand, </w:t>
      </w:r>
      <w:r w:rsidR="00402A92">
        <w:rPr>
          <w:rFonts w:ascii="Arial" w:hAnsi="Arial" w:cs="Arial"/>
        </w:rPr>
        <w:t>did n</w:t>
      </w:r>
      <w:r w:rsidR="00EA3136" w:rsidRPr="009A6784">
        <w:rPr>
          <w:rFonts w:ascii="Arial" w:hAnsi="Arial" w:cs="Arial"/>
        </w:rPr>
        <w:t>o</w:t>
      </w:r>
      <w:r w:rsidR="00402A92">
        <w:rPr>
          <w:rFonts w:ascii="Arial" w:hAnsi="Arial" w:cs="Arial"/>
        </w:rPr>
        <w:t>t</w:t>
      </w:r>
      <w:r w:rsidR="00EA3136" w:rsidRPr="009A6784">
        <w:rPr>
          <w:rFonts w:ascii="Arial" w:hAnsi="Arial" w:cs="Arial"/>
        </w:rPr>
        <w:t xml:space="preserve"> </w:t>
      </w:r>
      <w:r>
        <w:rPr>
          <w:rFonts w:ascii="Arial" w:hAnsi="Arial" w:cs="Arial"/>
        </w:rPr>
        <w:t xml:space="preserve">advance </w:t>
      </w:r>
      <w:r w:rsidR="00EA3136" w:rsidRPr="009A6784">
        <w:rPr>
          <w:rFonts w:ascii="Arial" w:hAnsi="Arial" w:cs="Arial"/>
        </w:rPr>
        <w:t>substantial arguments</w:t>
      </w:r>
      <w:r>
        <w:rPr>
          <w:rFonts w:ascii="Arial" w:hAnsi="Arial" w:cs="Arial"/>
        </w:rPr>
        <w:t xml:space="preserve"> in </w:t>
      </w:r>
      <w:r w:rsidR="00CA75F5">
        <w:rPr>
          <w:rFonts w:ascii="Arial" w:hAnsi="Arial" w:cs="Arial"/>
        </w:rPr>
        <w:t>regard to the issue at hand</w:t>
      </w:r>
      <w:r>
        <w:rPr>
          <w:rFonts w:ascii="Arial" w:hAnsi="Arial" w:cs="Arial"/>
        </w:rPr>
        <w:t xml:space="preserve"> except </w:t>
      </w:r>
      <w:r w:rsidR="00AB1EBE">
        <w:rPr>
          <w:rFonts w:ascii="Arial" w:hAnsi="Arial" w:cs="Arial"/>
        </w:rPr>
        <w:t xml:space="preserve">to state </w:t>
      </w:r>
      <w:r>
        <w:rPr>
          <w:rFonts w:ascii="Arial" w:hAnsi="Arial" w:cs="Arial"/>
        </w:rPr>
        <w:t xml:space="preserve">that </w:t>
      </w:r>
      <w:r w:rsidR="00EA3136" w:rsidRPr="009A6784">
        <w:rPr>
          <w:rFonts w:ascii="Arial" w:hAnsi="Arial" w:cs="Arial"/>
        </w:rPr>
        <w:t>it appear</w:t>
      </w:r>
      <w:r>
        <w:rPr>
          <w:rFonts w:ascii="Arial" w:hAnsi="Arial" w:cs="Arial"/>
        </w:rPr>
        <w:t>ed</w:t>
      </w:r>
      <w:r w:rsidR="00EA3136" w:rsidRPr="009A6784">
        <w:rPr>
          <w:rFonts w:ascii="Arial" w:hAnsi="Arial" w:cs="Arial"/>
        </w:rPr>
        <w:t xml:space="preserve"> </w:t>
      </w:r>
      <w:r w:rsidR="00AB1EBE">
        <w:rPr>
          <w:rFonts w:ascii="Arial" w:hAnsi="Arial" w:cs="Arial"/>
        </w:rPr>
        <w:t xml:space="preserve">to him </w:t>
      </w:r>
      <w:r>
        <w:rPr>
          <w:rFonts w:ascii="Arial" w:hAnsi="Arial" w:cs="Arial"/>
        </w:rPr>
        <w:t xml:space="preserve">that </w:t>
      </w:r>
      <w:r w:rsidR="00EA3136" w:rsidRPr="009A6784">
        <w:rPr>
          <w:rFonts w:ascii="Arial" w:hAnsi="Arial" w:cs="Arial"/>
        </w:rPr>
        <w:t xml:space="preserve">there </w:t>
      </w:r>
      <w:r w:rsidR="00AB1EBE">
        <w:rPr>
          <w:rFonts w:ascii="Arial" w:hAnsi="Arial" w:cs="Arial"/>
        </w:rPr>
        <w:t>wa</w:t>
      </w:r>
      <w:r w:rsidR="00EA3136" w:rsidRPr="009A6784">
        <w:rPr>
          <w:rFonts w:ascii="Arial" w:hAnsi="Arial" w:cs="Arial"/>
        </w:rPr>
        <w:t>s a lacuna</w:t>
      </w:r>
      <w:r w:rsidR="003F77BF">
        <w:rPr>
          <w:rFonts w:ascii="Arial" w:hAnsi="Arial" w:cs="Arial"/>
        </w:rPr>
        <w:t xml:space="preserve"> in</w:t>
      </w:r>
      <w:r w:rsidR="00EA3136" w:rsidRPr="009A6784">
        <w:rPr>
          <w:rFonts w:ascii="Arial" w:hAnsi="Arial" w:cs="Arial"/>
        </w:rPr>
        <w:t xml:space="preserve"> s 18(2)(</w:t>
      </w:r>
      <w:r w:rsidR="00EA3136" w:rsidRPr="00AB1EBE">
        <w:rPr>
          <w:rFonts w:ascii="Arial" w:hAnsi="Arial" w:cs="Arial"/>
          <w:i/>
        </w:rPr>
        <w:t>b</w:t>
      </w:r>
      <w:r w:rsidR="00EA3136" w:rsidRPr="009A6784">
        <w:rPr>
          <w:rFonts w:ascii="Arial" w:hAnsi="Arial" w:cs="Arial"/>
        </w:rPr>
        <w:t xml:space="preserve">) in </w:t>
      </w:r>
      <w:r w:rsidR="00CA75F5">
        <w:rPr>
          <w:rFonts w:ascii="Arial" w:hAnsi="Arial" w:cs="Arial"/>
        </w:rPr>
        <w:t xml:space="preserve">relation </w:t>
      </w:r>
      <w:r w:rsidR="00EA3136" w:rsidRPr="009A6784">
        <w:rPr>
          <w:rFonts w:ascii="Arial" w:hAnsi="Arial" w:cs="Arial"/>
        </w:rPr>
        <w:t xml:space="preserve">to </w:t>
      </w:r>
      <w:r w:rsidR="00AB1EBE">
        <w:rPr>
          <w:rFonts w:ascii="Arial" w:hAnsi="Arial" w:cs="Arial"/>
        </w:rPr>
        <w:t xml:space="preserve">the High Court deciding an application for condonation based on explanation for the delay </w:t>
      </w:r>
      <w:r w:rsidR="0031174F">
        <w:rPr>
          <w:rFonts w:ascii="Arial" w:hAnsi="Arial" w:cs="Arial"/>
        </w:rPr>
        <w:t xml:space="preserve">only </w:t>
      </w:r>
      <w:r w:rsidR="00EB6561">
        <w:rPr>
          <w:rFonts w:ascii="Arial" w:hAnsi="Arial" w:cs="Arial"/>
        </w:rPr>
        <w:t xml:space="preserve">and </w:t>
      </w:r>
      <w:r w:rsidR="00AB1EBE">
        <w:rPr>
          <w:rFonts w:ascii="Arial" w:hAnsi="Arial" w:cs="Arial"/>
        </w:rPr>
        <w:t>not the merits of the appeal</w:t>
      </w:r>
      <w:r w:rsidR="00EA3136" w:rsidRPr="009A6784">
        <w:rPr>
          <w:rFonts w:ascii="Arial" w:hAnsi="Arial" w:cs="Arial"/>
        </w:rPr>
        <w:t xml:space="preserve">. </w:t>
      </w:r>
      <w:r w:rsidR="000E3BD6">
        <w:rPr>
          <w:rFonts w:ascii="Arial" w:hAnsi="Arial" w:cs="Arial"/>
        </w:rPr>
        <w:t>C</w:t>
      </w:r>
      <w:r w:rsidR="00BF00A4">
        <w:rPr>
          <w:rFonts w:ascii="Arial" w:hAnsi="Arial" w:cs="Arial"/>
        </w:rPr>
        <w:t xml:space="preserve">ounsel </w:t>
      </w:r>
      <w:r w:rsidR="003F77BF">
        <w:rPr>
          <w:rFonts w:ascii="Arial" w:hAnsi="Arial" w:cs="Arial"/>
        </w:rPr>
        <w:t>could</w:t>
      </w:r>
      <w:r w:rsidR="000E3BD6">
        <w:rPr>
          <w:rFonts w:ascii="Arial" w:hAnsi="Arial" w:cs="Arial"/>
        </w:rPr>
        <w:t>,</w:t>
      </w:r>
      <w:r w:rsidR="00BF00A4">
        <w:rPr>
          <w:rFonts w:ascii="Arial" w:hAnsi="Arial" w:cs="Arial"/>
        </w:rPr>
        <w:t xml:space="preserve"> </w:t>
      </w:r>
      <w:r w:rsidR="000E3BD6">
        <w:rPr>
          <w:rFonts w:ascii="Arial" w:hAnsi="Arial" w:cs="Arial"/>
        </w:rPr>
        <w:t xml:space="preserve">however, </w:t>
      </w:r>
      <w:r w:rsidR="00BF00A4">
        <w:rPr>
          <w:rFonts w:ascii="Arial" w:hAnsi="Arial" w:cs="Arial"/>
        </w:rPr>
        <w:t xml:space="preserve">not provide </w:t>
      </w:r>
      <w:r w:rsidR="003F77BF">
        <w:rPr>
          <w:rFonts w:ascii="Arial" w:hAnsi="Arial" w:cs="Arial"/>
        </w:rPr>
        <w:t>any authority</w:t>
      </w:r>
      <w:r w:rsidR="00BF00A4">
        <w:rPr>
          <w:rFonts w:ascii="Arial" w:hAnsi="Arial" w:cs="Arial"/>
        </w:rPr>
        <w:t xml:space="preserve"> for </w:t>
      </w:r>
      <w:r w:rsidR="00AB1EBE">
        <w:rPr>
          <w:rFonts w:ascii="Arial" w:hAnsi="Arial" w:cs="Arial"/>
        </w:rPr>
        <w:t>t</w:t>
      </w:r>
      <w:r w:rsidR="00BF00A4">
        <w:rPr>
          <w:rFonts w:ascii="Arial" w:hAnsi="Arial" w:cs="Arial"/>
        </w:rPr>
        <w:t>his pr</w:t>
      </w:r>
      <w:r w:rsidR="00AB1EBE">
        <w:rPr>
          <w:rFonts w:ascii="Arial" w:hAnsi="Arial" w:cs="Arial"/>
        </w:rPr>
        <w:t>oposit</w:t>
      </w:r>
      <w:r w:rsidR="00BF00A4">
        <w:rPr>
          <w:rFonts w:ascii="Arial" w:hAnsi="Arial" w:cs="Arial"/>
        </w:rPr>
        <w:t>ion</w:t>
      </w:r>
      <w:r w:rsidR="00775F24">
        <w:rPr>
          <w:rFonts w:ascii="Arial" w:hAnsi="Arial" w:cs="Arial"/>
        </w:rPr>
        <w:t xml:space="preserve"> nor could we find any</w:t>
      </w:r>
      <w:r w:rsidR="001D20F2">
        <w:rPr>
          <w:rFonts w:ascii="Arial" w:hAnsi="Arial" w:cs="Arial"/>
        </w:rPr>
        <w:t>.</w:t>
      </w:r>
    </w:p>
    <w:p w:rsidR="003A0B75" w:rsidRPr="001D20F2" w:rsidRDefault="003A0B75" w:rsidP="001D20F2">
      <w:pPr>
        <w:spacing w:line="480" w:lineRule="auto"/>
      </w:pPr>
    </w:p>
    <w:p w:rsidR="004A5541" w:rsidRPr="003A0B75" w:rsidRDefault="00AB1EBE" w:rsidP="001D20F2">
      <w:pPr>
        <w:pStyle w:val="BodyText"/>
        <w:numPr>
          <w:ilvl w:val="0"/>
          <w:numId w:val="10"/>
        </w:numPr>
        <w:ind w:left="0" w:firstLine="0"/>
        <w:rPr>
          <w:rFonts w:ascii="Arial" w:hAnsi="Arial" w:cs="Arial"/>
        </w:rPr>
      </w:pPr>
      <w:r>
        <w:rPr>
          <w:rFonts w:ascii="Arial" w:hAnsi="Arial" w:cs="Arial"/>
        </w:rPr>
        <w:t xml:space="preserve">The submission </w:t>
      </w:r>
      <w:r w:rsidR="005D0524" w:rsidRPr="003A0B75">
        <w:rPr>
          <w:rFonts w:ascii="Arial" w:hAnsi="Arial" w:cs="Arial"/>
        </w:rPr>
        <w:t xml:space="preserve">by counsel for the appellant that </w:t>
      </w:r>
      <w:r w:rsidR="004A5541" w:rsidRPr="003A0B75">
        <w:rPr>
          <w:rFonts w:ascii="Arial" w:hAnsi="Arial" w:cs="Arial"/>
        </w:rPr>
        <w:t xml:space="preserve">the matter was heard by the </w:t>
      </w:r>
      <w:r w:rsidR="005D0524" w:rsidRPr="003A0B75">
        <w:rPr>
          <w:rFonts w:ascii="Arial" w:hAnsi="Arial" w:cs="Arial"/>
        </w:rPr>
        <w:t xml:space="preserve">High </w:t>
      </w:r>
      <w:r w:rsidR="006B7765" w:rsidRPr="003A0B75">
        <w:rPr>
          <w:rFonts w:ascii="Arial" w:hAnsi="Arial" w:cs="Arial"/>
        </w:rPr>
        <w:t>C</w:t>
      </w:r>
      <w:r w:rsidR="009C06FB" w:rsidRPr="003A0B75">
        <w:rPr>
          <w:rFonts w:ascii="Arial" w:hAnsi="Arial" w:cs="Arial"/>
        </w:rPr>
        <w:t xml:space="preserve">ourt </w:t>
      </w:r>
      <w:r w:rsidR="00EB6561">
        <w:rPr>
          <w:rFonts w:ascii="Arial" w:hAnsi="Arial" w:cs="Arial"/>
        </w:rPr>
        <w:t xml:space="preserve">sitting </w:t>
      </w:r>
      <w:r w:rsidR="009C06FB" w:rsidRPr="003A0B75">
        <w:rPr>
          <w:rFonts w:ascii="Arial" w:hAnsi="Arial" w:cs="Arial"/>
        </w:rPr>
        <w:t xml:space="preserve">as a court of </w:t>
      </w:r>
      <w:r w:rsidR="006B7765" w:rsidRPr="003A0B75">
        <w:rPr>
          <w:rFonts w:ascii="Arial" w:hAnsi="Arial" w:cs="Arial"/>
        </w:rPr>
        <w:t>first instance</w:t>
      </w:r>
      <w:r>
        <w:rPr>
          <w:rFonts w:ascii="Arial" w:hAnsi="Arial" w:cs="Arial"/>
        </w:rPr>
        <w:t xml:space="preserve"> cannot be accepted</w:t>
      </w:r>
      <w:r w:rsidR="006B7765" w:rsidRPr="003A0B75">
        <w:rPr>
          <w:rFonts w:ascii="Arial" w:hAnsi="Arial" w:cs="Arial"/>
        </w:rPr>
        <w:t xml:space="preserve">. </w:t>
      </w:r>
      <w:r w:rsidR="00402A92">
        <w:rPr>
          <w:rFonts w:ascii="Arial" w:hAnsi="Arial" w:cs="Arial"/>
        </w:rPr>
        <w:t xml:space="preserve">Clearly, when the High Court decided the application for condonation it was seized with the appeal. The application for condonation was an interlocutory matter arising from the appeal </w:t>
      </w:r>
      <w:r w:rsidR="006B7765" w:rsidRPr="003A0B75">
        <w:rPr>
          <w:rFonts w:ascii="Arial" w:hAnsi="Arial" w:cs="Arial"/>
        </w:rPr>
        <w:t xml:space="preserve">from the </w:t>
      </w:r>
      <w:r w:rsidR="00BF00A4">
        <w:rPr>
          <w:rFonts w:ascii="Arial" w:hAnsi="Arial" w:cs="Arial"/>
        </w:rPr>
        <w:t>m</w:t>
      </w:r>
      <w:r w:rsidR="004A5541" w:rsidRPr="003A0B75">
        <w:rPr>
          <w:rFonts w:ascii="Arial" w:hAnsi="Arial" w:cs="Arial"/>
        </w:rPr>
        <w:t>agistrate</w:t>
      </w:r>
      <w:r w:rsidR="008308AA">
        <w:rPr>
          <w:rFonts w:ascii="Arial" w:hAnsi="Arial" w:cs="Arial"/>
        </w:rPr>
        <w:t>’</w:t>
      </w:r>
      <w:r w:rsidR="004A5541" w:rsidRPr="003A0B75">
        <w:rPr>
          <w:rFonts w:ascii="Arial" w:hAnsi="Arial" w:cs="Arial"/>
        </w:rPr>
        <w:t xml:space="preserve">s </w:t>
      </w:r>
      <w:r w:rsidR="00BF00A4">
        <w:rPr>
          <w:rFonts w:ascii="Arial" w:hAnsi="Arial" w:cs="Arial"/>
        </w:rPr>
        <w:t>c</w:t>
      </w:r>
      <w:r w:rsidR="004A5541" w:rsidRPr="003A0B75">
        <w:rPr>
          <w:rFonts w:ascii="Arial" w:hAnsi="Arial" w:cs="Arial"/>
        </w:rPr>
        <w:t>ourt</w:t>
      </w:r>
      <w:r w:rsidR="00402A92">
        <w:rPr>
          <w:rFonts w:ascii="Arial" w:hAnsi="Arial" w:cs="Arial"/>
        </w:rPr>
        <w:t xml:space="preserve">. </w:t>
      </w:r>
      <w:r w:rsidR="008308AA">
        <w:rPr>
          <w:rFonts w:ascii="Arial" w:hAnsi="Arial" w:cs="Arial"/>
        </w:rPr>
        <w:t>Indeed, in delivering his ruling on the application for condonation the presiding judge prefaced the ruling by stating: ‘This is a civil appeal which was set down at the instance of the appellant</w:t>
      </w:r>
      <w:r w:rsidR="000E3BD6">
        <w:rPr>
          <w:rFonts w:ascii="Arial" w:hAnsi="Arial" w:cs="Arial"/>
        </w:rPr>
        <w:t>. . . .</w:t>
      </w:r>
      <w:r w:rsidR="008308AA">
        <w:rPr>
          <w:rFonts w:ascii="Arial" w:hAnsi="Arial" w:cs="Arial"/>
        </w:rPr>
        <w:t>’</w:t>
      </w:r>
      <w:r w:rsidR="001D20F2">
        <w:rPr>
          <w:rFonts w:ascii="Arial" w:hAnsi="Arial" w:cs="Arial"/>
        </w:rPr>
        <w:t>.</w:t>
      </w:r>
      <w:r w:rsidR="008308AA">
        <w:rPr>
          <w:rFonts w:ascii="Arial" w:hAnsi="Arial" w:cs="Arial"/>
        </w:rPr>
        <w:t xml:space="preserve"> T</w:t>
      </w:r>
      <w:r w:rsidR="006B7765" w:rsidRPr="003A0B75">
        <w:rPr>
          <w:rFonts w:ascii="Arial" w:hAnsi="Arial" w:cs="Arial"/>
        </w:rPr>
        <w:t xml:space="preserve">he court </w:t>
      </w:r>
      <w:r w:rsidR="006B7765" w:rsidRPr="003A0B75">
        <w:rPr>
          <w:rFonts w:ascii="Arial" w:hAnsi="Arial" w:cs="Arial"/>
          <w:i/>
        </w:rPr>
        <w:t xml:space="preserve">a quo </w:t>
      </w:r>
      <w:r w:rsidR="006B7765" w:rsidRPr="003A0B75">
        <w:rPr>
          <w:rFonts w:ascii="Arial" w:hAnsi="Arial" w:cs="Arial"/>
        </w:rPr>
        <w:t xml:space="preserve">was </w:t>
      </w:r>
      <w:r w:rsidR="008308AA">
        <w:rPr>
          <w:rFonts w:ascii="Arial" w:hAnsi="Arial" w:cs="Arial"/>
        </w:rPr>
        <w:t xml:space="preserve">evidently </w:t>
      </w:r>
      <w:r w:rsidR="006B7765" w:rsidRPr="003A0B75">
        <w:rPr>
          <w:rFonts w:ascii="Arial" w:hAnsi="Arial" w:cs="Arial"/>
        </w:rPr>
        <w:t xml:space="preserve">sitting </w:t>
      </w:r>
      <w:r w:rsidR="00D92232" w:rsidRPr="003A0B75">
        <w:rPr>
          <w:rFonts w:ascii="Arial" w:hAnsi="Arial" w:cs="Arial"/>
        </w:rPr>
        <w:t>as a court of appeal</w:t>
      </w:r>
      <w:r w:rsidR="00DA2652">
        <w:rPr>
          <w:rFonts w:ascii="Arial" w:hAnsi="Arial" w:cs="Arial"/>
        </w:rPr>
        <w:t xml:space="preserve"> </w:t>
      </w:r>
      <w:r w:rsidR="00EB6561">
        <w:rPr>
          <w:rFonts w:ascii="Arial" w:hAnsi="Arial" w:cs="Arial"/>
        </w:rPr>
        <w:t xml:space="preserve">and </w:t>
      </w:r>
      <w:r w:rsidR="00DA2652">
        <w:rPr>
          <w:rFonts w:ascii="Arial" w:hAnsi="Arial" w:cs="Arial"/>
        </w:rPr>
        <w:t xml:space="preserve">not as </w:t>
      </w:r>
      <w:r w:rsidR="00C7349D">
        <w:rPr>
          <w:rFonts w:ascii="Arial" w:hAnsi="Arial" w:cs="Arial"/>
        </w:rPr>
        <w:t xml:space="preserve">a </w:t>
      </w:r>
      <w:r w:rsidR="00DA2652">
        <w:rPr>
          <w:rFonts w:ascii="Arial" w:hAnsi="Arial" w:cs="Arial"/>
        </w:rPr>
        <w:t>court of first instance</w:t>
      </w:r>
      <w:r w:rsidR="00D92232" w:rsidRPr="003A0B75">
        <w:rPr>
          <w:rFonts w:ascii="Arial" w:hAnsi="Arial" w:cs="Arial"/>
        </w:rPr>
        <w:t xml:space="preserve">. </w:t>
      </w:r>
      <w:r w:rsidR="003A0B75" w:rsidRPr="003A0B75">
        <w:rPr>
          <w:rFonts w:ascii="Arial" w:hAnsi="Arial" w:cs="Arial"/>
        </w:rPr>
        <w:t>It follows</w:t>
      </w:r>
      <w:r w:rsidR="00DA2652">
        <w:rPr>
          <w:rFonts w:ascii="Arial" w:hAnsi="Arial" w:cs="Arial"/>
        </w:rPr>
        <w:t xml:space="preserve"> therefore</w:t>
      </w:r>
      <w:r w:rsidR="003A0B75" w:rsidRPr="003A0B75">
        <w:rPr>
          <w:rFonts w:ascii="Arial" w:hAnsi="Arial" w:cs="Arial"/>
        </w:rPr>
        <w:t xml:space="preserve"> that </w:t>
      </w:r>
      <w:r w:rsidR="00E662F3" w:rsidRPr="003A0B75">
        <w:rPr>
          <w:rFonts w:ascii="Arial" w:hAnsi="Arial" w:cs="Arial"/>
        </w:rPr>
        <w:t>s 18(2)(</w:t>
      </w:r>
      <w:r w:rsidR="00E662F3" w:rsidRPr="00402A92">
        <w:rPr>
          <w:rFonts w:ascii="Arial" w:hAnsi="Arial" w:cs="Arial"/>
          <w:i/>
        </w:rPr>
        <w:t>a</w:t>
      </w:r>
      <w:r w:rsidR="00E662F3" w:rsidRPr="003A0B75">
        <w:rPr>
          <w:rFonts w:ascii="Arial" w:hAnsi="Arial" w:cs="Arial"/>
        </w:rPr>
        <w:t xml:space="preserve">) does not </w:t>
      </w:r>
      <w:r w:rsidR="00402A92">
        <w:rPr>
          <w:rFonts w:ascii="Arial" w:hAnsi="Arial" w:cs="Arial"/>
        </w:rPr>
        <w:t xml:space="preserve">find </w:t>
      </w:r>
      <w:r w:rsidR="00E662F3" w:rsidRPr="003A0B75">
        <w:rPr>
          <w:rFonts w:ascii="Arial" w:hAnsi="Arial" w:cs="Arial"/>
        </w:rPr>
        <w:t>appl</w:t>
      </w:r>
      <w:r w:rsidR="00402A92">
        <w:rPr>
          <w:rFonts w:ascii="Arial" w:hAnsi="Arial" w:cs="Arial"/>
        </w:rPr>
        <w:t xml:space="preserve">ication in </w:t>
      </w:r>
      <w:r w:rsidR="003A0B75">
        <w:rPr>
          <w:rFonts w:ascii="Arial" w:hAnsi="Arial" w:cs="Arial"/>
        </w:rPr>
        <w:t>the instan</w:t>
      </w:r>
      <w:r w:rsidR="005E3978">
        <w:rPr>
          <w:rFonts w:ascii="Arial" w:hAnsi="Arial" w:cs="Arial"/>
        </w:rPr>
        <w:t>t</w:t>
      </w:r>
      <w:r w:rsidR="003A0B75">
        <w:rPr>
          <w:rFonts w:ascii="Arial" w:hAnsi="Arial" w:cs="Arial"/>
        </w:rPr>
        <w:t xml:space="preserve"> matter</w:t>
      </w:r>
      <w:r w:rsidR="00E662F3" w:rsidRPr="003A0B75">
        <w:rPr>
          <w:rFonts w:ascii="Arial" w:hAnsi="Arial" w:cs="Arial"/>
        </w:rPr>
        <w:t xml:space="preserve">. </w:t>
      </w:r>
    </w:p>
    <w:p w:rsidR="00D92232" w:rsidRPr="001D20F2" w:rsidRDefault="00D92232" w:rsidP="001D20F2">
      <w:pPr>
        <w:spacing w:line="480" w:lineRule="auto"/>
      </w:pPr>
    </w:p>
    <w:p w:rsidR="006B0BAA" w:rsidRDefault="00402A92" w:rsidP="001D20F2">
      <w:pPr>
        <w:pStyle w:val="BodyText"/>
        <w:numPr>
          <w:ilvl w:val="0"/>
          <w:numId w:val="10"/>
        </w:numPr>
        <w:ind w:left="0" w:firstLine="0"/>
        <w:rPr>
          <w:rFonts w:ascii="Arial" w:hAnsi="Arial" w:cs="Arial"/>
        </w:rPr>
      </w:pPr>
      <w:r>
        <w:rPr>
          <w:rFonts w:ascii="Arial" w:hAnsi="Arial" w:cs="Arial"/>
        </w:rPr>
        <w:t xml:space="preserve">As to the </w:t>
      </w:r>
      <w:r w:rsidR="005D0524" w:rsidRPr="00BB2582">
        <w:rPr>
          <w:rFonts w:ascii="Arial" w:hAnsi="Arial" w:cs="Arial"/>
          <w:i/>
        </w:rPr>
        <w:t>Nakale</w:t>
      </w:r>
      <w:r>
        <w:rPr>
          <w:rFonts w:ascii="Arial" w:hAnsi="Arial" w:cs="Arial"/>
          <w:i/>
        </w:rPr>
        <w:t xml:space="preserve"> </w:t>
      </w:r>
      <w:r w:rsidR="000E3BD6">
        <w:rPr>
          <w:rFonts w:ascii="Arial" w:hAnsi="Arial" w:cs="Arial"/>
        </w:rPr>
        <w:t>judgment</w:t>
      </w:r>
      <w:r w:rsidR="003A0B75" w:rsidRPr="00BB2582">
        <w:rPr>
          <w:rFonts w:ascii="Arial" w:hAnsi="Arial" w:cs="Arial"/>
        </w:rPr>
        <w:t xml:space="preserve">, </w:t>
      </w:r>
      <w:r w:rsidR="005E3978">
        <w:rPr>
          <w:rFonts w:ascii="Arial" w:hAnsi="Arial" w:cs="Arial"/>
        </w:rPr>
        <w:t>as noted above</w:t>
      </w:r>
      <w:r w:rsidR="009A1018">
        <w:rPr>
          <w:rFonts w:ascii="Arial" w:hAnsi="Arial" w:cs="Arial"/>
        </w:rPr>
        <w:t>,</w:t>
      </w:r>
      <w:r w:rsidR="005E3978">
        <w:rPr>
          <w:rFonts w:ascii="Arial" w:hAnsi="Arial" w:cs="Arial"/>
        </w:rPr>
        <w:t xml:space="preserve"> </w:t>
      </w:r>
      <w:r w:rsidR="003A0B75" w:rsidRPr="00BB2582">
        <w:rPr>
          <w:rFonts w:ascii="Arial" w:hAnsi="Arial" w:cs="Arial"/>
        </w:rPr>
        <w:t xml:space="preserve">that case </w:t>
      </w:r>
      <w:r w:rsidR="00EB6561">
        <w:rPr>
          <w:rFonts w:ascii="Arial" w:hAnsi="Arial" w:cs="Arial"/>
        </w:rPr>
        <w:t xml:space="preserve">was a criminal appeal initially from the </w:t>
      </w:r>
      <w:r w:rsidR="000E3BD6">
        <w:rPr>
          <w:rFonts w:ascii="Arial" w:hAnsi="Arial" w:cs="Arial"/>
        </w:rPr>
        <w:t>r</w:t>
      </w:r>
      <w:r w:rsidR="006826BF">
        <w:rPr>
          <w:rFonts w:ascii="Arial" w:hAnsi="Arial" w:cs="Arial"/>
        </w:rPr>
        <w:t xml:space="preserve">egional </w:t>
      </w:r>
      <w:r w:rsidR="000E3BD6">
        <w:rPr>
          <w:rFonts w:ascii="Arial" w:hAnsi="Arial" w:cs="Arial"/>
        </w:rPr>
        <w:t>c</w:t>
      </w:r>
      <w:r w:rsidR="006826BF">
        <w:rPr>
          <w:rFonts w:ascii="Arial" w:hAnsi="Arial" w:cs="Arial"/>
        </w:rPr>
        <w:t xml:space="preserve">ourt </w:t>
      </w:r>
      <w:r w:rsidR="00EB6561">
        <w:rPr>
          <w:rFonts w:ascii="Arial" w:hAnsi="Arial" w:cs="Arial"/>
        </w:rPr>
        <w:t>to the High Court</w:t>
      </w:r>
      <w:r w:rsidR="005D0524" w:rsidRPr="00BB2582">
        <w:rPr>
          <w:rFonts w:ascii="Arial" w:hAnsi="Arial" w:cs="Arial"/>
        </w:rPr>
        <w:t>. The</w:t>
      </w:r>
      <w:r w:rsidR="00EB6561">
        <w:rPr>
          <w:rFonts w:ascii="Arial" w:hAnsi="Arial" w:cs="Arial"/>
        </w:rPr>
        <w:t xml:space="preserve"> High Court </w:t>
      </w:r>
      <w:r w:rsidR="006826BF">
        <w:rPr>
          <w:rFonts w:ascii="Arial" w:hAnsi="Arial" w:cs="Arial"/>
        </w:rPr>
        <w:t xml:space="preserve">refused </w:t>
      </w:r>
      <w:r w:rsidR="00DE7A30">
        <w:rPr>
          <w:rFonts w:ascii="Arial" w:hAnsi="Arial" w:cs="Arial"/>
        </w:rPr>
        <w:t xml:space="preserve">Mr Nakale’s </w:t>
      </w:r>
      <w:r w:rsidR="006826BF">
        <w:rPr>
          <w:rFonts w:ascii="Arial" w:hAnsi="Arial" w:cs="Arial"/>
        </w:rPr>
        <w:t>application for condonation for the late filing of the notice of appeal without dealing with the merits.</w:t>
      </w:r>
      <w:r w:rsidR="005D0524" w:rsidRPr="00BB2582">
        <w:rPr>
          <w:rFonts w:ascii="Arial" w:hAnsi="Arial" w:cs="Arial"/>
        </w:rPr>
        <w:t xml:space="preserve"> </w:t>
      </w:r>
      <w:r w:rsidR="006826BF">
        <w:rPr>
          <w:rFonts w:ascii="Arial" w:hAnsi="Arial" w:cs="Arial"/>
        </w:rPr>
        <w:t xml:space="preserve">On appeal to the Supreme Court, this </w:t>
      </w:r>
      <w:r w:rsidR="000E3BD6">
        <w:rPr>
          <w:rFonts w:ascii="Arial" w:hAnsi="Arial" w:cs="Arial"/>
        </w:rPr>
        <w:t>c</w:t>
      </w:r>
      <w:r w:rsidR="006826BF">
        <w:rPr>
          <w:rFonts w:ascii="Arial" w:hAnsi="Arial" w:cs="Arial"/>
        </w:rPr>
        <w:t xml:space="preserve">ourt held that where, on appeal noted to it, the High Court did not consider the merits of the appeal, other than in the context of </w:t>
      </w:r>
      <w:r w:rsidR="00A55DA2">
        <w:rPr>
          <w:rFonts w:ascii="Arial" w:hAnsi="Arial" w:cs="Arial"/>
        </w:rPr>
        <w:t xml:space="preserve">the </w:t>
      </w:r>
      <w:r w:rsidR="006826BF">
        <w:rPr>
          <w:rFonts w:ascii="Arial" w:hAnsi="Arial" w:cs="Arial"/>
        </w:rPr>
        <w:t xml:space="preserve">application </w:t>
      </w:r>
      <w:r w:rsidR="00DE7A30" w:rsidRPr="00DE7A30">
        <w:rPr>
          <w:rFonts w:ascii="Arial" w:hAnsi="Arial" w:cs="Arial"/>
        </w:rPr>
        <w:t>for condonation, but only decide</w:t>
      </w:r>
      <w:r w:rsidR="00D35900">
        <w:rPr>
          <w:rFonts w:ascii="Arial" w:hAnsi="Arial" w:cs="Arial"/>
        </w:rPr>
        <w:t>d</w:t>
      </w:r>
      <w:r w:rsidR="00DE7A30" w:rsidRPr="00DE7A30">
        <w:rPr>
          <w:rFonts w:ascii="Arial" w:hAnsi="Arial" w:cs="Arial"/>
        </w:rPr>
        <w:t xml:space="preserve"> and refused the application for condonation for the late noting of the appeal, an appellant was </w:t>
      </w:r>
      <w:r w:rsidR="00DE7A30" w:rsidRPr="00DE7A30">
        <w:rPr>
          <w:rFonts w:ascii="Arial" w:hAnsi="Arial" w:cs="Arial"/>
        </w:rPr>
        <w:lastRenderedPageBreak/>
        <w:t>entitled to appeal to the Supreme Court against the decision refusing condonation, as of right.</w:t>
      </w:r>
      <w:r w:rsidR="006826BF">
        <w:rPr>
          <w:rFonts w:ascii="Arial" w:hAnsi="Arial" w:cs="Arial"/>
        </w:rPr>
        <w:t xml:space="preserve"> </w:t>
      </w:r>
      <w:r w:rsidR="000E3BD6">
        <w:rPr>
          <w:rFonts w:ascii="Arial" w:hAnsi="Arial" w:cs="Arial"/>
        </w:rPr>
        <w:t>This c</w:t>
      </w:r>
      <w:r w:rsidR="006B0BAA">
        <w:rPr>
          <w:rFonts w:ascii="Arial" w:hAnsi="Arial" w:cs="Arial"/>
        </w:rPr>
        <w:t>ourt went on to observe at para 6 as follows:</w:t>
      </w:r>
    </w:p>
    <w:p w:rsidR="001D20F2" w:rsidRDefault="001D20F2" w:rsidP="001D20F2">
      <w:pPr>
        <w:pStyle w:val="ListParagraph"/>
        <w:rPr>
          <w:rFonts w:ascii="Arial" w:hAnsi="Arial" w:cs="Arial"/>
        </w:rPr>
      </w:pPr>
    </w:p>
    <w:p w:rsidR="006B0BAA" w:rsidRPr="006B0BAA" w:rsidRDefault="006B0BAA" w:rsidP="001D20F2">
      <w:pPr>
        <w:pStyle w:val="BodyText"/>
        <w:spacing w:line="360" w:lineRule="auto"/>
        <w:ind w:left="720"/>
        <w:rPr>
          <w:rFonts w:ascii="Arial" w:hAnsi="Arial" w:cs="Arial"/>
          <w:sz w:val="22"/>
          <w:szCs w:val="22"/>
        </w:rPr>
      </w:pPr>
      <w:r w:rsidRPr="006B0BAA">
        <w:rPr>
          <w:rFonts w:ascii="Arial" w:hAnsi="Arial" w:cs="Arial"/>
          <w:sz w:val="22"/>
          <w:szCs w:val="22"/>
        </w:rPr>
        <w:t xml:space="preserve">‘If the Supreme Court upholds the appeal against the refusal of the application for condonation, the matter has to be remitted to the High Court for the merits of the appeal to be heard and decided in that court. This is so because the Supreme Court does not have the power to hear the appeal on the merits, there being no provision in our law for an appeal directly to the Supreme Court against a conviction by a magistrate. If, on the other hand, the Supreme Court dismisses the appeal against the refusal of </w:t>
      </w:r>
      <w:r w:rsidR="00E01F7D" w:rsidRPr="006B0BAA">
        <w:rPr>
          <w:rFonts w:ascii="Arial" w:hAnsi="Arial" w:cs="Arial"/>
          <w:sz w:val="22"/>
          <w:szCs w:val="22"/>
        </w:rPr>
        <w:t>condonation</w:t>
      </w:r>
      <w:r w:rsidR="00E01F7D">
        <w:rPr>
          <w:rFonts w:ascii="Arial" w:hAnsi="Arial" w:cs="Arial"/>
          <w:sz w:val="22"/>
          <w:szCs w:val="22"/>
        </w:rPr>
        <w:t xml:space="preserve"> that</w:t>
      </w:r>
      <w:r w:rsidRPr="006B0BAA">
        <w:rPr>
          <w:rFonts w:ascii="Arial" w:hAnsi="Arial" w:cs="Arial"/>
          <w:sz w:val="22"/>
          <w:szCs w:val="22"/>
        </w:rPr>
        <w:t xml:space="preserve"> is the end of the matter.’</w:t>
      </w:r>
    </w:p>
    <w:p w:rsidR="006B0BAA" w:rsidRPr="001D20F2" w:rsidRDefault="006B0BAA" w:rsidP="001D20F2">
      <w:pPr>
        <w:spacing w:line="480" w:lineRule="auto"/>
      </w:pPr>
    </w:p>
    <w:p w:rsidR="008F01A0" w:rsidRPr="00BB2582" w:rsidRDefault="00DE7A30" w:rsidP="001D20F2">
      <w:pPr>
        <w:pStyle w:val="BodyText"/>
        <w:numPr>
          <w:ilvl w:val="0"/>
          <w:numId w:val="10"/>
        </w:numPr>
        <w:ind w:left="0" w:firstLine="0"/>
        <w:rPr>
          <w:rFonts w:ascii="Arial" w:hAnsi="Arial" w:cs="Arial"/>
        </w:rPr>
      </w:pPr>
      <w:r>
        <w:rPr>
          <w:rFonts w:ascii="Arial" w:hAnsi="Arial" w:cs="Arial"/>
        </w:rPr>
        <w:t xml:space="preserve">The </w:t>
      </w:r>
      <w:r w:rsidR="005D0524" w:rsidRPr="00BB2582">
        <w:rPr>
          <w:rFonts w:ascii="Arial" w:hAnsi="Arial" w:cs="Arial"/>
          <w:i/>
        </w:rPr>
        <w:t>Nakale</w:t>
      </w:r>
      <w:r w:rsidR="005D0524" w:rsidRPr="00BB2582">
        <w:rPr>
          <w:rFonts w:ascii="Arial" w:hAnsi="Arial" w:cs="Arial"/>
        </w:rPr>
        <w:t xml:space="preserve"> precedent is </w:t>
      </w:r>
      <w:r w:rsidR="006B0BAA">
        <w:rPr>
          <w:rFonts w:ascii="Arial" w:hAnsi="Arial" w:cs="Arial"/>
        </w:rPr>
        <w:t xml:space="preserve">confined </w:t>
      </w:r>
      <w:r w:rsidR="005D0524" w:rsidRPr="00BB2582">
        <w:rPr>
          <w:rFonts w:ascii="Arial" w:hAnsi="Arial" w:cs="Arial"/>
        </w:rPr>
        <w:t xml:space="preserve">to criminal </w:t>
      </w:r>
      <w:r>
        <w:rPr>
          <w:rFonts w:ascii="Arial" w:hAnsi="Arial" w:cs="Arial"/>
        </w:rPr>
        <w:t xml:space="preserve">appeals with facts falling within the principles enunciated in </w:t>
      </w:r>
      <w:r w:rsidR="006B0BAA">
        <w:rPr>
          <w:rFonts w:ascii="Arial" w:hAnsi="Arial" w:cs="Arial"/>
        </w:rPr>
        <w:t>i</w:t>
      </w:r>
      <w:r>
        <w:rPr>
          <w:rFonts w:ascii="Arial" w:hAnsi="Arial" w:cs="Arial"/>
        </w:rPr>
        <w:t>t</w:t>
      </w:r>
      <w:r w:rsidR="005D0524" w:rsidRPr="00BB2582">
        <w:rPr>
          <w:rFonts w:ascii="Arial" w:hAnsi="Arial" w:cs="Arial"/>
        </w:rPr>
        <w:t xml:space="preserve">. </w:t>
      </w:r>
      <w:r w:rsidR="006B0BAA">
        <w:rPr>
          <w:rFonts w:ascii="Arial" w:hAnsi="Arial" w:cs="Arial"/>
        </w:rPr>
        <w:t>Those principles were derived from a lacuna in our law referred to in</w:t>
      </w:r>
      <w:r w:rsidR="00B51928">
        <w:rPr>
          <w:rFonts w:ascii="Arial" w:hAnsi="Arial" w:cs="Arial"/>
        </w:rPr>
        <w:t xml:space="preserve"> the headnote </w:t>
      </w:r>
      <w:r w:rsidR="005E3978">
        <w:rPr>
          <w:rFonts w:ascii="Arial" w:hAnsi="Arial" w:cs="Arial"/>
        </w:rPr>
        <w:t>to</w:t>
      </w:r>
      <w:r w:rsidR="00B51928">
        <w:rPr>
          <w:rFonts w:ascii="Arial" w:hAnsi="Arial" w:cs="Arial"/>
        </w:rPr>
        <w:t xml:space="preserve"> </w:t>
      </w:r>
      <w:r w:rsidR="006B0BAA" w:rsidRPr="006B0BAA">
        <w:rPr>
          <w:rFonts w:ascii="Arial" w:hAnsi="Arial" w:cs="Arial"/>
          <w:i/>
        </w:rPr>
        <w:t xml:space="preserve">S v </w:t>
      </w:r>
      <w:r w:rsidR="006B0BAA" w:rsidRPr="00C7349D">
        <w:rPr>
          <w:rFonts w:ascii="Arial" w:hAnsi="Arial" w:cs="Arial"/>
          <w:i/>
        </w:rPr>
        <w:t>Absalom</w:t>
      </w:r>
      <w:r w:rsidR="000E3BD6">
        <w:rPr>
          <w:rFonts w:ascii="Arial" w:hAnsi="Arial" w:cs="Arial"/>
        </w:rPr>
        <w:t xml:space="preserve"> 1989 (3) SA 154 (A)</w:t>
      </w:r>
      <w:r w:rsidR="00B51928">
        <w:rPr>
          <w:rFonts w:ascii="Arial" w:hAnsi="Arial" w:cs="Arial"/>
        </w:rPr>
        <w:t>, a decision of the Appellate Division of the Supreme Court of South Africa</w:t>
      </w:r>
      <w:r w:rsidR="00A55DA2">
        <w:rPr>
          <w:rFonts w:ascii="Arial" w:hAnsi="Arial" w:cs="Arial"/>
        </w:rPr>
        <w:t xml:space="preserve"> - </w:t>
      </w:r>
      <w:r w:rsidR="00B51928">
        <w:rPr>
          <w:rFonts w:ascii="Arial" w:hAnsi="Arial" w:cs="Arial"/>
        </w:rPr>
        <w:t xml:space="preserve">concerning a </w:t>
      </w:r>
      <w:r w:rsidR="00FF2B67">
        <w:rPr>
          <w:rFonts w:ascii="Arial" w:hAnsi="Arial" w:cs="Arial"/>
        </w:rPr>
        <w:t xml:space="preserve">pre-Independence </w:t>
      </w:r>
      <w:r w:rsidR="00B51928">
        <w:rPr>
          <w:rFonts w:ascii="Arial" w:hAnsi="Arial" w:cs="Arial"/>
        </w:rPr>
        <w:t>case that originated from this jurisdiction</w:t>
      </w:r>
      <w:r w:rsidR="00A55DA2">
        <w:rPr>
          <w:rFonts w:ascii="Arial" w:hAnsi="Arial" w:cs="Arial"/>
        </w:rPr>
        <w:t xml:space="preserve"> - where it w</w:t>
      </w:r>
      <w:r w:rsidR="00B51928">
        <w:rPr>
          <w:rFonts w:ascii="Arial" w:hAnsi="Arial" w:cs="Arial"/>
        </w:rPr>
        <w:t xml:space="preserve">as </w:t>
      </w:r>
      <w:r w:rsidR="00A55DA2">
        <w:rPr>
          <w:rFonts w:ascii="Arial" w:hAnsi="Arial" w:cs="Arial"/>
        </w:rPr>
        <w:t>note</w:t>
      </w:r>
      <w:r w:rsidR="005E3978">
        <w:rPr>
          <w:rFonts w:ascii="Arial" w:hAnsi="Arial" w:cs="Arial"/>
        </w:rPr>
        <w:t>d</w:t>
      </w:r>
      <w:r w:rsidR="00B51928">
        <w:rPr>
          <w:rFonts w:ascii="Arial" w:hAnsi="Arial" w:cs="Arial"/>
        </w:rPr>
        <w:t xml:space="preserve">: </w:t>
      </w:r>
    </w:p>
    <w:p w:rsidR="00C7349D" w:rsidRDefault="00C7349D" w:rsidP="001D20F2">
      <w:pPr>
        <w:pStyle w:val="BodyText"/>
        <w:ind w:left="720"/>
        <w:rPr>
          <w:rFonts w:ascii="Arial" w:eastAsiaTheme="minorHAnsi" w:hAnsi="Arial" w:cs="Arial"/>
          <w:sz w:val="22"/>
          <w:szCs w:val="22"/>
        </w:rPr>
      </w:pPr>
    </w:p>
    <w:p w:rsidR="00883F93" w:rsidRPr="00A55DA2" w:rsidRDefault="00A82DA4" w:rsidP="001D20F2">
      <w:pPr>
        <w:pStyle w:val="BodyText"/>
        <w:spacing w:line="360" w:lineRule="auto"/>
        <w:ind w:left="720"/>
        <w:rPr>
          <w:rFonts w:ascii="Arial" w:eastAsiaTheme="minorHAnsi" w:hAnsi="Arial" w:cs="Arial"/>
          <w:sz w:val="22"/>
          <w:szCs w:val="22"/>
        </w:rPr>
      </w:pPr>
      <w:r>
        <w:rPr>
          <w:rFonts w:ascii="Arial" w:eastAsiaTheme="minorHAnsi" w:hAnsi="Arial" w:cs="Arial"/>
          <w:sz w:val="22"/>
          <w:szCs w:val="22"/>
        </w:rPr>
        <w:t>‘</w:t>
      </w:r>
      <w:r w:rsidR="00883F93" w:rsidRPr="00BB2582">
        <w:rPr>
          <w:rFonts w:ascii="Arial" w:eastAsiaTheme="minorHAnsi" w:hAnsi="Arial" w:cs="Arial"/>
          <w:sz w:val="22"/>
          <w:szCs w:val="22"/>
        </w:rPr>
        <w:t xml:space="preserve">An application for condonation for the late noting of a criminal appeal from the magistrate's court </w:t>
      </w:r>
      <w:r w:rsidR="000E3BD6">
        <w:rPr>
          <w:rFonts w:ascii="Arial" w:eastAsiaTheme="minorHAnsi" w:hAnsi="Arial" w:cs="Arial"/>
          <w:i/>
          <w:sz w:val="22"/>
          <w:szCs w:val="22"/>
        </w:rPr>
        <w:t>is not a "</w:t>
      </w:r>
      <w:r w:rsidR="00883F93" w:rsidRPr="00A55DA2">
        <w:rPr>
          <w:rFonts w:ascii="Arial" w:eastAsiaTheme="minorHAnsi" w:hAnsi="Arial" w:cs="Arial"/>
          <w:i/>
          <w:sz w:val="22"/>
          <w:szCs w:val="22"/>
        </w:rPr>
        <w:t>civil proceedings</w:t>
      </w:r>
      <w:r w:rsidR="000E3BD6">
        <w:rPr>
          <w:rFonts w:ascii="Arial" w:eastAsiaTheme="minorHAnsi" w:hAnsi="Arial" w:cs="Arial"/>
          <w:i/>
          <w:sz w:val="22"/>
          <w:szCs w:val="22"/>
        </w:rPr>
        <w:t>"</w:t>
      </w:r>
      <w:r w:rsidR="00883F93" w:rsidRPr="00A55DA2">
        <w:rPr>
          <w:rFonts w:ascii="Arial" w:eastAsiaTheme="minorHAnsi" w:hAnsi="Arial" w:cs="Arial"/>
          <w:i/>
          <w:sz w:val="22"/>
          <w:szCs w:val="22"/>
        </w:rPr>
        <w:t xml:space="preserve"> </w:t>
      </w:r>
      <w:r w:rsidR="00883F93" w:rsidRPr="00BB2582">
        <w:rPr>
          <w:rFonts w:ascii="Arial" w:eastAsiaTheme="minorHAnsi" w:hAnsi="Arial" w:cs="Arial"/>
          <w:sz w:val="22"/>
          <w:szCs w:val="22"/>
        </w:rPr>
        <w:t xml:space="preserve">as intended in s 20(4) of the Supreme Court Act 59 of 1959. Such an application is so closely bound up with the accused's conviction, sentence and appeal that it is a criminal proceeding. The Court further </w:t>
      </w:r>
      <w:r w:rsidR="00BB2582">
        <w:rPr>
          <w:rFonts w:ascii="Arial" w:eastAsiaTheme="minorHAnsi" w:hAnsi="Arial" w:cs="Arial"/>
          <w:sz w:val="22"/>
          <w:szCs w:val="22"/>
        </w:rPr>
        <w:t>found that the amendment of the Supreme Court Act by the Appeals Amendment Act 105 of 1982 (whereby the requirement of leave to appeal was extended</w:t>
      </w:r>
      <w:r w:rsidR="00CD4053">
        <w:rPr>
          <w:rFonts w:ascii="Arial" w:eastAsiaTheme="minorHAnsi" w:hAnsi="Arial" w:cs="Arial"/>
          <w:sz w:val="22"/>
          <w:szCs w:val="22"/>
        </w:rPr>
        <w:t xml:space="preserve"> </w:t>
      </w:r>
      <w:r w:rsidR="00B42724">
        <w:rPr>
          <w:rFonts w:ascii="Arial" w:eastAsiaTheme="minorHAnsi" w:hAnsi="Arial" w:cs="Arial"/>
          <w:sz w:val="22"/>
          <w:szCs w:val="22"/>
        </w:rPr>
        <w:t xml:space="preserve"> </w:t>
      </w:r>
      <w:r w:rsidR="00BB2582">
        <w:rPr>
          <w:rFonts w:ascii="Arial" w:eastAsiaTheme="minorHAnsi" w:hAnsi="Arial" w:cs="Arial"/>
          <w:sz w:val="22"/>
          <w:szCs w:val="22"/>
        </w:rPr>
        <w:t xml:space="preserve">- see </w:t>
      </w:r>
      <w:r w:rsidR="00B42724">
        <w:rPr>
          <w:rFonts w:ascii="Arial" w:eastAsiaTheme="minorHAnsi" w:hAnsi="Arial" w:cs="Arial"/>
          <w:sz w:val="22"/>
          <w:szCs w:val="22"/>
        </w:rPr>
        <w:t xml:space="preserve"> </w:t>
      </w:r>
      <w:r w:rsidR="00BB2582">
        <w:rPr>
          <w:rFonts w:ascii="Arial" w:eastAsiaTheme="minorHAnsi" w:hAnsi="Arial" w:cs="Arial"/>
          <w:sz w:val="22"/>
          <w:szCs w:val="22"/>
        </w:rPr>
        <w:t xml:space="preserve">s 20(4) </w:t>
      </w:r>
      <w:r w:rsidR="00503C55">
        <w:rPr>
          <w:rFonts w:ascii="Arial" w:eastAsiaTheme="minorHAnsi" w:hAnsi="Arial" w:cs="Arial"/>
          <w:sz w:val="22"/>
          <w:szCs w:val="22"/>
        </w:rPr>
        <w:t xml:space="preserve">of 59 of 1959 as amended by s 7 of Act 105 of 1982) </w:t>
      </w:r>
      <w:r w:rsidR="00503C55" w:rsidRPr="00A55DA2">
        <w:rPr>
          <w:rFonts w:ascii="Arial" w:eastAsiaTheme="minorHAnsi" w:hAnsi="Arial" w:cs="Arial"/>
          <w:i/>
          <w:sz w:val="22"/>
          <w:szCs w:val="22"/>
        </w:rPr>
        <w:t xml:space="preserve">did not cover an appeal </w:t>
      </w:r>
      <w:r w:rsidR="00BB2582" w:rsidRPr="00A55DA2">
        <w:rPr>
          <w:rFonts w:ascii="Arial" w:eastAsiaTheme="minorHAnsi" w:hAnsi="Arial" w:cs="Arial"/>
          <w:i/>
          <w:sz w:val="22"/>
          <w:szCs w:val="22"/>
        </w:rPr>
        <w:t>against the refusal of condonation for the late noting of a criminal appeal. Such an accused can appeal to the Appellant Division and he did not have to leave to appeal therefor</w:t>
      </w:r>
      <w:r w:rsidRPr="00A55DA2">
        <w:rPr>
          <w:rFonts w:ascii="Arial" w:eastAsiaTheme="minorHAnsi" w:hAnsi="Arial" w:cs="Arial"/>
          <w:i/>
          <w:sz w:val="22"/>
          <w:szCs w:val="22"/>
        </w:rPr>
        <w:t>’</w:t>
      </w:r>
      <w:r w:rsidR="00BB2582" w:rsidRPr="00A55DA2">
        <w:rPr>
          <w:rFonts w:ascii="Arial" w:eastAsiaTheme="minorHAnsi" w:hAnsi="Arial" w:cs="Arial"/>
          <w:i/>
          <w:sz w:val="22"/>
          <w:szCs w:val="22"/>
        </w:rPr>
        <w:t>.</w:t>
      </w:r>
      <w:r w:rsidR="00A55DA2">
        <w:rPr>
          <w:rFonts w:ascii="Arial" w:eastAsiaTheme="minorHAnsi" w:hAnsi="Arial" w:cs="Arial"/>
          <w:sz w:val="22"/>
          <w:szCs w:val="22"/>
        </w:rPr>
        <w:t xml:space="preserve"> (Emphasis added</w:t>
      </w:r>
      <w:r w:rsidR="000E3BD6">
        <w:rPr>
          <w:rFonts w:ascii="Arial" w:eastAsiaTheme="minorHAnsi" w:hAnsi="Arial" w:cs="Arial"/>
          <w:sz w:val="22"/>
          <w:szCs w:val="22"/>
        </w:rPr>
        <w:t>.</w:t>
      </w:r>
      <w:r w:rsidR="00A55DA2">
        <w:rPr>
          <w:rFonts w:ascii="Arial" w:eastAsiaTheme="minorHAnsi" w:hAnsi="Arial" w:cs="Arial"/>
          <w:sz w:val="22"/>
          <w:szCs w:val="22"/>
        </w:rPr>
        <w:t>)</w:t>
      </w:r>
      <w:r w:rsidR="00BB2582" w:rsidRPr="00A55DA2">
        <w:rPr>
          <w:rFonts w:ascii="Arial" w:eastAsiaTheme="minorHAnsi" w:hAnsi="Arial" w:cs="Arial"/>
          <w:sz w:val="22"/>
          <w:szCs w:val="22"/>
        </w:rPr>
        <w:t xml:space="preserve"> </w:t>
      </w:r>
    </w:p>
    <w:p w:rsidR="008F01A0" w:rsidRPr="001D20F2" w:rsidRDefault="008F01A0" w:rsidP="001D20F2">
      <w:pPr>
        <w:spacing w:line="480" w:lineRule="auto"/>
      </w:pPr>
    </w:p>
    <w:p w:rsidR="00F858FE" w:rsidRPr="00DE1F2A" w:rsidRDefault="00FF2B67" w:rsidP="001D20F2">
      <w:pPr>
        <w:pStyle w:val="BodyText"/>
        <w:numPr>
          <w:ilvl w:val="0"/>
          <w:numId w:val="10"/>
        </w:numPr>
        <w:ind w:left="0" w:firstLine="0"/>
        <w:rPr>
          <w:rFonts w:ascii="Arial" w:hAnsi="Arial" w:cs="Arial"/>
        </w:rPr>
      </w:pPr>
      <w:r w:rsidRPr="00DE1F2A">
        <w:rPr>
          <w:rFonts w:ascii="Arial" w:hAnsi="Arial" w:cs="Arial"/>
        </w:rPr>
        <w:t xml:space="preserve">The Supreme Court Act 59 of 1959 was the legislation </w:t>
      </w:r>
      <w:r w:rsidR="005A2134">
        <w:rPr>
          <w:rFonts w:ascii="Arial" w:hAnsi="Arial" w:cs="Arial"/>
        </w:rPr>
        <w:t>governing</w:t>
      </w:r>
      <w:r w:rsidR="006838C8" w:rsidRPr="00DE1F2A">
        <w:rPr>
          <w:rFonts w:ascii="Arial" w:hAnsi="Arial" w:cs="Arial"/>
        </w:rPr>
        <w:t xml:space="preserve"> </w:t>
      </w:r>
      <w:r w:rsidR="00A55DA2" w:rsidRPr="00DE1F2A">
        <w:rPr>
          <w:rFonts w:ascii="Arial" w:hAnsi="Arial" w:cs="Arial"/>
        </w:rPr>
        <w:t xml:space="preserve">civil </w:t>
      </w:r>
      <w:r w:rsidR="006838C8" w:rsidRPr="00DE1F2A">
        <w:rPr>
          <w:rFonts w:ascii="Arial" w:hAnsi="Arial" w:cs="Arial"/>
        </w:rPr>
        <w:t xml:space="preserve">appeals to the Supreme Court of South West Africa </w:t>
      </w:r>
      <w:r w:rsidR="00CD4053">
        <w:rPr>
          <w:rFonts w:ascii="Arial" w:hAnsi="Arial" w:cs="Arial"/>
        </w:rPr>
        <w:t xml:space="preserve">– the </w:t>
      </w:r>
      <w:r w:rsidR="008A337A">
        <w:rPr>
          <w:rFonts w:ascii="Arial" w:hAnsi="Arial" w:cs="Arial"/>
        </w:rPr>
        <w:t>High C</w:t>
      </w:r>
      <w:r w:rsidR="00CD4053">
        <w:rPr>
          <w:rFonts w:ascii="Arial" w:hAnsi="Arial" w:cs="Arial"/>
        </w:rPr>
        <w:t xml:space="preserve">ourt's constitutional </w:t>
      </w:r>
      <w:r w:rsidR="00CD4053">
        <w:rPr>
          <w:rFonts w:ascii="Arial" w:hAnsi="Arial" w:cs="Arial"/>
        </w:rPr>
        <w:lastRenderedPageBreak/>
        <w:t xml:space="preserve">predecessor - </w:t>
      </w:r>
      <w:r w:rsidR="006838C8" w:rsidRPr="00DE1F2A">
        <w:rPr>
          <w:rFonts w:ascii="Arial" w:hAnsi="Arial" w:cs="Arial"/>
        </w:rPr>
        <w:t xml:space="preserve">and ultimately to the Appellate Division of the Supreme Court of South Africa </w:t>
      </w:r>
      <w:r w:rsidRPr="00DE1F2A">
        <w:rPr>
          <w:rFonts w:ascii="Arial" w:hAnsi="Arial" w:cs="Arial"/>
        </w:rPr>
        <w:t xml:space="preserve">before the enactment of the High Court Act, 1990 and the Supreme Court Act, 1990. </w:t>
      </w:r>
      <w:r w:rsidR="00892ED0" w:rsidRPr="00DE1F2A">
        <w:rPr>
          <w:rFonts w:ascii="Arial" w:hAnsi="Arial" w:cs="Arial"/>
        </w:rPr>
        <w:t xml:space="preserve">It is </w:t>
      </w:r>
      <w:r w:rsidR="00D32952" w:rsidRPr="00DE1F2A">
        <w:rPr>
          <w:rFonts w:ascii="Arial" w:hAnsi="Arial" w:cs="Arial"/>
        </w:rPr>
        <w:t xml:space="preserve">thus </w:t>
      </w:r>
      <w:r w:rsidR="00892ED0" w:rsidRPr="00DE1F2A">
        <w:rPr>
          <w:rFonts w:ascii="Arial" w:hAnsi="Arial" w:cs="Arial"/>
        </w:rPr>
        <w:t xml:space="preserve">evident from the reading of </w:t>
      </w:r>
      <w:r w:rsidR="00DA0209" w:rsidRPr="00DE1F2A">
        <w:rPr>
          <w:rFonts w:ascii="Arial" w:hAnsi="Arial" w:cs="Arial"/>
        </w:rPr>
        <w:t xml:space="preserve">both the </w:t>
      </w:r>
      <w:r w:rsidR="00DA0209" w:rsidRPr="00DE1F2A">
        <w:rPr>
          <w:rFonts w:ascii="Arial" w:hAnsi="Arial" w:cs="Arial"/>
          <w:i/>
        </w:rPr>
        <w:t xml:space="preserve">Absalom </w:t>
      </w:r>
      <w:r w:rsidR="00DA0209" w:rsidRPr="00DE1F2A">
        <w:rPr>
          <w:rFonts w:ascii="Arial" w:hAnsi="Arial" w:cs="Arial"/>
        </w:rPr>
        <w:t xml:space="preserve">and </w:t>
      </w:r>
      <w:r w:rsidR="00892ED0" w:rsidRPr="00DE1F2A">
        <w:rPr>
          <w:rFonts w:ascii="Arial" w:hAnsi="Arial" w:cs="Arial"/>
          <w:i/>
        </w:rPr>
        <w:t xml:space="preserve">Nakale </w:t>
      </w:r>
      <w:r w:rsidR="00892ED0" w:rsidRPr="00DE1F2A">
        <w:rPr>
          <w:rFonts w:ascii="Arial" w:hAnsi="Arial" w:cs="Arial"/>
        </w:rPr>
        <w:t>judgment</w:t>
      </w:r>
      <w:r w:rsidR="00DA0209" w:rsidRPr="00DE1F2A">
        <w:rPr>
          <w:rFonts w:ascii="Arial" w:hAnsi="Arial" w:cs="Arial"/>
        </w:rPr>
        <w:t>s</w:t>
      </w:r>
      <w:r w:rsidR="00D32952" w:rsidRPr="00DE1F2A">
        <w:rPr>
          <w:rFonts w:ascii="Arial" w:hAnsi="Arial" w:cs="Arial"/>
        </w:rPr>
        <w:t xml:space="preserve"> that </w:t>
      </w:r>
      <w:r w:rsidR="00892ED0" w:rsidRPr="00DE1F2A">
        <w:rPr>
          <w:rFonts w:ascii="Arial" w:hAnsi="Arial" w:cs="Arial"/>
        </w:rPr>
        <w:t>the court</w:t>
      </w:r>
      <w:r w:rsidR="00DA0209" w:rsidRPr="00DE1F2A">
        <w:rPr>
          <w:rFonts w:ascii="Arial" w:hAnsi="Arial" w:cs="Arial"/>
        </w:rPr>
        <w:t xml:space="preserve">s were </w:t>
      </w:r>
      <w:r w:rsidR="00892ED0" w:rsidRPr="00DE1F2A">
        <w:rPr>
          <w:rFonts w:ascii="Arial" w:hAnsi="Arial" w:cs="Arial"/>
        </w:rPr>
        <w:t xml:space="preserve">addressing </w:t>
      </w:r>
      <w:r w:rsidR="00FD7980">
        <w:rPr>
          <w:rFonts w:ascii="Arial" w:hAnsi="Arial" w:cs="Arial"/>
        </w:rPr>
        <w:t xml:space="preserve">in those matters </w:t>
      </w:r>
      <w:r w:rsidR="003A0B75" w:rsidRPr="00DE1F2A">
        <w:rPr>
          <w:rFonts w:ascii="Arial" w:hAnsi="Arial" w:cs="Arial"/>
        </w:rPr>
        <w:t xml:space="preserve">a lacuna in the </w:t>
      </w:r>
      <w:r w:rsidR="008C0355" w:rsidRPr="00DE1F2A">
        <w:rPr>
          <w:rFonts w:ascii="Arial" w:hAnsi="Arial" w:cs="Arial"/>
        </w:rPr>
        <w:t xml:space="preserve">country’s </w:t>
      </w:r>
      <w:r w:rsidR="003A0B75" w:rsidRPr="00DE1F2A">
        <w:rPr>
          <w:rFonts w:ascii="Arial" w:hAnsi="Arial" w:cs="Arial"/>
        </w:rPr>
        <w:t>criminal</w:t>
      </w:r>
      <w:r w:rsidR="00D32952" w:rsidRPr="00DE1F2A">
        <w:rPr>
          <w:rFonts w:ascii="Arial" w:hAnsi="Arial" w:cs="Arial"/>
        </w:rPr>
        <w:t xml:space="preserve"> proced</w:t>
      </w:r>
      <w:r w:rsidR="0016056B" w:rsidRPr="00DE1F2A">
        <w:rPr>
          <w:rFonts w:ascii="Arial" w:hAnsi="Arial" w:cs="Arial"/>
        </w:rPr>
        <w:t>ure</w:t>
      </w:r>
      <w:r w:rsidR="00BF00A4" w:rsidRPr="00DE1F2A">
        <w:rPr>
          <w:rFonts w:ascii="Arial" w:hAnsi="Arial" w:cs="Arial"/>
        </w:rPr>
        <w:t xml:space="preserve">, </w:t>
      </w:r>
      <w:r w:rsidR="00DA0209" w:rsidRPr="00DE1F2A">
        <w:rPr>
          <w:rFonts w:ascii="Arial" w:hAnsi="Arial" w:cs="Arial"/>
        </w:rPr>
        <w:t xml:space="preserve">which is not the </w:t>
      </w:r>
      <w:r w:rsidR="0016056B" w:rsidRPr="00DE1F2A">
        <w:rPr>
          <w:rFonts w:ascii="Arial" w:hAnsi="Arial" w:cs="Arial"/>
        </w:rPr>
        <w:t xml:space="preserve">position </w:t>
      </w:r>
      <w:r w:rsidR="00DA0209" w:rsidRPr="00DE1F2A">
        <w:rPr>
          <w:rFonts w:ascii="Arial" w:hAnsi="Arial" w:cs="Arial"/>
        </w:rPr>
        <w:t xml:space="preserve">in the </w:t>
      </w:r>
      <w:r w:rsidR="0016056B" w:rsidRPr="00DE1F2A">
        <w:rPr>
          <w:rFonts w:ascii="Arial" w:hAnsi="Arial" w:cs="Arial"/>
        </w:rPr>
        <w:t xml:space="preserve">present appeal. </w:t>
      </w:r>
    </w:p>
    <w:p w:rsidR="00FE23CB" w:rsidRDefault="00FE23CB" w:rsidP="001D20F2">
      <w:pPr>
        <w:pStyle w:val="BodyText"/>
        <w:rPr>
          <w:rFonts w:ascii="Arial" w:hAnsi="Arial" w:cs="Arial"/>
        </w:rPr>
      </w:pPr>
    </w:p>
    <w:p w:rsidR="00F90F68" w:rsidRDefault="00FC6846" w:rsidP="001D20F2">
      <w:pPr>
        <w:pStyle w:val="BodyText"/>
        <w:numPr>
          <w:ilvl w:val="0"/>
          <w:numId w:val="10"/>
        </w:numPr>
        <w:ind w:left="0" w:firstLine="0"/>
        <w:rPr>
          <w:rFonts w:ascii="Arial" w:hAnsi="Arial" w:cs="Arial"/>
        </w:rPr>
      </w:pPr>
      <w:r>
        <w:rPr>
          <w:rFonts w:ascii="Arial" w:hAnsi="Arial" w:cs="Arial"/>
        </w:rPr>
        <w:t xml:space="preserve">  In </w:t>
      </w:r>
      <w:r w:rsidR="00FE23CB" w:rsidRPr="00FE23CB">
        <w:rPr>
          <w:rFonts w:ascii="Arial" w:hAnsi="Arial" w:cs="Arial"/>
        </w:rPr>
        <w:t xml:space="preserve">the </w:t>
      </w:r>
      <w:r>
        <w:rPr>
          <w:rFonts w:ascii="Arial" w:hAnsi="Arial" w:cs="Arial"/>
        </w:rPr>
        <w:t xml:space="preserve"> </w:t>
      </w:r>
      <w:r w:rsidR="00FE23CB" w:rsidRPr="00FE23CB">
        <w:rPr>
          <w:rFonts w:ascii="Arial" w:hAnsi="Arial" w:cs="Arial"/>
        </w:rPr>
        <w:t xml:space="preserve">instant </w:t>
      </w:r>
      <w:r>
        <w:rPr>
          <w:rFonts w:ascii="Arial" w:hAnsi="Arial" w:cs="Arial"/>
        </w:rPr>
        <w:t xml:space="preserve"> </w:t>
      </w:r>
      <w:r w:rsidR="00FE23CB" w:rsidRPr="00FE23CB">
        <w:rPr>
          <w:rFonts w:ascii="Arial" w:hAnsi="Arial" w:cs="Arial"/>
        </w:rPr>
        <w:t xml:space="preserve">matter there </w:t>
      </w:r>
      <w:r>
        <w:rPr>
          <w:rFonts w:ascii="Arial" w:hAnsi="Arial" w:cs="Arial"/>
        </w:rPr>
        <w:t xml:space="preserve"> </w:t>
      </w:r>
      <w:r w:rsidR="00FE23CB" w:rsidRPr="00FE23CB">
        <w:rPr>
          <w:rFonts w:ascii="Arial" w:hAnsi="Arial" w:cs="Arial"/>
        </w:rPr>
        <w:t xml:space="preserve">is no </w:t>
      </w:r>
      <w:r>
        <w:rPr>
          <w:rFonts w:ascii="Arial" w:hAnsi="Arial" w:cs="Arial"/>
        </w:rPr>
        <w:t xml:space="preserve"> </w:t>
      </w:r>
      <w:r w:rsidR="00FE23CB" w:rsidRPr="00FE23CB">
        <w:rPr>
          <w:rFonts w:ascii="Arial" w:hAnsi="Arial" w:cs="Arial"/>
        </w:rPr>
        <w:t>lacuna</w:t>
      </w:r>
      <w:r>
        <w:rPr>
          <w:rFonts w:ascii="Arial" w:hAnsi="Arial" w:cs="Arial"/>
        </w:rPr>
        <w:t xml:space="preserve"> </w:t>
      </w:r>
      <w:r w:rsidR="00FE23CB" w:rsidRPr="00FE23CB">
        <w:rPr>
          <w:rFonts w:ascii="Arial" w:hAnsi="Arial" w:cs="Arial"/>
        </w:rPr>
        <w:t xml:space="preserve"> as </w:t>
      </w:r>
      <w:r>
        <w:rPr>
          <w:rFonts w:ascii="Arial" w:hAnsi="Arial" w:cs="Arial"/>
        </w:rPr>
        <w:t xml:space="preserve"> </w:t>
      </w:r>
      <w:r w:rsidR="00FE23CB" w:rsidRPr="00FE23CB">
        <w:rPr>
          <w:rFonts w:ascii="Arial" w:hAnsi="Arial" w:cs="Arial"/>
        </w:rPr>
        <w:t xml:space="preserve">the </w:t>
      </w:r>
      <w:r>
        <w:rPr>
          <w:rFonts w:ascii="Arial" w:hAnsi="Arial" w:cs="Arial"/>
        </w:rPr>
        <w:t xml:space="preserve"> </w:t>
      </w:r>
      <w:r w:rsidR="00FE23CB" w:rsidRPr="00FE23CB">
        <w:rPr>
          <w:rFonts w:ascii="Arial" w:hAnsi="Arial" w:cs="Arial"/>
        </w:rPr>
        <w:t xml:space="preserve">applicable </w:t>
      </w:r>
      <w:r>
        <w:rPr>
          <w:rFonts w:ascii="Arial" w:hAnsi="Arial" w:cs="Arial"/>
        </w:rPr>
        <w:t xml:space="preserve"> </w:t>
      </w:r>
      <w:r w:rsidR="00FE23CB" w:rsidRPr="00FE23CB">
        <w:rPr>
          <w:rFonts w:ascii="Arial" w:hAnsi="Arial" w:cs="Arial"/>
        </w:rPr>
        <w:t xml:space="preserve">provision </w:t>
      </w:r>
      <w:r>
        <w:rPr>
          <w:rFonts w:ascii="Arial" w:hAnsi="Arial" w:cs="Arial"/>
        </w:rPr>
        <w:t xml:space="preserve"> </w:t>
      </w:r>
      <w:r w:rsidR="00FE23CB" w:rsidRPr="00FE23CB">
        <w:rPr>
          <w:rFonts w:ascii="Arial" w:hAnsi="Arial" w:cs="Arial"/>
        </w:rPr>
        <w:t xml:space="preserve">is </w:t>
      </w:r>
      <w:r>
        <w:rPr>
          <w:rFonts w:ascii="Arial" w:hAnsi="Arial" w:cs="Arial"/>
        </w:rPr>
        <w:t xml:space="preserve"> </w:t>
      </w:r>
      <w:r w:rsidR="00FE23CB" w:rsidRPr="00FE23CB">
        <w:rPr>
          <w:rFonts w:ascii="Arial" w:hAnsi="Arial" w:cs="Arial"/>
        </w:rPr>
        <w:t>s 18(2)(</w:t>
      </w:r>
      <w:r w:rsidR="00FE23CB" w:rsidRPr="00FE23CB">
        <w:rPr>
          <w:rFonts w:ascii="Arial" w:hAnsi="Arial" w:cs="Arial"/>
          <w:i/>
        </w:rPr>
        <w:t>b</w:t>
      </w:r>
      <w:r w:rsidR="00FE23CB" w:rsidRPr="00FE23CB">
        <w:rPr>
          <w:rFonts w:ascii="Arial" w:hAnsi="Arial" w:cs="Arial"/>
        </w:rPr>
        <w:t xml:space="preserve">) of the Act. </w:t>
      </w:r>
      <w:r w:rsidR="00DE1F2A">
        <w:rPr>
          <w:rFonts w:ascii="Arial" w:hAnsi="Arial" w:cs="Arial"/>
        </w:rPr>
        <w:t>T</w:t>
      </w:r>
      <w:r w:rsidR="00DE1F2A" w:rsidRPr="00DE1F2A">
        <w:rPr>
          <w:rFonts w:ascii="Arial" w:hAnsi="Arial" w:cs="Arial"/>
        </w:rPr>
        <w:t xml:space="preserve">he </w:t>
      </w:r>
      <w:r w:rsidR="00DE1F2A" w:rsidRPr="00DE1F2A">
        <w:rPr>
          <w:rFonts w:ascii="Arial" w:hAnsi="Arial" w:cs="Arial"/>
          <w:i/>
        </w:rPr>
        <w:t>Nakale</w:t>
      </w:r>
      <w:r w:rsidR="00DE1F2A" w:rsidRPr="00DE1F2A">
        <w:rPr>
          <w:rFonts w:ascii="Arial" w:hAnsi="Arial" w:cs="Arial"/>
        </w:rPr>
        <w:t xml:space="preserve"> case is </w:t>
      </w:r>
      <w:r w:rsidR="00DE1F2A">
        <w:rPr>
          <w:rFonts w:ascii="Arial" w:hAnsi="Arial" w:cs="Arial"/>
        </w:rPr>
        <w:t xml:space="preserve">thus </w:t>
      </w:r>
      <w:r w:rsidR="00DE1F2A" w:rsidRPr="00DE1F2A">
        <w:rPr>
          <w:rFonts w:ascii="Arial" w:hAnsi="Arial" w:cs="Arial"/>
        </w:rPr>
        <w:t>no authority for the argument advanced on behalf of the appellan</w:t>
      </w:r>
      <w:r w:rsidR="00DE1F2A">
        <w:rPr>
          <w:rFonts w:ascii="Arial" w:hAnsi="Arial" w:cs="Arial"/>
        </w:rPr>
        <w:t xml:space="preserve">t. </w:t>
      </w:r>
      <w:r w:rsidR="008C0355">
        <w:rPr>
          <w:rFonts w:ascii="Arial" w:hAnsi="Arial" w:cs="Arial"/>
        </w:rPr>
        <w:t>To sum up</w:t>
      </w:r>
      <w:r w:rsidR="00FE23CB" w:rsidRPr="00FE23CB">
        <w:rPr>
          <w:rFonts w:ascii="Arial" w:hAnsi="Arial" w:cs="Arial"/>
        </w:rPr>
        <w:t xml:space="preserve">, </w:t>
      </w:r>
      <w:r w:rsidR="00941B79">
        <w:rPr>
          <w:rFonts w:ascii="Arial" w:hAnsi="Arial" w:cs="Arial"/>
        </w:rPr>
        <w:t xml:space="preserve">the </w:t>
      </w:r>
      <w:r w:rsidR="00941B79" w:rsidRPr="008C0355">
        <w:rPr>
          <w:rFonts w:ascii="Arial" w:hAnsi="Arial" w:cs="Arial"/>
        </w:rPr>
        <w:t xml:space="preserve">principle </w:t>
      </w:r>
      <w:r w:rsidR="008C0355" w:rsidRPr="008C0355">
        <w:rPr>
          <w:rFonts w:ascii="Arial" w:hAnsi="Arial" w:cs="Arial"/>
        </w:rPr>
        <w:t xml:space="preserve">of the Act </w:t>
      </w:r>
      <w:r w:rsidR="00941B79" w:rsidRPr="008C0355">
        <w:rPr>
          <w:rFonts w:ascii="Arial" w:hAnsi="Arial" w:cs="Arial"/>
        </w:rPr>
        <w:t>is</w:t>
      </w:r>
      <w:r w:rsidR="00941B79">
        <w:rPr>
          <w:rFonts w:ascii="Arial" w:hAnsi="Arial" w:cs="Arial"/>
        </w:rPr>
        <w:t xml:space="preserve"> </w:t>
      </w:r>
      <w:r w:rsidR="008C0355">
        <w:rPr>
          <w:rFonts w:ascii="Arial" w:hAnsi="Arial" w:cs="Arial"/>
        </w:rPr>
        <w:t xml:space="preserve">that where the High Court sits as a court of first instance, an appeal from a judgment or order of that court in civil </w:t>
      </w:r>
      <w:r w:rsidR="00C7349D">
        <w:rPr>
          <w:rFonts w:ascii="Arial" w:hAnsi="Arial" w:cs="Arial"/>
        </w:rPr>
        <w:t xml:space="preserve">matters </w:t>
      </w:r>
      <w:r w:rsidR="008C0355">
        <w:rPr>
          <w:rFonts w:ascii="Arial" w:hAnsi="Arial" w:cs="Arial"/>
        </w:rPr>
        <w:t xml:space="preserve">lies with </w:t>
      </w:r>
      <w:r w:rsidR="00DE1F2A">
        <w:rPr>
          <w:rFonts w:ascii="Arial" w:hAnsi="Arial" w:cs="Arial"/>
        </w:rPr>
        <w:t xml:space="preserve">the </w:t>
      </w:r>
      <w:r w:rsidR="008C0355">
        <w:rPr>
          <w:rFonts w:ascii="Arial" w:hAnsi="Arial" w:cs="Arial"/>
        </w:rPr>
        <w:t>Supreme Court as of right. However, where the High Court sits as a court of appeal</w:t>
      </w:r>
      <w:r w:rsidR="00F90F68">
        <w:rPr>
          <w:rFonts w:ascii="Arial" w:hAnsi="Arial" w:cs="Arial"/>
        </w:rPr>
        <w:t xml:space="preserve">, leave to appeal against any judgment or order of that court in civil proceedings must first be obtained from the High Court and if refused, leave must be sought </w:t>
      </w:r>
      <w:r w:rsidR="00B66077">
        <w:rPr>
          <w:rFonts w:ascii="Arial" w:hAnsi="Arial" w:cs="Arial"/>
        </w:rPr>
        <w:t xml:space="preserve">and obtained </w:t>
      </w:r>
      <w:r w:rsidR="00F90F68">
        <w:rPr>
          <w:rFonts w:ascii="Arial" w:hAnsi="Arial" w:cs="Arial"/>
        </w:rPr>
        <w:t>from the Supreme Court by way of a petition to the Chief Justice as provided for under the law. The words ‘</w:t>
      </w:r>
      <w:r w:rsidR="00F90F68" w:rsidRPr="00F90F68">
        <w:rPr>
          <w:rFonts w:ascii="Arial" w:hAnsi="Arial" w:cs="Arial"/>
          <w:i/>
        </w:rPr>
        <w:t>any</w:t>
      </w:r>
      <w:r w:rsidR="00F90F68">
        <w:rPr>
          <w:rFonts w:ascii="Arial" w:hAnsi="Arial" w:cs="Arial"/>
        </w:rPr>
        <w:t xml:space="preserve"> judgment or order’ in s 18(2) of the Act make it plain that an appeal against interlocutory decisions of the High Court sitting as a court of appeal are also subject to the req</w:t>
      </w:r>
      <w:r w:rsidR="001D20F2">
        <w:rPr>
          <w:rFonts w:ascii="Arial" w:hAnsi="Arial" w:cs="Arial"/>
        </w:rPr>
        <w:t>uirement of leave to appeal.</w:t>
      </w:r>
    </w:p>
    <w:p w:rsidR="00F90F68" w:rsidRPr="001D20F2" w:rsidRDefault="00F90F68" w:rsidP="001D20F2">
      <w:pPr>
        <w:spacing w:line="480" w:lineRule="auto"/>
      </w:pPr>
    </w:p>
    <w:p w:rsidR="001655F1" w:rsidRPr="001655F1" w:rsidRDefault="001655F1" w:rsidP="001D20F2">
      <w:pPr>
        <w:pStyle w:val="BodyText"/>
        <w:numPr>
          <w:ilvl w:val="0"/>
          <w:numId w:val="10"/>
        </w:numPr>
        <w:ind w:left="0" w:firstLine="0"/>
        <w:rPr>
          <w:rFonts w:ascii="Arial" w:hAnsi="Arial" w:cs="Arial"/>
        </w:rPr>
      </w:pPr>
      <w:r w:rsidRPr="001655F1">
        <w:rPr>
          <w:rFonts w:ascii="Arial" w:hAnsi="Arial" w:cs="Arial"/>
        </w:rPr>
        <w:t xml:space="preserve">The appellant’s contention that a litigant in civil proceedings in the High Court sitting as a court of appeal has the right of appeal to the Supreme Court without leave </w:t>
      </w:r>
      <w:r w:rsidR="00543693">
        <w:rPr>
          <w:rFonts w:ascii="Arial" w:hAnsi="Arial" w:cs="Arial"/>
        </w:rPr>
        <w:t xml:space="preserve">if in an application for condonation </w:t>
      </w:r>
      <w:r w:rsidRPr="001655F1">
        <w:rPr>
          <w:rFonts w:ascii="Arial" w:hAnsi="Arial" w:cs="Arial"/>
        </w:rPr>
        <w:t xml:space="preserve">the merits of the appeal had not been considered by that court is </w:t>
      </w:r>
      <w:r w:rsidR="00543693">
        <w:rPr>
          <w:rFonts w:ascii="Arial" w:hAnsi="Arial" w:cs="Arial"/>
        </w:rPr>
        <w:t xml:space="preserve">entirely </w:t>
      </w:r>
      <w:r w:rsidRPr="001655F1">
        <w:rPr>
          <w:rFonts w:ascii="Arial" w:hAnsi="Arial" w:cs="Arial"/>
        </w:rPr>
        <w:t>untenable</w:t>
      </w:r>
      <w:r w:rsidR="00CD4053">
        <w:rPr>
          <w:rFonts w:ascii="Arial" w:hAnsi="Arial" w:cs="Arial"/>
        </w:rPr>
        <w:t>. Such an interpretation</w:t>
      </w:r>
      <w:r w:rsidRPr="001655F1">
        <w:rPr>
          <w:rFonts w:ascii="Arial" w:hAnsi="Arial" w:cs="Arial"/>
        </w:rPr>
        <w:t xml:space="preserve"> has the </w:t>
      </w:r>
      <w:r>
        <w:rPr>
          <w:rFonts w:ascii="Arial" w:hAnsi="Arial" w:cs="Arial"/>
        </w:rPr>
        <w:t>effect</w:t>
      </w:r>
      <w:r w:rsidRPr="001655F1">
        <w:rPr>
          <w:rFonts w:ascii="Arial" w:hAnsi="Arial" w:cs="Arial"/>
        </w:rPr>
        <w:t xml:space="preserve"> of </w:t>
      </w:r>
      <w:r w:rsidR="001D20F2">
        <w:rPr>
          <w:rFonts w:ascii="Arial" w:hAnsi="Arial" w:cs="Arial"/>
        </w:rPr>
        <w:t xml:space="preserve">eroding </w:t>
      </w:r>
      <w:r w:rsidR="001D20F2" w:rsidRPr="001655F1">
        <w:rPr>
          <w:rFonts w:ascii="Arial" w:hAnsi="Arial" w:cs="Arial"/>
        </w:rPr>
        <w:t>the</w:t>
      </w:r>
      <w:r w:rsidR="00CD4053">
        <w:rPr>
          <w:rFonts w:ascii="Arial" w:hAnsi="Arial" w:cs="Arial"/>
        </w:rPr>
        <w:t xml:space="preserve"> filter system built into s 18(2</w:t>
      </w:r>
      <w:r w:rsidRPr="001655F1">
        <w:rPr>
          <w:rFonts w:ascii="Arial" w:hAnsi="Arial" w:cs="Arial"/>
        </w:rPr>
        <w:t>)(</w:t>
      </w:r>
      <w:r w:rsidRPr="001655F1">
        <w:rPr>
          <w:rFonts w:ascii="Arial" w:hAnsi="Arial" w:cs="Arial"/>
          <w:i/>
        </w:rPr>
        <w:t>b</w:t>
      </w:r>
      <w:r w:rsidRPr="001655F1">
        <w:rPr>
          <w:rFonts w:ascii="Arial" w:hAnsi="Arial" w:cs="Arial"/>
        </w:rPr>
        <w:t>) of the Act intended to weed out unmeritorious applications for leave to appeal</w:t>
      </w:r>
      <w:r w:rsidR="00CD4053">
        <w:rPr>
          <w:rFonts w:ascii="Arial" w:hAnsi="Arial" w:cs="Arial"/>
        </w:rPr>
        <w:t>.</w:t>
      </w:r>
      <w:r w:rsidRPr="001655F1">
        <w:rPr>
          <w:rFonts w:ascii="Arial" w:hAnsi="Arial" w:cs="Arial"/>
        </w:rPr>
        <w:t xml:space="preserve"> </w:t>
      </w:r>
      <w:r w:rsidR="00CD4053">
        <w:rPr>
          <w:rFonts w:ascii="Arial" w:hAnsi="Arial" w:cs="Arial"/>
        </w:rPr>
        <w:t>The sieve built in the section</w:t>
      </w:r>
      <w:r w:rsidR="00543693">
        <w:rPr>
          <w:rFonts w:ascii="Arial" w:hAnsi="Arial" w:cs="Arial"/>
        </w:rPr>
        <w:t xml:space="preserve"> ensure</w:t>
      </w:r>
      <w:r w:rsidR="00CD4053">
        <w:rPr>
          <w:rFonts w:ascii="Arial" w:hAnsi="Arial" w:cs="Arial"/>
        </w:rPr>
        <w:t>s</w:t>
      </w:r>
      <w:r w:rsidR="00543693">
        <w:rPr>
          <w:rFonts w:ascii="Arial" w:hAnsi="Arial" w:cs="Arial"/>
        </w:rPr>
        <w:t xml:space="preserve"> </w:t>
      </w:r>
      <w:r w:rsidR="00DE1F2A">
        <w:rPr>
          <w:rFonts w:ascii="Arial" w:hAnsi="Arial" w:cs="Arial"/>
        </w:rPr>
        <w:lastRenderedPageBreak/>
        <w:t xml:space="preserve">that </w:t>
      </w:r>
      <w:r w:rsidRPr="001655F1">
        <w:rPr>
          <w:rFonts w:ascii="Arial" w:hAnsi="Arial" w:cs="Arial"/>
        </w:rPr>
        <w:t xml:space="preserve">the Supreme Court’s </w:t>
      </w:r>
      <w:r w:rsidR="00DE1F2A">
        <w:rPr>
          <w:rFonts w:ascii="Arial" w:hAnsi="Arial" w:cs="Arial"/>
        </w:rPr>
        <w:t xml:space="preserve">limited </w:t>
      </w:r>
      <w:r w:rsidRPr="001655F1">
        <w:rPr>
          <w:rFonts w:ascii="Arial" w:hAnsi="Arial" w:cs="Arial"/>
        </w:rPr>
        <w:t xml:space="preserve">resources </w:t>
      </w:r>
      <w:r w:rsidR="004D6FCE">
        <w:rPr>
          <w:rFonts w:ascii="Arial" w:hAnsi="Arial" w:cs="Arial"/>
        </w:rPr>
        <w:t>are not sp</w:t>
      </w:r>
      <w:r w:rsidRPr="001655F1">
        <w:rPr>
          <w:rFonts w:ascii="Arial" w:hAnsi="Arial" w:cs="Arial"/>
        </w:rPr>
        <w:t>ent on hearing appeals that have</w:t>
      </w:r>
      <w:r w:rsidR="00CD4053">
        <w:rPr>
          <w:rFonts w:ascii="Arial" w:hAnsi="Arial" w:cs="Arial"/>
        </w:rPr>
        <w:t xml:space="preserve"> no prospects of success.</w:t>
      </w:r>
    </w:p>
    <w:p w:rsidR="00CB6090" w:rsidRDefault="00CB6090" w:rsidP="001D20F2">
      <w:pPr>
        <w:pStyle w:val="BodyText"/>
        <w:rPr>
          <w:rFonts w:ascii="Arial" w:hAnsi="Arial" w:cs="Arial"/>
        </w:rPr>
      </w:pPr>
    </w:p>
    <w:p w:rsidR="00FE23CB" w:rsidRPr="00CB6090" w:rsidRDefault="00B66077" w:rsidP="001D20F2">
      <w:pPr>
        <w:pStyle w:val="BodyText"/>
        <w:numPr>
          <w:ilvl w:val="0"/>
          <w:numId w:val="10"/>
        </w:numPr>
        <w:ind w:left="0" w:firstLine="0"/>
        <w:rPr>
          <w:rFonts w:ascii="Arial" w:hAnsi="Arial" w:cs="Arial"/>
        </w:rPr>
      </w:pPr>
      <w:r w:rsidRPr="00CB6090">
        <w:rPr>
          <w:rFonts w:ascii="Arial" w:hAnsi="Arial" w:cs="Arial"/>
        </w:rPr>
        <w:t xml:space="preserve">For all these reasons, </w:t>
      </w:r>
      <w:r w:rsidR="00FE23CB" w:rsidRPr="00CB6090">
        <w:rPr>
          <w:rFonts w:ascii="Arial" w:hAnsi="Arial" w:cs="Arial"/>
        </w:rPr>
        <w:t xml:space="preserve">the appellant was </w:t>
      </w:r>
      <w:r w:rsidR="001655F1" w:rsidRPr="00CB6090">
        <w:rPr>
          <w:rFonts w:ascii="Arial" w:hAnsi="Arial" w:cs="Arial"/>
        </w:rPr>
        <w:t xml:space="preserve">therefore </w:t>
      </w:r>
      <w:r w:rsidR="00FE23CB" w:rsidRPr="00CB6090">
        <w:rPr>
          <w:rFonts w:ascii="Arial" w:hAnsi="Arial" w:cs="Arial"/>
        </w:rPr>
        <w:t xml:space="preserve">required to apply for leave </w:t>
      </w:r>
      <w:r w:rsidRPr="00CB6090">
        <w:rPr>
          <w:rFonts w:ascii="Arial" w:hAnsi="Arial" w:cs="Arial"/>
        </w:rPr>
        <w:t>to appeal from</w:t>
      </w:r>
      <w:r w:rsidR="00FE23CB" w:rsidRPr="00CB6090">
        <w:rPr>
          <w:rFonts w:ascii="Arial" w:hAnsi="Arial" w:cs="Arial"/>
        </w:rPr>
        <w:t xml:space="preserve"> the High Court before approaching the Supreme Court.</w:t>
      </w:r>
      <w:r w:rsidR="001D20F2">
        <w:rPr>
          <w:rFonts w:ascii="Arial" w:hAnsi="Arial" w:cs="Arial"/>
        </w:rPr>
        <w:t xml:space="preserve"> </w:t>
      </w:r>
      <w:r w:rsidR="00E93E77" w:rsidRPr="00CB6090">
        <w:rPr>
          <w:rFonts w:ascii="Arial" w:hAnsi="Arial" w:cs="Arial"/>
        </w:rPr>
        <w:t xml:space="preserve">As the appeal is not properly before us, it is not necessary to consider the merits of the appeal even though we have heard arguments thereon. The appeal ought therefore to be struck </w:t>
      </w:r>
      <w:r w:rsidR="00304CCC" w:rsidRPr="00CB6090">
        <w:rPr>
          <w:rFonts w:ascii="Arial" w:hAnsi="Arial" w:cs="Arial"/>
        </w:rPr>
        <w:t>f</w:t>
      </w:r>
      <w:r w:rsidR="00E93E77" w:rsidRPr="00CB6090">
        <w:rPr>
          <w:rFonts w:ascii="Arial" w:hAnsi="Arial" w:cs="Arial"/>
        </w:rPr>
        <w:t>rom</w:t>
      </w:r>
      <w:r w:rsidR="00304CCC" w:rsidRPr="00CB6090">
        <w:rPr>
          <w:rFonts w:ascii="Arial" w:hAnsi="Arial" w:cs="Arial"/>
        </w:rPr>
        <w:t xml:space="preserve"> the roll</w:t>
      </w:r>
      <w:r w:rsidR="00F858FE" w:rsidRPr="00CB6090">
        <w:rPr>
          <w:rFonts w:ascii="Arial" w:hAnsi="Arial" w:cs="Arial"/>
        </w:rPr>
        <w:t>.</w:t>
      </w:r>
      <w:r w:rsidR="00FE23CB" w:rsidRPr="00CB6090">
        <w:rPr>
          <w:rFonts w:ascii="Arial" w:hAnsi="Arial" w:cs="Arial"/>
        </w:rPr>
        <w:t xml:space="preserve"> </w:t>
      </w:r>
    </w:p>
    <w:p w:rsidR="00FE23CB" w:rsidRPr="001D20F2" w:rsidRDefault="00FE23CB" w:rsidP="001D20F2">
      <w:pPr>
        <w:spacing w:line="480" w:lineRule="auto"/>
      </w:pPr>
    </w:p>
    <w:p w:rsidR="00CB6090" w:rsidRPr="00E01F7D" w:rsidRDefault="00304CCC" w:rsidP="00E01F7D">
      <w:pPr>
        <w:pStyle w:val="BodyText"/>
        <w:numPr>
          <w:ilvl w:val="0"/>
          <w:numId w:val="10"/>
        </w:numPr>
        <w:ind w:left="0" w:firstLine="0"/>
        <w:rPr>
          <w:rFonts w:ascii="Arial" w:hAnsi="Arial" w:cs="Arial"/>
        </w:rPr>
      </w:pPr>
      <w:r w:rsidRPr="00FE23CB">
        <w:rPr>
          <w:rFonts w:ascii="Arial" w:hAnsi="Arial" w:cs="Arial"/>
        </w:rPr>
        <w:t xml:space="preserve">On the issue of costs, </w:t>
      </w:r>
      <w:r w:rsidR="00E93E77">
        <w:rPr>
          <w:rFonts w:ascii="Arial" w:hAnsi="Arial" w:cs="Arial"/>
        </w:rPr>
        <w:t xml:space="preserve">we have been informed that the </w:t>
      </w:r>
      <w:r w:rsidR="00CB6090">
        <w:rPr>
          <w:rFonts w:ascii="Arial" w:hAnsi="Arial" w:cs="Arial"/>
        </w:rPr>
        <w:t xml:space="preserve">appellant has been granted legal aid. Section 18 of the Legal Aid Act 29 of 1990 prohibits the making of a costs order in proceedings in respect of which legal aid had been granted. In the circumstances, no order as to costs will be made. </w:t>
      </w:r>
    </w:p>
    <w:p w:rsidR="00165A46" w:rsidRPr="009A6784" w:rsidRDefault="00E058AD" w:rsidP="001D20F2">
      <w:pPr>
        <w:pStyle w:val="ListParagraph"/>
        <w:tabs>
          <w:tab w:val="left" w:pos="851"/>
        </w:tabs>
        <w:spacing w:after="0" w:line="480" w:lineRule="auto"/>
        <w:ind w:left="0"/>
        <w:jc w:val="both"/>
        <w:rPr>
          <w:rFonts w:ascii="Arial" w:hAnsi="Arial" w:cs="Arial"/>
          <w:sz w:val="24"/>
          <w:szCs w:val="24"/>
          <w:u w:val="single"/>
        </w:rPr>
      </w:pPr>
      <w:r w:rsidRPr="009A6784">
        <w:rPr>
          <w:rFonts w:ascii="Arial" w:hAnsi="Arial" w:cs="Arial"/>
          <w:sz w:val="24"/>
          <w:szCs w:val="24"/>
          <w:u w:val="single"/>
        </w:rPr>
        <w:t>Order</w:t>
      </w:r>
    </w:p>
    <w:p w:rsidR="00C71D82" w:rsidRDefault="00FE23CB" w:rsidP="001D20F2">
      <w:pPr>
        <w:spacing w:line="480" w:lineRule="auto"/>
        <w:rPr>
          <w:color w:val="000000" w:themeColor="text1"/>
        </w:rPr>
      </w:pPr>
      <w:r>
        <w:rPr>
          <w:color w:val="000000" w:themeColor="text1"/>
        </w:rPr>
        <w:t>[23]</w:t>
      </w:r>
      <w:r>
        <w:rPr>
          <w:color w:val="000000" w:themeColor="text1"/>
        </w:rPr>
        <w:tab/>
      </w:r>
      <w:r w:rsidR="00304CCC" w:rsidRPr="00304CCC">
        <w:rPr>
          <w:color w:val="000000" w:themeColor="text1"/>
        </w:rPr>
        <w:t>In the resu</w:t>
      </w:r>
      <w:r w:rsidR="00E01F7D">
        <w:rPr>
          <w:color w:val="000000" w:themeColor="text1"/>
        </w:rPr>
        <w:t>lt, the following order is made:</w:t>
      </w:r>
    </w:p>
    <w:p w:rsidR="00E01F7D" w:rsidRPr="00304CCC" w:rsidRDefault="00E01F7D" w:rsidP="001D20F2">
      <w:pPr>
        <w:spacing w:line="480" w:lineRule="auto"/>
        <w:rPr>
          <w:color w:val="000000" w:themeColor="text1"/>
        </w:rPr>
      </w:pPr>
    </w:p>
    <w:p w:rsidR="00C71D82" w:rsidRPr="00E01F7D" w:rsidRDefault="00C71D82" w:rsidP="00E01F7D">
      <w:pPr>
        <w:spacing w:line="480" w:lineRule="auto"/>
        <w:ind w:firstLine="720"/>
      </w:pPr>
      <w:r>
        <w:t>1.</w:t>
      </w:r>
      <w:r>
        <w:tab/>
      </w:r>
      <w:r w:rsidR="00796079" w:rsidRPr="00FE23CB">
        <w:t>The appeal is struck from the roll</w:t>
      </w:r>
      <w:r w:rsidR="00796079" w:rsidRPr="00FE23CB">
        <w:rPr>
          <w:lang w:val="en-GB"/>
        </w:rPr>
        <w:t>.</w:t>
      </w:r>
    </w:p>
    <w:p w:rsidR="00117538" w:rsidRPr="00C71D82" w:rsidRDefault="00C71D82" w:rsidP="001D20F2">
      <w:pPr>
        <w:spacing w:line="480" w:lineRule="auto"/>
        <w:ind w:firstLine="720"/>
      </w:pPr>
      <w:r>
        <w:rPr>
          <w:lang w:val="en-GB"/>
        </w:rPr>
        <w:t>2.</w:t>
      </w:r>
      <w:r>
        <w:rPr>
          <w:lang w:val="en-GB"/>
        </w:rPr>
        <w:tab/>
      </w:r>
      <w:r w:rsidR="00543693" w:rsidRPr="00C71D82">
        <w:rPr>
          <w:lang w:val="en-GB"/>
        </w:rPr>
        <w:t>N</w:t>
      </w:r>
      <w:r w:rsidR="00225C16" w:rsidRPr="00C71D82">
        <w:rPr>
          <w:lang w:val="en-GB"/>
        </w:rPr>
        <w:t xml:space="preserve">o order as </w:t>
      </w:r>
      <w:r w:rsidR="00FD7980" w:rsidRPr="00C71D82">
        <w:rPr>
          <w:lang w:val="en-GB"/>
        </w:rPr>
        <w:t xml:space="preserve">to </w:t>
      </w:r>
      <w:r w:rsidR="00304CCC" w:rsidRPr="00C71D82">
        <w:rPr>
          <w:lang w:val="en-GB"/>
        </w:rPr>
        <w:t xml:space="preserve">costs </w:t>
      </w:r>
      <w:r w:rsidR="00543693" w:rsidRPr="00C71D82">
        <w:rPr>
          <w:lang w:val="en-GB"/>
        </w:rPr>
        <w:t xml:space="preserve">is </w:t>
      </w:r>
      <w:r w:rsidR="00225C16" w:rsidRPr="00C71D82">
        <w:rPr>
          <w:lang w:val="en-GB"/>
        </w:rPr>
        <w:t xml:space="preserve">made. </w:t>
      </w:r>
    </w:p>
    <w:p w:rsidR="00EB05B6" w:rsidRDefault="00EB05B6" w:rsidP="001D20F2">
      <w:pPr>
        <w:pStyle w:val="ListParagraph"/>
        <w:spacing w:after="0" w:line="240" w:lineRule="auto"/>
        <w:ind w:left="0"/>
        <w:jc w:val="both"/>
        <w:rPr>
          <w:rFonts w:ascii="Arial" w:hAnsi="Arial" w:cs="Arial"/>
          <w:sz w:val="24"/>
          <w:szCs w:val="24"/>
        </w:rPr>
      </w:pPr>
    </w:p>
    <w:p w:rsidR="00EB05B6" w:rsidRDefault="00EB05B6" w:rsidP="001D20F2">
      <w:pPr>
        <w:pStyle w:val="ListParagraph"/>
        <w:spacing w:after="0" w:line="240" w:lineRule="auto"/>
        <w:ind w:left="0"/>
        <w:jc w:val="both"/>
        <w:rPr>
          <w:rFonts w:ascii="Arial" w:hAnsi="Arial" w:cs="Arial"/>
          <w:sz w:val="24"/>
          <w:szCs w:val="24"/>
        </w:rPr>
      </w:pPr>
    </w:p>
    <w:p w:rsidR="00CD4053" w:rsidRDefault="00CD4053" w:rsidP="001D20F2">
      <w:pPr>
        <w:pStyle w:val="ListParagraph"/>
        <w:spacing w:after="0" w:line="240" w:lineRule="auto"/>
        <w:ind w:left="0"/>
        <w:jc w:val="both"/>
        <w:rPr>
          <w:rFonts w:ascii="Arial" w:hAnsi="Arial" w:cs="Arial"/>
          <w:sz w:val="24"/>
          <w:szCs w:val="24"/>
        </w:rPr>
      </w:pPr>
      <w:r>
        <w:rPr>
          <w:rFonts w:ascii="Arial" w:hAnsi="Arial" w:cs="Arial"/>
          <w:sz w:val="24"/>
          <w:szCs w:val="24"/>
        </w:rPr>
        <w:t>________________________</w:t>
      </w:r>
    </w:p>
    <w:p w:rsidR="00FD7980" w:rsidRPr="00C71D82" w:rsidRDefault="00CD4053" w:rsidP="001D20F2">
      <w:pPr>
        <w:pStyle w:val="ListParagraph"/>
        <w:spacing w:after="0" w:line="240" w:lineRule="auto"/>
        <w:ind w:left="0"/>
        <w:jc w:val="both"/>
        <w:rPr>
          <w:rFonts w:ascii="Arial" w:hAnsi="Arial" w:cs="Arial"/>
          <w:b/>
          <w:sz w:val="24"/>
          <w:szCs w:val="24"/>
        </w:rPr>
      </w:pPr>
      <w:r w:rsidRPr="00C71D82">
        <w:rPr>
          <w:rFonts w:ascii="Arial" w:hAnsi="Arial" w:cs="Arial"/>
          <w:b/>
          <w:sz w:val="24"/>
          <w:szCs w:val="24"/>
        </w:rPr>
        <w:t>SHIVUTE CJ</w:t>
      </w:r>
    </w:p>
    <w:p w:rsidR="00C71D82" w:rsidRDefault="00C71D82" w:rsidP="001D20F2">
      <w:pPr>
        <w:pStyle w:val="ListParagraph"/>
        <w:spacing w:after="0" w:line="240" w:lineRule="auto"/>
        <w:ind w:left="0"/>
        <w:jc w:val="both"/>
        <w:rPr>
          <w:rFonts w:ascii="Arial" w:hAnsi="Arial" w:cs="Arial"/>
          <w:sz w:val="24"/>
          <w:szCs w:val="24"/>
        </w:rPr>
      </w:pPr>
    </w:p>
    <w:p w:rsidR="00C71D82" w:rsidRPr="009A6784" w:rsidRDefault="00C71D82" w:rsidP="001D20F2">
      <w:pPr>
        <w:pStyle w:val="ListParagraph"/>
        <w:spacing w:after="0" w:line="240" w:lineRule="auto"/>
        <w:ind w:left="0"/>
        <w:jc w:val="both"/>
        <w:rPr>
          <w:rFonts w:ascii="Arial" w:hAnsi="Arial" w:cs="Arial"/>
          <w:sz w:val="24"/>
          <w:szCs w:val="24"/>
        </w:rPr>
      </w:pPr>
    </w:p>
    <w:p w:rsidR="003D1A61" w:rsidRPr="009A6784" w:rsidRDefault="00CD4053" w:rsidP="001D20F2">
      <w:pPr>
        <w:pStyle w:val="ListParagraph"/>
        <w:spacing w:after="0" w:line="240" w:lineRule="auto"/>
        <w:ind w:left="0"/>
        <w:jc w:val="both"/>
        <w:rPr>
          <w:rFonts w:ascii="Arial" w:hAnsi="Arial" w:cs="Arial"/>
          <w:sz w:val="24"/>
          <w:szCs w:val="24"/>
        </w:rPr>
      </w:pPr>
      <w:r>
        <w:rPr>
          <w:rFonts w:ascii="Arial" w:hAnsi="Arial" w:cs="Arial"/>
          <w:sz w:val="24"/>
          <w:szCs w:val="24"/>
        </w:rPr>
        <w:t>________________________</w:t>
      </w:r>
    </w:p>
    <w:p w:rsidR="003D1A61" w:rsidRPr="00C71D82" w:rsidRDefault="00CD4053" w:rsidP="001D20F2">
      <w:pPr>
        <w:pStyle w:val="ListParagraph"/>
        <w:spacing w:after="0" w:line="240" w:lineRule="auto"/>
        <w:ind w:left="0"/>
        <w:jc w:val="both"/>
        <w:rPr>
          <w:rFonts w:ascii="Arial" w:hAnsi="Arial" w:cs="Arial"/>
          <w:b/>
          <w:sz w:val="24"/>
          <w:szCs w:val="24"/>
        </w:rPr>
      </w:pPr>
      <w:r w:rsidRPr="00C71D82">
        <w:rPr>
          <w:rFonts w:ascii="Arial" w:hAnsi="Arial" w:cs="Arial"/>
          <w:b/>
          <w:sz w:val="24"/>
          <w:szCs w:val="24"/>
        </w:rPr>
        <w:t>MAINGA JA</w:t>
      </w:r>
    </w:p>
    <w:p w:rsidR="00C71D82" w:rsidRDefault="00C71D82" w:rsidP="001D20F2">
      <w:pPr>
        <w:pStyle w:val="ListParagraph"/>
        <w:spacing w:after="0" w:line="240" w:lineRule="auto"/>
        <w:ind w:left="0"/>
        <w:jc w:val="both"/>
        <w:rPr>
          <w:rFonts w:ascii="Arial" w:hAnsi="Arial" w:cs="Arial"/>
          <w:sz w:val="24"/>
          <w:szCs w:val="24"/>
        </w:rPr>
      </w:pPr>
    </w:p>
    <w:p w:rsidR="00C71D82" w:rsidRDefault="00C71D82" w:rsidP="001D20F2">
      <w:pPr>
        <w:pStyle w:val="ListParagraph"/>
        <w:spacing w:after="0" w:line="240" w:lineRule="auto"/>
        <w:ind w:left="0"/>
        <w:jc w:val="both"/>
        <w:rPr>
          <w:rFonts w:ascii="Arial" w:hAnsi="Arial" w:cs="Arial"/>
          <w:sz w:val="24"/>
          <w:szCs w:val="24"/>
        </w:rPr>
      </w:pPr>
    </w:p>
    <w:p w:rsidR="00CD4053" w:rsidRDefault="00CD4053" w:rsidP="001D20F2">
      <w:pPr>
        <w:pStyle w:val="ListParagraph"/>
        <w:spacing w:after="0" w:line="240" w:lineRule="auto"/>
        <w:ind w:left="0"/>
        <w:jc w:val="both"/>
        <w:rPr>
          <w:rFonts w:ascii="Arial" w:hAnsi="Arial" w:cs="Arial"/>
          <w:sz w:val="24"/>
          <w:szCs w:val="24"/>
        </w:rPr>
      </w:pPr>
      <w:r>
        <w:rPr>
          <w:rFonts w:ascii="Arial" w:hAnsi="Arial" w:cs="Arial"/>
          <w:sz w:val="24"/>
          <w:szCs w:val="24"/>
        </w:rPr>
        <w:t>________________________</w:t>
      </w:r>
    </w:p>
    <w:p w:rsidR="00CD4053" w:rsidRPr="00C71D82" w:rsidRDefault="00CD4053" w:rsidP="001D20F2">
      <w:pPr>
        <w:pStyle w:val="ListParagraph"/>
        <w:spacing w:after="0" w:line="240" w:lineRule="auto"/>
        <w:ind w:left="0"/>
        <w:jc w:val="both"/>
        <w:rPr>
          <w:rFonts w:ascii="Arial" w:hAnsi="Arial" w:cs="Arial"/>
          <w:b/>
          <w:sz w:val="24"/>
          <w:szCs w:val="24"/>
        </w:rPr>
      </w:pPr>
      <w:r w:rsidRPr="00C71D82">
        <w:rPr>
          <w:rFonts w:ascii="Arial" w:hAnsi="Arial" w:cs="Arial"/>
          <w:b/>
          <w:sz w:val="24"/>
          <w:szCs w:val="24"/>
        </w:rPr>
        <w:t>SMUTS JA</w:t>
      </w:r>
    </w:p>
    <w:p w:rsidR="00CD4053" w:rsidRDefault="00CD4053" w:rsidP="001D20F2">
      <w:pPr>
        <w:rPr>
          <w:lang w:val="en-US"/>
        </w:rPr>
      </w:pPr>
    </w:p>
    <w:p w:rsidR="00796079" w:rsidRPr="009A6784" w:rsidRDefault="00796079" w:rsidP="001D20F2">
      <w:pPr>
        <w:pStyle w:val="ListParagraph"/>
        <w:spacing w:after="0" w:line="480" w:lineRule="auto"/>
        <w:ind w:left="0"/>
        <w:jc w:val="both"/>
        <w:rPr>
          <w:rFonts w:ascii="Arial" w:hAnsi="Arial" w:cs="Arial"/>
          <w:sz w:val="24"/>
          <w:szCs w:val="24"/>
        </w:rPr>
      </w:pPr>
      <w:r w:rsidRPr="009A6784">
        <w:rPr>
          <w:rFonts w:ascii="Arial" w:hAnsi="Arial" w:cs="Arial"/>
          <w:sz w:val="24"/>
          <w:szCs w:val="24"/>
        </w:rPr>
        <w:lastRenderedPageBreak/>
        <w:t>APPEARANCES</w:t>
      </w:r>
      <w:r w:rsidR="00CD4053">
        <w:rPr>
          <w:rFonts w:ascii="Arial" w:hAnsi="Arial" w:cs="Arial"/>
          <w:sz w:val="24"/>
          <w:szCs w:val="24"/>
        </w:rPr>
        <w:t>:</w:t>
      </w:r>
    </w:p>
    <w:tbl>
      <w:tblPr>
        <w:tblW w:w="0" w:type="auto"/>
        <w:tblLook w:val="04A0" w:firstRow="1" w:lastRow="0" w:firstColumn="1" w:lastColumn="0" w:noHBand="0" w:noVBand="1"/>
      </w:tblPr>
      <w:tblGrid>
        <w:gridCol w:w="4805"/>
        <w:gridCol w:w="3982"/>
      </w:tblGrid>
      <w:tr w:rsidR="00117538" w:rsidRPr="009A6784" w:rsidTr="00347E89">
        <w:tc>
          <w:tcPr>
            <w:tcW w:w="4928" w:type="dxa"/>
            <w:shd w:val="clear" w:color="auto" w:fill="auto"/>
          </w:tcPr>
          <w:p w:rsidR="00796079" w:rsidRPr="009A6784" w:rsidRDefault="00796079" w:rsidP="008A337A">
            <w:pPr>
              <w:spacing w:line="480" w:lineRule="auto"/>
              <w:rPr>
                <w:lang w:val="nl-NL"/>
              </w:rPr>
            </w:pPr>
            <w:r w:rsidRPr="009A6784">
              <w:rPr>
                <w:lang w:val="nl-NL"/>
              </w:rPr>
              <w:t>APPELLANT:</w:t>
            </w:r>
          </w:p>
        </w:tc>
        <w:tc>
          <w:tcPr>
            <w:tcW w:w="4075" w:type="dxa"/>
            <w:shd w:val="clear" w:color="auto" w:fill="auto"/>
          </w:tcPr>
          <w:p w:rsidR="00796079" w:rsidRPr="009A6784" w:rsidRDefault="00796079" w:rsidP="008A337A">
            <w:pPr>
              <w:spacing w:line="480" w:lineRule="auto"/>
              <w:rPr>
                <w:lang w:val="nl-NL"/>
              </w:rPr>
            </w:pPr>
            <w:r w:rsidRPr="009A6784">
              <w:rPr>
                <w:lang w:val="nl-NL"/>
              </w:rPr>
              <w:t>A</w:t>
            </w:r>
            <w:r w:rsidR="00CD4053">
              <w:rPr>
                <w:lang w:val="nl-NL"/>
              </w:rPr>
              <w:t xml:space="preserve"> </w:t>
            </w:r>
            <w:r w:rsidRPr="009A6784">
              <w:rPr>
                <w:lang w:val="nl-NL"/>
              </w:rPr>
              <w:t>H</w:t>
            </w:r>
            <w:r w:rsidR="00CD4053">
              <w:rPr>
                <w:lang w:val="nl-NL"/>
              </w:rPr>
              <w:t xml:space="preserve"> </w:t>
            </w:r>
            <w:r w:rsidRPr="009A6784">
              <w:rPr>
                <w:lang w:val="nl-NL"/>
              </w:rPr>
              <w:t>G Denk</w:t>
            </w:r>
          </w:p>
          <w:p w:rsidR="00796079" w:rsidRPr="009A6784" w:rsidRDefault="00117538" w:rsidP="008A337A">
            <w:pPr>
              <w:spacing w:line="480" w:lineRule="auto"/>
              <w:rPr>
                <w:lang w:val="nl-NL"/>
              </w:rPr>
            </w:pPr>
            <w:r w:rsidRPr="009A6784">
              <w:rPr>
                <w:lang w:val="nl-NL"/>
              </w:rPr>
              <w:t xml:space="preserve">Instructed </w:t>
            </w:r>
            <w:r w:rsidR="00796079" w:rsidRPr="009A6784">
              <w:rPr>
                <w:lang w:val="nl-NL"/>
              </w:rPr>
              <w:t xml:space="preserve">by </w:t>
            </w:r>
            <w:r w:rsidR="00E01F7D">
              <w:rPr>
                <w:lang w:val="nl-NL"/>
              </w:rPr>
              <w:t>Ensafrica</w:t>
            </w:r>
            <w:bookmarkStart w:id="0" w:name="_GoBack"/>
            <w:bookmarkEnd w:id="0"/>
            <w:r w:rsidR="00F81255">
              <w:rPr>
                <w:lang w:val="nl-NL"/>
              </w:rPr>
              <w:t xml:space="preserve"> N</w:t>
            </w:r>
            <w:r w:rsidR="00F81255" w:rsidRPr="009A6784">
              <w:rPr>
                <w:lang w:val="nl-NL"/>
              </w:rPr>
              <w:t>amibia. Inc</w:t>
            </w:r>
            <w:r w:rsidRPr="009A6784">
              <w:rPr>
                <w:lang w:val="nl-NL"/>
              </w:rPr>
              <w:t xml:space="preserve"> (LorentzAngula Inc)</w:t>
            </w:r>
            <w:r w:rsidR="00796079" w:rsidRPr="009A6784">
              <w:rPr>
                <w:lang w:val="nl-NL"/>
              </w:rPr>
              <w:t xml:space="preserve"> </w:t>
            </w:r>
          </w:p>
        </w:tc>
      </w:tr>
      <w:tr w:rsidR="00117538" w:rsidRPr="009A6784" w:rsidTr="00347E89">
        <w:tc>
          <w:tcPr>
            <w:tcW w:w="4928" w:type="dxa"/>
            <w:shd w:val="clear" w:color="auto" w:fill="auto"/>
          </w:tcPr>
          <w:p w:rsidR="00796079" w:rsidRPr="009A6784" w:rsidRDefault="00796079" w:rsidP="008A337A">
            <w:pPr>
              <w:spacing w:line="480" w:lineRule="auto"/>
            </w:pPr>
          </w:p>
        </w:tc>
        <w:tc>
          <w:tcPr>
            <w:tcW w:w="4075" w:type="dxa"/>
            <w:shd w:val="clear" w:color="auto" w:fill="auto"/>
          </w:tcPr>
          <w:p w:rsidR="00796079" w:rsidRPr="009A6784" w:rsidRDefault="00796079" w:rsidP="008A337A">
            <w:pPr>
              <w:spacing w:line="480" w:lineRule="auto"/>
            </w:pPr>
          </w:p>
        </w:tc>
      </w:tr>
      <w:tr w:rsidR="00117538" w:rsidRPr="009A6784" w:rsidTr="00347E89">
        <w:trPr>
          <w:trHeight w:val="328"/>
        </w:trPr>
        <w:tc>
          <w:tcPr>
            <w:tcW w:w="4928" w:type="dxa"/>
            <w:shd w:val="clear" w:color="auto" w:fill="auto"/>
          </w:tcPr>
          <w:p w:rsidR="00E35C89" w:rsidRDefault="00E35C89" w:rsidP="008A337A">
            <w:pPr>
              <w:spacing w:line="480" w:lineRule="auto"/>
            </w:pPr>
          </w:p>
          <w:p w:rsidR="00796079" w:rsidRPr="009A6784" w:rsidRDefault="00796079" w:rsidP="008A337A">
            <w:pPr>
              <w:spacing w:line="480" w:lineRule="auto"/>
            </w:pPr>
            <w:r w:rsidRPr="009A6784">
              <w:t>RESPONDENT:</w:t>
            </w:r>
          </w:p>
        </w:tc>
        <w:tc>
          <w:tcPr>
            <w:tcW w:w="4075" w:type="dxa"/>
            <w:shd w:val="clear" w:color="auto" w:fill="auto"/>
          </w:tcPr>
          <w:p w:rsidR="00CD4053" w:rsidRDefault="00CD4053" w:rsidP="008A337A">
            <w:pPr>
              <w:spacing w:line="480" w:lineRule="auto"/>
            </w:pPr>
          </w:p>
          <w:p w:rsidR="00796079" w:rsidRPr="009A6784" w:rsidRDefault="00387028" w:rsidP="008A337A">
            <w:pPr>
              <w:spacing w:line="480" w:lineRule="auto"/>
            </w:pPr>
            <w:r w:rsidRPr="009A6784">
              <w:t>M N</w:t>
            </w:r>
            <w:r w:rsidR="00941B79">
              <w:t>tinda</w:t>
            </w:r>
          </w:p>
          <w:p w:rsidR="00796079" w:rsidRPr="009A6784" w:rsidRDefault="00763AB2" w:rsidP="008A337A">
            <w:pPr>
              <w:spacing w:line="480" w:lineRule="auto"/>
            </w:pPr>
            <w:r>
              <w:t>o</w:t>
            </w:r>
            <w:r w:rsidR="00CD4053">
              <w:t xml:space="preserve">f </w:t>
            </w:r>
            <w:r w:rsidR="00796079" w:rsidRPr="009A6784">
              <w:t xml:space="preserve"> </w:t>
            </w:r>
            <w:r w:rsidR="00387028" w:rsidRPr="009A6784">
              <w:t>S</w:t>
            </w:r>
            <w:r w:rsidR="00CD4053">
              <w:t xml:space="preserve">isa Namandje &amp; </w:t>
            </w:r>
            <w:r w:rsidR="00F81255">
              <w:t>C</w:t>
            </w:r>
            <w:r w:rsidR="00CD4053">
              <w:t>o</w:t>
            </w:r>
            <w:r w:rsidR="00387028" w:rsidRPr="009A6784">
              <w:t xml:space="preserve"> I</w:t>
            </w:r>
            <w:r w:rsidR="00CD4053">
              <w:t>nc</w:t>
            </w:r>
          </w:p>
        </w:tc>
      </w:tr>
    </w:tbl>
    <w:p w:rsidR="00796079" w:rsidRPr="009A6784" w:rsidRDefault="00796079" w:rsidP="001D20F2">
      <w:pPr>
        <w:pStyle w:val="ListParagraph"/>
        <w:tabs>
          <w:tab w:val="left" w:pos="0"/>
        </w:tabs>
        <w:spacing w:after="0" w:line="480" w:lineRule="auto"/>
        <w:ind w:left="1077"/>
        <w:jc w:val="both"/>
        <w:rPr>
          <w:rFonts w:ascii="Arial" w:hAnsi="Arial" w:cs="Arial"/>
          <w:sz w:val="24"/>
          <w:szCs w:val="24"/>
        </w:rPr>
      </w:pPr>
    </w:p>
    <w:p w:rsidR="00796079" w:rsidRPr="009A6784" w:rsidRDefault="00796079" w:rsidP="001D20F2">
      <w:pPr>
        <w:pStyle w:val="ListParagraph"/>
        <w:spacing w:after="0" w:line="480" w:lineRule="auto"/>
        <w:ind w:left="0"/>
        <w:jc w:val="both"/>
        <w:rPr>
          <w:rFonts w:ascii="Arial" w:hAnsi="Arial" w:cs="Arial"/>
          <w:sz w:val="24"/>
          <w:szCs w:val="24"/>
        </w:rPr>
      </w:pPr>
    </w:p>
    <w:p w:rsidR="00F67158" w:rsidRPr="009A6784" w:rsidRDefault="00304CCC" w:rsidP="001D20F2">
      <w:pPr>
        <w:pStyle w:val="ListParagraph"/>
        <w:spacing w:after="0" w:line="480" w:lineRule="auto"/>
        <w:ind w:left="0"/>
        <w:jc w:val="both"/>
        <w:rPr>
          <w:rFonts w:ascii="Arial" w:hAnsi="Arial" w:cs="Arial"/>
          <w:sz w:val="24"/>
          <w:szCs w:val="24"/>
        </w:rPr>
      </w:pPr>
      <w:r>
        <w:rPr>
          <w:rFonts w:ascii="Arial" w:hAnsi="Arial" w:cs="Arial"/>
          <w:sz w:val="24"/>
          <w:szCs w:val="24"/>
        </w:rPr>
        <w:t xml:space="preserve"> </w:t>
      </w:r>
    </w:p>
    <w:p w:rsidR="00F67158" w:rsidRPr="009A6784" w:rsidRDefault="00F67158" w:rsidP="001D20F2">
      <w:pPr>
        <w:pStyle w:val="ListParagraph"/>
        <w:spacing w:after="0" w:line="480" w:lineRule="auto"/>
        <w:ind w:left="0"/>
        <w:jc w:val="both"/>
        <w:rPr>
          <w:rFonts w:ascii="Arial" w:hAnsi="Arial" w:cs="Arial"/>
          <w:sz w:val="24"/>
          <w:szCs w:val="24"/>
        </w:rPr>
      </w:pPr>
    </w:p>
    <w:p w:rsidR="00F67158" w:rsidRPr="009A6784" w:rsidRDefault="00F67158" w:rsidP="001D20F2">
      <w:pPr>
        <w:pStyle w:val="ListParagraph"/>
        <w:spacing w:after="0" w:line="480" w:lineRule="auto"/>
        <w:ind w:left="0"/>
        <w:jc w:val="both"/>
        <w:rPr>
          <w:rFonts w:ascii="Arial" w:hAnsi="Arial" w:cs="Arial"/>
          <w:sz w:val="24"/>
          <w:szCs w:val="24"/>
        </w:rPr>
      </w:pPr>
    </w:p>
    <w:p w:rsidR="00F67158" w:rsidRPr="009A6784" w:rsidRDefault="00F67158" w:rsidP="001D20F2">
      <w:pPr>
        <w:pStyle w:val="ListParagraph"/>
        <w:spacing w:after="0" w:line="480" w:lineRule="auto"/>
        <w:ind w:left="0"/>
        <w:jc w:val="both"/>
        <w:rPr>
          <w:rFonts w:ascii="Arial" w:hAnsi="Arial" w:cs="Arial"/>
          <w:sz w:val="24"/>
          <w:szCs w:val="24"/>
        </w:rPr>
      </w:pPr>
    </w:p>
    <w:p w:rsidR="00F67158" w:rsidRPr="009A6784" w:rsidRDefault="00F67158" w:rsidP="001D20F2">
      <w:pPr>
        <w:pStyle w:val="ListParagraph"/>
        <w:spacing w:after="0" w:line="480" w:lineRule="auto"/>
        <w:ind w:left="0"/>
        <w:jc w:val="both"/>
        <w:rPr>
          <w:rFonts w:ascii="Arial" w:hAnsi="Arial" w:cs="Arial"/>
          <w:sz w:val="24"/>
          <w:szCs w:val="24"/>
        </w:rPr>
      </w:pPr>
    </w:p>
    <w:sectPr w:rsidR="00F67158" w:rsidRPr="009A6784" w:rsidSect="009F1E42">
      <w:headerReference w:type="default" r:id="rId9"/>
      <w:pgSz w:w="11906" w:h="16838" w:code="9"/>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36" w:rsidRDefault="00EB3D36" w:rsidP="00FA4FE3">
      <w:r>
        <w:separator/>
      </w:r>
    </w:p>
  </w:endnote>
  <w:endnote w:type="continuationSeparator" w:id="0">
    <w:p w:rsidR="00EB3D36" w:rsidRDefault="00EB3D36" w:rsidP="00FA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36" w:rsidRDefault="00EB3D36" w:rsidP="00FA4FE3">
      <w:r>
        <w:separator/>
      </w:r>
    </w:p>
  </w:footnote>
  <w:footnote w:type="continuationSeparator" w:id="0">
    <w:p w:rsidR="00EB3D36" w:rsidRDefault="00EB3D36" w:rsidP="00FA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35335"/>
      <w:docPartObj>
        <w:docPartGallery w:val="Page Numbers (Top of Page)"/>
        <w:docPartUnique/>
      </w:docPartObj>
    </w:sdtPr>
    <w:sdtEndPr>
      <w:rPr>
        <w:noProof/>
      </w:rPr>
    </w:sdtEndPr>
    <w:sdtContent>
      <w:p w:rsidR="005D0524" w:rsidRDefault="00670219">
        <w:pPr>
          <w:pStyle w:val="Header"/>
          <w:jc w:val="right"/>
        </w:pPr>
        <w:r>
          <w:fldChar w:fldCharType="begin"/>
        </w:r>
        <w:r>
          <w:instrText xml:space="preserve"> PAGE   \* MERGEFORMAT </w:instrText>
        </w:r>
        <w:r>
          <w:fldChar w:fldCharType="separate"/>
        </w:r>
        <w:r w:rsidR="00E01F7D">
          <w:rPr>
            <w:noProof/>
          </w:rPr>
          <w:t>2</w:t>
        </w:r>
        <w:r>
          <w:rPr>
            <w:noProof/>
          </w:rPr>
          <w:fldChar w:fldCharType="end"/>
        </w:r>
      </w:p>
    </w:sdtContent>
  </w:sdt>
  <w:p w:rsidR="005D0524" w:rsidRDefault="005D0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1E1"/>
    <w:multiLevelType w:val="hybridMultilevel"/>
    <w:tmpl w:val="EC4A533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CE5ED1"/>
    <w:multiLevelType w:val="hybridMultilevel"/>
    <w:tmpl w:val="8A36E3DA"/>
    <w:lvl w:ilvl="0" w:tplc="346C7F6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EA747A"/>
    <w:multiLevelType w:val="hybridMultilevel"/>
    <w:tmpl w:val="6E1CC24A"/>
    <w:lvl w:ilvl="0" w:tplc="02EA4A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8B43CA"/>
    <w:multiLevelType w:val="hybridMultilevel"/>
    <w:tmpl w:val="892CECB8"/>
    <w:lvl w:ilvl="0" w:tplc="331E92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00462EA"/>
    <w:multiLevelType w:val="hybridMultilevel"/>
    <w:tmpl w:val="5798E32A"/>
    <w:lvl w:ilvl="0" w:tplc="9760E4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0C4E2B"/>
    <w:multiLevelType w:val="hybridMultilevel"/>
    <w:tmpl w:val="94B45D22"/>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6" w15:restartNumberingAfterBreak="0">
    <w:nsid w:val="237D368E"/>
    <w:multiLevelType w:val="hybridMultilevel"/>
    <w:tmpl w:val="D7241DE2"/>
    <w:lvl w:ilvl="0" w:tplc="3CF01D34">
      <w:start w:val="1"/>
      <w:numFmt w:val="decimal"/>
      <w:lvlText w:val="%1."/>
      <w:lvlJc w:val="left"/>
      <w:pPr>
        <w:ind w:left="1077" w:hanging="360"/>
      </w:pPr>
      <w:rPr>
        <w:rFonts w:hint="default"/>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7" w15:restartNumberingAfterBreak="0">
    <w:nsid w:val="26460759"/>
    <w:multiLevelType w:val="hybridMultilevel"/>
    <w:tmpl w:val="B8D41BE0"/>
    <w:lvl w:ilvl="0" w:tplc="02EA4A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FE07A9"/>
    <w:multiLevelType w:val="hybridMultilevel"/>
    <w:tmpl w:val="A8C2A30A"/>
    <w:lvl w:ilvl="0" w:tplc="5BBA84A2">
      <w:start w:val="1"/>
      <w:numFmt w:val="decimal"/>
      <w:lvlText w:val="[%1]"/>
      <w:lvlJc w:val="left"/>
      <w:pPr>
        <w:ind w:left="1800" w:hanging="360"/>
      </w:pPr>
      <w:rPr>
        <w:rFonts w:ascii="Arial" w:hAnsi="Arial" w:cs="Aria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3769F1"/>
    <w:multiLevelType w:val="hybridMultilevel"/>
    <w:tmpl w:val="2F36B45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9455DA"/>
    <w:multiLevelType w:val="hybridMultilevel"/>
    <w:tmpl w:val="AD2AD9B0"/>
    <w:lvl w:ilvl="0" w:tplc="DEE0EC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064936"/>
    <w:multiLevelType w:val="hybridMultilevel"/>
    <w:tmpl w:val="DB1ECFF2"/>
    <w:lvl w:ilvl="0" w:tplc="1C09000F">
      <w:start w:val="1"/>
      <w:numFmt w:val="decimal"/>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2" w15:restartNumberingAfterBreak="0">
    <w:nsid w:val="52FF4C67"/>
    <w:multiLevelType w:val="hybridMultilevel"/>
    <w:tmpl w:val="AB16DE54"/>
    <w:lvl w:ilvl="0" w:tplc="D114988A">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0351A88"/>
    <w:multiLevelType w:val="hybridMultilevel"/>
    <w:tmpl w:val="D154F96C"/>
    <w:lvl w:ilvl="0" w:tplc="02EA4A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24E3A"/>
    <w:multiLevelType w:val="hybridMultilevel"/>
    <w:tmpl w:val="16284BF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1"/>
  </w:num>
  <w:num w:numId="5">
    <w:abstractNumId w:val="4"/>
  </w:num>
  <w:num w:numId="6">
    <w:abstractNumId w:val="7"/>
  </w:num>
  <w:num w:numId="7">
    <w:abstractNumId w:val="2"/>
  </w:num>
  <w:num w:numId="8">
    <w:abstractNumId w:val="6"/>
  </w:num>
  <w:num w:numId="9">
    <w:abstractNumId w:val="3"/>
  </w:num>
  <w:num w:numId="10">
    <w:abstractNumId w:val="8"/>
  </w:num>
  <w:num w:numId="11">
    <w:abstractNumId w:val="0"/>
  </w:num>
  <w:num w:numId="12">
    <w:abstractNumId w:val="14"/>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90"/>
    <w:rsid w:val="00003C5C"/>
    <w:rsid w:val="00004FCD"/>
    <w:rsid w:val="000050BB"/>
    <w:rsid w:val="000110D1"/>
    <w:rsid w:val="00043B4B"/>
    <w:rsid w:val="00063D81"/>
    <w:rsid w:val="00072150"/>
    <w:rsid w:val="0008521D"/>
    <w:rsid w:val="00087DC7"/>
    <w:rsid w:val="0009698B"/>
    <w:rsid w:val="000A14D3"/>
    <w:rsid w:val="000A4C4D"/>
    <w:rsid w:val="000A6917"/>
    <w:rsid w:val="000B6007"/>
    <w:rsid w:val="000B7308"/>
    <w:rsid w:val="000D6D1F"/>
    <w:rsid w:val="000E3BD6"/>
    <w:rsid w:val="000F04AE"/>
    <w:rsid w:val="000F55C8"/>
    <w:rsid w:val="001028C0"/>
    <w:rsid w:val="00104EBF"/>
    <w:rsid w:val="001065A5"/>
    <w:rsid w:val="00111BBC"/>
    <w:rsid w:val="00115609"/>
    <w:rsid w:val="00117538"/>
    <w:rsid w:val="001178FB"/>
    <w:rsid w:val="001201B6"/>
    <w:rsid w:val="00123C74"/>
    <w:rsid w:val="00124D2E"/>
    <w:rsid w:val="00126519"/>
    <w:rsid w:val="00132955"/>
    <w:rsid w:val="00132CF7"/>
    <w:rsid w:val="00151CEF"/>
    <w:rsid w:val="001524B9"/>
    <w:rsid w:val="0016056B"/>
    <w:rsid w:val="001655F1"/>
    <w:rsid w:val="00165861"/>
    <w:rsid w:val="00165A46"/>
    <w:rsid w:val="001A745D"/>
    <w:rsid w:val="001B01F9"/>
    <w:rsid w:val="001C6FEF"/>
    <w:rsid w:val="001D05E3"/>
    <w:rsid w:val="001D20F2"/>
    <w:rsid w:val="001F1443"/>
    <w:rsid w:val="002059D4"/>
    <w:rsid w:val="00207BED"/>
    <w:rsid w:val="0021607D"/>
    <w:rsid w:val="002164C8"/>
    <w:rsid w:val="00216588"/>
    <w:rsid w:val="00225C16"/>
    <w:rsid w:val="0023009C"/>
    <w:rsid w:val="00233D11"/>
    <w:rsid w:val="00242031"/>
    <w:rsid w:val="00246A9F"/>
    <w:rsid w:val="00271A12"/>
    <w:rsid w:val="00273862"/>
    <w:rsid w:val="002770EE"/>
    <w:rsid w:val="00296460"/>
    <w:rsid w:val="002A14D0"/>
    <w:rsid w:val="002B4743"/>
    <w:rsid w:val="002B7C53"/>
    <w:rsid w:val="002C7425"/>
    <w:rsid w:val="002E09EF"/>
    <w:rsid w:val="002E7795"/>
    <w:rsid w:val="003046C3"/>
    <w:rsid w:val="00304CCC"/>
    <w:rsid w:val="0031174F"/>
    <w:rsid w:val="0032358F"/>
    <w:rsid w:val="00332FD8"/>
    <w:rsid w:val="00337481"/>
    <w:rsid w:val="00343FE6"/>
    <w:rsid w:val="00347E89"/>
    <w:rsid w:val="00360F21"/>
    <w:rsid w:val="00361BF5"/>
    <w:rsid w:val="00372C47"/>
    <w:rsid w:val="00387028"/>
    <w:rsid w:val="003A0B75"/>
    <w:rsid w:val="003A25A2"/>
    <w:rsid w:val="003A2C8F"/>
    <w:rsid w:val="003A4756"/>
    <w:rsid w:val="003B0D1E"/>
    <w:rsid w:val="003B3224"/>
    <w:rsid w:val="003C39A4"/>
    <w:rsid w:val="003C3E74"/>
    <w:rsid w:val="003C4DE9"/>
    <w:rsid w:val="003D1A61"/>
    <w:rsid w:val="003D35E6"/>
    <w:rsid w:val="003D64F5"/>
    <w:rsid w:val="003E5A71"/>
    <w:rsid w:val="003E6483"/>
    <w:rsid w:val="003F77BF"/>
    <w:rsid w:val="00401E7C"/>
    <w:rsid w:val="00402A92"/>
    <w:rsid w:val="00413572"/>
    <w:rsid w:val="00416943"/>
    <w:rsid w:val="004247EB"/>
    <w:rsid w:val="00447437"/>
    <w:rsid w:val="00461A67"/>
    <w:rsid w:val="0046288F"/>
    <w:rsid w:val="00463EA9"/>
    <w:rsid w:val="00466B06"/>
    <w:rsid w:val="00490414"/>
    <w:rsid w:val="00495B22"/>
    <w:rsid w:val="004A5541"/>
    <w:rsid w:val="004C622D"/>
    <w:rsid w:val="004D08FE"/>
    <w:rsid w:val="004D6FCE"/>
    <w:rsid w:val="004D761E"/>
    <w:rsid w:val="004F2A34"/>
    <w:rsid w:val="00501602"/>
    <w:rsid w:val="005030DA"/>
    <w:rsid w:val="00503C55"/>
    <w:rsid w:val="0051205F"/>
    <w:rsid w:val="00516280"/>
    <w:rsid w:val="00520FB8"/>
    <w:rsid w:val="0052202E"/>
    <w:rsid w:val="005224F3"/>
    <w:rsid w:val="0052559E"/>
    <w:rsid w:val="0053132C"/>
    <w:rsid w:val="0053523D"/>
    <w:rsid w:val="00540A86"/>
    <w:rsid w:val="00543693"/>
    <w:rsid w:val="00554650"/>
    <w:rsid w:val="005673DB"/>
    <w:rsid w:val="00567A6B"/>
    <w:rsid w:val="00570D36"/>
    <w:rsid w:val="0057236A"/>
    <w:rsid w:val="0057441B"/>
    <w:rsid w:val="00574AB7"/>
    <w:rsid w:val="005A2134"/>
    <w:rsid w:val="005B7C12"/>
    <w:rsid w:val="005C7CA8"/>
    <w:rsid w:val="005D0524"/>
    <w:rsid w:val="005D61D0"/>
    <w:rsid w:val="005D6247"/>
    <w:rsid w:val="005E3978"/>
    <w:rsid w:val="005F2C73"/>
    <w:rsid w:val="005F65A2"/>
    <w:rsid w:val="006109F8"/>
    <w:rsid w:val="00613909"/>
    <w:rsid w:val="006421C2"/>
    <w:rsid w:val="0064537F"/>
    <w:rsid w:val="006513C2"/>
    <w:rsid w:val="00652B97"/>
    <w:rsid w:val="00656C59"/>
    <w:rsid w:val="00664AE4"/>
    <w:rsid w:val="00670219"/>
    <w:rsid w:val="006713D1"/>
    <w:rsid w:val="006777DE"/>
    <w:rsid w:val="006826BF"/>
    <w:rsid w:val="006838C8"/>
    <w:rsid w:val="006912B7"/>
    <w:rsid w:val="006A4A7C"/>
    <w:rsid w:val="006B0BAA"/>
    <w:rsid w:val="006B2F65"/>
    <w:rsid w:val="006B7765"/>
    <w:rsid w:val="006C461E"/>
    <w:rsid w:val="006C7246"/>
    <w:rsid w:val="006E16AE"/>
    <w:rsid w:val="006E28CA"/>
    <w:rsid w:val="006E70D6"/>
    <w:rsid w:val="006F29B8"/>
    <w:rsid w:val="006F3F43"/>
    <w:rsid w:val="006F7C79"/>
    <w:rsid w:val="00705B7C"/>
    <w:rsid w:val="0071050E"/>
    <w:rsid w:val="00714A5C"/>
    <w:rsid w:val="007155B4"/>
    <w:rsid w:val="00716145"/>
    <w:rsid w:val="00716A00"/>
    <w:rsid w:val="00723713"/>
    <w:rsid w:val="00724FEF"/>
    <w:rsid w:val="00751FCB"/>
    <w:rsid w:val="007530EF"/>
    <w:rsid w:val="007624D2"/>
    <w:rsid w:val="00763AB2"/>
    <w:rsid w:val="00764E9E"/>
    <w:rsid w:val="0077377A"/>
    <w:rsid w:val="00775F24"/>
    <w:rsid w:val="00780C27"/>
    <w:rsid w:val="00784D38"/>
    <w:rsid w:val="007866EC"/>
    <w:rsid w:val="00787CF8"/>
    <w:rsid w:val="007914B1"/>
    <w:rsid w:val="00796079"/>
    <w:rsid w:val="007A3AE1"/>
    <w:rsid w:val="007B0C5F"/>
    <w:rsid w:val="007B67D2"/>
    <w:rsid w:val="007B7408"/>
    <w:rsid w:val="007D044D"/>
    <w:rsid w:val="007E361D"/>
    <w:rsid w:val="007E3C8D"/>
    <w:rsid w:val="007E4566"/>
    <w:rsid w:val="008011C0"/>
    <w:rsid w:val="008016CC"/>
    <w:rsid w:val="008028B2"/>
    <w:rsid w:val="00803679"/>
    <w:rsid w:val="008048FA"/>
    <w:rsid w:val="008051CC"/>
    <w:rsid w:val="0081685F"/>
    <w:rsid w:val="00817B2C"/>
    <w:rsid w:val="0082079C"/>
    <w:rsid w:val="00823F8C"/>
    <w:rsid w:val="008308AA"/>
    <w:rsid w:val="008322B6"/>
    <w:rsid w:val="00832BD7"/>
    <w:rsid w:val="00833796"/>
    <w:rsid w:val="00834C79"/>
    <w:rsid w:val="008546E0"/>
    <w:rsid w:val="0085682E"/>
    <w:rsid w:val="0086297D"/>
    <w:rsid w:val="00866D1C"/>
    <w:rsid w:val="00875E10"/>
    <w:rsid w:val="0088000E"/>
    <w:rsid w:val="0088048B"/>
    <w:rsid w:val="008805BF"/>
    <w:rsid w:val="008829F4"/>
    <w:rsid w:val="00883F93"/>
    <w:rsid w:val="00885544"/>
    <w:rsid w:val="00892ED0"/>
    <w:rsid w:val="008A337A"/>
    <w:rsid w:val="008A38F7"/>
    <w:rsid w:val="008A4A2A"/>
    <w:rsid w:val="008B41A7"/>
    <w:rsid w:val="008C0355"/>
    <w:rsid w:val="008D0179"/>
    <w:rsid w:val="008E4E4E"/>
    <w:rsid w:val="008F01A0"/>
    <w:rsid w:val="008F159B"/>
    <w:rsid w:val="008F708B"/>
    <w:rsid w:val="009039D5"/>
    <w:rsid w:val="00903BE9"/>
    <w:rsid w:val="00934A15"/>
    <w:rsid w:val="00941B79"/>
    <w:rsid w:val="0094235F"/>
    <w:rsid w:val="00942AA4"/>
    <w:rsid w:val="00967657"/>
    <w:rsid w:val="009824B3"/>
    <w:rsid w:val="009838BB"/>
    <w:rsid w:val="00995F58"/>
    <w:rsid w:val="009960A9"/>
    <w:rsid w:val="009A1018"/>
    <w:rsid w:val="009A6784"/>
    <w:rsid w:val="009B691F"/>
    <w:rsid w:val="009C06FB"/>
    <w:rsid w:val="009C56E5"/>
    <w:rsid w:val="009C6AC2"/>
    <w:rsid w:val="009D16D6"/>
    <w:rsid w:val="009D7DC2"/>
    <w:rsid w:val="009F1E42"/>
    <w:rsid w:val="009F229F"/>
    <w:rsid w:val="009F3874"/>
    <w:rsid w:val="009F5046"/>
    <w:rsid w:val="00A061BB"/>
    <w:rsid w:val="00A24606"/>
    <w:rsid w:val="00A260B2"/>
    <w:rsid w:val="00A313D2"/>
    <w:rsid w:val="00A42BFD"/>
    <w:rsid w:val="00A55DA2"/>
    <w:rsid w:val="00A675ED"/>
    <w:rsid w:val="00A82DA4"/>
    <w:rsid w:val="00A9149E"/>
    <w:rsid w:val="00A95673"/>
    <w:rsid w:val="00AA32B1"/>
    <w:rsid w:val="00AB1EBE"/>
    <w:rsid w:val="00AB31E1"/>
    <w:rsid w:val="00AB71F6"/>
    <w:rsid w:val="00AC1B27"/>
    <w:rsid w:val="00B04BC3"/>
    <w:rsid w:val="00B07C7A"/>
    <w:rsid w:val="00B243E9"/>
    <w:rsid w:val="00B33F5D"/>
    <w:rsid w:val="00B4106C"/>
    <w:rsid w:val="00B42724"/>
    <w:rsid w:val="00B43D3B"/>
    <w:rsid w:val="00B51928"/>
    <w:rsid w:val="00B5344F"/>
    <w:rsid w:val="00B66077"/>
    <w:rsid w:val="00B70EB0"/>
    <w:rsid w:val="00B83225"/>
    <w:rsid w:val="00B967AC"/>
    <w:rsid w:val="00BB1692"/>
    <w:rsid w:val="00BB2582"/>
    <w:rsid w:val="00BB4A6E"/>
    <w:rsid w:val="00BC225D"/>
    <w:rsid w:val="00BC4221"/>
    <w:rsid w:val="00BD2973"/>
    <w:rsid w:val="00BF00A4"/>
    <w:rsid w:val="00C16B9F"/>
    <w:rsid w:val="00C247EC"/>
    <w:rsid w:val="00C32C22"/>
    <w:rsid w:val="00C46909"/>
    <w:rsid w:val="00C47CE3"/>
    <w:rsid w:val="00C5309E"/>
    <w:rsid w:val="00C55ABF"/>
    <w:rsid w:val="00C71902"/>
    <w:rsid w:val="00C71D82"/>
    <w:rsid w:val="00C7349D"/>
    <w:rsid w:val="00C91FBE"/>
    <w:rsid w:val="00CA75F5"/>
    <w:rsid w:val="00CB6090"/>
    <w:rsid w:val="00CD069B"/>
    <w:rsid w:val="00CD4053"/>
    <w:rsid w:val="00CD508D"/>
    <w:rsid w:val="00CE2DF9"/>
    <w:rsid w:val="00CE5B35"/>
    <w:rsid w:val="00CF030F"/>
    <w:rsid w:val="00CF7075"/>
    <w:rsid w:val="00D17FAF"/>
    <w:rsid w:val="00D32952"/>
    <w:rsid w:val="00D35900"/>
    <w:rsid w:val="00D3724A"/>
    <w:rsid w:val="00D70ACE"/>
    <w:rsid w:val="00D73190"/>
    <w:rsid w:val="00D92232"/>
    <w:rsid w:val="00D941F5"/>
    <w:rsid w:val="00D95880"/>
    <w:rsid w:val="00D95889"/>
    <w:rsid w:val="00DA0209"/>
    <w:rsid w:val="00DA2652"/>
    <w:rsid w:val="00DA4B3F"/>
    <w:rsid w:val="00DA5580"/>
    <w:rsid w:val="00DB2A13"/>
    <w:rsid w:val="00DB7C9C"/>
    <w:rsid w:val="00DC408A"/>
    <w:rsid w:val="00DD37B8"/>
    <w:rsid w:val="00DD3D5C"/>
    <w:rsid w:val="00DE1F2A"/>
    <w:rsid w:val="00DE7A30"/>
    <w:rsid w:val="00DF1FC4"/>
    <w:rsid w:val="00DF3233"/>
    <w:rsid w:val="00DF3DBF"/>
    <w:rsid w:val="00DF74BA"/>
    <w:rsid w:val="00E01F7D"/>
    <w:rsid w:val="00E058AD"/>
    <w:rsid w:val="00E33F7F"/>
    <w:rsid w:val="00E35C89"/>
    <w:rsid w:val="00E435F3"/>
    <w:rsid w:val="00E47E8E"/>
    <w:rsid w:val="00E50548"/>
    <w:rsid w:val="00E662F3"/>
    <w:rsid w:val="00E7342B"/>
    <w:rsid w:val="00E93E77"/>
    <w:rsid w:val="00EA05B8"/>
    <w:rsid w:val="00EA11C7"/>
    <w:rsid w:val="00EA235A"/>
    <w:rsid w:val="00EA3136"/>
    <w:rsid w:val="00EA60D9"/>
    <w:rsid w:val="00EB05B6"/>
    <w:rsid w:val="00EB20DD"/>
    <w:rsid w:val="00EB3D36"/>
    <w:rsid w:val="00EB6561"/>
    <w:rsid w:val="00EC5F9D"/>
    <w:rsid w:val="00EC771D"/>
    <w:rsid w:val="00ED2A77"/>
    <w:rsid w:val="00ED5192"/>
    <w:rsid w:val="00EE3003"/>
    <w:rsid w:val="00EF1734"/>
    <w:rsid w:val="00F00A7A"/>
    <w:rsid w:val="00F04F90"/>
    <w:rsid w:val="00F13F19"/>
    <w:rsid w:val="00F272B7"/>
    <w:rsid w:val="00F67158"/>
    <w:rsid w:val="00F75D93"/>
    <w:rsid w:val="00F80220"/>
    <w:rsid w:val="00F81255"/>
    <w:rsid w:val="00F84290"/>
    <w:rsid w:val="00F858FE"/>
    <w:rsid w:val="00F90F68"/>
    <w:rsid w:val="00F9276B"/>
    <w:rsid w:val="00FA4FE3"/>
    <w:rsid w:val="00FA6B7B"/>
    <w:rsid w:val="00FB1FB4"/>
    <w:rsid w:val="00FB2B65"/>
    <w:rsid w:val="00FC6846"/>
    <w:rsid w:val="00FD0338"/>
    <w:rsid w:val="00FD7656"/>
    <w:rsid w:val="00FD7980"/>
    <w:rsid w:val="00FE1105"/>
    <w:rsid w:val="00FE23CB"/>
    <w:rsid w:val="00FE799F"/>
    <w:rsid w:val="00FF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69162-95EC-43C1-9DF6-5A8B5D29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917"/>
    <w:pPr>
      <w:framePr w:w="7920" w:h="1980" w:hRule="exact" w:hSpace="180" w:wrap="auto" w:hAnchor="page" w:xAlign="center" w:yAlign="bottom"/>
      <w:ind w:left="2880"/>
    </w:pPr>
    <w:rPr>
      <w:rFonts w:eastAsiaTheme="majorEastAsia" w:cstheme="majorBidi"/>
      <w:sz w:val="22"/>
    </w:rPr>
  </w:style>
  <w:style w:type="paragraph" w:styleId="NormalWeb">
    <w:name w:val="Normal (Web)"/>
    <w:basedOn w:val="Normal"/>
    <w:uiPriority w:val="99"/>
    <w:unhideWhenUsed/>
    <w:rsid w:val="00F04F90"/>
    <w:pPr>
      <w:spacing w:before="100" w:beforeAutospacing="1" w:after="100" w:afterAutospacing="1"/>
      <w:jc w:val="left"/>
    </w:pPr>
    <w:rPr>
      <w:rFonts w:ascii="Times New Roman" w:eastAsia="Times New Roman" w:hAnsi="Times New Roman" w:cs="Times New Roman"/>
      <w:lang w:eastAsia="en-ZA"/>
    </w:rPr>
  </w:style>
  <w:style w:type="character" w:customStyle="1" w:styleId="apple-converted-space">
    <w:name w:val="apple-converted-space"/>
    <w:basedOn w:val="DefaultParagraphFont"/>
    <w:rsid w:val="00F04F90"/>
  </w:style>
  <w:style w:type="paragraph" w:styleId="FootnoteText">
    <w:name w:val="footnote text"/>
    <w:basedOn w:val="Normal"/>
    <w:link w:val="FootnoteTextChar"/>
    <w:uiPriority w:val="99"/>
    <w:unhideWhenUsed/>
    <w:rsid w:val="00FA4FE3"/>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A4FE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A4FE3"/>
    <w:rPr>
      <w:vertAlign w:val="superscript"/>
    </w:rPr>
  </w:style>
  <w:style w:type="paragraph" w:styleId="BodyText">
    <w:name w:val="Body Text"/>
    <w:basedOn w:val="Normal"/>
    <w:link w:val="BodyTextChar"/>
    <w:uiPriority w:val="99"/>
    <w:rsid w:val="00F9276B"/>
    <w:pPr>
      <w:spacing w:line="48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rsid w:val="00F9276B"/>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F9276B"/>
    <w:pPr>
      <w:spacing w:after="200" w:line="276" w:lineRule="auto"/>
      <w:ind w:left="720"/>
      <w:contextualSpacing/>
      <w:jc w:val="left"/>
    </w:pPr>
    <w:rPr>
      <w:rFonts w:asciiTheme="minorHAnsi" w:hAnsiTheme="minorHAnsi" w:cstheme="minorBidi"/>
      <w:sz w:val="22"/>
      <w:szCs w:val="22"/>
      <w:lang w:val="en-US"/>
    </w:rPr>
  </w:style>
  <w:style w:type="paragraph" w:styleId="Header">
    <w:name w:val="header"/>
    <w:basedOn w:val="Normal"/>
    <w:link w:val="HeaderChar"/>
    <w:uiPriority w:val="99"/>
    <w:unhideWhenUsed/>
    <w:rsid w:val="009F1E42"/>
    <w:pPr>
      <w:tabs>
        <w:tab w:val="center" w:pos="4513"/>
        <w:tab w:val="right" w:pos="9026"/>
      </w:tabs>
    </w:pPr>
  </w:style>
  <w:style w:type="character" w:customStyle="1" w:styleId="HeaderChar">
    <w:name w:val="Header Char"/>
    <w:basedOn w:val="DefaultParagraphFont"/>
    <w:link w:val="Header"/>
    <w:uiPriority w:val="99"/>
    <w:rsid w:val="009F1E42"/>
  </w:style>
  <w:style w:type="paragraph" w:styleId="Footer">
    <w:name w:val="footer"/>
    <w:basedOn w:val="Normal"/>
    <w:link w:val="FooterChar"/>
    <w:uiPriority w:val="99"/>
    <w:unhideWhenUsed/>
    <w:rsid w:val="009F1E42"/>
    <w:pPr>
      <w:tabs>
        <w:tab w:val="center" w:pos="4513"/>
        <w:tab w:val="right" w:pos="9026"/>
      </w:tabs>
    </w:pPr>
  </w:style>
  <w:style w:type="character" w:customStyle="1" w:styleId="FooterChar">
    <w:name w:val="Footer Char"/>
    <w:basedOn w:val="DefaultParagraphFont"/>
    <w:link w:val="Footer"/>
    <w:uiPriority w:val="99"/>
    <w:rsid w:val="009F1E42"/>
  </w:style>
  <w:style w:type="paragraph" w:styleId="BalloonText">
    <w:name w:val="Balloon Text"/>
    <w:basedOn w:val="Normal"/>
    <w:link w:val="BalloonTextChar"/>
    <w:uiPriority w:val="99"/>
    <w:semiHidden/>
    <w:unhideWhenUsed/>
    <w:rsid w:val="008546E0"/>
    <w:rPr>
      <w:rFonts w:ascii="Tahoma" w:hAnsi="Tahoma" w:cs="Tahoma"/>
      <w:sz w:val="16"/>
      <w:szCs w:val="16"/>
    </w:rPr>
  </w:style>
  <w:style w:type="character" w:customStyle="1" w:styleId="BalloonTextChar">
    <w:name w:val="Balloon Text Char"/>
    <w:basedOn w:val="DefaultParagraphFont"/>
    <w:link w:val="BalloonText"/>
    <w:uiPriority w:val="99"/>
    <w:semiHidden/>
    <w:rsid w:val="008546E0"/>
    <w:rPr>
      <w:rFonts w:ascii="Tahoma" w:hAnsi="Tahoma" w:cs="Tahoma"/>
      <w:sz w:val="16"/>
      <w:szCs w:val="16"/>
    </w:rPr>
  </w:style>
  <w:style w:type="character" w:styleId="CommentReference">
    <w:name w:val="annotation reference"/>
    <w:basedOn w:val="DefaultParagraphFont"/>
    <w:uiPriority w:val="99"/>
    <w:semiHidden/>
    <w:unhideWhenUsed/>
    <w:rsid w:val="0032358F"/>
    <w:rPr>
      <w:sz w:val="16"/>
      <w:szCs w:val="16"/>
    </w:rPr>
  </w:style>
  <w:style w:type="paragraph" w:styleId="CommentText">
    <w:name w:val="annotation text"/>
    <w:basedOn w:val="Normal"/>
    <w:link w:val="CommentTextChar"/>
    <w:uiPriority w:val="99"/>
    <w:semiHidden/>
    <w:unhideWhenUsed/>
    <w:rsid w:val="0032358F"/>
    <w:rPr>
      <w:sz w:val="20"/>
      <w:szCs w:val="20"/>
    </w:rPr>
  </w:style>
  <w:style w:type="character" w:customStyle="1" w:styleId="CommentTextChar">
    <w:name w:val="Comment Text Char"/>
    <w:basedOn w:val="DefaultParagraphFont"/>
    <w:link w:val="CommentText"/>
    <w:uiPriority w:val="99"/>
    <w:semiHidden/>
    <w:rsid w:val="0032358F"/>
    <w:rPr>
      <w:sz w:val="20"/>
      <w:szCs w:val="20"/>
    </w:rPr>
  </w:style>
  <w:style w:type="paragraph" w:styleId="CommentSubject">
    <w:name w:val="annotation subject"/>
    <w:basedOn w:val="CommentText"/>
    <w:next w:val="CommentText"/>
    <w:link w:val="CommentSubjectChar"/>
    <w:uiPriority w:val="99"/>
    <w:semiHidden/>
    <w:unhideWhenUsed/>
    <w:rsid w:val="0032358F"/>
    <w:rPr>
      <w:b/>
      <w:bCs/>
    </w:rPr>
  </w:style>
  <w:style w:type="character" w:customStyle="1" w:styleId="CommentSubjectChar">
    <w:name w:val="Comment Subject Char"/>
    <w:basedOn w:val="CommentTextChar"/>
    <w:link w:val="CommentSubject"/>
    <w:uiPriority w:val="99"/>
    <w:semiHidden/>
    <w:rsid w:val="0032358F"/>
    <w:rPr>
      <w:b/>
      <w:bCs/>
      <w:sz w:val="20"/>
      <w:szCs w:val="20"/>
    </w:rPr>
  </w:style>
  <w:style w:type="character" w:customStyle="1" w:styleId="ListParagraphChar">
    <w:name w:val="List Paragraph Char"/>
    <w:basedOn w:val="DefaultParagraphFont"/>
    <w:link w:val="ListParagraph"/>
    <w:uiPriority w:val="34"/>
    <w:rsid w:val="00304CCC"/>
    <w:rPr>
      <w:rFonts w:asciiTheme="minorHAnsi" w:hAnsiTheme="minorHAnsi" w:cstheme="minorBidi"/>
      <w:sz w:val="22"/>
      <w:szCs w:val="22"/>
      <w:lang w:val="en-US"/>
    </w:rPr>
  </w:style>
  <w:style w:type="paragraph" w:styleId="NoSpacing">
    <w:name w:val="No Spacing"/>
    <w:uiPriority w:val="1"/>
    <w:qFormat/>
    <w:rsid w:val="00FB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5925">
      <w:bodyDiv w:val="1"/>
      <w:marLeft w:val="0"/>
      <w:marRight w:val="0"/>
      <w:marTop w:val="0"/>
      <w:marBottom w:val="0"/>
      <w:divBdr>
        <w:top w:val="none" w:sz="0" w:space="0" w:color="auto"/>
        <w:left w:val="none" w:sz="0" w:space="0" w:color="auto"/>
        <w:bottom w:val="none" w:sz="0" w:space="0" w:color="auto"/>
        <w:right w:val="none" w:sz="0" w:space="0" w:color="auto"/>
      </w:divBdr>
    </w:div>
    <w:div w:id="1380935775">
      <w:bodyDiv w:val="1"/>
      <w:marLeft w:val="0"/>
      <w:marRight w:val="0"/>
      <w:marTop w:val="0"/>
      <w:marBottom w:val="0"/>
      <w:divBdr>
        <w:top w:val="none" w:sz="0" w:space="0" w:color="auto"/>
        <w:left w:val="none" w:sz="0" w:space="0" w:color="auto"/>
        <w:bottom w:val="none" w:sz="0" w:space="0" w:color="auto"/>
        <w:right w:val="none" w:sz="0" w:space="0" w:color="auto"/>
      </w:divBdr>
    </w:div>
    <w:div w:id="1493836017">
      <w:bodyDiv w:val="1"/>
      <w:marLeft w:val="0"/>
      <w:marRight w:val="0"/>
      <w:marTop w:val="0"/>
      <w:marBottom w:val="0"/>
      <w:divBdr>
        <w:top w:val="none" w:sz="0" w:space="0" w:color="auto"/>
        <w:left w:val="none" w:sz="0" w:space="0" w:color="auto"/>
        <w:bottom w:val="none" w:sz="0" w:space="0" w:color="auto"/>
        <w:right w:val="none" w:sz="0" w:space="0" w:color="auto"/>
      </w:divBdr>
    </w:div>
    <w:div w:id="1789618309">
      <w:bodyDiv w:val="1"/>
      <w:marLeft w:val="0"/>
      <w:marRight w:val="0"/>
      <w:marTop w:val="0"/>
      <w:marBottom w:val="0"/>
      <w:divBdr>
        <w:top w:val="none" w:sz="0" w:space="0" w:color="auto"/>
        <w:left w:val="none" w:sz="0" w:space="0" w:color="auto"/>
        <w:bottom w:val="none" w:sz="0" w:space="0" w:color="auto"/>
        <w:right w:val="none" w:sz="0" w:space="0" w:color="auto"/>
      </w:divBdr>
    </w:div>
    <w:div w:id="20358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0959-4068-42F9-9D12-5F085BE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2017-04-18T08:03:00Z</cp:lastPrinted>
  <dcterms:created xsi:type="dcterms:W3CDTF">2017-04-19T09:46:00Z</dcterms:created>
  <dcterms:modified xsi:type="dcterms:W3CDTF">2017-04-19T09:46:00Z</dcterms:modified>
</cp:coreProperties>
</file>