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1E" w:rsidRDefault="00FB1E1E" w:rsidP="00FB1E1E">
      <w:pPr>
        <w:spacing w:after="0" w:line="480" w:lineRule="auto"/>
        <w:ind w:left="2160"/>
        <w:jc w:val="right"/>
        <w:rPr>
          <w:rFonts w:ascii="Arial" w:hAnsi="Arial" w:cs="Arial"/>
          <w:b/>
          <w:color w:val="000000" w:themeColor="text1"/>
          <w:sz w:val="24"/>
          <w:szCs w:val="24"/>
        </w:rPr>
      </w:pPr>
      <w:r w:rsidRPr="00742222">
        <w:rPr>
          <w:noProof/>
          <w:lang w:eastAsia="en-ZA"/>
        </w:rPr>
        <w:drawing>
          <wp:anchor distT="0" distB="0" distL="114300" distR="114300" simplePos="0" relativeHeight="251659264" behindDoc="0" locked="0" layoutInCell="1" allowOverlap="1" wp14:anchorId="165B6F8A" wp14:editId="4CD2D08E">
            <wp:simplePos x="0" y="0"/>
            <wp:positionH relativeFrom="margin">
              <wp:posOffset>2133600</wp:posOffset>
            </wp:positionH>
            <wp:positionV relativeFrom="margin">
              <wp:posOffset>-733848</wp:posOffset>
            </wp:positionV>
            <wp:extent cx="1428750" cy="1485900"/>
            <wp:effectExtent l="1905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FB1E1E" w:rsidRDefault="00FB1E1E" w:rsidP="00FB1E1E">
      <w:pPr>
        <w:spacing w:after="0" w:line="480" w:lineRule="auto"/>
        <w:ind w:left="2160"/>
        <w:jc w:val="right"/>
        <w:rPr>
          <w:rFonts w:ascii="Arial" w:hAnsi="Arial" w:cs="Arial"/>
          <w:b/>
          <w:color w:val="000000" w:themeColor="text1"/>
          <w:sz w:val="24"/>
          <w:szCs w:val="24"/>
        </w:rPr>
      </w:pPr>
    </w:p>
    <w:p w:rsidR="00FB1E1E" w:rsidRDefault="00FB1E1E" w:rsidP="00FB1E1E">
      <w:pPr>
        <w:spacing w:after="0" w:line="240" w:lineRule="auto"/>
        <w:ind w:left="1701"/>
        <w:jc w:val="right"/>
        <w:rPr>
          <w:rFonts w:ascii="Arial" w:hAnsi="Arial" w:cs="Arial"/>
          <w:color w:val="000000" w:themeColor="text1"/>
          <w:sz w:val="24"/>
          <w:szCs w:val="24"/>
        </w:rPr>
      </w:pPr>
    </w:p>
    <w:p w:rsidR="00FB1E1E" w:rsidRPr="001A4EF3" w:rsidRDefault="00FB1E1E" w:rsidP="00FB1E1E">
      <w:pPr>
        <w:spacing w:after="0" w:line="240" w:lineRule="auto"/>
        <w:ind w:left="1701"/>
        <w:jc w:val="right"/>
        <w:rPr>
          <w:rFonts w:ascii="Arial" w:hAnsi="Arial" w:cs="Arial"/>
          <w:b/>
          <w:color w:val="000000" w:themeColor="text1"/>
          <w:sz w:val="24"/>
          <w:szCs w:val="24"/>
        </w:rPr>
      </w:pPr>
      <w:r w:rsidRPr="001A4EF3">
        <w:rPr>
          <w:rFonts w:ascii="Arial" w:hAnsi="Arial" w:cs="Arial"/>
          <w:b/>
          <w:color w:val="000000" w:themeColor="text1"/>
          <w:sz w:val="24"/>
          <w:szCs w:val="24"/>
        </w:rPr>
        <w:t>REPORTABLE</w:t>
      </w:r>
    </w:p>
    <w:p w:rsidR="00FB1E1E" w:rsidRDefault="00FB1E1E" w:rsidP="00FB1E1E">
      <w:pPr>
        <w:spacing w:after="0" w:line="240" w:lineRule="auto"/>
        <w:ind w:left="1701"/>
        <w:jc w:val="right"/>
        <w:rPr>
          <w:rFonts w:ascii="Arial" w:hAnsi="Arial" w:cs="Arial"/>
          <w:color w:val="000000" w:themeColor="text1"/>
          <w:sz w:val="24"/>
          <w:szCs w:val="24"/>
        </w:rPr>
      </w:pPr>
    </w:p>
    <w:p w:rsidR="00FB1E1E" w:rsidRDefault="00FB1E1E" w:rsidP="00FB1E1E">
      <w:pPr>
        <w:spacing w:after="0" w:line="240" w:lineRule="auto"/>
        <w:ind w:left="1701"/>
        <w:jc w:val="right"/>
        <w:rPr>
          <w:rFonts w:ascii="Arial" w:hAnsi="Arial" w:cs="Arial"/>
          <w:color w:val="000000" w:themeColor="text1"/>
          <w:sz w:val="24"/>
          <w:szCs w:val="24"/>
        </w:rPr>
      </w:pPr>
      <w:r>
        <w:rPr>
          <w:rFonts w:ascii="Arial" w:hAnsi="Arial" w:cs="Arial"/>
          <w:color w:val="000000" w:themeColor="text1"/>
          <w:sz w:val="24"/>
          <w:szCs w:val="24"/>
        </w:rPr>
        <w:t>CASE NO: S</w:t>
      </w:r>
      <w:r w:rsidR="006676A2">
        <w:rPr>
          <w:rFonts w:ascii="Arial" w:hAnsi="Arial" w:cs="Arial"/>
          <w:color w:val="000000" w:themeColor="text1"/>
          <w:sz w:val="24"/>
          <w:szCs w:val="24"/>
        </w:rPr>
        <w:t>A</w:t>
      </w:r>
      <w:r w:rsidRPr="00B5721A">
        <w:rPr>
          <w:rFonts w:ascii="Arial" w:hAnsi="Arial" w:cs="Arial"/>
          <w:color w:val="000000" w:themeColor="text1"/>
          <w:sz w:val="24"/>
          <w:szCs w:val="24"/>
        </w:rPr>
        <w:t xml:space="preserve"> </w:t>
      </w:r>
      <w:r w:rsidR="006676A2">
        <w:rPr>
          <w:rFonts w:ascii="Arial" w:hAnsi="Arial" w:cs="Arial"/>
          <w:color w:val="000000" w:themeColor="text1"/>
          <w:sz w:val="24"/>
          <w:szCs w:val="24"/>
        </w:rPr>
        <w:t>27</w:t>
      </w:r>
      <w:r w:rsidRPr="00B5721A">
        <w:rPr>
          <w:rFonts w:ascii="Arial" w:hAnsi="Arial" w:cs="Arial"/>
          <w:color w:val="000000" w:themeColor="text1"/>
          <w:sz w:val="24"/>
          <w:szCs w:val="24"/>
        </w:rPr>
        <w:t>/201</w:t>
      </w:r>
      <w:r w:rsidR="006676A2">
        <w:rPr>
          <w:rFonts w:ascii="Arial" w:hAnsi="Arial" w:cs="Arial"/>
          <w:color w:val="000000" w:themeColor="text1"/>
          <w:sz w:val="24"/>
          <w:szCs w:val="24"/>
        </w:rPr>
        <w:t>5</w:t>
      </w:r>
    </w:p>
    <w:p w:rsidR="00FB1E1E" w:rsidRDefault="00FB1E1E" w:rsidP="00FB1E1E">
      <w:pPr>
        <w:spacing w:after="0" w:line="240" w:lineRule="auto"/>
        <w:ind w:left="1701"/>
        <w:jc w:val="right"/>
        <w:rPr>
          <w:rFonts w:ascii="Arial" w:hAnsi="Arial" w:cs="Arial"/>
          <w:color w:val="000000" w:themeColor="text1"/>
          <w:sz w:val="24"/>
          <w:szCs w:val="24"/>
        </w:rPr>
      </w:pPr>
    </w:p>
    <w:p w:rsidR="00FB1E1E" w:rsidRPr="00B5721A" w:rsidRDefault="00FB1E1E" w:rsidP="00FB1E1E">
      <w:pPr>
        <w:spacing w:after="0" w:line="480" w:lineRule="auto"/>
        <w:ind w:left="-284" w:firstLine="284"/>
        <w:rPr>
          <w:rFonts w:ascii="Arial" w:hAnsi="Arial" w:cs="Arial"/>
          <w:b/>
          <w:color w:val="000000" w:themeColor="text1"/>
          <w:sz w:val="24"/>
          <w:szCs w:val="24"/>
        </w:rPr>
      </w:pPr>
      <w:r w:rsidRPr="00B5721A">
        <w:rPr>
          <w:rFonts w:ascii="Arial" w:hAnsi="Arial" w:cs="Arial"/>
          <w:b/>
          <w:color w:val="000000" w:themeColor="text1"/>
          <w:sz w:val="24"/>
          <w:szCs w:val="24"/>
        </w:rPr>
        <w:t>IN THE SUPREME COURT OF NAMIBIA</w:t>
      </w:r>
    </w:p>
    <w:p w:rsidR="00FB1E1E" w:rsidRDefault="00FB1E1E" w:rsidP="00FB1E1E">
      <w:pPr>
        <w:spacing w:after="0" w:line="480" w:lineRule="auto"/>
        <w:rPr>
          <w:rFonts w:ascii="Arial" w:hAnsi="Arial" w:cs="Arial"/>
          <w:color w:val="000000" w:themeColor="text1"/>
          <w:sz w:val="24"/>
          <w:szCs w:val="24"/>
        </w:rPr>
      </w:pPr>
    </w:p>
    <w:p w:rsidR="00FB1E1E" w:rsidRDefault="00FB1E1E" w:rsidP="00FB1E1E">
      <w:pPr>
        <w:spacing w:after="0" w:line="480" w:lineRule="auto"/>
        <w:rPr>
          <w:rFonts w:ascii="Arial" w:hAnsi="Arial" w:cs="Arial"/>
          <w:color w:val="000000" w:themeColor="text1"/>
          <w:sz w:val="24"/>
          <w:szCs w:val="24"/>
        </w:rPr>
      </w:pPr>
      <w:r w:rsidRPr="00B5721A">
        <w:rPr>
          <w:rFonts w:ascii="Arial" w:hAnsi="Arial" w:cs="Arial"/>
          <w:color w:val="000000" w:themeColor="text1"/>
          <w:sz w:val="24"/>
          <w:szCs w:val="24"/>
        </w:rPr>
        <w:t>In the matter between:</w:t>
      </w:r>
    </w:p>
    <w:p w:rsidR="00FB1E1E" w:rsidRDefault="00FB1E1E" w:rsidP="00FB1E1E">
      <w:pPr>
        <w:spacing w:after="0" w:line="480" w:lineRule="auto"/>
        <w:rPr>
          <w:rFonts w:ascii="Arial" w:hAnsi="Arial" w:cs="Arial"/>
          <w:b/>
          <w:color w:val="000000" w:themeColor="text1"/>
          <w:sz w:val="24"/>
          <w:szCs w:val="24"/>
        </w:rPr>
      </w:pPr>
    </w:p>
    <w:p w:rsidR="006676A2" w:rsidRPr="004D7A44" w:rsidRDefault="006676A2" w:rsidP="006676A2">
      <w:pPr>
        <w:spacing w:after="0" w:line="480" w:lineRule="auto"/>
        <w:jc w:val="both"/>
        <w:rPr>
          <w:rFonts w:ascii="Arial" w:eastAsia="Calibri" w:hAnsi="Arial" w:cs="Arial"/>
          <w:b/>
          <w:color w:val="000000" w:themeColor="text1"/>
          <w:sz w:val="24"/>
          <w:szCs w:val="24"/>
          <w:lang w:val="en-US"/>
        </w:rPr>
      </w:pPr>
      <w:r w:rsidRPr="004D7A44">
        <w:rPr>
          <w:rFonts w:ascii="Arial" w:eastAsia="Calibri" w:hAnsi="Arial" w:cs="Arial"/>
          <w:b/>
          <w:color w:val="000000" w:themeColor="text1"/>
          <w:sz w:val="24"/>
          <w:szCs w:val="24"/>
          <w:lang w:val="en-US"/>
        </w:rPr>
        <w:t>MWADIN</w:t>
      </w:r>
      <w:r w:rsidR="00DC5144">
        <w:rPr>
          <w:rFonts w:ascii="Arial" w:eastAsia="Calibri" w:hAnsi="Arial" w:cs="Arial"/>
          <w:b/>
          <w:color w:val="000000" w:themeColor="text1"/>
          <w:sz w:val="24"/>
          <w:szCs w:val="24"/>
          <w:lang w:val="en-US"/>
        </w:rPr>
        <w:t>OMHO MARTHA KRISTIAN NELUMBU</w:t>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t xml:space="preserve"> </w:t>
      </w:r>
      <w:r w:rsidR="005B6B4E">
        <w:rPr>
          <w:rFonts w:ascii="Arial" w:eastAsia="Calibri" w:hAnsi="Arial" w:cs="Arial"/>
          <w:b/>
          <w:color w:val="000000" w:themeColor="text1"/>
          <w:sz w:val="24"/>
          <w:szCs w:val="24"/>
          <w:lang w:val="en-US"/>
        </w:rPr>
        <w:t xml:space="preserve">First </w:t>
      </w:r>
      <w:r w:rsidRPr="004D7A44">
        <w:rPr>
          <w:rFonts w:ascii="Arial" w:eastAsia="Calibri" w:hAnsi="Arial" w:cs="Arial"/>
          <w:b/>
          <w:color w:val="000000" w:themeColor="text1"/>
          <w:sz w:val="24"/>
          <w:szCs w:val="24"/>
          <w:lang w:val="en-US"/>
        </w:rPr>
        <w:t xml:space="preserve">Appellant </w:t>
      </w:r>
    </w:p>
    <w:p w:rsidR="006676A2" w:rsidRPr="004D7A44" w:rsidRDefault="006676A2" w:rsidP="006676A2">
      <w:pPr>
        <w:spacing w:after="0" w:line="480" w:lineRule="auto"/>
        <w:jc w:val="both"/>
        <w:rPr>
          <w:rFonts w:ascii="Arial" w:eastAsia="Calibri" w:hAnsi="Arial" w:cs="Arial"/>
          <w:b/>
          <w:color w:val="000000" w:themeColor="text1"/>
          <w:sz w:val="24"/>
          <w:szCs w:val="24"/>
          <w:lang w:val="en-US"/>
        </w:rPr>
      </w:pPr>
      <w:r w:rsidRPr="004D7A44">
        <w:rPr>
          <w:rFonts w:ascii="Arial" w:eastAsia="Calibri" w:hAnsi="Arial" w:cs="Arial"/>
          <w:b/>
          <w:color w:val="000000" w:themeColor="text1"/>
          <w:sz w:val="24"/>
          <w:szCs w:val="24"/>
          <w:lang w:val="en-US"/>
        </w:rPr>
        <w:t>OUKWA</w:t>
      </w:r>
      <w:r w:rsidR="005B6B4E">
        <w:rPr>
          <w:rFonts w:ascii="Arial" w:eastAsia="Calibri" w:hAnsi="Arial" w:cs="Arial"/>
          <w:b/>
          <w:color w:val="000000" w:themeColor="text1"/>
          <w:sz w:val="24"/>
          <w:szCs w:val="24"/>
          <w:lang w:val="en-US"/>
        </w:rPr>
        <w:t>NYAMA T</w:t>
      </w:r>
      <w:r w:rsidR="00DC5144">
        <w:rPr>
          <w:rFonts w:ascii="Arial" w:eastAsia="Calibri" w:hAnsi="Arial" w:cs="Arial"/>
          <w:b/>
          <w:color w:val="000000" w:themeColor="text1"/>
          <w:sz w:val="24"/>
          <w:szCs w:val="24"/>
          <w:lang w:val="en-US"/>
        </w:rPr>
        <w:t>RADITIONAL AUTHORITY</w:t>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r>
      <w:r w:rsidR="005B6B4E">
        <w:rPr>
          <w:rFonts w:ascii="Arial" w:eastAsia="Calibri" w:hAnsi="Arial" w:cs="Arial"/>
          <w:b/>
          <w:color w:val="000000" w:themeColor="text1"/>
          <w:sz w:val="24"/>
          <w:szCs w:val="24"/>
          <w:lang w:val="en-US"/>
        </w:rPr>
        <w:t>Second</w:t>
      </w:r>
      <w:r w:rsidRPr="004D7A44">
        <w:rPr>
          <w:rFonts w:ascii="Arial" w:eastAsia="Calibri" w:hAnsi="Arial" w:cs="Arial"/>
          <w:b/>
          <w:color w:val="000000" w:themeColor="text1"/>
          <w:sz w:val="24"/>
          <w:szCs w:val="24"/>
          <w:lang w:val="en-US"/>
        </w:rPr>
        <w:t xml:space="preserve"> Appellant </w:t>
      </w:r>
    </w:p>
    <w:p w:rsidR="006676A2" w:rsidRPr="004D7A44" w:rsidRDefault="006676A2" w:rsidP="006676A2">
      <w:pPr>
        <w:spacing w:after="0" w:line="480" w:lineRule="auto"/>
        <w:jc w:val="both"/>
        <w:rPr>
          <w:rFonts w:ascii="Arial" w:eastAsia="Calibri" w:hAnsi="Arial" w:cs="Arial"/>
          <w:b/>
          <w:color w:val="000000" w:themeColor="text1"/>
          <w:sz w:val="24"/>
          <w:szCs w:val="24"/>
          <w:lang w:val="en-US"/>
        </w:rPr>
      </w:pPr>
      <w:r w:rsidRPr="004D7A44">
        <w:rPr>
          <w:rFonts w:ascii="Arial" w:eastAsia="Calibri" w:hAnsi="Arial" w:cs="Arial"/>
          <w:b/>
          <w:color w:val="000000" w:themeColor="text1"/>
          <w:sz w:val="24"/>
          <w:szCs w:val="24"/>
          <w:lang w:val="en-US"/>
        </w:rPr>
        <w:t>MINISTER OF REGIONAL, LOCAL GOVERNMENT,</w:t>
      </w:r>
    </w:p>
    <w:p w:rsidR="006676A2" w:rsidRPr="004D7A44" w:rsidRDefault="006676A2" w:rsidP="006676A2">
      <w:pPr>
        <w:spacing w:after="0" w:line="480" w:lineRule="auto"/>
        <w:jc w:val="both"/>
        <w:rPr>
          <w:rFonts w:ascii="Arial" w:eastAsia="Calibri" w:hAnsi="Arial" w:cs="Arial"/>
          <w:b/>
          <w:color w:val="000000" w:themeColor="text1"/>
          <w:sz w:val="24"/>
          <w:szCs w:val="24"/>
          <w:lang w:val="en-US"/>
        </w:rPr>
      </w:pPr>
      <w:r w:rsidRPr="004D7A44">
        <w:rPr>
          <w:rFonts w:ascii="Arial" w:eastAsia="Calibri" w:hAnsi="Arial" w:cs="Arial"/>
          <w:b/>
          <w:color w:val="000000" w:themeColor="text1"/>
          <w:sz w:val="24"/>
          <w:szCs w:val="24"/>
          <w:lang w:val="en-US"/>
        </w:rPr>
        <w:t>HOUSING</w:t>
      </w:r>
      <w:r w:rsidR="00DC5144">
        <w:rPr>
          <w:rFonts w:ascii="Arial" w:eastAsia="Calibri" w:hAnsi="Arial" w:cs="Arial"/>
          <w:b/>
          <w:color w:val="000000" w:themeColor="text1"/>
          <w:sz w:val="24"/>
          <w:szCs w:val="24"/>
          <w:lang w:val="en-US"/>
        </w:rPr>
        <w:t xml:space="preserve"> AND RURAL DEVELOPMENT </w:t>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r>
      <w:r w:rsidR="005B6B4E">
        <w:rPr>
          <w:rFonts w:ascii="Arial" w:eastAsia="Calibri" w:hAnsi="Arial" w:cs="Arial"/>
          <w:b/>
          <w:color w:val="000000" w:themeColor="text1"/>
          <w:sz w:val="24"/>
          <w:szCs w:val="24"/>
          <w:lang w:val="en-US"/>
        </w:rPr>
        <w:t>Third</w:t>
      </w:r>
      <w:r w:rsidRPr="004D7A44">
        <w:rPr>
          <w:rFonts w:ascii="Arial" w:eastAsia="Calibri" w:hAnsi="Arial" w:cs="Arial"/>
          <w:b/>
          <w:color w:val="000000" w:themeColor="text1"/>
          <w:sz w:val="24"/>
          <w:szCs w:val="24"/>
          <w:lang w:val="en-US"/>
        </w:rPr>
        <w:t xml:space="preserve"> Appellant </w:t>
      </w:r>
    </w:p>
    <w:p w:rsidR="006676A2" w:rsidRPr="004D7A44" w:rsidRDefault="006676A2" w:rsidP="006676A2">
      <w:pPr>
        <w:spacing w:after="0" w:line="480" w:lineRule="auto"/>
        <w:jc w:val="both"/>
        <w:rPr>
          <w:rFonts w:ascii="Arial" w:eastAsia="Calibri" w:hAnsi="Arial" w:cs="Arial"/>
          <w:b/>
          <w:color w:val="000000" w:themeColor="text1"/>
          <w:sz w:val="24"/>
          <w:szCs w:val="24"/>
          <w:lang w:val="en-US"/>
        </w:rPr>
      </w:pPr>
      <w:r w:rsidRPr="004D7A44">
        <w:rPr>
          <w:rFonts w:ascii="Arial" w:eastAsia="Calibri" w:hAnsi="Arial" w:cs="Arial"/>
          <w:b/>
          <w:color w:val="000000" w:themeColor="text1"/>
          <w:sz w:val="24"/>
          <w:szCs w:val="24"/>
          <w:lang w:val="en-US"/>
        </w:rPr>
        <w:t>GHID</w:t>
      </w:r>
      <w:r w:rsidR="00DC5144">
        <w:rPr>
          <w:rFonts w:ascii="Arial" w:eastAsia="Calibri" w:hAnsi="Arial" w:cs="Arial"/>
          <w:b/>
          <w:color w:val="000000" w:themeColor="text1"/>
          <w:sz w:val="24"/>
          <w:szCs w:val="24"/>
          <w:lang w:val="en-US"/>
        </w:rPr>
        <w:t>INIHAMBA URIA NDILULA</w:t>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r>
      <w:r w:rsidR="005B6B4E">
        <w:rPr>
          <w:rFonts w:ascii="Arial" w:eastAsia="Calibri" w:hAnsi="Arial" w:cs="Arial"/>
          <w:b/>
          <w:color w:val="000000" w:themeColor="text1"/>
          <w:sz w:val="24"/>
          <w:szCs w:val="24"/>
          <w:lang w:val="en-US"/>
        </w:rPr>
        <w:t>Fourth</w:t>
      </w:r>
      <w:r w:rsidRPr="004D7A44">
        <w:rPr>
          <w:rFonts w:ascii="Arial" w:eastAsia="Calibri" w:hAnsi="Arial" w:cs="Arial"/>
          <w:b/>
          <w:color w:val="000000" w:themeColor="text1"/>
          <w:sz w:val="24"/>
          <w:szCs w:val="24"/>
          <w:lang w:val="en-US"/>
        </w:rPr>
        <w:t xml:space="preserve"> Appellant </w:t>
      </w:r>
    </w:p>
    <w:p w:rsidR="006676A2" w:rsidRPr="004D7A44" w:rsidRDefault="00DC5144" w:rsidP="006676A2">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ELIAS WAANDJA</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sidR="005B6B4E">
        <w:rPr>
          <w:rFonts w:ascii="Arial" w:eastAsia="Calibri" w:hAnsi="Arial" w:cs="Arial"/>
          <w:b/>
          <w:color w:val="000000" w:themeColor="text1"/>
          <w:sz w:val="24"/>
          <w:szCs w:val="24"/>
          <w:lang w:val="en-US"/>
        </w:rPr>
        <w:t>Fifth</w:t>
      </w:r>
      <w:r w:rsidR="006676A2" w:rsidRPr="004D7A44">
        <w:rPr>
          <w:rFonts w:ascii="Arial" w:eastAsia="Calibri" w:hAnsi="Arial" w:cs="Arial"/>
          <w:b/>
          <w:color w:val="000000" w:themeColor="text1"/>
          <w:sz w:val="24"/>
          <w:szCs w:val="24"/>
          <w:lang w:val="en-US"/>
        </w:rPr>
        <w:t xml:space="preserve"> Appellant </w:t>
      </w:r>
    </w:p>
    <w:p w:rsidR="006676A2" w:rsidRPr="004D7A44" w:rsidRDefault="00DC5144" w:rsidP="006676A2">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SAMUEL MATEUS</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sidR="005B6B4E">
        <w:rPr>
          <w:rFonts w:ascii="Arial" w:eastAsia="Calibri" w:hAnsi="Arial" w:cs="Arial"/>
          <w:b/>
          <w:color w:val="000000" w:themeColor="text1"/>
          <w:sz w:val="24"/>
          <w:szCs w:val="24"/>
          <w:lang w:val="en-US"/>
        </w:rPr>
        <w:t>Sixth</w:t>
      </w:r>
      <w:r w:rsidR="006676A2" w:rsidRPr="004D7A44">
        <w:rPr>
          <w:rFonts w:ascii="Arial" w:eastAsia="Calibri" w:hAnsi="Arial" w:cs="Arial"/>
          <w:b/>
          <w:color w:val="000000" w:themeColor="text1"/>
          <w:sz w:val="24"/>
          <w:szCs w:val="24"/>
          <w:lang w:val="en-US"/>
        </w:rPr>
        <w:t xml:space="preserve"> Appellant </w:t>
      </w:r>
    </w:p>
    <w:p w:rsidR="006676A2" w:rsidRPr="004D7A44" w:rsidRDefault="00DC5144" w:rsidP="006676A2">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JOSEF KAMATI</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sidR="005B6B4E">
        <w:rPr>
          <w:rFonts w:ascii="Arial" w:eastAsia="Calibri" w:hAnsi="Arial" w:cs="Arial"/>
          <w:b/>
          <w:color w:val="000000" w:themeColor="text1"/>
          <w:sz w:val="24"/>
          <w:szCs w:val="24"/>
          <w:lang w:val="en-US"/>
        </w:rPr>
        <w:t>Seventh</w:t>
      </w:r>
      <w:r w:rsidR="006676A2" w:rsidRPr="004D7A44">
        <w:rPr>
          <w:rFonts w:ascii="Arial" w:eastAsia="Calibri" w:hAnsi="Arial" w:cs="Arial"/>
          <w:b/>
          <w:color w:val="000000" w:themeColor="text1"/>
          <w:sz w:val="24"/>
          <w:szCs w:val="24"/>
          <w:lang w:val="en-US"/>
        </w:rPr>
        <w:t xml:space="preserve"> Appellant </w:t>
      </w:r>
    </w:p>
    <w:p w:rsidR="006676A2" w:rsidRPr="004D7A44" w:rsidRDefault="006676A2" w:rsidP="006676A2">
      <w:pPr>
        <w:spacing w:after="0" w:line="480" w:lineRule="auto"/>
        <w:jc w:val="both"/>
        <w:rPr>
          <w:rFonts w:ascii="Arial" w:eastAsia="Calibri" w:hAnsi="Arial" w:cs="Arial"/>
          <w:b/>
          <w:color w:val="000000" w:themeColor="text1"/>
          <w:sz w:val="24"/>
          <w:szCs w:val="24"/>
          <w:lang w:val="en-US"/>
        </w:rPr>
      </w:pPr>
      <w:r w:rsidRPr="004D7A44">
        <w:rPr>
          <w:rFonts w:ascii="Arial" w:eastAsia="Calibri" w:hAnsi="Arial" w:cs="Arial"/>
          <w:b/>
          <w:color w:val="000000" w:themeColor="text1"/>
          <w:sz w:val="24"/>
          <w:szCs w:val="24"/>
          <w:lang w:val="en-US"/>
        </w:rPr>
        <w:t>LINDA NA</w:t>
      </w:r>
      <w:r w:rsidR="00776ED9">
        <w:rPr>
          <w:rFonts w:ascii="Arial" w:eastAsia="Calibri" w:hAnsi="Arial" w:cs="Arial"/>
          <w:b/>
          <w:color w:val="000000" w:themeColor="text1"/>
          <w:sz w:val="24"/>
          <w:szCs w:val="24"/>
          <w:lang w:val="en-US"/>
        </w:rPr>
        <w:t>U</w:t>
      </w:r>
      <w:r w:rsidR="00DC5144">
        <w:rPr>
          <w:rFonts w:ascii="Arial" w:eastAsia="Calibri" w:hAnsi="Arial" w:cs="Arial"/>
          <w:b/>
          <w:color w:val="000000" w:themeColor="text1"/>
          <w:sz w:val="24"/>
          <w:szCs w:val="24"/>
          <w:lang w:val="en-US"/>
        </w:rPr>
        <w:t>YOMA</w:t>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r>
      <w:r w:rsidR="00DC5144">
        <w:rPr>
          <w:rFonts w:ascii="Arial" w:eastAsia="Calibri" w:hAnsi="Arial" w:cs="Arial"/>
          <w:b/>
          <w:color w:val="000000" w:themeColor="text1"/>
          <w:sz w:val="24"/>
          <w:szCs w:val="24"/>
          <w:lang w:val="en-US"/>
        </w:rPr>
        <w:tab/>
      </w:r>
      <w:r w:rsidR="005B6B4E">
        <w:rPr>
          <w:rFonts w:ascii="Arial" w:eastAsia="Calibri" w:hAnsi="Arial" w:cs="Arial"/>
          <w:b/>
          <w:color w:val="000000" w:themeColor="text1"/>
          <w:sz w:val="24"/>
          <w:szCs w:val="24"/>
          <w:lang w:val="en-US"/>
        </w:rPr>
        <w:t>Eight</w:t>
      </w:r>
      <w:r w:rsidR="008541FE">
        <w:rPr>
          <w:rFonts w:ascii="Arial" w:eastAsia="Calibri" w:hAnsi="Arial" w:cs="Arial"/>
          <w:b/>
          <w:color w:val="000000" w:themeColor="text1"/>
          <w:sz w:val="24"/>
          <w:szCs w:val="24"/>
          <w:lang w:val="en-US"/>
        </w:rPr>
        <w:t>h</w:t>
      </w:r>
      <w:r w:rsidR="005B6B4E">
        <w:rPr>
          <w:rFonts w:ascii="Arial" w:eastAsia="Calibri" w:hAnsi="Arial" w:cs="Arial"/>
          <w:b/>
          <w:color w:val="000000" w:themeColor="text1"/>
          <w:sz w:val="24"/>
          <w:szCs w:val="24"/>
          <w:lang w:val="en-US"/>
        </w:rPr>
        <w:t xml:space="preserve"> </w:t>
      </w:r>
      <w:r w:rsidRPr="004D7A44">
        <w:rPr>
          <w:rFonts w:ascii="Arial" w:eastAsia="Calibri" w:hAnsi="Arial" w:cs="Arial"/>
          <w:b/>
          <w:color w:val="000000" w:themeColor="text1"/>
          <w:sz w:val="24"/>
          <w:szCs w:val="24"/>
          <w:lang w:val="en-US"/>
        </w:rPr>
        <w:t xml:space="preserve">Appellant </w:t>
      </w:r>
    </w:p>
    <w:p w:rsidR="006676A2" w:rsidRPr="004D7A44" w:rsidRDefault="006676A2" w:rsidP="006676A2">
      <w:pPr>
        <w:spacing w:after="0" w:line="480" w:lineRule="auto"/>
        <w:jc w:val="both"/>
        <w:rPr>
          <w:rFonts w:ascii="Arial" w:eastAsia="Calibri" w:hAnsi="Arial" w:cs="Arial"/>
          <w:color w:val="000000" w:themeColor="text1"/>
          <w:sz w:val="24"/>
          <w:szCs w:val="24"/>
          <w:lang w:val="en-US"/>
        </w:rPr>
      </w:pPr>
      <w:r w:rsidRPr="004D7A44">
        <w:rPr>
          <w:rFonts w:ascii="Arial" w:eastAsia="Calibri" w:hAnsi="Arial" w:cs="Arial"/>
          <w:color w:val="000000" w:themeColor="text1"/>
          <w:sz w:val="24"/>
          <w:szCs w:val="24"/>
          <w:lang w:val="en-US"/>
        </w:rPr>
        <w:t xml:space="preserve">and </w:t>
      </w:r>
    </w:p>
    <w:p w:rsidR="006676A2" w:rsidRPr="004D7A44" w:rsidRDefault="00DC5144" w:rsidP="006676A2">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GEORGE P.S. HIKUMWAH</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sidR="005B6B4E">
        <w:rPr>
          <w:rFonts w:ascii="Arial" w:eastAsia="Calibri" w:hAnsi="Arial" w:cs="Arial"/>
          <w:b/>
          <w:color w:val="000000" w:themeColor="text1"/>
          <w:sz w:val="24"/>
          <w:szCs w:val="24"/>
          <w:lang w:val="en-US"/>
        </w:rPr>
        <w:t>First</w:t>
      </w:r>
      <w:r w:rsidR="006676A2" w:rsidRPr="004D7A44">
        <w:rPr>
          <w:rFonts w:ascii="Arial" w:eastAsia="Calibri" w:hAnsi="Arial" w:cs="Arial"/>
          <w:b/>
          <w:color w:val="000000" w:themeColor="text1"/>
          <w:sz w:val="24"/>
          <w:szCs w:val="24"/>
          <w:lang w:val="en-US"/>
        </w:rPr>
        <w:t xml:space="preserve"> Respondent</w:t>
      </w:r>
    </w:p>
    <w:p w:rsidR="006676A2" w:rsidRPr="004D7A44" w:rsidRDefault="00DC5144" w:rsidP="006676A2">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SIPORA WEYULU DAN</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sidR="005B6B4E">
        <w:rPr>
          <w:rFonts w:ascii="Arial" w:eastAsia="Calibri" w:hAnsi="Arial" w:cs="Arial"/>
          <w:b/>
          <w:color w:val="000000" w:themeColor="text1"/>
          <w:sz w:val="24"/>
          <w:szCs w:val="24"/>
          <w:lang w:val="en-US"/>
        </w:rPr>
        <w:t>Second</w:t>
      </w:r>
      <w:r w:rsidR="006676A2" w:rsidRPr="004D7A44">
        <w:rPr>
          <w:rFonts w:ascii="Arial" w:eastAsia="Calibri" w:hAnsi="Arial" w:cs="Arial"/>
          <w:b/>
          <w:color w:val="000000" w:themeColor="text1"/>
          <w:sz w:val="24"/>
          <w:szCs w:val="24"/>
          <w:lang w:val="en-US"/>
        </w:rPr>
        <w:t xml:space="preserve"> Respondent </w:t>
      </w:r>
    </w:p>
    <w:p w:rsidR="006676A2" w:rsidRPr="004D7A44" w:rsidRDefault="006676A2" w:rsidP="006676A2">
      <w:pPr>
        <w:spacing w:after="0" w:line="480" w:lineRule="auto"/>
        <w:jc w:val="both"/>
        <w:rPr>
          <w:rFonts w:ascii="Arial" w:eastAsia="Calibri" w:hAnsi="Arial" w:cs="Arial"/>
          <w:b/>
          <w:color w:val="000000" w:themeColor="text1"/>
          <w:sz w:val="24"/>
          <w:szCs w:val="24"/>
          <w:lang w:val="en-US"/>
        </w:rPr>
      </w:pPr>
      <w:r w:rsidRPr="004D7A44">
        <w:rPr>
          <w:rFonts w:ascii="Arial" w:eastAsia="Calibri" w:hAnsi="Arial" w:cs="Arial"/>
          <w:b/>
          <w:color w:val="000000" w:themeColor="text1"/>
          <w:sz w:val="24"/>
          <w:szCs w:val="24"/>
          <w:lang w:val="en-US"/>
        </w:rPr>
        <w:t xml:space="preserve">VATILIFA F. HANGULA </w:t>
      </w:r>
      <w:r w:rsidRPr="004D7A44">
        <w:rPr>
          <w:rFonts w:ascii="Arial" w:eastAsia="Calibri" w:hAnsi="Arial" w:cs="Arial"/>
          <w:b/>
          <w:color w:val="000000" w:themeColor="text1"/>
          <w:sz w:val="24"/>
          <w:szCs w:val="24"/>
          <w:lang w:val="en-US"/>
        </w:rPr>
        <w:tab/>
      </w:r>
      <w:r w:rsidRPr="004D7A44">
        <w:rPr>
          <w:rFonts w:ascii="Arial" w:eastAsia="Calibri" w:hAnsi="Arial" w:cs="Arial"/>
          <w:b/>
          <w:color w:val="000000" w:themeColor="text1"/>
          <w:sz w:val="24"/>
          <w:szCs w:val="24"/>
          <w:lang w:val="en-US"/>
        </w:rPr>
        <w:tab/>
        <w:t xml:space="preserve"> </w:t>
      </w:r>
      <w:r w:rsidRPr="004D7A44">
        <w:rPr>
          <w:rFonts w:ascii="Arial" w:eastAsia="Calibri" w:hAnsi="Arial" w:cs="Arial"/>
          <w:b/>
          <w:color w:val="000000" w:themeColor="text1"/>
          <w:sz w:val="24"/>
          <w:szCs w:val="24"/>
          <w:lang w:val="en-US"/>
        </w:rPr>
        <w:tab/>
      </w:r>
      <w:r w:rsidRPr="004D7A44">
        <w:rPr>
          <w:rFonts w:ascii="Arial" w:eastAsia="Calibri" w:hAnsi="Arial" w:cs="Arial"/>
          <w:b/>
          <w:color w:val="000000" w:themeColor="text1"/>
          <w:sz w:val="24"/>
          <w:szCs w:val="24"/>
          <w:lang w:val="en-US"/>
        </w:rPr>
        <w:tab/>
      </w:r>
      <w:r w:rsidRPr="004D7A44">
        <w:rPr>
          <w:rFonts w:ascii="Arial" w:eastAsia="Calibri" w:hAnsi="Arial" w:cs="Arial"/>
          <w:b/>
          <w:color w:val="000000" w:themeColor="text1"/>
          <w:sz w:val="24"/>
          <w:szCs w:val="24"/>
          <w:lang w:val="en-US"/>
        </w:rPr>
        <w:tab/>
      </w:r>
      <w:r w:rsidRPr="004D7A44">
        <w:rPr>
          <w:rFonts w:ascii="Arial" w:eastAsia="Calibri" w:hAnsi="Arial" w:cs="Arial"/>
          <w:b/>
          <w:color w:val="000000" w:themeColor="text1"/>
          <w:sz w:val="24"/>
          <w:szCs w:val="24"/>
          <w:lang w:val="en-US"/>
        </w:rPr>
        <w:tab/>
      </w:r>
      <w:r w:rsidR="005B6B4E">
        <w:rPr>
          <w:rFonts w:ascii="Arial" w:eastAsia="Calibri" w:hAnsi="Arial" w:cs="Arial"/>
          <w:b/>
          <w:color w:val="000000" w:themeColor="text1"/>
          <w:sz w:val="24"/>
          <w:szCs w:val="24"/>
          <w:lang w:val="en-US"/>
        </w:rPr>
        <w:t>Third</w:t>
      </w:r>
      <w:r w:rsidRPr="004D7A44">
        <w:rPr>
          <w:rFonts w:ascii="Arial" w:eastAsia="Calibri" w:hAnsi="Arial" w:cs="Arial"/>
          <w:b/>
          <w:color w:val="000000" w:themeColor="text1"/>
          <w:sz w:val="24"/>
          <w:szCs w:val="24"/>
          <w:lang w:val="en-US"/>
        </w:rPr>
        <w:t xml:space="preserve"> Respondent </w:t>
      </w:r>
    </w:p>
    <w:p w:rsidR="00FB1E1E" w:rsidRPr="00B5721A" w:rsidRDefault="00FB1E1E" w:rsidP="00FB1E1E">
      <w:pPr>
        <w:spacing w:after="0" w:line="480" w:lineRule="auto"/>
        <w:rPr>
          <w:rFonts w:ascii="Arial" w:hAnsi="Arial" w:cs="Arial"/>
          <w:b/>
          <w:color w:val="000000" w:themeColor="text1"/>
          <w:sz w:val="24"/>
          <w:szCs w:val="24"/>
        </w:rPr>
      </w:pP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p>
    <w:p w:rsidR="00FB1E1E" w:rsidRPr="00B5721A" w:rsidRDefault="00FB1E1E" w:rsidP="00FB1E1E">
      <w:pPr>
        <w:spacing w:after="0" w:line="480" w:lineRule="auto"/>
        <w:rPr>
          <w:rFonts w:ascii="Arial" w:hAnsi="Arial" w:cs="Arial"/>
          <w:color w:val="000000" w:themeColor="text1"/>
          <w:sz w:val="24"/>
          <w:szCs w:val="24"/>
          <w:lang w:val="nl-NL"/>
        </w:rPr>
      </w:pPr>
      <w:r w:rsidRPr="00B5721A">
        <w:rPr>
          <w:rFonts w:ascii="Arial" w:hAnsi="Arial" w:cs="Arial"/>
          <w:b/>
          <w:color w:val="000000" w:themeColor="text1"/>
          <w:sz w:val="24"/>
          <w:szCs w:val="24"/>
          <w:lang w:val="nl-NL"/>
        </w:rPr>
        <w:t>Coram:</w:t>
      </w:r>
      <w:r w:rsidRPr="00B5721A">
        <w:rPr>
          <w:rFonts w:ascii="Arial" w:hAnsi="Arial" w:cs="Arial"/>
          <w:color w:val="000000" w:themeColor="text1"/>
          <w:sz w:val="24"/>
          <w:szCs w:val="24"/>
          <w:lang w:val="nl-NL"/>
        </w:rPr>
        <w:tab/>
      </w:r>
      <w:r w:rsidRPr="00B5721A">
        <w:rPr>
          <w:rFonts w:ascii="Arial" w:hAnsi="Arial" w:cs="Arial"/>
          <w:color w:val="000000" w:themeColor="text1"/>
          <w:sz w:val="24"/>
          <w:szCs w:val="24"/>
          <w:lang w:val="nl-NL"/>
        </w:rPr>
        <w:tab/>
      </w:r>
      <w:r w:rsidR="006676A2">
        <w:rPr>
          <w:rFonts w:ascii="Arial" w:hAnsi="Arial" w:cs="Arial"/>
          <w:color w:val="000000" w:themeColor="text1"/>
          <w:sz w:val="24"/>
          <w:szCs w:val="24"/>
          <w:lang w:val="nl-NL"/>
        </w:rPr>
        <w:t>DAMASEB</w:t>
      </w:r>
      <w:r w:rsidRPr="00B5721A">
        <w:rPr>
          <w:rFonts w:ascii="Arial" w:hAnsi="Arial" w:cs="Arial"/>
          <w:color w:val="000000" w:themeColor="text1"/>
          <w:sz w:val="24"/>
          <w:szCs w:val="24"/>
          <w:lang w:val="nl-NL"/>
        </w:rPr>
        <w:t xml:space="preserve"> </w:t>
      </w:r>
      <w:r w:rsidR="006676A2">
        <w:rPr>
          <w:rFonts w:ascii="Arial" w:hAnsi="Arial" w:cs="Arial"/>
          <w:color w:val="000000" w:themeColor="text1"/>
          <w:sz w:val="24"/>
          <w:szCs w:val="24"/>
          <w:lang w:val="nl-NL"/>
        </w:rPr>
        <w:t>D</w:t>
      </w:r>
      <w:r w:rsidRPr="00B5721A">
        <w:rPr>
          <w:rFonts w:ascii="Arial" w:hAnsi="Arial" w:cs="Arial"/>
          <w:color w:val="000000" w:themeColor="text1"/>
          <w:sz w:val="24"/>
          <w:szCs w:val="24"/>
          <w:lang w:val="nl-NL"/>
        </w:rPr>
        <w:t xml:space="preserve">CJ, </w:t>
      </w:r>
      <w:r w:rsidR="006676A2">
        <w:rPr>
          <w:rFonts w:ascii="Arial" w:hAnsi="Arial" w:cs="Arial"/>
          <w:color w:val="000000" w:themeColor="text1"/>
          <w:sz w:val="24"/>
          <w:szCs w:val="24"/>
          <w:lang w:val="nl-NL"/>
        </w:rPr>
        <w:t>SMUTS</w:t>
      </w:r>
      <w:r w:rsidRPr="00B5721A">
        <w:rPr>
          <w:rFonts w:ascii="Arial" w:hAnsi="Arial" w:cs="Arial"/>
          <w:color w:val="000000" w:themeColor="text1"/>
          <w:sz w:val="24"/>
          <w:szCs w:val="24"/>
          <w:lang w:val="nl-NL"/>
        </w:rPr>
        <w:t xml:space="preserve"> JA and </w:t>
      </w:r>
      <w:r w:rsidR="006676A2">
        <w:rPr>
          <w:rFonts w:ascii="Arial" w:hAnsi="Arial" w:cs="Arial"/>
          <w:color w:val="000000" w:themeColor="text1"/>
          <w:sz w:val="24"/>
          <w:szCs w:val="24"/>
          <w:lang w:val="nl-NL"/>
        </w:rPr>
        <w:t>HOFF</w:t>
      </w:r>
      <w:r w:rsidRPr="00B5721A">
        <w:rPr>
          <w:rFonts w:ascii="Arial" w:hAnsi="Arial" w:cs="Arial"/>
          <w:color w:val="000000" w:themeColor="text1"/>
          <w:sz w:val="24"/>
          <w:szCs w:val="24"/>
          <w:lang w:val="nl-NL"/>
        </w:rPr>
        <w:t xml:space="preserve"> JA</w:t>
      </w:r>
    </w:p>
    <w:p w:rsidR="00FB1E1E" w:rsidRPr="00B5721A" w:rsidRDefault="00FB1E1E" w:rsidP="00FB1E1E">
      <w:pPr>
        <w:spacing w:after="0" w:line="480" w:lineRule="auto"/>
        <w:rPr>
          <w:rFonts w:ascii="Arial" w:hAnsi="Arial" w:cs="Arial"/>
          <w:b/>
          <w:color w:val="000000" w:themeColor="text1"/>
          <w:sz w:val="24"/>
          <w:szCs w:val="24"/>
        </w:rPr>
      </w:pPr>
      <w:r w:rsidRPr="00B5721A">
        <w:rPr>
          <w:rFonts w:ascii="Arial" w:hAnsi="Arial" w:cs="Arial"/>
          <w:b/>
          <w:color w:val="000000" w:themeColor="text1"/>
          <w:sz w:val="24"/>
          <w:szCs w:val="24"/>
        </w:rPr>
        <w:t>Heard:</w:t>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r w:rsidR="006676A2">
        <w:rPr>
          <w:rFonts w:ascii="Arial" w:hAnsi="Arial" w:cs="Arial"/>
          <w:b/>
          <w:color w:val="000000" w:themeColor="text1"/>
          <w:sz w:val="24"/>
          <w:szCs w:val="24"/>
        </w:rPr>
        <w:t>3</w:t>
      </w:r>
      <w:r w:rsidRPr="00B5721A">
        <w:rPr>
          <w:rFonts w:ascii="Arial" w:hAnsi="Arial" w:cs="Arial"/>
          <w:b/>
          <w:color w:val="000000" w:themeColor="text1"/>
          <w:sz w:val="24"/>
          <w:szCs w:val="24"/>
        </w:rPr>
        <w:t xml:space="preserve"> April 201</w:t>
      </w:r>
      <w:r w:rsidR="006676A2">
        <w:rPr>
          <w:rFonts w:ascii="Arial" w:hAnsi="Arial" w:cs="Arial"/>
          <w:b/>
          <w:color w:val="000000" w:themeColor="text1"/>
          <w:sz w:val="24"/>
          <w:szCs w:val="24"/>
        </w:rPr>
        <w:t>7</w:t>
      </w:r>
    </w:p>
    <w:p w:rsidR="007E13BB" w:rsidRDefault="00FB1E1E" w:rsidP="00FB1E1E">
      <w:pPr>
        <w:spacing w:after="0" w:line="480" w:lineRule="auto"/>
        <w:rPr>
          <w:rFonts w:ascii="Arial" w:hAnsi="Arial" w:cs="Arial"/>
          <w:b/>
          <w:color w:val="000000" w:themeColor="text1"/>
          <w:sz w:val="24"/>
          <w:szCs w:val="24"/>
        </w:rPr>
      </w:pPr>
      <w:r w:rsidRPr="00B5721A">
        <w:rPr>
          <w:rFonts w:ascii="Arial" w:hAnsi="Arial" w:cs="Arial"/>
          <w:b/>
          <w:color w:val="000000" w:themeColor="text1"/>
          <w:sz w:val="24"/>
          <w:szCs w:val="24"/>
        </w:rPr>
        <w:t>Delivered:</w:t>
      </w:r>
      <w:r w:rsidRPr="00B5721A">
        <w:rPr>
          <w:rFonts w:ascii="Arial" w:hAnsi="Arial" w:cs="Arial"/>
          <w:b/>
          <w:color w:val="000000" w:themeColor="text1"/>
          <w:sz w:val="24"/>
          <w:szCs w:val="24"/>
        </w:rPr>
        <w:tab/>
      </w:r>
      <w:r w:rsidR="000027C2">
        <w:rPr>
          <w:rFonts w:ascii="Arial" w:hAnsi="Arial" w:cs="Arial"/>
          <w:b/>
          <w:color w:val="000000" w:themeColor="text1"/>
          <w:sz w:val="24"/>
          <w:szCs w:val="24"/>
        </w:rPr>
        <w:tab/>
        <w:t xml:space="preserve">13 </w:t>
      </w:r>
      <w:r w:rsidR="009C3ED6">
        <w:rPr>
          <w:rFonts w:ascii="Arial" w:hAnsi="Arial" w:cs="Arial"/>
          <w:b/>
          <w:color w:val="000000" w:themeColor="text1"/>
          <w:sz w:val="24"/>
          <w:szCs w:val="24"/>
        </w:rPr>
        <w:t>April 2017</w:t>
      </w:r>
    </w:p>
    <w:p w:rsidR="009C3ED6" w:rsidRDefault="007E13BB" w:rsidP="007E13BB">
      <w:pPr>
        <w:spacing w:line="480" w:lineRule="auto"/>
        <w:jc w:val="both"/>
        <w:rPr>
          <w:rFonts w:ascii="Arial" w:hAnsi="Arial" w:cs="Arial"/>
          <w:sz w:val="24"/>
          <w:szCs w:val="24"/>
        </w:rPr>
      </w:pPr>
      <w:r w:rsidRPr="000C5951">
        <w:rPr>
          <w:rFonts w:ascii="Arial" w:hAnsi="Arial" w:cs="Arial"/>
          <w:b/>
          <w:sz w:val="24"/>
          <w:szCs w:val="24"/>
        </w:rPr>
        <w:lastRenderedPageBreak/>
        <w:t>Summary:</w:t>
      </w:r>
      <w:r w:rsidRPr="000C5951">
        <w:rPr>
          <w:rFonts w:ascii="Arial" w:hAnsi="Arial" w:cs="Arial"/>
          <w:sz w:val="24"/>
          <w:szCs w:val="24"/>
        </w:rPr>
        <w:t xml:space="preserve"> </w:t>
      </w:r>
      <w:r>
        <w:rPr>
          <w:rFonts w:ascii="Arial" w:hAnsi="Arial" w:cs="Arial"/>
          <w:sz w:val="24"/>
          <w:szCs w:val="24"/>
        </w:rPr>
        <w:t xml:space="preserve">The respondents were dismissed during June 2011 from their positions as </w:t>
      </w:r>
      <w:r w:rsidRPr="000C5951">
        <w:rPr>
          <w:rFonts w:ascii="Arial" w:hAnsi="Arial" w:cs="Arial"/>
          <w:sz w:val="24"/>
          <w:szCs w:val="24"/>
        </w:rPr>
        <w:t>traditional coun</w:t>
      </w:r>
      <w:r w:rsidR="004444E1">
        <w:rPr>
          <w:rFonts w:ascii="Arial" w:hAnsi="Arial" w:cs="Arial"/>
          <w:sz w:val="24"/>
          <w:szCs w:val="24"/>
        </w:rPr>
        <w:t xml:space="preserve">cillors </w:t>
      </w:r>
      <w:r w:rsidRPr="000C5951">
        <w:rPr>
          <w:rFonts w:ascii="Arial" w:hAnsi="Arial" w:cs="Arial"/>
          <w:sz w:val="24"/>
          <w:szCs w:val="24"/>
        </w:rPr>
        <w:t>of the O</w:t>
      </w:r>
      <w:r w:rsidR="00751073">
        <w:rPr>
          <w:rFonts w:ascii="Arial" w:hAnsi="Arial" w:cs="Arial"/>
          <w:sz w:val="24"/>
          <w:szCs w:val="24"/>
        </w:rPr>
        <w:t>u</w:t>
      </w:r>
      <w:r w:rsidRPr="000C5951">
        <w:rPr>
          <w:rFonts w:ascii="Arial" w:hAnsi="Arial" w:cs="Arial"/>
          <w:sz w:val="24"/>
          <w:szCs w:val="24"/>
        </w:rPr>
        <w:t>kwanyama Traditional Authority</w:t>
      </w:r>
      <w:r>
        <w:rPr>
          <w:rFonts w:ascii="Arial" w:hAnsi="Arial" w:cs="Arial"/>
          <w:sz w:val="24"/>
          <w:szCs w:val="24"/>
        </w:rPr>
        <w:t xml:space="preserve"> on grounds of misconduct</w:t>
      </w:r>
      <w:r w:rsidRPr="00C86334">
        <w:rPr>
          <w:rFonts w:ascii="Arial" w:hAnsi="Arial" w:cs="Arial"/>
          <w:sz w:val="24"/>
          <w:szCs w:val="24"/>
        </w:rPr>
        <w:t xml:space="preserve"> </w:t>
      </w:r>
      <w:r w:rsidRPr="000C5951">
        <w:rPr>
          <w:rFonts w:ascii="Arial" w:hAnsi="Arial" w:cs="Arial"/>
          <w:sz w:val="24"/>
          <w:szCs w:val="24"/>
        </w:rPr>
        <w:t xml:space="preserve">in that they </w:t>
      </w:r>
      <w:r w:rsidRPr="000C5951">
        <w:rPr>
          <w:rFonts w:ascii="Arial" w:hAnsi="Arial" w:cs="Arial"/>
          <w:color w:val="000000" w:themeColor="text1"/>
          <w:sz w:val="24"/>
          <w:szCs w:val="24"/>
        </w:rPr>
        <w:t>conducted meetings with members of the community outside their areas of jurisdiction concerning matters of the O</w:t>
      </w:r>
      <w:r w:rsidR="00751073">
        <w:rPr>
          <w:rFonts w:ascii="Arial" w:hAnsi="Arial" w:cs="Arial"/>
          <w:color w:val="000000" w:themeColor="text1"/>
          <w:sz w:val="24"/>
          <w:szCs w:val="24"/>
        </w:rPr>
        <w:t>u</w:t>
      </w:r>
      <w:r w:rsidRPr="000C5951">
        <w:rPr>
          <w:rFonts w:ascii="Arial" w:hAnsi="Arial" w:cs="Arial"/>
          <w:color w:val="000000" w:themeColor="text1"/>
          <w:sz w:val="24"/>
          <w:szCs w:val="24"/>
        </w:rPr>
        <w:t>kwanyama and at times of rest (onghata) contrary to tribal law and against t</w:t>
      </w:r>
      <w:bookmarkStart w:id="0" w:name="_GoBack"/>
      <w:bookmarkEnd w:id="0"/>
      <w:r w:rsidRPr="000C5951">
        <w:rPr>
          <w:rFonts w:ascii="Arial" w:hAnsi="Arial" w:cs="Arial"/>
          <w:color w:val="000000" w:themeColor="text1"/>
          <w:sz w:val="24"/>
          <w:szCs w:val="24"/>
        </w:rPr>
        <w:t xml:space="preserve">he wishes of </w:t>
      </w:r>
      <w:r w:rsidR="00907897">
        <w:rPr>
          <w:rFonts w:ascii="Arial" w:hAnsi="Arial" w:cs="Arial"/>
          <w:color w:val="000000" w:themeColor="text1"/>
          <w:sz w:val="24"/>
          <w:szCs w:val="24"/>
        </w:rPr>
        <w:t xml:space="preserve">the first appellant, </w:t>
      </w:r>
      <w:r w:rsidRPr="000C5951">
        <w:rPr>
          <w:rFonts w:ascii="Arial" w:hAnsi="Arial" w:cs="Arial"/>
          <w:color w:val="000000" w:themeColor="text1"/>
          <w:sz w:val="24"/>
          <w:szCs w:val="24"/>
        </w:rPr>
        <w:t>the queen</w:t>
      </w:r>
      <w:r w:rsidR="00907897">
        <w:rPr>
          <w:rFonts w:ascii="Arial" w:hAnsi="Arial" w:cs="Arial"/>
          <w:color w:val="000000" w:themeColor="text1"/>
          <w:sz w:val="24"/>
          <w:szCs w:val="24"/>
        </w:rPr>
        <w:t xml:space="preserve"> of the Oukwanyama</w:t>
      </w:r>
      <w:r w:rsidRPr="000C5951">
        <w:rPr>
          <w:rFonts w:ascii="Arial" w:hAnsi="Arial" w:cs="Arial"/>
          <w:sz w:val="24"/>
          <w:szCs w:val="24"/>
        </w:rPr>
        <w:t>.</w:t>
      </w:r>
      <w:r w:rsidR="004444E1">
        <w:rPr>
          <w:rFonts w:ascii="Arial" w:hAnsi="Arial" w:cs="Arial"/>
          <w:sz w:val="24"/>
          <w:szCs w:val="24"/>
        </w:rPr>
        <w:t xml:space="preserve"> The decision</w:t>
      </w:r>
      <w:r>
        <w:rPr>
          <w:rFonts w:ascii="Arial" w:hAnsi="Arial" w:cs="Arial"/>
          <w:sz w:val="24"/>
          <w:szCs w:val="24"/>
        </w:rPr>
        <w:t xml:space="preserve"> made by the</w:t>
      </w:r>
      <w:r w:rsidR="005B6B4E">
        <w:rPr>
          <w:rFonts w:ascii="Arial" w:hAnsi="Arial" w:cs="Arial"/>
          <w:sz w:val="24"/>
          <w:szCs w:val="24"/>
        </w:rPr>
        <w:t xml:space="preserve"> first</w:t>
      </w:r>
      <w:r>
        <w:rPr>
          <w:rFonts w:ascii="Arial" w:hAnsi="Arial" w:cs="Arial"/>
          <w:sz w:val="24"/>
          <w:szCs w:val="24"/>
        </w:rPr>
        <w:t xml:space="preserve"> appellant in her capacity as ‘chief’ of the </w:t>
      </w:r>
      <w:r w:rsidR="00751073">
        <w:rPr>
          <w:rFonts w:ascii="Arial" w:hAnsi="Arial" w:cs="Arial"/>
          <w:sz w:val="24"/>
          <w:szCs w:val="24"/>
        </w:rPr>
        <w:t>Ou</w:t>
      </w:r>
      <w:r w:rsidRPr="000C5951">
        <w:rPr>
          <w:rFonts w:ascii="Arial" w:hAnsi="Arial" w:cs="Arial"/>
          <w:sz w:val="24"/>
          <w:szCs w:val="24"/>
        </w:rPr>
        <w:t>kwanyama Traditional Authority</w:t>
      </w:r>
      <w:r>
        <w:rPr>
          <w:rFonts w:ascii="Arial" w:hAnsi="Arial" w:cs="Arial"/>
          <w:sz w:val="24"/>
          <w:szCs w:val="24"/>
        </w:rPr>
        <w:t xml:space="preserve"> was challenged by way of review i</w:t>
      </w:r>
      <w:r w:rsidR="00500533">
        <w:rPr>
          <w:rFonts w:ascii="Arial" w:hAnsi="Arial" w:cs="Arial"/>
          <w:sz w:val="24"/>
          <w:szCs w:val="24"/>
        </w:rPr>
        <w:t xml:space="preserve">n the High Court on the basis that it </w:t>
      </w:r>
      <w:r w:rsidRPr="000C5951">
        <w:rPr>
          <w:rFonts w:ascii="Arial" w:hAnsi="Arial" w:cs="Arial"/>
          <w:sz w:val="24"/>
          <w:szCs w:val="24"/>
        </w:rPr>
        <w:t xml:space="preserve">was made </w:t>
      </w:r>
      <w:r w:rsidR="00500533">
        <w:rPr>
          <w:rFonts w:ascii="Arial" w:hAnsi="Arial" w:cs="Arial"/>
          <w:sz w:val="24"/>
          <w:szCs w:val="24"/>
        </w:rPr>
        <w:t>without the respondents being afforded a hearing contrary to Art 18 of the Constitution. The appellants had in the answering papers complained about the lack of specificity as regards the complaint based on Art 18.</w:t>
      </w:r>
    </w:p>
    <w:p w:rsidR="007E13BB" w:rsidRPr="000C5951" w:rsidRDefault="007E13BB" w:rsidP="009C3ED6">
      <w:pPr>
        <w:spacing w:after="0" w:line="480" w:lineRule="auto"/>
        <w:jc w:val="both"/>
        <w:rPr>
          <w:rFonts w:ascii="Arial" w:hAnsi="Arial" w:cs="Arial"/>
          <w:sz w:val="24"/>
          <w:szCs w:val="24"/>
        </w:rPr>
      </w:pPr>
      <w:r w:rsidRPr="000C5951">
        <w:rPr>
          <w:rFonts w:ascii="Arial" w:hAnsi="Arial" w:cs="Arial"/>
          <w:sz w:val="24"/>
          <w:szCs w:val="24"/>
        </w:rPr>
        <w:t xml:space="preserve"> </w:t>
      </w:r>
    </w:p>
    <w:p w:rsidR="007E13BB" w:rsidRDefault="007E13BB" w:rsidP="007E13BB">
      <w:pPr>
        <w:pStyle w:val="ListParagraph"/>
        <w:spacing w:after="0" w:line="480" w:lineRule="auto"/>
        <w:ind w:left="0"/>
        <w:jc w:val="both"/>
        <w:rPr>
          <w:rFonts w:ascii="Arial" w:hAnsi="Arial" w:cs="Arial"/>
          <w:color w:val="000000" w:themeColor="text1"/>
          <w:sz w:val="24"/>
          <w:szCs w:val="24"/>
        </w:rPr>
      </w:pPr>
      <w:r w:rsidRPr="000C5951">
        <w:rPr>
          <w:rFonts w:ascii="Arial" w:hAnsi="Arial" w:cs="Arial"/>
          <w:sz w:val="24"/>
          <w:szCs w:val="24"/>
        </w:rPr>
        <w:t xml:space="preserve">The </w:t>
      </w:r>
      <w:r w:rsidR="00500533">
        <w:rPr>
          <w:rFonts w:ascii="Arial" w:hAnsi="Arial" w:cs="Arial"/>
          <w:sz w:val="24"/>
          <w:szCs w:val="24"/>
        </w:rPr>
        <w:t xml:space="preserve">High Court </w:t>
      </w:r>
      <w:r w:rsidRPr="000C5951">
        <w:rPr>
          <w:rFonts w:ascii="Arial" w:hAnsi="Arial" w:cs="Arial"/>
          <w:sz w:val="24"/>
          <w:szCs w:val="24"/>
        </w:rPr>
        <w:t>observed that the partic</w:t>
      </w:r>
      <w:r w:rsidR="00500533">
        <w:rPr>
          <w:rFonts w:ascii="Arial" w:hAnsi="Arial" w:cs="Arial"/>
          <w:sz w:val="24"/>
          <w:szCs w:val="24"/>
        </w:rPr>
        <w:t xml:space="preserve">ularity of the extent to which Art </w:t>
      </w:r>
      <w:r w:rsidRPr="000C5951">
        <w:rPr>
          <w:rFonts w:ascii="Arial" w:hAnsi="Arial" w:cs="Arial"/>
          <w:sz w:val="24"/>
          <w:szCs w:val="24"/>
        </w:rPr>
        <w:t xml:space="preserve">18 was </w:t>
      </w:r>
      <w:r w:rsidR="00500533">
        <w:rPr>
          <w:rFonts w:ascii="Arial" w:hAnsi="Arial" w:cs="Arial"/>
          <w:sz w:val="24"/>
          <w:szCs w:val="24"/>
        </w:rPr>
        <w:t xml:space="preserve">allegedly </w:t>
      </w:r>
      <w:r w:rsidRPr="000C5951">
        <w:rPr>
          <w:rFonts w:ascii="Arial" w:hAnsi="Arial" w:cs="Arial"/>
          <w:sz w:val="24"/>
          <w:szCs w:val="24"/>
        </w:rPr>
        <w:t xml:space="preserve">breached was not </w:t>
      </w:r>
      <w:r w:rsidR="00500533">
        <w:rPr>
          <w:rFonts w:ascii="Arial" w:hAnsi="Arial" w:cs="Arial"/>
          <w:sz w:val="24"/>
          <w:szCs w:val="24"/>
        </w:rPr>
        <w:t xml:space="preserve">obvious </w:t>
      </w:r>
      <w:r>
        <w:rPr>
          <w:rFonts w:ascii="Arial" w:hAnsi="Arial" w:cs="Arial"/>
          <w:sz w:val="24"/>
          <w:szCs w:val="24"/>
        </w:rPr>
        <w:t>from the founding papers</w:t>
      </w:r>
      <w:r w:rsidRPr="000C5951">
        <w:rPr>
          <w:rFonts w:ascii="Arial" w:hAnsi="Arial" w:cs="Arial"/>
          <w:sz w:val="24"/>
          <w:szCs w:val="24"/>
        </w:rPr>
        <w:t xml:space="preserve"> and relied on </w:t>
      </w:r>
      <w:r w:rsidR="00500533">
        <w:rPr>
          <w:rFonts w:ascii="Arial" w:hAnsi="Arial" w:cs="Arial"/>
          <w:sz w:val="24"/>
          <w:szCs w:val="24"/>
        </w:rPr>
        <w:t xml:space="preserve">the </w:t>
      </w:r>
      <w:r w:rsidRPr="000C5951">
        <w:rPr>
          <w:rFonts w:ascii="Arial" w:hAnsi="Arial" w:cs="Arial"/>
          <w:sz w:val="24"/>
          <w:szCs w:val="24"/>
        </w:rPr>
        <w:t>annexure</w:t>
      </w:r>
      <w:r w:rsidR="00500533">
        <w:rPr>
          <w:rFonts w:ascii="Arial" w:hAnsi="Arial" w:cs="Arial"/>
          <w:sz w:val="24"/>
          <w:szCs w:val="24"/>
        </w:rPr>
        <w:t>s</w:t>
      </w:r>
      <w:r w:rsidRPr="000C5951">
        <w:rPr>
          <w:rFonts w:ascii="Arial" w:hAnsi="Arial" w:cs="Arial"/>
          <w:sz w:val="24"/>
          <w:szCs w:val="24"/>
        </w:rPr>
        <w:t xml:space="preserve"> attached to the </w:t>
      </w:r>
      <w:r>
        <w:rPr>
          <w:rFonts w:ascii="Arial" w:hAnsi="Arial" w:cs="Arial"/>
          <w:sz w:val="24"/>
          <w:szCs w:val="24"/>
        </w:rPr>
        <w:t>affidavits to sustain the</w:t>
      </w:r>
      <w:r w:rsidRPr="000C5951">
        <w:rPr>
          <w:rFonts w:ascii="Arial" w:hAnsi="Arial" w:cs="Arial"/>
          <w:sz w:val="24"/>
          <w:szCs w:val="24"/>
        </w:rPr>
        <w:t xml:space="preserve"> </w:t>
      </w:r>
      <w:r>
        <w:rPr>
          <w:rFonts w:ascii="Arial" w:hAnsi="Arial" w:cs="Arial"/>
          <w:sz w:val="24"/>
          <w:szCs w:val="24"/>
        </w:rPr>
        <w:t>allegations</w:t>
      </w:r>
      <w:r w:rsidRPr="000C5951">
        <w:rPr>
          <w:rFonts w:ascii="Arial" w:hAnsi="Arial" w:cs="Arial"/>
          <w:sz w:val="24"/>
          <w:szCs w:val="24"/>
        </w:rPr>
        <w:t xml:space="preserve"> </w:t>
      </w:r>
      <w:r>
        <w:rPr>
          <w:rFonts w:ascii="Arial" w:hAnsi="Arial" w:cs="Arial"/>
          <w:sz w:val="24"/>
          <w:szCs w:val="24"/>
        </w:rPr>
        <w:t>maintained by</w:t>
      </w:r>
      <w:r w:rsidRPr="000C5951">
        <w:rPr>
          <w:rFonts w:ascii="Arial" w:hAnsi="Arial" w:cs="Arial"/>
          <w:sz w:val="24"/>
          <w:szCs w:val="24"/>
        </w:rPr>
        <w:t xml:space="preserve"> the respondents. The court </w:t>
      </w:r>
      <w:r w:rsidRPr="005B6B4E">
        <w:rPr>
          <w:rFonts w:ascii="Arial" w:hAnsi="Arial" w:cs="Arial"/>
          <w:i/>
          <w:sz w:val="24"/>
          <w:szCs w:val="24"/>
        </w:rPr>
        <w:t>a quo</w:t>
      </w:r>
      <w:r w:rsidRPr="000C5951">
        <w:rPr>
          <w:rFonts w:ascii="Arial" w:hAnsi="Arial" w:cs="Arial"/>
          <w:sz w:val="24"/>
          <w:szCs w:val="24"/>
        </w:rPr>
        <w:t xml:space="preserve"> held that the notices sent to the respondent</w:t>
      </w:r>
      <w:r w:rsidR="005B6B4E">
        <w:rPr>
          <w:rFonts w:ascii="Arial" w:hAnsi="Arial" w:cs="Arial"/>
          <w:sz w:val="24"/>
          <w:szCs w:val="24"/>
        </w:rPr>
        <w:t>s</w:t>
      </w:r>
      <w:r w:rsidRPr="000C5951">
        <w:rPr>
          <w:rFonts w:ascii="Arial" w:hAnsi="Arial" w:cs="Arial"/>
          <w:sz w:val="24"/>
          <w:szCs w:val="24"/>
        </w:rPr>
        <w:t xml:space="preserve"> </w:t>
      </w:r>
      <w:r w:rsidR="00256D23">
        <w:rPr>
          <w:rFonts w:ascii="Arial" w:hAnsi="Arial" w:cs="Arial"/>
          <w:sz w:val="24"/>
          <w:szCs w:val="24"/>
        </w:rPr>
        <w:t xml:space="preserve">advising of an impending investigation which later formed the basis for their dismissal, </w:t>
      </w:r>
      <w:r w:rsidRPr="000C5951">
        <w:rPr>
          <w:rFonts w:ascii="Arial" w:hAnsi="Arial" w:cs="Arial"/>
          <w:sz w:val="24"/>
          <w:szCs w:val="24"/>
        </w:rPr>
        <w:t xml:space="preserve">did not measure up to the required </w:t>
      </w:r>
      <w:r w:rsidR="00500533">
        <w:rPr>
          <w:rFonts w:ascii="Arial" w:hAnsi="Arial" w:cs="Arial"/>
          <w:color w:val="000000" w:themeColor="text1"/>
          <w:sz w:val="24"/>
          <w:szCs w:val="24"/>
        </w:rPr>
        <w:t>standard</w:t>
      </w:r>
      <w:r w:rsidRPr="000C5951">
        <w:rPr>
          <w:rFonts w:ascii="Arial" w:hAnsi="Arial" w:cs="Arial"/>
          <w:color w:val="000000" w:themeColor="text1"/>
          <w:sz w:val="24"/>
          <w:szCs w:val="24"/>
        </w:rPr>
        <w:t xml:space="preserve"> of procedural fairness and reasonableness, in that the respondents</w:t>
      </w:r>
      <w:r w:rsidR="00C43EFA">
        <w:rPr>
          <w:rFonts w:ascii="Arial" w:hAnsi="Arial" w:cs="Arial"/>
          <w:color w:val="000000" w:themeColor="text1"/>
          <w:sz w:val="24"/>
          <w:szCs w:val="24"/>
        </w:rPr>
        <w:t>:</w:t>
      </w:r>
      <w:r w:rsidRPr="000C5951">
        <w:rPr>
          <w:rFonts w:ascii="Arial" w:hAnsi="Arial" w:cs="Arial"/>
          <w:color w:val="000000" w:themeColor="text1"/>
          <w:sz w:val="24"/>
          <w:szCs w:val="24"/>
        </w:rPr>
        <w:t xml:space="preserve"> were not informed of the charges that </w:t>
      </w:r>
      <w:r w:rsidR="00C43EFA">
        <w:rPr>
          <w:rFonts w:ascii="Arial" w:hAnsi="Arial" w:cs="Arial"/>
          <w:color w:val="000000" w:themeColor="text1"/>
          <w:sz w:val="24"/>
          <w:szCs w:val="24"/>
        </w:rPr>
        <w:t xml:space="preserve">they </w:t>
      </w:r>
      <w:r w:rsidRPr="000C5951">
        <w:rPr>
          <w:rFonts w:ascii="Arial" w:hAnsi="Arial" w:cs="Arial"/>
          <w:color w:val="000000" w:themeColor="text1"/>
          <w:sz w:val="24"/>
          <w:szCs w:val="24"/>
        </w:rPr>
        <w:t xml:space="preserve">would </w:t>
      </w:r>
      <w:r w:rsidR="00500533">
        <w:rPr>
          <w:rFonts w:ascii="Arial" w:hAnsi="Arial" w:cs="Arial"/>
          <w:color w:val="000000" w:themeColor="text1"/>
          <w:sz w:val="24"/>
          <w:szCs w:val="24"/>
        </w:rPr>
        <w:t xml:space="preserve">face, the true nature of the forum at which they were to appear which only </w:t>
      </w:r>
      <w:r w:rsidR="00C43EFA">
        <w:rPr>
          <w:rFonts w:ascii="Arial" w:hAnsi="Arial" w:cs="Arial"/>
          <w:color w:val="000000" w:themeColor="text1"/>
          <w:sz w:val="24"/>
          <w:szCs w:val="24"/>
        </w:rPr>
        <w:t>subsequently was established to be disciplinary in nature,</w:t>
      </w:r>
      <w:r w:rsidR="00256D23">
        <w:rPr>
          <w:rFonts w:ascii="Arial" w:hAnsi="Arial" w:cs="Arial"/>
          <w:color w:val="000000" w:themeColor="text1"/>
          <w:sz w:val="24"/>
          <w:szCs w:val="24"/>
        </w:rPr>
        <w:t xml:space="preserve"> and</w:t>
      </w:r>
      <w:r w:rsidR="00C43EFA">
        <w:rPr>
          <w:rFonts w:ascii="Arial" w:hAnsi="Arial" w:cs="Arial"/>
          <w:color w:val="000000" w:themeColor="text1"/>
          <w:sz w:val="24"/>
          <w:szCs w:val="24"/>
        </w:rPr>
        <w:t xml:space="preserve"> were not afforded ample time for preparation</w:t>
      </w:r>
      <w:r w:rsidR="00256D23">
        <w:rPr>
          <w:rFonts w:ascii="Arial" w:hAnsi="Arial" w:cs="Arial"/>
          <w:color w:val="000000" w:themeColor="text1"/>
          <w:sz w:val="24"/>
          <w:szCs w:val="24"/>
        </w:rPr>
        <w:t xml:space="preserve"> before appearing before the investigation committee</w:t>
      </w:r>
      <w:r w:rsidR="00C43EFA">
        <w:rPr>
          <w:rFonts w:ascii="Arial" w:hAnsi="Arial" w:cs="Arial"/>
          <w:color w:val="000000" w:themeColor="text1"/>
          <w:sz w:val="24"/>
          <w:szCs w:val="24"/>
        </w:rPr>
        <w:t xml:space="preserve">. </w:t>
      </w:r>
      <w:r w:rsidRPr="000C5951">
        <w:rPr>
          <w:rFonts w:ascii="Arial" w:hAnsi="Arial" w:cs="Arial"/>
          <w:color w:val="000000" w:themeColor="text1"/>
          <w:sz w:val="24"/>
          <w:szCs w:val="24"/>
        </w:rPr>
        <w:t xml:space="preserve">The court </w:t>
      </w:r>
      <w:r w:rsidRPr="005B6B4E">
        <w:rPr>
          <w:rFonts w:ascii="Arial" w:hAnsi="Arial" w:cs="Arial"/>
          <w:i/>
          <w:color w:val="000000" w:themeColor="text1"/>
          <w:sz w:val="24"/>
          <w:szCs w:val="24"/>
        </w:rPr>
        <w:t>a quo</w:t>
      </w:r>
      <w:r w:rsidRPr="000C5951">
        <w:rPr>
          <w:rFonts w:ascii="Arial" w:hAnsi="Arial" w:cs="Arial"/>
          <w:color w:val="000000" w:themeColor="text1"/>
          <w:sz w:val="24"/>
          <w:szCs w:val="24"/>
        </w:rPr>
        <w:t xml:space="preserve"> </w:t>
      </w:r>
      <w:r w:rsidR="00C43EFA">
        <w:rPr>
          <w:rFonts w:ascii="Arial" w:hAnsi="Arial" w:cs="Arial"/>
          <w:color w:val="000000" w:themeColor="text1"/>
          <w:sz w:val="24"/>
          <w:szCs w:val="24"/>
        </w:rPr>
        <w:t xml:space="preserve">set aside the dismissals </w:t>
      </w:r>
      <w:r w:rsidR="00256D23">
        <w:rPr>
          <w:rFonts w:ascii="Arial" w:hAnsi="Arial" w:cs="Arial"/>
          <w:color w:val="000000" w:themeColor="text1"/>
          <w:sz w:val="24"/>
          <w:szCs w:val="24"/>
        </w:rPr>
        <w:t xml:space="preserve">based on inferences drawn from annexures but not specifically relied on in the founding affidavit; </w:t>
      </w:r>
      <w:r w:rsidR="00C43EFA">
        <w:rPr>
          <w:rFonts w:ascii="Arial" w:hAnsi="Arial" w:cs="Arial"/>
          <w:color w:val="000000" w:themeColor="text1"/>
          <w:sz w:val="24"/>
          <w:szCs w:val="24"/>
        </w:rPr>
        <w:t xml:space="preserve">and </w:t>
      </w:r>
      <w:r w:rsidRPr="000C5951">
        <w:rPr>
          <w:rFonts w:ascii="Arial" w:hAnsi="Arial" w:cs="Arial"/>
          <w:color w:val="000000" w:themeColor="text1"/>
          <w:sz w:val="24"/>
          <w:szCs w:val="24"/>
        </w:rPr>
        <w:t>ordered reinstatement of the respondents</w:t>
      </w:r>
      <w:r w:rsidR="00C43EFA">
        <w:rPr>
          <w:rFonts w:ascii="Arial" w:hAnsi="Arial" w:cs="Arial"/>
          <w:color w:val="000000" w:themeColor="text1"/>
          <w:sz w:val="24"/>
          <w:szCs w:val="24"/>
        </w:rPr>
        <w:t>.</w:t>
      </w:r>
      <w:r w:rsidRPr="000C5951">
        <w:rPr>
          <w:rFonts w:ascii="Arial" w:hAnsi="Arial" w:cs="Arial"/>
          <w:color w:val="000000" w:themeColor="text1"/>
          <w:sz w:val="24"/>
          <w:szCs w:val="24"/>
        </w:rPr>
        <w:t xml:space="preserve"> </w:t>
      </w:r>
    </w:p>
    <w:p w:rsidR="009C3ED6" w:rsidRPr="000C5951" w:rsidRDefault="009C3ED6" w:rsidP="007E13BB">
      <w:pPr>
        <w:pStyle w:val="ListParagraph"/>
        <w:spacing w:after="0" w:line="480" w:lineRule="auto"/>
        <w:ind w:left="0"/>
        <w:jc w:val="both"/>
        <w:rPr>
          <w:rFonts w:ascii="Arial" w:hAnsi="Arial" w:cs="Arial"/>
          <w:color w:val="000000" w:themeColor="text1"/>
          <w:sz w:val="24"/>
          <w:szCs w:val="24"/>
        </w:rPr>
      </w:pPr>
    </w:p>
    <w:p w:rsidR="005B6B4E" w:rsidRDefault="007E13BB" w:rsidP="007E13BB">
      <w:pPr>
        <w:spacing w:line="480" w:lineRule="auto"/>
        <w:jc w:val="both"/>
        <w:rPr>
          <w:rStyle w:val="s1"/>
          <w:rFonts w:ascii="Arial" w:hAnsi="Arial" w:cs="Arial"/>
          <w:sz w:val="24"/>
          <w:szCs w:val="24"/>
        </w:rPr>
      </w:pPr>
      <w:r w:rsidRPr="00C86334">
        <w:rPr>
          <w:rStyle w:val="s1"/>
          <w:rFonts w:ascii="Arial" w:hAnsi="Arial" w:cs="Arial"/>
          <w:i/>
          <w:sz w:val="24"/>
          <w:szCs w:val="24"/>
        </w:rPr>
        <w:lastRenderedPageBreak/>
        <w:t>Held that</w:t>
      </w:r>
      <w:r w:rsidRPr="000C5951">
        <w:rPr>
          <w:rStyle w:val="s1"/>
          <w:rFonts w:ascii="Arial" w:hAnsi="Arial" w:cs="Arial"/>
          <w:sz w:val="24"/>
          <w:szCs w:val="24"/>
        </w:rPr>
        <w:t xml:space="preserve"> Art 18 implicates the right to fair administrative justice and the duty to act reasonably</w:t>
      </w:r>
      <w:r>
        <w:rPr>
          <w:rStyle w:val="s1"/>
          <w:rFonts w:ascii="Arial" w:hAnsi="Arial" w:cs="Arial"/>
          <w:sz w:val="24"/>
          <w:szCs w:val="24"/>
        </w:rPr>
        <w:t>; t</w:t>
      </w:r>
      <w:r w:rsidRPr="000C5951">
        <w:rPr>
          <w:rStyle w:val="s1"/>
          <w:rFonts w:ascii="Arial" w:hAnsi="Arial" w:cs="Arial"/>
          <w:sz w:val="24"/>
          <w:szCs w:val="24"/>
        </w:rPr>
        <w:t xml:space="preserve">hat the respondents bore the </w:t>
      </w:r>
      <w:r w:rsidR="00256D23">
        <w:rPr>
          <w:rStyle w:val="s1"/>
          <w:rFonts w:ascii="Arial" w:hAnsi="Arial" w:cs="Arial"/>
          <w:sz w:val="24"/>
          <w:szCs w:val="24"/>
        </w:rPr>
        <w:t xml:space="preserve">onus to allege the specific Art 18 ground and to </w:t>
      </w:r>
      <w:r w:rsidRPr="000C5951">
        <w:rPr>
          <w:rStyle w:val="s1"/>
          <w:rFonts w:ascii="Arial" w:hAnsi="Arial" w:cs="Arial"/>
          <w:sz w:val="24"/>
          <w:szCs w:val="24"/>
        </w:rPr>
        <w:t>mak</w:t>
      </w:r>
      <w:r w:rsidR="00256D23">
        <w:rPr>
          <w:rStyle w:val="s1"/>
          <w:rFonts w:ascii="Arial" w:hAnsi="Arial" w:cs="Arial"/>
          <w:sz w:val="24"/>
          <w:szCs w:val="24"/>
        </w:rPr>
        <w:t xml:space="preserve">e </w:t>
      </w:r>
      <w:r w:rsidRPr="000C5951">
        <w:rPr>
          <w:rStyle w:val="s1"/>
          <w:rFonts w:ascii="Arial" w:hAnsi="Arial" w:cs="Arial"/>
          <w:sz w:val="24"/>
          <w:szCs w:val="24"/>
        </w:rPr>
        <w:t>out the case for review</w:t>
      </w:r>
      <w:r w:rsidR="005B6B4E">
        <w:rPr>
          <w:rStyle w:val="s1"/>
          <w:rFonts w:ascii="Arial" w:hAnsi="Arial" w:cs="Arial"/>
          <w:sz w:val="24"/>
          <w:szCs w:val="24"/>
        </w:rPr>
        <w:t>.</w:t>
      </w:r>
      <w:r w:rsidR="00256D23">
        <w:rPr>
          <w:rStyle w:val="s1"/>
          <w:rFonts w:ascii="Arial" w:hAnsi="Arial" w:cs="Arial"/>
          <w:sz w:val="24"/>
          <w:szCs w:val="24"/>
        </w:rPr>
        <w:t xml:space="preserve"> </w:t>
      </w:r>
    </w:p>
    <w:p w:rsidR="005B6B4E" w:rsidRDefault="005B6B4E" w:rsidP="005B6B4E">
      <w:pPr>
        <w:spacing w:after="0" w:line="480" w:lineRule="auto"/>
        <w:jc w:val="both"/>
        <w:rPr>
          <w:rStyle w:val="s1"/>
          <w:rFonts w:ascii="Arial" w:hAnsi="Arial" w:cs="Arial"/>
          <w:sz w:val="24"/>
          <w:szCs w:val="24"/>
        </w:rPr>
      </w:pPr>
    </w:p>
    <w:p w:rsidR="007E13BB" w:rsidRDefault="005B6B4E" w:rsidP="007E13BB">
      <w:pPr>
        <w:spacing w:line="480" w:lineRule="auto"/>
        <w:jc w:val="both"/>
        <w:rPr>
          <w:rFonts w:ascii="Arial" w:hAnsi="Arial" w:cs="Arial"/>
          <w:i/>
          <w:sz w:val="24"/>
          <w:szCs w:val="24"/>
        </w:rPr>
      </w:pPr>
      <w:r w:rsidRPr="001B4AD1">
        <w:rPr>
          <w:rStyle w:val="s1"/>
          <w:rFonts w:ascii="Arial" w:hAnsi="Arial" w:cs="Arial"/>
          <w:i/>
          <w:sz w:val="24"/>
          <w:szCs w:val="24"/>
        </w:rPr>
        <w:t>H</w:t>
      </w:r>
      <w:r w:rsidR="00256D23" w:rsidRPr="001B4AD1">
        <w:rPr>
          <w:rStyle w:val="s1"/>
          <w:rFonts w:ascii="Arial" w:hAnsi="Arial" w:cs="Arial"/>
          <w:i/>
          <w:sz w:val="24"/>
          <w:szCs w:val="24"/>
        </w:rPr>
        <w:t>eld</w:t>
      </w:r>
      <w:r w:rsidR="007E13BB" w:rsidRPr="001B4AD1">
        <w:rPr>
          <w:rStyle w:val="s1"/>
          <w:rFonts w:ascii="Arial" w:hAnsi="Arial" w:cs="Arial"/>
          <w:i/>
          <w:sz w:val="24"/>
          <w:szCs w:val="24"/>
        </w:rPr>
        <w:t xml:space="preserve"> that</w:t>
      </w:r>
      <w:r w:rsidR="007E13BB" w:rsidRPr="000C5951">
        <w:rPr>
          <w:rStyle w:val="s1"/>
          <w:rFonts w:ascii="Arial" w:hAnsi="Arial" w:cs="Arial"/>
          <w:sz w:val="24"/>
          <w:szCs w:val="24"/>
        </w:rPr>
        <w:t xml:space="preserve"> </w:t>
      </w:r>
      <w:r w:rsidR="00256D23">
        <w:rPr>
          <w:rStyle w:val="s1"/>
          <w:rFonts w:ascii="Arial" w:hAnsi="Arial" w:cs="Arial"/>
          <w:i/>
          <w:sz w:val="24"/>
          <w:szCs w:val="24"/>
        </w:rPr>
        <w:t xml:space="preserve">audi alteram partem </w:t>
      </w:r>
      <w:r w:rsidR="007E13BB" w:rsidRPr="000C5951">
        <w:rPr>
          <w:rFonts w:ascii="Arial" w:hAnsi="Arial" w:cs="Arial"/>
          <w:sz w:val="24"/>
          <w:szCs w:val="24"/>
        </w:rPr>
        <w:t xml:space="preserve">is </w:t>
      </w:r>
      <w:r w:rsidR="00C43EFA">
        <w:rPr>
          <w:rFonts w:ascii="Arial" w:hAnsi="Arial" w:cs="Arial"/>
          <w:sz w:val="24"/>
          <w:szCs w:val="24"/>
        </w:rPr>
        <w:t xml:space="preserve">flexible </w:t>
      </w:r>
      <w:r w:rsidR="007E13BB" w:rsidRPr="000C5951">
        <w:rPr>
          <w:rFonts w:ascii="Arial" w:hAnsi="Arial" w:cs="Arial"/>
          <w:sz w:val="24"/>
          <w:szCs w:val="24"/>
        </w:rPr>
        <w:t xml:space="preserve">and </w:t>
      </w:r>
      <w:r w:rsidR="00256D23">
        <w:rPr>
          <w:rFonts w:ascii="Arial" w:hAnsi="Arial" w:cs="Arial"/>
          <w:sz w:val="24"/>
          <w:szCs w:val="24"/>
        </w:rPr>
        <w:t>its application will de</w:t>
      </w:r>
      <w:r>
        <w:rPr>
          <w:rFonts w:ascii="Arial" w:hAnsi="Arial" w:cs="Arial"/>
          <w:sz w:val="24"/>
          <w:szCs w:val="24"/>
        </w:rPr>
        <w:t>p</w:t>
      </w:r>
      <w:r w:rsidR="00256D23">
        <w:rPr>
          <w:rFonts w:ascii="Arial" w:hAnsi="Arial" w:cs="Arial"/>
          <w:sz w:val="24"/>
          <w:szCs w:val="24"/>
        </w:rPr>
        <w:t>end on</w:t>
      </w:r>
      <w:r w:rsidR="007E13BB" w:rsidRPr="000C5951">
        <w:rPr>
          <w:rFonts w:ascii="Arial" w:hAnsi="Arial" w:cs="Arial"/>
          <w:sz w:val="24"/>
          <w:szCs w:val="24"/>
        </w:rPr>
        <w:t xml:space="preserve"> the circumstances of each case</w:t>
      </w:r>
      <w:r w:rsidR="007E13BB">
        <w:rPr>
          <w:rFonts w:ascii="Arial" w:hAnsi="Arial" w:cs="Arial"/>
          <w:sz w:val="24"/>
          <w:szCs w:val="24"/>
        </w:rPr>
        <w:t>; that</w:t>
      </w:r>
      <w:r w:rsidR="007E13BB" w:rsidRPr="000C5951">
        <w:rPr>
          <w:rFonts w:ascii="Arial" w:hAnsi="Arial" w:cs="Arial"/>
          <w:sz w:val="24"/>
          <w:szCs w:val="24"/>
        </w:rPr>
        <w:t xml:space="preserve"> the particular circumstances of the case may oust </w:t>
      </w:r>
      <w:r w:rsidR="007E13BB" w:rsidRPr="000C5951">
        <w:rPr>
          <w:rFonts w:ascii="Arial" w:hAnsi="Arial" w:cs="Arial"/>
          <w:i/>
          <w:sz w:val="24"/>
          <w:szCs w:val="24"/>
        </w:rPr>
        <w:t>audi</w:t>
      </w:r>
      <w:r w:rsidR="007E13BB" w:rsidRPr="000C5951">
        <w:rPr>
          <w:rFonts w:ascii="Arial" w:hAnsi="Arial" w:cs="Arial"/>
          <w:sz w:val="24"/>
          <w:szCs w:val="24"/>
        </w:rPr>
        <w:t xml:space="preserve"> or significantly attenuate its operation.</w:t>
      </w:r>
      <w:r w:rsidR="007E13BB">
        <w:rPr>
          <w:rFonts w:ascii="Arial" w:hAnsi="Arial" w:cs="Arial"/>
          <w:sz w:val="24"/>
          <w:szCs w:val="24"/>
        </w:rPr>
        <w:t xml:space="preserve"> Accordingly, the respondents </w:t>
      </w:r>
      <w:r w:rsidR="007E13BB" w:rsidRPr="000C5951">
        <w:rPr>
          <w:rFonts w:ascii="Arial" w:hAnsi="Arial" w:cs="Arial"/>
          <w:sz w:val="24"/>
          <w:szCs w:val="24"/>
        </w:rPr>
        <w:t>failed to discharge the onus and failed to put forward</w:t>
      </w:r>
      <w:r w:rsidR="00F667A0">
        <w:rPr>
          <w:rFonts w:ascii="Arial" w:hAnsi="Arial" w:cs="Arial"/>
          <w:sz w:val="24"/>
          <w:szCs w:val="24"/>
        </w:rPr>
        <w:t xml:space="preserve"> a proper</w:t>
      </w:r>
      <w:r w:rsidR="007E13BB" w:rsidRPr="000C5951">
        <w:rPr>
          <w:rFonts w:ascii="Arial" w:hAnsi="Arial" w:cs="Arial"/>
          <w:sz w:val="24"/>
          <w:szCs w:val="24"/>
        </w:rPr>
        <w:t xml:space="preserve"> factual basis</w:t>
      </w:r>
      <w:r w:rsidR="007E13BB">
        <w:rPr>
          <w:rFonts w:ascii="Arial" w:hAnsi="Arial" w:cs="Arial"/>
          <w:sz w:val="24"/>
          <w:szCs w:val="24"/>
        </w:rPr>
        <w:t xml:space="preserve"> in their papers</w:t>
      </w:r>
      <w:r w:rsidR="007E13BB" w:rsidRPr="000C5951">
        <w:rPr>
          <w:rFonts w:ascii="Arial" w:hAnsi="Arial" w:cs="Arial"/>
          <w:sz w:val="24"/>
          <w:szCs w:val="24"/>
        </w:rPr>
        <w:t xml:space="preserve"> to vitiate the decision to terminate their services</w:t>
      </w:r>
      <w:r w:rsidR="00F667A0">
        <w:rPr>
          <w:rFonts w:ascii="Arial" w:hAnsi="Arial" w:cs="Arial"/>
          <w:sz w:val="24"/>
          <w:szCs w:val="24"/>
        </w:rPr>
        <w:t xml:space="preserve"> based on the de</w:t>
      </w:r>
      <w:r>
        <w:rPr>
          <w:rFonts w:ascii="Arial" w:hAnsi="Arial" w:cs="Arial"/>
          <w:sz w:val="24"/>
          <w:szCs w:val="24"/>
        </w:rPr>
        <w:t>nial</w:t>
      </w:r>
      <w:r w:rsidR="00F667A0">
        <w:rPr>
          <w:rFonts w:ascii="Arial" w:hAnsi="Arial" w:cs="Arial"/>
          <w:sz w:val="24"/>
          <w:szCs w:val="24"/>
        </w:rPr>
        <w:t xml:space="preserve"> of </w:t>
      </w:r>
      <w:r w:rsidR="00F667A0">
        <w:rPr>
          <w:rFonts w:ascii="Arial" w:hAnsi="Arial" w:cs="Arial"/>
          <w:i/>
          <w:sz w:val="24"/>
          <w:szCs w:val="24"/>
        </w:rPr>
        <w:t>audi</w:t>
      </w:r>
      <w:r w:rsidR="007E13BB" w:rsidRPr="000C5951">
        <w:rPr>
          <w:rFonts w:ascii="Arial" w:hAnsi="Arial" w:cs="Arial"/>
          <w:sz w:val="24"/>
          <w:szCs w:val="24"/>
        </w:rPr>
        <w:t>.</w:t>
      </w:r>
      <w:r w:rsidR="007E13BB">
        <w:rPr>
          <w:rFonts w:ascii="Arial" w:hAnsi="Arial" w:cs="Arial"/>
          <w:sz w:val="24"/>
          <w:szCs w:val="24"/>
        </w:rPr>
        <w:t xml:space="preserve"> </w:t>
      </w:r>
      <w:r w:rsidR="00C43EFA">
        <w:rPr>
          <w:rFonts w:ascii="Arial" w:hAnsi="Arial" w:cs="Arial"/>
          <w:i/>
          <w:sz w:val="24"/>
          <w:szCs w:val="24"/>
        </w:rPr>
        <w:t>H</w:t>
      </w:r>
      <w:r w:rsidR="007E13BB" w:rsidRPr="00C86334">
        <w:rPr>
          <w:rFonts w:ascii="Arial" w:hAnsi="Arial" w:cs="Arial"/>
          <w:i/>
          <w:sz w:val="24"/>
          <w:szCs w:val="24"/>
        </w:rPr>
        <w:t>eld</w:t>
      </w:r>
      <w:r w:rsidR="007E13BB">
        <w:rPr>
          <w:rFonts w:ascii="Arial" w:hAnsi="Arial" w:cs="Arial"/>
          <w:i/>
          <w:sz w:val="24"/>
          <w:szCs w:val="24"/>
        </w:rPr>
        <w:t xml:space="preserve"> further </w:t>
      </w:r>
      <w:r w:rsidR="00C43EFA">
        <w:rPr>
          <w:rFonts w:ascii="Arial" w:hAnsi="Arial" w:cs="Arial"/>
          <w:sz w:val="24"/>
          <w:szCs w:val="24"/>
        </w:rPr>
        <w:t>that</w:t>
      </w:r>
      <w:r w:rsidR="007E13BB" w:rsidRPr="000C5951">
        <w:rPr>
          <w:rFonts w:ascii="Arial" w:hAnsi="Arial" w:cs="Arial"/>
          <w:sz w:val="24"/>
          <w:szCs w:val="24"/>
        </w:rPr>
        <w:t xml:space="preserve"> </w:t>
      </w:r>
      <w:r w:rsidR="00C43EFA">
        <w:rPr>
          <w:rFonts w:ascii="Arial" w:hAnsi="Arial" w:cs="Arial"/>
          <w:sz w:val="24"/>
          <w:szCs w:val="24"/>
        </w:rPr>
        <w:t xml:space="preserve">the court </w:t>
      </w:r>
      <w:r w:rsidR="00C43EFA" w:rsidRPr="005B6B4E">
        <w:rPr>
          <w:rFonts w:ascii="Arial" w:hAnsi="Arial" w:cs="Arial"/>
          <w:i/>
          <w:sz w:val="24"/>
          <w:szCs w:val="24"/>
        </w:rPr>
        <w:t>a quo</w:t>
      </w:r>
      <w:r w:rsidR="00C43EFA">
        <w:rPr>
          <w:rFonts w:ascii="Arial" w:hAnsi="Arial" w:cs="Arial"/>
          <w:sz w:val="24"/>
          <w:szCs w:val="24"/>
        </w:rPr>
        <w:t xml:space="preserve"> was bound by the </w:t>
      </w:r>
      <w:r w:rsidR="007E13BB" w:rsidRPr="000C5951">
        <w:rPr>
          <w:rFonts w:ascii="Arial" w:hAnsi="Arial" w:cs="Arial"/>
          <w:sz w:val="24"/>
          <w:szCs w:val="24"/>
        </w:rPr>
        <w:t xml:space="preserve">discipline </w:t>
      </w:r>
      <w:r w:rsidR="00C43EFA">
        <w:rPr>
          <w:rFonts w:ascii="Arial" w:hAnsi="Arial" w:cs="Arial"/>
          <w:sz w:val="24"/>
          <w:szCs w:val="24"/>
        </w:rPr>
        <w:t xml:space="preserve">of </w:t>
      </w:r>
      <w:r w:rsidR="007E13BB" w:rsidRPr="000C5951">
        <w:rPr>
          <w:rFonts w:ascii="Arial" w:hAnsi="Arial" w:cs="Arial"/>
          <w:sz w:val="24"/>
          <w:szCs w:val="24"/>
        </w:rPr>
        <w:t>motion proce</w:t>
      </w:r>
      <w:r w:rsidR="007E13BB">
        <w:rPr>
          <w:rFonts w:ascii="Arial" w:hAnsi="Arial" w:cs="Arial"/>
          <w:sz w:val="24"/>
          <w:szCs w:val="24"/>
        </w:rPr>
        <w:t>edings</w:t>
      </w:r>
      <w:r w:rsidR="00C43EFA">
        <w:rPr>
          <w:rFonts w:ascii="Arial" w:hAnsi="Arial" w:cs="Arial"/>
          <w:sz w:val="24"/>
          <w:szCs w:val="24"/>
        </w:rPr>
        <w:t xml:space="preserve">: </w:t>
      </w:r>
      <w:r w:rsidR="007E13BB" w:rsidRPr="000C5951">
        <w:rPr>
          <w:rFonts w:ascii="Arial" w:eastAsia="Arial Unicode MS" w:hAnsi="Arial" w:cs="Arial"/>
          <w:sz w:val="24"/>
          <w:szCs w:val="24"/>
        </w:rPr>
        <w:t>affidavits must contain all the averments necessary to sustain a cause of action or a defence</w:t>
      </w:r>
      <w:r w:rsidR="007E13BB">
        <w:rPr>
          <w:rFonts w:ascii="Arial" w:eastAsia="Arial Unicode MS" w:hAnsi="Arial" w:cs="Arial"/>
          <w:sz w:val="24"/>
          <w:szCs w:val="24"/>
        </w:rPr>
        <w:t xml:space="preserve"> </w:t>
      </w:r>
      <w:r w:rsidR="007E13BB" w:rsidRPr="000C5951">
        <w:rPr>
          <w:rFonts w:ascii="Arial" w:hAnsi="Arial" w:cs="Arial"/>
          <w:sz w:val="24"/>
          <w:szCs w:val="24"/>
        </w:rPr>
        <w:t>and the court is not entitle</w:t>
      </w:r>
      <w:r w:rsidR="00C43EFA">
        <w:rPr>
          <w:rFonts w:ascii="Arial" w:hAnsi="Arial" w:cs="Arial"/>
          <w:sz w:val="24"/>
          <w:szCs w:val="24"/>
        </w:rPr>
        <w:t>d to rely on grounds not raised in the founding affidavit.</w:t>
      </w:r>
      <w:r w:rsidR="007E13BB" w:rsidRPr="000C5951">
        <w:rPr>
          <w:rFonts w:ascii="Arial" w:hAnsi="Arial" w:cs="Arial"/>
          <w:i/>
          <w:sz w:val="24"/>
          <w:szCs w:val="24"/>
        </w:rPr>
        <w:t xml:space="preserve"> </w:t>
      </w:r>
    </w:p>
    <w:p w:rsidR="009C3ED6" w:rsidRPr="009C3ED6" w:rsidRDefault="009C3ED6" w:rsidP="009C3ED6">
      <w:pPr>
        <w:spacing w:after="0" w:line="480" w:lineRule="auto"/>
        <w:jc w:val="both"/>
        <w:rPr>
          <w:rFonts w:ascii="Arial" w:hAnsi="Arial" w:cs="Arial"/>
          <w:sz w:val="24"/>
          <w:szCs w:val="24"/>
        </w:rPr>
      </w:pPr>
    </w:p>
    <w:p w:rsidR="007E13BB" w:rsidRDefault="007E13BB" w:rsidP="007E13BB">
      <w:pPr>
        <w:pStyle w:val="NoSpacing"/>
        <w:spacing w:line="480" w:lineRule="auto"/>
        <w:jc w:val="both"/>
        <w:rPr>
          <w:rFonts w:ascii="Arial" w:eastAsia="Arial Unicode MS" w:hAnsi="Arial" w:cs="Arial"/>
          <w:sz w:val="24"/>
          <w:szCs w:val="24"/>
        </w:rPr>
      </w:pPr>
      <w:r w:rsidRPr="00FC7644">
        <w:rPr>
          <w:rFonts w:ascii="Arial" w:hAnsi="Arial" w:cs="Arial"/>
          <w:i/>
          <w:sz w:val="24"/>
          <w:szCs w:val="24"/>
        </w:rPr>
        <w:t>Held further that</w:t>
      </w:r>
      <w:r w:rsidRPr="000C5951">
        <w:rPr>
          <w:rFonts w:ascii="Arial" w:hAnsi="Arial" w:cs="Arial"/>
          <w:sz w:val="24"/>
          <w:szCs w:val="24"/>
        </w:rPr>
        <w:t xml:space="preserve"> w</w:t>
      </w:r>
      <w:r w:rsidRPr="000C5951">
        <w:rPr>
          <w:rFonts w:ascii="Arial" w:eastAsia="Arial Unicode MS" w:hAnsi="Arial" w:cs="Arial"/>
          <w:sz w:val="24"/>
          <w:szCs w:val="24"/>
        </w:rPr>
        <w:t>he</w:t>
      </w:r>
      <w:r w:rsidR="00C43EFA">
        <w:rPr>
          <w:rFonts w:ascii="Arial" w:eastAsia="Arial Unicode MS" w:hAnsi="Arial" w:cs="Arial"/>
          <w:sz w:val="24"/>
          <w:szCs w:val="24"/>
        </w:rPr>
        <w:t xml:space="preserve">re </w:t>
      </w:r>
      <w:r w:rsidRPr="000C5951">
        <w:rPr>
          <w:rFonts w:ascii="Arial" w:eastAsia="Arial Unicode MS" w:hAnsi="Arial" w:cs="Arial"/>
          <w:sz w:val="24"/>
          <w:szCs w:val="24"/>
        </w:rPr>
        <w:t xml:space="preserve">reliance is placed on material contained in annexures, the </w:t>
      </w:r>
      <w:r w:rsidR="00C43EFA">
        <w:rPr>
          <w:rFonts w:ascii="Arial" w:eastAsia="Arial Unicode MS" w:hAnsi="Arial" w:cs="Arial"/>
          <w:sz w:val="24"/>
          <w:szCs w:val="24"/>
        </w:rPr>
        <w:t xml:space="preserve">deponent </w:t>
      </w:r>
      <w:r w:rsidRPr="000C5951">
        <w:rPr>
          <w:rFonts w:ascii="Arial" w:eastAsia="Arial Unicode MS" w:hAnsi="Arial" w:cs="Arial"/>
          <w:sz w:val="24"/>
          <w:szCs w:val="24"/>
        </w:rPr>
        <w:t xml:space="preserve">must clearly state what portions in the accompanying annexures </w:t>
      </w:r>
      <w:r w:rsidR="005B6B4E">
        <w:rPr>
          <w:rFonts w:ascii="Arial" w:eastAsia="Arial Unicode MS" w:hAnsi="Arial" w:cs="Arial"/>
          <w:sz w:val="24"/>
          <w:szCs w:val="24"/>
        </w:rPr>
        <w:t>he or she</w:t>
      </w:r>
      <w:r w:rsidRPr="000C5951">
        <w:rPr>
          <w:rFonts w:ascii="Arial" w:eastAsia="Arial Unicode MS" w:hAnsi="Arial" w:cs="Arial"/>
          <w:sz w:val="24"/>
          <w:szCs w:val="24"/>
        </w:rPr>
        <w:t xml:space="preserve"> relies on.</w:t>
      </w:r>
      <w:r>
        <w:rPr>
          <w:rFonts w:ascii="Arial" w:eastAsia="Arial Unicode MS" w:hAnsi="Arial" w:cs="Arial"/>
          <w:sz w:val="24"/>
          <w:szCs w:val="24"/>
        </w:rPr>
        <w:t xml:space="preserve"> </w:t>
      </w:r>
      <w:r w:rsidRPr="000C5951">
        <w:rPr>
          <w:rFonts w:ascii="Arial" w:eastAsia="Arial Unicode MS" w:hAnsi="Arial" w:cs="Arial"/>
          <w:sz w:val="24"/>
          <w:szCs w:val="24"/>
        </w:rPr>
        <w:t>What is required is the identification of the portions in the annexures on which reliance is placed and an indication of the case which is sought to be made out on the strength of those portions</w:t>
      </w:r>
      <w:r>
        <w:rPr>
          <w:rFonts w:ascii="Arial" w:eastAsia="Arial Unicode MS" w:hAnsi="Arial" w:cs="Arial"/>
          <w:sz w:val="24"/>
          <w:szCs w:val="24"/>
        </w:rPr>
        <w:t xml:space="preserve">. </w:t>
      </w:r>
      <w:r w:rsidR="00C43EFA">
        <w:rPr>
          <w:rFonts w:ascii="Arial" w:eastAsia="Arial Unicode MS" w:hAnsi="Arial" w:cs="Arial"/>
          <w:sz w:val="24"/>
          <w:szCs w:val="24"/>
        </w:rPr>
        <w:t>It does not suffice to simply ‘incorporate’ annexures as part of one’s case.</w:t>
      </w:r>
    </w:p>
    <w:p w:rsidR="007E13BB" w:rsidRDefault="007E13BB" w:rsidP="007E13BB">
      <w:pPr>
        <w:pStyle w:val="NoSpacing"/>
        <w:spacing w:line="480" w:lineRule="auto"/>
        <w:jc w:val="both"/>
        <w:rPr>
          <w:rFonts w:ascii="Arial" w:eastAsia="Arial Unicode MS" w:hAnsi="Arial" w:cs="Arial"/>
          <w:sz w:val="24"/>
          <w:szCs w:val="24"/>
        </w:rPr>
      </w:pPr>
    </w:p>
    <w:p w:rsidR="00AD1244" w:rsidRDefault="007E13BB" w:rsidP="007E13BB">
      <w:pPr>
        <w:pStyle w:val="NoSpacing"/>
        <w:spacing w:line="480" w:lineRule="auto"/>
        <w:jc w:val="both"/>
        <w:rPr>
          <w:rStyle w:val="s1"/>
          <w:rFonts w:ascii="Arial" w:hAnsi="Arial" w:cs="Arial"/>
          <w:sz w:val="24"/>
          <w:szCs w:val="24"/>
        </w:rPr>
      </w:pPr>
      <w:r w:rsidRPr="00FC7644">
        <w:rPr>
          <w:rStyle w:val="s1"/>
          <w:rFonts w:ascii="Arial" w:hAnsi="Arial" w:cs="Arial"/>
          <w:i/>
          <w:sz w:val="24"/>
          <w:szCs w:val="24"/>
        </w:rPr>
        <w:t>Held</w:t>
      </w:r>
      <w:r w:rsidRPr="000C5951">
        <w:rPr>
          <w:rStyle w:val="s1"/>
          <w:rFonts w:ascii="Arial" w:hAnsi="Arial" w:cs="Arial"/>
          <w:sz w:val="24"/>
          <w:szCs w:val="24"/>
        </w:rPr>
        <w:t xml:space="preserve"> </w:t>
      </w:r>
      <w:r w:rsidRPr="00D42563">
        <w:rPr>
          <w:rStyle w:val="s1"/>
          <w:rFonts w:ascii="Arial" w:hAnsi="Arial" w:cs="Arial"/>
          <w:i/>
          <w:sz w:val="24"/>
          <w:szCs w:val="24"/>
        </w:rPr>
        <w:t>that</w:t>
      </w:r>
      <w:r w:rsidRPr="000C5951">
        <w:rPr>
          <w:rStyle w:val="s1"/>
          <w:rFonts w:ascii="Arial" w:hAnsi="Arial" w:cs="Arial"/>
          <w:sz w:val="24"/>
          <w:szCs w:val="24"/>
        </w:rPr>
        <w:t xml:space="preserve"> t</w:t>
      </w:r>
      <w:r w:rsidRPr="000C5951">
        <w:rPr>
          <w:rFonts w:ascii="Arial" w:hAnsi="Arial" w:cs="Arial"/>
          <w:color w:val="000000" w:themeColor="text1"/>
          <w:sz w:val="24"/>
          <w:szCs w:val="24"/>
        </w:rPr>
        <w:t xml:space="preserve">he </w:t>
      </w:r>
      <w:r w:rsidRPr="000C5951">
        <w:rPr>
          <w:rStyle w:val="s1"/>
          <w:rFonts w:ascii="Arial" w:hAnsi="Arial" w:cs="Arial"/>
          <w:sz w:val="24"/>
          <w:szCs w:val="24"/>
        </w:rPr>
        <w:t>allega</w:t>
      </w:r>
      <w:r>
        <w:rPr>
          <w:rStyle w:val="s1"/>
          <w:rFonts w:ascii="Arial" w:hAnsi="Arial" w:cs="Arial"/>
          <w:sz w:val="24"/>
          <w:szCs w:val="24"/>
        </w:rPr>
        <w:t>t</w:t>
      </w:r>
      <w:r w:rsidRPr="000C5951">
        <w:rPr>
          <w:rStyle w:val="s1"/>
          <w:rFonts w:ascii="Arial" w:hAnsi="Arial" w:cs="Arial"/>
          <w:sz w:val="24"/>
          <w:szCs w:val="24"/>
        </w:rPr>
        <w:t xml:space="preserve">ions of breach of </w:t>
      </w:r>
      <w:r w:rsidR="00B35F86">
        <w:rPr>
          <w:rStyle w:val="s1"/>
          <w:rFonts w:ascii="Arial" w:hAnsi="Arial" w:cs="Arial"/>
          <w:sz w:val="24"/>
          <w:szCs w:val="24"/>
        </w:rPr>
        <w:t>Art 18</w:t>
      </w:r>
      <w:r w:rsidR="00F667A0">
        <w:rPr>
          <w:rStyle w:val="s1"/>
          <w:rFonts w:ascii="Arial" w:hAnsi="Arial" w:cs="Arial"/>
          <w:sz w:val="24"/>
          <w:szCs w:val="24"/>
        </w:rPr>
        <w:t>,</w:t>
      </w:r>
      <w:r w:rsidR="00B35F86">
        <w:rPr>
          <w:rStyle w:val="s1"/>
          <w:rFonts w:ascii="Arial" w:hAnsi="Arial" w:cs="Arial"/>
          <w:sz w:val="24"/>
          <w:szCs w:val="24"/>
        </w:rPr>
        <w:t xml:space="preserve"> without more</w:t>
      </w:r>
      <w:r w:rsidR="00F667A0">
        <w:rPr>
          <w:rStyle w:val="s1"/>
          <w:rFonts w:ascii="Arial" w:hAnsi="Arial" w:cs="Arial"/>
          <w:sz w:val="24"/>
          <w:szCs w:val="24"/>
        </w:rPr>
        <w:t>,</w:t>
      </w:r>
      <w:r w:rsidR="00B35F86">
        <w:rPr>
          <w:rStyle w:val="s1"/>
          <w:rFonts w:ascii="Arial" w:hAnsi="Arial" w:cs="Arial"/>
          <w:sz w:val="24"/>
          <w:szCs w:val="24"/>
        </w:rPr>
        <w:t xml:space="preserve"> </w:t>
      </w:r>
      <w:r w:rsidRPr="000C5951">
        <w:rPr>
          <w:rStyle w:val="s1"/>
          <w:rFonts w:ascii="Arial" w:hAnsi="Arial" w:cs="Arial"/>
          <w:sz w:val="24"/>
          <w:szCs w:val="24"/>
        </w:rPr>
        <w:t xml:space="preserve">did not sustain the conclusions reached by the court </w:t>
      </w:r>
      <w:r w:rsidRPr="00FC7644">
        <w:rPr>
          <w:rStyle w:val="s1"/>
          <w:rFonts w:ascii="Arial" w:hAnsi="Arial" w:cs="Arial"/>
          <w:i/>
          <w:sz w:val="24"/>
          <w:szCs w:val="24"/>
        </w:rPr>
        <w:t>a quo</w:t>
      </w:r>
      <w:r>
        <w:rPr>
          <w:rStyle w:val="s1"/>
          <w:rFonts w:ascii="Arial" w:hAnsi="Arial" w:cs="Arial"/>
          <w:i/>
          <w:sz w:val="24"/>
          <w:szCs w:val="24"/>
        </w:rPr>
        <w:t>.</w:t>
      </w:r>
      <w:r w:rsidRPr="000C5951">
        <w:rPr>
          <w:rStyle w:val="s1"/>
          <w:rFonts w:ascii="Arial" w:hAnsi="Arial" w:cs="Arial"/>
          <w:sz w:val="24"/>
          <w:szCs w:val="24"/>
        </w:rPr>
        <w:t xml:space="preserve"> </w:t>
      </w:r>
      <w:r>
        <w:rPr>
          <w:rStyle w:val="s1"/>
          <w:rFonts w:ascii="Arial" w:hAnsi="Arial" w:cs="Arial"/>
          <w:sz w:val="24"/>
          <w:szCs w:val="24"/>
        </w:rPr>
        <w:t>Appeal upheld</w:t>
      </w:r>
      <w:r w:rsidR="00C21277">
        <w:rPr>
          <w:rStyle w:val="s1"/>
          <w:rFonts w:ascii="Arial" w:hAnsi="Arial" w:cs="Arial"/>
          <w:sz w:val="24"/>
          <w:szCs w:val="24"/>
        </w:rPr>
        <w:t xml:space="preserve"> with costs</w:t>
      </w:r>
      <w:r>
        <w:rPr>
          <w:rStyle w:val="s1"/>
          <w:rFonts w:ascii="Arial" w:hAnsi="Arial" w:cs="Arial"/>
          <w:sz w:val="24"/>
          <w:szCs w:val="24"/>
        </w:rPr>
        <w:t>.</w:t>
      </w:r>
    </w:p>
    <w:p w:rsidR="00AD1244" w:rsidRDefault="00AD1244">
      <w:pPr>
        <w:rPr>
          <w:rStyle w:val="s1"/>
          <w:rFonts w:ascii="Arial" w:hAnsi="Arial" w:cs="Arial"/>
          <w:sz w:val="24"/>
          <w:szCs w:val="24"/>
          <w:lang w:val="en-US"/>
        </w:rPr>
      </w:pPr>
      <w:r>
        <w:rPr>
          <w:rStyle w:val="s1"/>
          <w:rFonts w:ascii="Arial" w:hAnsi="Arial" w:cs="Arial"/>
          <w:sz w:val="24"/>
          <w:szCs w:val="24"/>
        </w:rPr>
        <w:br w:type="page"/>
      </w:r>
    </w:p>
    <w:p w:rsidR="007E13BB" w:rsidRPr="000C5951" w:rsidRDefault="007E13BB" w:rsidP="007E13BB">
      <w:pPr>
        <w:pStyle w:val="NoSpacing"/>
        <w:spacing w:line="480" w:lineRule="auto"/>
        <w:jc w:val="both"/>
        <w:rPr>
          <w:rFonts w:ascii="Arial" w:hAnsi="Arial" w:cs="Arial"/>
          <w:color w:val="000000" w:themeColor="text1"/>
          <w:sz w:val="24"/>
          <w:szCs w:val="24"/>
        </w:rPr>
      </w:pPr>
    </w:p>
    <w:p w:rsidR="002A04F1" w:rsidRPr="004D7A44" w:rsidRDefault="002A04F1" w:rsidP="00F645DF">
      <w:pPr>
        <w:spacing w:after="0" w:line="360" w:lineRule="auto"/>
        <w:jc w:val="both"/>
        <w:rPr>
          <w:rFonts w:ascii="Arial" w:eastAsia="Calibri" w:hAnsi="Arial" w:cs="Arial"/>
          <w:color w:val="000000" w:themeColor="text1"/>
          <w:sz w:val="24"/>
          <w:szCs w:val="24"/>
          <w:lang w:val="en-US"/>
        </w:rPr>
      </w:pPr>
      <w:r w:rsidRPr="004D7A44">
        <w:rPr>
          <w:rFonts w:ascii="Arial" w:eastAsia="Calibri" w:hAnsi="Arial" w:cs="Arial"/>
          <w:color w:val="000000" w:themeColor="text1"/>
          <w:sz w:val="24"/>
          <w:szCs w:val="24"/>
          <w:lang w:val="en-US"/>
        </w:rPr>
        <w:t>___________________________________________________________________</w:t>
      </w:r>
    </w:p>
    <w:p w:rsidR="002A04F1" w:rsidRPr="004D7A44" w:rsidRDefault="008B433F" w:rsidP="00F645DF">
      <w:pPr>
        <w:spacing w:after="0" w:line="360" w:lineRule="auto"/>
        <w:jc w:val="center"/>
        <w:outlineLvl w:val="0"/>
        <w:rPr>
          <w:rFonts w:ascii="Arial" w:eastAsia="Calibri" w:hAnsi="Arial" w:cs="Arial"/>
          <w:b/>
          <w:color w:val="000000" w:themeColor="text1"/>
          <w:sz w:val="24"/>
          <w:szCs w:val="24"/>
          <w:lang w:val="en-US"/>
        </w:rPr>
      </w:pPr>
      <w:r w:rsidRPr="004D7A44">
        <w:rPr>
          <w:rFonts w:ascii="Arial" w:eastAsia="Calibri" w:hAnsi="Arial" w:cs="Arial"/>
          <w:b/>
          <w:color w:val="000000" w:themeColor="text1"/>
          <w:sz w:val="24"/>
          <w:szCs w:val="24"/>
          <w:lang w:val="en-US"/>
        </w:rPr>
        <w:t xml:space="preserve">APPEAL JUDGMENT </w:t>
      </w:r>
    </w:p>
    <w:p w:rsidR="002A04F1" w:rsidRPr="004D7A44" w:rsidRDefault="002A04F1" w:rsidP="00F645DF">
      <w:pPr>
        <w:spacing w:after="0" w:line="360" w:lineRule="auto"/>
        <w:jc w:val="both"/>
        <w:rPr>
          <w:rFonts w:ascii="Arial" w:eastAsia="Calibri" w:hAnsi="Arial" w:cs="Arial"/>
          <w:color w:val="000000" w:themeColor="text1"/>
          <w:sz w:val="24"/>
          <w:szCs w:val="24"/>
          <w:lang w:val="en-US"/>
        </w:rPr>
      </w:pPr>
      <w:r w:rsidRPr="004D7A44">
        <w:rPr>
          <w:rFonts w:ascii="Arial" w:eastAsia="Calibri" w:hAnsi="Arial" w:cs="Arial"/>
          <w:color w:val="000000" w:themeColor="text1"/>
          <w:sz w:val="24"/>
          <w:szCs w:val="24"/>
          <w:lang w:val="en-US"/>
        </w:rPr>
        <w:t>____________________________________</w:t>
      </w:r>
      <w:r w:rsidR="00833CE3" w:rsidRPr="004D7A44">
        <w:rPr>
          <w:rFonts w:ascii="Arial" w:eastAsia="Calibri" w:hAnsi="Arial" w:cs="Arial"/>
          <w:color w:val="000000" w:themeColor="text1"/>
          <w:sz w:val="24"/>
          <w:szCs w:val="24"/>
          <w:lang w:val="en-US"/>
        </w:rPr>
        <w:t>_______________________________</w:t>
      </w:r>
    </w:p>
    <w:p w:rsidR="002A04F1" w:rsidRPr="004D7A44" w:rsidRDefault="00752EBE" w:rsidP="00BB428D">
      <w:pPr>
        <w:spacing w:after="0" w:line="480" w:lineRule="auto"/>
        <w:jc w:val="both"/>
        <w:rPr>
          <w:rFonts w:ascii="Arial" w:eastAsia="Calibri" w:hAnsi="Arial" w:cs="Arial"/>
          <w:color w:val="000000" w:themeColor="text1"/>
          <w:sz w:val="24"/>
          <w:szCs w:val="24"/>
          <w:lang w:val="en-US"/>
        </w:rPr>
      </w:pPr>
      <w:r w:rsidRPr="004D7A44">
        <w:rPr>
          <w:rFonts w:ascii="Arial" w:eastAsia="Calibri" w:hAnsi="Arial" w:cs="Arial"/>
          <w:color w:val="000000" w:themeColor="text1"/>
          <w:sz w:val="24"/>
          <w:szCs w:val="24"/>
          <w:lang w:val="en-US"/>
        </w:rPr>
        <w:t>DAMASEB DCJ</w:t>
      </w:r>
      <w:r w:rsidR="00AF4652" w:rsidRPr="004D7A44">
        <w:rPr>
          <w:rFonts w:ascii="Arial" w:eastAsia="Calibri" w:hAnsi="Arial" w:cs="Arial"/>
          <w:color w:val="000000" w:themeColor="text1"/>
          <w:sz w:val="24"/>
          <w:szCs w:val="24"/>
          <w:lang w:val="en-US"/>
        </w:rPr>
        <w:t xml:space="preserve"> (</w:t>
      </w:r>
      <w:r w:rsidR="00FA5219" w:rsidRPr="004D7A44">
        <w:rPr>
          <w:rFonts w:ascii="Arial" w:eastAsia="Calibri" w:hAnsi="Arial" w:cs="Arial"/>
          <w:color w:val="000000" w:themeColor="text1"/>
          <w:sz w:val="24"/>
          <w:szCs w:val="24"/>
          <w:lang w:val="en-US"/>
        </w:rPr>
        <w:t xml:space="preserve">SMUTS JA and HOFF JA </w:t>
      </w:r>
      <w:r w:rsidR="00AF4652" w:rsidRPr="004D7A44">
        <w:rPr>
          <w:rFonts w:ascii="Arial" w:eastAsia="Calibri" w:hAnsi="Arial" w:cs="Arial"/>
          <w:color w:val="000000" w:themeColor="text1"/>
          <w:sz w:val="24"/>
          <w:szCs w:val="24"/>
          <w:lang w:val="en-US"/>
        </w:rPr>
        <w:t>concurring):</w:t>
      </w:r>
    </w:p>
    <w:p w:rsidR="00735676" w:rsidRPr="004D7A44" w:rsidRDefault="00735676" w:rsidP="00BB428D">
      <w:pPr>
        <w:pStyle w:val="ListParagraph"/>
        <w:spacing w:after="0" w:line="480" w:lineRule="auto"/>
        <w:ind w:left="0"/>
        <w:jc w:val="both"/>
        <w:rPr>
          <w:rFonts w:ascii="Arial" w:hAnsi="Arial" w:cs="Arial"/>
          <w:color w:val="000000" w:themeColor="text1"/>
          <w:sz w:val="24"/>
          <w:szCs w:val="24"/>
          <w:u w:val="single"/>
        </w:rPr>
      </w:pPr>
      <w:r w:rsidRPr="004D7A44">
        <w:rPr>
          <w:rFonts w:ascii="Arial" w:hAnsi="Arial" w:cs="Arial"/>
          <w:color w:val="000000" w:themeColor="text1"/>
          <w:sz w:val="24"/>
          <w:szCs w:val="24"/>
          <w:u w:val="single"/>
        </w:rPr>
        <w:t>Context</w:t>
      </w:r>
    </w:p>
    <w:p w:rsidR="001B2DD8" w:rsidRPr="004D7A44" w:rsidRDefault="00514ED9"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t xml:space="preserve">The dispute in the present appeal concerns the lawfulness or otherwise of decisions taken by the </w:t>
      </w:r>
      <w:r w:rsidR="00BF7079" w:rsidRPr="004D7A44">
        <w:rPr>
          <w:rFonts w:ascii="Arial" w:hAnsi="Arial" w:cs="Arial"/>
          <w:color w:val="000000" w:themeColor="text1"/>
          <w:sz w:val="24"/>
          <w:szCs w:val="24"/>
        </w:rPr>
        <w:t xml:space="preserve">first appellant as </w:t>
      </w:r>
      <w:r w:rsidRPr="004D7A44">
        <w:rPr>
          <w:rFonts w:ascii="Arial" w:hAnsi="Arial" w:cs="Arial"/>
          <w:color w:val="000000" w:themeColor="text1"/>
          <w:sz w:val="24"/>
          <w:szCs w:val="24"/>
        </w:rPr>
        <w:t>queen</w:t>
      </w:r>
      <w:r w:rsidR="00916F0E" w:rsidRPr="004D7A44">
        <w:rPr>
          <w:rFonts w:ascii="Arial" w:hAnsi="Arial" w:cs="Arial"/>
          <w:color w:val="000000" w:themeColor="text1"/>
          <w:sz w:val="24"/>
          <w:szCs w:val="24"/>
        </w:rPr>
        <w:t xml:space="preserve"> </w:t>
      </w:r>
      <w:r w:rsidRPr="004D7A44">
        <w:rPr>
          <w:rFonts w:ascii="Arial" w:hAnsi="Arial" w:cs="Arial"/>
          <w:color w:val="000000" w:themeColor="text1"/>
          <w:sz w:val="24"/>
          <w:szCs w:val="24"/>
        </w:rPr>
        <w:t>of the O</w:t>
      </w:r>
      <w:r w:rsidR="00F667A0">
        <w:rPr>
          <w:rFonts w:ascii="Arial" w:hAnsi="Arial" w:cs="Arial"/>
          <w:color w:val="000000" w:themeColor="text1"/>
          <w:sz w:val="24"/>
          <w:szCs w:val="24"/>
        </w:rPr>
        <w:t>u</w:t>
      </w:r>
      <w:r w:rsidRPr="004D7A44">
        <w:rPr>
          <w:rFonts w:ascii="Arial" w:hAnsi="Arial" w:cs="Arial"/>
          <w:color w:val="000000" w:themeColor="text1"/>
          <w:sz w:val="24"/>
          <w:szCs w:val="24"/>
        </w:rPr>
        <w:t>kwanyama community</w:t>
      </w:r>
      <w:r w:rsidR="00F667A0">
        <w:rPr>
          <w:rFonts w:ascii="Arial" w:hAnsi="Arial" w:cs="Arial"/>
          <w:color w:val="000000" w:themeColor="text1"/>
          <w:sz w:val="24"/>
          <w:szCs w:val="24"/>
        </w:rPr>
        <w:t>,</w:t>
      </w:r>
      <w:r w:rsidRPr="004D7A44">
        <w:rPr>
          <w:rFonts w:ascii="Arial" w:hAnsi="Arial" w:cs="Arial"/>
          <w:color w:val="000000" w:themeColor="text1"/>
          <w:sz w:val="24"/>
          <w:szCs w:val="24"/>
        </w:rPr>
        <w:t xml:space="preserve"> to suspend, investigate and dismiss </w:t>
      </w:r>
      <w:r w:rsidR="00916F0E" w:rsidRPr="004D7A44">
        <w:rPr>
          <w:rFonts w:ascii="Arial" w:hAnsi="Arial" w:cs="Arial"/>
          <w:color w:val="000000" w:themeColor="text1"/>
          <w:sz w:val="24"/>
          <w:szCs w:val="24"/>
        </w:rPr>
        <w:t xml:space="preserve">traditional councillors (first to third respondents)  falling under her </w:t>
      </w:r>
      <w:r w:rsidR="0050017F" w:rsidRPr="004D7A44">
        <w:rPr>
          <w:rFonts w:ascii="Arial" w:hAnsi="Arial" w:cs="Arial"/>
          <w:color w:val="000000" w:themeColor="text1"/>
          <w:sz w:val="24"/>
          <w:szCs w:val="24"/>
        </w:rPr>
        <w:t>jurisdiction</w:t>
      </w:r>
      <w:r w:rsidR="00916F0E" w:rsidRPr="004D7A44">
        <w:rPr>
          <w:rFonts w:ascii="Arial" w:hAnsi="Arial" w:cs="Arial"/>
          <w:color w:val="000000" w:themeColor="text1"/>
          <w:sz w:val="24"/>
          <w:szCs w:val="24"/>
        </w:rPr>
        <w:t>.</w:t>
      </w:r>
      <w:r w:rsidR="0050017F" w:rsidRPr="004D7A44">
        <w:rPr>
          <w:rFonts w:ascii="Arial" w:hAnsi="Arial" w:cs="Arial"/>
          <w:color w:val="000000" w:themeColor="text1"/>
          <w:sz w:val="24"/>
          <w:szCs w:val="24"/>
        </w:rPr>
        <w:t xml:space="preserve"> It is common cause that the first appellant is recognised as a ‘chief’ </w:t>
      </w:r>
      <w:r w:rsidR="00DD368B" w:rsidRPr="004D7A44">
        <w:rPr>
          <w:rFonts w:ascii="Arial" w:hAnsi="Arial" w:cs="Arial"/>
          <w:color w:val="000000" w:themeColor="text1"/>
          <w:sz w:val="24"/>
          <w:szCs w:val="24"/>
        </w:rPr>
        <w:t>in terms of s 6 of the Traditional Authorities Act 25 of 200</w:t>
      </w:r>
      <w:r w:rsidR="000E48C1" w:rsidRPr="004D7A44">
        <w:rPr>
          <w:rFonts w:ascii="Arial" w:hAnsi="Arial" w:cs="Arial"/>
          <w:color w:val="000000" w:themeColor="text1"/>
          <w:sz w:val="24"/>
          <w:szCs w:val="24"/>
        </w:rPr>
        <w:t>0</w:t>
      </w:r>
      <w:r w:rsidR="00DD368B" w:rsidRPr="004D7A44">
        <w:rPr>
          <w:rFonts w:ascii="Arial" w:hAnsi="Arial" w:cs="Arial"/>
          <w:color w:val="000000" w:themeColor="text1"/>
          <w:sz w:val="24"/>
          <w:szCs w:val="24"/>
        </w:rPr>
        <w:t xml:space="preserve"> (the Act)</w:t>
      </w:r>
      <w:r w:rsidR="00D97C6C" w:rsidRPr="004D7A44">
        <w:rPr>
          <w:rFonts w:ascii="Arial" w:hAnsi="Arial" w:cs="Arial"/>
          <w:color w:val="000000" w:themeColor="text1"/>
          <w:sz w:val="24"/>
          <w:szCs w:val="24"/>
        </w:rPr>
        <w:t>. In that capacity</w:t>
      </w:r>
      <w:r w:rsidR="00AF3806" w:rsidRPr="004D7A44">
        <w:rPr>
          <w:rFonts w:ascii="Arial" w:hAnsi="Arial" w:cs="Arial"/>
          <w:color w:val="000000" w:themeColor="text1"/>
          <w:sz w:val="24"/>
          <w:szCs w:val="24"/>
        </w:rPr>
        <w:t>,</w:t>
      </w:r>
      <w:r w:rsidR="00D97C6C" w:rsidRPr="004D7A44">
        <w:rPr>
          <w:rFonts w:ascii="Arial" w:hAnsi="Arial" w:cs="Arial"/>
          <w:color w:val="000000" w:themeColor="text1"/>
          <w:sz w:val="24"/>
          <w:szCs w:val="24"/>
        </w:rPr>
        <w:t xml:space="preserve"> the first appellant is the chief of the O</w:t>
      </w:r>
      <w:r w:rsidR="00751073">
        <w:rPr>
          <w:rFonts w:ascii="Arial" w:hAnsi="Arial" w:cs="Arial"/>
          <w:color w:val="000000" w:themeColor="text1"/>
          <w:sz w:val="24"/>
          <w:szCs w:val="24"/>
        </w:rPr>
        <w:t>u</w:t>
      </w:r>
      <w:r w:rsidR="00D97C6C" w:rsidRPr="004D7A44">
        <w:rPr>
          <w:rFonts w:ascii="Arial" w:hAnsi="Arial" w:cs="Arial"/>
          <w:color w:val="000000" w:themeColor="text1"/>
          <w:sz w:val="24"/>
          <w:szCs w:val="24"/>
        </w:rPr>
        <w:t>kwanyama Traditional Authority</w:t>
      </w:r>
      <w:r w:rsidR="00E95590" w:rsidRPr="004D7A44">
        <w:rPr>
          <w:rFonts w:ascii="Arial" w:hAnsi="Arial" w:cs="Arial"/>
          <w:color w:val="000000" w:themeColor="text1"/>
          <w:sz w:val="24"/>
          <w:szCs w:val="24"/>
        </w:rPr>
        <w:t xml:space="preserve"> (second appellant).</w:t>
      </w:r>
      <w:r w:rsidR="00D97C6C" w:rsidRPr="004D7A44">
        <w:rPr>
          <w:rFonts w:ascii="Arial" w:hAnsi="Arial" w:cs="Arial"/>
          <w:color w:val="000000" w:themeColor="text1"/>
          <w:sz w:val="24"/>
          <w:szCs w:val="24"/>
        </w:rPr>
        <w:t xml:space="preserve">  </w:t>
      </w:r>
    </w:p>
    <w:p w:rsidR="001B2DD8" w:rsidRPr="004D7A44" w:rsidRDefault="001B2DD8" w:rsidP="00FF0AD3">
      <w:pPr>
        <w:pStyle w:val="ListParagraph"/>
        <w:spacing w:after="0" w:line="480" w:lineRule="auto"/>
        <w:ind w:left="0"/>
        <w:jc w:val="both"/>
        <w:rPr>
          <w:rFonts w:ascii="Arial" w:hAnsi="Arial" w:cs="Arial"/>
          <w:color w:val="000000" w:themeColor="text1"/>
          <w:sz w:val="24"/>
          <w:szCs w:val="24"/>
        </w:rPr>
      </w:pPr>
    </w:p>
    <w:p w:rsidR="00D97C6C" w:rsidRPr="004D7A44" w:rsidRDefault="001B2DD8"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t>It is</w:t>
      </w:r>
      <w:r w:rsidR="00D97C6C" w:rsidRPr="004D7A44">
        <w:rPr>
          <w:rFonts w:ascii="Arial" w:hAnsi="Arial" w:cs="Arial"/>
          <w:color w:val="000000" w:themeColor="text1"/>
          <w:sz w:val="24"/>
          <w:szCs w:val="24"/>
        </w:rPr>
        <w:t xml:space="preserve"> common cause that the first to third respondents </w:t>
      </w:r>
      <w:r w:rsidR="00751073">
        <w:rPr>
          <w:rFonts w:ascii="Arial" w:hAnsi="Arial" w:cs="Arial"/>
          <w:color w:val="000000" w:themeColor="text1"/>
          <w:sz w:val="24"/>
          <w:szCs w:val="24"/>
        </w:rPr>
        <w:t>were appointed</w:t>
      </w:r>
      <w:r w:rsidR="00C73537">
        <w:rPr>
          <w:rFonts w:ascii="Arial" w:hAnsi="Arial" w:cs="Arial"/>
          <w:color w:val="000000" w:themeColor="text1"/>
          <w:sz w:val="24"/>
          <w:szCs w:val="24"/>
        </w:rPr>
        <w:t xml:space="preserve"> </w:t>
      </w:r>
      <w:r w:rsidR="00C21277">
        <w:rPr>
          <w:rFonts w:ascii="Arial" w:hAnsi="Arial" w:cs="Arial"/>
          <w:color w:val="000000" w:themeColor="text1"/>
          <w:sz w:val="24"/>
          <w:szCs w:val="24"/>
        </w:rPr>
        <w:t xml:space="preserve">as </w:t>
      </w:r>
      <w:r w:rsidR="00C73537">
        <w:rPr>
          <w:rFonts w:ascii="Arial" w:hAnsi="Arial" w:cs="Arial"/>
          <w:color w:val="000000" w:themeColor="text1"/>
          <w:sz w:val="24"/>
          <w:szCs w:val="24"/>
        </w:rPr>
        <w:t>t</w:t>
      </w:r>
      <w:r w:rsidR="00D97C6C" w:rsidRPr="004D7A44">
        <w:rPr>
          <w:rFonts w:ascii="Arial" w:hAnsi="Arial" w:cs="Arial"/>
          <w:color w:val="000000" w:themeColor="text1"/>
          <w:sz w:val="24"/>
          <w:szCs w:val="24"/>
        </w:rPr>
        <w:t xml:space="preserve">raditional </w:t>
      </w:r>
      <w:r w:rsidR="00C73537">
        <w:rPr>
          <w:rFonts w:ascii="Arial" w:hAnsi="Arial" w:cs="Arial"/>
          <w:color w:val="000000" w:themeColor="text1"/>
          <w:sz w:val="24"/>
          <w:szCs w:val="24"/>
        </w:rPr>
        <w:t>councillors</w:t>
      </w:r>
      <w:r w:rsidR="00D97C6C" w:rsidRPr="004D7A44">
        <w:rPr>
          <w:rFonts w:ascii="Arial" w:hAnsi="Arial" w:cs="Arial"/>
          <w:color w:val="000000" w:themeColor="text1"/>
          <w:sz w:val="24"/>
          <w:szCs w:val="24"/>
        </w:rPr>
        <w:t xml:space="preserve"> of the </w:t>
      </w:r>
      <w:r w:rsidR="00E95590" w:rsidRPr="004D7A44">
        <w:rPr>
          <w:rFonts w:ascii="Arial" w:hAnsi="Arial" w:cs="Arial"/>
          <w:color w:val="000000" w:themeColor="text1"/>
          <w:sz w:val="24"/>
          <w:szCs w:val="24"/>
        </w:rPr>
        <w:t xml:space="preserve">second </w:t>
      </w:r>
      <w:r w:rsidR="00751073">
        <w:rPr>
          <w:rFonts w:ascii="Arial" w:hAnsi="Arial" w:cs="Arial"/>
          <w:color w:val="000000" w:themeColor="text1"/>
          <w:sz w:val="24"/>
          <w:szCs w:val="24"/>
        </w:rPr>
        <w:t>appellant</w:t>
      </w:r>
      <w:r w:rsidR="00E95590" w:rsidRPr="004D7A44">
        <w:rPr>
          <w:rFonts w:ascii="Arial" w:hAnsi="Arial" w:cs="Arial"/>
          <w:color w:val="000000" w:themeColor="text1"/>
          <w:sz w:val="24"/>
          <w:szCs w:val="24"/>
        </w:rPr>
        <w:t xml:space="preserve"> in terms of s 10</w:t>
      </w:r>
      <w:r w:rsidRPr="004D7A44">
        <w:rPr>
          <w:rFonts w:ascii="Arial" w:hAnsi="Arial" w:cs="Arial"/>
          <w:color w:val="000000" w:themeColor="text1"/>
          <w:sz w:val="24"/>
          <w:szCs w:val="24"/>
        </w:rPr>
        <w:t>(</w:t>
      </w:r>
      <w:r w:rsidR="00C21277">
        <w:rPr>
          <w:rFonts w:ascii="Arial" w:hAnsi="Arial" w:cs="Arial"/>
          <w:color w:val="000000" w:themeColor="text1"/>
          <w:sz w:val="24"/>
          <w:szCs w:val="24"/>
        </w:rPr>
        <w:t>1</w:t>
      </w:r>
      <w:r w:rsidRPr="004D7A44">
        <w:rPr>
          <w:rFonts w:ascii="Arial" w:hAnsi="Arial" w:cs="Arial"/>
          <w:color w:val="000000" w:themeColor="text1"/>
          <w:sz w:val="24"/>
          <w:szCs w:val="24"/>
        </w:rPr>
        <w:t>)</w:t>
      </w:r>
      <w:r w:rsidR="00C21277">
        <w:rPr>
          <w:rFonts w:ascii="Arial" w:hAnsi="Arial" w:cs="Arial"/>
          <w:color w:val="000000" w:themeColor="text1"/>
          <w:sz w:val="24"/>
          <w:szCs w:val="24"/>
        </w:rPr>
        <w:t xml:space="preserve"> </w:t>
      </w:r>
      <w:r w:rsidR="00E95590" w:rsidRPr="004D7A44">
        <w:rPr>
          <w:rFonts w:ascii="Arial" w:hAnsi="Arial" w:cs="Arial"/>
          <w:color w:val="000000" w:themeColor="text1"/>
          <w:sz w:val="24"/>
          <w:szCs w:val="24"/>
        </w:rPr>
        <w:t>of the Act.</w:t>
      </w:r>
      <w:r w:rsidRPr="004D7A44">
        <w:rPr>
          <w:rFonts w:ascii="Arial" w:hAnsi="Arial" w:cs="Arial"/>
          <w:color w:val="000000" w:themeColor="text1"/>
          <w:sz w:val="24"/>
          <w:szCs w:val="24"/>
        </w:rPr>
        <w:t xml:space="preserve"> In terms of s 10(</w:t>
      </w:r>
      <w:r w:rsidR="00C21277">
        <w:rPr>
          <w:rFonts w:ascii="Arial" w:hAnsi="Arial" w:cs="Arial"/>
          <w:color w:val="000000" w:themeColor="text1"/>
          <w:sz w:val="24"/>
          <w:szCs w:val="24"/>
        </w:rPr>
        <w:t>1</w:t>
      </w:r>
      <w:r w:rsidRPr="004D7A44">
        <w:rPr>
          <w:rFonts w:ascii="Arial" w:hAnsi="Arial" w:cs="Arial"/>
          <w:color w:val="000000" w:themeColor="text1"/>
          <w:sz w:val="24"/>
          <w:szCs w:val="24"/>
        </w:rPr>
        <w:t>)</w:t>
      </w:r>
      <w:r w:rsidR="00C21277">
        <w:rPr>
          <w:rFonts w:ascii="Arial" w:hAnsi="Arial" w:cs="Arial"/>
          <w:color w:val="000000" w:themeColor="text1"/>
          <w:sz w:val="24"/>
          <w:szCs w:val="24"/>
        </w:rPr>
        <w:t>(</w:t>
      </w:r>
      <w:r w:rsidR="00C21277" w:rsidRPr="00C21277">
        <w:rPr>
          <w:rFonts w:ascii="Arial" w:hAnsi="Arial" w:cs="Arial"/>
          <w:i/>
          <w:color w:val="000000" w:themeColor="text1"/>
          <w:sz w:val="24"/>
          <w:szCs w:val="24"/>
        </w:rPr>
        <w:t>b</w:t>
      </w:r>
      <w:r w:rsidR="00C21277">
        <w:rPr>
          <w:rFonts w:ascii="Arial" w:hAnsi="Arial" w:cs="Arial"/>
          <w:color w:val="000000" w:themeColor="text1"/>
          <w:sz w:val="24"/>
          <w:szCs w:val="24"/>
        </w:rPr>
        <w:t>)</w:t>
      </w:r>
      <w:r w:rsidR="00AF3806" w:rsidRPr="004D7A44">
        <w:rPr>
          <w:rFonts w:ascii="Arial" w:hAnsi="Arial" w:cs="Arial"/>
          <w:color w:val="000000" w:themeColor="text1"/>
          <w:sz w:val="24"/>
          <w:szCs w:val="24"/>
        </w:rPr>
        <w:t>,</w:t>
      </w:r>
      <w:r w:rsidRPr="004D7A44">
        <w:rPr>
          <w:rFonts w:ascii="Arial" w:hAnsi="Arial" w:cs="Arial"/>
          <w:color w:val="000000" w:themeColor="text1"/>
          <w:sz w:val="24"/>
          <w:szCs w:val="24"/>
        </w:rPr>
        <w:t xml:space="preserve"> a traditional councillor’s function is to ‘advise </w:t>
      </w:r>
      <w:r w:rsidR="00FE53BB" w:rsidRPr="004D7A44">
        <w:rPr>
          <w:rFonts w:ascii="Arial" w:hAnsi="Arial" w:cs="Arial"/>
          <w:color w:val="000000" w:themeColor="text1"/>
          <w:sz w:val="24"/>
          <w:szCs w:val="24"/>
        </w:rPr>
        <w:t>. . . the chief. . . a</w:t>
      </w:r>
      <w:r w:rsidRPr="004D7A44">
        <w:rPr>
          <w:rFonts w:ascii="Arial" w:hAnsi="Arial" w:cs="Arial"/>
          <w:color w:val="000000" w:themeColor="text1"/>
          <w:sz w:val="24"/>
          <w:szCs w:val="24"/>
        </w:rPr>
        <w:t>nd the senior traditional councillors of that community with regard to the performance of their functions, and exercise or perform such powers, duties or functions as may be delegated or assigned to</w:t>
      </w:r>
      <w:r w:rsidR="000E48C1" w:rsidRPr="004D7A44">
        <w:rPr>
          <w:rFonts w:ascii="Arial" w:hAnsi="Arial" w:cs="Arial"/>
          <w:color w:val="000000" w:themeColor="text1"/>
          <w:sz w:val="24"/>
          <w:szCs w:val="24"/>
        </w:rPr>
        <w:t xml:space="preserve">. . . </w:t>
      </w:r>
      <w:r w:rsidRPr="004D7A44">
        <w:rPr>
          <w:rFonts w:ascii="Arial" w:hAnsi="Arial" w:cs="Arial"/>
          <w:color w:val="000000" w:themeColor="text1"/>
          <w:sz w:val="24"/>
          <w:szCs w:val="24"/>
        </w:rPr>
        <w:t>them by such chief or head’</w:t>
      </w:r>
      <w:r w:rsidR="006422F2">
        <w:rPr>
          <w:rFonts w:ascii="Arial" w:hAnsi="Arial" w:cs="Arial"/>
          <w:color w:val="000000" w:themeColor="text1"/>
          <w:sz w:val="24"/>
          <w:szCs w:val="24"/>
        </w:rPr>
        <w:t>.</w:t>
      </w:r>
    </w:p>
    <w:p w:rsidR="00D97C6C" w:rsidRPr="004D7A44" w:rsidRDefault="00D97C6C" w:rsidP="00FF0AD3">
      <w:pPr>
        <w:pStyle w:val="ListParagraph"/>
        <w:spacing w:after="0" w:line="480" w:lineRule="auto"/>
        <w:ind w:left="0"/>
        <w:jc w:val="both"/>
        <w:rPr>
          <w:rFonts w:ascii="Arial" w:hAnsi="Arial" w:cs="Arial"/>
          <w:color w:val="000000" w:themeColor="text1"/>
          <w:sz w:val="24"/>
          <w:szCs w:val="24"/>
        </w:rPr>
      </w:pPr>
    </w:p>
    <w:p w:rsidR="00735676" w:rsidRPr="004D7A44" w:rsidRDefault="00D97C6C"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t>A</w:t>
      </w:r>
      <w:r w:rsidR="001B2DD8" w:rsidRPr="004D7A44">
        <w:rPr>
          <w:rFonts w:ascii="Arial" w:hAnsi="Arial" w:cs="Arial"/>
          <w:color w:val="000000" w:themeColor="text1"/>
          <w:sz w:val="24"/>
          <w:szCs w:val="24"/>
        </w:rPr>
        <w:t>s</w:t>
      </w:r>
      <w:r w:rsidRPr="004D7A44">
        <w:rPr>
          <w:rFonts w:ascii="Arial" w:hAnsi="Arial" w:cs="Arial"/>
          <w:color w:val="000000" w:themeColor="text1"/>
          <w:sz w:val="24"/>
          <w:szCs w:val="24"/>
        </w:rPr>
        <w:t xml:space="preserve"> chief</w:t>
      </w:r>
      <w:r w:rsidR="001B2DD8" w:rsidRPr="004D7A44">
        <w:rPr>
          <w:rFonts w:ascii="Arial" w:hAnsi="Arial" w:cs="Arial"/>
          <w:color w:val="000000" w:themeColor="text1"/>
          <w:sz w:val="24"/>
          <w:szCs w:val="24"/>
        </w:rPr>
        <w:t xml:space="preserve">, the first appellant </w:t>
      </w:r>
      <w:r w:rsidRPr="004D7A44">
        <w:rPr>
          <w:rFonts w:ascii="Arial" w:hAnsi="Arial" w:cs="Arial"/>
          <w:color w:val="000000" w:themeColor="text1"/>
          <w:sz w:val="24"/>
          <w:szCs w:val="24"/>
        </w:rPr>
        <w:t xml:space="preserve">enjoys powers under s 7 of the Act. </w:t>
      </w:r>
      <w:r w:rsidR="001B2DD8" w:rsidRPr="004D7A44">
        <w:rPr>
          <w:rFonts w:ascii="Arial" w:hAnsi="Arial" w:cs="Arial"/>
          <w:color w:val="000000" w:themeColor="text1"/>
          <w:sz w:val="24"/>
          <w:szCs w:val="24"/>
        </w:rPr>
        <w:t>In particular</w:t>
      </w:r>
      <w:r w:rsidR="007C41F4" w:rsidRPr="004D7A44">
        <w:rPr>
          <w:rFonts w:ascii="Arial" w:hAnsi="Arial" w:cs="Arial"/>
          <w:color w:val="000000" w:themeColor="text1"/>
          <w:sz w:val="24"/>
          <w:szCs w:val="24"/>
        </w:rPr>
        <w:t>, she is the ‘custodian of the customary law of the traditional community she leads</w:t>
      </w:r>
      <w:r w:rsidR="00B62DCD">
        <w:rPr>
          <w:rFonts w:ascii="Arial" w:hAnsi="Arial" w:cs="Arial"/>
          <w:color w:val="000000" w:themeColor="text1"/>
          <w:sz w:val="24"/>
          <w:szCs w:val="24"/>
        </w:rPr>
        <w:t>’</w:t>
      </w:r>
      <w:r w:rsidR="007C41F4" w:rsidRPr="004D7A44">
        <w:rPr>
          <w:rFonts w:ascii="Arial" w:hAnsi="Arial" w:cs="Arial"/>
          <w:color w:val="000000" w:themeColor="text1"/>
          <w:sz w:val="24"/>
          <w:szCs w:val="24"/>
        </w:rPr>
        <w:t>; exercises ‘her powers and perform</w:t>
      </w:r>
      <w:r w:rsidR="00AC7E1B" w:rsidRPr="004D7A44">
        <w:rPr>
          <w:rFonts w:ascii="Arial" w:hAnsi="Arial" w:cs="Arial"/>
          <w:color w:val="000000" w:themeColor="text1"/>
          <w:sz w:val="24"/>
          <w:szCs w:val="24"/>
        </w:rPr>
        <w:t xml:space="preserve">. . . </w:t>
      </w:r>
      <w:r w:rsidR="007C41F4" w:rsidRPr="004D7A44">
        <w:rPr>
          <w:rFonts w:ascii="Arial" w:hAnsi="Arial" w:cs="Arial"/>
          <w:color w:val="000000" w:themeColor="text1"/>
          <w:sz w:val="24"/>
          <w:szCs w:val="24"/>
        </w:rPr>
        <w:t xml:space="preserve">her duties and functions </w:t>
      </w:r>
      <w:r w:rsidR="00AC7E1B" w:rsidRPr="004D7A44">
        <w:rPr>
          <w:rFonts w:ascii="Arial" w:hAnsi="Arial" w:cs="Arial"/>
          <w:color w:val="000000" w:themeColor="text1"/>
          <w:sz w:val="24"/>
          <w:szCs w:val="24"/>
        </w:rPr>
        <w:t xml:space="preserve">. . . </w:t>
      </w:r>
      <w:r w:rsidR="007C41F4" w:rsidRPr="004D7A44">
        <w:rPr>
          <w:rFonts w:ascii="Arial" w:hAnsi="Arial" w:cs="Arial"/>
          <w:color w:val="000000" w:themeColor="text1"/>
          <w:sz w:val="24"/>
          <w:szCs w:val="24"/>
        </w:rPr>
        <w:t xml:space="preserve">in accordance with </w:t>
      </w:r>
      <w:r w:rsidR="00AC7E1B" w:rsidRPr="004D7A44">
        <w:rPr>
          <w:rFonts w:ascii="Arial" w:hAnsi="Arial" w:cs="Arial"/>
          <w:color w:val="000000" w:themeColor="text1"/>
          <w:sz w:val="24"/>
          <w:szCs w:val="24"/>
        </w:rPr>
        <w:t xml:space="preserve">. . . </w:t>
      </w:r>
      <w:r w:rsidR="007C41F4" w:rsidRPr="004D7A44">
        <w:rPr>
          <w:rFonts w:ascii="Arial" w:hAnsi="Arial" w:cs="Arial"/>
          <w:color w:val="000000" w:themeColor="text1"/>
          <w:sz w:val="24"/>
          <w:szCs w:val="24"/>
        </w:rPr>
        <w:t>customary law</w:t>
      </w:r>
      <w:r w:rsidR="00AF3806" w:rsidRPr="004D7A44">
        <w:rPr>
          <w:rFonts w:ascii="Arial" w:hAnsi="Arial" w:cs="Arial"/>
          <w:color w:val="000000" w:themeColor="text1"/>
          <w:sz w:val="24"/>
          <w:szCs w:val="24"/>
        </w:rPr>
        <w:t>’</w:t>
      </w:r>
      <w:r w:rsidR="007C41F4" w:rsidRPr="004D7A44">
        <w:rPr>
          <w:rFonts w:ascii="Arial" w:hAnsi="Arial" w:cs="Arial"/>
          <w:color w:val="000000" w:themeColor="text1"/>
          <w:sz w:val="24"/>
          <w:szCs w:val="24"/>
        </w:rPr>
        <w:t xml:space="preserve">; performs ‘such other powers and exercise such other duties </w:t>
      </w:r>
      <w:r w:rsidR="007C41F4" w:rsidRPr="004D7A44">
        <w:rPr>
          <w:rFonts w:ascii="Arial" w:hAnsi="Arial" w:cs="Arial"/>
          <w:color w:val="000000" w:themeColor="text1"/>
          <w:sz w:val="24"/>
          <w:szCs w:val="24"/>
        </w:rPr>
        <w:lastRenderedPageBreak/>
        <w:t xml:space="preserve">or functions as may be conferred upon </w:t>
      </w:r>
      <w:r w:rsidR="00AC7E1B" w:rsidRPr="004D7A44">
        <w:rPr>
          <w:rFonts w:ascii="Arial" w:hAnsi="Arial" w:cs="Arial"/>
          <w:color w:val="000000" w:themeColor="text1"/>
          <w:sz w:val="24"/>
          <w:szCs w:val="24"/>
        </w:rPr>
        <w:t xml:space="preserve">. . . </w:t>
      </w:r>
      <w:r w:rsidR="007C41F4" w:rsidRPr="004D7A44">
        <w:rPr>
          <w:rFonts w:ascii="Arial" w:hAnsi="Arial" w:cs="Arial"/>
          <w:color w:val="000000" w:themeColor="text1"/>
          <w:sz w:val="24"/>
          <w:szCs w:val="24"/>
        </w:rPr>
        <w:t>her by statutory law or the customary law</w:t>
      </w:r>
      <w:r w:rsidR="00AC7E1B" w:rsidRPr="004D7A44">
        <w:rPr>
          <w:rFonts w:ascii="Arial" w:hAnsi="Arial" w:cs="Arial"/>
          <w:color w:val="000000" w:themeColor="text1"/>
          <w:sz w:val="24"/>
          <w:szCs w:val="24"/>
        </w:rPr>
        <w:t>’</w:t>
      </w:r>
      <w:r w:rsidR="007C41F4" w:rsidRPr="004D7A44">
        <w:rPr>
          <w:rFonts w:ascii="Arial" w:hAnsi="Arial" w:cs="Arial"/>
          <w:color w:val="000000" w:themeColor="text1"/>
          <w:sz w:val="24"/>
          <w:szCs w:val="24"/>
        </w:rPr>
        <w:t>.</w:t>
      </w:r>
    </w:p>
    <w:p w:rsidR="00AF4382" w:rsidRPr="004D7A44" w:rsidRDefault="00FF0AD3"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w:t>
      </w:r>
      <w:r w:rsidR="00AF4382" w:rsidRPr="004D7A44">
        <w:rPr>
          <w:rFonts w:ascii="Arial" w:hAnsi="Arial" w:cs="Arial"/>
          <w:color w:val="000000" w:themeColor="text1"/>
          <w:sz w:val="24"/>
          <w:szCs w:val="24"/>
        </w:rPr>
        <w:t>t is not in dispute that by virtue of their appointment as traditional councillors under the Act</w:t>
      </w:r>
      <w:r w:rsidR="006F7A8F" w:rsidRPr="004D7A44">
        <w:rPr>
          <w:rFonts w:ascii="Arial" w:hAnsi="Arial" w:cs="Arial"/>
          <w:color w:val="000000" w:themeColor="text1"/>
          <w:sz w:val="24"/>
          <w:szCs w:val="24"/>
        </w:rPr>
        <w:t>,</w:t>
      </w:r>
      <w:r w:rsidR="00AF4382" w:rsidRPr="004D7A44">
        <w:rPr>
          <w:rFonts w:ascii="Arial" w:hAnsi="Arial" w:cs="Arial"/>
          <w:color w:val="000000" w:themeColor="text1"/>
          <w:sz w:val="24"/>
          <w:szCs w:val="24"/>
        </w:rPr>
        <w:t xml:space="preserve"> first to third respondents enjoy</w:t>
      </w:r>
      <w:r w:rsidR="00F667A0">
        <w:rPr>
          <w:rFonts w:ascii="Arial" w:hAnsi="Arial" w:cs="Arial"/>
          <w:color w:val="000000" w:themeColor="text1"/>
          <w:sz w:val="24"/>
          <w:szCs w:val="24"/>
        </w:rPr>
        <w:t>ed</w:t>
      </w:r>
      <w:r w:rsidR="00AF4382" w:rsidRPr="004D7A44">
        <w:rPr>
          <w:rFonts w:ascii="Arial" w:hAnsi="Arial" w:cs="Arial"/>
          <w:color w:val="000000" w:themeColor="text1"/>
          <w:sz w:val="24"/>
          <w:szCs w:val="24"/>
        </w:rPr>
        <w:t xml:space="preserve"> certain benefits. For example, </w:t>
      </w:r>
      <w:r w:rsidR="003A2FBF" w:rsidRPr="004D7A44">
        <w:rPr>
          <w:rFonts w:ascii="Arial" w:hAnsi="Arial" w:cs="Arial"/>
          <w:color w:val="000000" w:themeColor="text1"/>
          <w:sz w:val="24"/>
          <w:szCs w:val="24"/>
        </w:rPr>
        <w:t>in terms of s 17(1)(</w:t>
      </w:r>
      <w:r w:rsidR="003A2FBF" w:rsidRPr="004D7A44">
        <w:rPr>
          <w:rFonts w:ascii="Arial" w:hAnsi="Arial" w:cs="Arial"/>
          <w:i/>
          <w:color w:val="000000" w:themeColor="text1"/>
          <w:sz w:val="24"/>
          <w:szCs w:val="24"/>
        </w:rPr>
        <w:t>a</w:t>
      </w:r>
      <w:r w:rsidR="003A2FBF" w:rsidRPr="004D7A44">
        <w:rPr>
          <w:rFonts w:ascii="Arial" w:hAnsi="Arial" w:cs="Arial"/>
          <w:color w:val="000000" w:themeColor="text1"/>
          <w:sz w:val="24"/>
          <w:szCs w:val="24"/>
        </w:rPr>
        <w:t xml:space="preserve">) of the Act </w:t>
      </w:r>
      <w:r w:rsidR="00AF4382" w:rsidRPr="004D7A44">
        <w:rPr>
          <w:rFonts w:ascii="Arial" w:hAnsi="Arial" w:cs="Arial"/>
          <w:color w:val="000000" w:themeColor="text1"/>
          <w:sz w:val="24"/>
          <w:szCs w:val="24"/>
        </w:rPr>
        <w:t>they receive an allowance paid from State funds</w:t>
      </w:r>
      <w:r w:rsidR="003A2FBF" w:rsidRPr="004D7A44">
        <w:rPr>
          <w:rFonts w:ascii="Arial" w:hAnsi="Arial" w:cs="Arial"/>
          <w:color w:val="000000" w:themeColor="text1"/>
          <w:sz w:val="24"/>
          <w:szCs w:val="24"/>
        </w:rPr>
        <w:t>.</w:t>
      </w:r>
      <w:r w:rsidR="00AF4382" w:rsidRPr="004D7A44">
        <w:rPr>
          <w:rFonts w:ascii="Arial" w:hAnsi="Arial" w:cs="Arial"/>
          <w:color w:val="000000" w:themeColor="text1"/>
          <w:sz w:val="24"/>
          <w:szCs w:val="24"/>
        </w:rPr>
        <w:t xml:space="preserve"> </w:t>
      </w:r>
    </w:p>
    <w:p w:rsidR="00FF0AD3" w:rsidRDefault="00FF0AD3" w:rsidP="00FF0AD3">
      <w:pPr>
        <w:pStyle w:val="ListParagraph"/>
        <w:spacing w:after="0" w:line="480" w:lineRule="auto"/>
        <w:ind w:left="0"/>
        <w:jc w:val="both"/>
        <w:rPr>
          <w:rFonts w:ascii="Arial" w:hAnsi="Arial" w:cs="Arial"/>
          <w:color w:val="000000" w:themeColor="text1"/>
          <w:sz w:val="24"/>
          <w:szCs w:val="24"/>
        </w:rPr>
      </w:pPr>
    </w:p>
    <w:p w:rsidR="007C41F4" w:rsidRPr="004D7A44" w:rsidRDefault="00FF0AD3"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Section 10</w:t>
      </w:r>
      <w:r w:rsidR="00145131" w:rsidRPr="004D7A44">
        <w:rPr>
          <w:rFonts w:ascii="Arial" w:hAnsi="Arial" w:cs="Arial"/>
          <w:color w:val="000000" w:themeColor="text1"/>
          <w:sz w:val="24"/>
          <w:szCs w:val="24"/>
        </w:rPr>
        <w:t xml:space="preserve">(2) of the Act </w:t>
      </w:r>
      <w:r w:rsidR="003A2FBF" w:rsidRPr="004D7A44">
        <w:rPr>
          <w:rFonts w:ascii="Arial" w:hAnsi="Arial" w:cs="Arial"/>
          <w:color w:val="000000" w:themeColor="text1"/>
          <w:sz w:val="24"/>
          <w:szCs w:val="24"/>
        </w:rPr>
        <w:t>provides that:</w:t>
      </w:r>
    </w:p>
    <w:p w:rsidR="00AC7E1B" w:rsidRPr="004D7A44" w:rsidRDefault="00AC7E1B" w:rsidP="00BB428D">
      <w:pPr>
        <w:pStyle w:val="ListParagraph"/>
        <w:spacing w:after="0" w:line="480" w:lineRule="auto"/>
        <w:ind w:left="0" w:firstLine="720"/>
        <w:jc w:val="both"/>
        <w:rPr>
          <w:rFonts w:ascii="Arial" w:hAnsi="Arial" w:cs="Arial"/>
          <w:color w:val="000000" w:themeColor="text1"/>
          <w:sz w:val="24"/>
          <w:szCs w:val="24"/>
        </w:rPr>
      </w:pPr>
    </w:p>
    <w:p w:rsidR="00145131" w:rsidRPr="00AD1244" w:rsidRDefault="00145131" w:rsidP="00AD1244">
      <w:pPr>
        <w:pStyle w:val="ListParagraph"/>
        <w:spacing w:after="0" w:line="360" w:lineRule="auto"/>
        <w:jc w:val="both"/>
        <w:rPr>
          <w:rFonts w:ascii="Arial" w:hAnsi="Arial" w:cs="Arial"/>
          <w:color w:val="000000" w:themeColor="text1"/>
        </w:rPr>
      </w:pPr>
      <w:r w:rsidRPr="00AD1244">
        <w:rPr>
          <w:rFonts w:ascii="Arial" w:hAnsi="Arial" w:cs="Arial"/>
          <w:color w:val="000000" w:themeColor="text1"/>
        </w:rPr>
        <w:t xml:space="preserve">‘The qualifications for appointment or election and the tenure of, </w:t>
      </w:r>
      <w:r w:rsidRPr="00AD1244">
        <w:rPr>
          <w:rFonts w:ascii="Arial" w:hAnsi="Arial" w:cs="Arial"/>
          <w:color w:val="000000" w:themeColor="text1"/>
          <w:u w:val="single"/>
        </w:rPr>
        <w:t>and removal from, office</w:t>
      </w:r>
      <w:r w:rsidRPr="00AD1244">
        <w:rPr>
          <w:rFonts w:ascii="Arial" w:hAnsi="Arial" w:cs="Arial"/>
          <w:color w:val="000000" w:themeColor="text1"/>
        </w:rPr>
        <w:t xml:space="preserve"> of a senior traditional councillor or traditional councillor </w:t>
      </w:r>
      <w:r w:rsidRPr="00AD1244">
        <w:rPr>
          <w:rFonts w:ascii="Arial" w:hAnsi="Arial" w:cs="Arial"/>
          <w:color w:val="000000" w:themeColor="text1"/>
          <w:u w:val="single"/>
        </w:rPr>
        <w:t>shall be regulated by the customary law of the traditional community</w:t>
      </w:r>
      <w:r w:rsidRPr="00AD1244">
        <w:rPr>
          <w:rFonts w:ascii="Arial" w:hAnsi="Arial" w:cs="Arial"/>
          <w:color w:val="000000" w:themeColor="text1"/>
        </w:rPr>
        <w:t xml:space="preserve"> in respect of whic</w:t>
      </w:r>
      <w:r w:rsidR="00B62DCD">
        <w:rPr>
          <w:rFonts w:ascii="Arial" w:hAnsi="Arial" w:cs="Arial"/>
          <w:color w:val="000000" w:themeColor="text1"/>
        </w:rPr>
        <w:t xml:space="preserve">h such councillor is appointed.’ </w:t>
      </w:r>
      <w:r w:rsidR="00F667A0" w:rsidRPr="00AD1244">
        <w:rPr>
          <w:rFonts w:ascii="Arial" w:hAnsi="Arial" w:cs="Arial"/>
          <w:color w:val="000000" w:themeColor="text1"/>
        </w:rPr>
        <w:t>(My underlining</w:t>
      </w:r>
      <w:r w:rsidR="00AD1244" w:rsidRPr="00AD1244">
        <w:rPr>
          <w:rFonts w:ascii="Arial" w:hAnsi="Arial" w:cs="Arial"/>
          <w:color w:val="000000" w:themeColor="text1"/>
        </w:rPr>
        <w:t>.</w:t>
      </w:r>
      <w:r w:rsidR="00F667A0" w:rsidRPr="00AD1244">
        <w:rPr>
          <w:rFonts w:ascii="Arial" w:hAnsi="Arial" w:cs="Arial"/>
          <w:color w:val="000000" w:themeColor="text1"/>
        </w:rPr>
        <w:t>)</w:t>
      </w:r>
    </w:p>
    <w:p w:rsidR="00871C26" w:rsidRDefault="00871C26" w:rsidP="00BB428D">
      <w:pPr>
        <w:pStyle w:val="ListParagraph"/>
        <w:spacing w:after="0" w:line="480" w:lineRule="auto"/>
        <w:ind w:left="0"/>
        <w:jc w:val="both"/>
        <w:rPr>
          <w:rFonts w:ascii="Arial" w:hAnsi="Arial" w:cs="Arial"/>
          <w:color w:val="000000" w:themeColor="text1"/>
          <w:sz w:val="24"/>
          <w:szCs w:val="24"/>
        </w:rPr>
      </w:pPr>
    </w:p>
    <w:p w:rsidR="00871C26" w:rsidRDefault="00871C26"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is apparent then that no specific procedure exists under the Act for the removal of a traditional councillor. </w:t>
      </w:r>
    </w:p>
    <w:p w:rsidR="004A55E2" w:rsidRDefault="004A55E2" w:rsidP="00FF0AD3">
      <w:pPr>
        <w:pStyle w:val="ListParagraph"/>
        <w:spacing w:after="0" w:line="480" w:lineRule="auto"/>
        <w:ind w:left="0"/>
        <w:jc w:val="both"/>
        <w:rPr>
          <w:rFonts w:ascii="Arial" w:hAnsi="Arial" w:cs="Arial"/>
          <w:color w:val="000000" w:themeColor="text1"/>
          <w:sz w:val="24"/>
          <w:szCs w:val="24"/>
        </w:rPr>
      </w:pPr>
    </w:p>
    <w:p w:rsidR="0050017F" w:rsidRPr="004D7A44" w:rsidRDefault="00AF4382"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t xml:space="preserve">There is common ground that the first appellant dismissed the first to third respondents as traditional councillors and appointed other persons in their positions. That dismissal was challenged with success in the High Court by way of review. The High Court set aside the dismissals, reinstated the first to third </w:t>
      </w:r>
      <w:r w:rsidR="00F667A0">
        <w:rPr>
          <w:rFonts w:ascii="Arial" w:hAnsi="Arial" w:cs="Arial"/>
          <w:color w:val="000000" w:themeColor="text1"/>
          <w:sz w:val="24"/>
          <w:szCs w:val="24"/>
        </w:rPr>
        <w:t>respondents</w:t>
      </w:r>
      <w:r w:rsidRPr="004D7A44">
        <w:rPr>
          <w:rFonts w:ascii="Arial" w:hAnsi="Arial" w:cs="Arial"/>
          <w:color w:val="000000" w:themeColor="text1"/>
          <w:sz w:val="24"/>
          <w:szCs w:val="24"/>
        </w:rPr>
        <w:t xml:space="preserve"> as traditional councillors and directed the first and second appellants to </w:t>
      </w:r>
      <w:r w:rsidR="008A43BC" w:rsidRPr="004D7A44">
        <w:rPr>
          <w:rFonts w:ascii="Arial" w:hAnsi="Arial" w:cs="Arial"/>
          <w:color w:val="000000" w:themeColor="text1"/>
          <w:sz w:val="24"/>
          <w:szCs w:val="24"/>
        </w:rPr>
        <w:t>pay the arrear allowances</w:t>
      </w:r>
      <w:r w:rsidRPr="004D7A44">
        <w:rPr>
          <w:rFonts w:ascii="Arial" w:hAnsi="Arial" w:cs="Arial"/>
          <w:color w:val="000000" w:themeColor="text1"/>
          <w:sz w:val="24"/>
          <w:szCs w:val="24"/>
        </w:rPr>
        <w:t xml:space="preserve"> to the </w:t>
      </w:r>
      <w:r w:rsidR="00F667A0">
        <w:rPr>
          <w:rFonts w:ascii="Arial" w:hAnsi="Arial" w:cs="Arial"/>
          <w:color w:val="000000" w:themeColor="text1"/>
          <w:sz w:val="24"/>
          <w:szCs w:val="24"/>
        </w:rPr>
        <w:t>dismissed</w:t>
      </w:r>
      <w:r w:rsidRPr="004D7A44">
        <w:rPr>
          <w:rFonts w:ascii="Arial" w:hAnsi="Arial" w:cs="Arial"/>
          <w:color w:val="000000" w:themeColor="text1"/>
          <w:sz w:val="24"/>
          <w:szCs w:val="24"/>
        </w:rPr>
        <w:t xml:space="preserve"> respondents.</w:t>
      </w:r>
      <w:r w:rsidR="008A43BC" w:rsidRPr="004D7A44">
        <w:rPr>
          <w:rFonts w:ascii="Arial" w:hAnsi="Arial" w:cs="Arial"/>
          <w:color w:val="000000" w:themeColor="text1"/>
          <w:sz w:val="24"/>
          <w:szCs w:val="24"/>
        </w:rPr>
        <w:t xml:space="preserve"> The first and second appellants now appeal that decision of the High Court.</w:t>
      </w:r>
    </w:p>
    <w:p w:rsidR="008A43BC" w:rsidRPr="004D7A44" w:rsidRDefault="008A43BC" w:rsidP="00FF0AD3">
      <w:pPr>
        <w:pStyle w:val="ListParagraph"/>
        <w:spacing w:after="0" w:line="480" w:lineRule="auto"/>
        <w:ind w:left="0"/>
        <w:jc w:val="both"/>
        <w:rPr>
          <w:rFonts w:ascii="Arial" w:hAnsi="Arial" w:cs="Arial"/>
          <w:color w:val="000000" w:themeColor="text1"/>
          <w:sz w:val="24"/>
          <w:szCs w:val="24"/>
          <w:u w:val="single"/>
        </w:rPr>
      </w:pPr>
    </w:p>
    <w:p w:rsidR="008A43BC" w:rsidRPr="004D7A44" w:rsidRDefault="003A2FBF" w:rsidP="00FF0AD3">
      <w:pPr>
        <w:pStyle w:val="ListParagraph"/>
        <w:spacing w:after="0" w:line="480" w:lineRule="auto"/>
        <w:ind w:left="0"/>
        <w:jc w:val="both"/>
        <w:rPr>
          <w:rFonts w:ascii="Arial" w:hAnsi="Arial" w:cs="Arial"/>
          <w:color w:val="000000" w:themeColor="text1"/>
          <w:sz w:val="24"/>
          <w:szCs w:val="24"/>
          <w:u w:val="single"/>
        </w:rPr>
      </w:pPr>
      <w:r w:rsidRPr="004D7A44">
        <w:rPr>
          <w:rFonts w:ascii="Arial" w:hAnsi="Arial" w:cs="Arial"/>
          <w:color w:val="000000" w:themeColor="text1"/>
          <w:sz w:val="24"/>
          <w:szCs w:val="24"/>
          <w:u w:val="single"/>
        </w:rPr>
        <w:t>The parties</w:t>
      </w:r>
    </w:p>
    <w:p w:rsidR="00DE56C6" w:rsidRPr="00FF0AD3" w:rsidRDefault="00157BC5"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FF0AD3">
        <w:rPr>
          <w:rFonts w:ascii="Arial" w:hAnsi="Arial" w:cs="Arial"/>
          <w:color w:val="000000" w:themeColor="text1"/>
          <w:sz w:val="24"/>
          <w:szCs w:val="24"/>
        </w:rPr>
        <w:t>The f</w:t>
      </w:r>
      <w:r w:rsidR="00DE56C6" w:rsidRPr="00FF0AD3">
        <w:rPr>
          <w:rFonts w:ascii="Arial" w:hAnsi="Arial" w:cs="Arial"/>
          <w:color w:val="000000" w:themeColor="text1"/>
          <w:sz w:val="24"/>
          <w:szCs w:val="24"/>
        </w:rPr>
        <w:t xml:space="preserve">ounding affidavit was deposed to by </w:t>
      </w:r>
      <w:r w:rsidR="003A2FBF" w:rsidRPr="00FF0AD3">
        <w:rPr>
          <w:rFonts w:ascii="Arial" w:hAnsi="Arial" w:cs="Arial"/>
          <w:color w:val="000000" w:themeColor="text1"/>
          <w:sz w:val="24"/>
          <w:szCs w:val="24"/>
        </w:rPr>
        <w:t xml:space="preserve">the first respondent </w:t>
      </w:r>
      <w:r w:rsidR="00DE56C6" w:rsidRPr="00FF0AD3">
        <w:rPr>
          <w:rFonts w:ascii="Arial" w:hAnsi="Arial" w:cs="Arial"/>
          <w:color w:val="000000" w:themeColor="text1"/>
          <w:sz w:val="24"/>
          <w:szCs w:val="24"/>
        </w:rPr>
        <w:t>(</w:t>
      </w:r>
      <w:r w:rsidR="0057727B" w:rsidRPr="00FF0AD3">
        <w:rPr>
          <w:rFonts w:ascii="Arial" w:hAnsi="Arial" w:cs="Arial"/>
          <w:color w:val="000000" w:themeColor="text1"/>
          <w:sz w:val="24"/>
          <w:szCs w:val="24"/>
        </w:rPr>
        <w:t xml:space="preserve">first </w:t>
      </w:r>
      <w:r w:rsidR="00DE56C6" w:rsidRPr="00FF0AD3">
        <w:rPr>
          <w:rFonts w:ascii="Arial" w:hAnsi="Arial" w:cs="Arial"/>
          <w:color w:val="000000" w:themeColor="text1"/>
          <w:sz w:val="24"/>
          <w:szCs w:val="24"/>
        </w:rPr>
        <w:t xml:space="preserve">applicant </w:t>
      </w:r>
      <w:r w:rsidR="00DE56C6" w:rsidRPr="00FF0AD3">
        <w:rPr>
          <w:rFonts w:ascii="Arial" w:hAnsi="Arial" w:cs="Arial"/>
          <w:i/>
          <w:color w:val="000000" w:themeColor="text1"/>
          <w:sz w:val="24"/>
          <w:szCs w:val="24"/>
        </w:rPr>
        <w:t>a</w:t>
      </w:r>
      <w:r w:rsidR="00DE56C6" w:rsidRPr="00FF0AD3">
        <w:rPr>
          <w:rFonts w:ascii="Arial" w:hAnsi="Arial" w:cs="Arial"/>
          <w:color w:val="000000" w:themeColor="text1"/>
          <w:sz w:val="24"/>
          <w:szCs w:val="24"/>
        </w:rPr>
        <w:t xml:space="preserve"> </w:t>
      </w:r>
      <w:r w:rsidR="00DE56C6" w:rsidRPr="00FF0AD3">
        <w:rPr>
          <w:rFonts w:ascii="Arial" w:hAnsi="Arial" w:cs="Arial"/>
          <w:i/>
          <w:color w:val="000000" w:themeColor="text1"/>
          <w:sz w:val="24"/>
          <w:szCs w:val="24"/>
        </w:rPr>
        <w:t>quo</w:t>
      </w:r>
      <w:r w:rsidR="00DE56C6" w:rsidRPr="00FF0AD3">
        <w:rPr>
          <w:rFonts w:ascii="Arial" w:hAnsi="Arial" w:cs="Arial"/>
          <w:color w:val="000000" w:themeColor="text1"/>
          <w:sz w:val="24"/>
          <w:szCs w:val="24"/>
        </w:rPr>
        <w:t xml:space="preserve">) </w:t>
      </w:r>
      <w:r w:rsidRPr="00FF0AD3">
        <w:rPr>
          <w:rFonts w:ascii="Arial" w:hAnsi="Arial" w:cs="Arial"/>
          <w:color w:val="000000" w:themeColor="text1"/>
          <w:sz w:val="24"/>
          <w:szCs w:val="24"/>
        </w:rPr>
        <w:t xml:space="preserve">who was </w:t>
      </w:r>
      <w:r w:rsidR="00DE56C6" w:rsidRPr="00FF0AD3">
        <w:rPr>
          <w:rFonts w:ascii="Arial" w:hAnsi="Arial" w:cs="Arial"/>
          <w:color w:val="000000" w:themeColor="text1"/>
          <w:sz w:val="24"/>
          <w:szCs w:val="24"/>
        </w:rPr>
        <w:t xml:space="preserve">authorised by </w:t>
      </w:r>
      <w:r w:rsidR="009F53ED" w:rsidRPr="00FF0AD3">
        <w:rPr>
          <w:rFonts w:ascii="Arial" w:hAnsi="Arial" w:cs="Arial"/>
          <w:color w:val="000000" w:themeColor="text1"/>
          <w:sz w:val="24"/>
          <w:szCs w:val="24"/>
        </w:rPr>
        <w:t xml:space="preserve">second </w:t>
      </w:r>
      <w:r w:rsidR="00DE56C6" w:rsidRPr="00FF0AD3">
        <w:rPr>
          <w:rFonts w:ascii="Arial" w:hAnsi="Arial" w:cs="Arial"/>
          <w:color w:val="000000" w:themeColor="text1"/>
          <w:sz w:val="24"/>
          <w:szCs w:val="24"/>
        </w:rPr>
        <w:t xml:space="preserve">and </w:t>
      </w:r>
      <w:r w:rsidR="009F53ED" w:rsidRPr="00FF0AD3">
        <w:rPr>
          <w:rFonts w:ascii="Arial" w:hAnsi="Arial" w:cs="Arial"/>
          <w:color w:val="000000" w:themeColor="text1"/>
          <w:sz w:val="24"/>
          <w:szCs w:val="24"/>
        </w:rPr>
        <w:t xml:space="preserve">third </w:t>
      </w:r>
      <w:r w:rsidR="003A2FBF" w:rsidRPr="00FF0AD3">
        <w:rPr>
          <w:rFonts w:ascii="Arial" w:hAnsi="Arial" w:cs="Arial"/>
          <w:color w:val="000000" w:themeColor="text1"/>
          <w:sz w:val="24"/>
          <w:szCs w:val="24"/>
        </w:rPr>
        <w:t>respondents (respectivel</w:t>
      </w:r>
      <w:r w:rsidR="00871C26" w:rsidRPr="00FF0AD3">
        <w:rPr>
          <w:rFonts w:ascii="Arial" w:hAnsi="Arial" w:cs="Arial"/>
          <w:color w:val="000000" w:themeColor="text1"/>
          <w:sz w:val="24"/>
          <w:szCs w:val="24"/>
        </w:rPr>
        <w:t xml:space="preserve">y as second </w:t>
      </w:r>
      <w:r w:rsidR="00871C26" w:rsidRPr="00FF0AD3">
        <w:rPr>
          <w:rFonts w:ascii="Arial" w:hAnsi="Arial" w:cs="Arial"/>
          <w:color w:val="000000" w:themeColor="text1"/>
          <w:sz w:val="24"/>
          <w:szCs w:val="24"/>
        </w:rPr>
        <w:lastRenderedPageBreak/>
        <w:t>and third applicants</w:t>
      </w:r>
      <w:r w:rsidR="003A2FBF" w:rsidRPr="00FF0AD3">
        <w:rPr>
          <w:rFonts w:ascii="Arial" w:hAnsi="Arial" w:cs="Arial"/>
          <w:color w:val="000000" w:themeColor="text1"/>
          <w:sz w:val="24"/>
          <w:szCs w:val="24"/>
        </w:rPr>
        <w:t xml:space="preserve"> </w:t>
      </w:r>
      <w:r w:rsidR="003A2FBF" w:rsidRPr="00FF0AD3">
        <w:rPr>
          <w:rFonts w:ascii="Arial" w:hAnsi="Arial" w:cs="Arial"/>
          <w:i/>
          <w:color w:val="000000" w:themeColor="text1"/>
          <w:sz w:val="24"/>
          <w:szCs w:val="24"/>
        </w:rPr>
        <w:t>a quo</w:t>
      </w:r>
      <w:r w:rsidR="003A2FBF" w:rsidRPr="00FF0AD3">
        <w:rPr>
          <w:rFonts w:ascii="Arial" w:hAnsi="Arial" w:cs="Arial"/>
          <w:color w:val="000000" w:themeColor="text1"/>
          <w:sz w:val="24"/>
          <w:szCs w:val="24"/>
        </w:rPr>
        <w:t xml:space="preserve">) </w:t>
      </w:r>
      <w:r w:rsidR="00DE56C6" w:rsidRPr="00FF0AD3">
        <w:rPr>
          <w:rFonts w:ascii="Arial" w:hAnsi="Arial" w:cs="Arial"/>
          <w:color w:val="000000" w:themeColor="text1"/>
          <w:sz w:val="24"/>
          <w:szCs w:val="24"/>
        </w:rPr>
        <w:t xml:space="preserve">to also </w:t>
      </w:r>
      <w:r w:rsidRPr="00FF0AD3">
        <w:rPr>
          <w:rFonts w:ascii="Arial" w:hAnsi="Arial" w:cs="Arial"/>
          <w:color w:val="000000" w:themeColor="text1"/>
          <w:sz w:val="24"/>
          <w:szCs w:val="24"/>
        </w:rPr>
        <w:t xml:space="preserve">depose </w:t>
      </w:r>
      <w:r w:rsidR="00DE56C6" w:rsidRPr="00FF0AD3">
        <w:rPr>
          <w:rFonts w:ascii="Arial" w:hAnsi="Arial" w:cs="Arial"/>
          <w:color w:val="000000" w:themeColor="text1"/>
          <w:sz w:val="24"/>
          <w:szCs w:val="24"/>
        </w:rPr>
        <w:t xml:space="preserve">on their behalf.  </w:t>
      </w:r>
      <w:r w:rsidR="003A2FBF" w:rsidRPr="00FF0AD3">
        <w:rPr>
          <w:rFonts w:ascii="Arial" w:hAnsi="Arial" w:cs="Arial"/>
          <w:color w:val="000000" w:themeColor="text1"/>
          <w:sz w:val="24"/>
          <w:szCs w:val="24"/>
        </w:rPr>
        <w:t xml:space="preserve">The first respondent </w:t>
      </w:r>
      <w:r w:rsidR="00DE56C6" w:rsidRPr="00FF0AD3">
        <w:rPr>
          <w:rFonts w:ascii="Arial" w:hAnsi="Arial" w:cs="Arial"/>
          <w:color w:val="000000" w:themeColor="text1"/>
          <w:sz w:val="24"/>
          <w:szCs w:val="24"/>
        </w:rPr>
        <w:t xml:space="preserve">was a junior traditional councillor of </w:t>
      </w:r>
      <w:r w:rsidR="009F53ED" w:rsidRPr="00FF0AD3">
        <w:rPr>
          <w:rFonts w:ascii="Arial" w:hAnsi="Arial" w:cs="Arial"/>
          <w:color w:val="000000" w:themeColor="text1"/>
          <w:sz w:val="24"/>
          <w:szCs w:val="24"/>
        </w:rPr>
        <w:t xml:space="preserve">second </w:t>
      </w:r>
      <w:r w:rsidR="00C21277" w:rsidRPr="00FF0AD3">
        <w:rPr>
          <w:rFonts w:ascii="Arial" w:hAnsi="Arial" w:cs="Arial"/>
          <w:color w:val="000000" w:themeColor="text1"/>
          <w:sz w:val="24"/>
          <w:szCs w:val="24"/>
        </w:rPr>
        <w:t>appellant</w:t>
      </w:r>
      <w:r w:rsidR="001636B1" w:rsidRPr="00FF0AD3">
        <w:rPr>
          <w:rFonts w:ascii="Arial" w:hAnsi="Arial" w:cs="Arial"/>
          <w:color w:val="000000" w:themeColor="text1"/>
          <w:sz w:val="24"/>
          <w:szCs w:val="24"/>
        </w:rPr>
        <w:t xml:space="preserve"> and 'administratively responsible' for the Ong</w:t>
      </w:r>
      <w:r w:rsidR="009F53ED" w:rsidRPr="00FF0AD3">
        <w:rPr>
          <w:rFonts w:ascii="Arial" w:hAnsi="Arial" w:cs="Arial"/>
          <w:color w:val="000000" w:themeColor="text1"/>
          <w:sz w:val="24"/>
          <w:szCs w:val="24"/>
        </w:rPr>
        <w:t xml:space="preserve">ha village. </w:t>
      </w:r>
      <w:r w:rsidR="005B4A91" w:rsidRPr="00FF0AD3">
        <w:rPr>
          <w:rFonts w:ascii="Arial" w:hAnsi="Arial" w:cs="Arial"/>
          <w:color w:val="000000" w:themeColor="text1"/>
          <w:sz w:val="24"/>
          <w:szCs w:val="24"/>
        </w:rPr>
        <w:t>The s</w:t>
      </w:r>
      <w:r w:rsidR="009F53ED" w:rsidRPr="00FF0AD3">
        <w:rPr>
          <w:rFonts w:ascii="Arial" w:hAnsi="Arial" w:cs="Arial"/>
          <w:color w:val="000000" w:themeColor="text1"/>
          <w:sz w:val="24"/>
          <w:szCs w:val="24"/>
        </w:rPr>
        <w:t xml:space="preserve">econd </w:t>
      </w:r>
      <w:r w:rsidR="003A2FBF" w:rsidRPr="00FF0AD3">
        <w:rPr>
          <w:rFonts w:ascii="Arial" w:hAnsi="Arial" w:cs="Arial"/>
          <w:color w:val="000000" w:themeColor="text1"/>
          <w:sz w:val="24"/>
          <w:szCs w:val="24"/>
        </w:rPr>
        <w:t xml:space="preserve">respondent </w:t>
      </w:r>
      <w:r w:rsidR="001636B1" w:rsidRPr="00FF0AD3">
        <w:rPr>
          <w:rFonts w:ascii="Arial" w:hAnsi="Arial" w:cs="Arial"/>
          <w:color w:val="000000" w:themeColor="text1"/>
          <w:sz w:val="24"/>
          <w:szCs w:val="24"/>
        </w:rPr>
        <w:t>was a senior traditional coun</w:t>
      </w:r>
      <w:r w:rsidR="0055577B" w:rsidRPr="00FF0AD3">
        <w:rPr>
          <w:rFonts w:ascii="Arial" w:hAnsi="Arial" w:cs="Arial"/>
          <w:color w:val="000000" w:themeColor="text1"/>
          <w:sz w:val="24"/>
          <w:szCs w:val="24"/>
        </w:rPr>
        <w:t>ci</w:t>
      </w:r>
      <w:r w:rsidR="00395BC5" w:rsidRPr="00FF0AD3">
        <w:rPr>
          <w:rFonts w:ascii="Arial" w:hAnsi="Arial" w:cs="Arial"/>
          <w:color w:val="000000" w:themeColor="text1"/>
          <w:sz w:val="24"/>
          <w:szCs w:val="24"/>
        </w:rPr>
        <w:t xml:space="preserve">llor of second </w:t>
      </w:r>
      <w:r w:rsidR="00C21277" w:rsidRPr="00FF0AD3">
        <w:rPr>
          <w:rFonts w:ascii="Arial" w:hAnsi="Arial" w:cs="Arial"/>
          <w:color w:val="000000" w:themeColor="text1"/>
          <w:sz w:val="24"/>
          <w:szCs w:val="24"/>
        </w:rPr>
        <w:t>appellant</w:t>
      </w:r>
      <w:r w:rsidR="0055577B" w:rsidRPr="00FF0AD3">
        <w:rPr>
          <w:rFonts w:ascii="Arial" w:hAnsi="Arial" w:cs="Arial"/>
          <w:color w:val="000000" w:themeColor="text1"/>
          <w:sz w:val="24"/>
          <w:szCs w:val="24"/>
        </w:rPr>
        <w:t xml:space="preserve"> and 'administratively responsible' for the Oha</w:t>
      </w:r>
      <w:r w:rsidR="004D7A44" w:rsidRPr="00FF0AD3">
        <w:rPr>
          <w:rFonts w:ascii="Arial" w:hAnsi="Arial" w:cs="Arial"/>
          <w:color w:val="000000" w:themeColor="text1"/>
          <w:sz w:val="24"/>
          <w:szCs w:val="24"/>
        </w:rPr>
        <w:t>i</w:t>
      </w:r>
      <w:r w:rsidR="0055577B" w:rsidRPr="00FF0AD3">
        <w:rPr>
          <w:rFonts w:ascii="Arial" w:hAnsi="Arial" w:cs="Arial"/>
          <w:color w:val="000000" w:themeColor="text1"/>
          <w:sz w:val="24"/>
          <w:szCs w:val="24"/>
        </w:rPr>
        <w:t>ngu di</w:t>
      </w:r>
      <w:r w:rsidR="00395BC5" w:rsidRPr="00FF0AD3">
        <w:rPr>
          <w:rFonts w:ascii="Arial" w:hAnsi="Arial" w:cs="Arial"/>
          <w:color w:val="000000" w:themeColor="text1"/>
          <w:sz w:val="24"/>
          <w:szCs w:val="24"/>
        </w:rPr>
        <w:t>strict</w:t>
      </w:r>
      <w:r w:rsidR="003A2FBF" w:rsidRPr="00FF0AD3">
        <w:rPr>
          <w:rFonts w:ascii="Arial" w:hAnsi="Arial" w:cs="Arial"/>
          <w:color w:val="000000" w:themeColor="text1"/>
          <w:sz w:val="24"/>
          <w:szCs w:val="24"/>
        </w:rPr>
        <w:t>.</w:t>
      </w:r>
      <w:r w:rsidR="00395BC5" w:rsidRPr="00FF0AD3">
        <w:rPr>
          <w:rFonts w:ascii="Arial" w:hAnsi="Arial" w:cs="Arial"/>
          <w:color w:val="000000" w:themeColor="text1"/>
          <w:sz w:val="24"/>
          <w:szCs w:val="24"/>
        </w:rPr>
        <w:t xml:space="preserve"> </w:t>
      </w:r>
      <w:r w:rsidR="005B4A91" w:rsidRPr="00FF0AD3">
        <w:rPr>
          <w:rFonts w:ascii="Arial" w:hAnsi="Arial" w:cs="Arial"/>
          <w:color w:val="000000" w:themeColor="text1"/>
          <w:sz w:val="24"/>
          <w:szCs w:val="24"/>
        </w:rPr>
        <w:t>The t</w:t>
      </w:r>
      <w:r w:rsidR="00395BC5" w:rsidRPr="00FF0AD3">
        <w:rPr>
          <w:rFonts w:ascii="Arial" w:hAnsi="Arial" w:cs="Arial"/>
          <w:color w:val="000000" w:themeColor="text1"/>
          <w:sz w:val="24"/>
          <w:szCs w:val="24"/>
        </w:rPr>
        <w:t xml:space="preserve">hird </w:t>
      </w:r>
      <w:r w:rsidR="003A2FBF" w:rsidRPr="00FF0AD3">
        <w:rPr>
          <w:rFonts w:ascii="Arial" w:hAnsi="Arial" w:cs="Arial"/>
          <w:color w:val="000000" w:themeColor="text1"/>
          <w:sz w:val="24"/>
          <w:szCs w:val="24"/>
        </w:rPr>
        <w:t xml:space="preserve">respondent </w:t>
      </w:r>
      <w:r w:rsidR="0055577B" w:rsidRPr="00FF0AD3">
        <w:rPr>
          <w:rFonts w:ascii="Arial" w:hAnsi="Arial" w:cs="Arial"/>
          <w:color w:val="000000" w:themeColor="text1"/>
          <w:sz w:val="24"/>
          <w:szCs w:val="24"/>
        </w:rPr>
        <w:t xml:space="preserve">was a senior traditional councillor of the </w:t>
      </w:r>
      <w:r w:rsidR="00395BC5" w:rsidRPr="00FF0AD3">
        <w:rPr>
          <w:rFonts w:ascii="Arial" w:hAnsi="Arial" w:cs="Arial"/>
          <w:color w:val="000000" w:themeColor="text1"/>
          <w:sz w:val="24"/>
          <w:szCs w:val="24"/>
        </w:rPr>
        <w:t xml:space="preserve">second </w:t>
      </w:r>
      <w:r w:rsidR="00C21277" w:rsidRPr="00FF0AD3">
        <w:rPr>
          <w:rFonts w:ascii="Arial" w:hAnsi="Arial" w:cs="Arial"/>
          <w:color w:val="000000" w:themeColor="text1"/>
          <w:sz w:val="24"/>
          <w:szCs w:val="24"/>
        </w:rPr>
        <w:t>appellant</w:t>
      </w:r>
      <w:r w:rsidR="00395BC5" w:rsidRPr="00FF0AD3">
        <w:rPr>
          <w:rFonts w:ascii="Arial" w:hAnsi="Arial" w:cs="Arial"/>
          <w:color w:val="000000" w:themeColor="text1"/>
          <w:sz w:val="24"/>
          <w:szCs w:val="24"/>
        </w:rPr>
        <w:t xml:space="preserve"> </w:t>
      </w:r>
      <w:r w:rsidR="0055577B" w:rsidRPr="00FF0AD3">
        <w:rPr>
          <w:rFonts w:ascii="Arial" w:hAnsi="Arial" w:cs="Arial"/>
          <w:color w:val="000000" w:themeColor="text1"/>
          <w:sz w:val="24"/>
          <w:szCs w:val="24"/>
        </w:rPr>
        <w:t>and 'administratively responsible' for the Okalemba district</w:t>
      </w:r>
      <w:r w:rsidR="003A2FBF" w:rsidRPr="00FF0AD3">
        <w:rPr>
          <w:rFonts w:ascii="Arial" w:hAnsi="Arial" w:cs="Arial"/>
          <w:color w:val="000000" w:themeColor="text1"/>
          <w:sz w:val="24"/>
          <w:szCs w:val="24"/>
        </w:rPr>
        <w:t>.</w:t>
      </w:r>
      <w:r w:rsidR="0055577B" w:rsidRPr="00FF0AD3">
        <w:rPr>
          <w:rFonts w:ascii="Arial" w:hAnsi="Arial" w:cs="Arial"/>
          <w:color w:val="000000" w:themeColor="text1"/>
          <w:sz w:val="24"/>
          <w:szCs w:val="24"/>
        </w:rPr>
        <w:t xml:space="preserve"> </w:t>
      </w:r>
      <w:r w:rsidR="00871C26" w:rsidRPr="00FF0AD3">
        <w:rPr>
          <w:rFonts w:ascii="Arial" w:hAnsi="Arial" w:cs="Arial"/>
          <w:color w:val="000000" w:themeColor="text1"/>
          <w:sz w:val="24"/>
          <w:szCs w:val="24"/>
        </w:rPr>
        <w:t xml:space="preserve">All </w:t>
      </w:r>
      <w:r w:rsidR="00F667A0" w:rsidRPr="00FF0AD3">
        <w:rPr>
          <w:rFonts w:ascii="Arial" w:hAnsi="Arial" w:cs="Arial"/>
          <w:color w:val="000000" w:themeColor="text1"/>
          <w:sz w:val="24"/>
          <w:szCs w:val="24"/>
        </w:rPr>
        <w:t>three respondents</w:t>
      </w:r>
      <w:r w:rsidR="00871C26" w:rsidRPr="00FF0AD3">
        <w:rPr>
          <w:rFonts w:ascii="Arial" w:hAnsi="Arial" w:cs="Arial"/>
          <w:color w:val="000000" w:themeColor="text1"/>
          <w:sz w:val="24"/>
          <w:szCs w:val="24"/>
        </w:rPr>
        <w:t>, it is common cause, fell within the jurisdiction of the second appellant which is headed by the first appellant.</w:t>
      </w:r>
    </w:p>
    <w:p w:rsidR="00295EE7" w:rsidRPr="004D7A44" w:rsidRDefault="00295EE7" w:rsidP="00BB428D">
      <w:pPr>
        <w:pStyle w:val="ListParagraph"/>
        <w:spacing w:after="0" w:line="480" w:lineRule="auto"/>
        <w:ind w:left="0"/>
        <w:jc w:val="both"/>
        <w:rPr>
          <w:rFonts w:ascii="Arial" w:hAnsi="Arial" w:cs="Arial"/>
          <w:color w:val="000000" w:themeColor="text1"/>
          <w:sz w:val="24"/>
          <w:szCs w:val="24"/>
        </w:rPr>
      </w:pPr>
    </w:p>
    <w:p w:rsidR="00295EE7" w:rsidRPr="00FF0AD3" w:rsidRDefault="00395BC5"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FF0AD3">
        <w:rPr>
          <w:rFonts w:ascii="Arial" w:hAnsi="Arial" w:cs="Arial"/>
          <w:color w:val="000000" w:themeColor="text1"/>
          <w:sz w:val="24"/>
          <w:szCs w:val="24"/>
        </w:rPr>
        <w:t xml:space="preserve">The first </w:t>
      </w:r>
      <w:r w:rsidR="00335ABF" w:rsidRPr="00FF0AD3">
        <w:rPr>
          <w:rFonts w:ascii="Arial" w:hAnsi="Arial" w:cs="Arial"/>
          <w:color w:val="000000" w:themeColor="text1"/>
          <w:sz w:val="24"/>
          <w:szCs w:val="24"/>
        </w:rPr>
        <w:t xml:space="preserve">appellant </w:t>
      </w:r>
      <w:r w:rsidRPr="00FF0AD3">
        <w:rPr>
          <w:rFonts w:ascii="Arial" w:hAnsi="Arial" w:cs="Arial"/>
          <w:color w:val="000000" w:themeColor="text1"/>
          <w:sz w:val="24"/>
          <w:szCs w:val="24"/>
        </w:rPr>
        <w:t xml:space="preserve">is </w:t>
      </w:r>
      <w:r w:rsidR="00496CA7" w:rsidRPr="00FF0AD3">
        <w:rPr>
          <w:rFonts w:ascii="Arial" w:hAnsi="Arial" w:cs="Arial"/>
          <w:color w:val="000000" w:themeColor="text1"/>
          <w:sz w:val="24"/>
          <w:szCs w:val="24"/>
        </w:rPr>
        <w:t xml:space="preserve">cited in her official capacity as a 'duly designated Chief' in accordance with </w:t>
      </w:r>
      <w:r w:rsidR="00335ABF" w:rsidRPr="00FF0AD3">
        <w:rPr>
          <w:rFonts w:ascii="Arial" w:hAnsi="Arial" w:cs="Arial"/>
          <w:color w:val="000000" w:themeColor="text1"/>
          <w:sz w:val="24"/>
          <w:szCs w:val="24"/>
        </w:rPr>
        <w:t>the Act. The decisions which were the subject of the review application were taken by the first appellant.</w:t>
      </w:r>
    </w:p>
    <w:p w:rsidR="00295EE7" w:rsidRPr="004D7A44" w:rsidRDefault="00295EE7" w:rsidP="00FF0AD3">
      <w:pPr>
        <w:pStyle w:val="ListParagraph"/>
        <w:spacing w:after="0" w:line="480" w:lineRule="auto"/>
        <w:ind w:left="0"/>
        <w:jc w:val="both"/>
        <w:rPr>
          <w:rFonts w:ascii="Arial" w:hAnsi="Arial" w:cs="Arial"/>
          <w:color w:val="000000" w:themeColor="text1"/>
          <w:sz w:val="24"/>
          <w:szCs w:val="24"/>
        </w:rPr>
      </w:pPr>
    </w:p>
    <w:p w:rsidR="00295EE7" w:rsidRPr="004D7A44" w:rsidRDefault="001C58CD"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t>The t</w:t>
      </w:r>
      <w:r w:rsidR="00395BC5" w:rsidRPr="004D7A44">
        <w:rPr>
          <w:rFonts w:ascii="Arial" w:hAnsi="Arial" w:cs="Arial"/>
          <w:color w:val="000000" w:themeColor="text1"/>
          <w:sz w:val="24"/>
          <w:szCs w:val="24"/>
        </w:rPr>
        <w:t xml:space="preserve">hird </w:t>
      </w:r>
      <w:r w:rsidR="00335ABF" w:rsidRPr="004D7A44">
        <w:rPr>
          <w:rFonts w:ascii="Arial" w:hAnsi="Arial" w:cs="Arial"/>
          <w:color w:val="000000" w:themeColor="text1"/>
          <w:sz w:val="24"/>
          <w:szCs w:val="24"/>
        </w:rPr>
        <w:t xml:space="preserve">appellant (the minister) was </w:t>
      </w:r>
      <w:r w:rsidR="00295EE7" w:rsidRPr="004D7A44">
        <w:rPr>
          <w:rFonts w:ascii="Arial" w:hAnsi="Arial" w:cs="Arial"/>
          <w:color w:val="000000" w:themeColor="text1"/>
          <w:sz w:val="24"/>
          <w:szCs w:val="24"/>
        </w:rPr>
        <w:t xml:space="preserve">cited </w:t>
      </w:r>
      <w:r w:rsidR="00335ABF" w:rsidRPr="004D7A44">
        <w:rPr>
          <w:rFonts w:ascii="Arial" w:hAnsi="Arial" w:cs="Arial"/>
          <w:color w:val="000000" w:themeColor="text1"/>
          <w:sz w:val="24"/>
          <w:szCs w:val="24"/>
        </w:rPr>
        <w:t xml:space="preserve">in the review </w:t>
      </w:r>
      <w:r w:rsidR="00295EE7" w:rsidRPr="004D7A44">
        <w:rPr>
          <w:rFonts w:ascii="Arial" w:hAnsi="Arial" w:cs="Arial"/>
          <w:i/>
          <w:color w:val="000000" w:themeColor="text1"/>
          <w:sz w:val="24"/>
          <w:szCs w:val="24"/>
        </w:rPr>
        <w:t>nominio officio</w:t>
      </w:r>
      <w:r w:rsidR="00295EE7" w:rsidRPr="004D7A44">
        <w:rPr>
          <w:rFonts w:ascii="Arial" w:hAnsi="Arial" w:cs="Arial"/>
          <w:color w:val="000000" w:themeColor="text1"/>
          <w:sz w:val="24"/>
          <w:szCs w:val="24"/>
        </w:rPr>
        <w:t xml:space="preserve"> as the responsible minister exercising powers under </w:t>
      </w:r>
      <w:r w:rsidRPr="004D7A44">
        <w:rPr>
          <w:rFonts w:ascii="Arial" w:hAnsi="Arial" w:cs="Arial"/>
          <w:color w:val="000000" w:themeColor="text1"/>
          <w:sz w:val="24"/>
          <w:szCs w:val="24"/>
        </w:rPr>
        <w:t xml:space="preserve">the </w:t>
      </w:r>
      <w:r w:rsidR="00335ABF" w:rsidRPr="004D7A44">
        <w:rPr>
          <w:rFonts w:ascii="Arial" w:hAnsi="Arial" w:cs="Arial"/>
          <w:color w:val="000000" w:themeColor="text1"/>
          <w:sz w:val="24"/>
          <w:szCs w:val="24"/>
        </w:rPr>
        <w:t>Act.</w:t>
      </w:r>
      <w:r w:rsidR="00295EE7" w:rsidRPr="004D7A44">
        <w:rPr>
          <w:rFonts w:ascii="Arial" w:hAnsi="Arial" w:cs="Arial"/>
          <w:color w:val="000000" w:themeColor="text1"/>
          <w:sz w:val="24"/>
          <w:szCs w:val="24"/>
        </w:rPr>
        <w:t xml:space="preserve"> No costs order or </w:t>
      </w:r>
      <w:r w:rsidR="000F4DE3" w:rsidRPr="004D7A44">
        <w:rPr>
          <w:rFonts w:ascii="Arial" w:hAnsi="Arial" w:cs="Arial"/>
          <w:color w:val="000000" w:themeColor="text1"/>
          <w:sz w:val="24"/>
          <w:szCs w:val="24"/>
        </w:rPr>
        <w:t xml:space="preserve">other </w:t>
      </w:r>
      <w:r w:rsidR="00831C60" w:rsidRPr="004D7A44">
        <w:rPr>
          <w:rFonts w:ascii="Arial" w:hAnsi="Arial" w:cs="Arial"/>
          <w:color w:val="000000" w:themeColor="text1"/>
          <w:sz w:val="24"/>
          <w:szCs w:val="24"/>
        </w:rPr>
        <w:t xml:space="preserve">relief is sought against the </w:t>
      </w:r>
      <w:r w:rsidRPr="004D7A44">
        <w:rPr>
          <w:rFonts w:ascii="Arial" w:hAnsi="Arial" w:cs="Arial"/>
          <w:color w:val="000000" w:themeColor="text1"/>
          <w:sz w:val="24"/>
          <w:szCs w:val="24"/>
        </w:rPr>
        <w:t>m</w:t>
      </w:r>
      <w:r w:rsidR="00831C60" w:rsidRPr="004D7A44">
        <w:rPr>
          <w:rFonts w:ascii="Arial" w:hAnsi="Arial" w:cs="Arial"/>
          <w:color w:val="000000" w:themeColor="text1"/>
          <w:sz w:val="24"/>
          <w:szCs w:val="24"/>
        </w:rPr>
        <w:t>inister</w:t>
      </w:r>
      <w:r w:rsidR="00295EE7" w:rsidRPr="004D7A44">
        <w:rPr>
          <w:rFonts w:ascii="Arial" w:hAnsi="Arial" w:cs="Arial"/>
          <w:color w:val="000000" w:themeColor="text1"/>
          <w:sz w:val="24"/>
          <w:szCs w:val="24"/>
        </w:rPr>
        <w:t>.</w:t>
      </w:r>
    </w:p>
    <w:p w:rsidR="00295EE7" w:rsidRPr="004D7A44" w:rsidRDefault="00295EE7" w:rsidP="00FF0AD3">
      <w:pPr>
        <w:pStyle w:val="ListParagraph"/>
        <w:spacing w:after="0" w:line="480" w:lineRule="auto"/>
        <w:ind w:left="0"/>
        <w:jc w:val="both"/>
        <w:rPr>
          <w:rFonts w:ascii="Arial" w:hAnsi="Arial" w:cs="Arial"/>
          <w:color w:val="000000" w:themeColor="text1"/>
          <w:sz w:val="24"/>
          <w:szCs w:val="24"/>
        </w:rPr>
      </w:pPr>
    </w:p>
    <w:p w:rsidR="00284315" w:rsidRPr="004D7A44" w:rsidRDefault="00284315"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t xml:space="preserve">In addition to the appointment he held as </w:t>
      </w:r>
      <w:r w:rsidR="00871C26">
        <w:rPr>
          <w:rFonts w:ascii="Arial" w:hAnsi="Arial" w:cs="Arial"/>
          <w:color w:val="000000" w:themeColor="text1"/>
          <w:sz w:val="24"/>
          <w:szCs w:val="24"/>
        </w:rPr>
        <w:t xml:space="preserve">a </w:t>
      </w:r>
      <w:r w:rsidRPr="004D7A44">
        <w:rPr>
          <w:rFonts w:ascii="Arial" w:hAnsi="Arial" w:cs="Arial"/>
          <w:color w:val="000000" w:themeColor="text1"/>
          <w:sz w:val="24"/>
          <w:szCs w:val="24"/>
        </w:rPr>
        <w:t xml:space="preserve">traditional councillor, the first respondent </w:t>
      </w:r>
      <w:r w:rsidR="00295EE7" w:rsidRPr="004D7A44">
        <w:rPr>
          <w:rFonts w:ascii="Arial" w:hAnsi="Arial" w:cs="Arial"/>
          <w:color w:val="000000" w:themeColor="text1"/>
          <w:sz w:val="24"/>
          <w:szCs w:val="24"/>
        </w:rPr>
        <w:t xml:space="preserve">was also appointed </w:t>
      </w:r>
      <w:r w:rsidRPr="004D7A44">
        <w:rPr>
          <w:rFonts w:ascii="Arial" w:hAnsi="Arial" w:cs="Arial"/>
          <w:color w:val="000000" w:themeColor="text1"/>
          <w:sz w:val="24"/>
          <w:szCs w:val="24"/>
        </w:rPr>
        <w:t xml:space="preserve">by the Minister of Lands and Resettlement under the </w:t>
      </w:r>
      <w:r w:rsidR="004D7A44">
        <w:rPr>
          <w:rFonts w:ascii="Arial" w:hAnsi="Arial" w:cs="Arial"/>
          <w:color w:val="000000" w:themeColor="text1"/>
          <w:sz w:val="24"/>
          <w:szCs w:val="24"/>
        </w:rPr>
        <w:t>Communal L</w:t>
      </w:r>
      <w:r w:rsidR="006F7A8F" w:rsidRPr="004D7A44">
        <w:rPr>
          <w:rFonts w:ascii="Arial" w:hAnsi="Arial" w:cs="Arial"/>
          <w:color w:val="000000" w:themeColor="text1"/>
          <w:sz w:val="24"/>
          <w:szCs w:val="24"/>
        </w:rPr>
        <w:t xml:space="preserve">and </w:t>
      </w:r>
      <w:r w:rsidR="004D7A44">
        <w:rPr>
          <w:rFonts w:ascii="Arial" w:hAnsi="Arial" w:cs="Arial"/>
          <w:color w:val="000000" w:themeColor="text1"/>
          <w:sz w:val="24"/>
          <w:szCs w:val="24"/>
        </w:rPr>
        <w:t xml:space="preserve">Reform </w:t>
      </w:r>
      <w:r w:rsidR="006F7A8F" w:rsidRPr="004D7A44">
        <w:rPr>
          <w:rFonts w:ascii="Arial" w:hAnsi="Arial" w:cs="Arial"/>
          <w:color w:val="000000" w:themeColor="text1"/>
          <w:sz w:val="24"/>
          <w:szCs w:val="24"/>
        </w:rPr>
        <w:t>Act</w:t>
      </w:r>
      <w:r w:rsidR="009F18A1">
        <w:rPr>
          <w:rFonts w:ascii="Arial" w:hAnsi="Arial" w:cs="Arial"/>
          <w:color w:val="FF0000"/>
          <w:sz w:val="24"/>
          <w:szCs w:val="24"/>
        </w:rPr>
        <w:t xml:space="preserve"> </w:t>
      </w:r>
      <w:r w:rsidR="009F18A1" w:rsidRPr="004A55E2">
        <w:rPr>
          <w:rFonts w:ascii="Arial" w:hAnsi="Arial" w:cs="Arial"/>
          <w:sz w:val="24"/>
          <w:szCs w:val="24"/>
        </w:rPr>
        <w:t xml:space="preserve">5 of 2002 </w:t>
      </w:r>
      <w:r w:rsidR="00A70182" w:rsidRPr="004D7A44">
        <w:rPr>
          <w:rFonts w:ascii="Arial" w:hAnsi="Arial" w:cs="Arial"/>
          <w:color w:val="000000" w:themeColor="text1"/>
          <w:sz w:val="24"/>
          <w:szCs w:val="24"/>
        </w:rPr>
        <w:t xml:space="preserve">as </w:t>
      </w:r>
      <w:r w:rsidR="00295EE7" w:rsidRPr="004D7A44">
        <w:rPr>
          <w:rFonts w:ascii="Arial" w:hAnsi="Arial" w:cs="Arial"/>
          <w:color w:val="000000" w:themeColor="text1"/>
          <w:sz w:val="24"/>
          <w:szCs w:val="24"/>
        </w:rPr>
        <w:t>a member of the Communal Land Board for the Ohangwen</w:t>
      </w:r>
      <w:r w:rsidR="00851A6E" w:rsidRPr="004D7A44">
        <w:rPr>
          <w:rFonts w:ascii="Arial" w:hAnsi="Arial" w:cs="Arial"/>
          <w:color w:val="000000" w:themeColor="text1"/>
          <w:sz w:val="24"/>
          <w:szCs w:val="24"/>
        </w:rPr>
        <w:t xml:space="preserve">a region </w:t>
      </w:r>
      <w:r w:rsidR="00823CCB" w:rsidRPr="004D7A44">
        <w:rPr>
          <w:rFonts w:ascii="Arial" w:hAnsi="Arial" w:cs="Arial"/>
          <w:color w:val="000000" w:themeColor="text1"/>
          <w:sz w:val="24"/>
          <w:szCs w:val="24"/>
        </w:rPr>
        <w:t xml:space="preserve">to </w:t>
      </w:r>
      <w:r w:rsidR="00851A6E" w:rsidRPr="004D7A44">
        <w:rPr>
          <w:rFonts w:ascii="Arial" w:hAnsi="Arial" w:cs="Arial"/>
          <w:color w:val="000000" w:themeColor="text1"/>
          <w:sz w:val="24"/>
          <w:szCs w:val="24"/>
        </w:rPr>
        <w:t xml:space="preserve">represent the second </w:t>
      </w:r>
      <w:r w:rsidR="00C21277">
        <w:rPr>
          <w:rFonts w:ascii="Arial" w:hAnsi="Arial" w:cs="Arial"/>
          <w:color w:val="000000" w:themeColor="text1"/>
          <w:sz w:val="24"/>
          <w:szCs w:val="24"/>
        </w:rPr>
        <w:t>appellant</w:t>
      </w:r>
      <w:r w:rsidR="00295EE7" w:rsidRPr="004D7A44">
        <w:rPr>
          <w:rFonts w:ascii="Arial" w:hAnsi="Arial" w:cs="Arial"/>
          <w:color w:val="000000" w:themeColor="text1"/>
          <w:sz w:val="24"/>
          <w:szCs w:val="24"/>
        </w:rPr>
        <w:t xml:space="preserve">. </w:t>
      </w:r>
      <w:r w:rsidRPr="004D7A44">
        <w:rPr>
          <w:rFonts w:ascii="Arial" w:hAnsi="Arial" w:cs="Arial"/>
          <w:color w:val="000000" w:themeColor="text1"/>
          <w:sz w:val="24"/>
          <w:szCs w:val="24"/>
        </w:rPr>
        <w:t xml:space="preserve">He was </w:t>
      </w:r>
      <w:r w:rsidR="00871C26">
        <w:rPr>
          <w:rFonts w:ascii="Arial" w:hAnsi="Arial" w:cs="Arial"/>
          <w:color w:val="000000" w:themeColor="text1"/>
          <w:sz w:val="24"/>
          <w:szCs w:val="24"/>
        </w:rPr>
        <w:t xml:space="preserve">also </w:t>
      </w:r>
      <w:r w:rsidRPr="004D7A44">
        <w:rPr>
          <w:rFonts w:ascii="Arial" w:hAnsi="Arial" w:cs="Arial"/>
          <w:color w:val="000000" w:themeColor="text1"/>
          <w:sz w:val="24"/>
          <w:szCs w:val="24"/>
        </w:rPr>
        <w:t>a member of the Board of Trustees of the Oukwanyama Community Trust Fund (the Trust Fund). The Trust Fund, it is common cause</w:t>
      </w:r>
      <w:r w:rsidR="00871C26">
        <w:rPr>
          <w:rFonts w:ascii="Arial" w:hAnsi="Arial" w:cs="Arial"/>
          <w:color w:val="000000" w:themeColor="text1"/>
          <w:sz w:val="24"/>
          <w:szCs w:val="24"/>
        </w:rPr>
        <w:t>,</w:t>
      </w:r>
      <w:r w:rsidRPr="004D7A44">
        <w:rPr>
          <w:rFonts w:ascii="Arial" w:hAnsi="Arial" w:cs="Arial"/>
          <w:color w:val="000000" w:themeColor="text1"/>
          <w:sz w:val="24"/>
          <w:szCs w:val="24"/>
        </w:rPr>
        <w:t xml:space="preserve"> was created under </w:t>
      </w:r>
      <w:r w:rsidR="00FF0AD3">
        <w:rPr>
          <w:rFonts w:ascii="Arial" w:hAnsi="Arial" w:cs="Arial"/>
          <w:color w:val="000000" w:themeColor="text1"/>
          <w:sz w:val="24"/>
          <w:szCs w:val="24"/>
        </w:rPr>
        <w:t>s 18</w:t>
      </w:r>
      <w:r w:rsidR="00BD4F59" w:rsidRPr="004D7A44">
        <w:rPr>
          <w:rFonts w:ascii="Arial" w:hAnsi="Arial" w:cs="Arial"/>
          <w:color w:val="000000" w:themeColor="text1"/>
          <w:sz w:val="24"/>
          <w:szCs w:val="24"/>
        </w:rPr>
        <w:t xml:space="preserve">(3) </w:t>
      </w:r>
      <w:r w:rsidRPr="004D7A44">
        <w:rPr>
          <w:rFonts w:ascii="Arial" w:hAnsi="Arial" w:cs="Arial"/>
          <w:color w:val="000000" w:themeColor="text1"/>
          <w:sz w:val="24"/>
          <w:szCs w:val="24"/>
        </w:rPr>
        <w:t>the Act.</w:t>
      </w:r>
    </w:p>
    <w:p w:rsidR="00502654" w:rsidRPr="004D7A44" w:rsidRDefault="00502654" w:rsidP="00BB428D">
      <w:pPr>
        <w:pStyle w:val="ListParagraph"/>
        <w:spacing w:after="0" w:line="480" w:lineRule="auto"/>
        <w:ind w:left="0"/>
        <w:jc w:val="both"/>
        <w:rPr>
          <w:rFonts w:ascii="Arial" w:hAnsi="Arial" w:cs="Arial"/>
          <w:color w:val="000000" w:themeColor="text1"/>
          <w:sz w:val="24"/>
          <w:szCs w:val="24"/>
        </w:rPr>
      </w:pPr>
    </w:p>
    <w:p w:rsidR="00BD4F59" w:rsidRPr="004D7A44" w:rsidRDefault="00BD4F59"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lastRenderedPageBreak/>
        <w:t xml:space="preserve">The answering affidavit on behalf of the first and second appellants was deposed to by Mr Theophilus Nelulu in his capacity as chairperson </w:t>
      </w:r>
      <w:r w:rsidR="00502654" w:rsidRPr="004D7A44">
        <w:rPr>
          <w:rFonts w:ascii="Arial" w:hAnsi="Arial" w:cs="Arial"/>
          <w:color w:val="000000" w:themeColor="text1"/>
          <w:sz w:val="24"/>
          <w:szCs w:val="24"/>
        </w:rPr>
        <w:t xml:space="preserve">of the second appellant. I shall hereafter refer to him as Mr </w:t>
      </w:r>
      <w:r w:rsidR="00364156" w:rsidRPr="004D7A44">
        <w:rPr>
          <w:rFonts w:ascii="Arial" w:hAnsi="Arial" w:cs="Arial"/>
          <w:color w:val="000000" w:themeColor="text1"/>
          <w:sz w:val="24"/>
          <w:szCs w:val="24"/>
        </w:rPr>
        <w:t>Nelulu</w:t>
      </w:r>
      <w:r w:rsidR="00502654" w:rsidRPr="004D7A44">
        <w:rPr>
          <w:rFonts w:ascii="Arial" w:hAnsi="Arial" w:cs="Arial"/>
          <w:color w:val="000000" w:themeColor="text1"/>
          <w:sz w:val="24"/>
          <w:szCs w:val="24"/>
        </w:rPr>
        <w:t>.</w:t>
      </w:r>
    </w:p>
    <w:p w:rsidR="004D22C3" w:rsidRDefault="004D22C3" w:rsidP="00BB428D">
      <w:pPr>
        <w:pStyle w:val="ListParagraph"/>
        <w:spacing w:after="0" w:line="480" w:lineRule="auto"/>
        <w:ind w:left="0"/>
        <w:jc w:val="both"/>
        <w:rPr>
          <w:rFonts w:ascii="Arial" w:hAnsi="Arial" w:cs="Arial"/>
          <w:color w:val="000000" w:themeColor="text1"/>
          <w:sz w:val="24"/>
          <w:szCs w:val="24"/>
          <w:u w:val="single"/>
        </w:rPr>
      </w:pPr>
    </w:p>
    <w:p w:rsidR="00A70182" w:rsidRPr="004D7A44" w:rsidRDefault="00BD4F59" w:rsidP="00BB428D">
      <w:pPr>
        <w:pStyle w:val="ListParagraph"/>
        <w:spacing w:after="0" w:line="480" w:lineRule="auto"/>
        <w:ind w:left="0"/>
        <w:jc w:val="both"/>
        <w:rPr>
          <w:rFonts w:ascii="Arial" w:hAnsi="Arial" w:cs="Arial"/>
          <w:color w:val="000000" w:themeColor="text1"/>
          <w:sz w:val="24"/>
          <w:szCs w:val="24"/>
          <w:u w:val="single"/>
        </w:rPr>
      </w:pPr>
      <w:r w:rsidRPr="004D7A44">
        <w:rPr>
          <w:rFonts w:ascii="Arial" w:hAnsi="Arial" w:cs="Arial"/>
          <w:color w:val="000000" w:themeColor="text1"/>
          <w:sz w:val="24"/>
          <w:szCs w:val="24"/>
          <w:u w:val="single"/>
        </w:rPr>
        <w:t>Material background facts</w:t>
      </w:r>
    </w:p>
    <w:p w:rsidR="00BD4F59" w:rsidRPr="004D7A44" w:rsidRDefault="00B77020" w:rsidP="00BB428D">
      <w:pPr>
        <w:pStyle w:val="ListParagraph"/>
        <w:spacing w:after="0" w:line="480" w:lineRule="auto"/>
        <w:ind w:left="0"/>
        <w:jc w:val="both"/>
        <w:rPr>
          <w:rFonts w:ascii="Arial" w:hAnsi="Arial" w:cs="Arial"/>
          <w:i/>
          <w:color w:val="000000" w:themeColor="text1"/>
          <w:sz w:val="24"/>
          <w:szCs w:val="24"/>
        </w:rPr>
      </w:pPr>
      <w:r w:rsidRPr="004D7A44">
        <w:rPr>
          <w:rFonts w:ascii="Arial" w:hAnsi="Arial" w:cs="Arial"/>
          <w:i/>
          <w:color w:val="000000" w:themeColor="text1"/>
          <w:sz w:val="24"/>
          <w:szCs w:val="24"/>
        </w:rPr>
        <w:t>The founding affidavit</w:t>
      </w:r>
    </w:p>
    <w:p w:rsidR="004225F0" w:rsidRPr="004D7A44" w:rsidRDefault="008F5657"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t xml:space="preserve">According to the first </w:t>
      </w:r>
      <w:r w:rsidR="00BD4F59" w:rsidRPr="004D7A44">
        <w:rPr>
          <w:rFonts w:ascii="Arial" w:hAnsi="Arial" w:cs="Arial"/>
          <w:color w:val="000000" w:themeColor="text1"/>
          <w:sz w:val="24"/>
          <w:szCs w:val="24"/>
        </w:rPr>
        <w:t>respondent</w:t>
      </w:r>
      <w:r w:rsidRPr="004D7A44">
        <w:rPr>
          <w:rFonts w:ascii="Arial" w:hAnsi="Arial" w:cs="Arial"/>
          <w:color w:val="000000" w:themeColor="text1"/>
          <w:sz w:val="24"/>
          <w:szCs w:val="24"/>
        </w:rPr>
        <w:t xml:space="preserve">, in </w:t>
      </w:r>
      <w:r w:rsidR="004225F0" w:rsidRPr="004D7A44">
        <w:rPr>
          <w:rFonts w:ascii="Arial" w:hAnsi="Arial" w:cs="Arial"/>
          <w:color w:val="000000" w:themeColor="text1"/>
          <w:sz w:val="24"/>
          <w:szCs w:val="24"/>
        </w:rPr>
        <w:t xml:space="preserve">2010 he raised the alarm about irregularities in the administration of the </w:t>
      </w:r>
      <w:r w:rsidR="0037683B" w:rsidRPr="004D7A44">
        <w:rPr>
          <w:rFonts w:ascii="Arial" w:hAnsi="Arial" w:cs="Arial"/>
          <w:color w:val="000000" w:themeColor="text1"/>
          <w:sz w:val="24"/>
          <w:szCs w:val="24"/>
        </w:rPr>
        <w:t xml:space="preserve">Trust </w:t>
      </w:r>
      <w:r w:rsidR="00C51495" w:rsidRPr="004D7A44">
        <w:rPr>
          <w:rFonts w:ascii="Arial" w:hAnsi="Arial" w:cs="Arial"/>
          <w:color w:val="000000" w:themeColor="text1"/>
          <w:sz w:val="24"/>
          <w:szCs w:val="24"/>
        </w:rPr>
        <w:t xml:space="preserve">Fund to, amongst others, the first </w:t>
      </w:r>
      <w:r w:rsidR="00BD4F59" w:rsidRPr="004D7A44">
        <w:rPr>
          <w:rFonts w:ascii="Arial" w:hAnsi="Arial" w:cs="Arial"/>
          <w:color w:val="000000" w:themeColor="text1"/>
          <w:sz w:val="24"/>
          <w:szCs w:val="24"/>
        </w:rPr>
        <w:t>appellant.</w:t>
      </w:r>
      <w:r w:rsidR="004225F0" w:rsidRPr="004D7A44">
        <w:rPr>
          <w:rFonts w:ascii="Arial" w:hAnsi="Arial" w:cs="Arial"/>
          <w:color w:val="000000" w:themeColor="text1"/>
          <w:sz w:val="24"/>
          <w:szCs w:val="24"/>
        </w:rPr>
        <w:t xml:space="preserve">  </w:t>
      </w:r>
      <w:r w:rsidR="00502654" w:rsidRPr="004D7A44">
        <w:rPr>
          <w:rFonts w:ascii="Arial" w:hAnsi="Arial" w:cs="Arial"/>
          <w:color w:val="000000" w:themeColor="text1"/>
          <w:sz w:val="24"/>
          <w:szCs w:val="24"/>
        </w:rPr>
        <w:t xml:space="preserve">Mr Nelulu </w:t>
      </w:r>
      <w:r w:rsidR="004225F0" w:rsidRPr="004D7A44">
        <w:rPr>
          <w:rFonts w:ascii="Arial" w:hAnsi="Arial" w:cs="Arial"/>
          <w:color w:val="000000" w:themeColor="text1"/>
          <w:sz w:val="24"/>
          <w:szCs w:val="24"/>
        </w:rPr>
        <w:t xml:space="preserve">was implicated in the irregularities. The concerns raised </w:t>
      </w:r>
      <w:r w:rsidR="00502654" w:rsidRPr="004D7A44">
        <w:rPr>
          <w:rFonts w:ascii="Arial" w:hAnsi="Arial" w:cs="Arial"/>
          <w:color w:val="000000" w:themeColor="text1"/>
          <w:sz w:val="24"/>
          <w:szCs w:val="24"/>
        </w:rPr>
        <w:t xml:space="preserve">by the first respondent </w:t>
      </w:r>
      <w:r w:rsidR="004225F0" w:rsidRPr="004D7A44">
        <w:rPr>
          <w:rFonts w:ascii="Arial" w:hAnsi="Arial" w:cs="Arial"/>
          <w:color w:val="000000" w:themeColor="text1"/>
          <w:sz w:val="24"/>
          <w:szCs w:val="24"/>
        </w:rPr>
        <w:t>were sha</w:t>
      </w:r>
      <w:r w:rsidR="00C51495" w:rsidRPr="004D7A44">
        <w:rPr>
          <w:rFonts w:ascii="Arial" w:hAnsi="Arial" w:cs="Arial"/>
          <w:color w:val="000000" w:themeColor="text1"/>
          <w:sz w:val="24"/>
          <w:szCs w:val="24"/>
        </w:rPr>
        <w:t>red</w:t>
      </w:r>
      <w:r w:rsidR="004225F0" w:rsidRPr="004D7A44">
        <w:rPr>
          <w:rFonts w:ascii="Arial" w:hAnsi="Arial" w:cs="Arial"/>
          <w:color w:val="000000" w:themeColor="text1"/>
          <w:sz w:val="24"/>
          <w:szCs w:val="24"/>
        </w:rPr>
        <w:t xml:space="preserve"> by the </w:t>
      </w:r>
      <w:r w:rsidR="00C51495" w:rsidRPr="004D7A44">
        <w:rPr>
          <w:rFonts w:ascii="Arial" w:hAnsi="Arial" w:cs="Arial"/>
          <w:color w:val="000000" w:themeColor="text1"/>
          <w:sz w:val="24"/>
          <w:szCs w:val="24"/>
        </w:rPr>
        <w:t xml:space="preserve">second </w:t>
      </w:r>
      <w:r w:rsidR="004225F0" w:rsidRPr="004D7A44">
        <w:rPr>
          <w:rFonts w:ascii="Arial" w:hAnsi="Arial" w:cs="Arial"/>
          <w:color w:val="000000" w:themeColor="text1"/>
          <w:sz w:val="24"/>
          <w:szCs w:val="24"/>
        </w:rPr>
        <w:t xml:space="preserve">and </w:t>
      </w:r>
      <w:r w:rsidR="00C51495" w:rsidRPr="004D7A44">
        <w:rPr>
          <w:rFonts w:ascii="Arial" w:hAnsi="Arial" w:cs="Arial"/>
          <w:color w:val="000000" w:themeColor="text1"/>
          <w:sz w:val="24"/>
          <w:szCs w:val="24"/>
        </w:rPr>
        <w:t xml:space="preserve">third </w:t>
      </w:r>
      <w:r w:rsidR="00502654" w:rsidRPr="004D7A44">
        <w:rPr>
          <w:rFonts w:ascii="Arial" w:hAnsi="Arial" w:cs="Arial"/>
          <w:color w:val="000000" w:themeColor="text1"/>
          <w:sz w:val="24"/>
          <w:szCs w:val="24"/>
        </w:rPr>
        <w:t>respondents.</w:t>
      </w:r>
    </w:p>
    <w:p w:rsidR="00855C5D" w:rsidRPr="004D7A44" w:rsidRDefault="00855C5D" w:rsidP="00BB428D">
      <w:pPr>
        <w:pStyle w:val="ListParagraph"/>
        <w:spacing w:after="0" w:line="480" w:lineRule="auto"/>
        <w:ind w:left="0"/>
        <w:jc w:val="both"/>
        <w:rPr>
          <w:rFonts w:ascii="Arial" w:hAnsi="Arial" w:cs="Arial"/>
          <w:color w:val="000000" w:themeColor="text1"/>
          <w:sz w:val="24"/>
          <w:szCs w:val="24"/>
        </w:rPr>
      </w:pPr>
    </w:p>
    <w:p w:rsidR="00855C5D" w:rsidRPr="004D7A44" w:rsidRDefault="00E65FA3"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w:t>
      </w:r>
      <w:r w:rsidR="00502654" w:rsidRPr="004D7A44">
        <w:rPr>
          <w:rFonts w:ascii="Arial" w:hAnsi="Arial" w:cs="Arial"/>
          <w:color w:val="000000" w:themeColor="text1"/>
          <w:sz w:val="24"/>
          <w:szCs w:val="24"/>
        </w:rPr>
        <w:t xml:space="preserve">he </w:t>
      </w:r>
      <w:r w:rsidR="008F5657" w:rsidRPr="004D7A44">
        <w:rPr>
          <w:rFonts w:ascii="Arial" w:hAnsi="Arial" w:cs="Arial"/>
          <w:color w:val="000000" w:themeColor="text1"/>
          <w:sz w:val="24"/>
          <w:szCs w:val="24"/>
        </w:rPr>
        <w:t xml:space="preserve">first </w:t>
      </w:r>
      <w:r w:rsidR="00CE37CE">
        <w:rPr>
          <w:rFonts w:ascii="Arial" w:hAnsi="Arial" w:cs="Arial"/>
          <w:color w:val="000000" w:themeColor="text1"/>
          <w:sz w:val="24"/>
          <w:szCs w:val="24"/>
        </w:rPr>
        <w:t xml:space="preserve">respondent </w:t>
      </w:r>
      <w:r>
        <w:rPr>
          <w:rFonts w:ascii="Arial" w:hAnsi="Arial" w:cs="Arial"/>
          <w:color w:val="000000" w:themeColor="text1"/>
          <w:sz w:val="24"/>
          <w:szCs w:val="24"/>
        </w:rPr>
        <w:t xml:space="preserve">alleges </w:t>
      </w:r>
      <w:r w:rsidR="00CE37CE">
        <w:rPr>
          <w:rFonts w:ascii="Arial" w:hAnsi="Arial" w:cs="Arial"/>
          <w:color w:val="000000" w:themeColor="text1"/>
          <w:sz w:val="24"/>
          <w:szCs w:val="24"/>
        </w:rPr>
        <w:t>that</w:t>
      </w:r>
      <w:r w:rsidR="00502654" w:rsidRPr="004D7A44">
        <w:rPr>
          <w:rFonts w:ascii="Arial" w:hAnsi="Arial" w:cs="Arial"/>
          <w:color w:val="000000" w:themeColor="text1"/>
          <w:sz w:val="24"/>
          <w:szCs w:val="24"/>
        </w:rPr>
        <w:t xml:space="preserve"> </w:t>
      </w:r>
      <w:r w:rsidR="008F5657" w:rsidRPr="004D7A44">
        <w:rPr>
          <w:rFonts w:ascii="Arial" w:hAnsi="Arial" w:cs="Arial"/>
          <w:color w:val="000000" w:themeColor="text1"/>
          <w:sz w:val="24"/>
          <w:szCs w:val="24"/>
        </w:rPr>
        <w:t xml:space="preserve">it </w:t>
      </w:r>
      <w:r w:rsidR="004225F0" w:rsidRPr="004D7A44">
        <w:rPr>
          <w:rFonts w:ascii="Arial" w:hAnsi="Arial" w:cs="Arial"/>
          <w:color w:val="000000" w:themeColor="text1"/>
          <w:sz w:val="24"/>
          <w:szCs w:val="24"/>
        </w:rPr>
        <w:t xml:space="preserve">was because of the concerns he raised </w:t>
      </w:r>
      <w:r w:rsidR="00F667A0">
        <w:rPr>
          <w:rFonts w:ascii="Arial" w:hAnsi="Arial" w:cs="Arial"/>
          <w:color w:val="000000" w:themeColor="text1"/>
          <w:sz w:val="24"/>
          <w:szCs w:val="24"/>
        </w:rPr>
        <w:t xml:space="preserve">about the Trust Fund </w:t>
      </w:r>
      <w:r w:rsidR="004225F0" w:rsidRPr="004D7A44">
        <w:rPr>
          <w:rFonts w:ascii="Arial" w:hAnsi="Arial" w:cs="Arial"/>
          <w:color w:val="000000" w:themeColor="text1"/>
          <w:sz w:val="24"/>
          <w:szCs w:val="24"/>
        </w:rPr>
        <w:t xml:space="preserve">that </w:t>
      </w:r>
      <w:r w:rsidR="00502654" w:rsidRPr="004D7A44">
        <w:rPr>
          <w:rFonts w:ascii="Arial" w:hAnsi="Arial" w:cs="Arial"/>
          <w:color w:val="000000" w:themeColor="text1"/>
          <w:sz w:val="24"/>
          <w:szCs w:val="24"/>
        </w:rPr>
        <w:t>the first appellant</w:t>
      </w:r>
      <w:r w:rsidR="00F667A0">
        <w:rPr>
          <w:rFonts w:ascii="Arial" w:hAnsi="Arial" w:cs="Arial"/>
          <w:color w:val="000000" w:themeColor="text1"/>
          <w:sz w:val="24"/>
          <w:szCs w:val="24"/>
        </w:rPr>
        <w:t>,</w:t>
      </w:r>
      <w:r w:rsidR="00502654" w:rsidRPr="004D7A44">
        <w:rPr>
          <w:rFonts w:ascii="Arial" w:hAnsi="Arial" w:cs="Arial"/>
          <w:color w:val="000000" w:themeColor="text1"/>
          <w:sz w:val="24"/>
          <w:szCs w:val="24"/>
        </w:rPr>
        <w:t xml:space="preserve"> by letter dated 17 September 2010</w:t>
      </w:r>
      <w:r w:rsidR="00F667A0">
        <w:rPr>
          <w:rFonts w:ascii="Arial" w:hAnsi="Arial" w:cs="Arial"/>
          <w:color w:val="000000" w:themeColor="text1"/>
          <w:sz w:val="24"/>
          <w:szCs w:val="24"/>
        </w:rPr>
        <w:t>,</w:t>
      </w:r>
      <w:r w:rsidR="00502654" w:rsidRPr="004D7A44">
        <w:rPr>
          <w:rFonts w:ascii="Arial" w:hAnsi="Arial" w:cs="Arial"/>
          <w:color w:val="000000" w:themeColor="text1"/>
          <w:sz w:val="24"/>
          <w:szCs w:val="24"/>
        </w:rPr>
        <w:t xml:space="preserve"> removed him </w:t>
      </w:r>
      <w:r w:rsidR="004225F0" w:rsidRPr="004D7A44">
        <w:rPr>
          <w:rFonts w:ascii="Arial" w:hAnsi="Arial" w:cs="Arial"/>
          <w:color w:val="000000" w:themeColor="text1"/>
          <w:sz w:val="24"/>
          <w:szCs w:val="24"/>
        </w:rPr>
        <w:t xml:space="preserve">as a member of the Board of </w:t>
      </w:r>
      <w:r w:rsidR="001B4D27">
        <w:rPr>
          <w:rFonts w:ascii="Arial" w:hAnsi="Arial" w:cs="Arial"/>
          <w:color w:val="000000" w:themeColor="text1"/>
          <w:sz w:val="24"/>
          <w:szCs w:val="24"/>
        </w:rPr>
        <w:t>T</w:t>
      </w:r>
      <w:r w:rsidR="004225F0" w:rsidRPr="004D7A44">
        <w:rPr>
          <w:rFonts w:ascii="Arial" w:hAnsi="Arial" w:cs="Arial"/>
          <w:color w:val="000000" w:themeColor="text1"/>
          <w:sz w:val="24"/>
          <w:szCs w:val="24"/>
        </w:rPr>
        <w:t xml:space="preserve">rustees of the </w:t>
      </w:r>
      <w:r w:rsidR="00085AF6" w:rsidRPr="004D7A44">
        <w:rPr>
          <w:rFonts w:ascii="Arial" w:hAnsi="Arial" w:cs="Arial"/>
          <w:color w:val="000000" w:themeColor="text1"/>
          <w:sz w:val="24"/>
          <w:szCs w:val="24"/>
        </w:rPr>
        <w:t xml:space="preserve">Trust </w:t>
      </w:r>
      <w:r w:rsidR="004225F0" w:rsidRPr="004D7A44">
        <w:rPr>
          <w:rFonts w:ascii="Arial" w:hAnsi="Arial" w:cs="Arial"/>
          <w:color w:val="000000" w:themeColor="text1"/>
          <w:sz w:val="24"/>
          <w:szCs w:val="24"/>
        </w:rPr>
        <w:t>Fund</w:t>
      </w:r>
      <w:r w:rsidR="00502654" w:rsidRPr="004D7A44">
        <w:rPr>
          <w:rFonts w:ascii="Arial" w:hAnsi="Arial" w:cs="Arial"/>
          <w:color w:val="000000" w:themeColor="text1"/>
          <w:sz w:val="24"/>
          <w:szCs w:val="24"/>
        </w:rPr>
        <w:t>.</w:t>
      </w:r>
      <w:r w:rsidR="00271785" w:rsidRPr="004D7A44">
        <w:rPr>
          <w:rFonts w:ascii="Arial" w:hAnsi="Arial" w:cs="Arial"/>
          <w:color w:val="000000" w:themeColor="text1"/>
          <w:sz w:val="24"/>
          <w:szCs w:val="24"/>
        </w:rPr>
        <w:t xml:space="preserve"> </w:t>
      </w:r>
      <w:r>
        <w:rPr>
          <w:rFonts w:ascii="Arial" w:hAnsi="Arial" w:cs="Arial"/>
          <w:color w:val="000000" w:themeColor="text1"/>
          <w:sz w:val="24"/>
          <w:szCs w:val="24"/>
        </w:rPr>
        <w:t xml:space="preserve">He </w:t>
      </w:r>
      <w:r w:rsidR="00410757" w:rsidRPr="004D7A44">
        <w:rPr>
          <w:rFonts w:ascii="Arial" w:hAnsi="Arial" w:cs="Arial"/>
          <w:color w:val="000000" w:themeColor="text1"/>
          <w:sz w:val="24"/>
          <w:szCs w:val="24"/>
        </w:rPr>
        <w:t xml:space="preserve">states that he did not accept the removal and called for an </w:t>
      </w:r>
      <w:r w:rsidR="007213DC" w:rsidRPr="004D7A44">
        <w:rPr>
          <w:rFonts w:ascii="Arial" w:hAnsi="Arial" w:cs="Arial"/>
          <w:color w:val="000000" w:themeColor="text1"/>
          <w:sz w:val="24"/>
          <w:szCs w:val="24"/>
        </w:rPr>
        <w:t xml:space="preserve">investigation. </w:t>
      </w:r>
      <w:r w:rsidR="00410757" w:rsidRPr="004D7A44">
        <w:rPr>
          <w:rFonts w:ascii="Arial" w:hAnsi="Arial" w:cs="Arial"/>
          <w:color w:val="000000" w:themeColor="text1"/>
          <w:sz w:val="24"/>
          <w:szCs w:val="24"/>
        </w:rPr>
        <w:t>Towards that end</w:t>
      </w:r>
      <w:r w:rsidR="00502654" w:rsidRPr="004D7A44">
        <w:rPr>
          <w:rFonts w:ascii="Arial" w:hAnsi="Arial" w:cs="Arial"/>
          <w:color w:val="000000" w:themeColor="text1"/>
          <w:sz w:val="24"/>
          <w:szCs w:val="24"/>
        </w:rPr>
        <w:t xml:space="preserve"> he</w:t>
      </w:r>
      <w:r w:rsidR="00855C5D" w:rsidRPr="004D7A44">
        <w:rPr>
          <w:rFonts w:ascii="Arial" w:hAnsi="Arial" w:cs="Arial"/>
          <w:color w:val="000000" w:themeColor="text1"/>
          <w:sz w:val="24"/>
          <w:szCs w:val="24"/>
        </w:rPr>
        <w:t xml:space="preserve"> and other concerned members of second </w:t>
      </w:r>
      <w:r w:rsidR="00502654" w:rsidRPr="004D7A44">
        <w:rPr>
          <w:rFonts w:ascii="Arial" w:hAnsi="Arial" w:cs="Arial"/>
          <w:color w:val="000000" w:themeColor="text1"/>
          <w:sz w:val="24"/>
          <w:szCs w:val="24"/>
        </w:rPr>
        <w:t>appellant r</w:t>
      </w:r>
      <w:r w:rsidR="00855C5D" w:rsidRPr="004D7A44">
        <w:rPr>
          <w:rFonts w:ascii="Arial" w:hAnsi="Arial" w:cs="Arial"/>
          <w:color w:val="000000" w:themeColor="text1"/>
          <w:sz w:val="24"/>
          <w:szCs w:val="24"/>
        </w:rPr>
        <w:t xml:space="preserve">esolved to seek a meeting with the first </w:t>
      </w:r>
      <w:r w:rsidR="00502654" w:rsidRPr="004D7A44">
        <w:rPr>
          <w:rFonts w:ascii="Arial" w:hAnsi="Arial" w:cs="Arial"/>
          <w:color w:val="000000" w:themeColor="text1"/>
          <w:sz w:val="24"/>
          <w:szCs w:val="24"/>
        </w:rPr>
        <w:t xml:space="preserve">appellant </w:t>
      </w:r>
      <w:r w:rsidR="00855C5D" w:rsidRPr="004D7A44">
        <w:rPr>
          <w:rFonts w:ascii="Arial" w:hAnsi="Arial" w:cs="Arial"/>
          <w:color w:val="000000" w:themeColor="text1"/>
          <w:sz w:val="24"/>
          <w:szCs w:val="24"/>
        </w:rPr>
        <w:t>to address their concerns about the way the Tr</w:t>
      </w:r>
      <w:r w:rsidR="00365607" w:rsidRPr="004D7A44">
        <w:rPr>
          <w:rFonts w:ascii="Arial" w:hAnsi="Arial" w:cs="Arial"/>
          <w:color w:val="000000" w:themeColor="text1"/>
          <w:sz w:val="24"/>
          <w:szCs w:val="24"/>
        </w:rPr>
        <w:t>ust Fund was being administered. That meeting took place on 5 February 2011</w:t>
      </w:r>
      <w:r w:rsidR="00C60FD0" w:rsidRPr="004D7A44">
        <w:rPr>
          <w:rFonts w:ascii="Arial" w:hAnsi="Arial" w:cs="Arial"/>
          <w:color w:val="000000" w:themeColor="text1"/>
          <w:sz w:val="24"/>
          <w:szCs w:val="24"/>
        </w:rPr>
        <w:t>. At the meeting</w:t>
      </w:r>
      <w:r w:rsidR="00365607" w:rsidRPr="004D7A44">
        <w:rPr>
          <w:rFonts w:ascii="Arial" w:hAnsi="Arial" w:cs="Arial"/>
          <w:color w:val="000000" w:themeColor="text1"/>
          <w:sz w:val="24"/>
          <w:szCs w:val="24"/>
        </w:rPr>
        <w:t xml:space="preserve"> the delegation raised their concerns about the Trust Fund's administration. They asked </w:t>
      </w:r>
      <w:r w:rsidR="006E5816" w:rsidRPr="004D7A44">
        <w:rPr>
          <w:rFonts w:ascii="Arial" w:hAnsi="Arial" w:cs="Arial"/>
          <w:color w:val="000000" w:themeColor="text1"/>
          <w:sz w:val="24"/>
          <w:szCs w:val="24"/>
        </w:rPr>
        <w:t xml:space="preserve">the </w:t>
      </w:r>
      <w:r w:rsidR="00502654" w:rsidRPr="004D7A44">
        <w:rPr>
          <w:rFonts w:ascii="Arial" w:hAnsi="Arial" w:cs="Arial"/>
          <w:color w:val="000000" w:themeColor="text1"/>
          <w:sz w:val="24"/>
          <w:szCs w:val="24"/>
        </w:rPr>
        <w:t xml:space="preserve">first appellant </w:t>
      </w:r>
      <w:r w:rsidR="00365607" w:rsidRPr="004D7A44">
        <w:rPr>
          <w:rFonts w:ascii="Arial" w:hAnsi="Arial" w:cs="Arial"/>
          <w:color w:val="000000" w:themeColor="text1"/>
          <w:sz w:val="24"/>
          <w:szCs w:val="24"/>
        </w:rPr>
        <w:t xml:space="preserve">to 'intervene' and to investigate the matter. The </w:t>
      </w:r>
      <w:r w:rsidR="00502654" w:rsidRPr="004D7A44">
        <w:rPr>
          <w:rFonts w:ascii="Arial" w:hAnsi="Arial" w:cs="Arial"/>
          <w:color w:val="000000" w:themeColor="text1"/>
          <w:sz w:val="24"/>
          <w:szCs w:val="24"/>
        </w:rPr>
        <w:t xml:space="preserve">first appellant </w:t>
      </w:r>
      <w:r w:rsidR="00365607" w:rsidRPr="004D7A44">
        <w:rPr>
          <w:rFonts w:ascii="Arial" w:hAnsi="Arial" w:cs="Arial"/>
          <w:color w:val="000000" w:themeColor="text1"/>
          <w:sz w:val="24"/>
          <w:szCs w:val="24"/>
        </w:rPr>
        <w:t xml:space="preserve">advised them to have a meeting about their concerns with </w:t>
      </w:r>
      <w:r w:rsidR="00502654" w:rsidRPr="004D7A44">
        <w:rPr>
          <w:rFonts w:ascii="Arial" w:hAnsi="Arial" w:cs="Arial"/>
          <w:color w:val="000000" w:themeColor="text1"/>
          <w:sz w:val="24"/>
          <w:szCs w:val="24"/>
        </w:rPr>
        <w:t>Mr Nelulu who was also the c</w:t>
      </w:r>
      <w:r w:rsidR="00365607" w:rsidRPr="004D7A44">
        <w:rPr>
          <w:rFonts w:ascii="Arial" w:hAnsi="Arial" w:cs="Arial"/>
          <w:color w:val="000000" w:themeColor="text1"/>
          <w:sz w:val="24"/>
          <w:szCs w:val="24"/>
        </w:rPr>
        <w:t xml:space="preserve">hairperson of the </w:t>
      </w:r>
      <w:r w:rsidR="004F112A" w:rsidRPr="004D7A44">
        <w:rPr>
          <w:rFonts w:ascii="Arial" w:hAnsi="Arial" w:cs="Arial"/>
          <w:color w:val="000000" w:themeColor="text1"/>
          <w:sz w:val="24"/>
          <w:szCs w:val="24"/>
        </w:rPr>
        <w:t xml:space="preserve">Trust </w:t>
      </w:r>
      <w:r w:rsidR="00365607" w:rsidRPr="004D7A44">
        <w:rPr>
          <w:rFonts w:ascii="Arial" w:hAnsi="Arial" w:cs="Arial"/>
          <w:color w:val="000000" w:themeColor="text1"/>
          <w:sz w:val="24"/>
          <w:szCs w:val="24"/>
        </w:rPr>
        <w:t>Fund's Board of Trustees</w:t>
      </w:r>
      <w:r w:rsidR="00502654" w:rsidRPr="004D7A44">
        <w:rPr>
          <w:rFonts w:ascii="Arial" w:hAnsi="Arial" w:cs="Arial"/>
          <w:color w:val="000000" w:themeColor="text1"/>
          <w:sz w:val="24"/>
          <w:szCs w:val="24"/>
        </w:rPr>
        <w:t>.</w:t>
      </w:r>
      <w:r w:rsidR="005E38D2" w:rsidRPr="004D7A44">
        <w:rPr>
          <w:rFonts w:ascii="Arial" w:hAnsi="Arial" w:cs="Arial"/>
          <w:color w:val="000000" w:themeColor="text1"/>
          <w:sz w:val="24"/>
          <w:szCs w:val="24"/>
        </w:rPr>
        <w:t xml:space="preserve"> </w:t>
      </w:r>
      <w:r w:rsidR="008777E1" w:rsidRPr="004D7A44">
        <w:rPr>
          <w:rFonts w:ascii="Arial" w:hAnsi="Arial" w:cs="Arial"/>
          <w:color w:val="000000" w:themeColor="text1"/>
          <w:sz w:val="24"/>
          <w:szCs w:val="24"/>
        </w:rPr>
        <w:t xml:space="preserve">They approached Mr </w:t>
      </w:r>
      <w:r w:rsidR="00365607" w:rsidRPr="004D7A44">
        <w:rPr>
          <w:rFonts w:ascii="Arial" w:hAnsi="Arial" w:cs="Arial"/>
          <w:color w:val="000000" w:themeColor="text1"/>
          <w:sz w:val="24"/>
          <w:szCs w:val="24"/>
        </w:rPr>
        <w:t>Nelu</w:t>
      </w:r>
      <w:r w:rsidR="00502654" w:rsidRPr="004D7A44">
        <w:rPr>
          <w:rFonts w:ascii="Arial" w:hAnsi="Arial" w:cs="Arial"/>
          <w:color w:val="000000" w:themeColor="text1"/>
          <w:sz w:val="24"/>
          <w:szCs w:val="24"/>
        </w:rPr>
        <w:t xml:space="preserve">lu </w:t>
      </w:r>
      <w:r w:rsidR="008777E1" w:rsidRPr="004D7A44">
        <w:rPr>
          <w:rFonts w:ascii="Arial" w:hAnsi="Arial" w:cs="Arial"/>
          <w:color w:val="000000" w:themeColor="text1"/>
          <w:sz w:val="24"/>
          <w:szCs w:val="24"/>
        </w:rPr>
        <w:t xml:space="preserve">for a meeting but he </w:t>
      </w:r>
      <w:r w:rsidR="00365607" w:rsidRPr="004D7A44">
        <w:rPr>
          <w:rFonts w:ascii="Arial" w:hAnsi="Arial" w:cs="Arial"/>
          <w:color w:val="000000" w:themeColor="text1"/>
          <w:sz w:val="24"/>
          <w:szCs w:val="24"/>
        </w:rPr>
        <w:t xml:space="preserve">refused to </w:t>
      </w:r>
      <w:r w:rsidR="00502654" w:rsidRPr="004D7A44">
        <w:rPr>
          <w:rFonts w:ascii="Arial" w:hAnsi="Arial" w:cs="Arial"/>
          <w:color w:val="000000" w:themeColor="text1"/>
          <w:sz w:val="24"/>
          <w:szCs w:val="24"/>
        </w:rPr>
        <w:t>meet them.</w:t>
      </w:r>
      <w:r w:rsidR="00365607" w:rsidRPr="004D7A44">
        <w:rPr>
          <w:rFonts w:ascii="Arial" w:hAnsi="Arial" w:cs="Arial"/>
          <w:color w:val="000000" w:themeColor="text1"/>
          <w:sz w:val="24"/>
          <w:szCs w:val="24"/>
        </w:rPr>
        <w:t xml:space="preserve">  </w:t>
      </w:r>
    </w:p>
    <w:p w:rsidR="00C677F9" w:rsidRPr="004D7A44" w:rsidRDefault="00C677F9" w:rsidP="00FF0AD3">
      <w:pPr>
        <w:pStyle w:val="ListParagraph"/>
        <w:spacing w:after="0" w:line="480" w:lineRule="auto"/>
        <w:ind w:left="0"/>
        <w:jc w:val="both"/>
        <w:rPr>
          <w:rFonts w:ascii="Arial" w:hAnsi="Arial" w:cs="Arial"/>
          <w:color w:val="000000" w:themeColor="text1"/>
          <w:sz w:val="24"/>
          <w:szCs w:val="24"/>
        </w:rPr>
      </w:pPr>
    </w:p>
    <w:p w:rsidR="00095A7A" w:rsidRPr="004D7A44" w:rsidRDefault="001B4D27"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lastRenderedPageBreak/>
        <w:t>The deponent further alleges that</w:t>
      </w:r>
      <w:r w:rsidR="00B77020" w:rsidRPr="004D7A44">
        <w:rPr>
          <w:rFonts w:ascii="Arial" w:hAnsi="Arial" w:cs="Arial"/>
          <w:color w:val="000000" w:themeColor="text1"/>
          <w:sz w:val="24"/>
          <w:szCs w:val="24"/>
        </w:rPr>
        <w:t xml:space="preserve"> </w:t>
      </w:r>
      <w:r w:rsidR="002A4EC0" w:rsidRPr="004D7A44">
        <w:rPr>
          <w:rFonts w:ascii="Arial" w:hAnsi="Arial" w:cs="Arial"/>
          <w:color w:val="000000" w:themeColor="text1"/>
          <w:sz w:val="24"/>
          <w:szCs w:val="24"/>
        </w:rPr>
        <w:t>h</w:t>
      </w:r>
      <w:r w:rsidR="000E5911" w:rsidRPr="004D7A44">
        <w:rPr>
          <w:rFonts w:ascii="Arial" w:hAnsi="Arial" w:cs="Arial"/>
          <w:color w:val="000000" w:themeColor="text1"/>
          <w:sz w:val="24"/>
          <w:szCs w:val="24"/>
        </w:rPr>
        <w:t xml:space="preserve">e and the others felt that the members of the community should be made aware of the </w:t>
      </w:r>
      <w:r w:rsidR="00B77020" w:rsidRPr="004D7A44">
        <w:rPr>
          <w:rFonts w:ascii="Arial" w:hAnsi="Arial" w:cs="Arial"/>
          <w:color w:val="000000" w:themeColor="text1"/>
          <w:sz w:val="24"/>
          <w:szCs w:val="24"/>
        </w:rPr>
        <w:t xml:space="preserve">alleged irregularities. </w:t>
      </w:r>
      <w:r w:rsidR="000E5911" w:rsidRPr="004D7A44">
        <w:rPr>
          <w:rFonts w:ascii="Arial" w:hAnsi="Arial" w:cs="Arial"/>
          <w:color w:val="000000" w:themeColor="text1"/>
          <w:sz w:val="24"/>
          <w:szCs w:val="24"/>
        </w:rPr>
        <w:t>They</w:t>
      </w:r>
      <w:r w:rsidR="009075CC" w:rsidRPr="004D7A44">
        <w:rPr>
          <w:rFonts w:ascii="Arial" w:hAnsi="Arial" w:cs="Arial"/>
          <w:color w:val="000000" w:themeColor="text1"/>
          <w:sz w:val="24"/>
          <w:szCs w:val="24"/>
        </w:rPr>
        <w:t xml:space="preserve"> therefore</w:t>
      </w:r>
      <w:r w:rsidR="000E5911" w:rsidRPr="004D7A44">
        <w:rPr>
          <w:rFonts w:ascii="Arial" w:hAnsi="Arial" w:cs="Arial"/>
          <w:color w:val="000000" w:themeColor="text1"/>
          <w:sz w:val="24"/>
          <w:szCs w:val="24"/>
        </w:rPr>
        <w:t xml:space="preserve"> called a meeting with 15 </w:t>
      </w:r>
      <w:r w:rsidR="00F667A0">
        <w:rPr>
          <w:rFonts w:ascii="Arial" w:hAnsi="Arial" w:cs="Arial"/>
          <w:color w:val="000000" w:themeColor="text1"/>
          <w:sz w:val="24"/>
          <w:szCs w:val="24"/>
        </w:rPr>
        <w:t xml:space="preserve">community </w:t>
      </w:r>
      <w:r w:rsidR="005C0BA5" w:rsidRPr="004D7A44">
        <w:rPr>
          <w:rFonts w:ascii="Arial" w:hAnsi="Arial" w:cs="Arial"/>
          <w:color w:val="000000" w:themeColor="text1"/>
          <w:sz w:val="24"/>
          <w:szCs w:val="24"/>
        </w:rPr>
        <w:t>members of the second</w:t>
      </w:r>
      <w:r w:rsidR="000E5911" w:rsidRPr="004D7A44">
        <w:rPr>
          <w:rFonts w:ascii="Arial" w:hAnsi="Arial" w:cs="Arial"/>
          <w:color w:val="000000" w:themeColor="text1"/>
          <w:sz w:val="24"/>
          <w:szCs w:val="24"/>
        </w:rPr>
        <w:t xml:space="preserve"> </w:t>
      </w:r>
      <w:r w:rsidR="009958F2">
        <w:rPr>
          <w:rFonts w:ascii="Arial" w:hAnsi="Arial" w:cs="Arial"/>
          <w:color w:val="000000" w:themeColor="text1"/>
          <w:sz w:val="24"/>
          <w:szCs w:val="24"/>
        </w:rPr>
        <w:t>appellant</w:t>
      </w:r>
      <w:r w:rsidR="00EF42DD" w:rsidRPr="004D7A44">
        <w:rPr>
          <w:rFonts w:ascii="Arial" w:hAnsi="Arial" w:cs="Arial"/>
          <w:color w:val="000000" w:themeColor="text1"/>
          <w:sz w:val="24"/>
          <w:szCs w:val="24"/>
        </w:rPr>
        <w:t xml:space="preserve">.  He and the </w:t>
      </w:r>
      <w:r w:rsidR="00762038" w:rsidRPr="004D7A44">
        <w:rPr>
          <w:rFonts w:ascii="Arial" w:hAnsi="Arial" w:cs="Arial"/>
          <w:color w:val="000000" w:themeColor="text1"/>
          <w:sz w:val="24"/>
          <w:szCs w:val="24"/>
        </w:rPr>
        <w:t>second</w:t>
      </w:r>
      <w:r w:rsidR="00EF42DD" w:rsidRPr="004D7A44">
        <w:rPr>
          <w:rFonts w:ascii="Arial" w:hAnsi="Arial" w:cs="Arial"/>
          <w:color w:val="000000" w:themeColor="text1"/>
          <w:sz w:val="24"/>
          <w:szCs w:val="24"/>
        </w:rPr>
        <w:t xml:space="preserve"> and</w:t>
      </w:r>
      <w:r w:rsidR="00762038" w:rsidRPr="004D7A44">
        <w:rPr>
          <w:rFonts w:ascii="Arial" w:hAnsi="Arial" w:cs="Arial"/>
          <w:color w:val="000000" w:themeColor="text1"/>
          <w:sz w:val="24"/>
          <w:szCs w:val="24"/>
        </w:rPr>
        <w:t xml:space="preserve"> third</w:t>
      </w:r>
      <w:r w:rsidR="00EF42DD" w:rsidRPr="004D7A44">
        <w:rPr>
          <w:rFonts w:ascii="Arial" w:hAnsi="Arial" w:cs="Arial"/>
          <w:color w:val="000000" w:themeColor="text1"/>
          <w:sz w:val="24"/>
          <w:szCs w:val="24"/>
        </w:rPr>
        <w:t xml:space="preserve"> </w:t>
      </w:r>
      <w:r w:rsidR="00B77020" w:rsidRPr="004D7A44">
        <w:rPr>
          <w:rFonts w:ascii="Arial" w:hAnsi="Arial" w:cs="Arial"/>
          <w:color w:val="000000" w:themeColor="text1"/>
          <w:sz w:val="24"/>
          <w:szCs w:val="24"/>
        </w:rPr>
        <w:t xml:space="preserve">respondents </w:t>
      </w:r>
      <w:r w:rsidR="00EF42DD" w:rsidRPr="004D7A44">
        <w:rPr>
          <w:rFonts w:ascii="Arial" w:hAnsi="Arial" w:cs="Arial"/>
          <w:color w:val="000000" w:themeColor="text1"/>
          <w:sz w:val="24"/>
          <w:szCs w:val="24"/>
        </w:rPr>
        <w:t xml:space="preserve">attended the meeting. </w:t>
      </w:r>
      <w:r w:rsidR="003C0AB4">
        <w:rPr>
          <w:rFonts w:ascii="Arial" w:hAnsi="Arial" w:cs="Arial"/>
          <w:color w:val="000000" w:themeColor="text1"/>
          <w:sz w:val="24"/>
          <w:szCs w:val="24"/>
        </w:rPr>
        <w:t xml:space="preserve">According to the </w:t>
      </w:r>
      <w:r w:rsidR="009075CC" w:rsidRPr="004D7A44">
        <w:rPr>
          <w:rFonts w:ascii="Arial" w:hAnsi="Arial" w:cs="Arial"/>
          <w:color w:val="000000" w:themeColor="text1"/>
          <w:sz w:val="24"/>
          <w:szCs w:val="24"/>
        </w:rPr>
        <w:t>first respondent i</w:t>
      </w:r>
      <w:r w:rsidR="00EF42DD" w:rsidRPr="004D7A44">
        <w:rPr>
          <w:rFonts w:ascii="Arial" w:hAnsi="Arial" w:cs="Arial"/>
          <w:color w:val="000000" w:themeColor="text1"/>
          <w:sz w:val="24"/>
          <w:szCs w:val="24"/>
        </w:rPr>
        <w:t xml:space="preserve">t was because of their calling this meeting that </w:t>
      </w:r>
      <w:r w:rsidR="00B77020" w:rsidRPr="004D7A44">
        <w:rPr>
          <w:rFonts w:ascii="Arial" w:hAnsi="Arial" w:cs="Arial"/>
          <w:color w:val="000000" w:themeColor="text1"/>
          <w:sz w:val="24"/>
          <w:szCs w:val="24"/>
        </w:rPr>
        <w:t>t</w:t>
      </w:r>
      <w:r w:rsidR="00EF42DD" w:rsidRPr="004D7A44">
        <w:rPr>
          <w:rFonts w:ascii="Arial" w:hAnsi="Arial" w:cs="Arial"/>
          <w:color w:val="000000" w:themeColor="text1"/>
          <w:sz w:val="24"/>
          <w:szCs w:val="24"/>
        </w:rPr>
        <w:t xml:space="preserve">he </w:t>
      </w:r>
      <w:r w:rsidR="00B77020" w:rsidRPr="004D7A44">
        <w:rPr>
          <w:rFonts w:ascii="Arial" w:hAnsi="Arial" w:cs="Arial"/>
          <w:color w:val="000000" w:themeColor="text1"/>
          <w:sz w:val="24"/>
          <w:szCs w:val="24"/>
        </w:rPr>
        <w:t>first appellant</w:t>
      </w:r>
      <w:r w:rsidR="00F667A0">
        <w:rPr>
          <w:rFonts w:ascii="Arial" w:hAnsi="Arial" w:cs="Arial"/>
          <w:color w:val="000000" w:themeColor="text1"/>
          <w:sz w:val="24"/>
          <w:szCs w:val="24"/>
        </w:rPr>
        <w:t>,</w:t>
      </w:r>
      <w:r w:rsidR="00B77020" w:rsidRPr="004D7A44">
        <w:rPr>
          <w:rFonts w:ascii="Arial" w:hAnsi="Arial" w:cs="Arial"/>
          <w:color w:val="000000" w:themeColor="text1"/>
          <w:sz w:val="24"/>
          <w:szCs w:val="24"/>
        </w:rPr>
        <w:t xml:space="preserve"> by letter dated 14 June 2011</w:t>
      </w:r>
      <w:r w:rsidR="00F667A0">
        <w:rPr>
          <w:rFonts w:ascii="Arial" w:hAnsi="Arial" w:cs="Arial"/>
          <w:color w:val="000000" w:themeColor="text1"/>
          <w:sz w:val="24"/>
          <w:szCs w:val="24"/>
        </w:rPr>
        <w:t>,</w:t>
      </w:r>
      <w:r w:rsidR="00EF42DD" w:rsidRPr="004D7A44">
        <w:rPr>
          <w:rFonts w:ascii="Arial" w:hAnsi="Arial" w:cs="Arial"/>
          <w:color w:val="000000" w:themeColor="text1"/>
          <w:sz w:val="24"/>
          <w:szCs w:val="24"/>
        </w:rPr>
        <w:t xml:space="preserve"> suspend</w:t>
      </w:r>
      <w:r w:rsidR="00C677F9" w:rsidRPr="004D7A44">
        <w:rPr>
          <w:rFonts w:ascii="Arial" w:hAnsi="Arial" w:cs="Arial"/>
          <w:color w:val="000000" w:themeColor="text1"/>
          <w:sz w:val="24"/>
          <w:szCs w:val="24"/>
        </w:rPr>
        <w:t xml:space="preserve">ed </w:t>
      </w:r>
      <w:r w:rsidR="00B77020" w:rsidRPr="004D7A44">
        <w:rPr>
          <w:rFonts w:ascii="Arial" w:hAnsi="Arial" w:cs="Arial"/>
          <w:color w:val="000000" w:themeColor="text1"/>
          <w:sz w:val="24"/>
          <w:szCs w:val="24"/>
        </w:rPr>
        <w:t xml:space="preserve">him </w:t>
      </w:r>
      <w:r w:rsidR="00095A7A" w:rsidRPr="004D7A44">
        <w:rPr>
          <w:rFonts w:ascii="Arial" w:hAnsi="Arial" w:cs="Arial"/>
          <w:color w:val="000000" w:themeColor="text1"/>
          <w:sz w:val="24"/>
          <w:szCs w:val="24"/>
        </w:rPr>
        <w:t>as t</w:t>
      </w:r>
      <w:r w:rsidR="00893BBC" w:rsidRPr="004D7A44">
        <w:rPr>
          <w:rFonts w:ascii="Arial" w:hAnsi="Arial" w:cs="Arial"/>
          <w:color w:val="000000" w:themeColor="text1"/>
          <w:sz w:val="24"/>
          <w:szCs w:val="24"/>
        </w:rPr>
        <w:t xml:space="preserve">raditional councillor and as a member of the Ohangwena Communal Land Board. </w:t>
      </w:r>
      <w:r w:rsidR="003C0AB4">
        <w:rPr>
          <w:rFonts w:ascii="Arial" w:hAnsi="Arial" w:cs="Arial"/>
          <w:color w:val="000000" w:themeColor="text1"/>
          <w:sz w:val="24"/>
          <w:szCs w:val="24"/>
        </w:rPr>
        <w:t xml:space="preserve">He maintains that </w:t>
      </w:r>
      <w:r w:rsidR="003C0AB4" w:rsidRPr="004D7A44">
        <w:rPr>
          <w:rFonts w:ascii="Arial" w:hAnsi="Arial" w:cs="Arial"/>
          <w:color w:val="000000" w:themeColor="text1"/>
          <w:sz w:val="24"/>
          <w:szCs w:val="24"/>
        </w:rPr>
        <w:t xml:space="preserve">it is apparent from the letter that he was being suspended because of the allegations he made against Mr Nelulu. </w:t>
      </w:r>
    </w:p>
    <w:p w:rsidR="00387308" w:rsidRDefault="00387308" w:rsidP="00FF0AD3">
      <w:pPr>
        <w:pStyle w:val="ListParagraph"/>
        <w:spacing w:after="0" w:line="480" w:lineRule="auto"/>
        <w:ind w:left="0"/>
        <w:jc w:val="both"/>
        <w:rPr>
          <w:rFonts w:ascii="Arial" w:hAnsi="Arial" w:cs="Arial"/>
          <w:color w:val="000000" w:themeColor="text1"/>
          <w:sz w:val="24"/>
          <w:szCs w:val="24"/>
        </w:rPr>
      </w:pPr>
    </w:p>
    <w:p w:rsidR="00893BBC" w:rsidRPr="004D7A44" w:rsidRDefault="00926DC6"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t xml:space="preserve">After </w:t>
      </w:r>
      <w:r w:rsidR="00B77020" w:rsidRPr="004D7A44">
        <w:rPr>
          <w:rFonts w:ascii="Arial" w:hAnsi="Arial" w:cs="Arial"/>
          <w:color w:val="000000" w:themeColor="text1"/>
          <w:sz w:val="24"/>
          <w:szCs w:val="24"/>
        </w:rPr>
        <w:t>the</w:t>
      </w:r>
      <w:r w:rsidRPr="004D7A44">
        <w:rPr>
          <w:rFonts w:ascii="Arial" w:hAnsi="Arial" w:cs="Arial"/>
          <w:color w:val="000000" w:themeColor="text1"/>
          <w:sz w:val="24"/>
          <w:szCs w:val="24"/>
        </w:rPr>
        <w:t xml:space="preserve"> suspension</w:t>
      </w:r>
      <w:r w:rsidR="00B77020" w:rsidRPr="004D7A44">
        <w:rPr>
          <w:rFonts w:ascii="Arial" w:hAnsi="Arial" w:cs="Arial"/>
          <w:color w:val="000000" w:themeColor="text1"/>
          <w:sz w:val="24"/>
          <w:szCs w:val="24"/>
        </w:rPr>
        <w:t>s</w:t>
      </w:r>
      <w:r w:rsidRPr="004D7A44">
        <w:rPr>
          <w:rFonts w:ascii="Arial" w:hAnsi="Arial" w:cs="Arial"/>
          <w:color w:val="000000" w:themeColor="text1"/>
          <w:sz w:val="24"/>
          <w:szCs w:val="24"/>
        </w:rPr>
        <w:t xml:space="preserve">, the </w:t>
      </w:r>
      <w:r w:rsidR="00B77020" w:rsidRPr="004D7A44">
        <w:rPr>
          <w:rFonts w:ascii="Arial" w:hAnsi="Arial" w:cs="Arial"/>
          <w:color w:val="000000" w:themeColor="text1"/>
          <w:sz w:val="24"/>
          <w:szCs w:val="24"/>
        </w:rPr>
        <w:t xml:space="preserve">first appellant </w:t>
      </w:r>
      <w:r w:rsidR="0040732B" w:rsidRPr="004D7A44">
        <w:rPr>
          <w:rFonts w:ascii="Arial" w:hAnsi="Arial" w:cs="Arial"/>
          <w:color w:val="000000" w:themeColor="text1"/>
          <w:sz w:val="24"/>
          <w:szCs w:val="24"/>
        </w:rPr>
        <w:t xml:space="preserve">appointed </w:t>
      </w:r>
      <w:r w:rsidR="00B77020" w:rsidRPr="004D7A44">
        <w:rPr>
          <w:rFonts w:ascii="Arial" w:hAnsi="Arial" w:cs="Arial"/>
          <w:color w:val="000000" w:themeColor="text1"/>
          <w:sz w:val="24"/>
          <w:szCs w:val="24"/>
        </w:rPr>
        <w:t xml:space="preserve">other individuals to replace the first to third respondents as traditional and senior traditional councillors respectively. </w:t>
      </w:r>
      <w:r w:rsidR="00DA14C8" w:rsidRPr="004D7A44">
        <w:rPr>
          <w:rFonts w:ascii="Arial" w:hAnsi="Arial" w:cs="Arial"/>
          <w:color w:val="000000" w:themeColor="text1"/>
          <w:sz w:val="24"/>
          <w:szCs w:val="24"/>
        </w:rPr>
        <w:t>These persons were cited in the review and appear as</w:t>
      </w:r>
      <w:r w:rsidR="001B4D27">
        <w:rPr>
          <w:rFonts w:ascii="Arial" w:hAnsi="Arial" w:cs="Arial"/>
          <w:color w:val="000000" w:themeColor="text1"/>
          <w:sz w:val="24"/>
          <w:szCs w:val="24"/>
        </w:rPr>
        <w:t xml:space="preserve"> fourth </w:t>
      </w:r>
      <w:r w:rsidR="00DA14C8" w:rsidRPr="004D7A44">
        <w:rPr>
          <w:rFonts w:ascii="Arial" w:hAnsi="Arial" w:cs="Arial"/>
          <w:color w:val="000000" w:themeColor="text1"/>
          <w:sz w:val="24"/>
          <w:szCs w:val="24"/>
        </w:rPr>
        <w:t xml:space="preserve">to </w:t>
      </w:r>
      <w:r w:rsidR="001B4D27">
        <w:rPr>
          <w:rFonts w:ascii="Arial" w:hAnsi="Arial" w:cs="Arial"/>
          <w:color w:val="000000" w:themeColor="text1"/>
          <w:sz w:val="24"/>
          <w:szCs w:val="24"/>
        </w:rPr>
        <w:t>eighth</w:t>
      </w:r>
      <w:r w:rsidR="00DA14C8" w:rsidRPr="004D7A44">
        <w:rPr>
          <w:rFonts w:ascii="Arial" w:hAnsi="Arial" w:cs="Arial"/>
          <w:color w:val="000000" w:themeColor="text1"/>
          <w:sz w:val="24"/>
          <w:szCs w:val="24"/>
        </w:rPr>
        <w:t xml:space="preserve"> appel</w:t>
      </w:r>
      <w:r w:rsidR="00CF1311">
        <w:rPr>
          <w:rFonts w:ascii="Arial" w:hAnsi="Arial" w:cs="Arial"/>
          <w:color w:val="000000" w:themeColor="text1"/>
          <w:sz w:val="24"/>
          <w:szCs w:val="24"/>
        </w:rPr>
        <w:t>l</w:t>
      </w:r>
      <w:r w:rsidR="00DA14C8" w:rsidRPr="004D7A44">
        <w:rPr>
          <w:rFonts w:ascii="Arial" w:hAnsi="Arial" w:cs="Arial"/>
          <w:color w:val="000000" w:themeColor="text1"/>
          <w:sz w:val="24"/>
          <w:szCs w:val="24"/>
        </w:rPr>
        <w:t xml:space="preserve">ants in the present appeal. </w:t>
      </w:r>
    </w:p>
    <w:p w:rsidR="00A03EB5" w:rsidRPr="004D7A44" w:rsidRDefault="00A03EB5" w:rsidP="00BB428D">
      <w:pPr>
        <w:pStyle w:val="ListParagraph"/>
        <w:spacing w:after="0" w:line="480" w:lineRule="auto"/>
        <w:ind w:left="0"/>
        <w:jc w:val="both"/>
        <w:rPr>
          <w:rFonts w:ascii="Arial" w:hAnsi="Arial" w:cs="Arial"/>
          <w:color w:val="000000" w:themeColor="text1"/>
          <w:sz w:val="24"/>
          <w:szCs w:val="24"/>
        </w:rPr>
      </w:pPr>
    </w:p>
    <w:p w:rsidR="0055047B" w:rsidRPr="004D7A44" w:rsidRDefault="008C0979"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t xml:space="preserve">In </w:t>
      </w:r>
      <w:r w:rsidR="00387308">
        <w:rPr>
          <w:rFonts w:ascii="Arial" w:hAnsi="Arial" w:cs="Arial"/>
          <w:color w:val="000000" w:themeColor="text1"/>
          <w:sz w:val="24"/>
          <w:szCs w:val="24"/>
        </w:rPr>
        <w:t>June</w:t>
      </w:r>
      <w:r w:rsidRPr="004D7A44">
        <w:rPr>
          <w:rFonts w:ascii="Arial" w:hAnsi="Arial" w:cs="Arial"/>
          <w:color w:val="000000" w:themeColor="text1"/>
          <w:sz w:val="24"/>
          <w:szCs w:val="24"/>
        </w:rPr>
        <w:t xml:space="preserve"> 2011 the </w:t>
      </w:r>
      <w:r w:rsidR="00DA14C8" w:rsidRPr="004D7A44">
        <w:rPr>
          <w:rFonts w:ascii="Arial" w:hAnsi="Arial" w:cs="Arial"/>
          <w:color w:val="000000" w:themeColor="text1"/>
          <w:sz w:val="24"/>
          <w:szCs w:val="24"/>
        </w:rPr>
        <w:t xml:space="preserve">first appellant </w:t>
      </w:r>
      <w:r w:rsidRPr="004D7A44">
        <w:rPr>
          <w:rFonts w:ascii="Arial" w:hAnsi="Arial" w:cs="Arial"/>
          <w:color w:val="000000" w:themeColor="text1"/>
          <w:sz w:val="24"/>
          <w:szCs w:val="24"/>
        </w:rPr>
        <w:t xml:space="preserve">appointed a </w:t>
      </w:r>
      <w:r w:rsidR="00387308">
        <w:rPr>
          <w:rFonts w:ascii="Arial" w:hAnsi="Arial" w:cs="Arial"/>
          <w:color w:val="000000" w:themeColor="text1"/>
          <w:sz w:val="24"/>
          <w:szCs w:val="24"/>
        </w:rPr>
        <w:t>special committee (the committee)</w:t>
      </w:r>
      <w:r w:rsidRPr="004D7A44">
        <w:rPr>
          <w:rFonts w:ascii="Arial" w:hAnsi="Arial" w:cs="Arial"/>
          <w:color w:val="000000" w:themeColor="text1"/>
          <w:sz w:val="24"/>
          <w:szCs w:val="24"/>
        </w:rPr>
        <w:t xml:space="preserve"> to i</w:t>
      </w:r>
      <w:r w:rsidR="00A03EB5" w:rsidRPr="004D7A44">
        <w:rPr>
          <w:rFonts w:ascii="Arial" w:hAnsi="Arial" w:cs="Arial"/>
          <w:color w:val="000000" w:themeColor="text1"/>
          <w:sz w:val="24"/>
          <w:szCs w:val="24"/>
        </w:rPr>
        <w:t xml:space="preserve">nvestigate what </w:t>
      </w:r>
      <w:r w:rsidR="0040732B" w:rsidRPr="004D7A44">
        <w:rPr>
          <w:rFonts w:ascii="Arial" w:hAnsi="Arial" w:cs="Arial"/>
          <w:color w:val="000000" w:themeColor="text1"/>
          <w:sz w:val="24"/>
          <w:szCs w:val="24"/>
        </w:rPr>
        <w:t xml:space="preserve">the </w:t>
      </w:r>
      <w:r w:rsidR="00236BE8">
        <w:rPr>
          <w:rFonts w:ascii="Arial" w:hAnsi="Arial" w:cs="Arial"/>
          <w:color w:val="000000" w:themeColor="text1"/>
          <w:sz w:val="24"/>
          <w:szCs w:val="24"/>
        </w:rPr>
        <w:t xml:space="preserve">first respondent </w:t>
      </w:r>
      <w:r w:rsidR="0040732B" w:rsidRPr="004D7A44">
        <w:rPr>
          <w:rFonts w:ascii="Arial" w:hAnsi="Arial" w:cs="Arial"/>
          <w:color w:val="000000" w:themeColor="text1"/>
          <w:sz w:val="24"/>
          <w:szCs w:val="24"/>
        </w:rPr>
        <w:t xml:space="preserve">refers to as </w:t>
      </w:r>
      <w:r w:rsidR="00A03EB5" w:rsidRPr="004D7A44">
        <w:rPr>
          <w:rFonts w:ascii="Arial" w:hAnsi="Arial" w:cs="Arial"/>
          <w:color w:val="000000" w:themeColor="text1"/>
          <w:sz w:val="24"/>
          <w:szCs w:val="24"/>
        </w:rPr>
        <w:t>the 's</w:t>
      </w:r>
      <w:r w:rsidRPr="004D7A44">
        <w:rPr>
          <w:rFonts w:ascii="Arial" w:hAnsi="Arial" w:cs="Arial"/>
          <w:color w:val="000000" w:themeColor="text1"/>
          <w:sz w:val="24"/>
          <w:szCs w:val="24"/>
        </w:rPr>
        <w:t xml:space="preserve">o-called misconduct' charges </w:t>
      </w:r>
      <w:r w:rsidR="00A03EB5" w:rsidRPr="004D7A44">
        <w:rPr>
          <w:rFonts w:ascii="Arial" w:hAnsi="Arial" w:cs="Arial"/>
          <w:color w:val="000000" w:themeColor="text1"/>
          <w:sz w:val="24"/>
          <w:szCs w:val="24"/>
        </w:rPr>
        <w:t xml:space="preserve">against </w:t>
      </w:r>
      <w:r w:rsidR="00DA14C8" w:rsidRPr="004D7A44">
        <w:rPr>
          <w:rFonts w:ascii="Arial" w:hAnsi="Arial" w:cs="Arial"/>
          <w:color w:val="000000" w:themeColor="text1"/>
          <w:sz w:val="24"/>
          <w:szCs w:val="24"/>
        </w:rPr>
        <w:t xml:space="preserve">him and the second and third respondents. </w:t>
      </w:r>
      <w:r w:rsidR="00F667A0">
        <w:rPr>
          <w:rFonts w:ascii="Arial" w:hAnsi="Arial" w:cs="Arial"/>
          <w:color w:val="000000" w:themeColor="text1"/>
          <w:sz w:val="24"/>
          <w:szCs w:val="24"/>
        </w:rPr>
        <w:t>In</w:t>
      </w:r>
      <w:r w:rsidR="00387308">
        <w:rPr>
          <w:rFonts w:ascii="Arial" w:hAnsi="Arial" w:cs="Arial"/>
          <w:color w:val="000000" w:themeColor="text1"/>
          <w:sz w:val="24"/>
          <w:szCs w:val="24"/>
        </w:rPr>
        <w:t xml:space="preserve"> June 2011 </w:t>
      </w:r>
      <w:r w:rsidR="00F667A0">
        <w:rPr>
          <w:rFonts w:ascii="Arial" w:hAnsi="Arial" w:cs="Arial"/>
          <w:color w:val="000000" w:themeColor="text1"/>
          <w:sz w:val="24"/>
          <w:szCs w:val="24"/>
        </w:rPr>
        <w:t xml:space="preserve">the </w:t>
      </w:r>
      <w:r w:rsidR="003C0AB4">
        <w:rPr>
          <w:rFonts w:ascii="Arial" w:hAnsi="Arial" w:cs="Arial"/>
          <w:color w:val="000000" w:themeColor="text1"/>
          <w:sz w:val="24"/>
          <w:szCs w:val="24"/>
        </w:rPr>
        <w:t xml:space="preserve">first appellant </w:t>
      </w:r>
      <w:r w:rsidR="00F667A0">
        <w:rPr>
          <w:rFonts w:ascii="Arial" w:hAnsi="Arial" w:cs="Arial"/>
          <w:color w:val="000000" w:themeColor="text1"/>
          <w:sz w:val="24"/>
          <w:szCs w:val="24"/>
        </w:rPr>
        <w:t>wrote letters to the three respondents</w:t>
      </w:r>
      <w:r w:rsidR="00387308">
        <w:rPr>
          <w:rFonts w:ascii="Arial" w:hAnsi="Arial" w:cs="Arial"/>
          <w:color w:val="000000" w:themeColor="text1"/>
          <w:sz w:val="24"/>
          <w:szCs w:val="24"/>
        </w:rPr>
        <w:t xml:space="preserve"> inviting them to </w:t>
      </w:r>
      <w:r w:rsidR="005A64C1">
        <w:rPr>
          <w:rFonts w:ascii="Arial" w:hAnsi="Arial" w:cs="Arial"/>
          <w:color w:val="000000" w:themeColor="text1"/>
          <w:sz w:val="24"/>
          <w:szCs w:val="24"/>
        </w:rPr>
        <w:t>a</w:t>
      </w:r>
      <w:r w:rsidR="00BB2BC3">
        <w:rPr>
          <w:rFonts w:ascii="Arial" w:hAnsi="Arial" w:cs="Arial"/>
          <w:color w:val="000000" w:themeColor="text1"/>
          <w:sz w:val="24"/>
          <w:szCs w:val="24"/>
        </w:rPr>
        <w:t xml:space="preserve"> hearing</w:t>
      </w:r>
      <w:r w:rsidR="005A64C1">
        <w:rPr>
          <w:rFonts w:ascii="Arial" w:hAnsi="Arial" w:cs="Arial"/>
          <w:color w:val="000000" w:themeColor="text1"/>
          <w:sz w:val="24"/>
          <w:szCs w:val="24"/>
        </w:rPr>
        <w:t xml:space="preserve"> </w:t>
      </w:r>
      <w:r w:rsidR="00DE74F6">
        <w:rPr>
          <w:rFonts w:ascii="Arial" w:hAnsi="Arial" w:cs="Arial"/>
          <w:color w:val="000000" w:themeColor="text1"/>
          <w:sz w:val="24"/>
          <w:szCs w:val="24"/>
        </w:rPr>
        <w:t xml:space="preserve">before the </w:t>
      </w:r>
      <w:r w:rsidR="009C6374">
        <w:rPr>
          <w:rFonts w:ascii="Arial" w:hAnsi="Arial" w:cs="Arial"/>
          <w:color w:val="000000" w:themeColor="text1"/>
          <w:sz w:val="24"/>
          <w:szCs w:val="24"/>
        </w:rPr>
        <w:t>committee tasked</w:t>
      </w:r>
      <w:r w:rsidR="00DE74F6">
        <w:rPr>
          <w:rFonts w:ascii="Arial" w:hAnsi="Arial" w:cs="Arial"/>
          <w:color w:val="000000" w:themeColor="text1"/>
          <w:sz w:val="24"/>
          <w:szCs w:val="24"/>
        </w:rPr>
        <w:t xml:space="preserve"> to investigate </w:t>
      </w:r>
      <w:r w:rsidR="00C1324A">
        <w:rPr>
          <w:rFonts w:ascii="Arial" w:hAnsi="Arial" w:cs="Arial"/>
          <w:color w:val="000000" w:themeColor="text1"/>
          <w:sz w:val="24"/>
          <w:szCs w:val="24"/>
        </w:rPr>
        <w:t>t</w:t>
      </w:r>
      <w:r w:rsidR="005A64C1">
        <w:rPr>
          <w:rFonts w:ascii="Arial" w:hAnsi="Arial" w:cs="Arial"/>
          <w:color w:val="000000" w:themeColor="text1"/>
          <w:sz w:val="24"/>
          <w:szCs w:val="24"/>
        </w:rPr>
        <w:t xml:space="preserve">he irregularities </w:t>
      </w:r>
      <w:r w:rsidR="00DE74F6">
        <w:rPr>
          <w:rFonts w:ascii="Arial" w:hAnsi="Arial" w:cs="Arial"/>
          <w:color w:val="000000" w:themeColor="text1"/>
          <w:sz w:val="24"/>
          <w:szCs w:val="24"/>
        </w:rPr>
        <w:t xml:space="preserve">they </w:t>
      </w:r>
      <w:r w:rsidR="003C0AB4">
        <w:rPr>
          <w:rFonts w:ascii="Arial" w:hAnsi="Arial" w:cs="Arial"/>
          <w:color w:val="000000" w:themeColor="text1"/>
          <w:sz w:val="24"/>
          <w:szCs w:val="24"/>
        </w:rPr>
        <w:t xml:space="preserve">raised </w:t>
      </w:r>
      <w:r w:rsidR="00DE74F6">
        <w:rPr>
          <w:rFonts w:ascii="Arial" w:hAnsi="Arial" w:cs="Arial"/>
          <w:color w:val="000000" w:themeColor="text1"/>
          <w:sz w:val="24"/>
          <w:szCs w:val="24"/>
        </w:rPr>
        <w:t>so that they would</w:t>
      </w:r>
      <w:r w:rsidR="00BB2BC3">
        <w:rPr>
          <w:rFonts w:ascii="Arial" w:hAnsi="Arial" w:cs="Arial"/>
          <w:color w:val="000000" w:themeColor="text1"/>
          <w:sz w:val="24"/>
          <w:szCs w:val="24"/>
        </w:rPr>
        <w:t xml:space="preserve"> provide information and answer questions from the committee. </w:t>
      </w:r>
      <w:r w:rsidR="00236BE8">
        <w:rPr>
          <w:rFonts w:ascii="Arial" w:hAnsi="Arial" w:cs="Arial"/>
          <w:color w:val="000000" w:themeColor="text1"/>
          <w:sz w:val="24"/>
          <w:szCs w:val="24"/>
        </w:rPr>
        <w:t>The</w:t>
      </w:r>
      <w:r w:rsidR="00A03EB5" w:rsidRPr="004D7A44">
        <w:rPr>
          <w:rFonts w:ascii="Arial" w:hAnsi="Arial" w:cs="Arial"/>
          <w:color w:val="000000" w:themeColor="text1"/>
          <w:sz w:val="24"/>
          <w:szCs w:val="24"/>
        </w:rPr>
        <w:t xml:space="preserve"> </w:t>
      </w:r>
      <w:r w:rsidR="00DA14C8" w:rsidRPr="004D7A44">
        <w:rPr>
          <w:rFonts w:ascii="Arial" w:hAnsi="Arial" w:cs="Arial"/>
          <w:color w:val="000000" w:themeColor="text1"/>
          <w:sz w:val="24"/>
          <w:szCs w:val="24"/>
        </w:rPr>
        <w:t xml:space="preserve">trio </w:t>
      </w:r>
      <w:r w:rsidR="00A03EB5" w:rsidRPr="004D7A44">
        <w:rPr>
          <w:rFonts w:ascii="Arial" w:hAnsi="Arial" w:cs="Arial"/>
          <w:color w:val="000000" w:themeColor="text1"/>
          <w:sz w:val="24"/>
          <w:szCs w:val="24"/>
        </w:rPr>
        <w:t xml:space="preserve">appeared before this </w:t>
      </w:r>
      <w:r w:rsidR="00C1324A">
        <w:rPr>
          <w:rFonts w:ascii="Arial" w:hAnsi="Arial" w:cs="Arial"/>
          <w:color w:val="000000" w:themeColor="text1"/>
          <w:sz w:val="24"/>
          <w:szCs w:val="24"/>
        </w:rPr>
        <w:t>c</w:t>
      </w:r>
      <w:r w:rsidR="00A03EB5" w:rsidRPr="004D7A44">
        <w:rPr>
          <w:rFonts w:ascii="Arial" w:hAnsi="Arial" w:cs="Arial"/>
          <w:color w:val="000000" w:themeColor="text1"/>
          <w:sz w:val="24"/>
          <w:szCs w:val="24"/>
        </w:rPr>
        <w:t>ommittee w</w:t>
      </w:r>
      <w:r w:rsidR="00751073">
        <w:rPr>
          <w:rFonts w:ascii="Arial" w:hAnsi="Arial" w:cs="Arial"/>
          <w:color w:val="000000" w:themeColor="text1"/>
          <w:sz w:val="24"/>
          <w:szCs w:val="24"/>
        </w:rPr>
        <w:t>h</w:t>
      </w:r>
      <w:r w:rsidR="00A03EB5" w:rsidRPr="004D7A44">
        <w:rPr>
          <w:rFonts w:ascii="Arial" w:hAnsi="Arial" w:cs="Arial"/>
          <w:color w:val="000000" w:themeColor="text1"/>
          <w:sz w:val="24"/>
          <w:szCs w:val="24"/>
        </w:rPr>
        <w:t>ere, he says, they</w:t>
      </w:r>
      <w:r w:rsidR="0040732B" w:rsidRPr="004D7A44">
        <w:rPr>
          <w:rFonts w:ascii="Arial" w:hAnsi="Arial" w:cs="Arial"/>
          <w:color w:val="000000" w:themeColor="text1"/>
          <w:sz w:val="24"/>
          <w:szCs w:val="24"/>
        </w:rPr>
        <w:t xml:space="preserve"> were</w:t>
      </w:r>
      <w:r w:rsidR="00A03EB5" w:rsidRPr="004D7A44">
        <w:rPr>
          <w:rFonts w:ascii="Arial" w:hAnsi="Arial" w:cs="Arial"/>
          <w:color w:val="000000" w:themeColor="text1"/>
          <w:sz w:val="24"/>
          <w:szCs w:val="24"/>
        </w:rPr>
        <w:t>:</w:t>
      </w:r>
      <w:r w:rsidR="0055047B" w:rsidRPr="004D7A44">
        <w:rPr>
          <w:rFonts w:ascii="Arial" w:hAnsi="Arial" w:cs="Arial"/>
          <w:color w:val="000000" w:themeColor="text1"/>
        </w:rPr>
        <w:t xml:space="preserve"> </w:t>
      </w:r>
    </w:p>
    <w:p w:rsidR="00AD27E9" w:rsidRPr="004D7A44" w:rsidRDefault="00AD27E9" w:rsidP="00BB428D">
      <w:pPr>
        <w:pStyle w:val="ListParagraph"/>
        <w:spacing w:after="0" w:line="480" w:lineRule="auto"/>
        <w:ind w:left="0"/>
        <w:jc w:val="both"/>
        <w:rPr>
          <w:rFonts w:ascii="Arial" w:hAnsi="Arial" w:cs="Arial"/>
          <w:color w:val="000000" w:themeColor="text1"/>
          <w:sz w:val="24"/>
          <w:szCs w:val="24"/>
        </w:rPr>
      </w:pPr>
    </w:p>
    <w:p w:rsidR="008C0979" w:rsidRPr="004D7A44" w:rsidRDefault="0055047B" w:rsidP="00AD1244">
      <w:pPr>
        <w:pStyle w:val="ListParagraph"/>
        <w:spacing w:after="0" w:line="360" w:lineRule="auto"/>
        <w:jc w:val="both"/>
        <w:rPr>
          <w:rFonts w:ascii="Arial" w:hAnsi="Arial" w:cs="Arial"/>
          <w:color w:val="000000" w:themeColor="text1"/>
        </w:rPr>
      </w:pPr>
      <w:r w:rsidRPr="004D7A44">
        <w:rPr>
          <w:rFonts w:ascii="Arial" w:hAnsi="Arial" w:cs="Arial"/>
          <w:color w:val="000000" w:themeColor="text1"/>
        </w:rPr>
        <w:t>'. . . . subjected to harassment and rebuke and we were accused of sowing di</w:t>
      </w:r>
      <w:r w:rsidR="00774D42" w:rsidRPr="004D7A44">
        <w:rPr>
          <w:rFonts w:ascii="Arial" w:hAnsi="Arial" w:cs="Arial"/>
          <w:color w:val="000000" w:themeColor="text1"/>
        </w:rPr>
        <w:t>sharmony</w:t>
      </w:r>
      <w:r w:rsidRPr="004D7A44">
        <w:rPr>
          <w:rFonts w:ascii="Arial" w:hAnsi="Arial" w:cs="Arial"/>
          <w:color w:val="000000" w:themeColor="text1"/>
        </w:rPr>
        <w:t xml:space="preserve"> in the community. The committee accused us that we did not respect the </w:t>
      </w:r>
      <w:r w:rsidR="006876F9" w:rsidRPr="004D7A44">
        <w:rPr>
          <w:rFonts w:ascii="Arial" w:hAnsi="Arial" w:cs="Arial"/>
          <w:color w:val="000000" w:themeColor="text1"/>
        </w:rPr>
        <w:t>Queen</w:t>
      </w:r>
      <w:r w:rsidRPr="004D7A44">
        <w:rPr>
          <w:rFonts w:ascii="Arial" w:hAnsi="Arial" w:cs="Arial"/>
          <w:color w:val="000000" w:themeColor="text1"/>
        </w:rPr>
        <w:t xml:space="preserve"> and that we were not supposed to call and attend a community meeting</w:t>
      </w:r>
      <w:r w:rsidR="00786579">
        <w:rPr>
          <w:rFonts w:ascii="Arial" w:hAnsi="Arial" w:cs="Arial"/>
          <w:color w:val="000000" w:themeColor="text1"/>
        </w:rPr>
        <w:t>.</w:t>
      </w:r>
      <w:r w:rsidRPr="004D7A44">
        <w:rPr>
          <w:rFonts w:ascii="Arial" w:hAnsi="Arial" w:cs="Arial"/>
          <w:color w:val="000000" w:themeColor="text1"/>
        </w:rPr>
        <w:t>'</w:t>
      </w:r>
    </w:p>
    <w:p w:rsidR="0055047B" w:rsidRPr="004D7A44" w:rsidRDefault="0055047B" w:rsidP="00BB428D">
      <w:pPr>
        <w:pStyle w:val="ListParagraph"/>
        <w:spacing w:after="0" w:line="480" w:lineRule="auto"/>
        <w:ind w:left="0"/>
        <w:jc w:val="both"/>
        <w:rPr>
          <w:rFonts w:ascii="Arial" w:hAnsi="Arial" w:cs="Arial"/>
          <w:color w:val="000000" w:themeColor="text1"/>
          <w:sz w:val="24"/>
          <w:szCs w:val="24"/>
        </w:rPr>
      </w:pPr>
    </w:p>
    <w:p w:rsidR="004D7A44" w:rsidRPr="004D7A44" w:rsidRDefault="00DC4534"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t>The</w:t>
      </w:r>
      <w:r w:rsidR="00DE74F6">
        <w:rPr>
          <w:rFonts w:ascii="Arial" w:hAnsi="Arial" w:cs="Arial"/>
          <w:color w:val="000000" w:themeColor="text1"/>
          <w:sz w:val="24"/>
          <w:szCs w:val="24"/>
        </w:rPr>
        <w:t xml:space="preserve"> respondents</w:t>
      </w:r>
      <w:r w:rsidRPr="004D7A44">
        <w:rPr>
          <w:rFonts w:ascii="Arial" w:hAnsi="Arial" w:cs="Arial"/>
          <w:color w:val="000000" w:themeColor="text1"/>
          <w:sz w:val="24"/>
          <w:szCs w:val="24"/>
        </w:rPr>
        <w:t xml:space="preserve"> were then presented by the </w:t>
      </w:r>
      <w:r w:rsidR="00DE74F6">
        <w:rPr>
          <w:rFonts w:ascii="Arial" w:hAnsi="Arial" w:cs="Arial"/>
          <w:color w:val="000000" w:themeColor="text1"/>
          <w:sz w:val="24"/>
          <w:szCs w:val="24"/>
        </w:rPr>
        <w:t>c</w:t>
      </w:r>
      <w:r w:rsidRPr="004D7A44">
        <w:rPr>
          <w:rFonts w:ascii="Arial" w:hAnsi="Arial" w:cs="Arial"/>
          <w:color w:val="000000" w:themeColor="text1"/>
          <w:sz w:val="24"/>
          <w:szCs w:val="24"/>
        </w:rPr>
        <w:t>ommittee on 15 August 201</w:t>
      </w:r>
      <w:r w:rsidR="00AD27E9" w:rsidRPr="004D7A44">
        <w:rPr>
          <w:rFonts w:ascii="Arial" w:hAnsi="Arial" w:cs="Arial"/>
          <w:color w:val="000000" w:themeColor="text1"/>
          <w:sz w:val="24"/>
          <w:szCs w:val="24"/>
        </w:rPr>
        <w:t>1 with</w:t>
      </w:r>
      <w:r w:rsidRPr="004D7A44">
        <w:rPr>
          <w:rFonts w:ascii="Arial" w:hAnsi="Arial" w:cs="Arial"/>
          <w:color w:val="000000" w:themeColor="text1"/>
          <w:sz w:val="24"/>
          <w:szCs w:val="24"/>
        </w:rPr>
        <w:t xml:space="preserve"> </w:t>
      </w:r>
      <w:r w:rsidR="00DE74F6">
        <w:rPr>
          <w:rFonts w:ascii="Arial" w:hAnsi="Arial" w:cs="Arial"/>
          <w:color w:val="000000" w:themeColor="text1"/>
          <w:sz w:val="24"/>
          <w:szCs w:val="24"/>
        </w:rPr>
        <w:t>its</w:t>
      </w:r>
      <w:r w:rsidR="00236BE8">
        <w:rPr>
          <w:rFonts w:ascii="Arial" w:hAnsi="Arial" w:cs="Arial"/>
          <w:color w:val="000000" w:themeColor="text1"/>
          <w:sz w:val="24"/>
          <w:szCs w:val="24"/>
        </w:rPr>
        <w:t xml:space="preserve"> ‘findings’ which </w:t>
      </w:r>
      <w:r w:rsidRPr="004D7A44">
        <w:rPr>
          <w:rFonts w:ascii="Arial" w:hAnsi="Arial" w:cs="Arial"/>
          <w:color w:val="000000" w:themeColor="text1"/>
          <w:sz w:val="24"/>
          <w:szCs w:val="24"/>
        </w:rPr>
        <w:t xml:space="preserve">purported to be </w:t>
      </w:r>
      <w:r w:rsidR="00236BE8">
        <w:rPr>
          <w:rFonts w:ascii="Arial" w:hAnsi="Arial" w:cs="Arial"/>
          <w:color w:val="000000" w:themeColor="text1"/>
          <w:sz w:val="24"/>
          <w:szCs w:val="24"/>
        </w:rPr>
        <w:t xml:space="preserve">the </w:t>
      </w:r>
      <w:r w:rsidRPr="004D7A44">
        <w:rPr>
          <w:rFonts w:ascii="Arial" w:hAnsi="Arial" w:cs="Arial"/>
          <w:color w:val="000000" w:themeColor="text1"/>
          <w:sz w:val="24"/>
          <w:szCs w:val="24"/>
        </w:rPr>
        <w:t>rec</w:t>
      </w:r>
      <w:r w:rsidR="00236BE8">
        <w:rPr>
          <w:rFonts w:ascii="Arial" w:hAnsi="Arial" w:cs="Arial"/>
          <w:color w:val="000000" w:themeColor="text1"/>
          <w:sz w:val="24"/>
          <w:szCs w:val="24"/>
        </w:rPr>
        <w:t>ord of the hearing at which the</w:t>
      </w:r>
      <w:r w:rsidR="00C1324A">
        <w:rPr>
          <w:rFonts w:ascii="Arial" w:hAnsi="Arial" w:cs="Arial"/>
          <w:color w:val="000000" w:themeColor="text1"/>
          <w:sz w:val="24"/>
          <w:szCs w:val="24"/>
        </w:rPr>
        <w:t>y</w:t>
      </w:r>
      <w:r w:rsidR="00236BE8">
        <w:rPr>
          <w:rFonts w:ascii="Arial" w:hAnsi="Arial" w:cs="Arial"/>
          <w:color w:val="000000" w:themeColor="text1"/>
          <w:sz w:val="24"/>
          <w:szCs w:val="24"/>
        </w:rPr>
        <w:t xml:space="preserve"> </w:t>
      </w:r>
      <w:r w:rsidRPr="004D7A44">
        <w:rPr>
          <w:rFonts w:ascii="Arial" w:hAnsi="Arial" w:cs="Arial"/>
          <w:color w:val="000000" w:themeColor="text1"/>
          <w:sz w:val="24"/>
          <w:szCs w:val="24"/>
        </w:rPr>
        <w:t>appeared</w:t>
      </w:r>
      <w:r w:rsidR="000D14BB" w:rsidRPr="004D7A44">
        <w:rPr>
          <w:rFonts w:ascii="Arial" w:hAnsi="Arial" w:cs="Arial"/>
          <w:color w:val="000000" w:themeColor="text1"/>
          <w:sz w:val="24"/>
          <w:szCs w:val="24"/>
        </w:rPr>
        <w:t>.</w:t>
      </w:r>
      <w:r w:rsidR="00DA14C8" w:rsidRPr="004D7A44">
        <w:rPr>
          <w:rFonts w:ascii="Arial" w:hAnsi="Arial" w:cs="Arial"/>
          <w:color w:val="000000" w:themeColor="text1"/>
          <w:sz w:val="24"/>
          <w:szCs w:val="24"/>
        </w:rPr>
        <w:t xml:space="preserve"> </w:t>
      </w:r>
      <w:r w:rsidR="00236BE8">
        <w:rPr>
          <w:rFonts w:ascii="Arial" w:hAnsi="Arial" w:cs="Arial"/>
          <w:color w:val="000000" w:themeColor="text1"/>
          <w:sz w:val="24"/>
          <w:szCs w:val="24"/>
        </w:rPr>
        <w:t>Briefly, the findings record that</w:t>
      </w:r>
      <w:r w:rsidR="00430499">
        <w:rPr>
          <w:rFonts w:ascii="Arial" w:hAnsi="Arial" w:cs="Arial"/>
          <w:color w:val="000000" w:themeColor="text1"/>
          <w:sz w:val="24"/>
          <w:szCs w:val="24"/>
        </w:rPr>
        <w:t xml:space="preserve"> the respondents were guilty of</w:t>
      </w:r>
      <w:r w:rsidR="00236BE8">
        <w:rPr>
          <w:rFonts w:ascii="Arial" w:hAnsi="Arial" w:cs="Arial"/>
          <w:color w:val="000000" w:themeColor="text1"/>
          <w:sz w:val="24"/>
          <w:szCs w:val="24"/>
        </w:rPr>
        <w:t>, amongst other, conducting meetings with members of the community outside their areas of jurisdiction concerning matters of the O</w:t>
      </w:r>
      <w:r w:rsidR="00751073">
        <w:rPr>
          <w:rFonts w:ascii="Arial" w:hAnsi="Arial" w:cs="Arial"/>
          <w:color w:val="000000" w:themeColor="text1"/>
          <w:sz w:val="24"/>
          <w:szCs w:val="24"/>
        </w:rPr>
        <w:t>va</w:t>
      </w:r>
      <w:r w:rsidR="00236BE8">
        <w:rPr>
          <w:rFonts w:ascii="Arial" w:hAnsi="Arial" w:cs="Arial"/>
          <w:color w:val="000000" w:themeColor="text1"/>
          <w:sz w:val="24"/>
          <w:szCs w:val="24"/>
        </w:rPr>
        <w:t xml:space="preserve">kwanyama and at times of rest (onghata) contrary to tribal law and against the wishes of the queen. That they sought the intervention in the </w:t>
      </w:r>
      <w:r w:rsidR="00D03548">
        <w:rPr>
          <w:rFonts w:ascii="Arial" w:hAnsi="Arial" w:cs="Arial"/>
          <w:color w:val="000000" w:themeColor="text1"/>
          <w:sz w:val="24"/>
          <w:szCs w:val="24"/>
        </w:rPr>
        <w:t>traditional matters of the Ovakwanyama by ministers who bore no political responsibility for traditional matters.</w:t>
      </w:r>
    </w:p>
    <w:p w:rsidR="000D14BB" w:rsidRPr="004D7A44" w:rsidRDefault="000D14BB" w:rsidP="00FF0AD3">
      <w:pPr>
        <w:pStyle w:val="ListParagraph"/>
        <w:spacing w:after="0" w:line="480" w:lineRule="auto"/>
        <w:ind w:left="0"/>
        <w:jc w:val="both"/>
        <w:rPr>
          <w:rFonts w:ascii="Arial" w:hAnsi="Arial" w:cs="Arial"/>
          <w:b/>
          <w:color w:val="000000" w:themeColor="text1"/>
          <w:sz w:val="24"/>
          <w:szCs w:val="24"/>
        </w:rPr>
      </w:pPr>
    </w:p>
    <w:p w:rsidR="000D14BB" w:rsidRPr="004D7A44" w:rsidRDefault="008B239B"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Upon being presented with the </w:t>
      </w:r>
      <w:r w:rsidR="00DE74F6">
        <w:rPr>
          <w:rFonts w:ascii="Arial" w:hAnsi="Arial" w:cs="Arial"/>
          <w:color w:val="000000" w:themeColor="text1"/>
          <w:sz w:val="24"/>
          <w:szCs w:val="24"/>
        </w:rPr>
        <w:t>c</w:t>
      </w:r>
      <w:r>
        <w:rPr>
          <w:rFonts w:ascii="Arial" w:hAnsi="Arial" w:cs="Arial"/>
          <w:color w:val="000000" w:themeColor="text1"/>
          <w:sz w:val="24"/>
          <w:szCs w:val="24"/>
        </w:rPr>
        <w:t xml:space="preserve">ommittee’s findings, the first appellant by letter under her hand </w:t>
      </w:r>
      <w:r w:rsidR="00C1324A">
        <w:rPr>
          <w:rFonts w:ascii="Arial" w:hAnsi="Arial" w:cs="Arial"/>
          <w:color w:val="000000" w:themeColor="text1"/>
          <w:sz w:val="24"/>
          <w:szCs w:val="24"/>
        </w:rPr>
        <w:t xml:space="preserve">dated 15 August 2011 </w:t>
      </w:r>
      <w:r>
        <w:rPr>
          <w:rFonts w:ascii="Arial" w:hAnsi="Arial" w:cs="Arial"/>
          <w:color w:val="000000" w:themeColor="text1"/>
          <w:sz w:val="24"/>
          <w:szCs w:val="24"/>
        </w:rPr>
        <w:t xml:space="preserve">dismissed the respondents as traditional councillors purporting to do so under the provisions of the Act. </w:t>
      </w:r>
    </w:p>
    <w:p w:rsidR="009F2E4E" w:rsidRPr="004D7A44" w:rsidRDefault="009F2E4E" w:rsidP="00846736">
      <w:pPr>
        <w:pStyle w:val="ListParagraph"/>
        <w:spacing w:after="0" w:line="480" w:lineRule="auto"/>
        <w:ind w:left="0"/>
        <w:jc w:val="both"/>
        <w:rPr>
          <w:rFonts w:ascii="Arial" w:hAnsi="Arial" w:cs="Arial"/>
          <w:color w:val="000000" w:themeColor="text1"/>
          <w:sz w:val="24"/>
          <w:szCs w:val="24"/>
        </w:rPr>
      </w:pPr>
    </w:p>
    <w:p w:rsidR="008F345B" w:rsidRPr="00C1324A" w:rsidRDefault="008F345B" w:rsidP="00846736">
      <w:pPr>
        <w:pStyle w:val="ListParagraph"/>
        <w:spacing w:after="0" w:line="480" w:lineRule="auto"/>
        <w:ind w:left="0"/>
        <w:jc w:val="both"/>
        <w:rPr>
          <w:rFonts w:ascii="Arial" w:hAnsi="Arial" w:cs="Arial"/>
          <w:color w:val="000000" w:themeColor="text1"/>
          <w:sz w:val="24"/>
          <w:szCs w:val="24"/>
        </w:rPr>
      </w:pPr>
      <w:r w:rsidRPr="004D7A44">
        <w:rPr>
          <w:rFonts w:ascii="Arial" w:hAnsi="Arial" w:cs="Arial"/>
          <w:i/>
          <w:color w:val="000000" w:themeColor="text1"/>
          <w:sz w:val="24"/>
          <w:szCs w:val="24"/>
        </w:rPr>
        <w:t>Review grounds</w:t>
      </w:r>
      <w:r w:rsidR="006F7A8F" w:rsidRPr="004D7A44">
        <w:rPr>
          <w:rFonts w:ascii="Arial" w:hAnsi="Arial" w:cs="Arial"/>
          <w:i/>
          <w:color w:val="000000" w:themeColor="text1"/>
          <w:sz w:val="24"/>
          <w:szCs w:val="24"/>
        </w:rPr>
        <w:t xml:space="preserve"> in the founding affidavit</w:t>
      </w:r>
    </w:p>
    <w:p w:rsidR="009E3A8A" w:rsidRPr="004D7A44" w:rsidRDefault="00D473E4"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is alleged by the first respondent that </w:t>
      </w:r>
      <w:r w:rsidR="008F345B" w:rsidRPr="004D7A44">
        <w:rPr>
          <w:rFonts w:ascii="Arial" w:hAnsi="Arial" w:cs="Arial"/>
          <w:color w:val="000000" w:themeColor="text1"/>
          <w:sz w:val="24"/>
          <w:szCs w:val="24"/>
        </w:rPr>
        <w:t>t</w:t>
      </w:r>
      <w:r w:rsidR="009E3A8A" w:rsidRPr="004D7A44">
        <w:rPr>
          <w:rFonts w:ascii="Arial" w:hAnsi="Arial" w:cs="Arial"/>
          <w:color w:val="000000" w:themeColor="text1"/>
          <w:sz w:val="24"/>
          <w:szCs w:val="24"/>
        </w:rPr>
        <w:t>he decisions</w:t>
      </w:r>
      <w:r w:rsidR="006F33F2" w:rsidRPr="004D7A44">
        <w:rPr>
          <w:rFonts w:ascii="Arial" w:hAnsi="Arial" w:cs="Arial"/>
          <w:color w:val="000000" w:themeColor="text1"/>
          <w:sz w:val="24"/>
          <w:szCs w:val="24"/>
        </w:rPr>
        <w:t xml:space="preserve"> </w:t>
      </w:r>
      <w:r w:rsidR="008F345B" w:rsidRPr="004D7A44">
        <w:rPr>
          <w:rFonts w:ascii="Arial" w:hAnsi="Arial" w:cs="Arial"/>
          <w:color w:val="000000" w:themeColor="text1"/>
          <w:sz w:val="24"/>
          <w:szCs w:val="24"/>
        </w:rPr>
        <w:t xml:space="preserve">taken by the first </w:t>
      </w:r>
      <w:r w:rsidR="009958F2">
        <w:rPr>
          <w:rFonts w:ascii="Arial" w:hAnsi="Arial" w:cs="Arial"/>
          <w:color w:val="000000" w:themeColor="text1"/>
          <w:sz w:val="24"/>
          <w:szCs w:val="24"/>
        </w:rPr>
        <w:t>appellant</w:t>
      </w:r>
      <w:r w:rsidR="009958F2" w:rsidRPr="004D7A44">
        <w:rPr>
          <w:rFonts w:ascii="Arial" w:hAnsi="Arial" w:cs="Arial"/>
          <w:color w:val="000000" w:themeColor="text1"/>
          <w:sz w:val="24"/>
          <w:szCs w:val="24"/>
        </w:rPr>
        <w:t xml:space="preserve"> </w:t>
      </w:r>
      <w:r w:rsidR="006F33F2" w:rsidRPr="004D7A44">
        <w:rPr>
          <w:rFonts w:ascii="Arial" w:hAnsi="Arial" w:cs="Arial"/>
          <w:color w:val="000000" w:themeColor="text1"/>
          <w:sz w:val="24"/>
          <w:szCs w:val="24"/>
        </w:rPr>
        <w:t>are unreasonable and were made capriciously</w:t>
      </w:r>
      <w:r>
        <w:rPr>
          <w:rFonts w:ascii="Arial" w:hAnsi="Arial" w:cs="Arial"/>
          <w:color w:val="000000" w:themeColor="text1"/>
          <w:sz w:val="24"/>
          <w:szCs w:val="24"/>
        </w:rPr>
        <w:t xml:space="preserve">. In particular, the </w:t>
      </w:r>
      <w:r w:rsidR="00A54527" w:rsidRPr="004D7A44">
        <w:rPr>
          <w:rFonts w:ascii="Arial" w:hAnsi="Arial" w:cs="Arial"/>
          <w:color w:val="000000" w:themeColor="text1"/>
          <w:sz w:val="24"/>
          <w:szCs w:val="24"/>
        </w:rPr>
        <w:t xml:space="preserve">decisions to suspend and eventually terminate their services 'has no lawful authority in law'. </w:t>
      </w:r>
      <w:r w:rsidR="00F968D8" w:rsidRPr="004D7A44">
        <w:rPr>
          <w:rFonts w:ascii="Arial" w:hAnsi="Arial" w:cs="Arial"/>
          <w:color w:val="000000" w:themeColor="text1"/>
          <w:sz w:val="24"/>
          <w:szCs w:val="24"/>
        </w:rPr>
        <w:t xml:space="preserve">There was no lawful authority to suspend him </w:t>
      </w:r>
      <w:r w:rsidR="00A43B09">
        <w:rPr>
          <w:rFonts w:ascii="Arial" w:hAnsi="Arial" w:cs="Arial"/>
          <w:color w:val="000000" w:themeColor="text1"/>
          <w:sz w:val="24"/>
          <w:szCs w:val="24"/>
        </w:rPr>
        <w:t>‘</w:t>
      </w:r>
      <w:r w:rsidR="00F968D8" w:rsidRPr="004D7A44">
        <w:rPr>
          <w:rFonts w:ascii="Arial" w:hAnsi="Arial" w:cs="Arial"/>
          <w:color w:val="000000" w:themeColor="text1"/>
          <w:sz w:val="24"/>
          <w:szCs w:val="24"/>
        </w:rPr>
        <w:t>indefinitely</w:t>
      </w:r>
      <w:r w:rsidR="00A43B09">
        <w:rPr>
          <w:rFonts w:ascii="Arial" w:hAnsi="Arial" w:cs="Arial"/>
          <w:color w:val="000000" w:themeColor="text1"/>
          <w:sz w:val="24"/>
          <w:szCs w:val="24"/>
        </w:rPr>
        <w:t>’</w:t>
      </w:r>
      <w:r w:rsidR="00AD1244">
        <w:rPr>
          <w:rFonts w:ascii="Arial" w:hAnsi="Arial" w:cs="Arial"/>
          <w:color w:val="000000" w:themeColor="text1"/>
          <w:sz w:val="24"/>
          <w:szCs w:val="24"/>
        </w:rPr>
        <w:t xml:space="preserve">. </w:t>
      </w:r>
      <w:r w:rsidR="00F968D8" w:rsidRPr="004D7A44">
        <w:rPr>
          <w:rFonts w:ascii="Arial" w:hAnsi="Arial" w:cs="Arial"/>
          <w:color w:val="000000" w:themeColor="text1"/>
          <w:sz w:val="24"/>
          <w:szCs w:val="24"/>
        </w:rPr>
        <w:t xml:space="preserve">An </w:t>
      </w:r>
      <w:r w:rsidR="0031774C">
        <w:rPr>
          <w:rFonts w:ascii="Arial" w:hAnsi="Arial" w:cs="Arial"/>
          <w:color w:val="000000" w:themeColor="text1"/>
          <w:sz w:val="24"/>
          <w:szCs w:val="24"/>
        </w:rPr>
        <w:t>‘</w:t>
      </w:r>
      <w:r w:rsidR="00F968D8" w:rsidRPr="004D7A44">
        <w:rPr>
          <w:rFonts w:ascii="Arial" w:hAnsi="Arial" w:cs="Arial"/>
          <w:color w:val="000000" w:themeColor="text1"/>
          <w:sz w:val="24"/>
          <w:szCs w:val="24"/>
        </w:rPr>
        <w:t>indefinite</w:t>
      </w:r>
      <w:r w:rsidR="0031774C">
        <w:rPr>
          <w:rFonts w:ascii="Arial" w:hAnsi="Arial" w:cs="Arial"/>
          <w:color w:val="000000" w:themeColor="text1"/>
          <w:sz w:val="24"/>
          <w:szCs w:val="24"/>
        </w:rPr>
        <w:t>’</w:t>
      </w:r>
      <w:r w:rsidR="00F968D8" w:rsidRPr="004D7A44">
        <w:rPr>
          <w:rFonts w:ascii="Arial" w:hAnsi="Arial" w:cs="Arial"/>
          <w:color w:val="000000" w:themeColor="text1"/>
          <w:sz w:val="24"/>
          <w:szCs w:val="24"/>
        </w:rPr>
        <w:t xml:space="preserve"> suspension is 'absurd and unreasonable' as it d</w:t>
      </w:r>
      <w:r w:rsidR="00DE74F6">
        <w:rPr>
          <w:rFonts w:ascii="Arial" w:hAnsi="Arial" w:cs="Arial"/>
          <w:color w:val="000000" w:themeColor="text1"/>
          <w:sz w:val="24"/>
          <w:szCs w:val="24"/>
        </w:rPr>
        <w:t>id</w:t>
      </w:r>
      <w:r w:rsidR="00F968D8" w:rsidRPr="004D7A44">
        <w:rPr>
          <w:rFonts w:ascii="Arial" w:hAnsi="Arial" w:cs="Arial"/>
          <w:color w:val="000000" w:themeColor="text1"/>
          <w:sz w:val="24"/>
          <w:szCs w:val="24"/>
        </w:rPr>
        <w:t xml:space="preserve"> not inform him whether he will be reinstated or not, and when.  It is alleged that </w:t>
      </w:r>
      <w:r w:rsidR="008F345B" w:rsidRPr="004D7A44">
        <w:rPr>
          <w:rFonts w:ascii="Arial" w:hAnsi="Arial" w:cs="Arial"/>
          <w:color w:val="000000" w:themeColor="text1"/>
          <w:sz w:val="24"/>
          <w:szCs w:val="24"/>
        </w:rPr>
        <w:t>t</w:t>
      </w:r>
      <w:r w:rsidR="00A54527" w:rsidRPr="004D7A44">
        <w:rPr>
          <w:rFonts w:ascii="Arial" w:hAnsi="Arial" w:cs="Arial"/>
          <w:color w:val="000000" w:themeColor="text1"/>
          <w:sz w:val="24"/>
          <w:szCs w:val="24"/>
        </w:rPr>
        <w:t xml:space="preserve">he decisions were taken to 'protect </w:t>
      </w:r>
      <w:r w:rsidR="00AA0D7F" w:rsidRPr="004D7A44">
        <w:rPr>
          <w:rFonts w:ascii="Arial" w:hAnsi="Arial" w:cs="Arial"/>
          <w:color w:val="000000" w:themeColor="text1"/>
          <w:sz w:val="24"/>
          <w:szCs w:val="24"/>
        </w:rPr>
        <w:t>some individuals that are close to</w:t>
      </w:r>
      <w:r w:rsidR="006F33F2" w:rsidRPr="004D7A44">
        <w:rPr>
          <w:rFonts w:ascii="Arial" w:hAnsi="Arial" w:cs="Arial"/>
          <w:color w:val="000000" w:themeColor="text1"/>
          <w:sz w:val="24"/>
          <w:szCs w:val="24"/>
        </w:rPr>
        <w:t>'</w:t>
      </w:r>
      <w:r w:rsidR="00AA0D7F" w:rsidRPr="004D7A44">
        <w:rPr>
          <w:rFonts w:ascii="Arial" w:hAnsi="Arial" w:cs="Arial"/>
          <w:color w:val="000000" w:themeColor="text1"/>
          <w:sz w:val="24"/>
          <w:szCs w:val="24"/>
        </w:rPr>
        <w:t xml:space="preserve"> </w:t>
      </w:r>
      <w:r w:rsidR="006F33F2" w:rsidRPr="004D7A44">
        <w:rPr>
          <w:rFonts w:ascii="Arial" w:hAnsi="Arial" w:cs="Arial"/>
          <w:color w:val="000000" w:themeColor="text1"/>
          <w:sz w:val="24"/>
          <w:szCs w:val="24"/>
        </w:rPr>
        <w:t xml:space="preserve">the </w:t>
      </w:r>
      <w:r w:rsidR="00F968D8" w:rsidRPr="004D7A44">
        <w:rPr>
          <w:rFonts w:ascii="Arial" w:hAnsi="Arial" w:cs="Arial"/>
          <w:color w:val="000000" w:themeColor="text1"/>
          <w:sz w:val="24"/>
          <w:szCs w:val="24"/>
        </w:rPr>
        <w:t xml:space="preserve">first appellant. It is further alleged that the </w:t>
      </w:r>
      <w:r w:rsidR="00AA0D7F" w:rsidRPr="004D7A44">
        <w:rPr>
          <w:rFonts w:ascii="Arial" w:hAnsi="Arial" w:cs="Arial"/>
          <w:color w:val="000000" w:themeColor="text1"/>
          <w:sz w:val="24"/>
          <w:szCs w:val="24"/>
        </w:rPr>
        <w:t xml:space="preserve">decisions were taken to 'victimise' them because they </w:t>
      </w:r>
      <w:r w:rsidR="008F345B" w:rsidRPr="004D7A44">
        <w:rPr>
          <w:rFonts w:ascii="Arial" w:hAnsi="Arial" w:cs="Arial"/>
          <w:color w:val="000000" w:themeColor="text1"/>
          <w:sz w:val="24"/>
          <w:szCs w:val="24"/>
        </w:rPr>
        <w:t>exposed</w:t>
      </w:r>
      <w:r w:rsidR="00AA0D7F" w:rsidRPr="004D7A44">
        <w:rPr>
          <w:rFonts w:ascii="Arial" w:hAnsi="Arial" w:cs="Arial"/>
          <w:color w:val="000000" w:themeColor="text1"/>
          <w:sz w:val="24"/>
          <w:szCs w:val="24"/>
        </w:rPr>
        <w:t xml:space="preserve"> the irregularities concerning the adm</w:t>
      </w:r>
      <w:r w:rsidR="00493804">
        <w:rPr>
          <w:rFonts w:ascii="Arial" w:hAnsi="Arial" w:cs="Arial"/>
          <w:color w:val="000000" w:themeColor="text1"/>
          <w:sz w:val="24"/>
          <w:szCs w:val="24"/>
        </w:rPr>
        <w:t xml:space="preserve">inistration of the Trust Fund. </w:t>
      </w:r>
      <w:r w:rsidR="008F345B" w:rsidRPr="004D7A44">
        <w:rPr>
          <w:rFonts w:ascii="Arial" w:hAnsi="Arial" w:cs="Arial"/>
          <w:color w:val="000000" w:themeColor="text1"/>
          <w:sz w:val="24"/>
          <w:szCs w:val="24"/>
        </w:rPr>
        <w:t>They assert further that t</w:t>
      </w:r>
      <w:r w:rsidR="00AA0D7F" w:rsidRPr="004D7A44">
        <w:rPr>
          <w:rFonts w:ascii="Arial" w:hAnsi="Arial" w:cs="Arial"/>
          <w:color w:val="000000" w:themeColor="text1"/>
          <w:sz w:val="24"/>
          <w:szCs w:val="24"/>
        </w:rPr>
        <w:t xml:space="preserve">he </w:t>
      </w:r>
      <w:r w:rsidR="00F968D8" w:rsidRPr="004D7A44">
        <w:rPr>
          <w:rFonts w:ascii="Arial" w:hAnsi="Arial" w:cs="Arial"/>
          <w:color w:val="000000" w:themeColor="text1"/>
          <w:sz w:val="24"/>
          <w:szCs w:val="24"/>
        </w:rPr>
        <w:t xml:space="preserve">first appellant </w:t>
      </w:r>
      <w:r w:rsidR="00AA0D7F" w:rsidRPr="004D7A44">
        <w:rPr>
          <w:rFonts w:ascii="Arial" w:hAnsi="Arial" w:cs="Arial"/>
          <w:color w:val="000000" w:themeColor="text1"/>
          <w:sz w:val="24"/>
          <w:szCs w:val="24"/>
        </w:rPr>
        <w:t xml:space="preserve">failed to comply with Art 18 of the Constitution </w:t>
      </w:r>
      <w:r w:rsidR="00CB2CC3" w:rsidRPr="004D7A44">
        <w:rPr>
          <w:rFonts w:ascii="Arial" w:hAnsi="Arial" w:cs="Arial"/>
          <w:color w:val="000000" w:themeColor="text1"/>
          <w:sz w:val="24"/>
          <w:szCs w:val="24"/>
        </w:rPr>
        <w:t xml:space="preserve">by </w:t>
      </w:r>
      <w:r w:rsidR="00AA0D7F" w:rsidRPr="004D7A44">
        <w:rPr>
          <w:rFonts w:ascii="Arial" w:hAnsi="Arial" w:cs="Arial"/>
          <w:color w:val="000000" w:themeColor="text1"/>
          <w:sz w:val="24"/>
          <w:szCs w:val="24"/>
        </w:rPr>
        <w:t xml:space="preserve">denying them their right to administrative </w:t>
      </w:r>
      <w:r w:rsidR="00AA0D7F" w:rsidRPr="004D7A44">
        <w:rPr>
          <w:rFonts w:ascii="Arial" w:hAnsi="Arial" w:cs="Arial"/>
          <w:color w:val="000000" w:themeColor="text1"/>
          <w:sz w:val="24"/>
          <w:szCs w:val="24"/>
        </w:rPr>
        <w:lastRenderedPageBreak/>
        <w:t xml:space="preserve">justice.  </w:t>
      </w:r>
      <w:r w:rsidR="00A43B09">
        <w:rPr>
          <w:rFonts w:ascii="Arial" w:hAnsi="Arial" w:cs="Arial"/>
          <w:color w:val="000000" w:themeColor="text1"/>
          <w:sz w:val="24"/>
          <w:szCs w:val="24"/>
        </w:rPr>
        <w:t xml:space="preserve">In particular that </w:t>
      </w:r>
      <w:r w:rsidR="00F968D8" w:rsidRPr="004D7A44">
        <w:rPr>
          <w:rFonts w:ascii="Arial" w:hAnsi="Arial" w:cs="Arial"/>
          <w:color w:val="000000" w:themeColor="text1"/>
          <w:sz w:val="24"/>
          <w:szCs w:val="24"/>
        </w:rPr>
        <w:t>that the first appellant denied the</w:t>
      </w:r>
      <w:r w:rsidR="00695D66">
        <w:rPr>
          <w:rFonts w:ascii="Arial" w:hAnsi="Arial" w:cs="Arial"/>
          <w:color w:val="000000" w:themeColor="text1"/>
          <w:sz w:val="24"/>
          <w:szCs w:val="24"/>
        </w:rPr>
        <w:t>m</w:t>
      </w:r>
      <w:r w:rsidR="00F968D8" w:rsidRPr="004D7A44">
        <w:rPr>
          <w:rFonts w:ascii="Arial" w:hAnsi="Arial" w:cs="Arial"/>
          <w:color w:val="000000" w:themeColor="text1"/>
          <w:sz w:val="24"/>
          <w:szCs w:val="24"/>
        </w:rPr>
        <w:t xml:space="preserve"> </w:t>
      </w:r>
      <w:r w:rsidR="00AA0D7F" w:rsidRPr="004D7A44">
        <w:rPr>
          <w:rFonts w:ascii="Arial" w:hAnsi="Arial" w:cs="Arial"/>
          <w:i/>
          <w:color w:val="000000" w:themeColor="text1"/>
          <w:sz w:val="24"/>
          <w:szCs w:val="24"/>
        </w:rPr>
        <w:t>audi</w:t>
      </w:r>
      <w:r w:rsidR="00AA0D7F" w:rsidRPr="004D7A44">
        <w:rPr>
          <w:rFonts w:ascii="Arial" w:hAnsi="Arial" w:cs="Arial"/>
          <w:color w:val="000000" w:themeColor="text1"/>
          <w:sz w:val="24"/>
          <w:szCs w:val="24"/>
        </w:rPr>
        <w:t xml:space="preserve"> </w:t>
      </w:r>
      <w:r w:rsidR="009C6374" w:rsidRPr="004D7A44">
        <w:rPr>
          <w:rFonts w:ascii="Arial" w:hAnsi="Arial" w:cs="Arial"/>
          <w:color w:val="000000" w:themeColor="text1"/>
          <w:sz w:val="24"/>
          <w:szCs w:val="24"/>
        </w:rPr>
        <w:t>be</w:t>
      </w:r>
      <w:r w:rsidR="009C6374">
        <w:rPr>
          <w:rFonts w:ascii="Arial" w:hAnsi="Arial" w:cs="Arial"/>
          <w:color w:val="000000" w:themeColor="text1"/>
          <w:sz w:val="24"/>
          <w:szCs w:val="24"/>
        </w:rPr>
        <w:t xml:space="preserve">fore </w:t>
      </w:r>
      <w:r w:rsidR="009C6374" w:rsidRPr="004D7A44">
        <w:rPr>
          <w:rFonts w:ascii="Arial" w:hAnsi="Arial" w:cs="Arial"/>
          <w:color w:val="000000" w:themeColor="text1"/>
          <w:sz w:val="24"/>
          <w:szCs w:val="24"/>
        </w:rPr>
        <w:t>suspension</w:t>
      </w:r>
      <w:r w:rsidR="00B31F06" w:rsidRPr="004D7A44">
        <w:rPr>
          <w:rFonts w:ascii="Arial" w:hAnsi="Arial" w:cs="Arial"/>
          <w:color w:val="000000" w:themeColor="text1"/>
          <w:sz w:val="24"/>
          <w:szCs w:val="24"/>
        </w:rPr>
        <w:t xml:space="preserve"> and dismissal</w:t>
      </w:r>
      <w:r w:rsidR="00AA0D7F" w:rsidRPr="004D7A44">
        <w:rPr>
          <w:rFonts w:ascii="Arial" w:hAnsi="Arial" w:cs="Arial"/>
          <w:color w:val="000000" w:themeColor="text1"/>
          <w:sz w:val="24"/>
          <w:szCs w:val="24"/>
        </w:rPr>
        <w:t xml:space="preserve">.  </w:t>
      </w:r>
      <w:r w:rsidR="00F968D8" w:rsidRPr="004D7A44">
        <w:rPr>
          <w:rFonts w:ascii="Arial" w:hAnsi="Arial" w:cs="Arial"/>
          <w:color w:val="000000" w:themeColor="text1"/>
          <w:sz w:val="24"/>
          <w:szCs w:val="24"/>
        </w:rPr>
        <w:t>In regard to the suspension</w:t>
      </w:r>
      <w:r w:rsidR="00695D66">
        <w:rPr>
          <w:rFonts w:ascii="Arial" w:hAnsi="Arial" w:cs="Arial"/>
          <w:color w:val="000000" w:themeColor="text1"/>
          <w:sz w:val="24"/>
          <w:szCs w:val="24"/>
        </w:rPr>
        <w:t xml:space="preserve">s, it </w:t>
      </w:r>
      <w:r w:rsidR="00F968D8" w:rsidRPr="004D7A44">
        <w:rPr>
          <w:rFonts w:ascii="Arial" w:hAnsi="Arial" w:cs="Arial"/>
          <w:color w:val="000000" w:themeColor="text1"/>
          <w:sz w:val="24"/>
          <w:szCs w:val="24"/>
        </w:rPr>
        <w:t xml:space="preserve">is </w:t>
      </w:r>
      <w:r w:rsidR="00C1324A">
        <w:rPr>
          <w:rFonts w:ascii="Arial" w:hAnsi="Arial" w:cs="Arial"/>
          <w:color w:val="000000" w:themeColor="text1"/>
          <w:sz w:val="24"/>
          <w:szCs w:val="24"/>
        </w:rPr>
        <w:t xml:space="preserve">also </w:t>
      </w:r>
      <w:r w:rsidR="00F968D8" w:rsidRPr="004D7A44">
        <w:rPr>
          <w:rFonts w:ascii="Arial" w:hAnsi="Arial" w:cs="Arial"/>
          <w:color w:val="000000" w:themeColor="text1"/>
          <w:sz w:val="24"/>
          <w:szCs w:val="24"/>
        </w:rPr>
        <w:t xml:space="preserve">said that no </w:t>
      </w:r>
      <w:r w:rsidR="00AA0D7F" w:rsidRPr="004D7A44">
        <w:rPr>
          <w:rFonts w:ascii="Arial" w:hAnsi="Arial" w:cs="Arial"/>
          <w:color w:val="000000" w:themeColor="text1"/>
          <w:sz w:val="24"/>
          <w:szCs w:val="24"/>
        </w:rPr>
        <w:t xml:space="preserve">reasons </w:t>
      </w:r>
      <w:r w:rsidR="00F968D8" w:rsidRPr="004D7A44">
        <w:rPr>
          <w:rFonts w:ascii="Arial" w:hAnsi="Arial" w:cs="Arial"/>
          <w:color w:val="000000" w:themeColor="text1"/>
          <w:sz w:val="24"/>
          <w:szCs w:val="24"/>
        </w:rPr>
        <w:t xml:space="preserve">were given therefor and, if </w:t>
      </w:r>
      <w:r w:rsidR="00AA0D7F" w:rsidRPr="004D7A44">
        <w:rPr>
          <w:rFonts w:ascii="Arial" w:hAnsi="Arial" w:cs="Arial"/>
          <w:color w:val="000000" w:themeColor="text1"/>
          <w:sz w:val="24"/>
          <w:szCs w:val="24"/>
        </w:rPr>
        <w:t>such reasons were given</w:t>
      </w:r>
      <w:r w:rsidR="00F968D8" w:rsidRPr="004D7A44">
        <w:rPr>
          <w:rFonts w:ascii="Arial" w:hAnsi="Arial" w:cs="Arial"/>
          <w:color w:val="000000" w:themeColor="text1"/>
          <w:sz w:val="24"/>
          <w:szCs w:val="24"/>
        </w:rPr>
        <w:t xml:space="preserve">, they were unreasonable as the circumstances did </w:t>
      </w:r>
      <w:r w:rsidR="00AA0D7F" w:rsidRPr="004D7A44">
        <w:rPr>
          <w:rFonts w:ascii="Arial" w:hAnsi="Arial" w:cs="Arial"/>
          <w:color w:val="000000" w:themeColor="text1"/>
          <w:sz w:val="24"/>
          <w:szCs w:val="24"/>
        </w:rPr>
        <w:t xml:space="preserve">not warrant a suspension. They </w:t>
      </w:r>
      <w:r w:rsidR="000E0481" w:rsidRPr="004D7A44">
        <w:rPr>
          <w:rFonts w:ascii="Arial" w:hAnsi="Arial" w:cs="Arial"/>
          <w:color w:val="000000" w:themeColor="text1"/>
          <w:sz w:val="24"/>
          <w:szCs w:val="24"/>
        </w:rPr>
        <w:t xml:space="preserve">were not allowed to make representations before </w:t>
      </w:r>
      <w:r w:rsidR="00B31F06" w:rsidRPr="004D7A44">
        <w:rPr>
          <w:rFonts w:ascii="Arial" w:hAnsi="Arial" w:cs="Arial"/>
          <w:color w:val="000000" w:themeColor="text1"/>
          <w:sz w:val="24"/>
          <w:szCs w:val="24"/>
        </w:rPr>
        <w:t xml:space="preserve">the </w:t>
      </w:r>
      <w:r w:rsidR="000E0481" w:rsidRPr="004D7A44">
        <w:rPr>
          <w:rFonts w:ascii="Arial" w:hAnsi="Arial" w:cs="Arial"/>
          <w:color w:val="000000" w:themeColor="text1"/>
          <w:sz w:val="24"/>
          <w:szCs w:val="24"/>
        </w:rPr>
        <w:t>suspension</w:t>
      </w:r>
      <w:r w:rsidR="002D19F8" w:rsidRPr="004D7A44">
        <w:rPr>
          <w:rFonts w:ascii="Arial" w:hAnsi="Arial" w:cs="Arial"/>
          <w:color w:val="000000" w:themeColor="text1"/>
          <w:sz w:val="24"/>
          <w:szCs w:val="24"/>
        </w:rPr>
        <w:t xml:space="preserve"> and dismissal decisions.  </w:t>
      </w:r>
      <w:r w:rsidR="00F968D8" w:rsidRPr="004D7A44">
        <w:rPr>
          <w:rFonts w:ascii="Arial" w:hAnsi="Arial" w:cs="Arial"/>
          <w:color w:val="000000" w:themeColor="text1"/>
          <w:sz w:val="24"/>
          <w:szCs w:val="24"/>
        </w:rPr>
        <w:t xml:space="preserve">It is alleged that the first and second </w:t>
      </w:r>
      <w:r w:rsidR="009958F2">
        <w:rPr>
          <w:rFonts w:ascii="Arial" w:hAnsi="Arial" w:cs="Arial"/>
          <w:color w:val="000000" w:themeColor="text1"/>
          <w:sz w:val="24"/>
          <w:szCs w:val="24"/>
        </w:rPr>
        <w:t>appellants</w:t>
      </w:r>
      <w:r w:rsidR="009958F2" w:rsidRPr="004D7A44">
        <w:rPr>
          <w:rFonts w:ascii="Arial" w:hAnsi="Arial" w:cs="Arial"/>
          <w:color w:val="000000" w:themeColor="text1"/>
          <w:sz w:val="24"/>
          <w:szCs w:val="24"/>
        </w:rPr>
        <w:t xml:space="preserve"> </w:t>
      </w:r>
      <w:r w:rsidR="000E0481" w:rsidRPr="004D7A44">
        <w:rPr>
          <w:rFonts w:ascii="Arial" w:hAnsi="Arial" w:cs="Arial"/>
          <w:color w:val="000000" w:themeColor="text1"/>
          <w:sz w:val="24"/>
          <w:szCs w:val="24"/>
        </w:rPr>
        <w:t xml:space="preserve">did not apply their minds correctly in regard to the allegations the </w:t>
      </w:r>
      <w:r w:rsidR="00F968D8" w:rsidRPr="004D7A44">
        <w:rPr>
          <w:rFonts w:ascii="Arial" w:hAnsi="Arial" w:cs="Arial"/>
          <w:color w:val="000000" w:themeColor="text1"/>
          <w:sz w:val="24"/>
          <w:szCs w:val="24"/>
        </w:rPr>
        <w:t xml:space="preserve">respondents </w:t>
      </w:r>
      <w:r w:rsidR="000E0481" w:rsidRPr="004D7A44">
        <w:rPr>
          <w:rFonts w:ascii="Arial" w:hAnsi="Arial" w:cs="Arial"/>
          <w:color w:val="000000" w:themeColor="text1"/>
          <w:sz w:val="24"/>
          <w:szCs w:val="24"/>
        </w:rPr>
        <w:t>made concerning the Trust F</w:t>
      </w:r>
      <w:r w:rsidR="00B344D0" w:rsidRPr="004D7A44">
        <w:rPr>
          <w:rFonts w:ascii="Arial" w:hAnsi="Arial" w:cs="Arial"/>
          <w:color w:val="000000" w:themeColor="text1"/>
          <w:sz w:val="24"/>
          <w:szCs w:val="24"/>
        </w:rPr>
        <w:t>u</w:t>
      </w:r>
      <w:r w:rsidR="000E0481" w:rsidRPr="004D7A44">
        <w:rPr>
          <w:rFonts w:ascii="Arial" w:hAnsi="Arial" w:cs="Arial"/>
          <w:color w:val="000000" w:themeColor="text1"/>
          <w:sz w:val="24"/>
          <w:szCs w:val="24"/>
        </w:rPr>
        <w:t>nd</w:t>
      </w:r>
      <w:r w:rsidR="008B239B">
        <w:rPr>
          <w:rFonts w:ascii="Arial" w:hAnsi="Arial" w:cs="Arial"/>
          <w:color w:val="000000" w:themeColor="text1"/>
          <w:sz w:val="24"/>
          <w:szCs w:val="24"/>
        </w:rPr>
        <w:t xml:space="preserve">. </w:t>
      </w:r>
    </w:p>
    <w:p w:rsidR="005941D7" w:rsidRPr="004D7A44" w:rsidRDefault="005941D7" w:rsidP="00FF0AD3">
      <w:pPr>
        <w:pStyle w:val="ListParagraph"/>
        <w:spacing w:after="0" w:line="480" w:lineRule="auto"/>
        <w:ind w:left="0"/>
        <w:jc w:val="both"/>
        <w:rPr>
          <w:rFonts w:ascii="Arial" w:hAnsi="Arial" w:cs="Arial"/>
          <w:color w:val="000000" w:themeColor="text1"/>
          <w:sz w:val="24"/>
          <w:szCs w:val="24"/>
        </w:rPr>
      </w:pPr>
    </w:p>
    <w:p w:rsidR="005941D7" w:rsidRPr="004D7A44" w:rsidRDefault="002D19F8"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t xml:space="preserve">According to the first </w:t>
      </w:r>
      <w:r w:rsidR="008B239B">
        <w:rPr>
          <w:rFonts w:ascii="Arial" w:hAnsi="Arial" w:cs="Arial"/>
          <w:color w:val="000000" w:themeColor="text1"/>
          <w:sz w:val="24"/>
          <w:szCs w:val="24"/>
        </w:rPr>
        <w:t>respondent</w:t>
      </w:r>
      <w:r w:rsidRPr="004D7A44">
        <w:rPr>
          <w:rFonts w:ascii="Arial" w:hAnsi="Arial" w:cs="Arial"/>
          <w:color w:val="000000" w:themeColor="text1"/>
          <w:sz w:val="24"/>
          <w:szCs w:val="24"/>
        </w:rPr>
        <w:t xml:space="preserve">, under </w:t>
      </w:r>
      <w:r w:rsidR="00F968D8" w:rsidRPr="004D7A44">
        <w:rPr>
          <w:rFonts w:ascii="Arial" w:hAnsi="Arial" w:cs="Arial"/>
          <w:color w:val="000000" w:themeColor="text1"/>
          <w:sz w:val="24"/>
          <w:szCs w:val="24"/>
        </w:rPr>
        <w:t xml:space="preserve">the codified </w:t>
      </w:r>
      <w:r w:rsidRPr="004D7A44">
        <w:rPr>
          <w:rFonts w:ascii="Arial" w:hAnsi="Arial" w:cs="Arial"/>
          <w:color w:val="000000" w:themeColor="text1"/>
          <w:sz w:val="24"/>
          <w:szCs w:val="24"/>
        </w:rPr>
        <w:t>O</w:t>
      </w:r>
      <w:r w:rsidR="00751073">
        <w:rPr>
          <w:rFonts w:ascii="Arial" w:hAnsi="Arial" w:cs="Arial"/>
          <w:color w:val="000000" w:themeColor="text1"/>
          <w:sz w:val="24"/>
          <w:szCs w:val="24"/>
        </w:rPr>
        <w:t>u</w:t>
      </w:r>
      <w:r w:rsidR="00B344D0" w:rsidRPr="004D7A44">
        <w:rPr>
          <w:rFonts w:ascii="Arial" w:hAnsi="Arial" w:cs="Arial"/>
          <w:color w:val="000000" w:themeColor="text1"/>
          <w:sz w:val="24"/>
          <w:szCs w:val="24"/>
        </w:rPr>
        <w:t xml:space="preserve">kwanyama customary law </w:t>
      </w:r>
      <w:r w:rsidRPr="004D7A44">
        <w:rPr>
          <w:rFonts w:ascii="Arial" w:hAnsi="Arial" w:cs="Arial"/>
          <w:color w:val="000000" w:themeColor="text1"/>
          <w:sz w:val="24"/>
          <w:szCs w:val="24"/>
        </w:rPr>
        <w:t>in</w:t>
      </w:r>
      <w:r w:rsidR="00B344D0" w:rsidRPr="004D7A44">
        <w:rPr>
          <w:rFonts w:ascii="Arial" w:hAnsi="Arial" w:cs="Arial"/>
          <w:color w:val="000000" w:themeColor="text1"/>
          <w:sz w:val="24"/>
          <w:szCs w:val="24"/>
        </w:rPr>
        <w:t xml:space="preserve"> which he is an acknowledged authority, </w:t>
      </w:r>
      <w:r w:rsidR="005941D7" w:rsidRPr="004D7A44">
        <w:rPr>
          <w:rFonts w:ascii="Arial" w:hAnsi="Arial" w:cs="Arial"/>
          <w:color w:val="000000" w:themeColor="text1"/>
          <w:sz w:val="24"/>
          <w:szCs w:val="24"/>
        </w:rPr>
        <w:t xml:space="preserve">a traditional leader may only be removed from office through death, mental incapacity or 'any other lawful reason'.  An accused is entitled under customary law to a fair hearing.  These customary laws were violated in regard to the </w:t>
      </w:r>
      <w:r w:rsidR="005134F9" w:rsidRPr="004D7A44">
        <w:rPr>
          <w:rFonts w:ascii="Arial" w:hAnsi="Arial" w:cs="Arial"/>
          <w:color w:val="000000" w:themeColor="text1"/>
          <w:sz w:val="24"/>
          <w:szCs w:val="24"/>
        </w:rPr>
        <w:t>respondents’</w:t>
      </w:r>
      <w:r w:rsidR="00B344D0" w:rsidRPr="004D7A44">
        <w:rPr>
          <w:rFonts w:ascii="Arial" w:hAnsi="Arial" w:cs="Arial"/>
          <w:color w:val="000000" w:themeColor="text1"/>
          <w:sz w:val="24"/>
          <w:szCs w:val="24"/>
        </w:rPr>
        <w:t xml:space="preserve"> </w:t>
      </w:r>
      <w:r w:rsidR="005941D7" w:rsidRPr="004D7A44">
        <w:rPr>
          <w:rFonts w:ascii="Arial" w:hAnsi="Arial" w:cs="Arial"/>
          <w:color w:val="000000" w:themeColor="text1"/>
          <w:sz w:val="24"/>
          <w:szCs w:val="24"/>
        </w:rPr>
        <w:t>suspensions and dismissals.</w:t>
      </w:r>
    </w:p>
    <w:p w:rsidR="00C13A86" w:rsidRPr="004D7A44" w:rsidRDefault="00C13A86" w:rsidP="00FF0AD3">
      <w:pPr>
        <w:pStyle w:val="ListParagraph"/>
        <w:spacing w:after="0" w:line="480" w:lineRule="auto"/>
        <w:ind w:left="0"/>
        <w:jc w:val="both"/>
        <w:rPr>
          <w:rFonts w:ascii="Arial" w:hAnsi="Arial" w:cs="Arial"/>
          <w:color w:val="000000" w:themeColor="text1"/>
          <w:sz w:val="24"/>
          <w:szCs w:val="24"/>
        </w:rPr>
      </w:pPr>
    </w:p>
    <w:p w:rsidR="00F048EE" w:rsidRPr="00C1324A" w:rsidRDefault="00846736" w:rsidP="00FF0AD3">
      <w:pPr>
        <w:pStyle w:val="ListParagraph"/>
        <w:spacing w:after="0" w:line="480" w:lineRule="auto"/>
        <w:ind w:left="0"/>
        <w:jc w:val="both"/>
        <w:rPr>
          <w:rFonts w:ascii="Arial" w:hAnsi="Arial" w:cs="Arial"/>
          <w:color w:val="000000" w:themeColor="text1"/>
          <w:sz w:val="24"/>
          <w:szCs w:val="24"/>
        </w:rPr>
      </w:pPr>
      <w:r>
        <w:rPr>
          <w:rFonts w:ascii="Arial" w:hAnsi="Arial" w:cs="Arial"/>
          <w:i/>
          <w:color w:val="000000" w:themeColor="text1"/>
          <w:sz w:val="24"/>
          <w:szCs w:val="24"/>
        </w:rPr>
        <w:t>Answering a</w:t>
      </w:r>
      <w:r w:rsidR="00F048EE" w:rsidRPr="004D7A44">
        <w:rPr>
          <w:rFonts w:ascii="Arial" w:hAnsi="Arial" w:cs="Arial"/>
          <w:i/>
          <w:color w:val="000000" w:themeColor="text1"/>
          <w:sz w:val="24"/>
          <w:szCs w:val="24"/>
        </w:rPr>
        <w:t>ffidavit</w:t>
      </w:r>
    </w:p>
    <w:p w:rsidR="00CE3D9C" w:rsidRPr="004D7A44" w:rsidRDefault="002F1959"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t xml:space="preserve">According to </w:t>
      </w:r>
      <w:r w:rsidR="006F7A8F" w:rsidRPr="004D7A44">
        <w:rPr>
          <w:rFonts w:ascii="Arial" w:hAnsi="Arial" w:cs="Arial"/>
          <w:color w:val="000000" w:themeColor="text1"/>
          <w:sz w:val="24"/>
          <w:szCs w:val="24"/>
        </w:rPr>
        <w:t>Mr N</w:t>
      </w:r>
      <w:r w:rsidR="002D2B5B">
        <w:rPr>
          <w:rFonts w:ascii="Arial" w:hAnsi="Arial" w:cs="Arial"/>
          <w:color w:val="000000" w:themeColor="text1"/>
          <w:sz w:val="24"/>
          <w:szCs w:val="24"/>
        </w:rPr>
        <w:t>elulu for the appellants</w:t>
      </w:r>
      <w:r w:rsidR="003425DE" w:rsidRPr="004D7A44">
        <w:rPr>
          <w:rFonts w:ascii="Arial" w:hAnsi="Arial" w:cs="Arial"/>
          <w:color w:val="000000" w:themeColor="text1"/>
          <w:sz w:val="24"/>
          <w:szCs w:val="24"/>
        </w:rPr>
        <w:t xml:space="preserve"> </w:t>
      </w:r>
      <w:r w:rsidRPr="004D7A44">
        <w:rPr>
          <w:rFonts w:ascii="Arial" w:hAnsi="Arial" w:cs="Arial"/>
          <w:color w:val="000000" w:themeColor="text1"/>
          <w:sz w:val="24"/>
          <w:szCs w:val="24"/>
        </w:rPr>
        <w:t xml:space="preserve">the </w:t>
      </w:r>
      <w:r w:rsidR="003425DE" w:rsidRPr="004D7A44">
        <w:rPr>
          <w:rFonts w:ascii="Arial" w:hAnsi="Arial" w:cs="Arial"/>
          <w:color w:val="000000" w:themeColor="text1"/>
          <w:sz w:val="24"/>
          <w:szCs w:val="24"/>
        </w:rPr>
        <w:t xml:space="preserve">respondents </w:t>
      </w:r>
      <w:r w:rsidRPr="004D7A44">
        <w:rPr>
          <w:rFonts w:ascii="Arial" w:hAnsi="Arial" w:cs="Arial"/>
          <w:color w:val="000000" w:themeColor="text1"/>
          <w:sz w:val="24"/>
          <w:szCs w:val="24"/>
        </w:rPr>
        <w:t xml:space="preserve">were suspended to 'ensure that there is peace and harmony' in the community; and that he too was suspended by the </w:t>
      </w:r>
      <w:r w:rsidR="006876F9" w:rsidRPr="004D7A44">
        <w:rPr>
          <w:rFonts w:ascii="Arial" w:hAnsi="Arial" w:cs="Arial"/>
          <w:color w:val="000000" w:themeColor="text1"/>
          <w:sz w:val="24"/>
          <w:szCs w:val="24"/>
        </w:rPr>
        <w:t>queen</w:t>
      </w:r>
      <w:r w:rsidR="00315805" w:rsidRPr="004D7A44">
        <w:rPr>
          <w:rFonts w:ascii="Arial" w:hAnsi="Arial" w:cs="Arial"/>
          <w:color w:val="000000" w:themeColor="text1"/>
          <w:sz w:val="24"/>
          <w:szCs w:val="24"/>
        </w:rPr>
        <w:t xml:space="preserve"> 'pending an investigation' </w:t>
      </w:r>
      <w:r w:rsidR="00101BB1" w:rsidRPr="004D7A44">
        <w:rPr>
          <w:rFonts w:ascii="Arial" w:hAnsi="Arial" w:cs="Arial"/>
          <w:color w:val="000000" w:themeColor="text1"/>
          <w:sz w:val="24"/>
          <w:szCs w:val="24"/>
        </w:rPr>
        <w:t>ordered</w:t>
      </w:r>
      <w:r w:rsidR="00315805" w:rsidRPr="004D7A44">
        <w:rPr>
          <w:rFonts w:ascii="Arial" w:hAnsi="Arial" w:cs="Arial"/>
          <w:color w:val="000000" w:themeColor="text1"/>
          <w:sz w:val="24"/>
          <w:szCs w:val="24"/>
        </w:rPr>
        <w:t xml:space="preserve"> </w:t>
      </w:r>
      <w:r w:rsidR="002421B5" w:rsidRPr="004D7A44">
        <w:rPr>
          <w:rFonts w:ascii="Arial" w:hAnsi="Arial" w:cs="Arial"/>
          <w:color w:val="000000" w:themeColor="text1"/>
          <w:sz w:val="24"/>
          <w:szCs w:val="24"/>
        </w:rPr>
        <w:t>by her</w:t>
      </w:r>
      <w:r w:rsidR="006D3A34" w:rsidRPr="004D7A44">
        <w:rPr>
          <w:rFonts w:ascii="Arial" w:hAnsi="Arial" w:cs="Arial"/>
          <w:color w:val="000000" w:themeColor="text1"/>
          <w:sz w:val="24"/>
          <w:szCs w:val="24"/>
        </w:rPr>
        <w:t xml:space="preserve">.  The allegations of harassment and rebuke </w:t>
      </w:r>
      <w:r w:rsidR="00101BB1" w:rsidRPr="004D7A44">
        <w:rPr>
          <w:rFonts w:ascii="Arial" w:hAnsi="Arial" w:cs="Arial"/>
          <w:color w:val="000000" w:themeColor="text1"/>
          <w:sz w:val="24"/>
          <w:szCs w:val="24"/>
        </w:rPr>
        <w:t xml:space="preserve">of the </w:t>
      </w:r>
      <w:r w:rsidR="00C1324A">
        <w:rPr>
          <w:rFonts w:ascii="Arial" w:hAnsi="Arial" w:cs="Arial"/>
          <w:color w:val="000000" w:themeColor="text1"/>
          <w:sz w:val="24"/>
          <w:szCs w:val="24"/>
        </w:rPr>
        <w:t>respondents</w:t>
      </w:r>
      <w:r w:rsidR="00101BB1" w:rsidRPr="004D7A44">
        <w:rPr>
          <w:rFonts w:ascii="Arial" w:hAnsi="Arial" w:cs="Arial"/>
          <w:color w:val="000000" w:themeColor="text1"/>
          <w:sz w:val="24"/>
          <w:szCs w:val="24"/>
        </w:rPr>
        <w:t xml:space="preserve"> </w:t>
      </w:r>
      <w:r w:rsidR="002D2B5B">
        <w:rPr>
          <w:rFonts w:ascii="Arial" w:hAnsi="Arial" w:cs="Arial"/>
          <w:color w:val="000000" w:themeColor="text1"/>
          <w:sz w:val="24"/>
          <w:szCs w:val="24"/>
        </w:rPr>
        <w:t>at the disciplinary hearing</w:t>
      </w:r>
      <w:r w:rsidR="006D3A34" w:rsidRPr="004D7A44">
        <w:rPr>
          <w:rFonts w:ascii="Arial" w:hAnsi="Arial" w:cs="Arial"/>
          <w:color w:val="000000" w:themeColor="text1"/>
          <w:sz w:val="24"/>
          <w:szCs w:val="24"/>
        </w:rPr>
        <w:t xml:space="preserve"> are denied.</w:t>
      </w:r>
      <w:r w:rsidR="008B239B">
        <w:rPr>
          <w:rFonts w:ascii="Arial" w:hAnsi="Arial" w:cs="Arial"/>
          <w:color w:val="000000" w:themeColor="text1"/>
          <w:sz w:val="24"/>
          <w:szCs w:val="24"/>
        </w:rPr>
        <w:t xml:space="preserve"> </w:t>
      </w:r>
    </w:p>
    <w:p w:rsidR="00933C0F" w:rsidRPr="004D7A44" w:rsidRDefault="00933C0F" w:rsidP="00FF0AD3">
      <w:pPr>
        <w:pStyle w:val="ListParagraph"/>
        <w:spacing w:after="0" w:line="480" w:lineRule="auto"/>
        <w:ind w:left="0"/>
        <w:jc w:val="both"/>
        <w:rPr>
          <w:rFonts w:ascii="Arial" w:hAnsi="Arial" w:cs="Arial"/>
          <w:color w:val="000000" w:themeColor="text1"/>
          <w:sz w:val="24"/>
          <w:szCs w:val="24"/>
        </w:rPr>
      </w:pPr>
    </w:p>
    <w:p w:rsidR="00933C0F" w:rsidRPr="004D7A44" w:rsidRDefault="007850F9" w:rsidP="00FF0AD3">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t xml:space="preserve">Mr Nelulu </w:t>
      </w:r>
      <w:r w:rsidR="006876F9" w:rsidRPr="004D7A44">
        <w:rPr>
          <w:rFonts w:ascii="Arial" w:hAnsi="Arial" w:cs="Arial"/>
          <w:color w:val="000000" w:themeColor="text1"/>
          <w:sz w:val="24"/>
          <w:szCs w:val="24"/>
        </w:rPr>
        <w:t>d</w:t>
      </w:r>
      <w:r w:rsidR="00CE3D9C" w:rsidRPr="004D7A44">
        <w:rPr>
          <w:rFonts w:ascii="Arial" w:hAnsi="Arial" w:cs="Arial"/>
          <w:color w:val="000000" w:themeColor="text1"/>
          <w:sz w:val="24"/>
          <w:szCs w:val="24"/>
        </w:rPr>
        <w:t xml:space="preserve">enies that the </w:t>
      </w:r>
      <w:r w:rsidRPr="004D7A44">
        <w:rPr>
          <w:rFonts w:ascii="Arial" w:hAnsi="Arial" w:cs="Arial"/>
          <w:color w:val="000000" w:themeColor="text1"/>
          <w:sz w:val="24"/>
          <w:szCs w:val="24"/>
        </w:rPr>
        <w:t xml:space="preserve">respondents </w:t>
      </w:r>
      <w:r w:rsidR="00CE3D9C" w:rsidRPr="004D7A44">
        <w:rPr>
          <w:rFonts w:ascii="Arial" w:hAnsi="Arial" w:cs="Arial"/>
          <w:color w:val="000000" w:themeColor="text1"/>
          <w:sz w:val="24"/>
          <w:szCs w:val="24"/>
        </w:rPr>
        <w:t>were victimised for asking for an audit and states that an audit of the Trust Fund was in fact underway prior to and during the suspensions. He dismisses the allegation of people being protected</w:t>
      </w:r>
      <w:r w:rsidR="006876F9" w:rsidRPr="004D7A44">
        <w:rPr>
          <w:rFonts w:ascii="Arial" w:hAnsi="Arial" w:cs="Arial"/>
          <w:color w:val="000000" w:themeColor="text1"/>
          <w:sz w:val="24"/>
          <w:szCs w:val="24"/>
        </w:rPr>
        <w:t xml:space="preserve"> by the queen</w:t>
      </w:r>
      <w:r w:rsidR="00CE3D9C" w:rsidRPr="004D7A44">
        <w:rPr>
          <w:rFonts w:ascii="Arial" w:hAnsi="Arial" w:cs="Arial"/>
          <w:color w:val="000000" w:themeColor="text1"/>
          <w:sz w:val="24"/>
          <w:szCs w:val="24"/>
        </w:rPr>
        <w:t xml:space="preserve"> as vague and unsubstantiated.</w:t>
      </w:r>
    </w:p>
    <w:p w:rsidR="00CE3D9C" w:rsidRPr="004D7A44" w:rsidRDefault="00CE3D9C" w:rsidP="00BB428D">
      <w:pPr>
        <w:pStyle w:val="ListParagraph"/>
        <w:spacing w:after="0" w:line="480" w:lineRule="auto"/>
        <w:ind w:left="0"/>
        <w:jc w:val="both"/>
        <w:rPr>
          <w:rFonts w:ascii="Arial" w:hAnsi="Arial" w:cs="Arial"/>
          <w:color w:val="000000" w:themeColor="text1"/>
          <w:sz w:val="24"/>
          <w:szCs w:val="24"/>
        </w:rPr>
      </w:pPr>
    </w:p>
    <w:p w:rsidR="00933C0F" w:rsidRPr="004D7A44" w:rsidRDefault="00144D5A" w:rsidP="000137FA">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lastRenderedPageBreak/>
        <w:t>The alleged b</w:t>
      </w:r>
      <w:r w:rsidR="00CE3D9C" w:rsidRPr="004D7A44">
        <w:rPr>
          <w:rFonts w:ascii="Arial" w:hAnsi="Arial" w:cs="Arial"/>
          <w:color w:val="000000" w:themeColor="text1"/>
          <w:sz w:val="24"/>
          <w:szCs w:val="24"/>
        </w:rPr>
        <w:t xml:space="preserve">reach of Art 18 </w:t>
      </w:r>
      <w:r w:rsidR="002B6C4C" w:rsidRPr="004D7A44">
        <w:rPr>
          <w:rFonts w:ascii="Arial" w:hAnsi="Arial" w:cs="Arial"/>
          <w:color w:val="000000" w:themeColor="text1"/>
          <w:sz w:val="24"/>
          <w:szCs w:val="24"/>
        </w:rPr>
        <w:t xml:space="preserve">in the </w:t>
      </w:r>
      <w:r w:rsidR="007850F9" w:rsidRPr="004D7A44">
        <w:rPr>
          <w:rFonts w:ascii="Arial" w:hAnsi="Arial" w:cs="Arial"/>
          <w:color w:val="000000" w:themeColor="text1"/>
          <w:sz w:val="24"/>
          <w:szCs w:val="24"/>
        </w:rPr>
        <w:t>respondents</w:t>
      </w:r>
      <w:r w:rsidR="002B6C4C" w:rsidRPr="004D7A44">
        <w:rPr>
          <w:rFonts w:ascii="Arial" w:hAnsi="Arial" w:cs="Arial"/>
          <w:color w:val="000000" w:themeColor="text1"/>
          <w:sz w:val="24"/>
          <w:szCs w:val="24"/>
        </w:rPr>
        <w:t xml:space="preserve">' suspension and dismissal </w:t>
      </w:r>
      <w:r w:rsidR="00CE3D9C" w:rsidRPr="004D7A44">
        <w:rPr>
          <w:rFonts w:ascii="Arial" w:hAnsi="Arial" w:cs="Arial"/>
          <w:color w:val="000000" w:themeColor="text1"/>
          <w:sz w:val="24"/>
          <w:szCs w:val="24"/>
        </w:rPr>
        <w:t xml:space="preserve">is denied and, in any event, it is asserted that he, and the </w:t>
      </w:r>
      <w:r w:rsidR="007850F9" w:rsidRPr="004D7A44">
        <w:rPr>
          <w:rFonts w:ascii="Arial" w:hAnsi="Arial" w:cs="Arial"/>
          <w:color w:val="000000" w:themeColor="text1"/>
          <w:sz w:val="24"/>
          <w:szCs w:val="24"/>
        </w:rPr>
        <w:t>respondents</w:t>
      </w:r>
      <w:r w:rsidR="00CE3D9C" w:rsidRPr="004D7A44">
        <w:rPr>
          <w:rFonts w:ascii="Arial" w:hAnsi="Arial" w:cs="Arial"/>
          <w:color w:val="000000" w:themeColor="text1"/>
          <w:sz w:val="24"/>
          <w:szCs w:val="24"/>
        </w:rPr>
        <w:t>, were afforded a h</w:t>
      </w:r>
      <w:r w:rsidR="002B6C4C" w:rsidRPr="004D7A44">
        <w:rPr>
          <w:rFonts w:ascii="Arial" w:hAnsi="Arial" w:cs="Arial"/>
          <w:color w:val="000000" w:themeColor="text1"/>
          <w:sz w:val="24"/>
          <w:szCs w:val="24"/>
        </w:rPr>
        <w:t>e</w:t>
      </w:r>
      <w:r w:rsidR="004F081B">
        <w:rPr>
          <w:rFonts w:ascii="Arial" w:hAnsi="Arial" w:cs="Arial"/>
          <w:color w:val="000000" w:themeColor="text1"/>
          <w:sz w:val="24"/>
          <w:szCs w:val="24"/>
        </w:rPr>
        <w:t xml:space="preserve">aring by the </w:t>
      </w:r>
      <w:r w:rsidR="00C1324A">
        <w:rPr>
          <w:rFonts w:ascii="Arial" w:hAnsi="Arial" w:cs="Arial"/>
          <w:color w:val="000000" w:themeColor="text1"/>
          <w:sz w:val="24"/>
          <w:szCs w:val="24"/>
        </w:rPr>
        <w:t>c</w:t>
      </w:r>
      <w:r w:rsidR="00CE3D9C" w:rsidRPr="004D7A44">
        <w:rPr>
          <w:rFonts w:ascii="Arial" w:hAnsi="Arial" w:cs="Arial"/>
          <w:color w:val="000000" w:themeColor="text1"/>
          <w:sz w:val="24"/>
          <w:szCs w:val="24"/>
        </w:rPr>
        <w:t xml:space="preserve">ommittee. </w:t>
      </w:r>
      <w:r w:rsidR="007850F9" w:rsidRPr="004D7A44">
        <w:rPr>
          <w:rFonts w:ascii="Arial" w:hAnsi="Arial" w:cs="Arial"/>
          <w:color w:val="000000" w:themeColor="text1"/>
          <w:sz w:val="24"/>
          <w:szCs w:val="24"/>
        </w:rPr>
        <w:t>He</w:t>
      </w:r>
      <w:r w:rsidR="00C15E9D" w:rsidRPr="004D7A44">
        <w:rPr>
          <w:rFonts w:ascii="Arial" w:hAnsi="Arial" w:cs="Arial"/>
          <w:color w:val="000000" w:themeColor="text1"/>
          <w:sz w:val="24"/>
          <w:szCs w:val="24"/>
        </w:rPr>
        <w:t xml:space="preserve"> maintains that the suspension</w:t>
      </w:r>
      <w:r w:rsidR="003509A8">
        <w:rPr>
          <w:rFonts w:ascii="Arial" w:hAnsi="Arial" w:cs="Arial"/>
          <w:color w:val="000000" w:themeColor="text1"/>
          <w:sz w:val="24"/>
          <w:szCs w:val="24"/>
        </w:rPr>
        <w:t>s</w:t>
      </w:r>
      <w:r w:rsidR="00C15E9D" w:rsidRPr="004D7A44">
        <w:rPr>
          <w:rFonts w:ascii="Arial" w:hAnsi="Arial" w:cs="Arial"/>
          <w:color w:val="000000" w:themeColor="text1"/>
          <w:sz w:val="24"/>
          <w:szCs w:val="24"/>
        </w:rPr>
        <w:t xml:space="preserve"> w</w:t>
      </w:r>
      <w:r w:rsidR="003509A8">
        <w:rPr>
          <w:rFonts w:ascii="Arial" w:hAnsi="Arial" w:cs="Arial"/>
          <w:color w:val="000000" w:themeColor="text1"/>
          <w:sz w:val="24"/>
          <w:szCs w:val="24"/>
        </w:rPr>
        <w:t xml:space="preserve">ere </w:t>
      </w:r>
      <w:r w:rsidR="00C15E9D" w:rsidRPr="004D7A44">
        <w:rPr>
          <w:rFonts w:ascii="Arial" w:hAnsi="Arial" w:cs="Arial"/>
          <w:color w:val="000000" w:themeColor="text1"/>
          <w:sz w:val="24"/>
          <w:szCs w:val="24"/>
        </w:rPr>
        <w:t>not indefinite b</w:t>
      </w:r>
      <w:r w:rsidR="002B6C4C" w:rsidRPr="004D7A44">
        <w:rPr>
          <w:rFonts w:ascii="Arial" w:hAnsi="Arial" w:cs="Arial"/>
          <w:color w:val="000000" w:themeColor="text1"/>
          <w:sz w:val="24"/>
          <w:szCs w:val="24"/>
        </w:rPr>
        <w:t>ut pending an investigation, whose</w:t>
      </w:r>
      <w:r w:rsidR="00C15E9D" w:rsidRPr="004D7A44">
        <w:rPr>
          <w:rFonts w:ascii="Arial" w:hAnsi="Arial" w:cs="Arial"/>
          <w:color w:val="000000" w:themeColor="text1"/>
          <w:sz w:val="24"/>
          <w:szCs w:val="24"/>
        </w:rPr>
        <w:t xml:space="preserve"> findings were known within two months.  </w:t>
      </w:r>
    </w:p>
    <w:p w:rsidR="004A5213" w:rsidRDefault="004A5213" w:rsidP="000137FA">
      <w:pPr>
        <w:pStyle w:val="ListParagraph"/>
        <w:spacing w:after="0" w:line="480" w:lineRule="auto"/>
        <w:ind w:left="0"/>
        <w:jc w:val="both"/>
        <w:rPr>
          <w:rFonts w:ascii="Arial" w:hAnsi="Arial" w:cs="Arial"/>
          <w:color w:val="000000" w:themeColor="text1"/>
          <w:sz w:val="24"/>
          <w:szCs w:val="24"/>
        </w:rPr>
      </w:pPr>
    </w:p>
    <w:p w:rsidR="005E71AB" w:rsidRPr="004D7A44" w:rsidRDefault="005E71AB" w:rsidP="000137FA">
      <w:pPr>
        <w:pStyle w:val="ListParagraph"/>
        <w:spacing w:after="0" w:line="480" w:lineRule="auto"/>
        <w:ind w:left="0"/>
        <w:jc w:val="both"/>
        <w:rPr>
          <w:rFonts w:ascii="Arial" w:hAnsi="Arial" w:cs="Arial"/>
          <w:color w:val="000000" w:themeColor="text1"/>
          <w:sz w:val="24"/>
          <w:szCs w:val="24"/>
        </w:rPr>
      </w:pPr>
    </w:p>
    <w:p w:rsidR="00933C0F" w:rsidRDefault="00DD0411" w:rsidP="000137FA">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Mr Nelulu pertinently denied the allegation that the first </w:t>
      </w:r>
      <w:r w:rsidR="0031774C">
        <w:rPr>
          <w:rFonts w:ascii="Arial" w:hAnsi="Arial" w:cs="Arial"/>
          <w:color w:val="000000" w:themeColor="text1"/>
          <w:sz w:val="24"/>
          <w:szCs w:val="24"/>
        </w:rPr>
        <w:t>appella</w:t>
      </w:r>
      <w:r>
        <w:rPr>
          <w:rFonts w:ascii="Arial" w:hAnsi="Arial" w:cs="Arial"/>
          <w:color w:val="000000" w:themeColor="text1"/>
          <w:sz w:val="24"/>
          <w:szCs w:val="24"/>
        </w:rPr>
        <w:t>nt failed to comply with Art 18 of the Constitution in dismissing the respondents. Not only that, he lamented the lack of specificity relative to the allegation in the following terms:</w:t>
      </w:r>
    </w:p>
    <w:p w:rsidR="00237D0D" w:rsidRDefault="00237D0D" w:rsidP="00BB428D">
      <w:pPr>
        <w:pStyle w:val="ListParagraph"/>
        <w:spacing w:after="0" w:line="480" w:lineRule="auto"/>
        <w:ind w:left="0"/>
        <w:jc w:val="both"/>
        <w:rPr>
          <w:rFonts w:ascii="Arial" w:hAnsi="Arial" w:cs="Arial"/>
          <w:color w:val="000000" w:themeColor="text1"/>
          <w:sz w:val="24"/>
          <w:szCs w:val="24"/>
        </w:rPr>
      </w:pPr>
    </w:p>
    <w:p w:rsidR="00DD0411" w:rsidRPr="009C1D1D" w:rsidRDefault="00DD0411" w:rsidP="00AD1244">
      <w:pPr>
        <w:pStyle w:val="ListParagraph"/>
        <w:spacing w:after="0" w:line="360" w:lineRule="auto"/>
        <w:jc w:val="both"/>
        <w:rPr>
          <w:rFonts w:ascii="Arial" w:hAnsi="Arial" w:cs="Arial"/>
          <w:color w:val="000000" w:themeColor="text1"/>
        </w:rPr>
      </w:pPr>
      <w:r w:rsidRPr="009C1D1D">
        <w:rPr>
          <w:rFonts w:ascii="Arial" w:hAnsi="Arial" w:cs="Arial"/>
          <w:color w:val="000000" w:themeColor="text1"/>
        </w:rPr>
        <w:t>‘In amplification of my denial I say that in the absence of specific particulars as to how the Queen violated the Applicants’ rights in terms of Article 18 the allegation is vague.’</w:t>
      </w:r>
    </w:p>
    <w:p w:rsidR="00DD0411" w:rsidRDefault="00DD0411" w:rsidP="00846736">
      <w:pPr>
        <w:pStyle w:val="ListParagraph"/>
        <w:spacing w:after="0" w:line="480" w:lineRule="auto"/>
        <w:ind w:left="0"/>
        <w:jc w:val="both"/>
        <w:rPr>
          <w:rStyle w:val="s1"/>
          <w:rFonts w:ascii="Arial" w:hAnsi="Arial" w:cs="Arial"/>
          <w:sz w:val="24"/>
          <w:szCs w:val="24"/>
        </w:rPr>
      </w:pPr>
    </w:p>
    <w:p w:rsidR="000F7379" w:rsidRPr="004D7A44" w:rsidRDefault="00C1324A" w:rsidP="00846736">
      <w:pPr>
        <w:pStyle w:val="ListParagraph"/>
        <w:spacing w:after="0" w:line="480" w:lineRule="auto"/>
        <w:ind w:left="0"/>
        <w:jc w:val="both"/>
        <w:rPr>
          <w:rFonts w:ascii="Arial" w:hAnsi="Arial" w:cs="Arial"/>
          <w:color w:val="000000" w:themeColor="text1"/>
          <w:sz w:val="24"/>
          <w:szCs w:val="24"/>
          <w:u w:val="single"/>
        </w:rPr>
      </w:pPr>
      <w:r>
        <w:rPr>
          <w:rFonts w:ascii="Arial" w:hAnsi="Arial" w:cs="Arial"/>
          <w:color w:val="000000" w:themeColor="text1"/>
          <w:sz w:val="24"/>
          <w:szCs w:val="24"/>
          <w:u w:val="single"/>
        </w:rPr>
        <w:t>The High Court's approach</w:t>
      </w:r>
    </w:p>
    <w:p w:rsidR="00DD0411" w:rsidRDefault="00DD0411" w:rsidP="000137FA">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w:t>
      </w:r>
      <w:r w:rsidRPr="009C1D1D">
        <w:rPr>
          <w:rFonts w:ascii="Arial" w:hAnsi="Arial" w:cs="Arial"/>
          <w:i/>
          <w:color w:val="000000" w:themeColor="text1"/>
          <w:sz w:val="24"/>
          <w:szCs w:val="24"/>
        </w:rPr>
        <w:t>a quo</w:t>
      </w:r>
      <w:r>
        <w:rPr>
          <w:rFonts w:ascii="Arial" w:hAnsi="Arial" w:cs="Arial"/>
          <w:color w:val="000000" w:themeColor="text1"/>
          <w:sz w:val="24"/>
          <w:szCs w:val="24"/>
        </w:rPr>
        <w:t xml:space="preserve"> observed as follows:</w:t>
      </w:r>
    </w:p>
    <w:p w:rsidR="00751073" w:rsidRDefault="00751073" w:rsidP="00BB428D">
      <w:pPr>
        <w:pStyle w:val="ListParagraph"/>
        <w:spacing w:after="0" w:line="480" w:lineRule="auto"/>
        <w:ind w:left="0"/>
        <w:jc w:val="both"/>
        <w:rPr>
          <w:rFonts w:ascii="Arial" w:hAnsi="Arial" w:cs="Arial"/>
          <w:color w:val="000000" w:themeColor="text1"/>
          <w:sz w:val="24"/>
          <w:szCs w:val="24"/>
        </w:rPr>
      </w:pPr>
    </w:p>
    <w:p w:rsidR="00DD0411" w:rsidRPr="009C1D1D" w:rsidRDefault="000137FA" w:rsidP="00AD1244">
      <w:pPr>
        <w:pStyle w:val="ListParagraph"/>
        <w:spacing w:after="0" w:line="360" w:lineRule="auto"/>
        <w:jc w:val="both"/>
        <w:rPr>
          <w:rFonts w:ascii="Arial" w:hAnsi="Arial" w:cs="Arial"/>
          <w:color w:val="000000" w:themeColor="text1"/>
        </w:rPr>
      </w:pPr>
      <w:r>
        <w:rPr>
          <w:rFonts w:ascii="Arial" w:hAnsi="Arial" w:cs="Arial"/>
          <w:color w:val="000000" w:themeColor="text1"/>
        </w:rPr>
        <w:t>‘[136]</w:t>
      </w:r>
      <w:r>
        <w:rPr>
          <w:rFonts w:ascii="Arial" w:hAnsi="Arial" w:cs="Arial"/>
          <w:color w:val="000000" w:themeColor="text1"/>
        </w:rPr>
        <w:tab/>
      </w:r>
      <w:r w:rsidR="00DD0411" w:rsidRPr="009C1D1D">
        <w:rPr>
          <w:rFonts w:ascii="Arial" w:hAnsi="Arial" w:cs="Arial"/>
          <w:color w:val="000000" w:themeColor="text1"/>
        </w:rPr>
        <w:t xml:space="preserve">At first glance it appeared that there was merit in the submission made in the answering papers that there was an absence of specific allegations in the applicants’ papers in regard to </w:t>
      </w:r>
      <w:r w:rsidR="00594974" w:rsidRPr="009C1D1D">
        <w:rPr>
          <w:rFonts w:ascii="Arial" w:hAnsi="Arial" w:cs="Arial"/>
          <w:color w:val="000000" w:themeColor="text1"/>
        </w:rPr>
        <w:t xml:space="preserve">how </w:t>
      </w:r>
      <w:r w:rsidR="00DD0411" w:rsidRPr="009C1D1D">
        <w:rPr>
          <w:rFonts w:ascii="Arial" w:hAnsi="Arial" w:cs="Arial"/>
          <w:color w:val="000000" w:themeColor="text1"/>
        </w:rPr>
        <w:t xml:space="preserve">the Article 18 rights </w:t>
      </w:r>
      <w:r w:rsidR="00594974" w:rsidRPr="009C1D1D">
        <w:rPr>
          <w:rFonts w:ascii="Arial" w:hAnsi="Arial" w:cs="Arial"/>
          <w:color w:val="000000" w:themeColor="text1"/>
        </w:rPr>
        <w:t>of the applicants were violated by the first respondent, particularly also in regard to the procedural fair hearing rights which they claim have been breached. In this regard it will however also have been noted that the applicants expressly sought to rely on the documentation received during the process leading up to the their dismissals, whose contents they expressly asked to be incorporated into their affidavits and in respect of which they indicated that they would rely on in order to substantiate the relief sought.’</w:t>
      </w:r>
    </w:p>
    <w:p w:rsidR="00594974" w:rsidRDefault="00594974" w:rsidP="00BB428D">
      <w:pPr>
        <w:pStyle w:val="ListParagraph"/>
        <w:spacing w:after="0" w:line="480" w:lineRule="auto"/>
        <w:ind w:left="0"/>
        <w:jc w:val="both"/>
        <w:rPr>
          <w:rFonts w:ascii="Arial" w:hAnsi="Arial" w:cs="Arial"/>
          <w:color w:val="000000" w:themeColor="text1"/>
          <w:sz w:val="24"/>
          <w:szCs w:val="24"/>
        </w:rPr>
      </w:pPr>
    </w:p>
    <w:p w:rsidR="00DD0411" w:rsidRDefault="00594974" w:rsidP="000137FA">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becomes immediately apparent that the court</w:t>
      </w:r>
      <w:r w:rsidR="0031774C">
        <w:rPr>
          <w:rFonts w:ascii="Arial" w:hAnsi="Arial" w:cs="Arial"/>
          <w:color w:val="000000" w:themeColor="text1"/>
          <w:sz w:val="24"/>
          <w:szCs w:val="24"/>
        </w:rPr>
        <w:t xml:space="preserve"> </w:t>
      </w:r>
      <w:r w:rsidR="0031774C">
        <w:rPr>
          <w:rFonts w:ascii="Arial" w:hAnsi="Arial" w:cs="Arial"/>
          <w:i/>
          <w:color w:val="000000" w:themeColor="text1"/>
          <w:sz w:val="24"/>
          <w:szCs w:val="24"/>
        </w:rPr>
        <w:t>a quo</w:t>
      </w:r>
      <w:r>
        <w:rPr>
          <w:rFonts w:ascii="Arial" w:hAnsi="Arial" w:cs="Arial"/>
          <w:color w:val="000000" w:themeColor="text1"/>
          <w:sz w:val="24"/>
          <w:szCs w:val="24"/>
        </w:rPr>
        <w:t xml:space="preserve"> was satisfied that the allegation of breach of Art 18 made in the founding affidavit was not particularised by </w:t>
      </w:r>
      <w:r>
        <w:rPr>
          <w:rFonts w:ascii="Arial" w:hAnsi="Arial" w:cs="Arial"/>
          <w:color w:val="000000" w:themeColor="text1"/>
          <w:sz w:val="24"/>
          <w:szCs w:val="24"/>
        </w:rPr>
        <w:lastRenderedPageBreak/>
        <w:t>the respondents. The court then delve</w:t>
      </w:r>
      <w:r w:rsidR="009E0819">
        <w:rPr>
          <w:rFonts w:ascii="Arial" w:hAnsi="Arial" w:cs="Arial"/>
          <w:color w:val="000000" w:themeColor="text1"/>
          <w:sz w:val="24"/>
          <w:szCs w:val="24"/>
        </w:rPr>
        <w:t>d</w:t>
      </w:r>
      <w:r>
        <w:rPr>
          <w:rFonts w:ascii="Arial" w:hAnsi="Arial" w:cs="Arial"/>
          <w:color w:val="000000" w:themeColor="text1"/>
          <w:sz w:val="24"/>
          <w:szCs w:val="24"/>
        </w:rPr>
        <w:t xml:space="preserve"> into the annexures to see if they contained evidence supporting the allegation of non-compliance with Art 18, in particular the respondents’ right to procedural fairness.</w:t>
      </w:r>
    </w:p>
    <w:p w:rsidR="00594974" w:rsidRDefault="00594974" w:rsidP="000137FA">
      <w:pPr>
        <w:pStyle w:val="ListParagraph"/>
        <w:spacing w:after="0" w:line="480" w:lineRule="auto"/>
        <w:ind w:left="0"/>
        <w:jc w:val="both"/>
        <w:rPr>
          <w:rFonts w:ascii="Arial" w:hAnsi="Arial" w:cs="Arial"/>
          <w:color w:val="000000" w:themeColor="text1"/>
          <w:sz w:val="24"/>
          <w:szCs w:val="24"/>
        </w:rPr>
      </w:pPr>
    </w:p>
    <w:p w:rsidR="000F7379" w:rsidRPr="004D7A44" w:rsidRDefault="00594974" w:rsidP="000137FA">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Based on the notices sent out to the respondents by the first appellant informing them of the establishment of the </w:t>
      </w:r>
      <w:r w:rsidR="0031774C">
        <w:rPr>
          <w:rFonts w:ascii="Arial" w:hAnsi="Arial" w:cs="Arial"/>
          <w:color w:val="000000" w:themeColor="text1"/>
          <w:sz w:val="24"/>
          <w:szCs w:val="24"/>
        </w:rPr>
        <w:t>c</w:t>
      </w:r>
      <w:r>
        <w:rPr>
          <w:rFonts w:ascii="Arial" w:hAnsi="Arial" w:cs="Arial"/>
          <w:color w:val="000000" w:themeColor="text1"/>
          <w:sz w:val="24"/>
          <w:szCs w:val="24"/>
        </w:rPr>
        <w:t xml:space="preserve">ommittee, the </w:t>
      </w:r>
      <w:r w:rsidR="00272EFE" w:rsidRPr="004D7A44">
        <w:rPr>
          <w:rFonts w:ascii="Arial" w:hAnsi="Arial" w:cs="Arial"/>
          <w:color w:val="000000" w:themeColor="text1"/>
          <w:sz w:val="24"/>
          <w:szCs w:val="24"/>
        </w:rPr>
        <w:t xml:space="preserve">court </w:t>
      </w:r>
      <w:r w:rsidR="00272EFE" w:rsidRPr="00BB428D">
        <w:rPr>
          <w:rFonts w:ascii="Arial" w:hAnsi="Arial" w:cs="Arial"/>
          <w:i/>
          <w:color w:val="000000" w:themeColor="text1"/>
          <w:sz w:val="24"/>
          <w:szCs w:val="24"/>
        </w:rPr>
        <w:t>a quo</w:t>
      </w:r>
      <w:r w:rsidR="00272EFE" w:rsidRPr="004D7A44">
        <w:rPr>
          <w:rFonts w:ascii="Arial" w:hAnsi="Arial" w:cs="Arial"/>
          <w:color w:val="000000" w:themeColor="text1"/>
          <w:sz w:val="24"/>
          <w:szCs w:val="24"/>
        </w:rPr>
        <w:t xml:space="preserve"> took the view that the invitation to the respondents to appear before the committee was stated to be </w:t>
      </w:r>
      <w:r w:rsidR="001000A5" w:rsidRPr="004D7A44">
        <w:rPr>
          <w:rFonts w:ascii="Arial" w:hAnsi="Arial" w:cs="Arial"/>
          <w:color w:val="000000" w:themeColor="text1"/>
          <w:sz w:val="24"/>
          <w:szCs w:val="24"/>
        </w:rPr>
        <w:t>‘</w:t>
      </w:r>
      <w:r w:rsidR="00272EFE" w:rsidRPr="004D7A44">
        <w:rPr>
          <w:rFonts w:ascii="Arial" w:hAnsi="Arial" w:cs="Arial"/>
          <w:color w:val="000000" w:themeColor="text1"/>
          <w:sz w:val="24"/>
          <w:szCs w:val="24"/>
        </w:rPr>
        <w:t>to gather information and to ask questions</w:t>
      </w:r>
      <w:r w:rsidR="0055399C">
        <w:rPr>
          <w:rFonts w:ascii="Arial" w:hAnsi="Arial" w:cs="Arial"/>
          <w:color w:val="000000" w:themeColor="text1"/>
          <w:sz w:val="24"/>
          <w:szCs w:val="24"/>
        </w:rPr>
        <w:t>’</w:t>
      </w:r>
      <w:r w:rsidR="00272EFE" w:rsidRPr="004D7A44">
        <w:rPr>
          <w:rFonts w:ascii="Arial" w:hAnsi="Arial" w:cs="Arial"/>
          <w:color w:val="000000" w:themeColor="text1"/>
          <w:sz w:val="24"/>
          <w:szCs w:val="24"/>
        </w:rPr>
        <w:t xml:space="preserve">, yet </w:t>
      </w:r>
      <w:r w:rsidR="0055399C">
        <w:rPr>
          <w:rFonts w:ascii="Arial" w:hAnsi="Arial" w:cs="Arial"/>
          <w:color w:val="000000" w:themeColor="text1"/>
          <w:sz w:val="24"/>
          <w:szCs w:val="24"/>
        </w:rPr>
        <w:t xml:space="preserve">it </w:t>
      </w:r>
      <w:r w:rsidR="00272EFE" w:rsidRPr="004D7A44">
        <w:rPr>
          <w:rFonts w:ascii="Arial" w:hAnsi="Arial" w:cs="Arial"/>
          <w:color w:val="000000" w:themeColor="text1"/>
          <w:sz w:val="24"/>
          <w:szCs w:val="24"/>
        </w:rPr>
        <w:t xml:space="preserve">turned out to be a disciplinary committee. </w:t>
      </w:r>
      <w:r w:rsidR="0031774C">
        <w:rPr>
          <w:rFonts w:ascii="Arial" w:hAnsi="Arial" w:cs="Arial"/>
          <w:color w:val="000000" w:themeColor="text1"/>
          <w:sz w:val="24"/>
          <w:szCs w:val="24"/>
        </w:rPr>
        <w:t xml:space="preserve">The learned judge </w:t>
      </w:r>
      <w:r w:rsidR="001000A5" w:rsidRPr="004D7A44">
        <w:rPr>
          <w:rFonts w:ascii="Arial" w:hAnsi="Arial" w:cs="Arial"/>
          <w:color w:val="000000" w:themeColor="text1"/>
          <w:sz w:val="24"/>
          <w:szCs w:val="24"/>
        </w:rPr>
        <w:t>reaso</w:t>
      </w:r>
      <w:r w:rsidR="004F081B">
        <w:rPr>
          <w:rFonts w:ascii="Arial" w:hAnsi="Arial" w:cs="Arial"/>
          <w:color w:val="000000" w:themeColor="text1"/>
          <w:sz w:val="24"/>
          <w:szCs w:val="24"/>
        </w:rPr>
        <w:t xml:space="preserve">ned that the invitation to the </w:t>
      </w:r>
      <w:r w:rsidR="00C1324A">
        <w:rPr>
          <w:rFonts w:ascii="Arial" w:hAnsi="Arial" w:cs="Arial"/>
          <w:color w:val="000000" w:themeColor="text1"/>
          <w:sz w:val="24"/>
          <w:szCs w:val="24"/>
        </w:rPr>
        <w:t>c</w:t>
      </w:r>
      <w:r w:rsidR="001000A5" w:rsidRPr="004D7A44">
        <w:rPr>
          <w:rFonts w:ascii="Arial" w:hAnsi="Arial" w:cs="Arial"/>
          <w:color w:val="000000" w:themeColor="text1"/>
          <w:sz w:val="24"/>
          <w:szCs w:val="24"/>
        </w:rPr>
        <w:t xml:space="preserve">ommittee </w:t>
      </w:r>
      <w:r w:rsidR="004F081B">
        <w:rPr>
          <w:rFonts w:ascii="Arial" w:hAnsi="Arial" w:cs="Arial"/>
          <w:color w:val="000000" w:themeColor="text1"/>
          <w:sz w:val="24"/>
          <w:szCs w:val="24"/>
        </w:rPr>
        <w:t xml:space="preserve">deliberations </w:t>
      </w:r>
      <w:r w:rsidR="001000A5" w:rsidRPr="004D7A44">
        <w:rPr>
          <w:rFonts w:ascii="Arial" w:hAnsi="Arial" w:cs="Arial"/>
          <w:color w:val="000000" w:themeColor="text1"/>
          <w:sz w:val="24"/>
          <w:szCs w:val="24"/>
        </w:rPr>
        <w:t xml:space="preserve">was not adequate notice and did not set out the ‘procedure and time lines’. </w:t>
      </w:r>
      <w:r w:rsidR="00272EFE" w:rsidRPr="004D7A44">
        <w:rPr>
          <w:rFonts w:ascii="Arial" w:hAnsi="Arial" w:cs="Arial"/>
          <w:color w:val="000000" w:themeColor="text1"/>
          <w:sz w:val="24"/>
          <w:szCs w:val="24"/>
        </w:rPr>
        <w:t xml:space="preserve">According to the </w:t>
      </w:r>
      <w:r w:rsidR="00C1324A">
        <w:rPr>
          <w:rFonts w:ascii="Arial" w:hAnsi="Arial" w:cs="Arial"/>
          <w:color w:val="000000" w:themeColor="text1"/>
          <w:sz w:val="24"/>
          <w:szCs w:val="24"/>
        </w:rPr>
        <w:t>learned judge</w:t>
      </w:r>
      <w:r w:rsidR="001000A5" w:rsidRPr="004D7A44">
        <w:rPr>
          <w:rFonts w:ascii="Arial" w:hAnsi="Arial" w:cs="Arial"/>
          <w:color w:val="000000" w:themeColor="text1"/>
          <w:sz w:val="24"/>
          <w:szCs w:val="24"/>
        </w:rPr>
        <w:t>,</w:t>
      </w:r>
      <w:r w:rsidR="00272EFE" w:rsidRPr="004D7A44">
        <w:rPr>
          <w:rFonts w:ascii="Arial" w:hAnsi="Arial" w:cs="Arial"/>
          <w:color w:val="000000" w:themeColor="text1"/>
          <w:sz w:val="24"/>
          <w:szCs w:val="24"/>
        </w:rPr>
        <w:t xml:space="preserve"> </w:t>
      </w:r>
      <w:r w:rsidR="000E2269" w:rsidRPr="004D7A44">
        <w:rPr>
          <w:rFonts w:ascii="Arial" w:hAnsi="Arial" w:cs="Arial"/>
          <w:color w:val="000000" w:themeColor="text1"/>
          <w:sz w:val="24"/>
          <w:szCs w:val="24"/>
        </w:rPr>
        <w:t xml:space="preserve">the notice  also suffered from the defect that the respondents were not informed of the charges they would face, </w:t>
      </w:r>
      <w:r w:rsidR="001000A5" w:rsidRPr="004D7A44">
        <w:rPr>
          <w:rFonts w:ascii="Arial" w:hAnsi="Arial" w:cs="Arial"/>
          <w:color w:val="000000" w:themeColor="text1"/>
          <w:sz w:val="24"/>
          <w:szCs w:val="24"/>
        </w:rPr>
        <w:t>did</w:t>
      </w:r>
      <w:r w:rsidR="000E2269" w:rsidRPr="004D7A44">
        <w:rPr>
          <w:rFonts w:ascii="Arial" w:hAnsi="Arial" w:cs="Arial"/>
          <w:color w:val="000000" w:themeColor="text1"/>
          <w:sz w:val="24"/>
          <w:szCs w:val="24"/>
        </w:rPr>
        <w:t xml:space="preserve"> not </w:t>
      </w:r>
      <w:r w:rsidR="001000A5" w:rsidRPr="004D7A44">
        <w:rPr>
          <w:rFonts w:ascii="Arial" w:hAnsi="Arial" w:cs="Arial"/>
          <w:color w:val="000000" w:themeColor="text1"/>
          <w:sz w:val="24"/>
          <w:szCs w:val="24"/>
        </w:rPr>
        <w:t xml:space="preserve">forewarn them </w:t>
      </w:r>
      <w:r w:rsidR="000E2269" w:rsidRPr="004D7A44">
        <w:rPr>
          <w:rFonts w:ascii="Arial" w:hAnsi="Arial" w:cs="Arial"/>
          <w:color w:val="000000" w:themeColor="text1"/>
          <w:sz w:val="24"/>
          <w:szCs w:val="24"/>
        </w:rPr>
        <w:t xml:space="preserve">of the possible questions to be asked, the consequences that might result from the answers they might give  and the possible sanctions they faced. </w:t>
      </w:r>
    </w:p>
    <w:p w:rsidR="001E7A36" w:rsidRPr="004D7A44" w:rsidRDefault="001E7A36" w:rsidP="000137FA">
      <w:pPr>
        <w:pStyle w:val="ListParagraph"/>
        <w:spacing w:after="0" w:line="480" w:lineRule="auto"/>
        <w:ind w:left="0"/>
        <w:jc w:val="both"/>
        <w:rPr>
          <w:rFonts w:ascii="Arial" w:hAnsi="Arial" w:cs="Arial"/>
          <w:color w:val="000000" w:themeColor="text1"/>
          <w:sz w:val="24"/>
          <w:szCs w:val="24"/>
        </w:rPr>
      </w:pPr>
    </w:p>
    <w:p w:rsidR="001E7A36" w:rsidRDefault="001E7A36" w:rsidP="000137FA">
      <w:pPr>
        <w:pStyle w:val="ListParagraph"/>
        <w:numPr>
          <w:ilvl w:val="0"/>
          <w:numId w:val="21"/>
        </w:numPr>
        <w:spacing w:after="0" w:line="480" w:lineRule="auto"/>
        <w:ind w:left="0" w:firstLine="0"/>
        <w:jc w:val="both"/>
        <w:rPr>
          <w:rFonts w:ascii="Arial" w:hAnsi="Arial" w:cs="Arial"/>
          <w:color w:val="000000" w:themeColor="text1"/>
          <w:sz w:val="24"/>
          <w:szCs w:val="24"/>
        </w:rPr>
      </w:pPr>
      <w:r w:rsidRPr="004D7A44">
        <w:rPr>
          <w:rFonts w:ascii="Arial" w:hAnsi="Arial" w:cs="Arial"/>
          <w:color w:val="000000" w:themeColor="text1"/>
          <w:sz w:val="24"/>
          <w:szCs w:val="24"/>
        </w:rPr>
        <w:t xml:space="preserve">The learned judge </w:t>
      </w:r>
      <w:r w:rsidR="00223C6C">
        <w:rPr>
          <w:rFonts w:ascii="Arial" w:hAnsi="Arial" w:cs="Arial"/>
          <w:color w:val="000000" w:themeColor="text1"/>
          <w:sz w:val="24"/>
          <w:szCs w:val="24"/>
        </w:rPr>
        <w:t xml:space="preserve">found </w:t>
      </w:r>
      <w:r w:rsidRPr="004D7A44">
        <w:rPr>
          <w:rFonts w:ascii="Arial" w:hAnsi="Arial" w:cs="Arial"/>
          <w:color w:val="000000" w:themeColor="text1"/>
          <w:sz w:val="24"/>
          <w:szCs w:val="24"/>
        </w:rPr>
        <w:t>that:</w:t>
      </w:r>
    </w:p>
    <w:p w:rsidR="00BB428D" w:rsidRPr="004D7A44" w:rsidRDefault="00BB428D" w:rsidP="00BB428D">
      <w:pPr>
        <w:pStyle w:val="ListParagraph"/>
        <w:spacing w:after="0" w:line="480" w:lineRule="auto"/>
        <w:ind w:left="0"/>
        <w:jc w:val="both"/>
        <w:rPr>
          <w:rFonts w:ascii="Arial" w:hAnsi="Arial" w:cs="Arial"/>
          <w:color w:val="000000" w:themeColor="text1"/>
          <w:sz w:val="24"/>
          <w:szCs w:val="24"/>
        </w:rPr>
      </w:pPr>
    </w:p>
    <w:p w:rsidR="001E7A36" w:rsidRPr="00BB428D" w:rsidRDefault="006676A2" w:rsidP="00AD1244">
      <w:pPr>
        <w:pStyle w:val="ListParagraph"/>
        <w:spacing w:after="0" w:line="360" w:lineRule="auto"/>
        <w:jc w:val="both"/>
        <w:rPr>
          <w:rFonts w:ascii="Arial" w:hAnsi="Arial" w:cs="Arial"/>
          <w:color w:val="000000" w:themeColor="text1"/>
        </w:rPr>
      </w:pPr>
      <w:r>
        <w:rPr>
          <w:rFonts w:ascii="Arial" w:hAnsi="Arial" w:cs="Arial"/>
          <w:color w:val="000000" w:themeColor="text1"/>
        </w:rPr>
        <w:t>‘</w:t>
      </w:r>
      <w:r w:rsidR="000137FA">
        <w:rPr>
          <w:rFonts w:ascii="Arial" w:hAnsi="Arial" w:cs="Arial"/>
          <w:color w:val="000000" w:themeColor="text1"/>
        </w:rPr>
        <w:t>[153]</w:t>
      </w:r>
      <w:r w:rsidR="000137FA">
        <w:rPr>
          <w:rFonts w:ascii="Arial" w:hAnsi="Arial" w:cs="Arial"/>
          <w:color w:val="000000" w:themeColor="text1"/>
        </w:rPr>
        <w:tab/>
      </w:r>
      <w:r w:rsidR="001E7A36" w:rsidRPr="00BB428D">
        <w:rPr>
          <w:rFonts w:ascii="Arial" w:hAnsi="Arial" w:cs="Arial"/>
          <w:color w:val="000000" w:themeColor="text1"/>
        </w:rPr>
        <w:t xml:space="preserve">To me it is beyond doubt that the procedure followed in this instance did not measure up to the required standards of procedural fairness and reasonableness. It is clear that the rules of natural justice in regard to a fair disciplinary process were not satisfied when the applicants were not informed that they would be subjected to disciplinary proceedings and </w:t>
      </w:r>
      <w:r w:rsidR="00223C6C">
        <w:rPr>
          <w:rFonts w:ascii="Arial" w:hAnsi="Arial" w:cs="Arial"/>
          <w:color w:val="000000" w:themeColor="text1"/>
        </w:rPr>
        <w:t>were informed of the charges</w:t>
      </w:r>
      <w:r w:rsidR="001E7A36" w:rsidRPr="00BB428D">
        <w:rPr>
          <w:rFonts w:ascii="Arial" w:hAnsi="Arial" w:cs="Arial"/>
          <w:color w:val="000000" w:themeColor="text1"/>
        </w:rPr>
        <w:t xml:space="preserve"> that would be preferred against them which would lead to their dismissal, allowing them to prepare adequately or at all for the presentation of their cases to enable them to meaningfully participate in the disciplinary proceedings.’</w:t>
      </w:r>
    </w:p>
    <w:p w:rsidR="00223C6C" w:rsidRDefault="00223C6C" w:rsidP="00BB428D">
      <w:pPr>
        <w:pStyle w:val="ListParagraph"/>
        <w:spacing w:after="0" w:line="480" w:lineRule="auto"/>
        <w:ind w:left="0"/>
        <w:jc w:val="both"/>
        <w:rPr>
          <w:rFonts w:ascii="Arial" w:hAnsi="Arial" w:cs="Arial"/>
          <w:color w:val="000000" w:themeColor="text1"/>
          <w:sz w:val="24"/>
          <w:szCs w:val="24"/>
        </w:rPr>
      </w:pPr>
    </w:p>
    <w:p w:rsidR="00223C6C" w:rsidRDefault="00223C6C" w:rsidP="000027C2">
      <w:pPr>
        <w:pStyle w:val="ListParagraph"/>
        <w:numPr>
          <w:ilvl w:val="0"/>
          <w:numId w:val="21"/>
        </w:numPr>
        <w:spacing w:after="0" w:line="480" w:lineRule="auto"/>
        <w:ind w:left="0" w:firstLine="0"/>
        <w:jc w:val="both"/>
        <w:rPr>
          <w:rFonts w:ascii="Arial" w:hAnsi="Arial" w:cs="Arial"/>
          <w:color w:val="000000" w:themeColor="text1"/>
          <w:sz w:val="24"/>
          <w:szCs w:val="24"/>
          <w:u w:val="single"/>
        </w:rPr>
      </w:pPr>
      <w:r w:rsidRPr="00223C6C">
        <w:rPr>
          <w:rFonts w:ascii="Arial" w:hAnsi="Arial" w:cs="Arial"/>
          <w:color w:val="000000" w:themeColor="text1"/>
          <w:sz w:val="24"/>
          <w:szCs w:val="24"/>
        </w:rPr>
        <w:t xml:space="preserve">The High Court went on to </w:t>
      </w:r>
      <w:r>
        <w:rPr>
          <w:rFonts w:ascii="Arial" w:hAnsi="Arial" w:cs="Arial"/>
          <w:color w:val="000000" w:themeColor="text1"/>
          <w:sz w:val="24"/>
          <w:szCs w:val="24"/>
        </w:rPr>
        <w:t xml:space="preserve">point out that it only became apparent from the </w:t>
      </w:r>
      <w:r w:rsidR="004F081B">
        <w:rPr>
          <w:rFonts w:ascii="Arial" w:hAnsi="Arial" w:cs="Arial"/>
          <w:color w:val="000000" w:themeColor="text1"/>
          <w:sz w:val="24"/>
          <w:szCs w:val="24"/>
        </w:rPr>
        <w:t>‘</w:t>
      </w:r>
      <w:r>
        <w:rPr>
          <w:rFonts w:ascii="Arial" w:hAnsi="Arial" w:cs="Arial"/>
          <w:color w:val="000000" w:themeColor="text1"/>
          <w:sz w:val="24"/>
          <w:szCs w:val="24"/>
        </w:rPr>
        <w:t>findings</w:t>
      </w:r>
      <w:r w:rsidR="004F081B">
        <w:rPr>
          <w:rFonts w:ascii="Arial" w:hAnsi="Arial" w:cs="Arial"/>
          <w:color w:val="000000" w:themeColor="text1"/>
          <w:sz w:val="24"/>
          <w:szCs w:val="24"/>
        </w:rPr>
        <w:t>’</w:t>
      </w:r>
      <w:r>
        <w:rPr>
          <w:rFonts w:ascii="Arial" w:hAnsi="Arial" w:cs="Arial"/>
          <w:color w:val="000000" w:themeColor="text1"/>
          <w:sz w:val="24"/>
          <w:szCs w:val="24"/>
        </w:rPr>
        <w:t xml:space="preserve"> </w:t>
      </w:r>
      <w:r w:rsidR="004F081B">
        <w:rPr>
          <w:rFonts w:ascii="Arial" w:hAnsi="Arial" w:cs="Arial"/>
          <w:color w:val="000000" w:themeColor="text1"/>
          <w:sz w:val="24"/>
          <w:szCs w:val="24"/>
        </w:rPr>
        <w:t xml:space="preserve">of the </w:t>
      </w:r>
      <w:r w:rsidR="00C1324A">
        <w:rPr>
          <w:rFonts w:ascii="Arial" w:hAnsi="Arial" w:cs="Arial"/>
          <w:color w:val="000000" w:themeColor="text1"/>
          <w:sz w:val="24"/>
          <w:szCs w:val="24"/>
        </w:rPr>
        <w:t>c</w:t>
      </w:r>
      <w:r>
        <w:rPr>
          <w:rFonts w:ascii="Arial" w:hAnsi="Arial" w:cs="Arial"/>
          <w:color w:val="000000" w:themeColor="text1"/>
          <w:sz w:val="24"/>
          <w:szCs w:val="24"/>
        </w:rPr>
        <w:t xml:space="preserve">ommittee that its true purpose was to serve as a disciplinary forum </w:t>
      </w:r>
      <w:r>
        <w:rPr>
          <w:rFonts w:ascii="Arial" w:hAnsi="Arial" w:cs="Arial"/>
          <w:color w:val="000000" w:themeColor="text1"/>
          <w:sz w:val="24"/>
          <w:szCs w:val="24"/>
        </w:rPr>
        <w:lastRenderedPageBreak/>
        <w:t xml:space="preserve">and not just to collect information and to ask questions as was stated in the queen’s </w:t>
      </w:r>
      <w:r w:rsidR="004F081B">
        <w:rPr>
          <w:rFonts w:ascii="Arial" w:hAnsi="Arial" w:cs="Arial"/>
          <w:color w:val="000000" w:themeColor="text1"/>
          <w:sz w:val="24"/>
          <w:szCs w:val="24"/>
        </w:rPr>
        <w:t xml:space="preserve">notice. </w:t>
      </w:r>
      <w:r>
        <w:rPr>
          <w:rFonts w:ascii="Arial" w:hAnsi="Arial" w:cs="Arial"/>
          <w:color w:val="000000" w:themeColor="text1"/>
          <w:sz w:val="24"/>
          <w:szCs w:val="24"/>
        </w:rPr>
        <w:t xml:space="preserve">The court </w:t>
      </w:r>
      <w:r w:rsidRPr="009C1D1D">
        <w:rPr>
          <w:rFonts w:ascii="Arial" w:hAnsi="Arial" w:cs="Arial"/>
          <w:i/>
          <w:color w:val="000000" w:themeColor="text1"/>
          <w:sz w:val="24"/>
          <w:szCs w:val="24"/>
        </w:rPr>
        <w:t>a quo</w:t>
      </w:r>
      <w:r>
        <w:rPr>
          <w:rFonts w:ascii="Arial" w:hAnsi="Arial" w:cs="Arial"/>
          <w:color w:val="000000" w:themeColor="text1"/>
          <w:sz w:val="24"/>
          <w:szCs w:val="24"/>
        </w:rPr>
        <w:t xml:space="preserve"> was satisfied that the </w:t>
      </w:r>
      <w:r w:rsidR="00C1324A">
        <w:rPr>
          <w:rFonts w:ascii="Arial" w:hAnsi="Arial" w:cs="Arial"/>
          <w:color w:val="000000" w:themeColor="text1"/>
          <w:sz w:val="24"/>
          <w:szCs w:val="24"/>
        </w:rPr>
        <w:t>c</w:t>
      </w:r>
      <w:r>
        <w:rPr>
          <w:rFonts w:ascii="Arial" w:hAnsi="Arial" w:cs="Arial"/>
          <w:color w:val="000000" w:themeColor="text1"/>
          <w:sz w:val="24"/>
          <w:szCs w:val="24"/>
        </w:rPr>
        <w:t>ommittee</w:t>
      </w:r>
      <w:r w:rsidR="00F14B80">
        <w:rPr>
          <w:rFonts w:ascii="Arial" w:hAnsi="Arial" w:cs="Arial"/>
          <w:color w:val="000000" w:themeColor="text1"/>
          <w:sz w:val="24"/>
          <w:szCs w:val="24"/>
        </w:rPr>
        <w:t>,</w:t>
      </w:r>
      <w:r>
        <w:rPr>
          <w:rFonts w:ascii="Arial" w:hAnsi="Arial" w:cs="Arial"/>
          <w:color w:val="000000" w:themeColor="text1"/>
          <w:sz w:val="24"/>
          <w:szCs w:val="24"/>
        </w:rPr>
        <w:t xml:space="preserve"> being a disciplinary process possibly resulting in their dismissal</w:t>
      </w:r>
      <w:r w:rsidR="00F14B80">
        <w:rPr>
          <w:rFonts w:ascii="Arial" w:hAnsi="Arial" w:cs="Arial"/>
          <w:color w:val="000000" w:themeColor="text1"/>
          <w:sz w:val="24"/>
          <w:szCs w:val="24"/>
        </w:rPr>
        <w:t>,</w:t>
      </w:r>
      <w:r>
        <w:rPr>
          <w:rFonts w:ascii="Arial" w:hAnsi="Arial" w:cs="Arial"/>
          <w:color w:val="000000" w:themeColor="text1"/>
          <w:sz w:val="24"/>
          <w:szCs w:val="24"/>
        </w:rPr>
        <w:t xml:space="preserve"> was not foreshadowed by the queen in the notice.</w:t>
      </w:r>
      <w:r>
        <w:rPr>
          <w:rFonts w:ascii="Arial" w:hAnsi="Arial" w:cs="Arial"/>
          <w:color w:val="000000" w:themeColor="text1"/>
          <w:sz w:val="24"/>
          <w:szCs w:val="24"/>
          <w:u w:val="single"/>
        </w:rPr>
        <w:t xml:space="preserve"> </w:t>
      </w:r>
    </w:p>
    <w:p w:rsidR="004D22C3" w:rsidRDefault="004D22C3">
      <w:pPr>
        <w:rPr>
          <w:rFonts w:ascii="Arial" w:hAnsi="Arial" w:cs="Arial"/>
          <w:color w:val="000000" w:themeColor="text1"/>
          <w:sz w:val="24"/>
          <w:szCs w:val="24"/>
        </w:rPr>
      </w:pPr>
      <w:r>
        <w:rPr>
          <w:rFonts w:ascii="Arial" w:hAnsi="Arial" w:cs="Arial"/>
          <w:color w:val="000000" w:themeColor="text1"/>
          <w:sz w:val="24"/>
          <w:szCs w:val="24"/>
        </w:rPr>
        <w:br w:type="page"/>
      </w:r>
    </w:p>
    <w:p w:rsidR="00223C6C" w:rsidRDefault="0073314B" w:rsidP="000027C2">
      <w:pPr>
        <w:pStyle w:val="ListParagraph"/>
        <w:numPr>
          <w:ilvl w:val="0"/>
          <w:numId w:val="21"/>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lastRenderedPageBreak/>
        <w:t>T</w:t>
      </w:r>
      <w:r w:rsidR="00223C6C">
        <w:rPr>
          <w:rFonts w:ascii="Arial" w:hAnsi="Arial" w:cs="Arial"/>
          <w:color w:val="000000" w:themeColor="text1"/>
          <w:sz w:val="24"/>
          <w:szCs w:val="24"/>
        </w:rPr>
        <w:t>he High Court concluded that:</w:t>
      </w:r>
    </w:p>
    <w:p w:rsidR="0073314B" w:rsidRDefault="0073314B" w:rsidP="00BB428D">
      <w:pPr>
        <w:pStyle w:val="ListParagraph"/>
        <w:spacing w:after="0" w:line="480" w:lineRule="auto"/>
        <w:ind w:left="0"/>
        <w:jc w:val="both"/>
        <w:rPr>
          <w:rFonts w:ascii="Arial" w:hAnsi="Arial" w:cs="Arial"/>
          <w:color w:val="000000" w:themeColor="text1"/>
          <w:sz w:val="24"/>
          <w:szCs w:val="24"/>
        </w:rPr>
      </w:pPr>
    </w:p>
    <w:p w:rsidR="0073314B" w:rsidRDefault="0073314B" w:rsidP="00AD1244">
      <w:pPr>
        <w:pStyle w:val="ListParagraph"/>
        <w:spacing w:after="0" w:line="360" w:lineRule="auto"/>
        <w:jc w:val="both"/>
        <w:rPr>
          <w:rFonts w:ascii="Arial" w:hAnsi="Arial" w:cs="Arial"/>
          <w:color w:val="000000" w:themeColor="text1"/>
        </w:rPr>
      </w:pPr>
      <w:r w:rsidRPr="009C1D1D">
        <w:rPr>
          <w:rFonts w:ascii="Arial" w:hAnsi="Arial" w:cs="Arial"/>
          <w:color w:val="000000" w:themeColor="text1"/>
        </w:rPr>
        <w:t>‘</w:t>
      </w:r>
      <w:r w:rsidR="00F14B80">
        <w:rPr>
          <w:rFonts w:ascii="Arial" w:hAnsi="Arial" w:cs="Arial"/>
          <w:color w:val="000000" w:themeColor="text1"/>
        </w:rPr>
        <w:t>[</w:t>
      </w:r>
      <w:r w:rsidR="000027C2">
        <w:rPr>
          <w:rFonts w:ascii="Arial" w:hAnsi="Arial" w:cs="Arial"/>
          <w:color w:val="000000" w:themeColor="text1"/>
        </w:rPr>
        <w:t>154]</w:t>
      </w:r>
      <w:r w:rsidR="000027C2">
        <w:rPr>
          <w:rFonts w:ascii="Arial" w:hAnsi="Arial" w:cs="Arial"/>
          <w:color w:val="000000" w:themeColor="text1"/>
        </w:rPr>
        <w:tab/>
      </w:r>
      <w:r w:rsidRPr="009C1D1D">
        <w:rPr>
          <w:rFonts w:ascii="Arial" w:hAnsi="Arial" w:cs="Arial"/>
          <w:color w:val="000000" w:themeColor="text1"/>
        </w:rPr>
        <w:t xml:space="preserve">When the applicants were then subjected to the disciplinary proceedings before the </w:t>
      </w:r>
      <w:r w:rsidR="00F14B80">
        <w:rPr>
          <w:rFonts w:ascii="Arial" w:hAnsi="Arial" w:cs="Arial"/>
          <w:color w:val="000000" w:themeColor="text1"/>
        </w:rPr>
        <w:t>“</w:t>
      </w:r>
      <w:r w:rsidRPr="009C1D1D">
        <w:rPr>
          <w:rFonts w:ascii="Arial" w:hAnsi="Arial" w:cs="Arial"/>
          <w:color w:val="000000" w:themeColor="text1"/>
        </w:rPr>
        <w:t xml:space="preserve">interim special committee’’ without warning and without any charges having been formulated against them, thereby not affording them adequate time or the opportunity for the preparation and presentation of their defences, such proceedings amounted to </w:t>
      </w:r>
      <w:r w:rsidR="00F14B80">
        <w:rPr>
          <w:rFonts w:ascii="Arial" w:hAnsi="Arial" w:cs="Arial"/>
          <w:color w:val="000000" w:themeColor="text1"/>
        </w:rPr>
        <w:t>“</w:t>
      </w:r>
      <w:r w:rsidRPr="009C1D1D">
        <w:rPr>
          <w:rFonts w:ascii="Arial" w:hAnsi="Arial" w:cs="Arial"/>
          <w:color w:val="000000" w:themeColor="text1"/>
        </w:rPr>
        <w:t>disciplinary proceedings by ambush</w:t>
      </w:r>
      <w:r w:rsidR="00F14B80">
        <w:rPr>
          <w:rFonts w:ascii="Arial" w:hAnsi="Arial" w:cs="Arial"/>
          <w:color w:val="000000" w:themeColor="text1"/>
        </w:rPr>
        <w:t>”</w:t>
      </w:r>
      <w:r w:rsidRPr="009C1D1D">
        <w:rPr>
          <w:rFonts w:ascii="Arial" w:hAnsi="Arial" w:cs="Arial"/>
          <w:color w:val="000000" w:themeColor="text1"/>
        </w:rPr>
        <w:t>, a situation which clearly offended not only against the principles of natural justice but also against the more stringent demands for fair administrative action imposed on the respondents by Art 18 of the Constitution.’</w:t>
      </w:r>
    </w:p>
    <w:p w:rsidR="00223C6C" w:rsidRDefault="00223C6C" w:rsidP="00BB428D">
      <w:pPr>
        <w:pStyle w:val="ListParagraph"/>
        <w:spacing w:after="0" w:line="480" w:lineRule="auto"/>
        <w:ind w:left="0"/>
        <w:jc w:val="both"/>
        <w:rPr>
          <w:rFonts w:ascii="Arial" w:hAnsi="Arial" w:cs="Arial"/>
          <w:color w:val="000000" w:themeColor="text1"/>
          <w:sz w:val="24"/>
          <w:szCs w:val="24"/>
          <w:u w:val="single"/>
        </w:rPr>
      </w:pPr>
    </w:p>
    <w:p w:rsidR="00F33E9F" w:rsidRPr="004D7A44" w:rsidRDefault="00F33E9F" w:rsidP="00846736">
      <w:pPr>
        <w:pStyle w:val="ListParagraph"/>
        <w:spacing w:after="0" w:line="480" w:lineRule="auto"/>
        <w:ind w:left="0"/>
        <w:jc w:val="both"/>
        <w:rPr>
          <w:rFonts w:ascii="Arial" w:hAnsi="Arial" w:cs="Arial"/>
          <w:color w:val="000000" w:themeColor="text1"/>
          <w:sz w:val="24"/>
          <w:szCs w:val="24"/>
          <w:u w:val="single"/>
        </w:rPr>
      </w:pPr>
      <w:r w:rsidRPr="004D7A44">
        <w:rPr>
          <w:rFonts w:ascii="Arial" w:hAnsi="Arial" w:cs="Arial"/>
          <w:color w:val="000000" w:themeColor="text1"/>
          <w:sz w:val="24"/>
          <w:szCs w:val="24"/>
          <w:u w:val="single"/>
        </w:rPr>
        <w:t>Submissions on appeal</w:t>
      </w:r>
    </w:p>
    <w:p w:rsidR="005352D5" w:rsidRPr="004D7A44" w:rsidRDefault="005352D5" w:rsidP="00846736">
      <w:pPr>
        <w:spacing w:after="0" w:line="480" w:lineRule="auto"/>
        <w:jc w:val="both"/>
        <w:rPr>
          <w:rFonts w:ascii="Arial" w:hAnsi="Arial" w:cs="Arial"/>
          <w:i/>
          <w:sz w:val="24"/>
          <w:szCs w:val="24"/>
        </w:rPr>
      </w:pPr>
      <w:r w:rsidRPr="004D7A44">
        <w:rPr>
          <w:rFonts w:ascii="Arial" w:hAnsi="Arial" w:cs="Arial"/>
          <w:i/>
          <w:sz w:val="24"/>
          <w:szCs w:val="24"/>
        </w:rPr>
        <w:t>The appellants</w:t>
      </w:r>
    </w:p>
    <w:p w:rsidR="006676A2" w:rsidRPr="000027C2" w:rsidRDefault="00AD1244" w:rsidP="000027C2">
      <w:pPr>
        <w:pStyle w:val="ListParagraph"/>
        <w:numPr>
          <w:ilvl w:val="0"/>
          <w:numId w:val="21"/>
        </w:numPr>
        <w:spacing w:after="0" w:line="480" w:lineRule="auto"/>
        <w:ind w:left="0" w:firstLine="0"/>
        <w:jc w:val="both"/>
        <w:rPr>
          <w:rFonts w:ascii="Arial" w:hAnsi="Arial" w:cs="Arial"/>
          <w:sz w:val="24"/>
          <w:szCs w:val="24"/>
        </w:rPr>
      </w:pPr>
      <w:r w:rsidRPr="000027C2">
        <w:rPr>
          <w:rFonts w:ascii="Arial" w:hAnsi="Arial" w:cs="Arial"/>
          <w:sz w:val="24"/>
          <w:szCs w:val="24"/>
        </w:rPr>
        <w:t>In his ‘n</w:t>
      </w:r>
      <w:r w:rsidR="001E7A36" w:rsidRPr="000027C2">
        <w:rPr>
          <w:rFonts w:ascii="Arial" w:hAnsi="Arial" w:cs="Arial"/>
          <w:sz w:val="24"/>
          <w:szCs w:val="24"/>
        </w:rPr>
        <w:t xml:space="preserve">ote on </w:t>
      </w:r>
      <w:r w:rsidRPr="000027C2">
        <w:rPr>
          <w:rFonts w:ascii="Arial" w:hAnsi="Arial" w:cs="Arial"/>
          <w:sz w:val="24"/>
          <w:szCs w:val="24"/>
        </w:rPr>
        <w:t>a</w:t>
      </w:r>
      <w:r w:rsidR="001E7A36" w:rsidRPr="000027C2">
        <w:rPr>
          <w:rFonts w:ascii="Arial" w:hAnsi="Arial" w:cs="Arial"/>
          <w:sz w:val="24"/>
          <w:szCs w:val="24"/>
        </w:rPr>
        <w:t>rgument’</w:t>
      </w:r>
      <w:r w:rsidR="004F081B" w:rsidRPr="000027C2">
        <w:rPr>
          <w:rFonts w:ascii="Arial" w:hAnsi="Arial" w:cs="Arial"/>
          <w:sz w:val="24"/>
          <w:szCs w:val="24"/>
        </w:rPr>
        <w:t xml:space="preserve">, </w:t>
      </w:r>
      <w:r w:rsidR="001E7A36" w:rsidRPr="000027C2">
        <w:rPr>
          <w:rFonts w:ascii="Arial" w:hAnsi="Arial" w:cs="Arial"/>
          <w:sz w:val="24"/>
          <w:szCs w:val="24"/>
        </w:rPr>
        <w:t xml:space="preserve">Mr Semenya SC submits that the above conclusions of the judge </w:t>
      </w:r>
      <w:r w:rsidR="001E7A36" w:rsidRPr="000027C2">
        <w:rPr>
          <w:rFonts w:ascii="Arial" w:hAnsi="Arial" w:cs="Arial"/>
          <w:i/>
          <w:sz w:val="24"/>
          <w:szCs w:val="24"/>
        </w:rPr>
        <w:t>a quo</w:t>
      </w:r>
      <w:r w:rsidR="001E7A36" w:rsidRPr="000027C2">
        <w:rPr>
          <w:rFonts w:ascii="Arial" w:hAnsi="Arial" w:cs="Arial"/>
          <w:sz w:val="24"/>
          <w:szCs w:val="24"/>
        </w:rPr>
        <w:t xml:space="preserve"> constitute a misdirection. In the first place</w:t>
      </w:r>
      <w:r w:rsidR="0031774C" w:rsidRPr="000027C2">
        <w:rPr>
          <w:rFonts w:ascii="Arial" w:hAnsi="Arial" w:cs="Arial"/>
          <w:sz w:val="24"/>
          <w:szCs w:val="24"/>
        </w:rPr>
        <w:t>,</w:t>
      </w:r>
      <w:r w:rsidR="001E7A36" w:rsidRPr="000027C2">
        <w:rPr>
          <w:rFonts w:ascii="Arial" w:hAnsi="Arial" w:cs="Arial"/>
          <w:sz w:val="24"/>
          <w:szCs w:val="24"/>
        </w:rPr>
        <w:t xml:space="preserve"> he argues that the </w:t>
      </w:r>
      <w:r w:rsidR="0031774C" w:rsidRPr="000027C2">
        <w:rPr>
          <w:rFonts w:ascii="Arial" w:hAnsi="Arial" w:cs="Arial"/>
          <w:sz w:val="24"/>
          <w:szCs w:val="24"/>
        </w:rPr>
        <w:t xml:space="preserve">Oukwanyama </w:t>
      </w:r>
      <w:r w:rsidR="001E7A36" w:rsidRPr="000027C2">
        <w:rPr>
          <w:rFonts w:ascii="Arial" w:hAnsi="Arial" w:cs="Arial"/>
          <w:sz w:val="24"/>
          <w:szCs w:val="24"/>
        </w:rPr>
        <w:t>customary law does not prescribe a particula</w:t>
      </w:r>
      <w:r w:rsidR="0073314B" w:rsidRPr="000027C2">
        <w:rPr>
          <w:rFonts w:ascii="Arial" w:hAnsi="Arial" w:cs="Arial"/>
          <w:sz w:val="24"/>
          <w:szCs w:val="24"/>
        </w:rPr>
        <w:t xml:space="preserve">r procedure for a disciplinary </w:t>
      </w:r>
      <w:r w:rsidR="001E7A36" w:rsidRPr="000027C2">
        <w:rPr>
          <w:rFonts w:ascii="Arial" w:hAnsi="Arial" w:cs="Arial"/>
          <w:sz w:val="24"/>
          <w:szCs w:val="24"/>
        </w:rPr>
        <w:t xml:space="preserve">hearing and that </w:t>
      </w:r>
      <w:r w:rsidR="002521FE" w:rsidRPr="000027C2">
        <w:rPr>
          <w:rFonts w:ascii="Arial" w:hAnsi="Arial" w:cs="Arial"/>
          <w:i/>
          <w:sz w:val="24"/>
          <w:szCs w:val="24"/>
        </w:rPr>
        <w:t>audi</w:t>
      </w:r>
      <w:r w:rsidR="00DF264C" w:rsidRPr="000027C2">
        <w:rPr>
          <w:rFonts w:ascii="Arial" w:hAnsi="Arial" w:cs="Arial"/>
          <w:i/>
          <w:sz w:val="24"/>
          <w:szCs w:val="24"/>
        </w:rPr>
        <w:t xml:space="preserve"> altera</w:t>
      </w:r>
      <w:r w:rsidR="0073314B" w:rsidRPr="000027C2">
        <w:rPr>
          <w:rFonts w:ascii="Arial" w:hAnsi="Arial" w:cs="Arial"/>
          <w:i/>
          <w:sz w:val="24"/>
          <w:szCs w:val="24"/>
        </w:rPr>
        <w:t>m</w:t>
      </w:r>
      <w:r w:rsidR="002521FE" w:rsidRPr="000027C2">
        <w:rPr>
          <w:rFonts w:ascii="Arial" w:hAnsi="Arial" w:cs="Arial"/>
          <w:i/>
          <w:sz w:val="24"/>
          <w:szCs w:val="24"/>
        </w:rPr>
        <w:t xml:space="preserve"> partem</w:t>
      </w:r>
      <w:r w:rsidR="002521FE" w:rsidRPr="000027C2">
        <w:rPr>
          <w:rFonts w:ascii="Arial" w:hAnsi="Arial" w:cs="Arial"/>
          <w:sz w:val="24"/>
          <w:szCs w:val="24"/>
        </w:rPr>
        <w:t xml:space="preserve"> is a flexible doctrine whose content and application may vary according to the power exercised and the circumstances of the case. </w:t>
      </w:r>
      <w:r w:rsidR="0031774C" w:rsidRPr="000027C2">
        <w:rPr>
          <w:rFonts w:ascii="Arial" w:hAnsi="Arial" w:cs="Arial"/>
          <w:sz w:val="24"/>
          <w:szCs w:val="24"/>
        </w:rPr>
        <w:t>Counsel</w:t>
      </w:r>
      <w:r w:rsidR="002521FE" w:rsidRPr="000027C2">
        <w:rPr>
          <w:rFonts w:ascii="Arial" w:hAnsi="Arial" w:cs="Arial"/>
          <w:sz w:val="24"/>
          <w:szCs w:val="24"/>
        </w:rPr>
        <w:t xml:space="preserve"> argued that the circumstances of the present case called for a flexible application of </w:t>
      </w:r>
      <w:r w:rsidR="004F081B" w:rsidRPr="000027C2">
        <w:rPr>
          <w:rFonts w:ascii="Arial" w:hAnsi="Arial" w:cs="Arial"/>
          <w:i/>
          <w:sz w:val="24"/>
          <w:szCs w:val="24"/>
        </w:rPr>
        <w:t>audi</w:t>
      </w:r>
      <w:r w:rsidR="004F081B" w:rsidRPr="000027C2">
        <w:rPr>
          <w:rFonts w:ascii="Arial" w:hAnsi="Arial" w:cs="Arial"/>
          <w:sz w:val="24"/>
          <w:szCs w:val="24"/>
        </w:rPr>
        <w:t xml:space="preserve"> </w:t>
      </w:r>
      <w:r w:rsidR="002521FE" w:rsidRPr="000027C2">
        <w:rPr>
          <w:rFonts w:ascii="Arial" w:hAnsi="Arial" w:cs="Arial"/>
          <w:sz w:val="24"/>
          <w:szCs w:val="24"/>
        </w:rPr>
        <w:t>given</w:t>
      </w:r>
      <w:r w:rsidR="004D0B9A" w:rsidRPr="000027C2">
        <w:rPr>
          <w:rFonts w:ascii="Arial" w:hAnsi="Arial" w:cs="Arial"/>
          <w:sz w:val="24"/>
          <w:szCs w:val="24"/>
        </w:rPr>
        <w:t>,</w:t>
      </w:r>
      <w:r w:rsidR="002521FE" w:rsidRPr="000027C2">
        <w:rPr>
          <w:rFonts w:ascii="Arial" w:hAnsi="Arial" w:cs="Arial"/>
          <w:sz w:val="24"/>
          <w:szCs w:val="24"/>
        </w:rPr>
        <w:t xml:space="preserve"> firstly</w:t>
      </w:r>
      <w:r w:rsidR="004D0B9A" w:rsidRPr="000027C2">
        <w:rPr>
          <w:rFonts w:ascii="Arial" w:hAnsi="Arial" w:cs="Arial"/>
          <w:sz w:val="24"/>
          <w:szCs w:val="24"/>
        </w:rPr>
        <w:t>,</w:t>
      </w:r>
      <w:r w:rsidR="002521FE" w:rsidRPr="000027C2">
        <w:rPr>
          <w:rFonts w:ascii="Arial" w:hAnsi="Arial" w:cs="Arial"/>
          <w:sz w:val="24"/>
          <w:szCs w:val="24"/>
        </w:rPr>
        <w:t xml:space="preserve"> that the proceedings in question took place in the contex</w:t>
      </w:r>
      <w:r w:rsidR="00142338" w:rsidRPr="000027C2">
        <w:rPr>
          <w:rFonts w:ascii="Arial" w:hAnsi="Arial" w:cs="Arial"/>
          <w:sz w:val="24"/>
          <w:szCs w:val="24"/>
        </w:rPr>
        <w:t>t</w:t>
      </w:r>
      <w:r w:rsidR="002521FE" w:rsidRPr="000027C2">
        <w:rPr>
          <w:rFonts w:ascii="Arial" w:hAnsi="Arial" w:cs="Arial"/>
          <w:sz w:val="24"/>
          <w:szCs w:val="24"/>
        </w:rPr>
        <w:t xml:space="preserve"> of cus</w:t>
      </w:r>
      <w:r w:rsidR="00142338" w:rsidRPr="000027C2">
        <w:rPr>
          <w:rFonts w:ascii="Arial" w:hAnsi="Arial" w:cs="Arial"/>
          <w:sz w:val="24"/>
          <w:szCs w:val="24"/>
        </w:rPr>
        <w:t>tomary law administered by a tribal leaders</w:t>
      </w:r>
      <w:r w:rsidR="004D0B9A" w:rsidRPr="000027C2">
        <w:rPr>
          <w:rFonts w:ascii="Arial" w:hAnsi="Arial" w:cs="Arial"/>
          <w:sz w:val="24"/>
          <w:szCs w:val="24"/>
        </w:rPr>
        <w:t>hip</w:t>
      </w:r>
      <w:r w:rsidR="00142338" w:rsidRPr="000027C2">
        <w:rPr>
          <w:rFonts w:ascii="Arial" w:hAnsi="Arial" w:cs="Arial"/>
          <w:sz w:val="24"/>
          <w:szCs w:val="24"/>
        </w:rPr>
        <w:t xml:space="preserve"> who are lay persons </w:t>
      </w:r>
      <w:r w:rsidR="004D0B9A" w:rsidRPr="000027C2">
        <w:rPr>
          <w:rFonts w:ascii="Arial" w:hAnsi="Arial" w:cs="Arial"/>
          <w:sz w:val="24"/>
          <w:szCs w:val="24"/>
        </w:rPr>
        <w:t xml:space="preserve">and </w:t>
      </w:r>
      <w:r w:rsidR="00142338" w:rsidRPr="000027C2">
        <w:rPr>
          <w:rFonts w:ascii="Arial" w:hAnsi="Arial" w:cs="Arial"/>
          <w:sz w:val="24"/>
          <w:szCs w:val="24"/>
        </w:rPr>
        <w:t>in relation to persons claiming to be experts in the practice of customary law.</w:t>
      </w:r>
    </w:p>
    <w:p w:rsidR="0073314B" w:rsidRDefault="0073314B" w:rsidP="000027C2">
      <w:pPr>
        <w:spacing w:after="0" w:line="480" w:lineRule="auto"/>
        <w:jc w:val="both"/>
        <w:rPr>
          <w:rFonts w:ascii="Arial" w:hAnsi="Arial" w:cs="Arial"/>
          <w:sz w:val="24"/>
          <w:szCs w:val="24"/>
        </w:rPr>
      </w:pPr>
    </w:p>
    <w:p w:rsidR="00171CC0" w:rsidRPr="000027C2" w:rsidRDefault="00142338" w:rsidP="000027C2">
      <w:pPr>
        <w:pStyle w:val="ListParagraph"/>
        <w:numPr>
          <w:ilvl w:val="0"/>
          <w:numId w:val="21"/>
        </w:numPr>
        <w:spacing w:after="0" w:line="480" w:lineRule="auto"/>
        <w:ind w:left="0" w:firstLine="0"/>
        <w:jc w:val="both"/>
        <w:rPr>
          <w:rFonts w:ascii="Arial" w:hAnsi="Arial" w:cs="Arial"/>
          <w:sz w:val="24"/>
          <w:szCs w:val="24"/>
        </w:rPr>
      </w:pPr>
      <w:r w:rsidRPr="000027C2">
        <w:rPr>
          <w:rFonts w:ascii="Arial" w:hAnsi="Arial" w:cs="Arial"/>
          <w:sz w:val="24"/>
          <w:szCs w:val="24"/>
        </w:rPr>
        <w:t xml:space="preserve">Thus considered, according to Mr Semenya, the process followed in the present case satisfied the requirements of </w:t>
      </w:r>
      <w:r w:rsidRPr="000027C2">
        <w:rPr>
          <w:rFonts w:ascii="Arial" w:hAnsi="Arial" w:cs="Arial"/>
          <w:i/>
          <w:sz w:val="24"/>
          <w:szCs w:val="24"/>
        </w:rPr>
        <w:t xml:space="preserve">audi </w:t>
      </w:r>
      <w:r w:rsidRPr="000027C2">
        <w:rPr>
          <w:rFonts w:ascii="Arial" w:hAnsi="Arial" w:cs="Arial"/>
          <w:sz w:val="24"/>
          <w:szCs w:val="24"/>
        </w:rPr>
        <w:t xml:space="preserve">in that the respondents were first suspended (together with Mr Nelulu), followed by a notice of a hearing before an investigating committee which then prepared the ‘findings’ on the strength of which </w:t>
      </w:r>
      <w:r w:rsidRPr="000027C2">
        <w:rPr>
          <w:rFonts w:ascii="Arial" w:hAnsi="Arial" w:cs="Arial"/>
          <w:sz w:val="24"/>
          <w:szCs w:val="24"/>
        </w:rPr>
        <w:lastRenderedPageBreak/>
        <w:t xml:space="preserve">the first appellant dismissed the respondents. Mr Semenya argued that the notice made clear that the respondents were informed that they were required to provide information and to answer questions from the </w:t>
      </w:r>
      <w:r w:rsidR="006D53CA" w:rsidRPr="000027C2">
        <w:rPr>
          <w:rFonts w:ascii="Arial" w:hAnsi="Arial" w:cs="Arial"/>
          <w:sz w:val="24"/>
          <w:szCs w:val="24"/>
        </w:rPr>
        <w:t>c</w:t>
      </w:r>
      <w:r w:rsidRPr="000027C2">
        <w:rPr>
          <w:rFonts w:ascii="Arial" w:hAnsi="Arial" w:cs="Arial"/>
          <w:sz w:val="24"/>
          <w:szCs w:val="24"/>
        </w:rPr>
        <w:t>ommittee.</w:t>
      </w:r>
      <w:r w:rsidR="004A0050" w:rsidRPr="000027C2">
        <w:rPr>
          <w:rFonts w:ascii="Arial" w:hAnsi="Arial" w:cs="Arial"/>
          <w:sz w:val="24"/>
          <w:szCs w:val="24"/>
        </w:rPr>
        <w:t xml:space="preserve"> On the </w:t>
      </w:r>
      <w:r w:rsidR="0073314B" w:rsidRPr="000027C2">
        <w:rPr>
          <w:rFonts w:ascii="Arial" w:hAnsi="Arial" w:cs="Arial"/>
          <w:sz w:val="24"/>
          <w:szCs w:val="24"/>
        </w:rPr>
        <w:t>basis of this, Mr Semenya argued</w:t>
      </w:r>
      <w:r w:rsidR="004A0050" w:rsidRPr="000027C2">
        <w:rPr>
          <w:rFonts w:ascii="Arial" w:hAnsi="Arial" w:cs="Arial"/>
          <w:sz w:val="24"/>
          <w:szCs w:val="24"/>
        </w:rPr>
        <w:t>, the High Court’s conclusion imposes e</w:t>
      </w:r>
      <w:r w:rsidR="004F081B" w:rsidRPr="000027C2">
        <w:rPr>
          <w:rFonts w:ascii="Arial" w:hAnsi="Arial" w:cs="Arial"/>
          <w:sz w:val="24"/>
          <w:szCs w:val="24"/>
        </w:rPr>
        <w:t>xacting standards for a hearing</w:t>
      </w:r>
      <w:r w:rsidR="004A0050" w:rsidRPr="000027C2">
        <w:rPr>
          <w:rFonts w:ascii="Arial" w:hAnsi="Arial" w:cs="Arial"/>
          <w:sz w:val="24"/>
          <w:szCs w:val="24"/>
        </w:rPr>
        <w:t xml:space="preserve"> conducted by a traditional authority.</w:t>
      </w:r>
    </w:p>
    <w:p w:rsidR="006676A2" w:rsidRDefault="006676A2" w:rsidP="000027C2">
      <w:pPr>
        <w:spacing w:after="0" w:line="480" w:lineRule="auto"/>
        <w:jc w:val="both"/>
        <w:rPr>
          <w:rFonts w:ascii="Arial" w:hAnsi="Arial" w:cs="Arial"/>
          <w:sz w:val="24"/>
          <w:szCs w:val="24"/>
        </w:rPr>
      </w:pPr>
    </w:p>
    <w:p w:rsidR="0073314B" w:rsidRPr="000027C2" w:rsidRDefault="004A0050" w:rsidP="000027C2">
      <w:pPr>
        <w:pStyle w:val="ListParagraph"/>
        <w:numPr>
          <w:ilvl w:val="0"/>
          <w:numId w:val="21"/>
        </w:numPr>
        <w:spacing w:after="0" w:line="480" w:lineRule="auto"/>
        <w:ind w:left="0" w:firstLine="0"/>
        <w:jc w:val="both"/>
        <w:rPr>
          <w:rFonts w:ascii="Arial" w:hAnsi="Arial" w:cs="Arial"/>
          <w:sz w:val="24"/>
          <w:szCs w:val="24"/>
        </w:rPr>
      </w:pPr>
      <w:r w:rsidRPr="000027C2">
        <w:rPr>
          <w:rFonts w:ascii="Arial" w:hAnsi="Arial" w:cs="Arial"/>
          <w:sz w:val="24"/>
          <w:szCs w:val="24"/>
        </w:rPr>
        <w:t>Mr Semenya also submitted that</w:t>
      </w:r>
      <w:r w:rsidR="0073314B" w:rsidRPr="000027C2">
        <w:rPr>
          <w:rFonts w:ascii="Arial" w:hAnsi="Arial" w:cs="Arial"/>
          <w:sz w:val="24"/>
          <w:szCs w:val="24"/>
        </w:rPr>
        <w:t>,</w:t>
      </w:r>
      <w:r w:rsidRPr="000027C2">
        <w:rPr>
          <w:rFonts w:ascii="Arial" w:hAnsi="Arial" w:cs="Arial"/>
          <w:sz w:val="24"/>
          <w:szCs w:val="24"/>
        </w:rPr>
        <w:t xml:space="preserve"> in any event, the High Court misdirected itself in coming to the conclusions it did by relying on </w:t>
      </w:r>
      <w:r w:rsidR="003568EE" w:rsidRPr="000027C2">
        <w:rPr>
          <w:rFonts w:ascii="Arial" w:hAnsi="Arial" w:cs="Arial"/>
          <w:sz w:val="24"/>
          <w:szCs w:val="24"/>
        </w:rPr>
        <w:t>bases or grounds not advanced by the respondents in their founding affidavit. According to counsel, the case that the appellants were called upon to meet was that the respondents were not afforded a hearing before the first appellant made her decision and not that they did not know that the procee</w:t>
      </w:r>
      <w:r w:rsidR="004F081B" w:rsidRPr="000027C2">
        <w:rPr>
          <w:rFonts w:ascii="Arial" w:hAnsi="Arial" w:cs="Arial"/>
          <w:sz w:val="24"/>
          <w:szCs w:val="24"/>
        </w:rPr>
        <w:t xml:space="preserve">dings before the </w:t>
      </w:r>
      <w:r w:rsidR="006D53CA" w:rsidRPr="000027C2">
        <w:rPr>
          <w:rFonts w:ascii="Arial" w:hAnsi="Arial" w:cs="Arial"/>
          <w:sz w:val="24"/>
          <w:szCs w:val="24"/>
        </w:rPr>
        <w:t>c</w:t>
      </w:r>
      <w:r w:rsidR="003568EE" w:rsidRPr="000027C2">
        <w:rPr>
          <w:rFonts w:ascii="Arial" w:hAnsi="Arial" w:cs="Arial"/>
          <w:sz w:val="24"/>
          <w:szCs w:val="24"/>
        </w:rPr>
        <w:t>ommittee were of a disciplinary nature. He added that the respondents did not object to the proceedings on the basis that its true nature was not made known to them prior to it taking place.</w:t>
      </w:r>
    </w:p>
    <w:p w:rsidR="006676A2" w:rsidRDefault="006676A2" w:rsidP="000027C2">
      <w:pPr>
        <w:spacing w:after="0" w:line="480" w:lineRule="auto"/>
        <w:jc w:val="both"/>
        <w:rPr>
          <w:rFonts w:ascii="Arial" w:hAnsi="Arial" w:cs="Arial"/>
          <w:sz w:val="24"/>
          <w:szCs w:val="24"/>
        </w:rPr>
      </w:pPr>
    </w:p>
    <w:p w:rsidR="00B931B4" w:rsidRPr="000027C2" w:rsidRDefault="003568EE" w:rsidP="000027C2">
      <w:pPr>
        <w:pStyle w:val="ListParagraph"/>
        <w:numPr>
          <w:ilvl w:val="0"/>
          <w:numId w:val="21"/>
        </w:numPr>
        <w:spacing w:after="0" w:line="480" w:lineRule="auto"/>
        <w:ind w:left="0" w:firstLine="0"/>
        <w:jc w:val="both"/>
        <w:rPr>
          <w:rFonts w:ascii="Arial" w:hAnsi="Arial" w:cs="Arial"/>
          <w:sz w:val="24"/>
          <w:szCs w:val="24"/>
        </w:rPr>
      </w:pPr>
      <w:r w:rsidRPr="000027C2">
        <w:rPr>
          <w:rFonts w:ascii="Arial" w:hAnsi="Arial" w:cs="Arial"/>
          <w:sz w:val="24"/>
          <w:szCs w:val="24"/>
        </w:rPr>
        <w:t>Mr Semenya argued that the respondents, as traditional leaders, would have been aware that they were facing disciplinary proceedings when ca</w:t>
      </w:r>
      <w:r w:rsidR="004F081B" w:rsidRPr="000027C2">
        <w:rPr>
          <w:rFonts w:ascii="Arial" w:hAnsi="Arial" w:cs="Arial"/>
          <w:sz w:val="24"/>
          <w:szCs w:val="24"/>
        </w:rPr>
        <w:t xml:space="preserve">lled upon to appear before the </w:t>
      </w:r>
      <w:r w:rsidR="006D53CA" w:rsidRPr="000027C2">
        <w:rPr>
          <w:rFonts w:ascii="Arial" w:hAnsi="Arial" w:cs="Arial"/>
          <w:sz w:val="24"/>
          <w:szCs w:val="24"/>
        </w:rPr>
        <w:t>c</w:t>
      </w:r>
      <w:r w:rsidRPr="000027C2">
        <w:rPr>
          <w:rFonts w:ascii="Arial" w:hAnsi="Arial" w:cs="Arial"/>
          <w:sz w:val="24"/>
          <w:szCs w:val="24"/>
        </w:rPr>
        <w:t>ommittee.</w:t>
      </w:r>
      <w:r w:rsidR="001B535F" w:rsidRPr="000027C2">
        <w:rPr>
          <w:rFonts w:ascii="Arial" w:hAnsi="Arial" w:cs="Arial"/>
          <w:sz w:val="24"/>
          <w:szCs w:val="24"/>
        </w:rPr>
        <w:t xml:space="preserve"> </w:t>
      </w:r>
      <w:r w:rsidR="00DF264C" w:rsidRPr="000027C2">
        <w:rPr>
          <w:rFonts w:ascii="Arial" w:hAnsi="Arial" w:cs="Arial"/>
          <w:sz w:val="24"/>
          <w:szCs w:val="24"/>
        </w:rPr>
        <w:t xml:space="preserve">Additionally, </w:t>
      </w:r>
      <w:r w:rsidR="001B535F" w:rsidRPr="000027C2">
        <w:rPr>
          <w:rFonts w:ascii="Arial" w:hAnsi="Arial" w:cs="Arial"/>
          <w:sz w:val="24"/>
          <w:szCs w:val="24"/>
        </w:rPr>
        <w:t xml:space="preserve">Mr Semenya argued that the </w:t>
      </w:r>
      <w:r w:rsidR="00077F69" w:rsidRPr="000027C2">
        <w:rPr>
          <w:rFonts w:ascii="Arial" w:hAnsi="Arial" w:cs="Arial"/>
          <w:sz w:val="24"/>
          <w:szCs w:val="24"/>
        </w:rPr>
        <w:t xml:space="preserve">findings by the </w:t>
      </w:r>
      <w:r w:rsidR="001B535F" w:rsidRPr="000027C2">
        <w:rPr>
          <w:rFonts w:ascii="Arial" w:hAnsi="Arial" w:cs="Arial"/>
          <w:sz w:val="24"/>
          <w:szCs w:val="24"/>
        </w:rPr>
        <w:t xml:space="preserve">court </w:t>
      </w:r>
      <w:r w:rsidR="001B535F" w:rsidRPr="000027C2">
        <w:rPr>
          <w:rFonts w:ascii="Arial" w:hAnsi="Arial" w:cs="Arial"/>
          <w:i/>
          <w:sz w:val="24"/>
          <w:szCs w:val="24"/>
        </w:rPr>
        <w:t>a quo</w:t>
      </w:r>
      <w:r w:rsidR="001B535F" w:rsidRPr="000027C2">
        <w:rPr>
          <w:rFonts w:ascii="Arial" w:hAnsi="Arial" w:cs="Arial"/>
          <w:sz w:val="24"/>
          <w:szCs w:val="24"/>
        </w:rPr>
        <w:t xml:space="preserve"> that the respondents were not presented with</w:t>
      </w:r>
      <w:r w:rsidR="00077F69" w:rsidRPr="000027C2">
        <w:rPr>
          <w:rFonts w:ascii="Arial" w:hAnsi="Arial" w:cs="Arial"/>
          <w:sz w:val="24"/>
          <w:szCs w:val="24"/>
        </w:rPr>
        <w:t xml:space="preserve"> charges prior to the hearing, that the respondents did not have adequate notice and sufficient time for preparation, are a misdirection because they constitute grounds and complaints which the appellant</w:t>
      </w:r>
      <w:r w:rsidR="00DF264C" w:rsidRPr="000027C2">
        <w:rPr>
          <w:rFonts w:ascii="Arial" w:hAnsi="Arial" w:cs="Arial"/>
          <w:sz w:val="24"/>
          <w:szCs w:val="24"/>
        </w:rPr>
        <w:t>s</w:t>
      </w:r>
      <w:r w:rsidR="00077F69" w:rsidRPr="000027C2">
        <w:rPr>
          <w:rFonts w:ascii="Arial" w:hAnsi="Arial" w:cs="Arial"/>
          <w:sz w:val="24"/>
          <w:szCs w:val="24"/>
        </w:rPr>
        <w:t xml:space="preserve"> were not called upon to meet and which, if raised, they would have answered.</w:t>
      </w:r>
    </w:p>
    <w:p w:rsidR="006676A2" w:rsidRPr="009A51BC" w:rsidRDefault="006676A2" w:rsidP="000027C2">
      <w:pPr>
        <w:spacing w:after="0" w:line="480" w:lineRule="auto"/>
        <w:jc w:val="both"/>
        <w:rPr>
          <w:rFonts w:ascii="Arial" w:hAnsi="Arial" w:cs="Arial"/>
          <w:sz w:val="24"/>
          <w:szCs w:val="24"/>
        </w:rPr>
      </w:pPr>
    </w:p>
    <w:p w:rsidR="005352D5" w:rsidRPr="004D7A44" w:rsidRDefault="00B931B4" w:rsidP="000027C2">
      <w:pPr>
        <w:pStyle w:val="NoSpacing"/>
        <w:numPr>
          <w:ilvl w:val="0"/>
          <w:numId w:val="21"/>
        </w:numPr>
        <w:spacing w:line="480" w:lineRule="auto"/>
        <w:ind w:left="0" w:firstLine="0"/>
        <w:jc w:val="both"/>
        <w:rPr>
          <w:rFonts w:ascii="Arial" w:hAnsi="Arial" w:cs="Arial"/>
          <w:i/>
          <w:sz w:val="24"/>
        </w:rPr>
      </w:pPr>
      <w:r w:rsidRPr="004D7A44">
        <w:rPr>
          <w:rFonts w:ascii="Arial" w:hAnsi="Arial" w:cs="Arial"/>
          <w:sz w:val="24"/>
        </w:rPr>
        <w:lastRenderedPageBreak/>
        <w:t>In the appellants’</w:t>
      </w:r>
      <w:r w:rsidR="005352D5" w:rsidRPr="004D7A44">
        <w:rPr>
          <w:rFonts w:ascii="Arial" w:hAnsi="Arial" w:cs="Arial"/>
          <w:sz w:val="24"/>
        </w:rPr>
        <w:t xml:space="preserve"> </w:t>
      </w:r>
      <w:r w:rsidRPr="004D7A44">
        <w:rPr>
          <w:rFonts w:ascii="Arial" w:hAnsi="Arial" w:cs="Arial"/>
          <w:sz w:val="24"/>
        </w:rPr>
        <w:t xml:space="preserve">written submissions reliance is placed on two </w:t>
      </w:r>
      <w:r w:rsidR="006D53CA">
        <w:rPr>
          <w:rFonts w:ascii="Arial" w:hAnsi="Arial" w:cs="Arial"/>
          <w:sz w:val="24"/>
        </w:rPr>
        <w:t>Namibian</w:t>
      </w:r>
      <w:r w:rsidR="005352D5" w:rsidRPr="004D7A44">
        <w:rPr>
          <w:rFonts w:ascii="Arial" w:hAnsi="Arial" w:cs="Arial"/>
          <w:sz w:val="24"/>
        </w:rPr>
        <w:t xml:space="preserve"> </w:t>
      </w:r>
      <w:r w:rsidRPr="004D7A44">
        <w:rPr>
          <w:rFonts w:ascii="Arial" w:hAnsi="Arial" w:cs="Arial"/>
          <w:sz w:val="24"/>
        </w:rPr>
        <w:t xml:space="preserve">decisions for the proposition that the bases that the court </w:t>
      </w:r>
      <w:r w:rsidRPr="009C1D1D">
        <w:rPr>
          <w:rFonts w:ascii="Arial" w:hAnsi="Arial" w:cs="Arial"/>
          <w:i/>
          <w:sz w:val="24"/>
        </w:rPr>
        <w:t>a quo</w:t>
      </w:r>
      <w:r w:rsidRPr="004D7A44">
        <w:rPr>
          <w:rFonts w:ascii="Arial" w:hAnsi="Arial" w:cs="Arial"/>
          <w:sz w:val="24"/>
        </w:rPr>
        <w:t xml:space="preserve"> relied on for its inferences should have been s</w:t>
      </w:r>
      <w:r w:rsidR="00F14B80">
        <w:rPr>
          <w:rFonts w:ascii="Arial" w:hAnsi="Arial" w:cs="Arial"/>
          <w:sz w:val="24"/>
        </w:rPr>
        <w:t>t</w:t>
      </w:r>
      <w:r w:rsidRPr="004D7A44">
        <w:rPr>
          <w:rFonts w:ascii="Arial" w:hAnsi="Arial" w:cs="Arial"/>
          <w:sz w:val="24"/>
        </w:rPr>
        <w:t>ated clearly in the founding affidav</w:t>
      </w:r>
      <w:r w:rsidR="00FA3AC6">
        <w:rPr>
          <w:rFonts w:ascii="Arial" w:hAnsi="Arial" w:cs="Arial"/>
          <w:sz w:val="24"/>
        </w:rPr>
        <w:t xml:space="preserve">it and that since it was not, </w:t>
      </w:r>
      <w:r w:rsidRPr="004D7A44">
        <w:rPr>
          <w:rFonts w:ascii="Arial" w:hAnsi="Arial" w:cs="Arial"/>
          <w:sz w:val="24"/>
        </w:rPr>
        <w:t xml:space="preserve">that </w:t>
      </w:r>
      <w:r w:rsidR="005352D5" w:rsidRPr="004D7A44">
        <w:rPr>
          <w:rFonts w:ascii="Arial" w:hAnsi="Arial" w:cs="Arial"/>
          <w:sz w:val="24"/>
        </w:rPr>
        <w:t xml:space="preserve">court was not entitled to do so: </w:t>
      </w:r>
      <w:r w:rsidRPr="004D7A44">
        <w:rPr>
          <w:rFonts w:ascii="Arial" w:hAnsi="Arial" w:cs="Arial"/>
          <w:i/>
          <w:sz w:val="24"/>
        </w:rPr>
        <w:t xml:space="preserve">Matador Enterprises (Pty) Ltd t/a National Cold Storage v Chairman of the Namibian Agronomic Board </w:t>
      </w:r>
      <w:r w:rsidRPr="004D7A44">
        <w:rPr>
          <w:rFonts w:ascii="Arial" w:hAnsi="Arial" w:cs="Arial"/>
          <w:sz w:val="24"/>
        </w:rPr>
        <w:t>2010 (1) NR 212 (HC)</w:t>
      </w:r>
      <w:r w:rsidR="005352D5" w:rsidRPr="004D7A44">
        <w:rPr>
          <w:rFonts w:ascii="Arial" w:hAnsi="Arial" w:cs="Arial"/>
          <w:sz w:val="24"/>
        </w:rPr>
        <w:t xml:space="preserve">; </w:t>
      </w:r>
      <w:r w:rsidR="005352D5" w:rsidRPr="004D7A44">
        <w:rPr>
          <w:rFonts w:ascii="Arial" w:hAnsi="Arial" w:cs="Arial"/>
          <w:i/>
          <w:sz w:val="24"/>
        </w:rPr>
        <w:t xml:space="preserve">Standard Bank Namibia Ltd </w:t>
      </w:r>
      <w:r w:rsidR="006D53CA">
        <w:rPr>
          <w:rFonts w:ascii="Arial" w:hAnsi="Arial" w:cs="Arial"/>
          <w:i/>
          <w:sz w:val="24"/>
        </w:rPr>
        <w:t>&amp;</w:t>
      </w:r>
      <w:r w:rsidR="005352D5" w:rsidRPr="004D7A44">
        <w:rPr>
          <w:rFonts w:ascii="Arial" w:hAnsi="Arial" w:cs="Arial"/>
          <w:i/>
          <w:sz w:val="24"/>
        </w:rPr>
        <w:t xml:space="preserve"> </w:t>
      </w:r>
      <w:r w:rsidR="006D53CA">
        <w:rPr>
          <w:rFonts w:ascii="Arial" w:hAnsi="Arial" w:cs="Arial"/>
          <w:i/>
          <w:sz w:val="24"/>
        </w:rPr>
        <w:t>o</w:t>
      </w:r>
      <w:r w:rsidR="005352D5" w:rsidRPr="004D7A44">
        <w:rPr>
          <w:rFonts w:ascii="Arial" w:hAnsi="Arial" w:cs="Arial"/>
          <w:i/>
          <w:sz w:val="24"/>
        </w:rPr>
        <w:t xml:space="preserve">thers v Maletzky </w:t>
      </w:r>
      <w:r w:rsidR="006D53CA">
        <w:rPr>
          <w:rFonts w:ascii="Arial" w:hAnsi="Arial" w:cs="Arial"/>
          <w:i/>
          <w:sz w:val="24"/>
        </w:rPr>
        <w:t>&amp;</w:t>
      </w:r>
      <w:r w:rsidR="005352D5" w:rsidRPr="004D7A44">
        <w:rPr>
          <w:rFonts w:ascii="Arial" w:hAnsi="Arial" w:cs="Arial"/>
          <w:i/>
          <w:sz w:val="24"/>
        </w:rPr>
        <w:t xml:space="preserve"> </w:t>
      </w:r>
      <w:r w:rsidR="006D53CA">
        <w:rPr>
          <w:rFonts w:ascii="Arial" w:hAnsi="Arial" w:cs="Arial"/>
          <w:i/>
          <w:sz w:val="24"/>
        </w:rPr>
        <w:t>o</w:t>
      </w:r>
      <w:r w:rsidR="005352D5" w:rsidRPr="004D7A44">
        <w:rPr>
          <w:rFonts w:ascii="Arial" w:hAnsi="Arial" w:cs="Arial"/>
          <w:i/>
          <w:sz w:val="24"/>
        </w:rPr>
        <w:t xml:space="preserve">thers </w:t>
      </w:r>
      <w:r w:rsidR="005352D5" w:rsidRPr="004D7A44">
        <w:rPr>
          <w:rFonts w:ascii="Arial" w:hAnsi="Arial" w:cs="Arial"/>
          <w:sz w:val="24"/>
        </w:rPr>
        <w:t>2015 (3) NR 753 (SC).</w:t>
      </w:r>
    </w:p>
    <w:p w:rsidR="00751073" w:rsidRPr="004D7A44" w:rsidRDefault="00751073" w:rsidP="000027C2">
      <w:pPr>
        <w:pStyle w:val="NoSpacing"/>
        <w:spacing w:line="480" w:lineRule="auto"/>
        <w:jc w:val="both"/>
        <w:rPr>
          <w:rFonts w:ascii="Arial" w:hAnsi="Arial" w:cs="Arial"/>
          <w:color w:val="000000" w:themeColor="text1"/>
          <w:sz w:val="24"/>
        </w:rPr>
      </w:pPr>
    </w:p>
    <w:p w:rsidR="00B931B4" w:rsidRPr="004D7A44" w:rsidRDefault="005352D5" w:rsidP="000027C2">
      <w:pPr>
        <w:pStyle w:val="NoSpacing"/>
        <w:spacing w:line="480" w:lineRule="auto"/>
        <w:jc w:val="both"/>
        <w:rPr>
          <w:rFonts w:ascii="Arial" w:hAnsi="Arial" w:cs="Arial"/>
          <w:i/>
          <w:color w:val="000000" w:themeColor="text1"/>
          <w:sz w:val="24"/>
        </w:rPr>
      </w:pPr>
      <w:r w:rsidRPr="004D7A44">
        <w:rPr>
          <w:rFonts w:ascii="Arial" w:hAnsi="Arial" w:cs="Arial"/>
          <w:i/>
          <w:color w:val="000000" w:themeColor="text1"/>
          <w:sz w:val="24"/>
        </w:rPr>
        <w:t xml:space="preserve">The respondents </w:t>
      </w:r>
    </w:p>
    <w:p w:rsidR="00B931B4" w:rsidRPr="004D7A44" w:rsidRDefault="00B931B4" w:rsidP="000027C2">
      <w:pPr>
        <w:pStyle w:val="NoSpacing"/>
        <w:numPr>
          <w:ilvl w:val="0"/>
          <w:numId w:val="21"/>
        </w:numPr>
        <w:spacing w:line="480" w:lineRule="auto"/>
        <w:ind w:left="0" w:firstLine="0"/>
        <w:jc w:val="both"/>
        <w:rPr>
          <w:rFonts w:ascii="Arial" w:hAnsi="Arial" w:cs="Arial"/>
          <w:i/>
          <w:color w:val="000000" w:themeColor="text1"/>
          <w:sz w:val="24"/>
        </w:rPr>
      </w:pPr>
      <w:r w:rsidRPr="004D7A44">
        <w:rPr>
          <w:rFonts w:ascii="Arial" w:hAnsi="Arial" w:cs="Arial"/>
          <w:color w:val="000000" w:themeColor="text1"/>
          <w:sz w:val="24"/>
        </w:rPr>
        <w:t xml:space="preserve">Mr Khama for the respondents submitted that the respondents in their founding affidavit make it plain that the first appellant was obliged to comply with Art 18 in her decision-making and that the respondents had sufficiently pleaded the bases relied on by the High Court for its conclusions, by </w:t>
      </w:r>
      <w:r w:rsidR="0031774C">
        <w:rPr>
          <w:rFonts w:ascii="Arial" w:hAnsi="Arial" w:cs="Arial"/>
          <w:color w:val="000000" w:themeColor="text1"/>
          <w:sz w:val="24"/>
        </w:rPr>
        <w:t>‘</w:t>
      </w:r>
      <w:r w:rsidRPr="004D7A44">
        <w:rPr>
          <w:rFonts w:ascii="Arial" w:hAnsi="Arial" w:cs="Arial"/>
          <w:color w:val="000000" w:themeColor="text1"/>
          <w:sz w:val="24"/>
        </w:rPr>
        <w:t>incorporating</w:t>
      </w:r>
      <w:r w:rsidR="0031774C">
        <w:rPr>
          <w:rFonts w:ascii="Arial" w:hAnsi="Arial" w:cs="Arial"/>
          <w:color w:val="000000" w:themeColor="text1"/>
          <w:sz w:val="24"/>
        </w:rPr>
        <w:t>’</w:t>
      </w:r>
      <w:r w:rsidRPr="004D7A44">
        <w:rPr>
          <w:rFonts w:ascii="Arial" w:hAnsi="Arial" w:cs="Arial"/>
          <w:color w:val="000000" w:themeColor="text1"/>
          <w:sz w:val="24"/>
        </w:rPr>
        <w:t xml:space="preserve"> as part of their case the annexures from which the court </w:t>
      </w:r>
      <w:r w:rsidRPr="009C1D1D">
        <w:rPr>
          <w:rFonts w:ascii="Arial" w:hAnsi="Arial" w:cs="Arial"/>
          <w:i/>
          <w:color w:val="000000" w:themeColor="text1"/>
          <w:sz w:val="24"/>
        </w:rPr>
        <w:t>a quo</w:t>
      </w:r>
      <w:r w:rsidRPr="004D7A44">
        <w:rPr>
          <w:rFonts w:ascii="Arial" w:hAnsi="Arial" w:cs="Arial"/>
          <w:color w:val="000000" w:themeColor="text1"/>
          <w:sz w:val="24"/>
        </w:rPr>
        <w:t xml:space="preserve"> drew those inferences. </w:t>
      </w:r>
    </w:p>
    <w:p w:rsidR="00B931B4" w:rsidRPr="004D7A44" w:rsidRDefault="00B931B4" w:rsidP="00BB428D">
      <w:pPr>
        <w:pStyle w:val="NoSpacing"/>
        <w:spacing w:line="480" w:lineRule="auto"/>
        <w:jc w:val="both"/>
        <w:rPr>
          <w:rFonts w:ascii="Arial" w:hAnsi="Arial" w:cs="Arial"/>
          <w:color w:val="000000" w:themeColor="text1"/>
          <w:sz w:val="24"/>
        </w:rPr>
      </w:pPr>
    </w:p>
    <w:p w:rsidR="009C3ED6" w:rsidRDefault="00B931B4" w:rsidP="000027C2">
      <w:pPr>
        <w:pStyle w:val="NoSpacing"/>
        <w:numPr>
          <w:ilvl w:val="0"/>
          <w:numId w:val="21"/>
        </w:numPr>
        <w:spacing w:line="480" w:lineRule="auto"/>
        <w:ind w:left="0" w:firstLine="0"/>
        <w:jc w:val="both"/>
        <w:rPr>
          <w:rFonts w:ascii="Arial" w:hAnsi="Arial" w:cs="Arial"/>
          <w:color w:val="000000" w:themeColor="text1"/>
          <w:sz w:val="24"/>
        </w:rPr>
      </w:pPr>
      <w:r w:rsidRPr="004D7A44">
        <w:rPr>
          <w:rFonts w:ascii="Arial" w:hAnsi="Arial" w:cs="Arial"/>
          <w:color w:val="000000" w:themeColor="text1"/>
          <w:sz w:val="24"/>
        </w:rPr>
        <w:t xml:space="preserve">Mr Khama submitted that the respondents’ case was not that the </w:t>
      </w:r>
      <w:r w:rsidR="006D53CA">
        <w:rPr>
          <w:rFonts w:ascii="Arial" w:hAnsi="Arial" w:cs="Arial"/>
          <w:color w:val="000000" w:themeColor="text1"/>
          <w:sz w:val="24"/>
        </w:rPr>
        <w:t>c</w:t>
      </w:r>
      <w:r w:rsidR="0022161A">
        <w:rPr>
          <w:rFonts w:ascii="Arial" w:hAnsi="Arial" w:cs="Arial"/>
          <w:color w:val="000000" w:themeColor="text1"/>
          <w:sz w:val="24"/>
        </w:rPr>
        <w:t>ommittee denied them a hearing</w:t>
      </w:r>
      <w:r w:rsidRPr="004D7A44">
        <w:rPr>
          <w:rFonts w:ascii="Arial" w:hAnsi="Arial" w:cs="Arial"/>
          <w:color w:val="000000" w:themeColor="text1"/>
          <w:sz w:val="24"/>
        </w:rPr>
        <w:t xml:space="preserve"> but rather that </w:t>
      </w:r>
      <w:r w:rsidR="004F081B">
        <w:rPr>
          <w:rFonts w:ascii="Arial" w:hAnsi="Arial" w:cs="Arial"/>
          <w:color w:val="000000" w:themeColor="text1"/>
          <w:sz w:val="24"/>
        </w:rPr>
        <w:t>it was the first appellant who,</w:t>
      </w:r>
      <w:r w:rsidRPr="004D7A44">
        <w:rPr>
          <w:rFonts w:ascii="Arial" w:hAnsi="Arial" w:cs="Arial"/>
          <w:color w:val="000000" w:themeColor="text1"/>
          <w:sz w:val="24"/>
        </w:rPr>
        <w:t xml:space="preserve"> as the decision-maker</w:t>
      </w:r>
      <w:r w:rsidR="004F081B">
        <w:rPr>
          <w:rFonts w:ascii="Arial" w:hAnsi="Arial" w:cs="Arial"/>
          <w:color w:val="000000" w:themeColor="text1"/>
          <w:sz w:val="24"/>
        </w:rPr>
        <w:t>,</w:t>
      </w:r>
      <w:r w:rsidRPr="004D7A44">
        <w:rPr>
          <w:rFonts w:ascii="Arial" w:hAnsi="Arial" w:cs="Arial"/>
          <w:color w:val="000000" w:themeColor="text1"/>
          <w:sz w:val="24"/>
        </w:rPr>
        <w:t xml:space="preserve"> denied</w:t>
      </w:r>
      <w:r w:rsidR="004F081B">
        <w:rPr>
          <w:rFonts w:ascii="Arial" w:hAnsi="Arial" w:cs="Arial"/>
          <w:color w:val="000000" w:themeColor="text1"/>
          <w:sz w:val="24"/>
        </w:rPr>
        <w:t xml:space="preserve"> them a hearing. Counsel </w:t>
      </w:r>
      <w:r w:rsidRPr="004D7A44">
        <w:rPr>
          <w:rFonts w:ascii="Arial" w:hAnsi="Arial" w:cs="Arial"/>
          <w:color w:val="000000" w:themeColor="text1"/>
          <w:sz w:val="24"/>
        </w:rPr>
        <w:t xml:space="preserve">rejected the argument that the court </w:t>
      </w:r>
      <w:r w:rsidRPr="009C1D1D">
        <w:rPr>
          <w:rFonts w:ascii="Arial" w:hAnsi="Arial" w:cs="Arial"/>
          <w:i/>
          <w:color w:val="000000" w:themeColor="text1"/>
          <w:sz w:val="24"/>
        </w:rPr>
        <w:t>a quo</w:t>
      </w:r>
      <w:r w:rsidRPr="004D7A44">
        <w:rPr>
          <w:rFonts w:ascii="Arial" w:hAnsi="Arial" w:cs="Arial"/>
          <w:color w:val="000000" w:themeColor="text1"/>
          <w:sz w:val="24"/>
        </w:rPr>
        <w:t xml:space="preserve"> should not have relied on material appearing in the annexures and that the court was entitled to rely on all </w:t>
      </w:r>
      <w:r w:rsidR="001163DD">
        <w:rPr>
          <w:rFonts w:ascii="Arial" w:hAnsi="Arial" w:cs="Arial"/>
          <w:color w:val="000000" w:themeColor="text1"/>
          <w:sz w:val="24"/>
        </w:rPr>
        <w:t>‘</w:t>
      </w:r>
      <w:r w:rsidRPr="004D7A44">
        <w:rPr>
          <w:rFonts w:ascii="Arial" w:hAnsi="Arial" w:cs="Arial"/>
          <w:color w:val="000000" w:themeColor="text1"/>
          <w:sz w:val="24"/>
        </w:rPr>
        <w:t>admissible evidence</w:t>
      </w:r>
      <w:r w:rsidR="001163DD">
        <w:rPr>
          <w:rFonts w:ascii="Arial" w:hAnsi="Arial" w:cs="Arial"/>
          <w:color w:val="000000" w:themeColor="text1"/>
          <w:sz w:val="24"/>
        </w:rPr>
        <w:t>’</w:t>
      </w:r>
      <w:r w:rsidRPr="004D7A44">
        <w:rPr>
          <w:rFonts w:ascii="Arial" w:hAnsi="Arial" w:cs="Arial"/>
          <w:color w:val="000000" w:themeColor="text1"/>
          <w:sz w:val="24"/>
        </w:rPr>
        <w:t xml:space="preserve"> placed before it.</w:t>
      </w:r>
    </w:p>
    <w:p w:rsidR="00AD1244" w:rsidRDefault="00AD1244" w:rsidP="000027C2">
      <w:pPr>
        <w:pStyle w:val="p1"/>
        <w:spacing w:before="0" w:beforeAutospacing="0" w:after="0" w:afterAutospacing="0" w:line="480" w:lineRule="auto"/>
        <w:jc w:val="both"/>
        <w:rPr>
          <w:rStyle w:val="s1"/>
          <w:rFonts w:ascii="Arial" w:hAnsi="Arial" w:cs="Arial"/>
          <w:u w:val="single"/>
        </w:rPr>
      </w:pPr>
    </w:p>
    <w:p w:rsidR="004B7020" w:rsidRPr="004D7A44" w:rsidRDefault="004B7020" w:rsidP="000027C2">
      <w:pPr>
        <w:pStyle w:val="p1"/>
        <w:spacing w:before="0" w:beforeAutospacing="0" w:after="0" w:afterAutospacing="0" w:line="480" w:lineRule="auto"/>
        <w:jc w:val="both"/>
        <w:rPr>
          <w:rStyle w:val="s1"/>
          <w:rFonts w:ascii="Arial" w:hAnsi="Arial" w:cs="Arial"/>
          <w:u w:val="single"/>
        </w:rPr>
      </w:pPr>
      <w:r w:rsidRPr="004D7A44">
        <w:rPr>
          <w:rStyle w:val="s1"/>
          <w:rFonts w:ascii="Arial" w:hAnsi="Arial" w:cs="Arial"/>
          <w:u w:val="single"/>
        </w:rPr>
        <w:t>Issues to be decided</w:t>
      </w:r>
    </w:p>
    <w:p w:rsidR="00EA7F3A" w:rsidRPr="004D7A44" w:rsidRDefault="00EA7F3A" w:rsidP="000027C2">
      <w:pPr>
        <w:pStyle w:val="p1"/>
        <w:numPr>
          <w:ilvl w:val="0"/>
          <w:numId w:val="21"/>
        </w:numPr>
        <w:spacing w:before="0" w:beforeAutospacing="0" w:after="0" w:afterAutospacing="0" w:line="480" w:lineRule="auto"/>
        <w:ind w:left="0" w:firstLine="0"/>
        <w:jc w:val="both"/>
        <w:rPr>
          <w:rStyle w:val="s1"/>
          <w:rFonts w:ascii="Arial" w:hAnsi="Arial" w:cs="Arial"/>
        </w:rPr>
      </w:pPr>
      <w:r w:rsidRPr="004D7A44">
        <w:rPr>
          <w:rStyle w:val="s1"/>
          <w:rFonts w:ascii="Arial" w:hAnsi="Arial" w:cs="Arial"/>
        </w:rPr>
        <w:t xml:space="preserve">The appellants’ main complaint on appeal is that the High Court relied for its conclusion that the respondents were denied </w:t>
      </w:r>
      <w:r w:rsidRPr="009C1D1D">
        <w:rPr>
          <w:rStyle w:val="s1"/>
          <w:rFonts w:ascii="Arial" w:hAnsi="Arial" w:cs="Arial"/>
          <w:i/>
        </w:rPr>
        <w:t>audi</w:t>
      </w:r>
      <w:r w:rsidRPr="004D7A44">
        <w:rPr>
          <w:rStyle w:val="s1"/>
          <w:rFonts w:ascii="Arial" w:hAnsi="Arial" w:cs="Arial"/>
        </w:rPr>
        <w:t xml:space="preserve"> on grounds and allegations not made in the founding affidavit. Mr Semenya submitted that it is only if we find against </w:t>
      </w:r>
      <w:r w:rsidRPr="004D7A44">
        <w:rPr>
          <w:rStyle w:val="s1"/>
          <w:rFonts w:ascii="Arial" w:hAnsi="Arial" w:cs="Arial"/>
        </w:rPr>
        <w:lastRenderedPageBreak/>
        <w:t>the appellant</w:t>
      </w:r>
      <w:r w:rsidR="002F678E">
        <w:rPr>
          <w:rStyle w:val="s1"/>
          <w:rFonts w:ascii="Arial" w:hAnsi="Arial" w:cs="Arial"/>
        </w:rPr>
        <w:t>s</w:t>
      </w:r>
      <w:r w:rsidRPr="004D7A44">
        <w:rPr>
          <w:rStyle w:val="s1"/>
          <w:rFonts w:ascii="Arial" w:hAnsi="Arial" w:cs="Arial"/>
        </w:rPr>
        <w:t xml:space="preserve"> in that regard that, in any event, the High Court had set too exacting a standard to determine if </w:t>
      </w:r>
      <w:r w:rsidRPr="009C1D1D">
        <w:rPr>
          <w:rStyle w:val="s1"/>
          <w:rFonts w:ascii="Arial" w:hAnsi="Arial" w:cs="Arial"/>
          <w:i/>
        </w:rPr>
        <w:t>audi</w:t>
      </w:r>
      <w:r w:rsidRPr="004D7A44">
        <w:rPr>
          <w:rStyle w:val="s1"/>
          <w:rFonts w:ascii="Arial" w:hAnsi="Arial" w:cs="Arial"/>
        </w:rPr>
        <w:t xml:space="preserve"> was observed </w:t>
      </w:r>
      <w:r w:rsidR="0031774C">
        <w:rPr>
          <w:rStyle w:val="s1"/>
          <w:rFonts w:ascii="Arial" w:hAnsi="Arial" w:cs="Arial"/>
        </w:rPr>
        <w:t xml:space="preserve">or not </w:t>
      </w:r>
      <w:r w:rsidRPr="004D7A44">
        <w:rPr>
          <w:rStyle w:val="s1"/>
          <w:rFonts w:ascii="Arial" w:hAnsi="Arial" w:cs="Arial"/>
        </w:rPr>
        <w:t>and that, on the facts of th</w:t>
      </w:r>
      <w:r w:rsidR="004A2CBD">
        <w:rPr>
          <w:rStyle w:val="s1"/>
          <w:rFonts w:ascii="Arial" w:hAnsi="Arial" w:cs="Arial"/>
        </w:rPr>
        <w:t>is</w:t>
      </w:r>
      <w:r w:rsidRPr="004D7A44">
        <w:rPr>
          <w:rStyle w:val="s1"/>
          <w:rFonts w:ascii="Arial" w:hAnsi="Arial" w:cs="Arial"/>
        </w:rPr>
        <w:t xml:space="preserve"> case, the respondents wer</w:t>
      </w:r>
      <w:r w:rsidR="007546D7" w:rsidRPr="004D7A44">
        <w:rPr>
          <w:rStyle w:val="s1"/>
          <w:rFonts w:ascii="Arial" w:hAnsi="Arial" w:cs="Arial"/>
        </w:rPr>
        <w:t xml:space="preserve">e afforded </w:t>
      </w:r>
      <w:r w:rsidR="0031774C">
        <w:rPr>
          <w:rStyle w:val="s1"/>
          <w:rFonts w:ascii="Arial" w:hAnsi="Arial" w:cs="Arial"/>
        </w:rPr>
        <w:t xml:space="preserve">adequate </w:t>
      </w:r>
      <w:r w:rsidR="007546D7" w:rsidRPr="004D7A44">
        <w:rPr>
          <w:rStyle w:val="s1"/>
          <w:rFonts w:ascii="Arial" w:hAnsi="Arial" w:cs="Arial"/>
        </w:rPr>
        <w:t>procedural fairness.</w:t>
      </w:r>
    </w:p>
    <w:p w:rsidR="00250514" w:rsidRPr="004D7A44" w:rsidRDefault="00250514" w:rsidP="000027C2">
      <w:pPr>
        <w:pStyle w:val="p1"/>
        <w:spacing w:before="0" w:beforeAutospacing="0" w:after="0" w:afterAutospacing="0" w:line="480" w:lineRule="auto"/>
        <w:jc w:val="both"/>
        <w:rPr>
          <w:rStyle w:val="s1"/>
          <w:rFonts w:ascii="Arial" w:hAnsi="Arial" w:cs="Arial"/>
        </w:rPr>
      </w:pPr>
    </w:p>
    <w:p w:rsidR="00AD1244" w:rsidRDefault="00AD1244">
      <w:pPr>
        <w:rPr>
          <w:rFonts w:ascii="Arial" w:eastAsia="Arial Unicode MS" w:hAnsi="Arial" w:cs="Arial"/>
          <w:sz w:val="24"/>
          <w:szCs w:val="24"/>
          <w:u w:val="single"/>
        </w:rPr>
      </w:pPr>
    </w:p>
    <w:p w:rsidR="000540B3" w:rsidRPr="004D7A44" w:rsidRDefault="000540B3" w:rsidP="00BB428D">
      <w:pPr>
        <w:spacing w:after="0" w:line="480" w:lineRule="auto"/>
        <w:rPr>
          <w:rFonts w:ascii="Arial" w:eastAsia="Arial Unicode MS" w:hAnsi="Arial" w:cs="Arial"/>
          <w:sz w:val="24"/>
          <w:szCs w:val="24"/>
          <w:u w:val="single"/>
        </w:rPr>
      </w:pPr>
      <w:r w:rsidRPr="004D7A44">
        <w:rPr>
          <w:rFonts w:ascii="Arial" w:eastAsia="Arial Unicode MS" w:hAnsi="Arial" w:cs="Arial"/>
          <w:sz w:val="24"/>
          <w:szCs w:val="24"/>
          <w:u w:val="single"/>
        </w:rPr>
        <w:t>The discipline of motion proceedings</w:t>
      </w:r>
    </w:p>
    <w:p w:rsidR="000540B3" w:rsidRPr="000027C2" w:rsidRDefault="000540B3" w:rsidP="000027C2">
      <w:pPr>
        <w:pStyle w:val="ListParagraph"/>
        <w:numPr>
          <w:ilvl w:val="0"/>
          <w:numId w:val="21"/>
        </w:numPr>
        <w:spacing w:after="0" w:line="480" w:lineRule="auto"/>
        <w:ind w:left="0" w:firstLine="0"/>
        <w:jc w:val="both"/>
        <w:rPr>
          <w:rFonts w:ascii="Arial" w:eastAsia="Arial Unicode MS" w:hAnsi="Arial" w:cs="Arial"/>
          <w:color w:val="000000"/>
          <w:sz w:val="24"/>
          <w:szCs w:val="24"/>
        </w:rPr>
      </w:pPr>
      <w:r w:rsidRPr="000027C2">
        <w:rPr>
          <w:rFonts w:ascii="Arial" w:eastAsia="Arial Unicode MS" w:hAnsi="Arial" w:cs="Arial"/>
          <w:sz w:val="24"/>
          <w:szCs w:val="24"/>
        </w:rPr>
        <w:t xml:space="preserve">Evidence in motion proceedings is contained in the affidavits filed by the parties. </w:t>
      </w:r>
      <w:r w:rsidR="00FA3AC6" w:rsidRPr="000027C2">
        <w:rPr>
          <w:rFonts w:ascii="Arial" w:eastAsia="Arial Unicode MS" w:hAnsi="Arial" w:cs="Arial"/>
          <w:sz w:val="24"/>
          <w:szCs w:val="24"/>
        </w:rPr>
        <w:t>I</w:t>
      </w:r>
      <w:r w:rsidRPr="000027C2">
        <w:rPr>
          <w:rFonts w:ascii="Arial" w:eastAsia="Arial Unicode MS" w:hAnsi="Arial" w:cs="Arial"/>
          <w:sz w:val="24"/>
          <w:szCs w:val="24"/>
        </w:rPr>
        <w:t xml:space="preserve">n </w:t>
      </w:r>
      <w:r w:rsidRPr="000027C2">
        <w:rPr>
          <w:rFonts w:ascii="Arial" w:eastAsia="Arial Unicode MS" w:hAnsi="Arial" w:cs="Arial"/>
          <w:color w:val="000000"/>
          <w:sz w:val="24"/>
          <w:szCs w:val="24"/>
        </w:rPr>
        <w:t>motion proceedings the affidavits constitute both the pleadings and the evidence and the applicant cannot make out a particular cause of action in the founding papers and then abandon that claim and substitute a fresh and different claim based on a different cause of action in the replying papers</w:t>
      </w:r>
      <w:r w:rsidR="00582FD1" w:rsidRPr="000027C2">
        <w:rPr>
          <w:rFonts w:ascii="Arial" w:eastAsia="Arial Unicode MS" w:hAnsi="Arial" w:cs="Arial"/>
          <w:color w:val="000000"/>
          <w:sz w:val="24"/>
          <w:szCs w:val="24"/>
        </w:rPr>
        <w:t xml:space="preserve">: </w:t>
      </w:r>
      <w:r w:rsidR="00E43983" w:rsidRPr="000027C2">
        <w:rPr>
          <w:rFonts w:ascii="Arial" w:eastAsia="Arial Unicode MS" w:hAnsi="Arial" w:cs="Arial"/>
          <w:i/>
          <w:color w:val="000000"/>
          <w:sz w:val="24"/>
          <w:szCs w:val="24"/>
        </w:rPr>
        <w:t xml:space="preserve">Director of Hospital Services v Mistry </w:t>
      </w:r>
      <w:r w:rsidR="00E43983" w:rsidRPr="000027C2">
        <w:rPr>
          <w:rFonts w:ascii="Arial" w:eastAsia="Arial Unicode MS" w:hAnsi="Arial" w:cs="Arial"/>
          <w:color w:val="000000"/>
          <w:sz w:val="24"/>
          <w:szCs w:val="24"/>
        </w:rPr>
        <w:t xml:space="preserve">1979 (1) SA 626 (A). </w:t>
      </w:r>
      <w:r w:rsidRPr="000027C2">
        <w:rPr>
          <w:rFonts w:ascii="Arial" w:eastAsia="Arial Unicode MS" w:hAnsi="Arial" w:cs="Arial"/>
          <w:color w:val="000000"/>
        </w:rPr>
        <w:t xml:space="preserve"> </w:t>
      </w:r>
      <w:r w:rsidRPr="000027C2">
        <w:rPr>
          <w:rFonts w:ascii="Arial" w:eastAsia="Arial Unicode MS" w:hAnsi="Arial" w:cs="Arial"/>
          <w:color w:val="000000"/>
          <w:sz w:val="24"/>
          <w:szCs w:val="24"/>
        </w:rPr>
        <w:t>It has been held that:</w:t>
      </w:r>
    </w:p>
    <w:p w:rsidR="0031774C" w:rsidRPr="004D7A44" w:rsidRDefault="0031774C" w:rsidP="00846736">
      <w:pPr>
        <w:spacing w:after="0" w:line="480" w:lineRule="auto"/>
        <w:jc w:val="both"/>
        <w:rPr>
          <w:rFonts w:ascii="Arial" w:eastAsia="Arial Unicode MS" w:hAnsi="Arial" w:cs="Arial"/>
          <w:color w:val="000000"/>
        </w:rPr>
      </w:pPr>
    </w:p>
    <w:p w:rsidR="000540B3" w:rsidRPr="004D7A44" w:rsidRDefault="00BB428D" w:rsidP="00AD1244">
      <w:pPr>
        <w:pStyle w:val="western"/>
        <w:spacing w:before="0" w:after="0" w:line="360" w:lineRule="auto"/>
        <w:ind w:left="720"/>
        <w:rPr>
          <w:rFonts w:ascii="Arial" w:eastAsia="Arial Unicode MS" w:hAnsi="Arial" w:cs="Arial"/>
        </w:rPr>
      </w:pPr>
      <w:r>
        <w:rPr>
          <w:rFonts w:ascii="Arial" w:eastAsia="Arial Unicode MS" w:hAnsi="Arial" w:cs="Arial"/>
          <w:color w:val="000000"/>
        </w:rPr>
        <w:t>‘</w:t>
      </w:r>
      <w:r w:rsidR="000540B3" w:rsidRPr="004D7A44">
        <w:rPr>
          <w:rFonts w:ascii="Arial" w:eastAsia="Arial Unicode MS" w:hAnsi="Arial" w:cs="Arial"/>
          <w:color w:val="000000"/>
          <w:sz w:val="22"/>
          <w:szCs w:val="22"/>
        </w:rPr>
        <w:t xml:space="preserve">A </w:t>
      </w:r>
      <w:r w:rsidR="000540B3" w:rsidRPr="004D7A44">
        <w:rPr>
          <w:rFonts w:ascii="Arial" w:eastAsia="Arial Unicode MS" w:hAnsi="Arial" w:cs="Arial"/>
          <w:i/>
          <w:iCs/>
          <w:color w:val="000000"/>
          <w:sz w:val="22"/>
          <w:szCs w:val="22"/>
        </w:rPr>
        <w:t xml:space="preserve">cause of action </w:t>
      </w:r>
      <w:r w:rsidR="000540B3" w:rsidRPr="004D7A44">
        <w:rPr>
          <w:rFonts w:ascii="Arial" w:eastAsia="Arial Unicode MS" w:hAnsi="Arial" w:cs="Arial"/>
          <w:color w:val="000000"/>
          <w:sz w:val="22"/>
          <w:szCs w:val="22"/>
        </w:rPr>
        <w:t>ordinarily means every fact which it would be necessary for the plaintiff to prove, if traversed, in order to support his right to judgment of the Court.</w:t>
      </w:r>
      <w:r w:rsidR="009C3B67">
        <w:rPr>
          <w:rFonts w:ascii="Arial" w:eastAsia="Arial Unicode MS" w:hAnsi="Arial" w:cs="Arial"/>
          <w:color w:val="000000"/>
          <w:sz w:val="22"/>
          <w:szCs w:val="22"/>
        </w:rPr>
        <w:t>'</w:t>
      </w:r>
      <w:r w:rsidR="000540B3" w:rsidRPr="004D7A44">
        <w:rPr>
          <w:rStyle w:val="FootnoteReference"/>
          <w:rFonts w:ascii="Arial" w:eastAsia="Arial Unicode MS" w:hAnsi="Arial" w:cs="Arial"/>
          <w:color w:val="000000"/>
          <w:sz w:val="22"/>
          <w:szCs w:val="22"/>
        </w:rPr>
        <w:footnoteReference w:id="1"/>
      </w:r>
    </w:p>
    <w:p w:rsidR="000540B3" w:rsidRPr="004D7A44" w:rsidRDefault="000540B3" w:rsidP="00BB428D">
      <w:pPr>
        <w:spacing w:after="0" w:line="480" w:lineRule="auto"/>
        <w:rPr>
          <w:rFonts w:ascii="Arial" w:eastAsia="Arial Unicode MS" w:hAnsi="Arial" w:cs="Arial"/>
          <w:sz w:val="24"/>
          <w:szCs w:val="24"/>
        </w:rPr>
      </w:pPr>
    </w:p>
    <w:p w:rsidR="0014053E" w:rsidRPr="004D7A44" w:rsidRDefault="000540B3" w:rsidP="000027C2">
      <w:pPr>
        <w:pStyle w:val="Default"/>
        <w:numPr>
          <w:ilvl w:val="0"/>
          <w:numId w:val="21"/>
        </w:numPr>
        <w:spacing w:line="480" w:lineRule="auto"/>
        <w:ind w:left="0" w:firstLine="0"/>
        <w:jc w:val="both"/>
        <w:rPr>
          <w:rFonts w:ascii="Arial" w:eastAsia="Arial Unicode MS" w:hAnsi="Arial" w:cs="Arial"/>
          <w:color w:val="auto"/>
        </w:rPr>
      </w:pPr>
      <w:r w:rsidRPr="004D7A44">
        <w:rPr>
          <w:rFonts w:ascii="Arial" w:eastAsia="Arial Unicode MS" w:hAnsi="Arial" w:cs="Arial"/>
        </w:rPr>
        <w:t xml:space="preserve">Since affidavits constitute both the pleadings and the evidence in </w:t>
      </w:r>
      <w:r w:rsidR="00F730B1">
        <w:rPr>
          <w:rFonts w:ascii="Arial" w:eastAsia="Arial Unicode MS" w:hAnsi="Arial" w:cs="Arial"/>
        </w:rPr>
        <w:t>motion proceedings</w:t>
      </w:r>
      <w:r w:rsidRPr="004D7A44">
        <w:rPr>
          <w:rFonts w:ascii="Arial" w:eastAsia="Arial Unicode MS" w:hAnsi="Arial" w:cs="Arial"/>
        </w:rPr>
        <w:t>, a party must make sure that all the evidence necessary to support its case is included in the affidavit</w:t>
      </w:r>
      <w:r w:rsidR="00246B1F">
        <w:rPr>
          <w:rFonts w:ascii="Arial" w:eastAsia="Arial Unicode MS" w:hAnsi="Arial" w:cs="Arial"/>
        </w:rPr>
        <w:t xml:space="preserve">: </w:t>
      </w:r>
      <w:r w:rsidR="00DE7C79" w:rsidRPr="00246B1F">
        <w:rPr>
          <w:rFonts w:ascii="Arial" w:eastAsia="Arial Unicode MS" w:hAnsi="Arial" w:cs="Arial"/>
          <w:i/>
        </w:rPr>
        <w:t>Stipp</w:t>
      </w:r>
      <w:r w:rsidR="00246B1F" w:rsidRPr="00246B1F">
        <w:rPr>
          <w:rFonts w:ascii="Arial" w:eastAsia="Arial Unicode MS" w:hAnsi="Arial" w:cs="Arial"/>
          <w:i/>
        </w:rPr>
        <w:t xml:space="preserve"> </w:t>
      </w:r>
      <w:r w:rsidR="006D53CA">
        <w:rPr>
          <w:rFonts w:ascii="Arial" w:eastAsia="Arial Unicode MS" w:hAnsi="Arial" w:cs="Arial"/>
          <w:i/>
        </w:rPr>
        <w:t>&amp;</w:t>
      </w:r>
      <w:r w:rsidR="00246B1F" w:rsidRPr="00246B1F">
        <w:rPr>
          <w:rFonts w:ascii="Arial" w:eastAsia="Arial Unicode MS" w:hAnsi="Arial" w:cs="Arial"/>
          <w:i/>
        </w:rPr>
        <w:t xml:space="preserve"> </w:t>
      </w:r>
      <w:r w:rsidR="006D53CA">
        <w:rPr>
          <w:rFonts w:ascii="Arial" w:eastAsia="Arial Unicode MS" w:hAnsi="Arial" w:cs="Arial"/>
          <w:i/>
        </w:rPr>
        <w:t>a</w:t>
      </w:r>
      <w:r w:rsidR="00246B1F" w:rsidRPr="00246B1F">
        <w:rPr>
          <w:rFonts w:ascii="Arial" w:eastAsia="Arial Unicode MS" w:hAnsi="Arial" w:cs="Arial"/>
          <w:i/>
        </w:rPr>
        <w:t xml:space="preserve">nother v Shade Centre </w:t>
      </w:r>
      <w:r w:rsidR="006D53CA">
        <w:rPr>
          <w:rFonts w:ascii="Arial" w:eastAsia="Arial Unicode MS" w:hAnsi="Arial" w:cs="Arial"/>
          <w:i/>
        </w:rPr>
        <w:t>&amp;</w:t>
      </w:r>
      <w:r w:rsidR="00246B1F" w:rsidRPr="00246B1F">
        <w:rPr>
          <w:rFonts w:ascii="Arial" w:eastAsia="Arial Unicode MS" w:hAnsi="Arial" w:cs="Arial"/>
          <w:i/>
        </w:rPr>
        <w:t xml:space="preserve"> </w:t>
      </w:r>
      <w:r w:rsidR="006D53CA">
        <w:rPr>
          <w:rFonts w:ascii="Arial" w:eastAsia="Arial Unicode MS" w:hAnsi="Arial" w:cs="Arial"/>
          <w:i/>
        </w:rPr>
        <w:t>o</w:t>
      </w:r>
      <w:r w:rsidR="00246B1F" w:rsidRPr="00246B1F">
        <w:rPr>
          <w:rFonts w:ascii="Arial" w:eastAsia="Arial Unicode MS" w:hAnsi="Arial" w:cs="Arial"/>
          <w:i/>
        </w:rPr>
        <w:t>thers</w:t>
      </w:r>
      <w:r w:rsidR="00246B1F">
        <w:rPr>
          <w:rFonts w:ascii="Arial" w:eastAsia="Arial Unicode MS" w:hAnsi="Arial" w:cs="Arial"/>
        </w:rPr>
        <w:t xml:space="preserve"> 2007 (2) NR 627 (SC) at </w:t>
      </w:r>
      <w:r w:rsidR="00244E2E">
        <w:rPr>
          <w:rFonts w:ascii="Arial" w:eastAsia="Arial Unicode MS" w:hAnsi="Arial" w:cs="Arial"/>
        </w:rPr>
        <w:t>634G-H</w:t>
      </w:r>
      <w:r w:rsidR="00244E2E">
        <w:rPr>
          <w:rFonts w:ascii="Arial" w:eastAsia="Arial Unicode MS" w:hAnsi="Arial" w:cs="Arial"/>
          <w:color w:val="FF0000"/>
        </w:rPr>
        <w:t>.</w:t>
      </w:r>
      <w:r w:rsidR="00246B1F" w:rsidRPr="00246B1F">
        <w:rPr>
          <w:rFonts w:ascii="Arial" w:eastAsia="Arial Unicode MS" w:hAnsi="Arial" w:cs="Arial"/>
          <w:color w:val="FF0000"/>
        </w:rPr>
        <w:t xml:space="preserve"> </w:t>
      </w:r>
      <w:r w:rsidR="00246B1F" w:rsidRPr="00246B1F">
        <w:rPr>
          <w:rFonts w:ascii="Arial" w:eastAsia="Arial Unicode MS" w:hAnsi="Arial" w:cs="Arial"/>
          <w:color w:val="auto"/>
        </w:rPr>
        <w:t xml:space="preserve">In other words, </w:t>
      </w:r>
      <w:r w:rsidR="00246B1F">
        <w:rPr>
          <w:rFonts w:ascii="Arial" w:eastAsia="Arial Unicode MS" w:hAnsi="Arial" w:cs="Arial"/>
        </w:rPr>
        <w:t>t</w:t>
      </w:r>
      <w:r w:rsidRPr="004D7A44">
        <w:rPr>
          <w:rFonts w:ascii="Arial" w:eastAsia="Arial Unicode MS" w:hAnsi="Arial" w:cs="Arial"/>
        </w:rPr>
        <w:t xml:space="preserve">he affidavits must contain all the averments necessary to sustain a cause of action or a defence. </w:t>
      </w:r>
      <w:r w:rsidR="0014053E">
        <w:rPr>
          <w:rFonts w:ascii="Arial" w:eastAsia="Arial Unicode MS" w:hAnsi="Arial" w:cs="Arial"/>
        </w:rPr>
        <w:t xml:space="preserve">As was stated in </w:t>
      </w:r>
      <w:r w:rsidR="0014053E" w:rsidRPr="004D7A44">
        <w:rPr>
          <w:rFonts w:ascii="Arial" w:eastAsia="Arial Unicode MS" w:hAnsi="Arial" w:cs="Arial"/>
          <w:i/>
          <w:color w:val="auto"/>
        </w:rPr>
        <w:t>Swissborough Diamond Mines (Pty) Ltd v Government of the Republic of South Africa</w:t>
      </w:r>
      <w:r w:rsidR="00121290">
        <w:rPr>
          <w:rStyle w:val="FootnoteReference"/>
          <w:rFonts w:ascii="Arial" w:eastAsia="Arial Unicode MS" w:hAnsi="Arial" w:cs="Arial"/>
          <w:i/>
          <w:color w:val="auto"/>
        </w:rPr>
        <w:footnoteReference w:id="2"/>
      </w:r>
      <w:r w:rsidR="0014053E">
        <w:rPr>
          <w:rFonts w:ascii="Arial" w:eastAsia="Arial Unicode MS" w:hAnsi="Arial" w:cs="Arial"/>
          <w:color w:val="auto"/>
        </w:rPr>
        <w:t xml:space="preserve">: </w:t>
      </w:r>
    </w:p>
    <w:p w:rsidR="0014053E" w:rsidRPr="004D7A44" w:rsidRDefault="0014053E" w:rsidP="0014053E">
      <w:pPr>
        <w:pStyle w:val="Default"/>
        <w:spacing w:line="480" w:lineRule="auto"/>
        <w:ind w:left="360"/>
        <w:rPr>
          <w:rFonts w:ascii="Arial" w:eastAsia="Arial Unicode MS" w:hAnsi="Arial" w:cs="Arial"/>
          <w:color w:val="auto"/>
        </w:rPr>
      </w:pPr>
    </w:p>
    <w:p w:rsidR="0014053E" w:rsidRPr="004D7A44" w:rsidRDefault="0014053E" w:rsidP="00846736">
      <w:pPr>
        <w:pStyle w:val="Default"/>
        <w:spacing w:line="360" w:lineRule="auto"/>
        <w:ind w:left="567"/>
        <w:jc w:val="both"/>
        <w:rPr>
          <w:rFonts w:ascii="Arial" w:eastAsia="Arial Unicode MS" w:hAnsi="Arial" w:cs="Arial"/>
          <w:color w:val="auto"/>
        </w:rPr>
      </w:pPr>
      <w:r>
        <w:rPr>
          <w:rFonts w:ascii="Arial" w:eastAsia="Arial Unicode MS" w:hAnsi="Arial" w:cs="Arial"/>
          <w:color w:val="auto"/>
          <w:sz w:val="22"/>
          <w:szCs w:val="22"/>
        </w:rPr>
        <w:lastRenderedPageBreak/>
        <w:t>‘</w:t>
      </w:r>
      <w:r w:rsidRPr="004D7A44">
        <w:rPr>
          <w:rFonts w:ascii="Arial" w:eastAsia="Arial Unicode MS" w:hAnsi="Arial" w:cs="Arial"/>
          <w:color w:val="auto"/>
          <w:sz w:val="22"/>
          <w:szCs w:val="22"/>
        </w:rPr>
        <w:t>It is trite law that in motion proceedings the affidavits serve not only to place evidence before the Court but also to define the issues between the parties. In so doing the issues between the parties are identified. This is not only for the benefit of the Court but also, and primarily, for the parties. The parties must know the case that must be met and in respect of which they must adduce evidence in the affidavits.</w:t>
      </w:r>
      <w:r>
        <w:rPr>
          <w:rFonts w:ascii="Arial" w:eastAsia="Arial Unicode MS" w:hAnsi="Arial" w:cs="Arial"/>
          <w:color w:val="auto"/>
          <w:sz w:val="22"/>
          <w:szCs w:val="22"/>
        </w:rPr>
        <w:t>’</w:t>
      </w:r>
    </w:p>
    <w:p w:rsidR="0014053E" w:rsidRDefault="0014053E" w:rsidP="00BB428D">
      <w:pPr>
        <w:spacing w:after="0" w:line="480" w:lineRule="auto"/>
        <w:rPr>
          <w:rFonts w:ascii="Arial" w:eastAsia="Arial Unicode MS" w:hAnsi="Arial" w:cs="Arial"/>
          <w:sz w:val="24"/>
          <w:szCs w:val="24"/>
        </w:rPr>
      </w:pPr>
    </w:p>
    <w:p w:rsidR="000540B3" w:rsidRDefault="000540B3" w:rsidP="00BB428D">
      <w:pPr>
        <w:spacing w:after="0" w:line="480" w:lineRule="auto"/>
        <w:rPr>
          <w:rFonts w:ascii="Arial" w:eastAsia="Arial Unicode MS" w:hAnsi="Arial" w:cs="Arial"/>
          <w:sz w:val="24"/>
          <w:szCs w:val="24"/>
        </w:rPr>
      </w:pPr>
      <w:r w:rsidRPr="004D7A44">
        <w:rPr>
          <w:rFonts w:ascii="Arial" w:eastAsia="Arial Unicode MS" w:hAnsi="Arial" w:cs="Arial"/>
          <w:sz w:val="24"/>
          <w:szCs w:val="24"/>
        </w:rPr>
        <w:t xml:space="preserve">As the adage goes, in motion proceedings you stand or fall by your papers. </w:t>
      </w:r>
    </w:p>
    <w:p w:rsidR="004D22C3" w:rsidRPr="004D7A44" w:rsidRDefault="004D22C3" w:rsidP="00BB428D">
      <w:pPr>
        <w:spacing w:after="0" w:line="480" w:lineRule="auto"/>
        <w:rPr>
          <w:rFonts w:ascii="Arial" w:eastAsia="Arial Unicode MS" w:hAnsi="Arial" w:cs="Arial"/>
          <w:sz w:val="24"/>
          <w:szCs w:val="24"/>
        </w:rPr>
      </w:pPr>
    </w:p>
    <w:p w:rsidR="000540B3" w:rsidRPr="000027C2" w:rsidRDefault="00582FD1" w:rsidP="000027C2">
      <w:pPr>
        <w:pStyle w:val="ListParagraph"/>
        <w:numPr>
          <w:ilvl w:val="0"/>
          <w:numId w:val="21"/>
        </w:numPr>
        <w:spacing w:after="0" w:line="480" w:lineRule="auto"/>
        <w:ind w:left="0" w:firstLine="0"/>
        <w:jc w:val="both"/>
        <w:rPr>
          <w:rFonts w:ascii="Arial" w:eastAsia="Arial Unicode MS" w:hAnsi="Arial" w:cs="Arial"/>
          <w:sz w:val="24"/>
          <w:szCs w:val="24"/>
        </w:rPr>
      </w:pPr>
      <w:r w:rsidRPr="000027C2">
        <w:rPr>
          <w:rFonts w:ascii="Arial" w:eastAsia="Arial Unicode MS" w:hAnsi="Arial" w:cs="Arial"/>
          <w:sz w:val="24"/>
          <w:szCs w:val="24"/>
        </w:rPr>
        <w:t>When reliance is placed on material contained in annexures, t</w:t>
      </w:r>
      <w:r w:rsidR="000540B3" w:rsidRPr="000027C2">
        <w:rPr>
          <w:rFonts w:ascii="Arial" w:eastAsia="Arial Unicode MS" w:hAnsi="Arial" w:cs="Arial"/>
          <w:sz w:val="24"/>
          <w:szCs w:val="24"/>
        </w:rPr>
        <w:t>he affidavits must clearly state what portions in the accompanying annexures the deponent relies on.</w:t>
      </w:r>
      <w:r w:rsidR="00BB428D" w:rsidRPr="000027C2">
        <w:rPr>
          <w:rFonts w:ascii="Arial" w:eastAsia="Arial Unicode MS" w:hAnsi="Arial" w:cs="Arial"/>
          <w:sz w:val="24"/>
          <w:szCs w:val="24"/>
        </w:rPr>
        <w:t xml:space="preserve"> </w:t>
      </w:r>
      <w:r w:rsidR="000540B3" w:rsidRPr="000027C2">
        <w:rPr>
          <w:rFonts w:ascii="Arial" w:eastAsia="Arial Unicode MS" w:hAnsi="Arial" w:cs="Arial"/>
          <w:sz w:val="24"/>
          <w:szCs w:val="24"/>
        </w:rPr>
        <w:t xml:space="preserve">It is not sufficient merely to attach supporting documents and to expect the opponent and the court to draw conclusions from them. In that regard, practitioners will do their clients a great service by heeding the following warning by Cloete JA in </w:t>
      </w:r>
      <w:r w:rsidR="000540B3" w:rsidRPr="000027C2">
        <w:rPr>
          <w:rFonts w:ascii="Arial" w:eastAsia="Arial Unicode MS" w:hAnsi="Arial" w:cs="Arial"/>
          <w:i/>
          <w:sz w:val="24"/>
          <w:szCs w:val="24"/>
        </w:rPr>
        <w:t>Minister of Land Affairs and Agriculture v D &amp; F Wevell Trust</w:t>
      </w:r>
      <w:r w:rsidR="000540B3" w:rsidRPr="000027C2">
        <w:rPr>
          <w:rFonts w:ascii="Arial" w:eastAsia="Arial Unicode MS" w:hAnsi="Arial" w:cs="Arial"/>
          <w:sz w:val="24"/>
          <w:szCs w:val="24"/>
        </w:rPr>
        <w:t>:</w:t>
      </w:r>
      <w:r w:rsidR="000540B3" w:rsidRPr="004D7A44">
        <w:rPr>
          <w:rStyle w:val="FootnoteReference"/>
          <w:rFonts w:ascii="Arial" w:eastAsia="Arial Unicode MS" w:hAnsi="Arial" w:cs="Arial"/>
          <w:sz w:val="24"/>
          <w:szCs w:val="24"/>
        </w:rPr>
        <w:footnoteReference w:id="3"/>
      </w:r>
      <w:r w:rsidR="000540B3" w:rsidRPr="000027C2">
        <w:rPr>
          <w:rFonts w:ascii="Arial" w:eastAsia="Arial Unicode MS" w:hAnsi="Arial" w:cs="Arial"/>
          <w:sz w:val="24"/>
          <w:szCs w:val="24"/>
        </w:rPr>
        <w:tab/>
      </w:r>
    </w:p>
    <w:p w:rsidR="00BB428D" w:rsidRPr="004D7A44" w:rsidRDefault="00BB428D" w:rsidP="00BB428D">
      <w:pPr>
        <w:spacing w:after="0" w:line="480" w:lineRule="auto"/>
        <w:jc w:val="both"/>
        <w:rPr>
          <w:rFonts w:ascii="Arial" w:eastAsia="Arial Unicode MS" w:hAnsi="Arial" w:cs="Arial"/>
          <w:sz w:val="24"/>
          <w:szCs w:val="24"/>
        </w:rPr>
      </w:pPr>
    </w:p>
    <w:p w:rsidR="00873A1E" w:rsidRDefault="00BB428D" w:rsidP="00846736">
      <w:pPr>
        <w:spacing w:after="0" w:line="360" w:lineRule="auto"/>
        <w:ind w:left="567"/>
        <w:jc w:val="both"/>
        <w:rPr>
          <w:rFonts w:ascii="Arial" w:eastAsia="Arial Unicode MS" w:hAnsi="Arial" w:cs="Arial"/>
        </w:rPr>
      </w:pPr>
      <w:r>
        <w:rPr>
          <w:rFonts w:ascii="Arial" w:eastAsia="Arial Unicode MS" w:hAnsi="Arial" w:cs="Arial"/>
        </w:rPr>
        <w:t>‘</w:t>
      </w:r>
      <w:r w:rsidR="000540B3" w:rsidRPr="004D7A44">
        <w:rPr>
          <w:rFonts w:ascii="Arial" w:eastAsia="Arial Unicode MS" w:hAnsi="Arial" w:cs="Arial"/>
        </w:rPr>
        <w:t>It is not proper for a party in motion proceedings to base an argument on passages in documents which have been annexed to the papers when the conclusions sought to be drawn from such passages have not been canvassed in the affidavits. The reason is manifest – the other party may well be prejudiced because evidence may have been available to it to refute the new case on the facts</w:t>
      </w:r>
      <w:r>
        <w:rPr>
          <w:rFonts w:ascii="Arial" w:eastAsia="Arial Unicode MS" w:hAnsi="Arial" w:cs="Arial"/>
        </w:rPr>
        <w:t>. . .</w:t>
      </w:r>
      <w:r w:rsidR="00846736">
        <w:rPr>
          <w:rFonts w:ascii="Arial" w:eastAsia="Arial Unicode MS" w:hAnsi="Arial" w:cs="Arial"/>
        </w:rPr>
        <w:t xml:space="preserve"> .</w:t>
      </w:r>
      <w:r>
        <w:rPr>
          <w:rFonts w:ascii="Arial" w:eastAsia="Arial Unicode MS" w:hAnsi="Arial" w:cs="Arial"/>
        </w:rPr>
        <w:t xml:space="preserve"> </w:t>
      </w:r>
      <w:r w:rsidR="000540B3" w:rsidRPr="004D7A44">
        <w:rPr>
          <w:rFonts w:ascii="Arial" w:eastAsia="Arial Unicode MS" w:hAnsi="Arial" w:cs="Arial"/>
        </w:rPr>
        <w:t>A party cannot be expected to trawl through lengthy annexures to the opponent’s affidavit and to speculate on the possible relevance of facts therein contained. Trial by ambush is not permitted.</w:t>
      </w:r>
      <w:r w:rsidR="00866D73">
        <w:rPr>
          <w:rFonts w:ascii="Arial" w:eastAsia="Arial Unicode MS" w:hAnsi="Arial" w:cs="Arial"/>
        </w:rPr>
        <w:t>'</w:t>
      </w:r>
      <w:r w:rsidR="000540B3" w:rsidRPr="004D7A44">
        <w:rPr>
          <w:rStyle w:val="FootnoteReference"/>
          <w:rFonts w:ascii="Arial" w:eastAsia="Arial Unicode MS" w:hAnsi="Arial" w:cs="Arial"/>
        </w:rPr>
        <w:footnoteReference w:id="4"/>
      </w:r>
      <w:r w:rsidR="000540B3" w:rsidRPr="004D7A44">
        <w:rPr>
          <w:rFonts w:ascii="Arial" w:eastAsia="Arial Unicode MS" w:hAnsi="Arial" w:cs="Arial"/>
        </w:rPr>
        <w:t xml:space="preserve"> </w:t>
      </w:r>
    </w:p>
    <w:p w:rsidR="00873A1E" w:rsidRDefault="00873A1E" w:rsidP="00873A1E">
      <w:pPr>
        <w:spacing w:after="0" w:line="480" w:lineRule="auto"/>
        <w:jc w:val="both"/>
        <w:rPr>
          <w:rFonts w:ascii="Arial" w:eastAsia="Arial Unicode MS" w:hAnsi="Arial" w:cs="Arial"/>
          <w:sz w:val="24"/>
          <w:szCs w:val="24"/>
        </w:rPr>
      </w:pPr>
    </w:p>
    <w:p w:rsidR="000540B3" w:rsidRPr="000027C2" w:rsidRDefault="00873A1E" w:rsidP="000027C2">
      <w:pPr>
        <w:pStyle w:val="ListParagraph"/>
        <w:numPr>
          <w:ilvl w:val="0"/>
          <w:numId w:val="21"/>
        </w:numPr>
        <w:spacing w:after="0" w:line="480" w:lineRule="auto"/>
        <w:ind w:left="0" w:firstLine="0"/>
        <w:jc w:val="both"/>
        <w:rPr>
          <w:rFonts w:ascii="Arial" w:eastAsia="Arial Unicode MS" w:hAnsi="Arial" w:cs="Arial"/>
          <w:sz w:val="24"/>
          <w:szCs w:val="24"/>
        </w:rPr>
      </w:pPr>
      <w:r w:rsidRPr="000027C2">
        <w:rPr>
          <w:rFonts w:ascii="Arial" w:eastAsia="Arial Unicode MS" w:hAnsi="Arial" w:cs="Arial"/>
          <w:sz w:val="24"/>
          <w:szCs w:val="24"/>
        </w:rPr>
        <w:t xml:space="preserve">O’Regan AJA stated in </w:t>
      </w:r>
      <w:r w:rsidRPr="000027C2">
        <w:rPr>
          <w:rFonts w:ascii="Arial" w:eastAsia="Arial Unicode MS" w:hAnsi="Arial" w:cs="Arial"/>
          <w:i/>
          <w:sz w:val="24"/>
          <w:szCs w:val="24"/>
        </w:rPr>
        <w:t xml:space="preserve">Standard Bank </w:t>
      </w:r>
      <w:r w:rsidR="00A47698" w:rsidRPr="000027C2">
        <w:rPr>
          <w:rFonts w:ascii="Arial" w:eastAsia="Arial Unicode MS" w:hAnsi="Arial" w:cs="Arial"/>
          <w:i/>
          <w:sz w:val="24"/>
          <w:szCs w:val="24"/>
        </w:rPr>
        <w:t xml:space="preserve">Namibia Ltd </w:t>
      </w:r>
      <w:r w:rsidR="00846736" w:rsidRPr="000027C2">
        <w:rPr>
          <w:rFonts w:ascii="Arial" w:eastAsia="Arial Unicode MS" w:hAnsi="Arial" w:cs="Arial"/>
          <w:i/>
          <w:sz w:val="24"/>
          <w:szCs w:val="24"/>
        </w:rPr>
        <w:t>&amp;</w:t>
      </w:r>
      <w:r w:rsidR="00A47698" w:rsidRPr="000027C2">
        <w:rPr>
          <w:rFonts w:ascii="Arial" w:eastAsia="Arial Unicode MS" w:hAnsi="Arial" w:cs="Arial"/>
          <w:i/>
          <w:sz w:val="24"/>
          <w:szCs w:val="24"/>
        </w:rPr>
        <w:t xml:space="preserve"> </w:t>
      </w:r>
      <w:r w:rsidR="00846736" w:rsidRPr="000027C2">
        <w:rPr>
          <w:rFonts w:ascii="Arial" w:eastAsia="Arial Unicode MS" w:hAnsi="Arial" w:cs="Arial"/>
          <w:i/>
          <w:sz w:val="24"/>
          <w:szCs w:val="24"/>
        </w:rPr>
        <w:t>o</w:t>
      </w:r>
      <w:r w:rsidR="00A47698" w:rsidRPr="000027C2">
        <w:rPr>
          <w:rFonts w:ascii="Arial" w:eastAsia="Arial Unicode MS" w:hAnsi="Arial" w:cs="Arial"/>
          <w:i/>
          <w:sz w:val="24"/>
          <w:szCs w:val="24"/>
        </w:rPr>
        <w:t>thers v Maletz</w:t>
      </w:r>
      <w:r w:rsidRPr="000027C2">
        <w:rPr>
          <w:rFonts w:ascii="Arial" w:eastAsia="Arial Unicode MS" w:hAnsi="Arial" w:cs="Arial"/>
          <w:i/>
          <w:sz w:val="24"/>
          <w:szCs w:val="24"/>
        </w:rPr>
        <w:t xml:space="preserve">ky </w:t>
      </w:r>
      <w:r w:rsidR="006D53CA" w:rsidRPr="000027C2">
        <w:rPr>
          <w:rFonts w:ascii="Arial" w:eastAsia="Arial Unicode MS" w:hAnsi="Arial" w:cs="Arial"/>
          <w:i/>
          <w:sz w:val="24"/>
          <w:szCs w:val="24"/>
        </w:rPr>
        <w:t>&amp;</w:t>
      </w:r>
      <w:r w:rsidR="00A47698" w:rsidRPr="000027C2">
        <w:rPr>
          <w:rFonts w:ascii="Arial" w:eastAsia="Arial Unicode MS" w:hAnsi="Arial" w:cs="Arial"/>
          <w:i/>
          <w:sz w:val="24"/>
          <w:szCs w:val="24"/>
        </w:rPr>
        <w:t xml:space="preserve"> </w:t>
      </w:r>
      <w:r w:rsidR="006D53CA" w:rsidRPr="000027C2">
        <w:rPr>
          <w:rFonts w:ascii="Arial" w:eastAsia="Arial Unicode MS" w:hAnsi="Arial" w:cs="Arial"/>
          <w:i/>
          <w:sz w:val="24"/>
          <w:szCs w:val="24"/>
        </w:rPr>
        <w:t>o</w:t>
      </w:r>
      <w:r w:rsidR="00A47698" w:rsidRPr="000027C2">
        <w:rPr>
          <w:rFonts w:ascii="Arial" w:eastAsia="Arial Unicode MS" w:hAnsi="Arial" w:cs="Arial"/>
          <w:i/>
          <w:sz w:val="24"/>
          <w:szCs w:val="24"/>
        </w:rPr>
        <w:t>thers</w:t>
      </w:r>
      <w:r w:rsidR="00A47698" w:rsidRPr="000027C2">
        <w:rPr>
          <w:rFonts w:ascii="Arial" w:eastAsia="Arial Unicode MS" w:hAnsi="Arial" w:cs="Arial"/>
          <w:sz w:val="24"/>
          <w:szCs w:val="24"/>
        </w:rPr>
        <w:t xml:space="preserve"> 2015 (3) NR 753 (SC</w:t>
      </w:r>
      <w:r w:rsidR="00A47698" w:rsidRPr="000027C2">
        <w:rPr>
          <w:rFonts w:ascii="Arial" w:eastAsia="Arial Unicode MS" w:hAnsi="Arial" w:cs="Arial"/>
          <w:color w:val="000000" w:themeColor="text1"/>
          <w:sz w:val="24"/>
          <w:szCs w:val="24"/>
        </w:rPr>
        <w:t xml:space="preserve">) at </w:t>
      </w:r>
      <w:r w:rsidR="00277DF7" w:rsidRPr="000027C2">
        <w:rPr>
          <w:rFonts w:ascii="Arial" w:eastAsia="Arial Unicode MS" w:hAnsi="Arial" w:cs="Arial"/>
          <w:color w:val="000000" w:themeColor="text1"/>
          <w:sz w:val="24"/>
          <w:szCs w:val="24"/>
        </w:rPr>
        <w:t xml:space="preserve">771B-C </w:t>
      </w:r>
      <w:r w:rsidR="00A47698" w:rsidRPr="000027C2">
        <w:rPr>
          <w:rFonts w:ascii="Arial" w:eastAsia="Arial Unicode MS" w:hAnsi="Arial" w:cs="Arial"/>
          <w:color w:val="000000" w:themeColor="text1"/>
          <w:sz w:val="24"/>
          <w:szCs w:val="24"/>
        </w:rPr>
        <w:t xml:space="preserve">para </w:t>
      </w:r>
      <w:r w:rsidR="00277DF7" w:rsidRPr="000027C2">
        <w:rPr>
          <w:rFonts w:ascii="Arial" w:eastAsia="Arial Unicode MS" w:hAnsi="Arial" w:cs="Arial"/>
          <w:color w:val="000000" w:themeColor="text1"/>
          <w:sz w:val="24"/>
          <w:szCs w:val="24"/>
        </w:rPr>
        <w:t>43</w:t>
      </w:r>
      <w:r w:rsidR="00BA52ED" w:rsidRPr="000027C2">
        <w:rPr>
          <w:rFonts w:ascii="Arial" w:eastAsia="Arial Unicode MS" w:hAnsi="Arial" w:cs="Arial"/>
          <w:color w:val="000000" w:themeColor="text1"/>
          <w:sz w:val="24"/>
          <w:szCs w:val="24"/>
        </w:rPr>
        <w:t xml:space="preserve"> that it</w:t>
      </w:r>
      <w:r w:rsidR="00A47698" w:rsidRPr="000027C2">
        <w:rPr>
          <w:rFonts w:ascii="Arial" w:eastAsia="Arial Unicode MS" w:hAnsi="Arial" w:cs="Arial"/>
          <w:sz w:val="24"/>
          <w:szCs w:val="24"/>
        </w:rPr>
        <w:t xml:space="preserve"> is not sufficient for a litigant to attach an annexure without identifying in the founding affidavit the key facts </w:t>
      </w:r>
      <w:r w:rsidR="00BA52ED" w:rsidRPr="000027C2">
        <w:rPr>
          <w:rFonts w:ascii="Arial" w:eastAsia="Arial Unicode MS" w:hAnsi="Arial" w:cs="Arial"/>
          <w:sz w:val="24"/>
          <w:szCs w:val="24"/>
        </w:rPr>
        <w:t xml:space="preserve">in the annexure </w:t>
      </w:r>
      <w:r w:rsidR="00A47698" w:rsidRPr="000027C2">
        <w:rPr>
          <w:rFonts w:ascii="Arial" w:eastAsia="Arial Unicode MS" w:hAnsi="Arial" w:cs="Arial"/>
          <w:sz w:val="24"/>
          <w:szCs w:val="24"/>
        </w:rPr>
        <w:t>upon which the litigant relies.</w:t>
      </w:r>
    </w:p>
    <w:p w:rsidR="000540B3" w:rsidRPr="004D7A44" w:rsidRDefault="000540B3" w:rsidP="000027C2">
      <w:pPr>
        <w:pStyle w:val="Default"/>
        <w:spacing w:line="480" w:lineRule="auto"/>
        <w:rPr>
          <w:rFonts w:ascii="Arial" w:eastAsia="Arial Unicode MS" w:hAnsi="Arial" w:cs="Arial"/>
          <w:color w:val="auto"/>
        </w:rPr>
      </w:pPr>
    </w:p>
    <w:p w:rsidR="000540B3" w:rsidRDefault="000540B3" w:rsidP="000027C2">
      <w:pPr>
        <w:pStyle w:val="Default"/>
        <w:numPr>
          <w:ilvl w:val="0"/>
          <w:numId w:val="21"/>
        </w:numPr>
        <w:spacing w:line="480" w:lineRule="auto"/>
        <w:ind w:left="0" w:firstLine="0"/>
        <w:jc w:val="both"/>
        <w:rPr>
          <w:rFonts w:ascii="Arial" w:eastAsia="Arial Unicode MS" w:hAnsi="Arial" w:cs="Arial"/>
          <w:color w:val="auto"/>
        </w:rPr>
      </w:pPr>
      <w:r w:rsidRPr="004D7A44">
        <w:rPr>
          <w:rFonts w:ascii="Arial" w:eastAsia="Arial Unicode MS" w:hAnsi="Arial" w:cs="Arial"/>
          <w:color w:val="auto"/>
        </w:rPr>
        <w:lastRenderedPageBreak/>
        <w:t xml:space="preserve">It </w:t>
      </w:r>
      <w:r w:rsidR="009958F2">
        <w:rPr>
          <w:rFonts w:ascii="Arial" w:eastAsia="Arial Unicode MS" w:hAnsi="Arial" w:cs="Arial"/>
          <w:color w:val="auto"/>
        </w:rPr>
        <w:t xml:space="preserve">is </w:t>
      </w:r>
      <w:r w:rsidR="00A47698">
        <w:rPr>
          <w:rFonts w:ascii="Arial" w:eastAsia="Arial Unicode MS" w:hAnsi="Arial" w:cs="Arial"/>
          <w:color w:val="auto"/>
        </w:rPr>
        <w:t xml:space="preserve">not open to a litigant </w:t>
      </w:r>
      <w:r w:rsidRPr="004D7A44">
        <w:rPr>
          <w:rFonts w:ascii="Arial" w:eastAsia="Arial Unicode MS" w:hAnsi="Arial" w:cs="Arial"/>
          <w:color w:val="auto"/>
        </w:rPr>
        <w:t xml:space="preserve">merely to annex to </w:t>
      </w:r>
      <w:r w:rsidR="006242B1">
        <w:rPr>
          <w:rFonts w:ascii="Arial" w:eastAsia="Arial Unicode MS" w:hAnsi="Arial" w:cs="Arial"/>
          <w:color w:val="auto"/>
        </w:rPr>
        <w:t>an</w:t>
      </w:r>
      <w:r w:rsidRPr="004D7A44">
        <w:rPr>
          <w:rFonts w:ascii="Arial" w:eastAsia="Arial Unicode MS" w:hAnsi="Arial" w:cs="Arial"/>
          <w:color w:val="auto"/>
        </w:rPr>
        <w:t xml:space="preserve"> affidavit documentation and to </w:t>
      </w:r>
      <w:r w:rsidR="00A47698">
        <w:rPr>
          <w:rFonts w:ascii="Arial" w:eastAsia="Arial Unicode MS" w:hAnsi="Arial" w:cs="Arial"/>
          <w:color w:val="auto"/>
        </w:rPr>
        <w:t xml:space="preserve">invite </w:t>
      </w:r>
      <w:r w:rsidRPr="004D7A44">
        <w:rPr>
          <w:rFonts w:ascii="Arial" w:eastAsia="Arial Unicode MS" w:hAnsi="Arial" w:cs="Arial"/>
          <w:color w:val="auto"/>
        </w:rPr>
        <w:t>the court to have regard to it</w:t>
      </w:r>
      <w:r w:rsidR="00A47698">
        <w:rPr>
          <w:rFonts w:ascii="Arial" w:eastAsia="Arial Unicode MS" w:hAnsi="Arial" w:cs="Arial"/>
          <w:color w:val="auto"/>
        </w:rPr>
        <w:t xml:space="preserve"> in support of the relief sought or the defence raised</w:t>
      </w:r>
      <w:r w:rsidR="00177196">
        <w:rPr>
          <w:rFonts w:ascii="Arial" w:eastAsia="Arial Unicode MS" w:hAnsi="Arial" w:cs="Arial"/>
          <w:color w:val="auto"/>
        </w:rPr>
        <w:t>:</w:t>
      </w:r>
      <w:r w:rsidRPr="004D7A44">
        <w:rPr>
          <w:rFonts w:ascii="Arial" w:eastAsia="Arial Unicode MS" w:hAnsi="Arial" w:cs="Arial"/>
          <w:color w:val="auto"/>
        </w:rPr>
        <w:t xml:space="preserve"> What is required is the identification of the portions in the annexures on which reliance is placed and an indication of the case which is sought to be made out on the strength of those portions. </w:t>
      </w:r>
    </w:p>
    <w:p w:rsidR="005602E5" w:rsidRDefault="005602E5" w:rsidP="000027C2">
      <w:pPr>
        <w:pStyle w:val="Default"/>
        <w:spacing w:line="480" w:lineRule="auto"/>
        <w:jc w:val="both"/>
        <w:rPr>
          <w:rFonts w:ascii="Arial" w:eastAsia="Arial Unicode MS" w:hAnsi="Arial" w:cs="Arial"/>
          <w:color w:val="auto"/>
        </w:rPr>
      </w:pPr>
    </w:p>
    <w:p w:rsidR="005602E5" w:rsidRPr="004D7A44" w:rsidRDefault="005602E5" w:rsidP="000027C2">
      <w:pPr>
        <w:pStyle w:val="Default"/>
        <w:numPr>
          <w:ilvl w:val="0"/>
          <w:numId w:val="21"/>
        </w:numPr>
        <w:spacing w:line="480" w:lineRule="auto"/>
        <w:ind w:left="0" w:firstLine="0"/>
        <w:jc w:val="both"/>
        <w:rPr>
          <w:rFonts w:ascii="Arial" w:eastAsia="Arial Unicode MS" w:hAnsi="Arial" w:cs="Arial"/>
          <w:color w:val="auto"/>
        </w:rPr>
      </w:pPr>
      <w:r>
        <w:rPr>
          <w:rFonts w:ascii="Arial" w:eastAsia="Arial Unicode MS" w:hAnsi="Arial" w:cs="Arial"/>
          <w:color w:val="auto"/>
        </w:rPr>
        <w:t xml:space="preserve">In review proceedings applicants are aided by the procedure set out in rule 76 of the High Court </w:t>
      </w:r>
      <w:r w:rsidR="006D53CA">
        <w:rPr>
          <w:rFonts w:ascii="Arial" w:eastAsia="Arial Unicode MS" w:hAnsi="Arial" w:cs="Arial"/>
          <w:color w:val="auto"/>
        </w:rPr>
        <w:t>R</w:t>
      </w:r>
      <w:r>
        <w:rPr>
          <w:rFonts w:ascii="Arial" w:eastAsia="Arial Unicode MS" w:hAnsi="Arial" w:cs="Arial"/>
          <w:color w:val="auto"/>
        </w:rPr>
        <w:t>ules</w:t>
      </w:r>
      <w:r w:rsidR="00C362E9">
        <w:rPr>
          <w:rFonts w:ascii="Arial" w:eastAsia="Arial Unicode MS" w:hAnsi="Arial" w:cs="Arial"/>
          <w:color w:val="auto"/>
        </w:rPr>
        <w:t xml:space="preserve"> (f</w:t>
      </w:r>
      <w:r>
        <w:rPr>
          <w:rFonts w:ascii="Arial" w:eastAsia="Arial Unicode MS" w:hAnsi="Arial" w:cs="Arial"/>
          <w:color w:val="auto"/>
        </w:rPr>
        <w:t>ormerly rule 53</w:t>
      </w:r>
      <w:r w:rsidR="00C362E9">
        <w:rPr>
          <w:rFonts w:ascii="Arial" w:eastAsia="Arial Unicode MS" w:hAnsi="Arial" w:cs="Arial"/>
          <w:color w:val="auto"/>
        </w:rPr>
        <w:t>)</w:t>
      </w:r>
      <w:r>
        <w:rPr>
          <w:rFonts w:ascii="Arial" w:eastAsia="Arial Unicode MS" w:hAnsi="Arial" w:cs="Arial"/>
          <w:color w:val="auto"/>
        </w:rPr>
        <w:t xml:space="preserve">. </w:t>
      </w:r>
      <w:r w:rsidR="0044035B">
        <w:rPr>
          <w:rFonts w:ascii="Arial" w:eastAsia="Arial Unicode MS" w:hAnsi="Arial" w:cs="Arial"/>
          <w:color w:val="auto"/>
        </w:rPr>
        <w:t>The procedure enables the per</w:t>
      </w:r>
      <w:r w:rsidR="00894CDF">
        <w:rPr>
          <w:rFonts w:ascii="Arial" w:eastAsia="Arial Unicode MS" w:hAnsi="Arial" w:cs="Arial"/>
          <w:color w:val="auto"/>
        </w:rPr>
        <w:t xml:space="preserve">son aggrieved by administrative </w:t>
      </w:r>
      <w:r w:rsidR="0044035B">
        <w:rPr>
          <w:rFonts w:ascii="Arial" w:eastAsia="Arial Unicode MS" w:hAnsi="Arial" w:cs="Arial"/>
          <w:color w:val="auto"/>
        </w:rPr>
        <w:t xml:space="preserve">decision-making to require </w:t>
      </w:r>
      <w:r w:rsidR="00BF52E1">
        <w:rPr>
          <w:rFonts w:ascii="Arial" w:eastAsia="Arial Unicode MS" w:hAnsi="Arial" w:cs="Arial"/>
          <w:color w:val="auto"/>
        </w:rPr>
        <w:t xml:space="preserve">the </w:t>
      </w:r>
      <w:r w:rsidR="0044035B">
        <w:rPr>
          <w:rFonts w:ascii="Arial" w:eastAsia="Arial Unicode MS" w:hAnsi="Arial" w:cs="Arial"/>
          <w:color w:val="auto"/>
        </w:rPr>
        <w:t xml:space="preserve">administrative decision-maker to produce the record, which should include the reasons if available. The applicant for review may </w:t>
      </w:r>
      <w:r w:rsidR="00F16AD9">
        <w:rPr>
          <w:rFonts w:ascii="Arial" w:eastAsia="Arial Unicode MS" w:hAnsi="Arial" w:cs="Arial"/>
          <w:color w:val="auto"/>
        </w:rPr>
        <w:t>upon receiving the record of proceedings</w:t>
      </w:r>
      <w:r w:rsidR="00CC4EE4">
        <w:rPr>
          <w:rFonts w:ascii="Arial" w:eastAsia="Arial Unicode MS" w:hAnsi="Arial" w:cs="Arial"/>
          <w:color w:val="auto"/>
        </w:rPr>
        <w:t xml:space="preserve"> amend,</w:t>
      </w:r>
      <w:r w:rsidR="00F16AD9">
        <w:rPr>
          <w:rFonts w:ascii="Arial" w:eastAsia="Arial Unicode MS" w:hAnsi="Arial" w:cs="Arial"/>
          <w:color w:val="auto"/>
        </w:rPr>
        <w:t xml:space="preserve"> </w:t>
      </w:r>
      <w:r w:rsidR="00A851E9">
        <w:rPr>
          <w:rFonts w:ascii="Arial" w:eastAsia="Arial Unicode MS" w:hAnsi="Arial" w:cs="Arial"/>
          <w:color w:val="auto"/>
        </w:rPr>
        <w:t xml:space="preserve">add to or </w:t>
      </w:r>
      <w:r w:rsidR="00CC4EE4">
        <w:rPr>
          <w:rFonts w:ascii="Arial" w:eastAsia="Arial Unicode MS" w:hAnsi="Arial" w:cs="Arial"/>
          <w:color w:val="auto"/>
        </w:rPr>
        <w:t>var</w:t>
      </w:r>
      <w:r>
        <w:rPr>
          <w:rFonts w:ascii="Arial" w:eastAsia="Arial Unicode MS" w:hAnsi="Arial" w:cs="Arial"/>
          <w:color w:val="auto"/>
        </w:rPr>
        <w:t xml:space="preserve">y </w:t>
      </w:r>
      <w:r w:rsidR="00A851E9">
        <w:rPr>
          <w:rFonts w:ascii="Arial" w:eastAsia="Arial Unicode MS" w:hAnsi="Arial" w:cs="Arial"/>
          <w:color w:val="auto"/>
        </w:rPr>
        <w:t xml:space="preserve">the </w:t>
      </w:r>
      <w:r>
        <w:rPr>
          <w:rFonts w:ascii="Arial" w:eastAsia="Arial Unicode MS" w:hAnsi="Arial" w:cs="Arial"/>
          <w:color w:val="auto"/>
        </w:rPr>
        <w:t xml:space="preserve">review grounds raised in the founding papers. </w:t>
      </w:r>
      <w:r w:rsidR="00F16AD9">
        <w:rPr>
          <w:rFonts w:ascii="Arial" w:eastAsia="Arial Unicode MS" w:hAnsi="Arial" w:cs="Arial"/>
          <w:color w:val="auto"/>
        </w:rPr>
        <w:t>In a borderline case</w:t>
      </w:r>
      <w:r w:rsidR="00BA52ED">
        <w:rPr>
          <w:rFonts w:ascii="Arial" w:eastAsia="Arial Unicode MS" w:hAnsi="Arial" w:cs="Arial"/>
          <w:color w:val="auto"/>
        </w:rPr>
        <w:t>,</w:t>
      </w:r>
      <w:r w:rsidR="00A5071D">
        <w:rPr>
          <w:rFonts w:ascii="Arial" w:eastAsia="Arial Unicode MS" w:hAnsi="Arial" w:cs="Arial"/>
          <w:color w:val="auto"/>
        </w:rPr>
        <w:t xml:space="preserve"> the failure to require the production of</w:t>
      </w:r>
      <w:r w:rsidR="00F16AD9">
        <w:rPr>
          <w:rFonts w:ascii="Arial" w:eastAsia="Arial Unicode MS" w:hAnsi="Arial" w:cs="Arial"/>
          <w:color w:val="auto"/>
        </w:rPr>
        <w:t xml:space="preserve"> the record to the court </w:t>
      </w:r>
      <w:r w:rsidR="00BA52ED">
        <w:rPr>
          <w:rFonts w:ascii="Arial" w:eastAsia="Arial Unicode MS" w:hAnsi="Arial" w:cs="Arial"/>
          <w:color w:val="auto"/>
        </w:rPr>
        <w:t>(</w:t>
      </w:r>
      <w:r w:rsidR="00D70495">
        <w:rPr>
          <w:rFonts w:ascii="Arial" w:eastAsia="Arial Unicode MS" w:hAnsi="Arial" w:cs="Arial"/>
          <w:color w:val="auto"/>
        </w:rPr>
        <w:t xml:space="preserve">which is an important part of the evidence in </w:t>
      </w:r>
      <w:r w:rsidR="00BA52ED">
        <w:rPr>
          <w:rFonts w:ascii="Arial" w:eastAsia="Arial Unicode MS" w:hAnsi="Arial" w:cs="Arial"/>
          <w:color w:val="auto"/>
        </w:rPr>
        <w:t>review proceedings),</w:t>
      </w:r>
      <w:r w:rsidR="00D70495">
        <w:rPr>
          <w:rFonts w:ascii="Arial" w:eastAsia="Arial Unicode MS" w:hAnsi="Arial" w:cs="Arial"/>
          <w:color w:val="auto"/>
        </w:rPr>
        <w:t xml:space="preserve"> </w:t>
      </w:r>
      <w:r w:rsidR="00F16AD9">
        <w:rPr>
          <w:rFonts w:ascii="Arial" w:eastAsia="Arial Unicode MS" w:hAnsi="Arial" w:cs="Arial"/>
          <w:color w:val="auto"/>
        </w:rPr>
        <w:t>could well prove decisive</w:t>
      </w:r>
      <w:r w:rsidR="001E66F2">
        <w:rPr>
          <w:rFonts w:ascii="Arial" w:eastAsia="Arial Unicode MS" w:hAnsi="Arial" w:cs="Arial"/>
          <w:color w:val="auto"/>
        </w:rPr>
        <w:t xml:space="preserve"> against the applicant especially</w:t>
      </w:r>
      <w:r w:rsidR="00D70495">
        <w:rPr>
          <w:rFonts w:ascii="Arial" w:eastAsia="Arial Unicode MS" w:hAnsi="Arial" w:cs="Arial"/>
          <w:color w:val="auto"/>
        </w:rPr>
        <w:t xml:space="preserve"> where the respondent places in dispute the facts relied on by the applicant. </w:t>
      </w:r>
      <w:r w:rsidR="00F16AD9">
        <w:rPr>
          <w:rFonts w:ascii="Arial" w:eastAsia="Arial Unicode MS" w:hAnsi="Arial" w:cs="Arial"/>
          <w:color w:val="auto"/>
        </w:rPr>
        <w:t xml:space="preserve">(Compare </w:t>
      </w:r>
      <w:r w:rsidR="00F16AD9" w:rsidRPr="00F16AD9">
        <w:rPr>
          <w:rFonts w:ascii="Arial" w:eastAsia="Arial Unicode MS" w:hAnsi="Arial" w:cs="Arial"/>
          <w:i/>
          <w:color w:val="auto"/>
        </w:rPr>
        <w:t>SACCAWU v President, Industrial Tribunal</w:t>
      </w:r>
      <w:r w:rsidR="00F16AD9">
        <w:rPr>
          <w:rFonts w:ascii="Arial" w:eastAsia="Arial Unicode MS" w:hAnsi="Arial" w:cs="Arial"/>
          <w:color w:val="auto"/>
        </w:rPr>
        <w:t xml:space="preserve"> 2001 (2) SA 277 (SCA) para 7). </w:t>
      </w:r>
      <w:r>
        <w:rPr>
          <w:rFonts w:ascii="Arial" w:eastAsia="Arial Unicode MS" w:hAnsi="Arial" w:cs="Arial"/>
          <w:color w:val="auto"/>
        </w:rPr>
        <w:t>In th</w:t>
      </w:r>
      <w:r w:rsidR="00220715">
        <w:rPr>
          <w:rFonts w:ascii="Arial" w:eastAsia="Arial Unicode MS" w:hAnsi="Arial" w:cs="Arial"/>
          <w:color w:val="auto"/>
        </w:rPr>
        <w:t xml:space="preserve">ese proceedings </w:t>
      </w:r>
      <w:r>
        <w:rPr>
          <w:rFonts w:ascii="Arial" w:eastAsia="Arial Unicode MS" w:hAnsi="Arial" w:cs="Arial"/>
          <w:color w:val="auto"/>
        </w:rPr>
        <w:t>the respondents, at their peril, elected not to proceed in terms of rule 76 and did not require a copy of the complete record of the decision taken on review.</w:t>
      </w:r>
    </w:p>
    <w:p w:rsidR="000540B3" w:rsidRDefault="000540B3" w:rsidP="000027C2">
      <w:pPr>
        <w:spacing w:after="0" w:line="480" w:lineRule="auto"/>
        <w:jc w:val="both"/>
        <w:rPr>
          <w:rFonts w:ascii="Arial" w:hAnsi="Arial" w:cs="Arial"/>
          <w:sz w:val="24"/>
          <w:szCs w:val="24"/>
        </w:rPr>
      </w:pPr>
    </w:p>
    <w:p w:rsidR="005352D5" w:rsidRPr="000027C2" w:rsidRDefault="005352D5" w:rsidP="000027C2">
      <w:pPr>
        <w:pStyle w:val="ListParagraph"/>
        <w:spacing w:after="0" w:line="480" w:lineRule="auto"/>
        <w:ind w:left="0"/>
        <w:jc w:val="both"/>
        <w:rPr>
          <w:rFonts w:ascii="Arial" w:hAnsi="Arial" w:cs="Arial"/>
          <w:sz w:val="24"/>
          <w:szCs w:val="24"/>
          <w:u w:val="single"/>
        </w:rPr>
      </w:pPr>
      <w:r w:rsidRPr="000027C2">
        <w:rPr>
          <w:rFonts w:ascii="Arial" w:hAnsi="Arial" w:cs="Arial"/>
          <w:sz w:val="24"/>
          <w:szCs w:val="24"/>
          <w:u w:val="single"/>
        </w:rPr>
        <w:t>Analysis</w:t>
      </w:r>
    </w:p>
    <w:p w:rsidR="005352D5" w:rsidRPr="000027C2" w:rsidRDefault="005352D5" w:rsidP="000027C2">
      <w:pPr>
        <w:pStyle w:val="ListParagraph"/>
        <w:numPr>
          <w:ilvl w:val="0"/>
          <w:numId w:val="21"/>
        </w:numPr>
        <w:spacing w:after="0" w:line="480" w:lineRule="auto"/>
        <w:ind w:left="0" w:firstLine="0"/>
        <w:jc w:val="both"/>
        <w:rPr>
          <w:rStyle w:val="s1"/>
          <w:rFonts w:ascii="Arial" w:hAnsi="Arial" w:cs="Arial"/>
          <w:sz w:val="24"/>
          <w:szCs w:val="24"/>
        </w:rPr>
      </w:pPr>
      <w:r w:rsidRPr="000027C2">
        <w:rPr>
          <w:rStyle w:val="s1"/>
          <w:rFonts w:ascii="Arial" w:hAnsi="Arial" w:cs="Arial"/>
          <w:sz w:val="24"/>
          <w:szCs w:val="24"/>
        </w:rPr>
        <w:t xml:space="preserve">As Mr Semenya for the appellants correctly submitted, Art 18 </w:t>
      </w:r>
      <w:r w:rsidR="00BA52ED" w:rsidRPr="000027C2">
        <w:rPr>
          <w:rStyle w:val="s1"/>
          <w:rFonts w:ascii="Arial" w:hAnsi="Arial" w:cs="Arial"/>
          <w:sz w:val="24"/>
          <w:szCs w:val="24"/>
        </w:rPr>
        <w:t>is multi-fac</w:t>
      </w:r>
      <w:r w:rsidR="00CC4EE4" w:rsidRPr="000027C2">
        <w:rPr>
          <w:rStyle w:val="s1"/>
          <w:rFonts w:ascii="Arial" w:hAnsi="Arial" w:cs="Arial"/>
          <w:sz w:val="24"/>
          <w:szCs w:val="24"/>
        </w:rPr>
        <w:t>e</w:t>
      </w:r>
      <w:r w:rsidR="00BA52ED" w:rsidRPr="000027C2">
        <w:rPr>
          <w:rStyle w:val="s1"/>
          <w:rFonts w:ascii="Arial" w:hAnsi="Arial" w:cs="Arial"/>
          <w:sz w:val="24"/>
          <w:szCs w:val="24"/>
        </w:rPr>
        <w:t>t</w:t>
      </w:r>
      <w:r w:rsidR="00CC4EE4" w:rsidRPr="000027C2">
        <w:rPr>
          <w:rStyle w:val="s1"/>
          <w:rFonts w:ascii="Arial" w:hAnsi="Arial" w:cs="Arial"/>
          <w:sz w:val="24"/>
          <w:szCs w:val="24"/>
        </w:rPr>
        <w:t>ed</w:t>
      </w:r>
      <w:r w:rsidR="003A0C04" w:rsidRPr="000027C2">
        <w:rPr>
          <w:rStyle w:val="s1"/>
          <w:rFonts w:ascii="Arial" w:hAnsi="Arial" w:cs="Arial"/>
          <w:sz w:val="24"/>
          <w:szCs w:val="24"/>
        </w:rPr>
        <w:t>: Amongst others</w:t>
      </w:r>
      <w:r w:rsidR="00BA52ED" w:rsidRPr="000027C2">
        <w:rPr>
          <w:rStyle w:val="s1"/>
          <w:rFonts w:ascii="Arial" w:hAnsi="Arial" w:cs="Arial"/>
          <w:sz w:val="24"/>
          <w:szCs w:val="24"/>
        </w:rPr>
        <w:t xml:space="preserve"> i</w:t>
      </w:r>
      <w:r w:rsidRPr="000027C2">
        <w:rPr>
          <w:rStyle w:val="s1"/>
          <w:rFonts w:ascii="Arial" w:hAnsi="Arial" w:cs="Arial"/>
          <w:sz w:val="24"/>
          <w:szCs w:val="24"/>
        </w:rPr>
        <w:t>t implicates the right to fair administrative justice and the duty to act reasonably. The first leg</w:t>
      </w:r>
      <w:r w:rsidR="003A0C04" w:rsidRPr="000027C2">
        <w:rPr>
          <w:rStyle w:val="s1"/>
          <w:rFonts w:ascii="Arial" w:hAnsi="Arial" w:cs="Arial"/>
          <w:sz w:val="24"/>
          <w:szCs w:val="24"/>
        </w:rPr>
        <w:t>,</w:t>
      </w:r>
      <w:r w:rsidRPr="000027C2">
        <w:rPr>
          <w:rStyle w:val="s1"/>
          <w:rFonts w:ascii="Arial" w:hAnsi="Arial" w:cs="Arial"/>
          <w:sz w:val="24"/>
          <w:szCs w:val="24"/>
        </w:rPr>
        <w:t xml:space="preserve"> for its part</w:t>
      </w:r>
      <w:r w:rsidR="003A0C04" w:rsidRPr="000027C2">
        <w:rPr>
          <w:rStyle w:val="s1"/>
          <w:rFonts w:ascii="Arial" w:hAnsi="Arial" w:cs="Arial"/>
          <w:sz w:val="24"/>
          <w:szCs w:val="24"/>
        </w:rPr>
        <w:t>,</w:t>
      </w:r>
      <w:r w:rsidRPr="000027C2">
        <w:rPr>
          <w:rStyle w:val="s1"/>
          <w:rFonts w:ascii="Arial" w:hAnsi="Arial" w:cs="Arial"/>
          <w:sz w:val="24"/>
          <w:szCs w:val="24"/>
        </w:rPr>
        <w:t xml:space="preserve"> entails the principles of natural justice such as </w:t>
      </w:r>
      <w:r w:rsidRPr="000027C2">
        <w:rPr>
          <w:rStyle w:val="s1"/>
          <w:rFonts w:ascii="Arial" w:hAnsi="Arial" w:cs="Arial"/>
          <w:i/>
          <w:sz w:val="24"/>
          <w:szCs w:val="24"/>
        </w:rPr>
        <w:t>audi alteram</w:t>
      </w:r>
      <w:r w:rsidRPr="000027C2">
        <w:rPr>
          <w:rStyle w:val="s1"/>
          <w:rFonts w:ascii="Arial" w:hAnsi="Arial" w:cs="Arial"/>
          <w:sz w:val="24"/>
          <w:szCs w:val="24"/>
        </w:rPr>
        <w:t xml:space="preserve"> </w:t>
      </w:r>
      <w:r w:rsidRPr="000027C2">
        <w:rPr>
          <w:rStyle w:val="s1"/>
          <w:rFonts w:ascii="Arial" w:hAnsi="Arial" w:cs="Arial"/>
          <w:i/>
          <w:sz w:val="24"/>
          <w:szCs w:val="24"/>
        </w:rPr>
        <w:t xml:space="preserve">partem </w:t>
      </w:r>
      <w:r w:rsidRPr="000027C2">
        <w:rPr>
          <w:rStyle w:val="s1"/>
          <w:rFonts w:ascii="Arial" w:hAnsi="Arial" w:cs="Arial"/>
          <w:sz w:val="24"/>
          <w:szCs w:val="24"/>
        </w:rPr>
        <w:t xml:space="preserve">and </w:t>
      </w:r>
      <w:r w:rsidRPr="000027C2">
        <w:rPr>
          <w:rStyle w:val="s1"/>
          <w:rFonts w:ascii="Arial" w:hAnsi="Arial" w:cs="Arial"/>
          <w:i/>
          <w:sz w:val="24"/>
          <w:szCs w:val="24"/>
        </w:rPr>
        <w:t xml:space="preserve">nemo </w:t>
      </w:r>
      <w:r w:rsidR="008D700B" w:rsidRPr="000027C2">
        <w:rPr>
          <w:rStyle w:val="s1"/>
          <w:rFonts w:ascii="Arial" w:hAnsi="Arial" w:cs="Arial"/>
          <w:i/>
          <w:sz w:val="24"/>
          <w:szCs w:val="24"/>
        </w:rPr>
        <w:t>iudex</w:t>
      </w:r>
      <w:r w:rsidRPr="000027C2">
        <w:rPr>
          <w:rStyle w:val="s1"/>
          <w:rFonts w:ascii="Arial" w:hAnsi="Arial" w:cs="Arial"/>
          <w:i/>
          <w:sz w:val="24"/>
          <w:szCs w:val="24"/>
        </w:rPr>
        <w:t xml:space="preserve"> sua causa.</w:t>
      </w:r>
      <w:r w:rsidRPr="000027C2">
        <w:rPr>
          <w:rStyle w:val="s1"/>
          <w:rFonts w:ascii="Arial" w:hAnsi="Arial" w:cs="Arial"/>
          <w:sz w:val="24"/>
          <w:szCs w:val="24"/>
        </w:rPr>
        <w:t xml:space="preserve"> </w:t>
      </w:r>
      <w:r w:rsidR="008C156A" w:rsidRPr="000027C2">
        <w:rPr>
          <w:rStyle w:val="s1"/>
          <w:rFonts w:ascii="Arial" w:hAnsi="Arial" w:cs="Arial"/>
          <w:sz w:val="24"/>
          <w:szCs w:val="24"/>
        </w:rPr>
        <w:t xml:space="preserve">Reasonableness </w:t>
      </w:r>
      <w:r w:rsidRPr="000027C2">
        <w:rPr>
          <w:rStyle w:val="s1"/>
          <w:rFonts w:ascii="Arial" w:hAnsi="Arial" w:cs="Arial"/>
          <w:sz w:val="24"/>
          <w:szCs w:val="24"/>
        </w:rPr>
        <w:t xml:space="preserve">deals with the </w:t>
      </w:r>
      <w:r w:rsidRPr="000027C2">
        <w:rPr>
          <w:rStyle w:val="s1"/>
          <w:rFonts w:ascii="Arial" w:hAnsi="Arial" w:cs="Arial"/>
          <w:sz w:val="24"/>
          <w:szCs w:val="24"/>
        </w:rPr>
        <w:lastRenderedPageBreak/>
        <w:t xml:space="preserve">substantive part of administrative justice: a decision which no reasonable decision-maker could have taken is reviewable. It is the duty of an applicant </w:t>
      </w:r>
      <w:r w:rsidR="00CC4EE4" w:rsidRPr="000027C2">
        <w:rPr>
          <w:rStyle w:val="s1"/>
          <w:rFonts w:ascii="Arial" w:hAnsi="Arial" w:cs="Arial"/>
          <w:sz w:val="24"/>
          <w:szCs w:val="24"/>
        </w:rPr>
        <w:t xml:space="preserve">for review </w:t>
      </w:r>
      <w:r w:rsidRPr="000027C2">
        <w:rPr>
          <w:rStyle w:val="s1"/>
          <w:rFonts w:ascii="Arial" w:hAnsi="Arial" w:cs="Arial"/>
          <w:sz w:val="24"/>
          <w:szCs w:val="24"/>
        </w:rPr>
        <w:t>to say which of these possible avenues of attack he or she relies on and on what factual material. The applicant for review bears the onus in its full sense: the evidential burden and making out the case for review. True, once there is prima facie evidence the decision-maker bears the onus of rebuttal; that is to say to justify the decision-making.</w:t>
      </w:r>
    </w:p>
    <w:p w:rsidR="006636DA" w:rsidRPr="006636DA" w:rsidRDefault="006636DA" w:rsidP="000027C2">
      <w:pPr>
        <w:spacing w:after="0" w:line="480" w:lineRule="auto"/>
        <w:jc w:val="both"/>
        <w:rPr>
          <w:rFonts w:ascii="Arial" w:hAnsi="Arial" w:cs="Arial"/>
          <w:sz w:val="24"/>
          <w:szCs w:val="24"/>
        </w:rPr>
      </w:pPr>
    </w:p>
    <w:p w:rsidR="005352D5" w:rsidRPr="000027C2" w:rsidRDefault="005352D5" w:rsidP="000027C2">
      <w:pPr>
        <w:pStyle w:val="ListParagraph"/>
        <w:numPr>
          <w:ilvl w:val="0"/>
          <w:numId w:val="21"/>
        </w:numPr>
        <w:spacing w:after="0" w:line="480" w:lineRule="auto"/>
        <w:ind w:left="0" w:firstLine="0"/>
        <w:jc w:val="both"/>
        <w:rPr>
          <w:rFonts w:ascii="Arial" w:hAnsi="Arial" w:cs="Arial"/>
          <w:sz w:val="24"/>
          <w:szCs w:val="24"/>
        </w:rPr>
      </w:pPr>
      <w:r w:rsidRPr="000027C2">
        <w:rPr>
          <w:rFonts w:ascii="Arial" w:hAnsi="Arial" w:cs="Arial"/>
          <w:sz w:val="24"/>
          <w:szCs w:val="24"/>
        </w:rPr>
        <w:t xml:space="preserve">It is now necessary to set out in full the specific allegations made by the respondents in the founding affidavit directly dealing with the denial of a hearing and non-compliance with </w:t>
      </w:r>
      <w:r w:rsidR="006636DA" w:rsidRPr="000027C2">
        <w:rPr>
          <w:rFonts w:ascii="Arial" w:hAnsi="Arial" w:cs="Arial"/>
          <w:sz w:val="24"/>
          <w:szCs w:val="24"/>
        </w:rPr>
        <w:t>A</w:t>
      </w:r>
      <w:r w:rsidRPr="000027C2">
        <w:rPr>
          <w:rFonts w:ascii="Arial" w:hAnsi="Arial" w:cs="Arial"/>
          <w:sz w:val="24"/>
          <w:szCs w:val="24"/>
        </w:rPr>
        <w:t>rt 18</w:t>
      </w:r>
      <w:r w:rsidR="006636DA" w:rsidRPr="000027C2">
        <w:rPr>
          <w:rFonts w:ascii="Arial" w:hAnsi="Arial" w:cs="Arial"/>
          <w:sz w:val="24"/>
          <w:szCs w:val="24"/>
        </w:rPr>
        <w:t xml:space="preserve">. </w:t>
      </w:r>
      <w:r w:rsidRPr="000027C2">
        <w:rPr>
          <w:rFonts w:ascii="Arial" w:hAnsi="Arial" w:cs="Arial"/>
          <w:sz w:val="24"/>
          <w:szCs w:val="24"/>
        </w:rPr>
        <w:t>The first respondent deposed as follows:</w:t>
      </w:r>
    </w:p>
    <w:p w:rsidR="006636DA" w:rsidRDefault="006636DA" w:rsidP="000027C2">
      <w:pPr>
        <w:spacing w:after="0" w:line="480" w:lineRule="auto"/>
        <w:jc w:val="both"/>
        <w:rPr>
          <w:rFonts w:ascii="Arial" w:hAnsi="Arial" w:cs="Arial"/>
        </w:rPr>
      </w:pPr>
    </w:p>
    <w:p w:rsidR="00250514" w:rsidRDefault="00AE36E3" w:rsidP="00846736">
      <w:pPr>
        <w:spacing w:after="0" w:line="360" w:lineRule="auto"/>
        <w:ind w:left="720"/>
        <w:jc w:val="both"/>
        <w:rPr>
          <w:rFonts w:ascii="Arial" w:hAnsi="Arial" w:cs="Arial"/>
        </w:rPr>
      </w:pPr>
      <w:r w:rsidRPr="006636DA">
        <w:rPr>
          <w:rFonts w:ascii="Arial" w:hAnsi="Arial" w:cs="Arial"/>
        </w:rPr>
        <w:t xml:space="preserve">‘30. </w:t>
      </w:r>
      <w:r w:rsidR="006636DA">
        <w:rPr>
          <w:rFonts w:ascii="Arial" w:hAnsi="Arial" w:cs="Arial"/>
        </w:rPr>
        <w:tab/>
      </w:r>
      <w:r w:rsidR="00250514" w:rsidRPr="006636DA">
        <w:rPr>
          <w:rFonts w:ascii="Arial" w:hAnsi="Arial" w:cs="Arial"/>
        </w:rPr>
        <w:t>In August 2011, the first respondent appointed a committee to investigate the so called misconduct charges against me and my fellow applicants. I and my fellow applicants were summoned to appear before this committee and when we appeared before it, we were subjected to harassment and rebuke and we were accused of sowing divisions in the community. The committee accused us that we did not respect the Queen and that we were not supposed to call and attend a community meeting. On the 15</w:t>
      </w:r>
      <w:r w:rsidR="00250514" w:rsidRPr="006636DA">
        <w:rPr>
          <w:rFonts w:ascii="Arial" w:hAnsi="Arial" w:cs="Arial"/>
          <w:vertAlign w:val="superscript"/>
        </w:rPr>
        <w:t>th</w:t>
      </w:r>
      <w:r w:rsidR="00250514" w:rsidRPr="006636DA">
        <w:rPr>
          <w:rFonts w:ascii="Arial" w:hAnsi="Arial" w:cs="Arial"/>
        </w:rPr>
        <w:t xml:space="preserve"> day of August 2011, this committee presented to us what was termed a summary of the final outcome of the committee of investigation. Each of the applicants received this document purporting to set out the charges against us and the decisions taken. I attach hereto copies of the Oshikwanyama and English versions of these documents and they are marked, “GH 14”, “GH 15”, “GH 16” “GH 17” and “GH 18” respectively. I incorporate the contents of all these attachment into this affidavit and rely on the contents thereof to substantiate our relief.</w:t>
      </w:r>
    </w:p>
    <w:p w:rsidR="009C3ED6" w:rsidRPr="006636DA" w:rsidRDefault="009C3ED6" w:rsidP="00846736">
      <w:pPr>
        <w:spacing w:after="0" w:line="360" w:lineRule="auto"/>
        <w:ind w:left="851" w:hanging="851"/>
        <w:jc w:val="both"/>
        <w:rPr>
          <w:rFonts w:ascii="Arial" w:hAnsi="Arial" w:cs="Arial"/>
        </w:rPr>
      </w:pPr>
    </w:p>
    <w:p w:rsidR="00250514" w:rsidRPr="006636DA" w:rsidRDefault="00250514" w:rsidP="00846736">
      <w:pPr>
        <w:spacing w:after="0" w:line="360" w:lineRule="auto"/>
        <w:ind w:left="720"/>
        <w:jc w:val="both"/>
        <w:rPr>
          <w:rFonts w:ascii="Arial" w:hAnsi="Arial" w:cs="Arial"/>
        </w:rPr>
      </w:pPr>
      <w:r w:rsidRPr="006636DA">
        <w:rPr>
          <w:rFonts w:ascii="Arial" w:hAnsi="Arial" w:cs="Arial"/>
        </w:rPr>
        <w:t>33.</w:t>
      </w:r>
      <w:r w:rsidRPr="006636DA">
        <w:rPr>
          <w:rFonts w:ascii="Arial" w:hAnsi="Arial" w:cs="Arial"/>
        </w:rPr>
        <w:tab/>
        <w:t xml:space="preserve">I submit that the </w:t>
      </w:r>
      <w:r w:rsidR="00CC4EE4">
        <w:rPr>
          <w:rFonts w:ascii="Arial" w:hAnsi="Arial" w:cs="Arial"/>
        </w:rPr>
        <w:t xml:space="preserve">first </w:t>
      </w:r>
      <w:r w:rsidRPr="006636DA">
        <w:rPr>
          <w:rFonts w:ascii="Arial" w:hAnsi="Arial" w:cs="Arial"/>
        </w:rPr>
        <w:t xml:space="preserve">respondent in her capacity as Chief is obliged by law to act in conformity with the provisions of article 18 of the Namibian Constitution and she did not act in accordance with that provision. I therefore submit that the decisions taken by the first Respondent is in conflict with the provisions of article 18 of the Namibian Constitution and she has accordingly violated our right to administrative </w:t>
      </w:r>
      <w:r w:rsidRPr="006636DA">
        <w:rPr>
          <w:rFonts w:ascii="Arial" w:hAnsi="Arial" w:cs="Arial"/>
        </w:rPr>
        <w:lastRenderedPageBreak/>
        <w:t>justice. In my case the first respondent states in the letter suspending me that I have been suspended indefinitely. I submit that there is no lawful authority for a suspension that is indefinite. An indefinite suspension is absurd and unreasonable in that it does not inform me whether I will be reinstated or not and if I will, by when. I submit that on this basis alone, there is a need to review the decisions taken by the first respondent. I submit further that I was not given a hearing before the decision to suspend me was taken. I submit that I am entitled and or I have right to be given a hearing in any decisions that is about to be taken against me especially if such a decisions prejudices me. I submit that the decisions of the first respondent is indeed prejudicial to me and she should have accorded me a hearing before she took the decisions of suspending me. Furthermore her decisions warrants a review in that, I was not given reasons for my suspension, alternatively, if reasons were given, then in that event, I submit that those reasons are unreasonable and they do not warrant a suspension such as the one deployed by the first respondent.</w:t>
      </w:r>
    </w:p>
    <w:p w:rsidR="00250514" w:rsidRPr="006636DA" w:rsidRDefault="00250514" w:rsidP="00846736">
      <w:pPr>
        <w:spacing w:after="0" w:line="360" w:lineRule="auto"/>
        <w:ind w:left="720" w:hanging="720"/>
        <w:jc w:val="both"/>
        <w:rPr>
          <w:rFonts w:ascii="Arial" w:hAnsi="Arial" w:cs="Arial"/>
        </w:rPr>
      </w:pPr>
    </w:p>
    <w:p w:rsidR="00250514" w:rsidRPr="006636DA" w:rsidRDefault="00250514" w:rsidP="00846736">
      <w:pPr>
        <w:spacing w:after="0" w:line="360" w:lineRule="auto"/>
        <w:ind w:left="720"/>
        <w:jc w:val="both"/>
        <w:rPr>
          <w:rFonts w:ascii="Arial" w:hAnsi="Arial" w:cs="Arial"/>
        </w:rPr>
      </w:pPr>
      <w:r w:rsidRPr="006636DA">
        <w:rPr>
          <w:rFonts w:ascii="Arial" w:hAnsi="Arial" w:cs="Arial"/>
        </w:rPr>
        <w:t>34.</w:t>
      </w:r>
      <w:r w:rsidRPr="006636DA">
        <w:rPr>
          <w:rFonts w:ascii="Arial" w:hAnsi="Arial" w:cs="Arial"/>
        </w:rPr>
        <w:tab/>
        <w:t xml:space="preserve">Furthermore, the first respondent failed to adhere to the </w:t>
      </w:r>
      <w:r w:rsidRPr="006636DA">
        <w:rPr>
          <w:rFonts w:ascii="Arial" w:hAnsi="Arial" w:cs="Arial"/>
          <w:i/>
        </w:rPr>
        <w:t xml:space="preserve">audi alteram partem </w:t>
      </w:r>
      <w:r w:rsidRPr="006636DA">
        <w:rPr>
          <w:rFonts w:ascii="Arial" w:hAnsi="Arial" w:cs="Arial"/>
        </w:rPr>
        <w:t>principle by failing to grant the applicants an opportunity to be heard before the decisions to suspend and or terminate their services was taken.</w:t>
      </w:r>
    </w:p>
    <w:p w:rsidR="00AD1244" w:rsidRDefault="00AD1244" w:rsidP="00846736">
      <w:pPr>
        <w:spacing w:after="0" w:line="360" w:lineRule="auto"/>
        <w:ind w:left="720"/>
        <w:jc w:val="both"/>
        <w:rPr>
          <w:rFonts w:ascii="Arial" w:hAnsi="Arial" w:cs="Arial"/>
        </w:rPr>
      </w:pPr>
    </w:p>
    <w:p w:rsidR="00250514" w:rsidRDefault="00250514" w:rsidP="00846736">
      <w:pPr>
        <w:spacing w:after="0" w:line="360" w:lineRule="auto"/>
        <w:ind w:left="720"/>
        <w:jc w:val="both"/>
        <w:rPr>
          <w:rFonts w:ascii="Arial" w:hAnsi="Arial" w:cs="Arial"/>
        </w:rPr>
      </w:pPr>
      <w:r w:rsidRPr="006636DA">
        <w:rPr>
          <w:rFonts w:ascii="Arial" w:hAnsi="Arial" w:cs="Arial"/>
        </w:rPr>
        <w:t>35.</w:t>
      </w:r>
      <w:r w:rsidRPr="006636DA">
        <w:rPr>
          <w:rFonts w:ascii="Arial" w:hAnsi="Arial" w:cs="Arial"/>
        </w:rPr>
        <w:tab/>
        <w:t>In particular, the first respondent failed to afford the applicants an opportunity to make representations prior to such decisions being taken. Alternatively, the first respondent did not apply her mind correctly when she took these decisions including the stage when a so-called inquiry was conducted.</w:t>
      </w:r>
      <w:r w:rsidR="00AE36E3" w:rsidRPr="006636DA">
        <w:rPr>
          <w:rFonts w:ascii="Arial" w:hAnsi="Arial" w:cs="Arial"/>
        </w:rPr>
        <w:t>’</w:t>
      </w:r>
    </w:p>
    <w:p w:rsidR="006636DA" w:rsidRPr="0042022F" w:rsidRDefault="006636DA" w:rsidP="0042022F">
      <w:pPr>
        <w:spacing w:after="0" w:line="480" w:lineRule="auto"/>
        <w:ind w:left="720" w:hanging="720"/>
        <w:jc w:val="both"/>
        <w:rPr>
          <w:rFonts w:ascii="Arial" w:hAnsi="Arial" w:cs="Arial"/>
        </w:rPr>
      </w:pPr>
    </w:p>
    <w:p w:rsidR="000A6824" w:rsidRPr="004D7A44" w:rsidRDefault="007546D7" w:rsidP="000027C2">
      <w:pPr>
        <w:pStyle w:val="p1"/>
        <w:numPr>
          <w:ilvl w:val="0"/>
          <w:numId w:val="21"/>
        </w:numPr>
        <w:spacing w:before="0" w:beforeAutospacing="0" w:after="0" w:afterAutospacing="0" w:line="480" w:lineRule="auto"/>
        <w:ind w:left="0" w:firstLine="0"/>
        <w:jc w:val="both"/>
        <w:rPr>
          <w:rStyle w:val="s1"/>
          <w:rFonts w:ascii="Arial" w:hAnsi="Arial" w:cs="Arial"/>
        </w:rPr>
      </w:pPr>
      <w:r w:rsidRPr="004D7A44">
        <w:rPr>
          <w:rStyle w:val="s1"/>
          <w:rFonts w:ascii="Arial" w:hAnsi="Arial" w:cs="Arial"/>
        </w:rPr>
        <w:t xml:space="preserve">The </w:t>
      </w:r>
      <w:r w:rsidR="00C66561">
        <w:rPr>
          <w:rStyle w:val="s1"/>
          <w:rFonts w:ascii="Arial" w:hAnsi="Arial" w:cs="Arial"/>
        </w:rPr>
        <w:t xml:space="preserve">above </w:t>
      </w:r>
      <w:r w:rsidRPr="004D7A44">
        <w:rPr>
          <w:rStyle w:val="s1"/>
          <w:rFonts w:ascii="Arial" w:hAnsi="Arial" w:cs="Arial"/>
        </w:rPr>
        <w:t>passages from the founding affidavit make clear that t</w:t>
      </w:r>
      <w:r w:rsidR="00AE36E3" w:rsidRPr="004D7A44">
        <w:rPr>
          <w:rStyle w:val="s1"/>
          <w:rFonts w:ascii="Arial" w:hAnsi="Arial" w:cs="Arial"/>
        </w:rPr>
        <w:t>he respondent</w:t>
      </w:r>
      <w:r w:rsidR="00D81F6E" w:rsidRPr="004D7A44">
        <w:rPr>
          <w:rStyle w:val="s1"/>
          <w:rFonts w:ascii="Arial" w:hAnsi="Arial" w:cs="Arial"/>
        </w:rPr>
        <w:t>s</w:t>
      </w:r>
      <w:r w:rsidR="00AE36E3" w:rsidRPr="004D7A44">
        <w:rPr>
          <w:rStyle w:val="s1"/>
          <w:rFonts w:ascii="Arial" w:hAnsi="Arial" w:cs="Arial"/>
        </w:rPr>
        <w:t>’</w:t>
      </w:r>
      <w:r w:rsidR="00D81F6E" w:rsidRPr="004D7A44">
        <w:rPr>
          <w:rStyle w:val="s1"/>
          <w:rFonts w:ascii="Arial" w:hAnsi="Arial" w:cs="Arial"/>
        </w:rPr>
        <w:t xml:space="preserve"> main complaint as far as procedural fairness goes is that they were not afforded a hearing before the decision to suspend them was taken. They also complained that their right to fair administrative action was breached in relation to the </w:t>
      </w:r>
      <w:r w:rsidR="00C66561">
        <w:rPr>
          <w:rStyle w:val="s1"/>
          <w:rFonts w:ascii="Arial" w:hAnsi="Arial" w:cs="Arial"/>
        </w:rPr>
        <w:t xml:space="preserve">first appellant’s </w:t>
      </w:r>
      <w:r w:rsidR="00D81F6E" w:rsidRPr="004D7A44">
        <w:rPr>
          <w:rStyle w:val="s1"/>
          <w:rFonts w:ascii="Arial" w:hAnsi="Arial" w:cs="Arial"/>
        </w:rPr>
        <w:t xml:space="preserve">decision to suspend and </w:t>
      </w:r>
      <w:r w:rsidR="00C66561">
        <w:rPr>
          <w:rStyle w:val="s1"/>
          <w:rFonts w:ascii="Arial" w:hAnsi="Arial" w:cs="Arial"/>
        </w:rPr>
        <w:t xml:space="preserve">thereafter </w:t>
      </w:r>
      <w:r w:rsidR="00D81F6E" w:rsidRPr="004D7A44">
        <w:rPr>
          <w:rStyle w:val="s1"/>
          <w:rFonts w:ascii="Arial" w:hAnsi="Arial" w:cs="Arial"/>
        </w:rPr>
        <w:t xml:space="preserve">dismiss them as traditional </w:t>
      </w:r>
      <w:r w:rsidR="00C66561">
        <w:rPr>
          <w:rStyle w:val="s1"/>
          <w:rFonts w:ascii="Arial" w:hAnsi="Arial" w:cs="Arial"/>
        </w:rPr>
        <w:t>councillors</w:t>
      </w:r>
      <w:r w:rsidR="00D81F6E" w:rsidRPr="004D7A44">
        <w:rPr>
          <w:rStyle w:val="s1"/>
          <w:rFonts w:ascii="Arial" w:hAnsi="Arial" w:cs="Arial"/>
        </w:rPr>
        <w:t xml:space="preserve">. The question is, </w:t>
      </w:r>
      <w:r w:rsidR="00CE2743">
        <w:rPr>
          <w:rStyle w:val="s1"/>
          <w:rFonts w:ascii="Arial" w:hAnsi="Arial" w:cs="Arial"/>
        </w:rPr>
        <w:t xml:space="preserve">are </w:t>
      </w:r>
      <w:r w:rsidR="00D81F6E" w:rsidRPr="004D7A44">
        <w:rPr>
          <w:rStyle w:val="s1"/>
          <w:rFonts w:ascii="Arial" w:hAnsi="Arial" w:cs="Arial"/>
        </w:rPr>
        <w:t xml:space="preserve">those allegations sufficient to justify the conclusions reached by the court </w:t>
      </w:r>
      <w:r w:rsidR="00D81F6E" w:rsidRPr="006636DA">
        <w:rPr>
          <w:rStyle w:val="s1"/>
          <w:rFonts w:ascii="Arial" w:hAnsi="Arial" w:cs="Arial"/>
          <w:i/>
        </w:rPr>
        <w:t>a quo</w:t>
      </w:r>
      <w:r w:rsidR="00D81F6E" w:rsidRPr="004D7A44">
        <w:rPr>
          <w:rStyle w:val="s1"/>
          <w:rFonts w:ascii="Arial" w:hAnsi="Arial" w:cs="Arial"/>
        </w:rPr>
        <w:t xml:space="preserve">? </w:t>
      </w:r>
    </w:p>
    <w:p w:rsidR="000A6824" w:rsidRPr="004D7A44" w:rsidRDefault="000A6824" w:rsidP="000027C2">
      <w:pPr>
        <w:pStyle w:val="p1"/>
        <w:spacing w:before="0" w:beforeAutospacing="0" w:after="0" w:afterAutospacing="0" w:line="480" w:lineRule="auto"/>
        <w:rPr>
          <w:rStyle w:val="s1"/>
          <w:rFonts w:ascii="Arial" w:hAnsi="Arial" w:cs="Arial"/>
        </w:rPr>
      </w:pPr>
    </w:p>
    <w:p w:rsidR="00AE36E3" w:rsidRPr="004D7A44" w:rsidRDefault="000027C2" w:rsidP="000027C2">
      <w:pPr>
        <w:pStyle w:val="p1"/>
        <w:numPr>
          <w:ilvl w:val="0"/>
          <w:numId w:val="21"/>
        </w:numPr>
        <w:spacing w:before="0" w:beforeAutospacing="0" w:after="0" w:afterAutospacing="0" w:line="480" w:lineRule="auto"/>
        <w:ind w:left="0" w:firstLine="0"/>
        <w:rPr>
          <w:rStyle w:val="s1"/>
          <w:rFonts w:ascii="Arial" w:hAnsi="Arial" w:cs="Arial"/>
        </w:rPr>
      </w:pPr>
      <w:r>
        <w:rPr>
          <w:rStyle w:val="s1"/>
          <w:rFonts w:ascii="Arial" w:hAnsi="Arial" w:cs="Arial"/>
        </w:rPr>
        <w:lastRenderedPageBreak/>
        <w:t>I</w:t>
      </w:r>
      <w:r w:rsidR="00C66561">
        <w:rPr>
          <w:rStyle w:val="s1"/>
          <w:rFonts w:ascii="Arial" w:hAnsi="Arial" w:cs="Arial"/>
        </w:rPr>
        <w:t xml:space="preserve">t will be recalled that </w:t>
      </w:r>
      <w:r w:rsidR="002874BE" w:rsidRPr="004D7A44">
        <w:rPr>
          <w:rStyle w:val="s1"/>
          <w:rFonts w:ascii="Arial" w:hAnsi="Arial" w:cs="Arial"/>
        </w:rPr>
        <w:t xml:space="preserve">Mr Nelulu </w:t>
      </w:r>
      <w:r w:rsidR="00C66561">
        <w:rPr>
          <w:rStyle w:val="s1"/>
          <w:rFonts w:ascii="Arial" w:hAnsi="Arial" w:cs="Arial"/>
        </w:rPr>
        <w:t xml:space="preserve">denied that the first </w:t>
      </w:r>
      <w:r w:rsidR="009958F2">
        <w:rPr>
          <w:rStyle w:val="s1"/>
          <w:rFonts w:ascii="Arial" w:hAnsi="Arial" w:cs="Arial"/>
        </w:rPr>
        <w:t xml:space="preserve">appellant </w:t>
      </w:r>
      <w:r w:rsidR="00C66561">
        <w:rPr>
          <w:rStyle w:val="s1"/>
          <w:rFonts w:ascii="Arial" w:hAnsi="Arial" w:cs="Arial"/>
        </w:rPr>
        <w:t xml:space="preserve">did not comply with Art 18 and complained of the lack of specificity which rendered the allegation vague. </w:t>
      </w:r>
    </w:p>
    <w:p w:rsidR="003A52A1" w:rsidRPr="004D7A44" w:rsidRDefault="003A52A1" w:rsidP="000027C2">
      <w:pPr>
        <w:pStyle w:val="p1"/>
        <w:spacing w:before="0" w:beforeAutospacing="0" w:after="0" w:afterAutospacing="0" w:line="480" w:lineRule="auto"/>
        <w:rPr>
          <w:rStyle w:val="s1"/>
          <w:rFonts w:ascii="Arial" w:hAnsi="Arial" w:cs="Arial"/>
        </w:rPr>
      </w:pPr>
    </w:p>
    <w:p w:rsidR="007546D7" w:rsidRPr="004D7A44" w:rsidRDefault="00C66561" w:rsidP="000027C2">
      <w:pPr>
        <w:pStyle w:val="p1"/>
        <w:numPr>
          <w:ilvl w:val="0"/>
          <w:numId w:val="21"/>
        </w:numPr>
        <w:spacing w:before="0" w:beforeAutospacing="0" w:after="0" w:afterAutospacing="0" w:line="480" w:lineRule="auto"/>
        <w:ind w:left="0" w:firstLine="0"/>
        <w:jc w:val="both"/>
        <w:rPr>
          <w:rFonts w:ascii="Arial" w:hAnsi="Arial" w:cs="Arial"/>
          <w:bCs/>
          <w:color w:val="000000" w:themeColor="text1"/>
          <w:u w:val="single"/>
        </w:rPr>
      </w:pPr>
      <w:r>
        <w:rPr>
          <w:rStyle w:val="s1"/>
          <w:rFonts w:ascii="Arial" w:hAnsi="Arial" w:cs="Arial"/>
        </w:rPr>
        <w:t>I</w:t>
      </w:r>
      <w:r w:rsidR="00D81F6E" w:rsidRPr="004D7A44">
        <w:rPr>
          <w:rStyle w:val="s1"/>
          <w:rFonts w:ascii="Arial" w:hAnsi="Arial" w:cs="Arial"/>
        </w:rPr>
        <w:t xml:space="preserve">t admits of no doubt that the specific reference </w:t>
      </w:r>
      <w:r w:rsidR="000A6824" w:rsidRPr="004D7A44">
        <w:rPr>
          <w:rStyle w:val="s1"/>
          <w:rFonts w:ascii="Arial" w:hAnsi="Arial" w:cs="Arial"/>
        </w:rPr>
        <w:t>to</w:t>
      </w:r>
      <w:r w:rsidR="00D81F6E" w:rsidRPr="004D7A44">
        <w:rPr>
          <w:rStyle w:val="s1"/>
          <w:rFonts w:ascii="Arial" w:hAnsi="Arial" w:cs="Arial"/>
        </w:rPr>
        <w:t xml:space="preserve"> denial of </w:t>
      </w:r>
      <w:r w:rsidR="00D81F6E" w:rsidRPr="009C1D1D">
        <w:rPr>
          <w:rStyle w:val="s1"/>
          <w:rFonts w:ascii="Arial" w:hAnsi="Arial" w:cs="Arial"/>
          <w:i/>
        </w:rPr>
        <w:t>audi</w:t>
      </w:r>
      <w:r w:rsidR="00D81F6E" w:rsidRPr="004D7A44">
        <w:rPr>
          <w:rStyle w:val="s1"/>
          <w:rFonts w:ascii="Arial" w:hAnsi="Arial" w:cs="Arial"/>
        </w:rPr>
        <w:t xml:space="preserve"> relates to the suspensio</w:t>
      </w:r>
      <w:r w:rsidR="000A6824" w:rsidRPr="004D7A44">
        <w:rPr>
          <w:rStyle w:val="s1"/>
          <w:rFonts w:ascii="Arial" w:hAnsi="Arial" w:cs="Arial"/>
        </w:rPr>
        <w:t>ns. No allegation is made of</w:t>
      </w:r>
      <w:r w:rsidR="00D81F6E" w:rsidRPr="004D7A44">
        <w:rPr>
          <w:rStyle w:val="s1"/>
          <w:rFonts w:ascii="Arial" w:hAnsi="Arial" w:cs="Arial"/>
        </w:rPr>
        <w:t xml:space="preserve"> denial of </w:t>
      </w:r>
      <w:r w:rsidR="00D81F6E" w:rsidRPr="006636DA">
        <w:rPr>
          <w:rStyle w:val="s1"/>
          <w:rFonts w:ascii="Arial" w:hAnsi="Arial" w:cs="Arial"/>
          <w:i/>
        </w:rPr>
        <w:t>audi</w:t>
      </w:r>
      <w:r w:rsidR="00D81F6E" w:rsidRPr="004D7A44">
        <w:rPr>
          <w:rStyle w:val="s1"/>
          <w:rFonts w:ascii="Arial" w:hAnsi="Arial" w:cs="Arial"/>
        </w:rPr>
        <w:t xml:space="preserve"> in respect of the dismissal</w:t>
      </w:r>
      <w:r w:rsidR="000A6824" w:rsidRPr="004D7A44">
        <w:rPr>
          <w:rStyle w:val="s1"/>
          <w:rFonts w:ascii="Arial" w:hAnsi="Arial" w:cs="Arial"/>
        </w:rPr>
        <w:t>s</w:t>
      </w:r>
      <w:r w:rsidR="00D81F6E" w:rsidRPr="004D7A44">
        <w:rPr>
          <w:rStyle w:val="s1"/>
          <w:rFonts w:ascii="Arial" w:hAnsi="Arial" w:cs="Arial"/>
        </w:rPr>
        <w:t>.</w:t>
      </w:r>
      <w:r w:rsidR="00BA52ED">
        <w:rPr>
          <w:rStyle w:val="s1"/>
          <w:rFonts w:ascii="Arial" w:hAnsi="Arial" w:cs="Arial"/>
        </w:rPr>
        <w:t xml:space="preserve"> That notwithstanding,</w:t>
      </w:r>
      <w:r w:rsidR="00FD337E">
        <w:rPr>
          <w:rStyle w:val="s1"/>
          <w:rFonts w:ascii="Arial" w:hAnsi="Arial" w:cs="Arial"/>
        </w:rPr>
        <w:t xml:space="preserve"> Mr Khama </w:t>
      </w:r>
      <w:r w:rsidR="004F324F">
        <w:rPr>
          <w:rStyle w:val="s1"/>
          <w:rFonts w:ascii="Arial" w:hAnsi="Arial" w:cs="Arial"/>
        </w:rPr>
        <w:t>submits</w:t>
      </w:r>
      <w:r w:rsidR="00D81F6E" w:rsidRPr="004D7A44">
        <w:rPr>
          <w:rStyle w:val="s1"/>
          <w:rFonts w:ascii="Arial" w:hAnsi="Arial" w:cs="Arial"/>
        </w:rPr>
        <w:t xml:space="preserve"> that the inferences drawn by the High Court are supported by the annexures to the founding affidavit which</w:t>
      </w:r>
      <w:r w:rsidR="000A6824" w:rsidRPr="004D7A44">
        <w:rPr>
          <w:rStyle w:val="s1"/>
          <w:rFonts w:ascii="Arial" w:hAnsi="Arial" w:cs="Arial"/>
        </w:rPr>
        <w:t>, according to him,</w:t>
      </w:r>
      <w:r w:rsidR="00D81F6E" w:rsidRPr="004D7A44">
        <w:rPr>
          <w:rStyle w:val="s1"/>
          <w:rFonts w:ascii="Arial" w:hAnsi="Arial" w:cs="Arial"/>
        </w:rPr>
        <w:t xml:space="preserve"> set out the history of the matter and the conduct of the first appellant.</w:t>
      </w:r>
      <w:r w:rsidR="000A6824" w:rsidRPr="004D7A44">
        <w:rPr>
          <w:rStyle w:val="s1"/>
          <w:rFonts w:ascii="Arial" w:hAnsi="Arial" w:cs="Arial"/>
        </w:rPr>
        <w:t xml:space="preserve"> Although invited several times by the court to point in the record to any allegations made in the founding affidavit which rely on the bases found by the court </w:t>
      </w:r>
      <w:r w:rsidR="000A6824" w:rsidRPr="009C1D1D">
        <w:rPr>
          <w:rStyle w:val="s1"/>
          <w:rFonts w:ascii="Arial" w:hAnsi="Arial" w:cs="Arial"/>
          <w:i/>
        </w:rPr>
        <w:t>a quo</w:t>
      </w:r>
      <w:r w:rsidR="000A6824" w:rsidRPr="004D7A44">
        <w:rPr>
          <w:rStyle w:val="s1"/>
          <w:rFonts w:ascii="Arial" w:hAnsi="Arial" w:cs="Arial"/>
        </w:rPr>
        <w:t xml:space="preserve"> to vitiate the decisi</w:t>
      </w:r>
      <w:r w:rsidR="00846736">
        <w:rPr>
          <w:rStyle w:val="s1"/>
          <w:rFonts w:ascii="Arial" w:hAnsi="Arial" w:cs="Arial"/>
        </w:rPr>
        <w:t xml:space="preserve">on-making, Mr Khama was unable </w:t>
      </w:r>
      <w:r w:rsidR="000A6824" w:rsidRPr="004D7A44">
        <w:rPr>
          <w:rStyle w:val="s1"/>
          <w:rFonts w:ascii="Arial" w:hAnsi="Arial" w:cs="Arial"/>
        </w:rPr>
        <w:t>to do so. That is not surprising: No such allegations were made!</w:t>
      </w:r>
    </w:p>
    <w:p w:rsidR="0050585C" w:rsidRPr="004D7A44" w:rsidRDefault="0050585C" w:rsidP="000027C2">
      <w:pPr>
        <w:pStyle w:val="ListParagraph"/>
        <w:spacing w:after="0" w:line="480" w:lineRule="auto"/>
        <w:ind w:left="0"/>
        <w:jc w:val="both"/>
        <w:rPr>
          <w:rFonts w:ascii="Arial" w:hAnsi="Arial" w:cs="Arial"/>
          <w:bCs/>
          <w:color w:val="000000" w:themeColor="text1"/>
          <w:sz w:val="24"/>
          <w:szCs w:val="24"/>
        </w:rPr>
      </w:pPr>
    </w:p>
    <w:p w:rsidR="00BA52ED" w:rsidRDefault="00BA52ED" w:rsidP="000027C2">
      <w:pPr>
        <w:pStyle w:val="p1"/>
        <w:numPr>
          <w:ilvl w:val="0"/>
          <w:numId w:val="21"/>
        </w:numPr>
        <w:spacing w:before="0" w:beforeAutospacing="0" w:after="0" w:afterAutospacing="0" w:line="480" w:lineRule="auto"/>
        <w:ind w:left="0" w:firstLine="0"/>
        <w:jc w:val="both"/>
        <w:rPr>
          <w:rStyle w:val="s1"/>
          <w:rFonts w:ascii="Arial" w:hAnsi="Arial" w:cs="Arial"/>
        </w:rPr>
      </w:pPr>
      <w:r w:rsidRPr="006636DA">
        <w:rPr>
          <w:rFonts w:ascii="Arial" w:hAnsi="Arial" w:cs="Arial"/>
          <w:color w:val="000000" w:themeColor="text1"/>
        </w:rPr>
        <w:t>It is correct</w:t>
      </w:r>
      <w:r>
        <w:rPr>
          <w:rFonts w:ascii="Arial" w:hAnsi="Arial" w:cs="Arial"/>
          <w:color w:val="000000" w:themeColor="text1"/>
        </w:rPr>
        <w:t>,</w:t>
      </w:r>
      <w:r w:rsidRPr="006636DA">
        <w:rPr>
          <w:rFonts w:ascii="Arial" w:hAnsi="Arial" w:cs="Arial"/>
          <w:color w:val="000000" w:themeColor="text1"/>
        </w:rPr>
        <w:t xml:space="preserve"> as Mr Semenya justifiably submitted, that the case the appellants were called upon to meet bears scant resemblance to that made by the respondents in the founding affidavit. The High Court was bound by the discipli</w:t>
      </w:r>
      <w:r>
        <w:rPr>
          <w:rFonts w:ascii="Arial" w:hAnsi="Arial" w:cs="Arial"/>
          <w:color w:val="000000" w:themeColor="text1"/>
        </w:rPr>
        <w:t>ne which motion practice imposed</w:t>
      </w:r>
      <w:r w:rsidRPr="006636DA">
        <w:rPr>
          <w:rFonts w:ascii="Arial" w:hAnsi="Arial" w:cs="Arial"/>
          <w:color w:val="000000" w:themeColor="text1"/>
        </w:rPr>
        <w:t xml:space="preserve"> on the parties.</w:t>
      </w:r>
      <w:r w:rsidR="00DB21ED">
        <w:rPr>
          <w:rFonts w:ascii="Arial" w:hAnsi="Arial" w:cs="Arial"/>
          <w:color w:val="000000" w:themeColor="text1"/>
        </w:rPr>
        <w:t xml:space="preserve"> </w:t>
      </w:r>
      <w:r w:rsidRPr="004D7A44">
        <w:rPr>
          <w:rStyle w:val="s1"/>
          <w:rFonts w:ascii="Arial" w:hAnsi="Arial" w:cs="Arial"/>
        </w:rPr>
        <w:t xml:space="preserve">Because the party seeking review bears the onus in the sense that I have described, the review court </w:t>
      </w:r>
      <w:r w:rsidR="00CC4EE4">
        <w:rPr>
          <w:rStyle w:val="s1"/>
          <w:rFonts w:ascii="Arial" w:hAnsi="Arial" w:cs="Arial"/>
        </w:rPr>
        <w:t>ought to have</w:t>
      </w:r>
      <w:r w:rsidRPr="004D7A44">
        <w:rPr>
          <w:rStyle w:val="s1"/>
          <w:rFonts w:ascii="Arial" w:hAnsi="Arial" w:cs="Arial"/>
        </w:rPr>
        <w:t xml:space="preserve"> approach</w:t>
      </w:r>
      <w:r w:rsidR="00CC4EE4">
        <w:rPr>
          <w:rStyle w:val="s1"/>
          <w:rFonts w:ascii="Arial" w:hAnsi="Arial" w:cs="Arial"/>
        </w:rPr>
        <w:t>ed</w:t>
      </w:r>
      <w:r w:rsidRPr="004D7A44">
        <w:rPr>
          <w:rStyle w:val="s1"/>
          <w:rFonts w:ascii="Arial" w:hAnsi="Arial" w:cs="Arial"/>
        </w:rPr>
        <w:t xml:space="preserve"> the matter on the basis of the pleadings</w:t>
      </w:r>
      <w:r>
        <w:rPr>
          <w:rStyle w:val="s1"/>
          <w:rFonts w:ascii="Arial" w:hAnsi="Arial" w:cs="Arial"/>
        </w:rPr>
        <w:t>.</w:t>
      </w:r>
    </w:p>
    <w:p w:rsidR="00DB21ED" w:rsidRDefault="00DB21ED" w:rsidP="000027C2">
      <w:pPr>
        <w:pStyle w:val="p1"/>
        <w:spacing w:before="0" w:beforeAutospacing="0" w:after="0" w:afterAutospacing="0" w:line="480" w:lineRule="auto"/>
        <w:jc w:val="both"/>
        <w:rPr>
          <w:rStyle w:val="s1"/>
          <w:rFonts w:ascii="Arial" w:hAnsi="Arial" w:cs="Arial"/>
        </w:rPr>
      </w:pPr>
    </w:p>
    <w:p w:rsidR="006636DA" w:rsidRPr="000027C2" w:rsidRDefault="006636DA" w:rsidP="000027C2">
      <w:pPr>
        <w:pStyle w:val="ListParagraph"/>
        <w:numPr>
          <w:ilvl w:val="0"/>
          <w:numId w:val="21"/>
        </w:numPr>
        <w:spacing w:after="0" w:line="480" w:lineRule="auto"/>
        <w:ind w:left="0" w:firstLine="0"/>
        <w:jc w:val="both"/>
        <w:rPr>
          <w:rFonts w:ascii="Arial" w:hAnsi="Arial" w:cs="Arial"/>
          <w:sz w:val="24"/>
          <w:szCs w:val="24"/>
        </w:rPr>
      </w:pPr>
      <w:r w:rsidRPr="000027C2">
        <w:rPr>
          <w:rFonts w:ascii="Arial" w:hAnsi="Arial" w:cs="Arial"/>
          <w:sz w:val="24"/>
          <w:szCs w:val="24"/>
        </w:rPr>
        <w:t xml:space="preserve">The importance of </w:t>
      </w:r>
      <w:r w:rsidR="00137908" w:rsidRPr="000027C2">
        <w:rPr>
          <w:rFonts w:ascii="Arial" w:hAnsi="Arial" w:cs="Arial"/>
          <w:sz w:val="24"/>
          <w:szCs w:val="24"/>
        </w:rPr>
        <w:t xml:space="preserve">specificity </w:t>
      </w:r>
      <w:r w:rsidRPr="000027C2">
        <w:rPr>
          <w:rFonts w:ascii="Arial" w:hAnsi="Arial" w:cs="Arial"/>
          <w:sz w:val="24"/>
          <w:szCs w:val="24"/>
        </w:rPr>
        <w:t xml:space="preserve">in relying on breach of </w:t>
      </w:r>
      <w:r w:rsidRPr="000027C2">
        <w:rPr>
          <w:rFonts w:ascii="Arial" w:hAnsi="Arial" w:cs="Arial"/>
          <w:i/>
          <w:sz w:val="24"/>
          <w:szCs w:val="24"/>
        </w:rPr>
        <w:t>audi</w:t>
      </w:r>
      <w:r w:rsidRPr="000027C2">
        <w:rPr>
          <w:rFonts w:ascii="Arial" w:hAnsi="Arial" w:cs="Arial"/>
          <w:sz w:val="24"/>
          <w:szCs w:val="24"/>
        </w:rPr>
        <w:t xml:space="preserve"> under A</w:t>
      </w:r>
      <w:r w:rsidR="00277DF7" w:rsidRPr="000027C2">
        <w:rPr>
          <w:rFonts w:ascii="Arial" w:hAnsi="Arial" w:cs="Arial"/>
          <w:sz w:val="24"/>
          <w:szCs w:val="24"/>
        </w:rPr>
        <w:t>r</w:t>
      </w:r>
      <w:r w:rsidRPr="000027C2">
        <w:rPr>
          <w:rFonts w:ascii="Arial" w:hAnsi="Arial" w:cs="Arial"/>
          <w:sz w:val="24"/>
          <w:szCs w:val="24"/>
        </w:rPr>
        <w:t xml:space="preserve">t 18 of the Constitution is accentuated by the fact that </w:t>
      </w:r>
      <w:r w:rsidRPr="000027C2">
        <w:rPr>
          <w:rFonts w:ascii="Arial" w:hAnsi="Arial" w:cs="Arial"/>
          <w:i/>
          <w:sz w:val="24"/>
          <w:szCs w:val="24"/>
        </w:rPr>
        <w:t>audi</w:t>
      </w:r>
      <w:r w:rsidRPr="000027C2">
        <w:rPr>
          <w:rFonts w:ascii="Arial" w:hAnsi="Arial" w:cs="Arial"/>
          <w:sz w:val="24"/>
          <w:szCs w:val="24"/>
        </w:rPr>
        <w:t xml:space="preserve"> is not a one-size-fit all but a flexible </w:t>
      </w:r>
      <w:r w:rsidR="00B41F8C" w:rsidRPr="000027C2">
        <w:rPr>
          <w:rFonts w:ascii="Arial" w:hAnsi="Arial" w:cs="Arial"/>
          <w:sz w:val="24"/>
          <w:szCs w:val="24"/>
        </w:rPr>
        <w:t>principle</w:t>
      </w:r>
      <w:r w:rsidRPr="000027C2">
        <w:rPr>
          <w:rFonts w:ascii="Arial" w:hAnsi="Arial" w:cs="Arial"/>
          <w:sz w:val="24"/>
          <w:szCs w:val="24"/>
        </w:rPr>
        <w:t xml:space="preserve">. As has correctly been stated by Hoexter in </w:t>
      </w:r>
      <w:r w:rsidRPr="000027C2">
        <w:rPr>
          <w:rFonts w:ascii="Arial" w:hAnsi="Arial" w:cs="Arial"/>
          <w:i/>
          <w:sz w:val="24"/>
          <w:szCs w:val="24"/>
        </w:rPr>
        <w:t xml:space="preserve">Administrative Law in South Africa </w:t>
      </w:r>
      <w:r w:rsidRPr="000027C2">
        <w:rPr>
          <w:rFonts w:ascii="Arial" w:hAnsi="Arial" w:cs="Arial"/>
          <w:sz w:val="24"/>
          <w:szCs w:val="24"/>
        </w:rPr>
        <w:t>(2012) 2</w:t>
      </w:r>
      <w:r w:rsidR="00F27DC4" w:rsidRPr="000027C2">
        <w:rPr>
          <w:rFonts w:ascii="Arial" w:hAnsi="Arial" w:cs="Arial"/>
          <w:sz w:val="24"/>
          <w:szCs w:val="24"/>
          <w:vertAlign w:val="superscript"/>
        </w:rPr>
        <w:t xml:space="preserve"> </w:t>
      </w:r>
      <w:r w:rsidR="00CC4EE4" w:rsidRPr="00527DC4">
        <w:rPr>
          <w:rFonts w:ascii="Arial" w:hAnsi="Arial" w:cs="Arial"/>
          <w:sz w:val="24"/>
          <w:szCs w:val="24"/>
        </w:rPr>
        <w:t>e</w:t>
      </w:r>
      <w:r w:rsidR="00137908" w:rsidRPr="000027C2">
        <w:rPr>
          <w:rFonts w:ascii="Arial" w:hAnsi="Arial" w:cs="Arial"/>
          <w:sz w:val="24"/>
          <w:szCs w:val="24"/>
        </w:rPr>
        <w:t>d</w:t>
      </w:r>
      <w:r w:rsidRPr="000027C2">
        <w:rPr>
          <w:rFonts w:ascii="Arial" w:hAnsi="Arial" w:cs="Arial"/>
          <w:i/>
          <w:sz w:val="24"/>
          <w:szCs w:val="24"/>
        </w:rPr>
        <w:t xml:space="preserve"> </w:t>
      </w:r>
      <w:r w:rsidRPr="000027C2">
        <w:rPr>
          <w:rFonts w:ascii="Arial" w:hAnsi="Arial" w:cs="Arial"/>
          <w:sz w:val="24"/>
          <w:szCs w:val="24"/>
        </w:rPr>
        <w:t>at p</w:t>
      </w:r>
      <w:r w:rsidR="00F27DC4" w:rsidRPr="000027C2">
        <w:rPr>
          <w:rFonts w:ascii="Arial" w:hAnsi="Arial" w:cs="Arial"/>
          <w:sz w:val="24"/>
          <w:szCs w:val="24"/>
        </w:rPr>
        <w:t xml:space="preserve"> </w:t>
      </w:r>
      <w:r w:rsidRPr="000027C2">
        <w:rPr>
          <w:rFonts w:ascii="Arial" w:hAnsi="Arial" w:cs="Arial"/>
          <w:sz w:val="24"/>
          <w:szCs w:val="24"/>
        </w:rPr>
        <w:t>362</w:t>
      </w:r>
      <w:r w:rsidRPr="000027C2">
        <w:rPr>
          <w:rFonts w:ascii="Arial" w:hAnsi="Arial" w:cs="Arial"/>
          <w:i/>
          <w:sz w:val="24"/>
          <w:szCs w:val="24"/>
        </w:rPr>
        <w:t>:</w:t>
      </w:r>
    </w:p>
    <w:p w:rsidR="00C90EFB" w:rsidRPr="00C90EFB" w:rsidRDefault="00C90EFB" w:rsidP="00C90EFB">
      <w:pPr>
        <w:spacing w:line="360" w:lineRule="auto"/>
        <w:jc w:val="both"/>
        <w:rPr>
          <w:rFonts w:ascii="Arial" w:hAnsi="Arial" w:cs="Arial"/>
          <w:sz w:val="24"/>
          <w:szCs w:val="24"/>
        </w:rPr>
      </w:pPr>
    </w:p>
    <w:p w:rsidR="006636DA" w:rsidRPr="001963A3" w:rsidRDefault="001963A3" w:rsidP="00846736">
      <w:pPr>
        <w:spacing w:line="360" w:lineRule="auto"/>
        <w:ind w:left="720"/>
        <w:jc w:val="both"/>
        <w:rPr>
          <w:rFonts w:ascii="Arial" w:hAnsi="Arial" w:cs="Arial"/>
        </w:rPr>
      </w:pPr>
      <w:r>
        <w:rPr>
          <w:rFonts w:ascii="Arial" w:hAnsi="Arial" w:cs="Arial"/>
        </w:rPr>
        <w:t>‘</w:t>
      </w:r>
      <w:r w:rsidR="00C90EFB">
        <w:rPr>
          <w:rFonts w:ascii="Arial" w:hAnsi="Arial" w:cs="Arial"/>
        </w:rPr>
        <w:t xml:space="preserve">. . . . </w:t>
      </w:r>
      <w:r>
        <w:rPr>
          <w:rFonts w:ascii="Arial" w:hAnsi="Arial" w:cs="Arial"/>
        </w:rPr>
        <w:t>[P]rocedural fairness is a principle of good administration that requires sensitive rather than heavy-handed application. Context is all important: the context of fairness is not static but must be tailored to the particular circumstances of each case. There is no longer any room for the all-or-nothing approach to fairness</w:t>
      </w:r>
      <w:r w:rsidR="00EB2577">
        <w:rPr>
          <w:rFonts w:ascii="Arial" w:hAnsi="Arial" w:cs="Arial"/>
        </w:rPr>
        <w:t xml:space="preserve">. . .  </w:t>
      </w:r>
      <w:r>
        <w:rPr>
          <w:rFonts w:ascii="Arial" w:hAnsi="Arial" w:cs="Arial"/>
        </w:rPr>
        <w:t>An approach that tended to produce results that were either overly burdensome for the administration or entirely unhelpful to the complainant.’</w:t>
      </w:r>
    </w:p>
    <w:p w:rsidR="006636DA" w:rsidRPr="000027C2" w:rsidRDefault="006636DA" w:rsidP="000027C2">
      <w:pPr>
        <w:pStyle w:val="ListParagraph"/>
        <w:numPr>
          <w:ilvl w:val="0"/>
          <w:numId w:val="21"/>
        </w:numPr>
        <w:spacing w:after="0" w:line="480" w:lineRule="auto"/>
        <w:ind w:left="0" w:firstLine="0"/>
        <w:jc w:val="both"/>
        <w:rPr>
          <w:rFonts w:ascii="Arial" w:hAnsi="Arial" w:cs="Arial"/>
          <w:i/>
          <w:sz w:val="24"/>
          <w:szCs w:val="24"/>
        </w:rPr>
      </w:pPr>
      <w:r w:rsidRPr="000027C2">
        <w:rPr>
          <w:rFonts w:ascii="Arial" w:hAnsi="Arial" w:cs="Arial"/>
          <w:sz w:val="24"/>
          <w:szCs w:val="24"/>
        </w:rPr>
        <w:t xml:space="preserve">Gauntlett JA (as he then was) stated the following in the Lesotho case of </w:t>
      </w:r>
      <w:r w:rsidRPr="000027C2">
        <w:rPr>
          <w:rFonts w:ascii="Arial" w:hAnsi="Arial" w:cs="Arial"/>
          <w:i/>
          <w:sz w:val="24"/>
          <w:szCs w:val="24"/>
        </w:rPr>
        <w:t xml:space="preserve">Matebesi v Director of Immigration </w:t>
      </w:r>
      <w:r w:rsidR="00F27DC4" w:rsidRPr="000027C2">
        <w:rPr>
          <w:rFonts w:ascii="Arial" w:hAnsi="Arial" w:cs="Arial"/>
          <w:i/>
          <w:sz w:val="24"/>
          <w:szCs w:val="24"/>
        </w:rPr>
        <w:t>&amp;</w:t>
      </w:r>
      <w:r w:rsidRPr="000027C2">
        <w:rPr>
          <w:rFonts w:ascii="Arial" w:hAnsi="Arial" w:cs="Arial"/>
          <w:i/>
          <w:sz w:val="24"/>
          <w:szCs w:val="24"/>
        </w:rPr>
        <w:t xml:space="preserve"> </w:t>
      </w:r>
      <w:r w:rsidR="00F27DC4" w:rsidRPr="000027C2">
        <w:rPr>
          <w:rFonts w:ascii="Arial" w:hAnsi="Arial" w:cs="Arial"/>
          <w:i/>
          <w:sz w:val="24"/>
          <w:szCs w:val="24"/>
        </w:rPr>
        <w:t>o</w:t>
      </w:r>
      <w:r w:rsidRPr="000027C2">
        <w:rPr>
          <w:rFonts w:ascii="Arial" w:hAnsi="Arial" w:cs="Arial"/>
          <w:i/>
          <w:sz w:val="24"/>
          <w:szCs w:val="24"/>
        </w:rPr>
        <w:t xml:space="preserve">thers LAC </w:t>
      </w:r>
      <w:r w:rsidRPr="000027C2">
        <w:rPr>
          <w:rFonts w:ascii="Arial" w:hAnsi="Arial" w:cs="Arial"/>
          <w:sz w:val="24"/>
          <w:szCs w:val="24"/>
        </w:rPr>
        <w:t>(1995 – 1999) 616 at 62IJ–662:</w:t>
      </w:r>
    </w:p>
    <w:p w:rsidR="0042022F" w:rsidRPr="0042022F" w:rsidRDefault="0042022F" w:rsidP="000027C2">
      <w:pPr>
        <w:spacing w:after="0" w:line="480" w:lineRule="auto"/>
        <w:jc w:val="both"/>
        <w:rPr>
          <w:rFonts w:ascii="Arial" w:hAnsi="Arial" w:cs="Arial"/>
          <w:sz w:val="24"/>
          <w:szCs w:val="24"/>
        </w:rPr>
      </w:pPr>
    </w:p>
    <w:p w:rsidR="006636DA" w:rsidRDefault="006636DA" w:rsidP="00846736">
      <w:pPr>
        <w:spacing w:line="360" w:lineRule="auto"/>
        <w:ind w:left="720"/>
        <w:jc w:val="both"/>
        <w:rPr>
          <w:rFonts w:ascii="Arial" w:hAnsi="Arial" w:cs="Arial"/>
        </w:rPr>
      </w:pPr>
      <w:r>
        <w:rPr>
          <w:rFonts w:ascii="Arial" w:hAnsi="Arial" w:cs="Arial"/>
        </w:rPr>
        <w:t xml:space="preserve">‘Whenever a statute empowers a public official or body to do an act or give a decision prejudicially affecting an individual in her liberty or property or existing rights, unless the statute expressly or by implication indicates the contrary, that person is entitled to the application of the </w:t>
      </w:r>
      <w:r w:rsidRPr="00E02F22">
        <w:rPr>
          <w:rFonts w:ascii="Arial" w:hAnsi="Arial" w:cs="Arial"/>
          <w:i/>
        </w:rPr>
        <w:t>audi alteram partem</w:t>
      </w:r>
      <w:r>
        <w:rPr>
          <w:rFonts w:ascii="Arial" w:hAnsi="Arial" w:cs="Arial"/>
        </w:rPr>
        <w:t xml:space="preserve"> principle</w:t>
      </w:r>
      <w:r w:rsidR="0042022F">
        <w:rPr>
          <w:rFonts w:ascii="Arial" w:hAnsi="Arial" w:cs="Arial"/>
        </w:rPr>
        <w:t>.</w:t>
      </w:r>
      <w:r>
        <w:rPr>
          <w:rFonts w:ascii="Arial" w:hAnsi="Arial" w:cs="Arial"/>
        </w:rPr>
        <w:t>’</w:t>
      </w:r>
    </w:p>
    <w:p w:rsidR="004B0466" w:rsidRDefault="004B0466" w:rsidP="0042022F">
      <w:pPr>
        <w:spacing w:after="0" w:line="480" w:lineRule="auto"/>
        <w:jc w:val="both"/>
        <w:rPr>
          <w:rFonts w:ascii="Arial" w:hAnsi="Arial" w:cs="Arial"/>
          <w:sz w:val="24"/>
          <w:szCs w:val="24"/>
        </w:rPr>
      </w:pPr>
    </w:p>
    <w:p w:rsidR="006636DA" w:rsidRPr="000027C2" w:rsidRDefault="006636DA" w:rsidP="000027C2">
      <w:pPr>
        <w:pStyle w:val="ListParagraph"/>
        <w:numPr>
          <w:ilvl w:val="0"/>
          <w:numId w:val="21"/>
        </w:numPr>
        <w:spacing w:after="0" w:line="480" w:lineRule="auto"/>
        <w:ind w:left="0" w:firstLine="0"/>
        <w:jc w:val="both"/>
        <w:rPr>
          <w:rFonts w:ascii="Arial" w:hAnsi="Arial" w:cs="Arial"/>
          <w:sz w:val="24"/>
          <w:szCs w:val="24"/>
        </w:rPr>
      </w:pPr>
      <w:r w:rsidRPr="000027C2">
        <w:rPr>
          <w:rFonts w:ascii="Arial" w:hAnsi="Arial" w:cs="Arial"/>
          <w:sz w:val="24"/>
          <w:szCs w:val="24"/>
        </w:rPr>
        <w:t xml:space="preserve">His </w:t>
      </w:r>
      <w:r w:rsidR="004B0466" w:rsidRPr="000027C2">
        <w:rPr>
          <w:rFonts w:ascii="Arial" w:hAnsi="Arial" w:cs="Arial"/>
          <w:sz w:val="24"/>
          <w:szCs w:val="24"/>
        </w:rPr>
        <w:t xml:space="preserve">Honour </w:t>
      </w:r>
      <w:r w:rsidRPr="000027C2">
        <w:rPr>
          <w:rFonts w:ascii="Arial" w:hAnsi="Arial" w:cs="Arial"/>
          <w:sz w:val="24"/>
          <w:szCs w:val="24"/>
        </w:rPr>
        <w:t>went on to add (at 625J)</w:t>
      </w:r>
      <w:r w:rsidR="004B0466" w:rsidRPr="000027C2">
        <w:rPr>
          <w:rFonts w:ascii="Arial" w:hAnsi="Arial" w:cs="Arial"/>
          <w:sz w:val="24"/>
          <w:szCs w:val="24"/>
        </w:rPr>
        <w:t xml:space="preserve"> that</w:t>
      </w:r>
      <w:r w:rsidRPr="000027C2">
        <w:rPr>
          <w:rFonts w:ascii="Arial" w:hAnsi="Arial" w:cs="Arial"/>
          <w:sz w:val="24"/>
          <w:szCs w:val="24"/>
        </w:rPr>
        <w:t>:</w:t>
      </w:r>
    </w:p>
    <w:p w:rsidR="0042022F" w:rsidRPr="006636DA" w:rsidRDefault="0042022F" w:rsidP="00AD1244">
      <w:pPr>
        <w:spacing w:after="0" w:line="480" w:lineRule="auto"/>
        <w:jc w:val="both"/>
        <w:rPr>
          <w:rFonts w:ascii="Arial" w:hAnsi="Arial" w:cs="Arial"/>
          <w:sz w:val="24"/>
          <w:szCs w:val="24"/>
        </w:rPr>
      </w:pPr>
    </w:p>
    <w:p w:rsidR="006636DA" w:rsidRPr="00E02F22" w:rsidRDefault="006636DA" w:rsidP="00846736">
      <w:pPr>
        <w:spacing w:line="360" w:lineRule="auto"/>
        <w:ind w:left="720"/>
        <w:jc w:val="both"/>
        <w:rPr>
          <w:rFonts w:ascii="Arial" w:hAnsi="Arial" w:cs="Arial"/>
        </w:rPr>
      </w:pPr>
      <w:r>
        <w:rPr>
          <w:rFonts w:ascii="Arial" w:hAnsi="Arial" w:cs="Arial"/>
        </w:rPr>
        <w:t>‘The right to</w:t>
      </w:r>
      <w:r w:rsidRPr="00402DF8">
        <w:rPr>
          <w:rFonts w:ascii="Arial" w:hAnsi="Arial" w:cs="Arial"/>
          <w:i/>
        </w:rPr>
        <w:t xml:space="preserve"> audi</w:t>
      </w:r>
      <w:r>
        <w:rPr>
          <w:rFonts w:ascii="Arial" w:hAnsi="Arial" w:cs="Arial"/>
        </w:rPr>
        <w:t xml:space="preserve"> is, however, infinitely flexible. It may be expressly or impliedly ousted by statute, or greatly reduced in its operation.’</w:t>
      </w:r>
    </w:p>
    <w:p w:rsidR="006636DA" w:rsidRDefault="006636DA" w:rsidP="0042022F">
      <w:pPr>
        <w:spacing w:after="0" w:line="480" w:lineRule="auto"/>
        <w:jc w:val="both"/>
        <w:rPr>
          <w:rFonts w:ascii="Arial" w:hAnsi="Arial" w:cs="Arial"/>
        </w:rPr>
      </w:pPr>
    </w:p>
    <w:p w:rsidR="006636DA" w:rsidRPr="000027C2" w:rsidRDefault="006636DA" w:rsidP="000027C2">
      <w:pPr>
        <w:pStyle w:val="ListParagraph"/>
        <w:numPr>
          <w:ilvl w:val="0"/>
          <w:numId w:val="21"/>
        </w:numPr>
        <w:spacing w:after="0" w:line="480" w:lineRule="auto"/>
        <w:ind w:left="0" w:firstLine="0"/>
        <w:jc w:val="both"/>
        <w:rPr>
          <w:rFonts w:ascii="Arial" w:hAnsi="Arial" w:cs="Arial"/>
          <w:sz w:val="24"/>
          <w:szCs w:val="24"/>
        </w:rPr>
      </w:pPr>
      <w:r w:rsidRPr="000027C2">
        <w:rPr>
          <w:rFonts w:ascii="Arial" w:hAnsi="Arial" w:cs="Arial"/>
          <w:i/>
          <w:sz w:val="24"/>
          <w:szCs w:val="24"/>
        </w:rPr>
        <w:t>Matebesi</w:t>
      </w:r>
      <w:r w:rsidRPr="000027C2">
        <w:rPr>
          <w:rFonts w:ascii="Arial" w:hAnsi="Arial" w:cs="Arial"/>
          <w:sz w:val="24"/>
          <w:szCs w:val="24"/>
        </w:rPr>
        <w:t xml:space="preserve"> is also authority for the proposition that although </w:t>
      </w:r>
      <w:r w:rsidRPr="000027C2">
        <w:rPr>
          <w:rFonts w:ascii="Arial" w:hAnsi="Arial" w:cs="Arial"/>
          <w:i/>
          <w:sz w:val="24"/>
          <w:szCs w:val="24"/>
        </w:rPr>
        <w:t>audi</w:t>
      </w:r>
      <w:r w:rsidRPr="000027C2">
        <w:rPr>
          <w:rFonts w:ascii="Arial" w:hAnsi="Arial" w:cs="Arial"/>
          <w:sz w:val="24"/>
          <w:szCs w:val="24"/>
        </w:rPr>
        <w:t xml:space="preserve"> may be a statutory requirement, the particular circumstances of the case may oust </w:t>
      </w:r>
      <w:r w:rsidRPr="000027C2">
        <w:rPr>
          <w:rFonts w:ascii="Arial" w:hAnsi="Arial" w:cs="Arial"/>
          <w:i/>
          <w:sz w:val="24"/>
          <w:szCs w:val="24"/>
        </w:rPr>
        <w:t>audi</w:t>
      </w:r>
      <w:r w:rsidRPr="000027C2">
        <w:rPr>
          <w:rFonts w:ascii="Arial" w:hAnsi="Arial" w:cs="Arial"/>
          <w:sz w:val="24"/>
          <w:szCs w:val="24"/>
        </w:rPr>
        <w:t xml:space="preserve"> or significantly attenuate its operation. Each case must be considered on its facts. That much is recognized in both South African and English jurisprudence. </w:t>
      </w:r>
    </w:p>
    <w:p w:rsidR="00AD1244" w:rsidRDefault="00AD1244" w:rsidP="00AD1244">
      <w:pPr>
        <w:spacing w:after="0" w:line="480" w:lineRule="auto"/>
        <w:jc w:val="both"/>
        <w:rPr>
          <w:rFonts w:ascii="Arial" w:hAnsi="Arial" w:cs="Arial"/>
          <w:sz w:val="24"/>
          <w:szCs w:val="24"/>
          <w:u w:val="single"/>
        </w:rPr>
      </w:pPr>
    </w:p>
    <w:p w:rsidR="006636DA" w:rsidRPr="0077575B" w:rsidRDefault="006636DA" w:rsidP="00AD1244">
      <w:pPr>
        <w:spacing w:after="0" w:line="480" w:lineRule="auto"/>
        <w:jc w:val="both"/>
        <w:rPr>
          <w:rFonts w:ascii="Arial" w:hAnsi="Arial" w:cs="Arial"/>
          <w:sz w:val="24"/>
          <w:szCs w:val="24"/>
          <w:u w:val="single"/>
        </w:rPr>
      </w:pPr>
      <w:r w:rsidRPr="0077575B">
        <w:rPr>
          <w:rFonts w:ascii="Arial" w:hAnsi="Arial" w:cs="Arial"/>
          <w:sz w:val="24"/>
          <w:szCs w:val="24"/>
          <w:u w:val="single"/>
        </w:rPr>
        <w:t>South Africa</w:t>
      </w:r>
    </w:p>
    <w:p w:rsidR="006636DA" w:rsidRPr="000027C2" w:rsidRDefault="006636DA" w:rsidP="000027C2">
      <w:pPr>
        <w:pStyle w:val="ListParagraph"/>
        <w:numPr>
          <w:ilvl w:val="0"/>
          <w:numId w:val="21"/>
        </w:numPr>
        <w:spacing w:after="0" w:line="480" w:lineRule="auto"/>
        <w:ind w:left="0" w:firstLine="0"/>
        <w:jc w:val="both"/>
        <w:rPr>
          <w:rFonts w:ascii="Arial" w:hAnsi="Arial" w:cs="Arial"/>
          <w:sz w:val="24"/>
          <w:szCs w:val="24"/>
        </w:rPr>
      </w:pPr>
      <w:r w:rsidRPr="000027C2">
        <w:rPr>
          <w:rFonts w:ascii="Arial" w:hAnsi="Arial" w:cs="Arial"/>
          <w:sz w:val="24"/>
          <w:szCs w:val="24"/>
        </w:rPr>
        <w:t xml:space="preserve">In </w:t>
      </w:r>
      <w:r w:rsidRPr="000027C2">
        <w:rPr>
          <w:rFonts w:ascii="Arial" w:hAnsi="Arial" w:cs="Arial"/>
          <w:i/>
          <w:sz w:val="24"/>
          <w:szCs w:val="24"/>
        </w:rPr>
        <w:t xml:space="preserve">President of the RSA v SA Rugby Football Union </w:t>
      </w:r>
      <w:r w:rsidRPr="000027C2">
        <w:rPr>
          <w:rFonts w:ascii="Arial" w:hAnsi="Arial" w:cs="Arial"/>
          <w:sz w:val="24"/>
          <w:szCs w:val="24"/>
        </w:rPr>
        <w:t>2000 (1) SA</w:t>
      </w:r>
      <w:r w:rsidR="00F33CC5" w:rsidRPr="000027C2">
        <w:rPr>
          <w:rFonts w:ascii="Arial" w:hAnsi="Arial" w:cs="Arial"/>
          <w:sz w:val="24"/>
          <w:szCs w:val="24"/>
        </w:rPr>
        <w:t xml:space="preserve"> 1</w:t>
      </w:r>
      <w:r w:rsidRPr="000027C2">
        <w:rPr>
          <w:rFonts w:ascii="Arial" w:hAnsi="Arial" w:cs="Arial"/>
          <w:sz w:val="24"/>
          <w:szCs w:val="24"/>
        </w:rPr>
        <w:t xml:space="preserve"> (CC) para</w:t>
      </w:r>
      <w:r w:rsidRPr="000027C2">
        <w:rPr>
          <w:rFonts w:ascii="Arial" w:hAnsi="Arial" w:cs="Arial"/>
          <w:i/>
          <w:sz w:val="24"/>
          <w:szCs w:val="24"/>
        </w:rPr>
        <w:t xml:space="preserve"> </w:t>
      </w:r>
      <w:r w:rsidRPr="000027C2">
        <w:rPr>
          <w:rFonts w:ascii="Arial" w:hAnsi="Arial" w:cs="Arial"/>
          <w:sz w:val="24"/>
          <w:szCs w:val="24"/>
        </w:rPr>
        <w:t>219, the Constitutional Court observed that:</w:t>
      </w:r>
    </w:p>
    <w:p w:rsidR="00AD1244" w:rsidRDefault="00AD1244" w:rsidP="00846736">
      <w:pPr>
        <w:spacing w:line="360" w:lineRule="auto"/>
        <w:ind w:left="720"/>
        <w:jc w:val="both"/>
        <w:rPr>
          <w:rFonts w:ascii="Arial" w:hAnsi="Arial" w:cs="Arial"/>
        </w:rPr>
      </w:pPr>
    </w:p>
    <w:p w:rsidR="006636DA" w:rsidRDefault="0077575B" w:rsidP="00846736">
      <w:pPr>
        <w:spacing w:line="360" w:lineRule="auto"/>
        <w:ind w:left="720"/>
        <w:jc w:val="both"/>
        <w:rPr>
          <w:rFonts w:ascii="Arial" w:hAnsi="Arial" w:cs="Arial"/>
        </w:rPr>
      </w:pPr>
      <w:r>
        <w:rPr>
          <w:rFonts w:ascii="Arial" w:hAnsi="Arial" w:cs="Arial"/>
        </w:rPr>
        <w:t>‘</w:t>
      </w:r>
      <w:r w:rsidR="006636DA">
        <w:rPr>
          <w:rFonts w:ascii="Arial" w:hAnsi="Arial" w:cs="Arial"/>
        </w:rPr>
        <w:t xml:space="preserve">The requirement of procedural fairness, which is an incident of natural justice, though relevant to hearings before tribunals, is not necessarily relevant to every exercise of public power. </w:t>
      </w:r>
      <w:r w:rsidR="006636DA" w:rsidRPr="0023345C">
        <w:rPr>
          <w:rFonts w:ascii="Arial" w:hAnsi="Arial" w:cs="Arial"/>
          <w:i/>
        </w:rPr>
        <w:t>Du Preez’s</w:t>
      </w:r>
      <w:r w:rsidR="006636DA">
        <w:rPr>
          <w:rFonts w:ascii="Arial" w:hAnsi="Arial" w:cs="Arial"/>
        </w:rPr>
        <w:t xml:space="preserve"> case is no authority for such a proposition, nor is it authority for the proposition that, whenever prejudice may be anticipated, a functionary exercising public power must give a hearing to the person or persons likely to be affected by the decision. What procedural fairness requires depends on the circumstances of each particular case.</w:t>
      </w:r>
      <w:r>
        <w:rPr>
          <w:rFonts w:ascii="Arial" w:hAnsi="Arial" w:cs="Arial"/>
        </w:rPr>
        <w:t>’</w:t>
      </w:r>
      <w:r w:rsidR="006636DA">
        <w:rPr>
          <w:rFonts w:ascii="Arial" w:hAnsi="Arial" w:cs="Arial"/>
        </w:rPr>
        <w:t xml:space="preserve"> </w:t>
      </w:r>
    </w:p>
    <w:p w:rsidR="004D22C3" w:rsidRDefault="004D22C3" w:rsidP="00AD1244">
      <w:pPr>
        <w:spacing w:after="0" w:line="480" w:lineRule="auto"/>
        <w:jc w:val="both"/>
        <w:rPr>
          <w:rFonts w:ascii="Arial" w:hAnsi="Arial" w:cs="Arial"/>
          <w:sz w:val="24"/>
          <w:szCs w:val="24"/>
          <w:u w:val="single"/>
        </w:rPr>
      </w:pPr>
    </w:p>
    <w:p w:rsidR="006636DA" w:rsidRPr="0077575B" w:rsidRDefault="006636DA" w:rsidP="00AD1244">
      <w:pPr>
        <w:spacing w:after="0" w:line="480" w:lineRule="auto"/>
        <w:jc w:val="both"/>
        <w:rPr>
          <w:rFonts w:ascii="Arial" w:hAnsi="Arial" w:cs="Arial"/>
          <w:sz w:val="24"/>
          <w:szCs w:val="24"/>
          <w:u w:val="single"/>
        </w:rPr>
      </w:pPr>
      <w:r w:rsidRPr="0077575B">
        <w:rPr>
          <w:rFonts w:ascii="Arial" w:hAnsi="Arial" w:cs="Arial"/>
          <w:sz w:val="24"/>
          <w:szCs w:val="24"/>
          <w:u w:val="single"/>
        </w:rPr>
        <w:t xml:space="preserve">England </w:t>
      </w:r>
    </w:p>
    <w:p w:rsidR="006636DA" w:rsidRPr="000027C2" w:rsidRDefault="006636DA" w:rsidP="000027C2">
      <w:pPr>
        <w:pStyle w:val="ListParagraph"/>
        <w:numPr>
          <w:ilvl w:val="0"/>
          <w:numId w:val="21"/>
        </w:numPr>
        <w:spacing w:after="0" w:line="480" w:lineRule="auto"/>
        <w:ind w:left="0" w:firstLine="0"/>
        <w:jc w:val="both"/>
        <w:rPr>
          <w:rFonts w:ascii="Arial" w:hAnsi="Arial" w:cs="Arial"/>
          <w:sz w:val="24"/>
          <w:szCs w:val="24"/>
        </w:rPr>
      </w:pPr>
      <w:r w:rsidRPr="000027C2">
        <w:rPr>
          <w:rFonts w:ascii="Arial" w:hAnsi="Arial" w:cs="Arial"/>
          <w:sz w:val="24"/>
          <w:szCs w:val="24"/>
        </w:rPr>
        <w:t xml:space="preserve">In </w:t>
      </w:r>
      <w:r w:rsidRPr="000027C2">
        <w:rPr>
          <w:rFonts w:ascii="Arial" w:hAnsi="Arial" w:cs="Arial"/>
          <w:i/>
          <w:sz w:val="24"/>
          <w:szCs w:val="24"/>
        </w:rPr>
        <w:t xml:space="preserve">R v Secretary of State for the Home </w:t>
      </w:r>
      <w:r w:rsidR="0077575B" w:rsidRPr="000027C2">
        <w:rPr>
          <w:rFonts w:ascii="Arial" w:hAnsi="Arial" w:cs="Arial"/>
          <w:i/>
          <w:sz w:val="24"/>
          <w:szCs w:val="24"/>
        </w:rPr>
        <w:t>Department, E</w:t>
      </w:r>
      <w:r w:rsidRPr="000027C2">
        <w:rPr>
          <w:rFonts w:ascii="Arial" w:hAnsi="Arial" w:cs="Arial"/>
          <w:i/>
          <w:sz w:val="24"/>
          <w:szCs w:val="24"/>
        </w:rPr>
        <w:t>x parte Dood</w:t>
      </w:r>
      <w:r w:rsidR="000A5651" w:rsidRPr="000027C2">
        <w:rPr>
          <w:rFonts w:ascii="Arial" w:hAnsi="Arial" w:cs="Arial"/>
          <w:i/>
          <w:sz w:val="24"/>
          <w:szCs w:val="24"/>
        </w:rPr>
        <w:t xml:space="preserve"> </w:t>
      </w:r>
      <w:r w:rsidR="000A5651" w:rsidRPr="000027C2">
        <w:rPr>
          <w:rFonts w:ascii="Arial" w:hAnsi="Arial" w:cs="Arial"/>
          <w:sz w:val="24"/>
          <w:szCs w:val="24"/>
        </w:rPr>
        <w:t>[1993] 3</w:t>
      </w:r>
      <w:r w:rsidR="000A5651" w:rsidRPr="000027C2">
        <w:rPr>
          <w:rFonts w:ascii="Arial" w:hAnsi="Arial" w:cs="Arial"/>
          <w:i/>
          <w:sz w:val="24"/>
          <w:szCs w:val="24"/>
        </w:rPr>
        <w:t xml:space="preserve"> </w:t>
      </w:r>
      <w:r w:rsidR="000A5651" w:rsidRPr="000027C2">
        <w:rPr>
          <w:rFonts w:ascii="Arial" w:hAnsi="Arial" w:cs="Arial"/>
          <w:sz w:val="24"/>
          <w:szCs w:val="24"/>
        </w:rPr>
        <w:t>ALL ER 92 (HL) at 106</w:t>
      </w:r>
      <w:r w:rsidRPr="000027C2">
        <w:rPr>
          <w:rFonts w:ascii="Arial" w:hAnsi="Arial" w:cs="Arial"/>
          <w:sz w:val="24"/>
          <w:szCs w:val="24"/>
        </w:rPr>
        <w:t>d-e, Lord Mustill put it thus:</w:t>
      </w:r>
    </w:p>
    <w:p w:rsidR="006636DA" w:rsidRDefault="006636DA" w:rsidP="0042022F">
      <w:pPr>
        <w:spacing w:after="0" w:line="480" w:lineRule="auto"/>
        <w:jc w:val="both"/>
        <w:rPr>
          <w:rFonts w:ascii="Arial" w:hAnsi="Arial" w:cs="Arial"/>
        </w:rPr>
      </w:pPr>
    </w:p>
    <w:p w:rsidR="006636DA" w:rsidRPr="0023345C" w:rsidRDefault="0077575B" w:rsidP="00AD1244">
      <w:pPr>
        <w:spacing w:after="0" w:line="360" w:lineRule="auto"/>
        <w:ind w:left="720"/>
        <w:jc w:val="both"/>
        <w:rPr>
          <w:rFonts w:ascii="Arial" w:hAnsi="Arial" w:cs="Arial"/>
        </w:rPr>
      </w:pPr>
      <w:r>
        <w:rPr>
          <w:rFonts w:ascii="Arial" w:hAnsi="Arial" w:cs="Arial"/>
        </w:rPr>
        <w:t>‘</w:t>
      </w:r>
      <w:r w:rsidR="006636DA">
        <w:rPr>
          <w:rFonts w:ascii="Arial" w:hAnsi="Arial" w:cs="Arial"/>
        </w:rPr>
        <w:t>The standards of fairness are not immutable. They may change with the passage of time, both in the general and in their application to decisions of a particular type. The principles of fairness are not to be applied by rote identically in every situation. What fairness demands is dependent on the context of the decision, and this is to be taken into account in all its aspects. (</w:t>
      </w:r>
      <w:r w:rsidR="006636DA" w:rsidRPr="000E54E4">
        <w:rPr>
          <w:rFonts w:ascii="Arial" w:hAnsi="Arial" w:cs="Arial"/>
        </w:rPr>
        <w:t xml:space="preserve">Cited with approval by Corbett CJ in </w:t>
      </w:r>
      <w:r w:rsidR="006636DA" w:rsidRPr="00F27DC4">
        <w:rPr>
          <w:rFonts w:ascii="Arial" w:hAnsi="Arial" w:cs="Arial"/>
          <w:i/>
        </w:rPr>
        <w:t>Du Preez v TRC</w:t>
      </w:r>
      <w:r w:rsidR="006636DA" w:rsidRPr="000E54E4">
        <w:rPr>
          <w:rFonts w:ascii="Arial" w:hAnsi="Arial" w:cs="Arial"/>
        </w:rPr>
        <w:t xml:space="preserve"> 1997 (3) SA 204</w:t>
      </w:r>
      <w:r w:rsidR="003E76C8">
        <w:rPr>
          <w:rFonts w:ascii="Arial" w:hAnsi="Arial" w:cs="Arial"/>
        </w:rPr>
        <w:t xml:space="preserve"> </w:t>
      </w:r>
      <w:r w:rsidR="006636DA" w:rsidRPr="000E54E4">
        <w:rPr>
          <w:rFonts w:ascii="Arial" w:hAnsi="Arial" w:cs="Arial"/>
        </w:rPr>
        <w:t>(A) at 231I-234</w:t>
      </w:r>
      <w:r w:rsidR="006636DA">
        <w:rPr>
          <w:rFonts w:ascii="Arial" w:hAnsi="Arial" w:cs="Arial"/>
        </w:rPr>
        <w:t>D).</w:t>
      </w:r>
      <w:r>
        <w:rPr>
          <w:rFonts w:ascii="Arial" w:hAnsi="Arial" w:cs="Arial"/>
        </w:rPr>
        <w:t>’</w:t>
      </w:r>
    </w:p>
    <w:p w:rsidR="0077575B" w:rsidRDefault="0077575B" w:rsidP="009C3ED6">
      <w:pPr>
        <w:spacing w:after="0" w:line="480" w:lineRule="auto"/>
        <w:jc w:val="both"/>
        <w:rPr>
          <w:rFonts w:ascii="Arial" w:hAnsi="Arial" w:cs="Arial"/>
          <w:sz w:val="24"/>
          <w:szCs w:val="24"/>
        </w:rPr>
      </w:pPr>
    </w:p>
    <w:p w:rsidR="006636DA" w:rsidRPr="000027C2" w:rsidRDefault="006636DA" w:rsidP="000027C2">
      <w:pPr>
        <w:pStyle w:val="ListParagraph"/>
        <w:numPr>
          <w:ilvl w:val="0"/>
          <w:numId w:val="21"/>
        </w:numPr>
        <w:spacing w:after="0" w:line="480" w:lineRule="auto"/>
        <w:ind w:left="0" w:firstLine="0"/>
        <w:jc w:val="both"/>
        <w:rPr>
          <w:rFonts w:ascii="Arial" w:hAnsi="Arial" w:cs="Arial"/>
          <w:sz w:val="24"/>
          <w:szCs w:val="24"/>
        </w:rPr>
      </w:pPr>
      <w:r w:rsidRPr="000027C2">
        <w:rPr>
          <w:rFonts w:ascii="Arial" w:hAnsi="Arial" w:cs="Arial"/>
          <w:sz w:val="24"/>
          <w:szCs w:val="24"/>
        </w:rPr>
        <w:t xml:space="preserve">Given the flexibility of </w:t>
      </w:r>
      <w:r w:rsidRPr="000027C2">
        <w:rPr>
          <w:rFonts w:ascii="Arial" w:hAnsi="Arial" w:cs="Arial"/>
          <w:i/>
          <w:sz w:val="24"/>
          <w:szCs w:val="24"/>
        </w:rPr>
        <w:t>audi</w:t>
      </w:r>
      <w:r w:rsidRPr="000027C2">
        <w:rPr>
          <w:rFonts w:ascii="Arial" w:hAnsi="Arial" w:cs="Arial"/>
          <w:sz w:val="24"/>
          <w:szCs w:val="24"/>
        </w:rPr>
        <w:t xml:space="preserve">, if the specific bases for the alleged absence of </w:t>
      </w:r>
      <w:r w:rsidRPr="000027C2">
        <w:rPr>
          <w:rFonts w:ascii="Arial" w:hAnsi="Arial" w:cs="Arial"/>
          <w:i/>
          <w:sz w:val="24"/>
          <w:szCs w:val="24"/>
        </w:rPr>
        <w:t>audi</w:t>
      </w:r>
      <w:r w:rsidRPr="000027C2">
        <w:rPr>
          <w:rFonts w:ascii="Arial" w:hAnsi="Arial" w:cs="Arial"/>
          <w:sz w:val="24"/>
          <w:szCs w:val="24"/>
        </w:rPr>
        <w:t xml:space="preserve"> were clearly pleaded, the appellants could well have put forward facts and contentions why, on the particular facts, the manner in which the respondents were removed did not offend the Constitution.</w:t>
      </w:r>
      <w:r w:rsidR="004B0466" w:rsidRPr="000027C2">
        <w:rPr>
          <w:rFonts w:ascii="Arial" w:hAnsi="Arial" w:cs="Arial"/>
          <w:sz w:val="24"/>
          <w:szCs w:val="24"/>
        </w:rPr>
        <w:t xml:space="preserve"> That they intended to do so if invited is apparent from Mr Nelulu’s lamentation about lack of particularity. It bears mention that in his replying affidavit the first respondent skirts the issue of lack of specificity and does not at all deal with it.</w:t>
      </w:r>
    </w:p>
    <w:p w:rsidR="00AD1244" w:rsidRDefault="00AD1244" w:rsidP="000027C2">
      <w:pPr>
        <w:spacing w:after="0" w:line="480" w:lineRule="auto"/>
        <w:jc w:val="both"/>
        <w:rPr>
          <w:rFonts w:ascii="Arial" w:hAnsi="Arial" w:cs="Arial"/>
          <w:sz w:val="24"/>
          <w:szCs w:val="24"/>
        </w:rPr>
      </w:pPr>
    </w:p>
    <w:p w:rsidR="00B00854" w:rsidRPr="000027C2" w:rsidRDefault="00D94EC6" w:rsidP="000027C2">
      <w:pPr>
        <w:pStyle w:val="ListParagraph"/>
        <w:numPr>
          <w:ilvl w:val="0"/>
          <w:numId w:val="21"/>
        </w:numPr>
        <w:spacing w:after="0" w:line="480" w:lineRule="auto"/>
        <w:ind w:left="0" w:firstLine="0"/>
        <w:jc w:val="both"/>
        <w:rPr>
          <w:rFonts w:ascii="Arial" w:hAnsi="Arial" w:cs="Arial"/>
          <w:sz w:val="24"/>
          <w:szCs w:val="24"/>
        </w:rPr>
      </w:pPr>
      <w:r w:rsidRPr="000027C2">
        <w:rPr>
          <w:rFonts w:ascii="Arial" w:hAnsi="Arial" w:cs="Arial"/>
          <w:sz w:val="24"/>
          <w:szCs w:val="24"/>
        </w:rPr>
        <w:lastRenderedPageBreak/>
        <w:t xml:space="preserve">During argument </w:t>
      </w:r>
      <w:r w:rsidR="00B00854" w:rsidRPr="000027C2">
        <w:rPr>
          <w:rFonts w:ascii="Arial" w:hAnsi="Arial" w:cs="Arial"/>
          <w:sz w:val="24"/>
          <w:szCs w:val="24"/>
        </w:rPr>
        <w:t>Mr Khama was at</w:t>
      </w:r>
      <w:r w:rsidR="003E3B99" w:rsidRPr="000027C2">
        <w:rPr>
          <w:rFonts w:ascii="Arial" w:hAnsi="Arial" w:cs="Arial"/>
          <w:sz w:val="24"/>
          <w:szCs w:val="24"/>
        </w:rPr>
        <w:t xml:space="preserve"> pains </w:t>
      </w:r>
      <w:r w:rsidR="00B00854" w:rsidRPr="000027C2">
        <w:rPr>
          <w:rFonts w:ascii="Arial" w:hAnsi="Arial" w:cs="Arial"/>
          <w:sz w:val="24"/>
          <w:szCs w:val="24"/>
        </w:rPr>
        <w:t xml:space="preserve">to remind </w:t>
      </w:r>
      <w:r w:rsidR="00DB21ED" w:rsidRPr="000027C2">
        <w:rPr>
          <w:rFonts w:ascii="Arial" w:hAnsi="Arial" w:cs="Arial"/>
          <w:sz w:val="24"/>
          <w:szCs w:val="24"/>
        </w:rPr>
        <w:t>us</w:t>
      </w:r>
      <w:r w:rsidR="00B00854" w:rsidRPr="000027C2">
        <w:rPr>
          <w:rFonts w:ascii="Arial" w:hAnsi="Arial" w:cs="Arial"/>
          <w:sz w:val="24"/>
          <w:szCs w:val="24"/>
        </w:rPr>
        <w:t xml:space="preserve"> that wh</w:t>
      </w:r>
      <w:r w:rsidR="00993645" w:rsidRPr="000027C2">
        <w:rPr>
          <w:rFonts w:ascii="Arial" w:hAnsi="Arial" w:cs="Arial"/>
          <w:sz w:val="24"/>
          <w:szCs w:val="24"/>
        </w:rPr>
        <w:t>at</w:t>
      </w:r>
      <w:r w:rsidR="00E438E3" w:rsidRPr="000027C2">
        <w:rPr>
          <w:rFonts w:ascii="Arial" w:hAnsi="Arial" w:cs="Arial"/>
          <w:sz w:val="24"/>
          <w:szCs w:val="24"/>
        </w:rPr>
        <w:t xml:space="preserve"> the respondents </w:t>
      </w:r>
      <w:r w:rsidR="00B00854" w:rsidRPr="000027C2">
        <w:rPr>
          <w:rFonts w:ascii="Arial" w:hAnsi="Arial" w:cs="Arial"/>
          <w:sz w:val="24"/>
          <w:szCs w:val="24"/>
        </w:rPr>
        <w:t xml:space="preserve">were </w:t>
      </w:r>
      <w:r w:rsidR="003E3B99" w:rsidRPr="000027C2">
        <w:rPr>
          <w:rFonts w:ascii="Arial" w:hAnsi="Arial" w:cs="Arial"/>
          <w:sz w:val="24"/>
          <w:szCs w:val="24"/>
        </w:rPr>
        <w:t>challenging</w:t>
      </w:r>
      <w:r w:rsidR="00B00854" w:rsidRPr="000027C2">
        <w:rPr>
          <w:rFonts w:ascii="Arial" w:hAnsi="Arial" w:cs="Arial"/>
          <w:sz w:val="24"/>
          <w:szCs w:val="24"/>
        </w:rPr>
        <w:t xml:space="preserve"> was the first appellant’s decision-making and not that of the </w:t>
      </w:r>
      <w:r w:rsidR="00F27DC4" w:rsidRPr="000027C2">
        <w:rPr>
          <w:rFonts w:ascii="Arial" w:hAnsi="Arial" w:cs="Arial"/>
          <w:sz w:val="24"/>
          <w:szCs w:val="24"/>
        </w:rPr>
        <w:t>c</w:t>
      </w:r>
      <w:r w:rsidR="004C796E" w:rsidRPr="000027C2">
        <w:rPr>
          <w:rFonts w:ascii="Arial" w:hAnsi="Arial" w:cs="Arial"/>
          <w:sz w:val="24"/>
          <w:szCs w:val="24"/>
        </w:rPr>
        <w:t>ommittee</w:t>
      </w:r>
      <w:r w:rsidR="00E962D4" w:rsidRPr="000027C2">
        <w:rPr>
          <w:rFonts w:ascii="Arial" w:hAnsi="Arial" w:cs="Arial"/>
          <w:sz w:val="24"/>
          <w:szCs w:val="24"/>
        </w:rPr>
        <w:t>.</w:t>
      </w:r>
      <w:r w:rsidR="003E3B99" w:rsidRPr="000027C2">
        <w:rPr>
          <w:rFonts w:ascii="Arial" w:hAnsi="Arial" w:cs="Arial"/>
          <w:sz w:val="24"/>
          <w:szCs w:val="24"/>
        </w:rPr>
        <w:t xml:space="preserve"> Two points should be made about that submission. The first is that it </w:t>
      </w:r>
      <w:r w:rsidR="005F42FD" w:rsidRPr="000027C2">
        <w:rPr>
          <w:rFonts w:ascii="Arial" w:hAnsi="Arial" w:cs="Arial"/>
          <w:sz w:val="24"/>
          <w:szCs w:val="24"/>
        </w:rPr>
        <w:t xml:space="preserve">does not advance the cause of the respondents </w:t>
      </w:r>
      <w:r w:rsidR="003E3B99" w:rsidRPr="000027C2">
        <w:rPr>
          <w:rFonts w:ascii="Arial" w:hAnsi="Arial" w:cs="Arial"/>
          <w:sz w:val="24"/>
          <w:szCs w:val="24"/>
        </w:rPr>
        <w:t>given our finding that no proper basis was established for impugning the queen’s decision-making. Second</w:t>
      </w:r>
      <w:r w:rsidR="002A6928" w:rsidRPr="000027C2">
        <w:rPr>
          <w:rFonts w:ascii="Arial" w:hAnsi="Arial" w:cs="Arial"/>
          <w:sz w:val="24"/>
          <w:szCs w:val="24"/>
        </w:rPr>
        <w:t xml:space="preserve">, the process </w:t>
      </w:r>
      <w:r w:rsidR="0070364C" w:rsidRPr="000027C2">
        <w:rPr>
          <w:rFonts w:ascii="Arial" w:hAnsi="Arial" w:cs="Arial"/>
          <w:sz w:val="24"/>
          <w:szCs w:val="24"/>
        </w:rPr>
        <w:t xml:space="preserve">undertaken </w:t>
      </w:r>
      <w:r w:rsidR="002A6928" w:rsidRPr="000027C2">
        <w:rPr>
          <w:rFonts w:ascii="Arial" w:hAnsi="Arial" w:cs="Arial"/>
          <w:sz w:val="24"/>
          <w:szCs w:val="24"/>
        </w:rPr>
        <w:t xml:space="preserve">by the </w:t>
      </w:r>
      <w:r w:rsidR="00F27DC4" w:rsidRPr="000027C2">
        <w:rPr>
          <w:rFonts w:ascii="Arial" w:hAnsi="Arial" w:cs="Arial"/>
          <w:sz w:val="24"/>
          <w:szCs w:val="24"/>
        </w:rPr>
        <w:t>c</w:t>
      </w:r>
      <w:r w:rsidR="003E3B99" w:rsidRPr="000027C2">
        <w:rPr>
          <w:rFonts w:ascii="Arial" w:hAnsi="Arial" w:cs="Arial"/>
          <w:sz w:val="24"/>
          <w:szCs w:val="24"/>
        </w:rPr>
        <w:t xml:space="preserve">ommittee stands unchallenged and no attempt at all was made to set it aside. </w:t>
      </w:r>
      <w:r w:rsidR="001C6283" w:rsidRPr="000027C2">
        <w:rPr>
          <w:rFonts w:ascii="Arial" w:hAnsi="Arial" w:cs="Arial"/>
          <w:sz w:val="24"/>
          <w:szCs w:val="24"/>
        </w:rPr>
        <w:t xml:space="preserve">It is trite that administrative action remains valid until set aside: </w:t>
      </w:r>
      <w:r w:rsidR="00EF0535" w:rsidRPr="000027C2">
        <w:rPr>
          <w:rFonts w:ascii="Arial" w:hAnsi="Arial" w:cs="Arial"/>
          <w:i/>
          <w:sz w:val="24"/>
          <w:szCs w:val="24"/>
        </w:rPr>
        <w:t>President of the Republic of Namibia v Anhui Foreign Economic Construction Group Corporation Ltd</w:t>
      </w:r>
      <w:r w:rsidR="00EF0535" w:rsidRPr="000027C2">
        <w:rPr>
          <w:rFonts w:ascii="Arial" w:hAnsi="Arial" w:cs="Arial"/>
          <w:sz w:val="24"/>
          <w:szCs w:val="24"/>
        </w:rPr>
        <w:t xml:space="preserve"> (SA 59/2016) [2017] NASC (28 March 2017)</w:t>
      </w:r>
      <w:r w:rsidR="00CA492F" w:rsidRPr="000027C2">
        <w:rPr>
          <w:rFonts w:ascii="Arial" w:hAnsi="Arial" w:cs="Arial"/>
          <w:sz w:val="24"/>
          <w:szCs w:val="24"/>
        </w:rPr>
        <w:t>, para 42</w:t>
      </w:r>
      <w:r w:rsidR="00EF0535" w:rsidRPr="000027C2">
        <w:rPr>
          <w:rFonts w:ascii="Arial" w:hAnsi="Arial" w:cs="Arial"/>
          <w:sz w:val="24"/>
          <w:szCs w:val="24"/>
        </w:rPr>
        <w:t>.</w:t>
      </w:r>
      <w:r w:rsidR="00E45AF6" w:rsidRPr="000027C2">
        <w:rPr>
          <w:rFonts w:ascii="Arial" w:hAnsi="Arial" w:cs="Arial"/>
          <w:sz w:val="24"/>
          <w:szCs w:val="24"/>
        </w:rPr>
        <w:t xml:space="preserve"> </w:t>
      </w:r>
      <w:r w:rsidR="003E3B99" w:rsidRPr="000027C2">
        <w:rPr>
          <w:rFonts w:ascii="Arial" w:hAnsi="Arial" w:cs="Arial"/>
          <w:sz w:val="24"/>
          <w:szCs w:val="24"/>
        </w:rPr>
        <w:t>The queen acted</w:t>
      </w:r>
      <w:r w:rsidR="0066016A" w:rsidRPr="000027C2">
        <w:rPr>
          <w:rFonts w:ascii="Arial" w:hAnsi="Arial" w:cs="Arial"/>
          <w:sz w:val="24"/>
          <w:szCs w:val="24"/>
        </w:rPr>
        <w:t xml:space="preserve"> on the </w:t>
      </w:r>
      <w:r w:rsidR="00F27DC4" w:rsidRPr="000027C2">
        <w:rPr>
          <w:rFonts w:ascii="Arial" w:hAnsi="Arial" w:cs="Arial"/>
          <w:sz w:val="24"/>
          <w:szCs w:val="24"/>
        </w:rPr>
        <w:t>c</w:t>
      </w:r>
      <w:r w:rsidR="0066016A" w:rsidRPr="000027C2">
        <w:rPr>
          <w:rFonts w:ascii="Arial" w:hAnsi="Arial" w:cs="Arial"/>
          <w:sz w:val="24"/>
          <w:szCs w:val="24"/>
        </w:rPr>
        <w:t>ommittee’s</w:t>
      </w:r>
      <w:r w:rsidR="003E3B99" w:rsidRPr="000027C2">
        <w:rPr>
          <w:rFonts w:ascii="Arial" w:hAnsi="Arial" w:cs="Arial"/>
          <w:sz w:val="24"/>
          <w:szCs w:val="24"/>
        </w:rPr>
        <w:t xml:space="preserve"> findings which were the result of deliberations in which the respondents participated without objection.</w:t>
      </w:r>
      <w:r w:rsidR="005F42FD" w:rsidRPr="000027C2">
        <w:rPr>
          <w:rFonts w:ascii="Arial" w:hAnsi="Arial" w:cs="Arial"/>
          <w:sz w:val="24"/>
          <w:szCs w:val="24"/>
        </w:rPr>
        <w:t xml:space="preserve"> The outcome of those proceedings established that they were, amongst others, guilty of sowing division in the community and undermining the queen.</w:t>
      </w:r>
      <w:r w:rsidR="001C6283" w:rsidRPr="000027C2">
        <w:rPr>
          <w:rFonts w:ascii="Arial" w:hAnsi="Arial" w:cs="Arial"/>
          <w:sz w:val="24"/>
          <w:szCs w:val="24"/>
        </w:rPr>
        <w:t xml:space="preserve"> </w:t>
      </w:r>
    </w:p>
    <w:p w:rsidR="00B00854" w:rsidRDefault="00B00854" w:rsidP="00F27DC4">
      <w:pPr>
        <w:spacing w:after="0" w:line="480" w:lineRule="auto"/>
        <w:jc w:val="both"/>
        <w:rPr>
          <w:rFonts w:ascii="Arial" w:hAnsi="Arial" w:cs="Arial"/>
          <w:sz w:val="24"/>
          <w:szCs w:val="24"/>
        </w:rPr>
      </w:pPr>
    </w:p>
    <w:p w:rsidR="004B0466" w:rsidRPr="004B0466" w:rsidRDefault="004B0466" w:rsidP="000027C2">
      <w:pPr>
        <w:pStyle w:val="ListParagraph"/>
        <w:numPr>
          <w:ilvl w:val="0"/>
          <w:numId w:val="21"/>
        </w:numPr>
        <w:spacing w:after="0" w:line="480" w:lineRule="auto"/>
        <w:ind w:left="0" w:firstLine="0"/>
        <w:jc w:val="both"/>
        <w:rPr>
          <w:rFonts w:ascii="Arial" w:hAnsi="Arial" w:cs="Arial"/>
          <w:bCs/>
          <w:color w:val="000000" w:themeColor="text1"/>
          <w:sz w:val="24"/>
          <w:szCs w:val="24"/>
        </w:rPr>
      </w:pPr>
      <w:r>
        <w:rPr>
          <w:rFonts w:ascii="Arial" w:hAnsi="Arial" w:cs="Arial"/>
          <w:bCs/>
          <w:color w:val="000000" w:themeColor="text1"/>
          <w:sz w:val="24"/>
          <w:szCs w:val="24"/>
        </w:rPr>
        <w:t>For all of the above reasons we are satisfied that the appellants are correct to say that the High Court misdirected itself in relying on review grounds and bases not relied on by the respondents in their founding affidavit.</w:t>
      </w:r>
    </w:p>
    <w:p w:rsidR="004B0466" w:rsidRDefault="004B0466" w:rsidP="000027C2">
      <w:pPr>
        <w:pStyle w:val="ListParagraph"/>
        <w:spacing w:after="0" w:line="480" w:lineRule="auto"/>
        <w:ind w:left="0"/>
        <w:jc w:val="both"/>
        <w:rPr>
          <w:rFonts w:ascii="Arial" w:hAnsi="Arial" w:cs="Arial"/>
          <w:bCs/>
          <w:color w:val="000000" w:themeColor="text1"/>
          <w:sz w:val="24"/>
          <w:szCs w:val="24"/>
          <w:u w:val="single"/>
        </w:rPr>
      </w:pPr>
    </w:p>
    <w:p w:rsidR="0050585C" w:rsidRPr="004D7A44" w:rsidRDefault="00145D44" w:rsidP="000027C2">
      <w:pPr>
        <w:pStyle w:val="ListParagraph"/>
        <w:spacing w:after="0" w:line="480" w:lineRule="auto"/>
        <w:ind w:left="0"/>
        <w:jc w:val="both"/>
        <w:rPr>
          <w:rFonts w:ascii="Arial" w:hAnsi="Arial" w:cs="Arial"/>
          <w:bCs/>
          <w:color w:val="000000" w:themeColor="text1"/>
          <w:sz w:val="24"/>
          <w:szCs w:val="24"/>
          <w:u w:val="single"/>
        </w:rPr>
      </w:pPr>
      <w:r w:rsidRPr="004D7A44">
        <w:rPr>
          <w:rFonts w:ascii="Arial" w:hAnsi="Arial" w:cs="Arial"/>
          <w:bCs/>
          <w:color w:val="000000" w:themeColor="text1"/>
          <w:sz w:val="24"/>
          <w:szCs w:val="24"/>
          <w:u w:val="single"/>
        </w:rPr>
        <w:t>Disposal</w:t>
      </w:r>
    </w:p>
    <w:p w:rsidR="002874BE" w:rsidRDefault="00314EDE" w:rsidP="000027C2">
      <w:pPr>
        <w:pStyle w:val="ListParagraph"/>
        <w:numPr>
          <w:ilvl w:val="0"/>
          <w:numId w:val="21"/>
        </w:numPr>
        <w:spacing w:after="0" w:line="480" w:lineRule="auto"/>
        <w:ind w:left="0" w:firstLine="0"/>
        <w:jc w:val="both"/>
        <w:rPr>
          <w:rFonts w:ascii="Arial" w:hAnsi="Arial" w:cs="Arial"/>
          <w:bCs/>
          <w:color w:val="000000" w:themeColor="text1"/>
          <w:sz w:val="24"/>
          <w:szCs w:val="24"/>
        </w:rPr>
      </w:pPr>
      <w:r w:rsidRPr="004D7A44">
        <w:rPr>
          <w:rFonts w:ascii="Arial" w:hAnsi="Arial" w:cs="Arial"/>
          <w:bCs/>
          <w:color w:val="000000" w:themeColor="text1"/>
          <w:sz w:val="24"/>
          <w:szCs w:val="24"/>
        </w:rPr>
        <w:t xml:space="preserve">Mr Khama </w:t>
      </w:r>
      <w:r w:rsidR="00AE53A1" w:rsidRPr="004D7A44">
        <w:rPr>
          <w:rFonts w:ascii="Arial" w:hAnsi="Arial" w:cs="Arial"/>
          <w:bCs/>
          <w:color w:val="000000" w:themeColor="text1"/>
          <w:sz w:val="24"/>
          <w:szCs w:val="24"/>
        </w:rPr>
        <w:t xml:space="preserve">made no suggestion to us </w:t>
      </w:r>
      <w:r w:rsidR="00C87A21" w:rsidRPr="004D7A44">
        <w:rPr>
          <w:rFonts w:ascii="Arial" w:hAnsi="Arial" w:cs="Arial"/>
          <w:bCs/>
          <w:color w:val="000000" w:themeColor="text1"/>
          <w:sz w:val="24"/>
          <w:szCs w:val="24"/>
        </w:rPr>
        <w:t xml:space="preserve">that </w:t>
      </w:r>
      <w:r w:rsidR="00B419DB" w:rsidRPr="004D7A44">
        <w:rPr>
          <w:rFonts w:ascii="Arial" w:hAnsi="Arial" w:cs="Arial"/>
          <w:bCs/>
          <w:color w:val="000000" w:themeColor="text1"/>
          <w:sz w:val="24"/>
          <w:szCs w:val="24"/>
        </w:rPr>
        <w:t xml:space="preserve">in the event of the points raised on appeal by the appellants being successful, there still remained other viable grounds of review </w:t>
      </w:r>
      <w:r w:rsidR="001334FE" w:rsidRPr="004D7A44">
        <w:rPr>
          <w:rFonts w:ascii="Arial" w:hAnsi="Arial" w:cs="Arial"/>
          <w:bCs/>
          <w:color w:val="000000" w:themeColor="text1"/>
          <w:sz w:val="24"/>
          <w:szCs w:val="24"/>
        </w:rPr>
        <w:t xml:space="preserve">on the record </w:t>
      </w:r>
      <w:r w:rsidR="00C31E5A" w:rsidRPr="004D7A44">
        <w:rPr>
          <w:rFonts w:ascii="Arial" w:hAnsi="Arial" w:cs="Arial"/>
          <w:bCs/>
          <w:color w:val="000000" w:themeColor="text1"/>
          <w:sz w:val="24"/>
          <w:szCs w:val="24"/>
        </w:rPr>
        <w:t xml:space="preserve">which we must consider. </w:t>
      </w:r>
      <w:r w:rsidR="001E6C45" w:rsidRPr="004D7A44">
        <w:rPr>
          <w:rFonts w:ascii="Arial" w:hAnsi="Arial" w:cs="Arial"/>
          <w:bCs/>
          <w:color w:val="000000" w:themeColor="text1"/>
          <w:sz w:val="24"/>
          <w:szCs w:val="24"/>
        </w:rPr>
        <w:t xml:space="preserve">I therefore </w:t>
      </w:r>
      <w:r w:rsidR="00F506DD" w:rsidRPr="004D7A44">
        <w:rPr>
          <w:rFonts w:ascii="Arial" w:hAnsi="Arial" w:cs="Arial"/>
          <w:bCs/>
          <w:color w:val="000000" w:themeColor="text1"/>
          <w:sz w:val="24"/>
          <w:szCs w:val="24"/>
        </w:rPr>
        <w:t xml:space="preserve">decline to </w:t>
      </w:r>
      <w:r w:rsidR="00A74E2D" w:rsidRPr="004D7A44">
        <w:rPr>
          <w:rFonts w:ascii="Arial" w:hAnsi="Arial" w:cs="Arial"/>
          <w:bCs/>
          <w:color w:val="000000" w:themeColor="text1"/>
          <w:sz w:val="24"/>
          <w:szCs w:val="24"/>
        </w:rPr>
        <w:t xml:space="preserve">consider if the decision-making </w:t>
      </w:r>
      <w:r w:rsidR="00206B9B" w:rsidRPr="004D7A44">
        <w:rPr>
          <w:rFonts w:ascii="Arial" w:hAnsi="Arial" w:cs="Arial"/>
          <w:bCs/>
          <w:color w:val="000000" w:themeColor="text1"/>
          <w:sz w:val="24"/>
          <w:szCs w:val="24"/>
        </w:rPr>
        <w:t xml:space="preserve">stood to be reviewed </w:t>
      </w:r>
      <w:r w:rsidR="00DB21ED">
        <w:rPr>
          <w:rFonts w:ascii="Arial" w:hAnsi="Arial" w:cs="Arial"/>
          <w:bCs/>
          <w:color w:val="000000" w:themeColor="text1"/>
          <w:sz w:val="24"/>
          <w:szCs w:val="24"/>
        </w:rPr>
        <w:t>and</w:t>
      </w:r>
      <w:r w:rsidR="00206B9B" w:rsidRPr="004D7A44">
        <w:rPr>
          <w:rFonts w:ascii="Arial" w:hAnsi="Arial" w:cs="Arial"/>
          <w:bCs/>
          <w:color w:val="000000" w:themeColor="text1"/>
          <w:sz w:val="24"/>
          <w:szCs w:val="24"/>
        </w:rPr>
        <w:t xml:space="preserve"> set aside</w:t>
      </w:r>
      <w:r w:rsidR="00FF3D0F" w:rsidRPr="004D7A44">
        <w:rPr>
          <w:rFonts w:ascii="Arial" w:hAnsi="Arial" w:cs="Arial"/>
          <w:bCs/>
          <w:color w:val="000000" w:themeColor="text1"/>
          <w:sz w:val="24"/>
          <w:szCs w:val="24"/>
        </w:rPr>
        <w:t xml:space="preserve"> </w:t>
      </w:r>
      <w:r w:rsidR="009B0B8D" w:rsidRPr="004D7A44">
        <w:rPr>
          <w:rFonts w:ascii="Arial" w:hAnsi="Arial" w:cs="Arial"/>
          <w:bCs/>
          <w:color w:val="000000" w:themeColor="text1"/>
          <w:sz w:val="24"/>
          <w:szCs w:val="24"/>
        </w:rPr>
        <w:t xml:space="preserve">on </w:t>
      </w:r>
      <w:r w:rsidR="00764CD2" w:rsidRPr="004D7A44">
        <w:rPr>
          <w:rFonts w:ascii="Arial" w:hAnsi="Arial" w:cs="Arial"/>
          <w:bCs/>
          <w:color w:val="000000" w:themeColor="text1"/>
          <w:sz w:val="24"/>
          <w:szCs w:val="24"/>
        </w:rPr>
        <w:t>grounds other than thos</w:t>
      </w:r>
      <w:r w:rsidR="00DB21ED">
        <w:rPr>
          <w:rFonts w:ascii="Arial" w:hAnsi="Arial" w:cs="Arial"/>
          <w:bCs/>
          <w:color w:val="000000" w:themeColor="text1"/>
          <w:sz w:val="24"/>
          <w:szCs w:val="24"/>
        </w:rPr>
        <w:t>e</w:t>
      </w:r>
      <w:r w:rsidR="00764CD2" w:rsidRPr="004D7A44">
        <w:rPr>
          <w:rFonts w:ascii="Arial" w:hAnsi="Arial" w:cs="Arial"/>
          <w:bCs/>
          <w:color w:val="000000" w:themeColor="text1"/>
          <w:sz w:val="24"/>
          <w:szCs w:val="24"/>
        </w:rPr>
        <w:t xml:space="preserve"> </w:t>
      </w:r>
      <w:r w:rsidR="002F31E7" w:rsidRPr="004D7A44">
        <w:rPr>
          <w:rFonts w:ascii="Arial" w:hAnsi="Arial" w:cs="Arial"/>
          <w:bCs/>
          <w:color w:val="000000" w:themeColor="text1"/>
          <w:sz w:val="24"/>
          <w:szCs w:val="24"/>
        </w:rPr>
        <w:t xml:space="preserve">on which the court a </w:t>
      </w:r>
      <w:r w:rsidR="002F31E7" w:rsidRPr="005F2681">
        <w:rPr>
          <w:rFonts w:ascii="Arial" w:hAnsi="Arial" w:cs="Arial"/>
          <w:bCs/>
          <w:i/>
          <w:color w:val="000000" w:themeColor="text1"/>
          <w:sz w:val="24"/>
          <w:szCs w:val="24"/>
        </w:rPr>
        <w:t>quo</w:t>
      </w:r>
      <w:r w:rsidR="002F31E7" w:rsidRPr="004D7A44">
        <w:rPr>
          <w:rFonts w:ascii="Arial" w:hAnsi="Arial" w:cs="Arial"/>
          <w:bCs/>
          <w:color w:val="000000" w:themeColor="text1"/>
          <w:sz w:val="24"/>
          <w:szCs w:val="24"/>
        </w:rPr>
        <w:t xml:space="preserve"> </w:t>
      </w:r>
      <w:r w:rsidR="002C7075" w:rsidRPr="004D7A44">
        <w:rPr>
          <w:rFonts w:ascii="Arial" w:hAnsi="Arial" w:cs="Arial"/>
          <w:bCs/>
          <w:color w:val="000000" w:themeColor="text1"/>
          <w:sz w:val="24"/>
          <w:szCs w:val="24"/>
        </w:rPr>
        <w:t xml:space="preserve">set </w:t>
      </w:r>
      <w:r w:rsidR="005B586B">
        <w:rPr>
          <w:rFonts w:ascii="Arial" w:hAnsi="Arial" w:cs="Arial"/>
          <w:bCs/>
          <w:color w:val="000000" w:themeColor="text1"/>
          <w:sz w:val="24"/>
          <w:szCs w:val="24"/>
        </w:rPr>
        <w:t xml:space="preserve">it </w:t>
      </w:r>
      <w:r w:rsidR="002C7075" w:rsidRPr="004D7A44">
        <w:rPr>
          <w:rFonts w:ascii="Arial" w:hAnsi="Arial" w:cs="Arial"/>
          <w:bCs/>
          <w:color w:val="000000" w:themeColor="text1"/>
          <w:sz w:val="24"/>
          <w:szCs w:val="24"/>
        </w:rPr>
        <w:t>aside</w:t>
      </w:r>
      <w:r w:rsidR="005B586B">
        <w:rPr>
          <w:rFonts w:ascii="Arial" w:hAnsi="Arial" w:cs="Arial"/>
          <w:bCs/>
          <w:color w:val="000000" w:themeColor="text1"/>
          <w:sz w:val="24"/>
          <w:szCs w:val="24"/>
        </w:rPr>
        <w:t>.</w:t>
      </w:r>
      <w:r w:rsidR="002C7075" w:rsidRPr="004D7A44">
        <w:rPr>
          <w:rFonts w:ascii="Arial" w:hAnsi="Arial" w:cs="Arial"/>
          <w:bCs/>
          <w:color w:val="000000" w:themeColor="text1"/>
          <w:sz w:val="24"/>
          <w:szCs w:val="24"/>
        </w:rPr>
        <w:t xml:space="preserve"> </w:t>
      </w:r>
      <w:r w:rsidR="00837BA7" w:rsidRPr="004D7A44">
        <w:rPr>
          <w:rFonts w:ascii="Arial" w:hAnsi="Arial" w:cs="Arial"/>
          <w:bCs/>
          <w:color w:val="000000" w:themeColor="text1"/>
          <w:sz w:val="24"/>
          <w:szCs w:val="24"/>
        </w:rPr>
        <w:t>T</w:t>
      </w:r>
      <w:r w:rsidR="00E127F2" w:rsidRPr="004D7A44">
        <w:rPr>
          <w:rFonts w:ascii="Arial" w:hAnsi="Arial" w:cs="Arial"/>
          <w:bCs/>
          <w:color w:val="000000" w:themeColor="text1"/>
          <w:sz w:val="24"/>
          <w:szCs w:val="24"/>
        </w:rPr>
        <w:t>he appeal must therefore succeed</w:t>
      </w:r>
      <w:r w:rsidR="008F3603" w:rsidRPr="004D7A44">
        <w:rPr>
          <w:rFonts w:ascii="Arial" w:hAnsi="Arial" w:cs="Arial"/>
          <w:bCs/>
          <w:color w:val="000000" w:themeColor="text1"/>
          <w:sz w:val="24"/>
          <w:szCs w:val="24"/>
        </w:rPr>
        <w:t>.</w:t>
      </w:r>
    </w:p>
    <w:p w:rsidR="005F2681" w:rsidRPr="004D7A44" w:rsidRDefault="005F2681" w:rsidP="000027C2">
      <w:pPr>
        <w:pStyle w:val="ListParagraph"/>
        <w:spacing w:after="0" w:line="480" w:lineRule="auto"/>
        <w:ind w:left="0"/>
        <w:jc w:val="both"/>
        <w:rPr>
          <w:rFonts w:ascii="Arial" w:hAnsi="Arial" w:cs="Arial"/>
          <w:bCs/>
          <w:color w:val="000000" w:themeColor="text1"/>
          <w:sz w:val="24"/>
          <w:szCs w:val="24"/>
        </w:rPr>
      </w:pPr>
    </w:p>
    <w:p w:rsidR="00145D44" w:rsidRPr="004D7A44" w:rsidRDefault="00EF5C78" w:rsidP="000027C2">
      <w:pPr>
        <w:pStyle w:val="ListParagraph"/>
        <w:numPr>
          <w:ilvl w:val="0"/>
          <w:numId w:val="21"/>
        </w:numPr>
        <w:spacing w:after="0" w:line="480" w:lineRule="auto"/>
        <w:ind w:left="0" w:firstLine="0"/>
        <w:jc w:val="both"/>
        <w:rPr>
          <w:rFonts w:ascii="Arial" w:hAnsi="Arial" w:cs="Arial"/>
          <w:bCs/>
          <w:color w:val="000000" w:themeColor="text1"/>
          <w:sz w:val="24"/>
          <w:szCs w:val="24"/>
        </w:rPr>
      </w:pPr>
      <w:r w:rsidRPr="004D7A44">
        <w:rPr>
          <w:rFonts w:ascii="Arial" w:hAnsi="Arial" w:cs="Arial"/>
          <w:bCs/>
          <w:color w:val="000000" w:themeColor="text1"/>
          <w:sz w:val="24"/>
          <w:szCs w:val="24"/>
        </w:rPr>
        <w:lastRenderedPageBreak/>
        <w:t xml:space="preserve">The appellants have achieved success and are entitled to their costs in the appeal. </w:t>
      </w:r>
      <w:r w:rsidR="001C2662" w:rsidRPr="004D7A44">
        <w:rPr>
          <w:rFonts w:ascii="Arial" w:hAnsi="Arial" w:cs="Arial"/>
          <w:bCs/>
          <w:color w:val="000000" w:themeColor="text1"/>
          <w:sz w:val="24"/>
          <w:szCs w:val="24"/>
        </w:rPr>
        <w:t xml:space="preserve">However, </w:t>
      </w:r>
      <w:r w:rsidR="005B586B">
        <w:rPr>
          <w:rFonts w:ascii="Arial" w:hAnsi="Arial" w:cs="Arial"/>
          <w:bCs/>
          <w:color w:val="000000" w:themeColor="text1"/>
          <w:sz w:val="24"/>
          <w:szCs w:val="24"/>
        </w:rPr>
        <w:t xml:space="preserve">the appellants have not set up a proper basis </w:t>
      </w:r>
      <w:r w:rsidRPr="004D7A44">
        <w:rPr>
          <w:rFonts w:ascii="Arial" w:hAnsi="Arial" w:cs="Arial"/>
          <w:bCs/>
          <w:color w:val="000000" w:themeColor="text1"/>
          <w:sz w:val="24"/>
          <w:szCs w:val="24"/>
        </w:rPr>
        <w:t>why the</w:t>
      </w:r>
      <w:r w:rsidR="005B586B">
        <w:rPr>
          <w:rFonts w:ascii="Arial" w:hAnsi="Arial" w:cs="Arial"/>
          <w:bCs/>
          <w:color w:val="000000" w:themeColor="text1"/>
          <w:sz w:val="24"/>
          <w:szCs w:val="24"/>
        </w:rPr>
        <w:t>y</w:t>
      </w:r>
      <w:r w:rsidRPr="004D7A44">
        <w:rPr>
          <w:rFonts w:ascii="Arial" w:hAnsi="Arial" w:cs="Arial"/>
          <w:bCs/>
          <w:color w:val="000000" w:themeColor="text1"/>
          <w:sz w:val="24"/>
          <w:szCs w:val="24"/>
        </w:rPr>
        <w:t xml:space="preserve"> should be granted costs of two instructed counsel.</w:t>
      </w:r>
    </w:p>
    <w:p w:rsidR="00DB2E13" w:rsidRDefault="00DB2E13">
      <w:pPr>
        <w:rPr>
          <w:rFonts w:ascii="Arial" w:hAnsi="Arial" w:cs="Arial"/>
          <w:bCs/>
          <w:color w:val="000000" w:themeColor="text1"/>
          <w:sz w:val="24"/>
          <w:szCs w:val="24"/>
          <w:u w:val="single"/>
        </w:rPr>
      </w:pPr>
      <w:r>
        <w:rPr>
          <w:rFonts w:ascii="Arial" w:hAnsi="Arial" w:cs="Arial"/>
          <w:bCs/>
          <w:color w:val="000000" w:themeColor="text1"/>
          <w:sz w:val="24"/>
          <w:szCs w:val="24"/>
          <w:u w:val="single"/>
        </w:rPr>
        <w:br w:type="page"/>
      </w:r>
    </w:p>
    <w:p w:rsidR="00145D44" w:rsidRPr="004D7A44" w:rsidRDefault="00145D44" w:rsidP="000027C2">
      <w:pPr>
        <w:pStyle w:val="ListParagraph"/>
        <w:spacing w:after="0" w:line="480" w:lineRule="auto"/>
        <w:ind w:left="0"/>
        <w:jc w:val="both"/>
        <w:rPr>
          <w:rFonts w:ascii="Arial" w:hAnsi="Arial" w:cs="Arial"/>
          <w:bCs/>
          <w:color w:val="000000" w:themeColor="text1"/>
          <w:sz w:val="24"/>
          <w:szCs w:val="24"/>
          <w:u w:val="single"/>
        </w:rPr>
      </w:pPr>
      <w:r w:rsidRPr="004D7A44">
        <w:rPr>
          <w:rFonts w:ascii="Arial" w:hAnsi="Arial" w:cs="Arial"/>
          <w:bCs/>
          <w:color w:val="000000" w:themeColor="text1"/>
          <w:sz w:val="24"/>
          <w:szCs w:val="24"/>
          <w:u w:val="single"/>
        </w:rPr>
        <w:lastRenderedPageBreak/>
        <w:t>The order</w:t>
      </w:r>
    </w:p>
    <w:p w:rsidR="00EF5C78" w:rsidRDefault="00EF5C78" w:rsidP="000027C2">
      <w:pPr>
        <w:pStyle w:val="ListParagraph"/>
        <w:numPr>
          <w:ilvl w:val="0"/>
          <w:numId w:val="21"/>
        </w:numPr>
        <w:spacing w:after="0" w:line="480" w:lineRule="auto"/>
        <w:ind w:left="0" w:firstLine="0"/>
        <w:jc w:val="both"/>
        <w:rPr>
          <w:rFonts w:ascii="Arial" w:hAnsi="Arial" w:cs="Arial"/>
          <w:bCs/>
          <w:color w:val="000000" w:themeColor="text1"/>
          <w:sz w:val="24"/>
          <w:szCs w:val="24"/>
        </w:rPr>
      </w:pPr>
      <w:r w:rsidRPr="004D7A44">
        <w:rPr>
          <w:rFonts w:ascii="Arial" w:hAnsi="Arial" w:cs="Arial"/>
          <w:bCs/>
          <w:color w:val="000000" w:themeColor="text1"/>
          <w:sz w:val="24"/>
          <w:szCs w:val="24"/>
        </w:rPr>
        <w:t xml:space="preserve">I therefore </w:t>
      </w:r>
      <w:r w:rsidR="00F27DC4">
        <w:rPr>
          <w:rFonts w:ascii="Arial" w:hAnsi="Arial" w:cs="Arial"/>
          <w:bCs/>
          <w:color w:val="000000" w:themeColor="text1"/>
          <w:sz w:val="24"/>
          <w:szCs w:val="24"/>
        </w:rPr>
        <w:t>make</w:t>
      </w:r>
      <w:r w:rsidRPr="004D7A44">
        <w:rPr>
          <w:rFonts w:ascii="Arial" w:hAnsi="Arial" w:cs="Arial"/>
          <w:bCs/>
          <w:color w:val="000000" w:themeColor="text1"/>
          <w:sz w:val="24"/>
          <w:szCs w:val="24"/>
        </w:rPr>
        <w:t xml:space="preserve"> the following order:</w:t>
      </w:r>
    </w:p>
    <w:p w:rsidR="005F2681" w:rsidRPr="004D7A44" w:rsidRDefault="005F2681" w:rsidP="00BB428D">
      <w:pPr>
        <w:pStyle w:val="ListParagraph"/>
        <w:spacing w:after="0" w:line="480" w:lineRule="auto"/>
        <w:ind w:left="0"/>
        <w:jc w:val="both"/>
        <w:rPr>
          <w:rFonts w:ascii="Arial" w:hAnsi="Arial" w:cs="Arial"/>
          <w:bCs/>
          <w:color w:val="000000" w:themeColor="text1"/>
          <w:sz w:val="24"/>
          <w:szCs w:val="24"/>
        </w:rPr>
      </w:pPr>
    </w:p>
    <w:p w:rsidR="00EF5C78" w:rsidRDefault="00EF5C78" w:rsidP="0021530A">
      <w:pPr>
        <w:pStyle w:val="ListParagraph"/>
        <w:numPr>
          <w:ilvl w:val="0"/>
          <w:numId w:val="17"/>
        </w:numPr>
        <w:spacing w:after="0" w:line="480" w:lineRule="auto"/>
        <w:jc w:val="both"/>
        <w:rPr>
          <w:rFonts w:ascii="Arial" w:hAnsi="Arial" w:cs="Arial"/>
          <w:bCs/>
          <w:color w:val="000000" w:themeColor="text1"/>
          <w:sz w:val="24"/>
          <w:szCs w:val="24"/>
        </w:rPr>
      </w:pPr>
      <w:r w:rsidRPr="004D7A44">
        <w:rPr>
          <w:rFonts w:ascii="Arial" w:hAnsi="Arial" w:cs="Arial"/>
          <w:bCs/>
          <w:color w:val="000000" w:themeColor="text1"/>
          <w:sz w:val="24"/>
          <w:szCs w:val="24"/>
        </w:rPr>
        <w:t>The appeal succeeds and the order of the High Court substituted for the following order:</w:t>
      </w:r>
    </w:p>
    <w:p w:rsidR="0021530A" w:rsidRPr="004D7A44" w:rsidRDefault="0021530A" w:rsidP="0021530A">
      <w:pPr>
        <w:pStyle w:val="ListParagraph"/>
        <w:spacing w:after="0" w:line="480" w:lineRule="auto"/>
        <w:jc w:val="both"/>
        <w:rPr>
          <w:rFonts w:ascii="Arial" w:hAnsi="Arial" w:cs="Arial"/>
          <w:bCs/>
          <w:color w:val="000000" w:themeColor="text1"/>
          <w:sz w:val="24"/>
          <w:szCs w:val="24"/>
        </w:rPr>
      </w:pPr>
    </w:p>
    <w:p w:rsidR="00EF5C78" w:rsidRDefault="00F27DC4" w:rsidP="0021530A">
      <w:pPr>
        <w:pStyle w:val="ListParagraph"/>
        <w:spacing w:after="0" w:line="480" w:lineRule="auto"/>
        <w:jc w:val="both"/>
        <w:rPr>
          <w:rFonts w:ascii="Arial" w:hAnsi="Arial" w:cs="Arial"/>
          <w:bCs/>
          <w:color w:val="000000" w:themeColor="text1"/>
          <w:sz w:val="24"/>
          <w:szCs w:val="24"/>
        </w:rPr>
      </w:pPr>
      <w:r>
        <w:rPr>
          <w:rFonts w:ascii="Arial" w:hAnsi="Arial" w:cs="Arial"/>
          <w:bCs/>
          <w:color w:val="000000" w:themeColor="text1"/>
          <w:sz w:val="24"/>
          <w:szCs w:val="24"/>
        </w:rPr>
        <w:t>‘</w:t>
      </w:r>
      <w:r w:rsidR="00EF5C78" w:rsidRPr="004D7A44">
        <w:rPr>
          <w:rFonts w:ascii="Arial" w:hAnsi="Arial" w:cs="Arial"/>
          <w:bCs/>
          <w:color w:val="000000" w:themeColor="text1"/>
          <w:sz w:val="24"/>
          <w:szCs w:val="24"/>
        </w:rPr>
        <w:t xml:space="preserve">1. </w:t>
      </w:r>
      <w:r w:rsidR="005F2681">
        <w:rPr>
          <w:rFonts w:ascii="Arial" w:hAnsi="Arial" w:cs="Arial"/>
          <w:bCs/>
          <w:color w:val="000000" w:themeColor="text1"/>
          <w:sz w:val="24"/>
          <w:szCs w:val="24"/>
        </w:rPr>
        <w:tab/>
      </w:r>
      <w:r w:rsidR="00EF5C78" w:rsidRPr="004D7A44">
        <w:rPr>
          <w:rFonts w:ascii="Arial" w:hAnsi="Arial" w:cs="Arial"/>
          <w:bCs/>
          <w:color w:val="000000" w:themeColor="text1"/>
          <w:sz w:val="24"/>
          <w:szCs w:val="24"/>
        </w:rPr>
        <w:t>The application is dismissed.</w:t>
      </w:r>
    </w:p>
    <w:p w:rsidR="0042022F" w:rsidRPr="004D7A44" w:rsidRDefault="0042022F" w:rsidP="0021530A">
      <w:pPr>
        <w:pStyle w:val="ListParagraph"/>
        <w:spacing w:after="0" w:line="480" w:lineRule="auto"/>
        <w:jc w:val="both"/>
        <w:rPr>
          <w:rFonts w:ascii="Arial" w:hAnsi="Arial" w:cs="Arial"/>
          <w:bCs/>
          <w:color w:val="000000" w:themeColor="text1"/>
          <w:sz w:val="24"/>
          <w:szCs w:val="24"/>
        </w:rPr>
      </w:pPr>
    </w:p>
    <w:p w:rsidR="00EF5C78" w:rsidRDefault="00EF5C78" w:rsidP="0021530A">
      <w:pPr>
        <w:pStyle w:val="ListParagraph"/>
        <w:numPr>
          <w:ilvl w:val="0"/>
          <w:numId w:val="17"/>
        </w:numPr>
        <w:spacing w:after="0" w:line="480" w:lineRule="auto"/>
        <w:ind w:left="1560" w:hanging="709"/>
        <w:jc w:val="both"/>
        <w:rPr>
          <w:rFonts w:ascii="Arial" w:hAnsi="Arial" w:cs="Arial"/>
          <w:bCs/>
          <w:color w:val="000000" w:themeColor="text1"/>
          <w:sz w:val="24"/>
          <w:szCs w:val="24"/>
        </w:rPr>
      </w:pPr>
      <w:r w:rsidRPr="004D7A44">
        <w:rPr>
          <w:rFonts w:ascii="Arial" w:hAnsi="Arial" w:cs="Arial"/>
          <w:bCs/>
          <w:color w:val="000000" w:themeColor="text1"/>
          <w:sz w:val="24"/>
          <w:szCs w:val="24"/>
        </w:rPr>
        <w:t xml:space="preserve">The </w:t>
      </w:r>
      <w:r w:rsidR="00F27DC4">
        <w:rPr>
          <w:rFonts w:ascii="Arial" w:hAnsi="Arial" w:cs="Arial"/>
          <w:bCs/>
          <w:color w:val="000000" w:themeColor="text1"/>
          <w:sz w:val="24"/>
          <w:szCs w:val="24"/>
        </w:rPr>
        <w:t>first</w:t>
      </w:r>
      <w:r w:rsidR="00D432CE">
        <w:rPr>
          <w:rFonts w:ascii="Arial" w:hAnsi="Arial" w:cs="Arial"/>
          <w:bCs/>
          <w:color w:val="000000" w:themeColor="text1"/>
          <w:sz w:val="24"/>
          <w:szCs w:val="24"/>
        </w:rPr>
        <w:t xml:space="preserve"> </w:t>
      </w:r>
      <w:r w:rsidRPr="004D7A44">
        <w:rPr>
          <w:rFonts w:ascii="Arial" w:hAnsi="Arial" w:cs="Arial"/>
          <w:bCs/>
          <w:color w:val="000000" w:themeColor="text1"/>
          <w:sz w:val="24"/>
          <w:szCs w:val="24"/>
        </w:rPr>
        <w:t xml:space="preserve">and </w:t>
      </w:r>
      <w:r w:rsidR="00F27DC4">
        <w:rPr>
          <w:rFonts w:ascii="Arial" w:hAnsi="Arial" w:cs="Arial"/>
          <w:bCs/>
          <w:color w:val="000000" w:themeColor="text1"/>
          <w:sz w:val="24"/>
          <w:szCs w:val="24"/>
        </w:rPr>
        <w:t>second</w:t>
      </w:r>
      <w:r w:rsidR="00D432CE">
        <w:rPr>
          <w:rFonts w:ascii="Arial" w:hAnsi="Arial" w:cs="Arial"/>
          <w:bCs/>
          <w:color w:val="000000" w:themeColor="text1"/>
          <w:sz w:val="24"/>
          <w:szCs w:val="24"/>
        </w:rPr>
        <w:t xml:space="preserve"> </w:t>
      </w:r>
      <w:r w:rsidRPr="004D7A44">
        <w:rPr>
          <w:rFonts w:ascii="Arial" w:hAnsi="Arial" w:cs="Arial"/>
          <w:bCs/>
          <w:color w:val="000000" w:themeColor="text1"/>
          <w:sz w:val="24"/>
          <w:szCs w:val="24"/>
        </w:rPr>
        <w:t xml:space="preserve">respondents are awarded costs against </w:t>
      </w:r>
      <w:r w:rsidR="00F27DC4">
        <w:rPr>
          <w:rFonts w:ascii="Arial" w:hAnsi="Arial" w:cs="Arial"/>
          <w:bCs/>
          <w:color w:val="000000" w:themeColor="text1"/>
          <w:sz w:val="24"/>
          <w:szCs w:val="24"/>
        </w:rPr>
        <w:t>first</w:t>
      </w:r>
      <w:r w:rsidR="00D432CE">
        <w:rPr>
          <w:rFonts w:ascii="Arial" w:hAnsi="Arial" w:cs="Arial"/>
          <w:bCs/>
          <w:color w:val="000000" w:themeColor="text1"/>
          <w:sz w:val="24"/>
          <w:szCs w:val="24"/>
        </w:rPr>
        <w:t xml:space="preserve">, </w:t>
      </w:r>
      <w:r w:rsidR="00F27DC4">
        <w:rPr>
          <w:rFonts w:ascii="Arial" w:hAnsi="Arial" w:cs="Arial"/>
          <w:bCs/>
          <w:color w:val="000000" w:themeColor="text1"/>
          <w:sz w:val="24"/>
          <w:szCs w:val="24"/>
        </w:rPr>
        <w:t>second</w:t>
      </w:r>
      <w:r w:rsidR="00D432CE">
        <w:rPr>
          <w:rFonts w:ascii="Arial" w:hAnsi="Arial" w:cs="Arial"/>
          <w:bCs/>
          <w:color w:val="000000" w:themeColor="text1"/>
          <w:sz w:val="24"/>
          <w:szCs w:val="24"/>
        </w:rPr>
        <w:t xml:space="preserve"> and </w:t>
      </w:r>
      <w:r w:rsidR="00F27DC4">
        <w:rPr>
          <w:rFonts w:ascii="Arial" w:hAnsi="Arial" w:cs="Arial"/>
          <w:bCs/>
          <w:color w:val="000000" w:themeColor="text1"/>
          <w:sz w:val="24"/>
          <w:szCs w:val="24"/>
        </w:rPr>
        <w:t>third</w:t>
      </w:r>
      <w:r w:rsidR="00D432CE">
        <w:rPr>
          <w:rFonts w:ascii="Arial" w:hAnsi="Arial" w:cs="Arial"/>
          <w:bCs/>
          <w:color w:val="000000" w:themeColor="text1"/>
          <w:sz w:val="24"/>
          <w:szCs w:val="24"/>
        </w:rPr>
        <w:t xml:space="preserve"> </w:t>
      </w:r>
      <w:r w:rsidRPr="004D7A44">
        <w:rPr>
          <w:rFonts w:ascii="Arial" w:hAnsi="Arial" w:cs="Arial"/>
          <w:bCs/>
          <w:color w:val="000000" w:themeColor="text1"/>
          <w:sz w:val="24"/>
          <w:szCs w:val="24"/>
        </w:rPr>
        <w:t>applicants, jointly and severally</w:t>
      </w:r>
      <w:r w:rsidR="001C6283">
        <w:rPr>
          <w:rFonts w:ascii="Arial" w:hAnsi="Arial" w:cs="Arial"/>
          <w:bCs/>
          <w:color w:val="000000" w:themeColor="text1"/>
          <w:sz w:val="24"/>
          <w:szCs w:val="24"/>
        </w:rPr>
        <w:t>,</w:t>
      </w:r>
      <w:r w:rsidR="00CF52FA" w:rsidRPr="004D7A44">
        <w:rPr>
          <w:rFonts w:ascii="Arial" w:hAnsi="Arial" w:cs="Arial"/>
          <w:bCs/>
          <w:color w:val="000000" w:themeColor="text1"/>
          <w:sz w:val="24"/>
          <w:szCs w:val="24"/>
        </w:rPr>
        <w:t xml:space="preserve"> the one paying the other to be absolved, </w:t>
      </w:r>
      <w:r w:rsidRPr="004D7A44">
        <w:rPr>
          <w:rFonts w:ascii="Arial" w:hAnsi="Arial" w:cs="Arial"/>
          <w:bCs/>
          <w:color w:val="000000" w:themeColor="text1"/>
          <w:sz w:val="24"/>
          <w:szCs w:val="24"/>
        </w:rPr>
        <w:t xml:space="preserve">to include the costs of </w:t>
      </w:r>
      <w:r w:rsidR="00CF52FA" w:rsidRPr="004D7A44">
        <w:rPr>
          <w:rFonts w:ascii="Arial" w:hAnsi="Arial" w:cs="Arial"/>
          <w:bCs/>
          <w:color w:val="000000" w:themeColor="text1"/>
          <w:sz w:val="24"/>
          <w:szCs w:val="24"/>
        </w:rPr>
        <w:t>one instructing</w:t>
      </w:r>
      <w:r w:rsidRPr="004D7A44">
        <w:rPr>
          <w:rFonts w:ascii="Arial" w:hAnsi="Arial" w:cs="Arial"/>
          <w:bCs/>
          <w:color w:val="000000" w:themeColor="text1"/>
          <w:sz w:val="24"/>
          <w:szCs w:val="24"/>
        </w:rPr>
        <w:t xml:space="preserve"> counsel.</w:t>
      </w:r>
      <w:r w:rsidR="004F230E">
        <w:rPr>
          <w:rFonts w:ascii="Arial" w:hAnsi="Arial" w:cs="Arial"/>
          <w:bCs/>
          <w:color w:val="000000" w:themeColor="text1"/>
          <w:sz w:val="24"/>
          <w:szCs w:val="24"/>
        </w:rPr>
        <w:t>'</w:t>
      </w:r>
    </w:p>
    <w:p w:rsidR="005F2681" w:rsidRDefault="005F2681" w:rsidP="0021530A">
      <w:pPr>
        <w:pStyle w:val="ListParagraph"/>
        <w:spacing w:after="0" w:line="480" w:lineRule="auto"/>
        <w:jc w:val="both"/>
        <w:rPr>
          <w:rFonts w:ascii="Arial" w:hAnsi="Arial" w:cs="Arial"/>
          <w:bCs/>
          <w:color w:val="000000" w:themeColor="text1"/>
          <w:sz w:val="24"/>
          <w:szCs w:val="24"/>
        </w:rPr>
      </w:pPr>
    </w:p>
    <w:p w:rsidR="00EF5C78" w:rsidRPr="005F2681" w:rsidRDefault="00EF5C78" w:rsidP="0021530A">
      <w:pPr>
        <w:pStyle w:val="ListParagraph"/>
        <w:numPr>
          <w:ilvl w:val="0"/>
          <w:numId w:val="18"/>
        </w:numPr>
        <w:spacing w:after="0" w:line="480" w:lineRule="auto"/>
        <w:ind w:left="709" w:hanging="283"/>
        <w:jc w:val="both"/>
        <w:rPr>
          <w:rFonts w:ascii="Arial" w:hAnsi="Arial" w:cs="Arial"/>
          <w:bCs/>
          <w:color w:val="000000" w:themeColor="text1"/>
          <w:sz w:val="24"/>
          <w:szCs w:val="24"/>
        </w:rPr>
      </w:pPr>
      <w:r w:rsidRPr="005F2681">
        <w:rPr>
          <w:rFonts w:ascii="Arial" w:hAnsi="Arial" w:cs="Arial"/>
          <w:bCs/>
          <w:color w:val="000000" w:themeColor="text1"/>
          <w:sz w:val="24"/>
          <w:szCs w:val="24"/>
        </w:rPr>
        <w:t xml:space="preserve">The </w:t>
      </w:r>
      <w:r w:rsidR="00F27DC4">
        <w:rPr>
          <w:rFonts w:ascii="Arial" w:hAnsi="Arial" w:cs="Arial"/>
          <w:bCs/>
          <w:color w:val="000000" w:themeColor="text1"/>
          <w:sz w:val="24"/>
          <w:szCs w:val="24"/>
        </w:rPr>
        <w:t>first</w:t>
      </w:r>
      <w:r w:rsidR="00D432CE">
        <w:rPr>
          <w:rFonts w:ascii="Arial" w:hAnsi="Arial" w:cs="Arial"/>
          <w:bCs/>
          <w:color w:val="000000" w:themeColor="text1"/>
          <w:sz w:val="24"/>
          <w:szCs w:val="24"/>
        </w:rPr>
        <w:t xml:space="preserve"> and </w:t>
      </w:r>
      <w:r w:rsidR="00F27DC4">
        <w:rPr>
          <w:rFonts w:ascii="Arial" w:hAnsi="Arial" w:cs="Arial"/>
          <w:bCs/>
          <w:color w:val="000000" w:themeColor="text1"/>
          <w:sz w:val="24"/>
          <w:szCs w:val="24"/>
        </w:rPr>
        <w:t>second</w:t>
      </w:r>
      <w:r w:rsidR="00D432CE">
        <w:rPr>
          <w:rFonts w:ascii="Arial" w:hAnsi="Arial" w:cs="Arial"/>
          <w:bCs/>
          <w:color w:val="000000" w:themeColor="text1"/>
          <w:sz w:val="24"/>
          <w:szCs w:val="24"/>
        </w:rPr>
        <w:t xml:space="preserve"> </w:t>
      </w:r>
      <w:r w:rsidRPr="005F2681">
        <w:rPr>
          <w:rFonts w:ascii="Arial" w:hAnsi="Arial" w:cs="Arial"/>
          <w:bCs/>
          <w:color w:val="000000" w:themeColor="text1"/>
          <w:sz w:val="24"/>
          <w:szCs w:val="24"/>
        </w:rPr>
        <w:t xml:space="preserve">appellants are granted costs of appeal against </w:t>
      </w:r>
      <w:r w:rsidR="00F27DC4">
        <w:rPr>
          <w:rFonts w:ascii="Arial" w:hAnsi="Arial" w:cs="Arial"/>
          <w:bCs/>
          <w:color w:val="000000" w:themeColor="text1"/>
          <w:sz w:val="24"/>
          <w:szCs w:val="24"/>
        </w:rPr>
        <w:t>first</w:t>
      </w:r>
      <w:r w:rsidR="00D432CE">
        <w:rPr>
          <w:rFonts w:ascii="Arial" w:hAnsi="Arial" w:cs="Arial"/>
          <w:bCs/>
          <w:color w:val="000000" w:themeColor="text1"/>
          <w:sz w:val="24"/>
          <w:szCs w:val="24"/>
        </w:rPr>
        <w:t xml:space="preserve">, </w:t>
      </w:r>
      <w:r w:rsidR="00F27DC4">
        <w:rPr>
          <w:rFonts w:ascii="Arial" w:hAnsi="Arial" w:cs="Arial"/>
          <w:bCs/>
          <w:color w:val="000000" w:themeColor="text1"/>
          <w:sz w:val="24"/>
          <w:szCs w:val="24"/>
        </w:rPr>
        <w:t>second</w:t>
      </w:r>
      <w:r w:rsidR="00D432CE">
        <w:rPr>
          <w:rFonts w:ascii="Arial" w:hAnsi="Arial" w:cs="Arial"/>
          <w:bCs/>
          <w:color w:val="000000" w:themeColor="text1"/>
          <w:sz w:val="24"/>
          <w:szCs w:val="24"/>
        </w:rPr>
        <w:t xml:space="preserve"> and </w:t>
      </w:r>
      <w:r w:rsidR="00F27DC4">
        <w:rPr>
          <w:rFonts w:ascii="Arial" w:hAnsi="Arial" w:cs="Arial"/>
          <w:bCs/>
          <w:color w:val="000000" w:themeColor="text1"/>
          <w:sz w:val="24"/>
          <w:szCs w:val="24"/>
        </w:rPr>
        <w:t>third</w:t>
      </w:r>
      <w:r w:rsidR="00D432CE">
        <w:rPr>
          <w:rFonts w:ascii="Arial" w:hAnsi="Arial" w:cs="Arial"/>
          <w:bCs/>
          <w:color w:val="000000" w:themeColor="text1"/>
          <w:sz w:val="24"/>
          <w:szCs w:val="24"/>
        </w:rPr>
        <w:t xml:space="preserve"> </w:t>
      </w:r>
      <w:r w:rsidRPr="005F2681">
        <w:rPr>
          <w:rFonts w:ascii="Arial" w:hAnsi="Arial" w:cs="Arial"/>
          <w:bCs/>
          <w:color w:val="000000" w:themeColor="text1"/>
          <w:sz w:val="24"/>
          <w:szCs w:val="24"/>
        </w:rPr>
        <w:t>respondents, jointl</w:t>
      </w:r>
      <w:r w:rsidR="001C6283">
        <w:rPr>
          <w:rFonts w:ascii="Arial" w:hAnsi="Arial" w:cs="Arial"/>
          <w:bCs/>
          <w:color w:val="000000" w:themeColor="text1"/>
          <w:sz w:val="24"/>
          <w:szCs w:val="24"/>
        </w:rPr>
        <w:t>y and severally, the one paying</w:t>
      </w:r>
      <w:r w:rsidRPr="005F2681">
        <w:rPr>
          <w:rFonts w:ascii="Arial" w:hAnsi="Arial" w:cs="Arial"/>
          <w:bCs/>
          <w:color w:val="000000" w:themeColor="text1"/>
          <w:sz w:val="24"/>
          <w:szCs w:val="24"/>
        </w:rPr>
        <w:t xml:space="preserve"> the other to be absolved, to include costs consequent upon the employment of one instructing and one instructed counsel.</w:t>
      </w:r>
    </w:p>
    <w:p w:rsidR="00C90EFB" w:rsidRDefault="00C90EFB" w:rsidP="00BB428D">
      <w:pPr>
        <w:pStyle w:val="ListParagraph"/>
        <w:spacing w:after="0" w:line="480" w:lineRule="auto"/>
        <w:ind w:left="0"/>
        <w:jc w:val="both"/>
        <w:rPr>
          <w:rFonts w:ascii="Arial" w:hAnsi="Arial" w:cs="Arial"/>
          <w:bCs/>
          <w:color w:val="000000" w:themeColor="text1"/>
          <w:sz w:val="24"/>
          <w:szCs w:val="24"/>
          <w:u w:val="single"/>
        </w:rPr>
      </w:pPr>
    </w:p>
    <w:p w:rsidR="00896536" w:rsidRDefault="00896536" w:rsidP="00BB428D">
      <w:pPr>
        <w:pStyle w:val="ListParagraph"/>
        <w:spacing w:after="0" w:line="480" w:lineRule="auto"/>
        <w:ind w:left="0"/>
        <w:jc w:val="both"/>
        <w:rPr>
          <w:rFonts w:ascii="Arial" w:hAnsi="Arial" w:cs="Arial"/>
          <w:bCs/>
          <w:color w:val="000000" w:themeColor="text1"/>
          <w:sz w:val="24"/>
          <w:szCs w:val="24"/>
          <w:u w:val="single"/>
        </w:rPr>
      </w:pPr>
    </w:p>
    <w:p w:rsidR="00EE7875" w:rsidRPr="004D7A44" w:rsidRDefault="00EE7875" w:rsidP="00896536">
      <w:pPr>
        <w:pStyle w:val="ListParagraph"/>
        <w:spacing w:after="0" w:line="240" w:lineRule="auto"/>
        <w:ind w:left="0"/>
        <w:jc w:val="both"/>
        <w:rPr>
          <w:rFonts w:ascii="Arial" w:hAnsi="Arial" w:cs="Arial"/>
          <w:bCs/>
          <w:color w:val="000000" w:themeColor="text1"/>
          <w:sz w:val="24"/>
          <w:szCs w:val="24"/>
        </w:rPr>
      </w:pPr>
      <w:r w:rsidRPr="004D7A44">
        <w:rPr>
          <w:rFonts w:ascii="Arial" w:hAnsi="Arial" w:cs="Arial"/>
          <w:bCs/>
          <w:color w:val="000000" w:themeColor="text1"/>
          <w:sz w:val="24"/>
          <w:szCs w:val="24"/>
        </w:rPr>
        <w:t>________________________</w:t>
      </w:r>
    </w:p>
    <w:p w:rsidR="00EE7875" w:rsidRPr="004D7A44" w:rsidRDefault="00EE7875" w:rsidP="00896536">
      <w:pPr>
        <w:pStyle w:val="ListParagraph"/>
        <w:spacing w:after="0" w:line="240" w:lineRule="auto"/>
        <w:ind w:left="0"/>
        <w:jc w:val="both"/>
        <w:outlineLvl w:val="0"/>
        <w:rPr>
          <w:rFonts w:ascii="Arial" w:eastAsia="Calibri" w:hAnsi="Arial" w:cs="Arial"/>
          <w:b/>
          <w:color w:val="000000" w:themeColor="text1"/>
          <w:sz w:val="24"/>
          <w:szCs w:val="24"/>
          <w:lang w:val="en-US"/>
        </w:rPr>
      </w:pPr>
      <w:r w:rsidRPr="004D7A44">
        <w:rPr>
          <w:rFonts w:ascii="Arial" w:eastAsia="Calibri" w:hAnsi="Arial" w:cs="Arial"/>
          <w:b/>
          <w:color w:val="000000" w:themeColor="text1"/>
          <w:sz w:val="24"/>
          <w:szCs w:val="24"/>
          <w:lang w:val="en-US"/>
        </w:rPr>
        <w:t>DAMASEB DCJ</w:t>
      </w:r>
    </w:p>
    <w:p w:rsidR="0021530A" w:rsidRDefault="0021530A" w:rsidP="00896536">
      <w:pPr>
        <w:pStyle w:val="ListParagraph"/>
        <w:spacing w:after="0" w:line="240" w:lineRule="auto"/>
        <w:ind w:left="0"/>
        <w:jc w:val="both"/>
        <w:rPr>
          <w:rFonts w:ascii="Arial" w:eastAsia="Calibri" w:hAnsi="Arial" w:cs="Arial"/>
          <w:color w:val="000000" w:themeColor="text1"/>
          <w:sz w:val="24"/>
          <w:szCs w:val="24"/>
          <w:lang w:val="en-US"/>
        </w:rPr>
      </w:pPr>
    </w:p>
    <w:p w:rsidR="0042022F" w:rsidRPr="004D7A44" w:rsidRDefault="0042022F" w:rsidP="00896536">
      <w:pPr>
        <w:pStyle w:val="ListParagraph"/>
        <w:spacing w:after="0" w:line="240" w:lineRule="auto"/>
        <w:ind w:left="0"/>
        <w:jc w:val="both"/>
        <w:rPr>
          <w:rFonts w:ascii="Arial" w:eastAsia="Calibri" w:hAnsi="Arial" w:cs="Arial"/>
          <w:color w:val="000000" w:themeColor="text1"/>
          <w:sz w:val="24"/>
          <w:szCs w:val="24"/>
          <w:lang w:val="en-US"/>
        </w:rPr>
      </w:pPr>
    </w:p>
    <w:p w:rsidR="00F27DC4" w:rsidRDefault="00F27DC4" w:rsidP="00896536">
      <w:pPr>
        <w:pStyle w:val="ListParagraph"/>
        <w:spacing w:after="0" w:line="240" w:lineRule="auto"/>
        <w:ind w:left="0"/>
        <w:jc w:val="both"/>
        <w:rPr>
          <w:rFonts w:ascii="Arial" w:hAnsi="Arial" w:cs="Arial"/>
          <w:bCs/>
          <w:color w:val="000000" w:themeColor="text1"/>
          <w:sz w:val="24"/>
          <w:szCs w:val="24"/>
        </w:rPr>
      </w:pPr>
    </w:p>
    <w:p w:rsidR="00896536" w:rsidRDefault="00896536" w:rsidP="00896536">
      <w:pPr>
        <w:pStyle w:val="ListParagraph"/>
        <w:spacing w:after="0" w:line="240" w:lineRule="auto"/>
        <w:ind w:left="0"/>
        <w:jc w:val="both"/>
        <w:rPr>
          <w:rFonts w:ascii="Arial" w:hAnsi="Arial" w:cs="Arial"/>
          <w:bCs/>
          <w:color w:val="000000" w:themeColor="text1"/>
          <w:sz w:val="24"/>
          <w:szCs w:val="24"/>
        </w:rPr>
      </w:pPr>
    </w:p>
    <w:p w:rsidR="00EE7875" w:rsidRPr="004D7A44" w:rsidRDefault="00EE7875" w:rsidP="00896536">
      <w:pPr>
        <w:pStyle w:val="ListParagraph"/>
        <w:spacing w:after="0" w:line="240" w:lineRule="auto"/>
        <w:ind w:left="0"/>
        <w:jc w:val="both"/>
        <w:rPr>
          <w:rFonts w:ascii="Arial" w:hAnsi="Arial" w:cs="Arial"/>
          <w:bCs/>
          <w:color w:val="000000" w:themeColor="text1"/>
          <w:sz w:val="24"/>
          <w:szCs w:val="24"/>
        </w:rPr>
      </w:pPr>
      <w:r w:rsidRPr="004D7A44">
        <w:rPr>
          <w:rFonts w:ascii="Arial" w:hAnsi="Arial" w:cs="Arial"/>
          <w:bCs/>
          <w:color w:val="000000" w:themeColor="text1"/>
          <w:sz w:val="24"/>
          <w:szCs w:val="24"/>
        </w:rPr>
        <w:t>________________________</w:t>
      </w:r>
    </w:p>
    <w:p w:rsidR="00EE7875" w:rsidRPr="004D7A44" w:rsidRDefault="000F1860" w:rsidP="00896536">
      <w:pPr>
        <w:pStyle w:val="ListParagraph"/>
        <w:spacing w:after="0" w:line="240" w:lineRule="auto"/>
        <w:ind w:left="0"/>
        <w:jc w:val="both"/>
        <w:outlineLvl w:val="0"/>
        <w:rPr>
          <w:rFonts w:ascii="Arial" w:eastAsia="Calibri" w:hAnsi="Arial" w:cs="Arial"/>
          <w:b/>
          <w:color w:val="000000" w:themeColor="text1"/>
          <w:sz w:val="24"/>
          <w:szCs w:val="24"/>
          <w:lang w:val="en-US"/>
        </w:rPr>
      </w:pPr>
      <w:r w:rsidRPr="004D7A44">
        <w:rPr>
          <w:rFonts w:ascii="Arial" w:eastAsia="Calibri" w:hAnsi="Arial" w:cs="Arial"/>
          <w:b/>
          <w:color w:val="000000" w:themeColor="text1"/>
          <w:sz w:val="24"/>
          <w:szCs w:val="24"/>
          <w:lang w:val="en-US"/>
        </w:rPr>
        <w:t>SMUTS</w:t>
      </w:r>
      <w:r w:rsidR="00EE7875" w:rsidRPr="004D7A44">
        <w:rPr>
          <w:rFonts w:ascii="Arial" w:eastAsia="Calibri" w:hAnsi="Arial" w:cs="Arial"/>
          <w:b/>
          <w:color w:val="000000" w:themeColor="text1"/>
          <w:sz w:val="24"/>
          <w:szCs w:val="24"/>
          <w:lang w:val="en-US"/>
        </w:rPr>
        <w:t xml:space="preserve"> JA </w:t>
      </w:r>
    </w:p>
    <w:p w:rsidR="00EE7875" w:rsidRDefault="00EE7875" w:rsidP="00896536">
      <w:pPr>
        <w:pStyle w:val="ListParagraph"/>
        <w:spacing w:after="0" w:line="240" w:lineRule="auto"/>
        <w:ind w:left="0"/>
        <w:jc w:val="both"/>
        <w:rPr>
          <w:rFonts w:ascii="Arial" w:eastAsia="Calibri" w:hAnsi="Arial" w:cs="Arial"/>
          <w:color w:val="000000" w:themeColor="text1"/>
          <w:sz w:val="24"/>
          <w:szCs w:val="24"/>
          <w:lang w:val="en-US"/>
        </w:rPr>
      </w:pPr>
    </w:p>
    <w:p w:rsidR="00AD1244" w:rsidRDefault="00AD1244" w:rsidP="00896536">
      <w:pPr>
        <w:pStyle w:val="ListParagraph"/>
        <w:spacing w:after="0" w:line="240" w:lineRule="auto"/>
        <w:ind w:left="0"/>
        <w:jc w:val="both"/>
        <w:rPr>
          <w:rFonts w:ascii="Arial" w:eastAsia="Calibri" w:hAnsi="Arial" w:cs="Arial"/>
          <w:color w:val="000000" w:themeColor="text1"/>
          <w:sz w:val="24"/>
          <w:szCs w:val="24"/>
          <w:lang w:val="en-US"/>
        </w:rPr>
      </w:pPr>
    </w:p>
    <w:p w:rsidR="00AD1244" w:rsidRDefault="00AD1244" w:rsidP="00896536">
      <w:pPr>
        <w:pStyle w:val="ListParagraph"/>
        <w:spacing w:after="0" w:line="240" w:lineRule="auto"/>
        <w:ind w:left="0"/>
        <w:jc w:val="both"/>
        <w:rPr>
          <w:rFonts w:ascii="Arial" w:eastAsia="Calibri" w:hAnsi="Arial" w:cs="Arial"/>
          <w:color w:val="000000" w:themeColor="text1"/>
          <w:sz w:val="24"/>
          <w:szCs w:val="24"/>
          <w:lang w:val="en-US"/>
        </w:rPr>
      </w:pPr>
    </w:p>
    <w:p w:rsidR="00AD1244" w:rsidRDefault="00AD1244" w:rsidP="00896536">
      <w:pPr>
        <w:pStyle w:val="ListParagraph"/>
        <w:spacing w:after="0" w:line="240" w:lineRule="auto"/>
        <w:ind w:left="0"/>
        <w:jc w:val="both"/>
        <w:rPr>
          <w:rFonts w:ascii="Arial" w:eastAsia="Calibri" w:hAnsi="Arial" w:cs="Arial"/>
          <w:color w:val="000000" w:themeColor="text1"/>
          <w:sz w:val="24"/>
          <w:szCs w:val="24"/>
          <w:lang w:val="en-US"/>
        </w:rPr>
      </w:pPr>
    </w:p>
    <w:p w:rsidR="00EE7875" w:rsidRPr="004D7A44" w:rsidRDefault="00EE7875" w:rsidP="00896536">
      <w:pPr>
        <w:pStyle w:val="ListParagraph"/>
        <w:spacing w:after="0" w:line="240" w:lineRule="auto"/>
        <w:ind w:left="0"/>
        <w:jc w:val="both"/>
        <w:rPr>
          <w:rFonts w:ascii="Arial" w:hAnsi="Arial" w:cs="Arial"/>
          <w:bCs/>
          <w:color w:val="000000" w:themeColor="text1"/>
          <w:sz w:val="24"/>
          <w:szCs w:val="24"/>
        </w:rPr>
      </w:pPr>
      <w:r w:rsidRPr="004D7A44">
        <w:rPr>
          <w:rFonts w:ascii="Arial" w:hAnsi="Arial" w:cs="Arial"/>
          <w:bCs/>
          <w:color w:val="000000" w:themeColor="text1"/>
          <w:sz w:val="24"/>
          <w:szCs w:val="24"/>
        </w:rPr>
        <w:t>________________________</w:t>
      </w:r>
    </w:p>
    <w:p w:rsidR="00EE7875" w:rsidRPr="004D7A44" w:rsidRDefault="000F1860" w:rsidP="00896536">
      <w:pPr>
        <w:pStyle w:val="ListParagraph"/>
        <w:spacing w:after="0" w:line="240" w:lineRule="auto"/>
        <w:ind w:left="0"/>
        <w:jc w:val="both"/>
        <w:outlineLvl w:val="0"/>
        <w:rPr>
          <w:rFonts w:ascii="Arial" w:eastAsia="Calibri" w:hAnsi="Arial" w:cs="Arial"/>
          <w:b/>
          <w:color w:val="000000" w:themeColor="text1"/>
          <w:sz w:val="24"/>
          <w:szCs w:val="24"/>
          <w:lang w:val="en-US"/>
        </w:rPr>
      </w:pPr>
      <w:r w:rsidRPr="004D7A44">
        <w:rPr>
          <w:rFonts w:ascii="Arial" w:eastAsia="Calibri" w:hAnsi="Arial" w:cs="Arial"/>
          <w:b/>
          <w:color w:val="000000" w:themeColor="text1"/>
          <w:sz w:val="24"/>
          <w:szCs w:val="24"/>
          <w:lang w:val="en-US"/>
        </w:rPr>
        <w:t xml:space="preserve">HOFF JA </w:t>
      </w:r>
    </w:p>
    <w:p w:rsidR="008541FE" w:rsidRDefault="008541FE" w:rsidP="00BB428D">
      <w:pPr>
        <w:pStyle w:val="ListParagraph"/>
        <w:spacing w:after="0" w:line="480" w:lineRule="auto"/>
        <w:ind w:left="0"/>
        <w:jc w:val="both"/>
        <w:rPr>
          <w:rFonts w:ascii="Arial" w:eastAsia="Calibri" w:hAnsi="Arial" w:cs="Arial"/>
          <w:b/>
          <w:color w:val="000000" w:themeColor="text1"/>
          <w:sz w:val="24"/>
          <w:szCs w:val="24"/>
          <w:lang w:val="en-US"/>
        </w:rPr>
      </w:pPr>
    </w:p>
    <w:p w:rsidR="00EE7875" w:rsidRDefault="005F2681" w:rsidP="00BB428D">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APPEARANCE</w:t>
      </w:r>
      <w:r w:rsidR="00AD1244">
        <w:rPr>
          <w:rFonts w:ascii="Arial" w:hAnsi="Arial" w:cs="Arial"/>
          <w:color w:val="000000" w:themeColor="text1"/>
          <w:sz w:val="24"/>
          <w:szCs w:val="24"/>
        </w:rPr>
        <w:t>S</w:t>
      </w:r>
      <w:r>
        <w:rPr>
          <w:rFonts w:ascii="Arial" w:hAnsi="Arial" w:cs="Arial"/>
          <w:color w:val="000000" w:themeColor="text1"/>
          <w:sz w:val="24"/>
          <w:szCs w:val="24"/>
        </w:rPr>
        <w:t>:</w:t>
      </w:r>
    </w:p>
    <w:p w:rsidR="005F2681" w:rsidRDefault="005F2681" w:rsidP="00BB428D">
      <w:pPr>
        <w:pStyle w:val="ListParagraph"/>
        <w:spacing w:after="0" w:line="480" w:lineRule="auto"/>
        <w:ind w:left="0"/>
        <w:jc w:val="both"/>
        <w:rPr>
          <w:rFonts w:ascii="Arial" w:hAnsi="Arial" w:cs="Arial"/>
          <w:color w:val="000000" w:themeColor="text1"/>
          <w:sz w:val="24"/>
          <w:szCs w:val="24"/>
        </w:rPr>
      </w:pPr>
    </w:p>
    <w:p w:rsidR="005F2681" w:rsidRDefault="005F2681" w:rsidP="00BB428D">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APPELLANTS</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114923">
        <w:rPr>
          <w:rFonts w:ascii="Arial" w:hAnsi="Arial" w:cs="Arial"/>
          <w:color w:val="000000" w:themeColor="text1"/>
          <w:sz w:val="24"/>
          <w:szCs w:val="24"/>
        </w:rPr>
        <w:t>I</w:t>
      </w:r>
      <w:r w:rsidR="008541FE">
        <w:rPr>
          <w:rFonts w:ascii="Arial" w:hAnsi="Arial" w:cs="Arial"/>
          <w:color w:val="000000" w:themeColor="text1"/>
          <w:sz w:val="24"/>
          <w:szCs w:val="24"/>
        </w:rPr>
        <w:t xml:space="preserve"> A M</w:t>
      </w:r>
      <w:r w:rsidR="00114923">
        <w:rPr>
          <w:rFonts w:ascii="Arial" w:hAnsi="Arial" w:cs="Arial"/>
          <w:color w:val="000000" w:themeColor="text1"/>
          <w:sz w:val="24"/>
          <w:szCs w:val="24"/>
        </w:rPr>
        <w:t xml:space="preserve"> </w:t>
      </w:r>
      <w:r>
        <w:rPr>
          <w:rFonts w:ascii="Arial" w:hAnsi="Arial" w:cs="Arial"/>
          <w:color w:val="000000" w:themeColor="text1"/>
          <w:sz w:val="24"/>
          <w:szCs w:val="24"/>
        </w:rPr>
        <w:t xml:space="preserve">Semenya </w:t>
      </w:r>
      <w:r w:rsidR="005B586B">
        <w:rPr>
          <w:rFonts w:ascii="Arial" w:hAnsi="Arial" w:cs="Arial"/>
          <w:color w:val="000000" w:themeColor="text1"/>
          <w:sz w:val="24"/>
          <w:szCs w:val="24"/>
        </w:rPr>
        <w:t xml:space="preserve">SC </w:t>
      </w:r>
      <w:r>
        <w:rPr>
          <w:rFonts w:ascii="Arial" w:hAnsi="Arial" w:cs="Arial"/>
          <w:color w:val="000000" w:themeColor="text1"/>
          <w:sz w:val="24"/>
          <w:szCs w:val="24"/>
        </w:rPr>
        <w:t>(</w:t>
      </w:r>
      <w:r w:rsidR="00E23A7F">
        <w:rPr>
          <w:rFonts w:ascii="Arial" w:hAnsi="Arial" w:cs="Arial"/>
          <w:color w:val="000000" w:themeColor="text1"/>
          <w:sz w:val="24"/>
          <w:szCs w:val="24"/>
        </w:rPr>
        <w:t xml:space="preserve">with him </w:t>
      </w:r>
      <w:r w:rsidR="003E76C8">
        <w:rPr>
          <w:rFonts w:ascii="Arial" w:hAnsi="Arial" w:cs="Arial"/>
          <w:color w:val="000000" w:themeColor="text1"/>
          <w:sz w:val="24"/>
          <w:szCs w:val="24"/>
        </w:rPr>
        <w:t>K Shakumu</w:t>
      </w:r>
      <w:r>
        <w:rPr>
          <w:rFonts w:ascii="Arial" w:hAnsi="Arial" w:cs="Arial"/>
          <w:color w:val="000000" w:themeColor="text1"/>
          <w:sz w:val="24"/>
          <w:szCs w:val="24"/>
        </w:rPr>
        <w:t>)</w:t>
      </w:r>
    </w:p>
    <w:p w:rsidR="005F2681" w:rsidRDefault="005F2681" w:rsidP="006E2B81">
      <w:pPr>
        <w:pStyle w:val="ListParagraph"/>
        <w:spacing w:after="0" w:line="480" w:lineRule="auto"/>
        <w:ind w:left="4320" w:hanging="4320"/>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r>
      <w:r w:rsidR="008541FE">
        <w:rPr>
          <w:rFonts w:ascii="Arial" w:hAnsi="Arial" w:cs="Arial"/>
          <w:color w:val="000000" w:themeColor="text1"/>
          <w:sz w:val="24"/>
          <w:szCs w:val="24"/>
        </w:rPr>
        <w:t xml:space="preserve">Instructed by the </w:t>
      </w:r>
      <w:r w:rsidR="004D22C3">
        <w:rPr>
          <w:rFonts w:ascii="Arial" w:hAnsi="Arial" w:cs="Arial"/>
          <w:color w:val="000000" w:themeColor="text1"/>
          <w:sz w:val="24"/>
          <w:szCs w:val="24"/>
        </w:rPr>
        <w:t>Government Attorney</w:t>
      </w:r>
    </w:p>
    <w:p w:rsidR="005F2681" w:rsidRDefault="005F2681" w:rsidP="00BB428D">
      <w:pPr>
        <w:pStyle w:val="ListParagraph"/>
        <w:spacing w:after="0" w:line="480" w:lineRule="auto"/>
        <w:ind w:left="0"/>
        <w:jc w:val="both"/>
        <w:rPr>
          <w:rFonts w:ascii="Arial" w:hAnsi="Arial" w:cs="Arial"/>
          <w:color w:val="000000" w:themeColor="text1"/>
          <w:sz w:val="24"/>
          <w:szCs w:val="24"/>
        </w:rPr>
      </w:pPr>
    </w:p>
    <w:p w:rsidR="005F2681" w:rsidRDefault="005F2681" w:rsidP="00BB428D">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RESPONDENTS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3E76C8">
        <w:rPr>
          <w:rFonts w:ascii="Arial" w:hAnsi="Arial" w:cs="Arial"/>
          <w:color w:val="000000" w:themeColor="text1"/>
          <w:sz w:val="24"/>
          <w:szCs w:val="24"/>
        </w:rPr>
        <w:t xml:space="preserve">D </w:t>
      </w:r>
      <w:r>
        <w:rPr>
          <w:rFonts w:ascii="Arial" w:hAnsi="Arial" w:cs="Arial"/>
          <w:color w:val="000000" w:themeColor="text1"/>
          <w:sz w:val="24"/>
          <w:szCs w:val="24"/>
        </w:rPr>
        <w:t>Khama</w:t>
      </w:r>
    </w:p>
    <w:p w:rsidR="005F2681" w:rsidRPr="005F2681" w:rsidRDefault="005F2681" w:rsidP="008541FE">
      <w:pPr>
        <w:pStyle w:val="ListParagraph"/>
        <w:spacing w:after="0" w:line="480" w:lineRule="auto"/>
        <w:ind w:left="3600" w:firstLine="720"/>
        <w:jc w:val="both"/>
        <w:rPr>
          <w:rFonts w:ascii="Arial" w:hAnsi="Arial" w:cs="Arial"/>
          <w:color w:val="000000" w:themeColor="text1"/>
          <w:sz w:val="24"/>
          <w:szCs w:val="24"/>
        </w:rPr>
      </w:pPr>
      <w:r>
        <w:rPr>
          <w:rFonts w:ascii="Arial" w:hAnsi="Arial" w:cs="Arial"/>
          <w:color w:val="000000" w:themeColor="text1"/>
          <w:sz w:val="24"/>
          <w:szCs w:val="24"/>
        </w:rPr>
        <w:t>Instructed by</w:t>
      </w:r>
      <w:r>
        <w:rPr>
          <w:rFonts w:ascii="Arial" w:hAnsi="Arial" w:cs="Arial"/>
          <w:color w:val="000000" w:themeColor="text1"/>
          <w:sz w:val="24"/>
          <w:szCs w:val="24"/>
        </w:rPr>
        <w:tab/>
        <w:t>Kwala &amp; Co</w:t>
      </w:r>
    </w:p>
    <w:sectPr w:rsidR="005F2681" w:rsidRPr="005F2681" w:rsidSect="00AF4652">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DE" w:rsidRDefault="00E01FDE" w:rsidP="00DA3E55">
      <w:pPr>
        <w:spacing w:after="0" w:line="240" w:lineRule="auto"/>
      </w:pPr>
      <w:r>
        <w:separator/>
      </w:r>
    </w:p>
  </w:endnote>
  <w:endnote w:type="continuationSeparator" w:id="0">
    <w:p w:rsidR="00E01FDE" w:rsidRDefault="00E01FDE" w:rsidP="00DA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DE" w:rsidRDefault="00E01FDE" w:rsidP="00DA3E55">
      <w:pPr>
        <w:spacing w:after="0" w:line="240" w:lineRule="auto"/>
      </w:pPr>
      <w:r>
        <w:separator/>
      </w:r>
    </w:p>
  </w:footnote>
  <w:footnote w:type="continuationSeparator" w:id="0">
    <w:p w:rsidR="00E01FDE" w:rsidRDefault="00E01FDE" w:rsidP="00DA3E55">
      <w:pPr>
        <w:spacing w:after="0" w:line="240" w:lineRule="auto"/>
      </w:pPr>
      <w:r>
        <w:continuationSeparator/>
      </w:r>
    </w:p>
  </w:footnote>
  <w:footnote w:id="1">
    <w:p w:rsidR="000540B3" w:rsidRPr="006D53CA" w:rsidRDefault="000540B3" w:rsidP="005602E5">
      <w:pPr>
        <w:pStyle w:val="western"/>
        <w:spacing w:after="0" w:line="276" w:lineRule="auto"/>
        <w:jc w:val="both"/>
        <w:rPr>
          <w:rFonts w:ascii="Arial" w:hAnsi="Arial" w:cs="Arial"/>
          <w:color w:val="000000" w:themeColor="text1"/>
          <w:sz w:val="20"/>
          <w:szCs w:val="20"/>
        </w:rPr>
      </w:pPr>
      <w:r w:rsidRPr="006D53CA">
        <w:rPr>
          <w:rStyle w:val="FootnoteReference"/>
          <w:rFonts w:ascii="Arial" w:eastAsia="Calibri" w:hAnsi="Arial" w:cs="Arial"/>
          <w:color w:val="000000" w:themeColor="text1"/>
          <w:sz w:val="20"/>
          <w:szCs w:val="20"/>
        </w:rPr>
        <w:footnoteRef/>
      </w:r>
      <w:r w:rsidRPr="006D53CA">
        <w:rPr>
          <w:rFonts w:ascii="Arial" w:hAnsi="Arial" w:cs="Arial"/>
          <w:color w:val="000000" w:themeColor="text1"/>
          <w:sz w:val="20"/>
          <w:szCs w:val="20"/>
        </w:rPr>
        <w:t xml:space="preserve"> </w:t>
      </w:r>
      <w:r w:rsidRPr="006D53CA">
        <w:rPr>
          <w:rFonts w:ascii="Arial" w:hAnsi="Arial" w:cs="Arial"/>
          <w:i/>
          <w:iCs/>
          <w:color w:val="000000" w:themeColor="text1"/>
          <w:sz w:val="20"/>
          <w:szCs w:val="20"/>
        </w:rPr>
        <w:t xml:space="preserve">Mackenzie v Farmers’ Cooperative Meat Industries Ltd </w:t>
      </w:r>
      <w:hyperlink r:id="rId1" w:tooltip="View LawCiteRecord" w:history="1">
        <w:r w:rsidRPr="006D53CA">
          <w:rPr>
            <w:rStyle w:val="Hyperlink"/>
            <w:rFonts w:ascii="Arial" w:eastAsia="Calibri" w:hAnsi="Arial" w:cs="Arial"/>
            <w:b w:val="0"/>
            <w:color w:val="000000" w:themeColor="text1"/>
            <w:sz w:val="20"/>
            <w:szCs w:val="20"/>
            <w:u w:val="none"/>
          </w:rPr>
          <w:t>1922 AD 16</w:t>
        </w:r>
      </w:hyperlink>
      <w:r w:rsidRPr="006D53CA">
        <w:rPr>
          <w:rFonts w:ascii="Arial" w:hAnsi="Arial" w:cs="Arial"/>
          <w:b/>
          <w:color w:val="000000" w:themeColor="text1"/>
          <w:sz w:val="20"/>
          <w:szCs w:val="20"/>
        </w:rPr>
        <w:t xml:space="preserve"> </w:t>
      </w:r>
      <w:r w:rsidRPr="006D53CA">
        <w:rPr>
          <w:rFonts w:ascii="Arial" w:hAnsi="Arial" w:cs="Arial"/>
          <w:color w:val="000000" w:themeColor="text1"/>
          <w:sz w:val="20"/>
          <w:szCs w:val="20"/>
        </w:rPr>
        <w:t xml:space="preserve">at 23; </w:t>
      </w:r>
      <w:r w:rsidRPr="006D53CA">
        <w:rPr>
          <w:rFonts w:ascii="Arial" w:hAnsi="Arial" w:cs="Arial"/>
          <w:i/>
          <w:iCs/>
          <w:color w:val="000000" w:themeColor="text1"/>
          <w:sz w:val="20"/>
          <w:szCs w:val="20"/>
        </w:rPr>
        <w:t xml:space="preserve">Evins v Shield Insurance Co Ltd </w:t>
      </w:r>
      <w:hyperlink r:id="rId2" w:tooltip="View LawCiteRecord" w:history="1">
        <w:r w:rsidRPr="006D53CA">
          <w:rPr>
            <w:rStyle w:val="Hyperlink"/>
            <w:rFonts w:ascii="Arial" w:eastAsia="Calibri" w:hAnsi="Arial" w:cs="Arial"/>
            <w:b w:val="0"/>
            <w:color w:val="000000" w:themeColor="text1"/>
            <w:sz w:val="20"/>
            <w:szCs w:val="20"/>
            <w:u w:val="none"/>
          </w:rPr>
          <w:t>1980 (2) SA 815</w:t>
        </w:r>
      </w:hyperlink>
      <w:r w:rsidRPr="006D53CA">
        <w:rPr>
          <w:rFonts w:ascii="Arial" w:hAnsi="Arial" w:cs="Arial"/>
          <w:color w:val="000000" w:themeColor="text1"/>
          <w:sz w:val="20"/>
          <w:szCs w:val="20"/>
        </w:rPr>
        <w:t xml:space="preserve"> (A) at 838E–G.</w:t>
      </w:r>
    </w:p>
  </w:footnote>
  <w:footnote w:id="2">
    <w:p w:rsidR="00121290" w:rsidRPr="006D53CA" w:rsidRDefault="00121290" w:rsidP="006D53CA">
      <w:pPr>
        <w:pStyle w:val="FootnoteText"/>
        <w:jc w:val="both"/>
        <w:rPr>
          <w:rFonts w:ascii="Arial" w:hAnsi="Arial" w:cs="Arial"/>
        </w:rPr>
      </w:pPr>
      <w:r w:rsidRPr="006D53CA">
        <w:rPr>
          <w:rStyle w:val="FootnoteReference"/>
          <w:rFonts w:ascii="Arial" w:hAnsi="Arial" w:cs="Arial"/>
        </w:rPr>
        <w:footnoteRef/>
      </w:r>
      <w:r w:rsidRPr="006D53CA">
        <w:rPr>
          <w:rFonts w:ascii="Arial" w:hAnsi="Arial" w:cs="Arial"/>
        </w:rPr>
        <w:t xml:space="preserve"> 1999 (2) SA 279 (T)</w:t>
      </w:r>
      <w:r w:rsidR="003F4B91">
        <w:rPr>
          <w:rFonts w:ascii="Arial" w:hAnsi="Arial" w:cs="Arial"/>
        </w:rPr>
        <w:t>.</w:t>
      </w:r>
    </w:p>
  </w:footnote>
  <w:footnote w:id="3">
    <w:p w:rsidR="000540B3" w:rsidRPr="005602E5" w:rsidRDefault="000540B3" w:rsidP="006D53CA">
      <w:pPr>
        <w:pStyle w:val="FootnoteText"/>
        <w:spacing w:line="276" w:lineRule="auto"/>
        <w:jc w:val="both"/>
        <w:rPr>
          <w:rFonts w:ascii="Arial" w:hAnsi="Arial" w:cs="Arial"/>
          <w:color w:val="000000" w:themeColor="text1"/>
        </w:rPr>
      </w:pPr>
      <w:r w:rsidRPr="006D53CA">
        <w:rPr>
          <w:rStyle w:val="FootnoteReference"/>
          <w:rFonts w:ascii="Arial" w:hAnsi="Arial" w:cs="Arial"/>
          <w:color w:val="000000" w:themeColor="text1"/>
        </w:rPr>
        <w:footnoteRef/>
      </w:r>
      <w:r w:rsidRPr="006D53CA">
        <w:rPr>
          <w:rFonts w:ascii="Arial" w:hAnsi="Arial" w:cs="Arial"/>
          <w:color w:val="000000" w:themeColor="text1"/>
        </w:rPr>
        <w:t xml:space="preserve"> 2008 (2) SA 184.</w:t>
      </w:r>
      <w:r w:rsidRPr="005602E5">
        <w:rPr>
          <w:rFonts w:ascii="Arial" w:hAnsi="Arial" w:cs="Arial"/>
          <w:color w:val="000000" w:themeColor="text1"/>
        </w:rPr>
        <w:t xml:space="preserve"> </w:t>
      </w:r>
    </w:p>
  </w:footnote>
  <w:footnote w:id="4">
    <w:p w:rsidR="000540B3" w:rsidRPr="005602E5" w:rsidRDefault="000540B3" w:rsidP="005602E5">
      <w:pPr>
        <w:pStyle w:val="FootnoteText"/>
        <w:spacing w:line="276" w:lineRule="auto"/>
        <w:jc w:val="both"/>
        <w:rPr>
          <w:rFonts w:ascii="Arial" w:hAnsi="Arial" w:cs="Arial"/>
          <w:color w:val="000000" w:themeColor="text1"/>
        </w:rPr>
      </w:pPr>
      <w:r w:rsidRPr="005602E5">
        <w:rPr>
          <w:rStyle w:val="FootnoteReference"/>
          <w:rFonts w:ascii="Arial" w:hAnsi="Arial" w:cs="Arial"/>
          <w:color w:val="000000" w:themeColor="text1"/>
        </w:rPr>
        <w:footnoteRef/>
      </w:r>
      <w:r w:rsidRPr="005602E5">
        <w:rPr>
          <w:rFonts w:ascii="Arial" w:hAnsi="Arial" w:cs="Arial"/>
          <w:color w:val="000000" w:themeColor="text1"/>
        </w:rPr>
        <w:t xml:space="preserve"> </w:t>
      </w:r>
      <w:r w:rsidRPr="005602E5">
        <w:rPr>
          <w:rFonts w:ascii="Arial" w:eastAsia="Arial Unicode MS" w:hAnsi="Arial" w:cs="Arial"/>
          <w:i/>
          <w:color w:val="000000" w:themeColor="text1"/>
        </w:rPr>
        <w:t>Minister of Land Affairs and Agriculture</w:t>
      </w:r>
      <w:r w:rsidRPr="005602E5">
        <w:rPr>
          <w:rFonts w:ascii="Arial" w:hAnsi="Arial" w:cs="Arial"/>
          <w:color w:val="000000" w:themeColor="text1"/>
        </w:rPr>
        <w:t xml:space="preserve"> (n 22) at 200C–E.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543899473"/>
      <w:docPartObj>
        <w:docPartGallery w:val="Page Numbers (Top of Page)"/>
        <w:docPartUnique/>
      </w:docPartObj>
    </w:sdtPr>
    <w:sdtEndPr>
      <w:rPr>
        <w:noProof/>
      </w:rPr>
    </w:sdtEndPr>
    <w:sdtContent>
      <w:p w:rsidR="0078154A" w:rsidRPr="004A1FE2" w:rsidRDefault="0078154A">
        <w:pPr>
          <w:pStyle w:val="Header"/>
          <w:jc w:val="right"/>
          <w:rPr>
            <w:rFonts w:ascii="Arial" w:hAnsi="Arial" w:cs="Arial"/>
            <w:sz w:val="24"/>
            <w:szCs w:val="24"/>
          </w:rPr>
        </w:pPr>
        <w:r w:rsidRPr="004A1FE2">
          <w:rPr>
            <w:rFonts w:ascii="Arial" w:hAnsi="Arial" w:cs="Arial"/>
            <w:sz w:val="24"/>
            <w:szCs w:val="24"/>
          </w:rPr>
          <w:fldChar w:fldCharType="begin"/>
        </w:r>
        <w:r w:rsidRPr="004A1FE2">
          <w:rPr>
            <w:rFonts w:ascii="Arial" w:hAnsi="Arial" w:cs="Arial"/>
            <w:sz w:val="24"/>
            <w:szCs w:val="24"/>
          </w:rPr>
          <w:instrText xml:space="preserve"> PAGE   \* MERGEFORMAT </w:instrText>
        </w:r>
        <w:r w:rsidRPr="004A1FE2">
          <w:rPr>
            <w:rFonts w:ascii="Arial" w:hAnsi="Arial" w:cs="Arial"/>
            <w:sz w:val="24"/>
            <w:szCs w:val="24"/>
          </w:rPr>
          <w:fldChar w:fldCharType="separate"/>
        </w:r>
        <w:r w:rsidR="00DC5144">
          <w:rPr>
            <w:rFonts w:ascii="Arial" w:hAnsi="Arial" w:cs="Arial"/>
            <w:noProof/>
            <w:sz w:val="24"/>
            <w:szCs w:val="24"/>
          </w:rPr>
          <w:t>2</w:t>
        </w:r>
        <w:r w:rsidRPr="004A1FE2">
          <w:rPr>
            <w:rFonts w:ascii="Arial" w:hAnsi="Arial" w:cs="Arial"/>
            <w:noProof/>
            <w:sz w:val="24"/>
            <w:szCs w:val="24"/>
          </w:rPr>
          <w:fldChar w:fldCharType="end"/>
        </w:r>
      </w:p>
    </w:sdtContent>
  </w:sdt>
  <w:p w:rsidR="0078154A" w:rsidRPr="004A1FE2" w:rsidRDefault="0078154A">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150"/>
    <w:multiLevelType w:val="hybridMultilevel"/>
    <w:tmpl w:val="97C61CA4"/>
    <w:lvl w:ilvl="0" w:tplc="79FAD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92056"/>
    <w:multiLevelType w:val="hybridMultilevel"/>
    <w:tmpl w:val="6BCE4A9E"/>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8A1396"/>
    <w:multiLevelType w:val="hybridMultilevel"/>
    <w:tmpl w:val="0BFABCA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B9A51C5"/>
    <w:multiLevelType w:val="hybridMultilevel"/>
    <w:tmpl w:val="EB4C43DE"/>
    <w:lvl w:ilvl="0" w:tplc="05B4141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7FC61A2"/>
    <w:multiLevelType w:val="hybridMultilevel"/>
    <w:tmpl w:val="A1047D42"/>
    <w:lvl w:ilvl="0" w:tplc="9FD429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D939CD"/>
    <w:multiLevelType w:val="hybridMultilevel"/>
    <w:tmpl w:val="449C7D5E"/>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381F68"/>
    <w:multiLevelType w:val="hybridMultilevel"/>
    <w:tmpl w:val="2408CBBA"/>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7A64609"/>
    <w:multiLevelType w:val="hybridMultilevel"/>
    <w:tmpl w:val="2578BE82"/>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AC182D"/>
    <w:multiLevelType w:val="hybridMultilevel"/>
    <w:tmpl w:val="6C160ADC"/>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15:restartNumberingAfterBreak="0">
    <w:nsid w:val="30D93B6C"/>
    <w:multiLevelType w:val="hybridMultilevel"/>
    <w:tmpl w:val="DC22B0EC"/>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C225E7"/>
    <w:multiLevelType w:val="hybridMultilevel"/>
    <w:tmpl w:val="8F22A7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434451FD"/>
    <w:multiLevelType w:val="hybridMultilevel"/>
    <w:tmpl w:val="4E0ED45C"/>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4704565"/>
    <w:multiLevelType w:val="hybridMultilevel"/>
    <w:tmpl w:val="1074AE4E"/>
    <w:lvl w:ilvl="0" w:tplc="A2E49870">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8A51DDB"/>
    <w:multiLevelType w:val="hybridMultilevel"/>
    <w:tmpl w:val="53B6FA68"/>
    <w:lvl w:ilvl="0" w:tplc="05841C4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9691823"/>
    <w:multiLevelType w:val="hybridMultilevel"/>
    <w:tmpl w:val="989C48EC"/>
    <w:lvl w:ilvl="0" w:tplc="380C8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768F6"/>
    <w:multiLevelType w:val="hybridMultilevel"/>
    <w:tmpl w:val="F594EE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4F15BE5"/>
    <w:multiLevelType w:val="hybridMultilevel"/>
    <w:tmpl w:val="6FDCEF06"/>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7C434D6"/>
    <w:multiLevelType w:val="hybridMultilevel"/>
    <w:tmpl w:val="55F29F20"/>
    <w:lvl w:ilvl="0" w:tplc="EAA42E4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B907D8F"/>
    <w:multiLevelType w:val="hybridMultilevel"/>
    <w:tmpl w:val="FDD6B076"/>
    <w:lvl w:ilvl="0" w:tplc="FA86A4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113C0E"/>
    <w:multiLevelType w:val="hybridMultilevel"/>
    <w:tmpl w:val="B260B85C"/>
    <w:lvl w:ilvl="0" w:tplc="EAA42E4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F9D614F"/>
    <w:multiLevelType w:val="hybridMultilevel"/>
    <w:tmpl w:val="F24CE6CC"/>
    <w:lvl w:ilvl="0" w:tplc="96EC4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4E4AC5"/>
    <w:multiLevelType w:val="hybridMultilevel"/>
    <w:tmpl w:val="C5E0C9EC"/>
    <w:lvl w:ilvl="0" w:tplc="9922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8509FD"/>
    <w:multiLevelType w:val="hybridMultilevel"/>
    <w:tmpl w:val="FC468E64"/>
    <w:lvl w:ilvl="0" w:tplc="C94C25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4BD71BD"/>
    <w:multiLevelType w:val="hybridMultilevel"/>
    <w:tmpl w:val="E12C108E"/>
    <w:lvl w:ilvl="0" w:tplc="F304AB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75C143C"/>
    <w:multiLevelType w:val="hybridMultilevel"/>
    <w:tmpl w:val="CF569D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CD60BE"/>
    <w:multiLevelType w:val="hybridMultilevel"/>
    <w:tmpl w:val="6B8E7E46"/>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A5A4D00"/>
    <w:multiLevelType w:val="hybridMultilevel"/>
    <w:tmpl w:val="6F28EF90"/>
    <w:lvl w:ilvl="0" w:tplc="1C090017">
      <w:start w:val="1"/>
      <w:numFmt w:val="lowerLetter"/>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7" w15:restartNumberingAfterBreak="0">
    <w:nsid w:val="6DA94B0E"/>
    <w:multiLevelType w:val="hybridMultilevel"/>
    <w:tmpl w:val="54E4FF9A"/>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E2726E5"/>
    <w:multiLevelType w:val="hybridMultilevel"/>
    <w:tmpl w:val="0EE261CC"/>
    <w:lvl w:ilvl="0" w:tplc="25BCFB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E1114A"/>
    <w:multiLevelType w:val="hybridMultilevel"/>
    <w:tmpl w:val="B7D4F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6124C"/>
    <w:multiLevelType w:val="hybridMultilevel"/>
    <w:tmpl w:val="CF1E4180"/>
    <w:lvl w:ilvl="0" w:tplc="0E4A8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4"/>
  </w:num>
  <w:num w:numId="3">
    <w:abstractNumId w:val="23"/>
  </w:num>
  <w:num w:numId="4">
    <w:abstractNumId w:val="24"/>
  </w:num>
  <w:num w:numId="5">
    <w:abstractNumId w:val="12"/>
  </w:num>
  <w:num w:numId="6">
    <w:abstractNumId w:val="26"/>
  </w:num>
  <w:num w:numId="7">
    <w:abstractNumId w:val="8"/>
  </w:num>
  <w:num w:numId="8">
    <w:abstractNumId w:val="2"/>
  </w:num>
  <w:num w:numId="9">
    <w:abstractNumId w:val="18"/>
  </w:num>
  <w:num w:numId="10">
    <w:abstractNumId w:val="20"/>
  </w:num>
  <w:num w:numId="11">
    <w:abstractNumId w:val="29"/>
  </w:num>
  <w:num w:numId="12">
    <w:abstractNumId w:val="3"/>
  </w:num>
  <w:num w:numId="13">
    <w:abstractNumId w:val="14"/>
  </w:num>
  <w:num w:numId="14">
    <w:abstractNumId w:val="0"/>
  </w:num>
  <w:num w:numId="15">
    <w:abstractNumId w:val="28"/>
  </w:num>
  <w:num w:numId="16">
    <w:abstractNumId w:val="10"/>
  </w:num>
  <w:num w:numId="17">
    <w:abstractNumId w:val="15"/>
  </w:num>
  <w:num w:numId="18">
    <w:abstractNumId w:val="13"/>
  </w:num>
  <w:num w:numId="19">
    <w:abstractNumId w:val="30"/>
  </w:num>
  <w:num w:numId="20">
    <w:abstractNumId w:val="21"/>
  </w:num>
  <w:num w:numId="21">
    <w:abstractNumId w:val="19"/>
  </w:num>
  <w:num w:numId="22">
    <w:abstractNumId w:val="9"/>
  </w:num>
  <w:num w:numId="23">
    <w:abstractNumId w:val="7"/>
  </w:num>
  <w:num w:numId="24">
    <w:abstractNumId w:val="11"/>
  </w:num>
  <w:num w:numId="25">
    <w:abstractNumId w:val="6"/>
  </w:num>
  <w:num w:numId="26">
    <w:abstractNumId w:val="1"/>
  </w:num>
  <w:num w:numId="27">
    <w:abstractNumId w:val="27"/>
  </w:num>
  <w:num w:numId="28">
    <w:abstractNumId w:val="16"/>
  </w:num>
  <w:num w:numId="29">
    <w:abstractNumId w:val="5"/>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A7"/>
    <w:rsid w:val="00000276"/>
    <w:rsid w:val="0000109E"/>
    <w:rsid w:val="00002340"/>
    <w:rsid w:val="000027C2"/>
    <w:rsid w:val="00002B84"/>
    <w:rsid w:val="00002BD6"/>
    <w:rsid w:val="00002D13"/>
    <w:rsid w:val="000053F9"/>
    <w:rsid w:val="00005419"/>
    <w:rsid w:val="00006578"/>
    <w:rsid w:val="00007A67"/>
    <w:rsid w:val="00007C45"/>
    <w:rsid w:val="00011171"/>
    <w:rsid w:val="000112C2"/>
    <w:rsid w:val="000137FA"/>
    <w:rsid w:val="00013A00"/>
    <w:rsid w:val="000140B6"/>
    <w:rsid w:val="00015F4D"/>
    <w:rsid w:val="00017ECC"/>
    <w:rsid w:val="00026A01"/>
    <w:rsid w:val="0003114E"/>
    <w:rsid w:val="000329AD"/>
    <w:rsid w:val="00033B94"/>
    <w:rsid w:val="00033FCE"/>
    <w:rsid w:val="00036AEC"/>
    <w:rsid w:val="00036BCF"/>
    <w:rsid w:val="00042E17"/>
    <w:rsid w:val="00043B0E"/>
    <w:rsid w:val="00043EBF"/>
    <w:rsid w:val="000446B3"/>
    <w:rsid w:val="00045F94"/>
    <w:rsid w:val="0005146F"/>
    <w:rsid w:val="0005194F"/>
    <w:rsid w:val="00051D7A"/>
    <w:rsid w:val="00052B31"/>
    <w:rsid w:val="00052ED8"/>
    <w:rsid w:val="00052F05"/>
    <w:rsid w:val="000540B3"/>
    <w:rsid w:val="0005428C"/>
    <w:rsid w:val="000546CB"/>
    <w:rsid w:val="0005475F"/>
    <w:rsid w:val="0005492A"/>
    <w:rsid w:val="000612D1"/>
    <w:rsid w:val="000646EA"/>
    <w:rsid w:val="00066BBB"/>
    <w:rsid w:val="000674FA"/>
    <w:rsid w:val="00067A20"/>
    <w:rsid w:val="00070E85"/>
    <w:rsid w:val="00071186"/>
    <w:rsid w:val="00071240"/>
    <w:rsid w:val="000719C1"/>
    <w:rsid w:val="00072DDF"/>
    <w:rsid w:val="00074DB4"/>
    <w:rsid w:val="00077B69"/>
    <w:rsid w:val="00077F69"/>
    <w:rsid w:val="0008191B"/>
    <w:rsid w:val="00082A47"/>
    <w:rsid w:val="0008315D"/>
    <w:rsid w:val="00085AF6"/>
    <w:rsid w:val="00087761"/>
    <w:rsid w:val="00090348"/>
    <w:rsid w:val="000932B2"/>
    <w:rsid w:val="00093D14"/>
    <w:rsid w:val="00094771"/>
    <w:rsid w:val="00094E65"/>
    <w:rsid w:val="00095A7A"/>
    <w:rsid w:val="00097EEF"/>
    <w:rsid w:val="000A0AFD"/>
    <w:rsid w:val="000A1021"/>
    <w:rsid w:val="000A1F47"/>
    <w:rsid w:val="000A1FA2"/>
    <w:rsid w:val="000A213A"/>
    <w:rsid w:val="000A5040"/>
    <w:rsid w:val="000A5651"/>
    <w:rsid w:val="000A5E6E"/>
    <w:rsid w:val="000A6824"/>
    <w:rsid w:val="000A6B5D"/>
    <w:rsid w:val="000A7A29"/>
    <w:rsid w:val="000B2148"/>
    <w:rsid w:val="000B2F5A"/>
    <w:rsid w:val="000B4C76"/>
    <w:rsid w:val="000B4F44"/>
    <w:rsid w:val="000B4FBA"/>
    <w:rsid w:val="000B5B65"/>
    <w:rsid w:val="000B66D6"/>
    <w:rsid w:val="000B67CC"/>
    <w:rsid w:val="000C1202"/>
    <w:rsid w:val="000C34C4"/>
    <w:rsid w:val="000D049B"/>
    <w:rsid w:val="000D14BB"/>
    <w:rsid w:val="000D1A2D"/>
    <w:rsid w:val="000D2116"/>
    <w:rsid w:val="000D73B1"/>
    <w:rsid w:val="000D786E"/>
    <w:rsid w:val="000E0481"/>
    <w:rsid w:val="000E0DE1"/>
    <w:rsid w:val="000E1A68"/>
    <w:rsid w:val="000E2269"/>
    <w:rsid w:val="000E226A"/>
    <w:rsid w:val="000E284E"/>
    <w:rsid w:val="000E2F1D"/>
    <w:rsid w:val="000E401C"/>
    <w:rsid w:val="000E48C1"/>
    <w:rsid w:val="000E4934"/>
    <w:rsid w:val="000E5646"/>
    <w:rsid w:val="000E5911"/>
    <w:rsid w:val="000F0752"/>
    <w:rsid w:val="000F0D18"/>
    <w:rsid w:val="000F17C9"/>
    <w:rsid w:val="000F1829"/>
    <w:rsid w:val="000F1860"/>
    <w:rsid w:val="000F2101"/>
    <w:rsid w:val="000F4DE3"/>
    <w:rsid w:val="000F5BAE"/>
    <w:rsid w:val="000F6DD2"/>
    <w:rsid w:val="000F7379"/>
    <w:rsid w:val="001000A5"/>
    <w:rsid w:val="00100297"/>
    <w:rsid w:val="00101885"/>
    <w:rsid w:val="00101BB1"/>
    <w:rsid w:val="00102BA3"/>
    <w:rsid w:val="001035BB"/>
    <w:rsid w:val="001037B6"/>
    <w:rsid w:val="00103E93"/>
    <w:rsid w:val="0010617D"/>
    <w:rsid w:val="00106362"/>
    <w:rsid w:val="00106A0F"/>
    <w:rsid w:val="00106C3A"/>
    <w:rsid w:val="00106E9A"/>
    <w:rsid w:val="001073B4"/>
    <w:rsid w:val="001073BE"/>
    <w:rsid w:val="00113CC9"/>
    <w:rsid w:val="00113F0C"/>
    <w:rsid w:val="0011401A"/>
    <w:rsid w:val="00114923"/>
    <w:rsid w:val="00114F71"/>
    <w:rsid w:val="001150A7"/>
    <w:rsid w:val="00115C25"/>
    <w:rsid w:val="001160AC"/>
    <w:rsid w:val="001163DD"/>
    <w:rsid w:val="0011795C"/>
    <w:rsid w:val="00120273"/>
    <w:rsid w:val="00121290"/>
    <w:rsid w:val="00122A33"/>
    <w:rsid w:val="00124F00"/>
    <w:rsid w:val="00126054"/>
    <w:rsid w:val="001273DE"/>
    <w:rsid w:val="0013023D"/>
    <w:rsid w:val="0013159F"/>
    <w:rsid w:val="00131907"/>
    <w:rsid w:val="001334FE"/>
    <w:rsid w:val="001336F3"/>
    <w:rsid w:val="001355A7"/>
    <w:rsid w:val="00135929"/>
    <w:rsid w:val="00136CE4"/>
    <w:rsid w:val="00136DFC"/>
    <w:rsid w:val="00137908"/>
    <w:rsid w:val="0014053E"/>
    <w:rsid w:val="00142338"/>
    <w:rsid w:val="00144D5A"/>
    <w:rsid w:val="00145131"/>
    <w:rsid w:val="00145D44"/>
    <w:rsid w:val="00146C62"/>
    <w:rsid w:val="00150329"/>
    <w:rsid w:val="001506DA"/>
    <w:rsid w:val="00151AF1"/>
    <w:rsid w:val="00153026"/>
    <w:rsid w:val="001564D5"/>
    <w:rsid w:val="00156959"/>
    <w:rsid w:val="00157BC5"/>
    <w:rsid w:val="001605DA"/>
    <w:rsid w:val="001608E5"/>
    <w:rsid w:val="001610A6"/>
    <w:rsid w:val="001619A6"/>
    <w:rsid w:val="001622B9"/>
    <w:rsid w:val="0016247C"/>
    <w:rsid w:val="00162802"/>
    <w:rsid w:val="00162888"/>
    <w:rsid w:val="00162D31"/>
    <w:rsid w:val="001636B1"/>
    <w:rsid w:val="0016384E"/>
    <w:rsid w:val="00167FF7"/>
    <w:rsid w:val="00170903"/>
    <w:rsid w:val="0017094B"/>
    <w:rsid w:val="00171CC0"/>
    <w:rsid w:val="00175DB7"/>
    <w:rsid w:val="00176313"/>
    <w:rsid w:val="00177196"/>
    <w:rsid w:val="00177509"/>
    <w:rsid w:val="001833B2"/>
    <w:rsid w:val="00184D27"/>
    <w:rsid w:val="00185BA8"/>
    <w:rsid w:val="0018619C"/>
    <w:rsid w:val="001865C5"/>
    <w:rsid w:val="001878D0"/>
    <w:rsid w:val="00190A72"/>
    <w:rsid w:val="00192267"/>
    <w:rsid w:val="0019402F"/>
    <w:rsid w:val="0019451C"/>
    <w:rsid w:val="001945FE"/>
    <w:rsid w:val="00194F78"/>
    <w:rsid w:val="00195858"/>
    <w:rsid w:val="001959EB"/>
    <w:rsid w:val="00195E9E"/>
    <w:rsid w:val="001963A3"/>
    <w:rsid w:val="00196C49"/>
    <w:rsid w:val="001A0028"/>
    <w:rsid w:val="001A01AC"/>
    <w:rsid w:val="001A033E"/>
    <w:rsid w:val="001A1397"/>
    <w:rsid w:val="001A594B"/>
    <w:rsid w:val="001B2DD8"/>
    <w:rsid w:val="001B300C"/>
    <w:rsid w:val="001B3107"/>
    <w:rsid w:val="001B3219"/>
    <w:rsid w:val="001B4AD1"/>
    <w:rsid w:val="001B4D27"/>
    <w:rsid w:val="001B514B"/>
    <w:rsid w:val="001B535F"/>
    <w:rsid w:val="001C2662"/>
    <w:rsid w:val="001C2716"/>
    <w:rsid w:val="001C58CD"/>
    <w:rsid w:val="001C5AC6"/>
    <w:rsid w:val="001C6283"/>
    <w:rsid w:val="001C6AB9"/>
    <w:rsid w:val="001C7697"/>
    <w:rsid w:val="001D04A0"/>
    <w:rsid w:val="001D1FC3"/>
    <w:rsid w:val="001D2329"/>
    <w:rsid w:val="001E04A1"/>
    <w:rsid w:val="001E1A37"/>
    <w:rsid w:val="001E3105"/>
    <w:rsid w:val="001E37ED"/>
    <w:rsid w:val="001E39E5"/>
    <w:rsid w:val="001E57D4"/>
    <w:rsid w:val="001E66F2"/>
    <w:rsid w:val="001E6C45"/>
    <w:rsid w:val="001E72D9"/>
    <w:rsid w:val="001E7A36"/>
    <w:rsid w:val="001E7A85"/>
    <w:rsid w:val="001F1A43"/>
    <w:rsid w:val="001F262C"/>
    <w:rsid w:val="001F32DF"/>
    <w:rsid w:val="001F3BB5"/>
    <w:rsid w:val="001F5630"/>
    <w:rsid w:val="001F7184"/>
    <w:rsid w:val="00201292"/>
    <w:rsid w:val="002024E4"/>
    <w:rsid w:val="00202B2D"/>
    <w:rsid w:val="00202B5C"/>
    <w:rsid w:val="002035A4"/>
    <w:rsid w:val="002035DB"/>
    <w:rsid w:val="0020586B"/>
    <w:rsid w:val="00206B9B"/>
    <w:rsid w:val="00210AAA"/>
    <w:rsid w:val="00210E0B"/>
    <w:rsid w:val="002118CD"/>
    <w:rsid w:val="002131F5"/>
    <w:rsid w:val="00213579"/>
    <w:rsid w:val="00213C84"/>
    <w:rsid w:val="002143DB"/>
    <w:rsid w:val="0021530A"/>
    <w:rsid w:val="00215BAB"/>
    <w:rsid w:val="00215DF4"/>
    <w:rsid w:val="00216261"/>
    <w:rsid w:val="00220715"/>
    <w:rsid w:val="0022161A"/>
    <w:rsid w:val="00222127"/>
    <w:rsid w:val="002230CE"/>
    <w:rsid w:val="00223C6C"/>
    <w:rsid w:val="002246BB"/>
    <w:rsid w:val="00226931"/>
    <w:rsid w:val="00226C77"/>
    <w:rsid w:val="0022739E"/>
    <w:rsid w:val="00227519"/>
    <w:rsid w:val="0023013A"/>
    <w:rsid w:val="0023033B"/>
    <w:rsid w:val="00230ECE"/>
    <w:rsid w:val="00232803"/>
    <w:rsid w:val="00232D13"/>
    <w:rsid w:val="0023451D"/>
    <w:rsid w:val="00234613"/>
    <w:rsid w:val="00234E05"/>
    <w:rsid w:val="00235BFD"/>
    <w:rsid w:val="00236BE8"/>
    <w:rsid w:val="00237D0D"/>
    <w:rsid w:val="002409C5"/>
    <w:rsid w:val="00240D80"/>
    <w:rsid w:val="002421B5"/>
    <w:rsid w:val="00243EBD"/>
    <w:rsid w:val="00244E2E"/>
    <w:rsid w:val="00245B66"/>
    <w:rsid w:val="00245FB0"/>
    <w:rsid w:val="00246B1F"/>
    <w:rsid w:val="002474D5"/>
    <w:rsid w:val="00247DE8"/>
    <w:rsid w:val="00250514"/>
    <w:rsid w:val="00251785"/>
    <w:rsid w:val="002521FE"/>
    <w:rsid w:val="002522F3"/>
    <w:rsid w:val="002523F3"/>
    <w:rsid w:val="002539BC"/>
    <w:rsid w:val="00253E55"/>
    <w:rsid w:val="00254023"/>
    <w:rsid w:val="00256D23"/>
    <w:rsid w:val="00256DC3"/>
    <w:rsid w:val="00257F2A"/>
    <w:rsid w:val="00261000"/>
    <w:rsid w:val="00261230"/>
    <w:rsid w:val="0026139A"/>
    <w:rsid w:val="00262487"/>
    <w:rsid w:val="00262F29"/>
    <w:rsid w:val="002636A0"/>
    <w:rsid w:val="0026446D"/>
    <w:rsid w:val="00265476"/>
    <w:rsid w:val="0026653C"/>
    <w:rsid w:val="00271785"/>
    <w:rsid w:val="00272381"/>
    <w:rsid w:val="00272D57"/>
    <w:rsid w:val="00272EFE"/>
    <w:rsid w:val="002731A3"/>
    <w:rsid w:val="00274256"/>
    <w:rsid w:val="002745D8"/>
    <w:rsid w:val="00277DF7"/>
    <w:rsid w:val="0028097F"/>
    <w:rsid w:val="00282171"/>
    <w:rsid w:val="00284315"/>
    <w:rsid w:val="00284EB3"/>
    <w:rsid w:val="002859B1"/>
    <w:rsid w:val="002874BE"/>
    <w:rsid w:val="002913E4"/>
    <w:rsid w:val="00291968"/>
    <w:rsid w:val="0029222D"/>
    <w:rsid w:val="00292287"/>
    <w:rsid w:val="00292FAC"/>
    <w:rsid w:val="002938EA"/>
    <w:rsid w:val="00294A8E"/>
    <w:rsid w:val="00294D1A"/>
    <w:rsid w:val="00294FA2"/>
    <w:rsid w:val="002954E4"/>
    <w:rsid w:val="00295EE7"/>
    <w:rsid w:val="0029610D"/>
    <w:rsid w:val="0029641B"/>
    <w:rsid w:val="002A04F1"/>
    <w:rsid w:val="002A2BF8"/>
    <w:rsid w:val="002A4EC0"/>
    <w:rsid w:val="002A5466"/>
    <w:rsid w:val="002A6044"/>
    <w:rsid w:val="002A6460"/>
    <w:rsid w:val="002A6928"/>
    <w:rsid w:val="002A6F3E"/>
    <w:rsid w:val="002B28F2"/>
    <w:rsid w:val="002B3A6F"/>
    <w:rsid w:val="002B42BF"/>
    <w:rsid w:val="002B6C4C"/>
    <w:rsid w:val="002C1EAB"/>
    <w:rsid w:val="002C5EA5"/>
    <w:rsid w:val="002C6B45"/>
    <w:rsid w:val="002C7075"/>
    <w:rsid w:val="002C7787"/>
    <w:rsid w:val="002D0448"/>
    <w:rsid w:val="002D19F8"/>
    <w:rsid w:val="002D276D"/>
    <w:rsid w:val="002D2B5B"/>
    <w:rsid w:val="002D2DD1"/>
    <w:rsid w:val="002D343D"/>
    <w:rsid w:val="002D3469"/>
    <w:rsid w:val="002D3994"/>
    <w:rsid w:val="002D50F1"/>
    <w:rsid w:val="002D6915"/>
    <w:rsid w:val="002D73D7"/>
    <w:rsid w:val="002E2007"/>
    <w:rsid w:val="002E49A1"/>
    <w:rsid w:val="002E534B"/>
    <w:rsid w:val="002E5960"/>
    <w:rsid w:val="002F00C8"/>
    <w:rsid w:val="002F1959"/>
    <w:rsid w:val="002F31E7"/>
    <w:rsid w:val="002F33F9"/>
    <w:rsid w:val="002F4FBC"/>
    <w:rsid w:val="002F627E"/>
    <w:rsid w:val="002F64DF"/>
    <w:rsid w:val="002F678E"/>
    <w:rsid w:val="002F737D"/>
    <w:rsid w:val="002F749F"/>
    <w:rsid w:val="00301271"/>
    <w:rsid w:val="00302C7F"/>
    <w:rsid w:val="003059F0"/>
    <w:rsid w:val="00307B4B"/>
    <w:rsid w:val="0031061B"/>
    <w:rsid w:val="00314EDE"/>
    <w:rsid w:val="00315805"/>
    <w:rsid w:val="00317041"/>
    <w:rsid w:val="0031774C"/>
    <w:rsid w:val="00317E03"/>
    <w:rsid w:val="003206C9"/>
    <w:rsid w:val="00320E5D"/>
    <w:rsid w:val="003227E9"/>
    <w:rsid w:val="00322D47"/>
    <w:rsid w:val="00323972"/>
    <w:rsid w:val="00324515"/>
    <w:rsid w:val="00327E23"/>
    <w:rsid w:val="00330953"/>
    <w:rsid w:val="003341B3"/>
    <w:rsid w:val="003355E3"/>
    <w:rsid w:val="00335ABF"/>
    <w:rsid w:val="00337339"/>
    <w:rsid w:val="00340403"/>
    <w:rsid w:val="00341723"/>
    <w:rsid w:val="00341EC3"/>
    <w:rsid w:val="003420B2"/>
    <w:rsid w:val="003425DE"/>
    <w:rsid w:val="003503EA"/>
    <w:rsid w:val="003509A8"/>
    <w:rsid w:val="00350D98"/>
    <w:rsid w:val="00351B31"/>
    <w:rsid w:val="00352166"/>
    <w:rsid w:val="00352C48"/>
    <w:rsid w:val="00354EE7"/>
    <w:rsid w:val="003564B1"/>
    <w:rsid w:val="003568EE"/>
    <w:rsid w:val="00357027"/>
    <w:rsid w:val="00360FE5"/>
    <w:rsid w:val="00364156"/>
    <w:rsid w:val="00365607"/>
    <w:rsid w:val="00366A96"/>
    <w:rsid w:val="00367B64"/>
    <w:rsid w:val="00367E0E"/>
    <w:rsid w:val="003713E4"/>
    <w:rsid w:val="003763E5"/>
    <w:rsid w:val="00376404"/>
    <w:rsid w:val="003765D0"/>
    <w:rsid w:val="0037683B"/>
    <w:rsid w:val="00380141"/>
    <w:rsid w:val="003802BD"/>
    <w:rsid w:val="00382635"/>
    <w:rsid w:val="00387308"/>
    <w:rsid w:val="0039062B"/>
    <w:rsid w:val="00391F72"/>
    <w:rsid w:val="0039378B"/>
    <w:rsid w:val="00395AA6"/>
    <w:rsid w:val="00395BC5"/>
    <w:rsid w:val="003969B1"/>
    <w:rsid w:val="00396F74"/>
    <w:rsid w:val="00397046"/>
    <w:rsid w:val="003A04C8"/>
    <w:rsid w:val="003A0C04"/>
    <w:rsid w:val="003A2FBF"/>
    <w:rsid w:val="003A352B"/>
    <w:rsid w:val="003A52A1"/>
    <w:rsid w:val="003B1E04"/>
    <w:rsid w:val="003B3CA7"/>
    <w:rsid w:val="003B4AC5"/>
    <w:rsid w:val="003B5A00"/>
    <w:rsid w:val="003B6CC0"/>
    <w:rsid w:val="003B79F8"/>
    <w:rsid w:val="003B7DEF"/>
    <w:rsid w:val="003C0AB4"/>
    <w:rsid w:val="003C42AD"/>
    <w:rsid w:val="003C5E16"/>
    <w:rsid w:val="003C6E3D"/>
    <w:rsid w:val="003D026B"/>
    <w:rsid w:val="003D042B"/>
    <w:rsid w:val="003D396F"/>
    <w:rsid w:val="003D5313"/>
    <w:rsid w:val="003D5CB2"/>
    <w:rsid w:val="003D64CD"/>
    <w:rsid w:val="003E1618"/>
    <w:rsid w:val="003E1A9E"/>
    <w:rsid w:val="003E39F6"/>
    <w:rsid w:val="003E3B99"/>
    <w:rsid w:val="003E4037"/>
    <w:rsid w:val="003E4B85"/>
    <w:rsid w:val="003E5E73"/>
    <w:rsid w:val="003E66CA"/>
    <w:rsid w:val="003E6772"/>
    <w:rsid w:val="003E739A"/>
    <w:rsid w:val="003E76C8"/>
    <w:rsid w:val="003E7C71"/>
    <w:rsid w:val="003F1A39"/>
    <w:rsid w:val="003F2F6C"/>
    <w:rsid w:val="003F4715"/>
    <w:rsid w:val="003F4B91"/>
    <w:rsid w:val="003F502A"/>
    <w:rsid w:val="003F63B1"/>
    <w:rsid w:val="003F683F"/>
    <w:rsid w:val="003F6BF3"/>
    <w:rsid w:val="003F74AF"/>
    <w:rsid w:val="004009F3"/>
    <w:rsid w:val="004012F4"/>
    <w:rsid w:val="00401568"/>
    <w:rsid w:val="00403884"/>
    <w:rsid w:val="00404234"/>
    <w:rsid w:val="00404CE9"/>
    <w:rsid w:val="0040732B"/>
    <w:rsid w:val="00410757"/>
    <w:rsid w:val="00410E7D"/>
    <w:rsid w:val="00414EDF"/>
    <w:rsid w:val="00416B20"/>
    <w:rsid w:val="0042022F"/>
    <w:rsid w:val="00421473"/>
    <w:rsid w:val="004225F0"/>
    <w:rsid w:val="00422710"/>
    <w:rsid w:val="00423A8B"/>
    <w:rsid w:val="00424FE5"/>
    <w:rsid w:val="00427495"/>
    <w:rsid w:val="00430499"/>
    <w:rsid w:val="004325BD"/>
    <w:rsid w:val="00432814"/>
    <w:rsid w:val="00432EDA"/>
    <w:rsid w:val="00433836"/>
    <w:rsid w:val="00433F0A"/>
    <w:rsid w:val="00434E17"/>
    <w:rsid w:val="00435D7A"/>
    <w:rsid w:val="00436E38"/>
    <w:rsid w:val="0044035B"/>
    <w:rsid w:val="0044279F"/>
    <w:rsid w:val="004444E1"/>
    <w:rsid w:val="00444EC2"/>
    <w:rsid w:val="00445D9F"/>
    <w:rsid w:val="004478F4"/>
    <w:rsid w:val="00447CC5"/>
    <w:rsid w:val="004507F2"/>
    <w:rsid w:val="00451E6F"/>
    <w:rsid w:val="00451EFA"/>
    <w:rsid w:val="00452184"/>
    <w:rsid w:val="004534DF"/>
    <w:rsid w:val="00456A86"/>
    <w:rsid w:val="00460F15"/>
    <w:rsid w:val="00461F30"/>
    <w:rsid w:val="0046213C"/>
    <w:rsid w:val="004629DA"/>
    <w:rsid w:val="00462C64"/>
    <w:rsid w:val="00463E63"/>
    <w:rsid w:val="00463E7C"/>
    <w:rsid w:val="00464DE9"/>
    <w:rsid w:val="00472369"/>
    <w:rsid w:val="00472DCC"/>
    <w:rsid w:val="004730FE"/>
    <w:rsid w:val="0047560B"/>
    <w:rsid w:val="004779F9"/>
    <w:rsid w:val="00477A25"/>
    <w:rsid w:val="00481662"/>
    <w:rsid w:val="00481729"/>
    <w:rsid w:val="00482AFD"/>
    <w:rsid w:val="00482D30"/>
    <w:rsid w:val="00482E96"/>
    <w:rsid w:val="004831DA"/>
    <w:rsid w:val="00484A7B"/>
    <w:rsid w:val="00484EF8"/>
    <w:rsid w:val="004876EB"/>
    <w:rsid w:val="00487D31"/>
    <w:rsid w:val="004909A9"/>
    <w:rsid w:val="00491245"/>
    <w:rsid w:val="00493804"/>
    <w:rsid w:val="004967E6"/>
    <w:rsid w:val="00496CA7"/>
    <w:rsid w:val="004A0050"/>
    <w:rsid w:val="004A0EAC"/>
    <w:rsid w:val="004A1FE2"/>
    <w:rsid w:val="004A2CBD"/>
    <w:rsid w:val="004A3782"/>
    <w:rsid w:val="004A4164"/>
    <w:rsid w:val="004A45A0"/>
    <w:rsid w:val="004A5213"/>
    <w:rsid w:val="004A5319"/>
    <w:rsid w:val="004A55E2"/>
    <w:rsid w:val="004A5C53"/>
    <w:rsid w:val="004A62B6"/>
    <w:rsid w:val="004A7E21"/>
    <w:rsid w:val="004B0137"/>
    <w:rsid w:val="004B0466"/>
    <w:rsid w:val="004B1FAC"/>
    <w:rsid w:val="004B7020"/>
    <w:rsid w:val="004B775E"/>
    <w:rsid w:val="004C08DD"/>
    <w:rsid w:val="004C1DEC"/>
    <w:rsid w:val="004C42C1"/>
    <w:rsid w:val="004C5EB0"/>
    <w:rsid w:val="004C796E"/>
    <w:rsid w:val="004C7B29"/>
    <w:rsid w:val="004D0B9A"/>
    <w:rsid w:val="004D0BE0"/>
    <w:rsid w:val="004D0CC6"/>
    <w:rsid w:val="004D0E19"/>
    <w:rsid w:val="004D172E"/>
    <w:rsid w:val="004D22C3"/>
    <w:rsid w:val="004D3F45"/>
    <w:rsid w:val="004D5A8D"/>
    <w:rsid w:val="004D62C6"/>
    <w:rsid w:val="004D68AD"/>
    <w:rsid w:val="004D6F78"/>
    <w:rsid w:val="004D7A44"/>
    <w:rsid w:val="004E0020"/>
    <w:rsid w:val="004E00BA"/>
    <w:rsid w:val="004E053A"/>
    <w:rsid w:val="004E078A"/>
    <w:rsid w:val="004E0BB7"/>
    <w:rsid w:val="004E3839"/>
    <w:rsid w:val="004E4FF7"/>
    <w:rsid w:val="004E5B69"/>
    <w:rsid w:val="004E7A7A"/>
    <w:rsid w:val="004F007E"/>
    <w:rsid w:val="004F081B"/>
    <w:rsid w:val="004F09B3"/>
    <w:rsid w:val="004F112A"/>
    <w:rsid w:val="004F230E"/>
    <w:rsid w:val="004F26A0"/>
    <w:rsid w:val="004F324F"/>
    <w:rsid w:val="004F5D51"/>
    <w:rsid w:val="004F729A"/>
    <w:rsid w:val="005000DB"/>
    <w:rsid w:val="0050017F"/>
    <w:rsid w:val="00500533"/>
    <w:rsid w:val="00500B88"/>
    <w:rsid w:val="00502654"/>
    <w:rsid w:val="0050358F"/>
    <w:rsid w:val="00503AF8"/>
    <w:rsid w:val="005046B4"/>
    <w:rsid w:val="0050585C"/>
    <w:rsid w:val="0050611A"/>
    <w:rsid w:val="00507FA0"/>
    <w:rsid w:val="005129DB"/>
    <w:rsid w:val="005134F9"/>
    <w:rsid w:val="00513FA9"/>
    <w:rsid w:val="005143DF"/>
    <w:rsid w:val="00514ED9"/>
    <w:rsid w:val="00515D60"/>
    <w:rsid w:val="00515EBD"/>
    <w:rsid w:val="005160DB"/>
    <w:rsid w:val="00521CDB"/>
    <w:rsid w:val="005230EF"/>
    <w:rsid w:val="005236CE"/>
    <w:rsid w:val="00524EFA"/>
    <w:rsid w:val="0052639E"/>
    <w:rsid w:val="0052680D"/>
    <w:rsid w:val="00527DC4"/>
    <w:rsid w:val="00530848"/>
    <w:rsid w:val="00533306"/>
    <w:rsid w:val="00534E42"/>
    <w:rsid w:val="005352D5"/>
    <w:rsid w:val="00536133"/>
    <w:rsid w:val="005364A3"/>
    <w:rsid w:val="00536991"/>
    <w:rsid w:val="005408B7"/>
    <w:rsid w:val="00541A8D"/>
    <w:rsid w:val="005464BA"/>
    <w:rsid w:val="00547787"/>
    <w:rsid w:val="0055047B"/>
    <w:rsid w:val="00550F2D"/>
    <w:rsid w:val="00551BE2"/>
    <w:rsid w:val="00551C39"/>
    <w:rsid w:val="00551E7E"/>
    <w:rsid w:val="005535EC"/>
    <w:rsid w:val="0055399C"/>
    <w:rsid w:val="00553BE6"/>
    <w:rsid w:val="00554B35"/>
    <w:rsid w:val="00554E89"/>
    <w:rsid w:val="0055577B"/>
    <w:rsid w:val="00556F29"/>
    <w:rsid w:val="005578A6"/>
    <w:rsid w:val="005602E5"/>
    <w:rsid w:val="00562BE7"/>
    <w:rsid w:val="00563324"/>
    <w:rsid w:val="005633B9"/>
    <w:rsid w:val="0056375E"/>
    <w:rsid w:val="00563BA5"/>
    <w:rsid w:val="00564852"/>
    <w:rsid w:val="005649CA"/>
    <w:rsid w:val="00564A75"/>
    <w:rsid w:val="00565149"/>
    <w:rsid w:val="005667A6"/>
    <w:rsid w:val="00566CE8"/>
    <w:rsid w:val="005672A1"/>
    <w:rsid w:val="005721C0"/>
    <w:rsid w:val="0057727B"/>
    <w:rsid w:val="005774FB"/>
    <w:rsid w:val="00580989"/>
    <w:rsid w:val="00581DD4"/>
    <w:rsid w:val="00582FD1"/>
    <w:rsid w:val="00584291"/>
    <w:rsid w:val="0058443E"/>
    <w:rsid w:val="00585818"/>
    <w:rsid w:val="00585975"/>
    <w:rsid w:val="0058614A"/>
    <w:rsid w:val="00586943"/>
    <w:rsid w:val="00587AEC"/>
    <w:rsid w:val="00587B0C"/>
    <w:rsid w:val="00587DFE"/>
    <w:rsid w:val="005909E8"/>
    <w:rsid w:val="00591F8F"/>
    <w:rsid w:val="0059219F"/>
    <w:rsid w:val="005924A6"/>
    <w:rsid w:val="00592D2E"/>
    <w:rsid w:val="005941D7"/>
    <w:rsid w:val="00594974"/>
    <w:rsid w:val="00594B2C"/>
    <w:rsid w:val="0059512D"/>
    <w:rsid w:val="00597EBF"/>
    <w:rsid w:val="00597ECA"/>
    <w:rsid w:val="005A0D4F"/>
    <w:rsid w:val="005A405E"/>
    <w:rsid w:val="005A4D8E"/>
    <w:rsid w:val="005A64C1"/>
    <w:rsid w:val="005A7C07"/>
    <w:rsid w:val="005B0639"/>
    <w:rsid w:val="005B15FA"/>
    <w:rsid w:val="005B1721"/>
    <w:rsid w:val="005B267B"/>
    <w:rsid w:val="005B29F2"/>
    <w:rsid w:val="005B31E1"/>
    <w:rsid w:val="005B424F"/>
    <w:rsid w:val="005B4A91"/>
    <w:rsid w:val="005B586B"/>
    <w:rsid w:val="005B6B4E"/>
    <w:rsid w:val="005B6E2C"/>
    <w:rsid w:val="005C0BA5"/>
    <w:rsid w:val="005C2705"/>
    <w:rsid w:val="005C2C47"/>
    <w:rsid w:val="005C495F"/>
    <w:rsid w:val="005C75AD"/>
    <w:rsid w:val="005D1B12"/>
    <w:rsid w:val="005D211C"/>
    <w:rsid w:val="005D3D4E"/>
    <w:rsid w:val="005D5F72"/>
    <w:rsid w:val="005E04EA"/>
    <w:rsid w:val="005E12AF"/>
    <w:rsid w:val="005E2ACE"/>
    <w:rsid w:val="005E38D2"/>
    <w:rsid w:val="005E71AB"/>
    <w:rsid w:val="005F1496"/>
    <w:rsid w:val="005F255E"/>
    <w:rsid w:val="005F2681"/>
    <w:rsid w:val="005F26EE"/>
    <w:rsid w:val="005F3DCD"/>
    <w:rsid w:val="005F42FD"/>
    <w:rsid w:val="005F450D"/>
    <w:rsid w:val="005F524A"/>
    <w:rsid w:val="005F6696"/>
    <w:rsid w:val="005F7980"/>
    <w:rsid w:val="006003F9"/>
    <w:rsid w:val="00600721"/>
    <w:rsid w:val="00601972"/>
    <w:rsid w:val="00604463"/>
    <w:rsid w:val="00607777"/>
    <w:rsid w:val="00610B46"/>
    <w:rsid w:val="006127B1"/>
    <w:rsid w:val="006131DB"/>
    <w:rsid w:val="006142FE"/>
    <w:rsid w:val="006147F7"/>
    <w:rsid w:val="006153F3"/>
    <w:rsid w:val="00616194"/>
    <w:rsid w:val="006164AA"/>
    <w:rsid w:val="006171FC"/>
    <w:rsid w:val="00620D45"/>
    <w:rsid w:val="00620E70"/>
    <w:rsid w:val="00621D92"/>
    <w:rsid w:val="00622570"/>
    <w:rsid w:val="00623C8D"/>
    <w:rsid w:val="006242B1"/>
    <w:rsid w:val="006263D6"/>
    <w:rsid w:val="006263E3"/>
    <w:rsid w:val="00626D0F"/>
    <w:rsid w:val="006276DF"/>
    <w:rsid w:val="00627B51"/>
    <w:rsid w:val="00630FC3"/>
    <w:rsid w:val="00634A6E"/>
    <w:rsid w:val="00636D12"/>
    <w:rsid w:val="006373B2"/>
    <w:rsid w:val="00640766"/>
    <w:rsid w:val="006410B4"/>
    <w:rsid w:val="0064156A"/>
    <w:rsid w:val="006422F2"/>
    <w:rsid w:val="00642726"/>
    <w:rsid w:val="0064276D"/>
    <w:rsid w:val="0064307E"/>
    <w:rsid w:val="00645109"/>
    <w:rsid w:val="006456A1"/>
    <w:rsid w:val="00645AA5"/>
    <w:rsid w:val="00650794"/>
    <w:rsid w:val="00651E55"/>
    <w:rsid w:val="00654C90"/>
    <w:rsid w:val="006563D7"/>
    <w:rsid w:val="00657073"/>
    <w:rsid w:val="0066016A"/>
    <w:rsid w:val="0066120F"/>
    <w:rsid w:val="00662DB8"/>
    <w:rsid w:val="006636DA"/>
    <w:rsid w:val="006676A2"/>
    <w:rsid w:val="00667726"/>
    <w:rsid w:val="006723F6"/>
    <w:rsid w:val="00674187"/>
    <w:rsid w:val="00676C65"/>
    <w:rsid w:val="00676DAE"/>
    <w:rsid w:val="00676E08"/>
    <w:rsid w:val="00677BFB"/>
    <w:rsid w:val="00680C98"/>
    <w:rsid w:val="0068312D"/>
    <w:rsid w:val="00684BF2"/>
    <w:rsid w:val="00685CB6"/>
    <w:rsid w:val="00686BCE"/>
    <w:rsid w:val="0068725B"/>
    <w:rsid w:val="006876F9"/>
    <w:rsid w:val="00693F68"/>
    <w:rsid w:val="00695B16"/>
    <w:rsid w:val="00695D66"/>
    <w:rsid w:val="006967AB"/>
    <w:rsid w:val="00697111"/>
    <w:rsid w:val="00697B25"/>
    <w:rsid w:val="006A0F17"/>
    <w:rsid w:val="006A34A3"/>
    <w:rsid w:val="006A3D86"/>
    <w:rsid w:val="006A48B0"/>
    <w:rsid w:val="006A4BF6"/>
    <w:rsid w:val="006A57AD"/>
    <w:rsid w:val="006A661C"/>
    <w:rsid w:val="006A6EFB"/>
    <w:rsid w:val="006A7614"/>
    <w:rsid w:val="006B02C2"/>
    <w:rsid w:val="006B03B9"/>
    <w:rsid w:val="006B0495"/>
    <w:rsid w:val="006B167C"/>
    <w:rsid w:val="006B5E01"/>
    <w:rsid w:val="006B7F9B"/>
    <w:rsid w:val="006C0062"/>
    <w:rsid w:val="006C2108"/>
    <w:rsid w:val="006C3D46"/>
    <w:rsid w:val="006C48A5"/>
    <w:rsid w:val="006C608F"/>
    <w:rsid w:val="006C7B8E"/>
    <w:rsid w:val="006D02FC"/>
    <w:rsid w:val="006D0CC1"/>
    <w:rsid w:val="006D0E15"/>
    <w:rsid w:val="006D1028"/>
    <w:rsid w:val="006D3A34"/>
    <w:rsid w:val="006D3D0F"/>
    <w:rsid w:val="006D4643"/>
    <w:rsid w:val="006D53CA"/>
    <w:rsid w:val="006D56F9"/>
    <w:rsid w:val="006D5E4F"/>
    <w:rsid w:val="006D655D"/>
    <w:rsid w:val="006D696A"/>
    <w:rsid w:val="006E1993"/>
    <w:rsid w:val="006E2B81"/>
    <w:rsid w:val="006E32C0"/>
    <w:rsid w:val="006E3D5B"/>
    <w:rsid w:val="006E5816"/>
    <w:rsid w:val="006E6114"/>
    <w:rsid w:val="006E61CE"/>
    <w:rsid w:val="006F1FF6"/>
    <w:rsid w:val="006F33F2"/>
    <w:rsid w:val="006F351C"/>
    <w:rsid w:val="006F4B15"/>
    <w:rsid w:val="006F55AF"/>
    <w:rsid w:val="006F5996"/>
    <w:rsid w:val="006F7387"/>
    <w:rsid w:val="006F7A8F"/>
    <w:rsid w:val="007012D3"/>
    <w:rsid w:val="00701744"/>
    <w:rsid w:val="0070364C"/>
    <w:rsid w:val="007036CB"/>
    <w:rsid w:val="00712211"/>
    <w:rsid w:val="007136FB"/>
    <w:rsid w:val="007143AB"/>
    <w:rsid w:val="00714B19"/>
    <w:rsid w:val="007163FA"/>
    <w:rsid w:val="0072031D"/>
    <w:rsid w:val="007213DC"/>
    <w:rsid w:val="007224A2"/>
    <w:rsid w:val="00722FA8"/>
    <w:rsid w:val="00723468"/>
    <w:rsid w:val="00724AE0"/>
    <w:rsid w:val="00724AF1"/>
    <w:rsid w:val="00724D86"/>
    <w:rsid w:val="00725C6D"/>
    <w:rsid w:val="00726934"/>
    <w:rsid w:val="00727C1F"/>
    <w:rsid w:val="00731E65"/>
    <w:rsid w:val="00732505"/>
    <w:rsid w:val="0073314B"/>
    <w:rsid w:val="00733553"/>
    <w:rsid w:val="00734526"/>
    <w:rsid w:val="007351D8"/>
    <w:rsid w:val="00735676"/>
    <w:rsid w:val="0073567C"/>
    <w:rsid w:val="00736073"/>
    <w:rsid w:val="00736586"/>
    <w:rsid w:val="0073687D"/>
    <w:rsid w:val="007379B7"/>
    <w:rsid w:val="00741A8B"/>
    <w:rsid w:val="00742920"/>
    <w:rsid w:val="0074306C"/>
    <w:rsid w:val="00744409"/>
    <w:rsid w:val="00744837"/>
    <w:rsid w:val="00744C81"/>
    <w:rsid w:val="0074585E"/>
    <w:rsid w:val="00746F69"/>
    <w:rsid w:val="007477DA"/>
    <w:rsid w:val="00747AA7"/>
    <w:rsid w:val="00751073"/>
    <w:rsid w:val="00752449"/>
    <w:rsid w:val="00752EBE"/>
    <w:rsid w:val="007546D7"/>
    <w:rsid w:val="00754BD5"/>
    <w:rsid w:val="00756664"/>
    <w:rsid w:val="007579D9"/>
    <w:rsid w:val="00762038"/>
    <w:rsid w:val="0076387A"/>
    <w:rsid w:val="00764CD2"/>
    <w:rsid w:val="0076628F"/>
    <w:rsid w:val="00766650"/>
    <w:rsid w:val="00766E79"/>
    <w:rsid w:val="007707DF"/>
    <w:rsid w:val="00770845"/>
    <w:rsid w:val="007714F7"/>
    <w:rsid w:val="00773D9F"/>
    <w:rsid w:val="00774D07"/>
    <w:rsid w:val="00774D42"/>
    <w:rsid w:val="0077575B"/>
    <w:rsid w:val="00775EE7"/>
    <w:rsid w:val="00776466"/>
    <w:rsid w:val="00776ED9"/>
    <w:rsid w:val="00777969"/>
    <w:rsid w:val="00777EA2"/>
    <w:rsid w:val="0078154A"/>
    <w:rsid w:val="0078355D"/>
    <w:rsid w:val="00784BD1"/>
    <w:rsid w:val="007850F9"/>
    <w:rsid w:val="00785B88"/>
    <w:rsid w:val="00786579"/>
    <w:rsid w:val="00790892"/>
    <w:rsid w:val="00790F0F"/>
    <w:rsid w:val="00791123"/>
    <w:rsid w:val="0079249E"/>
    <w:rsid w:val="00793103"/>
    <w:rsid w:val="00794A20"/>
    <w:rsid w:val="00794D61"/>
    <w:rsid w:val="00795291"/>
    <w:rsid w:val="007A0E25"/>
    <w:rsid w:val="007A2C9E"/>
    <w:rsid w:val="007A4F4B"/>
    <w:rsid w:val="007A5358"/>
    <w:rsid w:val="007A651B"/>
    <w:rsid w:val="007B20B0"/>
    <w:rsid w:val="007B4369"/>
    <w:rsid w:val="007B4894"/>
    <w:rsid w:val="007B6448"/>
    <w:rsid w:val="007B6ADE"/>
    <w:rsid w:val="007B6E3D"/>
    <w:rsid w:val="007C1933"/>
    <w:rsid w:val="007C281B"/>
    <w:rsid w:val="007C41F4"/>
    <w:rsid w:val="007C524C"/>
    <w:rsid w:val="007C7361"/>
    <w:rsid w:val="007D04CD"/>
    <w:rsid w:val="007D0B70"/>
    <w:rsid w:val="007D145D"/>
    <w:rsid w:val="007D1EC7"/>
    <w:rsid w:val="007D25A3"/>
    <w:rsid w:val="007D272F"/>
    <w:rsid w:val="007D5B51"/>
    <w:rsid w:val="007D6541"/>
    <w:rsid w:val="007E0C69"/>
    <w:rsid w:val="007E13BB"/>
    <w:rsid w:val="007E1FEA"/>
    <w:rsid w:val="007E271C"/>
    <w:rsid w:val="007E3A7A"/>
    <w:rsid w:val="007E4A99"/>
    <w:rsid w:val="007E7CB4"/>
    <w:rsid w:val="007E7E87"/>
    <w:rsid w:val="007F045E"/>
    <w:rsid w:val="007F2531"/>
    <w:rsid w:val="007F3E69"/>
    <w:rsid w:val="007F477C"/>
    <w:rsid w:val="007F49C9"/>
    <w:rsid w:val="007F600F"/>
    <w:rsid w:val="007F67AD"/>
    <w:rsid w:val="007F6DAB"/>
    <w:rsid w:val="0080399D"/>
    <w:rsid w:val="00803B22"/>
    <w:rsid w:val="008046D1"/>
    <w:rsid w:val="00804B66"/>
    <w:rsid w:val="008060C3"/>
    <w:rsid w:val="00806166"/>
    <w:rsid w:val="008061DD"/>
    <w:rsid w:val="00806382"/>
    <w:rsid w:val="00806A3D"/>
    <w:rsid w:val="00806ABA"/>
    <w:rsid w:val="00806CBA"/>
    <w:rsid w:val="00810AF2"/>
    <w:rsid w:val="00810C71"/>
    <w:rsid w:val="00811073"/>
    <w:rsid w:val="00813499"/>
    <w:rsid w:val="00815335"/>
    <w:rsid w:val="00820689"/>
    <w:rsid w:val="00822777"/>
    <w:rsid w:val="00823848"/>
    <w:rsid w:val="00823AA7"/>
    <w:rsid w:val="00823CCB"/>
    <w:rsid w:val="00823D7F"/>
    <w:rsid w:val="00824927"/>
    <w:rsid w:val="00825823"/>
    <w:rsid w:val="008265A6"/>
    <w:rsid w:val="00826826"/>
    <w:rsid w:val="0083179C"/>
    <w:rsid w:val="008317AF"/>
    <w:rsid w:val="00831C60"/>
    <w:rsid w:val="00833CE3"/>
    <w:rsid w:val="00833F07"/>
    <w:rsid w:val="008364BC"/>
    <w:rsid w:val="00836809"/>
    <w:rsid w:val="00837232"/>
    <w:rsid w:val="00837BA7"/>
    <w:rsid w:val="00837E4C"/>
    <w:rsid w:val="00841498"/>
    <w:rsid w:val="00846736"/>
    <w:rsid w:val="00846C1D"/>
    <w:rsid w:val="00847639"/>
    <w:rsid w:val="00850BC0"/>
    <w:rsid w:val="00851A6E"/>
    <w:rsid w:val="00852B22"/>
    <w:rsid w:val="00852F7E"/>
    <w:rsid w:val="00854118"/>
    <w:rsid w:val="008541FE"/>
    <w:rsid w:val="008552E8"/>
    <w:rsid w:val="00855C5D"/>
    <w:rsid w:val="00855C69"/>
    <w:rsid w:val="00855D5F"/>
    <w:rsid w:val="0085631A"/>
    <w:rsid w:val="00861031"/>
    <w:rsid w:val="00861AD4"/>
    <w:rsid w:val="00863199"/>
    <w:rsid w:val="00864397"/>
    <w:rsid w:val="00865F86"/>
    <w:rsid w:val="00866D73"/>
    <w:rsid w:val="00870113"/>
    <w:rsid w:val="00871830"/>
    <w:rsid w:val="00871C26"/>
    <w:rsid w:val="00871EB6"/>
    <w:rsid w:val="00873A1E"/>
    <w:rsid w:val="00875375"/>
    <w:rsid w:val="00876B26"/>
    <w:rsid w:val="00876E28"/>
    <w:rsid w:val="00877125"/>
    <w:rsid w:val="008777E1"/>
    <w:rsid w:val="00881044"/>
    <w:rsid w:val="0088255C"/>
    <w:rsid w:val="00882FCF"/>
    <w:rsid w:val="008841CC"/>
    <w:rsid w:val="00884DEE"/>
    <w:rsid w:val="00886414"/>
    <w:rsid w:val="00893BBC"/>
    <w:rsid w:val="008944DF"/>
    <w:rsid w:val="008945A0"/>
    <w:rsid w:val="00894CDF"/>
    <w:rsid w:val="00894E81"/>
    <w:rsid w:val="00896536"/>
    <w:rsid w:val="00896601"/>
    <w:rsid w:val="00896DBB"/>
    <w:rsid w:val="008A0AF0"/>
    <w:rsid w:val="008A363F"/>
    <w:rsid w:val="008A3CEF"/>
    <w:rsid w:val="008A41BC"/>
    <w:rsid w:val="008A43BC"/>
    <w:rsid w:val="008A45B7"/>
    <w:rsid w:val="008A56A5"/>
    <w:rsid w:val="008A5DE8"/>
    <w:rsid w:val="008A6110"/>
    <w:rsid w:val="008A66EC"/>
    <w:rsid w:val="008A693F"/>
    <w:rsid w:val="008B09DF"/>
    <w:rsid w:val="008B239B"/>
    <w:rsid w:val="008B3283"/>
    <w:rsid w:val="008B408B"/>
    <w:rsid w:val="008B433F"/>
    <w:rsid w:val="008B448D"/>
    <w:rsid w:val="008B5629"/>
    <w:rsid w:val="008B676C"/>
    <w:rsid w:val="008C0043"/>
    <w:rsid w:val="008C0617"/>
    <w:rsid w:val="008C0768"/>
    <w:rsid w:val="008C0979"/>
    <w:rsid w:val="008C0F0E"/>
    <w:rsid w:val="008C156A"/>
    <w:rsid w:val="008C2C3F"/>
    <w:rsid w:val="008C3945"/>
    <w:rsid w:val="008C6701"/>
    <w:rsid w:val="008C74F3"/>
    <w:rsid w:val="008D1BB2"/>
    <w:rsid w:val="008D1D51"/>
    <w:rsid w:val="008D28E3"/>
    <w:rsid w:val="008D3CCA"/>
    <w:rsid w:val="008D450A"/>
    <w:rsid w:val="008D639C"/>
    <w:rsid w:val="008D6792"/>
    <w:rsid w:val="008D700B"/>
    <w:rsid w:val="008D76FF"/>
    <w:rsid w:val="008E0C5F"/>
    <w:rsid w:val="008E1950"/>
    <w:rsid w:val="008E1F69"/>
    <w:rsid w:val="008E375F"/>
    <w:rsid w:val="008E450E"/>
    <w:rsid w:val="008E4F52"/>
    <w:rsid w:val="008E52DC"/>
    <w:rsid w:val="008E5B8B"/>
    <w:rsid w:val="008F17BE"/>
    <w:rsid w:val="008F1A05"/>
    <w:rsid w:val="008F31EA"/>
    <w:rsid w:val="008F345B"/>
    <w:rsid w:val="008F3603"/>
    <w:rsid w:val="008F3DBE"/>
    <w:rsid w:val="008F3E52"/>
    <w:rsid w:val="008F3E9A"/>
    <w:rsid w:val="008F50A9"/>
    <w:rsid w:val="008F50B2"/>
    <w:rsid w:val="008F5294"/>
    <w:rsid w:val="008F5657"/>
    <w:rsid w:val="008F57C6"/>
    <w:rsid w:val="008F6CD1"/>
    <w:rsid w:val="008F72CD"/>
    <w:rsid w:val="008F733E"/>
    <w:rsid w:val="008F7D43"/>
    <w:rsid w:val="00900679"/>
    <w:rsid w:val="00901925"/>
    <w:rsid w:val="0090230B"/>
    <w:rsid w:val="009030BC"/>
    <w:rsid w:val="0090322D"/>
    <w:rsid w:val="009046B4"/>
    <w:rsid w:val="009049D5"/>
    <w:rsid w:val="009071BC"/>
    <w:rsid w:val="009074CC"/>
    <w:rsid w:val="009075CC"/>
    <w:rsid w:val="00907897"/>
    <w:rsid w:val="009128B2"/>
    <w:rsid w:val="00913DEE"/>
    <w:rsid w:val="00914C62"/>
    <w:rsid w:val="00916F0E"/>
    <w:rsid w:val="009209E0"/>
    <w:rsid w:val="0092115A"/>
    <w:rsid w:val="009223C8"/>
    <w:rsid w:val="009229D3"/>
    <w:rsid w:val="00923301"/>
    <w:rsid w:val="00923E11"/>
    <w:rsid w:val="009240A2"/>
    <w:rsid w:val="009265B3"/>
    <w:rsid w:val="00926A67"/>
    <w:rsid w:val="00926DC6"/>
    <w:rsid w:val="00926E2B"/>
    <w:rsid w:val="009274BA"/>
    <w:rsid w:val="009276EB"/>
    <w:rsid w:val="00931339"/>
    <w:rsid w:val="00931877"/>
    <w:rsid w:val="00933C0F"/>
    <w:rsid w:val="0093408D"/>
    <w:rsid w:val="009342F8"/>
    <w:rsid w:val="00934B68"/>
    <w:rsid w:val="00934CE0"/>
    <w:rsid w:val="009354CB"/>
    <w:rsid w:val="00935ACC"/>
    <w:rsid w:val="00935C30"/>
    <w:rsid w:val="00936295"/>
    <w:rsid w:val="00937363"/>
    <w:rsid w:val="00937846"/>
    <w:rsid w:val="00941F80"/>
    <w:rsid w:val="00942125"/>
    <w:rsid w:val="00945382"/>
    <w:rsid w:val="00947548"/>
    <w:rsid w:val="00947A13"/>
    <w:rsid w:val="009517AD"/>
    <w:rsid w:val="00953180"/>
    <w:rsid w:val="00953EFC"/>
    <w:rsid w:val="00954336"/>
    <w:rsid w:val="00954EDA"/>
    <w:rsid w:val="00955037"/>
    <w:rsid w:val="009558B0"/>
    <w:rsid w:val="00955B14"/>
    <w:rsid w:val="00955F51"/>
    <w:rsid w:val="00956793"/>
    <w:rsid w:val="0095760D"/>
    <w:rsid w:val="00957781"/>
    <w:rsid w:val="009608C6"/>
    <w:rsid w:val="00960AF4"/>
    <w:rsid w:val="00962A1C"/>
    <w:rsid w:val="00963408"/>
    <w:rsid w:val="009644B1"/>
    <w:rsid w:val="0096641F"/>
    <w:rsid w:val="009678CB"/>
    <w:rsid w:val="00967B36"/>
    <w:rsid w:val="009703BA"/>
    <w:rsid w:val="00970B0F"/>
    <w:rsid w:val="009725CB"/>
    <w:rsid w:val="00973909"/>
    <w:rsid w:val="0097597F"/>
    <w:rsid w:val="00976128"/>
    <w:rsid w:val="009829F5"/>
    <w:rsid w:val="00984DFE"/>
    <w:rsid w:val="00993645"/>
    <w:rsid w:val="009946A8"/>
    <w:rsid w:val="00994C57"/>
    <w:rsid w:val="00995152"/>
    <w:rsid w:val="0099529F"/>
    <w:rsid w:val="009958F2"/>
    <w:rsid w:val="0099665B"/>
    <w:rsid w:val="00997D86"/>
    <w:rsid w:val="009A1B0B"/>
    <w:rsid w:val="009A3EA8"/>
    <w:rsid w:val="009A4356"/>
    <w:rsid w:val="009A51BC"/>
    <w:rsid w:val="009A5659"/>
    <w:rsid w:val="009A7A89"/>
    <w:rsid w:val="009B0B8D"/>
    <w:rsid w:val="009B0F0B"/>
    <w:rsid w:val="009B228C"/>
    <w:rsid w:val="009B2820"/>
    <w:rsid w:val="009B2D2B"/>
    <w:rsid w:val="009B31B1"/>
    <w:rsid w:val="009C0F4E"/>
    <w:rsid w:val="009C1D1D"/>
    <w:rsid w:val="009C247E"/>
    <w:rsid w:val="009C32B6"/>
    <w:rsid w:val="009C355F"/>
    <w:rsid w:val="009C3B67"/>
    <w:rsid w:val="009C3ED6"/>
    <w:rsid w:val="009C3F59"/>
    <w:rsid w:val="009C57D2"/>
    <w:rsid w:val="009C5810"/>
    <w:rsid w:val="009C6374"/>
    <w:rsid w:val="009C6D25"/>
    <w:rsid w:val="009C77B3"/>
    <w:rsid w:val="009C7C05"/>
    <w:rsid w:val="009D13A8"/>
    <w:rsid w:val="009D19A7"/>
    <w:rsid w:val="009D2AC1"/>
    <w:rsid w:val="009D4746"/>
    <w:rsid w:val="009D4AC5"/>
    <w:rsid w:val="009D5957"/>
    <w:rsid w:val="009D5A38"/>
    <w:rsid w:val="009D6F3D"/>
    <w:rsid w:val="009D7C65"/>
    <w:rsid w:val="009E0819"/>
    <w:rsid w:val="009E10CF"/>
    <w:rsid w:val="009E1208"/>
    <w:rsid w:val="009E1492"/>
    <w:rsid w:val="009E3A8A"/>
    <w:rsid w:val="009E4064"/>
    <w:rsid w:val="009E4698"/>
    <w:rsid w:val="009E46D1"/>
    <w:rsid w:val="009F0608"/>
    <w:rsid w:val="009F18A1"/>
    <w:rsid w:val="009F2E4E"/>
    <w:rsid w:val="009F4DD3"/>
    <w:rsid w:val="009F53ED"/>
    <w:rsid w:val="009F5721"/>
    <w:rsid w:val="009F68FD"/>
    <w:rsid w:val="009F75C5"/>
    <w:rsid w:val="00A0128B"/>
    <w:rsid w:val="00A01DEA"/>
    <w:rsid w:val="00A02B3C"/>
    <w:rsid w:val="00A02DA0"/>
    <w:rsid w:val="00A03EB5"/>
    <w:rsid w:val="00A061F6"/>
    <w:rsid w:val="00A064A3"/>
    <w:rsid w:val="00A07089"/>
    <w:rsid w:val="00A102E5"/>
    <w:rsid w:val="00A11361"/>
    <w:rsid w:val="00A11385"/>
    <w:rsid w:val="00A14337"/>
    <w:rsid w:val="00A146C1"/>
    <w:rsid w:val="00A16D26"/>
    <w:rsid w:val="00A21A5B"/>
    <w:rsid w:val="00A225D1"/>
    <w:rsid w:val="00A225EC"/>
    <w:rsid w:val="00A25EC4"/>
    <w:rsid w:val="00A26926"/>
    <w:rsid w:val="00A26BE7"/>
    <w:rsid w:val="00A276C1"/>
    <w:rsid w:val="00A312B4"/>
    <w:rsid w:val="00A31696"/>
    <w:rsid w:val="00A321D0"/>
    <w:rsid w:val="00A32B9B"/>
    <w:rsid w:val="00A33814"/>
    <w:rsid w:val="00A34B10"/>
    <w:rsid w:val="00A3652D"/>
    <w:rsid w:val="00A36866"/>
    <w:rsid w:val="00A36BF3"/>
    <w:rsid w:val="00A370E3"/>
    <w:rsid w:val="00A40666"/>
    <w:rsid w:val="00A418D1"/>
    <w:rsid w:val="00A43B09"/>
    <w:rsid w:val="00A44976"/>
    <w:rsid w:val="00A4538A"/>
    <w:rsid w:val="00A45523"/>
    <w:rsid w:val="00A47698"/>
    <w:rsid w:val="00A50393"/>
    <w:rsid w:val="00A5071D"/>
    <w:rsid w:val="00A508AD"/>
    <w:rsid w:val="00A52AA7"/>
    <w:rsid w:val="00A53DC1"/>
    <w:rsid w:val="00A54160"/>
    <w:rsid w:val="00A54527"/>
    <w:rsid w:val="00A55582"/>
    <w:rsid w:val="00A556F1"/>
    <w:rsid w:val="00A6296D"/>
    <w:rsid w:val="00A631BF"/>
    <w:rsid w:val="00A637AD"/>
    <w:rsid w:val="00A637C4"/>
    <w:rsid w:val="00A644E6"/>
    <w:rsid w:val="00A65F1D"/>
    <w:rsid w:val="00A70182"/>
    <w:rsid w:val="00A702DF"/>
    <w:rsid w:val="00A70E39"/>
    <w:rsid w:val="00A738B8"/>
    <w:rsid w:val="00A746E7"/>
    <w:rsid w:val="00A74E2D"/>
    <w:rsid w:val="00A75045"/>
    <w:rsid w:val="00A80FA4"/>
    <w:rsid w:val="00A83953"/>
    <w:rsid w:val="00A851E9"/>
    <w:rsid w:val="00A855DD"/>
    <w:rsid w:val="00A87AED"/>
    <w:rsid w:val="00A902BB"/>
    <w:rsid w:val="00A90D39"/>
    <w:rsid w:val="00A90D8B"/>
    <w:rsid w:val="00A91B73"/>
    <w:rsid w:val="00A9205D"/>
    <w:rsid w:val="00A92791"/>
    <w:rsid w:val="00A92CEA"/>
    <w:rsid w:val="00A94D91"/>
    <w:rsid w:val="00A97E46"/>
    <w:rsid w:val="00AA0D7F"/>
    <w:rsid w:val="00AA15ED"/>
    <w:rsid w:val="00AA4C13"/>
    <w:rsid w:val="00AA5E5F"/>
    <w:rsid w:val="00AA707B"/>
    <w:rsid w:val="00AA7805"/>
    <w:rsid w:val="00AB03A9"/>
    <w:rsid w:val="00AB0F42"/>
    <w:rsid w:val="00AB2D76"/>
    <w:rsid w:val="00AB3799"/>
    <w:rsid w:val="00AB3E03"/>
    <w:rsid w:val="00AB4E88"/>
    <w:rsid w:val="00AB6616"/>
    <w:rsid w:val="00AC0270"/>
    <w:rsid w:val="00AC1357"/>
    <w:rsid w:val="00AC279B"/>
    <w:rsid w:val="00AC362D"/>
    <w:rsid w:val="00AC5F19"/>
    <w:rsid w:val="00AC75CB"/>
    <w:rsid w:val="00AC7E1B"/>
    <w:rsid w:val="00AD1244"/>
    <w:rsid w:val="00AD134E"/>
    <w:rsid w:val="00AD27E9"/>
    <w:rsid w:val="00AD28A2"/>
    <w:rsid w:val="00AD2E3E"/>
    <w:rsid w:val="00AD4197"/>
    <w:rsid w:val="00AD5F0D"/>
    <w:rsid w:val="00AD6358"/>
    <w:rsid w:val="00AD63F6"/>
    <w:rsid w:val="00AD7F0E"/>
    <w:rsid w:val="00AE0B94"/>
    <w:rsid w:val="00AE23AE"/>
    <w:rsid w:val="00AE26BF"/>
    <w:rsid w:val="00AE36E3"/>
    <w:rsid w:val="00AE3B13"/>
    <w:rsid w:val="00AE3DEE"/>
    <w:rsid w:val="00AE50DC"/>
    <w:rsid w:val="00AE53A1"/>
    <w:rsid w:val="00AE5754"/>
    <w:rsid w:val="00AE5D11"/>
    <w:rsid w:val="00AE64A9"/>
    <w:rsid w:val="00AE67A2"/>
    <w:rsid w:val="00AE6F60"/>
    <w:rsid w:val="00AE7731"/>
    <w:rsid w:val="00AF1ECD"/>
    <w:rsid w:val="00AF2176"/>
    <w:rsid w:val="00AF21FA"/>
    <w:rsid w:val="00AF244E"/>
    <w:rsid w:val="00AF3806"/>
    <w:rsid w:val="00AF4382"/>
    <w:rsid w:val="00AF4652"/>
    <w:rsid w:val="00B00845"/>
    <w:rsid w:val="00B00854"/>
    <w:rsid w:val="00B00DBD"/>
    <w:rsid w:val="00B02AC4"/>
    <w:rsid w:val="00B02D32"/>
    <w:rsid w:val="00B0325E"/>
    <w:rsid w:val="00B034BF"/>
    <w:rsid w:val="00B03FF5"/>
    <w:rsid w:val="00B05BA8"/>
    <w:rsid w:val="00B05F7A"/>
    <w:rsid w:val="00B12437"/>
    <w:rsid w:val="00B14EFD"/>
    <w:rsid w:val="00B15A9A"/>
    <w:rsid w:val="00B160EF"/>
    <w:rsid w:val="00B206B6"/>
    <w:rsid w:val="00B20AD1"/>
    <w:rsid w:val="00B24EEA"/>
    <w:rsid w:val="00B30762"/>
    <w:rsid w:val="00B3108B"/>
    <w:rsid w:val="00B31F06"/>
    <w:rsid w:val="00B33977"/>
    <w:rsid w:val="00B344D0"/>
    <w:rsid w:val="00B35147"/>
    <w:rsid w:val="00B35F86"/>
    <w:rsid w:val="00B37088"/>
    <w:rsid w:val="00B37790"/>
    <w:rsid w:val="00B419B1"/>
    <w:rsid w:val="00B419DB"/>
    <w:rsid w:val="00B41F8C"/>
    <w:rsid w:val="00B473EC"/>
    <w:rsid w:val="00B47C3D"/>
    <w:rsid w:val="00B50522"/>
    <w:rsid w:val="00B54B66"/>
    <w:rsid w:val="00B56748"/>
    <w:rsid w:val="00B6116A"/>
    <w:rsid w:val="00B62DCD"/>
    <w:rsid w:val="00B62ECA"/>
    <w:rsid w:val="00B63797"/>
    <w:rsid w:val="00B652D7"/>
    <w:rsid w:val="00B65446"/>
    <w:rsid w:val="00B712FC"/>
    <w:rsid w:val="00B74AD0"/>
    <w:rsid w:val="00B7551B"/>
    <w:rsid w:val="00B77020"/>
    <w:rsid w:val="00B8091E"/>
    <w:rsid w:val="00B819E5"/>
    <w:rsid w:val="00B83125"/>
    <w:rsid w:val="00B86481"/>
    <w:rsid w:val="00B87182"/>
    <w:rsid w:val="00B87CB0"/>
    <w:rsid w:val="00B904E8"/>
    <w:rsid w:val="00B92BDC"/>
    <w:rsid w:val="00B92D05"/>
    <w:rsid w:val="00B931B4"/>
    <w:rsid w:val="00B93952"/>
    <w:rsid w:val="00B93D16"/>
    <w:rsid w:val="00B947EB"/>
    <w:rsid w:val="00B952AB"/>
    <w:rsid w:val="00B95A0E"/>
    <w:rsid w:val="00B969DC"/>
    <w:rsid w:val="00BA0A9A"/>
    <w:rsid w:val="00BA180B"/>
    <w:rsid w:val="00BA2ED4"/>
    <w:rsid w:val="00BA46EA"/>
    <w:rsid w:val="00BA52ED"/>
    <w:rsid w:val="00BA5746"/>
    <w:rsid w:val="00BA5A07"/>
    <w:rsid w:val="00BA5ED4"/>
    <w:rsid w:val="00BA6735"/>
    <w:rsid w:val="00BA68DA"/>
    <w:rsid w:val="00BA712B"/>
    <w:rsid w:val="00BB1980"/>
    <w:rsid w:val="00BB2BC3"/>
    <w:rsid w:val="00BB428D"/>
    <w:rsid w:val="00BB6468"/>
    <w:rsid w:val="00BC1309"/>
    <w:rsid w:val="00BC2744"/>
    <w:rsid w:val="00BC27D4"/>
    <w:rsid w:val="00BC2B88"/>
    <w:rsid w:val="00BC59F8"/>
    <w:rsid w:val="00BC676E"/>
    <w:rsid w:val="00BD1510"/>
    <w:rsid w:val="00BD359E"/>
    <w:rsid w:val="00BD398B"/>
    <w:rsid w:val="00BD4F59"/>
    <w:rsid w:val="00BD6D14"/>
    <w:rsid w:val="00BD7CD1"/>
    <w:rsid w:val="00BE0738"/>
    <w:rsid w:val="00BE3767"/>
    <w:rsid w:val="00BE3A77"/>
    <w:rsid w:val="00BE5877"/>
    <w:rsid w:val="00BE5BB8"/>
    <w:rsid w:val="00BF0C52"/>
    <w:rsid w:val="00BF1DAF"/>
    <w:rsid w:val="00BF1EE9"/>
    <w:rsid w:val="00BF29FD"/>
    <w:rsid w:val="00BF2AFF"/>
    <w:rsid w:val="00BF4792"/>
    <w:rsid w:val="00BF52E1"/>
    <w:rsid w:val="00BF5357"/>
    <w:rsid w:val="00BF60FC"/>
    <w:rsid w:val="00BF7079"/>
    <w:rsid w:val="00C00635"/>
    <w:rsid w:val="00C007DB"/>
    <w:rsid w:val="00C01BDB"/>
    <w:rsid w:val="00C0262B"/>
    <w:rsid w:val="00C036E4"/>
    <w:rsid w:val="00C10104"/>
    <w:rsid w:val="00C1324A"/>
    <w:rsid w:val="00C13A86"/>
    <w:rsid w:val="00C15D52"/>
    <w:rsid w:val="00C15E9D"/>
    <w:rsid w:val="00C177EC"/>
    <w:rsid w:val="00C21277"/>
    <w:rsid w:val="00C224CC"/>
    <w:rsid w:val="00C251E9"/>
    <w:rsid w:val="00C27A7C"/>
    <w:rsid w:val="00C30C1F"/>
    <w:rsid w:val="00C30FCB"/>
    <w:rsid w:val="00C31E5A"/>
    <w:rsid w:val="00C322D7"/>
    <w:rsid w:val="00C32B09"/>
    <w:rsid w:val="00C33571"/>
    <w:rsid w:val="00C33B79"/>
    <w:rsid w:val="00C33FB1"/>
    <w:rsid w:val="00C35CA2"/>
    <w:rsid w:val="00C362E9"/>
    <w:rsid w:val="00C371EB"/>
    <w:rsid w:val="00C40277"/>
    <w:rsid w:val="00C40C9C"/>
    <w:rsid w:val="00C41C9D"/>
    <w:rsid w:val="00C43993"/>
    <w:rsid w:val="00C43A94"/>
    <w:rsid w:val="00C43EFA"/>
    <w:rsid w:val="00C46B19"/>
    <w:rsid w:val="00C46E79"/>
    <w:rsid w:val="00C50598"/>
    <w:rsid w:val="00C51495"/>
    <w:rsid w:val="00C51E3D"/>
    <w:rsid w:val="00C521FC"/>
    <w:rsid w:val="00C52529"/>
    <w:rsid w:val="00C5381C"/>
    <w:rsid w:val="00C53839"/>
    <w:rsid w:val="00C56406"/>
    <w:rsid w:val="00C572DC"/>
    <w:rsid w:val="00C60FD0"/>
    <w:rsid w:val="00C6548B"/>
    <w:rsid w:val="00C66561"/>
    <w:rsid w:val="00C677F9"/>
    <w:rsid w:val="00C700B5"/>
    <w:rsid w:val="00C73537"/>
    <w:rsid w:val="00C73965"/>
    <w:rsid w:val="00C73BFE"/>
    <w:rsid w:val="00C73F39"/>
    <w:rsid w:val="00C74305"/>
    <w:rsid w:val="00C756DD"/>
    <w:rsid w:val="00C75724"/>
    <w:rsid w:val="00C75759"/>
    <w:rsid w:val="00C76789"/>
    <w:rsid w:val="00C771C3"/>
    <w:rsid w:val="00C77FB3"/>
    <w:rsid w:val="00C80202"/>
    <w:rsid w:val="00C823B3"/>
    <w:rsid w:val="00C829C8"/>
    <w:rsid w:val="00C83B1C"/>
    <w:rsid w:val="00C84480"/>
    <w:rsid w:val="00C8460B"/>
    <w:rsid w:val="00C84FAF"/>
    <w:rsid w:val="00C84FB3"/>
    <w:rsid w:val="00C865F6"/>
    <w:rsid w:val="00C86CD1"/>
    <w:rsid w:val="00C87A21"/>
    <w:rsid w:val="00C90EFB"/>
    <w:rsid w:val="00C916B0"/>
    <w:rsid w:val="00C92071"/>
    <w:rsid w:val="00C937EB"/>
    <w:rsid w:val="00C94D22"/>
    <w:rsid w:val="00C952FA"/>
    <w:rsid w:val="00C963E2"/>
    <w:rsid w:val="00C96EB6"/>
    <w:rsid w:val="00CA0C4A"/>
    <w:rsid w:val="00CA0E3C"/>
    <w:rsid w:val="00CA34CC"/>
    <w:rsid w:val="00CA492F"/>
    <w:rsid w:val="00CA6FE9"/>
    <w:rsid w:val="00CA749C"/>
    <w:rsid w:val="00CB2CC3"/>
    <w:rsid w:val="00CB2D88"/>
    <w:rsid w:val="00CB310C"/>
    <w:rsid w:val="00CB33CE"/>
    <w:rsid w:val="00CB3705"/>
    <w:rsid w:val="00CB45A7"/>
    <w:rsid w:val="00CB47DC"/>
    <w:rsid w:val="00CB558F"/>
    <w:rsid w:val="00CB604F"/>
    <w:rsid w:val="00CC086A"/>
    <w:rsid w:val="00CC1A49"/>
    <w:rsid w:val="00CC3005"/>
    <w:rsid w:val="00CC38AF"/>
    <w:rsid w:val="00CC3AB6"/>
    <w:rsid w:val="00CC4EE4"/>
    <w:rsid w:val="00CC69C0"/>
    <w:rsid w:val="00CC77E9"/>
    <w:rsid w:val="00CD0CEE"/>
    <w:rsid w:val="00CD1372"/>
    <w:rsid w:val="00CD1E89"/>
    <w:rsid w:val="00CD2357"/>
    <w:rsid w:val="00CD4176"/>
    <w:rsid w:val="00CD5AB4"/>
    <w:rsid w:val="00CE12D9"/>
    <w:rsid w:val="00CE1CA5"/>
    <w:rsid w:val="00CE2743"/>
    <w:rsid w:val="00CE2DA6"/>
    <w:rsid w:val="00CE2DE9"/>
    <w:rsid w:val="00CE331D"/>
    <w:rsid w:val="00CE37CE"/>
    <w:rsid w:val="00CE3D9C"/>
    <w:rsid w:val="00CE4576"/>
    <w:rsid w:val="00CF1311"/>
    <w:rsid w:val="00CF135C"/>
    <w:rsid w:val="00CF235E"/>
    <w:rsid w:val="00CF2529"/>
    <w:rsid w:val="00CF3010"/>
    <w:rsid w:val="00CF52FA"/>
    <w:rsid w:val="00CF53BB"/>
    <w:rsid w:val="00CF6742"/>
    <w:rsid w:val="00CF70B7"/>
    <w:rsid w:val="00D02EB3"/>
    <w:rsid w:val="00D03548"/>
    <w:rsid w:val="00D037D2"/>
    <w:rsid w:val="00D03CAD"/>
    <w:rsid w:val="00D04472"/>
    <w:rsid w:val="00D05B7E"/>
    <w:rsid w:val="00D0614A"/>
    <w:rsid w:val="00D06159"/>
    <w:rsid w:val="00D06971"/>
    <w:rsid w:val="00D06FAA"/>
    <w:rsid w:val="00D125A8"/>
    <w:rsid w:val="00D13249"/>
    <w:rsid w:val="00D14C8D"/>
    <w:rsid w:val="00D1702D"/>
    <w:rsid w:val="00D17E7B"/>
    <w:rsid w:val="00D20959"/>
    <w:rsid w:val="00D21785"/>
    <w:rsid w:val="00D22B0A"/>
    <w:rsid w:val="00D23CF2"/>
    <w:rsid w:val="00D25E12"/>
    <w:rsid w:val="00D26128"/>
    <w:rsid w:val="00D272E6"/>
    <w:rsid w:val="00D27C42"/>
    <w:rsid w:val="00D33798"/>
    <w:rsid w:val="00D33A6E"/>
    <w:rsid w:val="00D35060"/>
    <w:rsid w:val="00D356DB"/>
    <w:rsid w:val="00D4009D"/>
    <w:rsid w:val="00D40CFB"/>
    <w:rsid w:val="00D41063"/>
    <w:rsid w:val="00D41A84"/>
    <w:rsid w:val="00D42563"/>
    <w:rsid w:val="00D43045"/>
    <w:rsid w:val="00D432CE"/>
    <w:rsid w:val="00D43563"/>
    <w:rsid w:val="00D43E88"/>
    <w:rsid w:val="00D4420E"/>
    <w:rsid w:val="00D443B3"/>
    <w:rsid w:val="00D4451F"/>
    <w:rsid w:val="00D45778"/>
    <w:rsid w:val="00D45838"/>
    <w:rsid w:val="00D473E4"/>
    <w:rsid w:val="00D47DFB"/>
    <w:rsid w:val="00D50492"/>
    <w:rsid w:val="00D52EC8"/>
    <w:rsid w:val="00D538C5"/>
    <w:rsid w:val="00D53CC3"/>
    <w:rsid w:val="00D642D3"/>
    <w:rsid w:val="00D643C4"/>
    <w:rsid w:val="00D663C2"/>
    <w:rsid w:val="00D67F84"/>
    <w:rsid w:val="00D70495"/>
    <w:rsid w:val="00D708B5"/>
    <w:rsid w:val="00D72A4C"/>
    <w:rsid w:val="00D742F6"/>
    <w:rsid w:val="00D7470B"/>
    <w:rsid w:val="00D761EB"/>
    <w:rsid w:val="00D77AEA"/>
    <w:rsid w:val="00D80091"/>
    <w:rsid w:val="00D80ABD"/>
    <w:rsid w:val="00D80E0A"/>
    <w:rsid w:val="00D81F6E"/>
    <w:rsid w:val="00D826AE"/>
    <w:rsid w:val="00D82BB4"/>
    <w:rsid w:val="00D82D97"/>
    <w:rsid w:val="00D83E91"/>
    <w:rsid w:val="00D84A93"/>
    <w:rsid w:val="00D84AF1"/>
    <w:rsid w:val="00D872A9"/>
    <w:rsid w:val="00D92C06"/>
    <w:rsid w:val="00D93767"/>
    <w:rsid w:val="00D93C44"/>
    <w:rsid w:val="00D948E1"/>
    <w:rsid w:val="00D94C97"/>
    <w:rsid w:val="00D94EC6"/>
    <w:rsid w:val="00D95B45"/>
    <w:rsid w:val="00D95E53"/>
    <w:rsid w:val="00D97150"/>
    <w:rsid w:val="00D97C6C"/>
    <w:rsid w:val="00DA14C8"/>
    <w:rsid w:val="00DA1AD1"/>
    <w:rsid w:val="00DA20FD"/>
    <w:rsid w:val="00DA3E55"/>
    <w:rsid w:val="00DA4E7B"/>
    <w:rsid w:val="00DA616B"/>
    <w:rsid w:val="00DA619A"/>
    <w:rsid w:val="00DA7B34"/>
    <w:rsid w:val="00DA7D52"/>
    <w:rsid w:val="00DB02E7"/>
    <w:rsid w:val="00DB09DF"/>
    <w:rsid w:val="00DB0E58"/>
    <w:rsid w:val="00DB1029"/>
    <w:rsid w:val="00DB1F54"/>
    <w:rsid w:val="00DB21ED"/>
    <w:rsid w:val="00DB2E13"/>
    <w:rsid w:val="00DB3242"/>
    <w:rsid w:val="00DB405D"/>
    <w:rsid w:val="00DB45AF"/>
    <w:rsid w:val="00DB4CB6"/>
    <w:rsid w:val="00DB54BF"/>
    <w:rsid w:val="00DB55FB"/>
    <w:rsid w:val="00DB6D13"/>
    <w:rsid w:val="00DC13EB"/>
    <w:rsid w:val="00DC1990"/>
    <w:rsid w:val="00DC4534"/>
    <w:rsid w:val="00DC50A3"/>
    <w:rsid w:val="00DC5144"/>
    <w:rsid w:val="00DC5CE1"/>
    <w:rsid w:val="00DC62BC"/>
    <w:rsid w:val="00DD0411"/>
    <w:rsid w:val="00DD247E"/>
    <w:rsid w:val="00DD27D2"/>
    <w:rsid w:val="00DD368B"/>
    <w:rsid w:val="00DD5C73"/>
    <w:rsid w:val="00DE0D25"/>
    <w:rsid w:val="00DE1163"/>
    <w:rsid w:val="00DE24ED"/>
    <w:rsid w:val="00DE2A3B"/>
    <w:rsid w:val="00DE4B0F"/>
    <w:rsid w:val="00DE56C6"/>
    <w:rsid w:val="00DE5B04"/>
    <w:rsid w:val="00DE74F6"/>
    <w:rsid w:val="00DE773D"/>
    <w:rsid w:val="00DE7C79"/>
    <w:rsid w:val="00DF0791"/>
    <w:rsid w:val="00DF1357"/>
    <w:rsid w:val="00DF264C"/>
    <w:rsid w:val="00DF2B2D"/>
    <w:rsid w:val="00DF32D1"/>
    <w:rsid w:val="00DF4077"/>
    <w:rsid w:val="00DF7CF1"/>
    <w:rsid w:val="00DF7CF9"/>
    <w:rsid w:val="00E01FDE"/>
    <w:rsid w:val="00E023D2"/>
    <w:rsid w:val="00E03B17"/>
    <w:rsid w:val="00E04581"/>
    <w:rsid w:val="00E049CB"/>
    <w:rsid w:val="00E07162"/>
    <w:rsid w:val="00E10046"/>
    <w:rsid w:val="00E10D4A"/>
    <w:rsid w:val="00E11485"/>
    <w:rsid w:val="00E1240D"/>
    <w:rsid w:val="00E127F2"/>
    <w:rsid w:val="00E14983"/>
    <w:rsid w:val="00E1791A"/>
    <w:rsid w:val="00E2306D"/>
    <w:rsid w:val="00E23A7F"/>
    <w:rsid w:val="00E23CF6"/>
    <w:rsid w:val="00E2472D"/>
    <w:rsid w:val="00E25F25"/>
    <w:rsid w:val="00E26910"/>
    <w:rsid w:val="00E2719E"/>
    <w:rsid w:val="00E30990"/>
    <w:rsid w:val="00E33C60"/>
    <w:rsid w:val="00E34E9F"/>
    <w:rsid w:val="00E3657A"/>
    <w:rsid w:val="00E36F21"/>
    <w:rsid w:val="00E372F6"/>
    <w:rsid w:val="00E37A9E"/>
    <w:rsid w:val="00E4366B"/>
    <w:rsid w:val="00E438E3"/>
    <w:rsid w:val="00E43983"/>
    <w:rsid w:val="00E43D97"/>
    <w:rsid w:val="00E44105"/>
    <w:rsid w:val="00E44E81"/>
    <w:rsid w:val="00E45304"/>
    <w:rsid w:val="00E4573F"/>
    <w:rsid w:val="00E45AF6"/>
    <w:rsid w:val="00E51E68"/>
    <w:rsid w:val="00E53519"/>
    <w:rsid w:val="00E53BBC"/>
    <w:rsid w:val="00E53F05"/>
    <w:rsid w:val="00E6214A"/>
    <w:rsid w:val="00E621B5"/>
    <w:rsid w:val="00E63045"/>
    <w:rsid w:val="00E6423D"/>
    <w:rsid w:val="00E6445B"/>
    <w:rsid w:val="00E65F02"/>
    <w:rsid w:val="00E65FA3"/>
    <w:rsid w:val="00E738C9"/>
    <w:rsid w:val="00E74350"/>
    <w:rsid w:val="00E74856"/>
    <w:rsid w:val="00E74C9E"/>
    <w:rsid w:val="00E75423"/>
    <w:rsid w:val="00E754F8"/>
    <w:rsid w:val="00E75622"/>
    <w:rsid w:val="00E75FF6"/>
    <w:rsid w:val="00E76C72"/>
    <w:rsid w:val="00E77149"/>
    <w:rsid w:val="00E77872"/>
    <w:rsid w:val="00E77FD8"/>
    <w:rsid w:val="00E81885"/>
    <w:rsid w:val="00E830DE"/>
    <w:rsid w:val="00E84834"/>
    <w:rsid w:val="00E84976"/>
    <w:rsid w:val="00E849A7"/>
    <w:rsid w:val="00E851E3"/>
    <w:rsid w:val="00E857BF"/>
    <w:rsid w:val="00E8770B"/>
    <w:rsid w:val="00E90997"/>
    <w:rsid w:val="00E93F94"/>
    <w:rsid w:val="00E9475C"/>
    <w:rsid w:val="00E949B0"/>
    <w:rsid w:val="00E95590"/>
    <w:rsid w:val="00E95751"/>
    <w:rsid w:val="00E9598C"/>
    <w:rsid w:val="00E962D4"/>
    <w:rsid w:val="00E969CF"/>
    <w:rsid w:val="00E96D1E"/>
    <w:rsid w:val="00E96D71"/>
    <w:rsid w:val="00EA15AB"/>
    <w:rsid w:val="00EA2DF8"/>
    <w:rsid w:val="00EA3F41"/>
    <w:rsid w:val="00EA7C25"/>
    <w:rsid w:val="00EA7C81"/>
    <w:rsid w:val="00EA7F3A"/>
    <w:rsid w:val="00EB0702"/>
    <w:rsid w:val="00EB10C4"/>
    <w:rsid w:val="00EB1FC0"/>
    <w:rsid w:val="00EB2577"/>
    <w:rsid w:val="00EB4433"/>
    <w:rsid w:val="00EB684D"/>
    <w:rsid w:val="00EB6D95"/>
    <w:rsid w:val="00EB6EC8"/>
    <w:rsid w:val="00EC1BD6"/>
    <w:rsid w:val="00EC2081"/>
    <w:rsid w:val="00EC2EA0"/>
    <w:rsid w:val="00EC3A76"/>
    <w:rsid w:val="00EC3BDE"/>
    <w:rsid w:val="00EC3F7E"/>
    <w:rsid w:val="00EC73BD"/>
    <w:rsid w:val="00ED10A7"/>
    <w:rsid w:val="00ED16E7"/>
    <w:rsid w:val="00ED1786"/>
    <w:rsid w:val="00ED1902"/>
    <w:rsid w:val="00ED1FD4"/>
    <w:rsid w:val="00ED3BC1"/>
    <w:rsid w:val="00ED48C7"/>
    <w:rsid w:val="00EE0FB3"/>
    <w:rsid w:val="00EE117B"/>
    <w:rsid w:val="00EE1473"/>
    <w:rsid w:val="00EE19AB"/>
    <w:rsid w:val="00EE1CB2"/>
    <w:rsid w:val="00EE1E52"/>
    <w:rsid w:val="00EE2B42"/>
    <w:rsid w:val="00EE2D37"/>
    <w:rsid w:val="00EE491B"/>
    <w:rsid w:val="00EE4A9B"/>
    <w:rsid w:val="00EE63C3"/>
    <w:rsid w:val="00EE7875"/>
    <w:rsid w:val="00EF0535"/>
    <w:rsid w:val="00EF25B6"/>
    <w:rsid w:val="00EF29E9"/>
    <w:rsid w:val="00EF3ED8"/>
    <w:rsid w:val="00EF42DD"/>
    <w:rsid w:val="00EF4881"/>
    <w:rsid w:val="00EF4C7D"/>
    <w:rsid w:val="00EF5C78"/>
    <w:rsid w:val="00EF693C"/>
    <w:rsid w:val="00EF6AE5"/>
    <w:rsid w:val="00F0020F"/>
    <w:rsid w:val="00F027D9"/>
    <w:rsid w:val="00F04652"/>
    <w:rsid w:val="00F048EE"/>
    <w:rsid w:val="00F059A9"/>
    <w:rsid w:val="00F1040A"/>
    <w:rsid w:val="00F11231"/>
    <w:rsid w:val="00F11748"/>
    <w:rsid w:val="00F14A66"/>
    <w:rsid w:val="00F14B80"/>
    <w:rsid w:val="00F16980"/>
    <w:rsid w:val="00F16AD9"/>
    <w:rsid w:val="00F217FF"/>
    <w:rsid w:val="00F232AF"/>
    <w:rsid w:val="00F2510B"/>
    <w:rsid w:val="00F26721"/>
    <w:rsid w:val="00F273B1"/>
    <w:rsid w:val="00F27DC4"/>
    <w:rsid w:val="00F3020F"/>
    <w:rsid w:val="00F3137D"/>
    <w:rsid w:val="00F32BE2"/>
    <w:rsid w:val="00F33343"/>
    <w:rsid w:val="00F33755"/>
    <w:rsid w:val="00F33CC5"/>
    <w:rsid w:val="00F33E9F"/>
    <w:rsid w:val="00F35FF7"/>
    <w:rsid w:val="00F41757"/>
    <w:rsid w:val="00F41A66"/>
    <w:rsid w:val="00F424B6"/>
    <w:rsid w:val="00F4267E"/>
    <w:rsid w:val="00F427D1"/>
    <w:rsid w:val="00F43EB8"/>
    <w:rsid w:val="00F4488A"/>
    <w:rsid w:val="00F45937"/>
    <w:rsid w:val="00F45C0A"/>
    <w:rsid w:val="00F45F7F"/>
    <w:rsid w:val="00F506DD"/>
    <w:rsid w:val="00F50ACE"/>
    <w:rsid w:val="00F5169D"/>
    <w:rsid w:val="00F54E74"/>
    <w:rsid w:val="00F578A3"/>
    <w:rsid w:val="00F60D6E"/>
    <w:rsid w:val="00F61210"/>
    <w:rsid w:val="00F6455C"/>
    <w:rsid w:val="00F645DF"/>
    <w:rsid w:val="00F667A0"/>
    <w:rsid w:val="00F730B1"/>
    <w:rsid w:val="00F778F6"/>
    <w:rsid w:val="00F7794B"/>
    <w:rsid w:val="00F81511"/>
    <w:rsid w:val="00F81CEA"/>
    <w:rsid w:val="00F8206B"/>
    <w:rsid w:val="00F82737"/>
    <w:rsid w:val="00F83144"/>
    <w:rsid w:val="00F83425"/>
    <w:rsid w:val="00F83608"/>
    <w:rsid w:val="00F841EB"/>
    <w:rsid w:val="00F846B3"/>
    <w:rsid w:val="00F85336"/>
    <w:rsid w:val="00F86801"/>
    <w:rsid w:val="00F9031F"/>
    <w:rsid w:val="00F913BD"/>
    <w:rsid w:val="00F91BF9"/>
    <w:rsid w:val="00F92681"/>
    <w:rsid w:val="00F93F07"/>
    <w:rsid w:val="00F9614E"/>
    <w:rsid w:val="00F968D8"/>
    <w:rsid w:val="00F96C3E"/>
    <w:rsid w:val="00FA1746"/>
    <w:rsid w:val="00FA3AC6"/>
    <w:rsid w:val="00FA4384"/>
    <w:rsid w:val="00FA4756"/>
    <w:rsid w:val="00FA4C1F"/>
    <w:rsid w:val="00FA5219"/>
    <w:rsid w:val="00FA5CC9"/>
    <w:rsid w:val="00FA63CC"/>
    <w:rsid w:val="00FB124D"/>
    <w:rsid w:val="00FB18ED"/>
    <w:rsid w:val="00FB1E1E"/>
    <w:rsid w:val="00FB2244"/>
    <w:rsid w:val="00FB282E"/>
    <w:rsid w:val="00FB332F"/>
    <w:rsid w:val="00FB4ACD"/>
    <w:rsid w:val="00FB56D9"/>
    <w:rsid w:val="00FB6353"/>
    <w:rsid w:val="00FC17E4"/>
    <w:rsid w:val="00FC1A7D"/>
    <w:rsid w:val="00FC2930"/>
    <w:rsid w:val="00FC2D32"/>
    <w:rsid w:val="00FC4707"/>
    <w:rsid w:val="00FC4711"/>
    <w:rsid w:val="00FC7B84"/>
    <w:rsid w:val="00FD0903"/>
    <w:rsid w:val="00FD0A24"/>
    <w:rsid w:val="00FD16A4"/>
    <w:rsid w:val="00FD16FF"/>
    <w:rsid w:val="00FD276E"/>
    <w:rsid w:val="00FD337E"/>
    <w:rsid w:val="00FD3448"/>
    <w:rsid w:val="00FD3F67"/>
    <w:rsid w:val="00FD62A1"/>
    <w:rsid w:val="00FD7357"/>
    <w:rsid w:val="00FE30D3"/>
    <w:rsid w:val="00FE4D59"/>
    <w:rsid w:val="00FE53BB"/>
    <w:rsid w:val="00FE5AEC"/>
    <w:rsid w:val="00FE66CA"/>
    <w:rsid w:val="00FE75FD"/>
    <w:rsid w:val="00FF0905"/>
    <w:rsid w:val="00FF0AD3"/>
    <w:rsid w:val="00FF3D0F"/>
    <w:rsid w:val="00FF475D"/>
    <w:rsid w:val="00FF5333"/>
    <w:rsid w:val="00FF5C2D"/>
    <w:rsid w:val="00FF66FE"/>
    <w:rsid w:val="00FF6A71"/>
    <w:rsid w:val="00FF72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E5834-6118-459A-A587-CCD0D398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3E55"/>
    <w:pPr>
      <w:spacing w:after="0" w:line="240" w:lineRule="auto"/>
    </w:pPr>
    <w:rPr>
      <w:sz w:val="20"/>
      <w:szCs w:val="20"/>
    </w:rPr>
  </w:style>
  <w:style w:type="character" w:customStyle="1" w:styleId="FootnoteTextChar">
    <w:name w:val="Footnote Text Char"/>
    <w:basedOn w:val="DefaultParagraphFont"/>
    <w:link w:val="FootnoteText"/>
    <w:uiPriority w:val="99"/>
    <w:rsid w:val="00DA3E55"/>
    <w:rPr>
      <w:sz w:val="20"/>
      <w:szCs w:val="20"/>
    </w:rPr>
  </w:style>
  <w:style w:type="character" w:styleId="FootnoteReference">
    <w:name w:val="footnote reference"/>
    <w:basedOn w:val="DefaultParagraphFont"/>
    <w:uiPriority w:val="99"/>
    <w:unhideWhenUsed/>
    <w:rsid w:val="00DA3E55"/>
    <w:rPr>
      <w:vertAlign w:val="superscript"/>
    </w:rPr>
  </w:style>
  <w:style w:type="paragraph" w:styleId="ListParagraph">
    <w:name w:val="List Paragraph"/>
    <w:basedOn w:val="Normal"/>
    <w:uiPriority w:val="34"/>
    <w:qFormat/>
    <w:rsid w:val="00B02D32"/>
    <w:pPr>
      <w:ind w:left="720"/>
      <w:contextualSpacing/>
    </w:pPr>
  </w:style>
  <w:style w:type="character" w:styleId="CommentReference">
    <w:name w:val="annotation reference"/>
    <w:basedOn w:val="DefaultParagraphFont"/>
    <w:uiPriority w:val="99"/>
    <w:semiHidden/>
    <w:unhideWhenUsed/>
    <w:rsid w:val="0019402F"/>
    <w:rPr>
      <w:sz w:val="16"/>
      <w:szCs w:val="16"/>
    </w:rPr>
  </w:style>
  <w:style w:type="paragraph" w:styleId="CommentText">
    <w:name w:val="annotation text"/>
    <w:basedOn w:val="Normal"/>
    <w:link w:val="CommentTextChar"/>
    <w:uiPriority w:val="99"/>
    <w:semiHidden/>
    <w:unhideWhenUsed/>
    <w:rsid w:val="0019402F"/>
    <w:pPr>
      <w:spacing w:line="240" w:lineRule="auto"/>
    </w:pPr>
    <w:rPr>
      <w:sz w:val="20"/>
      <w:szCs w:val="20"/>
    </w:rPr>
  </w:style>
  <w:style w:type="character" w:customStyle="1" w:styleId="CommentTextChar">
    <w:name w:val="Comment Text Char"/>
    <w:basedOn w:val="DefaultParagraphFont"/>
    <w:link w:val="CommentText"/>
    <w:uiPriority w:val="99"/>
    <w:semiHidden/>
    <w:rsid w:val="0019402F"/>
    <w:rPr>
      <w:sz w:val="20"/>
      <w:szCs w:val="20"/>
    </w:rPr>
  </w:style>
  <w:style w:type="paragraph" w:styleId="CommentSubject">
    <w:name w:val="annotation subject"/>
    <w:basedOn w:val="CommentText"/>
    <w:next w:val="CommentText"/>
    <w:link w:val="CommentSubjectChar"/>
    <w:uiPriority w:val="99"/>
    <w:semiHidden/>
    <w:unhideWhenUsed/>
    <w:rsid w:val="0019402F"/>
    <w:rPr>
      <w:b/>
      <w:bCs/>
    </w:rPr>
  </w:style>
  <w:style w:type="character" w:customStyle="1" w:styleId="CommentSubjectChar">
    <w:name w:val="Comment Subject Char"/>
    <w:basedOn w:val="CommentTextChar"/>
    <w:link w:val="CommentSubject"/>
    <w:uiPriority w:val="99"/>
    <w:semiHidden/>
    <w:rsid w:val="0019402F"/>
    <w:rPr>
      <w:b/>
      <w:bCs/>
      <w:sz w:val="20"/>
      <w:szCs w:val="20"/>
    </w:rPr>
  </w:style>
  <w:style w:type="paragraph" w:styleId="BalloonText">
    <w:name w:val="Balloon Text"/>
    <w:basedOn w:val="Normal"/>
    <w:link w:val="BalloonTextChar"/>
    <w:uiPriority w:val="99"/>
    <w:semiHidden/>
    <w:unhideWhenUsed/>
    <w:rsid w:val="00194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2F"/>
    <w:rPr>
      <w:rFonts w:ascii="Segoe UI" w:hAnsi="Segoe UI" w:cs="Segoe UI"/>
      <w:sz w:val="18"/>
      <w:szCs w:val="18"/>
    </w:rPr>
  </w:style>
  <w:style w:type="paragraph" w:styleId="Header">
    <w:name w:val="header"/>
    <w:basedOn w:val="Normal"/>
    <w:link w:val="HeaderChar"/>
    <w:uiPriority w:val="99"/>
    <w:unhideWhenUsed/>
    <w:rsid w:val="004A1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FE2"/>
  </w:style>
  <w:style w:type="paragraph" w:styleId="Footer">
    <w:name w:val="footer"/>
    <w:basedOn w:val="Normal"/>
    <w:link w:val="FooterChar"/>
    <w:uiPriority w:val="99"/>
    <w:unhideWhenUsed/>
    <w:rsid w:val="004A1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FE2"/>
  </w:style>
  <w:style w:type="paragraph" w:styleId="PlainText">
    <w:name w:val="Plain Text"/>
    <w:basedOn w:val="Normal"/>
    <w:link w:val="PlainTextChar"/>
    <w:uiPriority w:val="99"/>
    <w:unhideWhenUsed/>
    <w:rsid w:val="00DA4E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A4E7B"/>
    <w:rPr>
      <w:rFonts w:ascii="Calibri" w:hAnsi="Calibri"/>
      <w:szCs w:val="21"/>
    </w:rPr>
  </w:style>
  <w:style w:type="paragraph" w:customStyle="1" w:styleId="p1">
    <w:name w:val="p1"/>
    <w:basedOn w:val="Normal"/>
    <w:rsid w:val="00171CC0"/>
    <w:pPr>
      <w:spacing w:before="100" w:beforeAutospacing="1" w:after="100" w:afterAutospacing="1" w:line="240" w:lineRule="auto"/>
    </w:pPr>
    <w:rPr>
      <w:rFonts w:ascii="Times New Roman" w:hAnsi="Times New Roman" w:cs="Times New Roman"/>
      <w:sz w:val="24"/>
      <w:szCs w:val="24"/>
      <w:lang w:eastAsia="en-ZA"/>
    </w:rPr>
  </w:style>
  <w:style w:type="paragraph" w:customStyle="1" w:styleId="p2">
    <w:name w:val="p2"/>
    <w:basedOn w:val="Normal"/>
    <w:rsid w:val="00171CC0"/>
    <w:pPr>
      <w:spacing w:before="100" w:beforeAutospacing="1" w:after="100" w:afterAutospacing="1" w:line="240" w:lineRule="auto"/>
    </w:pPr>
    <w:rPr>
      <w:rFonts w:ascii="Times New Roman" w:hAnsi="Times New Roman" w:cs="Times New Roman"/>
      <w:sz w:val="24"/>
      <w:szCs w:val="24"/>
      <w:lang w:eastAsia="en-ZA"/>
    </w:rPr>
  </w:style>
  <w:style w:type="character" w:customStyle="1" w:styleId="s1">
    <w:name w:val="s1"/>
    <w:basedOn w:val="DefaultParagraphFont"/>
    <w:rsid w:val="00171CC0"/>
  </w:style>
  <w:style w:type="character" w:customStyle="1" w:styleId="apple-converted-space">
    <w:name w:val="apple-converted-space"/>
    <w:basedOn w:val="DefaultParagraphFont"/>
    <w:rsid w:val="00171CC0"/>
  </w:style>
  <w:style w:type="paragraph" w:styleId="NoSpacing">
    <w:name w:val="No Spacing"/>
    <w:uiPriority w:val="1"/>
    <w:qFormat/>
    <w:rsid w:val="00EF5C78"/>
    <w:pPr>
      <w:spacing w:after="0" w:line="240" w:lineRule="auto"/>
    </w:pPr>
    <w:rPr>
      <w:lang w:val="en-US"/>
    </w:rPr>
  </w:style>
  <w:style w:type="character" w:styleId="Hyperlink">
    <w:name w:val="Hyperlink"/>
    <w:basedOn w:val="DefaultParagraphFont"/>
    <w:uiPriority w:val="99"/>
    <w:semiHidden/>
    <w:unhideWhenUsed/>
    <w:rsid w:val="000540B3"/>
    <w:rPr>
      <w:b/>
      <w:bCs/>
      <w:i w:val="0"/>
      <w:iCs w:val="0"/>
      <w:color w:val="0B4B0B"/>
      <w:u w:val="single"/>
    </w:rPr>
  </w:style>
  <w:style w:type="paragraph" w:customStyle="1" w:styleId="western">
    <w:name w:val="western"/>
    <w:basedOn w:val="Normal"/>
    <w:rsid w:val="000540B3"/>
    <w:pPr>
      <w:spacing w:before="144" w:after="288" w:line="240" w:lineRule="auto"/>
    </w:pPr>
    <w:rPr>
      <w:rFonts w:ascii="Times New Roman" w:eastAsia="Times New Roman" w:hAnsi="Times New Roman" w:cs="Times New Roman"/>
      <w:sz w:val="24"/>
      <w:szCs w:val="24"/>
      <w:lang w:val="en-US"/>
    </w:rPr>
  </w:style>
  <w:style w:type="paragraph" w:customStyle="1" w:styleId="Default">
    <w:name w:val="Default"/>
    <w:rsid w:val="000540B3"/>
    <w:pPr>
      <w:autoSpaceDE w:val="0"/>
      <w:autoSpaceDN w:val="0"/>
      <w:adjustRightInd w:val="0"/>
      <w:spacing w:after="0" w:line="240" w:lineRule="auto"/>
    </w:pPr>
    <w:rPr>
      <w:rFonts w:ascii="Calibri" w:eastAsia="Calibri" w:hAnsi="Calibri" w:cs="Calibri"/>
      <w:color w:val="000000"/>
      <w:sz w:val="24"/>
      <w:szCs w:val="24"/>
      <w:lang w:val="en-US"/>
    </w:rPr>
  </w:style>
  <w:style w:type="character" w:styleId="FollowedHyperlink">
    <w:name w:val="FollowedHyperlink"/>
    <w:basedOn w:val="DefaultParagraphFont"/>
    <w:uiPriority w:val="99"/>
    <w:semiHidden/>
    <w:unhideWhenUsed/>
    <w:rsid w:val="004F0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9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80%20%282%29%20SA%20815" TargetMode="External"/><Relationship Id="rId1" Type="http://schemas.openxmlformats.org/officeDocument/2006/relationships/hyperlink" Target="http://www.saflii.org/cgi-bin/LawCite?cit=1922%20AD%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2017-04-12T18:30:00+00:00</Judgment_x0020_Date>
    <Year xmlns="63bdd487-88aa-4c54-b893-ddaa81ed2e7c">2017</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D174-337A-41EF-B20A-A12E2753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EA934-544C-49FA-B158-7CFD6152856A}">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CAAC4BA7-AFA6-44AB-9A83-F754BA78BC3B}">
  <ds:schemaRefs>
    <ds:schemaRef ds:uri="http://schemas.microsoft.com/sharepoint/v3/contenttype/forms"/>
  </ds:schemaRefs>
</ds:datastoreItem>
</file>

<file path=customXml/itemProps4.xml><?xml version="1.0" encoding="utf-8"?>
<ds:datastoreItem xmlns:ds="http://schemas.openxmlformats.org/officeDocument/2006/customXml" ds:itemID="{595D6BD0-4686-43AD-922B-EC5B3A13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6105</Words>
  <Characters>34802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cp:lastPrinted>2017-04-13T07:17:00Z</cp:lastPrinted>
  <dcterms:created xsi:type="dcterms:W3CDTF">2017-04-19T09:43:00Z</dcterms:created>
  <dcterms:modified xsi:type="dcterms:W3CDTF">2017-04-25T07:20:00Z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